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auto"/>
          <w:sz w:val="32"/>
          <w:szCs w:val="32"/>
          <w:highlight w:val="none"/>
          <w:lang w:val="en-US" w:eastAsia="zh-CN"/>
        </w:rPr>
        <w:t>深圳会展中心餐饮区两处特色餐饮铺位公开招租</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w:t>
      </w:r>
      <w:r>
        <w:rPr>
          <w:rStyle w:val="18"/>
          <w:rFonts w:hint="eastAsia" w:ascii="宋体" w:hAnsi="宋体"/>
          <w:lang w:eastAsia="zh-CN"/>
        </w:rPr>
        <w:t>竞标人</w:t>
      </w:r>
      <w:r>
        <w:rPr>
          <w:rStyle w:val="18"/>
          <w:rFonts w:ascii="宋体" w:hAnsi="宋体"/>
        </w:rPr>
        <w:t>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11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11</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11</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11</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11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tab/>
      </w:r>
      <w:r>
        <w:fldChar w:fldCharType="begin"/>
      </w:r>
      <w:r>
        <w:instrText xml:space="preserve"> PAGEREF _Toc116550363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附件8：报价一览表（服务）（本项目不适用）</w:t>
      </w:r>
      <w:r>
        <w:tab/>
      </w:r>
      <w:r>
        <w:fldChar w:fldCharType="begin"/>
      </w:r>
      <w:r>
        <w:instrText xml:space="preserve"> PAGEREF _Toc116550367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w:t>
      </w:r>
      <w:r>
        <w:tab/>
      </w:r>
      <w:r>
        <w:fldChar w:fldCharType="begin"/>
      </w:r>
      <w:r>
        <w:instrText xml:space="preserve"> PAGEREF _Toc116550368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30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31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32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33</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lang w:eastAsia="zh-CN"/>
        </w:rPr>
        <w:t>竞标人</w:t>
      </w:r>
      <w:r>
        <w:rPr>
          <w:rFonts w:hint="eastAsia" w:ascii="宋体" w:hAnsi="宋体"/>
          <w:b/>
          <w:szCs w:val="21"/>
        </w:rPr>
        <w:t>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竞标人</w:t>
            </w:r>
            <w:r>
              <w:rPr>
                <w:rFonts w:hint="eastAsia" w:ascii="宋体" w:hAnsi="宋体"/>
                <w:b/>
                <w:sz w:val="32"/>
                <w:szCs w:val="32"/>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深圳会展中心餐饮区两处特色餐饮铺位公开招租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项目介绍</w:t>
            </w:r>
          </w:p>
        </w:tc>
        <w:tc>
          <w:tcPr>
            <w:tcW w:w="7029" w:type="dxa"/>
            <w:vAlign w:val="center"/>
          </w:tcPr>
          <w:p>
            <w:pPr>
              <w:autoSpaceDE w:val="0"/>
              <w:autoSpaceDN w:val="0"/>
              <w:adjustRightInd w:val="0"/>
              <w:snapToGrid w:val="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餐饮区设在会展中心一楼。生产总面积1464平方米，就餐总面积4200平方米，共设有9家铺位（其中8家中式快餐，1家西式快餐）为展会及大型会议活动提供餐饮配套服务。目前有两处铺位空置，随着政策的放宽和全面复工复产，为保证展会供餐需求，同时开辟餐食多元化和个性化服务，本项目以粉面、休闲美食、高端商务餐等特色餐饮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实施地点</w:t>
            </w:r>
          </w:p>
        </w:tc>
        <w:tc>
          <w:tcPr>
            <w:tcW w:w="7029" w:type="dxa"/>
            <w:vAlign w:val="center"/>
          </w:tcPr>
          <w:p>
            <w:pPr>
              <w:autoSpaceDE w:val="0"/>
              <w:autoSpaceDN w:val="0"/>
              <w:adjustRightInd w:val="0"/>
              <w:snapToGrid w:val="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深圳市福华三路深圳会展中心一楼餐饮区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hint="eastAsia" w:ascii="宋体" w:hAnsi="宋体" w:eastAsia="宋体"/>
                <w:szCs w:val="21"/>
                <w:highlight w:val="yellow"/>
                <w:lang w:eastAsia="zh-CN"/>
              </w:rPr>
            </w:pPr>
            <w:r>
              <w:rPr>
                <w:rFonts w:hint="eastAsia" w:ascii="宋体" w:hAnsi="宋体" w:cs="宋体"/>
                <w:color w:val="auto"/>
                <w:kern w:val="0"/>
                <w:sz w:val="21"/>
                <w:szCs w:val="21"/>
              </w:rPr>
              <w:t>合同</w:t>
            </w:r>
            <w:r>
              <w:rPr>
                <w:rFonts w:hint="eastAsia" w:ascii="宋体" w:hAnsi="宋体" w:cs="宋体"/>
                <w:color w:val="auto"/>
                <w:kern w:val="0"/>
                <w:sz w:val="21"/>
                <w:szCs w:val="21"/>
                <w:lang w:val="en-US" w:eastAsia="zh-CN"/>
              </w:rPr>
              <w:t>期限</w:t>
            </w:r>
            <w:r>
              <w:rPr>
                <w:rFonts w:hint="eastAsia" w:ascii="宋体" w:hAnsi="宋体" w:cs="宋体"/>
                <w:color w:val="auto"/>
                <w:kern w:val="0"/>
                <w:sz w:val="21"/>
                <w:szCs w:val="21"/>
              </w:rPr>
              <w:t>截止</w:t>
            </w:r>
            <w:r>
              <w:rPr>
                <w:rFonts w:hint="eastAsia" w:ascii="宋体" w:hAnsi="宋体" w:cs="宋体"/>
                <w:color w:val="auto"/>
                <w:kern w:val="0"/>
                <w:sz w:val="21"/>
                <w:szCs w:val="21"/>
                <w:lang w:val="en-US" w:eastAsia="zh-CN"/>
              </w:rPr>
              <w:t>到2024</w:t>
            </w:r>
            <w:r>
              <w:rPr>
                <w:rFonts w:hint="eastAsia" w:ascii="宋体" w:hAnsi="宋体" w:cs="宋体"/>
                <w:color w:val="auto"/>
                <w:kern w:val="0"/>
                <w:sz w:val="21"/>
                <w:szCs w:val="21"/>
              </w:rPr>
              <w:t>年1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月31日</w:t>
            </w:r>
            <w:r>
              <w:rPr>
                <w:rFonts w:hint="eastAsia" w:ascii="宋体" w:hAnsi="宋体" w:cs="宋体"/>
                <w:color w:val="auto"/>
                <w:kern w:val="0"/>
                <w:sz w:val="21"/>
                <w:szCs w:val="21"/>
                <w:lang w:eastAsia="zh-CN"/>
              </w:rPr>
              <w:t>。</w:t>
            </w:r>
            <w:r>
              <w:rPr>
                <w:rFonts w:hint="default" w:ascii="宋体" w:hAnsi="宋体" w:eastAsia="宋体" w:cs="宋体"/>
                <w:sz w:val="21"/>
                <w:szCs w:val="21"/>
                <w:lang w:val="en-US"/>
              </w:rPr>
              <w:t>在合同期满</w:t>
            </w:r>
            <w:r>
              <w:rPr>
                <w:rFonts w:hint="default" w:ascii="宋体" w:hAnsi="宋体" w:eastAsia="宋体" w:cs="宋体"/>
                <w:sz w:val="21"/>
                <w:szCs w:val="21"/>
                <w:lang w:val="en-US" w:eastAsia="zh-CN"/>
              </w:rPr>
              <w:t>一年</w:t>
            </w:r>
            <w:r>
              <w:rPr>
                <w:rFonts w:hint="default" w:ascii="宋体" w:hAnsi="宋体" w:eastAsia="宋体" w:cs="宋体"/>
                <w:sz w:val="21"/>
                <w:szCs w:val="21"/>
                <w:lang w:val="en-US"/>
              </w:rPr>
              <w:t>前</w:t>
            </w:r>
            <w:r>
              <w:rPr>
                <w:rFonts w:hint="default" w:ascii="宋体" w:hAnsi="宋体" w:eastAsia="宋体" w:cs="宋体"/>
                <w:sz w:val="21"/>
                <w:szCs w:val="21"/>
                <w:lang w:val="en-US" w:eastAsia="zh-CN"/>
              </w:rPr>
              <w:t>一</w:t>
            </w:r>
            <w:r>
              <w:rPr>
                <w:rFonts w:hint="default" w:ascii="宋体" w:hAnsi="宋体" w:eastAsia="宋体" w:cs="宋体"/>
                <w:sz w:val="21"/>
                <w:szCs w:val="21"/>
                <w:lang w:val="en-US"/>
              </w:rPr>
              <w:t>个月</w:t>
            </w:r>
            <w:r>
              <w:rPr>
                <w:rFonts w:hint="eastAsia" w:ascii="宋体" w:hAnsi="宋体" w:eastAsia="宋体" w:cs="宋体"/>
                <w:sz w:val="21"/>
                <w:szCs w:val="21"/>
              </w:rPr>
              <w:t>，甲方根据中选单位的服务质量、各项承诺兑现情况等因素进行考核评估，如考核达到合格（85分以上），则继续履行合同，如考核未达到合格，甲方有权在合同期内提前中止或解除合同。综合考评详见附件一《</w:t>
            </w:r>
            <w:r>
              <w:rPr>
                <w:rFonts w:hint="eastAsia" w:ascii="宋体" w:hAnsi="宋体" w:cs="宋体"/>
                <w:b w:val="0"/>
                <w:bCs w:val="0"/>
                <w:szCs w:val="21"/>
              </w:rPr>
              <w:t>深圳会展中心餐饮广场供应商餐饮服务考评表</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12</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https://cg.szcec.com/sharing/GhPYAlNsV，</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竞标人</w:t>
            </w:r>
            <w:r>
              <w:rPr>
                <w:rFonts w:hint="eastAsia" w:ascii="宋体" w:hAnsi="宋体"/>
                <w:szCs w:val="21"/>
                <w:shd w:val="clear" w:color="auto" w:fill="FFFFFF"/>
              </w:rPr>
              <w:t>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https://cg.szcec.com/sharing/M8YqK7bk2，</w:t>
            </w:r>
            <w:r>
              <w:rPr>
                <w:rFonts w:hint="eastAsia" w:ascii="宋体" w:hAnsi="宋体"/>
                <w:szCs w:val="21"/>
              </w:rPr>
              <w:t>并致电确认</w:t>
            </w:r>
            <w:bookmarkStart w:id="2" w:name="_Toc478393187"/>
            <w:bookmarkStart w:id="3" w:name="_Toc478392822"/>
            <w:bookmarkStart w:id="4" w:name="_Toc47811053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4</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651266028</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w:t>
            </w:r>
            <w:r>
              <w:rPr>
                <w:rFonts w:hint="eastAsia" w:ascii="宋体" w:hAnsi="宋体"/>
                <w:szCs w:val="21"/>
                <w:lang w:eastAsia="zh-CN"/>
              </w:rPr>
              <w:t>竞标人</w:t>
            </w:r>
            <w:r>
              <w:rPr>
                <w:rFonts w:hint="eastAsia" w:ascii="宋体" w:hAnsi="宋体"/>
                <w:szCs w:val="21"/>
              </w:rPr>
              <w:t>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https://cg.szcec.com/sharing/5hdT5J9kf</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w:t>
            </w:r>
            <w:r>
              <w:rPr>
                <w:rFonts w:hint="eastAsia" w:ascii="宋体" w:hAnsi="宋体" w:cstheme="minorBidi"/>
                <w:kern w:val="0"/>
                <w:szCs w:val="21"/>
                <w:lang w:eastAsia="zh-CN"/>
              </w:rPr>
              <w:t>竞标人</w:t>
            </w:r>
            <w:r>
              <w:rPr>
                <w:rFonts w:hint="eastAsia" w:ascii="宋体" w:hAnsi="宋体" w:cstheme="minorBidi"/>
                <w:kern w:val="0"/>
                <w:szCs w:val="21"/>
              </w:rPr>
              <w:t>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lang w:eastAsia="zh-CN"/>
              </w:rPr>
              <w:t>竞标人</w:t>
            </w:r>
            <w:r>
              <w:rPr>
                <w:rFonts w:hint="eastAsia" w:ascii="宋体" w:hAnsi="宋体" w:eastAsia="宋体"/>
                <w:kern w:val="0"/>
                <w:szCs w:val="21"/>
              </w:rPr>
              <w:t>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w:t>
            </w:r>
            <w:r>
              <w:rPr>
                <w:rFonts w:hint="eastAsia" w:ascii="宋体" w:hAnsi="宋体" w:eastAsia="宋体"/>
                <w:kern w:val="0"/>
                <w:szCs w:val="21"/>
                <w:lang w:eastAsia="zh-CN"/>
              </w:rPr>
              <w:t>竞标人</w:t>
            </w:r>
            <w:r>
              <w:rPr>
                <w:rFonts w:hint="eastAsia" w:ascii="宋体" w:hAnsi="宋体" w:eastAsia="宋体"/>
                <w:kern w:val="0"/>
                <w:szCs w:val="21"/>
              </w:rPr>
              <w:t>人员察看现场并讲解项目需求；</w:t>
            </w:r>
            <w:r>
              <w:rPr>
                <w:rFonts w:hint="eastAsia" w:ascii="宋体" w:hAnsi="宋体" w:eastAsia="宋体"/>
                <w:kern w:val="0"/>
                <w:szCs w:val="21"/>
                <w:lang w:eastAsia="zh-CN"/>
              </w:rPr>
              <w:t>竞标人</w:t>
            </w:r>
            <w:r>
              <w:rPr>
                <w:rFonts w:hint="eastAsia" w:ascii="宋体" w:hAnsi="宋体" w:eastAsia="宋体"/>
                <w:kern w:val="0"/>
                <w:szCs w:val="21"/>
              </w:rPr>
              <w:t>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lang w:eastAsia="zh-CN"/>
              </w:rPr>
              <w:t>竞标人</w:t>
            </w:r>
            <w:r>
              <w:rPr>
                <w:rFonts w:hint="eastAsia" w:ascii="宋体" w:hAnsi="宋体" w:eastAsia="宋体"/>
                <w:kern w:val="0"/>
                <w:szCs w:val="21"/>
              </w:rPr>
              <w:t>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w:t>
            </w:r>
            <w:r>
              <w:rPr>
                <w:rFonts w:hint="eastAsia" w:ascii="宋体" w:hAnsi="宋体" w:eastAsia="宋体"/>
                <w:kern w:val="0"/>
                <w:szCs w:val="21"/>
                <w:lang w:eastAsia="zh-CN"/>
              </w:rPr>
              <w:t>竞标人</w:t>
            </w:r>
            <w:r>
              <w:rPr>
                <w:rFonts w:hint="eastAsia" w:ascii="宋体" w:hAnsi="宋体" w:eastAsia="宋体"/>
                <w:kern w:val="0"/>
                <w:szCs w:val="21"/>
              </w:rPr>
              <w:t>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lang w:eastAsia="zh-CN"/>
              </w:rPr>
              <w:t>竞标人</w:t>
            </w:r>
            <w:r>
              <w:rPr>
                <w:rFonts w:hint="eastAsia" w:ascii="宋体" w:hAnsi="宋体" w:eastAsia="宋体"/>
                <w:kern w:val="0"/>
              </w:rPr>
              <w:t>须至少提前一天与踏勘联系人预约。否则，将可能导致</w:t>
            </w:r>
            <w:r>
              <w:rPr>
                <w:rFonts w:hint="eastAsia" w:ascii="宋体" w:hAnsi="宋体" w:eastAsia="宋体"/>
                <w:kern w:val="0"/>
                <w:lang w:eastAsia="zh-CN"/>
              </w:rPr>
              <w:t>竞标人</w:t>
            </w:r>
            <w:r>
              <w:rPr>
                <w:rFonts w:hint="eastAsia" w:ascii="宋体" w:hAnsi="宋体" w:eastAsia="宋体"/>
                <w:kern w:val="0"/>
              </w:rPr>
              <w:t>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u w:val="single"/>
                <w:lang w:val="en-US" w:eastAsia="zh-CN"/>
              </w:rPr>
              <w:t>100000</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lang w:eastAsia="zh-CN"/>
              </w:rPr>
              <w:t>竞标人</w:t>
            </w:r>
            <w:r>
              <w:rPr>
                <w:rFonts w:hint="eastAsia" w:ascii="宋体" w:hAnsi="宋体" w:eastAsia="宋体" w:cs="Segoe UI Symbol"/>
                <w:kern w:val="0"/>
                <w:szCs w:val="21"/>
              </w:rPr>
              <w:t>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w:t>
            </w:r>
            <w:r>
              <w:rPr>
                <w:rFonts w:hint="eastAsia" w:ascii="宋体" w:hAnsi="宋体" w:eastAsia="宋体" w:cs="Segoe UI Symbol"/>
                <w:kern w:val="0"/>
                <w:szCs w:val="21"/>
                <w:lang w:eastAsia="zh-CN"/>
              </w:rPr>
              <w:t>竞标人</w:t>
            </w:r>
            <w:r>
              <w:rPr>
                <w:rFonts w:hint="eastAsia" w:ascii="宋体" w:hAnsi="宋体" w:eastAsia="宋体" w:cs="Segoe UI Symbol"/>
                <w:kern w:val="0"/>
                <w:szCs w:val="21"/>
              </w:rPr>
              <w:t>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经营范围</w:t>
            </w:r>
          </w:p>
        </w:tc>
        <w:tc>
          <w:tcPr>
            <w:tcW w:w="7029" w:type="dxa"/>
            <w:vAlign w:val="center"/>
          </w:tcPr>
          <w:p>
            <w:pPr>
              <w:autoSpaceDE w:val="0"/>
              <w:autoSpaceDN w:val="0"/>
              <w:adjustRightInd w:val="0"/>
              <w:snapToGrid w:val="0"/>
              <w:jc w:val="left"/>
              <w:rPr>
                <w:rFonts w:ascii="宋体" w:hAnsi="宋体" w:eastAsia="宋体" w:cs="Times New Roman"/>
                <w:color w:val="auto"/>
                <w:kern w:val="2"/>
                <w:sz w:val="21"/>
                <w:szCs w:val="21"/>
                <w:highlight w:val="none"/>
                <w:u w:val="single"/>
                <w:lang w:val="en-US" w:eastAsia="zh-CN" w:bidi="ar-SA"/>
              </w:rPr>
            </w:pPr>
            <w:r>
              <w:rPr>
                <w:rFonts w:hint="eastAsia" w:ascii="宋体" w:hAnsi="宋体" w:cs="宋体"/>
                <w:color w:val="auto"/>
                <w:kern w:val="0"/>
                <w:szCs w:val="21"/>
                <w:highlight w:val="none"/>
                <w:lang w:val="en-US" w:eastAsia="zh-CN"/>
              </w:rPr>
              <w:t>粉面、休闲美食、高端商务餐等特色餐饮。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lang w:val="en-US" w:eastAsia="zh-CN"/>
              </w:rPr>
              <w:t>每个铺位1</w:t>
            </w:r>
            <w:r>
              <w:rPr>
                <w:rFonts w:hint="eastAsia" w:ascii="宋体" w:hAnsi="宋体" w:cs="Segoe UI Symbol"/>
                <w:color w:val="auto"/>
                <w:kern w:val="0"/>
                <w:szCs w:val="21"/>
                <w:highlight w:val="none"/>
                <w:u w:val="single"/>
              </w:rPr>
              <w:t xml:space="preserve">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16</w:t>
            </w:r>
          </w:p>
        </w:tc>
        <w:tc>
          <w:tcPr>
            <w:tcW w:w="1990" w:type="dxa"/>
            <w:vAlign w:val="center"/>
          </w:tcPr>
          <w:p>
            <w:pPr>
              <w:widowControl/>
              <w:suppressLineNumbers/>
              <w:suppressAutoHyphens/>
              <w:topLinePunct/>
              <w:adjustRightInd w:val="0"/>
              <w:snapToGrid w:val="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竞标人</w:t>
            </w:r>
          </w:p>
          <w:p>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资格条件</w:t>
            </w:r>
          </w:p>
        </w:tc>
        <w:tc>
          <w:tcPr>
            <w:tcW w:w="7029" w:type="dxa"/>
            <w:vAlign w:val="center"/>
          </w:tcPr>
          <w:p>
            <w:pPr>
              <w:widowControl/>
              <w:suppressLineNumbers/>
              <w:suppressAutoHyphens/>
              <w:topLinePunct/>
              <w:adjustRightInd w:val="0"/>
              <w:snapToGrid w:val="0"/>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1、同一竞标人只能在其中一个铺位中选。如竞标人申请多个铺位，并在其中一个铺位中选，则自动丧失后面铺位的竞标资格，其竞标报价和竞标文件视为无效；</w:t>
            </w:r>
            <w:r>
              <w:rPr>
                <w:rFonts w:hint="eastAsia" w:ascii="宋体" w:hAnsi="宋体" w:cs="宋体"/>
                <w:color w:val="auto"/>
                <w:kern w:val="0"/>
                <w:szCs w:val="21"/>
                <w:highlight w:val="none"/>
                <w:lang w:val="en-US" w:eastAsia="zh-CN"/>
              </w:rPr>
              <w:t>2021年7月7日</w:t>
            </w:r>
            <w:r>
              <w:rPr>
                <w:rFonts w:hint="eastAsia" w:ascii="宋体" w:hAnsi="宋体" w:cs="宋体"/>
                <w:color w:val="auto"/>
                <w:kern w:val="0"/>
                <w:szCs w:val="21"/>
                <w:highlight w:val="none"/>
              </w:rPr>
              <w:t>已签订租赁合同，合同期未满中途退租的单位不允许参加本次公开竞标。本项目评标顺序详见本公告现场竞标须知。</w:t>
            </w:r>
          </w:p>
          <w:p>
            <w:pPr>
              <w:widowControl/>
              <w:suppressLineNumbers/>
              <w:suppressAutoHyphens/>
              <w:topLinePunct/>
              <w:adjustRightInd w:val="0"/>
              <w:snapToGrid w:val="0"/>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2、同一品牌不同法人只允许一家法人主体参与本项目投标。竞标人需提供品牌商针对本项目投标的授权书，加盖品牌商公章。</w:t>
            </w:r>
          </w:p>
          <w:p>
            <w:pPr>
              <w:autoSpaceDE w:val="0"/>
              <w:autoSpaceDN w:val="0"/>
              <w:adjustRightInd w:val="0"/>
              <w:snapToGrid w:val="0"/>
              <w:rPr>
                <w:rFonts w:hint="eastAsia" w:ascii="宋体" w:hAnsi="宋体" w:cs="Segoe UI Symbo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w:t>
            </w:r>
          </w:p>
        </w:tc>
        <w:tc>
          <w:tcPr>
            <w:tcW w:w="1990" w:type="dxa"/>
            <w:vAlign w:val="center"/>
          </w:tcPr>
          <w:p>
            <w:pPr>
              <w:autoSpaceDE w:val="0"/>
              <w:autoSpaceDN w:val="0"/>
              <w:adjustRightInd w:val="0"/>
              <w:snapToGrid w:val="0"/>
              <w:jc w:val="center"/>
              <w:rPr>
                <w:rFonts w:hint="eastAsia" w:ascii="宋体" w:hAnsi="宋体" w:cs="宋体"/>
                <w:color w:val="auto"/>
                <w:kern w:val="0"/>
                <w:szCs w:val="21"/>
                <w:highlight w:val="none"/>
              </w:rPr>
            </w:pPr>
            <w:r>
              <w:rPr>
                <w:rFonts w:hint="eastAsia" w:ascii="宋体" w:hAnsi="宋体"/>
                <w:color w:val="auto"/>
                <w:sz w:val="21"/>
                <w:szCs w:val="21"/>
                <w:highlight w:val="none"/>
              </w:rPr>
              <w:t>公开竞标、协议租赁及重新招租</w:t>
            </w:r>
          </w:p>
        </w:tc>
        <w:tc>
          <w:tcPr>
            <w:tcW w:w="7029" w:type="dxa"/>
            <w:vAlign w:val="center"/>
          </w:tcPr>
          <w:p>
            <w:pPr>
              <w:numPr>
                <w:ilvl w:val="0"/>
                <w:numId w:val="9"/>
              </w:numPr>
              <w:autoSpaceDE w:val="0"/>
              <w:autoSpaceDN w:val="0"/>
              <w:adjustRightInd w:val="0"/>
              <w:snapToGrid w:val="0"/>
              <w:ind w:left="425" w:hanging="425"/>
              <w:rPr>
                <w:rFonts w:hint="eastAsia" w:ascii="宋体" w:hAnsi="宋体" w:cs="Segoe UI Symbol"/>
                <w:color w:val="auto"/>
                <w:kern w:val="0"/>
                <w:szCs w:val="21"/>
                <w:highlight w:val="none"/>
              </w:rPr>
            </w:pPr>
            <w:r>
              <w:rPr>
                <w:rFonts w:hint="eastAsia" w:ascii="宋体" w:hAnsi="宋体"/>
                <w:color w:val="auto"/>
                <w:szCs w:val="21"/>
                <w:highlight w:val="none"/>
              </w:rPr>
              <w:t>经公开招租有二个以上符合条件的报名者的，项目采用公开竞标方式进行。</w:t>
            </w:r>
          </w:p>
          <w:p>
            <w:pPr>
              <w:numPr>
                <w:ilvl w:val="0"/>
                <w:numId w:val="9"/>
              </w:numPr>
              <w:autoSpaceDE w:val="0"/>
              <w:autoSpaceDN w:val="0"/>
              <w:adjustRightInd w:val="0"/>
              <w:snapToGrid w:val="0"/>
              <w:ind w:left="425" w:hanging="425"/>
              <w:rPr>
                <w:rFonts w:hint="eastAsia" w:ascii="宋体" w:hAnsi="宋体" w:cs="Segoe UI Symbol"/>
                <w:color w:val="auto"/>
                <w:kern w:val="0"/>
                <w:szCs w:val="21"/>
                <w:highlight w:val="none"/>
              </w:rPr>
            </w:pPr>
            <w:r>
              <w:rPr>
                <w:rFonts w:hint="eastAsia" w:ascii="宋体" w:hAnsi="宋体"/>
                <w:color w:val="auto"/>
                <w:szCs w:val="21"/>
                <w:highlight w:val="none"/>
              </w:rPr>
              <w:t>经公开招租只有一个符合条件的报名者，经直管企业批准后，可以采取协议租赁方式，并按规定公示5个工作日后无异议方可实施，但租金标准仍不得低于原招租底价。</w:t>
            </w:r>
          </w:p>
          <w:p>
            <w:pPr>
              <w:numPr>
                <w:ilvl w:val="0"/>
                <w:numId w:val="9"/>
              </w:numPr>
              <w:autoSpaceDE w:val="0"/>
              <w:autoSpaceDN w:val="0"/>
              <w:adjustRightInd w:val="0"/>
              <w:snapToGrid w:val="0"/>
              <w:ind w:left="425" w:hanging="425"/>
              <w:rPr>
                <w:rFonts w:hint="eastAsia" w:ascii="宋体" w:hAnsi="宋体" w:cs="Segoe UI Symbol"/>
                <w:color w:val="auto"/>
                <w:kern w:val="0"/>
                <w:szCs w:val="21"/>
                <w:highlight w:val="none"/>
              </w:rPr>
            </w:pPr>
            <w:r>
              <w:rPr>
                <w:rFonts w:hint="eastAsia" w:ascii="宋体" w:hAnsi="宋体"/>
                <w:color w:val="auto"/>
                <w:szCs w:val="21"/>
                <w:highlight w:val="none"/>
              </w:rPr>
              <w:t>经公开招租无报名者，经原决策机构批准，可按不低于出租底价90%的价格重新公开招租。</w:t>
            </w:r>
          </w:p>
        </w:tc>
      </w:tr>
    </w:tbl>
    <w:p>
      <w:pPr>
        <w:numPr>
          <w:ilvl w:val="0"/>
          <w:numId w:val="1"/>
        </w:numPr>
        <w:spacing w:line="560" w:lineRule="exact"/>
        <w:outlineLvl w:val="1"/>
        <w:rPr>
          <w:rFonts w:ascii="宋体" w:hAnsi="宋体"/>
          <w:b/>
          <w:color w:val="auto"/>
          <w:szCs w:val="21"/>
          <w:highlight w:val="none"/>
        </w:rPr>
      </w:pPr>
      <w:bookmarkStart w:id="6" w:name="_Toc82591928"/>
      <w:bookmarkEnd w:id="6"/>
      <w:bookmarkStart w:id="7" w:name="_Toc82684705"/>
      <w:bookmarkEnd w:id="7"/>
      <w:bookmarkStart w:id="8" w:name="_Toc82684590"/>
      <w:bookmarkEnd w:id="8"/>
      <w:bookmarkStart w:id="9" w:name="_Toc82591927"/>
      <w:bookmarkEnd w:id="9"/>
      <w:bookmarkStart w:id="10" w:name="_Toc82591925"/>
      <w:bookmarkEnd w:id="10"/>
      <w:bookmarkStart w:id="11" w:name="_Toc82684704"/>
      <w:bookmarkEnd w:id="11"/>
      <w:bookmarkStart w:id="12" w:name="_Toc82684703"/>
      <w:bookmarkEnd w:id="12"/>
      <w:bookmarkStart w:id="13" w:name="_Toc82685541"/>
      <w:bookmarkEnd w:id="13"/>
      <w:bookmarkStart w:id="14" w:name="_Toc82685543"/>
      <w:bookmarkEnd w:id="14"/>
      <w:bookmarkStart w:id="15" w:name="_Toc82591926"/>
      <w:bookmarkEnd w:id="15"/>
      <w:bookmarkStart w:id="16" w:name="_Toc82684588"/>
      <w:bookmarkEnd w:id="16"/>
      <w:bookmarkStart w:id="17" w:name="_Toc82684589"/>
      <w:bookmarkEnd w:id="17"/>
      <w:bookmarkStart w:id="18" w:name="_Toc82684591"/>
      <w:bookmarkEnd w:id="18"/>
      <w:bookmarkStart w:id="19" w:name="_Toc82685542"/>
      <w:bookmarkEnd w:id="19"/>
      <w:bookmarkStart w:id="20" w:name="_Toc82684706"/>
      <w:bookmarkEnd w:id="20"/>
      <w:bookmarkStart w:id="21" w:name="_Toc82685540"/>
      <w:bookmarkEnd w:id="21"/>
      <w:bookmarkStart w:id="22" w:name="_Toc116550346"/>
      <w:r>
        <w:rPr>
          <w:rFonts w:hint="eastAsia" w:ascii="宋体" w:hAnsi="宋体"/>
          <w:b/>
          <w:color w:val="auto"/>
          <w:szCs w:val="21"/>
          <w:highlight w:val="none"/>
        </w:rPr>
        <w:t>特别说明</w:t>
      </w:r>
      <w:bookmarkEnd w:id="22"/>
    </w:p>
    <w:p>
      <w:pPr>
        <w:pStyle w:val="22"/>
        <w:numPr>
          <w:ilvl w:val="0"/>
          <w:numId w:val="10"/>
        </w:numPr>
        <w:spacing w:line="360" w:lineRule="auto"/>
        <w:ind w:left="0" w:firstLine="420" w:firstLineChars="0"/>
        <w:rPr>
          <w:rFonts w:ascii="宋体" w:hAnsi="宋体" w:eastAsia="宋体" w:cs="宋体"/>
          <w:szCs w:val="21"/>
        </w:rPr>
      </w:pPr>
      <w:bookmarkStart w:id="23" w:name="_Toc517278751"/>
      <w:bookmarkStart w:id="24" w:name="_Toc478387747"/>
      <w:bookmarkStart w:id="25" w:name="_Toc45028463"/>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必须具备开展视频会议所需的基本网络设备及网络环境，</w:t>
      </w:r>
      <w:r>
        <w:rPr>
          <w:rFonts w:hint="eastAsia" w:ascii="宋体" w:hAnsi="宋体" w:eastAsia="宋体" w:cs="宋体"/>
          <w:b/>
          <w:bCs/>
          <w:color w:val="auto"/>
          <w:szCs w:val="21"/>
          <w:highlight w:val="none"/>
        </w:rPr>
        <w:t>视频会议期间禁止</w:t>
      </w:r>
      <w:r>
        <w:rPr>
          <w:rFonts w:hint="eastAsia" w:ascii="宋体" w:hAnsi="宋体" w:eastAsia="宋体" w:cs="宋体"/>
          <w:b/>
          <w:bCs/>
          <w:color w:val="FF0000"/>
          <w:szCs w:val="21"/>
        </w:rPr>
        <w:t>使用虚拟背景</w:t>
      </w:r>
      <w:r>
        <w:rPr>
          <w:rFonts w:hint="eastAsia" w:ascii="宋体" w:hAnsi="宋体" w:eastAsia="宋体" w:cs="宋体"/>
          <w:szCs w:val="21"/>
        </w:rPr>
        <w:t>。</w:t>
      </w:r>
      <w:r>
        <w:rPr>
          <w:rFonts w:hint="eastAsia" w:ascii="宋体" w:hAnsi="宋体" w:eastAsia="宋体" w:cs="宋体"/>
          <w:szCs w:val="21"/>
          <w:lang w:eastAsia="zh-CN"/>
        </w:rPr>
        <w:t>竞标人</w:t>
      </w:r>
      <w:r>
        <w:rPr>
          <w:rFonts w:hint="eastAsia" w:ascii="宋体" w:hAnsi="宋体" w:eastAsia="宋体" w:cs="宋体"/>
          <w:szCs w:val="21"/>
        </w:rPr>
        <w:t>应自行承担因不具备上述条件或网络环境不佳而导致的无法按要求正常参与本项目开标工作的后果，亦不得因此对本项目招标结果提出异议。</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eastAsia="zh-CN"/>
        </w:rPr>
        <w:t>竞标人</w:t>
      </w:r>
      <w:r>
        <w:rPr>
          <w:rFonts w:hint="eastAsia" w:ascii="宋体" w:hAnsi="宋体" w:eastAsia="宋体" w:cs="宋体"/>
          <w:szCs w:val="21"/>
        </w:rPr>
        <w:t>无需交纳投标保证金。如有意参与本项目投标，请在招标公告规定的报名截止时间前，按照要求的方式提交报名回函并致电确认，招标人只接受报名成功的</w:t>
      </w:r>
      <w:r>
        <w:rPr>
          <w:rFonts w:hint="eastAsia" w:ascii="宋体" w:hAnsi="宋体" w:eastAsia="宋体" w:cs="宋体"/>
          <w:szCs w:val="21"/>
          <w:lang w:eastAsia="zh-CN"/>
        </w:rPr>
        <w:t>竞标人</w:t>
      </w:r>
      <w:r>
        <w:rPr>
          <w:rFonts w:hint="eastAsia" w:ascii="宋体" w:hAnsi="宋体" w:eastAsia="宋体" w:cs="宋体"/>
          <w:szCs w:val="21"/>
        </w:rPr>
        <w:t>参加投标。</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lang w:eastAsia="zh-CN"/>
        </w:rPr>
        <w:t>竞标人</w:t>
      </w:r>
      <w:r>
        <w:rPr>
          <w:rFonts w:hint="eastAsia" w:ascii="宋体" w:hAnsi="宋体" w:eastAsia="宋体" w:cs="宋体"/>
          <w:szCs w:val="21"/>
        </w:rPr>
        <w:t>如对获取的“招标文件”有疑问，须在质疑时间截止前，以书面形式（加盖单位公章）向招标人提出，招标人将视情况采用书面或其他形式予以答复或澄清；若</w:t>
      </w:r>
      <w:r>
        <w:rPr>
          <w:rFonts w:hint="eastAsia" w:ascii="宋体" w:hAnsi="宋体" w:eastAsia="宋体" w:cs="宋体"/>
          <w:szCs w:val="21"/>
          <w:lang w:eastAsia="zh-CN"/>
        </w:rPr>
        <w:t>竞标人</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竞标人</w:t>
      </w:r>
      <w:r>
        <w:rPr>
          <w:rFonts w:hint="eastAsia" w:ascii="宋体" w:hAnsi="宋体" w:eastAsia="宋体" w:cs="宋体"/>
          <w:szCs w:val="21"/>
        </w:rPr>
        <w:t>已完全理解并接受“招标文件”上载明的所有内容，并不再对“招标文件”提出任何异议或质疑。</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w:t>
      </w:r>
      <w:r>
        <w:rPr>
          <w:rFonts w:hint="eastAsia" w:ascii="宋体" w:hAnsi="宋体" w:eastAsia="宋体" w:cs="宋体"/>
          <w:szCs w:val="21"/>
          <w:lang w:eastAsia="zh-CN"/>
        </w:rPr>
        <w:t>竞标人</w:t>
      </w:r>
      <w:r>
        <w:rPr>
          <w:rFonts w:hint="eastAsia" w:ascii="宋体" w:hAnsi="宋体" w:eastAsia="宋体" w:cs="宋体"/>
          <w:szCs w:val="21"/>
        </w:rPr>
        <w:t>。收到上述通知后，潜在</w:t>
      </w:r>
      <w:r>
        <w:rPr>
          <w:rFonts w:hint="eastAsia" w:ascii="宋体" w:hAnsi="宋体" w:eastAsia="宋体" w:cs="宋体"/>
          <w:szCs w:val="21"/>
          <w:lang w:eastAsia="zh-CN"/>
        </w:rPr>
        <w:t>竞标人</w:t>
      </w:r>
      <w:r>
        <w:rPr>
          <w:rFonts w:hint="eastAsia" w:ascii="宋体" w:hAnsi="宋体" w:eastAsia="宋体" w:cs="宋体"/>
          <w:szCs w:val="21"/>
        </w:rPr>
        <w:t>应立即向招标人回函确认。如无回函确认，即视为潜在</w:t>
      </w:r>
      <w:r>
        <w:rPr>
          <w:rFonts w:hint="eastAsia" w:ascii="宋体" w:hAnsi="宋体" w:eastAsia="宋体" w:cs="宋体"/>
          <w:szCs w:val="21"/>
          <w:lang w:eastAsia="zh-CN"/>
        </w:rPr>
        <w:t>竞标人</w:t>
      </w:r>
      <w:r>
        <w:rPr>
          <w:rFonts w:hint="eastAsia" w:ascii="宋体" w:hAnsi="宋体" w:eastAsia="宋体" w:cs="宋体"/>
          <w:szCs w:val="21"/>
        </w:rPr>
        <w:t>已知晓相关变更、补充或澄清内容且无异议。</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684593"/>
      <w:bookmarkEnd w:id="26"/>
      <w:bookmarkStart w:id="27" w:name="_Toc82591987"/>
      <w:bookmarkEnd w:id="27"/>
      <w:bookmarkStart w:id="28" w:name="_Toc82591985"/>
      <w:bookmarkEnd w:id="28"/>
      <w:bookmarkStart w:id="29" w:name="_Toc82685545"/>
      <w:bookmarkEnd w:id="29"/>
      <w:bookmarkStart w:id="30" w:name="_Toc82591988"/>
      <w:bookmarkEnd w:id="30"/>
      <w:bookmarkStart w:id="31" w:name="_Toc82591986"/>
      <w:bookmarkEnd w:id="31"/>
      <w:bookmarkStart w:id="32" w:name="_Toc82591930"/>
      <w:bookmarkEnd w:id="32"/>
      <w:bookmarkStart w:id="33" w:name="_Toc82684708"/>
      <w:bookmarkEnd w:id="33"/>
      <w:bookmarkStart w:id="34" w:name="_Toc82591989"/>
      <w:bookmarkEnd w:id="34"/>
      <w:bookmarkStart w:id="35" w:name="_Toc116550347"/>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w:t>
            </w:r>
            <w:r>
              <w:rPr>
                <w:rFonts w:hint="eastAsia" w:ascii="宋体" w:hAnsi="宋体" w:cs="Courier New"/>
                <w:kern w:val="0"/>
                <w:szCs w:val="21"/>
                <w:lang w:eastAsia="zh-CN"/>
              </w:rPr>
              <w:t>竞标人</w:t>
            </w:r>
            <w:r>
              <w:rPr>
                <w:rFonts w:hint="eastAsia" w:ascii="宋体" w:hAnsi="宋体" w:cs="Courier New"/>
                <w:kern w:val="0"/>
                <w:szCs w:val="21"/>
              </w:rPr>
              <w:t>股东关系构成表</w:t>
            </w:r>
          </w:p>
          <w:p>
            <w:pPr>
              <w:autoSpaceDE w:val="0"/>
              <w:autoSpaceDN w:val="0"/>
              <w:adjustRightInd w:val="0"/>
              <w:snapToGrid w:val="0"/>
              <w:jc w:val="left"/>
              <w:rPr>
                <w:rFonts w:hint="eastAsia" w:ascii="宋体" w:hAnsi="宋体"/>
                <w:szCs w:val="21"/>
              </w:rPr>
            </w:pPr>
            <w:r>
              <w:rPr>
                <w:rFonts w:hint="eastAsia" w:ascii="宋体" w:hAnsi="宋体"/>
                <w:snapToGrid w:val="0"/>
                <w:kern w:val="0"/>
                <w:szCs w:val="21"/>
              </w:rPr>
              <w:sym w:font="Wingdings 2" w:char="0052"/>
            </w:r>
            <w:r>
              <w:rPr>
                <w:rFonts w:hint="eastAsia" w:ascii="宋体" w:hAnsi="宋体"/>
                <w:szCs w:val="21"/>
              </w:rPr>
              <w:t>其他：</w:t>
            </w:r>
          </w:p>
          <w:p>
            <w:pPr>
              <w:widowControl/>
              <w:suppressLineNumbers/>
              <w:suppressAutoHyphens/>
              <w:topLinePunct/>
              <w:adjustRightInd w:val="0"/>
              <w:snapToGrid w:val="0"/>
              <w:spacing w:line="360" w:lineRule="auto"/>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val="en-US" w:eastAsia="zh-CN"/>
                <w14:textFill>
                  <w14:solidFill>
                    <w14:schemeClr w14:val="tx1"/>
                  </w14:solidFill>
                </w14:textFill>
              </w:rPr>
              <w:t>食品</w:t>
            </w:r>
            <w:r>
              <w:rPr>
                <w:rFonts w:hint="eastAsia" w:ascii="宋体" w:hAnsi="宋体" w:cs="宋体"/>
                <w:color w:val="000000" w:themeColor="text1"/>
                <w:kern w:val="0"/>
                <w:szCs w:val="21"/>
                <w14:textFill>
                  <w14:solidFill>
                    <w14:schemeClr w14:val="tx1"/>
                  </w14:solidFill>
                </w14:textFill>
              </w:rPr>
              <w:t>经营许可证复印件并加盖公章；</w:t>
            </w:r>
          </w:p>
          <w:p>
            <w:pPr>
              <w:widowControl/>
              <w:suppressLineNumbers/>
              <w:suppressAutoHyphens/>
              <w:topLinePunct/>
              <w:adjustRightInd w:val="0"/>
              <w:snapToGrid w:val="0"/>
              <w:spacing w:line="360" w:lineRule="auto"/>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.提供</w:t>
            </w:r>
            <w:r>
              <w:rPr>
                <w:rFonts w:hint="eastAsia"/>
              </w:rPr>
              <w:t>三年内无</w:t>
            </w:r>
            <w:r>
              <w:rPr>
                <w:rFonts w:hint="eastAsia"/>
                <w:lang w:val="en-US" w:eastAsia="zh-CN"/>
              </w:rPr>
              <w:t>较</w:t>
            </w:r>
            <w:r>
              <w:rPr>
                <w:rFonts w:hint="eastAsia"/>
              </w:rPr>
              <w:t>大食品安全事故保证书</w:t>
            </w:r>
            <w:r>
              <w:rPr>
                <w:rFonts w:hint="eastAsia" w:ascii="宋体" w:hAnsi="宋体" w:cs="宋体"/>
                <w:color w:val="000000" w:themeColor="text1"/>
                <w:kern w:val="0"/>
                <w:szCs w:val="21"/>
                <w14:textFill>
                  <w14:solidFill>
                    <w14:schemeClr w14:val="tx1"/>
                  </w14:solidFill>
                </w14:textFill>
              </w:rPr>
              <w:t>并加盖公章，格式自拟；</w:t>
            </w:r>
          </w:p>
          <w:p>
            <w:pPr>
              <w:autoSpaceDE w:val="0"/>
              <w:autoSpaceDN w:val="0"/>
              <w:adjustRightInd w:val="0"/>
              <w:snapToGrid w:val="0"/>
              <w:jc w:val="left"/>
              <w:rPr>
                <w:rFonts w:ascii="宋体" w:hAnsi="宋体" w:cs="Courier New"/>
                <w:kern w:val="0"/>
                <w:szCs w:val="21"/>
              </w:rPr>
            </w:pP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.提供所必需的设施设备购买凭证(包括最少3台POS机)。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1" w:firstLine="0"/>
              <w:rPr>
                <w:rFonts w:ascii="宋体"/>
              </w:rPr>
            </w:pPr>
            <w:r>
              <w:rPr>
                <w:rFonts w:hint="eastAsia" w:ascii="宋体" w:hAnsi="宋体" w:cs="仿宋_GB2312"/>
                <w:szCs w:val="21"/>
                <w:lang w:eastAsia="zh-CN"/>
              </w:rPr>
              <w:t>竞标人</w:t>
            </w:r>
            <w:r>
              <w:rPr>
                <w:rFonts w:hint="eastAsia" w:ascii="宋体" w:hAnsi="宋体" w:cs="仿宋_GB2312"/>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竞标人</w:t>
            </w:r>
            <w:r>
              <w:rPr>
                <w:rFonts w:hint="eastAsia" w:ascii="宋体" w:hAnsi="宋体" w:cs="仿宋_GB2312"/>
                <w:szCs w:val="21"/>
              </w:rPr>
              <w:t>公章。被列入失信主体、经营异常的，将被拒绝参与本项目的采购活动。）</w:t>
            </w:r>
          </w:p>
          <w:p>
            <w:pPr>
              <w:numPr>
                <w:ilvl w:val="0"/>
                <w:numId w:val="0"/>
              </w:numPr>
              <w:tabs>
                <w:tab w:val="left" w:pos="531"/>
              </w:tabs>
              <w:snapToGrid w:val="0"/>
              <w:ind w:leftChars="0"/>
            </w:pPr>
            <w:r>
              <w:rPr>
                <w:rFonts w:hint="eastAsia"/>
                <w:lang w:eastAsia="zh-CN"/>
              </w:rPr>
              <w:t>（</w:t>
            </w:r>
            <w:r>
              <w:rPr>
                <w:rFonts w:hint="eastAsia"/>
                <w:lang w:val="en-US" w:eastAsia="zh-CN"/>
              </w:rPr>
              <w:t>2）</w:t>
            </w:r>
            <w:r>
              <w:rPr>
                <w:rFonts w:hint="eastAsia"/>
                <w:lang w:eastAsia="zh-CN"/>
              </w:rPr>
              <w:t>竞标人</w:t>
            </w:r>
            <w:r>
              <w:rPr>
                <w:rFonts w:hint="eastAsia"/>
              </w:rPr>
              <w:t>代表必须是</w:t>
            </w:r>
            <w:r>
              <w:rPr>
                <w:rFonts w:hint="eastAsia"/>
                <w:lang w:eastAsia="zh-CN"/>
              </w:rPr>
              <w:t>竞标人</w:t>
            </w:r>
            <w:r>
              <w:rPr>
                <w:rFonts w:hint="eastAsia"/>
              </w:rPr>
              <w:t>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0"/>
              </w:numPr>
              <w:bidi w:val="0"/>
              <w:rPr>
                <w:rFonts w:hint="eastAsia"/>
              </w:rPr>
            </w:pPr>
            <w:r>
              <w:rPr>
                <w:rFonts w:hint="eastAsia"/>
                <w:lang w:val="en-US" w:eastAsia="zh-CN"/>
              </w:rPr>
              <w:t>（3）竞标人</w:t>
            </w:r>
            <w:r>
              <w:rPr>
                <w:rFonts w:hint="eastAsia"/>
              </w:rPr>
              <w:t>具</w:t>
            </w:r>
            <w:r>
              <w:rPr>
                <w:rFonts w:hint="eastAsia"/>
                <w:lang w:val="en-US" w:eastAsia="zh-CN"/>
              </w:rPr>
              <w:t>有</w:t>
            </w:r>
            <w:r>
              <w:rPr>
                <w:rFonts w:hint="eastAsia"/>
              </w:rPr>
              <w:t>食品经营许可证。提供</w:t>
            </w:r>
            <w:r>
              <w:rPr>
                <w:rFonts w:hint="eastAsia"/>
                <w:lang w:val="en-US" w:eastAsia="zh-CN"/>
              </w:rPr>
              <w:t>食品</w:t>
            </w:r>
            <w:r>
              <w:rPr>
                <w:rFonts w:hint="eastAsia"/>
              </w:rPr>
              <w:t>经营许可证复印件并加盖</w:t>
            </w:r>
            <w:r>
              <w:rPr>
                <w:rFonts w:hint="eastAsia"/>
                <w:lang w:val="en-US" w:eastAsia="zh-CN"/>
              </w:rPr>
              <w:t>竞标人</w:t>
            </w:r>
            <w:r>
              <w:rPr>
                <w:rFonts w:hint="eastAsia"/>
              </w:rPr>
              <w:t>公章</w:t>
            </w:r>
            <w:r>
              <w:rPr>
                <w:rFonts w:hint="eastAsia"/>
                <w:lang w:eastAsia="zh-CN"/>
              </w:rPr>
              <w:t>。</w:t>
            </w:r>
          </w:p>
          <w:p>
            <w:pPr>
              <w:numPr>
                <w:ilvl w:val="0"/>
                <w:numId w:val="0"/>
              </w:numPr>
              <w:bidi w:val="0"/>
              <w:ind w:leftChars="0"/>
              <w:rPr>
                <w:rFonts w:hint="eastAsia"/>
                <w:lang w:val="en-US" w:eastAsia="zh-CN"/>
              </w:rPr>
            </w:pPr>
            <w:r>
              <w:rPr>
                <w:rFonts w:hint="eastAsia"/>
                <w:lang w:val="en-US" w:eastAsia="zh-CN"/>
              </w:rPr>
              <w:t>（4）竞标人</w:t>
            </w:r>
            <w:r>
              <w:rPr>
                <w:rFonts w:hint="eastAsia"/>
              </w:rPr>
              <w:t>承诺没有处于被责令停业、投标资格被取消、财产被接管、冻结，破产状态；在最近三年内餐饮服务保障中无任何食品安全方面的不良记录声明（提供三年内无</w:t>
            </w:r>
            <w:r>
              <w:rPr>
                <w:rFonts w:hint="eastAsia"/>
                <w:lang w:val="en-US" w:eastAsia="zh-CN"/>
              </w:rPr>
              <w:t>较</w:t>
            </w:r>
            <w:r>
              <w:rPr>
                <w:rFonts w:hint="eastAsia"/>
              </w:rPr>
              <w:t>大食品安全事故保证书，并加盖公章）。</w:t>
            </w:r>
          </w:p>
          <w:p>
            <w:pPr>
              <w:numPr>
                <w:ilvl w:val="0"/>
                <w:numId w:val="0"/>
              </w:numPr>
              <w:bidi w:val="0"/>
              <w:ind w:leftChars="0"/>
              <w:rPr>
                <w:rFonts w:ascii="宋体" w:hAnsi="宋体" w:cs="宋体"/>
                <w:color w:val="FF0000"/>
                <w:highlight w:val="yellow"/>
              </w:rPr>
            </w:pPr>
            <w:r>
              <w:rPr>
                <w:rFonts w:hint="eastAsia"/>
                <w:lang w:val="en-US" w:eastAsia="zh-CN"/>
              </w:rPr>
              <w:t>（5）</w:t>
            </w:r>
            <w:r>
              <w:rPr>
                <w:rFonts w:hint="eastAsia"/>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tbl>
            <w:tblPr>
              <w:tblStyle w:val="15"/>
              <w:tblW w:w="7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90"/>
              <w:gridCol w:w="1020"/>
              <w:gridCol w:w="1140"/>
              <w:gridCol w:w="990"/>
              <w:gridCol w:w="1470"/>
              <w:gridCol w:w="63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项目</w:t>
                  </w:r>
                  <w:r>
                    <w:rPr>
                      <w:rFonts w:hint="eastAsia" w:ascii="宋体" w:hAnsi="宋体" w:cs="宋体"/>
                      <w:kern w:val="0"/>
                      <w:sz w:val="18"/>
                      <w:szCs w:val="18"/>
                      <w:highlight w:val="none"/>
                      <w:lang w:val="en-US" w:eastAsia="zh-CN"/>
                    </w:rPr>
                    <w:t>编号</w:t>
                  </w:r>
                </w:p>
              </w:tc>
              <w:tc>
                <w:tcPr>
                  <w:tcW w:w="6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物业名称</w:t>
                  </w:r>
                </w:p>
              </w:tc>
              <w:tc>
                <w:tcPr>
                  <w:tcW w:w="102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出租资产面积（㎡）</w:t>
                  </w:r>
                </w:p>
              </w:tc>
              <w:tc>
                <w:tcPr>
                  <w:tcW w:w="114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竞标底价</w:t>
                  </w:r>
                </w:p>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（万元/月）</w:t>
                  </w:r>
                </w:p>
              </w:tc>
              <w:tc>
                <w:tcPr>
                  <w:tcW w:w="99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月固定费</w:t>
                  </w:r>
                </w:p>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（万元）</w:t>
                  </w:r>
                </w:p>
              </w:tc>
              <w:tc>
                <w:tcPr>
                  <w:tcW w:w="147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全年超额部分</w:t>
                  </w:r>
                </w:p>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缴费（万元）（Z）</w:t>
                  </w:r>
                </w:p>
              </w:tc>
              <w:tc>
                <w:tcPr>
                  <w:tcW w:w="63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出租</w:t>
                  </w:r>
                  <w:r>
                    <w:rPr>
                      <w:rFonts w:hint="eastAsia" w:ascii="宋体" w:hAnsi="宋体" w:cs="宋体"/>
                      <w:kern w:val="0"/>
                      <w:sz w:val="18"/>
                      <w:szCs w:val="18"/>
                      <w:highlight w:val="none"/>
                      <w:lang w:val="en-US" w:eastAsia="zh-CN"/>
                    </w:rPr>
                    <w:t xml:space="preserve">  </w:t>
                  </w:r>
                  <w:r>
                    <w:rPr>
                      <w:rFonts w:hint="eastAsia" w:ascii="宋体" w:hAnsi="宋体" w:cs="宋体"/>
                      <w:kern w:val="0"/>
                      <w:sz w:val="18"/>
                      <w:szCs w:val="18"/>
                      <w:highlight w:val="none"/>
                    </w:rPr>
                    <w:t>期限</w:t>
                  </w:r>
                </w:p>
              </w:tc>
              <w:tc>
                <w:tcPr>
                  <w:tcW w:w="660" w:type="dxa"/>
                  <w:vAlign w:val="center"/>
                </w:tcPr>
                <w:p>
                  <w:pPr>
                    <w:widowControl/>
                    <w:jc w:val="center"/>
                    <w:rPr>
                      <w:rFonts w:hint="eastAsia" w:ascii="宋体" w:hAnsi="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11" w:type="dxa"/>
                  <w:vAlign w:val="center"/>
                </w:tcPr>
                <w:p>
                  <w:pPr>
                    <w:numPr>
                      <w:ilvl w:val="0"/>
                      <w:numId w:val="0"/>
                    </w:numPr>
                    <w:tabs>
                      <w:tab w:val="left" w:pos="531"/>
                    </w:tabs>
                    <w:snapToGrid w:val="0"/>
                    <w:jc w:val="center"/>
                    <w:rPr>
                      <w:rFonts w:hint="default" w:eastAsia="宋体"/>
                      <w:color w:val="FF0000"/>
                      <w:highlight w:val="none"/>
                      <w:vertAlign w:val="baseline"/>
                      <w:lang w:val="en-US" w:eastAsia="zh-CN"/>
                    </w:rPr>
                  </w:pPr>
                  <w:r>
                    <w:rPr>
                      <w:rFonts w:hint="eastAsia"/>
                      <w:color w:val="FF0000"/>
                      <w:highlight w:val="none"/>
                      <w:vertAlign w:val="baseline"/>
                      <w:lang w:val="en-US" w:eastAsia="zh-CN"/>
                    </w:rPr>
                    <w:t>01</w:t>
                  </w:r>
                </w:p>
              </w:tc>
              <w:tc>
                <w:tcPr>
                  <w:tcW w:w="6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D</w:t>
                  </w: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号铺位</w:t>
                  </w:r>
                </w:p>
              </w:tc>
              <w:tc>
                <w:tcPr>
                  <w:tcW w:w="102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146㎡</w:t>
                  </w:r>
                </w:p>
              </w:tc>
              <w:tc>
                <w:tcPr>
                  <w:tcW w:w="1140" w:type="dxa"/>
                  <w:vAlign w:val="center"/>
                </w:tcPr>
                <w:p>
                  <w:pPr>
                    <w:widowControl/>
                    <w:jc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6.75</w:t>
                  </w:r>
                </w:p>
              </w:tc>
              <w:tc>
                <w:tcPr>
                  <w:tcW w:w="9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X*</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tc>
              <w:tc>
                <w:tcPr>
                  <w:tcW w:w="147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（Y-X*12）*</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tc>
              <w:tc>
                <w:tcPr>
                  <w:tcW w:w="630" w:type="dxa"/>
                  <w:vMerge w:val="restart"/>
                </w:tcPr>
                <w:p>
                  <w:pPr>
                    <w:numPr>
                      <w:ilvl w:val="0"/>
                      <w:numId w:val="0"/>
                    </w:numPr>
                    <w:tabs>
                      <w:tab w:val="left" w:pos="531"/>
                    </w:tabs>
                    <w:snapToGrid w:val="0"/>
                    <w:rPr>
                      <w:color w:val="FF0000"/>
                      <w:highlight w:val="none"/>
                      <w:vertAlign w:val="baseline"/>
                    </w:rPr>
                  </w:pPr>
                  <w:r>
                    <w:rPr>
                      <w:rFonts w:hint="eastAsia" w:ascii="宋体" w:hAnsi="宋体" w:cs="宋体"/>
                      <w:color w:val="FF0000"/>
                      <w:kern w:val="0"/>
                      <w:sz w:val="18"/>
                      <w:szCs w:val="18"/>
                      <w:highlight w:val="none"/>
                    </w:rPr>
                    <w:t>合同截止日期</w:t>
                  </w:r>
                  <w:r>
                    <w:rPr>
                      <w:rFonts w:hint="eastAsia" w:ascii="宋体" w:hAnsi="宋体" w:cs="宋体"/>
                      <w:color w:val="FF0000"/>
                      <w:kern w:val="0"/>
                      <w:sz w:val="18"/>
                      <w:szCs w:val="18"/>
                      <w:highlight w:val="none"/>
                      <w:lang w:val="en-US" w:eastAsia="zh-CN"/>
                    </w:rPr>
                    <w:t>2024</w:t>
                  </w:r>
                  <w:r>
                    <w:rPr>
                      <w:rFonts w:hint="eastAsia" w:ascii="宋体" w:hAnsi="宋体" w:cs="宋体"/>
                      <w:color w:val="FF0000"/>
                      <w:kern w:val="0"/>
                      <w:sz w:val="18"/>
                      <w:szCs w:val="18"/>
                      <w:highlight w:val="none"/>
                    </w:rPr>
                    <w:t>年1</w:t>
                  </w:r>
                  <w:r>
                    <w:rPr>
                      <w:rFonts w:hint="eastAsia" w:ascii="宋体" w:hAnsi="宋体" w:cs="宋体"/>
                      <w:color w:val="FF0000"/>
                      <w:kern w:val="0"/>
                      <w:sz w:val="18"/>
                      <w:szCs w:val="18"/>
                      <w:highlight w:val="none"/>
                      <w:lang w:val="en-US" w:eastAsia="zh-CN"/>
                    </w:rPr>
                    <w:t>0</w:t>
                  </w:r>
                  <w:r>
                    <w:rPr>
                      <w:rFonts w:hint="eastAsia" w:ascii="宋体" w:hAnsi="宋体" w:cs="宋体"/>
                      <w:color w:val="FF0000"/>
                      <w:kern w:val="0"/>
                      <w:sz w:val="18"/>
                      <w:szCs w:val="18"/>
                      <w:highlight w:val="none"/>
                    </w:rPr>
                    <w:t>月31日</w:t>
                  </w:r>
                </w:p>
              </w:tc>
              <w:tc>
                <w:tcPr>
                  <w:tcW w:w="660" w:type="dxa"/>
                </w:tcPr>
                <w:p>
                  <w:pPr>
                    <w:numPr>
                      <w:ilvl w:val="0"/>
                      <w:numId w:val="0"/>
                    </w:numPr>
                    <w:tabs>
                      <w:tab w:val="left" w:pos="531"/>
                    </w:tabs>
                    <w:snapToGrid w:val="0"/>
                    <w:rPr>
                      <w:color w:val="FF000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11" w:type="dxa"/>
                  <w:vAlign w:val="center"/>
                </w:tcPr>
                <w:p>
                  <w:pPr>
                    <w:numPr>
                      <w:ilvl w:val="0"/>
                      <w:numId w:val="0"/>
                    </w:numPr>
                    <w:tabs>
                      <w:tab w:val="left" w:pos="531"/>
                    </w:tabs>
                    <w:snapToGrid w:val="0"/>
                    <w:jc w:val="center"/>
                    <w:rPr>
                      <w:rFonts w:hint="default" w:eastAsia="宋体"/>
                      <w:color w:val="FF0000"/>
                      <w:highlight w:val="none"/>
                      <w:vertAlign w:val="baseline"/>
                      <w:lang w:val="en-US" w:eastAsia="zh-CN"/>
                    </w:rPr>
                  </w:pPr>
                  <w:r>
                    <w:rPr>
                      <w:rFonts w:hint="eastAsia"/>
                      <w:color w:val="FF0000"/>
                      <w:highlight w:val="none"/>
                      <w:vertAlign w:val="baseline"/>
                      <w:lang w:val="en-US" w:eastAsia="zh-CN"/>
                    </w:rPr>
                    <w:t>02</w:t>
                  </w:r>
                </w:p>
              </w:tc>
              <w:tc>
                <w:tcPr>
                  <w:tcW w:w="6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D2号铺位</w:t>
                  </w:r>
                </w:p>
              </w:tc>
              <w:tc>
                <w:tcPr>
                  <w:tcW w:w="102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146㎡</w:t>
                  </w:r>
                </w:p>
              </w:tc>
              <w:tc>
                <w:tcPr>
                  <w:tcW w:w="1140" w:type="dxa"/>
                  <w:vAlign w:val="center"/>
                </w:tcPr>
                <w:p>
                  <w:pPr>
                    <w:widowControl/>
                    <w:jc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6.75</w:t>
                  </w:r>
                </w:p>
              </w:tc>
              <w:tc>
                <w:tcPr>
                  <w:tcW w:w="9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X*</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tc>
              <w:tc>
                <w:tcPr>
                  <w:tcW w:w="147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（Y-X*12）*</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tc>
              <w:tc>
                <w:tcPr>
                  <w:tcW w:w="630" w:type="dxa"/>
                  <w:vMerge w:val="continue"/>
                </w:tcPr>
                <w:p>
                  <w:pPr>
                    <w:numPr>
                      <w:ilvl w:val="0"/>
                      <w:numId w:val="0"/>
                    </w:numPr>
                    <w:tabs>
                      <w:tab w:val="left" w:pos="531"/>
                    </w:tabs>
                    <w:snapToGrid w:val="0"/>
                    <w:rPr>
                      <w:color w:val="FF0000"/>
                      <w:highlight w:val="none"/>
                      <w:vertAlign w:val="baseline"/>
                    </w:rPr>
                  </w:pPr>
                </w:p>
              </w:tc>
              <w:tc>
                <w:tcPr>
                  <w:tcW w:w="660" w:type="dxa"/>
                </w:tcPr>
                <w:p>
                  <w:pPr>
                    <w:numPr>
                      <w:ilvl w:val="0"/>
                      <w:numId w:val="0"/>
                    </w:numPr>
                    <w:tabs>
                      <w:tab w:val="left" w:pos="531"/>
                    </w:tabs>
                    <w:snapToGrid w:val="0"/>
                    <w:rPr>
                      <w:color w:val="FF0000"/>
                      <w:highlight w:val="none"/>
                      <w:vertAlign w:val="baseline"/>
                    </w:rPr>
                  </w:pPr>
                </w:p>
              </w:tc>
            </w:tr>
          </w:tbl>
          <w:p>
            <w:pPr>
              <w:widowControl/>
              <w:rPr>
                <w:rFonts w:ascii="宋体" w:hAnsi="宋体" w:cs="宋体"/>
                <w:kern w:val="0"/>
                <w:sz w:val="18"/>
                <w:szCs w:val="18"/>
                <w:highlight w:val="none"/>
              </w:rPr>
            </w:pPr>
            <w:r>
              <w:rPr>
                <w:rFonts w:hint="eastAsia" w:ascii="宋体" w:hAnsi="宋体" w:cs="宋体"/>
                <w:kern w:val="0"/>
                <w:sz w:val="18"/>
                <w:szCs w:val="18"/>
                <w:highlight w:val="none"/>
              </w:rPr>
              <w:t>①具体位置详见招租铺位平面图（图1）；</w:t>
            </w:r>
          </w:p>
          <w:p>
            <w:pPr>
              <w:widowControl/>
              <w:rPr>
                <w:rFonts w:ascii="宋体" w:hAnsi="宋体" w:cs="宋体"/>
                <w:kern w:val="0"/>
                <w:sz w:val="18"/>
                <w:szCs w:val="18"/>
                <w:highlight w:val="none"/>
              </w:rPr>
            </w:pPr>
            <w:r>
              <w:rPr>
                <w:rFonts w:hint="eastAsia" w:ascii="宋体" w:hAnsi="宋体" w:cs="宋体"/>
                <w:kern w:val="0"/>
                <w:sz w:val="18"/>
                <w:szCs w:val="18"/>
                <w:highlight w:val="none"/>
              </w:rPr>
              <w:t>②竞标报价（中标价）：竞标报价为竞标人（承租方）经营意向承租商铺的营业额预期，该报价一经中选即为中标价，作为计算竞标人（承租方）缴纳租金的依据；</w:t>
            </w:r>
          </w:p>
          <w:p>
            <w:pPr>
              <w:widowControl/>
              <w:rPr>
                <w:rFonts w:ascii="宋体" w:hAnsi="宋体" w:cs="宋体"/>
                <w:kern w:val="0"/>
                <w:sz w:val="18"/>
                <w:szCs w:val="18"/>
                <w:highlight w:val="none"/>
              </w:rPr>
            </w:pPr>
            <w:r>
              <w:rPr>
                <w:rFonts w:hint="eastAsia" w:ascii="宋体" w:hAnsi="宋体" w:cs="宋体"/>
                <w:kern w:val="0"/>
                <w:sz w:val="18"/>
                <w:szCs w:val="18"/>
                <w:highlight w:val="none"/>
              </w:rPr>
              <w:t>③竞标底价：竞标底价为竞标人（承租方）投标月保底营业额，竞标人（承租方）所报竞标报价不得低于竞标底价，否则将导致其竞标被拒绝。</w:t>
            </w:r>
          </w:p>
          <w:p>
            <w:pPr>
              <w:widowControl/>
              <w:rPr>
                <w:rFonts w:ascii="宋体" w:hAnsi="宋体" w:cs="宋体"/>
                <w:kern w:val="0"/>
                <w:sz w:val="18"/>
                <w:szCs w:val="18"/>
                <w:highlight w:val="none"/>
              </w:rPr>
            </w:pPr>
            <w:r>
              <w:rPr>
                <w:rFonts w:hint="eastAsia" w:ascii="宋体" w:hAnsi="宋体" w:cs="宋体"/>
                <w:kern w:val="0"/>
                <w:sz w:val="18"/>
                <w:szCs w:val="18"/>
                <w:highlight w:val="none"/>
              </w:rPr>
              <w:t>④月固定费：为中选的竞标人（承租方）每月所缴纳最低保底租金，实际营业额等于或低于中标金额时，租金按月固定费计收，月固定收费按上表所列比例计收。</w:t>
            </w:r>
          </w:p>
          <w:p>
            <w:pPr>
              <w:widowControl/>
              <w:rPr>
                <w:rFonts w:ascii="宋体" w:hAnsi="宋体" w:cs="宋体"/>
                <w:kern w:val="0"/>
                <w:sz w:val="18"/>
                <w:szCs w:val="18"/>
                <w:highlight w:val="none"/>
              </w:rPr>
            </w:pPr>
            <w:r>
              <w:rPr>
                <w:rFonts w:hint="eastAsia" w:ascii="宋体" w:hAnsi="宋体" w:cs="宋体"/>
                <w:kern w:val="0"/>
                <w:sz w:val="18"/>
                <w:szCs w:val="18"/>
                <w:highlight w:val="none"/>
              </w:rPr>
              <w:t>⑤全年超额部分缴费</w:t>
            </w:r>
            <w:r>
              <w:rPr>
                <w:rFonts w:ascii="宋体" w:hAnsi="宋体" w:cs="宋体"/>
                <w:kern w:val="0"/>
                <w:sz w:val="18"/>
                <w:szCs w:val="18"/>
                <w:highlight w:val="none"/>
              </w:rPr>
              <w:t>Z</w:t>
            </w:r>
            <w:r>
              <w:rPr>
                <w:rFonts w:hint="eastAsia" w:ascii="宋体" w:hAnsi="宋体" w:cs="宋体"/>
                <w:kern w:val="0"/>
                <w:sz w:val="18"/>
                <w:szCs w:val="18"/>
                <w:highlight w:val="none"/>
              </w:rPr>
              <w:t>：年实际营业额高于年中标金额时，全年实际营业额减去中标价的全年营业额，再分别按上表所列的比例缴费。</w:t>
            </w:r>
          </w:p>
          <w:p>
            <w:pPr>
              <w:widowControl/>
              <w:rPr>
                <w:rFonts w:ascii="宋体" w:hAnsi="宋体" w:cs="宋体"/>
                <w:kern w:val="0"/>
                <w:sz w:val="18"/>
                <w:szCs w:val="18"/>
                <w:highlight w:val="none"/>
              </w:rPr>
            </w:pPr>
            <w:r>
              <w:rPr>
                <w:rFonts w:hint="eastAsia" w:ascii="宋体" w:hAnsi="宋体" w:cs="宋体"/>
                <w:kern w:val="0"/>
                <w:sz w:val="18"/>
                <w:szCs w:val="18"/>
                <w:highlight w:val="none"/>
              </w:rPr>
              <w:t>⑥X＝中选竞标人（承租方）的中标价。</w:t>
            </w:r>
          </w:p>
          <w:p>
            <w:pPr>
              <w:widowControl/>
              <w:ind w:firstLine="180" w:firstLineChars="100"/>
              <w:rPr>
                <w:rFonts w:ascii="宋体" w:hAnsi="宋体" w:cs="宋体"/>
                <w:kern w:val="0"/>
                <w:sz w:val="18"/>
                <w:szCs w:val="18"/>
                <w:highlight w:val="none"/>
              </w:rPr>
            </w:pPr>
            <w:r>
              <w:rPr>
                <w:rFonts w:hint="eastAsia" w:ascii="宋体" w:hAnsi="宋体" w:cs="宋体"/>
                <w:kern w:val="0"/>
                <w:sz w:val="18"/>
                <w:szCs w:val="18"/>
                <w:highlight w:val="none"/>
              </w:rPr>
              <w:t>Y＝中选竞标人（承租方）全年实际营业额。</w:t>
            </w:r>
          </w:p>
          <w:p>
            <w:pPr>
              <w:widowControl/>
              <w:ind w:firstLine="180" w:firstLineChars="100"/>
              <w:rPr>
                <w:rFonts w:ascii="宋体" w:hAnsi="宋体" w:cs="宋体"/>
                <w:kern w:val="0"/>
                <w:sz w:val="18"/>
                <w:szCs w:val="18"/>
                <w:highlight w:val="none"/>
              </w:rPr>
            </w:pPr>
            <w:r>
              <w:rPr>
                <w:rFonts w:hint="eastAsia" w:ascii="宋体" w:hAnsi="宋体" w:cs="宋体"/>
                <w:kern w:val="0"/>
                <w:sz w:val="18"/>
                <w:szCs w:val="18"/>
                <w:highlight w:val="none"/>
              </w:rPr>
              <w:t>Z＝中选竞标人（承租方）需向招租方缴交的全年超额部分的费用</w:t>
            </w:r>
          </w:p>
          <w:p>
            <w:pPr>
              <w:widowControl/>
              <w:rPr>
                <w:rFonts w:ascii="宋体" w:hAnsi="宋体" w:cs="宋体"/>
                <w:kern w:val="0"/>
                <w:sz w:val="18"/>
                <w:szCs w:val="18"/>
                <w:highlight w:val="none"/>
              </w:rPr>
            </w:pPr>
            <w:r>
              <w:rPr>
                <w:rFonts w:hint="eastAsia" w:ascii="宋体" w:hAnsi="宋体" w:cs="宋体"/>
                <w:kern w:val="0"/>
                <w:sz w:val="18"/>
                <w:szCs w:val="18"/>
                <w:highlight w:val="none"/>
              </w:rPr>
              <w:t>⑦例：如一竞标人（承租方）在01包铺位中选，中选金额为1</w:t>
            </w:r>
            <w:r>
              <w:rPr>
                <w:rFonts w:hint="eastAsia" w:ascii="宋体" w:hAnsi="宋体" w:cs="宋体"/>
                <w:kern w:val="0"/>
                <w:sz w:val="18"/>
                <w:szCs w:val="18"/>
                <w:highlight w:val="none"/>
                <w:lang w:val="en-US" w:eastAsia="zh-CN"/>
              </w:rPr>
              <w:t>0</w:t>
            </w:r>
            <w:r>
              <w:rPr>
                <w:rFonts w:hint="eastAsia" w:ascii="宋体" w:hAnsi="宋体" w:cs="宋体"/>
                <w:kern w:val="0"/>
                <w:sz w:val="18"/>
                <w:szCs w:val="18"/>
                <w:highlight w:val="none"/>
              </w:rPr>
              <w:t>万元，实际营业额为（</w:t>
            </w: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3*12）万元，则其全年需缴纳的总费用为：</w:t>
            </w:r>
          </w:p>
          <w:p>
            <w:pPr>
              <w:widowControl/>
              <w:rPr>
                <w:rFonts w:ascii="宋体" w:hAnsi="宋体" w:cs="宋体"/>
                <w:kern w:val="0"/>
                <w:sz w:val="18"/>
                <w:szCs w:val="18"/>
                <w:highlight w:val="none"/>
              </w:rPr>
            </w:pPr>
            <w:r>
              <w:rPr>
                <w:rFonts w:hint="eastAsia" w:ascii="宋体" w:hAnsi="宋体" w:cs="宋体"/>
                <w:kern w:val="0"/>
                <w:sz w:val="18"/>
                <w:szCs w:val="18"/>
                <w:highlight w:val="none"/>
              </w:rPr>
              <w:t>=X*</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%*12+（Y-X*12）*</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p>
            <w:pPr>
              <w:widowControl/>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%*12+（</w:t>
            </w:r>
            <w:r>
              <w:rPr>
                <w:rFonts w:hint="eastAsia" w:ascii="宋体" w:hAnsi="宋体" w:cs="宋体"/>
                <w:kern w:val="0"/>
                <w:sz w:val="18"/>
                <w:szCs w:val="18"/>
                <w:highlight w:val="none"/>
                <w:lang w:val="en-US" w:eastAsia="zh-CN"/>
              </w:rPr>
              <w:t>13</w:t>
            </w:r>
            <w:r>
              <w:rPr>
                <w:rFonts w:hint="eastAsia" w:ascii="宋体" w:hAnsi="宋体" w:cs="宋体"/>
                <w:kern w:val="0"/>
                <w:sz w:val="18"/>
                <w:szCs w:val="18"/>
                <w:highlight w:val="none"/>
              </w:rPr>
              <w:t>*12-</w:t>
            </w: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*12）*</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p>
            <w:pPr>
              <w:numPr>
                <w:ilvl w:val="0"/>
                <w:numId w:val="0"/>
              </w:numPr>
              <w:tabs>
                <w:tab w:val="left" w:pos="531"/>
              </w:tabs>
              <w:snapToGrid w:val="0"/>
              <w:ind w:leftChars="0"/>
              <w:rPr>
                <w:color w:val="FF0000"/>
                <w:highlight w:val="none"/>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24</w:t>
            </w:r>
            <w:r>
              <w:rPr>
                <w:rFonts w:hint="eastAsia" w:ascii="宋体" w:hAnsi="宋体" w:cs="宋体"/>
                <w:kern w:val="0"/>
                <w:sz w:val="18"/>
                <w:szCs w:val="18"/>
                <w:highlight w:val="none"/>
              </w:rPr>
              <w:t>（固定费）+</w:t>
            </w:r>
            <w:r>
              <w:rPr>
                <w:rFonts w:hint="eastAsia" w:ascii="宋体" w:hAnsi="宋体" w:cs="宋体"/>
                <w:kern w:val="0"/>
                <w:sz w:val="18"/>
                <w:szCs w:val="18"/>
                <w:highlight w:val="none"/>
                <w:lang w:val="en-US" w:eastAsia="zh-CN"/>
              </w:rPr>
              <w:t>7.2</w:t>
            </w:r>
            <w:r>
              <w:rPr>
                <w:rFonts w:hint="eastAsia" w:ascii="宋体" w:hAnsi="宋体" w:cs="宋体"/>
                <w:kern w:val="0"/>
                <w:sz w:val="18"/>
                <w:szCs w:val="18"/>
                <w:highlight w:val="none"/>
              </w:rPr>
              <w:t>（全年超额部分缴费）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highlight w:val="none"/>
              </w:rPr>
            </w:pPr>
            <w:r>
              <w:rPr>
                <w:rFonts w:hint="eastAsia" w:ascii="宋体" w:hAnsi="宋体" w:cs="宋体"/>
                <w:color w:val="FF0000"/>
                <w:szCs w:val="21"/>
                <w:highlight w:val="none"/>
              </w:rPr>
              <w:t>本项目</w:t>
            </w:r>
            <w:r>
              <w:rPr>
                <w:rFonts w:hint="eastAsia" w:ascii="宋体" w:hAnsi="宋体" w:cs="宋体"/>
                <w:color w:val="FF0000"/>
                <w:szCs w:val="21"/>
                <w:highlight w:val="none"/>
                <w:lang w:val="en-US" w:eastAsia="zh-CN"/>
              </w:rPr>
              <w:t>各铺位均设定了竞标低价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竞标人</w:t>
            </w:r>
            <w:r>
              <w:rPr>
                <w:rFonts w:hint="eastAsia" w:ascii="宋体" w:hAnsi="宋体" w:cs="宋体"/>
                <w:color w:val="FF0000"/>
                <w:szCs w:val="21"/>
                <w:highlight w:val="none"/>
              </w:rPr>
              <w:t>报价</w:t>
            </w:r>
            <w:r>
              <w:rPr>
                <w:rFonts w:hint="eastAsia" w:ascii="宋体" w:hAnsi="宋体" w:cs="宋体"/>
                <w:color w:val="FF0000"/>
                <w:szCs w:val="21"/>
                <w:highlight w:val="none"/>
                <w:lang w:val="en-US" w:eastAsia="zh-CN"/>
              </w:rPr>
              <w:t>低于各铺位竞标低价</w:t>
            </w:r>
            <w:r>
              <w:rPr>
                <w:rFonts w:hint="eastAsia" w:ascii="宋体" w:hAnsi="宋体" w:cs="宋体"/>
                <w:color w:val="FF0000"/>
                <w:szCs w:val="21"/>
                <w:highlight w:val="none"/>
              </w:rPr>
              <w:t>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color w:val="FF0000"/>
              </w:rPr>
            </w:pPr>
            <w:r>
              <w:rPr>
                <w:rFonts w:hint="eastAsia" w:ascii="宋体" w:hAnsi="宋体" w:eastAsia="宋体" w:cs="宋体"/>
                <w:szCs w:val="24"/>
                <w:lang w:val="en-US" w:eastAsia="zh-CN"/>
              </w:rPr>
              <w:t>一季一付。首期费用在合同签订后付清。全年超额部分缴纳时间为下一合同期的第一个月的第一个工作日</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清洁费</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eastAsia="宋体" w:cs="宋体"/>
                <w:color w:val="FF0000"/>
                <w:highlight w:val="yellow"/>
              </w:rPr>
            </w:pPr>
            <w:r>
              <w:rPr>
                <w:rFonts w:hint="eastAsia" w:ascii="宋体" w:hAnsi="宋体" w:eastAsia="宋体" w:cs="宋体"/>
                <w:color w:val="000000" w:themeColor="text1"/>
                <w:kern w:val="0"/>
                <w:szCs w:val="21"/>
                <w14:textFill>
                  <w14:solidFill>
                    <w14:schemeClr w14:val="tx1"/>
                  </w14:solidFill>
                </w14:textFill>
              </w:rPr>
              <w:t>按实际营业额的8‰收取</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水费</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每年抄表一次，按深圳市水务集团有限公司的现行价格缴交相关费用。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电费</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电费单价按照供电部门公布的目录电价计价。</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tabs>
                <w:tab w:val="left" w:pos="531"/>
              </w:tabs>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承租方必须</w:t>
            </w:r>
            <w:r>
              <w:rPr>
                <w:rFonts w:hint="eastAsia" w:ascii="宋体" w:hAnsi="宋体" w:eastAsia="宋体" w:cs="宋体"/>
                <w:color w:val="auto"/>
                <w:sz w:val="21"/>
                <w:szCs w:val="21"/>
                <w:highlight w:val="none"/>
              </w:rPr>
              <w:t>严格遵守深圳会展中心场馆管理规定及消防安全管理规定，设专职食品安全责任人，对经营食品进行全面安全监督管理。</w:t>
            </w:r>
          </w:p>
          <w:p>
            <w:pPr>
              <w:keepNext w:val="0"/>
              <w:keepLines w:val="0"/>
              <w:pageBreakBefore w:val="0"/>
              <w:widowControl w:val="0"/>
              <w:numPr>
                <w:ilvl w:val="0"/>
                <w:numId w:val="12"/>
              </w:numPr>
              <w:tabs>
                <w:tab w:val="left" w:pos="531"/>
              </w:tabs>
              <w:kinsoku/>
              <w:wordWrap/>
              <w:overflowPunct/>
              <w:topLinePunct w:val="0"/>
              <w:autoSpaceDE/>
              <w:autoSpaceDN/>
              <w:bidi w:val="0"/>
              <w:adjustRightInd/>
              <w:snapToGrid w:val="0"/>
              <w:spacing w:line="240" w:lineRule="auto"/>
              <w:ind w:leftChars="0"/>
              <w:jc w:val="both"/>
              <w:textAlignment w:val="auto"/>
              <w:rPr>
                <w:rFonts w:ascii="宋体" w:hAnsi="宋体"/>
                <w:color w:val="auto"/>
                <w:highlight w:val="none"/>
              </w:rPr>
            </w:pP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单位作为专业的餐饮公司，对于特殊状况下人流量突然变化和食品卫生安全方面应有充分的保障措施，并设有应急预案。参加单位应充分考虑到所有可能存在的风险并做好风险管控。在服务过程中由中选单位原因所造成的人员伤害及物品损失由中选单位承担一切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履约条件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请</w:t>
            </w:r>
            <w:r>
              <w:rPr>
                <w:rFonts w:hint="eastAsia"/>
                <w:color w:val="auto"/>
                <w:highlight w:val="none"/>
                <w:lang w:val="en-US" w:eastAsia="zh-CN"/>
              </w:rPr>
              <w:t>承租</w:t>
            </w:r>
            <w:r>
              <w:rPr>
                <w:rFonts w:hint="eastAsia"/>
                <w:color w:val="auto"/>
                <w:highlight w:val="none"/>
              </w:rPr>
              <w:t>人务必自行实地踏勘和了解招租房屋之现状。招租方以租赁房屋现状租赁给承租方使用，承租方是在完全充分了解并接受所租房屋及附属设施设备等的历史及现状（包括招租人房屋产权状况、房屋及附属设施设备现状、房屋周边环境情况、安全生产条件及设施配备情况、空气质量等）的前提下向招租方提出租赁要求，承租方清楚并愿意自行承担其投资装修及经营的一切风险。</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承租方在成功竞价获得的服务地点范围内提供服务，规范合法经营，服务价格及品种报备招租方备案，若超出经营范围或违法经营，招租方有权要求立即纠正，若责令不改则招租方有权取消其服务资格</w:t>
            </w:r>
            <w:r>
              <w:rPr>
                <w:rFonts w:hint="eastAsia"/>
                <w:color w:val="auto"/>
                <w:highlight w:val="none"/>
                <w:lang w:eastAsia="zh-CN"/>
              </w:rPr>
              <w:t>。</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承租方须按照</w:t>
            </w:r>
            <w:r>
              <w:rPr>
                <w:rFonts w:hint="eastAsia"/>
                <w:color w:val="auto"/>
                <w:highlight w:val="none"/>
                <w:lang w:val="en-US" w:eastAsia="zh-CN"/>
              </w:rPr>
              <w:t>深圳</w:t>
            </w:r>
            <w:r>
              <w:rPr>
                <w:rFonts w:hint="eastAsia"/>
                <w:color w:val="auto"/>
                <w:highlight w:val="none"/>
              </w:rPr>
              <w:t>会展中心规定设置消防设施，并签订消防安全责任书</w:t>
            </w:r>
            <w:r>
              <w:rPr>
                <w:rFonts w:hint="eastAsia"/>
                <w:color w:val="auto"/>
                <w:highlight w:val="none"/>
                <w:lang w:eastAsia="zh-CN"/>
              </w:rPr>
              <w:t>。</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中式餐饮区铺位不能明火加工，除蒸、煮、微波加热外，其他方式一律禁止。为保证食品安全问题，承租方所有产品必须存放在保温或者保冷设备内</w:t>
            </w:r>
            <w:r>
              <w:rPr>
                <w:rFonts w:hint="eastAsia"/>
                <w:color w:val="auto"/>
                <w:highlight w:val="none"/>
                <w:lang w:eastAsia="zh-CN"/>
              </w:rPr>
              <w:t>。</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承租方应配合招租方管理人员对每个展会进行数据统计，如实填写相关数据报告并按招租方规定的时间按时提交</w:t>
            </w:r>
            <w:r>
              <w:rPr>
                <w:rFonts w:hint="eastAsia"/>
                <w:color w:val="auto"/>
                <w:highlight w:val="none"/>
                <w:lang w:eastAsia="zh-CN"/>
              </w:rPr>
              <w:t>。</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承租方须配备至少3台收银机收取营业款，微信、支付宝等第三方收款码统一接入收银系统。承租方自派工作人员完成收银工作。如承租方收银人员在收银过程中出现一切与收银相关的问题，由承租方全权负责，出租人概不负责。出租人有权委派管理人员在任意时间段进行收银监督，核查电脑小票或收银机清单等凭证。</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在提前停租或租赁期满不再承租物业时，承租方（竞标人）对物业二次装修所增设形成的固定设备、设施不进行破损或拆卸，而应完整地无偿移交由招租方处置。如果要拆卸，应恢复原状。装修和设备设施添置的所有投入费用，均由承租方全额承担，与招租方无关；</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lang w:eastAsia="zh-CN"/>
              </w:rPr>
            </w:pPr>
            <w:r>
              <w:rPr>
                <w:rFonts w:hint="eastAsia"/>
                <w:color w:val="auto"/>
                <w:highlight w:val="none"/>
              </w:rPr>
              <w:t>若房屋租赁合同到期终止，承租方（竞标人）必须在合同终止后的五日内将该房屋腾空并办理相关移交手续，承租方（竞标人）无权要求任何赔偿；逾期按双倍租金收取违约金</w:t>
            </w:r>
            <w:r>
              <w:rPr>
                <w:rFonts w:hint="eastAsia"/>
                <w:color w:val="auto"/>
                <w:highlight w:val="none"/>
                <w:lang w:eastAsia="zh-CN"/>
              </w:rPr>
              <w:t>。</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lang w:eastAsia="zh-CN"/>
              </w:rPr>
            </w:pPr>
            <w:r>
              <w:rPr>
                <w:rFonts w:hint="eastAsia"/>
                <w:color w:val="auto"/>
                <w:highlight w:val="none"/>
              </w:rPr>
              <w:t>承租方（竞标人）对物业的改造工程要求：空调系统、消防系统等需经出租人（招标人）同意后，并报送相关部门审批，得到审批同意后方可施工；消防系统应符合消防部门的要求且已通过验收。</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lang w:val="en-US" w:eastAsia="zh-CN"/>
              </w:rPr>
            </w:pPr>
            <w:r>
              <w:rPr>
                <w:rFonts w:hint="eastAsia"/>
                <w:color w:val="auto"/>
                <w:highlight w:val="none"/>
              </w:rPr>
              <w:t>餐饮区公共区域的餐桌椅由招租方提供。</w:t>
            </w:r>
          </w:p>
          <w:p>
            <w:pPr>
              <w:numPr>
                <w:ilvl w:val="0"/>
                <w:numId w:val="13"/>
              </w:numPr>
              <w:tabs>
                <w:tab w:val="left" w:pos="531"/>
              </w:tabs>
              <w:snapToGrid w:val="0"/>
              <w:spacing w:line="24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租方必须严格遵守《食品卫生法》及国家相关行业规定，供餐必须保质保量，杜绝一切食品安全问题发生，承租方为食品安全第一责任人，承担所有出品之食品安全的责任。承租方必须遵守展馆管理规定及相关要求，承租方设专职食品安全责任人，对经营食品进行全面安全监督管理；如发生食品安全问题引致的所有问题，由承租方负责进行现场处理并承担全部法律责任；</w:t>
            </w:r>
          </w:p>
          <w:p>
            <w:pPr>
              <w:widowControl/>
              <w:numPr>
                <w:ilvl w:val="0"/>
                <w:numId w:val="13"/>
              </w:numPr>
              <w:tabs>
                <w:tab w:val="left" w:pos="531"/>
              </w:tabs>
              <w:snapToGrid w:val="0"/>
              <w:spacing w:line="24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在租赁合同期内，承租方（竞标人）不得擅自更改事先已提交的承租物业用途规划，不允许转租；</w:t>
            </w:r>
          </w:p>
          <w:p>
            <w:pPr>
              <w:widowControl/>
              <w:numPr>
                <w:ilvl w:val="0"/>
                <w:numId w:val="13"/>
              </w:numPr>
              <w:tabs>
                <w:tab w:val="left" w:pos="531"/>
              </w:tabs>
              <w:snapToGrid w:val="0"/>
              <w:spacing w:line="24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承租方在经营期间，须服从出租人统一管理。遵守《展馆使用管理规定》及出租人在服务、安全等方面的各项管理制度。承租方应对自己的餐饮服务人员进行严格管理，遵守展馆规定，遵守展会各项秩序。</w:t>
            </w:r>
          </w:p>
          <w:p>
            <w:pPr>
              <w:pStyle w:val="2"/>
              <w:rPr>
                <w:rFonts w:hint="eastAsia" w:ascii="宋体" w:hAnsi="宋体" w:cs="宋体"/>
                <w:color w:val="auto"/>
                <w:kern w:val="0"/>
                <w:szCs w:val="21"/>
                <w:highlight w:val="none"/>
              </w:rPr>
            </w:pPr>
          </w:p>
          <w:p>
            <w:pPr>
              <w:pStyle w:val="2"/>
              <w:rPr>
                <w:rFonts w:hint="eastAsia"/>
                <w:color w:val="auto"/>
                <w:highlight w:val="none"/>
                <w:lang w:val="en-US" w:eastAsia="zh-CN"/>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bl>
    <w:p>
      <w:pPr>
        <w:numPr>
          <w:ilvl w:val="0"/>
          <w:numId w:val="0"/>
        </w:numPr>
        <w:jc w:val="left"/>
        <w:outlineLvl w:val="1"/>
        <w:rPr>
          <w:rFonts w:ascii="宋体" w:hAnsi="宋体"/>
          <w:b/>
          <w:szCs w:val="21"/>
        </w:rPr>
      </w:pPr>
      <w:bookmarkStart w:id="37" w:name="_Toc82591996"/>
      <w:bookmarkEnd w:id="37"/>
      <w:bookmarkStart w:id="38" w:name="_Toc82684715"/>
      <w:bookmarkEnd w:id="38"/>
      <w:bookmarkStart w:id="39" w:name="_Toc82685552"/>
      <w:bookmarkEnd w:id="39"/>
      <w:bookmarkStart w:id="40" w:name="_Toc82684600"/>
      <w:bookmarkEnd w:id="40"/>
      <w:bookmarkStart w:id="41" w:name="_Toc116550349"/>
    </w:p>
    <w:p>
      <w:pPr>
        <w:pStyle w:val="2"/>
        <w:numPr>
          <w:ilvl w:val="0"/>
          <w:numId w:val="0"/>
        </w:numPr>
        <w:ind w:leftChars="0"/>
        <w:jc w:val="both"/>
        <w:rPr>
          <w:rFonts w:hint="eastAsia" w:ascii="宋体" w:hAnsi="宋体"/>
          <w:b/>
          <w:szCs w:val="21"/>
          <w:lang w:val="en-US" w:eastAsia="zh-CN"/>
        </w:rPr>
      </w:pPr>
    </w:p>
    <w:p>
      <w:pPr>
        <w:widowControl/>
        <w:numPr>
          <w:ilvl w:val="0"/>
          <w:numId w:val="1"/>
        </w:numPr>
        <w:spacing w:line="360" w:lineRule="auto"/>
        <w:ind w:left="0" w:leftChars="0" w:firstLine="0" w:firstLineChars="0"/>
        <w:jc w:val="left"/>
        <w:rPr>
          <w:rFonts w:hint="eastAsia" w:ascii="宋体" w:hAnsi="宋体"/>
          <w:b/>
          <w:szCs w:val="21"/>
          <w:lang w:val="en-US" w:eastAsia="zh-CN"/>
        </w:rPr>
      </w:pPr>
      <w:r>
        <w:rPr>
          <w:rFonts w:hint="eastAsia" w:ascii="宋体" w:hAnsi="宋体"/>
          <w:b/>
          <w:szCs w:val="21"/>
          <w:lang w:val="en-US" w:eastAsia="zh-CN"/>
        </w:rPr>
        <w:t>其它项目说明资料</w:t>
      </w:r>
    </w:p>
    <w:p>
      <w:pPr>
        <w:widowControl/>
        <w:numPr>
          <w:ilvl w:val="0"/>
          <w:numId w:val="0"/>
        </w:numPr>
        <w:spacing w:line="360" w:lineRule="auto"/>
        <w:ind w:leftChars="0"/>
        <w:jc w:val="left"/>
        <w:rPr>
          <w:rFonts w:hint="eastAsia" w:ascii="宋体" w:hAnsi="宋体"/>
          <w:b/>
          <w:bCs/>
          <w:szCs w:val="21"/>
        </w:rPr>
      </w:pPr>
      <w:r>
        <w:rPr>
          <w:rFonts w:hint="eastAsia" w:ascii="宋体" w:hAnsi="宋体"/>
          <w:b/>
          <w:bCs/>
          <w:szCs w:val="21"/>
        </w:rPr>
        <w:t>表</w:t>
      </w:r>
      <w:r>
        <w:rPr>
          <w:rFonts w:hint="eastAsia" w:ascii="宋体" w:hAnsi="宋体"/>
          <w:b/>
          <w:bCs/>
          <w:szCs w:val="21"/>
          <w:lang w:val="en-US" w:eastAsia="zh-CN"/>
        </w:rPr>
        <w:t xml:space="preserve">一、 </w:t>
      </w:r>
      <w:r>
        <w:rPr>
          <w:rFonts w:hint="eastAsia" w:ascii="宋体" w:hAnsi="宋体"/>
          <w:b/>
          <w:bCs/>
          <w:szCs w:val="21"/>
        </w:rPr>
        <w:t xml:space="preserve"> 招租铺位平面图</w:t>
      </w:r>
      <w:r>
        <w:rPr>
          <w:rFonts w:hAnsi="仿宋_GB2312" w:cs="宋体"/>
          <w:szCs w:val="21"/>
        </w:rPr>
        <w:drawing>
          <wp:inline distT="0" distB="0" distL="0" distR="0">
            <wp:extent cx="4943475" cy="2994025"/>
            <wp:effectExtent l="0" t="0" r="0" b="6350"/>
            <wp:docPr id="4" name="Picture 1" descr="wpsF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psF3D5"/>
                    <pic:cNvPicPr>
                      <a:picLocks noChangeAspect="1" noChangeArrowheads="1"/>
                    </pic:cNvPicPr>
                  </pic:nvPicPr>
                  <pic:blipFill>
                    <a:blip r:embed="rId7" cstate="print"/>
                    <a:srcRect/>
                    <a:stretch>
                      <a:fillRect/>
                    </a:stretch>
                  </pic:blipFill>
                  <pic:spPr>
                    <a:xfrm>
                      <a:off x="0" y="0"/>
                      <a:ext cx="4943475" cy="2994025"/>
                    </a:xfrm>
                    <a:prstGeom prst="rect">
                      <a:avLst/>
                    </a:prstGeom>
                    <a:noFill/>
                    <a:ln w="9525">
                      <a:noFill/>
                      <a:miter lim="800000"/>
                      <a:headEnd/>
                      <a:tailEnd/>
                    </a:ln>
                  </pic:spPr>
                </pic:pic>
              </a:graphicData>
            </a:graphic>
          </wp:inline>
        </w:drawing>
      </w:r>
    </w:p>
    <w:p>
      <w:pPr>
        <w:widowControl/>
        <w:numPr>
          <w:ilvl w:val="0"/>
          <w:numId w:val="0"/>
        </w:numPr>
        <w:spacing w:line="360" w:lineRule="auto"/>
        <w:ind w:leftChars="0"/>
        <w:jc w:val="left"/>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ind w:left="0"/>
        <w:rPr>
          <w:rFonts w:hint="eastAsia" w:ascii="宋体" w:hAnsi="宋体"/>
          <w:b/>
          <w:bCs/>
          <w:szCs w:val="21"/>
        </w:rPr>
      </w:pPr>
    </w:p>
    <w:p>
      <w:pPr>
        <w:pStyle w:val="2"/>
        <w:keepNext w:val="0"/>
        <w:keepLines w:val="0"/>
        <w:pageBreakBefore w:val="0"/>
        <w:numPr>
          <w:ilvl w:val="0"/>
          <w:numId w:val="0"/>
        </w:numPr>
        <w:kinsoku/>
        <w:wordWrap/>
        <w:overflowPunct/>
        <w:topLinePunct w:val="0"/>
        <w:autoSpaceDE/>
        <w:autoSpaceDN/>
        <w:bidi w:val="0"/>
        <w:adjustRightInd/>
        <w:snapToGrid/>
        <w:spacing w:after="0" w:line="240" w:lineRule="atLeast"/>
        <w:ind w:leftChars="0"/>
        <w:jc w:val="center"/>
        <w:textAlignment w:val="auto"/>
        <w:rPr>
          <w:rFonts w:hint="eastAsia" w:ascii="宋体" w:hAnsi="宋体"/>
          <w:b/>
          <w:bCs/>
          <w:szCs w:val="21"/>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after="0" w:line="240" w:lineRule="atLeast"/>
        <w:ind w:leftChars="0"/>
        <w:jc w:val="both"/>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附件：</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tLeast"/>
        <w:ind w:leftChars="0"/>
        <w:jc w:val="center"/>
        <w:textAlignment w:val="auto"/>
        <w:rPr>
          <w:rFonts w:hint="eastAsia" w:ascii="宋体" w:hAnsi="宋体"/>
          <w:b/>
          <w:bCs/>
          <w:szCs w:val="21"/>
          <w:lang w:val="en-US" w:eastAsia="zh-CN"/>
        </w:rPr>
      </w:pPr>
      <w:r>
        <w:rPr>
          <w:rFonts w:hint="eastAsia" w:ascii="宋体" w:hAnsi="宋体"/>
          <w:b/>
          <w:bCs/>
          <w:szCs w:val="21"/>
          <w:lang w:val="en-US" w:eastAsia="zh-CN"/>
        </w:rPr>
        <w:t>深圳会展中心餐饮广场供应商餐饮服务考评表</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tLeast"/>
        <w:ind w:leftChars="0"/>
        <w:jc w:val="center"/>
        <w:textAlignment w:val="auto"/>
        <w:rPr>
          <w:rFonts w:hint="eastAsia" w:asciiTheme="minorEastAsia" w:hAnsiTheme="minorEastAsia"/>
          <w:szCs w:val="21"/>
          <w:lang w:val="en-US" w:eastAsia="zh-CN"/>
        </w:rPr>
      </w:pPr>
    </w:p>
    <w:tbl>
      <w:tblPr>
        <w:tblStyle w:val="15"/>
        <w:tblpPr w:leftFromText="180" w:rightFromText="180" w:vertAnchor="page" w:horzAnchor="page" w:tblpX="1134" w:tblpY="2716"/>
        <w:tblOverlap w:val="never"/>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301"/>
        <w:gridCol w:w="5464"/>
        <w:gridCol w:w="712"/>
        <w:gridCol w:w="717"/>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5" w:type="dxa"/>
            <w:vAlign w:val="center"/>
          </w:tcPr>
          <w:p>
            <w:pPr>
              <w:numPr>
                <w:ilvl w:val="0"/>
                <w:numId w:val="0"/>
              </w:numPr>
              <w:jc w:val="left"/>
              <w:outlineLvl w:val="1"/>
              <w:rPr>
                <w:rFonts w:ascii="宋体" w:hAnsi="宋体" w:cs="宋体"/>
                <w:b w:val="0"/>
                <w:bCs/>
                <w:sz w:val="21"/>
                <w:szCs w:val="21"/>
              </w:rPr>
            </w:pPr>
            <w:r>
              <w:rPr>
                <w:rFonts w:hint="eastAsia" w:ascii="宋体" w:hAnsi="宋体"/>
                <w:b w:val="0"/>
                <w:bCs/>
                <w:szCs w:val="21"/>
                <w:lang w:val="en-US" w:eastAsia="zh-CN"/>
              </w:rPr>
              <w:t>序号</w:t>
            </w:r>
          </w:p>
        </w:tc>
        <w:tc>
          <w:tcPr>
            <w:tcW w:w="13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sz w:val="21"/>
                <w:szCs w:val="21"/>
              </w:rPr>
            </w:pPr>
            <w:r>
              <w:rPr>
                <w:rFonts w:hint="eastAsia" w:ascii="宋体" w:hAnsi="宋体" w:cs="宋体"/>
                <w:b w:val="0"/>
                <w:bCs/>
                <w:sz w:val="21"/>
                <w:szCs w:val="21"/>
              </w:rPr>
              <w:t>考核项目</w:t>
            </w:r>
          </w:p>
        </w:tc>
        <w:tc>
          <w:tcPr>
            <w:tcW w:w="54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sz w:val="21"/>
                <w:szCs w:val="21"/>
              </w:rPr>
            </w:pPr>
            <w:r>
              <w:rPr>
                <w:rFonts w:hint="eastAsia" w:ascii="宋体" w:hAnsi="宋体" w:cs="宋体"/>
                <w:b w:val="0"/>
                <w:bCs/>
                <w:sz w:val="21"/>
                <w:szCs w:val="21"/>
              </w:rPr>
              <w:t>考核内容</w:t>
            </w:r>
          </w:p>
        </w:tc>
        <w:tc>
          <w:tcPr>
            <w:tcW w:w="7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sz w:val="21"/>
                <w:szCs w:val="21"/>
              </w:rPr>
            </w:pPr>
            <w:r>
              <w:rPr>
                <w:rFonts w:hint="eastAsia" w:ascii="宋体" w:hAnsi="宋体" w:cs="宋体"/>
                <w:b w:val="0"/>
                <w:bCs/>
                <w:sz w:val="21"/>
                <w:szCs w:val="21"/>
              </w:rPr>
              <w:t>满分</w:t>
            </w:r>
          </w:p>
        </w:tc>
        <w:tc>
          <w:tcPr>
            <w:tcW w:w="71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sz w:val="21"/>
                <w:szCs w:val="21"/>
              </w:rPr>
            </w:pPr>
            <w:r>
              <w:rPr>
                <w:rFonts w:hint="eastAsia" w:ascii="宋体" w:hAnsi="宋体" w:cs="宋体"/>
                <w:b w:val="0"/>
                <w:bCs/>
                <w:sz w:val="21"/>
                <w:szCs w:val="21"/>
              </w:rPr>
              <w:t>得分</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sz w:val="21"/>
                <w:szCs w:val="21"/>
              </w:rPr>
            </w:pPr>
            <w:r>
              <w:rPr>
                <w:rFonts w:hint="eastAsia" w:ascii="宋体" w:hAnsi="宋体" w:cs="宋体"/>
                <w:b w:val="0"/>
                <w:bCs/>
                <w:sz w:val="21"/>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735" w:type="dxa"/>
            <w:vMerge w:val="restart"/>
            <w:vAlign w:val="center"/>
          </w:tcPr>
          <w:p>
            <w:pPr>
              <w:spacing w:line="240" w:lineRule="auto"/>
              <w:jc w:val="center"/>
              <w:rPr>
                <w:rFonts w:ascii="宋体" w:hAnsi="宋体" w:cs="宋体"/>
                <w:szCs w:val="21"/>
              </w:rPr>
            </w:pPr>
            <w:r>
              <w:rPr>
                <w:rFonts w:ascii="宋体" w:hAnsi="宋体" w:cs="宋体"/>
                <w:szCs w:val="21"/>
              </w:rPr>
              <w:t>1</w:t>
            </w:r>
          </w:p>
        </w:tc>
        <w:tc>
          <w:tcPr>
            <w:tcW w:w="1301" w:type="dxa"/>
            <w:vMerge w:val="restart"/>
            <w:vAlign w:val="center"/>
          </w:tcPr>
          <w:p>
            <w:pPr>
              <w:spacing w:line="240" w:lineRule="auto"/>
              <w:jc w:val="center"/>
              <w:rPr>
                <w:rFonts w:ascii="宋体" w:hAnsi="宋体" w:cs="宋体"/>
                <w:szCs w:val="21"/>
              </w:rPr>
            </w:pPr>
            <w:r>
              <w:rPr>
                <w:rFonts w:hint="eastAsia" w:ascii="宋体" w:hAnsi="宋体" w:cs="宋体"/>
                <w:szCs w:val="21"/>
              </w:rPr>
              <w:t>日常管理</w:t>
            </w:r>
          </w:p>
        </w:tc>
        <w:tc>
          <w:tcPr>
            <w:tcW w:w="5464" w:type="dxa"/>
            <w:vAlign w:val="center"/>
          </w:tcPr>
          <w:p>
            <w:pPr>
              <w:spacing w:line="240" w:lineRule="auto"/>
              <w:jc w:val="left"/>
              <w:rPr>
                <w:rFonts w:ascii="宋体" w:hAnsi="宋体" w:cs="宋体"/>
                <w:szCs w:val="21"/>
              </w:rPr>
            </w:pPr>
            <w:r>
              <w:rPr>
                <w:rFonts w:hint="eastAsia" w:ascii="宋体" w:hAnsi="宋体" w:cs="宋体"/>
                <w:szCs w:val="21"/>
              </w:rPr>
              <w:t>管理规章制度健全、人员岗位职责明确，并严格按照制度执行，工作有详尽的记录。</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餐饮营业执照、食品经营许可证等是否在有效期内。员工持有有效健康证明，并持证上岗。</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Theme="minorEastAsia" w:hAnsiTheme="minorEastAsia" w:eastAsiaTheme="minorEastAsia"/>
                <w:szCs w:val="21"/>
              </w:rPr>
            </w:pPr>
            <w:r>
              <w:rPr>
                <w:rFonts w:hint="eastAsia" w:asciiTheme="minorEastAsia" w:hAnsiTheme="minorEastAsia"/>
                <w:szCs w:val="21"/>
              </w:rPr>
              <w:t>有主办或展商定餐的，是否按规定提前交“定餐备案表”到会餐部备案。</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10</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Theme="minorEastAsia" w:hAnsiTheme="minorEastAsia"/>
                <w:szCs w:val="21"/>
              </w:rPr>
            </w:pPr>
            <w:r>
              <w:rPr>
                <w:rFonts w:hint="eastAsia" w:asciiTheme="minorEastAsia" w:hAnsiTheme="minorEastAsia"/>
                <w:szCs w:val="21"/>
              </w:rPr>
              <w:t>是否超许可范围经营。</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10</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Theme="minorEastAsia" w:hAnsiTheme="minorEastAsia"/>
                <w:szCs w:val="21"/>
              </w:rPr>
              <w:t>是否按时缴交管理费及相关费用。</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10</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Theme="minorEastAsia" w:hAnsiTheme="minorEastAsia"/>
                <w:szCs w:val="21"/>
              </w:rPr>
              <w:t>当日所提交收银单是否与实际营业额相符。</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10</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restart"/>
            <w:vAlign w:val="center"/>
          </w:tcPr>
          <w:p>
            <w:pPr>
              <w:spacing w:line="240" w:lineRule="auto"/>
              <w:jc w:val="center"/>
              <w:rPr>
                <w:rFonts w:ascii="宋体" w:hAnsi="宋体" w:cs="宋体"/>
                <w:szCs w:val="21"/>
              </w:rPr>
            </w:pPr>
            <w:r>
              <w:rPr>
                <w:rFonts w:ascii="宋体" w:hAnsi="宋体" w:cs="宋体"/>
                <w:szCs w:val="21"/>
              </w:rPr>
              <w:t>2</w:t>
            </w:r>
          </w:p>
        </w:tc>
        <w:tc>
          <w:tcPr>
            <w:tcW w:w="1301" w:type="dxa"/>
            <w:vMerge w:val="restart"/>
            <w:vAlign w:val="center"/>
          </w:tcPr>
          <w:p>
            <w:pPr>
              <w:spacing w:line="240" w:lineRule="auto"/>
              <w:jc w:val="center"/>
              <w:rPr>
                <w:rFonts w:ascii="宋体" w:hAnsi="宋体" w:cs="宋体"/>
                <w:szCs w:val="21"/>
              </w:rPr>
            </w:pPr>
            <w:r>
              <w:rPr>
                <w:rFonts w:hint="eastAsia" w:ascii="宋体" w:hAnsi="宋体" w:cs="宋体"/>
                <w:szCs w:val="21"/>
              </w:rPr>
              <w:t>安全管理</w:t>
            </w:r>
          </w:p>
        </w:tc>
        <w:tc>
          <w:tcPr>
            <w:tcW w:w="5464" w:type="dxa"/>
            <w:vAlign w:val="center"/>
          </w:tcPr>
          <w:p>
            <w:pPr>
              <w:spacing w:line="240" w:lineRule="auto"/>
              <w:jc w:val="left"/>
              <w:rPr>
                <w:rFonts w:ascii="宋体" w:hAnsi="宋体" w:cs="宋体"/>
                <w:szCs w:val="21"/>
              </w:rPr>
            </w:pPr>
            <w:r>
              <w:rPr>
                <w:rFonts w:hint="eastAsia" w:ascii="宋体" w:hAnsi="宋体" w:cs="宋体"/>
                <w:szCs w:val="21"/>
              </w:rPr>
              <w:t>有突发事件工作预案，有安全生产日常培训、及时处理紧急情况。</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出现安全责任事故及时上报，发现安全隐患及时整改排除，对所有检查和隐患整改情况记录并保存。</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设食品安全员，疫情常态化管理要求落实到位，定期对操作间进行消杀。</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配合采购人管理制度、采购人意见落实到位，积极配合采购人做好相关生产安全、食品安全、消防安全工作，保证本服务区域内配置的消防安全设施能正常使用。</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要求每日进行测温，消毒、自查、并责任到人，建立自查检查表并登记签字。</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10</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rPr>
                <w:rFonts w:ascii="宋体" w:hAnsi="宋体" w:cs="宋体"/>
                <w:sz w:val="24"/>
                <w:szCs w:val="24"/>
              </w:rPr>
            </w:pPr>
          </w:p>
          <w:p>
            <w:pPr>
              <w:spacing w:line="24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735" w:type="dxa"/>
            <w:vMerge w:val="restart"/>
            <w:vAlign w:val="center"/>
          </w:tcPr>
          <w:p>
            <w:pPr>
              <w:spacing w:line="240" w:lineRule="auto"/>
              <w:jc w:val="center"/>
              <w:rPr>
                <w:rFonts w:ascii="宋体" w:hAnsi="宋体" w:cs="宋体"/>
                <w:szCs w:val="21"/>
              </w:rPr>
            </w:pPr>
            <w:r>
              <w:rPr>
                <w:rFonts w:hint="eastAsia" w:ascii="宋体" w:hAnsi="宋体" w:cs="宋体"/>
                <w:szCs w:val="21"/>
              </w:rPr>
              <w:t>3</w:t>
            </w:r>
          </w:p>
        </w:tc>
        <w:tc>
          <w:tcPr>
            <w:tcW w:w="1301" w:type="dxa"/>
            <w:vMerge w:val="restart"/>
            <w:vAlign w:val="center"/>
          </w:tcPr>
          <w:p>
            <w:pPr>
              <w:spacing w:line="240" w:lineRule="auto"/>
              <w:jc w:val="center"/>
              <w:rPr>
                <w:rFonts w:ascii="宋体" w:hAnsi="宋体" w:cs="宋体"/>
                <w:szCs w:val="21"/>
              </w:rPr>
            </w:pPr>
            <w:r>
              <w:rPr>
                <w:rFonts w:hint="eastAsia" w:ascii="宋体" w:hAnsi="宋体" w:cs="宋体"/>
                <w:szCs w:val="21"/>
              </w:rPr>
              <w:t>现场检查</w:t>
            </w:r>
          </w:p>
        </w:tc>
        <w:tc>
          <w:tcPr>
            <w:tcW w:w="5464" w:type="dxa"/>
            <w:vAlign w:val="center"/>
          </w:tcPr>
          <w:p>
            <w:pPr>
              <w:spacing w:line="240" w:lineRule="auto"/>
              <w:jc w:val="left"/>
              <w:rPr>
                <w:rFonts w:ascii="宋体" w:hAnsi="宋体" w:cs="宋体"/>
                <w:szCs w:val="21"/>
              </w:rPr>
            </w:pPr>
            <w:r>
              <w:rPr>
                <w:rFonts w:hint="eastAsia" w:asciiTheme="minorEastAsia" w:hAnsiTheme="minorEastAsia"/>
                <w:szCs w:val="21"/>
              </w:rPr>
              <w:t>在服务区域内进行餐饮服务行为并保持该区域卫生环境的清洁和场馆设施的完好。</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铺位整体干净、整洁面貌，墙壁、地面无积尘、污迹，物品摆放整齐有序。</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抽查时现场环境卫生是否达标，有无异味及整洁度。</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Theme="minorEastAsia" w:hAnsiTheme="minorEastAsia"/>
                <w:szCs w:val="21"/>
              </w:rPr>
              <w:t>是否存在在店面前或展会现场进行乱摆卖、乱派发宣传品等行为。</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bl>
    <w:p>
      <w:pPr>
        <w:keepNext w:val="0"/>
        <w:keepLines w:val="0"/>
        <w:pageBreakBefore w:val="0"/>
        <w:kinsoku/>
        <w:wordWrap/>
        <w:overflowPunct/>
        <w:topLinePunct w:val="0"/>
        <w:autoSpaceDE/>
        <w:autoSpaceDN/>
        <w:bidi w:val="0"/>
        <w:adjustRightInd/>
        <w:snapToGrid/>
        <w:spacing w:line="240" w:lineRule="atLeast"/>
        <w:ind w:firstLine="420" w:firstLineChars="200"/>
        <w:jc w:val="left"/>
        <w:textAlignment w:val="auto"/>
        <w:rPr>
          <w:rFonts w:hint="eastAsia" w:eastAsia="宋体" w:asciiTheme="minorEastAsia" w:hAnsiTheme="minorEastAsia"/>
          <w:szCs w:val="21"/>
          <w:lang w:val="en-US" w:eastAsia="zh-CN"/>
        </w:rPr>
      </w:pPr>
    </w:p>
    <w:p>
      <w:pPr>
        <w:spacing w:line="360" w:lineRule="auto"/>
        <w:ind w:firstLine="0" w:firstLineChars="0"/>
        <w:jc w:val="left"/>
        <w:rPr>
          <w:rFonts w:hint="eastAsia" w:asciiTheme="minorEastAsia" w:hAnsiTheme="minorEastAsia"/>
          <w:szCs w:val="21"/>
        </w:rPr>
      </w:pPr>
    </w:p>
    <w:p>
      <w:pPr>
        <w:spacing w:line="360" w:lineRule="auto"/>
        <w:jc w:val="left"/>
        <w:rPr>
          <w:rFonts w:asciiTheme="minorEastAsia" w:hAnsiTheme="minorEastAsia"/>
          <w:szCs w:val="21"/>
          <w:highlight w:val="yellow"/>
        </w:rPr>
      </w:pPr>
      <w:r>
        <w:rPr>
          <w:rFonts w:hint="eastAsia" w:asciiTheme="minorEastAsia" w:hAnsiTheme="minorEastAsia"/>
          <w:szCs w:val="21"/>
        </w:rPr>
        <w:t>本考核自合同生效后试行，作为服务合同的附件，若在实行中有较大偏差双方可予以协商修改。考核由采购人成立考核小组，按每年度考核和日常抽查形式，总分为100分，合格分为85分，作为一年合同期满是否继续履行合同的依据。</w:t>
      </w:r>
    </w:p>
    <w:p>
      <w:pPr>
        <w:bidi w:val="0"/>
        <w:rPr>
          <w:rFonts w:hint="default"/>
          <w:lang w:val="en-US" w:eastAsia="zh-CN"/>
        </w:rPr>
      </w:pPr>
    </w:p>
    <w:p>
      <w:pPr>
        <w:widowControl/>
        <w:spacing w:line="360" w:lineRule="auto"/>
        <w:jc w:val="left"/>
        <w:rPr>
          <w:rFonts w:hint="eastAsia" w:ascii="宋体" w:hAnsi="宋体"/>
          <w:szCs w:val="21"/>
        </w:rPr>
      </w:pPr>
    </w:p>
    <w:bookmarkEnd w:id="41"/>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b/>
          <w:bCs/>
          <w:szCs w:val="21"/>
          <w:lang w:val="en-US" w:eastAsia="zh-CN"/>
        </w:rPr>
      </w:pPr>
    </w:p>
    <w:p>
      <w:pPr>
        <w:bidi w:val="0"/>
        <w:jc w:val="left"/>
        <w:rPr>
          <w:rFonts w:ascii="Times New Roman" w:hAnsi="Times New Roman" w:eastAsia="宋体" w:cs="Times New Roman"/>
          <w:kern w:val="2"/>
          <w:sz w:val="21"/>
          <w:szCs w:val="24"/>
          <w:lang w:val="en-US" w:eastAsia="zh-CN" w:bidi="ar-SA"/>
        </w:rPr>
      </w:pPr>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116550351"/>
      <w:bookmarkStart w:id="45" w:name="_Hlk104908581"/>
      <w:bookmarkStart w:id="46" w:name="_Hlk104908397"/>
      <w:r>
        <w:rPr>
          <w:rFonts w:hint="eastAsia"/>
          <w:b/>
        </w:rPr>
        <w:t>开标阶段</w:t>
      </w:r>
      <w:bookmarkEnd w:id="43"/>
      <w:bookmarkEnd w:id="44"/>
    </w:p>
    <w:bookmarkEnd w:id="45"/>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按要求准时进入视频会议室。</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按招标人指令上传投标文件解密密码至招标文件中指定地址。</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确认唱标结果。</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w:t>
      </w:r>
      <w:r>
        <w:rPr>
          <w:rFonts w:hint="eastAsia" w:ascii="宋体" w:hAnsi="宋体" w:eastAsia="宋体"/>
          <w:szCs w:val="21"/>
          <w:lang w:eastAsia="zh-CN"/>
        </w:rPr>
        <w:t>竞标人</w:t>
      </w:r>
      <w:r>
        <w:rPr>
          <w:rFonts w:hint="eastAsia" w:ascii="宋体" w:hAnsi="宋体" w:eastAsia="宋体"/>
          <w:szCs w:val="21"/>
        </w:rPr>
        <w:t>退出会议室。</w:t>
      </w:r>
    </w:p>
    <w:p>
      <w:pPr>
        <w:numPr>
          <w:ilvl w:val="0"/>
          <w:numId w:val="1"/>
        </w:numPr>
        <w:spacing w:line="360" w:lineRule="auto"/>
        <w:outlineLvl w:val="1"/>
        <w:rPr>
          <w:b/>
        </w:rPr>
      </w:pPr>
      <w:bookmarkStart w:id="47" w:name="_Toc116550352"/>
      <w:bookmarkStart w:id="48" w:name="_Toc104994642"/>
      <w:r>
        <w:rPr>
          <w:rFonts w:hint="eastAsia"/>
          <w:b/>
        </w:rPr>
        <w:t>评标阶段</w:t>
      </w:r>
      <w:bookmarkEnd w:id="47"/>
      <w:bookmarkEnd w:id="48"/>
    </w:p>
    <w:p>
      <w:pPr>
        <w:pStyle w:val="22"/>
        <w:numPr>
          <w:ilvl w:val="0"/>
          <w:numId w:val="15"/>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评标小组签字承诺遵守《招标评标工作守则》。</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评标小组成员推选组长主持评标。</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评标小组成员采用记名方式按照招标文件中规定的评标办法进行评分；</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11"/>
        <w:rPr>
          <w:rFonts w:ascii="宋体"/>
          <w:b/>
          <w:sz w:val="28"/>
        </w:rPr>
      </w:pPr>
    </w:p>
    <w:p>
      <w:pPr>
        <w:spacing w:line="360" w:lineRule="auto"/>
        <w:jc w:val="both"/>
        <w:outlineLvl w:val="0"/>
        <w:rPr>
          <w:rFonts w:ascii="宋体" w:hAnsi="宋体"/>
          <w:b/>
          <w:sz w:val="32"/>
          <w:szCs w:val="32"/>
        </w:rPr>
      </w:pPr>
      <w:bookmarkStart w:id="49" w:name="_Toc116550353"/>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16550354"/>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w:t>
      </w:r>
      <w:r>
        <w:rPr>
          <w:rFonts w:hint="eastAsia" w:ascii="宋体" w:hAnsi="宋体"/>
          <w:szCs w:val="21"/>
          <w:lang w:eastAsia="zh-CN"/>
        </w:rPr>
        <w:t>竞标人</w:t>
      </w:r>
      <w:r>
        <w:rPr>
          <w:rFonts w:hint="eastAsia" w:ascii="宋体" w:hAnsi="宋体"/>
          <w:szCs w:val="21"/>
        </w:rPr>
        <w:t>进行符合性审查，然后进行不可偏离项检查。对通过符合性审查及不可偏离项检查的</w:t>
      </w:r>
      <w:r>
        <w:rPr>
          <w:rFonts w:hint="eastAsia" w:ascii="宋体" w:hAnsi="宋体"/>
          <w:szCs w:val="21"/>
          <w:lang w:eastAsia="zh-CN"/>
        </w:rPr>
        <w:t>竞标人</w:t>
      </w:r>
      <w:r>
        <w:rPr>
          <w:rFonts w:hint="eastAsia" w:ascii="宋体" w:hAnsi="宋体"/>
          <w:szCs w:val="21"/>
        </w:rPr>
        <w:t>，采用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50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color w:val="auto"/>
                <w:sz w:val="21"/>
                <w:szCs w:val="21"/>
                <w:highlight w:val="none"/>
              </w:rPr>
            </w:pPr>
            <w:r>
              <w:rPr>
                <w:rFonts w:hint="eastAsia" w:ascii="宋体" w:hAnsi="宋体"/>
                <w:color w:val="auto"/>
                <w:sz w:val="21"/>
                <w:szCs w:val="21"/>
                <w:highlight w:val="none"/>
                <w:lang w:eastAsia="zh-CN"/>
              </w:rPr>
              <w:t>竞标人</w:t>
            </w:r>
            <w:r>
              <w:rPr>
                <w:rFonts w:hint="eastAsia" w:ascii="宋体" w:hAnsi="宋体"/>
                <w:color w:val="auto"/>
                <w:sz w:val="21"/>
                <w:szCs w:val="21"/>
                <w:highlight w:val="none"/>
              </w:rPr>
              <w:t>综合得分</w:t>
            </w:r>
          </w:p>
        </w:tc>
        <w:tc>
          <w:tcPr>
            <w:tcW w:w="6846" w:type="dxa"/>
            <w:gridSpan w:val="3"/>
            <w:vAlign w:val="center"/>
          </w:tcPr>
          <w:p>
            <w:pPr>
              <w:pStyle w:val="2"/>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16"/>
        </w:numPr>
        <w:spacing w:before="156" w:beforeLines="50"/>
        <w:jc w:val="left"/>
        <w:outlineLvl w:val="2"/>
        <w:rPr>
          <w:rStyle w:val="29"/>
          <w:rFonts w:ascii="宋体" w:hAnsi="宋体"/>
          <w:b/>
          <w:szCs w:val="21"/>
        </w:rPr>
      </w:pPr>
      <w:bookmarkStart w:id="51" w:name="_Toc116550355"/>
      <w:r>
        <w:rPr>
          <w:rStyle w:val="29"/>
          <w:rFonts w:hint="eastAsia" w:ascii="宋体" w:hAnsi="宋体"/>
          <w:b/>
          <w:bCs/>
          <w:szCs w:val="21"/>
        </w:rPr>
        <w:t>符合性检查</w:t>
      </w:r>
      <w:bookmarkEnd w:id="51"/>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lang w:eastAsia="zh-CN"/>
              </w:rPr>
              <w:t>竞标人</w:t>
            </w:r>
            <w:r>
              <w:rPr>
                <w:rFonts w:hint="eastAsia" w:ascii="宋体" w:hAnsi="宋体" w:cs="仿宋"/>
                <w:bCs/>
                <w:szCs w:val="21"/>
              </w:rPr>
              <w:t>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lang w:eastAsia="zh-CN"/>
              </w:rPr>
              <w:t>竞标人</w:t>
            </w:r>
            <w:r>
              <w:rPr>
                <w:rFonts w:hint="eastAsia" w:ascii="宋体" w:hAnsi="宋体" w:cs="仿宋"/>
                <w:bCs/>
                <w:szCs w:val="21"/>
              </w:rPr>
              <w:t>必须提供由法人代表或其书面授权人签署并加盖</w:t>
            </w:r>
            <w:r>
              <w:rPr>
                <w:rFonts w:hint="eastAsia" w:ascii="宋体" w:hAnsi="宋体" w:cs="仿宋"/>
                <w:bCs/>
                <w:szCs w:val="21"/>
                <w:lang w:eastAsia="zh-CN"/>
              </w:rPr>
              <w:t>竞标人</w:t>
            </w:r>
            <w:r>
              <w:rPr>
                <w:rFonts w:hint="eastAsia" w:ascii="宋体" w:hAnsi="宋体" w:cs="仿宋"/>
                <w:bCs/>
                <w:szCs w:val="21"/>
              </w:rPr>
              <w:t>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pPr>
            <w:r>
              <w:rPr>
                <w:rFonts w:hint="eastAsia"/>
                <w:lang w:eastAsia="zh-CN"/>
              </w:rPr>
              <w:t>竞标人</w:t>
            </w:r>
            <w:r>
              <w:rPr>
                <w:rFonts w:hint="eastAsia"/>
              </w:rPr>
              <w:t>是否提供以下证明文件：（以下内容，请根据《商务需求》第1项“资格要求”编写）</w:t>
            </w:r>
          </w:p>
          <w:p>
            <w:pPr>
              <w:numPr>
                <w:ilvl w:val="0"/>
                <w:numId w:val="17"/>
              </w:numPr>
              <w:tabs>
                <w:tab w:val="left" w:pos="531"/>
              </w:tabs>
              <w:snapToGrid w:val="0"/>
              <w:spacing w:line="360" w:lineRule="auto"/>
            </w:pPr>
            <w:r>
              <w:rPr>
                <w:rFonts w:hint="eastAsia"/>
                <w:lang w:val="en-US" w:eastAsia="zh-CN"/>
              </w:rPr>
              <w:t>营业执照</w:t>
            </w:r>
            <w:r>
              <w:rPr>
                <w:rFonts w:hint="eastAsia"/>
              </w:rPr>
              <w:t>。</w:t>
            </w:r>
          </w:p>
          <w:p>
            <w:pPr>
              <w:numPr>
                <w:ilvl w:val="0"/>
                <w:numId w:val="17"/>
              </w:numPr>
              <w:tabs>
                <w:tab w:val="left" w:pos="531"/>
              </w:tabs>
              <w:snapToGrid w:val="0"/>
              <w:spacing w:line="360" w:lineRule="auto"/>
            </w:pPr>
            <w:r>
              <w:rPr>
                <w:rFonts w:hint="eastAsia"/>
                <w:lang w:val="en-US" w:eastAsia="zh-CN"/>
              </w:rPr>
              <w:t>信用中国网站公示的企业信息打印件</w:t>
            </w:r>
            <w:r>
              <w:rPr>
                <w:rFonts w:hint="eastAsia"/>
              </w:rPr>
              <w:t>。</w:t>
            </w:r>
          </w:p>
          <w:p>
            <w:pPr>
              <w:numPr>
                <w:ilvl w:val="0"/>
                <w:numId w:val="17"/>
              </w:numPr>
              <w:tabs>
                <w:tab w:val="left" w:pos="531"/>
              </w:tabs>
              <w:snapToGrid w:val="0"/>
              <w:spacing w:line="360" w:lineRule="auto"/>
              <w:rPr>
                <w:rFonts w:hint="eastAsia"/>
              </w:rPr>
            </w:pPr>
            <w:r>
              <w:rPr>
                <w:rFonts w:hint="eastAsia"/>
                <w:lang w:val="en-US" w:eastAsia="zh-CN"/>
              </w:rPr>
              <w:t>法定代表人资格证明书</w:t>
            </w:r>
            <w:r>
              <w:rPr>
                <w:rFonts w:hint="eastAsia"/>
              </w:rPr>
              <w:t>。</w:t>
            </w:r>
          </w:p>
          <w:p>
            <w:pPr>
              <w:numPr>
                <w:ilvl w:val="0"/>
                <w:numId w:val="17"/>
              </w:numPr>
              <w:tabs>
                <w:tab w:val="left" w:pos="531"/>
              </w:tabs>
              <w:snapToGrid w:val="0"/>
              <w:spacing w:line="360" w:lineRule="auto"/>
              <w:rPr>
                <w:rFonts w:hint="default" w:eastAsia="宋体"/>
                <w:lang w:val="en-US" w:eastAsia="zh-CN"/>
              </w:rPr>
            </w:pPr>
            <w:r>
              <w:rPr>
                <w:rFonts w:hint="eastAsia"/>
              </w:rPr>
              <w:t>提供</w:t>
            </w:r>
            <w:r>
              <w:rPr>
                <w:rFonts w:hint="eastAsia"/>
                <w:lang w:val="en-US" w:eastAsia="zh-CN"/>
              </w:rPr>
              <w:t>食品</w:t>
            </w:r>
            <w:r>
              <w:rPr>
                <w:rFonts w:hint="eastAsia"/>
              </w:rPr>
              <w:t>经营许可证复印件并加盖</w:t>
            </w:r>
            <w:r>
              <w:rPr>
                <w:rFonts w:hint="eastAsia"/>
                <w:lang w:val="en-US" w:eastAsia="zh-CN"/>
              </w:rPr>
              <w:t>竞标人</w:t>
            </w:r>
            <w:r>
              <w:rPr>
                <w:rFonts w:hint="eastAsia"/>
              </w:rPr>
              <w:t>公章</w:t>
            </w:r>
            <w:r>
              <w:rPr>
                <w:rFonts w:hint="eastAsia"/>
                <w:lang w:eastAsia="zh-CN"/>
              </w:rPr>
              <w:t>。</w:t>
            </w:r>
          </w:p>
          <w:p>
            <w:pPr>
              <w:numPr>
                <w:ilvl w:val="0"/>
                <w:numId w:val="17"/>
              </w:numPr>
              <w:tabs>
                <w:tab w:val="left" w:pos="531"/>
              </w:tabs>
              <w:snapToGrid w:val="0"/>
              <w:spacing w:line="360" w:lineRule="auto"/>
              <w:rPr>
                <w:rFonts w:hint="default" w:eastAsia="宋体"/>
                <w:lang w:val="en-US" w:eastAsia="zh-CN"/>
              </w:rPr>
            </w:pPr>
            <w:r>
              <w:rPr>
                <w:rFonts w:hint="eastAsia"/>
                <w:lang w:val="en-US" w:eastAsia="zh-CN"/>
              </w:rPr>
              <w:t>竞标人</w:t>
            </w:r>
            <w:r>
              <w:rPr>
                <w:rFonts w:hint="eastAsia"/>
              </w:rPr>
              <w:t>承诺没有处于被责令停业、投标资格被取消、财产被接管、冻结，破产状态；在最近三年内餐饮服务保障中无任何食品安全方面的不良记录声明（提供三年内无重大食品安全事故保证书，并加盖公章）</w:t>
            </w:r>
            <w:r>
              <w:rPr>
                <w:rFonts w:hint="eastAsia"/>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宋体"/>
                <w:color w:val="FF0000"/>
                <w:szCs w:val="21"/>
                <w:highlight w:val="none"/>
              </w:rPr>
              <w:t>本项目</w:t>
            </w:r>
            <w:r>
              <w:rPr>
                <w:rFonts w:hint="eastAsia" w:ascii="宋体" w:hAnsi="宋体" w:cs="宋体"/>
                <w:color w:val="FF0000"/>
                <w:szCs w:val="21"/>
                <w:highlight w:val="none"/>
                <w:lang w:val="en-US" w:eastAsia="zh-CN"/>
              </w:rPr>
              <w:t>各铺位均设定了竞标低价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竞标人</w:t>
            </w:r>
            <w:r>
              <w:rPr>
                <w:rFonts w:hint="eastAsia" w:ascii="宋体" w:hAnsi="宋体" w:cs="宋体"/>
                <w:color w:val="FF0000"/>
                <w:szCs w:val="21"/>
                <w:highlight w:val="none"/>
              </w:rPr>
              <w:t>报价</w:t>
            </w:r>
            <w:r>
              <w:rPr>
                <w:rFonts w:hint="eastAsia" w:ascii="宋体" w:hAnsi="宋体" w:cs="宋体"/>
                <w:color w:val="FF0000"/>
                <w:szCs w:val="21"/>
                <w:highlight w:val="none"/>
                <w:lang w:val="en-US" w:eastAsia="zh-CN"/>
              </w:rPr>
              <w:t>低于各铺位竞标低价</w:t>
            </w:r>
            <w:r>
              <w:rPr>
                <w:rFonts w:hint="eastAsia" w:ascii="宋体" w:hAnsi="宋体" w:cs="宋体"/>
                <w:color w:val="FF0000"/>
                <w:szCs w:val="21"/>
                <w:highlight w:val="none"/>
              </w:rPr>
              <w:t>的投标文件作废标处理。</w:t>
            </w:r>
          </w:p>
        </w:tc>
      </w:tr>
    </w:tbl>
    <w:p>
      <w:pPr>
        <w:numPr>
          <w:ilvl w:val="0"/>
          <w:numId w:val="16"/>
        </w:numPr>
        <w:spacing w:before="156" w:beforeLines="50"/>
        <w:jc w:val="left"/>
        <w:outlineLvl w:val="2"/>
        <w:rPr>
          <w:rStyle w:val="29"/>
          <w:rFonts w:ascii="宋体" w:hAnsi="宋体"/>
          <w:b/>
          <w:bCs/>
          <w:szCs w:val="21"/>
        </w:rPr>
      </w:pPr>
      <w:bookmarkStart w:id="52" w:name="_Toc114675512"/>
      <w:bookmarkStart w:id="53" w:name="_Toc116550356"/>
      <w:r>
        <w:rPr>
          <w:rStyle w:val="29"/>
          <w:rFonts w:hint="eastAsia" w:ascii="宋体" w:hAnsi="宋体"/>
          <w:b/>
          <w:bCs/>
          <w:szCs w:val="21"/>
        </w:rPr>
        <w:t>不可偏离项检查</w:t>
      </w:r>
      <w:bookmarkEnd w:id="52"/>
      <w:bookmarkEnd w:id="53"/>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6"/>
        </w:numPr>
        <w:spacing w:before="156" w:beforeLines="50"/>
        <w:jc w:val="left"/>
        <w:outlineLvl w:val="2"/>
        <w:rPr>
          <w:rFonts w:ascii="宋体" w:hAnsi="宋体"/>
          <w:b/>
          <w:bCs/>
          <w:szCs w:val="21"/>
        </w:rPr>
      </w:pPr>
      <w:bookmarkStart w:id="54" w:name="_Toc116550357"/>
      <w:bookmarkStart w:id="55" w:name="_Toc114675513"/>
      <w:r>
        <w:rPr>
          <w:rStyle w:val="29"/>
          <w:rFonts w:hint="eastAsia" w:ascii="宋体" w:hAnsi="宋体"/>
          <w:b/>
          <w:bCs/>
          <w:szCs w:val="21"/>
        </w:rPr>
        <w:t>综合评议指标表</w:t>
      </w:r>
      <w:bookmarkEnd w:id="54"/>
      <w:bookmarkEnd w:id="55"/>
    </w:p>
    <w:tbl>
      <w:tblPr>
        <w:tblStyle w:val="14"/>
        <w:tblpPr w:leftFromText="180" w:rightFromText="180" w:vertAnchor="text" w:horzAnchor="page" w:tblpX="1347" w:tblpY="1497"/>
        <w:tblOverlap w:val="never"/>
        <w:tblW w:w="980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64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 w:val="21"/>
                <w:szCs w:val="21"/>
                <w:highlight w:val="none"/>
              </w:rPr>
            </w:pPr>
            <w:r>
              <w:rPr>
                <w:rFonts w:ascii="宋体" w:hAnsi="宋体"/>
                <w:b/>
                <w:color w:val="auto"/>
                <w:sz w:val="21"/>
                <w:szCs w:val="21"/>
                <w:highlight w:val="none"/>
              </w:rPr>
              <w:t>分值</w:t>
            </w:r>
          </w:p>
        </w:tc>
        <w:tc>
          <w:tcPr>
            <w:tcW w:w="7260" w:type="dxa"/>
            <w:gridSpan w:val="2"/>
            <w:tcBorders>
              <w:tl2br w:val="nil"/>
              <w:tr2bl w:val="nil"/>
            </w:tcBorders>
            <w:shd w:val="clear" w:color="auto" w:fill="EEEEEE"/>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9807" w:type="dxa"/>
            <w:gridSpan w:val="5"/>
            <w:tcBorders>
              <w:tl2br w:val="nil"/>
              <w:tr2bl w:val="nil"/>
            </w:tcBorders>
            <w:shd w:val="clear" w:color="auto" w:fill="EEEEEE"/>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商务评议项（</w:t>
            </w:r>
            <w:r>
              <w:rPr>
                <w:rFonts w:hint="eastAsia" w:ascii="宋体" w:hAnsi="宋体"/>
                <w:color w:val="auto"/>
                <w:sz w:val="21"/>
                <w:szCs w:val="21"/>
                <w:highlight w:val="none"/>
                <w:lang w:val="en-US" w:eastAsia="zh-CN"/>
              </w:rPr>
              <w:t>20</w:t>
            </w:r>
            <w:r>
              <w:rPr>
                <w:rFonts w:hint="eastAsia" w:ascii="宋体" w:hAnsi="宋体"/>
                <w:b/>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01"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olor w:val="auto"/>
                <w:sz w:val="21"/>
                <w:szCs w:val="21"/>
                <w:highlight w:val="none"/>
                <w:lang w:val="en-US" w:eastAsia="zh-CN"/>
              </w:rPr>
            </w:pPr>
            <w:r>
              <w:rPr>
                <w:rFonts w:hint="eastAsia"/>
                <w:color w:val="auto"/>
                <w:sz w:val="21"/>
                <w:szCs w:val="21"/>
                <w:highlight w:val="none"/>
                <w:lang w:val="en-US" w:eastAsia="zh-CN"/>
              </w:rPr>
              <w:t>配送车辆</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numPr>
                <w:ilvl w:val="0"/>
                <w:numId w:val="18"/>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val="en-US" w:eastAsia="zh-CN"/>
              </w:rPr>
              <w:t>竞标人</w:t>
            </w:r>
            <w:r>
              <w:rPr>
                <w:rFonts w:hint="eastAsia" w:ascii="宋体" w:hAnsi="宋体" w:cs="宋体"/>
                <w:color w:val="auto"/>
                <w:sz w:val="21"/>
                <w:szCs w:val="21"/>
                <w:highlight w:val="none"/>
              </w:rPr>
              <w:t>为本项目配备的配送车辆（车辆类型以行驶证所载类型为准）计分，</w:t>
            </w:r>
            <w:r>
              <w:rPr>
                <w:rFonts w:hint="eastAsia" w:ascii="宋体" w:hAnsi="宋体" w:cs="宋体"/>
                <w:color w:val="auto"/>
                <w:sz w:val="21"/>
                <w:szCs w:val="21"/>
                <w:highlight w:val="none"/>
                <w:lang w:val="en-US" w:eastAsia="zh-CN"/>
              </w:rPr>
              <w:t>有配置配送</w:t>
            </w:r>
            <w:r>
              <w:rPr>
                <w:rFonts w:hint="eastAsia" w:ascii="宋体" w:hAnsi="宋体" w:cs="宋体"/>
                <w:color w:val="auto"/>
                <w:sz w:val="21"/>
                <w:szCs w:val="21"/>
                <w:highlight w:val="none"/>
              </w:rPr>
              <w:t>货车得1分</w:t>
            </w:r>
            <w:r>
              <w:rPr>
                <w:rFonts w:hint="eastAsia" w:ascii="宋体" w:hAnsi="宋体" w:cs="宋体"/>
                <w:color w:val="auto"/>
                <w:sz w:val="21"/>
                <w:szCs w:val="21"/>
                <w:highlight w:val="none"/>
                <w:lang w:eastAsia="zh-CN"/>
              </w:rPr>
              <w:t>；</w:t>
            </w:r>
          </w:p>
          <w:p>
            <w:pPr>
              <w:widowControl/>
              <w:numPr>
                <w:ilvl w:val="0"/>
                <w:numId w:val="18"/>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上述货车中有具备冷链或热链运输能力的，每辆加1分，最高加2分。</w:t>
            </w:r>
          </w:p>
          <w:p>
            <w:pPr>
              <w:rPr>
                <w:rFonts w:ascii="宋体" w:hAnsi="宋体"/>
                <w:color w:val="auto"/>
                <w:sz w:val="21"/>
                <w:szCs w:val="21"/>
                <w:highlight w:val="none"/>
              </w:rPr>
            </w:pPr>
            <w:r>
              <w:rPr>
                <w:rFonts w:hint="eastAsia" w:ascii="宋体" w:hAnsi="宋体" w:cs="宋体"/>
                <w:color w:val="auto"/>
                <w:sz w:val="21"/>
                <w:szCs w:val="21"/>
                <w:highlight w:val="none"/>
              </w:rPr>
              <w:t>注：须提供年审有效期内的自有货车或合作单位车辆行驶证、机动车辆登记证书复印件加盖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公章，合作单位车辆须提供合作合同复印件加盖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1"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连锁店数量</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snapToGrid w:val="0"/>
              <w:rPr>
                <w:rFonts w:ascii="宋体" w:hAnsi="宋体"/>
                <w:color w:val="auto"/>
                <w:sz w:val="21"/>
                <w:szCs w:val="21"/>
                <w:highlight w:val="none"/>
              </w:rPr>
            </w:pPr>
            <w:r>
              <w:rPr>
                <w:rFonts w:hint="eastAsia" w:ascii="宋体" w:hAnsi="宋体" w:cs="宋体"/>
                <w:color w:val="auto"/>
                <w:sz w:val="21"/>
                <w:szCs w:val="21"/>
                <w:highlight w:val="none"/>
              </w:rPr>
              <w:t>根据所投品牌</w:t>
            </w:r>
            <w:r>
              <w:rPr>
                <w:rFonts w:hint="eastAsia" w:ascii="宋体" w:hAnsi="宋体" w:cs="宋体"/>
                <w:color w:val="auto"/>
                <w:sz w:val="21"/>
                <w:szCs w:val="21"/>
                <w:highlight w:val="none"/>
                <w:lang w:val="en-US" w:eastAsia="zh-CN"/>
              </w:rPr>
              <w:t>在深圳市内</w:t>
            </w:r>
            <w:r>
              <w:rPr>
                <w:rFonts w:hint="eastAsia" w:ascii="宋体" w:hAnsi="宋体" w:cs="宋体"/>
                <w:color w:val="auto"/>
                <w:sz w:val="21"/>
                <w:szCs w:val="21"/>
                <w:highlight w:val="none"/>
              </w:rPr>
              <w:t>拥有的店铺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总店+分店）</w:t>
            </w:r>
            <w:r>
              <w:rPr>
                <w:rFonts w:hint="eastAsia" w:ascii="宋体" w:hAnsi="宋体" w:cs="宋体"/>
                <w:color w:val="auto"/>
                <w:sz w:val="21"/>
                <w:szCs w:val="21"/>
                <w:highlight w:val="none"/>
              </w:rPr>
              <w:t>数量进行评议，每拥有1家得1分，最多</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分；需场地产权资料或租用合同、</w:t>
            </w:r>
            <w:r>
              <w:rPr>
                <w:rFonts w:hint="eastAsia" w:ascii="宋体" w:hAnsi="宋体" w:cs="宋体"/>
                <w:color w:val="auto"/>
                <w:sz w:val="21"/>
                <w:szCs w:val="21"/>
                <w:highlight w:val="none"/>
                <w:lang w:val="en-US" w:eastAsia="zh-CN"/>
              </w:rPr>
              <w:t>食品</w:t>
            </w:r>
            <w:r>
              <w:rPr>
                <w:rFonts w:hint="eastAsia" w:ascii="宋体" w:hAnsi="宋体" w:cs="宋体"/>
                <w:color w:val="auto"/>
                <w:sz w:val="21"/>
                <w:szCs w:val="21"/>
                <w:highlight w:val="none"/>
              </w:rPr>
              <w:t>经营许可证等必要的辅助证明资料的复印件并加盖公章。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7"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sz w:val="21"/>
                <w:szCs w:val="21"/>
                <w:highlight w:val="none"/>
                <w:lang w:val="en-US" w:eastAsia="zh-CN"/>
              </w:rPr>
            </w:pPr>
            <w:r>
              <w:rPr>
                <w:rFonts w:hint="eastAsia" w:ascii="宋体" w:hAnsi="宋体" w:cs="宋体"/>
                <w:color w:val="auto"/>
                <w:sz w:val="21"/>
                <w:szCs w:val="21"/>
                <w:highlight w:val="none"/>
                <w:lang w:val="en-US" w:eastAsia="zh-CN"/>
              </w:rPr>
              <w:t>相关业绩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keepNext/>
              <w:keepLines/>
              <w:widowControl/>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年1月1日至本项目采购公告发布之日期间（以合同签订时间为准）提供的餐饮出品服务的情况评议（分段供餐量得分可以累加，最多</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分，需提供相关合同或协议关键页复印件或其他相关证明材料（如订单、收款证明等）：</w:t>
            </w:r>
          </w:p>
          <w:p>
            <w:pPr>
              <w:keepNext/>
              <w:keepLines/>
              <w:widowControl/>
              <w:numPr>
                <w:ilvl w:val="0"/>
                <w:numId w:val="19"/>
              </w:numPr>
              <w:ind w:left="225" w:hanging="225"/>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单日单店最大供餐量</w:t>
            </w:r>
            <w:r>
              <w:rPr>
                <w:rFonts w:hint="eastAsia" w:ascii="宋体" w:hAnsi="宋体" w:cs="宋体"/>
                <w:color w:val="auto"/>
                <w:sz w:val="21"/>
                <w:szCs w:val="21"/>
                <w:highlight w:val="none"/>
                <w:lang w:val="en-US" w:eastAsia="zh-CN"/>
              </w:rPr>
              <w:t>为300-</w:t>
            </w:r>
            <w:r>
              <w:rPr>
                <w:rFonts w:hint="eastAsia" w:ascii="宋体" w:hAnsi="宋体" w:cs="宋体"/>
                <w:color w:val="auto"/>
                <w:sz w:val="21"/>
                <w:szCs w:val="21"/>
                <w:highlight w:val="none"/>
              </w:rPr>
              <w:t>500</w:t>
            </w:r>
            <w:r>
              <w:rPr>
                <w:rFonts w:hint="eastAsia" w:ascii="宋体" w:hAnsi="宋体" w:cs="宋体"/>
                <w:color w:val="auto"/>
                <w:sz w:val="21"/>
                <w:szCs w:val="21"/>
                <w:highlight w:val="none"/>
                <w:lang w:val="en-US" w:eastAsia="zh-CN"/>
              </w:rPr>
              <w:t>份，</w:t>
            </w:r>
            <w:r>
              <w:rPr>
                <w:rFonts w:hint="eastAsia" w:ascii="宋体" w:hAnsi="宋体" w:cs="宋体"/>
                <w:color w:val="auto"/>
                <w:sz w:val="21"/>
                <w:szCs w:val="21"/>
                <w:highlight w:val="none"/>
              </w:rPr>
              <w:t>可得1分</w:t>
            </w:r>
          </w:p>
          <w:p>
            <w:pPr>
              <w:keepNext/>
              <w:keepLines/>
              <w:widowControl/>
              <w:numPr>
                <w:ilvl w:val="0"/>
                <w:numId w:val="19"/>
              </w:numPr>
              <w:ind w:left="225" w:hanging="225"/>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单日单店最大供餐量为50</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800</w:t>
            </w:r>
            <w:r>
              <w:rPr>
                <w:rFonts w:hint="eastAsia" w:ascii="宋体" w:hAnsi="宋体" w:cs="宋体"/>
                <w:color w:val="auto"/>
                <w:sz w:val="21"/>
                <w:szCs w:val="21"/>
                <w:highlight w:val="none"/>
              </w:rPr>
              <w:t>份，可得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pPr>
              <w:keepNext/>
              <w:keepLines/>
              <w:widowControl/>
              <w:numPr>
                <w:ilvl w:val="0"/>
                <w:numId w:val="19"/>
              </w:numPr>
              <w:ind w:left="225" w:hanging="225"/>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单日单店最大供餐量为</w:t>
            </w:r>
            <w:r>
              <w:rPr>
                <w:rFonts w:hint="eastAsia" w:ascii="宋体" w:hAnsi="宋体" w:cs="宋体"/>
                <w:color w:val="auto"/>
                <w:sz w:val="21"/>
                <w:szCs w:val="21"/>
                <w:highlight w:val="none"/>
                <w:lang w:val="en-US" w:eastAsia="zh-CN"/>
              </w:rPr>
              <w:t>801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1000</w:t>
            </w:r>
            <w:r>
              <w:rPr>
                <w:rFonts w:hint="eastAsia" w:ascii="宋体" w:hAnsi="宋体" w:cs="宋体"/>
                <w:color w:val="auto"/>
                <w:sz w:val="21"/>
                <w:szCs w:val="21"/>
                <w:highlight w:val="none"/>
              </w:rPr>
              <w:t>份，可得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pPr>
              <w:keepNext/>
              <w:keepLines/>
              <w:widowControl/>
              <w:numPr>
                <w:ilvl w:val="0"/>
                <w:numId w:val="19"/>
              </w:numPr>
              <w:ind w:left="225" w:hanging="225"/>
              <w:rPr>
                <w:rStyle w:val="19"/>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单日单店最大供餐量为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000份以上，可得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pPr>
              <w:keepNext/>
              <w:keepLines/>
              <w:widowControl/>
              <w:rPr>
                <w:rFonts w:ascii="宋体" w:hAnsi="宋体" w:cs="宋体"/>
                <w:color w:val="auto"/>
                <w:sz w:val="21"/>
                <w:szCs w:val="21"/>
                <w:highlight w:val="none"/>
              </w:rPr>
            </w:pPr>
            <w:r>
              <w:rPr>
                <w:rFonts w:hint="eastAsia" w:ascii="宋体" w:hAnsi="宋体" w:cs="宋体"/>
                <w:color w:val="auto"/>
                <w:sz w:val="21"/>
                <w:szCs w:val="21"/>
                <w:highlight w:val="none"/>
              </w:rPr>
              <w:t>注：</w:t>
            </w:r>
          </w:p>
          <w:p>
            <w:pPr>
              <w:keepNext/>
              <w:keepLines/>
              <w:widowControl/>
              <w:numPr>
                <w:ilvl w:val="0"/>
                <w:numId w:val="20"/>
              </w:numPr>
              <w:rPr>
                <w:rFonts w:ascii="宋体" w:hAnsi="宋体" w:cs="宋体"/>
                <w:color w:val="auto"/>
                <w:sz w:val="21"/>
                <w:szCs w:val="21"/>
                <w:highlight w:val="none"/>
              </w:rPr>
            </w:pPr>
            <w:r>
              <w:rPr>
                <w:rFonts w:hint="eastAsia" w:ascii="宋体" w:hAnsi="宋体" w:cs="宋体"/>
                <w:color w:val="auto"/>
                <w:sz w:val="21"/>
                <w:szCs w:val="21"/>
                <w:highlight w:val="none"/>
              </w:rPr>
              <w:t>同一天取最高分计一次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竞标人需自行统计总数。</w:t>
            </w:r>
          </w:p>
          <w:p>
            <w:pPr>
              <w:keepNext/>
              <w:keepLines/>
              <w:widowControl/>
              <w:numPr>
                <w:ilvl w:val="0"/>
                <w:numId w:val="20"/>
              </w:numPr>
              <w:rPr>
                <w:color w:val="auto"/>
                <w:sz w:val="21"/>
                <w:szCs w:val="21"/>
                <w:highlight w:val="none"/>
              </w:rPr>
            </w:pPr>
            <w:r>
              <w:rPr>
                <w:rFonts w:hint="eastAsia"/>
                <w:color w:val="auto"/>
                <w:sz w:val="21"/>
                <w:szCs w:val="21"/>
                <w:highlight w:val="none"/>
              </w:rPr>
              <w:t>如订单或收款单等只有总金额没有数量的，按每份35元计算数量。未提供或提供不清晰导致无法判断数量的不得分。</w:t>
            </w:r>
          </w:p>
          <w:p>
            <w:pPr>
              <w:keepNext/>
              <w:keepLines/>
              <w:numPr>
                <w:ilvl w:val="0"/>
                <w:numId w:val="20"/>
              </w:numPr>
              <w:rPr>
                <w:color w:val="auto"/>
                <w:highlight w:val="none"/>
              </w:rPr>
            </w:pPr>
            <w:r>
              <w:rPr>
                <w:rFonts w:hint="eastAsia" w:ascii="宋体" w:hAnsi="宋体" w:cs="宋体"/>
                <w:color w:val="auto"/>
                <w:sz w:val="21"/>
                <w:szCs w:val="21"/>
                <w:highlight w:val="none"/>
                <w:lang w:val="en-US" w:eastAsia="zh-CN"/>
              </w:rPr>
              <w:t>店面</w:t>
            </w:r>
            <w:r>
              <w:rPr>
                <w:rFonts w:hint="eastAsia" w:ascii="宋体" w:hAnsi="宋体" w:cs="宋体"/>
                <w:color w:val="auto"/>
                <w:sz w:val="21"/>
                <w:szCs w:val="21"/>
                <w:highlight w:val="none"/>
              </w:rPr>
              <w:t>需</w:t>
            </w:r>
            <w:r>
              <w:rPr>
                <w:rFonts w:hint="eastAsia" w:ascii="宋体" w:hAnsi="宋体" w:cs="宋体"/>
                <w:color w:val="auto"/>
                <w:sz w:val="21"/>
                <w:szCs w:val="21"/>
                <w:highlight w:val="none"/>
                <w:lang w:val="en-US" w:eastAsia="zh-CN"/>
              </w:rPr>
              <w:t>提供</w:t>
            </w:r>
            <w:r>
              <w:rPr>
                <w:rFonts w:hint="eastAsia" w:ascii="宋体" w:hAnsi="宋体" w:cs="宋体"/>
                <w:color w:val="auto"/>
                <w:sz w:val="21"/>
                <w:szCs w:val="21"/>
                <w:highlight w:val="none"/>
              </w:rPr>
              <w:t>场地产权资料或租用合同、</w:t>
            </w:r>
            <w:r>
              <w:rPr>
                <w:rFonts w:hint="eastAsia" w:ascii="宋体" w:hAnsi="宋体" w:cs="宋体"/>
                <w:color w:val="auto"/>
                <w:sz w:val="21"/>
                <w:szCs w:val="21"/>
                <w:highlight w:val="none"/>
                <w:lang w:val="en-US" w:eastAsia="zh-CN"/>
              </w:rPr>
              <w:t>食品</w:t>
            </w:r>
            <w:r>
              <w:rPr>
                <w:rFonts w:hint="eastAsia" w:ascii="宋体" w:hAnsi="宋体" w:cs="宋体"/>
                <w:color w:val="auto"/>
                <w:sz w:val="21"/>
                <w:szCs w:val="21"/>
                <w:highlight w:val="none"/>
              </w:rPr>
              <w:t>经营许可证等必要的辅助证明资料的复印件并加盖公章。</w:t>
            </w:r>
          </w:p>
          <w:p>
            <w:pPr>
              <w:tabs>
                <w:tab w:val="left" w:pos="531"/>
              </w:tabs>
              <w:snapToGrid w:val="0"/>
              <w:rPr>
                <w:rFonts w:ascii="宋体" w:hAnsi="宋体"/>
                <w:color w:val="auto"/>
                <w:sz w:val="21"/>
                <w:szCs w:val="21"/>
                <w:highlight w:val="none"/>
              </w:rPr>
            </w:pPr>
            <w:r>
              <w:rPr>
                <w:rFonts w:hint="eastAsia" w:ascii="宋体" w:hAnsi="宋体" w:cs="宋体"/>
                <w:color w:val="auto"/>
                <w:sz w:val="21"/>
                <w:szCs w:val="21"/>
                <w:highlight w:val="none"/>
              </w:rPr>
              <w:t>上述证明文件均需加盖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2"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r>
              <w:rPr>
                <w:rFonts w:hint="eastAsia" w:ascii="宋体" w:hAnsi="宋体" w:cs="宋体"/>
                <w:color w:val="auto"/>
                <w:sz w:val="21"/>
                <w:szCs w:val="21"/>
                <w:highlight w:val="none"/>
              </w:rPr>
              <w:t>食材来源</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有正规、安全、稳定的食材、餐具、卫生用品等的供应链体系得1分（稳定合作关系包括但不限于在大型农贸市场内具有营业执照并正规经营的企业；大型连锁超市或批发商店；国内注册且从事食品销售的正规企业）。</w:t>
            </w:r>
          </w:p>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注：提供与</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所签订的合作协议或者合同关键内容复印件及合作方营业执照加盖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公章，不提供不得分。</w:t>
            </w:r>
          </w:p>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自有或租赁原材料生产基地的，如蔬菜、肉类、粮食、水果、水产品、副食品等，每提供1项得0.5分，满分1分。</w:t>
            </w:r>
          </w:p>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注：提供自有基地相关的产权证明复印件加盖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公章，如租赁原材料基地的提供租赁合同复印件及合作方营业执照加盖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公章，否则不得分。</w:t>
            </w:r>
          </w:p>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承诺建立配送采购人食材的追踪溯源体系及专门台账档案，得1分。</w:t>
            </w:r>
          </w:p>
          <w:p>
            <w:pPr>
              <w:tabs>
                <w:tab w:val="left" w:pos="531"/>
              </w:tabs>
              <w:snapToGrid w:val="0"/>
              <w:rPr>
                <w:rFonts w:ascii="宋体" w:hAnsi="宋体"/>
                <w:color w:val="auto"/>
                <w:sz w:val="21"/>
                <w:szCs w:val="21"/>
                <w:highlight w:val="none"/>
              </w:rPr>
            </w:pPr>
            <w:r>
              <w:rPr>
                <w:rFonts w:hint="eastAsia" w:ascii="宋体" w:hAnsi="宋体" w:cs="宋体"/>
                <w:color w:val="auto"/>
                <w:sz w:val="21"/>
                <w:szCs w:val="21"/>
                <w:highlight w:val="none"/>
              </w:rPr>
              <w:t>注：提供承诺涵加盖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 w:val="21"/>
                <w:szCs w:val="21"/>
                <w:highlight w:val="none"/>
              </w:rPr>
            </w:pPr>
          </w:p>
        </w:tc>
        <w:tc>
          <w:tcPr>
            <w:tcW w:w="9103"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技术服务评议项（</w:t>
            </w:r>
            <w:r>
              <w:rPr>
                <w:rFonts w:hint="eastAsia" w:ascii="宋体" w:hAnsi="宋体"/>
                <w:color w:val="auto"/>
                <w:sz w:val="21"/>
                <w:szCs w:val="21"/>
                <w:highlight w:val="none"/>
                <w:lang w:val="en-US" w:eastAsia="zh-CN"/>
              </w:rPr>
              <w:t>30</w:t>
            </w:r>
            <w:r>
              <w:rPr>
                <w:rFonts w:ascii="宋体" w:hAnsi="宋体"/>
                <w:b/>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20"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拟定</w:t>
            </w:r>
            <w:r>
              <w:rPr>
                <w:rFonts w:hint="eastAsia" w:ascii="宋体" w:hAnsi="宋体" w:cs="宋体"/>
                <w:color w:val="auto"/>
                <w:sz w:val="21"/>
                <w:szCs w:val="21"/>
                <w:highlight w:val="none"/>
                <w:lang w:val="en-US" w:eastAsia="zh-CN"/>
              </w:rPr>
              <w:t>的特色餐饮项目</w:t>
            </w:r>
            <w:r>
              <w:rPr>
                <w:rFonts w:hint="eastAsia" w:ascii="宋体" w:hAnsi="宋体" w:cs="宋体"/>
                <w:color w:val="auto"/>
                <w:sz w:val="21"/>
                <w:szCs w:val="21"/>
                <w:highlight w:val="none"/>
              </w:rPr>
              <w:t>整体经营方案的全面性、针对性、可行性及方案的优劣情况进行评价。</w:t>
            </w:r>
          </w:p>
          <w:p>
            <w:pPr>
              <w:widowControl/>
              <w:numPr>
                <w:ilvl w:val="0"/>
                <w:numId w:val="21"/>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优：</w:t>
            </w:r>
            <w:r>
              <w:rPr>
                <w:rFonts w:hint="eastAsia" w:ascii="宋体" w:hAnsi="宋体" w:cs="宋体"/>
                <w:color w:val="auto"/>
                <w:sz w:val="21"/>
                <w:szCs w:val="21"/>
                <w:highlight w:val="none"/>
                <w:lang w:val="en-US" w:eastAsia="zh-CN"/>
              </w:rPr>
              <w:t>6-8</w:t>
            </w:r>
            <w:r>
              <w:rPr>
                <w:rFonts w:hint="eastAsia" w:ascii="宋体" w:hAnsi="宋体" w:cs="宋体"/>
                <w:color w:val="auto"/>
                <w:sz w:val="21"/>
                <w:szCs w:val="21"/>
                <w:highlight w:val="none"/>
              </w:rPr>
              <w:t>分，经营方案详细具体，且方案完全结合本项目实情情况；</w:t>
            </w:r>
          </w:p>
          <w:p>
            <w:pPr>
              <w:widowControl/>
              <w:numPr>
                <w:ilvl w:val="0"/>
                <w:numId w:val="21"/>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良：</w:t>
            </w:r>
            <w:r>
              <w:rPr>
                <w:rFonts w:hint="eastAsia" w:ascii="宋体" w:hAnsi="宋体" w:cs="宋体"/>
                <w:color w:val="auto"/>
                <w:sz w:val="21"/>
                <w:szCs w:val="21"/>
                <w:highlight w:val="none"/>
                <w:lang w:val="en-US" w:eastAsia="zh-CN"/>
              </w:rPr>
              <w:t>3-5</w:t>
            </w:r>
            <w:r>
              <w:rPr>
                <w:rFonts w:hint="eastAsia" w:ascii="宋体" w:hAnsi="宋体" w:cs="宋体"/>
                <w:color w:val="auto"/>
                <w:sz w:val="21"/>
                <w:szCs w:val="21"/>
                <w:highlight w:val="none"/>
              </w:rPr>
              <w:t>分，经营方案较好，针对性较强；</w:t>
            </w:r>
          </w:p>
          <w:p>
            <w:pPr>
              <w:widowControl/>
              <w:numPr>
                <w:ilvl w:val="0"/>
                <w:numId w:val="21"/>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一般：</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分，经营方案一般，缺少针对性；</w:t>
            </w:r>
          </w:p>
          <w:p>
            <w:pPr>
              <w:widowControl/>
              <w:numPr>
                <w:ilvl w:val="0"/>
                <w:numId w:val="21"/>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差：0分，经营方案不详细；</w:t>
            </w:r>
          </w:p>
          <w:p>
            <w:pPr>
              <w:widowControl/>
              <w:spacing w:line="360" w:lineRule="auto"/>
              <w:ind w:right="30"/>
              <w:jc w:val="left"/>
              <w:rPr>
                <w:rFonts w:ascii="宋体" w:hAnsi="宋体" w:cs="宋体"/>
                <w:color w:val="auto"/>
                <w:kern w:val="0"/>
                <w:sz w:val="21"/>
                <w:szCs w:val="21"/>
                <w:highlight w:val="none"/>
              </w:rPr>
            </w:pPr>
            <w:r>
              <w:rPr>
                <w:rFonts w:hint="eastAsia" w:ascii="宋体" w:hAnsi="宋体" w:cs="宋体"/>
                <w:color w:val="auto"/>
                <w:sz w:val="21"/>
                <w:szCs w:val="21"/>
                <w:highlight w:val="none"/>
              </w:rPr>
              <w:t>注：提供方案加盖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8"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color w:val="auto"/>
                <w:sz w:val="21"/>
                <w:szCs w:val="21"/>
                <w:highlight w:val="none"/>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7分</w:t>
            </w:r>
          </w:p>
        </w:tc>
        <w:tc>
          <w:tcPr>
            <w:tcW w:w="7260"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hint="eastAsia"/>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eastAsia="zh-CN"/>
              </w:rPr>
              <w:t>竞标人</w:t>
            </w:r>
            <w:r>
              <w:rPr>
                <w:rFonts w:hint="eastAsia"/>
                <w:color w:val="auto"/>
                <w:sz w:val="21"/>
                <w:szCs w:val="21"/>
                <w:highlight w:val="none"/>
              </w:rPr>
              <w:t>拟定</w:t>
            </w:r>
            <w:r>
              <w:rPr>
                <w:rFonts w:hint="eastAsia"/>
                <w:color w:val="auto"/>
                <w:sz w:val="21"/>
                <w:szCs w:val="21"/>
                <w:highlight w:val="none"/>
                <w:lang w:val="en-US" w:eastAsia="zh-CN"/>
              </w:rPr>
              <w:t>的服务方案</w:t>
            </w:r>
            <w:r>
              <w:rPr>
                <w:rFonts w:hint="eastAsia"/>
                <w:color w:val="auto"/>
                <w:highlight w:val="none"/>
                <w:lang w:eastAsia="zh-CN"/>
              </w:rPr>
              <w:t>（</w:t>
            </w:r>
            <w:r>
              <w:rPr>
                <w:rFonts w:hint="eastAsia"/>
                <w:color w:val="auto"/>
                <w:highlight w:val="none"/>
                <w:lang w:val="en-US" w:eastAsia="zh-CN"/>
              </w:rPr>
              <w:t>人员配置、管理措施、服务承诺、服务提升等）</w:t>
            </w:r>
            <w:r>
              <w:rPr>
                <w:rFonts w:hint="eastAsia"/>
                <w:color w:val="auto"/>
                <w:sz w:val="21"/>
                <w:szCs w:val="21"/>
                <w:highlight w:val="none"/>
              </w:rPr>
              <w:t>的优劣情况进行评价</w:t>
            </w:r>
            <w:r>
              <w:rPr>
                <w:rFonts w:hint="eastAsia"/>
                <w:color w:val="auto"/>
                <w:sz w:val="21"/>
                <w:szCs w:val="21"/>
                <w:highlight w:val="none"/>
                <w:lang w:eastAsia="zh-CN"/>
              </w:rPr>
              <w:t>。</w:t>
            </w:r>
          </w:p>
          <w:p>
            <w:pPr>
              <w:widowControl/>
              <w:numPr>
                <w:ilvl w:val="0"/>
                <w:numId w:val="0"/>
              </w:numPr>
              <w:ind w:leftChars="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优：</w:t>
            </w:r>
            <w:r>
              <w:rPr>
                <w:rFonts w:hint="eastAsia" w:ascii="宋体" w:hAnsi="宋体" w:cs="宋体"/>
                <w:color w:val="auto"/>
                <w:sz w:val="21"/>
                <w:szCs w:val="21"/>
                <w:highlight w:val="none"/>
                <w:lang w:val="en-US" w:eastAsia="zh-CN"/>
              </w:rPr>
              <w:t>5-7</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方案详细具体，</w:t>
            </w:r>
            <w:r>
              <w:rPr>
                <w:rFonts w:hint="eastAsia" w:ascii="宋体" w:hAnsi="宋体" w:cs="宋体"/>
                <w:color w:val="auto"/>
                <w:sz w:val="21"/>
                <w:szCs w:val="21"/>
                <w:highlight w:val="none"/>
                <w:lang w:val="en-US" w:eastAsia="zh-CN"/>
              </w:rPr>
              <w:t>可行性</w:t>
            </w:r>
            <w:r>
              <w:rPr>
                <w:rFonts w:hint="eastAsia" w:ascii="宋体" w:hAnsi="宋体" w:cs="宋体"/>
                <w:color w:val="auto"/>
                <w:sz w:val="21"/>
                <w:szCs w:val="21"/>
                <w:highlight w:val="none"/>
              </w:rPr>
              <w:t>强；</w:t>
            </w:r>
          </w:p>
          <w:p>
            <w:pPr>
              <w:widowControl/>
              <w:numPr>
                <w:ilvl w:val="0"/>
                <w:numId w:val="0"/>
              </w:numPr>
              <w:ind w:leftChars="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良：</w:t>
            </w:r>
            <w:r>
              <w:rPr>
                <w:rFonts w:hint="eastAsia" w:ascii="宋体" w:hAnsi="宋体" w:cs="宋体"/>
                <w:color w:val="auto"/>
                <w:sz w:val="21"/>
                <w:szCs w:val="21"/>
                <w:highlight w:val="none"/>
                <w:lang w:val="en-US" w:eastAsia="zh-CN"/>
              </w:rPr>
              <w:t>3-4</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方案较好；</w:t>
            </w:r>
          </w:p>
          <w:p>
            <w:pPr>
              <w:widowControl/>
              <w:numPr>
                <w:ilvl w:val="0"/>
                <w:numId w:val="0"/>
              </w:numPr>
              <w:ind w:leftChars="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一般：1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方案一般；</w:t>
            </w:r>
          </w:p>
          <w:p>
            <w:pPr>
              <w:widowControl/>
              <w:spacing w:line="360" w:lineRule="auto"/>
              <w:ind w:right="3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注：提供方案加盖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拟定的针对本项目铺位的日常卫生清理、保洁及虫、鼠、蟑螂等的消杀方案进行评价。</w:t>
            </w:r>
          </w:p>
          <w:p>
            <w:pPr>
              <w:widowControl/>
              <w:numPr>
                <w:ilvl w:val="0"/>
                <w:numId w:val="22"/>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方案优得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pPr>
              <w:widowControl/>
              <w:numPr>
                <w:ilvl w:val="0"/>
                <w:numId w:val="22"/>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方案良得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pPr>
              <w:widowControl/>
              <w:numPr>
                <w:ilvl w:val="0"/>
                <w:numId w:val="22"/>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方案</w:t>
            </w:r>
            <w:r>
              <w:rPr>
                <w:rFonts w:hint="eastAsia" w:ascii="宋体" w:hAnsi="宋体" w:cs="宋体"/>
                <w:color w:val="auto"/>
                <w:sz w:val="21"/>
                <w:szCs w:val="21"/>
                <w:highlight w:val="none"/>
                <w:lang w:val="en-US" w:eastAsia="zh-CN"/>
              </w:rPr>
              <w:t>一般</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pPr>
              <w:numPr>
                <w:ilvl w:val="0"/>
                <w:numId w:val="22"/>
              </w:numPr>
              <w:ind w:left="225" w:hanging="225"/>
              <w:rPr>
                <w:color w:val="auto"/>
              </w:rPr>
            </w:pPr>
            <w:r>
              <w:rPr>
                <w:rFonts w:hint="eastAsia" w:ascii="宋体" w:hAnsi="宋体" w:cs="宋体"/>
                <w:color w:val="auto"/>
                <w:sz w:val="21"/>
                <w:szCs w:val="21"/>
                <w:highlight w:val="none"/>
                <w:lang w:val="en-US" w:eastAsia="zh-CN"/>
              </w:rPr>
              <w:t>方案很</w:t>
            </w:r>
            <w:r>
              <w:rPr>
                <w:rFonts w:hint="eastAsia" w:ascii="宋体" w:hAnsi="宋体" w:cs="宋体"/>
                <w:color w:val="auto"/>
                <w:sz w:val="21"/>
                <w:szCs w:val="21"/>
                <w:highlight w:val="none"/>
              </w:rPr>
              <w:t>差</w:t>
            </w:r>
            <w:r>
              <w:rPr>
                <w:rFonts w:hint="eastAsia" w:ascii="宋体" w:hAnsi="宋体" w:cs="宋体"/>
                <w:color w:val="auto"/>
                <w:sz w:val="21"/>
                <w:szCs w:val="21"/>
                <w:highlight w:val="none"/>
                <w:lang w:val="en-US" w:eastAsia="zh-CN"/>
              </w:rPr>
              <w:t>得</w:t>
            </w:r>
            <w:r>
              <w:rPr>
                <w:rFonts w:hint="eastAsia" w:ascii="宋体" w:hAnsi="宋体" w:cs="宋体"/>
                <w:color w:val="auto"/>
                <w:sz w:val="21"/>
                <w:szCs w:val="21"/>
                <w:highlight w:val="none"/>
              </w:rPr>
              <w:t>0分</w:t>
            </w:r>
            <w:r>
              <w:rPr>
                <w:rFonts w:hint="eastAsia" w:ascii="宋体" w:hAnsi="宋体" w:cs="宋体"/>
                <w:color w:val="auto"/>
                <w:sz w:val="21"/>
                <w:szCs w:val="21"/>
                <w:highlight w:val="none"/>
                <w:lang w:eastAsia="zh-CN"/>
              </w:rPr>
              <w:t>。</w:t>
            </w:r>
          </w:p>
          <w:p>
            <w:pPr>
              <w:widowControl/>
              <w:spacing w:line="360" w:lineRule="auto"/>
              <w:ind w:right="30"/>
              <w:jc w:val="left"/>
              <w:rPr>
                <w:rFonts w:ascii="宋体" w:hAnsi="宋体" w:cs="宋体"/>
                <w:color w:val="auto"/>
                <w:kern w:val="0"/>
                <w:sz w:val="21"/>
                <w:szCs w:val="21"/>
                <w:highlight w:val="none"/>
              </w:rPr>
            </w:pPr>
            <w:r>
              <w:rPr>
                <w:rFonts w:hint="eastAsia" w:ascii="宋体" w:hAnsi="宋体" w:cs="宋体"/>
                <w:color w:val="auto"/>
                <w:sz w:val="21"/>
                <w:szCs w:val="21"/>
                <w:highlight w:val="none"/>
              </w:rPr>
              <w:t>注：提供方案加盖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r>
              <w:rPr>
                <w:rFonts w:hint="eastAsia" w:ascii="宋体" w:hAnsi="宋体" w:cs="宋体"/>
                <w:color w:val="auto"/>
                <w:sz w:val="21"/>
                <w:szCs w:val="21"/>
                <w:highlight w:val="none"/>
              </w:rPr>
              <w:t>食品安全保证方案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rPr>
                <w:rFonts w:ascii="宋体" w:hAnsi="宋体" w:cs="宋体"/>
                <w:color w:val="auto"/>
                <w:sz w:val="21"/>
                <w:szCs w:val="21"/>
                <w:highlight w:val="none"/>
              </w:rPr>
            </w:pPr>
            <w:r>
              <w:rPr>
                <w:rFonts w:hint="eastAsia" w:ascii="宋体" w:hAnsi="宋体" w:cs="宋体"/>
                <w:color w:val="auto"/>
                <w:sz w:val="21"/>
                <w:szCs w:val="21"/>
                <w:highlight w:val="none"/>
              </w:rPr>
              <w:t>根据投标文件中的食品安全保证方案进行评分</w:t>
            </w:r>
          </w:p>
          <w:p>
            <w:pPr>
              <w:widowControl/>
              <w:numPr>
                <w:ilvl w:val="0"/>
                <w:numId w:val="23"/>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优：</w:t>
            </w:r>
            <w:r>
              <w:rPr>
                <w:rFonts w:hint="eastAsia" w:ascii="宋体" w:hAnsi="宋体" w:cs="宋体"/>
                <w:color w:val="auto"/>
                <w:sz w:val="21"/>
                <w:szCs w:val="21"/>
                <w:highlight w:val="none"/>
                <w:lang w:val="en-US" w:eastAsia="zh-CN"/>
              </w:rPr>
              <w:t>5-7</w:t>
            </w:r>
            <w:r>
              <w:rPr>
                <w:rFonts w:hint="eastAsia" w:ascii="宋体" w:hAnsi="宋体" w:cs="宋体"/>
                <w:color w:val="auto"/>
                <w:sz w:val="21"/>
                <w:szCs w:val="21"/>
                <w:highlight w:val="none"/>
              </w:rPr>
              <w:t>分，食品安全方案详细具体，完全结合本项目情况；</w:t>
            </w:r>
          </w:p>
          <w:p>
            <w:pPr>
              <w:widowControl/>
              <w:numPr>
                <w:ilvl w:val="0"/>
                <w:numId w:val="23"/>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良：</w:t>
            </w:r>
            <w:r>
              <w:rPr>
                <w:rFonts w:hint="eastAsia" w:ascii="宋体" w:hAnsi="宋体" w:cs="宋体"/>
                <w:color w:val="auto"/>
                <w:sz w:val="21"/>
                <w:szCs w:val="21"/>
                <w:highlight w:val="none"/>
                <w:lang w:val="en-US" w:eastAsia="zh-CN"/>
              </w:rPr>
              <w:t>3-4</w:t>
            </w:r>
            <w:r>
              <w:rPr>
                <w:rFonts w:hint="eastAsia" w:ascii="宋体" w:hAnsi="宋体" w:cs="宋体"/>
                <w:color w:val="auto"/>
                <w:sz w:val="21"/>
                <w:szCs w:val="21"/>
                <w:highlight w:val="none"/>
              </w:rPr>
              <w:t>分，食品安全方案较详细，针对性较强；</w:t>
            </w:r>
          </w:p>
          <w:p>
            <w:pPr>
              <w:widowControl/>
              <w:numPr>
                <w:ilvl w:val="0"/>
                <w:numId w:val="23"/>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一般：1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分，食品安全方案一般，缺少针对性。</w:t>
            </w:r>
          </w:p>
          <w:p>
            <w:pPr>
              <w:widowControl/>
              <w:numPr>
                <w:ilvl w:val="0"/>
                <w:numId w:val="23"/>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差：0分，食品安全方案未按招标文件要求进行承诺；</w:t>
            </w:r>
          </w:p>
          <w:p>
            <w:pPr>
              <w:widowControl/>
              <w:spacing w:line="360" w:lineRule="auto"/>
              <w:ind w:right="30"/>
              <w:jc w:val="left"/>
              <w:rPr>
                <w:rFonts w:ascii="宋体" w:hAnsi="宋体" w:cs="宋体"/>
                <w:color w:val="auto"/>
                <w:kern w:val="0"/>
                <w:sz w:val="21"/>
                <w:szCs w:val="21"/>
                <w:highlight w:val="none"/>
              </w:rPr>
            </w:pPr>
            <w:r>
              <w:rPr>
                <w:rFonts w:hint="eastAsia" w:ascii="宋体" w:hAnsi="宋体" w:cs="宋体"/>
                <w:color w:val="auto"/>
                <w:sz w:val="21"/>
                <w:szCs w:val="21"/>
                <w:highlight w:val="none"/>
              </w:rPr>
              <w:t>注：提供方案加盖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r>
              <w:rPr>
                <w:rFonts w:hint="eastAsia" w:ascii="宋体" w:hAnsi="宋体" w:cs="宋体"/>
                <w:color w:val="auto"/>
                <w:sz w:val="21"/>
                <w:szCs w:val="21"/>
                <w:highlight w:val="none"/>
              </w:rPr>
              <w:t>突发事件处理方案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对经营过程中的突发事件处理预案进行评分（包括食物中毒、消防应急预案、暴雨、台风应急预案等）：</w:t>
            </w:r>
          </w:p>
          <w:p>
            <w:pPr>
              <w:widowControl/>
              <w:numPr>
                <w:ilvl w:val="0"/>
                <w:numId w:val="24"/>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优：</w:t>
            </w:r>
            <w:r>
              <w:rPr>
                <w:rFonts w:hint="eastAsia" w:ascii="宋体" w:hAnsi="宋体" w:cs="宋体"/>
                <w:color w:val="auto"/>
                <w:sz w:val="21"/>
                <w:szCs w:val="21"/>
                <w:highlight w:val="none"/>
                <w:lang w:val="en-US" w:eastAsia="zh-CN"/>
              </w:rPr>
              <w:t>4-5</w:t>
            </w:r>
            <w:r>
              <w:rPr>
                <w:rFonts w:hint="eastAsia" w:ascii="宋体" w:hAnsi="宋体" w:cs="宋体"/>
                <w:color w:val="auto"/>
                <w:sz w:val="21"/>
                <w:szCs w:val="21"/>
                <w:highlight w:val="none"/>
              </w:rPr>
              <w:t>分，处理预案全面，针对性强；</w:t>
            </w:r>
          </w:p>
          <w:p>
            <w:pPr>
              <w:widowControl/>
              <w:numPr>
                <w:ilvl w:val="0"/>
                <w:numId w:val="24"/>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良</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分，处理预案不全面，缺少针对性；</w:t>
            </w:r>
          </w:p>
          <w:p>
            <w:pPr>
              <w:widowControl/>
              <w:numPr>
                <w:ilvl w:val="0"/>
                <w:numId w:val="24"/>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一般</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分，处理预案无实质内容；</w:t>
            </w:r>
          </w:p>
          <w:p>
            <w:pPr>
              <w:widowControl/>
              <w:spacing w:line="360" w:lineRule="auto"/>
              <w:ind w:right="30"/>
              <w:jc w:val="left"/>
              <w:rPr>
                <w:rFonts w:ascii="宋体" w:hAnsi="宋体" w:cs="宋体"/>
                <w:color w:val="auto"/>
                <w:kern w:val="0"/>
                <w:sz w:val="21"/>
                <w:szCs w:val="21"/>
                <w:highlight w:val="none"/>
              </w:rPr>
            </w:pPr>
            <w:r>
              <w:rPr>
                <w:rFonts w:hint="eastAsia" w:ascii="宋体" w:hAnsi="宋体" w:cs="宋体"/>
                <w:color w:val="auto"/>
                <w:sz w:val="21"/>
                <w:szCs w:val="21"/>
                <w:highlight w:val="none"/>
              </w:rPr>
              <w:t>注：提供方案加盖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blCellSpacing w:w="0" w:type="dxa"/>
        </w:trPr>
        <w:tc>
          <w:tcPr>
            <w:tcW w:w="9807" w:type="dxa"/>
            <w:gridSpan w:val="5"/>
            <w:tcBorders>
              <w:tl2br w:val="nil"/>
              <w:tr2bl w:val="nil"/>
            </w:tcBorders>
            <w:vAlign w:val="center"/>
          </w:tcPr>
          <w:p>
            <w:pPr>
              <w:tabs>
                <w:tab w:val="left" w:pos="1146"/>
                <w:tab w:val="center" w:pos="4853"/>
              </w:tabs>
              <w:jc w:val="left"/>
              <w:rPr>
                <w:b/>
                <w:bCs/>
                <w:color w:val="auto"/>
                <w:sz w:val="21"/>
                <w:szCs w:val="21"/>
                <w:highlight w:val="none"/>
              </w:rPr>
            </w:pPr>
            <w:r>
              <w:rPr>
                <w:rFonts w:hint="eastAsia"/>
                <w:b/>
                <w:bCs/>
                <w:color w:val="auto"/>
                <w:sz w:val="21"/>
                <w:szCs w:val="21"/>
                <w:highlight w:val="none"/>
                <w:lang w:eastAsia="zh-CN"/>
              </w:rPr>
              <w:tab/>
            </w:r>
            <w:r>
              <w:rPr>
                <w:rFonts w:hint="eastAsia"/>
                <w:b/>
                <w:bCs/>
                <w:color w:val="auto"/>
                <w:sz w:val="21"/>
                <w:szCs w:val="21"/>
                <w:highlight w:val="none"/>
                <w:lang w:eastAsia="zh-CN"/>
              </w:rPr>
              <w:tab/>
            </w:r>
            <w:r>
              <w:rPr>
                <w:rFonts w:hint="eastAsia"/>
                <w:b/>
                <w:bCs/>
                <w:color w:val="auto"/>
                <w:sz w:val="21"/>
                <w:szCs w:val="21"/>
                <w:highlight w:val="none"/>
              </w:rPr>
              <w:t>价格评议项（</w:t>
            </w:r>
            <w:r>
              <w:rPr>
                <w:rFonts w:hint="eastAsia"/>
                <w:b/>
                <w:bCs/>
                <w:color w:val="auto"/>
                <w:sz w:val="21"/>
                <w:szCs w:val="21"/>
                <w:highlight w:val="none"/>
                <w:lang w:val="en-US" w:eastAsia="zh-CN"/>
              </w:rPr>
              <w:t>50</w:t>
            </w:r>
            <w:r>
              <w:rPr>
                <w:rFonts w:hint="eastAsia"/>
                <w:b/>
                <w:bCs/>
                <w:color w:val="auto"/>
                <w:sz w:val="21"/>
                <w:szCs w:val="21"/>
                <w:highlight w:val="none"/>
              </w:rPr>
              <w:t>分）</w:t>
            </w:r>
          </w:p>
          <w:p>
            <w:pPr>
              <w:jc w:val="center"/>
              <w:rPr>
                <w:color w:val="auto"/>
                <w:sz w:val="21"/>
                <w:szCs w:val="21"/>
                <w:highlight w:val="none"/>
              </w:rPr>
            </w:pPr>
            <w:r>
              <w:rPr>
                <w:rFonts w:hint="eastAsia"/>
                <w:b/>
                <w:bCs/>
                <w:color w:val="auto"/>
                <w:sz w:val="21"/>
                <w:szCs w:val="21"/>
                <w:highlight w:val="none"/>
              </w:rPr>
              <w:t>（说明：以下所称的“投标报价”均是指</w:t>
            </w:r>
            <w:r>
              <w:rPr>
                <w:rFonts w:hint="eastAsia" w:ascii="Times New Roman" w:hAnsi="Times New Roman" w:cs="Times New Roman"/>
                <w:b/>
                <w:bCs/>
                <w:color w:val="auto"/>
                <w:kern w:val="2"/>
                <w:sz w:val="21"/>
                <w:szCs w:val="21"/>
                <w:highlight w:val="none"/>
              </w:rPr>
              <w:t>竞标报价为竞标人（承租方）经营意向承租商铺的营业额预期</w:t>
            </w:r>
            <w:r>
              <w:rPr>
                <w:rFonts w:hint="eastAsia"/>
                <w:b/>
                <w:bCs/>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价格评议</w:t>
            </w:r>
          </w:p>
        </w:tc>
        <w:tc>
          <w:tcPr>
            <w:tcW w:w="9103"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 w:val="21"/>
                <w:szCs w:val="21"/>
                <w:highlight w:val="none"/>
              </w:rPr>
            </w:pPr>
            <w:r>
              <w:rPr>
                <w:rFonts w:hint="eastAsia" w:ascii="宋体" w:hAnsi="宋体"/>
                <w:b/>
                <w:color w:val="auto"/>
                <w:sz w:val="21"/>
                <w:szCs w:val="21"/>
                <w:highlight w:val="none"/>
              </w:rPr>
              <w:t>基准价</w:t>
            </w:r>
            <w:r>
              <w:rPr>
                <w:rFonts w:ascii="宋体" w:hAnsi="宋体"/>
                <w:b/>
                <w:color w:val="auto"/>
                <w:sz w:val="21"/>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tcBorders>
              <w:tl2br w:val="nil"/>
              <w:tr2bl w:val="nil"/>
            </w:tcBorders>
            <w:vAlign w:val="center"/>
          </w:tcPr>
          <w:p>
            <w:pPr>
              <w:spacing w:line="360" w:lineRule="auto"/>
              <w:jc w:val="center"/>
              <w:rPr>
                <w:rFonts w:ascii="宋体" w:hAnsi="宋体"/>
                <w:color w:val="auto"/>
                <w:sz w:val="21"/>
                <w:szCs w:val="21"/>
                <w:highlight w:val="none"/>
              </w:rPr>
            </w:pPr>
            <w:r>
              <w:rPr>
                <w:rFonts w:hint="eastAsia" w:ascii="宋体" w:hAnsi="宋体"/>
                <w:bCs/>
                <w:color w:val="auto"/>
                <w:sz w:val="21"/>
                <w:szCs w:val="21"/>
                <w:highlight w:val="none"/>
              </w:rPr>
              <w:t>基准价</w:t>
            </w:r>
          </w:p>
        </w:tc>
        <w:tc>
          <w:tcPr>
            <w:tcW w:w="7969" w:type="dxa"/>
            <w:gridSpan w:val="3"/>
            <w:tcBorders>
              <w:tl2br w:val="nil"/>
              <w:tr2bl w:val="nil"/>
            </w:tcBorders>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s="宋体"/>
                <w:color w:val="auto"/>
                <w:sz w:val="21"/>
                <w:szCs w:val="21"/>
                <w:highlight w:val="none"/>
              </w:rPr>
              <w:t>招租底价为基准价，基准价为</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6"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 w:val="21"/>
                <w:szCs w:val="21"/>
                <w:highlight w:val="none"/>
              </w:rPr>
            </w:pPr>
            <w:r>
              <w:rPr>
                <w:rFonts w:hint="eastAsia" w:ascii="宋体" w:hAnsi="宋体"/>
                <w:bCs/>
                <w:color w:val="auto"/>
                <w:sz w:val="21"/>
                <w:szCs w:val="21"/>
                <w:highlight w:val="none"/>
              </w:rPr>
              <w:t>算</w:t>
            </w:r>
            <w:r>
              <w:rPr>
                <w:rFonts w:ascii="宋体" w:hAnsi="宋体"/>
                <w:bCs/>
                <w:color w:val="auto"/>
                <w:sz w:val="21"/>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 w:val="21"/>
                <w:szCs w:val="21"/>
                <w:highlight w:val="none"/>
              </w:rPr>
            </w:pPr>
            <w:r>
              <w:rPr>
                <w:rFonts w:hint="eastAsia" w:ascii="宋体" w:hAnsi="宋体"/>
                <w:color w:val="auto"/>
                <w:sz w:val="21"/>
                <w:szCs w:val="21"/>
                <w:highlight w:val="none"/>
              </w:rPr>
              <w:t>□固定</w:t>
            </w:r>
            <w:r>
              <w:rPr>
                <w:rFonts w:ascii="宋体" w:hAnsi="宋体"/>
                <w:color w:val="auto"/>
                <w:sz w:val="21"/>
                <w:szCs w:val="21"/>
                <w:highlight w:val="none"/>
              </w:rPr>
              <w:t>比例</w:t>
            </w:r>
            <w:r>
              <w:rPr>
                <w:rFonts w:hint="eastAsia" w:ascii="宋体" w:hAnsi="宋体"/>
                <w:color w:val="auto"/>
                <w:sz w:val="21"/>
                <w:szCs w:val="21"/>
                <w:highlight w:val="none"/>
              </w:rPr>
              <w:t>法</w:t>
            </w:r>
          </w:p>
        </w:tc>
        <w:tc>
          <w:tcPr>
            <w:tcW w:w="6406" w:type="dxa"/>
            <w:tcBorders>
              <w:tl2br w:val="nil"/>
              <w:tr2bl w:val="nil"/>
            </w:tcBorders>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价格得分=M-[（｜投标价格-基准价｜/基准价）*100/</w:t>
            </w:r>
            <w:r>
              <w:rPr>
                <w:rFonts w:ascii="宋体" w:hAnsi="宋体"/>
                <w:color w:val="auto"/>
                <w:sz w:val="21"/>
                <w:szCs w:val="21"/>
                <w:highlight w:val="none"/>
              </w:rPr>
              <w:t>N]*</w:t>
            </w:r>
            <w:r>
              <w:rPr>
                <w:rFonts w:hint="eastAsia" w:ascii="宋体" w:hAnsi="宋体"/>
                <w:color w:val="auto"/>
                <w:sz w:val="21"/>
                <w:szCs w:val="21"/>
                <w:highlight w:val="none"/>
              </w:rPr>
              <w:t>扣分值</w:t>
            </w:r>
          </w:p>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M=</w:t>
            </w:r>
            <w:r>
              <w:rPr>
                <w:rFonts w:ascii="宋体" w:hAnsi="宋体"/>
                <w:color w:val="auto"/>
                <w:sz w:val="21"/>
                <w:szCs w:val="21"/>
                <w:highlight w:val="none"/>
                <w:u w:val="single"/>
              </w:rPr>
              <w:t xml:space="preserve">    </w:t>
            </w:r>
            <w:r>
              <w:rPr>
                <w:rFonts w:hint="eastAsia" w:ascii="宋体" w:hAnsi="宋体"/>
                <w:color w:val="auto"/>
                <w:sz w:val="21"/>
                <w:szCs w:val="21"/>
                <w:highlight w:val="none"/>
              </w:rPr>
              <w:t>（价格评价分项满分值），N=</w:t>
            </w:r>
            <w:r>
              <w:rPr>
                <w:rFonts w:ascii="宋体" w:hAnsi="宋体"/>
                <w:color w:val="auto"/>
                <w:sz w:val="21"/>
                <w:szCs w:val="21"/>
                <w:highlight w:val="none"/>
                <w:u w:val="single"/>
              </w:rPr>
              <w:t xml:space="preserve">    </w:t>
            </w:r>
            <w:r>
              <w:rPr>
                <w:rFonts w:hint="eastAsia" w:ascii="宋体" w:hAnsi="宋体"/>
                <w:color w:val="auto"/>
                <w:sz w:val="21"/>
                <w:szCs w:val="21"/>
                <w:highlight w:val="none"/>
              </w:rPr>
              <w:t>，投标价格每高于N％时，扣</w:t>
            </w:r>
            <w:r>
              <w:rPr>
                <w:rFonts w:ascii="宋体" w:hAnsi="宋体"/>
                <w:color w:val="auto"/>
                <w:sz w:val="21"/>
                <w:szCs w:val="21"/>
                <w:highlight w:val="none"/>
                <w:u w:val="single"/>
              </w:rPr>
              <w:t xml:space="preserve">    </w:t>
            </w:r>
            <w:r>
              <w:rPr>
                <w:rFonts w:hint="eastAsia" w:ascii="宋体" w:hAnsi="宋体"/>
                <w:color w:val="auto"/>
                <w:sz w:val="21"/>
                <w:szCs w:val="21"/>
                <w:highlight w:val="none"/>
              </w:rPr>
              <w:t>分；每低于N％时，扣</w:t>
            </w:r>
            <w:r>
              <w:rPr>
                <w:rFonts w:ascii="宋体" w:hAnsi="宋体"/>
                <w:color w:val="auto"/>
                <w:sz w:val="21"/>
                <w:szCs w:val="21"/>
                <w:highlight w:val="none"/>
                <w:u w:val="single"/>
              </w:rPr>
              <w:t xml:space="preserve">    </w:t>
            </w:r>
            <w:r>
              <w:rPr>
                <w:rFonts w:hint="eastAsia" w:ascii="宋体" w:hAnsi="宋体"/>
                <w:color w:val="auto"/>
                <w:sz w:val="21"/>
                <w:szCs w:val="21"/>
                <w:highlight w:val="none"/>
              </w:rPr>
              <w:t>分；</w:t>
            </w:r>
          </w:p>
          <w:p>
            <w:pPr>
              <w:spacing w:line="240" w:lineRule="atLeast"/>
              <w:jc w:val="left"/>
              <w:rPr>
                <w:rFonts w:ascii="宋体" w:cs="宋体"/>
                <w:color w:val="auto"/>
                <w:kern w:val="0"/>
                <w:sz w:val="21"/>
                <w:szCs w:val="21"/>
                <w:highlight w:val="none"/>
              </w:rPr>
            </w:pPr>
            <w:r>
              <w:rPr>
                <w:rFonts w:hint="eastAsia" w:ascii="宋体" w:hAnsi="宋体"/>
                <w:color w:val="auto"/>
                <w:sz w:val="21"/>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 w:val="21"/>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 w:val="21"/>
                <w:szCs w:val="21"/>
                <w:highlight w:val="none"/>
              </w:rPr>
            </w:pPr>
            <w:r>
              <w:rPr>
                <w:rFonts w:hint="eastAsia" w:ascii="宋体" w:hAnsi="宋体"/>
                <w:color w:val="auto"/>
                <w:sz w:val="21"/>
                <w:szCs w:val="21"/>
                <w:highlight w:val="none"/>
              </w:rPr>
              <w:t>□固定乘积法</w:t>
            </w:r>
          </w:p>
        </w:tc>
        <w:tc>
          <w:tcPr>
            <w:tcW w:w="6406" w:type="dxa"/>
            <w:tcBorders>
              <w:tl2br w:val="nil"/>
              <w:tr2bl w:val="nil"/>
            </w:tcBorders>
            <w:vAlign w:val="center"/>
          </w:tcPr>
          <w:p>
            <w:pPr>
              <w:autoSpaceDE w:val="0"/>
              <w:autoSpaceDN w:val="0"/>
              <w:adjustRightInd w:val="0"/>
              <w:snapToGrid w:val="0"/>
              <w:jc w:val="left"/>
              <w:rPr>
                <w:rStyle w:val="19"/>
                <w:rFonts w:ascii="宋体" w:hAnsi="宋体"/>
                <w:color w:val="auto"/>
                <w:sz w:val="21"/>
                <w:szCs w:val="21"/>
                <w:highlight w:val="none"/>
              </w:rPr>
            </w:pPr>
            <w:r>
              <w:rPr>
                <w:rStyle w:val="19"/>
                <w:rFonts w:hint="eastAsia" w:ascii="宋体" w:hAnsi="宋体"/>
                <w:color w:val="auto"/>
                <w:sz w:val="21"/>
                <w:szCs w:val="21"/>
                <w:highlight w:val="none"/>
              </w:rPr>
              <w:t>价格得分=（1-A×｜1-投标报价/Z｜）×M</w:t>
            </w:r>
          </w:p>
          <w:p>
            <w:pPr>
              <w:numPr>
                <w:ilvl w:val="0"/>
                <w:numId w:val="25"/>
              </w:numPr>
              <w:autoSpaceDE w:val="0"/>
              <w:autoSpaceDN w:val="0"/>
              <w:adjustRightInd w:val="0"/>
              <w:snapToGrid w:val="0"/>
              <w:jc w:val="left"/>
              <w:rPr>
                <w:rStyle w:val="19"/>
                <w:rFonts w:ascii="宋体" w:hAnsi="宋体"/>
                <w:color w:val="auto"/>
                <w:sz w:val="21"/>
                <w:szCs w:val="21"/>
                <w:highlight w:val="none"/>
              </w:rPr>
            </w:pPr>
            <w:r>
              <w:rPr>
                <w:rStyle w:val="19"/>
                <w:rFonts w:hint="eastAsia" w:ascii="宋体" w:hAnsi="宋体"/>
                <w:color w:val="auto"/>
                <w:sz w:val="21"/>
                <w:szCs w:val="21"/>
                <w:highlight w:val="none"/>
              </w:rPr>
              <w:t xml:space="preserve">M= </w:t>
            </w:r>
            <w:r>
              <w:rPr>
                <w:rFonts w:hint="eastAsia" w:ascii="宋体" w:hAnsi="宋体"/>
                <w:color w:val="auto"/>
                <w:sz w:val="21"/>
                <w:szCs w:val="21"/>
                <w:highlight w:val="none"/>
              </w:rPr>
              <w:t>××</w:t>
            </w:r>
            <w:r>
              <w:rPr>
                <w:rStyle w:val="19"/>
                <w:rFonts w:hint="eastAsia" w:ascii="宋体" w:hAnsi="宋体"/>
                <w:color w:val="auto"/>
                <w:sz w:val="21"/>
                <w:szCs w:val="21"/>
                <w:highlight w:val="none"/>
              </w:rPr>
              <w:t xml:space="preserve"> （价格评价分项满分值），Z为本次招标基准价；</w:t>
            </w:r>
          </w:p>
          <w:p>
            <w:pPr>
              <w:numPr>
                <w:ilvl w:val="0"/>
                <w:numId w:val="25"/>
              </w:numPr>
              <w:autoSpaceDE w:val="0"/>
              <w:autoSpaceDN w:val="0"/>
              <w:adjustRightInd w:val="0"/>
              <w:snapToGrid w:val="0"/>
              <w:jc w:val="left"/>
              <w:rPr>
                <w:rStyle w:val="19"/>
                <w:rFonts w:ascii="宋体" w:hAnsi="宋体"/>
                <w:color w:val="auto"/>
                <w:sz w:val="21"/>
                <w:szCs w:val="21"/>
                <w:highlight w:val="none"/>
              </w:rPr>
            </w:pPr>
            <w:r>
              <w:rPr>
                <w:rStyle w:val="19"/>
                <w:rFonts w:hint="eastAsia" w:ascii="宋体" w:hAnsi="宋体"/>
                <w:color w:val="auto"/>
                <w:sz w:val="21"/>
                <w:szCs w:val="21"/>
                <w:highlight w:val="none"/>
              </w:rPr>
              <w:t>A为价格调整系数，当投标报价低于本次招标最佳报价（即基准价）时，A=0.5；当投标报价高于次招标基准价时，取A=1；</w:t>
            </w:r>
          </w:p>
          <w:p>
            <w:pPr>
              <w:numPr>
                <w:ilvl w:val="0"/>
                <w:numId w:val="25"/>
              </w:numPr>
              <w:jc w:val="left"/>
              <w:rPr>
                <w:rFonts w:ascii="宋体" w:cs="宋体"/>
                <w:color w:val="auto"/>
                <w:kern w:val="0"/>
                <w:sz w:val="21"/>
                <w:szCs w:val="21"/>
                <w:highlight w:val="none"/>
              </w:rPr>
            </w:pPr>
            <w:r>
              <w:rPr>
                <w:rStyle w:val="19"/>
                <w:rFonts w:hint="eastAsia" w:ascii="宋体" w:hAnsi="宋体"/>
                <w:color w:val="auto"/>
                <w:sz w:val="21"/>
                <w:szCs w:val="21"/>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 w:val="21"/>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sym w:font="Wingdings 2" w:char="0052"/>
            </w:r>
            <w:r>
              <w:rPr>
                <w:rFonts w:hint="eastAsia" w:ascii="宋体" w:hAnsi="宋体"/>
                <w:color w:val="auto"/>
                <w:sz w:val="21"/>
                <w:szCs w:val="21"/>
                <w:highlight w:val="none"/>
              </w:rPr>
              <w:t>其他</w:t>
            </w:r>
            <w:r>
              <w:rPr>
                <w:rFonts w:ascii="宋体" w:hAnsi="宋体"/>
                <w:color w:val="auto"/>
                <w:sz w:val="21"/>
                <w:szCs w:val="21"/>
                <w:highlight w:val="none"/>
              </w:rPr>
              <w:t>方法</w:t>
            </w:r>
          </w:p>
        </w:tc>
        <w:tc>
          <w:tcPr>
            <w:tcW w:w="6406" w:type="dxa"/>
            <w:tcBorders>
              <w:tl2br w:val="nil"/>
              <w:tr2bl w:val="nil"/>
            </w:tcBorders>
            <w:vAlign w:val="center"/>
          </w:tcPr>
          <w:p>
            <w:pPr>
              <w:spacing w:line="240" w:lineRule="atLeast"/>
              <w:jc w:val="left"/>
              <w:rPr>
                <w:rFonts w:ascii="宋体" w:cs="宋体"/>
                <w:color w:val="auto"/>
                <w:kern w:val="0"/>
                <w:sz w:val="21"/>
                <w:szCs w:val="21"/>
                <w:highlight w:val="none"/>
              </w:rPr>
            </w:pPr>
            <w:r>
              <w:rPr>
                <w:rFonts w:hint="eastAsia" w:ascii="宋体" w:hAnsi="宋体" w:cs="宋体"/>
                <w:color w:val="auto"/>
                <w:sz w:val="21"/>
                <w:szCs w:val="21"/>
                <w:highlight w:val="none"/>
              </w:rPr>
              <w:t>招租底价为基准价，基准价为</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分，每超出基准价1万元加一分（取整数位，不四舍五入小数位），加分不超过</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0分。</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w:t>
      </w:r>
      <w:r>
        <w:rPr>
          <w:rFonts w:hint="eastAsia" w:ascii="宋体" w:hAnsi="宋体"/>
          <w:szCs w:val="21"/>
          <w:lang w:eastAsia="zh-CN"/>
        </w:rPr>
        <w:t>竞标人</w:t>
      </w:r>
      <w:r>
        <w:rPr>
          <w:rFonts w:hint="eastAsia" w:ascii="宋体" w:hAnsi="宋体"/>
          <w:szCs w:val="21"/>
        </w:rPr>
        <w:t>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highlight w:val="none"/>
        </w:rPr>
      </w:pPr>
      <w:bookmarkStart w:id="56" w:name="_Toc116550358"/>
      <w:r>
        <w:rPr>
          <w:rFonts w:hint="eastAsia" w:ascii="宋体" w:hAnsi="宋体"/>
          <w:b/>
          <w:sz w:val="32"/>
          <w:szCs w:val="32"/>
        </w:rPr>
        <w:t>第</w:t>
      </w:r>
      <w:r>
        <w:rPr>
          <w:rFonts w:hint="eastAsia" w:ascii="宋体" w:hAnsi="宋体"/>
          <w:b/>
          <w:sz w:val="32"/>
          <w:szCs w:val="32"/>
          <w:highlight w:val="none"/>
        </w:rPr>
        <w:t>四部分：合同条款及格式</w:t>
      </w:r>
      <w:bookmarkEnd w:id="56"/>
    </w:p>
    <w:p>
      <w:pPr>
        <w:jc w:val="center"/>
        <w:rPr>
          <w:rFonts w:ascii="方正小标宋简体" w:hAnsi="方正小标宋简体" w:eastAsia="方正小标宋简体" w:cs="方正小标宋简体"/>
          <w:bCs/>
          <w:kern w:val="0"/>
          <w:sz w:val="28"/>
          <w:szCs w:val="28"/>
          <w:highlight w:val="none"/>
        </w:rPr>
      </w:pPr>
    </w:p>
    <w:p>
      <w:pPr>
        <w:jc w:val="center"/>
        <w:rPr>
          <w:rFonts w:ascii="方正小标宋简体" w:hAnsi="方正小标宋简体" w:eastAsia="方正小标宋简体" w:cs="方正小标宋简体"/>
          <w:bCs/>
          <w:kern w:val="0"/>
          <w:sz w:val="28"/>
          <w:szCs w:val="28"/>
          <w:highlight w:val="none"/>
        </w:rPr>
      </w:pPr>
      <w:bookmarkStart w:id="57" w:name="_Hlk116549198"/>
      <w:r>
        <w:rPr>
          <w:rFonts w:hint="eastAsia" w:ascii="方正小标宋简体" w:hAnsi="方正小标宋简体" w:eastAsia="方正小标宋简体" w:cs="方正小标宋简体"/>
          <w:bCs/>
          <w:kern w:val="0"/>
          <w:sz w:val="28"/>
          <w:szCs w:val="28"/>
          <w:highlight w:val="none"/>
          <w:lang w:val="en-US" w:eastAsia="zh-CN"/>
        </w:rPr>
        <w:t>餐饮服务合作</w:t>
      </w:r>
      <w:r>
        <w:rPr>
          <w:rFonts w:hint="eastAsia" w:ascii="方正小标宋简体" w:hAnsi="方正小标宋简体" w:eastAsia="方正小标宋简体" w:cs="方正小标宋简体"/>
          <w:bCs/>
          <w:kern w:val="0"/>
          <w:sz w:val="28"/>
          <w:szCs w:val="28"/>
          <w:highlight w:val="none"/>
        </w:rPr>
        <w:t>合同</w:t>
      </w:r>
    </w:p>
    <w:bookmarkEnd w:id="57"/>
    <w:p>
      <w:pPr>
        <w:jc w:val="center"/>
        <w:rPr>
          <w:rFonts w:ascii="宋体" w:hAnsi="宋体"/>
          <w:szCs w:val="21"/>
          <w:highlight w:val="none"/>
        </w:rPr>
      </w:pPr>
      <w:bookmarkStart w:id="58" w:name="_Hlk116549211"/>
      <w:r>
        <w:rPr>
          <w:rFonts w:hint="eastAsia" w:ascii="方正小标宋简体" w:hAnsi="方正小标宋简体" w:eastAsia="方正小标宋简体" w:cs="方正小标宋简体"/>
          <w:bCs/>
          <w:kern w:val="0"/>
          <w:sz w:val="28"/>
          <w:szCs w:val="28"/>
          <w:highlight w:val="none"/>
        </w:rPr>
        <w:t>（</w:t>
      </w:r>
      <w:r>
        <w:rPr>
          <w:rFonts w:hint="eastAsia" w:ascii="方正小标宋简体" w:hAnsi="方正小标宋简体" w:eastAsia="方正小标宋简体" w:cs="方正小标宋简体"/>
          <w:bCs/>
          <w:kern w:val="0"/>
          <w:sz w:val="28"/>
          <w:szCs w:val="28"/>
          <w:highlight w:val="none"/>
          <w:lang w:val="en-US" w:eastAsia="zh-CN"/>
        </w:rPr>
        <w:t>本合同模板</w:t>
      </w:r>
      <w:r>
        <w:rPr>
          <w:rFonts w:hint="eastAsia" w:ascii="方正小标宋简体" w:hAnsi="方正小标宋简体" w:eastAsia="方正小标宋简体" w:cs="方正小标宋简体"/>
          <w:bCs/>
          <w:kern w:val="0"/>
          <w:sz w:val="28"/>
          <w:szCs w:val="28"/>
          <w:highlight w:val="none"/>
        </w:rPr>
        <w:t>仅供参考）</w:t>
      </w:r>
    </w:p>
    <w:bookmarkEnd w:id="58"/>
    <w:p>
      <w:pPr>
        <w:ind w:firstLine="420" w:firstLineChars="200"/>
        <w:jc w:val="left"/>
        <w:rPr>
          <w:rFonts w:ascii="宋体" w:hAnsi="宋体"/>
          <w:szCs w:val="21"/>
          <w:highlight w:val="none"/>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Arial"/>
          <w:sz w:val="21"/>
          <w:szCs w:val="21"/>
          <w:highlight w:val="none"/>
          <w:lang w:val="en-US" w:eastAsia="zh-CN"/>
        </w:rPr>
        <w:t>深圳会展中心餐饮区餐饮经营</w:t>
      </w:r>
      <w:r>
        <w:rPr>
          <w:rFonts w:hint="eastAsia" w:ascii="宋体" w:hAnsi="宋体" w:cs="Arial"/>
          <w:sz w:val="21"/>
          <w:szCs w:val="21"/>
          <w:highlight w:val="none"/>
        </w:rPr>
        <w:t>服务，甲乙双方经协商一致，签订本合同，双方保证严格遵守和执行。</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lang w:val="en-US" w:eastAsia="zh-CN"/>
        </w:rPr>
        <w:t>餐饮区</w:t>
      </w:r>
      <w:r>
        <w:rPr>
          <w:rFonts w:hint="eastAsia" w:ascii="宋体" w:hAnsi="宋体" w:cs="宋体"/>
          <w:sz w:val="21"/>
          <w:szCs w:val="21"/>
          <w:highlight w:val="none"/>
        </w:rPr>
        <w:t>XXXX</w:t>
      </w:r>
      <w:r>
        <w:rPr>
          <w:rFonts w:hint="eastAsia" w:ascii="宋体" w:hAnsi="宋体" w:cs="宋体"/>
          <w:sz w:val="21"/>
          <w:szCs w:val="21"/>
          <w:highlight w:val="none"/>
          <w:lang w:val="en-US" w:eastAsia="zh-CN"/>
        </w:rPr>
        <w:t>铺位</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29"/>
        </w:numPr>
        <w:spacing w:after="0" w:line="360" w:lineRule="auto"/>
        <w:ind w:left="0" w:firstLine="40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甲方安排深圳会展中心餐饮广场......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铺位作为乙方餐饮服务经营场所。在甲方举办展会期间，由乙方负责提供中式</w:t>
      </w:r>
      <w:r>
        <w:rPr>
          <w:rFonts w:hint="eastAsia" w:ascii="宋体" w:hAnsi="宋体" w:cs="宋体"/>
          <w:sz w:val="21"/>
          <w:szCs w:val="21"/>
          <w:highlight w:val="none"/>
          <w:lang w:val="en-US" w:eastAsia="zh-CN"/>
        </w:rPr>
        <w:t>特色</w:t>
      </w:r>
      <w:r>
        <w:rPr>
          <w:rFonts w:hint="eastAsia" w:ascii="宋体" w:hAnsi="宋体" w:eastAsia="宋体" w:cs="宋体"/>
          <w:sz w:val="21"/>
          <w:szCs w:val="21"/>
          <w:highlight w:val="none"/>
        </w:rPr>
        <w:t>餐</w:t>
      </w:r>
      <w:r>
        <w:rPr>
          <w:rFonts w:hint="eastAsia" w:ascii="宋体" w:hAnsi="宋体" w:cs="宋体"/>
          <w:sz w:val="21"/>
          <w:szCs w:val="21"/>
          <w:highlight w:val="none"/>
          <w:lang w:val="en-US" w:eastAsia="zh-CN"/>
        </w:rPr>
        <w:t>饮</w:t>
      </w:r>
      <w:r>
        <w:rPr>
          <w:rFonts w:hint="eastAsia" w:ascii="宋体" w:hAnsi="宋体" w:eastAsia="宋体" w:cs="宋体"/>
          <w:sz w:val="21"/>
          <w:szCs w:val="21"/>
          <w:highlight w:val="none"/>
        </w:rPr>
        <w:t>服务。</w:t>
      </w:r>
    </w:p>
    <w:p>
      <w:pPr>
        <w:pStyle w:val="2"/>
        <w:numPr>
          <w:ilvl w:val="0"/>
          <w:numId w:val="29"/>
        </w:numPr>
        <w:spacing w:after="0" w:line="360" w:lineRule="auto"/>
        <w:ind w:left="0" w:firstLine="40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乙方经营业务类别：</w:t>
      </w:r>
      <w:r>
        <w:rPr>
          <w:rFonts w:hint="eastAsia" w:ascii="宋体" w:hAnsi="宋体" w:cs="宋体"/>
          <w:color w:val="000000"/>
          <w:sz w:val="21"/>
          <w:szCs w:val="21"/>
          <w:highlight w:val="none"/>
          <w:lang w:val="en-US" w:eastAsia="zh-CN"/>
        </w:rPr>
        <w:t>粉</w:t>
      </w:r>
      <w:r>
        <w:rPr>
          <w:rFonts w:hint="eastAsia" w:ascii="宋体" w:hAnsi="宋体" w:eastAsia="宋体" w:cs="宋体"/>
          <w:color w:val="000000"/>
          <w:sz w:val="21"/>
          <w:szCs w:val="21"/>
          <w:highlight w:val="none"/>
        </w:rPr>
        <w:t>面食、</w:t>
      </w:r>
      <w:r>
        <w:rPr>
          <w:rFonts w:hint="eastAsia" w:ascii="宋体" w:hAnsi="宋体" w:cs="宋体"/>
          <w:color w:val="000000"/>
          <w:sz w:val="21"/>
          <w:szCs w:val="21"/>
          <w:highlight w:val="none"/>
          <w:lang w:val="en-US" w:eastAsia="zh-CN"/>
        </w:rPr>
        <w:t>休闲美食等</w:t>
      </w:r>
      <w:r>
        <w:rPr>
          <w:rFonts w:hint="eastAsia" w:ascii="宋体" w:hAnsi="宋体" w:eastAsia="宋体" w:cs="宋体"/>
          <w:color w:val="000000"/>
          <w:sz w:val="21"/>
          <w:szCs w:val="21"/>
          <w:highlight w:val="none"/>
        </w:rPr>
        <w:t>。乙方不得超越该经营范围。</w:t>
      </w:r>
    </w:p>
    <w:p>
      <w:pPr>
        <w:pStyle w:val="2"/>
        <w:numPr>
          <w:ilvl w:val="0"/>
          <w:numId w:val="29"/>
        </w:numPr>
        <w:spacing w:after="0" w:line="360" w:lineRule="auto"/>
        <w:ind w:left="0" w:firstLine="400" w:firstLineChars="200"/>
        <w:rPr>
          <w:rFonts w:hint="eastAsia" w:ascii="宋体" w:hAnsi="宋体" w:eastAsia="宋体" w:cs="宋体"/>
          <w:sz w:val="21"/>
          <w:szCs w:val="21"/>
          <w:highlight w:val="none"/>
        </w:rPr>
      </w:pP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spacing w:line="360" w:lineRule="auto"/>
        <w:ind w:firstLine="417" w:firstLineChars="19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乙方不得以任何形式将经营场所转让或允许第三方经营者经营，否则甲方有权禁止其行为或提前解除合同。</w:t>
      </w:r>
    </w:p>
    <w:p>
      <w:pPr>
        <w:pStyle w:val="2"/>
        <w:numPr>
          <w:ilvl w:val="0"/>
          <w:numId w:val="3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w:t>
      </w:r>
      <w:r>
        <w:rPr>
          <w:rFonts w:hint="eastAsia" w:ascii="宋体" w:hAnsi="宋体" w:cs="仿宋"/>
          <w:sz w:val="21"/>
          <w:szCs w:val="21"/>
          <w:highlight w:val="none"/>
          <w:lang w:val="en-US" w:eastAsia="zh-CN"/>
        </w:rPr>
        <w:t>至2024年10月31日止</w:t>
      </w:r>
      <w:r>
        <w:rPr>
          <w:rFonts w:hint="eastAsia" w:ascii="宋体" w:hAnsi="宋体" w:cs="仿宋"/>
          <w:sz w:val="21"/>
          <w:szCs w:val="21"/>
          <w:highlight w:val="none"/>
        </w:rPr>
        <w:t>，从本合同签订生效之日起至XXXX年X月X日止。年度服务期满前两个月，乙方应主动向甲方申请对其本年度服务情况进行评审，经甲方综合考核评审服务达到优良（综合得分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2"/>
        <w:numPr>
          <w:ilvl w:val="1"/>
          <w:numId w:val="32"/>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2"/>
        <w:numPr>
          <w:ilvl w:val="0"/>
          <w:numId w:val="3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2"/>
        <w:numPr>
          <w:ilvl w:val="0"/>
          <w:numId w:val="3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2"/>
        <w:numPr>
          <w:ilvl w:val="1"/>
          <w:numId w:val="32"/>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2"/>
        <w:numPr>
          <w:ilvl w:val="0"/>
          <w:numId w:val="34"/>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2"/>
        <w:numPr>
          <w:ilvl w:val="0"/>
          <w:numId w:val="34"/>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2"/>
        <w:numPr>
          <w:ilvl w:val="0"/>
          <w:numId w:val="34"/>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3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5"/>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3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3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7"/>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3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3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9"/>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4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40"/>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41"/>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41"/>
        </w:numPr>
        <w:snapToGrid w:val="0"/>
        <w:spacing w:line="360" w:lineRule="auto"/>
        <w:ind w:firstLine="420" w:firstLineChars="200"/>
        <w:rPr>
          <w:rFonts w:ascii="宋体" w:hAnsi="宋体" w:cs="仿宋"/>
          <w:szCs w:val="21"/>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w:t>
      </w:r>
      <w:r>
        <w:rPr>
          <w:rFonts w:hint="eastAsia" w:ascii="宋体" w:hAnsi="宋体" w:cs="仿宋"/>
          <w:szCs w:val="21"/>
        </w:rPr>
        <w:t>、诉讼费、律师费、公证费、鉴定费等全部维权费用。</w:t>
      </w:r>
    </w:p>
    <w:p>
      <w:pPr>
        <w:pStyle w:val="2"/>
        <w:numPr>
          <w:ilvl w:val="0"/>
          <w:numId w:val="2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2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2"/>
        <w:numPr>
          <w:ilvl w:val="0"/>
          <w:numId w:val="4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4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2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2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44"/>
        </w:numPr>
        <w:spacing w:line="360" w:lineRule="auto"/>
        <w:rPr>
          <w:rFonts w:ascii="宋体" w:hAnsi="宋体" w:eastAsia="宋体" w:cs="仿宋"/>
          <w:szCs w:val="21"/>
        </w:rPr>
      </w:pPr>
      <w:bookmarkStart w:id="59"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59"/>
    </w:p>
    <w:p>
      <w:pPr>
        <w:numPr>
          <w:ilvl w:val="0"/>
          <w:numId w:val="4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0" w:name="_Toc116550359"/>
      <w:r>
        <w:rPr>
          <w:rFonts w:hint="eastAsia"/>
          <w:b/>
          <w:sz w:val="32"/>
          <w:szCs w:val="32"/>
        </w:rPr>
        <w:t>第五部分：参考附件</w:t>
      </w:r>
      <w:bookmarkEnd w:id="60"/>
    </w:p>
    <w:p>
      <w:pPr>
        <w:spacing w:line="0" w:lineRule="atLeast"/>
        <w:outlineLvl w:val="1"/>
        <w:rPr>
          <w:rFonts w:ascii="宋体" w:hAnsi="宋体"/>
        </w:rPr>
      </w:pPr>
      <w:bookmarkStart w:id="61" w:name="_Toc116550360"/>
      <w:r>
        <w:rPr>
          <w:rFonts w:hint="eastAsia" w:ascii="宋体" w:hAnsi="宋体"/>
          <w:szCs w:val="21"/>
        </w:rPr>
        <w:t>附件1：</w:t>
      </w:r>
      <w:r>
        <w:rPr>
          <w:rFonts w:hint="eastAsia" w:ascii="宋体" w:hAnsi="宋体"/>
        </w:rPr>
        <w:t>报名回函</w:t>
      </w:r>
      <w:bookmarkEnd w:id="61"/>
    </w:p>
    <w:p>
      <w:pPr>
        <w:pStyle w:val="11"/>
      </w:pPr>
    </w:p>
    <w:p>
      <w:pPr>
        <w:pStyle w:val="12"/>
        <w:jc w:val="center"/>
        <w:rPr>
          <w:rStyle w:val="17"/>
          <w:rFonts w:hint="eastAsia" w:ascii="方正小标宋简体" w:hAnsi="方正小标宋_GBK" w:eastAsia="方正小标宋简体" w:cs="Times New Roman"/>
          <w:sz w:val="32"/>
          <w:szCs w:val="32"/>
        </w:rPr>
      </w:pPr>
      <w:r>
        <w:rPr>
          <w:rStyle w:val="17"/>
          <w:rFonts w:hint="eastAsia" w:ascii="方正小标宋简体" w:hAnsi="方正小标宋_GBK" w:eastAsia="方正小标宋简体"/>
          <w:sz w:val="32"/>
          <w:szCs w:val="32"/>
        </w:rPr>
        <w:t>关于确认</w:t>
      </w:r>
      <w:r>
        <w:rPr>
          <w:rStyle w:val="17"/>
          <w:rFonts w:hint="eastAsia" w:ascii="方正小标宋简体" w:hAnsi="方正小标宋_GBK" w:eastAsia="方正小标宋简体" w:cs="Times New Roman"/>
          <w:sz w:val="32"/>
          <w:szCs w:val="32"/>
        </w:rPr>
        <w:t>参加</w:t>
      </w:r>
      <w:r>
        <w:rPr>
          <w:rStyle w:val="17"/>
          <w:rFonts w:hint="eastAsia" w:ascii="方正小标宋简体" w:hAnsi="方正小标宋_GBK" w:eastAsia="方正小标宋简体" w:cs="Times New Roman"/>
          <w:color w:val="auto"/>
          <w:sz w:val="32"/>
          <w:szCs w:val="32"/>
          <w:highlight w:val="none"/>
          <w:lang w:val="en-US" w:eastAsia="zh-CN"/>
        </w:rPr>
        <w:t>深圳会展中心餐饮区两处特色餐饮铺位公开招租</w:t>
      </w:r>
      <w:r>
        <w:rPr>
          <w:rStyle w:val="17"/>
          <w:rFonts w:hint="eastAsia" w:ascii="方正小标宋简体" w:hAnsi="方正小标宋_GBK" w:eastAsia="方正小标宋简体" w:cs="Times New Roman"/>
          <w:sz w:val="32"/>
          <w:szCs w:val="32"/>
          <w:highlight w:val="none"/>
          <w:u w:val="single"/>
          <w:lang w:val="en-US" w:eastAsia="zh-CN"/>
        </w:rPr>
        <w:t xml:space="preserve">   </w:t>
      </w:r>
      <w:r>
        <w:rPr>
          <w:rStyle w:val="17"/>
          <w:rFonts w:hint="eastAsia" w:ascii="方正小标宋简体" w:hAnsi="方正小标宋_GBK" w:eastAsia="方正小标宋简体" w:cs="Times New Roman"/>
          <w:sz w:val="32"/>
          <w:szCs w:val="32"/>
          <w:highlight w:val="none"/>
          <w:lang w:val="en-US" w:eastAsia="zh-CN"/>
        </w:rPr>
        <w:t>号铺位</w:t>
      </w:r>
      <w:r>
        <w:rPr>
          <w:rStyle w:val="17"/>
          <w:rFonts w:hint="eastAsia" w:ascii="方正小标宋简体" w:hAnsi="方正小标宋_GBK" w:eastAsia="方正小标宋简体" w:cs="Times New Roman"/>
          <w:sz w:val="32"/>
          <w:szCs w:val="32"/>
          <w:lang w:val="en-US" w:eastAsia="zh-CN"/>
        </w:rPr>
        <w:t>竞</w:t>
      </w:r>
      <w:r>
        <w:rPr>
          <w:rStyle w:val="17"/>
          <w:rFonts w:hint="eastAsia" w:ascii="方正小标宋简体" w:hAnsi="方正小标宋_GBK" w:eastAsia="方正小标宋简体" w:cs="Times New Roman"/>
          <w:sz w:val="32"/>
          <w:szCs w:val="32"/>
        </w:rPr>
        <w:t>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kern w:val="2"/>
          <w:sz w:val="28"/>
          <w:szCs w:val="28"/>
          <w:u w:val="none"/>
          <w:lang w:val="en-US" w:eastAsia="zh-CN"/>
        </w:rPr>
        <w:t>深圳会展中心餐饮区特色餐饮铺位公开招租</w:t>
      </w:r>
      <w:r>
        <w:rPr>
          <w:rFonts w:hint="eastAsia" w:ascii="仿宋" w:hAnsi="仿宋" w:eastAsia="仿宋" w:cs="Times New Roman"/>
          <w:kern w:val="2"/>
          <w:sz w:val="28"/>
          <w:szCs w:val="28"/>
          <w:u w:val="single"/>
          <w:lang w:val="en-US" w:eastAsia="zh-CN"/>
        </w:rPr>
        <w:t xml:space="preserve">   </w:t>
      </w:r>
      <w:r>
        <w:rPr>
          <w:rFonts w:hint="eastAsia" w:ascii="仿宋" w:hAnsi="仿宋" w:eastAsia="仿宋" w:cs="Times New Roman"/>
          <w:kern w:val="2"/>
          <w:sz w:val="28"/>
          <w:szCs w:val="28"/>
          <w:lang w:val="en-US" w:eastAsia="zh-CN"/>
        </w:rPr>
        <w:t>号铺位</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ind w:firstLine="2240" w:firstLineChars="800"/>
        <w:jc w:val="both"/>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2" w:name="_Toc116550361"/>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w:t>
      </w:r>
      <w:r>
        <w:rPr>
          <w:rFonts w:hint="eastAsia" w:ascii="仿宋" w:hAnsi="仿宋" w:eastAsia="仿宋"/>
          <w:sz w:val="24"/>
          <w:u w:val="single"/>
          <w:lang w:val="en-US" w:eastAsia="zh-CN"/>
        </w:rPr>
        <w:t>租</w:t>
      </w:r>
      <w:r>
        <w:rPr>
          <w:rFonts w:hint="eastAsia" w:ascii="仿宋" w:hAnsi="仿宋" w:eastAsia="仿宋"/>
          <w:sz w:val="24"/>
          <w:u w:val="single"/>
        </w:rPr>
        <w:t>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w:t>
      </w:r>
      <w:r>
        <w:rPr>
          <w:rFonts w:hint="eastAsia" w:ascii="仿宋" w:hAnsi="仿宋" w:eastAsia="仿宋"/>
          <w:sz w:val="24"/>
          <w:lang w:val="en-US" w:eastAsia="zh-CN"/>
        </w:rPr>
        <w:t>租</w:t>
      </w:r>
      <w:r>
        <w:rPr>
          <w:rFonts w:ascii="仿宋" w:hAnsi="仿宋" w:eastAsia="仿宋"/>
          <w:sz w:val="24"/>
        </w:rPr>
        <w:t>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w:t>
      </w:r>
      <w:r>
        <w:rPr>
          <w:rFonts w:hint="eastAsia" w:ascii="仿宋" w:hAnsi="仿宋" w:eastAsia="仿宋"/>
          <w:bCs/>
          <w:sz w:val="24"/>
          <w:lang w:val="en-US" w:eastAsia="zh-CN"/>
        </w:rPr>
        <w:t>租</w:t>
      </w:r>
      <w:r>
        <w:rPr>
          <w:rFonts w:hint="eastAsia" w:ascii="仿宋" w:hAnsi="仿宋" w:eastAsia="仿宋"/>
          <w:bCs/>
          <w:sz w:val="24"/>
        </w:rPr>
        <w:t>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lang w:eastAsia="zh-CN"/>
        </w:rPr>
        <w:t>竞标人</w:t>
      </w:r>
      <w:r>
        <w:rPr>
          <w:rFonts w:hint="eastAsia" w:ascii="仿宋" w:hAnsi="仿宋" w:eastAsia="仿宋"/>
          <w:sz w:val="24"/>
        </w:rPr>
        <w:t>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lang w:eastAsia="zh-CN"/>
        </w:rPr>
        <w:t>竞标人</w:t>
      </w:r>
      <w:r>
        <w:rPr>
          <w:rFonts w:hint="eastAsia" w:ascii="仿宋" w:hAnsi="仿宋" w:eastAsia="仿宋"/>
          <w:sz w:val="24"/>
        </w:rPr>
        <w:t>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16550362"/>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tbl>
      <w:tblPr>
        <w:tblStyle w:val="15"/>
        <w:tblW w:w="7619"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vAlign w:val="center"/>
          </w:tcPr>
          <w:p>
            <w:pPr>
              <w:pStyle w:val="2"/>
              <w:spacing w:after="0" w:line="300" w:lineRule="exact"/>
              <w:ind w:left="0"/>
              <w:jc w:val="center"/>
              <w:rPr>
                <w:rFonts w:hint="default" w:eastAsia="宋体"/>
                <w:sz w:val="21"/>
                <w:szCs w:val="21"/>
                <w:lang w:val="en-US" w:eastAsia="zh-CN"/>
              </w:rPr>
            </w:pPr>
            <w:bookmarkStart w:id="64" w:name="_Hlk116547280"/>
            <w:r>
              <w:rPr>
                <w:rFonts w:hint="eastAsia"/>
                <w:sz w:val="21"/>
                <w:szCs w:val="21"/>
                <w:lang w:val="en-US" w:eastAsia="zh-CN"/>
              </w:rPr>
              <w:t>竞标报价</w:t>
            </w:r>
          </w:p>
          <w:p>
            <w:pPr>
              <w:pStyle w:val="2"/>
              <w:spacing w:after="0" w:line="300" w:lineRule="exact"/>
              <w:ind w:left="0"/>
              <w:jc w:val="center"/>
              <w:rPr>
                <w:rFonts w:ascii="宋体" w:hAnsi="宋体"/>
                <w:szCs w:val="21"/>
              </w:rPr>
            </w:pPr>
            <w:r>
              <w:rPr>
                <w:rFonts w:hint="eastAsia"/>
                <w:sz w:val="21"/>
                <w:szCs w:val="21"/>
                <w:lang w:val="en-US" w:eastAsia="zh-CN"/>
              </w:rPr>
              <w:t>（月保底营业额）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bookmarkEnd w:id="64"/>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lang w:eastAsia="zh-CN"/>
        </w:rPr>
        <w:t>竞标人</w:t>
      </w:r>
      <w:r>
        <w:rPr>
          <w:rFonts w:hint="eastAsia" w:ascii="宋体" w:hAnsi="宋体"/>
          <w:szCs w:val="21"/>
        </w:rPr>
        <w:t>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5" w:name="_Toc116550363"/>
      <w:r>
        <w:rPr>
          <w:rFonts w:hint="eastAsia" w:ascii="宋体" w:hAnsi="宋体"/>
          <w:szCs w:val="21"/>
        </w:rPr>
        <w:t>附件4：考察证明</w:t>
      </w:r>
      <w:bookmarkEnd w:id="65"/>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highlight w:val="none"/>
        </w:rPr>
      </w:pPr>
      <w:bookmarkStart w:id="66" w:name="_Hlk116549366"/>
      <w:r>
        <w:rPr>
          <w:rFonts w:hint="eastAsia" w:ascii="方正小标宋_GBK" w:hAnsi="方正小标宋_GBK" w:eastAsia="方正小标宋_GBK"/>
          <w:b/>
          <w:sz w:val="32"/>
          <w:szCs w:val="32"/>
          <w:highlight w:val="none"/>
        </w:rPr>
        <w:t>现场考察证明</w:t>
      </w:r>
    </w:p>
    <w:p>
      <w:pPr>
        <w:spacing w:line="0" w:lineRule="atLeast"/>
        <w:rPr>
          <w:rFonts w:ascii="仿宋_GB2312" w:hAnsi="仿宋" w:eastAsia="仿宋_GB2312"/>
          <w:sz w:val="28"/>
          <w:szCs w:val="28"/>
          <w:highlight w:val="none"/>
        </w:rPr>
      </w:pPr>
    </w:p>
    <w:p>
      <w:pPr>
        <w:spacing w:line="360" w:lineRule="auto"/>
        <w:rPr>
          <w:rFonts w:ascii="仿宋" w:hAnsi="仿宋" w:eastAsia="仿宋"/>
          <w:sz w:val="28"/>
          <w:szCs w:val="28"/>
          <w:highlight w:val="none"/>
        </w:rPr>
      </w:pPr>
      <w:r>
        <w:rPr>
          <w:rFonts w:hint="eastAsia" w:ascii="仿宋" w:hAnsi="仿宋" w:eastAsia="仿宋"/>
          <w:sz w:val="28"/>
          <w:szCs w:val="28"/>
          <w:highlight w:val="none"/>
          <w:lang w:eastAsia="zh-CN"/>
        </w:rPr>
        <w:t>竞标人</w:t>
      </w:r>
      <w:r>
        <w:rPr>
          <w:rFonts w:hint="eastAsia" w:ascii="仿宋" w:hAnsi="仿宋" w:eastAsia="仿宋"/>
          <w:sz w:val="28"/>
          <w:szCs w:val="28"/>
          <w:highlight w:val="none"/>
        </w:rPr>
        <w:t>（                            ）：</w:t>
      </w:r>
    </w:p>
    <w:p>
      <w:pPr>
        <w:spacing w:line="360" w:lineRule="auto"/>
        <w:ind w:firstLine="560" w:firstLineChars="200"/>
        <w:jc w:val="left"/>
        <w:rPr>
          <w:rFonts w:ascii="仿宋" w:hAnsi="仿宋" w:eastAsia="仿宋"/>
          <w:sz w:val="28"/>
          <w:szCs w:val="28"/>
        </w:rPr>
      </w:pPr>
      <w:bookmarkStart w:id="67" w:name="_Hlk116548155"/>
      <w:r>
        <w:rPr>
          <w:rFonts w:hint="eastAsia" w:ascii="仿宋" w:hAnsi="仿宋" w:eastAsia="仿宋"/>
          <w:sz w:val="28"/>
          <w:szCs w:val="28"/>
          <w:highlight w:val="none"/>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w:t>
      </w:r>
      <w:r>
        <w:rPr>
          <w:rFonts w:hint="eastAsia" w:ascii="仿宋" w:hAnsi="仿宋" w:eastAsia="仿宋"/>
          <w:sz w:val="28"/>
          <w:szCs w:val="28"/>
        </w:rPr>
        <w:t>已经知晓招标人本次项目的所有内容以及技术要求等。</w:t>
      </w:r>
    </w:p>
    <w:bookmarkEnd w:id="6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6"/>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116550364"/>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w:t>
      </w:r>
      <w:r>
        <w:rPr>
          <w:rFonts w:hint="eastAsia" w:ascii="仿宋" w:hAnsi="仿宋" w:eastAsia="仿宋"/>
          <w:sz w:val="28"/>
          <w:szCs w:val="28"/>
          <w:lang w:eastAsia="zh-CN"/>
        </w:rPr>
        <w:t>竞标人</w:t>
      </w:r>
      <w:r>
        <w:rPr>
          <w:rFonts w:hint="eastAsia" w:ascii="仿宋" w:hAnsi="仿宋" w:eastAsia="仿宋"/>
          <w:sz w:val="28"/>
          <w:szCs w:val="28"/>
        </w:rPr>
        <w:t>须逐条填写在本表中，并对《</w:t>
      </w:r>
      <w:r>
        <w:rPr>
          <w:rFonts w:hint="eastAsia" w:ascii="仿宋" w:hAnsi="仿宋" w:eastAsia="仿宋"/>
          <w:sz w:val="28"/>
          <w:szCs w:val="28"/>
          <w:lang w:eastAsia="zh-CN"/>
        </w:rPr>
        <w:t>竞标人</w:t>
      </w:r>
      <w:r>
        <w:rPr>
          <w:rFonts w:hint="eastAsia" w:ascii="仿宋" w:hAnsi="仿宋" w:eastAsia="仿宋"/>
          <w:sz w:val="28"/>
          <w:szCs w:val="28"/>
        </w:rPr>
        <w:t>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竞标人</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Hlk127434997"/>
      <w:bookmarkStart w:id="71" w:name="_Toc211243320"/>
      <w:r>
        <w:rPr>
          <w:rFonts w:hint="eastAsia" w:ascii="仿宋" w:hAnsi="仿宋" w:eastAsia="仿宋"/>
          <w:sz w:val="30"/>
          <w:szCs w:val="30"/>
        </w:rPr>
        <w:t>法定代表人或其授权委托人（签字或盖章）：</w:t>
      </w:r>
      <w:bookmarkEnd w:id="70"/>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36803114"/>
      <w:bookmarkStart w:id="73" w:name="_Toc246480945"/>
      <w:r>
        <w:rPr>
          <w:rFonts w:ascii="仿宋" w:hAnsi="仿宋" w:eastAsia="仿宋"/>
          <w:sz w:val="28"/>
          <w:szCs w:val="28"/>
        </w:rPr>
        <w:br w:type="page"/>
      </w:r>
    </w:p>
    <w:p>
      <w:pPr>
        <w:spacing w:line="0" w:lineRule="atLeast"/>
        <w:outlineLvl w:val="1"/>
        <w:rPr>
          <w:rFonts w:ascii="宋体" w:hAnsi="宋体"/>
          <w:szCs w:val="21"/>
        </w:rPr>
      </w:pPr>
      <w:bookmarkStart w:id="74" w:name="_Toc116550365"/>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lang w:eastAsia="zh-CN"/>
        </w:rPr>
        <w:t>竞标人</w:t>
      </w:r>
      <w:r>
        <w:rPr>
          <w:rFonts w:hint="eastAsia" w:ascii="仿宋" w:hAnsi="仿宋" w:eastAsia="仿宋"/>
          <w:sz w:val="30"/>
          <w:szCs w:val="30"/>
        </w:rPr>
        <w:t>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lang w:eastAsia="zh-CN"/>
              </w:rPr>
              <w:t>竞标人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w:t>
      </w:r>
      <w:r>
        <w:rPr>
          <w:rFonts w:hint="eastAsia" w:ascii="仿宋" w:hAnsi="仿宋" w:eastAsia="仿宋"/>
          <w:sz w:val="28"/>
          <w:szCs w:val="28"/>
          <w:lang w:eastAsia="zh-CN"/>
        </w:rPr>
        <w:t>竞标人</w:t>
      </w:r>
      <w:r>
        <w:rPr>
          <w:rFonts w:hint="eastAsia" w:ascii="仿宋" w:hAnsi="仿宋" w:eastAsia="仿宋"/>
          <w:sz w:val="28"/>
          <w:szCs w:val="28"/>
        </w:rPr>
        <w:t>须逐条填写在本表中，并对《</w:t>
      </w:r>
      <w:r>
        <w:rPr>
          <w:rFonts w:hint="eastAsia" w:ascii="仿宋" w:hAnsi="仿宋" w:eastAsia="仿宋"/>
          <w:sz w:val="28"/>
          <w:szCs w:val="28"/>
          <w:lang w:eastAsia="zh-CN"/>
        </w:rPr>
        <w:t>竞标人</w:t>
      </w:r>
      <w:r>
        <w:rPr>
          <w:rFonts w:hint="eastAsia" w:ascii="仿宋" w:hAnsi="仿宋" w:eastAsia="仿宋"/>
          <w:sz w:val="28"/>
          <w:szCs w:val="28"/>
        </w:rPr>
        <w:t>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竞标人</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236803111"/>
      <w:bookmarkStart w:id="77" w:name="_Toc395883088"/>
      <w:bookmarkStart w:id="78" w:name="_Toc478387764"/>
      <w:r>
        <w:rPr>
          <w:rFonts w:ascii="仿宋" w:hAnsi="仿宋" w:eastAsia="仿宋"/>
          <w:sz w:val="28"/>
          <w:szCs w:val="28"/>
        </w:rPr>
        <w:br w:type="page"/>
      </w:r>
    </w:p>
    <w:p>
      <w:pPr>
        <w:spacing w:line="0" w:lineRule="atLeast"/>
        <w:outlineLvl w:val="1"/>
        <w:rPr>
          <w:rFonts w:ascii="宋体" w:hAnsi="宋体"/>
          <w:szCs w:val="21"/>
        </w:rPr>
      </w:pPr>
      <w:bookmarkStart w:id="79" w:name="_Toc116550366"/>
      <w:r>
        <w:rPr>
          <w:rFonts w:hint="eastAsia" w:ascii="宋体" w:hAnsi="宋体"/>
          <w:szCs w:val="21"/>
        </w:rPr>
        <w:t>附件7：报价一览表（货物）</w:t>
      </w:r>
      <w:r>
        <w:rPr>
          <w:rFonts w:hint="eastAsia" w:ascii="宋体" w:hAnsi="宋体"/>
          <w:color w:val="FF0000"/>
          <w:szCs w:val="21"/>
        </w:rPr>
        <w:t>（本项目不适用）</w:t>
      </w:r>
      <w:bookmarkEnd w:id="79"/>
    </w:p>
    <w:bookmarkEnd w:id="76"/>
    <w:bookmarkEnd w:id="77"/>
    <w:bookmarkEnd w:id="78"/>
    <w:p>
      <w:pPr>
        <w:spacing w:before="120" w:after="240"/>
        <w:jc w:val="center"/>
        <w:rPr>
          <w:rFonts w:ascii="宋体" w:hAnsi="宋体"/>
          <w:b/>
          <w:sz w:val="32"/>
          <w:szCs w:val="32"/>
        </w:rPr>
      </w:pPr>
      <w:bookmarkStart w:id="80" w:name="_Toc21124841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7"/>
        </w:numPr>
        <w:spacing w:line="400" w:lineRule="exact"/>
        <w:ind w:left="709" w:hanging="283"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如果需要对报价或其它内容加以说明，可在备注一栏中填写。</w:t>
      </w:r>
    </w:p>
    <w:p>
      <w:pPr>
        <w:pStyle w:val="22"/>
        <w:numPr>
          <w:ilvl w:val="1"/>
          <w:numId w:val="47"/>
        </w:numPr>
        <w:spacing w:line="400" w:lineRule="exact"/>
        <w:ind w:left="709" w:hanging="283" w:firstLineChars="0"/>
        <w:rPr>
          <w:rFonts w:ascii="仿宋" w:hAnsi="仿宋" w:eastAsia="仿宋"/>
          <w:bCs/>
          <w:sz w:val="28"/>
          <w:szCs w:val="28"/>
        </w:rPr>
      </w:pPr>
      <w:r>
        <w:rPr>
          <w:rFonts w:hint="eastAsia" w:ascii="仿宋" w:hAnsi="仿宋" w:eastAsia="仿宋"/>
          <w:sz w:val="28"/>
          <w:szCs w:val="28"/>
          <w:lang w:eastAsia="zh-CN"/>
        </w:rPr>
        <w:t>竞标人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359026"/>
      <w:bookmarkStart w:id="82"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1"/>
    <w:bookmarkEnd w:id="82"/>
    <w:p>
      <w:pPr>
        <w:spacing w:line="0" w:lineRule="atLeast"/>
        <w:outlineLvl w:val="1"/>
        <w:rPr>
          <w:rFonts w:ascii="宋体" w:hAnsi="宋体"/>
          <w:szCs w:val="21"/>
        </w:rPr>
      </w:pPr>
      <w:bookmarkStart w:id="83" w:name="_Toc116550367"/>
      <w:r>
        <w:rPr>
          <w:rFonts w:hint="eastAsia" w:ascii="宋体" w:hAnsi="宋体"/>
          <w:szCs w:val="21"/>
        </w:rPr>
        <w:t>附件8：报价一览表（服务）</w:t>
      </w:r>
      <w:bookmarkEnd w:id="83"/>
      <w:r>
        <w:rPr>
          <w:rFonts w:hint="eastAsia" w:ascii="宋体" w:hAnsi="宋体"/>
          <w:color w:val="FF0000"/>
          <w:szCs w:val="21"/>
        </w:rPr>
        <w:t>（本项目不适用）</w:t>
      </w:r>
    </w:p>
    <w:p>
      <w:pPr>
        <w:spacing w:line="0" w:lineRule="atLeast"/>
        <w:outlineLvl w:val="1"/>
        <w:rPr>
          <w:rFonts w:ascii="宋体" w:hAnsi="宋体"/>
          <w:szCs w:val="21"/>
        </w:rPr>
      </w:pPr>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8"/>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竞标人</w:t>
      </w:r>
      <w:r>
        <w:rPr>
          <w:rFonts w:hint="eastAsia" w:ascii="仿宋" w:hAnsi="仿宋" w:eastAsia="仿宋"/>
          <w:bCs/>
          <w:sz w:val="30"/>
          <w:szCs w:val="30"/>
        </w:rPr>
        <w:t>如果需要对报价或其它内容加以说明，可在备注一栏中填写。</w:t>
      </w:r>
    </w:p>
    <w:p>
      <w:pPr>
        <w:pStyle w:val="22"/>
        <w:numPr>
          <w:ilvl w:val="1"/>
          <w:numId w:val="48"/>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竞标人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4" w:name="_Toc116550368"/>
      <w:r>
        <w:rPr>
          <w:rFonts w:hint="eastAsia" w:ascii="宋体" w:hAnsi="宋体"/>
          <w:szCs w:val="21"/>
        </w:rPr>
        <w:t>附件9：报价一览表（工程）</w:t>
      </w:r>
      <w:bookmarkEnd w:id="84"/>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如果需要对报价或其它内容加以说明，可在备注一栏中填写。</w:t>
      </w:r>
    </w:p>
    <w:p>
      <w:pPr>
        <w:pStyle w:val="22"/>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使用本表或自由报价单格式报价均可，但应能清晰体现总报价及分项报价信息。</w:t>
      </w:r>
    </w:p>
    <w:p>
      <w:pPr>
        <w:pStyle w:val="22"/>
        <w:numPr>
          <w:ilvl w:val="1"/>
          <w:numId w:val="4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5" w:name="_Toc116550369"/>
      <w:r>
        <w:rPr>
          <w:rFonts w:hint="eastAsia" w:ascii="宋体" w:hAnsi="宋体"/>
          <w:szCs w:val="21"/>
        </w:rPr>
        <w:t>附件10：法定代表人证明书</w:t>
      </w:r>
      <w:bookmarkEnd w:id="8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竞标人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竞标人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6"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lang w:eastAsia="zh-CN"/>
        </w:rPr>
        <w:t>竞标人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5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5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5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346710</wp:posOffset>
                </wp:positionV>
                <wp:extent cx="2555875" cy="1609725"/>
                <wp:effectExtent l="4445" t="4445" r="11430" b="508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lang w:val="en-US" w:eastAsia="zh-CN"/>
                              </w:rPr>
                              <w:t>法人委托代理人</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27.3pt;height:126.75pt;width:201.25pt;z-index:251661312;mso-width-relative:page;mso-height-relative:page;" fillcolor="#FFFFFF" filled="t" stroked="t" coordsize="21600,21600" o:gfxdata="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57qAjaAAAACgEAAA8A&#10;AAAAAAAAAQAgAAAAIgAAAGRycy9kb3ducmV2LnhtbFBLAQIUABQAAAAIAIdO4kClhGK8FQIAADkE&#10;AAAOAAAAAAAAAAEAIAAAACkBAABkcnMvZTJvRG9jLnhtbFBLBQYAAAAABgAGAFkBAACwBQAAAAA=&#10;">
                <v:fill on="t" focussize="0,0"/>
                <v:stroke color="#000000" miterlimit="8" joinstyle="miter"/>
                <v:imagedata o:title=""/>
                <o:lock v:ext="edit" aspectratio="f"/>
                <v:textbox>
                  <w:txbxContent>
                    <w:p>
                      <w:r>
                        <w:rPr>
                          <w:rFonts w:hint="eastAsia"/>
                          <w:lang w:val="en-US" w:eastAsia="zh-CN"/>
                        </w:rPr>
                        <w:t>法人委托代理人</w:t>
                      </w:r>
                      <w:r>
                        <w:rPr>
                          <w:rFonts w:hint="eastAsia"/>
                        </w:rPr>
                        <w:t>身份证</w:t>
                      </w:r>
                      <w:r>
                        <w:t>复印件</w:t>
                      </w:r>
                      <w:r>
                        <w:rPr>
                          <w:rFonts w:hint="eastAsia"/>
                        </w:rPr>
                        <w:t>（反面）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2642870</wp:posOffset>
                </wp:positionH>
                <wp:positionV relativeFrom="paragraph">
                  <wp:posOffset>355600</wp:posOffset>
                </wp:positionV>
                <wp:extent cx="2517775" cy="1609725"/>
                <wp:effectExtent l="4445" t="4445" r="11430" b="508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08.1pt;margin-top:28pt;height:126.75pt;width:198.25pt;z-index:251662336;mso-width-relative:page;mso-height-relative:page;" fillcolor="#FFFFFF" filled="t" stroked="t" coordsize="21600,21600" o:gfxdata="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40pXdoAAAAKAQAADwAA&#10;AAAAAAABACAAAAAiAAAAZHJzL2Rvd25yZXYueG1sUEsBAhQAFAAAAAgAh07iQIT4L8kUAgAAOQQA&#10;AA4AAAAAAAAAAQAgAAAAKQEAAGRycy9lMm9Eb2MueG1sUEsFBgAAAAAGAAYAWQEAAK8FAAAAAA==&#10;">
                <v:fill on="t" focussize="0,0"/>
                <v:stroke color="#000000" miterlimit="8" joinstyle="miter"/>
                <v:imagedata o:title=""/>
                <o:lock v:ext="edit" aspectratio="f"/>
                <v:textbo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v:textbox>
              </v:shape>
            </w:pict>
          </mc:Fallback>
        </mc:AlternateContent>
      </w:r>
    </w:p>
    <w:p>
      <w:pPr>
        <w:spacing w:line="0" w:lineRule="atLeast"/>
        <w:outlineLvl w:val="1"/>
        <w:rPr>
          <w:rFonts w:ascii="宋体" w:hAnsi="宋体"/>
          <w:szCs w:val="21"/>
        </w:rPr>
      </w:pPr>
      <w:bookmarkStart w:id="87"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5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w:t>
      </w:r>
      <w:r>
        <w:rPr>
          <w:rFonts w:hint="eastAsia" w:ascii="仿宋" w:hAnsi="仿宋" w:eastAsia="仿宋"/>
          <w:sz w:val="28"/>
          <w:szCs w:val="28"/>
          <w:lang w:eastAsia="zh-CN"/>
        </w:rPr>
        <w:t>竞标人</w:t>
      </w:r>
      <w:r>
        <w:rPr>
          <w:rFonts w:hint="eastAsia" w:ascii="仿宋" w:hAnsi="仿宋" w:eastAsia="仿宋"/>
          <w:sz w:val="28"/>
          <w:szCs w:val="28"/>
        </w:rPr>
        <w:t>可自行调整。</w:t>
      </w:r>
    </w:p>
    <w:p>
      <w:pPr>
        <w:pStyle w:val="22"/>
        <w:numPr>
          <w:ilvl w:val="1"/>
          <w:numId w:val="52"/>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5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5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8"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lang w:eastAsia="zh-CN"/>
        </w:rPr>
        <w:t>竞标人</w:t>
      </w:r>
      <w:r>
        <w:rPr>
          <w:rFonts w:hint="eastAsia" w:ascii="仿宋" w:hAnsi="仿宋" w:eastAsia="仿宋"/>
          <w:sz w:val="28"/>
          <w:szCs w:val="28"/>
        </w:rPr>
        <w:t>可根据项目需求及承诺书具体内容自行调整相关格式）</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9" w:name="_Toc32341"/>
      <w:r>
        <w:rPr>
          <w:rFonts w:ascii="仿宋" w:hAnsi="仿宋" w:eastAsia="仿宋"/>
          <w:sz w:val="28"/>
          <w:szCs w:val="28"/>
        </w:rPr>
        <w:br w:type="page"/>
      </w:r>
    </w:p>
    <w:p>
      <w:pPr>
        <w:spacing w:line="0" w:lineRule="atLeast"/>
        <w:outlineLvl w:val="1"/>
        <w:rPr>
          <w:rFonts w:ascii="宋体" w:hAnsi="宋体"/>
          <w:szCs w:val="21"/>
        </w:rPr>
      </w:pPr>
      <w:bookmarkStart w:id="90"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9"/>
      <w:bookmarkEnd w:id="9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5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5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1" w:name="_Toc100848654"/>
      <w:bookmarkStart w:id="92" w:name="_Toc116550374"/>
      <w:r>
        <w:rPr>
          <w:rFonts w:hint="eastAsia" w:ascii="宋体" w:hAnsi="宋体"/>
        </w:rPr>
        <w:t>附件15：投标文件密码</w:t>
      </w:r>
      <w:bookmarkEnd w:id="91"/>
      <w:r>
        <w:rPr>
          <w:rFonts w:hint="eastAsia" w:ascii="宋体" w:hAnsi="宋体"/>
        </w:rPr>
        <w:t>单</w:t>
      </w:r>
      <w:bookmarkEnd w:id="9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3"/>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5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5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4"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4"/>
    </w:p>
    <w:p>
      <w:pPr>
        <w:pStyle w:val="11"/>
      </w:pPr>
    </w:p>
    <w:p/>
    <w:sectPr>
      <w:footerReference r:id="rId5" w:type="default"/>
      <w:pgSz w:w="11906" w:h="16838"/>
      <w:pgMar w:top="1134" w:right="1800" w:bottom="1424"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5" w:name="_Hlk116546062"/>
    <w:bookmarkStart w:id="96" w:name="_Hlk116546063"/>
    <w:r>
      <w:rPr>
        <w:rFonts w:hint="eastAsia" w:ascii="宋体" w:hAnsi="宋体" w:cs="宋体"/>
        <w:bCs/>
      </w:rPr>
      <w:t>版本发布日期：</w:t>
    </w:r>
    <w:r>
      <w:rPr>
        <w:rFonts w:hint="eastAsia" w:ascii="宋体" w:hAnsi="宋体" w:cs="宋体"/>
        <w:bCs/>
        <w:u w:val="single"/>
      </w:rPr>
      <w:t>2023年3月6日</w:t>
    </w:r>
    <w:bookmarkEnd w:id="95"/>
    <w:bookmarkEnd w:id="9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D279E01"/>
    <w:multiLevelType w:val="singleLevel"/>
    <w:tmpl w:val="8D279E01"/>
    <w:lvl w:ilvl="0" w:tentative="0">
      <w:start w:val="1"/>
      <w:numFmt w:val="decimal"/>
      <w:lvlText w:val="%1."/>
      <w:lvlJc w:val="left"/>
      <w:pPr>
        <w:ind w:left="425" w:hanging="425"/>
      </w:pPr>
      <w:rPr>
        <w:rFonts w:hint="default"/>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9F72A104"/>
    <w:multiLevelType w:val="singleLevel"/>
    <w:tmpl w:val="9F72A104"/>
    <w:lvl w:ilvl="0" w:tentative="0">
      <w:start w:val="1"/>
      <w:numFmt w:val="decimal"/>
      <w:lvlText w:val="(%1)"/>
      <w:lvlJc w:val="left"/>
      <w:pPr>
        <w:ind w:left="425" w:hanging="425"/>
      </w:pPr>
      <w:rPr>
        <w:rFonts w:hint="default"/>
      </w:rPr>
    </w:lvl>
  </w:abstractNum>
  <w:abstractNum w:abstractNumId="5">
    <w:nsid w:val="A2281775"/>
    <w:multiLevelType w:val="singleLevel"/>
    <w:tmpl w:val="A2281775"/>
    <w:lvl w:ilvl="0" w:tentative="0">
      <w:start w:val="1"/>
      <w:numFmt w:val="decimal"/>
      <w:suff w:val="space"/>
      <w:lvlText w:val="%1."/>
      <w:lvlJc w:val="left"/>
    </w:lvl>
  </w:abstractNum>
  <w:abstractNum w:abstractNumId="6">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7">
    <w:nsid w:val="C5793362"/>
    <w:multiLevelType w:val="singleLevel"/>
    <w:tmpl w:val="C5793362"/>
    <w:lvl w:ilvl="0" w:tentative="0">
      <w:start w:val="1"/>
      <w:numFmt w:val="decimal"/>
      <w:suff w:val="nothing"/>
      <w:lvlText w:val="（%1）"/>
      <w:lvlJc w:val="left"/>
      <w:rPr>
        <w:rFonts w:hint="default"/>
        <w:color w:val="auto"/>
      </w:rPr>
    </w:lvl>
  </w:abstractNum>
  <w:abstractNum w:abstractNumId="8">
    <w:nsid w:val="CA690857"/>
    <w:multiLevelType w:val="singleLevel"/>
    <w:tmpl w:val="CA690857"/>
    <w:lvl w:ilvl="0" w:tentative="0">
      <w:start w:val="1"/>
      <w:numFmt w:val="decimal"/>
      <w:lvlText w:val="（%1）"/>
      <w:lvlJc w:val="left"/>
      <w:pPr>
        <w:ind w:left="420" w:hanging="420"/>
      </w:pPr>
      <w:rPr>
        <w:rFonts w:hint="eastAsia"/>
      </w:rPr>
    </w:lvl>
  </w:abstractNum>
  <w:abstractNum w:abstractNumId="9">
    <w:nsid w:val="CF7FE85F"/>
    <w:multiLevelType w:val="singleLevel"/>
    <w:tmpl w:val="CF7FE85F"/>
    <w:lvl w:ilvl="0" w:tentative="0">
      <w:start w:val="1"/>
      <w:numFmt w:val="decimal"/>
      <w:lvlText w:val="%1."/>
      <w:lvlJc w:val="left"/>
      <w:pPr>
        <w:ind w:left="425" w:hanging="425"/>
      </w:pPr>
      <w:rPr>
        <w:rFonts w:hint="default"/>
      </w:rPr>
    </w:lvl>
  </w:abstractNum>
  <w:abstractNum w:abstractNumId="10">
    <w:nsid w:val="D3051835"/>
    <w:multiLevelType w:val="singleLevel"/>
    <w:tmpl w:val="D3051835"/>
    <w:lvl w:ilvl="0" w:tentative="0">
      <w:start w:val="1"/>
      <w:numFmt w:val="decimal"/>
      <w:suff w:val="space"/>
      <w:lvlText w:val="%1."/>
      <w:lvlJc w:val="left"/>
    </w:lvl>
  </w:abstractNum>
  <w:abstractNum w:abstractNumId="11">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2">
    <w:nsid w:val="DAA5A57F"/>
    <w:multiLevelType w:val="singleLevel"/>
    <w:tmpl w:val="DAA5A57F"/>
    <w:lvl w:ilvl="0" w:tentative="0">
      <w:start w:val="1"/>
      <w:numFmt w:val="decimal"/>
      <w:suff w:val="space"/>
      <w:lvlText w:val="%1."/>
      <w:lvlJc w:val="left"/>
    </w:lvl>
  </w:abstractNum>
  <w:abstractNum w:abstractNumId="13">
    <w:nsid w:val="DB4D60E3"/>
    <w:multiLevelType w:val="singleLevel"/>
    <w:tmpl w:val="DB4D60E3"/>
    <w:lvl w:ilvl="0" w:tentative="0">
      <w:start w:val="1"/>
      <w:numFmt w:val="decimal"/>
      <w:suff w:val="space"/>
      <w:lvlText w:val="%1."/>
      <w:lvlJc w:val="left"/>
    </w:lvl>
  </w:abstractNum>
  <w:abstractNum w:abstractNumId="14">
    <w:nsid w:val="EBB28CBD"/>
    <w:multiLevelType w:val="singleLevel"/>
    <w:tmpl w:val="EBB28CBD"/>
    <w:lvl w:ilvl="0" w:tentative="0">
      <w:start w:val="1"/>
      <w:numFmt w:val="decimal"/>
      <w:suff w:val="space"/>
      <w:lvlText w:val="%1."/>
      <w:lvlJc w:val="left"/>
      <w:pPr>
        <w:ind w:left="520" w:firstLine="0"/>
      </w:pPr>
    </w:lvl>
  </w:abstractNum>
  <w:abstractNum w:abstractNumId="15">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6">
    <w:nsid w:val="FC4CCACF"/>
    <w:multiLevelType w:val="singleLevel"/>
    <w:tmpl w:val="FC4CCACF"/>
    <w:lvl w:ilvl="0" w:tentative="0">
      <w:start w:val="1"/>
      <w:numFmt w:val="decimal"/>
      <w:lvlText w:val="%1."/>
      <w:lvlJc w:val="left"/>
      <w:pPr>
        <w:ind w:left="425" w:hanging="425"/>
      </w:pPr>
      <w:rPr>
        <w:rFonts w:hint="default"/>
      </w:rPr>
    </w:lvl>
  </w:abstractNum>
  <w:abstractNum w:abstractNumId="1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3"/>
    <w:multiLevelType w:val="singleLevel"/>
    <w:tmpl w:val="00000013"/>
    <w:lvl w:ilvl="0" w:tentative="0">
      <w:start w:val="1"/>
      <w:numFmt w:val="decimal"/>
      <w:lvlText w:val="%1."/>
      <w:lvlJc w:val="left"/>
      <w:pPr>
        <w:ind w:left="420" w:hanging="420"/>
      </w:p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8A17183"/>
    <w:multiLevelType w:val="singleLevel"/>
    <w:tmpl w:val="18A17183"/>
    <w:lvl w:ilvl="0" w:tentative="0">
      <w:start w:val="1"/>
      <w:numFmt w:val="decimal"/>
      <w:lvlText w:val="%1."/>
      <w:lvlJc w:val="left"/>
      <w:pPr>
        <w:ind w:left="425" w:hanging="425"/>
      </w:pPr>
      <w:rPr>
        <w:rFonts w:hint="default"/>
      </w:rPr>
    </w:lvl>
  </w:abstractNum>
  <w:abstractNum w:abstractNumId="2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1B63EEF8"/>
    <w:multiLevelType w:val="singleLevel"/>
    <w:tmpl w:val="1B63EEF8"/>
    <w:lvl w:ilvl="0" w:tentative="0">
      <w:start w:val="1"/>
      <w:numFmt w:val="decimal"/>
      <w:lvlText w:val="%1."/>
      <w:lvlJc w:val="left"/>
      <w:pPr>
        <w:ind w:left="425" w:hanging="425"/>
      </w:pPr>
      <w:rPr>
        <w:rFonts w:hint="default"/>
      </w:rPr>
    </w:lvl>
  </w:abstractNum>
  <w:abstractNum w:abstractNumId="26">
    <w:nsid w:val="1C0019E1"/>
    <w:multiLevelType w:val="singleLevel"/>
    <w:tmpl w:val="1C0019E1"/>
    <w:lvl w:ilvl="0" w:tentative="0">
      <w:start w:val="1"/>
      <w:numFmt w:val="decimal"/>
      <w:lvlText w:val="%1."/>
      <w:lvlJc w:val="left"/>
      <w:pPr>
        <w:ind w:left="425" w:hanging="425"/>
      </w:pPr>
      <w:rPr>
        <w:rFonts w:hint="default"/>
      </w:rPr>
    </w:lvl>
  </w:abstractNum>
  <w:abstractNum w:abstractNumId="27">
    <w:nsid w:val="20AB9193"/>
    <w:multiLevelType w:val="singleLevel"/>
    <w:tmpl w:val="20AB9193"/>
    <w:lvl w:ilvl="0" w:tentative="0">
      <w:start w:val="1"/>
      <w:numFmt w:val="decimal"/>
      <w:lvlText w:val="%1."/>
      <w:lvlJc w:val="left"/>
      <w:pPr>
        <w:ind w:left="425" w:hanging="425"/>
      </w:pPr>
      <w:rPr>
        <w:rFonts w:hint="default"/>
      </w:rPr>
    </w:lvl>
  </w:abstractNum>
  <w:abstractNum w:abstractNumId="28">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0">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8E10C89"/>
    <w:multiLevelType w:val="singleLevel"/>
    <w:tmpl w:val="28E10C89"/>
    <w:lvl w:ilvl="0" w:tentative="0">
      <w:start w:val="1"/>
      <w:numFmt w:val="decimal"/>
      <w:suff w:val="space"/>
      <w:lvlText w:val="%1."/>
      <w:lvlJc w:val="left"/>
    </w:lvl>
  </w:abstractNum>
  <w:abstractNum w:abstractNumId="3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6">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9">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0">
    <w:nsid w:val="4461D96B"/>
    <w:multiLevelType w:val="singleLevel"/>
    <w:tmpl w:val="4461D96B"/>
    <w:lvl w:ilvl="0" w:tentative="0">
      <w:start w:val="1"/>
      <w:numFmt w:val="decimal"/>
      <w:lvlText w:val="%1."/>
      <w:lvlJc w:val="left"/>
      <w:pPr>
        <w:ind w:left="425" w:hanging="425"/>
      </w:pPr>
      <w:rPr>
        <w:rFonts w:hint="default"/>
      </w:rPr>
    </w:lvl>
  </w:abstractNum>
  <w:abstractNum w:abstractNumId="41">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2">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690B126"/>
    <w:multiLevelType w:val="singleLevel"/>
    <w:tmpl w:val="5690B126"/>
    <w:lvl w:ilvl="0" w:tentative="0">
      <w:start w:val="1"/>
      <w:numFmt w:val="decimal"/>
      <w:lvlText w:val="%1."/>
      <w:lvlJc w:val="left"/>
      <w:pPr>
        <w:ind w:left="425" w:hanging="425"/>
      </w:pPr>
      <w:rPr>
        <w:rFonts w:hint="default"/>
      </w:rPr>
    </w:lvl>
  </w:abstractNum>
  <w:abstractNum w:abstractNumId="47">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017F6D6"/>
    <w:multiLevelType w:val="singleLevel"/>
    <w:tmpl w:val="6017F6D6"/>
    <w:lvl w:ilvl="0" w:tentative="0">
      <w:start w:val="1"/>
      <w:numFmt w:val="decimal"/>
      <w:suff w:val="nothing"/>
      <w:lvlText w:val="（%1）"/>
      <w:lvlJc w:val="left"/>
    </w:lvl>
  </w:abstractNum>
  <w:abstractNum w:abstractNumId="4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1">
    <w:nsid w:val="739433F9"/>
    <w:multiLevelType w:val="singleLevel"/>
    <w:tmpl w:val="739433F9"/>
    <w:lvl w:ilvl="0" w:tentative="0">
      <w:start w:val="1"/>
      <w:numFmt w:val="decimal"/>
      <w:suff w:val="space"/>
      <w:lvlText w:val="%1."/>
      <w:lvlJc w:val="left"/>
    </w:lvl>
  </w:abstractNum>
  <w:abstractNum w:abstractNumId="5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3">
    <w:nsid w:val="7B4A4E0C"/>
    <w:multiLevelType w:val="singleLevel"/>
    <w:tmpl w:val="7B4A4E0C"/>
    <w:lvl w:ilvl="0" w:tentative="0">
      <w:start w:val="1"/>
      <w:numFmt w:val="decimal"/>
      <w:lvlText w:val="（%1）"/>
      <w:lvlJc w:val="left"/>
      <w:pPr>
        <w:ind w:left="420" w:hanging="420"/>
      </w:pPr>
      <w:rPr>
        <w:rFonts w:hint="eastAsia"/>
      </w:rPr>
    </w:lvl>
  </w:abstractNum>
  <w:num w:numId="1">
    <w:abstractNumId w:val="44"/>
  </w:num>
  <w:num w:numId="2">
    <w:abstractNumId w:val="50"/>
  </w:num>
  <w:num w:numId="3">
    <w:abstractNumId w:val="34"/>
  </w:num>
  <w:num w:numId="4">
    <w:abstractNumId w:val="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45"/>
  </w:num>
  <w:num w:numId="8">
    <w:abstractNumId w:val="37"/>
  </w:num>
  <w:num w:numId="9">
    <w:abstractNumId w:val="46"/>
  </w:num>
  <w:num w:numId="10">
    <w:abstractNumId w:val="22"/>
  </w:num>
  <w:num w:numId="11">
    <w:abstractNumId w:val="53"/>
  </w:num>
  <w:num w:numId="12">
    <w:abstractNumId w:val="7"/>
  </w:num>
  <w:num w:numId="13">
    <w:abstractNumId w:val="48"/>
  </w:num>
  <w:num w:numId="14">
    <w:abstractNumId w:val="10"/>
  </w:num>
  <w:num w:numId="15">
    <w:abstractNumId w:val="32"/>
  </w:num>
  <w:num w:numId="16">
    <w:abstractNumId w:val="19"/>
  </w:num>
  <w:num w:numId="17">
    <w:abstractNumId w:val="51"/>
  </w:num>
  <w:num w:numId="18">
    <w:abstractNumId w:val="25"/>
  </w:num>
  <w:num w:numId="19">
    <w:abstractNumId w:val="26"/>
  </w:num>
  <w:num w:numId="20">
    <w:abstractNumId w:val="4"/>
  </w:num>
  <w:num w:numId="21">
    <w:abstractNumId w:val="16"/>
  </w:num>
  <w:num w:numId="22">
    <w:abstractNumId w:val="40"/>
  </w:num>
  <w:num w:numId="23">
    <w:abstractNumId w:val="23"/>
  </w:num>
  <w:num w:numId="24">
    <w:abstractNumId w:val="1"/>
  </w:num>
  <w:num w:numId="25">
    <w:abstractNumId w:val="5"/>
  </w:num>
  <w:num w:numId="26">
    <w:abstractNumId w:val="12"/>
  </w:num>
  <w:num w:numId="27">
    <w:abstractNumId w:val="38"/>
  </w:num>
  <w:num w:numId="28">
    <w:abstractNumId w:val="35"/>
  </w:num>
  <w:num w:numId="29">
    <w:abstractNumId w:val="14"/>
  </w:num>
  <w:num w:numId="30">
    <w:abstractNumId w:val="27"/>
  </w:num>
  <w:num w:numId="31">
    <w:abstractNumId w:val="9"/>
  </w:num>
  <w:num w:numId="32">
    <w:abstractNumId w:val="47"/>
  </w:num>
  <w:num w:numId="33">
    <w:abstractNumId w:val="21"/>
  </w:num>
  <w:num w:numId="34">
    <w:abstractNumId w:val="41"/>
  </w:num>
  <w:num w:numId="35">
    <w:abstractNumId w:val="6"/>
  </w:num>
  <w:num w:numId="36">
    <w:abstractNumId w:val="29"/>
  </w:num>
  <w:num w:numId="37">
    <w:abstractNumId w:val="2"/>
  </w:num>
  <w:num w:numId="38">
    <w:abstractNumId w:val="13"/>
  </w:num>
  <w:num w:numId="39">
    <w:abstractNumId w:val="11"/>
  </w:num>
  <w:num w:numId="40">
    <w:abstractNumId w:val="52"/>
  </w:num>
  <w:num w:numId="41">
    <w:abstractNumId w:val="0"/>
  </w:num>
  <w:num w:numId="42">
    <w:abstractNumId w:val="3"/>
  </w:num>
  <w:num w:numId="43">
    <w:abstractNumId w:val="36"/>
  </w:num>
  <w:num w:numId="44">
    <w:abstractNumId w:val="15"/>
  </w:num>
  <w:num w:numId="45">
    <w:abstractNumId w:val="18"/>
  </w:num>
  <w:num w:numId="46">
    <w:abstractNumId w:val="17"/>
  </w:num>
  <w:num w:numId="47">
    <w:abstractNumId w:val="49"/>
  </w:num>
  <w:num w:numId="48">
    <w:abstractNumId w:val="39"/>
  </w:num>
  <w:num w:numId="49">
    <w:abstractNumId w:val="33"/>
  </w:num>
  <w:num w:numId="50">
    <w:abstractNumId w:val="30"/>
  </w:num>
  <w:num w:numId="51">
    <w:abstractNumId w:val="42"/>
  </w:num>
  <w:num w:numId="52">
    <w:abstractNumId w:val="28"/>
  </w:num>
  <w:num w:numId="53">
    <w:abstractNumId w:val="20"/>
  </w:num>
  <w:num w:numId="54">
    <w:abstractNumId w:val="43"/>
  </w:num>
  <w:num w:numId="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C4D2A9B"/>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D46768"/>
    <w:rsid w:val="04F90B5F"/>
    <w:rsid w:val="05170516"/>
    <w:rsid w:val="053A1CC8"/>
    <w:rsid w:val="06856661"/>
    <w:rsid w:val="072221CB"/>
    <w:rsid w:val="077B4608"/>
    <w:rsid w:val="07BB74B6"/>
    <w:rsid w:val="07D7576E"/>
    <w:rsid w:val="08493DEA"/>
    <w:rsid w:val="086E4EC9"/>
    <w:rsid w:val="08805012"/>
    <w:rsid w:val="08947495"/>
    <w:rsid w:val="0B734A64"/>
    <w:rsid w:val="0B8E59D1"/>
    <w:rsid w:val="0C4D2A9B"/>
    <w:rsid w:val="0CDE01F2"/>
    <w:rsid w:val="0DD201F4"/>
    <w:rsid w:val="0F4526B6"/>
    <w:rsid w:val="0FE439CB"/>
    <w:rsid w:val="0FE67D01"/>
    <w:rsid w:val="10091618"/>
    <w:rsid w:val="152B64B8"/>
    <w:rsid w:val="15740DA4"/>
    <w:rsid w:val="15BD7ABA"/>
    <w:rsid w:val="168D040D"/>
    <w:rsid w:val="16F04756"/>
    <w:rsid w:val="195A6BC0"/>
    <w:rsid w:val="1A1B72F3"/>
    <w:rsid w:val="1C5670DA"/>
    <w:rsid w:val="1F7074E6"/>
    <w:rsid w:val="1FFA3C91"/>
    <w:rsid w:val="227A4EED"/>
    <w:rsid w:val="228D0750"/>
    <w:rsid w:val="24786106"/>
    <w:rsid w:val="25A5748F"/>
    <w:rsid w:val="25BE1EBF"/>
    <w:rsid w:val="25D85A3C"/>
    <w:rsid w:val="267E19B6"/>
    <w:rsid w:val="26E95967"/>
    <w:rsid w:val="2A1D36D7"/>
    <w:rsid w:val="2B9E3425"/>
    <w:rsid w:val="2BD84FDD"/>
    <w:rsid w:val="2BFA4386"/>
    <w:rsid w:val="2C014DEB"/>
    <w:rsid w:val="2CD73EA3"/>
    <w:rsid w:val="2D845ED0"/>
    <w:rsid w:val="2E074064"/>
    <w:rsid w:val="2EAB6E76"/>
    <w:rsid w:val="30381F4F"/>
    <w:rsid w:val="3115775B"/>
    <w:rsid w:val="31B74D89"/>
    <w:rsid w:val="324D5681"/>
    <w:rsid w:val="32D6234D"/>
    <w:rsid w:val="34A05B77"/>
    <w:rsid w:val="350D03D6"/>
    <w:rsid w:val="37097428"/>
    <w:rsid w:val="38AC36F6"/>
    <w:rsid w:val="393E72BA"/>
    <w:rsid w:val="3AAD7F79"/>
    <w:rsid w:val="3B991A52"/>
    <w:rsid w:val="3BB26AC4"/>
    <w:rsid w:val="3C35255B"/>
    <w:rsid w:val="3D3679ED"/>
    <w:rsid w:val="408D7227"/>
    <w:rsid w:val="41407E51"/>
    <w:rsid w:val="416718EC"/>
    <w:rsid w:val="438D0F7F"/>
    <w:rsid w:val="439D7A21"/>
    <w:rsid w:val="43D97719"/>
    <w:rsid w:val="447267E8"/>
    <w:rsid w:val="44E431E5"/>
    <w:rsid w:val="46B30DE6"/>
    <w:rsid w:val="488259DF"/>
    <w:rsid w:val="48E94D6D"/>
    <w:rsid w:val="48F55F31"/>
    <w:rsid w:val="492A4A83"/>
    <w:rsid w:val="495C1F5C"/>
    <w:rsid w:val="4AD23E40"/>
    <w:rsid w:val="4AF77150"/>
    <w:rsid w:val="4B8B03E4"/>
    <w:rsid w:val="4D9A3F67"/>
    <w:rsid w:val="4DDF67CC"/>
    <w:rsid w:val="4EE12BFB"/>
    <w:rsid w:val="50FA6A61"/>
    <w:rsid w:val="51794BC1"/>
    <w:rsid w:val="53097FEC"/>
    <w:rsid w:val="536C0EF8"/>
    <w:rsid w:val="53D25371"/>
    <w:rsid w:val="53D42411"/>
    <w:rsid w:val="540F1FD2"/>
    <w:rsid w:val="545D09E2"/>
    <w:rsid w:val="561F6663"/>
    <w:rsid w:val="56F127E5"/>
    <w:rsid w:val="57315BF2"/>
    <w:rsid w:val="57594B93"/>
    <w:rsid w:val="578B7DA6"/>
    <w:rsid w:val="587E207D"/>
    <w:rsid w:val="594A6990"/>
    <w:rsid w:val="5A2E0F40"/>
    <w:rsid w:val="5A841B56"/>
    <w:rsid w:val="5E8307E5"/>
    <w:rsid w:val="60475C3F"/>
    <w:rsid w:val="60785544"/>
    <w:rsid w:val="60A60070"/>
    <w:rsid w:val="61A26997"/>
    <w:rsid w:val="622C21AB"/>
    <w:rsid w:val="62D00ABF"/>
    <w:rsid w:val="640C25AF"/>
    <w:rsid w:val="6541126B"/>
    <w:rsid w:val="662B1DED"/>
    <w:rsid w:val="66A17485"/>
    <w:rsid w:val="68393D48"/>
    <w:rsid w:val="683A303D"/>
    <w:rsid w:val="68833613"/>
    <w:rsid w:val="68E97B63"/>
    <w:rsid w:val="6A5B2F9C"/>
    <w:rsid w:val="6B1E605C"/>
    <w:rsid w:val="6C5E0507"/>
    <w:rsid w:val="6C6B5505"/>
    <w:rsid w:val="6DF67C63"/>
    <w:rsid w:val="6E3F209B"/>
    <w:rsid w:val="725336E8"/>
    <w:rsid w:val="74783A1C"/>
    <w:rsid w:val="74AB354D"/>
    <w:rsid w:val="74B05132"/>
    <w:rsid w:val="74EB0477"/>
    <w:rsid w:val="751F335B"/>
    <w:rsid w:val="758D6E78"/>
    <w:rsid w:val="76C52AAF"/>
    <w:rsid w:val="76E063E5"/>
    <w:rsid w:val="772A35DE"/>
    <w:rsid w:val="781B5752"/>
    <w:rsid w:val="79444BD1"/>
    <w:rsid w:val="798425C1"/>
    <w:rsid w:val="79A35F22"/>
    <w:rsid w:val="79BF662E"/>
    <w:rsid w:val="7A751935"/>
    <w:rsid w:val="7B2952F2"/>
    <w:rsid w:val="7C1C7A22"/>
    <w:rsid w:val="7CB92640"/>
    <w:rsid w:val="7CF46BD3"/>
    <w:rsid w:val="7ECA51A5"/>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9184;&#39278;&#24037;&#20316;\&#25307;&#26631;&#25991;&#20214;\&#39184;&#39278;&#24191;&#22330;&#25307;&#26631;&#25991;&#20214;2023&#24180;&#24230;\&#28145;&#22323;&#20250;&#23637;&#20013;&#24515;&#39184;&#39278;&#21306;&#19977;&#22788;&#29305;&#33394;&#39184;&#39278;&#38138;&#20301;&#20844;&#24320;&#25307;&#31199;---&#23450;&#31295;2023041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深圳会展中心餐饮区三处特色餐饮铺位公开招租---定稿20230417.docx</Template>
  <Pages>36</Pages>
  <Words>16632</Words>
  <Characters>17744</Characters>
  <Lines>140</Lines>
  <Paragraphs>39</Paragraphs>
  <TotalTime>6</TotalTime>
  <ScaleCrop>false</ScaleCrop>
  <LinksUpToDate>false</LinksUpToDate>
  <CharactersWithSpaces>20129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2023-07-19T02:06:00Z</dcterms:created>
  <dc:creator>11</dc:creator>
  <cp:lastModifiedBy>lxh</cp:lastModifiedBy>
  <dcterms:modified xsi:type="dcterms:W3CDTF">2023-08-25T03:02:08Z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CD6F3BF718834181A3734E2FA252EC7B</vt:lpwstr>
  </property>
</Properties>
</file>