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tabs>
          <w:tab w:val="left" w:pos="8640"/>
        </w:tabs>
        <w:ind w:left="360" w:firstLine="0" w:firstLineChars="0"/>
        <w:rPr>
          <w:color w:val="000000" w:themeColor="text1"/>
          <w:sz w:val="30"/>
          <w:szCs w:val="30"/>
          <w:highlight w:val="yellow"/>
          <w14:textFill>
            <w14:solidFill>
              <w14:schemeClr w14:val="tx1"/>
            </w14:solidFill>
          </w14:textFill>
        </w:rPr>
      </w:pPr>
    </w:p>
    <w:p>
      <w:pPr>
        <w:spacing w:line="0" w:lineRule="atLeast"/>
        <w:jc w:val="center"/>
        <w:rPr>
          <w:rFonts w:ascii="宋体" w:hAnsi="宋体"/>
          <w:b/>
          <w:bCs/>
          <w:sz w:val="72"/>
          <w:szCs w:val="72"/>
        </w:rPr>
      </w:pPr>
      <w:r>
        <w:rPr>
          <w:rFonts w:hint="eastAsia" w:ascii="宋体" w:hAnsi="宋体"/>
          <w:b/>
          <w:bCs/>
          <w:sz w:val="72"/>
          <w:szCs w:val="72"/>
        </w:rPr>
        <w:t>竞争性谈判</w:t>
      </w:r>
    </w:p>
    <w:p>
      <w:pPr>
        <w:spacing w:line="0" w:lineRule="atLeast"/>
        <w:jc w:val="center"/>
        <w:rPr>
          <w:rFonts w:ascii="宋体" w:hAnsi="宋体"/>
          <w:b/>
          <w:sz w:val="72"/>
          <w:szCs w:val="72"/>
        </w:rPr>
      </w:pPr>
      <w:r>
        <w:rPr>
          <w:rFonts w:hint="eastAsia" w:ascii="宋体" w:hAnsi="宋体"/>
          <w:b/>
          <w:bCs/>
          <w:sz w:val="72"/>
          <w:szCs w:val="72"/>
        </w:rPr>
        <w:t>邀请通知书</w:t>
      </w:r>
    </w:p>
    <w:p>
      <w:pPr>
        <w:jc w:val="center"/>
        <w:rPr>
          <w:b/>
          <w:sz w:val="72"/>
        </w:rPr>
      </w:pPr>
    </w:p>
    <w:p>
      <w:pPr>
        <w:spacing w:line="360" w:lineRule="auto"/>
        <w:jc w:val="center"/>
        <w:rPr>
          <w:rFonts w:ascii="宋体" w:hAnsi="宋体"/>
          <w:b/>
          <w:color w:val="auto"/>
          <w:sz w:val="32"/>
          <w:szCs w:val="32"/>
        </w:rPr>
      </w:pPr>
      <w:r>
        <w:rPr>
          <w:rFonts w:hint="eastAsia" w:ascii="宋体" w:hAnsi="宋体"/>
          <w:b/>
          <w:sz w:val="32"/>
          <w:szCs w:val="32"/>
        </w:rPr>
        <w:t>项目名称：深圳会展</w:t>
      </w:r>
      <w:r>
        <w:rPr>
          <w:rFonts w:hint="eastAsia" w:ascii="宋体" w:hAnsi="宋体"/>
          <w:b/>
          <w:color w:val="auto"/>
          <w:sz w:val="32"/>
          <w:szCs w:val="32"/>
        </w:rPr>
        <w:t>中心2020-2022年度造价咨询服务</w:t>
      </w: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bookmarkStart w:id="59" w:name="_GoBack"/>
      <w:bookmarkEnd w:id="59"/>
    </w:p>
    <w:p>
      <w:pPr>
        <w:spacing w:line="360" w:lineRule="auto"/>
        <w:jc w:val="center"/>
        <w:rPr>
          <w:rFonts w:ascii="宋体" w:hAnsi="宋体"/>
          <w:b/>
          <w:sz w:val="32"/>
          <w:szCs w:val="32"/>
        </w:rPr>
      </w:pPr>
    </w:p>
    <w:p>
      <w:pPr>
        <w:spacing w:line="360" w:lineRule="auto"/>
        <w:rPr>
          <w:rFonts w:ascii="宋体" w:hAnsi="宋体"/>
          <w:b/>
          <w:sz w:val="32"/>
          <w:szCs w:val="32"/>
        </w:rPr>
      </w:pPr>
    </w:p>
    <w:p>
      <w:pPr>
        <w:spacing w:line="360" w:lineRule="auto"/>
        <w:jc w:val="center"/>
        <w:rPr>
          <w:rFonts w:ascii="宋体" w:hAnsi="宋体"/>
          <w:b/>
          <w:sz w:val="32"/>
          <w:szCs w:val="32"/>
          <w:highlight w:val="yellow"/>
        </w:rPr>
      </w:pPr>
    </w:p>
    <w:p>
      <w:pPr>
        <w:tabs>
          <w:tab w:val="left" w:pos="2127"/>
          <w:tab w:val="left" w:pos="2694"/>
        </w:tabs>
        <w:spacing w:line="360" w:lineRule="auto"/>
        <w:ind w:firstLine="2030" w:firstLineChars="632"/>
        <w:rPr>
          <w:rFonts w:ascii="宋体" w:hAnsi="宋体"/>
          <w:b/>
          <w:sz w:val="32"/>
          <w:szCs w:val="32"/>
        </w:rPr>
      </w:pPr>
    </w:p>
    <w:p>
      <w:pPr>
        <w:jc w:val="center"/>
        <w:rPr>
          <w:rFonts w:hAnsi="宋体"/>
          <w:b/>
          <w:sz w:val="44"/>
          <w:szCs w:val="44"/>
        </w:rPr>
      </w:pPr>
      <w:r>
        <w:rPr>
          <w:rFonts w:hint="eastAsia" w:hAnsi="宋体"/>
          <w:b/>
          <w:sz w:val="44"/>
          <w:szCs w:val="44"/>
        </w:rPr>
        <w:t>深圳会展中心管理有限责任公司</w:t>
      </w:r>
    </w:p>
    <w:p>
      <w:pPr>
        <w:jc w:val="center"/>
        <w:rPr>
          <w:rFonts w:hAnsi="宋体"/>
          <w:b/>
          <w:sz w:val="44"/>
          <w:szCs w:val="44"/>
        </w:rPr>
      </w:pPr>
    </w:p>
    <w:p>
      <w:pPr>
        <w:jc w:val="center"/>
        <w:rPr>
          <w:rFonts w:hAnsi="宋体"/>
          <w:b/>
          <w:sz w:val="44"/>
          <w:szCs w:val="44"/>
        </w:rPr>
      </w:pPr>
      <w:r>
        <w:rPr>
          <w:rFonts w:hAnsi="宋体"/>
          <w:b/>
          <w:sz w:val="44"/>
          <w:szCs w:val="44"/>
        </w:rPr>
        <w:t>二</w:t>
      </w:r>
      <w:r>
        <w:rPr>
          <w:b/>
          <w:sz w:val="44"/>
          <w:szCs w:val="44"/>
        </w:rPr>
        <w:t>O</w:t>
      </w:r>
      <w:r>
        <w:rPr>
          <w:rFonts w:hAnsi="宋体"/>
          <w:b/>
          <w:sz w:val="44"/>
          <w:szCs w:val="44"/>
        </w:rPr>
        <w:t>二</w:t>
      </w:r>
      <w:r>
        <w:rPr>
          <w:b/>
          <w:sz w:val="44"/>
          <w:szCs w:val="44"/>
        </w:rPr>
        <w:t>O</w:t>
      </w:r>
      <w:r>
        <w:rPr>
          <w:rFonts w:hAnsi="宋体"/>
          <w:b/>
          <w:sz w:val="44"/>
          <w:szCs w:val="44"/>
        </w:rPr>
        <w:t>年</w:t>
      </w:r>
      <w:r>
        <w:rPr>
          <w:rFonts w:hint="eastAsia" w:hAnsi="宋体"/>
          <w:b/>
          <w:sz w:val="44"/>
          <w:szCs w:val="44"/>
        </w:rPr>
        <w:t>四</w:t>
      </w:r>
      <w:r>
        <w:rPr>
          <w:rFonts w:hAnsi="宋体"/>
          <w:b/>
          <w:sz w:val="44"/>
          <w:szCs w:val="44"/>
        </w:rPr>
        <w:t>月</w:t>
      </w:r>
    </w:p>
    <w:p>
      <w:pPr>
        <w:jc w:val="center"/>
        <w:rPr>
          <w:rFonts w:hAnsi="宋体"/>
          <w:b/>
          <w:sz w:val="44"/>
          <w:szCs w:val="44"/>
        </w:rPr>
      </w:pPr>
    </w:p>
    <w:p>
      <w:pPr>
        <w:jc w:val="center"/>
        <w:rPr>
          <w:rFonts w:hAnsi="宋体"/>
          <w:b/>
          <w:sz w:val="44"/>
          <w:szCs w:val="44"/>
        </w:rPr>
      </w:pPr>
    </w:p>
    <w:p>
      <w:pPr>
        <w:jc w:val="center"/>
        <w:rPr>
          <w:rFonts w:hAnsi="宋体"/>
          <w:b/>
          <w:sz w:val="44"/>
          <w:szCs w:val="44"/>
        </w:rPr>
      </w:pPr>
    </w:p>
    <w:p>
      <w:pPr>
        <w:jc w:val="center"/>
        <w:rPr>
          <w:rFonts w:hAnsi="宋体"/>
          <w:b/>
          <w:sz w:val="44"/>
          <w:szCs w:val="44"/>
        </w:rPr>
      </w:pPr>
    </w:p>
    <w:p>
      <w:pPr>
        <w:pStyle w:val="15"/>
        <w:tabs>
          <w:tab w:val="right" w:leader="dot" w:pos="8306"/>
        </w:tabs>
        <w:spacing w:after="156" w:afterLines="50" w:line="380" w:lineRule="exact"/>
        <w:jc w:val="center"/>
        <w:rPr>
          <w:b/>
          <w:sz w:val="32"/>
          <w:szCs w:val="32"/>
        </w:rPr>
      </w:pPr>
      <w:r>
        <w:rPr>
          <w:rFonts w:hint="eastAsia"/>
          <w:b/>
          <w:sz w:val="32"/>
          <w:szCs w:val="32"/>
        </w:rPr>
        <w:t>目   录</w:t>
      </w:r>
    </w:p>
    <w:p>
      <w:pPr>
        <w:pStyle w:val="15"/>
        <w:tabs>
          <w:tab w:val="right" w:leader="dot" w:pos="8296"/>
        </w:tabs>
        <w:spacing w:line="380" w:lineRule="exact"/>
        <w:rPr>
          <w:rFonts w:asciiTheme="minorHAnsi" w:hAnsiTheme="minorHAnsi" w:eastAsiaTheme="minorEastAsia" w:cstheme="minorBidi"/>
          <w:sz w:val="28"/>
          <w:szCs w:val="28"/>
        </w:rPr>
      </w:pPr>
      <w:r>
        <w:rPr>
          <w:rFonts w:hint="eastAsia" w:ascii="仿宋" w:hAnsi="仿宋" w:eastAsia="仿宋" w:cs="仿宋_GB2312"/>
          <w:sz w:val="28"/>
          <w:szCs w:val="28"/>
        </w:rPr>
        <w:fldChar w:fldCharType="begin"/>
      </w:r>
      <w:r>
        <w:rPr>
          <w:rFonts w:hint="eastAsia" w:ascii="仿宋" w:hAnsi="仿宋" w:eastAsia="仿宋" w:cs="仿宋_GB2312"/>
          <w:sz w:val="28"/>
          <w:szCs w:val="28"/>
        </w:rPr>
        <w:instrText xml:space="preserve">TOC \o "1-3" \h \u </w:instrText>
      </w:r>
      <w:r>
        <w:rPr>
          <w:rFonts w:hint="eastAsia" w:ascii="仿宋" w:hAnsi="仿宋" w:eastAsia="仿宋" w:cs="仿宋_GB2312"/>
          <w:sz w:val="28"/>
          <w:szCs w:val="28"/>
        </w:rPr>
        <w:fldChar w:fldCharType="separate"/>
      </w:r>
      <w:r>
        <w:fldChar w:fldCharType="begin"/>
      </w:r>
      <w:r>
        <w:instrText xml:space="preserve"> HYPERLINK \l "_Toc478387732" </w:instrText>
      </w:r>
      <w:r>
        <w:fldChar w:fldCharType="separate"/>
      </w:r>
      <w:r>
        <w:rPr>
          <w:rStyle w:val="26"/>
          <w:rFonts w:hint="eastAsia" w:ascii="宋体" w:hAnsi="宋体"/>
          <w:b/>
          <w:sz w:val="28"/>
          <w:szCs w:val="28"/>
        </w:rPr>
        <w:t>第一部分：项目要求</w:t>
      </w:r>
      <w:r>
        <w:rPr>
          <w:sz w:val="28"/>
          <w:szCs w:val="28"/>
        </w:rPr>
        <w:tab/>
      </w:r>
      <w:r>
        <w:rPr>
          <w:sz w:val="28"/>
          <w:szCs w:val="28"/>
        </w:rPr>
        <w:fldChar w:fldCharType="begin"/>
      </w:r>
      <w:r>
        <w:rPr>
          <w:sz w:val="28"/>
          <w:szCs w:val="28"/>
        </w:rPr>
        <w:instrText xml:space="preserve"> PAGEREF _Toc478387732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8"/>
        <w:tabs>
          <w:tab w:val="right" w:leader="dot" w:pos="8296"/>
        </w:tabs>
        <w:spacing w:line="380" w:lineRule="exact"/>
        <w:rPr>
          <w:rFonts w:asciiTheme="minorHAnsi" w:hAnsiTheme="minorHAnsi" w:eastAsiaTheme="minorEastAsia" w:cstheme="minorBidi"/>
          <w:sz w:val="28"/>
          <w:szCs w:val="28"/>
        </w:rPr>
      </w:pPr>
      <w:r>
        <w:fldChar w:fldCharType="begin"/>
      </w:r>
      <w:r>
        <w:instrText xml:space="preserve"> HYPERLINK \l "_Toc478387733" </w:instrText>
      </w:r>
      <w:r>
        <w:fldChar w:fldCharType="separate"/>
      </w:r>
      <w:r>
        <w:rPr>
          <w:rStyle w:val="26"/>
          <w:rFonts w:hint="eastAsia" w:ascii="仿宋" w:hAnsi="仿宋" w:eastAsia="仿宋"/>
          <w:sz w:val="28"/>
          <w:szCs w:val="28"/>
        </w:rPr>
        <w:t>一、 单位名称</w:t>
      </w:r>
      <w:r>
        <w:rPr>
          <w:sz w:val="28"/>
          <w:szCs w:val="28"/>
        </w:rPr>
        <w:tab/>
      </w:r>
      <w:r>
        <w:rPr>
          <w:sz w:val="28"/>
          <w:szCs w:val="28"/>
        </w:rPr>
        <w:fldChar w:fldCharType="begin"/>
      </w:r>
      <w:r>
        <w:rPr>
          <w:sz w:val="28"/>
          <w:szCs w:val="28"/>
        </w:rPr>
        <w:instrText xml:space="preserve"> PAGEREF _Toc478387733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8"/>
        <w:tabs>
          <w:tab w:val="right" w:leader="dot" w:pos="8296"/>
        </w:tabs>
        <w:spacing w:line="380" w:lineRule="exact"/>
        <w:rPr>
          <w:rFonts w:asciiTheme="minorHAnsi" w:hAnsiTheme="minorHAnsi" w:eastAsiaTheme="minorEastAsia" w:cstheme="minorBidi"/>
          <w:sz w:val="28"/>
          <w:szCs w:val="28"/>
        </w:rPr>
      </w:pPr>
      <w:r>
        <w:fldChar w:fldCharType="begin"/>
      </w:r>
      <w:r>
        <w:instrText xml:space="preserve"> HYPERLINK \l "_Toc478387734" </w:instrText>
      </w:r>
      <w:r>
        <w:fldChar w:fldCharType="separate"/>
      </w:r>
      <w:r>
        <w:rPr>
          <w:rStyle w:val="26"/>
          <w:rFonts w:hint="eastAsia" w:ascii="仿宋" w:hAnsi="仿宋" w:eastAsia="仿宋"/>
          <w:sz w:val="28"/>
          <w:szCs w:val="28"/>
        </w:rPr>
        <w:t>二、 单位地址</w:t>
      </w:r>
      <w:r>
        <w:rPr>
          <w:sz w:val="28"/>
          <w:szCs w:val="28"/>
        </w:rPr>
        <w:tab/>
      </w:r>
      <w:r>
        <w:rPr>
          <w:sz w:val="28"/>
          <w:szCs w:val="28"/>
        </w:rPr>
        <w:fldChar w:fldCharType="begin"/>
      </w:r>
      <w:r>
        <w:rPr>
          <w:sz w:val="28"/>
          <w:szCs w:val="28"/>
        </w:rPr>
        <w:instrText xml:space="preserve"> PAGEREF _Toc478387734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8"/>
        <w:tabs>
          <w:tab w:val="right" w:leader="dot" w:pos="8296"/>
        </w:tabs>
        <w:spacing w:line="380" w:lineRule="exact"/>
        <w:rPr>
          <w:rFonts w:asciiTheme="minorHAnsi" w:hAnsiTheme="minorHAnsi" w:eastAsiaTheme="minorEastAsia" w:cstheme="minorBidi"/>
          <w:sz w:val="28"/>
          <w:szCs w:val="28"/>
        </w:rPr>
      </w:pPr>
      <w:r>
        <w:fldChar w:fldCharType="begin"/>
      </w:r>
      <w:r>
        <w:instrText xml:space="preserve"> HYPERLINK \l "_Toc478387735" </w:instrText>
      </w:r>
      <w:r>
        <w:fldChar w:fldCharType="separate"/>
      </w:r>
      <w:r>
        <w:rPr>
          <w:rStyle w:val="26"/>
          <w:rFonts w:hint="eastAsia" w:ascii="仿宋" w:hAnsi="仿宋" w:eastAsia="仿宋"/>
          <w:sz w:val="28"/>
          <w:szCs w:val="28"/>
        </w:rPr>
        <w:t>三、 项目名称</w:t>
      </w:r>
      <w:r>
        <w:rPr>
          <w:sz w:val="28"/>
          <w:szCs w:val="28"/>
        </w:rPr>
        <w:tab/>
      </w:r>
      <w:r>
        <w:rPr>
          <w:sz w:val="28"/>
          <w:szCs w:val="28"/>
        </w:rPr>
        <w:fldChar w:fldCharType="begin"/>
      </w:r>
      <w:r>
        <w:rPr>
          <w:sz w:val="28"/>
          <w:szCs w:val="28"/>
        </w:rPr>
        <w:instrText xml:space="preserve"> PAGEREF _Toc478387735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8"/>
        <w:tabs>
          <w:tab w:val="right" w:leader="dot" w:pos="8296"/>
        </w:tabs>
        <w:spacing w:line="380" w:lineRule="exact"/>
        <w:rPr>
          <w:rFonts w:asciiTheme="minorHAnsi" w:hAnsiTheme="minorHAnsi" w:eastAsiaTheme="minorEastAsia" w:cstheme="minorBidi"/>
          <w:sz w:val="28"/>
          <w:szCs w:val="28"/>
        </w:rPr>
      </w:pPr>
      <w:r>
        <w:fldChar w:fldCharType="begin"/>
      </w:r>
      <w:r>
        <w:instrText xml:space="preserve"> HYPERLINK \l "_Toc478387736" </w:instrText>
      </w:r>
      <w:r>
        <w:fldChar w:fldCharType="separate"/>
      </w:r>
      <w:r>
        <w:rPr>
          <w:rStyle w:val="26"/>
          <w:rFonts w:hint="eastAsia" w:ascii="仿宋" w:hAnsi="仿宋" w:eastAsia="仿宋"/>
          <w:sz w:val="28"/>
          <w:szCs w:val="28"/>
        </w:rPr>
        <w:t>四、 项目介绍</w:t>
      </w:r>
      <w:r>
        <w:rPr>
          <w:sz w:val="28"/>
          <w:szCs w:val="28"/>
        </w:rPr>
        <w:tab/>
      </w:r>
      <w:r>
        <w:rPr>
          <w:sz w:val="28"/>
          <w:szCs w:val="28"/>
        </w:rPr>
        <w:fldChar w:fldCharType="begin"/>
      </w:r>
      <w:r>
        <w:rPr>
          <w:sz w:val="28"/>
          <w:szCs w:val="28"/>
        </w:rPr>
        <w:instrText xml:space="preserve"> PAGEREF _Toc478387736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8"/>
        <w:tabs>
          <w:tab w:val="right" w:leader="dot" w:pos="8296"/>
        </w:tabs>
        <w:spacing w:line="380" w:lineRule="exact"/>
        <w:rPr>
          <w:rFonts w:asciiTheme="minorHAnsi" w:hAnsiTheme="minorHAnsi" w:eastAsiaTheme="minorEastAsia" w:cstheme="minorBidi"/>
          <w:sz w:val="28"/>
          <w:szCs w:val="28"/>
        </w:rPr>
      </w:pPr>
      <w:r>
        <w:fldChar w:fldCharType="begin"/>
      </w:r>
      <w:r>
        <w:instrText xml:space="preserve"> HYPERLINK \l "_Toc478387737" </w:instrText>
      </w:r>
      <w:r>
        <w:fldChar w:fldCharType="separate"/>
      </w:r>
      <w:r>
        <w:rPr>
          <w:rStyle w:val="26"/>
          <w:rFonts w:hint="eastAsia" w:ascii="仿宋" w:hAnsi="仿宋" w:eastAsia="仿宋"/>
          <w:sz w:val="28"/>
          <w:szCs w:val="28"/>
        </w:rPr>
        <w:t>五、 实施地点</w:t>
      </w:r>
      <w:r>
        <w:rPr>
          <w:sz w:val="28"/>
          <w:szCs w:val="28"/>
        </w:rPr>
        <w:tab/>
      </w:r>
      <w:r>
        <w:rPr>
          <w:sz w:val="28"/>
          <w:szCs w:val="28"/>
        </w:rPr>
        <w:fldChar w:fldCharType="begin"/>
      </w:r>
      <w:r>
        <w:rPr>
          <w:sz w:val="28"/>
          <w:szCs w:val="28"/>
        </w:rPr>
        <w:instrText xml:space="preserve"> PAGEREF _Toc478387737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8"/>
        <w:tabs>
          <w:tab w:val="right" w:leader="dot" w:pos="8296"/>
        </w:tabs>
        <w:spacing w:line="380" w:lineRule="exact"/>
        <w:rPr>
          <w:rFonts w:asciiTheme="minorHAnsi" w:hAnsiTheme="minorHAnsi" w:eastAsiaTheme="minorEastAsia" w:cstheme="minorBidi"/>
          <w:sz w:val="28"/>
          <w:szCs w:val="28"/>
        </w:rPr>
      </w:pPr>
      <w:r>
        <w:fldChar w:fldCharType="begin"/>
      </w:r>
      <w:r>
        <w:instrText xml:space="preserve"> HYPERLINK \l "_Toc478387739" </w:instrText>
      </w:r>
      <w:r>
        <w:fldChar w:fldCharType="separate"/>
      </w:r>
      <w:r>
        <w:rPr>
          <w:rStyle w:val="26"/>
          <w:rFonts w:hint="eastAsia" w:ascii="仿宋" w:hAnsi="仿宋" w:eastAsia="仿宋"/>
          <w:sz w:val="28"/>
          <w:szCs w:val="28"/>
        </w:rPr>
        <w:t>六、 报名截止时间</w:t>
      </w:r>
      <w:r>
        <w:rPr>
          <w:sz w:val="28"/>
          <w:szCs w:val="28"/>
        </w:rPr>
        <w:tab/>
      </w:r>
      <w:r>
        <w:rPr>
          <w:sz w:val="28"/>
          <w:szCs w:val="28"/>
        </w:rPr>
        <w:fldChar w:fldCharType="begin"/>
      </w:r>
      <w:r>
        <w:rPr>
          <w:sz w:val="28"/>
          <w:szCs w:val="28"/>
        </w:rPr>
        <w:instrText xml:space="preserve"> PAGEREF _Toc478387739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8"/>
        <w:tabs>
          <w:tab w:val="right" w:leader="dot" w:pos="8296"/>
        </w:tabs>
        <w:spacing w:line="380" w:lineRule="exact"/>
        <w:rPr>
          <w:rFonts w:asciiTheme="minorHAnsi" w:hAnsiTheme="minorHAnsi" w:eastAsiaTheme="minorEastAsia" w:cstheme="minorBidi"/>
          <w:sz w:val="28"/>
          <w:szCs w:val="28"/>
        </w:rPr>
      </w:pPr>
      <w:r>
        <w:fldChar w:fldCharType="begin"/>
      </w:r>
      <w:r>
        <w:instrText xml:space="preserve"> HYPERLINK \l "_Toc478387741" </w:instrText>
      </w:r>
      <w:r>
        <w:fldChar w:fldCharType="separate"/>
      </w:r>
      <w:r>
        <w:rPr>
          <w:rStyle w:val="26"/>
          <w:rFonts w:hint="eastAsia" w:ascii="仿宋" w:hAnsi="仿宋" w:eastAsia="仿宋"/>
          <w:sz w:val="28"/>
          <w:szCs w:val="28"/>
        </w:rPr>
        <w:t>七、 谈判日期及地点</w:t>
      </w:r>
      <w:r>
        <w:rPr>
          <w:sz w:val="28"/>
          <w:szCs w:val="28"/>
        </w:rPr>
        <w:tab/>
      </w:r>
      <w:r>
        <w:rPr>
          <w:sz w:val="28"/>
          <w:szCs w:val="28"/>
        </w:rPr>
        <w:fldChar w:fldCharType="begin"/>
      </w:r>
      <w:r>
        <w:rPr>
          <w:sz w:val="28"/>
          <w:szCs w:val="28"/>
        </w:rPr>
        <w:instrText xml:space="preserve"> PAGEREF _Toc478387741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8"/>
        <w:tabs>
          <w:tab w:val="right" w:leader="dot" w:pos="8296"/>
        </w:tabs>
        <w:spacing w:line="380" w:lineRule="exact"/>
        <w:rPr>
          <w:rFonts w:asciiTheme="minorHAnsi" w:hAnsiTheme="minorHAnsi" w:eastAsiaTheme="minorEastAsia" w:cstheme="minorBidi"/>
          <w:sz w:val="28"/>
          <w:szCs w:val="28"/>
        </w:rPr>
      </w:pPr>
      <w:r>
        <w:fldChar w:fldCharType="begin"/>
      </w:r>
      <w:r>
        <w:instrText xml:space="preserve"> HYPERLINK \l "_Toc478387743" </w:instrText>
      </w:r>
      <w:r>
        <w:fldChar w:fldCharType="separate"/>
      </w:r>
      <w:r>
        <w:rPr>
          <w:rStyle w:val="26"/>
          <w:rFonts w:hint="eastAsia" w:ascii="仿宋" w:hAnsi="仿宋" w:eastAsia="仿宋"/>
          <w:sz w:val="28"/>
          <w:szCs w:val="28"/>
        </w:rPr>
        <w:t>八、 联系人与联系方式</w:t>
      </w:r>
      <w:r>
        <w:rPr>
          <w:sz w:val="28"/>
          <w:szCs w:val="28"/>
        </w:rPr>
        <w:tab/>
      </w:r>
      <w:r>
        <w:rPr>
          <w:sz w:val="28"/>
          <w:szCs w:val="28"/>
        </w:rPr>
        <w:fldChar w:fldCharType="begin"/>
      </w:r>
      <w:r>
        <w:rPr>
          <w:sz w:val="28"/>
          <w:szCs w:val="28"/>
        </w:rPr>
        <w:instrText xml:space="preserve"> PAGEREF _Toc478387743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8"/>
        <w:tabs>
          <w:tab w:val="right" w:leader="dot" w:pos="8296"/>
        </w:tabs>
        <w:spacing w:line="380" w:lineRule="exact"/>
        <w:rPr>
          <w:rFonts w:asciiTheme="minorHAnsi" w:hAnsiTheme="minorHAnsi" w:eastAsiaTheme="minorEastAsia" w:cstheme="minorBidi"/>
          <w:sz w:val="28"/>
          <w:szCs w:val="28"/>
        </w:rPr>
      </w:pPr>
      <w:r>
        <w:fldChar w:fldCharType="begin"/>
      </w:r>
      <w:r>
        <w:instrText xml:space="preserve"> HYPERLINK \l "_Toc478387744" </w:instrText>
      </w:r>
      <w:r>
        <w:fldChar w:fldCharType="separate"/>
      </w:r>
      <w:r>
        <w:rPr>
          <w:rStyle w:val="26"/>
          <w:rFonts w:hint="eastAsia" w:ascii="仿宋" w:hAnsi="仿宋" w:eastAsia="仿宋"/>
          <w:sz w:val="28"/>
          <w:szCs w:val="28"/>
        </w:rPr>
        <w:t>九、 结果通知</w:t>
      </w:r>
      <w:r>
        <w:rPr>
          <w:sz w:val="28"/>
          <w:szCs w:val="28"/>
        </w:rPr>
        <w:tab/>
      </w:r>
      <w:r>
        <w:rPr>
          <w:sz w:val="28"/>
          <w:szCs w:val="28"/>
        </w:rPr>
        <w:fldChar w:fldCharType="begin"/>
      </w:r>
      <w:r>
        <w:rPr>
          <w:sz w:val="28"/>
          <w:szCs w:val="28"/>
        </w:rPr>
        <w:instrText xml:space="preserve"> PAGEREF _Toc478387744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8"/>
        <w:tabs>
          <w:tab w:val="right" w:leader="dot" w:pos="8296"/>
        </w:tabs>
        <w:spacing w:line="380" w:lineRule="exact"/>
        <w:rPr>
          <w:rFonts w:asciiTheme="minorHAnsi" w:hAnsiTheme="minorHAnsi" w:eastAsiaTheme="minorEastAsia" w:cstheme="minorBidi"/>
          <w:sz w:val="28"/>
          <w:szCs w:val="28"/>
        </w:rPr>
      </w:pPr>
      <w:r>
        <w:fldChar w:fldCharType="begin"/>
      </w:r>
      <w:r>
        <w:instrText xml:space="preserve"> HYPERLINK \l "_Toc478387746" </w:instrText>
      </w:r>
      <w:r>
        <w:fldChar w:fldCharType="separate"/>
      </w:r>
      <w:r>
        <w:rPr>
          <w:rStyle w:val="26"/>
          <w:rFonts w:hint="eastAsia" w:ascii="仿宋" w:hAnsi="仿宋" w:eastAsia="仿宋"/>
          <w:sz w:val="28"/>
          <w:szCs w:val="28"/>
        </w:rPr>
        <w:t>十、 特别说明</w:t>
      </w:r>
      <w:r>
        <w:rPr>
          <w:sz w:val="28"/>
          <w:szCs w:val="28"/>
        </w:rPr>
        <w:tab/>
      </w:r>
      <w:r>
        <w:rPr>
          <w:sz w:val="28"/>
          <w:szCs w:val="28"/>
        </w:rPr>
        <w:fldChar w:fldCharType="begin"/>
      </w:r>
      <w:r>
        <w:rPr>
          <w:sz w:val="28"/>
          <w:szCs w:val="28"/>
        </w:rPr>
        <w:instrText xml:space="preserve"> PAGEREF _Toc478387746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8"/>
        <w:tabs>
          <w:tab w:val="right" w:leader="dot" w:pos="8296"/>
        </w:tabs>
        <w:spacing w:line="380" w:lineRule="exact"/>
        <w:rPr>
          <w:rFonts w:asciiTheme="minorHAnsi" w:hAnsiTheme="minorHAnsi" w:eastAsiaTheme="minorEastAsia" w:cstheme="minorBidi"/>
          <w:sz w:val="28"/>
          <w:szCs w:val="28"/>
        </w:rPr>
      </w:pPr>
      <w:r>
        <w:fldChar w:fldCharType="begin"/>
      </w:r>
      <w:r>
        <w:instrText xml:space="preserve"> HYPERLINK \l "_Toc478387748" </w:instrText>
      </w:r>
      <w:r>
        <w:fldChar w:fldCharType="separate"/>
      </w:r>
      <w:r>
        <w:rPr>
          <w:rStyle w:val="26"/>
          <w:rFonts w:hint="eastAsia" w:ascii="仿宋" w:hAnsi="仿宋" w:eastAsia="仿宋"/>
          <w:sz w:val="28"/>
          <w:szCs w:val="28"/>
        </w:rPr>
        <w:t>十一、项目要求及数量</w:t>
      </w:r>
      <w:r>
        <w:rPr>
          <w:sz w:val="28"/>
          <w:szCs w:val="28"/>
        </w:rPr>
        <w:tab/>
      </w:r>
      <w:r>
        <w:rPr>
          <w:sz w:val="28"/>
          <w:szCs w:val="28"/>
        </w:rPr>
        <w:fldChar w:fldCharType="begin"/>
      </w:r>
      <w:r>
        <w:rPr>
          <w:sz w:val="28"/>
          <w:szCs w:val="28"/>
        </w:rPr>
        <w:instrText xml:space="preserve"> PAGEREF _Toc478387748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8"/>
        <w:tabs>
          <w:tab w:val="right" w:leader="dot" w:pos="8296"/>
        </w:tabs>
        <w:spacing w:line="380" w:lineRule="exact"/>
        <w:rPr>
          <w:rFonts w:asciiTheme="minorHAnsi" w:hAnsiTheme="minorHAnsi" w:eastAsiaTheme="minorEastAsia" w:cstheme="minorBidi"/>
          <w:sz w:val="28"/>
          <w:szCs w:val="28"/>
        </w:rPr>
      </w:pPr>
      <w:r>
        <w:fldChar w:fldCharType="begin"/>
      </w:r>
      <w:r>
        <w:instrText xml:space="preserve"> HYPERLINK \l "_Toc478387749" </w:instrText>
      </w:r>
      <w:r>
        <w:fldChar w:fldCharType="separate"/>
      </w:r>
      <w:r>
        <w:rPr>
          <w:rStyle w:val="26"/>
          <w:rFonts w:hint="eastAsia" w:ascii="仿宋" w:hAnsi="仿宋" w:eastAsia="仿宋"/>
          <w:sz w:val="28"/>
          <w:szCs w:val="28"/>
        </w:rPr>
        <w:t>十二、其他项目说明资料</w:t>
      </w:r>
      <w:r>
        <w:rPr>
          <w:sz w:val="28"/>
          <w:szCs w:val="28"/>
        </w:rPr>
        <w:tab/>
      </w:r>
      <w:r>
        <w:rPr>
          <w:rFonts w:hint="eastAsia"/>
          <w:sz w:val="28"/>
          <w:szCs w:val="28"/>
        </w:rPr>
        <w:t>7</w:t>
      </w:r>
      <w:r>
        <w:rPr>
          <w:rFonts w:hint="eastAsia"/>
          <w:sz w:val="28"/>
          <w:szCs w:val="28"/>
        </w:rPr>
        <w:fldChar w:fldCharType="end"/>
      </w:r>
    </w:p>
    <w:p>
      <w:pPr>
        <w:pStyle w:val="15"/>
        <w:tabs>
          <w:tab w:val="right" w:leader="dot" w:pos="8296"/>
        </w:tabs>
        <w:spacing w:line="380" w:lineRule="exact"/>
        <w:rPr>
          <w:rFonts w:asciiTheme="minorHAnsi" w:hAnsiTheme="minorHAnsi" w:eastAsiaTheme="minorEastAsia" w:cstheme="minorBidi"/>
          <w:sz w:val="28"/>
          <w:szCs w:val="28"/>
        </w:rPr>
      </w:pPr>
      <w:r>
        <w:fldChar w:fldCharType="begin"/>
      </w:r>
      <w:r>
        <w:instrText xml:space="preserve"> HYPERLINK \l "_Toc478387751" </w:instrText>
      </w:r>
      <w:r>
        <w:fldChar w:fldCharType="separate"/>
      </w:r>
      <w:r>
        <w:rPr>
          <w:rStyle w:val="26"/>
          <w:rFonts w:hint="eastAsia" w:ascii="宋体" w:hAnsi="宋体"/>
          <w:b/>
          <w:sz w:val="28"/>
          <w:szCs w:val="28"/>
        </w:rPr>
        <w:t>第二部分：谈判流程</w:t>
      </w:r>
      <w:r>
        <w:rPr>
          <w:sz w:val="28"/>
          <w:szCs w:val="28"/>
        </w:rPr>
        <w:tab/>
      </w:r>
      <w:r>
        <w:rPr>
          <w:rFonts w:hint="eastAsia"/>
          <w:sz w:val="28"/>
          <w:szCs w:val="28"/>
        </w:rPr>
        <w:t>8</w:t>
      </w:r>
      <w:r>
        <w:rPr>
          <w:rFonts w:hint="eastAsia"/>
          <w:sz w:val="28"/>
          <w:szCs w:val="28"/>
        </w:rPr>
        <w:fldChar w:fldCharType="end"/>
      </w:r>
    </w:p>
    <w:p>
      <w:pPr>
        <w:pStyle w:val="18"/>
        <w:tabs>
          <w:tab w:val="right" w:leader="dot" w:pos="8296"/>
        </w:tabs>
        <w:spacing w:line="380" w:lineRule="exact"/>
        <w:rPr>
          <w:rFonts w:asciiTheme="minorHAnsi" w:hAnsiTheme="minorHAnsi" w:eastAsiaTheme="minorEastAsia" w:cstheme="minorBidi"/>
          <w:sz w:val="28"/>
          <w:szCs w:val="28"/>
        </w:rPr>
      </w:pPr>
      <w:r>
        <w:fldChar w:fldCharType="begin"/>
      </w:r>
      <w:r>
        <w:instrText xml:space="preserve"> HYPERLINK \l "_Toc478387752" </w:instrText>
      </w:r>
      <w:r>
        <w:fldChar w:fldCharType="separate"/>
      </w:r>
      <w:r>
        <w:rPr>
          <w:rStyle w:val="26"/>
          <w:rFonts w:hint="eastAsia" w:ascii="仿宋" w:hAnsi="仿宋" w:eastAsia="仿宋"/>
          <w:sz w:val="28"/>
          <w:szCs w:val="28"/>
        </w:rPr>
        <w:t>十三、谈判流程</w:t>
      </w:r>
      <w:r>
        <w:rPr>
          <w:sz w:val="28"/>
          <w:szCs w:val="28"/>
        </w:rPr>
        <w:tab/>
      </w:r>
      <w:r>
        <w:rPr>
          <w:rFonts w:hint="eastAsia"/>
          <w:sz w:val="28"/>
          <w:szCs w:val="28"/>
        </w:rPr>
        <w:t>8</w:t>
      </w:r>
      <w:r>
        <w:rPr>
          <w:rFonts w:hint="eastAsia"/>
          <w:sz w:val="28"/>
          <w:szCs w:val="28"/>
        </w:rPr>
        <w:fldChar w:fldCharType="end"/>
      </w:r>
    </w:p>
    <w:p>
      <w:pPr>
        <w:pStyle w:val="15"/>
        <w:tabs>
          <w:tab w:val="right" w:leader="dot" w:pos="8296"/>
        </w:tabs>
        <w:spacing w:line="380" w:lineRule="exact"/>
        <w:rPr>
          <w:rFonts w:asciiTheme="minorHAnsi" w:hAnsiTheme="minorHAnsi" w:eastAsiaTheme="minorEastAsia" w:cstheme="minorBidi"/>
          <w:sz w:val="28"/>
          <w:szCs w:val="28"/>
        </w:rPr>
      </w:pPr>
      <w:r>
        <w:fldChar w:fldCharType="begin"/>
      </w:r>
      <w:r>
        <w:instrText xml:space="preserve"> HYPERLINK \l "_Toc478387753" </w:instrText>
      </w:r>
      <w:r>
        <w:fldChar w:fldCharType="separate"/>
      </w:r>
      <w:r>
        <w:rPr>
          <w:rStyle w:val="26"/>
          <w:rFonts w:hint="eastAsia"/>
          <w:b/>
          <w:sz w:val="28"/>
          <w:szCs w:val="28"/>
        </w:rPr>
        <w:t>第三部分：评审办法</w:t>
      </w:r>
      <w:r>
        <w:rPr>
          <w:sz w:val="28"/>
          <w:szCs w:val="28"/>
        </w:rPr>
        <w:tab/>
      </w:r>
      <w:r>
        <w:rPr>
          <w:rFonts w:hint="eastAsia"/>
          <w:sz w:val="28"/>
          <w:szCs w:val="28"/>
        </w:rPr>
        <w:t>9</w:t>
      </w:r>
      <w:r>
        <w:rPr>
          <w:rFonts w:hint="eastAsia"/>
          <w:sz w:val="28"/>
          <w:szCs w:val="28"/>
        </w:rPr>
        <w:fldChar w:fldCharType="end"/>
      </w:r>
    </w:p>
    <w:p>
      <w:pPr>
        <w:pStyle w:val="18"/>
        <w:tabs>
          <w:tab w:val="right" w:leader="dot" w:pos="8296"/>
        </w:tabs>
        <w:spacing w:line="380" w:lineRule="exact"/>
        <w:rPr>
          <w:rFonts w:asciiTheme="minorHAnsi" w:hAnsiTheme="minorHAnsi" w:eastAsiaTheme="minorEastAsia" w:cstheme="minorBidi"/>
          <w:sz w:val="28"/>
          <w:szCs w:val="28"/>
        </w:rPr>
      </w:pPr>
      <w:r>
        <w:fldChar w:fldCharType="begin"/>
      </w:r>
      <w:r>
        <w:instrText xml:space="preserve"> HYPERLINK \l "_Toc478387754" </w:instrText>
      </w:r>
      <w:r>
        <w:fldChar w:fldCharType="separate"/>
      </w:r>
      <w:r>
        <w:rPr>
          <w:rStyle w:val="26"/>
          <w:rFonts w:hint="eastAsia" w:ascii="仿宋" w:hAnsi="仿宋" w:eastAsia="仿宋"/>
          <w:sz w:val="28"/>
          <w:szCs w:val="28"/>
        </w:rPr>
        <w:t>十四、 评审办法：</w:t>
      </w:r>
      <w:r>
        <w:rPr>
          <w:sz w:val="28"/>
          <w:szCs w:val="28"/>
        </w:rPr>
        <w:tab/>
      </w:r>
      <w:r>
        <w:rPr>
          <w:rFonts w:hint="eastAsia"/>
          <w:sz w:val="28"/>
          <w:szCs w:val="28"/>
        </w:rPr>
        <w:t>9</w:t>
      </w:r>
      <w:r>
        <w:rPr>
          <w:rFonts w:hint="eastAsia"/>
          <w:sz w:val="28"/>
          <w:szCs w:val="28"/>
        </w:rPr>
        <w:fldChar w:fldCharType="end"/>
      </w:r>
    </w:p>
    <w:p>
      <w:pPr>
        <w:pStyle w:val="9"/>
        <w:tabs>
          <w:tab w:val="left" w:pos="2100"/>
          <w:tab w:val="right" w:leader="dot" w:pos="8296"/>
        </w:tabs>
        <w:spacing w:line="380" w:lineRule="exact"/>
        <w:rPr>
          <w:rFonts w:asciiTheme="minorHAnsi" w:hAnsiTheme="minorHAnsi" w:eastAsiaTheme="minorEastAsia" w:cstheme="minorBidi"/>
          <w:sz w:val="28"/>
          <w:szCs w:val="28"/>
        </w:rPr>
      </w:pPr>
      <w:r>
        <w:fldChar w:fldCharType="begin"/>
      </w:r>
      <w:r>
        <w:instrText xml:space="preserve"> HYPERLINK \l "_Toc478387755" </w:instrText>
      </w:r>
      <w:r>
        <w:fldChar w:fldCharType="separate"/>
      </w:r>
      <w:r>
        <w:rPr>
          <w:rStyle w:val="26"/>
          <w:rFonts w:hint="eastAsia" w:ascii="仿宋" w:hAnsi="仿宋" w:eastAsia="仿宋"/>
          <w:sz w:val="28"/>
          <w:szCs w:val="28"/>
        </w:rPr>
        <w:t>（一）</w:t>
      </w:r>
      <w:r>
        <w:rPr>
          <w:rStyle w:val="26"/>
          <w:rFonts w:hint="eastAsia" w:ascii="仿宋" w:hAnsi="仿宋" w:eastAsia="仿宋"/>
          <w:bCs/>
          <w:sz w:val="28"/>
          <w:szCs w:val="28"/>
        </w:rPr>
        <w:t>符合性检查</w:t>
      </w:r>
      <w:r>
        <w:rPr>
          <w:sz w:val="28"/>
          <w:szCs w:val="28"/>
        </w:rPr>
        <w:tab/>
      </w:r>
      <w:r>
        <w:rPr>
          <w:rFonts w:hint="eastAsia"/>
          <w:sz w:val="28"/>
          <w:szCs w:val="28"/>
        </w:rPr>
        <w:t>9</w:t>
      </w:r>
      <w:r>
        <w:rPr>
          <w:rFonts w:hint="eastAsia"/>
          <w:sz w:val="28"/>
          <w:szCs w:val="28"/>
        </w:rPr>
        <w:fldChar w:fldCharType="end"/>
      </w:r>
    </w:p>
    <w:p>
      <w:pPr>
        <w:pStyle w:val="9"/>
        <w:tabs>
          <w:tab w:val="left" w:pos="2100"/>
          <w:tab w:val="right" w:leader="dot" w:pos="8296"/>
        </w:tabs>
        <w:spacing w:line="380" w:lineRule="exact"/>
        <w:rPr>
          <w:rFonts w:asciiTheme="minorHAnsi" w:hAnsiTheme="minorHAnsi" w:cstheme="minorBidi"/>
          <w:sz w:val="28"/>
          <w:szCs w:val="28"/>
        </w:rPr>
      </w:pPr>
      <w:r>
        <w:fldChar w:fldCharType="begin"/>
      </w:r>
      <w:r>
        <w:instrText xml:space="preserve"> HYPERLINK \l "_Toc478387756" </w:instrText>
      </w:r>
      <w:r>
        <w:fldChar w:fldCharType="separate"/>
      </w:r>
      <w:r>
        <w:rPr>
          <w:rStyle w:val="26"/>
          <w:rFonts w:hint="eastAsia" w:ascii="仿宋" w:hAnsi="仿宋" w:eastAsia="仿宋"/>
          <w:bCs/>
          <w:sz w:val="28"/>
          <w:szCs w:val="28"/>
        </w:rPr>
        <w:t>（二）综合评议指标表</w:t>
      </w:r>
      <w:r>
        <w:rPr>
          <w:sz w:val="28"/>
          <w:szCs w:val="28"/>
        </w:rPr>
        <w:tab/>
      </w:r>
      <w:r>
        <w:rPr>
          <w:rFonts w:hint="eastAsia"/>
          <w:sz w:val="28"/>
          <w:szCs w:val="28"/>
        </w:rPr>
        <w:t>1</w:t>
      </w:r>
      <w:r>
        <w:rPr>
          <w:rFonts w:hint="eastAsia"/>
          <w:sz w:val="28"/>
          <w:szCs w:val="28"/>
        </w:rPr>
        <w:fldChar w:fldCharType="end"/>
      </w:r>
      <w:r>
        <w:rPr>
          <w:rFonts w:hint="eastAsia"/>
          <w:sz w:val="28"/>
          <w:szCs w:val="28"/>
        </w:rPr>
        <w:t>0</w:t>
      </w:r>
    </w:p>
    <w:p>
      <w:pPr>
        <w:pStyle w:val="15"/>
        <w:tabs>
          <w:tab w:val="right" w:leader="dot" w:pos="8296"/>
        </w:tabs>
        <w:spacing w:line="380" w:lineRule="exact"/>
        <w:rPr>
          <w:rFonts w:asciiTheme="minorHAnsi" w:hAnsiTheme="minorHAnsi" w:cstheme="minorBidi"/>
          <w:sz w:val="28"/>
          <w:szCs w:val="28"/>
        </w:rPr>
      </w:pPr>
      <w:r>
        <w:fldChar w:fldCharType="begin"/>
      </w:r>
      <w:r>
        <w:instrText xml:space="preserve"> HYPERLINK \l "_Toc478387757" </w:instrText>
      </w:r>
      <w:r>
        <w:fldChar w:fldCharType="separate"/>
      </w:r>
      <w:r>
        <w:rPr>
          <w:rStyle w:val="26"/>
          <w:rFonts w:hint="eastAsia"/>
          <w:b/>
          <w:sz w:val="28"/>
          <w:szCs w:val="28"/>
        </w:rPr>
        <w:t>第四部分：响应文件说明</w:t>
      </w:r>
      <w:r>
        <w:rPr>
          <w:sz w:val="28"/>
          <w:szCs w:val="28"/>
        </w:rPr>
        <w:tab/>
      </w:r>
      <w:r>
        <w:rPr>
          <w:rFonts w:hint="eastAsia"/>
          <w:sz w:val="28"/>
          <w:szCs w:val="28"/>
        </w:rPr>
        <w:t>1</w:t>
      </w:r>
      <w:r>
        <w:rPr>
          <w:rFonts w:hint="eastAsia"/>
          <w:sz w:val="28"/>
          <w:szCs w:val="28"/>
        </w:rPr>
        <w:fldChar w:fldCharType="end"/>
      </w:r>
      <w:r>
        <w:rPr>
          <w:rFonts w:hint="eastAsia"/>
          <w:sz w:val="28"/>
          <w:szCs w:val="28"/>
        </w:rPr>
        <w:t>5</w:t>
      </w:r>
    </w:p>
    <w:p>
      <w:pPr>
        <w:pStyle w:val="18"/>
        <w:tabs>
          <w:tab w:val="right" w:leader="dot" w:pos="8296"/>
        </w:tabs>
        <w:spacing w:line="380" w:lineRule="exact"/>
        <w:rPr>
          <w:rFonts w:asciiTheme="minorHAnsi" w:hAnsiTheme="minorHAnsi" w:cstheme="minorBidi"/>
          <w:sz w:val="28"/>
          <w:szCs w:val="28"/>
        </w:rPr>
      </w:pPr>
      <w:r>
        <w:fldChar w:fldCharType="begin"/>
      </w:r>
      <w:r>
        <w:instrText xml:space="preserve"> HYPERLINK \l "_Toc478387758" </w:instrText>
      </w:r>
      <w:r>
        <w:fldChar w:fldCharType="separate"/>
      </w:r>
      <w:r>
        <w:rPr>
          <w:rStyle w:val="26"/>
          <w:rFonts w:hint="eastAsia" w:ascii="仿宋" w:hAnsi="仿宋" w:eastAsia="仿宋"/>
          <w:bCs/>
          <w:sz w:val="28"/>
          <w:szCs w:val="28"/>
        </w:rPr>
        <w:t>十五、 被邀请供应商参评时应递交的报价清单和响应文件</w:t>
      </w:r>
      <w:r>
        <w:rPr>
          <w:sz w:val="28"/>
          <w:szCs w:val="28"/>
        </w:rPr>
        <w:tab/>
      </w:r>
      <w:r>
        <w:rPr>
          <w:rFonts w:hint="eastAsia"/>
          <w:sz w:val="28"/>
          <w:szCs w:val="28"/>
        </w:rPr>
        <w:t>1</w:t>
      </w:r>
      <w:r>
        <w:rPr>
          <w:rFonts w:hint="eastAsia"/>
          <w:sz w:val="28"/>
          <w:szCs w:val="28"/>
        </w:rPr>
        <w:fldChar w:fldCharType="end"/>
      </w:r>
      <w:r>
        <w:rPr>
          <w:rFonts w:hint="eastAsia"/>
          <w:sz w:val="28"/>
          <w:szCs w:val="28"/>
        </w:rPr>
        <w:t>5</w:t>
      </w:r>
    </w:p>
    <w:p>
      <w:pPr>
        <w:pStyle w:val="15"/>
        <w:tabs>
          <w:tab w:val="right" w:leader="dot" w:pos="8296"/>
        </w:tabs>
        <w:spacing w:line="380" w:lineRule="exact"/>
        <w:rPr>
          <w:rFonts w:asciiTheme="minorHAnsi" w:hAnsiTheme="minorHAnsi" w:cstheme="minorBidi"/>
          <w:sz w:val="28"/>
          <w:szCs w:val="28"/>
        </w:rPr>
      </w:pPr>
      <w:r>
        <w:fldChar w:fldCharType="begin"/>
      </w:r>
      <w:r>
        <w:instrText xml:space="preserve"> HYPERLINK \l "_Toc478387759" </w:instrText>
      </w:r>
      <w:r>
        <w:fldChar w:fldCharType="separate"/>
      </w:r>
      <w:r>
        <w:rPr>
          <w:rStyle w:val="26"/>
          <w:rFonts w:hint="eastAsia"/>
          <w:b/>
          <w:sz w:val="28"/>
          <w:szCs w:val="28"/>
        </w:rPr>
        <w:t>第五部分：参考附件</w:t>
      </w:r>
      <w:r>
        <w:rPr>
          <w:sz w:val="28"/>
          <w:szCs w:val="28"/>
        </w:rPr>
        <w:tab/>
      </w:r>
      <w:r>
        <w:rPr>
          <w:rFonts w:hint="eastAsia"/>
          <w:sz w:val="28"/>
          <w:szCs w:val="28"/>
        </w:rPr>
        <w:t>1</w:t>
      </w:r>
      <w:r>
        <w:rPr>
          <w:rFonts w:hint="eastAsia"/>
          <w:sz w:val="28"/>
          <w:szCs w:val="28"/>
        </w:rPr>
        <w:fldChar w:fldCharType="end"/>
      </w:r>
      <w:r>
        <w:rPr>
          <w:rFonts w:hint="eastAsia"/>
          <w:sz w:val="28"/>
          <w:szCs w:val="28"/>
        </w:rPr>
        <w:t>7</w:t>
      </w:r>
    </w:p>
    <w:p>
      <w:pPr>
        <w:pStyle w:val="18"/>
        <w:tabs>
          <w:tab w:val="right" w:leader="dot" w:pos="8296"/>
        </w:tabs>
        <w:spacing w:line="380" w:lineRule="exact"/>
        <w:rPr>
          <w:rFonts w:asciiTheme="minorHAnsi" w:hAnsiTheme="minorHAnsi" w:cstheme="minorBidi"/>
          <w:sz w:val="28"/>
          <w:szCs w:val="28"/>
        </w:rPr>
      </w:pPr>
      <w:r>
        <w:fldChar w:fldCharType="begin"/>
      </w:r>
      <w:r>
        <w:instrText xml:space="preserve"> HYPERLINK \l "_Toc478387760" </w:instrText>
      </w:r>
      <w:r>
        <w:fldChar w:fldCharType="separate"/>
      </w:r>
      <w:r>
        <w:rPr>
          <w:rStyle w:val="26"/>
          <w:rFonts w:hint="eastAsia" w:ascii="仿宋" w:hAnsi="仿宋" w:eastAsia="仿宋"/>
          <w:sz w:val="28"/>
          <w:szCs w:val="28"/>
        </w:rPr>
        <w:t>附件</w:t>
      </w:r>
      <w:r>
        <w:rPr>
          <w:rStyle w:val="26"/>
          <w:rFonts w:ascii="仿宋" w:hAnsi="仿宋" w:eastAsia="仿宋"/>
          <w:sz w:val="28"/>
          <w:szCs w:val="28"/>
        </w:rPr>
        <w:t>1</w:t>
      </w:r>
      <w:r>
        <w:rPr>
          <w:rStyle w:val="26"/>
          <w:rFonts w:hint="eastAsia" w:ascii="仿宋" w:hAnsi="仿宋" w:eastAsia="仿宋"/>
          <w:sz w:val="28"/>
          <w:szCs w:val="28"/>
        </w:rPr>
        <w:t>：考察证明</w:t>
      </w:r>
      <w:r>
        <w:rPr>
          <w:sz w:val="28"/>
          <w:szCs w:val="28"/>
        </w:rPr>
        <w:tab/>
      </w:r>
      <w:r>
        <w:rPr>
          <w:rFonts w:hint="eastAsia"/>
          <w:sz w:val="28"/>
          <w:szCs w:val="28"/>
        </w:rPr>
        <w:t>1</w:t>
      </w:r>
      <w:r>
        <w:rPr>
          <w:rFonts w:hint="eastAsia"/>
          <w:sz w:val="28"/>
          <w:szCs w:val="28"/>
        </w:rPr>
        <w:fldChar w:fldCharType="end"/>
      </w:r>
      <w:r>
        <w:rPr>
          <w:rFonts w:hint="eastAsia"/>
          <w:sz w:val="28"/>
          <w:szCs w:val="28"/>
        </w:rPr>
        <w:t>8</w:t>
      </w:r>
    </w:p>
    <w:p>
      <w:pPr>
        <w:pStyle w:val="18"/>
        <w:tabs>
          <w:tab w:val="right" w:leader="dot" w:pos="8296"/>
        </w:tabs>
        <w:spacing w:line="380" w:lineRule="exact"/>
        <w:rPr>
          <w:rFonts w:asciiTheme="minorHAnsi" w:hAnsiTheme="minorHAnsi" w:cstheme="minorBidi"/>
          <w:sz w:val="28"/>
          <w:szCs w:val="28"/>
        </w:rPr>
      </w:pPr>
      <w:r>
        <w:fldChar w:fldCharType="begin"/>
      </w:r>
      <w:r>
        <w:instrText xml:space="preserve"> HYPERLINK \l "_Toc478387761" </w:instrText>
      </w:r>
      <w:r>
        <w:fldChar w:fldCharType="separate"/>
      </w:r>
      <w:r>
        <w:rPr>
          <w:rStyle w:val="26"/>
          <w:rFonts w:hint="eastAsia" w:ascii="仿宋" w:hAnsi="仿宋" w:eastAsia="仿宋"/>
          <w:sz w:val="28"/>
          <w:szCs w:val="28"/>
        </w:rPr>
        <w:t>附件</w:t>
      </w:r>
      <w:r>
        <w:rPr>
          <w:rStyle w:val="26"/>
          <w:rFonts w:ascii="仿宋" w:hAnsi="仿宋" w:eastAsia="仿宋"/>
          <w:sz w:val="28"/>
          <w:szCs w:val="28"/>
        </w:rPr>
        <w:t>2</w:t>
      </w:r>
      <w:r>
        <w:rPr>
          <w:rStyle w:val="26"/>
          <w:rFonts w:hint="eastAsia" w:ascii="仿宋" w:hAnsi="仿宋" w:eastAsia="仿宋"/>
          <w:sz w:val="28"/>
          <w:szCs w:val="28"/>
        </w:rPr>
        <w:t>：技术服务响应</w:t>
      </w:r>
      <w:r>
        <w:rPr>
          <w:rStyle w:val="26"/>
          <w:rFonts w:ascii="仿宋" w:hAnsi="仿宋" w:eastAsia="仿宋"/>
          <w:sz w:val="28"/>
          <w:szCs w:val="28"/>
        </w:rPr>
        <w:t>/</w:t>
      </w:r>
      <w:r>
        <w:rPr>
          <w:rStyle w:val="26"/>
          <w:rFonts w:hint="eastAsia" w:ascii="仿宋" w:hAnsi="仿宋" w:eastAsia="仿宋"/>
          <w:sz w:val="28"/>
          <w:szCs w:val="28"/>
        </w:rPr>
        <w:t>偏离表</w:t>
      </w:r>
      <w:r>
        <w:rPr>
          <w:sz w:val="28"/>
          <w:szCs w:val="28"/>
        </w:rPr>
        <w:tab/>
      </w:r>
      <w:r>
        <w:rPr>
          <w:rFonts w:hint="eastAsia"/>
          <w:sz w:val="28"/>
          <w:szCs w:val="28"/>
        </w:rPr>
        <w:t>1</w:t>
      </w:r>
      <w:r>
        <w:rPr>
          <w:rFonts w:hint="eastAsia"/>
          <w:sz w:val="28"/>
          <w:szCs w:val="28"/>
        </w:rPr>
        <w:fldChar w:fldCharType="end"/>
      </w:r>
      <w:r>
        <w:rPr>
          <w:rFonts w:hint="eastAsia"/>
          <w:sz w:val="28"/>
          <w:szCs w:val="28"/>
        </w:rPr>
        <w:t>9</w:t>
      </w:r>
    </w:p>
    <w:p>
      <w:pPr>
        <w:pStyle w:val="18"/>
        <w:tabs>
          <w:tab w:val="right" w:leader="dot" w:pos="8296"/>
        </w:tabs>
        <w:spacing w:line="380" w:lineRule="exact"/>
        <w:rPr>
          <w:rFonts w:asciiTheme="minorHAnsi" w:hAnsiTheme="minorHAnsi" w:cstheme="minorBidi"/>
          <w:sz w:val="28"/>
          <w:szCs w:val="28"/>
        </w:rPr>
      </w:pPr>
      <w:r>
        <w:rPr>
          <w:rFonts w:hint="eastAsia"/>
        </w:rPr>
        <w:fldChar w:fldCharType="begin"/>
      </w:r>
      <w:r>
        <w:instrText xml:space="preserve"> HYPERLINK \l "_Toc478387762" </w:instrText>
      </w:r>
      <w:r>
        <w:rPr>
          <w:rFonts w:hint="eastAsia"/>
        </w:rPr>
        <w:fldChar w:fldCharType="separate"/>
      </w:r>
      <w:r>
        <w:rPr>
          <w:rStyle w:val="26"/>
          <w:rFonts w:hint="eastAsia" w:ascii="仿宋" w:hAnsi="仿宋" w:eastAsia="仿宋"/>
          <w:sz w:val="28"/>
          <w:szCs w:val="28"/>
        </w:rPr>
        <w:t>附件</w:t>
      </w:r>
      <w:r>
        <w:rPr>
          <w:rStyle w:val="26"/>
          <w:rFonts w:ascii="仿宋" w:hAnsi="仿宋" w:eastAsia="仿宋"/>
          <w:sz w:val="28"/>
          <w:szCs w:val="28"/>
        </w:rPr>
        <w:t>3</w:t>
      </w:r>
      <w:r>
        <w:rPr>
          <w:rStyle w:val="26"/>
          <w:rFonts w:hint="eastAsia" w:ascii="仿宋" w:hAnsi="仿宋" w:eastAsia="仿宋"/>
          <w:sz w:val="28"/>
          <w:szCs w:val="28"/>
        </w:rPr>
        <w:t>：商务条款响应</w:t>
      </w:r>
      <w:r>
        <w:rPr>
          <w:rStyle w:val="26"/>
          <w:rFonts w:ascii="仿宋" w:hAnsi="仿宋" w:eastAsia="仿宋"/>
          <w:sz w:val="28"/>
          <w:szCs w:val="28"/>
        </w:rPr>
        <w:t>/</w:t>
      </w:r>
      <w:r>
        <w:rPr>
          <w:rStyle w:val="26"/>
          <w:rFonts w:hint="eastAsia" w:ascii="仿宋" w:hAnsi="仿宋" w:eastAsia="仿宋"/>
          <w:sz w:val="28"/>
          <w:szCs w:val="28"/>
        </w:rPr>
        <w:t>偏离表</w:t>
      </w:r>
      <w:r>
        <w:rPr>
          <w:sz w:val="28"/>
          <w:szCs w:val="28"/>
        </w:rPr>
        <w:tab/>
      </w:r>
      <w:r>
        <w:rPr>
          <w:rFonts w:hint="eastAsia"/>
          <w:sz w:val="28"/>
          <w:szCs w:val="28"/>
        </w:rPr>
        <w:fldChar w:fldCharType="end"/>
      </w:r>
      <w:r>
        <w:rPr>
          <w:rFonts w:hint="eastAsia"/>
          <w:sz w:val="28"/>
          <w:szCs w:val="28"/>
        </w:rPr>
        <w:t>20</w:t>
      </w:r>
    </w:p>
    <w:p>
      <w:pPr>
        <w:pStyle w:val="18"/>
        <w:tabs>
          <w:tab w:val="right" w:leader="dot" w:pos="8296"/>
        </w:tabs>
        <w:spacing w:line="380" w:lineRule="exact"/>
        <w:rPr>
          <w:rFonts w:asciiTheme="minorHAnsi" w:hAnsiTheme="minorHAnsi" w:cstheme="minorBidi"/>
          <w:sz w:val="28"/>
          <w:szCs w:val="28"/>
        </w:rPr>
      </w:pPr>
      <w:r>
        <w:fldChar w:fldCharType="begin"/>
      </w:r>
      <w:r>
        <w:instrText xml:space="preserve"> HYPERLINK \l "_Toc478387763" </w:instrText>
      </w:r>
      <w:r>
        <w:fldChar w:fldCharType="separate"/>
      </w:r>
      <w:r>
        <w:rPr>
          <w:rStyle w:val="26"/>
          <w:rFonts w:hint="eastAsia" w:ascii="仿宋" w:hAnsi="仿宋" w:eastAsia="仿宋"/>
          <w:sz w:val="28"/>
          <w:szCs w:val="28"/>
        </w:rPr>
        <w:t>附件</w:t>
      </w:r>
      <w:r>
        <w:rPr>
          <w:rStyle w:val="26"/>
          <w:rFonts w:ascii="仿宋" w:hAnsi="仿宋" w:eastAsia="仿宋"/>
          <w:sz w:val="28"/>
          <w:szCs w:val="28"/>
        </w:rPr>
        <w:t>4</w:t>
      </w:r>
      <w:r>
        <w:rPr>
          <w:rStyle w:val="26"/>
          <w:rFonts w:hint="eastAsia" w:ascii="仿宋" w:hAnsi="仿宋" w:eastAsia="仿宋"/>
          <w:sz w:val="28"/>
          <w:szCs w:val="28"/>
        </w:rPr>
        <w:t>：报价一览表（工程）</w:t>
      </w:r>
      <w:r>
        <w:rPr>
          <w:rStyle w:val="26"/>
          <w:rFonts w:hint="eastAsia" w:ascii="仿宋" w:hAnsi="仿宋" w:eastAsia="仿宋"/>
          <w:sz w:val="28"/>
          <w:szCs w:val="28"/>
          <w:lang w:eastAsia="zh-CN"/>
        </w:rPr>
        <w:t>（</w:t>
      </w:r>
      <w:r>
        <w:rPr>
          <w:rStyle w:val="26"/>
          <w:rFonts w:hint="eastAsia" w:ascii="仿宋" w:hAnsi="仿宋" w:eastAsia="仿宋"/>
          <w:sz w:val="28"/>
          <w:szCs w:val="28"/>
          <w:lang w:val="en-US" w:eastAsia="zh-CN"/>
        </w:rPr>
        <w:t>本项目不适用</w:t>
      </w:r>
      <w:r>
        <w:rPr>
          <w:rStyle w:val="26"/>
          <w:rFonts w:hint="eastAsia" w:ascii="仿宋" w:hAnsi="仿宋" w:eastAsia="仿宋"/>
          <w:sz w:val="28"/>
          <w:szCs w:val="28"/>
          <w:lang w:eastAsia="zh-CN"/>
        </w:rPr>
        <w:t>）</w:t>
      </w:r>
      <w:r>
        <w:rPr>
          <w:sz w:val="28"/>
          <w:szCs w:val="28"/>
        </w:rPr>
        <w:tab/>
      </w:r>
      <w:r>
        <w:rPr>
          <w:rFonts w:hint="eastAsia"/>
          <w:sz w:val="28"/>
          <w:szCs w:val="28"/>
        </w:rPr>
        <w:t>2</w:t>
      </w:r>
      <w:r>
        <w:rPr>
          <w:rFonts w:hint="eastAsia"/>
          <w:sz w:val="28"/>
          <w:szCs w:val="28"/>
        </w:rPr>
        <w:fldChar w:fldCharType="end"/>
      </w:r>
      <w:r>
        <w:rPr>
          <w:rFonts w:hint="eastAsia"/>
          <w:sz w:val="28"/>
          <w:szCs w:val="28"/>
        </w:rPr>
        <w:t>1</w:t>
      </w:r>
    </w:p>
    <w:p>
      <w:pPr>
        <w:pStyle w:val="18"/>
        <w:tabs>
          <w:tab w:val="right" w:leader="dot" w:pos="8296"/>
        </w:tabs>
        <w:spacing w:line="380" w:lineRule="exact"/>
        <w:rPr>
          <w:rFonts w:asciiTheme="minorHAnsi" w:hAnsiTheme="minorHAnsi" w:cstheme="minorBidi"/>
          <w:sz w:val="28"/>
          <w:szCs w:val="28"/>
        </w:rPr>
      </w:pPr>
      <w:r>
        <w:fldChar w:fldCharType="begin"/>
      </w:r>
      <w:r>
        <w:instrText xml:space="preserve"> HYPERLINK \l "_Toc478387764" </w:instrText>
      </w:r>
      <w:r>
        <w:fldChar w:fldCharType="separate"/>
      </w:r>
      <w:r>
        <w:rPr>
          <w:rStyle w:val="26"/>
          <w:rFonts w:hint="eastAsia" w:ascii="仿宋" w:hAnsi="仿宋" w:eastAsia="仿宋"/>
          <w:sz w:val="28"/>
          <w:szCs w:val="28"/>
        </w:rPr>
        <w:t>附件</w:t>
      </w:r>
      <w:r>
        <w:rPr>
          <w:rStyle w:val="26"/>
          <w:rFonts w:ascii="仿宋" w:hAnsi="仿宋" w:eastAsia="仿宋"/>
          <w:sz w:val="28"/>
          <w:szCs w:val="28"/>
        </w:rPr>
        <w:t>5</w:t>
      </w:r>
      <w:r>
        <w:rPr>
          <w:rStyle w:val="26"/>
          <w:rFonts w:hint="eastAsia" w:ascii="仿宋" w:hAnsi="仿宋" w:eastAsia="仿宋"/>
          <w:sz w:val="28"/>
          <w:szCs w:val="28"/>
        </w:rPr>
        <w:t>：报价一览表（货物）</w:t>
      </w:r>
      <w:r>
        <w:rPr>
          <w:rStyle w:val="26"/>
          <w:rFonts w:hint="eastAsia" w:ascii="仿宋" w:hAnsi="仿宋" w:eastAsia="仿宋"/>
          <w:sz w:val="28"/>
          <w:szCs w:val="28"/>
          <w:lang w:eastAsia="zh-CN"/>
        </w:rPr>
        <w:t>（</w:t>
      </w:r>
      <w:r>
        <w:rPr>
          <w:rStyle w:val="26"/>
          <w:rFonts w:hint="eastAsia" w:ascii="仿宋" w:hAnsi="仿宋" w:eastAsia="仿宋"/>
          <w:sz w:val="28"/>
          <w:szCs w:val="28"/>
          <w:lang w:val="en-US" w:eastAsia="zh-CN"/>
        </w:rPr>
        <w:t>本项目不适用</w:t>
      </w:r>
      <w:r>
        <w:rPr>
          <w:rStyle w:val="26"/>
          <w:rFonts w:hint="eastAsia" w:ascii="仿宋" w:hAnsi="仿宋" w:eastAsia="仿宋"/>
          <w:sz w:val="28"/>
          <w:szCs w:val="28"/>
          <w:lang w:eastAsia="zh-CN"/>
        </w:rPr>
        <w:t>）</w:t>
      </w:r>
      <w:r>
        <w:rPr>
          <w:sz w:val="28"/>
          <w:szCs w:val="28"/>
        </w:rPr>
        <w:tab/>
      </w:r>
      <w:r>
        <w:rPr>
          <w:rFonts w:hint="eastAsia"/>
          <w:sz w:val="28"/>
          <w:szCs w:val="28"/>
        </w:rPr>
        <w:t>2</w:t>
      </w:r>
      <w:r>
        <w:rPr>
          <w:rFonts w:hint="eastAsia"/>
          <w:sz w:val="28"/>
          <w:szCs w:val="28"/>
        </w:rPr>
        <w:fldChar w:fldCharType="end"/>
      </w:r>
      <w:r>
        <w:rPr>
          <w:rFonts w:hint="eastAsia"/>
          <w:sz w:val="28"/>
          <w:szCs w:val="28"/>
        </w:rPr>
        <w:t>2</w:t>
      </w:r>
    </w:p>
    <w:p>
      <w:pPr>
        <w:pStyle w:val="18"/>
        <w:tabs>
          <w:tab w:val="right" w:leader="dot" w:pos="8296"/>
        </w:tabs>
        <w:spacing w:line="380" w:lineRule="exact"/>
        <w:rPr>
          <w:rFonts w:asciiTheme="minorHAnsi" w:hAnsiTheme="minorHAnsi" w:cstheme="minorBidi"/>
          <w:sz w:val="28"/>
          <w:szCs w:val="28"/>
        </w:rPr>
      </w:pPr>
      <w:r>
        <w:fldChar w:fldCharType="begin"/>
      </w:r>
      <w:r>
        <w:instrText xml:space="preserve"> HYPERLINK \l "_Toc478387765" </w:instrText>
      </w:r>
      <w:r>
        <w:fldChar w:fldCharType="separate"/>
      </w:r>
      <w:r>
        <w:rPr>
          <w:rStyle w:val="26"/>
          <w:rFonts w:hint="eastAsia" w:ascii="仿宋" w:hAnsi="仿宋" w:eastAsia="仿宋"/>
          <w:sz w:val="28"/>
          <w:szCs w:val="28"/>
        </w:rPr>
        <w:t>附件</w:t>
      </w:r>
      <w:r>
        <w:rPr>
          <w:rStyle w:val="26"/>
          <w:rFonts w:ascii="仿宋" w:hAnsi="仿宋" w:eastAsia="仿宋"/>
          <w:sz w:val="28"/>
          <w:szCs w:val="28"/>
        </w:rPr>
        <w:t>6</w:t>
      </w:r>
      <w:r>
        <w:rPr>
          <w:rStyle w:val="26"/>
          <w:rFonts w:hint="eastAsia" w:ascii="仿宋" w:hAnsi="仿宋" w:eastAsia="仿宋"/>
          <w:sz w:val="28"/>
          <w:szCs w:val="28"/>
        </w:rPr>
        <w:t>：报价一览表（服务）</w:t>
      </w:r>
      <w:r>
        <w:rPr>
          <w:sz w:val="28"/>
          <w:szCs w:val="28"/>
        </w:rPr>
        <w:tab/>
      </w:r>
      <w:r>
        <w:rPr>
          <w:rFonts w:hint="eastAsia"/>
          <w:sz w:val="28"/>
          <w:szCs w:val="28"/>
        </w:rPr>
        <w:t>2</w:t>
      </w:r>
      <w:r>
        <w:rPr>
          <w:rFonts w:hint="eastAsia"/>
          <w:sz w:val="28"/>
          <w:szCs w:val="28"/>
        </w:rPr>
        <w:fldChar w:fldCharType="end"/>
      </w:r>
      <w:r>
        <w:rPr>
          <w:rFonts w:hint="eastAsia"/>
          <w:sz w:val="28"/>
          <w:szCs w:val="28"/>
        </w:rPr>
        <w:t>3</w:t>
      </w:r>
    </w:p>
    <w:p>
      <w:pPr>
        <w:pStyle w:val="18"/>
        <w:tabs>
          <w:tab w:val="right" w:leader="dot" w:pos="8296"/>
        </w:tabs>
        <w:spacing w:line="380" w:lineRule="exact"/>
        <w:rPr>
          <w:rFonts w:asciiTheme="minorHAnsi" w:hAnsiTheme="minorHAnsi" w:cstheme="minorBidi"/>
          <w:sz w:val="28"/>
          <w:szCs w:val="28"/>
        </w:rPr>
      </w:pPr>
      <w:r>
        <w:fldChar w:fldCharType="begin"/>
      </w:r>
      <w:r>
        <w:instrText xml:space="preserve"> HYPERLINK \l "_Toc478387766" </w:instrText>
      </w:r>
      <w:r>
        <w:fldChar w:fldCharType="separate"/>
      </w:r>
      <w:r>
        <w:rPr>
          <w:rStyle w:val="26"/>
          <w:rFonts w:hint="eastAsia" w:ascii="仿宋" w:hAnsi="仿宋" w:eastAsia="仿宋"/>
          <w:sz w:val="28"/>
          <w:szCs w:val="28"/>
        </w:rPr>
        <w:t>附件</w:t>
      </w:r>
      <w:r>
        <w:rPr>
          <w:rStyle w:val="26"/>
          <w:rFonts w:ascii="仿宋" w:hAnsi="仿宋" w:eastAsia="仿宋"/>
          <w:sz w:val="28"/>
          <w:szCs w:val="28"/>
        </w:rPr>
        <w:t>7</w:t>
      </w:r>
      <w:r>
        <w:rPr>
          <w:rStyle w:val="26"/>
          <w:rFonts w:hint="eastAsia" w:ascii="仿宋" w:hAnsi="仿宋" w:eastAsia="仿宋"/>
          <w:sz w:val="28"/>
          <w:szCs w:val="28"/>
        </w:rPr>
        <w:t>：法定代表人证明书</w:t>
      </w:r>
      <w:r>
        <w:rPr>
          <w:sz w:val="28"/>
          <w:szCs w:val="28"/>
        </w:rPr>
        <w:tab/>
      </w:r>
      <w:r>
        <w:rPr>
          <w:rFonts w:hint="eastAsia"/>
          <w:sz w:val="28"/>
          <w:szCs w:val="28"/>
        </w:rPr>
        <w:t>2</w:t>
      </w:r>
      <w:r>
        <w:rPr>
          <w:rFonts w:hint="eastAsia"/>
          <w:sz w:val="28"/>
          <w:szCs w:val="28"/>
        </w:rPr>
        <w:fldChar w:fldCharType="end"/>
      </w:r>
      <w:r>
        <w:rPr>
          <w:rFonts w:hint="eastAsia"/>
          <w:sz w:val="28"/>
          <w:szCs w:val="28"/>
        </w:rPr>
        <w:t>4</w:t>
      </w:r>
    </w:p>
    <w:p>
      <w:pPr>
        <w:pStyle w:val="18"/>
        <w:tabs>
          <w:tab w:val="right" w:leader="dot" w:pos="8296"/>
        </w:tabs>
        <w:spacing w:line="380" w:lineRule="exact"/>
        <w:rPr>
          <w:rFonts w:asciiTheme="minorHAnsi" w:hAnsiTheme="minorHAnsi" w:cstheme="minorBidi"/>
          <w:sz w:val="28"/>
          <w:szCs w:val="28"/>
        </w:rPr>
      </w:pPr>
      <w:r>
        <w:fldChar w:fldCharType="begin"/>
      </w:r>
      <w:r>
        <w:instrText xml:space="preserve"> HYPERLINK \l "_Toc478387767" </w:instrText>
      </w:r>
      <w:r>
        <w:fldChar w:fldCharType="separate"/>
      </w:r>
      <w:r>
        <w:rPr>
          <w:rStyle w:val="26"/>
          <w:rFonts w:hint="eastAsia" w:ascii="仿宋" w:hAnsi="仿宋" w:eastAsia="仿宋"/>
          <w:sz w:val="28"/>
          <w:szCs w:val="28"/>
        </w:rPr>
        <w:t>附件</w:t>
      </w:r>
      <w:r>
        <w:rPr>
          <w:rStyle w:val="26"/>
          <w:rFonts w:ascii="仿宋" w:hAnsi="仿宋" w:eastAsia="仿宋"/>
          <w:sz w:val="28"/>
          <w:szCs w:val="28"/>
        </w:rPr>
        <w:t>8</w:t>
      </w:r>
      <w:r>
        <w:rPr>
          <w:rStyle w:val="26"/>
          <w:rFonts w:hint="eastAsia" w:ascii="仿宋" w:hAnsi="仿宋" w:eastAsia="仿宋"/>
          <w:sz w:val="28"/>
          <w:szCs w:val="28"/>
        </w:rPr>
        <w:t>：法人授权委托证明书</w:t>
      </w:r>
      <w:r>
        <w:rPr>
          <w:sz w:val="28"/>
          <w:szCs w:val="28"/>
        </w:rPr>
        <w:tab/>
      </w:r>
      <w:r>
        <w:rPr>
          <w:rFonts w:hint="eastAsia"/>
          <w:sz w:val="28"/>
          <w:szCs w:val="28"/>
        </w:rPr>
        <w:t>2</w:t>
      </w:r>
      <w:r>
        <w:rPr>
          <w:rFonts w:hint="eastAsia"/>
          <w:sz w:val="28"/>
          <w:szCs w:val="28"/>
        </w:rPr>
        <w:fldChar w:fldCharType="end"/>
      </w:r>
      <w:r>
        <w:rPr>
          <w:rFonts w:hint="eastAsia"/>
          <w:sz w:val="28"/>
          <w:szCs w:val="28"/>
        </w:rPr>
        <w:t>5</w:t>
      </w:r>
    </w:p>
    <w:p>
      <w:pPr>
        <w:pStyle w:val="18"/>
        <w:tabs>
          <w:tab w:val="right" w:leader="dot" w:pos="8296"/>
        </w:tabs>
        <w:spacing w:line="380" w:lineRule="exact"/>
        <w:rPr>
          <w:rFonts w:asciiTheme="minorHAnsi" w:hAnsiTheme="minorHAnsi" w:cstheme="minorBidi"/>
          <w:sz w:val="28"/>
          <w:szCs w:val="28"/>
        </w:rPr>
      </w:pPr>
      <w:r>
        <w:fldChar w:fldCharType="begin"/>
      </w:r>
      <w:r>
        <w:instrText xml:space="preserve"> HYPERLINK \l "_Toc478387768" </w:instrText>
      </w:r>
      <w:r>
        <w:fldChar w:fldCharType="separate"/>
      </w:r>
      <w:r>
        <w:rPr>
          <w:rStyle w:val="26"/>
          <w:rFonts w:hint="eastAsia" w:ascii="仿宋" w:hAnsi="仿宋" w:eastAsia="仿宋"/>
          <w:sz w:val="28"/>
          <w:szCs w:val="28"/>
        </w:rPr>
        <w:t>附件</w:t>
      </w:r>
      <w:r>
        <w:rPr>
          <w:rStyle w:val="26"/>
          <w:rFonts w:ascii="仿宋" w:hAnsi="仿宋" w:eastAsia="仿宋"/>
          <w:sz w:val="28"/>
          <w:szCs w:val="28"/>
        </w:rPr>
        <w:t>9</w:t>
      </w:r>
      <w:r>
        <w:rPr>
          <w:rStyle w:val="26"/>
          <w:rFonts w:hint="eastAsia" w:ascii="仿宋" w:hAnsi="仿宋" w:eastAsia="仿宋"/>
          <w:sz w:val="28"/>
          <w:szCs w:val="28"/>
        </w:rPr>
        <w:t>：经营业绩一览表</w:t>
      </w:r>
      <w:r>
        <w:rPr>
          <w:sz w:val="28"/>
          <w:szCs w:val="28"/>
        </w:rPr>
        <w:tab/>
      </w:r>
      <w:r>
        <w:rPr>
          <w:rFonts w:hint="eastAsia"/>
          <w:sz w:val="28"/>
          <w:szCs w:val="28"/>
        </w:rPr>
        <w:t>2</w:t>
      </w:r>
      <w:r>
        <w:rPr>
          <w:rFonts w:hint="eastAsia"/>
          <w:sz w:val="28"/>
          <w:szCs w:val="28"/>
        </w:rPr>
        <w:fldChar w:fldCharType="end"/>
      </w:r>
      <w:r>
        <w:rPr>
          <w:rFonts w:hint="eastAsia"/>
          <w:sz w:val="28"/>
          <w:szCs w:val="28"/>
        </w:rPr>
        <w:t>6</w:t>
      </w:r>
    </w:p>
    <w:p>
      <w:pPr>
        <w:pStyle w:val="18"/>
        <w:tabs>
          <w:tab w:val="right" w:leader="dot" w:pos="8296"/>
        </w:tabs>
        <w:spacing w:line="380" w:lineRule="exact"/>
        <w:rPr>
          <w:rFonts w:ascii="仿宋" w:hAnsi="仿宋" w:eastAsia="仿宋" w:cs="仿宋_GB2312"/>
          <w:sz w:val="28"/>
          <w:szCs w:val="28"/>
        </w:rPr>
      </w:pPr>
      <w:r>
        <w:fldChar w:fldCharType="begin"/>
      </w:r>
      <w:r>
        <w:instrText xml:space="preserve"> HYPERLINK \l "_Toc478387769" </w:instrText>
      </w:r>
      <w:r>
        <w:fldChar w:fldCharType="separate"/>
      </w:r>
      <w:r>
        <w:rPr>
          <w:rStyle w:val="26"/>
          <w:rFonts w:hint="eastAsia" w:ascii="仿宋" w:hAnsi="仿宋" w:eastAsia="仿宋"/>
          <w:sz w:val="28"/>
          <w:szCs w:val="28"/>
        </w:rPr>
        <w:t>附件</w:t>
      </w:r>
      <w:r>
        <w:rPr>
          <w:rStyle w:val="26"/>
          <w:rFonts w:ascii="仿宋" w:hAnsi="仿宋" w:eastAsia="仿宋"/>
          <w:sz w:val="28"/>
          <w:szCs w:val="28"/>
        </w:rPr>
        <w:t>10</w:t>
      </w:r>
      <w:r>
        <w:rPr>
          <w:rStyle w:val="26"/>
          <w:rFonts w:hint="eastAsia" w:ascii="仿宋" w:hAnsi="仿宋" w:eastAsia="仿宋"/>
          <w:sz w:val="28"/>
          <w:szCs w:val="28"/>
        </w:rPr>
        <w:t>：售后服务承诺书</w:t>
      </w:r>
      <w:r>
        <w:rPr>
          <w:sz w:val="28"/>
          <w:szCs w:val="28"/>
        </w:rPr>
        <w:tab/>
      </w:r>
      <w:r>
        <w:rPr>
          <w:rFonts w:hint="eastAsia"/>
          <w:sz w:val="28"/>
          <w:szCs w:val="28"/>
        </w:rPr>
        <w:t>2</w:t>
      </w:r>
      <w:r>
        <w:rPr>
          <w:rFonts w:hint="eastAsia"/>
          <w:sz w:val="28"/>
          <w:szCs w:val="28"/>
        </w:rPr>
        <w:fldChar w:fldCharType="end"/>
      </w:r>
      <w:r>
        <w:rPr>
          <w:rFonts w:hint="eastAsia" w:ascii="仿宋" w:hAnsi="仿宋" w:eastAsia="仿宋" w:cs="仿宋_GB2312"/>
          <w:sz w:val="28"/>
          <w:szCs w:val="28"/>
        </w:rPr>
        <w:fldChar w:fldCharType="end"/>
      </w:r>
      <w:r>
        <w:rPr>
          <w:rFonts w:hint="eastAsia" w:eastAsia="仿宋"/>
          <w:sz w:val="28"/>
          <w:szCs w:val="28"/>
        </w:rPr>
        <w:t>7</w:t>
      </w:r>
    </w:p>
    <w:p>
      <w:pPr>
        <w:pStyle w:val="18"/>
        <w:tabs>
          <w:tab w:val="right" w:leader="dot" w:pos="8296"/>
        </w:tabs>
        <w:spacing w:line="380" w:lineRule="exact"/>
        <w:rPr>
          <w:sz w:val="28"/>
          <w:szCs w:val="28"/>
        </w:rPr>
      </w:pPr>
      <w:r>
        <w:rPr>
          <w:rFonts w:hint="eastAsia"/>
        </w:rPr>
        <w:fldChar w:fldCharType="begin"/>
      </w:r>
      <w:r>
        <w:instrText xml:space="preserve"> HYPERLINK \l "_Toc478387769" </w:instrText>
      </w:r>
      <w:r>
        <w:rPr>
          <w:rFonts w:hint="eastAsia"/>
        </w:rPr>
        <w:fldChar w:fldCharType="separate"/>
      </w:r>
      <w:r>
        <w:rPr>
          <w:rStyle w:val="26"/>
          <w:rFonts w:hint="eastAsia" w:ascii="仿宋" w:hAnsi="仿宋" w:eastAsia="仿宋"/>
          <w:color w:val="auto"/>
          <w:sz w:val="28"/>
          <w:szCs w:val="28"/>
          <w:u w:val="none"/>
        </w:rPr>
        <w:t>附件11：深圳会展中心</w:t>
      </w:r>
      <w:r>
        <w:rPr>
          <w:rStyle w:val="26"/>
          <w:rFonts w:hint="eastAsia" w:ascii="仿宋" w:hAnsi="仿宋" w:eastAsia="仿宋"/>
          <w:color w:val="auto"/>
          <w:sz w:val="28"/>
          <w:szCs w:val="28"/>
          <w:u w:val="single"/>
          <w:lang w:val="en-US" w:eastAsia="zh-CN"/>
        </w:rPr>
        <w:t xml:space="preserve"> </w:t>
      </w:r>
      <w:r>
        <w:rPr>
          <w:rStyle w:val="26"/>
          <w:rFonts w:hint="eastAsia" w:ascii="仿宋" w:hAnsi="仿宋" w:eastAsia="仿宋"/>
          <w:color w:val="auto"/>
          <w:sz w:val="28"/>
          <w:szCs w:val="28"/>
          <w:u w:val="none"/>
        </w:rPr>
        <w:t>年度零星工程造价咨询项目一览表</w:t>
      </w:r>
      <w:r>
        <w:rPr>
          <w:sz w:val="28"/>
          <w:szCs w:val="28"/>
        </w:rPr>
        <w:tab/>
      </w:r>
      <w:r>
        <w:rPr>
          <w:rFonts w:hint="eastAsia"/>
          <w:sz w:val="28"/>
          <w:szCs w:val="28"/>
        </w:rPr>
        <w:t>2</w:t>
      </w:r>
      <w:r>
        <w:rPr>
          <w:rFonts w:hint="eastAsia"/>
          <w:sz w:val="28"/>
          <w:szCs w:val="28"/>
        </w:rPr>
        <w:fldChar w:fldCharType="end"/>
      </w:r>
      <w:r>
        <w:rPr>
          <w:rFonts w:hint="eastAsia"/>
          <w:sz w:val="28"/>
          <w:szCs w:val="28"/>
        </w:rPr>
        <w:t>8</w:t>
      </w:r>
    </w:p>
    <w:p>
      <w:pPr>
        <w:spacing w:line="360" w:lineRule="auto"/>
        <w:jc w:val="center"/>
        <w:outlineLvl w:val="0"/>
        <w:rPr>
          <w:rFonts w:hint="eastAsia" w:ascii="宋体" w:hAnsi="宋体"/>
          <w:b/>
          <w:sz w:val="32"/>
          <w:szCs w:val="32"/>
        </w:rPr>
      </w:pPr>
      <w:bookmarkStart w:id="0" w:name="_Toc478387732"/>
    </w:p>
    <w:p>
      <w:pPr>
        <w:spacing w:line="360" w:lineRule="auto"/>
        <w:jc w:val="center"/>
        <w:outlineLvl w:val="0"/>
        <w:rPr>
          <w:rFonts w:ascii="宋体" w:hAnsi="宋体"/>
          <w:b/>
          <w:sz w:val="32"/>
          <w:szCs w:val="32"/>
        </w:rPr>
      </w:pPr>
      <w:r>
        <w:rPr>
          <w:rFonts w:hint="eastAsia" w:ascii="宋体" w:hAnsi="宋体"/>
          <w:b/>
          <w:sz w:val="32"/>
          <w:szCs w:val="32"/>
        </w:rPr>
        <w:t>第一部分：项目要求</w:t>
      </w:r>
      <w:bookmarkEnd w:id="0"/>
    </w:p>
    <w:p>
      <w:pPr>
        <w:numPr>
          <w:ilvl w:val="0"/>
          <w:numId w:val="1"/>
        </w:numPr>
        <w:spacing w:before="156" w:beforeLines="50" w:line="360" w:lineRule="auto"/>
        <w:outlineLvl w:val="1"/>
        <w:rPr>
          <w:rFonts w:ascii="仿宋" w:hAnsi="仿宋" w:eastAsia="仿宋"/>
          <w:b/>
          <w:sz w:val="28"/>
          <w:szCs w:val="28"/>
        </w:rPr>
      </w:pPr>
      <w:bookmarkStart w:id="1" w:name="_Toc478387733"/>
      <w:r>
        <w:rPr>
          <w:rFonts w:hint="eastAsia" w:ascii="仿宋" w:hAnsi="仿宋" w:eastAsia="仿宋"/>
          <w:b/>
          <w:sz w:val="28"/>
          <w:szCs w:val="28"/>
        </w:rPr>
        <w:t>单位名称</w:t>
      </w:r>
      <w:bookmarkEnd w:id="1"/>
    </w:p>
    <w:p>
      <w:pPr>
        <w:spacing w:line="360" w:lineRule="auto"/>
        <w:ind w:firstLine="565" w:firstLineChars="202"/>
        <w:rPr>
          <w:rFonts w:ascii="仿宋" w:hAnsi="仿宋" w:eastAsia="仿宋"/>
          <w:sz w:val="28"/>
          <w:szCs w:val="28"/>
        </w:rPr>
      </w:pPr>
      <w:r>
        <w:rPr>
          <w:rFonts w:hint="eastAsia" w:ascii="仿宋" w:hAnsi="仿宋" w:eastAsia="仿宋"/>
          <w:sz w:val="28"/>
          <w:szCs w:val="28"/>
        </w:rPr>
        <w:t>深圳会展中心管理有限责任公司（以下简称“采购人”）</w:t>
      </w:r>
    </w:p>
    <w:p>
      <w:pPr>
        <w:numPr>
          <w:ilvl w:val="0"/>
          <w:numId w:val="1"/>
        </w:numPr>
        <w:spacing w:line="360" w:lineRule="auto"/>
        <w:outlineLvl w:val="1"/>
        <w:rPr>
          <w:rFonts w:ascii="仿宋" w:hAnsi="仿宋" w:eastAsia="仿宋"/>
          <w:b/>
          <w:sz w:val="28"/>
          <w:szCs w:val="28"/>
        </w:rPr>
      </w:pPr>
      <w:bookmarkStart w:id="2" w:name="_Toc478387734"/>
      <w:r>
        <w:rPr>
          <w:rFonts w:hint="eastAsia" w:ascii="仿宋" w:hAnsi="仿宋" w:eastAsia="仿宋"/>
          <w:b/>
          <w:sz w:val="28"/>
          <w:szCs w:val="28"/>
        </w:rPr>
        <w:t>单位地址</w:t>
      </w:r>
      <w:bookmarkEnd w:id="2"/>
    </w:p>
    <w:p>
      <w:pPr>
        <w:spacing w:line="360" w:lineRule="auto"/>
        <w:ind w:firstLine="565" w:firstLineChars="202"/>
        <w:rPr>
          <w:rFonts w:ascii="仿宋" w:hAnsi="仿宋" w:eastAsia="仿宋"/>
          <w:sz w:val="28"/>
          <w:szCs w:val="28"/>
        </w:rPr>
      </w:pPr>
      <w:r>
        <w:rPr>
          <w:rFonts w:hint="eastAsia" w:ascii="仿宋" w:hAnsi="仿宋" w:eastAsia="仿宋"/>
          <w:sz w:val="28"/>
          <w:szCs w:val="28"/>
        </w:rPr>
        <w:t>深圳市福田区福华三路 深圳会展中心</w:t>
      </w:r>
    </w:p>
    <w:p>
      <w:pPr>
        <w:numPr>
          <w:ilvl w:val="0"/>
          <w:numId w:val="1"/>
        </w:numPr>
        <w:spacing w:line="360" w:lineRule="auto"/>
        <w:outlineLvl w:val="1"/>
        <w:rPr>
          <w:rFonts w:ascii="仿宋" w:hAnsi="仿宋" w:eastAsia="仿宋"/>
          <w:b/>
          <w:color w:val="auto"/>
          <w:sz w:val="28"/>
          <w:szCs w:val="28"/>
        </w:rPr>
      </w:pPr>
      <w:bookmarkStart w:id="3" w:name="_Toc478387735"/>
      <w:r>
        <w:rPr>
          <w:rFonts w:hint="eastAsia" w:ascii="仿宋" w:hAnsi="仿宋" w:eastAsia="仿宋"/>
          <w:b/>
          <w:sz w:val="28"/>
          <w:szCs w:val="28"/>
        </w:rPr>
        <w:t>项目名称</w:t>
      </w:r>
      <w:bookmarkEnd w:id="3"/>
    </w:p>
    <w:p>
      <w:pPr>
        <w:spacing w:line="360" w:lineRule="auto"/>
        <w:ind w:firstLine="565" w:firstLineChars="202"/>
        <w:rPr>
          <w:rFonts w:ascii="仿宋" w:hAnsi="仿宋" w:eastAsia="仿宋"/>
          <w:color w:val="auto"/>
          <w:sz w:val="28"/>
          <w:szCs w:val="28"/>
        </w:rPr>
      </w:pPr>
      <w:r>
        <w:rPr>
          <w:rFonts w:hint="eastAsia" w:ascii="仿宋" w:hAnsi="仿宋" w:eastAsia="仿宋"/>
          <w:color w:val="auto"/>
          <w:sz w:val="28"/>
          <w:szCs w:val="28"/>
        </w:rPr>
        <w:t>深圳会展中心2020-2022年度造价咨询服务</w:t>
      </w:r>
    </w:p>
    <w:p>
      <w:pPr>
        <w:numPr>
          <w:ilvl w:val="0"/>
          <w:numId w:val="1"/>
        </w:numPr>
        <w:spacing w:line="360" w:lineRule="auto"/>
        <w:outlineLvl w:val="1"/>
        <w:rPr>
          <w:rFonts w:ascii="仿宋" w:hAnsi="仿宋" w:eastAsia="仿宋"/>
          <w:b/>
          <w:color w:val="auto"/>
          <w:sz w:val="28"/>
          <w:szCs w:val="28"/>
        </w:rPr>
      </w:pPr>
      <w:bookmarkStart w:id="4" w:name="_Toc478387736"/>
      <w:r>
        <w:rPr>
          <w:rFonts w:hint="eastAsia" w:ascii="仿宋" w:hAnsi="仿宋" w:eastAsia="仿宋"/>
          <w:b/>
          <w:color w:val="auto"/>
          <w:sz w:val="28"/>
          <w:szCs w:val="28"/>
        </w:rPr>
        <w:t>项目介绍</w:t>
      </w:r>
      <w:bookmarkEnd w:id="4"/>
    </w:p>
    <w:p>
      <w:pPr>
        <w:pStyle w:val="33"/>
        <w:tabs>
          <w:tab w:val="left" w:pos="0"/>
        </w:tabs>
        <w:ind w:firstLine="565" w:firstLineChars="202"/>
        <w:rPr>
          <w:rFonts w:ascii="仿宋" w:hAnsi="仿宋" w:eastAsia="仿宋"/>
          <w:color w:val="auto"/>
          <w:sz w:val="28"/>
          <w:szCs w:val="28"/>
        </w:rPr>
      </w:pPr>
      <w:r>
        <w:rPr>
          <w:rFonts w:hint="eastAsia" w:ascii="仿宋" w:hAnsi="仿宋" w:eastAsia="仿宋"/>
          <w:color w:val="auto"/>
          <w:sz w:val="28"/>
          <w:szCs w:val="28"/>
        </w:rPr>
        <w:t>为了给深圳会展中心维修改造项目及经营所需其它相关采购项目提供专业的造价咨询报告，以合理控制采购价格。采购人现拟采用“竞争性谈判”的方式，择优选定该项目</w:t>
      </w:r>
      <w:r>
        <w:rPr>
          <w:rFonts w:hint="eastAsia" w:ascii="仿宋" w:hAnsi="仿宋" w:eastAsia="仿宋"/>
          <w:color w:val="FF0000"/>
          <w:sz w:val="28"/>
          <w:szCs w:val="28"/>
          <w:lang w:val="en-US" w:eastAsia="zh-CN"/>
        </w:rPr>
        <w:t>2家</w:t>
      </w:r>
      <w:r>
        <w:rPr>
          <w:rFonts w:hint="eastAsia" w:ascii="仿宋" w:hAnsi="仿宋" w:eastAsia="仿宋"/>
          <w:color w:val="auto"/>
          <w:sz w:val="28"/>
          <w:szCs w:val="28"/>
        </w:rPr>
        <w:t>合作单位，项目具体要求及工程量详见本通知书</w:t>
      </w:r>
      <w:r>
        <w:rPr>
          <w:rFonts w:hint="eastAsia" w:ascii="仿宋" w:hAnsi="仿宋" w:eastAsia="仿宋"/>
          <w:b/>
          <w:color w:val="auto"/>
          <w:sz w:val="28"/>
          <w:szCs w:val="28"/>
        </w:rPr>
        <w:t>第十一、十二项</w:t>
      </w:r>
      <w:r>
        <w:rPr>
          <w:rFonts w:hint="eastAsia" w:ascii="仿宋" w:hAnsi="仿宋" w:eastAsia="仿宋"/>
          <w:color w:val="auto"/>
          <w:sz w:val="28"/>
          <w:szCs w:val="28"/>
        </w:rPr>
        <w:t>。</w:t>
      </w:r>
    </w:p>
    <w:p>
      <w:pPr>
        <w:numPr>
          <w:ilvl w:val="0"/>
          <w:numId w:val="1"/>
        </w:numPr>
        <w:spacing w:line="560" w:lineRule="exact"/>
        <w:outlineLvl w:val="1"/>
        <w:rPr>
          <w:rFonts w:ascii="仿宋" w:hAnsi="仿宋" w:eastAsia="仿宋"/>
          <w:b/>
          <w:sz w:val="28"/>
          <w:szCs w:val="28"/>
        </w:rPr>
      </w:pPr>
      <w:bookmarkStart w:id="5" w:name="_Toc450813063"/>
      <w:bookmarkStart w:id="6" w:name="_Toc478387737"/>
      <w:r>
        <w:rPr>
          <w:rFonts w:hint="eastAsia" w:ascii="仿宋" w:hAnsi="仿宋" w:eastAsia="仿宋"/>
          <w:b/>
          <w:sz w:val="28"/>
          <w:szCs w:val="28"/>
        </w:rPr>
        <w:t>实施地点</w:t>
      </w:r>
      <w:bookmarkEnd w:id="5"/>
      <w:bookmarkEnd w:id="6"/>
    </w:p>
    <w:p>
      <w:pPr>
        <w:spacing w:line="560" w:lineRule="exact"/>
        <w:ind w:firstLine="571" w:firstLineChars="204"/>
        <w:outlineLvl w:val="1"/>
        <w:rPr>
          <w:rFonts w:ascii="仿宋" w:hAnsi="仿宋" w:eastAsia="仿宋"/>
          <w:sz w:val="28"/>
          <w:szCs w:val="28"/>
        </w:rPr>
      </w:pPr>
      <w:bookmarkStart w:id="7" w:name="_Toc459218109"/>
      <w:bookmarkStart w:id="8" w:name="_Toc478387738"/>
      <w:bookmarkStart w:id="9" w:name="_Toc452391098"/>
      <w:bookmarkStart w:id="10" w:name="_Toc478374808"/>
      <w:r>
        <w:rPr>
          <w:rFonts w:hint="eastAsia" w:ascii="仿宋" w:hAnsi="仿宋" w:eastAsia="仿宋"/>
          <w:sz w:val="28"/>
          <w:szCs w:val="28"/>
        </w:rPr>
        <w:t>深圳会展中心</w:t>
      </w:r>
      <w:bookmarkEnd w:id="7"/>
      <w:bookmarkEnd w:id="8"/>
      <w:bookmarkEnd w:id="9"/>
      <w:bookmarkEnd w:id="10"/>
    </w:p>
    <w:p>
      <w:pPr>
        <w:numPr>
          <w:ilvl w:val="0"/>
          <w:numId w:val="1"/>
        </w:numPr>
        <w:spacing w:line="560" w:lineRule="exact"/>
        <w:outlineLvl w:val="1"/>
        <w:rPr>
          <w:rFonts w:ascii="仿宋" w:hAnsi="仿宋" w:eastAsia="仿宋"/>
          <w:b/>
          <w:sz w:val="28"/>
          <w:szCs w:val="28"/>
        </w:rPr>
      </w:pPr>
      <w:bookmarkStart w:id="11" w:name="_Toc478387739"/>
      <w:r>
        <w:rPr>
          <w:rFonts w:hint="eastAsia" w:ascii="仿宋" w:hAnsi="仿宋" w:eastAsia="仿宋"/>
          <w:b/>
          <w:sz w:val="28"/>
          <w:szCs w:val="28"/>
        </w:rPr>
        <w:t>报名截止时间</w:t>
      </w:r>
      <w:bookmarkEnd w:id="11"/>
    </w:p>
    <w:p>
      <w:pPr>
        <w:spacing w:line="560" w:lineRule="exact"/>
        <w:ind w:firstLine="571" w:firstLineChars="204"/>
        <w:outlineLvl w:val="1"/>
        <w:rPr>
          <w:rFonts w:ascii="仿宋" w:hAnsi="仿宋" w:eastAsia="仿宋"/>
          <w:b/>
          <w:sz w:val="28"/>
          <w:szCs w:val="28"/>
        </w:rPr>
      </w:pPr>
      <w:bookmarkStart w:id="12" w:name="_Toc478374810"/>
      <w:bookmarkStart w:id="13" w:name="_Toc478387740"/>
      <w:r>
        <w:rPr>
          <w:rFonts w:hint="eastAsia" w:ascii="仿宋" w:hAnsi="仿宋" w:eastAsia="仿宋"/>
          <w:sz w:val="28"/>
          <w:szCs w:val="28"/>
          <w:highlight w:val="none"/>
        </w:rPr>
        <w:t>2020年</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12</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17</w:t>
      </w:r>
      <w:r>
        <w:rPr>
          <w:rFonts w:hint="eastAsia" w:ascii="仿宋" w:hAnsi="仿宋" w:eastAsia="仿宋"/>
          <w:sz w:val="28"/>
          <w:szCs w:val="28"/>
          <w:highlight w:val="none"/>
        </w:rPr>
        <w:t>时</w:t>
      </w:r>
      <w:r>
        <w:rPr>
          <w:rFonts w:hint="eastAsia" w:ascii="仿宋" w:hAnsi="仿宋" w:eastAsia="仿宋"/>
          <w:sz w:val="28"/>
          <w:szCs w:val="28"/>
          <w:highlight w:val="none"/>
          <w:lang w:val="en-US" w:eastAsia="zh-CN"/>
        </w:rPr>
        <w:t>00</w:t>
      </w:r>
      <w:r>
        <w:rPr>
          <w:rFonts w:hint="eastAsia" w:ascii="仿宋" w:hAnsi="仿宋" w:eastAsia="仿宋"/>
          <w:sz w:val="28"/>
          <w:szCs w:val="28"/>
          <w:highlight w:val="none"/>
        </w:rPr>
        <w:t>分（北京时</w:t>
      </w:r>
      <w:r>
        <w:rPr>
          <w:rFonts w:hint="eastAsia" w:ascii="仿宋" w:hAnsi="仿宋" w:eastAsia="仿宋"/>
          <w:sz w:val="28"/>
          <w:szCs w:val="28"/>
        </w:rPr>
        <w:t>间），以确认收到报名回函传真时间为准，报名回函格式见公告附件</w:t>
      </w:r>
      <w:bookmarkEnd w:id="12"/>
      <w:r>
        <w:rPr>
          <w:rFonts w:hint="eastAsia" w:ascii="仿宋" w:hAnsi="仿宋" w:eastAsia="仿宋"/>
          <w:sz w:val="28"/>
          <w:szCs w:val="28"/>
        </w:rPr>
        <w:t>。</w:t>
      </w:r>
      <w:bookmarkEnd w:id="13"/>
    </w:p>
    <w:p>
      <w:pPr>
        <w:numPr>
          <w:ilvl w:val="0"/>
          <w:numId w:val="1"/>
        </w:numPr>
        <w:spacing w:line="560" w:lineRule="exact"/>
        <w:outlineLvl w:val="1"/>
        <w:rPr>
          <w:rFonts w:ascii="仿宋" w:hAnsi="仿宋" w:eastAsia="仿宋"/>
          <w:b/>
          <w:sz w:val="28"/>
          <w:szCs w:val="28"/>
        </w:rPr>
      </w:pPr>
      <w:bookmarkStart w:id="14" w:name="_Toc478387741"/>
      <w:r>
        <w:rPr>
          <w:rFonts w:hint="eastAsia" w:ascii="仿宋" w:hAnsi="仿宋" w:eastAsia="仿宋"/>
          <w:b/>
          <w:sz w:val="28"/>
          <w:szCs w:val="28"/>
        </w:rPr>
        <w:t>谈判日期及地点</w:t>
      </w:r>
      <w:bookmarkEnd w:id="14"/>
    </w:p>
    <w:p>
      <w:pPr>
        <w:spacing w:line="560" w:lineRule="exact"/>
        <w:ind w:firstLine="571" w:firstLineChars="204"/>
        <w:outlineLvl w:val="1"/>
        <w:rPr>
          <w:rFonts w:ascii="仿宋" w:hAnsi="仿宋" w:eastAsia="仿宋"/>
          <w:sz w:val="28"/>
          <w:szCs w:val="28"/>
        </w:rPr>
      </w:pPr>
      <w:bookmarkStart w:id="15" w:name="_Toc459218111"/>
      <w:bookmarkStart w:id="16" w:name="_Toc478387742"/>
      <w:bookmarkStart w:id="17" w:name="_Toc478374812"/>
      <w:bookmarkStart w:id="18" w:name="_Toc452391100"/>
      <w:r>
        <w:rPr>
          <w:rFonts w:hint="eastAsia" w:ascii="仿宋" w:hAnsi="仿宋" w:eastAsia="仿宋"/>
          <w:sz w:val="28"/>
          <w:szCs w:val="28"/>
          <w:highlight w:val="none"/>
        </w:rPr>
        <w:t>2020年</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14</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时</w:t>
      </w:r>
      <w:r>
        <w:rPr>
          <w:rFonts w:hint="eastAsia" w:ascii="仿宋" w:hAnsi="仿宋" w:eastAsia="仿宋"/>
          <w:sz w:val="28"/>
          <w:szCs w:val="28"/>
          <w:highlight w:val="none"/>
          <w:lang w:val="en-US" w:eastAsia="zh-CN"/>
        </w:rPr>
        <w:t>00</w:t>
      </w:r>
      <w:r>
        <w:rPr>
          <w:rFonts w:hint="eastAsia" w:ascii="仿宋" w:hAnsi="仿宋" w:eastAsia="仿宋"/>
          <w:sz w:val="28"/>
          <w:szCs w:val="28"/>
          <w:highlight w:val="none"/>
        </w:rPr>
        <w:t>分（北</w:t>
      </w:r>
      <w:r>
        <w:rPr>
          <w:rFonts w:hint="eastAsia" w:ascii="仿宋" w:hAnsi="仿宋" w:eastAsia="仿宋"/>
          <w:sz w:val="28"/>
          <w:szCs w:val="28"/>
        </w:rPr>
        <w:t>京时间）开始，</w:t>
      </w:r>
      <w:bookmarkEnd w:id="15"/>
      <w:bookmarkEnd w:id="16"/>
      <w:bookmarkEnd w:id="17"/>
      <w:bookmarkEnd w:id="18"/>
      <w:r>
        <w:rPr>
          <w:rFonts w:hint="eastAsia" w:ascii="仿宋" w:hAnsi="仿宋" w:eastAsia="仿宋"/>
          <w:color w:val="FF0000"/>
          <w:sz w:val="28"/>
          <w:szCs w:val="28"/>
        </w:rPr>
        <w:t>深圳会展中心指定视频会议室，届时请各参加单位按采购公告要求准时提交报价清单和响应文件并参加在线谈判</w:t>
      </w:r>
      <w:r>
        <w:rPr>
          <w:rFonts w:hint="eastAsia" w:ascii="仿宋" w:hAnsi="仿宋" w:eastAsia="仿宋"/>
          <w:sz w:val="28"/>
          <w:szCs w:val="28"/>
        </w:rPr>
        <w:t>。</w:t>
      </w:r>
    </w:p>
    <w:p>
      <w:pPr>
        <w:numPr>
          <w:ilvl w:val="0"/>
          <w:numId w:val="1"/>
        </w:numPr>
        <w:spacing w:line="560" w:lineRule="exact"/>
        <w:outlineLvl w:val="1"/>
        <w:rPr>
          <w:rFonts w:ascii="仿宋" w:hAnsi="仿宋" w:eastAsia="仿宋"/>
          <w:b/>
          <w:sz w:val="28"/>
          <w:szCs w:val="28"/>
        </w:rPr>
      </w:pPr>
      <w:bookmarkStart w:id="19" w:name="_Toc478387743"/>
      <w:r>
        <w:rPr>
          <w:rFonts w:hint="eastAsia" w:ascii="仿宋" w:hAnsi="仿宋" w:eastAsia="仿宋"/>
          <w:b/>
          <w:sz w:val="28"/>
          <w:szCs w:val="28"/>
        </w:rPr>
        <w:t>联系人与联系方式</w:t>
      </w:r>
      <w:bookmarkEnd w:id="19"/>
    </w:p>
    <w:p>
      <w:pPr>
        <w:spacing w:line="560" w:lineRule="exact"/>
        <w:ind w:firstLine="560" w:firstLineChars="200"/>
        <w:jc w:val="left"/>
        <w:rPr>
          <w:rFonts w:ascii="仿宋" w:hAnsi="仿宋" w:eastAsia="仿宋"/>
          <w:sz w:val="28"/>
          <w:szCs w:val="28"/>
        </w:rPr>
      </w:pPr>
      <w:bookmarkStart w:id="20" w:name="_Toc478387744"/>
      <w:r>
        <w:rPr>
          <w:rFonts w:hint="eastAsia" w:ascii="仿宋" w:hAnsi="仿宋" w:eastAsia="仿宋"/>
          <w:sz w:val="28"/>
          <w:szCs w:val="28"/>
        </w:rPr>
        <w:t>联系人:刘女士      电话：18998919650     传真0755-82848694</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邮箱：1771389354@qq.com</w:t>
      </w:r>
    </w:p>
    <w:p>
      <w:pPr>
        <w:numPr>
          <w:ilvl w:val="0"/>
          <w:numId w:val="1"/>
        </w:numPr>
        <w:spacing w:line="560" w:lineRule="exact"/>
        <w:outlineLvl w:val="1"/>
        <w:rPr>
          <w:rFonts w:ascii="仿宋" w:hAnsi="仿宋" w:eastAsia="仿宋"/>
          <w:b/>
          <w:sz w:val="28"/>
          <w:szCs w:val="28"/>
        </w:rPr>
      </w:pPr>
      <w:r>
        <w:rPr>
          <w:rFonts w:hint="eastAsia" w:ascii="仿宋" w:hAnsi="仿宋" w:eastAsia="仿宋"/>
          <w:b/>
          <w:sz w:val="28"/>
          <w:szCs w:val="28"/>
        </w:rPr>
        <w:t>结果通知</w:t>
      </w:r>
      <w:bookmarkEnd w:id="20"/>
    </w:p>
    <w:p>
      <w:pPr>
        <w:tabs>
          <w:tab w:val="left" w:pos="0"/>
        </w:tabs>
        <w:spacing w:line="560" w:lineRule="exact"/>
        <w:ind w:firstLine="537" w:firstLineChars="192"/>
        <w:outlineLvl w:val="1"/>
        <w:rPr>
          <w:rFonts w:ascii="仿宋" w:hAnsi="仿宋" w:eastAsia="仿宋"/>
          <w:b/>
          <w:sz w:val="28"/>
          <w:szCs w:val="28"/>
        </w:rPr>
      </w:pPr>
      <w:bookmarkStart w:id="21" w:name="_Toc478374815"/>
      <w:bookmarkStart w:id="22" w:name="_Toc478387745"/>
      <w:bookmarkStart w:id="23" w:name="_Toc459218114"/>
      <w:bookmarkStart w:id="24" w:name="_Toc452391103"/>
      <w:r>
        <w:rPr>
          <w:rFonts w:hint="eastAsia" w:ascii="仿宋" w:hAnsi="仿宋" w:eastAsia="仿宋"/>
          <w:sz w:val="28"/>
          <w:szCs w:val="28"/>
        </w:rPr>
        <w:t>本项目谈判结果以采购人签发的“中选通知书”为准。</w:t>
      </w:r>
      <w:bookmarkEnd w:id="21"/>
      <w:bookmarkEnd w:id="22"/>
      <w:bookmarkEnd w:id="23"/>
      <w:bookmarkEnd w:id="24"/>
    </w:p>
    <w:p>
      <w:pPr>
        <w:numPr>
          <w:ilvl w:val="0"/>
          <w:numId w:val="1"/>
        </w:numPr>
        <w:spacing w:line="560" w:lineRule="exact"/>
        <w:outlineLvl w:val="1"/>
        <w:rPr>
          <w:rFonts w:ascii="仿宋" w:hAnsi="仿宋" w:eastAsia="仿宋"/>
          <w:b/>
          <w:sz w:val="28"/>
          <w:szCs w:val="28"/>
        </w:rPr>
      </w:pPr>
      <w:bookmarkStart w:id="25" w:name="_Toc478387746"/>
      <w:r>
        <w:rPr>
          <w:rFonts w:hint="eastAsia" w:ascii="仿宋" w:hAnsi="仿宋" w:eastAsia="仿宋"/>
          <w:b/>
          <w:sz w:val="28"/>
          <w:szCs w:val="28"/>
        </w:rPr>
        <w:t>特别说明</w:t>
      </w:r>
      <w:bookmarkEnd w:id="25"/>
    </w:p>
    <w:p>
      <w:pPr>
        <w:tabs>
          <w:tab w:val="left" w:pos="0"/>
        </w:tabs>
        <w:spacing w:line="560" w:lineRule="exact"/>
        <w:ind w:firstLine="537" w:firstLineChars="192"/>
        <w:outlineLvl w:val="1"/>
        <w:rPr>
          <w:rFonts w:ascii="仿宋" w:hAnsi="仿宋" w:eastAsia="仿宋"/>
          <w:sz w:val="28"/>
          <w:szCs w:val="28"/>
        </w:rPr>
      </w:pPr>
      <w:bookmarkStart w:id="26" w:name="_Toc478387747"/>
      <w:r>
        <w:rPr>
          <w:rFonts w:hint="eastAsia" w:ascii="仿宋" w:hAnsi="仿宋" w:eastAsia="仿宋"/>
          <w:sz w:val="28"/>
          <w:szCs w:val="28"/>
        </w:rPr>
        <w:t>本通知书上载明的内容如有变动，以采购人公告或通知为准。</w:t>
      </w:r>
      <w:bookmarkEnd w:id="26"/>
    </w:p>
    <w:p>
      <w:pPr>
        <w:numPr>
          <w:ilvl w:val="0"/>
          <w:numId w:val="1"/>
        </w:numPr>
        <w:spacing w:line="560" w:lineRule="exact"/>
        <w:outlineLvl w:val="1"/>
        <w:rPr>
          <w:rFonts w:ascii="仿宋" w:hAnsi="仿宋" w:eastAsia="仿宋"/>
          <w:b/>
          <w:sz w:val="28"/>
          <w:szCs w:val="28"/>
        </w:rPr>
      </w:pPr>
      <w:bookmarkStart w:id="27" w:name="_Toc478387748"/>
      <w:r>
        <w:rPr>
          <w:rFonts w:hint="eastAsia" w:ascii="仿宋" w:hAnsi="仿宋" w:eastAsia="仿宋"/>
          <w:b/>
          <w:sz w:val="28"/>
          <w:szCs w:val="28"/>
        </w:rPr>
        <w:t>项目要求及数量</w:t>
      </w:r>
      <w:bookmarkEnd w:id="27"/>
    </w:p>
    <w:tbl>
      <w:tblPr>
        <w:tblStyle w:val="22"/>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sz w:val="28"/>
                <w:szCs w:val="28"/>
              </w:rPr>
            </w:pPr>
            <w:r>
              <w:rPr>
                <w:rFonts w:hint="eastAsia" w:ascii="仿宋" w:hAnsi="仿宋" w:eastAsia="仿宋"/>
                <w:b/>
                <w:sz w:val="28"/>
                <w:szCs w:val="28"/>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spacing w:line="400" w:lineRule="exact"/>
              <w:ind w:left="1386" w:leftChars="660" w:firstLine="1515" w:firstLineChars="539"/>
              <w:rPr>
                <w:rFonts w:ascii="仿宋" w:hAnsi="仿宋" w:eastAsia="仿宋"/>
                <w:b/>
                <w:sz w:val="28"/>
                <w:szCs w:val="28"/>
              </w:rPr>
            </w:pPr>
            <w:r>
              <w:rPr>
                <w:rFonts w:hint="eastAsia" w:ascii="仿宋" w:hAnsi="仿宋" w:eastAsia="仿宋"/>
                <w:b/>
                <w:sz w:val="28"/>
                <w:szCs w:val="28"/>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ascii="仿宋" w:hAnsi="仿宋" w:eastAsia="仿宋"/>
                <w:sz w:val="28"/>
                <w:szCs w:val="28"/>
              </w:rPr>
              <w:t>1</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left" w:pos="531"/>
              </w:tabs>
              <w:snapToGrid w:val="0"/>
              <w:spacing w:line="360" w:lineRule="auto"/>
              <w:ind w:left="531" w:hanging="709"/>
              <w:rPr>
                <w:rFonts w:ascii="仿宋" w:hAnsi="仿宋" w:eastAsia="仿宋"/>
                <w:sz w:val="28"/>
                <w:szCs w:val="28"/>
              </w:rPr>
            </w:pPr>
            <w:r>
              <w:rPr>
                <w:rFonts w:hint="eastAsia" w:ascii="仿宋" w:hAnsi="仿宋" w:eastAsia="仿宋"/>
                <w:sz w:val="28"/>
                <w:szCs w:val="28"/>
              </w:rPr>
              <w:t>参加单位必须为中华人民共和国境内注册且合法运作的企业，在法律和财务上独立。（参加单位须提供企业营业执照复印件复印件加盖参加单位公章。)</w:t>
            </w:r>
          </w:p>
          <w:p>
            <w:pPr>
              <w:numPr>
                <w:ilvl w:val="0"/>
                <w:numId w:val="2"/>
              </w:numPr>
              <w:tabs>
                <w:tab w:val="left" w:pos="531"/>
              </w:tabs>
              <w:snapToGrid w:val="0"/>
              <w:spacing w:line="360" w:lineRule="auto"/>
              <w:ind w:left="531" w:hanging="709"/>
              <w:rPr>
                <w:rFonts w:ascii="仿宋" w:hAnsi="仿宋" w:eastAsia="仿宋"/>
                <w:sz w:val="28"/>
                <w:szCs w:val="28"/>
              </w:rPr>
            </w:pPr>
            <w:r>
              <w:rPr>
                <w:rFonts w:hint="eastAsia" w:ascii="仿宋" w:hAnsi="仿宋" w:eastAsia="仿宋"/>
                <w:sz w:val="28"/>
                <w:szCs w:val="28"/>
              </w:rPr>
              <w:t>参加单位须提供国家企业信用信息公示系统（http://www.gsxt.gov.cn/）公示的企业信息打印件并加盖参加单位公章。企业公示信息应含注册资金及经营范围信息，且无未改正的经营异常信息，无严重违法失信记录。</w:t>
            </w:r>
          </w:p>
          <w:p>
            <w:pPr>
              <w:numPr>
                <w:ilvl w:val="0"/>
                <w:numId w:val="2"/>
              </w:numPr>
              <w:tabs>
                <w:tab w:val="left" w:pos="531"/>
              </w:tabs>
              <w:snapToGrid w:val="0"/>
              <w:spacing w:line="360" w:lineRule="auto"/>
              <w:ind w:left="531" w:hanging="709"/>
              <w:rPr>
                <w:rFonts w:ascii="仿宋" w:hAnsi="仿宋" w:eastAsia="仿宋"/>
                <w:sz w:val="28"/>
                <w:szCs w:val="28"/>
              </w:rPr>
            </w:pPr>
            <w:r>
              <w:rPr>
                <w:rFonts w:hint="eastAsia" w:ascii="仿宋" w:hAnsi="仿宋" w:eastAsia="仿宋"/>
                <w:sz w:val="28"/>
                <w:szCs w:val="28"/>
              </w:rPr>
              <w:t>参加单位必须具备建设行政主管部门核发的工程造价咨询资质甲级资质（参加单位必须提供上述资质证明的复印件加盖公章）。</w:t>
            </w:r>
          </w:p>
          <w:p>
            <w:pPr>
              <w:numPr>
                <w:ilvl w:val="0"/>
                <w:numId w:val="2"/>
              </w:numPr>
              <w:tabs>
                <w:tab w:val="left" w:pos="531"/>
              </w:tabs>
              <w:snapToGrid w:val="0"/>
              <w:spacing w:line="360" w:lineRule="auto"/>
              <w:ind w:left="531" w:hanging="709"/>
              <w:rPr>
                <w:rFonts w:ascii="仿宋" w:hAnsi="仿宋" w:eastAsia="仿宋"/>
                <w:sz w:val="28"/>
                <w:szCs w:val="28"/>
              </w:rPr>
            </w:pPr>
            <w:r>
              <w:rPr>
                <w:rFonts w:hint="eastAsia" w:ascii="仿宋" w:hAnsi="仿宋" w:eastAsia="仿宋"/>
                <w:sz w:val="28"/>
                <w:szCs w:val="28"/>
              </w:rPr>
              <w:t>参加单位近两年有类似造价咨询项目，并提交项目实施案例证明（包含每个阶段如预算、结算等），不少于3份，提供合同关键页复印件或编制（审核）的预（结）算书封面（封面必须包含建设单位名称、工程名称、工程造价、编制人或审核人签章和证书号、公司签章等），或相应的审计部门预（结）算审定（或备案</w:t>
            </w:r>
            <w:r>
              <w:rPr>
                <w:rFonts w:ascii="仿宋" w:hAnsi="仿宋" w:eastAsia="仿宋"/>
                <w:sz w:val="28"/>
                <w:szCs w:val="28"/>
              </w:rPr>
              <w:t>）</w:t>
            </w:r>
            <w:r>
              <w:rPr>
                <w:rFonts w:hint="eastAsia" w:ascii="仿宋" w:hAnsi="仿宋" w:eastAsia="仿宋"/>
                <w:sz w:val="28"/>
                <w:szCs w:val="28"/>
              </w:rPr>
              <w:t>资料</w:t>
            </w:r>
            <w:r>
              <w:rPr>
                <w:rFonts w:ascii="仿宋" w:hAnsi="仿宋" w:eastAsia="仿宋"/>
                <w:sz w:val="28"/>
                <w:szCs w:val="28"/>
              </w:rPr>
              <w:t>/建设单位的造价审核证明资料</w:t>
            </w:r>
            <w:r>
              <w:rPr>
                <w:rFonts w:hint="eastAsia" w:ascii="仿宋" w:hAnsi="仿宋" w:eastAsia="仿宋"/>
                <w:sz w:val="28"/>
                <w:szCs w:val="28"/>
              </w:rPr>
              <w:t>，以上证明资料加盖参加单位公章）</w:t>
            </w:r>
          </w:p>
          <w:p>
            <w:pPr>
              <w:numPr>
                <w:ilvl w:val="0"/>
                <w:numId w:val="2"/>
              </w:numPr>
              <w:tabs>
                <w:tab w:val="left" w:pos="531"/>
              </w:tabs>
              <w:snapToGrid w:val="0"/>
              <w:spacing w:line="360" w:lineRule="auto"/>
              <w:ind w:left="531" w:hanging="709"/>
              <w:rPr>
                <w:rFonts w:ascii="仿宋" w:hAnsi="仿宋" w:eastAsia="仿宋"/>
                <w:sz w:val="28"/>
                <w:szCs w:val="28"/>
              </w:rPr>
            </w:pPr>
            <w:bookmarkStart w:id="28" w:name="OLE_LINK4"/>
            <w:bookmarkStart w:id="29" w:name="OLE_LINK3"/>
            <w:r>
              <w:rPr>
                <w:rFonts w:hint="eastAsia" w:ascii="仿宋" w:hAnsi="仿宋" w:eastAsia="仿宋"/>
                <w:sz w:val="28"/>
                <w:szCs w:val="28"/>
              </w:rPr>
              <w:t>参加谈判的代表必须是单位的法定代表人或持有法定代表人亲自签署的法人授权委托证明书的该单位员工。（提供法定代表人证明书、法人授权委托证明书，如单位法定代表人为本项目授权代表，则仅提供法定代表人证明书及身份证复印件，各证明书须加盖公章，身份证原件备查）。</w:t>
            </w:r>
            <w:bookmarkEnd w:id="28"/>
            <w:bookmarkEnd w:id="29"/>
          </w:p>
          <w:p>
            <w:pPr>
              <w:numPr>
                <w:ilvl w:val="0"/>
                <w:numId w:val="2"/>
              </w:numPr>
              <w:tabs>
                <w:tab w:val="left" w:pos="531"/>
              </w:tabs>
              <w:snapToGrid w:val="0"/>
              <w:spacing w:line="360" w:lineRule="auto"/>
              <w:ind w:left="531" w:hanging="709"/>
              <w:rPr>
                <w:rFonts w:ascii="仿宋" w:hAnsi="仿宋" w:eastAsia="仿宋"/>
                <w:sz w:val="28"/>
                <w:szCs w:val="28"/>
              </w:rPr>
            </w:pPr>
            <w:r>
              <w:rPr>
                <w:rFonts w:hint="eastAsia" w:ascii="仿宋" w:hAnsi="仿宋" w:eastAsia="仿宋"/>
                <w:sz w:val="28"/>
                <w:szCs w:val="28"/>
              </w:rPr>
              <w:t>本项目不接受联合体投标。</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ascii="仿宋" w:hAnsi="仿宋" w:eastAsia="仿宋"/>
                <w:sz w:val="28"/>
                <w:szCs w:val="28"/>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9"/>
              <w:keepNext w:val="0"/>
              <w:adjustRightInd/>
              <w:spacing w:before="0" w:after="0" w:line="360" w:lineRule="auto"/>
              <w:rPr>
                <w:rFonts w:ascii="仿宋" w:hAnsi="仿宋" w:eastAsia="仿宋"/>
                <w:snapToGrid/>
                <w:spacing w:val="0"/>
                <w:kern w:val="2"/>
                <w:sz w:val="28"/>
                <w:szCs w:val="28"/>
              </w:rPr>
            </w:pPr>
            <w:r>
              <w:rPr>
                <w:rFonts w:ascii="仿宋" w:hAnsi="仿宋" w:eastAsia="仿宋"/>
                <w:snapToGrid/>
                <w:spacing w:val="0"/>
                <w:kern w:val="2"/>
                <w:sz w:val="28"/>
                <w:szCs w:val="28"/>
              </w:rPr>
              <w:t>2</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3"/>
              </w:numPr>
              <w:tabs>
                <w:tab w:val="left" w:pos="531"/>
              </w:tabs>
              <w:snapToGrid w:val="0"/>
              <w:spacing w:line="360" w:lineRule="auto"/>
              <w:ind w:left="531" w:hanging="709"/>
              <w:rPr>
                <w:rFonts w:ascii="仿宋" w:hAnsi="仿宋" w:eastAsia="仿宋"/>
                <w:sz w:val="28"/>
                <w:szCs w:val="28"/>
              </w:rPr>
            </w:pPr>
            <w:r>
              <w:rPr>
                <w:rFonts w:hint="eastAsia" w:ascii="仿宋" w:hAnsi="仿宋" w:eastAsia="仿宋"/>
                <w:sz w:val="28"/>
                <w:szCs w:val="28"/>
              </w:rPr>
              <w:t>本项目报价以人民币为结算币种，报价包含造价咨询项目人员工资、差旅费、交通费、加班费、保险费、办公费、管理费、不可预见费及利润、税金等本项目造价咨询工作相关的一切费用。如果参加单位在投标时未在报价表中列出，但造价咨询过程中又必须发生费用项目，采购人有权认为，此部分所产生的费用已经综合在投标费率中，参加单位不得以任何理由提出索赔或增加费用项目。</w:t>
            </w:r>
          </w:p>
          <w:p>
            <w:pPr>
              <w:numPr>
                <w:ilvl w:val="0"/>
                <w:numId w:val="3"/>
              </w:numPr>
              <w:tabs>
                <w:tab w:val="left" w:pos="531"/>
              </w:tabs>
              <w:snapToGrid w:val="0"/>
              <w:spacing w:line="360" w:lineRule="auto"/>
              <w:ind w:left="531" w:hanging="709"/>
              <w:rPr>
                <w:rFonts w:ascii="仿宋" w:hAnsi="仿宋" w:eastAsia="仿宋"/>
                <w:sz w:val="28"/>
                <w:szCs w:val="28"/>
                <w:highlight w:val="none"/>
              </w:rPr>
            </w:pPr>
            <w:r>
              <w:rPr>
                <w:rFonts w:hint="eastAsia" w:ascii="仿宋" w:hAnsi="仿宋" w:eastAsia="仿宋" w:cs="Times New Roman"/>
                <w:bCs w:val="0"/>
                <w:sz w:val="28"/>
                <w:szCs w:val="28"/>
                <w:highlight w:val="none"/>
                <w:lang w:eastAsia="zh-CN"/>
              </w:rPr>
              <w:t>参加</w:t>
            </w:r>
            <w:r>
              <w:rPr>
                <w:rFonts w:hint="eastAsia" w:ascii="仿宋" w:hAnsi="仿宋" w:eastAsia="仿宋" w:cs="Times New Roman"/>
                <w:bCs w:val="0"/>
                <w:sz w:val="28"/>
                <w:szCs w:val="28"/>
                <w:highlight w:val="none"/>
              </w:rPr>
              <w:t>单位应</w:t>
            </w:r>
            <w:r>
              <w:rPr>
                <w:rFonts w:ascii="仿宋" w:hAnsi="仿宋" w:eastAsia="仿宋"/>
                <w:sz w:val="28"/>
                <w:szCs w:val="28"/>
                <w:highlight w:val="none"/>
              </w:rPr>
              <w:t>根据粤价函</w:t>
            </w:r>
            <w:r>
              <w:rPr>
                <w:rFonts w:hint="eastAsia" w:ascii="仿宋" w:hAnsi="仿宋" w:eastAsia="仿宋"/>
                <w:sz w:val="28"/>
                <w:szCs w:val="28"/>
                <w:highlight w:val="none"/>
              </w:rPr>
              <w:t>【</w:t>
            </w:r>
            <w:r>
              <w:rPr>
                <w:rFonts w:ascii="仿宋" w:hAnsi="仿宋" w:eastAsia="仿宋"/>
                <w:sz w:val="28"/>
                <w:szCs w:val="28"/>
                <w:highlight w:val="none"/>
              </w:rPr>
              <w:t>2011】742号</w:t>
            </w:r>
            <w:r>
              <w:rPr>
                <w:rFonts w:hint="eastAsia" w:ascii="仿宋" w:hAnsi="仿宋" w:eastAsia="仿宋"/>
                <w:sz w:val="28"/>
                <w:szCs w:val="28"/>
                <w:highlight w:val="none"/>
              </w:rPr>
              <w:t>《广东省建设工程造价咨询服务收费项目和收费标准表》，对</w:t>
            </w:r>
            <w:r>
              <w:rPr>
                <w:rFonts w:ascii="仿宋" w:hAnsi="仿宋" w:eastAsia="仿宋"/>
                <w:sz w:val="28"/>
                <w:szCs w:val="28"/>
                <w:highlight w:val="none"/>
              </w:rPr>
              <w:t>工程概算编制或审核，工程预算编制或审核</w:t>
            </w:r>
            <w:r>
              <w:rPr>
                <w:rFonts w:hint="eastAsia" w:ascii="仿宋" w:hAnsi="仿宋" w:eastAsia="仿宋"/>
                <w:sz w:val="28"/>
                <w:szCs w:val="28"/>
                <w:highlight w:val="none"/>
              </w:rPr>
              <w:t>，工程结算编制、工程结算审核等，按标准收费</w:t>
            </w:r>
            <w:r>
              <w:rPr>
                <w:rFonts w:hint="eastAsia" w:ascii="仿宋" w:hAnsi="仿宋" w:eastAsia="仿宋"/>
                <w:sz w:val="28"/>
                <w:szCs w:val="28"/>
                <w:highlight w:val="none"/>
                <w:lang w:eastAsia="zh-CN"/>
              </w:rPr>
              <w:t>费率</w:t>
            </w:r>
            <w:r>
              <w:rPr>
                <w:rFonts w:hint="eastAsia" w:ascii="仿宋" w:hAnsi="仿宋" w:eastAsia="仿宋"/>
                <w:sz w:val="28"/>
                <w:szCs w:val="28"/>
                <w:highlight w:val="none"/>
              </w:rPr>
              <w:t>的</w:t>
            </w:r>
            <w:r>
              <w:rPr>
                <w:rFonts w:hint="eastAsia" w:ascii="仿宋" w:hAnsi="仿宋" w:eastAsia="仿宋"/>
                <w:sz w:val="28"/>
                <w:szCs w:val="28"/>
                <w:highlight w:val="none"/>
                <w:lang w:eastAsia="zh-CN"/>
              </w:rPr>
              <w:t>折</w:t>
            </w:r>
            <w:r>
              <w:rPr>
                <w:rFonts w:hint="eastAsia" w:ascii="仿宋" w:hAnsi="仿宋" w:eastAsia="仿宋"/>
                <w:sz w:val="28"/>
                <w:szCs w:val="28"/>
                <w:highlight w:val="none"/>
              </w:rPr>
              <w:t>减率进行</w:t>
            </w:r>
            <w:r>
              <w:rPr>
                <w:rFonts w:hint="eastAsia" w:ascii="仿宋" w:hAnsi="仿宋" w:eastAsia="仿宋"/>
                <w:sz w:val="28"/>
                <w:szCs w:val="28"/>
                <w:highlight w:val="none"/>
                <w:lang w:eastAsia="zh-CN"/>
              </w:rPr>
              <w:t>统一</w:t>
            </w:r>
            <w:r>
              <w:rPr>
                <w:rFonts w:hint="eastAsia" w:ascii="仿宋" w:hAnsi="仿宋" w:eastAsia="仿宋"/>
                <w:sz w:val="28"/>
                <w:szCs w:val="28"/>
                <w:highlight w:val="none"/>
              </w:rPr>
              <w:t>报价。</w:t>
            </w:r>
          </w:p>
          <w:p>
            <w:pPr>
              <w:numPr>
                <w:ilvl w:val="0"/>
                <w:numId w:val="3"/>
              </w:numPr>
              <w:tabs>
                <w:tab w:val="left" w:pos="531"/>
              </w:tabs>
              <w:snapToGrid w:val="0"/>
              <w:spacing w:line="360" w:lineRule="auto"/>
              <w:ind w:left="531" w:hanging="709"/>
              <w:rPr>
                <w:rFonts w:ascii="仿宋" w:hAnsi="仿宋" w:eastAsia="仿宋"/>
                <w:sz w:val="28"/>
                <w:szCs w:val="28"/>
              </w:rPr>
            </w:pPr>
            <w:r>
              <w:rPr>
                <w:rFonts w:hint="eastAsia" w:ascii="仿宋" w:hAnsi="仿宋" w:eastAsia="仿宋"/>
                <w:sz w:val="28"/>
                <w:szCs w:val="28"/>
              </w:rPr>
              <w:t>工程外其它类采购项目造价取费报价，参照以上工程类。</w:t>
            </w:r>
          </w:p>
          <w:p>
            <w:pPr>
              <w:numPr>
                <w:ilvl w:val="0"/>
                <w:numId w:val="3"/>
              </w:numPr>
              <w:tabs>
                <w:tab w:val="left" w:pos="531"/>
              </w:tabs>
              <w:snapToGrid w:val="0"/>
              <w:spacing w:line="360" w:lineRule="auto"/>
              <w:ind w:left="531" w:hanging="709"/>
              <w:rPr>
                <w:rFonts w:ascii="仿宋" w:hAnsi="仿宋" w:eastAsia="仿宋"/>
                <w:sz w:val="28"/>
                <w:szCs w:val="28"/>
              </w:rPr>
            </w:pPr>
            <w:r>
              <w:rPr>
                <w:rFonts w:hint="eastAsia" w:ascii="仿宋" w:hAnsi="仿宋" w:eastAsia="仿宋"/>
                <w:sz w:val="28"/>
                <w:szCs w:val="28"/>
              </w:rPr>
              <w:t>本次竞谈的费用由参评单位自理。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仿宋" w:hAnsi="仿宋" w:eastAsia="仿宋"/>
                <w:b/>
                <w:bCs/>
                <w:sz w:val="28"/>
                <w:szCs w:val="28"/>
              </w:rPr>
            </w:pPr>
            <w:r>
              <w:rPr>
                <w:rFonts w:ascii="仿宋" w:hAnsi="仿宋" w:eastAsia="仿宋"/>
                <w:sz w:val="28"/>
                <w:szCs w:val="28"/>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9"/>
              <w:keepNext w:val="0"/>
              <w:adjustRightInd/>
              <w:spacing w:before="0" w:after="0" w:line="360" w:lineRule="auto"/>
              <w:rPr>
                <w:rFonts w:ascii="仿宋" w:hAnsi="仿宋" w:eastAsia="仿宋"/>
                <w:snapToGrid/>
                <w:spacing w:val="0"/>
                <w:kern w:val="2"/>
                <w:sz w:val="28"/>
                <w:szCs w:val="28"/>
              </w:rPr>
            </w:pPr>
            <w:r>
              <w:rPr>
                <w:rFonts w:ascii="仿宋" w:hAnsi="仿宋" w:eastAsia="仿宋"/>
                <w:snapToGrid/>
                <w:spacing w:val="0"/>
                <w:kern w:val="2"/>
                <w:sz w:val="28"/>
                <w:szCs w:val="28"/>
              </w:rPr>
              <w:t>3</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672"/>
              </w:tabs>
              <w:snapToGrid w:val="0"/>
              <w:spacing w:line="360" w:lineRule="auto"/>
              <w:rPr>
                <w:rFonts w:ascii="仿宋" w:hAnsi="仿宋" w:eastAsia="仿宋"/>
                <w:sz w:val="28"/>
                <w:szCs w:val="28"/>
              </w:rPr>
            </w:pPr>
            <w:r>
              <w:rPr>
                <w:rFonts w:hint="eastAsia" w:ascii="仿宋" w:hAnsi="仿宋" w:eastAsia="仿宋"/>
                <w:sz w:val="28"/>
                <w:szCs w:val="28"/>
              </w:rPr>
              <w:t>报价费率最高不得超</w:t>
            </w:r>
            <w:r>
              <w:rPr>
                <w:rFonts w:hint="eastAsia" w:ascii="仿宋" w:hAnsi="仿宋" w:eastAsia="仿宋"/>
                <w:sz w:val="28"/>
                <w:szCs w:val="28"/>
                <w:highlight w:val="none"/>
              </w:rPr>
              <w:t>过标准费率的八折。</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仿宋" w:hAnsi="仿宋" w:eastAsia="仿宋"/>
                <w:b/>
                <w:bCs/>
                <w:sz w:val="28"/>
                <w:szCs w:val="28"/>
              </w:rPr>
            </w:pPr>
            <w:r>
              <w:rPr>
                <w:rFonts w:ascii="仿宋" w:hAnsi="仿宋" w:eastAsia="仿宋"/>
                <w:sz w:val="28"/>
                <w:szCs w:val="28"/>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9"/>
              <w:keepNext w:val="0"/>
              <w:adjustRightInd/>
              <w:spacing w:before="0" w:after="0" w:line="360" w:lineRule="auto"/>
              <w:rPr>
                <w:rFonts w:ascii="仿宋" w:hAnsi="仿宋" w:eastAsia="仿宋"/>
                <w:snapToGrid/>
                <w:spacing w:val="0"/>
                <w:kern w:val="2"/>
                <w:sz w:val="28"/>
                <w:szCs w:val="28"/>
              </w:rPr>
            </w:pPr>
            <w:r>
              <w:rPr>
                <w:rFonts w:ascii="仿宋" w:hAnsi="仿宋" w:eastAsia="仿宋"/>
                <w:snapToGrid/>
                <w:spacing w:val="0"/>
                <w:kern w:val="2"/>
                <w:sz w:val="28"/>
                <w:szCs w:val="28"/>
              </w:rPr>
              <w:t>4</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付款方式及项目服务金额</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4"/>
              </w:numPr>
              <w:tabs>
                <w:tab w:val="left" w:pos="531"/>
              </w:tabs>
              <w:snapToGrid w:val="0"/>
              <w:spacing w:line="360" w:lineRule="auto"/>
              <w:ind w:left="531" w:hanging="709"/>
              <w:rPr>
                <w:rFonts w:ascii="仿宋" w:hAnsi="仿宋" w:eastAsia="仿宋"/>
                <w:sz w:val="28"/>
                <w:szCs w:val="28"/>
              </w:rPr>
            </w:pPr>
            <w:r>
              <w:rPr>
                <w:rFonts w:hint="eastAsia" w:ascii="仿宋" w:hAnsi="仿宋" w:eastAsia="仿宋"/>
                <w:sz w:val="28"/>
                <w:szCs w:val="28"/>
              </w:rPr>
              <w:t>预算咨询服务酬金支付：咨询服务酬金大于3万元，出具造价报告后30个工作日内一次性支付；若咨询服务酬金小于3万元（含），则按半年一次累计支付。</w:t>
            </w:r>
          </w:p>
          <w:p>
            <w:pPr>
              <w:numPr>
                <w:ilvl w:val="0"/>
                <w:numId w:val="4"/>
              </w:numPr>
              <w:tabs>
                <w:tab w:val="left" w:pos="531"/>
              </w:tabs>
              <w:snapToGrid w:val="0"/>
              <w:spacing w:line="360" w:lineRule="auto"/>
              <w:ind w:left="531" w:hanging="709"/>
              <w:rPr>
                <w:rFonts w:ascii="仿宋" w:hAnsi="仿宋" w:eastAsia="仿宋"/>
                <w:sz w:val="28"/>
                <w:szCs w:val="28"/>
              </w:rPr>
            </w:pPr>
            <w:r>
              <w:rPr>
                <w:rFonts w:hint="eastAsia" w:ascii="仿宋" w:hAnsi="仿宋" w:eastAsia="仿宋"/>
                <w:sz w:val="28"/>
                <w:szCs w:val="28"/>
              </w:rPr>
              <w:t>结算审核咨询服务酬金：咨询服务酬金大于3万元，则结算工作全部完成后30个工作日内支付全部咨询费用，若咨询服务酬金小于3万元（含），则按半年一次累计支付。</w:t>
            </w:r>
          </w:p>
          <w:p>
            <w:pPr>
              <w:numPr>
                <w:ilvl w:val="-1"/>
                <w:numId w:val="0"/>
              </w:numPr>
              <w:tabs>
                <w:tab w:val="left" w:pos="531"/>
              </w:tabs>
              <w:snapToGrid w:val="0"/>
              <w:spacing w:line="360" w:lineRule="auto"/>
              <w:ind w:left="518" w:leftChars="0" w:hanging="518" w:hangingChars="185"/>
              <w:rPr>
                <w:highlight w:val="none"/>
              </w:rPr>
            </w:pP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lang w:eastAsia="zh-CN"/>
              </w:rPr>
              <w:t>）</w:t>
            </w:r>
            <w:r>
              <w:rPr>
                <w:rFonts w:hint="eastAsia" w:ascii="仿宋" w:hAnsi="仿宋" w:eastAsia="仿宋"/>
                <w:sz w:val="28"/>
                <w:szCs w:val="28"/>
                <w:highlight w:val="none"/>
              </w:rPr>
              <w:t>全年实际服务需求最终以双方签字确认的“深圳会展中心＿＿年度造价咨询服务项目一览表”为准</w:t>
            </w:r>
          </w:p>
          <w:p>
            <w:pPr>
              <w:numPr>
                <w:ilvl w:val="-1"/>
                <w:numId w:val="0"/>
              </w:numPr>
              <w:tabs>
                <w:tab w:val="left" w:pos="531"/>
              </w:tabs>
              <w:snapToGrid w:val="0"/>
              <w:spacing w:line="360" w:lineRule="auto"/>
              <w:ind w:left="518" w:leftChars="0" w:hanging="518" w:hangingChars="185"/>
            </w:pP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hint="eastAsia" w:ascii="仿宋" w:hAnsi="仿宋" w:eastAsia="仿宋"/>
                <w:sz w:val="28"/>
                <w:szCs w:val="28"/>
              </w:rPr>
              <w:t>有关合同价格详细事宜以合同条款为准。</w:t>
            </w:r>
          </w:p>
          <w:p>
            <w:pPr>
              <w:numPr>
                <w:ilvl w:val="-1"/>
                <w:numId w:val="0"/>
              </w:numPr>
              <w:tabs>
                <w:tab w:val="left" w:pos="531"/>
              </w:tabs>
              <w:snapToGrid w:val="0"/>
              <w:spacing w:line="360" w:lineRule="auto"/>
              <w:ind w:left="518" w:leftChars="0" w:hanging="518" w:hangingChars="185"/>
            </w:pPr>
            <w:r>
              <w:rPr>
                <w:rFonts w:hint="eastAsia" w:ascii="仿宋" w:hAnsi="仿宋" w:eastAsia="仿宋"/>
                <w:sz w:val="28"/>
                <w:szCs w:val="28"/>
                <w:lang w:eastAsia="zh-CN"/>
              </w:rPr>
              <w:t>（</w:t>
            </w:r>
            <w:r>
              <w:rPr>
                <w:rFonts w:hint="eastAsia" w:ascii="仿宋" w:hAnsi="仿宋" w:eastAsia="仿宋"/>
                <w:sz w:val="28"/>
                <w:szCs w:val="28"/>
                <w:lang w:val="en-US" w:eastAsia="zh-CN"/>
              </w:rPr>
              <w:t>5</w:t>
            </w:r>
            <w:r>
              <w:rPr>
                <w:rFonts w:hint="eastAsia" w:ascii="仿宋" w:hAnsi="仿宋" w:eastAsia="仿宋"/>
                <w:sz w:val="28"/>
                <w:szCs w:val="28"/>
                <w:lang w:eastAsia="zh-CN"/>
              </w:rPr>
              <w:t>）</w:t>
            </w:r>
            <w:r>
              <w:rPr>
                <w:rFonts w:hint="eastAsia" w:ascii="仿宋" w:hAnsi="仿宋" w:eastAsia="仿宋"/>
                <w:sz w:val="28"/>
                <w:szCs w:val="28"/>
              </w:rPr>
              <w:t>采购人不承诺合同期内最低服务费用。</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仿宋" w:hAnsi="仿宋" w:eastAsia="仿宋"/>
                <w:sz w:val="28"/>
                <w:szCs w:val="28"/>
              </w:rPr>
            </w:pPr>
            <w:r>
              <w:rPr>
                <w:rFonts w:hint="eastAsia" w:ascii="仿宋" w:hAnsi="仿宋" w:eastAsia="仿宋"/>
                <w:sz w:val="28"/>
                <w:szCs w:val="28"/>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9"/>
              <w:keepNext w:val="0"/>
              <w:adjustRightInd/>
              <w:spacing w:before="0" w:after="0" w:line="360" w:lineRule="auto"/>
              <w:rPr>
                <w:rFonts w:ascii="仿宋" w:hAnsi="仿宋" w:eastAsia="仿宋"/>
                <w:snapToGrid/>
                <w:spacing w:val="0"/>
                <w:kern w:val="2"/>
                <w:sz w:val="28"/>
                <w:szCs w:val="28"/>
              </w:rPr>
            </w:pPr>
            <w:r>
              <w:rPr>
                <w:rFonts w:ascii="仿宋" w:hAnsi="仿宋" w:eastAsia="仿宋"/>
                <w:snapToGrid/>
                <w:spacing w:val="0"/>
                <w:kern w:val="2"/>
                <w:sz w:val="28"/>
                <w:szCs w:val="28"/>
              </w:rPr>
              <w:t>5</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任务时限要求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672"/>
              </w:tabs>
              <w:snapToGrid w:val="0"/>
              <w:spacing w:line="360" w:lineRule="auto"/>
              <w:rPr>
                <w:rFonts w:ascii="仿宋" w:hAnsi="仿宋" w:eastAsia="仿宋"/>
                <w:sz w:val="28"/>
                <w:szCs w:val="28"/>
              </w:rPr>
            </w:pPr>
            <w:r>
              <w:rPr>
                <w:rFonts w:hint="eastAsia" w:ascii="仿宋" w:hAnsi="仿宋" w:eastAsia="仿宋"/>
                <w:sz w:val="28"/>
                <w:szCs w:val="28"/>
              </w:rPr>
              <w:t>对于工程类及货物采购类造价60万元以内（含）的项目，咨询人应在收到委托资料后5个日历天内完成，60万以上的项目应在收到委托资料后7个日历天内完成。</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仿宋" w:hAnsi="仿宋" w:eastAsia="仿宋"/>
                <w:b/>
                <w:bCs/>
                <w:sz w:val="28"/>
                <w:szCs w:val="28"/>
              </w:rPr>
            </w:pPr>
            <w:r>
              <w:rPr>
                <w:rFonts w:hint="eastAsia" w:ascii="仿宋" w:hAnsi="仿宋" w:eastAsia="仿宋"/>
                <w:sz w:val="28"/>
                <w:szCs w:val="28"/>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9"/>
              <w:keepNext w:val="0"/>
              <w:adjustRightInd/>
              <w:spacing w:before="0" w:after="0" w:line="360" w:lineRule="auto"/>
              <w:rPr>
                <w:rFonts w:ascii="仿宋" w:hAnsi="仿宋" w:eastAsia="仿宋"/>
                <w:snapToGrid/>
                <w:spacing w:val="0"/>
                <w:kern w:val="2"/>
                <w:sz w:val="28"/>
                <w:szCs w:val="28"/>
              </w:rPr>
            </w:pPr>
            <w:r>
              <w:rPr>
                <w:rFonts w:hint="eastAsia" w:ascii="仿宋" w:hAnsi="仿宋" w:eastAsia="仿宋"/>
                <w:snapToGrid/>
                <w:spacing w:val="0"/>
                <w:kern w:val="2"/>
                <w:sz w:val="28"/>
                <w:szCs w:val="28"/>
              </w:rPr>
              <w:t>6</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项目拟派人员</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0"/>
                <w:numId w:val="5"/>
              </w:numPr>
              <w:tabs>
                <w:tab w:val="left" w:pos="531"/>
              </w:tabs>
              <w:spacing w:line="360" w:lineRule="auto"/>
              <w:ind w:right="30"/>
              <w:jc w:val="left"/>
              <w:rPr>
                <w:rFonts w:ascii="仿宋" w:hAnsi="仿宋" w:eastAsia="仿宋"/>
                <w:sz w:val="28"/>
                <w:szCs w:val="28"/>
              </w:rPr>
            </w:pPr>
            <w:r>
              <w:rPr>
                <w:rFonts w:hint="eastAsia" w:ascii="仿宋" w:hAnsi="仿宋" w:eastAsia="仿宋"/>
                <w:sz w:val="28"/>
                <w:szCs w:val="28"/>
              </w:rPr>
              <w:t>参加单位须指定项目负责人，并提供该负责人姓名、电话、职务、职称或执业资格、及身份证复印件（加盖公章，原件备查）等信息，负责联络协调及跟进该项目具体实施。</w:t>
            </w:r>
          </w:p>
          <w:p>
            <w:pPr>
              <w:widowControl/>
              <w:numPr>
                <w:ilvl w:val="0"/>
                <w:numId w:val="5"/>
              </w:numPr>
              <w:tabs>
                <w:tab w:val="left" w:pos="531"/>
              </w:tabs>
              <w:spacing w:line="360" w:lineRule="auto"/>
              <w:ind w:right="30"/>
              <w:jc w:val="left"/>
              <w:rPr>
                <w:rFonts w:ascii="仿宋" w:hAnsi="仿宋" w:eastAsia="仿宋"/>
                <w:sz w:val="28"/>
                <w:szCs w:val="28"/>
              </w:rPr>
            </w:pPr>
            <w:r>
              <w:rPr>
                <w:rFonts w:hint="eastAsia" w:ascii="仿宋" w:hAnsi="仿宋" w:eastAsia="仿宋"/>
                <w:sz w:val="28"/>
                <w:szCs w:val="28"/>
                <w:highlight w:val="none"/>
              </w:rPr>
              <w:t>参加单位拟投入本项目的人员应为本单位在岗人员，必须从事建设工程造价相关工作</w:t>
            </w:r>
            <w:r>
              <w:rPr>
                <w:rFonts w:ascii="仿宋" w:hAnsi="仿宋" w:eastAsia="仿宋"/>
                <w:sz w:val="28"/>
                <w:szCs w:val="28"/>
                <w:highlight w:val="none"/>
              </w:rPr>
              <w:t>3年及以上工作经验</w:t>
            </w:r>
            <w:r>
              <w:rPr>
                <w:rFonts w:hint="eastAsia" w:ascii="仿宋" w:hAnsi="仿宋" w:eastAsia="仿宋"/>
                <w:sz w:val="28"/>
                <w:szCs w:val="28"/>
                <w:highlight w:val="none"/>
              </w:rPr>
              <w:t>，并具有相应职称或执业资格，须提</w:t>
            </w:r>
            <w:r>
              <w:rPr>
                <w:rFonts w:hint="eastAsia" w:ascii="仿宋" w:hAnsi="仿宋" w:eastAsia="仿宋"/>
                <w:sz w:val="28"/>
                <w:szCs w:val="28"/>
              </w:rPr>
              <w:t>供</w:t>
            </w:r>
            <w:r>
              <w:rPr>
                <w:rFonts w:hint="eastAsia" w:ascii="仿宋" w:hAnsi="仿宋" w:eastAsia="仿宋"/>
                <w:sz w:val="28"/>
                <w:szCs w:val="28"/>
                <w:lang w:val="en-US" w:eastAsia="zh-CN"/>
              </w:rPr>
              <w:t>人员简历及</w:t>
            </w:r>
            <w:r>
              <w:rPr>
                <w:rFonts w:hint="eastAsia" w:ascii="仿宋" w:hAnsi="仿宋" w:eastAsia="仿宋"/>
                <w:sz w:val="28"/>
                <w:szCs w:val="28"/>
              </w:rPr>
              <w:t>所属社保机构出具的项目负责人参加社保(在采购公告发布当日之前缴费时间连续3个月，如公告日上一个月的社保材料因社保部门原因暂时无法取得，则可以往前顺延一个月)的有效证明材料(并加盖社保机构单位章，未按要求提供或提供不清晰导致专家无法判断的，证明材料作无效处理)。</w:t>
            </w:r>
          </w:p>
        </w:tc>
        <w:tc>
          <w:tcPr>
            <w:tcW w:w="784" w:type="dxa"/>
            <w:tcBorders>
              <w:top w:val="single" w:color="auto" w:sz="4" w:space="0"/>
              <w:left w:val="single" w:color="auto" w:sz="4" w:space="0"/>
              <w:bottom w:val="single" w:color="auto" w:sz="4" w:space="0"/>
              <w:right w:val="single" w:color="auto" w:sz="4" w:space="0"/>
            </w:tcBorders>
          </w:tcPr>
          <w:p>
            <w:pPr>
              <w:spacing w:before="156" w:beforeLines="50" w:after="156" w:afterLines="50" w:line="360" w:lineRule="auto"/>
              <w:jc w:val="center"/>
              <w:rPr>
                <w:rFonts w:ascii="仿宋" w:hAnsi="仿宋" w:eastAsia="仿宋"/>
                <w:b/>
                <w:bCs/>
                <w:sz w:val="28"/>
                <w:szCs w:val="28"/>
              </w:rPr>
            </w:pPr>
            <w:r>
              <w:rPr>
                <w:rFonts w:hint="eastAsia" w:ascii="仿宋" w:hAnsi="仿宋" w:eastAsia="仿宋"/>
                <w:sz w:val="28"/>
                <w:szCs w:val="28"/>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0" w:author="susan" w:date="2020-04-11T21:46:00Z"/>
        </w:trPr>
        <w:tc>
          <w:tcPr>
            <w:tcW w:w="709" w:type="dxa"/>
            <w:tcBorders>
              <w:top w:val="single" w:color="auto" w:sz="4" w:space="0"/>
              <w:left w:val="single" w:color="auto" w:sz="4" w:space="0"/>
              <w:bottom w:val="single" w:color="auto" w:sz="4" w:space="0"/>
              <w:right w:val="single" w:color="auto" w:sz="4" w:space="0"/>
            </w:tcBorders>
            <w:vAlign w:val="center"/>
          </w:tcPr>
          <w:p>
            <w:pPr>
              <w:pStyle w:val="39"/>
              <w:keepNext w:val="0"/>
              <w:adjustRightInd/>
              <w:spacing w:before="0" w:after="0" w:line="360" w:lineRule="auto"/>
              <w:rPr>
                <w:rFonts w:ascii="仿宋" w:hAnsi="仿宋" w:eastAsia="仿宋"/>
                <w:snapToGrid/>
                <w:color w:val="auto"/>
                <w:spacing w:val="0"/>
                <w:kern w:val="2"/>
                <w:sz w:val="28"/>
                <w:szCs w:val="28"/>
              </w:rPr>
            </w:pPr>
            <w:r>
              <w:rPr>
                <w:rFonts w:hint="eastAsia" w:ascii="仿宋" w:hAnsi="仿宋" w:eastAsia="仿宋"/>
                <w:snapToGrid/>
                <w:color w:val="auto"/>
                <w:spacing w:val="0"/>
                <w:kern w:val="2"/>
                <w:sz w:val="28"/>
                <w:szCs w:val="28"/>
              </w:rPr>
              <w:t>7</w:t>
            </w:r>
          </w:p>
        </w:tc>
        <w:tc>
          <w:tcPr>
            <w:tcW w:w="1341" w:type="dxa"/>
            <w:tcBorders>
              <w:top w:val="single" w:color="auto" w:sz="4" w:space="0"/>
              <w:left w:val="single" w:color="auto" w:sz="4" w:space="0"/>
              <w:bottom w:val="single" w:color="auto" w:sz="4" w:space="0"/>
              <w:right w:val="single" w:color="auto" w:sz="4" w:space="0"/>
            </w:tcBorders>
            <w:vAlign w:val="center"/>
          </w:tcPr>
          <w:p>
            <w:pPr>
              <w:numPr>
                <w:ilvl w:val="255"/>
                <w:numId w:val="0"/>
              </w:numPr>
              <w:adjustRightInd w:val="0"/>
              <w:snapToGrid w:val="0"/>
              <w:spacing w:line="360" w:lineRule="auto"/>
              <w:rPr>
                <w:rFonts w:ascii="仿宋" w:hAnsi="仿宋" w:eastAsia="仿宋"/>
                <w:color w:val="auto"/>
                <w:sz w:val="28"/>
                <w:szCs w:val="28"/>
              </w:rPr>
            </w:pPr>
            <w:r>
              <w:rPr>
                <w:rFonts w:hint="eastAsia" w:ascii="仿宋" w:hAnsi="仿宋" w:eastAsia="仿宋"/>
                <w:color w:val="auto"/>
                <w:sz w:val="28"/>
                <w:szCs w:val="28"/>
              </w:rPr>
              <w:t>合同签订说明</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0"/>
                <w:numId w:val="6"/>
              </w:numPr>
              <w:tabs>
                <w:tab w:val="left" w:pos="531"/>
              </w:tabs>
              <w:spacing w:line="360" w:lineRule="auto"/>
              <w:ind w:right="30"/>
              <w:jc w:val="left"/>
              <w:rPr>
                <w:rFonts w:ascii="仿宋" w:hAnsi="仿宋" w:eastAsia="仿宋"/>
                <w:color w:val="auto"/>
                <w:sz w:val="28"/>
                <w:szCs w:val="28"/>
              </w:rPr>
            </w:pPr>
            <w:r>
              <w:rPr>
                <w:rFonts w:hint="eastAsia" w:ascii="仿宋" w:hAnsi="仿宋" w:eastAsia="仿宋"/>
                <w:color w:val="auto"/>
                <w:sz w:val="28"/>
                <w:szCs w:val="28"/>
              </w:rPr>
              <w:t>本项目服务时间3年，采取“1＋1＋1”的方式。</w:t>
            </w:r>
          </w:p>
          <w:p>
            <w:pPr>
              <w:widowControl/>
              <w:numPr>
                <w:ilvl w:val="0"/>
                <w:numId w:val="6"/>
              </w:numPr>
              <w:tabs>
                <w:tab w:val="left" w:pos="531"/>
              </w:tabs>
              <w:spacing w:line="360" w:lineRule="auto"/>
              <w:ind w:right="30"/>
              <w:jc w:val="left"/>
              <w:rPr>
                <w:rFonts w:ascii="仿宋" w:hAnsi="仿宋" w:eastAsia="仿宋"/>
                <w:color w:val="auto"/>
                <w:sz w:val="28"/>
                <w:szCs w:val="28"/>
              </w:rPr>
            </w:pPr>
            <w:r>
              <w:rPr>
                <w:rFonts w:hint="eastAsia" w:ascii="仿宋" w:hAnsi="仿宋" w:eastAsia="仿宋"/>
                <w:color w:val="auto"/>
                <w:sz w:val="28"/>
                <w:szCs w:val="28"/>
              </w:rPr>
              <w:t>考核办法：在第一年度服务期满前</w:t>
            </w:r>
            <w:r>
              <w:rPr>
                <w:rFonts w:hint="eastAsia" w:ascii="仿宋" w:hAnsi="仿宋" w:eastAsia="仿宋"/>
                <w:color w:val="FF0000"/>
                <w:sz w:val="28"/>
                <w:szCs w:val="28"/>
                <w:lang w:val="en-US" w:eastAsia="zh-CN"/>
              </w:rPr>
              <w:t>1</w:t>
            </w:r>
            <w:r>
              <w:rPr>
                <w:rFonts w:hint="eastAsia" w:ascii="仿宋" w:hAnsi="仿宋" w:eastAsia="仿宋"/>
                <w:color w:val="auto"/>
                <w:sz w:val="28"/>
                <w:szCs w:val="28"/>
              </w:rPr>
              <w:t>个月，采购人根据中选单位的服务质量、各项承诺兑现情况等因素进行考核评估，如考核达到优良</w:t>
            </w:r>
            <w:r>
              <w:rPr>
                <w:rFonts w:hint="eastAsia" w:ascii="仿宋" w:hAnsi="仿宋" w:eastAsia="仿宋"/>
                <w:color w:val="FF0000"/>
                <w:sz w:val="28"/>
                <w:szCs w:val="28"/>
                <w:lang w:eastAsia="zh-CN"/>
              </w:rPr>
              <w:t>（</w:t>
            </w:r>
            <w:r>
              <w:rPr>
                <w:rFonts w:hint="eastAsia" w:ascii="仿宋" w:hAnsi="仿宋" w:eastAsia="仿宋"/>
                <w:color w:val="FF0000"/>
                <w:sz w:val="28"/>
                <w:szCs w:val="28"/>
              </w:rPr>
              <w:t>≥80分</w:t>
            </w:r>
            <w:r>
              <w:rPr>
                <w:rFonts w:hint="eastAsia" w:ascii="仿宋" w:hAnsi="仿宋" w:eastAsia="仿宋"/>
                <w:color w:val="FF0000"/>
                <w:sz w:val="28"/>
                <w:szCs w:val="28"/>
                <w:lang w:eastAsia="zh-CN"/>
              </w:rPr>
              <w:t>）</w:t>
            </w:r>
            <w:r>
              <w:rPr>
                <w:rFonts w:hint="eastAsia" w:ascii="仿宋" w:hAnsi="仿宋" w:eastAsia="仿宋"/>
                <w:color w:val="auto"/>
                <w:sz w:val="28"/>
                <w:szCs w:val="28"/>
              </w:rPr>
              <w:t>，则执行第二年度合同，如考核未达到优良，采购人有权在第一年度服务期满时终止第二年度合同。依次类推，第三年度合同执行方式参考以上办法。具体考核办法详见</w:t>
            </w:r>
            <w:r>
              <w:rPr>
                <w:rFonts w:hint="eastAsia" w:ascii="仿宋" w:hAnsi="仿宋" w:eastAsia="仿宋"/>
                <w:color w:val="FF0000"/>
                <w:sz w:val="28"/>
                <w:szCs w:val="28"/>
                <w:shd w:val="clear" w:color="auto" w:fill="auto"/>
                <w:lang w:val="en-US" w:eastAsia="zh-CN"/>
              </w:rPr>
              <w:t>第十二部分《</w:t>
            </w:r>
            <w:r>
              <w:rPr>
                <w:rFonts w:hint="eastAsia" w:ascii="仿宋" w:hAnsi="仿宋" w:eastAsia="仿宋"/>
                <w:color w:val="FF0000"/>
                <w:sz w:val="28"/>
                <w:szCs w:val="28"/>
                <w:shd w:val="clear" w:color="auto" w:fill="auto"/>
              </w:rPr>
              <w:t>深圳会展中心造价咨询服务年度考评表</w:t>
            </w:r>
            <w:r>
              <w:rPr>
                <w:rFonts w:hint="eastAsia" w:ascii="仿宋" w:hAnsi="仿宋" w:eastAsia="仿宋"/>
                <w:color w:val="FF0000"/>
                <w:sz w:val="28"/>
                <w:szCs w:val="28"/>
                <w:shd w:val="clear" w:color="auto" w:fill="auto"/>
                <w:lang w:val="en-US" w:eastAsia="zh-CN"/>
              </w:rPr>
              <w:t>》</w:t>
            </w:r>
            <w:r>
              <w:rPr>
                <w:rFonts w:hint="eastAsia" w:ascii="仿宋" w:hAnsi="仿宋" w:eastAsia="仿宋"/>
                <w:color w:val="auto"/>
                <w:sz w:val="28"/>
                <w:szCs w:val="28"/>
              </w:rPr>
              <w:t>。</w:t>
            </w:r>
          </w:p>
        </w:tc>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olor w:val="auto"/>
                <w:sz w:val="28"/>
                <w:szCs w:val="28"/>
              </w:rPr>
            </w:pPr>
            <w:r>
              <w:rPr>
                <w:rFonts w:hint="eastAsia" w:ascii="宋体" w:hAnsi="宋体"/>
                <w:color w:val="auto"/>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sz w:val="28"/>
                <w:szCs w:val="28"/>
              </w:rPr>
            </w:pPr>
            <w:r>
              <w:rPr>
                <w:rFonts w:hint="eastAsia" w:ascii="仿宋" w:hAnsi="仿宋" w:eastAsia="仿宋"/>
                <w:b/>
                <w:sz w:val="28"/>
                <w:szCs w:val="28"/>
              </w:rPr>
              <w:t>（二）技术/服务需求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spacing w:line="400" w:lineRule="exact"/>
              <w:ind w:left="1386" w:leftChars="660" w:firstLine="1515" w:firstLineChars="539"/>
              <w:rPr>
                <w:rFonts w:ascii="仿宋" w:hAnsi="仿宋" w:eastAsia="仿宋"/>
                <w:b/>
                <w:sz w:val="28"/>
                <w:szCs w:val="28"/>
              </w:rPr>
            </w:pPr>
            <w:r>
              <w:rPr>
                <w:rFonts w:hint="eastAsia" w:ascii="仿宋" w:hAnsi="仿宋" w:eastAsia="仿宋"/>
                <w:b/>
                <w:sz w:val="28"/>
                <w:szCs w:val="28"/>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ascii="仿宋" w:hAnsi="仿宋" w:eastAsia="仿宋"/>
                <w:sz w:val="28"/>
                <w:szCs w:val="28"/>
              </w:rPr>
              <w:t>1</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项目要求</w:t>
            </w:r>
            <w:ins w:id="1" w:author="飞儿" w:date="2020-04-17T11:10:00Z">
              <w:r>
                <w:rPr>
                  <w:rFonts w:hint="eastAsia" w:ascii="仿宋" w:hAnsi="仿宋" w:eastAsia="仿宋"/>
                  <w:sz w:val="28"/>
                  <w:szCs w:val="28"/>
                </w:rPr>
                <w:t xml:space="preserve">    </w:t>
              </w:r>
            </w:ins>
          </w:p>
        </w:tc>
        <w:tc>
          <w:tcPr>
            <w:tcW w:w="7438" w:type="dxa"/>
            <w:tcBorders>
              <w:top w:val="single" w:color="auto" w:sz="4" w:space="0"/>
              <w:left w:val="single" w:color="auto" w:sz="4" w:space="0"/>
              <w:bottom w:val="single" w:color="auto" w:sz="4" w:space="0"/>
              <w:right w:val="single" w:color="auto" w:sz="4" w:space="0"/>
            </w:tcBorders>
            <w:vAlign w:val="center"/>
          </w:tcPr>
          <w:p>
            <w:pPr>
              <w:spacing w:after="156" w:afterLine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（1）本项目主要工作内容是根据现行相关法律、法规，执行相关价格规定、依据以及市场询价，编制</w:t>
            </w:r>
            <w:r>
              <w:rPr>
                <w:rFonts w:hint="eastAsia" w:ascii="仿宋" w:hAnsi="仿宋" w:eastAsia="仿宋"/>
                <w:color w:val="000000" w:themeColor="text1"/>
                <w:sz w:val="28"/>
                <w:szCs w:val="28"/>
                <w14:textFill>
                  <w14:solidFill>
                    <w14:schemeClr w14:val="tx1"/>
                  </w14:solidFill>
                </w14:textFill>
              </w:rPr>
              <w:t>深圳会展中心维修改造项目相关土建工程、装饰工程、安装工程及经营所需其它相关采购项目的概算、预算及结算审核，并出具相应的专业报告。</w:t>
            </w:r>
          </w:p>
          <w:p>
            <w:pPr>
              <w:spacing w:after="156" w:afterLine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（2）工程概算编制或审核：依据初步设计图纸计算或复核工程量，出具工程概算书或审核报告。</w:t>
            </w:r>
          </w:p>
          <w:p>
            <w:pPr>
              <w:spacing w:after="156" w:afterLines="50"/>
              <w:ind w:left="140" w:hanging="140" w:hanging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（3）工程预算编制：依据施工图或工程量清单，编制或审核工程量清单报价，并提供有关工程造价的信息资料，招标控制价审核与说明。</w:t>
            </w: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（4）工程结算审核：依据竣工图、签证资料，工程结算书等资料进行审核，出具工程竣工结算报告及向建设主管部门编制报送三算单。</w:t>
            </w:r>
          </w:p>
          <w:p>
            <w:pPr>
              <w:rPr>
                <w:rFonts w:ascii="仿宋" w:hAnsi="仿宋" w:eastAsia="仿宋"/>
                <w:color w:val="000000" w:themeColor="text1"/>
                <w:sz w:val="28"/>
                <w:szCs w:val="28"/>
                <w:highlight w:val="yellow"/>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（5）通过执行相关价格规定、依据以及市场询价，对深圳会展中心经营所需其它类（工程外）采购项目进行造价编制（含概算、预算、结算等编制或审核）。</w:t>
            </w:r>
          </w:p>
          <w:p>
            <w:pPr>
              <w:spacing w:line="360" w:lineRule="auto"/>
              <w:jc w:val="left"/>
              <w:rPr>
                <w:rFonts w:hint="eastAsia" w:ascii="仿宋" w:hAnsi="仿宋" w:eastAsia="仿宋"/>
                <w:sz w:val="28"/>
                <w:szCs w:val="28"/>
                <w:lang w:eastAsia="zh-CN"/>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highlight w:val="none"/>
                <w14:textFill>
                  <w14:solidFill>
                    <w14:schemeClr w14:val="tx1"/>
                  </w14:solidFill>
                </w14:textFill>
              </w:rPr>
              <w:t>出具报告要求</w:t>
            </w:r>
            <w:r>
              <w:rPr>
                <w:rFonts w:ascii="仿宋" w:hAnsi="仿宋" w:eastAsia="仿宋"/>
                <w:color w:val="000000" w:themeColor="text1"/>
                <w:sz w:val="28"/>
                <w:szCs w:val="28"/>
                <w:highlight w:val="none"/>
                <w14:textFill>
                  <w14:solidFill>
                    <w14:schemeClr w14:val="tx1"/>
                  </w14:solidFill>
                </w14:textFill>
              </w:rPr>
              <w:t>：须在预算编制说明上</w:t>
            </w:r>
            <w:r>
              <w:rPr>
                <w:rFonts w:hint="eastAsia" w:ascii="仿宋" w:hAnsi="仿宋" w:eastAsia="仿宋"/>
                <w:color w:val="000000" w:themeColor="text1"/>
                <w:sz w:val="28"/>
                <w:szCs w:val="28"/>
                <w:highlight w:val="none"/>
                <w:lang w:eastAsia="zh-CN"/>
                <w14:textFill>
                  <w14:solidFill>
                    <w14:schemeClr w14:val="tx1"/>
                  </w14:solidFill>
                </w14:textFill>
              </w:rPr>
              <w:t>说明清楚计价依据，若有市场询价的，</w:t>
            </w:r>
            <w:r>
              <w:rPr>
                <w:rFonts w:ascii="仿宋" w:hAnsi="仿宋" w:eastAsia="仿宋"/>
                <w:color w:val="000000" w:themeColor="text1"/>
                <w:sz w:val="28"/>
                <w:szCs w:val="28"/>
                <w:highlight w:val="none"/>
                <w14:textFill>
                  <w14:solidFill>
                    <w14:schemeClr w14:val="tx1"/>
                  </w14:solidFill>
                </w14:textFill>
              </w:rPr>
              <w:t>出具的报告需附上</w:t>
            </w:r>
            <w:r>
              <w:rPr>
                <w:rFonts w:hint="eastAsia" w:ascii="仿宋" w:hAnsi="仿宋" w:eastAsia="仿宋"/>
                <w:color w:val="000000" w:themeColor="text1"/>
                <w:sz w:val="28"/>
                <w:szCs w:val="28"/>
                <w:highlight w:val="none"/>
                <w:lang w:eastAsia="zh-CN"/>
                <w14:textFill>
                  <w14:solidFill>
                    <w14:schemeClr w14:val="tx1"/>
                  </w14:solidFill>
                </w14:textFill>
              </w:rPr>
              <w:t>市场</w:t>
            </w:r>
            <w:r>
              <w:rPr>
                <w:rFonts w:ascii="仿宋" w:hAnsi="仿宋" w:eastAsia="仿宋"/>
                <w:color w:val="000000" w:themeColor="text1"/>
                <w:sz w:val="28"/>
                <w:szCs w:val="28"/>
                <w:highlight w:val="none"/>
                <w14:textFill>
                  <w14:solidFill>
                    <w14:schemeClr w14:val="tx1"/>
                  </w14:solidFill>
                </w14:textFill>
              </w:rPr>
              <w:t>询价记录单。</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sz w:val="28"/>
                <w:szCs w:val="28"/>
              </w:rPr>
            </w:pPr>
            <w:r>
              <w:rPr>
                <w:rFonts w:hint="eastAsia" w:ascii="仿宋" w:hAnsi="仿宋" w:eastAsia="仿宋"/>
                <w:sz w:val="28"/>
                <w:szCs w:val="28"/>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ascii="仿宋" w:hAnsi="仿宋" w:eastAsia="仿宋"/>
                <w:sz w:val="28"/>
                <w:szCs w:val="28"/>
              </w:rPr>
              <w:t>2</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服务要求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3"/>
              <w:numPr>
                <w:ilvl w:val="0"/>
                <w:numId w:val="7"/>
              </w:numPr>
              <w:tabs>
                <w:tab w:val="left" w:pos="531"/>
              </w:tabs>
              <w:spacing w:line="360" w:lineRule="auto"/>
              <w:ind w:left="531" w:hanging="709" w:firstLineChars="0"/>
              <w:rPr>
                <w:rFonts w:ascii="仿宋" w:hAnsi="仿宋" w:eastAsia="仿宋"/>
                <w:sz w:val="28"/>
                <w:szCs w:val="28"/>
              </w:rPr>
            </w:pPr>
            <w:r>
              <w:rPr>
                <w:rFonts w:hint="eastAsia" w:ascii="仿宋" w:hAnsi="仿宋" w:eastAsia="仿宋"/>
                <w:sz w:val="28"/>
                <w:szCs w:val="28"/>
              </w:rPr>
              <w:t>项目实施时间为：合同签订次日向采购人提供咨询服务。</w:t>
            </w:r>
          </w:p>
          <w:p>
            <w:pPr>
              <w:pStyle w:val="33"/>
              <w:numPr>
                <w:ilvl w:val="0"/>
                <w:numId w:val="7"/>
              </w:numPr>
              <w:tabs>
                <w:tab w:val="left" w:pos="531"/>
              </w:tabs>
              <w:spacing w:line="360" w:lineRule="auto"/>
              <w:ind w:left="531" w:hanging="709" w:firstLineChars="0"/>
              <w:rPr>
                <w:rFonts w:ascii="仿宋" w:hAnsi="仿宋" w:eastAsia="仿宋"/>
                <w:sz w:val="28"/>
                <w:szCs w:val="28"/>
              </w:rPr>
            </w:pPr>
            <w:r>
              <w:rPr>
                <w:rFonts w:hint="eastAsia" w:ascii="仿宋" w:hAnsi="仿宋" w:eastAsia="仿宋"/>
                <w:sz w:val="28"/>
                <w:szCs w:val="28"/>
              </w:rPr>
              <w:t>项目审核时间为：对于60万以内（含）的项目，应在5个日历天内完成，60万以上的项目应在7个日历天内完成。</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3</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8"/>
                <w:szCs w:val="28"/>
              </w:rPr>
            </w:pPr>
            <w:r>
              <w:rPr>
                <w:rFonts w:hint="eastAsia" w:ascii="仿宋" w:hAnsi="仿宋" w:eastAsia="仿宋"/>
                <w:sz w:val="28"/>
                <w:szCs w:val="28"/>
              </w:rPr>
              <w:t>服务承诺</w:t>
            </w:r>
          </w:p>
        </w:tc>
        <w:tc>
          <w:tcPr>
            <w:tcW w:w="7438" w:type="dxa"/>
            <w:tcBorders>
              <w:top w:val="single" w:color="auto" w:sz="4" w:space="0"/>
              <w:left w:val="single" w:color="auto" w:sz="4" w:space="0"/>
              <w:bottom w:val="single" w:color="auto" w:sz="4" w:space="0"/>
              <w:right w:val="single" w:color="auto" w:sz="4" w:space="0"/>
            </w:tcBorders>
            <w:vAlign w:val="center"/>
          </w:tcPr>
          <w:p>
            <w:pPr>
              <w:pStyle w:val="33"/>
              <w:numPr>
                <w:ilvl w:val="0"/>
                <w:numId w:val="8"/>
              </w:numPr>
              <w:tabs>
                <w:tab w:val="left" w:pos="531"/>
              </w:tabs>
              <w:spacing w:line="360" w:lineRule="auto"/>
              <w:ind w:left="531" w:hanging="709" w:firstLineChars="0"/>
              <w:rPr>
                <w:rFonts w:ascii="仿宋" w:hAnsi="仿宋" w:eastAsia="仿宋"/>
                <w:sz w:val="28"/>
                <w:szCs w:val="28"/>
              </w:rPr>
            </w:pPr>
            <w:r>
              <w:rPr>
                <w:rFonts w:hint="eastAsia" w:ascii="仿宋" w:hAnsi="仿宋" w:eastAsia="仿宋"/>
                <w:sz w:val="28"/>
                <w:szCs w:val="28"/>
              </w:rPr>
              <w:t>投标单位必须严格遵守中国建设工程造价管理协会于2002年6月18日以中价协（2002）第015号文件颁发的《工程造价咨询单位执业行为准则》和《造价工程师职业道德行为准则》，必须严格按照中国建设工程造价管理协会2002年6月18日以中价协（2002）第016号文件颁发的《工程造价咨询业务操作指导规程》中的相关内容实施造价咨询服务。</w:t>
            </w:r>
          </w:p>
          <w:p>
            <w:pPr>
              <w:pStyle w:val="33"/>
              <w:numPr>
                <w:ilvl w:val="0"/>
                <w:numId w:val="8"/>
              </w:numPr>
              <w:tabs>
                <w:tab w:val="left" w:pos="531"/>
              </w:tabs>
              <w:spacing w:line="360" w:lineRule="auto"/>
              <w:ind w:left="531" w:hanging="709" w:firstLineChars="0"/>
              <w:rPr>
                <w:rFonts w:ascii="仿宋" w:hAnsi="仿宋" w:eastAsia="仿宋"/>
                <w:sz w:val="28"/>
                <w:szCs w:val="28"/>
              </w:rPr>
            </w:pPr>
            <w:r>
              <w:rPr>
                <w:rFonts w:hint="eastAsia" w:ascii="仿宋" w:hAnsi="仿宋" w:eastAsia="仿宋"/>
                <w:sz w:val="28"/>
                <w:szCs w:val="28"/>
              </w:rPr>
              <w:t>所出具的造价咨询成果报告，除签字盖章的文字资料外，还必须有可编辑电子文件且须与书面文字资料相一致。</w:t>
            </w:r>
          </w:p>
          <w:p>
            <w:pPr>
              <w:pStyle w:val="33"/>
              <w:numPr>
                <w:ilvl w:val="0"/>
                <w:numId w:val="8"/>
              </w:numPr>
              <w:tabs>
                <w:tab w:val="left" w:pos="531"/>
              </w:tabs>
              <w:spacing w:line="360" w:lineRule="auto"/>
              <w:ind w:left="531" w:hanging="709" w:firstLineChars="0"/>
              <w:rPr>
                <w:rFonts w:ascii="仿宋" w:hAnsi="仿宋" w:eastAsia="仿宋"/>
                <w:sz w:val="28"/>
                <w:szCs w:val="28"/>
              </w:rPr>
            </w:pPr>
            <w:r>
              <w:rPr>
                <w:rFonts w:hint="eastAsia" w:ascii="仿宋" w:hAnsi="仿宋" w:eastAsia="仿宋"/>
                <w:sz w:val="28"/>
                <w:szCs w:val="28"/>
              </w:rPr>
              <w:t>符合国家建设部建设工程工程量清单计价规范的规定和广东省、深圳市有关建设工程计价文件的规定；符合深圳市有关工程造价管理的相关规定和委托人与施工单位签订的施工合同中的相关约定，并确保成果资料完整、真实准确、清晰有据。</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4</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其他</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9"/>
              </w:numPr>
              <w:tabs>
                <w:tab w:val="left" w:pos="531"/>
              </w:tabs>
              <w:ind w:left="531" w:hanging="709"/>
              <w:rPr>
                <w:rFonts w:ascii="仿宋" w:hAnsi="仿宋" w:eastAsia="仿宋"/>
                <w:sz w:val="28"/>
                <w:szCs w:val="28"/>
              </w:rPr>
            </w:pPr>
            <w:r>
              <w:rPr>
                <w:rFonts w:hint="eastAsia" w:ascii="仿宋" w:hAnsi="仿宋" w:eastAsia="仿宋"/>
                <w:sz w:val="28"/>
                <w:szCs w:val="28"/>
              </w:rPr>
              <w:t>参加投标单位提交的文件均不退回。</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ascii="仿宋" w:hAnsi="仿宋" w:eastAsia="仿宋"/>
                <w:sz w:val="28"/>
                <w:szCs w:val="28"/>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5</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知识产权保护</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jc w:val="left"/>
              <w:rPr>
                <w:rFonts w:ascii="仿宋" w:hAnsi="仿宋" w:eastAsia="仿宋"/>
                <w:sz w:val="28"/>
                <w:szCs w:val="28"/>
              </w:rPr>
            </w:pPr>
            <w:r>
              <w:rPr>
                <w:rFonts w:hint="eastAsia" w:ascii="仿宋" w:hAnsi="仿宋" w:eastAsia="仿宋"/>
                <w:sz w:val="28"/>
                <w:szCs w:val="28"/>
              </w:rPr>
              <w:t>本项目成果所有权归采购人所有。</w:t>
            </w:r>
          </w:p>
          <w:p>
            <w:pPr>
              <w:numPr>
                <w:ilvl w:val="0"/>
                <w:numId w:val="10"/>
              </w:numPr>
              <w:tabs>
                <w:tab w:val="left" w:pos="531"/>
              </w:tabs>
              <w:jc w:val="left"/>
              <w:rPr>
                <w:rFonts w:ascii="仿宋" w:hAnsi="仿宋" w:eastAsia="仿宋"/>
                <w:sz w:val="28"/>
                <w:szCs w:val="28"/>
              </w:rPr>
            </w:pPr>
            <w:r>
              <w:rPr>
                <w:rFonts w:hint="eastAsia" w:ascii="仿宋" w:hAnsi="仿宋" w:eastAsia="仿宋"/>
                <w:sz w:val="28"/>
                <w:szCs w:val="28"/>
              </w:rPr>
              <w:t>中选供应商不得向第三方泄露与采购人相关的图纸、规划、设施设备情况等一切资料。所有委托咨询服务项目的成果所有权归采购人所有。</w:t>
            </w:r>
          </w:p>
          <w:p>
            <w:pPr>
              <w:numPr>
                <w:ilvl w:val="0"/>
                <w:numId w:val="10"/>
              </w:numPr>
              <w:tabs>
                <w:tab w:val="left" w:pos="531"/>
              </w:tabs>
              <w:rPr>
                <w:rFonts w:ascii="仿宋" w:hAnsi="仿宋" w:eastAsia="仿宋"/>
                <w:sz w:val="28"/>
                <w:szCs w:val="28"/>
              </w:rPr>
            </w:pPr>
            <w:r>
              <w:rPr>
                <w:rFonts w:hint="eastAsia" w:ascii="仿宋" w:hAnsi="仿宋" w:eastAsia="仿宋"/>
                <w:sz w:val="28"/>
                <w:szCs w:val="28"/>
              </w:rPr>
              <w:t>中选供应商必须对设计拥有原创性，不得有模仿、抄袭等侵权行为，若因侵犯第三方权益所带来的法律责任以及造成的损失均由中选供应商承担，采购人不承担任何责任。若采购人因此造成损失的，由中选供应商承担赔偿责任。</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ascii="仿宋" w:hAnsi="仿宋" w:eastAsia="仿宋"/>
                <w:sz w:val="28"/>
                <w:szCs w:val="28"/>
              </w:rPr>
              <w:t>不可偏离</w:t>
            </w:r>
          </w:p>
        </w:tc>
      </w:tr>
    </w:tbl>
    <w:p>
      <w:pPr>
        <w:numPr>
          <w:ilvl w:val="0"/>
          <w:numId w:val="1"/>
        </w:numPr>
        <w:spacing w:before="312" w:beforeLines="100" w:line="480" w:lineRule="auto"/>
        <w:ind w:left="-1" w:leftChars="-405" w:hanging="849" w:hangingChars="302"/>
        <w:jc w:val="left"/>
        <w:outlineLvl w:val="1"/>
        <w:rPr>
          <w:rFonts w:ascii="仿宋" w:hAnsi="仿宋" w:eastAsia="仿宋"/>
          <w:b/>
          <w:sz w:val="28"/>
          <w:szCs w:val="28"/>
        </w:rPr>
      </w:pPr>
      <w:bookmarkStart w:id="30" w:name="_Toc478387749"/>
      <w:r>
        <w:rPr>
          <w:rFonts w:hint="eastAsia" w:ascii="仿宋" w:hAnsi="仿宋" w:eastAsia="仿宋"/>
          <w:b/>
          <w:sz w:val="28"/>
          <w:szCs w:val="28"/>
        </w:rPr>
        <w:t>其他项目说明资料</w:t>
      </w:r>
      <w:bookmarkEnd w:id="30"/>
    </w:p>
    <w:p>
      <w:pPr>
        <w:jc w:val="center"/>
        <w:rPr>
          <w:rFonts w:ascii="黑体" w:eastAsia="黑体"/>
          <w:sz w:val="36"/>
          <w:szCs w:val="36"/>
        </w:rPr>
      </w:pPr>
      <w:r>
        <w:rPr>
          <w:rFonts w:hint="eastAsia" w:ascii="黑体" w:eastAsia="黑体"/>
          <w:sz w:val="36"/>
          <w:szCs w:val="36"/>
        </w:rPr>
        <w:t>深圳会展中心造价咨询服务年度考评表</w:t>
      </w:r>
    </w:p>
    <w:p>
      <w:pPr>
        <w:jc w:val="center"/>
        <w:rPr>
          <w:rFonts w:ascii="仿宋_GB2312" w:hAnsi="宋体" w:eastAsia="仿宋_GB2312"/>
          <w:sz w:val="28"/>
          <w:szCs w:val="28"/>
        </w:rPr>
      </w:pPr>
    </w:p>
    <w:tbl>
      <w:tblPr>
        <w:tblStyle w:val="22"/>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992"/>
        <w:gridCol w:w="709"/>
        <w:gridCol w:w="992"/>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1419" w:type="dxa"/>
            <w:vAlign w:val="center"/>
          </w:tcPr>
          <w:p>
            <w:pPr>
              <w:jc w:val="center"/>
              <w:rPr>
                <w:rFonts w:ascii="宋体" w:hAnsi="宋体"/>
                <w:szCs w:val="21"/>
              </w:rPr>
            </w:pPr>
            <w:r>
              <w:rPr>
                <w:rFonts w:hint="eastAsia" w:ascii="宋体" w:hAnsi="宋体"/>
                <w:szCs w:val="21"/>
              </w:rPr>
              <w:t>评审目的</w:t>
            </w:r>
          </w:p>
        </w:tc>
        <w:tc>
          <w:tcPr>
            <w:tcW w:w="7938" w:type="dxa"/>
            <w:gridSpan w:val="4"/>
            <w:vAlign w:val="center"/>
          </w:tcPr>
          <w:p>
            <w:pPr>
              <w:rPr>
                <w:rFonts w:ascii="宋体" w:hAnsi="宋体"/>
                <w:szCs w:val="21"/>
              </w:rPr>
            </w:pPr>
            <w:r>
              <w:rPr>
                <w:rFonts w:hint="eastAsia" w:ascii="宋体" w:hAnsi="宋体"/>
                <w:szCs w:val="21"/>
              </w:rPr>
              <w:t>对</w:t>
            </w:r>
            <w:r>
              <w:rPr>
                <w:rFonts w:hint="eastAsia" w:ascii="宋体" w:hAnsi="宋体"/>
                <w:szCs w:val="21"/>
                <w:u w:val="single"/>
              </w:rPr>
              <w:t xml:space="preserve">             </w:t>
            </w:r>
            <w:r>
              <w:rPr>
                <w:rFonts w:hint="eastAsia" w:ascii="宋体" w:hAnsi="宋体"/>
                <w:szCs w:val="21"/>
              </w:rPr>
              <w:t>公司 　　 年 　月 　日- 　　年  月 日期间，造价咨询服务合同期间，整体的服务水平进行评审，以确定在原合同约定1＋1＋1服务条款的基础上，是否与</w:t>
            </w:r>
            <w:r>
              <w:rPr>
                <w:rFonts w:hint="eastAsia" w:ascii="宋体" w:hAnsi="宋体"/>
                <w:szCs w:val="21"/>
                <w:u w:val="single"/>
              </w:rPr>
              <w:t>该</w:t>
            </w:r>
            <w:r>
              <w:rPr>
                <w:rFonts w:hint="eastAsia" w:ascii="宋体" w:hAnsi="宋体"/>
                <w:szCs w:val="21"/>
              </w:rPr>
              <w:t>公司续签</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期间的深圳会展中心造价咨询服务合同。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1419" w:type="dxa"/>
            <w:vAlign w:val="center"/>
          </w:tcPr>
          <w:p>
            <w:pPr>
              <w:jc w:val="center"/>
              <w:rPr>
                <w:rFonts w:ascii="宋体" w:hAnsi="宋体"/>
                <w:szCs w:val="21"/>
              </w:rPr>
            </w:pPr>
            <w:r>
              <w:rPr>
                <w:rFonts w:hint="eastAsia" w:ascii="宋体" w:hAnsi="宋体"/>
                <w:szCs w:val="21"/>
              </w:rPr>
              <w:t>评审范围</w:t>
            </w:r>
          </w:p>
        </w:tc>
        <w:tc>
          <w:tcPr>
            <w:tcW w:w="7938" w:type="dxa"/>
            <w:gridSpan w:val="4"/>
            <w:vAlign w:val="center"/>
          </w:tcPr>
          <w:p>
            <w:pPr>
              <w:ind w:left="315" w:leftChars="150" w:firstLine="210" w:firstLineChars="100"/>
              <w:jc w:val="left"/>
              <w:rPr>
                <w:rFonts w:ascii="宋体" w:hAnsi="宋体"/>
                <w:szCs w:val="21"/>
              </w:rPr>
            </w:pPr>
            <w:r>
              <w:rPr>
                <w:rFonts w:hint="eastAsia" w:ascii="宋体" w:hAnsi="宋体"/>
                <w:szCs w:val="21"/>
              </w:rPr>
              <w:t>年 月 日- 　　年 月 日　深圳会展造价咨询服务合同范围内，</w:t>
            </w:r>
            <w:r>
              <w:rPr>
                <w:rFonts w:hint="eastAsia" w:ascii="宋体" w:hAnsi="宋体"/>
                <w:szCs w:val="21"/>
                <w:u w:val="single"/>
              </w:rPr>
              <w:t>　　　　　　　　　　</w:t>
            </w:r>
            <w:r>
              <w:rPr>
                <w:rFonts w:hint="eastAsia" w:ascii="宋体" w:hAnsi="宋体"/>
                <w:szCs w:val="21"/>
              </w:rPr>
              <w:t>公司咨询服务水平。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419" w:type="dxa"/>
            <w:vAlign w:val="center"/>
          </w:tcPr>
          <w:p>
            <w:pPr>
              <w:jc w:val="center"/>
              <w:rPr>
                <w:rFonts w:ascii="宋体" w:hAnsi="宋体"/>
                <w:szCs w:val="21"/>
              </w:rPr>
            </w:pPr>
            <w:r>
              <w:rPr>
                <w:rFonts w:hint="eastAsia" w:ascii="宋体" w:hAnsi="宋体"/>
                <w:bCs/>
                <w:snapToGrid w:val="0"/>
                <w:szCs w:val="21"/>
              </w:rPr>
              <w:t>服务质量</w:t>
            </w:r>
          </w:p>
        </w:tc>
        <w:tc>
          <w:tcPr>
            <w:tcW w:w="992" w:type="dxa"/>
            <w:vAlign w:val="center"/>
          </w:tcPr>
          <w:p>
            <w:pPr>
              <w:rPr>
                <w:rFonts w:ascii="宋体" w:hAnsi="宋体"/>
                <w:szCs w:val="21"/>
              </w:rPr>
            </w:pPr>
            <w:r>
              <w:rPr>
                <w:rFonts w:hint="eastAsia" w:ascii="宋体" w:hAnsi="宋体"/>
                <w:szCs w:val="21"/>
              </w:rPr>
              <w:t>50</w:t>
            </w:r>
          </w:p>
        </w:tc>
        <w:tc>
          <w:tcPr>
            <w:tcW w:w="709" w:type="dxa"/>
            <w:vAlign w:val="center"/>
          </w:tcPr>
          <w:p>
            <w:pPr>
              <w:jc w:val="center"/>
              <w:rPr>
                <w:rFonts w:ascii="宋体" w:hAnsi="宋体"/>
                <w:szCs w:val="21"/>
              </w:rPr>
            </w:pPr>
            <w:r>
              <w:rPr>
                <w:rFonts w:hint="eastAsia" w:ascii="宋体" w:hAnsi="宋体"/>
                <w:szCs w:val="21"/>
              </w:rPr>
              <w:t>得分</w:t>
            </w:r>
          </w:p>
        </w:tc>
        <w:tc>
          <w:tcPr>
            <w:tcW w:w="992" w:type="dxa"/>
            <w:vAlign w:val="center"/>
          </w:tcPr>
          <w:p>
            <w:pPr>
              <w:jc w:val="center"/>
              <w:rPr>
                <w:rFonts w:ascii="宋体" w:hAnsi="宋体"/>
                <w:szCs w:val="21"/>
              </w:rPr>
            </w:pPr>
          </w:p>
        </w:tc>
        <w:tc>
          <w:tcPr>
            <w:tcW w:w="5245" w:type="dxa"/>
            <w:vAlign w:val="center"/>
          </w:tcPr>
          <w:p>
            <w:pPr>
              <w:rPr>
                <w:rFonts w:ascii="宋体" w:hAnsi="宋体"/>
                <w:szCs w:val="21"/>
              </w:rPr>
            </w:pPr>
            <w:r>
              <w:rPr>
                <w:rFonts w:hint="eastAsia" w:ascii="宋体" w:hAnsi="宋体"/>
                <w:szCs w:val="21"/>
              </w:rPr>
              <w:t>提交的成果文件，达到行业有关标准，</w:t>
            </w:r>
            <w:r>
              <w:rPr>
                <w:rFonts w:hint="eastAsia" w:ascii="宋体" w:hAnsi="宋体"/>
                <w:color w:val="000000"/>
                <w:szCs w:val="21"/>
              </w:rPr>
              <w:t>确保成果资料完整、真实准确、清晰有据；并</w:t>
            </w:r>
            <w:r>
              <w:rPr>
                <w:rFonts w:hint="eastAsia" w:ascii="宋体" w:hAnsi="宋体"/>
                <w:szCs w:val="21"/>
              </w:rPr>
              <w:t>满足报送市造价站审核要求。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419" w:type="dxa"/>
            <w:vAlign w:val="center"/>
          </w:tcPr>
          <w:p>
            <w:pPr>
              <w:jc w:val="center"/>
              <w:rPr>
                <w:rFonts w:ascii="宋体" w:hAnsi="宋体"/>
                <w:szCs w:val="21"/>
              </w:rPr>
            </w:pPr>
            <w:r>
              <w:rPr>
                <w:rFonts w:hint="eastAsia" w:ascii="宋体" w:hAnsi="宋体"/>
                <w:bCs/>
                <w:snapToGrid w:val="0"/>
                <w:szCs w:val="21"/>
              </w:rPr>
              <w:t>服务时间</w:t>
            </w:r>
          </w:p>
        </w:tc>
        <w:tc>
          <w:tcPr>
            <w:tcW w:w="992" w:type="dxa"/>
            <w:vAlign w:val="center"/>
          </w:tcPr>
          <w:p>
            <w:pPr>
              <w:rPr>
                <w:rFonts w:ascii="宋体" w:hAnsi="宋体"/>
                <w:szCs w:val="21"/>
              </w:rPr>
            </w:pPr>
            <w:r>
              <w:rPr>
                <w:rFonts w:hint="eastAsia" w:ascii="宋体" w:hAnsi="宋体"/>
                <w:szCs w:val="21"/>
              </w:rPr>
              <w:t>20</w:t>
            </w:r>
          </w:p>
        </w:tc>
        <w:tc>
          <w:tcPr>
            <w:tcW w:w="709" w:type="dxa"/>
            <w:vAlign w:val="center"/>
          </w:tcPr>
          <w:p>
            <w:pPr>
              <w:jc w:val="center"/>
            </w:pPr>
            <w:r>
              <w:rPr>
                <w:rFonts w:hint="eastAsia" w:ascii="宋体" w:hAnsi="宋体"/>
                <w:szCs w:val="21"/>
              </w:rPr>
              <w:t>得分</w:t>
            </w:r>
          </w:p>
        </w:tc>
        <w:tc>
          <w:tcPr>
            <w:tcW w:w="992" w:type="dxa"/>
            <w:vAlign w:val="center"/>
          </w:tcPr>
          <w:p>
            <w:pPr>
              <w:jc w:val="center"/>
              <w:rPr>
                <w:rFonts w:ascii="宋体" w:hAnsi="宋体"/>
                <w:szCs w:val="21"/>
              </w:rPr>
            </w:pPr>
          </w:p>
        </w:tc>
        <w:tc>
          <w:tcPr>
            <w:tcW w:w="5245" w:type="dxa"/>
            <w:vAlign w:val="center"/>
          </w:tcPr>
          <w:p>
            <w:pPr>
              <w:rPr>
                <w:rFonts w:ascii="宋体" w:hAnsi="宋体"/>
                <w:szCs w:val="21"/>
              </w:rPr>
            </w:pPr>
            <w:r>
              <w:rPr>
                <w:rFonts w:hint="eastAsia" w:ascii="宋体" w:hAnsi="宋体"/>
                <w:szCs w:val="21"/>
              </w:rPr>
              <w:t>按照合同约定的时限内，提交成果文件。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419" w:type="dxa"/>
            <w:vAlign w:val="center"/>
          </w:tcPr>
          <w:p>
            <w:pPr>
              <w:snapToGrid w:val="0"/>
              <w:spacing w:line="300" w:lineRule="auto"/>
              <w:jc w:val="center"/>
              <w:rPr>
                <w:rFonts w:ascii="宋体" w:hAnsi="宋体"/>
                <w:bCs/>
                <w:snapToGrid w:val="0"/>
                <w:szCs w:val="21"/>
              </w:rPr>
            </w:pPr>
            <w:r>
              <w:rPr>
                <w:rFonts w:hint="eastAsia" w:ascii="宋体" w:hAnsi="宋体"/>
                <w:bCs/>
                <w:snapToGrid w:val="0"/>
                <w:szCs w:val="21"/>
              </w:rPr>
              <w:t>项目组成员</w:t>
            </w:r>
          </w:p>
        </w:tc>
        <w:tc>
          <w:tcPr>
            <w:tcW w:w="992" w:type="dxa"/>
            <w:vAlign w:val="center"/>
          </w:tcPr>
          <w:p>
            <w:pPr>
              <w:snapToGrid w:val="0"/>
              <w:spacing w:line="300" w:lineRule="auto"/>
              <w:rPr>
                <w:rFonts w:ascii="宋体" w:hAnsi="宋体"/>
                <w:bCs/>
                <w:snapToGrid w:val="0"/>
                <w:szCs w:val="21"/>
              </w:rPr>
            </w:pPr>
            <w:r>
              <w:rPr>
                <w:rFonts w:hint="eastAsia" w:ascii="宋体" w:hAnsi="宋体"/>
                <w:bCs/>
                <w:snapToGrid w:val="0"/>
                <w:szCs w:val="21"/>
              </w:rPr>
              <w:t>10</w:t>
            </w:r>
          </w:p>
        </w:tc>
        <w:tc>
          <w:tcPr>
            <w:tcW w:w="709" w:type="dxa"/>
            <w:vAlign w:val="center"/>
          </w:tcPr>
          <w:p>
            <w:pPr>
              <w:jc w:val="center"/>
            </w:pPr>
            <w:r>
              <w:rPr>
                <w:rFonts w:hint="eastAsia" w:ascii="宋体" w:hAnsi="宋体"/>
                <w:szCs w:val="21"/>
              </w:rPr>
              <w:t>得分</w:t>
            </w:r>
          </w:p>
        </w:tc>
        <w:tc>
          <w:tcPr>
            <w:tcW w:w="992" w:type="dxa"/>
            <w:vAlign w:val="center"/>
          </w:tcPr>
          <w:p>
            <w:pPr>
              <w:jc w:val="center"/>
              <w:rPr>
                <w:rFonts w:ascii="宋体" w:hAnsi="宋体"/>
                <w:szCs w:val="21"/>
              </w:rPr>
            </w:pPr>
          </w:p>
        </w:tc>
        <w:tc>
          <w:tcPr>
            <w:tcW w:w="5245" w:type="dxa"/>
            <w:vAlign w:val="center"/>
          </w:tcPr>
          <w:p>
            <w:pPr>
              <w:snapToGrid w:val="0"/>
              <w:spacing w:line="300" w:lineRule="auto"/>
              <w:rPr>
                <w:rFonts w:ascii="宋体" w:hAnsi="宋体"/>
                <w:b/>
                <w:bCs/>
                <w:snapToGrid w:val="0"/>
                <w:szCs w:val="21"/>
              </w:rPr>
            </w:pPr>
            <w:r>
              <w:rPr>
                <w:rFonts w:hint="eastAsia" w:ascii="宋体" w:hAnsi="宋体"/>
                <w:bCs/>
                <w:snapToGrid w:val="0"/>
                <w:szCs w:val="21"/>
              </w:rPr>
              <w:t>有专门的项目对接人员及</w:t>
            </w:r>
            <w:r>
              <w:rPr>
                <w:rFonts w:hint="eastAsia" w:ascii="宋体" w:hAnsi="宋体"/>
                <w:szCs w:val="21"/>
              </w:rPr>
              <w:t>稳定的团队成员。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419" w:type="dxa"/>
            <w:vAlign w:val="center"/>
          </w:tcPr>
          <w:p>
            <w:pPr>
              <w:snapToGrid w:val="0"/>
              <w:spacing w:line="300" w:lineRule="auto"/>
              <w:jc w:val="center"/>
              <w:rPr>
                <w:rFonts w:ascii="宋体" w:hAnsi="宋体"/>
                <w:bCs/>
                <w:snapToGrid w:val="0"/>
                <w:szCs w:val="21"/>
              </w:rPr>
            </w:pPr>
            <w:r>
              <w:rPr>
                <w:rFonts w:hint="eastAsia" w:ascii="宋体" w:hAnsi="宋体"/>
                <w:bCs/>
                <w:snapToGrid w:val="0"/>
                <w:szCs w:val="21"/>
              </w:rPr>
              <w:t>保密原则</w:t>
            </w:r>
          </w:p>
        </w:tc>
        <w:tc>
          <w:tcPr>
            <w:tcW w:w="992" w:type="dxa"/>
            <w:vAlign w:val="center"/>
          </w:tcPr>
          <w:p>
            <w:pPr>
              <w:snapToGrid w:val="0"/>
              <w:spacing w:line="300" w:lineRule="auto"/>
              <w:rPr>
                <w:rFonts w:ascii="宋体" w:hAnsi="宋体"/>
                <w:bCs/>
                <w:snapToGrid w:val="0"/>
                <w:szCs w:val="21"/>
              </w:rPr>
            </w:pPr>
            <w:r>
              <w:rPr>
                <w:rFonts w:hint="eastAsia" w:ascii="宋体" w:hAnsi="宋体"/>
                <w:bCs/>
                <w:snapToGrid w:val="0"/>
                <w:szCs w:val="21"/>
              </w:rPr>
              <w:t>10</w:t>
            </w:r>
          </w:p>
        </w:tc>
        <w:tc>
          <w:tcPr>
            <w:tcW w:w="709" w:type="dxa"/>
            <w:vAlign w:val="center"/>
          </w:tcPr>
          <w:p>
            <w:pPr>
              <w:jc w:val="center"/>
            </w:pPr>
            <w:r>
              <w:rPr>
                <w:rFonts w:hint="eastAsia" w:ascii="宋体" w:hAnsi="宋体"/>
                <w:szCs w:val="21"/>
              </w:rPr>
              <w:t>得分</w:t>
            </w:r>
          </w:p>
        </w:tc>
        <w:tc>
          <w:tcPr>
            <w:tcW w:w="992" w:type="dxa"/>
            <w:vAlign w:val="center"/>
          </w:tcPr>
          <w:p>
            <w:pPr>
              <w:jc w:val="center"/>
              <w:rPr>
                <w:rFonts w:ascii="宋体" w:hAnsi="宋体"/>
                <w:szCs w:val="21"/>
              </w:rPr>
            </w:pPr>
          </w:p>
        </w:tc>
        <w:tc>
          <w:tcPr>
            <w:tcW w:w="5245" w:type="dxa"/>
            <w:vAlign w:val="center"/>
          </w:tcPr>
          <w:p>
            <w:pPr>
              <w:snapToGrid w:val="0"/>
              <w:spacing w:line="300" w:lineRule="auto"/>
              <w:rPr>
                <w:rFonts w:ascii="宋体" w:hAnsi="宋体"/>
                <w:bCs/>
                <w:snapToGrid w:val="0"/>
                <w:szCs w:val="21"/>
              </w:rPr>
            </w:pPr>
            <w:r>
              <w:rPr>
                <w:rFonts w:hint="eastAsia" w:ascii="宋体" w:hAnsi="宋体"/>
                <w:bCs/>
                <w:snapToGrid w:val="0"/>
                <w:szCs w:val="21"/>
              </w:rPr>
              <w:t>对乙方所出具的成果文件及甲方提供的资料保密。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419" w:type="dxa"/>
            <w:vAlign w:val="center"/>
          </w:tcPr>
          <w:p>
            <w:pPr>
              <w:snapToGrid w:val="0"/>
              <w:spacing w:line="300" w:lineRule="auto"/>
              <w:jc w:val="center"/>
              <w:rPr>
                <w:rFonts w:ascii="宋体" w:hAnsi="宋体"/>
                <w:bCs/>
                <w:snapToGrid w:val="0"/>
                <w:szCs w:val="21"/>
              </w:rPr>
            </w:pPr>
            <w:r>
              <w:rPr>
                <w:rFonts w:hint="eastAsia" w:ascii="宋体" w:hAnsi="宋体"/>
                <w:bCs/>
                <w:snapToGrid w:val="0"/>
                <w:szCs w:val="21"/>
              </w:rPr>
              <w:t>沟通管理</w:t>
            </w:r>
          </w:p>
        </w:tc>
        <w:tc>
          <w:tcPr>
            <w:tcW w:w="992" w:type="dxa"/>
            <w:vAlign w:val="center"/>
          </w:tcPr>
          <w:p>
            <w:pPr>
              <w:snapToGrid w:val="0"/>
              <w:spacing w:line="300" w:lineRule="auto"/>
              <w:rPr>
                <w:rFonts w:ascii="宋体" w:hAnsi="宋体"/>
                <w:bCs/>
                <w:snapToGrid w:val="0"/>
                <w:szCs w:val="21"/>
              </w:rPr>
            </w:pPr>
            <w:r>
              <w:rPr>
                <w:rFonts w:hint="eastAsia" w:ascii="宋体" w:hAnsi="宋体"/>
                <w:bCs/>
                <w:snapToGrid w:val="0"/>
                <w:szCs w:val="21"/>
              </w:rPr>
              <w:t>10</w:t>
            </w:r>
          </w:p>
        </w:tc>
        <w:tc>
          <w:tcPr>
            <w:tcW w:w="709" w:type="dxa"/>
            <w:vAlign w:val="center"/>
          </w:tcPr>
          <w:p>
            <w:pPr>
              <w:jc w:val="center"/>
            </w:pPr>
            <w:r>
              <w:rPr>
                <w:rFonts w:hint="eastAsia" w:ascii="宋体" w:hAnsi="宋体"/>
                <w:szCs w:val="21"/>
              </w:rPr>
              <w:t>得分</w:t>
            </w:r>
          </w:p>
        </w:tc>
        <w:tc>
          <w:tcPr>
            <w:tcW w:w="992" w:type="dxa"/>
            <w:vAlign w:val="center"/>
          </w:tcPr>
          <w:p>
            <w:pPr>
              <w:jc w:val="center"/>
              <w:rPr>
                <w:rFonts w:ascii="宋体" w:hAnsi="宋体"/>
                <w:szCs w:val="21"/>
              </w:rPr>
            </w:pPr>
          </w:p>
        </w:tc>
        <w:tc>
          <w:tcPr>
            <w:tcW w:w="5245" w:type="dxa"/>
            <w:vAlign w:val="center"/>
          </w:tcPr>
          <w:p>
            <w:pPr>
              <w:snapToGrid w:val="0"/>
              <w:spacing w:line="300" w:lineRule="auto"/>
              <w:rPr>
                <w:rFonts w:ascii="宋体" w:hAnsi="宋体"/>
                <w:b/>
                <w:bCs/>
                <w:snapToGrid w:val="0"/>
                <w:szCs w:val="21"/>
              </w:rPr>
            </w:pPr>
            <w:r>
              <w:rPr>
                <w:rFonts w:hint="eastAsia" w:ascii="宋体" w:hAnsi="宋体"/>
                <w:bCs/>
                <w:snapToGrid w:val="0"/>
                <w:szCs w:val="21"/>
              </w:rPr>
              <w:t>编制或审核过程中遇到问题，能及时主动与</w:t>
            </w:r>
            <w:r>
              <w:rPr>
                <w:rFonts w:hint="eastAsia" w:ascii="宋体" w:hAnsi="宋体" w:cs="宋体"/>
                <w:bCs/>
                <w:snapToGrid w:val="0"/>
                <w:szCs w:val="21"/>
              </w:rPr>
              <w:t>甲方</w:t>
            </w:r>
            <w:r>
              <w:rPr>
                <w:rFonts w:hint="eastAsia" w:ascii="宋体" w:hAnsi="宋体"/>
                <w:bCs/>
                <w:snapToGrid w:val="0"/>
                <w:szCs w:val="21"/>
              </w:rPr>
              <w:t>沟通，必要时到现场查看。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419" w:type="dxa"/>
            <w:vAlign w:val="center"/>
          </w:tcPr>
          <w:p>
            <w:pPr>
              <w:snapToGrid w:val="0"/>
              <w:spacing w:line="300" w:lineRule="auto"/>
              <w:jc w:val="center"/>
              <w:rPr>
                <w:rFonts w:ascii="宋体" w:hAnsi="宋体"/>
                <w:bCs/>
                <w:snapToGrid w:val="0"/>
                <w:szCs w:val="21"/>
              </w:rPr>
            </w:pPr>
            <w:r>
              <w:rPr>
                <w:rFonts w:hint="eastAsia" w:ascii="宋体" w:hAnsi="宋体"/>
                <w:bCs/>
                <w:snapToGrid w:val="0"/>
                <w:szCs w:val="21"/>
              </w:rPr>
              <w:t>达标要求</w:t>
            </w:r>
          </w:p>
        </w:tc>
        <w:tc>
          <w:tcPr>
            <w:tcW w:w="992" w:type="dxa"/>
            <w:vAlign w:val="center"/>
          </w:tcPr>
          <w:p>
            <w:pPr>
              <w:snapToGrid w:val="0"/>
              <w:spacing w:line="300" w:lineRule="auto"/>
              <w:rPr>
                <w:rFonts w:ascii="宋体" w:hAnsi="宋体"/>
                <w:bCs/>
                <w:snapToGrid w:val="0"/>
                <w:szCs w:val="21"/>
              </w:rPr>
            </w:pPr>
            <w:r>
              <w:rPr>
                <w:rFonts w:hint="eastAsia" w:ascii="宋体" w:hAnsi="宋体"/>
                <w:bCs/>
                <w:snapToGrid w:val="0"/>
                <w:szCs w:val="21"/>
              </w:rPr>
              <w:t>≥80分</w:t>
            </w:r>
          </w:p>
        </w:tc>
        <w:tc>
          <w:tcPr>
            <w:tcW w:w="709" w:type="dxa"/>
            <w:vAlign w:val="center"/>
          </w:tcPr>
          <w:p>
            <w:pPr>
              <w:snapToGrid w:val="0"/>
              <w:spacing w:line="300" w:lineRule="auto"/>
              <w:jc w:val="center"/>
              <w:rPr>
                <w:rFonts w:ascii="宋体" w:hAnsi="宋体"/>
                <w:bCs/>
                <w:snapToGrid w:val="0"/>
                <w:szCs w:val="21"/>
              </w:rPr>
            </w:pPr>
            <w:r>
              <w:rPr>
                <w:rFonts w:hint="eastAsia" w:ascii="宋体" w:hAnsi="宋体"/>
                <w:bCs/>
                <w:snapToGrid w:val="0"/>
                <w:szCs w:val="21"/>
              </w:rPr>
              <w:t>综合评价</w:t>
            </w:r>
          </w:p>
        </w:tc>
        <w:tc>
          <w:tcPr>
            <w:tcW w:w="6237" w:type="dxa"/>
            <w:gridSpan w:val="2"/>
            <w:vAlign w:val="center"/>
          </w:tcPr>
          <w:p>
            <w:pPr>
              <w:snapToGrid w:val="0"/>
              <w:spacing w:line="300" w:lineRule="auto"/>
              <w:rPr>
                <w:rFonts w:ascii="宋体" w:hAnsi="宋体"/>
                <w:bCs/>
                <w:snapToGrid w:val="0"/>
                <w:szCs w:val="21"/>
              </w:rPr>
            </w:pPr>
            <w:r>
              <w:rPr>
                <w:rFonts w:hint="eastAsia" w:ascii="宋体" w:hAnsi="宋体"/>
                <w:bCs/>
                <w:snapToGrid w:val="0"/>
                <w:szCs w:val="21"/>
              </w:rPr>
              <w:t>最高分：　　　最低分：　　　平均得分：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41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bCs/>
                <w:snapToGrid w:val="0"/>
                <w:szCs w:val="21"/>
              </w:rPr>
            </w:pPr>
            <w:r>
              <w:rPr>
                <w:rFonts w:hint="eastAsia" w:ascii="宋体" w:hAnsi="宋体"/>
                <w:bCs/>
                <w:snapToGrid w:val="0"/>
                <w:szCs w:val="21"/>
              </w:rPr>
              <w:t>评　审　人</w:t>
            </w:r>
          </w:p>
        </w:tc>
        <w:tc>
          <w:tcPr>
            <w:tcW w:w="694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b/>
                <w:bCs/>
                <w:snapToGrid w:val="0"/>
                <w:szCs w:val="21"/>
              </w:rPr>
            </w:pPr>
          </w:p>
        </w:tc>
      </w:tr>
    </w:tbl>
    <w:p>
      <w:pPr>
        <w:spacing w:line="0" w:lineRule="atLeast"/>
        <w:outlineLvl w:val="1"/>
        <w:rPr>
          <w:rFonts w:ascii="仿宋" w:hAnsi="仿宋" w:eastAsia="仿宋"/>
          <w:sz w:val="24"/>
        </w:rPr>
      </w:pPr>
    </w:p>
    <w:p>
      <w:pPr>
        <w:spacing w:before="312" w:beforeLines="100" w:line="480" w:lineRule="auto"/>
        <w:ind w:left="-1"/>
        <w:jc w:val="left"/>
        <w:outlineLvl w:val="1"/>
        <w:rPr>
          <w:rFonts w:ascii="仿宋" w:hAnsi="仿宋" w:eastAsia="仿宋"/>
          <w:sz w:val="28"/>
          <w:szCs w:val="28"/>
        </w:rPr>
      </w:pPr>
    </w:p>
    <w:p>
      <w:pPr>
        <w:spacing w:line="360" w:lineRule="auto"/>
        <w:ind w:left="-850"/>
        <w:outlineLvl w:val="1"/>
        <w:rPr>
          <w:rFonts w:ascii="仿宋" w:hAnsi="仿宋" w:eastAsia="仿宋"/>
          <w:b/>
          <w:sz w:val="28"/>
          <w:szCs w:val="28"/>
        </w:rPr>
      </w:pPr>
    </w:p>
    <w:p>
      <w:pPr>
        <w:spacing w:line="400" w:lineRule="exact"/>
        <w:jc w:val="center"/>
        <w:outlineLvl w:val="0"/>
        <w:rPr>
          <w:rFonts w:ascii="宋体" w:hAnsi="宋体"/>
          <w:b/>
          <w:sz w:val="32"/>
          <w:szCs w:val="32"/>
        </w:rPr>
      </w:pPr>
      <w:r>
        <w:rPr>
          <w:rFonts w:hint="eastAsia" w:ascii="仿宋" w:hAnsi="仿宋" w:eastAsia="仿宋"/>
          <w:b/>
          <w:sz w:val="28"/>
          <w:szCs w:val="28"/>
        </w:rPr>
        <w:br w:type="page"/>
      </w:r>
      <w:bookmarkStart w:id="31" w:name="_Toc478387751"/>
      <w:r>
        <w:rPr>
          <w:rFonts w:hint="eastAsia" w:ascii="宋体" w:hAnsi="宋体"/>
          <w:b/>
          <w:sz w:val="32"/>
          <w:szCs w:val="32"/>
        </w:rPr>
        <w:t>第二部分：谈判流程</w:t>
      </w:r>
      <w:bookmarkEnd w:id="31"/>
    </w:p>
    <w:p>
      <w:pPr>
        <w:numPr>
          <w:ilvl w:val="0"/>
          <w:numId w:val="1"/>
        </w:numPr>
        <w:spacing w:line="360" w:lineRule="auto"/>
        <w:outlineLvl w:val="1"/>
        <w:rPr>
          <w:rFonts w:ascii="仿宋" w:hAnsi="仿宋" w:eastAsia="仿宋"/>
          <w:b/>
          <w:sz w:val="28"/>
          <w:szCs w:val="28"/>
        </w:rPr>
      </w:pPr>
      <w:bookmarkStart w:id="32" w:name="_Toc478387752"/>
      <w:r>
        <w:rPr>
          <w:rFonts w:hint="eastAsia" w:ascii="仿宋" w:hAnsi="仿宋" w:eastAsia="仿宋"/>
          <w:b/>
          <w:sz w:val="28"/>
          <w:szCs w:val="28"/>
        </w:rPr>
        <w:t>谈判流程</w:t>
      </w:r>
      <w:bookmarkEnd w:id="32"/>
    </w:p>
    <w:p>
      <w:pPr>
        <w:spacing w:line="360" w:lineRule="auto"/>
        <w:ind w:firstLine="560" w:firstLineChars="200"/>
        <w:rPr>
          <w:rFonts w:ascii="仿宋" w:hAnsi="仿宋" w:eastAsia="仿宋"/>
          <w:sz w:val="28"/>
          <w:szCs w:val="28"/>
        </w:rPr>
      </w:pPr>
      <w:r>
        <w:rPr>
          <w:rFonts w:hint="eastAsia" w:ascii="仿宋" w:hAnsi="仿宋" w:eastAsia="仿宋"/>
          <w:sz w:val="28"/>
          <w:szCs w:val="28"/>
        </w:rPr>
        <w:t>1、谈判小组推选组长主持谈判；</w:t>
      </w:r>
    </w:p>
    <w:p>
      <w:pPr>
        <w:spacing w:line="360" w:lineRule="auto"/>
        <w:ind w:left="963" w:leftChars="271" w:hanging="394" w:hangingChars="141"/>
        <w:rPr>
          <w:rFonts w:ascii="仿宋" w:hAnsi="仿宋" w:eastAsia="仿宋"/>
          <w:sz w:val="28"/>
          <w:szCs w:val="28"/>
        </w:rPr>
      </w:pPr>
      <w:r>
        <w:rPr>
          <w:rFonts w:hint="eastAsia" w:ascii="仿宋" w:hAnsi="仿宋" w:eastAsia="仿宋"/>
          <w:sz w:val="28"/>
          <w:szCs w:val="28"/>
        </w:rPr>
        <w:t>2、响应文件的完整性检验和参加单位基本情况的符合性审查；</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3、商务及技术需求响应性评定；</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4、参加单位按抽签顺序作项目的讲解和演示，限时10分钟；</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5、参加单位现场回答谈判小组成员的提问，限时10分钟；</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6、参加单位提供最后一次报价；</w:t>
      </w:r>
    </w:p>
    <w:p>
      <w:pPr>
        <w:spacing w:line="360" w:lineRule="auto"/>
        <w:ind w:firstLine="560" w:firstLineChars="200"/>
        <w:rPr>
          <w:rFonts w:ascii="仿宋" w:hAnsi="仿宋" w:eastAsia="仿宋"/>
          <w:sz w:val="28"/>
          <w:szCs w:val="28"/>
        </w:rPr>
      </w:pPr>
      <w:r>
        <w:rPr>
          <w:rFonts w:hint="eastAsia" w:ascii="仿宋" w:hAnsi="仿宋" w:eastAsia="仿宋"/>
          <w:sz w:val="28"/>
          <w:szCs w:val="28"/>
        </w:rPr>
        <w:t>7、谈判小组成员采用有记名投票方式按综合评议指标评分；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8、综合评分的计算和排序；</w:t>
      </w:r>
    </w:p>
    <w:p>
      <w:pPr>
        <w:spacing w:line="360" w:lineRule="auto"/>
        <w:ind w:left="964" w:leftChars="285" w:hanging="366" w:hangingChars="131"/>
        <w:rPr>
          <w:rFonts w:ascii="仿宋_GB2312" w:hAnsi="仿宋" w:eastAsia="仿宋_GB2312"/>
          <w:b/>
          <w:sz w:val="28"/>
          <w:szCs w:val="28"/>
        </w:rPr>
      </w:pPr>
      <w:r>
        <w:rPr>
          <w:rFonts w:hint="eastAsia" w:ascii="仿宋" w:hAnsi="仿宋" w:eastAsia="仿宋"/>
          <w:sz w:val="28"/>
          <w:szCs w:val="28"/>
        </w:rPr>
        <w:t>9、本项目采购</w:t>
      </w:r>
      <w:r>
        <w:rPr>
          <w:rFonts w:hint="eastAsia" w:ascii="仿宋" w:hAnsi="仿宋" w:eastAsia="仿宋"/>
          <w:color w:val="FF0000"/>
          <w:sz w:val="28"/>
          <w:szCs w:val="28"/>
        </w:rPr>
        <w:t>第一</w:t>
      </w:r>
      <w:r>
        <w:rPr>
          <w:rFonts w:hint="eastAsia" w:ascii="仿宋" w:hAnsi="仿宋" w:eastAsia="仿宋"/>
          <w:color w:val="FF0000"/>
          <w:sz w:val="28"/>
          <w:szCs w:val="28"/>
          <w:lang w:eastAsia="zh-CN"/>
        </w:rPr>
        <w:t>、</w:t>
      </w:r>
      <w:r>
        <w:rPr>
          <w:rFonts w:hint="eastAsia" w:ascii="仿宋" w:hAnsi="仿宋" w:eastAsia="仿宋"/>
          <w:color w:val="FF0000"/>
          <w:sz w:val="28"/>
          <w:szCs w:val="28"/>
          <w:lang w:val="en-US" w:eastAsia="zh-CN"/>
        </w:rPr>
        <w:t>第二</w:t>
      </w:r>
      <w:r>
        <w:rPr>
          <w:rFonts w:hint="eastAsia" w:ascii="仿宋" w:hAnsi="仿宋" w:eastAsia="仿宋"/>
          <w:sz w:val="28"/>
          <w:szCs w:val="28"/>
        </w:rPr>
        <w:t>候选供应商、备选供应商的确定及“谈判报告”的出具。</w:t>
      </w:r>
    </w:p>
    <w:p>
      <w:pPr>
        <w:spacing w:line="360" w:lineRule="auto"/>
        <w:jc w:val="center"/>
        <w:outlineLvl w:val="0"/>
        <w:rPr>
          <w:b/>
          <w:sz w:val="32"/>
          <w:szCs w:val="32"/>
        </w:rPr>
      </w:pPr>
      <w:r>
        <w:rPr>
          <w:b/>
          <w:sz w:val="28"/>
        </w:rPr>
        <w:br w:type="page"/>
      </w:r>
      <w:bookmarkStart w:id="33" w:name="_Toc478387753"/>
      <w:r>
        <w:rPr>
          <w:rFonts w:hint="eastAsia"/>
          <w:b/>
          <w:sz w:val="32"/>
          <w:szCs w:val="32"/>
        </w:rPr>
        <w:t>第三部分：评审办法</w:t>
      </w:r>
      <w:bookmarkEnd w:id="33"/>
    </w:p>
    <w:p>
      <w:pPr>
        <w:numPr>
          <w:ilvl w:val="0"/>
          <w:numId w:val="1"/>
        </w:numPr>
        <w:spacing w:line="360" w:lineRule="auto"/>
        <w:outlineLvl w:val="1"/>
        <w:rPr>
          <w:rFonts w:ascii="仿宋" w:hAnsi="仿宋" w:eastAsia="仿宋"/>
          <w:sz w:val="28"/>
          <w:szCs w:val="28"/>
        </w:rPr>
      </w:pPr>
      <w:bookmarkStart w:id="34" w:name="_Toc478387754"/>
      <w:r>
        <w:rPr>
          <w:rFonts w:hint="eastAsia" w:ascii="仿宋" w:hAnsi="仿宋" w:eastAsia="仿宋"/>
          <w:sz w:val="28"/>
          <w:szCs w:val="28"/>
        </w:rPr>
        <w:t>评审办法：</w:t>
      </w:r>
      <w:bookmarkEnd w:id="34"/>
    </w:p>
    <w:p>
      <w:pPr>
        <w:ind w:firstLine="560" w:firstLineChars="200"/>
        <w:rPr>
          <w:rFonts w:hint="eastAsia" w:ascii="仿宋" w:hAnsi="仿宋" w:eastAsia="仿宋"/>
          <w:sz w:val="28"/>
          <w:szCs w:val="28"/>
        </w:rPr>
      </w:pPr>
      <w:r>
        <w:rPr>
          <w:rFonts w:hint="eastAsia" w:ascii="仿宋" w:hAnsi="仿宋" w:eastAsia="仿宋"/>
          <w:sz w:val="28"/>
          <w:szCs w:val="28"/>
        </w:rPr>
        <w:t>首先对各参加单位进行符合性审查。</w:t>
      </w:r>
      <w:r>
        <w:rPr>
          <w:rFonts w:hint="eastAsia" w:ascii="仿宋" w:hAnsi="仿宋" w:eastAsia="仿宋"/>
          <w:color w:val="FF0000"/>
          <w:sz w:val="28"/>
          <w:szCs w:val="28"/>
          <w:lang w:val="en-US" w:eastAsia="zh-CN"/>
        </w:rPr>
        <w:t>若通过符合性审查和不可偏理项检查的参加单位不足3家，则本项目竞谈失败。若通过符合性审查和不可偏理项检查的参加单位满足3家以上（含3家）</w:t>
      </w:r>
      <w:r>
        <w:rPr>
          <w:rFonts w:hint="eastAsia" w:ascii="仿宋" w:hAnsi="仿宋" w:eastAsia="仿宋"/>
          <w:sz w:val="28"/>
          <w:szCs w:val="28"/>
        </w:rPr>
        <w:t>，</w:t>
      </w:r>
      <w:r>
        <w:rPr>
          <w:rFonts w:hint="eastAsia" w:ascii="仿宋" w:hAnsi="仿宋" w:eastAsia="仿宋"/>
          <w:sz w:val="28"/>
          <w:szCs w:val="28"/>
          <w:lang w:val="en-US" w:eastAsia="zh-CN"/>
        </w:rPr>
        <w:t>则</w:t>
      </w:r>
      <w:r>
        <w:rPr>
          <w:rFonts w:hint="eastAsia" w:ascii="仿宋" w:hAnsi="仿宋" w:eastAsia="仿宋"/>
          <w:sz w:val="28"/>
          <w:szCs w:val="28"/>
        </w:rPr>
        <w:t>采用</w:t>
      </w:r>
      <w:r>
        <w:rPr>
          <w:rFonts w:hint="eastAsia" w:ascii="仿宋" w:hAnsi="仿宋" w:eastAsia="仿宋"/>
          <w:b/>
          <w:sz w:val="28"/>
          <w:szCs w:val="28"/>
        </w:rPr>
        <w:t>100分制综合评分法</w:t>
      </w:r>
      <w:r>
        <w:rPr>
          <w:rFonts w:hint="eastAsia" w:ascii="仿宋" w:hAnsi="仿宋" w:eastAsia="仿宋"/>
          <w:sz w:val="28"/>
          <w:szCs w:val="28"/>
        </w:rPr>
        <w:t>进行评分。</w:t>
      </w:r>
    </w:p>
    <w:p>
      <w:pPr>
        <w:spacing w:line="360" w:lineRule="auto"/>
        <w:ind w:firstLine="560" w:firstLineChars="200"/>
        <w:rPr>
          <w:rFonts w:ascii="仿宋" w:hAnsi="仿宋" w:eastAsia="仿宋"/>
          <w:sz w:val="28"/>
          <w:szCs w:val="28"/>
        </w:rPr>
      </w:pPr>
    </w:p>
    <w:p>
      <w:pPr>
        <w:numPr>
          <w:ilvl w:val="0"/>
          <w:numId w:val="11"/>
        </w:numPr>
        <w:spacing w:line="360" w:lineRule="auto"/>
        <w:jc w:val="left"/>
        <w:outlineLvl w:val="2"/>
        <w:rPr>
          <w:rStyle w:val="30"/>
          <w:rFonts w:ascii="仿宋" w:hAnsi="仿宋" w:eastAsia="仿宋"/>
          <w:b/>
          <w:sz w:val="28"/>
          <w:szCs w:val="28"/>
        </w:rPr>
      </w:pPr>
      <w:bookmarkStart w:id="35" w:name="_Toc478387755"/>
      <w:r>
        <w:rPr>
          <w:rStyle w:val="30"/>
          <w:rFonts w:hint="eastAsia" w:ascii="仿宋" w:hAnsi="仿宋" w:eastAsia="仿宋"/>
          <w:b/>
          <w:bCs/>
          <w:sz w:val="28"/>
          <w:szCs w:val="28"/>
        </w:rPr>
        <w:t>符合性检查</w:t>
      </w:r>
      <w:bookmarkEnd w:id="35"/>
    </w:p>
    <w:tbl>
      <w:tblPr>
        <w:tblStyle w:val="22"/>
        <w:tblW w:w="951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881"/>
        <w:gridCol w:w="7635"/>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881"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360" w:lineRule="auto"/>
              <w:jc w:val="center"/>
              <w:rPr>
                <w:rFonts w:ascii="仿宋" w:hAnsi="仿宋" w:eastAsia="仿宋"/>
                <w:sz w:val="28"/>
                <w:szCs w:val="28"/>
              </w:rPr>
            </w:pPr>
            <w:r>
              <w:rPr>
                <w:rFonts w:hint="eastAsia" w:ascii="仿宋" w:hAnsi="仿宋" w:eastAsia="仿宋"/>
                <w:sz w:val="28"/>
                <w:szCs w:val="28"/>
              </w:rPr>
              <w:t>评议项目</w:t>
            </w:r>
          </w:p>
        </w:tc>
        <w:tc>
          <w:tcPr>
            <w:tcW w:w="7635"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360" w:lineRule="auto"/>
              <w:jc w:val="center"/>
              <w:rPr>
                <w:rFonts w:ascii="仿宋" w:hAnsi="仿宋" w:eastAsia="仿宋"/>
                <w:sz w:val="28"/>
                <w:szCs w:val="28"/>
              </w:rPr>
            </w:pPr>
            <w:r>
              <w:rPr>
                <w:rFonts w:hint="eastAsia" w:ascii="仿宋" w:hAnsi="仿宋" w:eastAsia="仿宋"/>
                <w:sz w:val="28"/>
                <w:szCs w:val="28"/>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响应文件</w:t>
            </w:r>
          </w:p>
        </w:tc>
        <w:tc>
          <w:tcPr>
            <w:tcW w:w="763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仿宋" w:hAnsi="仿宋" w:eastAsia="仿宋"/>
                <w:sz w:val="28"/>
                <w:szCs w:val="28"/>
              </w:rPr>
            </w:pPr>
            <w:r>
              <w:rPr>
                <w:rFonts w:hint="eastAsia" w:ascii="仿宋" w:hAnsi="仿宋" w:eastAsia="仿宋"/>
                <w:b/>
                <w:bCs/>
                <w:sz w:val="28"/>
                <w:szCs w:val="28"/>
              </w:rPr>
              <w:t>参加单位提交的响应文件是否按要求编制目录、加密及标注；投标文件的加密密码在规定时间内发给采购人（开标后15分钟内）且文件能正常打开；参加单位必须提供由法人代表或其书面授权人签署并加盖参加单位公章的响应文件</w:t>
            </w:r>
            <w:r>
              <w:rPr>
                <w:rFonts w:hint="eastAsia" w:ascii="仿宋" w:hAnsi="仿宋" w:eastAsia="仿宋"/>
                <w:sz w:val="28"/>
                <w:szCs w:val="28"/>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法定代表人证明书及授权委托证明书</w:t>
            </w:r>
          </w:p>
        </w:tc>
        <w:tc>
          <w:tcPr>
            <w:tcW w:w="763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仿宋_GB2312" w:hAnsi="宋体" w:eastAsia="仿宋_GB2312"/>
                <w:szCs w:val="21"/>
              </w:rPr>
            </w:pPr>
            <w:r>
              <w:rPr>
                <w:rFonts w:hint="eastAsia" w:ascii="仿宋" w:hAnsi="仿宋" w:eastAsia="仿宋"/>
                <w:sz w:val="28"/>
                <w:szCs w:val="28"/>
              </w:rPr>
              <w:t>是否提供法定代表人证明书、法人授权委托证明书，如单位法定代表人为本项目授权代表，则仅提供法定代表人证明书及身份证复印件（身份证原件备查，各类证明书需加盖公章）。</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资格证明文件</w:t>
            </w:r>
          </w:p>
        </w:tc>
        <w:tc>
          <w:tcPr>
            <w:tcW w:w="763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仿宋" w:hAnsi="仿宋" w:eastAsia="仿宋"/>
                <w:sz w:val="28"/>
                <w:szCs w:val="28"/>
              </w:rPr>
            </w:pPr>
            <w:r>
              <w:rPr>
                <w:rFonts w:hint="eastAsia" w:ascii="仿宋" w:hAnsi="仿宋" w:eastAsia="仿宋"/>
                <w:sz w:val="28"/>
                <w:szCs w:val="28"/>
              </w:rPr>
              <w:t>参加单位是否提供以下证明文件：</w:t>
            </w:r>
          </w:p>
          <w:p>
            <w:pPr>
              <w:numPr>
                <w:ilvl w:val="0"/>
                <w:numId w:val="12"/>
              </w:numPr>
              <w:tabs>
                <w:tab w:val="left" w:pos="531"/>
              </w:tabs>
              <w:snapToGrid w:val="0"/>
              <w:spacing w:line="360" w:lineRule="auto"/>
              <w:ind w:left="529" w:leftChars="0" w:hanging="529" w:hangingChars="189"/>
              <w:rPr>
                <w:rFonts w:ascii="仿宋" w:hAnsi="仿宋" w:eastAsia="仿宋"/>
                <w:sz w:val="28"/>
                <w:szCs w:val="28"/>
              </w:rPr>
            </w:pPr>
            <w:r>
              <w:rPr>
                <w:rFonts w:hint="eastAsia" w:ascii="仿宋" w:hAnsi="仿宋" w:eastAsia="仿宋"/>
                <w:sz w:val="28"/>
                <w:szCs w:val="28"/>
              </w:rPr>
              <w:t>参加单位必须为中华人民共和国境内注册且合法运作的企业，在法律和财务上独立。（参加单位须提供企业营业执照复印件复印件加盖参加单位公章。)</w:t>
            </w:r>
          </w:p>
          <w:p>
            <w:pPr>
              <w:numPr>
                <w:ilvl w:val="0"/>
                <w:numId w:val="12"/>
              </w:numPr>
              <w:tabs>
                <w:tab w:val="left" w:pos="531"/>
              </w:tabs>
              <w:snapToGrid w:val="0"/>
              <w:spacing w:line="360" w:lineRule="auto"/>
              <w:ind w:left="529" w:leftChars="0" w:hanging="529" w:hangingChars="189"/>
              <w:rPr>
                <w:rFonts w:ascii="仿宋" w:hAnsi="仿宋" w:eastAsia="仿宋"/>
                <w:sz w:val="28"/>
                <w:szCs w:val="28"/>
              </w:rPr>
            </w:pPr>
            <w:r>
              <w:rPr>
                <w:rFonts w:hint="eastAsia" w:ascii="仿宋" w:hAnsi="仿宋" w:eastAsia="仿宋"/>
                <w:sz w:val="28"/>
                <w:szCs w:val="28"/>
              </w:rPr>
              <w:t>参加单位须提供国家企业信用信息公示系统（http://www.gsxt.gov.cn/）公示的企业信息打印件并加盖参加单位公章。企业公示信息应含注册资金及经营范围信息，且无未改正的经营异常信息，无严重违法失信记录。</w:t>
            </w:r>
          </w:p>
          <w:p>
            <w:pPr>
              <w:numPr>
                <w:ilvl w:val="0"/>
                <w:numId w:val="12"/>
              </w:numPr>
              <w:tabs>
                <w:tab w:val="left" w:pos="531"/>
              </w:tabs>
              <w:snapToGrid w:val="0"/>
              <w:spacing w:line="360" w:lineRule="auto"/>
              <w:ind w:left="529" w:leftChars="0" w:hanging="529" w:hangingChars="189"/>
              <w:rPr>
                <w:rFonts w:ascii="仿宋" w:hAnsi="仿宋" w:eastAsia="仿宋"/>
                <w:sz w:val="28"/>
                <w:szCs w:val="28"/>
              </w:rPr>
            </w:pPr>
            <w:r>
              <w:rPr>
                <w:rFonts w:hint="eastAsia" w:ascii="仿宋" w:hAnsi="仿宋" w:eastAsia="仿宋"/>
                <w:sz w:val="28"/>
                <w:szCs w:val="28"/>
              </w:rPr>
              <w:t>参加单位必须具备建设行政主管部门核发的工程造价咨询资质甲级资质（参加单位必须提供上述资质证明的复印件加盖公章）。</w:t>
            </w:r>
          </w:p>
          <w:p>
            <w:pPr>
              <w:numPr>
                <w:ilvl w:val="0"/>
                <w:numId w:val="12"/>
              </w:numPr>
              <w:tabs>
                <w:tab w:val="left" w:pos="531"/>
              </w:tabs>
              <w:snapToGrid w:val="0"/>
              <w:spacing w:line="360" w:lineRule="auto"/>
              <w:ind w:left="529" w:leftChars="0" w:hanging="529" w:hangingChars="189"/>
              <w:rPr>
                <w:rFonts w:ascii="仿宋" w:hAnsi="仿宋" w:eastAsia="仿宋"/>
                <w:sz w:val="28"/>
                <w:szCs w:val="28"/>
              </w:rPr>
            </w:pPr>
            <w:r>
              <w:rPr>
                <w:rFonts w:hint="eastAsia" w:ascii="仿宋" w:hAnsi="仿宋" w:eastAsia="仿宋"/>
                <w:sz w:val="28"/>
                <w:szCs w:val="28"/>
              </w:rPr>
              <w:t>参加单位近两年有类似造价咨询项目，并提交项目实施案例证明（包含每个阶段如预算、结算等），不少于3份，提供合同关键页复印件或编制（审核）的预（结）算书封面（封面必须包含建设单位名称、工程名称、工程造价、编制人或审核人签章和证书号、公司签章等），或相应的审计部门预（结）算审定（或备案</w:t>
            </w:r>
            <w:r>
              <w:rPr>
                <w:rFonts w:ascii="仿宋" w:hAnsi="仿宋" w:eastAsia="仿宋"/>
                <w:sz w:val="28"/>
                <w:szCs w:val="28"/>
              </w:rPr>
              <w:t>）</w:t>
            </w:r>
            <w:r>
              <w:rPr>
                <w:rFonts w:hint="eastAsia" w:ascii="仿宋" w:hAnsi="仿宋" w:eastAsia="仿宋"/>
                <w:sz w:val="28"/>
                <w:szCs w:val="28"/>
              </w:rPr>
              <w:t>资料</w:t>
            </w:r>
            <w:r>
              <w:rPr>
                <w:rFonts w:ascii="仿宋" w:hAnsi="仿宋" w:eastAsia="仿宋"/>
                <w:sz w:val="28"/>
                <w:szCs w:val="28"/>
              </w:rPr>
              <w:t>/建设单位的造价审核证明资料</w:t>
            </w:r>
            <w:r>
              <w:rPr>
                <w:rFonts w:hint="eastAsia" w:ascii="仿宋" w:hAnsi="仿宋" w:eastAsia="仿宋"/>
                <w:sz w:val="28"/>
                <w:szCs w:val="28"/>
              </w:rPr>
              <w:t>，以上证明资料加盖参加单位公章）</w:t>
            </w:r>
          </w:p>
          <w:p>
            <w:pPr>
              <w:numPr>
                <w:ilvl w:val="0"/>
                <w:numId w:val="12"/>
              </w:numPr>
              <w:tabs>
                <w:tab w:val="left" w:pos="531"/>
              </w:tabs>
              <w:snapToGrid w:val="0"/>
              <w:spacing w:line="360" w:lineRule="auto"/>
              <w:ind w:left="529" w:leftChars="0" w:hanging="529" w:hangingChars="189"/>
              <w:rPr>
                <w:rFonts w:ascii="仿宋" w:hAnsi="仿宋" w:eastAsia="仿宋"/>
                <w:sz w:val="28"/>
                <w:szCs w:val="28"/>
              </w:rPr>
            </w:pPr>
            <w:r>
              <w:rPr>
                <w:rFonts w:hint="eastAsia" w:ascii="仿宋" w:hAnsi="仿宋" w:eastAsia="仿宋"/>
                <w:sz w:val="28"/>
                <w:szCs w:val="28"/>
              </w:rPr>
              <w:t>本项目不接受联合体投标。</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控制金额</w:t>
            </w:r>
          </w:p>
        </w:tc>
        <w:tc>
          <w:tcPr>
            <w:tcW w:w="763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仿宋" w:hAnsi="仿宋" w:eastAsia="仿宋"/>
                <w:sz w:val="28"/>
                <w:szCs w:val="28"/>
              </w:rPr>
            </w:pPr>
            <w:r>
              <w:rPr>
                <w:rFonts w:hint="eastAsia" w:ascii="仿宋" w:hAnsi="仿宋" w:eastAsia="仿宋"/>
                <w:sz w:val="28"/>
                <w:szCs w:val="28"/>
              </w:rPr>
              <w:t>报价费率最高不得超</w:t>
            </w:r>
            <w:r>
              <w:rPr>
                <w:rFonts w:hint="eastAsia" w:ascii="仿宋" w:hAnsi="仿宋" w:eastAsia="仿宋"/>
                <w:sz w:val="28"/>
                <w:szCs w:val="28"/>
                <w:highlight w:val="none"/>
              </w:rPr>
              <w:t>过标准费率的八折。</w:t>
            </w:r>
          </w:p>
        </w:tc>
      </w:tr>
    </w:tbl>
    <w:p>
      <w:pPr>
        <w:numPr>
          <w:ilvl w:val="0"/>
          <w:numId w:val="11"/>
        </w:numPr>
        <w:spacing w:before="936" w:beforeLines="300" w:line="360" w:lineRule="auto"/>
        <w:jc w:val="left"/>
        <w:outlineLvl w:val="2"/>
        <w:rPr>
          <w:rStyle w:val="30"/>
          <w:rFonts w:ascii="仿宋" w:hAnsi="仿宋" w:eastAsia="仿宋"/>
          <w:b/>
          <w:bCs/>
          <w:sz w:val="28"/>
          <w:szCs w:val="28"/>
        </w:rPr>
      </w:pPr>
      <w:bookmarkStart w:id="36" w:name="_Toc478387756"/>
      <w:r>
        <w:rPr>
          <w:rStyle w:val="30"/>
          <w:rFonts w:hint="eastAsia" w:ascii="仿宋" w:hAnsi="仿宋" w:eastAsia="仿宋"/>
          <w:b/>
          <w:bCs/>
          <w:sz w:val="28"/>
          <w:szCs w:val="28"/>
        </w:rPr>
        <w:t>综合评议指标表</w:t>
      </w:r>
      <w:bookmarkEnd w:id="36"/>
    </w:p>
    <w:tbl>
      <w:tblPr>
        <w:tblStyle w:val="22"/>
        <w:tblW w:w="903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355"/>
        <w:gridCol w:w="708"/>
        <w:gridCol w:w="69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blCellSpacing w:w="0" w:type="dxa"/>
          <w:jc w:val="center"/>
        </w:trPr>
        <w:tc>
          <w:tcPr>
            <w:tcW w:w="1355" w:type="dxa"/>
            <w:shd w:val="clear" w:color="auto" w:fill="EEEEEE"/>
            <w:tcMar>
              <w:top w:w="15" w:type="dxa"/>
              <w:left w:w="15" w:type="dxa"/>
              <w:bottom w:w="15" w:type="dxa"/>
              <w:right w:w="15" w:type="dxa"/>
            </w:tcMar>
            <w:vAlign w:val="center"/>
          </w:tcPr>
          <w:p>
            <w:pPr>
              <w:spacing w:line="360" w:lineRule="auto"/>
              <w:jc w:val="center"/>
              <w:rPr>
                <w:rFonts w:ascii="仿宋" w:hAnsi="仿宋" w:eastAsia="仿宋"/>
                <w:b/>
                <w:sz w:val="28"/>
                <w:szCs w:val="28"/>
              </w:rPr>
            </w:pPr>
            <w:r>
              <w:rPr>
                <w:rFonts w:hint="eastAsia" w:ascii="仿宋" w:hAnsi="仿宋" w:eastAsia="仿宋"/>
                <w:b/>
                <w:sz w:val="28"/>
                <w:szCs w:val="28"/>
              </w:rPr>
              <w:t>评议内容</w:t>
            </w:r>
          </w:p>
        </w:tc>
        <w:tc>
          <w:tcPr>
            <w:tcW w:w="708" w:type="dxa"/>
            <w:shd w:val="clear" w:color="auto" w:fill="EEEEEE"/>
            <w:tcMar>
              <w:top w:w="15" w:type="dxa"/>
              <w:left w:w="15" w:type="dxa"/>
              <w:bottom w:w="15" w:type="dxa"/>
              <w:right w:w="15" w:type="dxa"/>
            </w:tcMar>
            <w:vAlign w:val="center"/>
          </w:tcPr>
          <w:p>
            <w:pPr>
              <w:spacing w:line="360" w:lineRule="auto"/>
              <w:jc w:val="center"/>
              <w:rPr>
                <w:rFonts w:ascii="仿宋" w:hAnsi="仿宋" w:eastAsia="仿宋"/>
                <w:b/>
                <w:sz w:val="28"/>
                <w:szCs w:val="28"/>
              </w:rPr>
            </w:pPr>
            <w:r>
              <w:rPr>
                <w:rFonts w:ascii="仿宋" w:hAnsi="仿宋" w:eastAsia="仿宋"/>
                <w:b/>
                <w:sz w:val="28"/>
                <w:szCs w:val="28"/>
              </w:rPr>
              <w:t>分值</w:t>
            </w:r>
          </w:p>
        </w:tc>
        <w:tc>
          <w:tcPr>
            <w:tcW w:w="6967" w:type="dxa"/>
            <w:shd w:val="clear" w:color="auto" w:fill="EEEEEE"/>
            <w:vAlign w:val="center"/>
          </w:tcPr>
          <w:p>
            <w:pPr>
              <w:spacing w:line="360" w:lineRule="auto"/>
              <w:jc w:val="center"/>
              <w:rPr>
                <w:rFonts w:ascii="仿宋" w:hAnsi="仿宋" w:eastAsia="仿宋"/>
                <w:b/>
                <w:sz w:val="28"/>
                <w:szCs w:val="28"/>
              </w:rPr>
            </w:pPr>
            <w:r>
              <w:rPr>
                <w:rFonts w:hint="eastAsia" w:ascii="仿宋" w:hAnsi="仿宋" w:eastAsia="仿宋"/>
                <w:b/>
                <w:sz w:val="28"/>
                <w:szCs w:val="28"/>
              </w:rPr>
              <w:t>评议标准及权重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blCellSpacing w:w="0" w:type="dxa"/>
          <w:jc w:val="center"/>
        </w:trPr>
        <w:tc>
          <w:tcPr>
            <w:tcW w:w="9030" w:type="dxa"/>
            <w:gridSpan w:val="3"/>
            <w:shd w:val="clear" w:color="auto" w:fill="EEEEEE"/>
            <w:tcMar>
              <w:top w:w="15" w:type="dxa"/>
              <w:left w:w="15" w:type="dxa"/>
              <w:bottom w:w="15" w:type="dxa"/>
              <w:right w:w="15" w:type="dxa"/>
            </w:tcMar>
            <w:vAlign w:val="center"/>
          </w:tcPr>
          <w:p>
            <w:pPr>
              <w:spacing w:line="360" w:lineRule="auto"/>
              <w:jc w:val="center"/>
              <w:rPr>
                <w:rFonts w:ascii="仿宋" w:hAnsi="仿宋" w:eastAsia="仿宋"/>
                <w:b/>
                <w:sz w:val="28"/>
                <w:szCs w:val="28"/>
              </w:rPr>
            </w:pPr>
            <w:r>
              <w:rPr>
                <w:rFonts w:hint="eastAsia" w:ascii="仿宋" w:hAnsi="仿宋" w:eastAsia="仿宋"/>
                <w:b/>
                <w:sz w:val="28"/>
                <w:szCs w:val="28"/>
              </w:rPr>
              <w:t>资信标评议项（</w:t>
            </w:r>
            <w:r>
              <w:rPr>
                <w:rFonts w:hint="eastAsia" w:ascii="仿宋" w:hAnsi="仿宋" w:eastAsia="仿宋"/>
                <w:b/>
                <w:sz w:val="28"/>
                <w:szCs w:val="28"/>
                <w:lang w:val="en-US" w:eastAsia="zh-CN"/>
              </w:rPr>
              <w:t>20</w:t>
            </w:r>
            <w:r>
              <w:rPr>
                <w:rFonts w:hint="eastAsia" w:ascii="仿宋" w:hAnsi="仿宋" w:eastAsia="仿宋"/>
                <w:b/>
                <w:sz w:val="28"/>
                <w:szCs w:val="28"/>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732" w:hRule="atLeast"/>
          <w:tblCellSpacing w:w="0" w:type="dxa"/>
          <w:jc w:val="center"/>
        </w:trPr>
        <w:tc>
          <w:tcPr>
            <w:tcW w:w="1355" w:type="dxa"/>
            <w:tcMar>
              <w:top w:w="15" w:type="dxa"/>
              <w:left w:w="15" w:type="dxa"/>
              <w:bottom w:w="15" w:type="dxa"/>
              <w:right w:w="15" w:type="dxa"/>
            </w:tcMar>
            <w:vAlign w:val="center"/>
          </w:tcPr>
          <w:p>
            <w:pPr>
              <w:spacing w:line="300" w:lineRule="exact"/>
              <w:jc w:val="center"/>
              <w:rPr>
                <w:rFonts w:ascii="仿宋" w:hAnsi="仿宋" w:eastAsia="仿宋"/>
                <w:sz w:val="28"/>
                <w:szCs w:val="28"/>
              </w:rPr>
            </w:pPr>
            <w:r>
              <w:rPr>
                <w:rFonts w:hint="eastAsia" w:ascii="仿宋" w:hAnsi="仿宋" w:eastAsia="仿宋"/>
                <w:sz w:val="28"/>
                <w:szCs w:val="28"/>
              </w:rPr>
              <w:t>企业人员情况</w:t>
            </w:r>
          </w:p>
        </w:tc>
        <w:tc>
          <w:tcPr>
            <w:tcW w:w="708" w:type="dxa"/>
            <w:tcMar>
              <w:top w:w="15" w:type="dxa"/>
              <w:left w:w="15" w:type="dxa"/>
              <w:bottom w:w="15" w:type="dxa"/>
              <w:right w:w="15" w:type="dxa"/>
            </w:tcMar>
            <w:vAlign w:val="center"/>
          </w:tcPr>
          <w:p>
            <w:pPr>
              <w:spacing w:line="360" w:lineRule="auto"/>
              <w:jc w:val="center"/>
              <w:rPr>
                <w:rFonts w:ascii="仿宋" w:hAnsi="仿宋" w:eastAsia="仿宋"/>
                <w:sz w:val="28"/>
                <w:szCs w:val="28"/>
              </w:rPr>
            </w:pPr>
            <w:r>
              <w:rPr>
                <w:rFonts w:hint="eastAsia" w:ascii="仿宋" w:hAnsi="仿宋" w:eastAsia="仿宋"/>
                <w:sz w:val="28"/>
                <w:szCs w:val="28"/>
                <w:lang w:val="en-US" w:eastAsia="zh-CN"/>
              </w:rPr>
              <w:t>4</w:t>
            </w:r>
          </w:p>
        </w:tc>
        <w:tc>
          <w:tcPr>
            <w:tcW w:w="6967" w:type="dxa"/>
            <w:tcMar>
              <w:top w:w="15" w:type="dxa"/>
              <w:left w:w="15" w:type="dxa"/>
              <w:bottom w:w="15" w:type="dxa"/>
              <w:right w:w="15" w:type="dxa"/>
            </w:tcMar>
            <w:vAlign w:val="center"/>
          </w:tcPr>
          <w:p>
            <w:pPr>
              <w:spacing w:line="300" w:lineRule="exact"/>
              <w:rPr>
                <w:rFonts w:ascii="仿宋" w:hAnsi="仿宋" w:eastAsia="仿宋"/>
                <w:color w:val="auto"/>
                <w:sz w:val="28"/>
                <w:szCs w:val="28"/>
              </w:rPr>
            </w:pPr>
            <w:r>
              <w:rPr>
                <w:rFonts w:hint="eastAsia" w:ascii="仿宋" w:hAnsi="仿宋" w:eastAsia="仿宋"/>
                <w:color w:val="auto"/>
                <w:sz w:val="28"/>
                <w:szCs w:val="28"/>
              </w:rPr>
              <w:t>要求企业专职专业人员不少于20人，其中：工程或者工程经济系列中级以上专业技术职称的人员不少于16人，取得造价工程师注册证书的人员不少于10人（提供</w:t>
            </w:r>
            <w:r>
              <w:rPr>
                <w:rFonts w:hint="eastAsia" w:ascii="仿宋" w:hAnsi="仿宋" w:eastAsia="仿宋"/>
                <w:color w:val="auto"/>
                <w:sz w:val="28"/>
                <w:szCs w:val="28"/>
                <w:lang w:eastAsia="zh-CN"/>
              </w:rPr>
              <w:t>公司简介</w:t>
            </w:r>
            <w:r>
              <w:rPr>
                <w:rFonts w:hint="eastAsia" w:ascii="仿宋" w:hAnsi="仿宋" w:eastAsia="仿宋"/>
                <w:color w:val="auto"/>
                <w:sz w:val="28"/>
                <w:szCs w:val="28"/>
              </w:rPr>
              <w:t>加盖</w:t>
            </w:r>
            <w:r>
              <w:rPr>
                <w:rFonts w:hint="eastAsia" w:ascii="仿宋" w:hAnsi="仿宋" w:eastAsia="仿宋"/>
                <w:color w:val="auto"/>
                <w:sz w:val="28"/>
                <w:szCs w:val="28"/>
                <w:lang w:val="en-US" w:eastAsia="zh-CN"/>
              </w:rPr>
              <w:t>参加</w:t>
            </w:r>
            <w:r>
              <w:rPr>
                <w:rFonts w:hint="eastAsia" w:ascii="仿宋" w:hAnsi="仿宋" w:eastAsia="仿宋"/>
                <w:color w:val="auto"/>
                <w:sz w:val="28"/>
                <w:szCs w:val="28"/>
              </w:rPr>
              <w:t>单位公章</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投标文件中无人员信息的不得分</w:t>
            </w:r>
            <w:r>
              <w:rPr>
                <w:rFonts w:hint="eastAsia" w:ascii="仿宋" w:hAnsi="仿宋" w:eastAsia="仿宋"/>
                <w:color w:val="auto"/>
                <w:sz w:val="28"/>
                <w:szCs w:val="28"/>
              </w:rPr>
              <w:t>）。</w:t>
            </w:r>
          </w:p>
          <w:p>
            <w:pPr>
              <w:spacing w:line="300" w:lineRule="exact"/>
              <w:rPr>
                <w:rFonts w:hint="default" w:ascii="仿宋" w:hAnsi="仿宋" w:eastAsia="仿宋"/>
                <w:color w:val="auto"/>
                <w:sz w:val="28"/>
                <w:szCs w:val="28"/>
                <w:lang w:val="en-US" w:eastAsia="zh-CN"/>
              </w:rPr>
            </w:pPr>
            <w:r>
              <w:rPr>
                <w:rFonts w:hint="eastAsia" w:ascii="仿宋" w:hAnsi="仿宋" w:eastAsia="仿宋"/>
                <w:color w:val="auto"/>
                <w:sz w:val="28"/>
                <w:szCs w:val="28"/>
              </w:rPr>
              <w:t>●满足上述要</w:t>
            </w:r>
            <w:r>
              <w:rPr>
                <w:rFonts w:hint="eastAsia" w:ascii="仿宋" w:hAnsi="仿宋" w:eastAsia="仿宋"/>
                <w:color w:val="auto"/>
                <w:sz w:val="28"/>
                <w:szCs w:val="28"/>
                <w:lang w:val="en-US" w:eastAsia="zh-CN"/>
              </w:rPr>
              <w:t>求的基础上，职称及执业证书等级由高向低排序，等级越高的人数越多则得分越高。优4分，良3分，可2分，差1分。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374" w:hRule="atLeast"/>
          <w:tblCellSpacing w:w="0" w:type="dxa"/>
          <w:jc w:val="center"/>
        </w:trPr>
        <w:tc>
          <w:tcPr>
            <w:tcW w:w="1355" w:type="dxa"/>
            <w:tcMar>
              <w:top w:w="15" w:type="dxa"/>
              <w:left w:w="15" w:type="dxa"/>
              <w:bottom w:w="15" w:type="dxa"/>
              <w:right w:w="15" w:type="dxa"/>
            </w:tcMar>
            <w:vAlign w:val="center"/>
          </w:tcPr>
          <w:p>
            <w:pPr>
              <w:spacing w:line="300" w:lineRule="exact"/>
              <w:jc w:val="center"/>
              <w:rPr>
                <w:rFonts w:ascii="仿宋" w:hAnsi="仿宋" w:eastAsia="仿宋"/>
                <w:sz w:val="28"/>
                <w:szCs w:val="28"/>
              </w:rPr>
            </w:pPr>
            <w:r>
              <w:rPr>
                <w:rFonts w:hint="eastAsia" w:ascii="仿宋" w:hAnsi="仿宋" w:eastAsia="仿宋"/>
                <w:sz w:val="28"/>
                <w:szCs w:val="28"/>
              </w:rPr>
              <w:t>企业质量保证</w:t>
            </w:r>
          </w:p>
        </w:tc>
        <w:tc>
          <w:tcPr>
            <w:tcW w:w="708" w:type="dxa"/>
            <w:tcMar>
              <w:top w:w="15" w:type="dxa"/>
              <w:left w:w="15" w:type="dxa"/>
              <w:bottom w:w="15" w:type="dxa"/>
              <w:right w:w="15" w:type="dxa"/>
            </w:tcMar>
            <w:vAlign w:val="center"/>
          </w:tcPr>
          <w:p>
            <w:pPr>
              <w:spacing w:line="360" w:lineRule="auto"/>
              <w:jc w:val="center"/>
              <w:rPr>
                <w:rFonts w:ascii="仿宋" w:hAnsi="仿宋" w:eastAsia="仿宋"/>
                <w:sz w:val="28"/>
                <w:szCs w:val="28"/>
              </w:rPr>
            </w:pPr>
            <w:r>
              <w:rPr>
                <w:rFonts w:hint="eastAsia" w:ascii="仿宋" w:hAnsi="仿宋" w:eastAsia="仿宋"/>
                <w:sz w:val="28"/>
                <w:szCs w:val="28"/>
              </w:rPr>
              <w:t>2</w:t>
            </w:r>
          </w:p>
        </w:tc>
        <w:tc>
          <w:tcPr>
            <w:tcW w:w="6967" w:type="dxa"/>
            <w:tcMar>
              <w:top w:w="15" w:type="dxa"/>
              <w:left w:w="15" w:type="dxa"/>
              <w:bottom w:w="15" w:type="dxa"/>
              <w:right w:w="15" w:type="dxa"/>
            </w:tcMar>
            <w:vAlign w:val="center"/>
          </w:tcPr>
          <w:p>
            <w:pPr>
              <w:spacing w:line="300" w:lineRule="exact"/>
              <w:rPr>
                <w:rFonts w:ascii="仿宋" w:hAnsi="仿宋" w:eastAsia="仿宋"/>
                <w:b/>
                <w:color w:val="auto"/>
                <w:sz w:val="28"/>
                <w:szCs w:val="28"/>
              </w:rPr>
            </w:pPr>
            <w:r>
              <w:rPr>
                <w:rFonts w:hint="eastAsia" w:ascii="仿宋" w:hAnsi="仿宋" w:eastAsia="仿宋"/>
                <w:b/>
                <w:color w:val="auto"/>
                <w:sz w:val="28"/>
                <w:szCs w:val="28"/>
              </w:rPr>
              <w:t>取得质量管理体系认证证书得2分；（提供证书扫描件或复印件加盖</w:t>
            </w:r>
            <w:r>
              <w:rPr>
                <w:rFonts w:hint="eastAsia" w:ascii="仿宋" w:hAnsi="仿宋" w:eastAsia="仿宋"/>
                <w:b/>
                <w:color w:val="auto"/>
                <w:sz w:val="28"/>
                <w:szCs w:val="28"/>
                <w:lang w:val="en-US" w:eastAsia="zh-CN"/>
              </w:rPr>
              <w:t>参加</w:t>
            </w:r>
            <w:r>
              <w:rPr>
                <w:rFonts w:hint="eastAsia" w:ascii="仿宋" w:hAnsi="仿宋" w:eastAsia="仿宋"/>
                <w:b/>
                <w:color w:val="auto"/>
                <w:sz w:val="28"/>
                <w:szCs w:val="28"/>
              </w:rPr>
              <w:t>单位公章）。</w:t>
            </w:r>
          </w:p>
          <w:p>
            <w:pPr>
              <w:spacing w:line="300" w:lineRule="exact"/>
              <w:rPr>
                <w:rFonts w:ascii="仿宋" w:hAnsi="仿宋" w:eastAsia="仿宋"/>
                <w:color w:val="auto"/>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374" w:hRule="atLeast"/>
          <w:tblCellSpacing w:w="0" w:type="dxa"/>
          <w:jc w:val="center"/>
        </w:trPr>
        <w:tc>
          <w:tcPr>
            <w:tcW w:w="1355" w:type="dxa"/>
            <w:tcMar>
              <w:top w:w="15" w:type="dxa"/>
              <w:left w:w="15" w:type="dxa"/>
              <w:bottom w:w="15" w:type="dxa"/>
              <w:right w:w="15" w:type="dxa"/>
            </w:tcMar>
            <w:vAlign w:val="center"/>
          </w:tcPr>
          <w:p>
            <w:pPr>
              <w:spacing w:line="300" w:lineRule="exact"/>
              <w:jc w:val="center"/>
              <w:rPr>
                <w:rFonts w:ascii="仿宋" w:hAnsi="仿宋" w:eastAsia="仿宋"/>
                <w:sz w:val="28"/>
                <w:szCs w:val="28"/>
              </w:rPr>
            </w:pPr>
            <w:r>
              <w:rPr>
                <w:rFonts w:hint="eastAsia" w:ascii="仿宋" w:hAnsi="仿宋" w:eastAsia="仿宋"/>
                <w:sz w:val="28"/>
                <w:szCs w:val="28"/>
              </w:rPr>
              <w:t>公司纳税情况（提供纳税证明扫描件）</w:t>
            </w:r>
          </w:p>
        </w:tc>
        <w:tc>
          <w:tcPr>
            <w:tcW w:w="708" w:type="dxa"/>
            <w:tcMar>
              <w:top w:w="15" w:type="dxa"/>
              <w:left w:w="15" w:type="dxa"/>
              <w:bottom w:w="15" w:type="dxa"/>
              <w:right w:w="15" w:type="dxa"/>
            </w:tcMar>
            <w:vAlign w:val="center"/>
          </w:tcPr>
          <w:p>
            <w:pPr>
              <w:spacing w:line="360" w:lineRule="auto"/>
              <w:jc w:val="center"/>
              <w:rPr>
                <w:rFonts w:ascii="仿宋" w:hAnsi="仿宋" w:eastAsia="仿宋"/>
                <w:sz w:val="28"/>
                <w:szCs w:val="28"/>
              </w:rPr>
            </w:pPr>
            <w:r>
              <w:rPr>
                <w:rFonts w:hint="eastAsia" w:ascii="仿宋" w:hAnsi="仿宋" w:eastAsia="仿宋"/>
                <w:sz w:val="28"/>
                <w:szCs w:val="28"/>
              </w:rPr>
              <w:t>4</w:t>
            </w:r>
          </w:p>
        </w:tc>
        <w:tc>
          <w:tcPr>
            <w:tcW w:w="6967" w:type="dxa"/>
            <w:tcMar>
              <w:top w:w="15" w:type="dxa"/>
              <w:left w:w="15" w:type="dxa"/>
              <w:bottom w:w="15" w:type="dxa"/>
              <w:right w:w="15" w:type="dxa"/>
            </w:tcMar>
            <w:vAlign w:val="center"/>
          </w:tcPr>
          <w:p>
            <w:pPr>
              <w:tabs>
                <w:tab w:val="left" w:pos="855"/>
              </w:tabs>
              <w:spacing w:line="300" w:lineRule="exact"/>
              <w:rPr>
                <w:rFonts w:ascii="仿宋" w:hAnsi="仿宋" w:eastAsia="仿宋"/>
                <w:b/>
                <w:color w:val="auto"/>
                <w:sz w:val="28"/>
                <w:szCs w:val="28"/>
              </w:rPr>
            </w:pPr>
            <w:r>
              <w:rPr>
                <w:rFonts w:hint="eastAsia" w:ascii="仿宋" w:hAnsi="仿宋" w:eastAsia="仿宋"/>
                <w:b/>
                <w:color w:val="auto"/>
                <w:sz w:val="28"/>
                <w:szCs w:val="28"/>
              </w:rPr>
              <w:t>参加单位近3年缴纳税额总额（需提供税务部门打印盖章以及加盖参加单位公章的纳税证明）。</w:t>
            </w:r>
          </w:p>
          <w:p>
            <w:pPr>
              <w:spacing w:line="300" w:lineRule="exact"/>
              <w:rPr>
                <w:rFonts w:ascii="仿宋" w:hAnsi="仿宋" w:eastAsia="仿宋"/>
                <w:color w:val="auto"/>
                <w:sz w:val="28"/>
                <w:szCs w:val="28"/>
              </w:rPr>
            </w:pPr>
            <w:r>
              <w:rPr>
                <w:rFonts w:hint="eastAsia" w:ascii="仿宋" w:hAnsi="仿宋" w:eastAsia="仿宋"/>
                <w:color w:val="auto"/>
                <w:sz w:val="28"/>
                <w:szCs w:val="28"/>
              </w:rPr>
              <w:t>●达到100万元及以上，得4分</w:t>
            </w:r>
          </w:p>
          <w:p>
            <w:pPr>
              <w:spacing w:line="300" w:lineRule="exact"/>
              <w:rPr>
                <w:rFonts w:ascii="仿宋" w:hAnsi="仿宋" w:eastAsia="仿宋"/>
                <w:color w:val="auto"/>
                <w:sz w:val="28"/>
                <w:szCs w:val="28"/>
              </w:rPr>
            </w:pPr>
            <w:r>
              <w:rPr>
                <w:rFonts w:hint="eastAsia" w:ascii="仿宋" w:hAnsi="仿宋" w:eastAsia="仿宋"/>
                <w:color w:val="auto"/>
                <w:sz w:val="28"/>
                <w:szCs w:val="28"/>
              </w:rPr>
              <w:t>●达到50-100万元，得2分；</w:t>
            </w:r>
          </w:p>
          <w:p>
            <w:pPr>
              <w:spacing w:line="360" w:lineRule="auto"/>
              <w:rPr>
                <w:color w:val="auto"/>
                <w:kern w:val="0"/>
              </w:rPr>
            </w:pPr>
            <w:r>
              <w:rPr>
                <w:rFonts w:hint="eastAsia" w:ascii="仿宋" w:hAnsi="仿宋" w:eastAsia="仿宋"/>
                <w:color w:val="auto"/>
                <w:sz w:val="28"/>
                <w:szCs w:val="28"/>
              </w:rPr>
              <w:t>●达到50万元以下，得0分。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3570" w:hRule="atLeast"/>
          <w:tblCellSpacing w:w="0" w:type="dxa"/>
          <w:jc w:val="center"/>
        </w:trPr>
        <w:tc>
          <w:tcPr>
            <w:tcW w:w="1355" w:type="dxa"/>
            <w:tcMar>
              <w:top w:w="15" w:type="dxa"/>
              <w:left w:w="15" w:type="dxa"/>
              <w:bottom w:w="15" w:type="dxa"/>
              <w:right w:w="15" w:type="dxa"/>
            </w:tcMar>
            <w:vAlign w:val="center"/>
          </w:tcPr>
          <w:p>
            <w:pPr>
              <w:spacing w:line="360" w:lineRule="auto"/>
              <w:jc w:val="center"/>
              <w:rPr>
                <w:rFonts w:ascii="仿宋" w:hAnsi="仿宋" w:eastAsia="仿宋"/>
                <w:sz w:val="28"/>
                <w:szCs w:val="28"/>
                <w:highlight w:val="yellow"/>
              </w:rPr>
            </w:pPr>
            <w:r>
              <w:rPr>
                <w:rFonts w:hint="eastAsia" w:ascii="仿宋" w:hAnsi="仿宋" w:eastAsia="仿宋"/>
                <w:sz w:val="28"/>
                <w:szCs w:val="28"/>
              </w:rPr>
              <w:t>同类项目业绩</w:t>
            </w:r>
          </w:p>
        </w:tc>
        <w:tc>
          <w:tcPr>
            <w:tcW w:w="708" w:type="dxa"/>
            <w:tcMar>
              <w:top w:w="15" w:type="dxa"/>
              <w:left w:w="15" w:type="dxa"/>
              <w:bottom w:w="15" w:type="dxa"/>
              <w:right w:w="15" w:type="dxa"/>
            </w:tcMar>
            <w:vAlign w:val="center"/>
          </w:tcPr>
          <w:p>
            <w:pPr>
              <w:spacing w:line="3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6</w:t>
            </w:r>
          </w:p>
        </w:tc>
        <w:tc>
          <w:tcPr>
            <w:tcW w:w="6967" w:type="dxa"/>
            <w:tcMar>
              <w:top w:w="15" w:type="dxa"/>
              <w:left w:w="15" w:type="dxa"/>
              <w:bottom w:w="15" w:type="dxa"/>
              <w:right w:w="15" w:type="dxa"/>
            </w:tcMar>
            <w:vAlign w:val="center"/>
          </w:tcPr>
          <w:p>
            <w:pPr>
              <w:spacing w:line="300" w:lineRule="exact"/>
              <w:rPr>
                <w:rFonts w:hint="eastAsia" w:ascii="仿宋" w:hAnsi="仿宋" w:eastAsia="仿宋"/>
                <w:color w:val="auto"/>
                <w:sz w:val="28"/>
                <w:szCs w:val="28"/>
              </w:rPr>
            </w:pPr>
            <w:r>
              <w:rPr>
                <w:rFonts w:hint="eastAsia" w:ascii="仿宋" w:hAnsi="仿宋" w:eastAsia="仿宋"/>
                <w:color w:val="auto"/>
                <w:sz w:val="28"/>
                <w:szCs w:val="28"/>
              </w:rPr>
              <w:t>参加单位至少有一个代表性的市属国企或在深央企造价咨询项目（提供合同</w:t>
            </w:r>
            <w:r>
              <w:rPr>
                <w:rFonts w:hint="eastAsia" w:ascii="仿宋" w:hAnsi="仿宋" w:eastAsia="仿宋"/>
                <w:color w:val="auto"/>
                <w:sz w:val="28"/>
                <w:szCs w:val="28"/>
                <w:lang w:val="en-US" w:eastAsia="zh-CN"/>
              </w:rPr>
              <w:t>协议书关键页</w:t>
            </w:r>
            <w:r>
              <w:rPr>
                <w:rFonts w:hint="eastAsia" w:ascii="仿宋" w:hAnsi="仿宋" w:eastAsia="仿宋"/>
                <w:color w:val="auto"/>
                <w:sz w:val="28"/>
                <w:szCs w:val="28"/>
              </w:rPr>
              <w:t>扫描件或复印件加盖</w:t>
            </w:r>
            <w:r>
              <w:rPr>
                <w:rFonts w:hint="eastAsia" w:ascii="仿宋" w:hAnsi="仿宋" w:eastAsia="仿宋"/>
                <w:color w:val="auto"/>
                <w:sz w:val="28"/>
                <w:szCs w:val="28"/>
                <w:lang w:val="en-US" w:eastAsia="zh-CN"/>
              </w:rPr>
              <w:t>参加</w:t>
            </w:r>
            <w:r>
              <w:rPr>
                <w:rFonts w:hint="eastAsia" w:ascii="仿宋" w:hAnsi="仿宋" w:eastAsia="仿宋"/>
                <w:color w:val="auto"/>
                <w:sz w:val="28"/>
                <w:szCs w:val="28"/>
              </w:rPr>
              <w:t>单位公章</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所提供资料无法判断投资主体的不得分</w:t>
            </w:r>
            <w:r>
              <w:rPr>
                <w:rFonts w:hint="eastAsia" w:ascii="仿宋" w:hAnsi="仿宋" w:eastAsia="仿宋"/>
                <w:color w:val="auto"/>
                <w:sz w:val="28"/>
                <w:szCs w:val="28"/>
              </w:rPr>
              <w:t>）。</w:t>
            </w:r>
          </w:p>
          <w:p>
            <w:pPr>
              <w:spacing w:line="300" w:lineRule="exact"/>
              <w:rPr>
                <w:rFonts w:hint="eastAsia" w:ascii="仿宋" w:hAnsi="仿宋" w:eastAsia="仿宋"/>
                <w:color w:val="auto"/>
                <w:sz w:val="28"/>
                <w:szCs w:val="28"/>
                <w:lang w:eastAsia="zh-CN"/>
              </w:rPr>
            </w:pPr>
            <w:r>
              <w:rPr>
                <w:rFonts w:hint="eastAsia" w:ascii="仿宋" w:hAnsi="仿宋" w:eastAsia="仿宋"/>
                <w:color w:val="auto"/>
                <w:sz w:val="28"/>
                <w:szCs w:val="28"/>
              </w:rPr>
              <w:t>●</w:t>
            </w:r>
            <w:r>
              <w:rPr>
                <w:rFonts w:hint="eastAsia" w:ascii="仿宋" w:hAnsi="仿宋" w:eastAsia="仿宋"/>
                <w:color w:val="auto"/>
                <w:sz w:val="28"/>
                <w:szCs w:val="28"/>
                <w:lang w:val="en-US" w:eastAsia="zh-CN"/>
              </w:rPr>
              <w:t>与某</w:t>
            </w:r>
            <w:r>
              <w:rPr>
                <w:rFonts w:hint="eastAsia" w:ascii="仿宋" w:hAnsi="仿宋" w:eastAsia="仿宋"/>
                <w:color w:val="auto"/>
                <w:sz w:val="28"/>
                <w:szCs w:val="28"/>
              </w:rPr>
              <w:t>市属国企或在深央企同</w:t>
            </w:r>
            <w:r>
              <w:rPr>
                <w:rFonts w:hint="eastAsia" w:ascii="仿宋" w:hAnsi="仿宋" w:eastAsia="仿宋"/>
                <w:color w:val="auto"/>
                <w:sz w:val="28"/>
                <w:szCs w:val="28"/>
                <w:lang w:val="en-US" w:eastAsia="zh-CN"/>
              </w:rPr>
              <w:t>签订合同</w:t>
            </w:r>
            <w:r>
              <w:rPr>
                <w:rFonts w:hint="eastAsia" w:ascii="仿宋" w:hAnsi="仿宋" w:eastAsia="仿宋"/>
                <w:color w:val="auto"/>
                <w:sz w:val="28"/>
                <w:szCs w:val="28"/>
              </w:rPr>
              <w:t>累计6年及以上（含6年），</w:t>
            </w:r>
            <w:r>
              <w:rPr>
                <w:rFonts w:hint="eastAsia" w:ascii="仿宋" w:hAnsi="仿宋" w:eastAsia="仿宋"/>
                <w:color w:val="auto"/>
                <w:sz w:val="28"/>
                <w:szCs w:val="28"/>
                <w:lang w:val="en-US" w:eastAsia="zh-CN"/>
              </w:rPr>
              <w:t>每家企业业绩</w:t>
            </w:r>
            <w:r>
              <w:rPr>
                <w:rFonts w:hint="eastAsia" w:ascii="仿宋" w:hAnsi="仿宋" w:eastAsia="仿宋"/>
                <w:color w:val="auto"/>
                <w:sz w:val="28"/>
                <w:szCs w:val="28"/>
              </w:rPr>
              <w:t>得</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分</w:t>
            </w:r>
            <w:r>
              <w:rPr>
                <w:rFonts w:hint="eastAsia" w:ascii="仿宋" w:hAnsi="仿宋" w:eastAsia="仿宋"/>
                <w:color w:val="auto"/>
                <w:sz w:val="28"/>
                <w:szCs w:val="28"/>
                <w:lang w:eastAsia="zh-CN"/>
              </w:rPr>
              <w:t>；</w:t>
            </w:r>
          </w:p>
          <w:p>
            <w:pPr>
              <w:spacing w:line="300" w:lineRule="exact"/>
              <w:rPr>
                <w:rFonts w:hint="eastAsia" w:ascii="仿宋" w:hAnsi="仿宋" w:eastAsia="仿宋"/>
                <w:color w:val="auto"/>
                <w:sz w:val="28"/>
                <w:szCs w:val="28"/>
              </w:rPr>
            </w:pPr>
            <w:r>
              <w:rPr>
                <w:rFonts w:hint="eastAsia" w:ascii="仿宋" w:hAnsi="仿宋" w:eastAsia="仿宋"/>
                <w:color w:val="auto"/>
                <w:sz w:val="28"/>
                <w:szCs w:val="28"/>
              </w:rPr>
              <w:t>●</w:t>
            </w:r>
            <w:r>
              <w:rPr>
                <w:rFonts w:hint="eastAsia" w:ascii="仿宋" w:hAnsi="仿宋" w:eastAsia="仿宋"/>
                <w:color w:val="auto"/>
                <w:sz w:val="28"/>
                <w:szCs w:val="28"/>
                <w:lang w:val="en-US" w:eastAsia="zh-CN"/>
              </w:rPr>
              <w:t>与某</w:t>
            </w:r>
            <w:r>
              <w:rPr>
                <w:rFonts w:hint="eastAsia" w:ascii="仿宋" w:hAnsi="仿宋" w:eastAsia="仿宋"/>
                <w:color w:val="auto"/>
                <w:sz w:val="28"/>
                <w:szCs w:val="28"/>
              </w:rPr>
              <w:t>市属国企或在深央企同</w:t>
            </w:r>
            <w:r>
              <w:rPr>
                <w:rFonts w:hint="eastAsia" w:ascii="仿宋" w:hAnsi="仿宋" w:eastAsia="仿宋"/>
                <w:color w:val="auto"/>
                <w:sz w:val="28"/>
                <w:szCs w:val="28"/>
                <w:lang w:val="en-US" w:eastAsia="zh-CN"/>
              </w:rPr>
              <w:t>签订合同</w:t>
            </w:r>
            <w:r>
              <w:rPr>
                <w:rFonts w:hint="eastAsia" w:ascii="仿宋" w:hAnsi="仿宋" w:eastAsia="仿宋"/>
                <w:color w:val="auto"/>
                <w:sz w:val="28"/>
                <w:szCs w:val="28"/>
              </w:rPr>
              <w:t>累计3-6年（含3年），</w:t>
            </w:r>
            <w:r>
              <w:rPr>
                <w:rFonts w:hint="eastAsia" w:ascii="仿宋" w:hAnsi="仿宋" w:eastAsia="仿宋"/>
                <w:color w:val="auto"/>
                <w:sz w:val="28"/>
                <w:szCs w:val="28"/>
                <w:lang w:val="en-US" w:eastAsia="zh-CN"/>
              </w:rPr>
              <w:t>每家企业业绩</w:t>
            </w:r>
            <w:r>
              <w:rPr>
                <w:rFonts w:hint="eastAsia" w:ascii="仿宋" w:hAnsi="仿宋" w:eastAsia="仿宋"/>
                <w:color w:val="auto"/>
                <w:sz w:val="28"/>
                <w:szCs w:val="28"/>
              </w:rPr>
              <w:t>得</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分；</w:t>
            </w:r>
          </w:p>
          <w:p>
            <w:pPr>
              <w:spacing w:line="300" w:lineRule="exact"/>
              <w:rPr>
                <w:rFonts w:hint="eastAsia" w:ascii="仿宋" w:hAnsi="仿宋" w:eastAsia="仿宋"/>
                <w:color w:val="auto"/>
                <w:sz w:val="28"/>
                <w:szCs w:val="28"/>
              </w:rPr>
            </w:pPr>
            <w:r>
              <w:rPr>
                <w:rFonts w:hint="eastAsia" w:ascii="仿宋" w:hAnsi="仿宋" w:eastAsia="仿宋"/>
                <w:color w:val="auto"/>
                <w:sz w:val="28"/>
                <w:szCs w:val="28"/>
              </w:rPr>
              <w:t>●</w:t>
            </w:r>
            <w:r>
              <w:rPr>
                <w:rFonts w:hint="eastAsia" w:ascii="仿宋" w:hAnsi="仿宋" w:eastAsia="仿宋"/>
                <w:color w:val="auto"/>
                <w:sz w:val="28"/>
                <w:szCs w:val="28"/>
                <w:lang w:val="en-US" w:eastAsia="zh-CN"/>
              </w:rPr>
              <w:t>与某</w:t>
            </w:r>
            <w:r>
              <w:rPr>
                <w:rFonts w:hint="eastAsia" w:ascii="仿宋" w:hAnsi="仿宋" w:eastAsia="仿宋"/>
                <w:color w:val="auto"/>
                <w:sz w:val="28"/>
                <w:szCs w:val="28"/>
              </w:rPr>
              <w:t>市属国企或在深央企同</w:t>
            </w:r>
            <w:r>
              <w:rPr>
                <w:rFonts w:hint="eastAsia" w:ascii="仿宋" w:hAnsi="仿宋" w:eastAsia="仿宋"/>
                <w:color w:val="auto"/>
                <w:sz w:val="28"/>
                <w:szCs w:val="28"/>
                <w:lang w:val="en-US" w:eastAsia="zh-CN"/>
              </w:rPr>
              <w:t>签订合同</w:t>
            </w:r>
            <w:r>
              <w:rPr>
                <w:rFonts w:hint="eastAsia" w:ascii="仿宋" w:hAnsi="仿宋" w:eastAsia="仿宋"/>
                <w:color w:val="auto"/>
                <w:sz w:val="28"/>
                <w:szCs w:val="28"/>
              </w:rPr>
              <w:t>累计3年以下，</w:t>
            </w:r>
            <w:r>
              <w:rPr>
                <w:rFonts w:hint="eastAsia" w:ascii="仿宋" w:hAnsi="仿宋" w:eastAsia="仿宋"/>
                <w:color w:val="auto"/>
                <w:sz w:val="28"/>
                <w:szCs w:val="28"/>
                <w:lang w:val="en-US" w:eastAsia="zh-CN"/>
              </w:rPr>
              <w:t>每家企业业绩</w:t>
            </w:r>
            <w:r>
              <w:rPr>
                <w:rFonts w:hint="eastAsia" w:ascii="仿宋" w:hAnsi="仿宋" w:eastAsia="仿宋"/>
                <w:color w:val="auto"/>
                <w:sz w:val="28"/>
                <w:szCs w:val="28"/>
              </w:rPr>
              <w:t>得1分；</w:t>
            </w:r>
          </w:p>
          <w:p>
            <w:pPr>
              <w:spacing w:line="300" w:lineRule="exact"/>
              <w:rPr>
                <w:rFonts w:hint="eastAsia" w:ascii="仿宋" w:hAnsi="仿宋" w:eastAsia="仿宋"/>
                <w:color w:val="auto"/>
                <w:sz w:val="28"/>
                <w:szCs w:val="28"/>
              </w:rPr>
            </w:pPr>
            <w:r>
              <w:rPr>
                <w:rFonts w:hint="eastAsia" w:ascii="仿宋" w:hAnsi="仿宋" w:eastAsia="仿宋"/>
                <w:color w:val="auto"/>
                <w:sz w:val="28"/>
                <w:szCs w:val="28"/>
              </w:rPr>
              <w:t>●无此类业绩，得0分。</w:t>
            </w:r>
          </w:p>
          <w:p>
            <w:pPr>
              <w:spacing w:line="300" w:lineRule="exact"/>
              <w:rPr>
                <w:rFonts w:hint="eastAsia" w:ascii="仿宋" w:hAnsi="仿宋" w:eastAsia="仿宋"/>
                <w:color w:val="auto"/>
                <w:sz w:val="28"/>
                <w:szCs w:val="28"/>
              </w:rPr>
            </w:pPr>
            <w:r>
              <w:rPr>
                <w:rFonts w:hint="eastAsia" w:ascii="仿宋" w:hAnsi="仿宋" w:eastAsia="仿宋"/>
                <w:color w:val="auto"/>
                <w:sz w:val="28"/>
                <w:szCs w:val="28"/>
                <w:lang w:val="en-US" w:eastAsia="zh-CN"/>
              </w:rPr>
              <w:t>备注：本项得分为以上各类业绩得分加总，最高分6分。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2770" w:hRule="atLeast"/>
          <w:tblCellSpacing w:w="0" w:type="dxa"/>
          <w:jc w:val="center"/>
        </w:trPr>
        <w:tc>
          <w:tcPr>
            <w:tcW w:w="1355" w:type="dxa"/>
            <w:tcMar>
              <w:top w:w="15" w:type="dxa"/>
              <w:left w:w="15" w:type="dxa"/>
              <w:bottom w:w="15" w:type="dxa"/>
              <w:right w:w="15" w:type="dxa"/>
            </w:tcMar>
            <w:vAlign w:val="center"/>
          </w:tcPr>
          <w:p>
            <w:pPr>
              <w:spacing w:line="300" w:lineRule="exact"/>
              <w:jc w:val="center"/>
              <w:rPr>
                <w:rFonts w:ascii="仿宋" w:hAnsi="仿宋" w:eastAsia="仿宋"/>
                <w:sz w:val="28"/>
                <w:szCs w:val="28"/>
              </w:rPr>
            </w:pPr>
            <w:r>
              <w:rPr>
                <w:rFonts w:hint="eastAsia" w:ascii="仿宋" w:hAnsi="仿宋" w:eastAsia="仿宋"/>
                <w:sz w:val="28"/>
                <w:szCs w:val="28"/>
              </w:rPr>
              <w:t>其他情况</w:t>
            </w:r>
          </w:p>
        </w:tc>
        <w:tc>
          <w:tcPr>
            <w:tcW w:w="708" w:type="dxa"/>
            <w:tcMar>
              <w:top w:w="15" w:type="dxa"/>
              <w:left w:w="15" w:type="dxa"/>
              <w:bottom w:w="15" w:type="dxa"/>
              <w:right w:w="15" w:type="dxa"/>
            </w:tcMar>
            <w:vAlign w:val="center"/>
          </w:tcPr>
          <w:p>
            <w:pPr>
              <w:spacing w:line="360" w:lineRule="auto"/>
              <w:jc w:val="center"/>
              <w:rPr>
                <w:rFonts w:ascii="仿宋" w:hAnsi="仿宋" w:eastAsia="仿宋"/>
                <w:sz w:val="28"/>
                <w:szCs w:val="28"/>
              </w:rPr>
            </w:pPr>
            <w:r>
              <w:rPr>
                <w:rFonts w:hint="eastAsia" w:ascii="仿宋" w:hAnsi="仿宋" w:eastAsia="仿宋"/>
                <w:sz w:val="28"/>
                <w:szCs w:val="28"/>
              </w:rPr>
              <w:t>4</w:t>
            </w:r>
          </w:p>
        </w:tc>
        <w:tc>
          <w:tcPr>
            <w:tcW w:w="6967" w:type="dxa"/>
            <w:tcMar>
              <w:top w:w="15" w:type="dxa"/>
              <w:left w:w="15" w:type="dxa"/>
              <w:bottom w:w="15" w:type="dxa"/>
              <w:right w:w="15" w:type="dxa"/>
            </w:tcMar>
            <w:vAlign w:val="center"/>
          </w:tcPr>
          <w:p>
            <w:pPr>
              <w:spacing w:line="300" w:lineRule="exact"/>
              <w:rPr>
                <w:rFonts w:ascii="仿宋" w:hAnsi="仿宋" w:eastAsia="仿宋"/>
                <w:color w:val="auto"/>
                <w:sz w:val="28"/>
                <w:szCs w:val="28"/>
              </w:rPr>
            </w:pPr>
            <w:r>
              <w:rPr>
                <w:rFonts w:hint="eastAsia" w:ascii="仿宋" w:hAnsi="仿宋" w:eastAsia="仿宋"/>
                <w:color w:val="auto"/>
                <w:sz w:val="28"/>
                <w:szCs w:val="28"/>
              </w:rPr>
              <w:t>单位近五年</w:t>
            </w:r>
            <w:r>
              <w:rPr>
                <w:rFonts w:hint="eastAsia" w:ascii="仿宋" w:hAnsi="仿宋" w:eastAsia="仿宋"/>
                <w:color w:val="auto"/>
                <w:sz w:val="28"/>
                <w:szCs w:val="28"/>
                <w:lang w:val="en-US" w:eastAsia="zh-CN"/>
              </w:rPr>
              <w:t>有作</w:t>
            </w:r>
            <w:r>
              <w:rPr>
                <w:rFonts w:hint="eastAsia" w:ascii="仿宋" w:hAnsi="仿宋" w:eastAsia="仿宋"/>
                <w:color w:val="auto"/>
                <w:sz w:val="28"/>
                <w:szCs w:val="28"/>
              </w:rPr>
              <w:t>为深圳市（区）工程造价管理站协助审核造价咨询服务的协审单位，或深圳市或区级政府部门投资项目协助审核造价咨询服务的协审单位（均需提供</w:t>
            </w:r>
            <w:r>
              <w:rPr>
                <w:rFonts w:hint="eastAsia" w:ascii="仿宋" w:hAnsi="仿宋" w:eastAsia="仿宋"/>
                <w:color w:val="auto"/>
                <w:sz w:val="28"/>
                <w:szCs w:val="28"/>
                <w:lang w:val="en-US" w:eastAsia="zh-CN"/>
              </w:rPr>
              <w:t>合同协议书关键页</w:t>
            </w:r>
            <w:r>
              <w:rPr>
                <w:rFonts w:hint="eastAsia" w:ascii="仿宋" w:hAnsi="仿宋" w:eastAsia="仿宋"/>
                <w:color w:val="auto"/>
                <w:sz w:val="28"/>
                <w:szCs w:val="28"/>
              </w:rPr>
              <w:t>加盖</w:t>
            </w:r>
            <w:r>
              <w:rPr>
                <w:rFonts w:hint="eastAsia" w:ascii="仿宋" w:hAnsi="仿宋" w:eastAsia="仿宋"/>
                <w:color w:val="auto"/>
                <w:sz w:val="28"/>
                <w:szCs w:val="28"/>
                <w:lang w:val="en-US" w:eastAsia="zh-CN"/>
              </w:rPr>
              <w:t>参加</w:t>
            </w:r>
            <w:r>
              <w:rPr>
                <w:rFonts w:hint="eastAsia" w:ascii="仿宋" w:hAnsi="仿宋" w:eastAsia="仿宋"/>
                <w:color w:val="auto"/>
                <w:sz w:val="28"/>
                <w:szCs w:val="28"/>
              </w:rPr>
              <w:t>单位公章</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所提供资料无法判断投资主体的不得分</w:t>
            </w:r>
            <w:r>
              <w:rPr>
                <w:rFonts w:hint="eastAsia" w:ascii="仿宋" w:hAnsi="仿宋" w:eastAsia="仿宋"/>
                <w:color w:val="auto"/>
                <w:sz w:val="28"/>
                <w:szCs w:val="28"/>
              </w:rPr>
              <w:t>）。</w:t>
            </w:r>
          </w:p>
          <w:p>
            <w:pPr>
              <w:spacing w:line="300" w:lineRule="exact"/>
              <w:rPr>
                <w:rFonts w:ascii="仿宋" w:hAnsi="仿宋" w:eastAsia="仿宋"/>
                <w:color w:val="auto"/>
                <w:sz w:val="28"/>
                <w:szCs w:val="28"/>
              </w:rPr>
            </w:pPr>
            <w:r>
              <w:rPr>
                <w:rFonts w:hint="eastAsia" w:ascii="仿宋" w:hAnsi="仿宋" w:eastAsia="仿宋"/>
                <w:color w:val="auto"/>
                <w:sz w:val="28"/>
                <w:szCs w:val="28"/>
              </w:rPr>
              <w:t>●两项都是，得4分；</w:t>
            </w:r>
          </w:p>
          <w:p>
            <w:pPr>
              <w:spacing w:line="300" w:lineRule="exact"/>
              <w:rPr>
                <w:rFonts w:ascii="仿宋" w:hAnsi="仿宋" w:eastAsia="仿宋"/>
                <w:color w:val="auto"/>
                <w:sz w:val="28"/>
                <w:szCs w:val="28"/>
              </w:rPr>
            </w:pPr>
            <w:r>
              <w:rPr>
                <w:rFonts w:hint="eastAsia" w:ascii="仿宋" w:hAnsi="仿宋" w:eastAsia="仿宋"/>
                <w:color w:val="auto"/>
                <w:sz w:val="28"/>
                <w:szCs w:val="28"/>
              </w:rPr>
              <w:t>●只一项是，得2分；</w:t>
            </w:r>
          </w:p>
          <w:p>
            <w:pPr>
              <w:spacing w:line="360" w:lineRule="auto"/>
              <w:rPr>
                <w:rFonts w:ascii="仿宋" w:hAnsi="仿宋" w:eastAsia="仿宋"/>
                <w:color w:val="auto"/>
                <w:sz w:val="28"/>
                <w:szCs w:val="28"/>
              </w:rPr>
            </w:pPr>
            <w:r>
              <w:rPr>
                <w:rFonts w:hint="eastAsia" w:ascii="仿宋" w:hAnsi="仿宋" w:eastAsia="仿宋"/>
                <w:color w:val="auto"/>
                <w:sz w:val="28"/>
                <w:szCs w:val="28"/>
              </w:rPr>
              <w:t>●都不是，得0分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374" w:hRule="atLeast"/>
          <w:tblCellSpacing w:w="0" w:type="dxa"/>
          <w:jc w:val="center"/>
        </w:trPr>
        <w:tc>
          <w:tcPr>
            <w:tcW w:w="9030" w:type="dxa"/>
            <w:gridSpan w:val="3"/>
            <w:tcMar>
              <w:top w:w="15" w:type="dxa"/>
              <w:left w:w="15" w:type="dxa"/>
              <w:bottom w:w="15" w:type="dxa"/>
              <w:right w:w="15" w:type="dxa"/>
            </w:tcMar>
            <w:vAlign w:val="center"/>
          </w:tcPr>
          <w:p>
            <w:pPr>
              <w:spacing w:line="360" w:lineRule="auto"/>
              <w:jc w:val="center"/>
              <w:rPr>
                <w:rFonts w:ascii="仿宋" w:hAnsi="仿宋" w:eastAsia="仿宋"/>
                <w:b/>
                <w:color w:val="auto"/>
                <w:sz w:val="28"/>
                <w:szCs w:val="28"/>
                <w:highlight w:val="yellow"/>
              </w:rPr>
            </w:pPr>
            <w:r>
              <w:rPr>
                <w:rFonts w:hint="eastAsia" w:ascii="仿宋" w:hAnsi="仿宋" w:eastAsia="仿宋"/>
                <w:b/>
                <w:color w:val="auto"/>
                <w:sz w:val="28"/>
                <w:szCs w:val="28"/>
              </w:rPr>
              <w:t>技术标评议项（</w:t>
            </w:r>
            <w:r>
              <w:rPr>
                <w:rFonts w:hint="eastAsia" w:ascii="仿宋" w:hAnsi="仿宋" w:eastAsia="仿宋"/>
                <w:b/>
                <w:color w:val="auto"/>
                <w:sz w:val="28"/>
                <w:szCs w:val="28"/>
                <w:lang w:val="en-US" w:eastAsia="zh-CN"/>
              </w:rPr>
              <w:t>4</w:t>
            </w:r>
            <w:r>
              <w:rPr>
                <w:rFonts w:hint="eastAsia" w:ascii="仿宋" w:hAnsi="仿宋" w:eastAsia="仿宋"/>
                <w:color w:val="auto"/>
                <w:sz w:val="28"/>
                <w:szCs w:val="28"/>
                <w:lang w:val="en-US" w:eastAsia="zh-CN"/>
              </w:rPr>
              <w:t>0</w:t>
            </w:r>
            <w:r>
              <w:rPr>
                <w:rFonts w:ascii="仿宋" w:hAnsi="仿宋" w:eastAsia="仿宋"/>
                <w:b/>
                <w:color w:val="auto"/>
                <w:sz w:val="28"/>
                <w:szCs w:val="28"/>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663" w:hRule="atLeast"/>
          <w:tblCellSpacing w:w="0" w:type="dxa"/>
          <w:jc w:val="center"/>
        </w:trPr>
        <w:tc>
          <w:tcPr>
            <w:tcW w:w="1355" w:type="dxa"/>
            <w:tcMar>
              <w:top w:w="15" w:type="dxa"/>
              <w:left w:w="15" w:type="dxa"/>
              <w:bottom w:w="15" w:type="dxa"/>
              <w:right w:w="15" w:type="dxa"/>
            </w:tcMar>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项目负责人</w:t>
            </w:r>
          </w:p>
        </w:tc>
        <w:tc>
          <w:tcPr>
            <w:tcW w:w="708" w:type="dxa"/>
            <w:tcMar>
              <w:top w:w="15" w:type="dxa"/>
              <w:left w:w="15" w:type="dxa"/>
              <w:bottom w:w="15" w:type="dxa"/>
              <w:right w:w="15" w:type="dxa"/>
            </w:tcMar>
            <w:vAlign w:val="center"/>
          </w:tcPr>
          <w:p>
            <w:pPr>
              <w:spacing w:line="360" w:lineRule="auto"/>
              <w:jc w:val="center"/>
              <w:rPr>
                <w:rFonts w:ascii="仿宋" w:hAnsi="仿宋" w:eastAsia="仿宋"/>
                <w:sz w:val="28"/>
                <w:szCs w:val="28"/>
              </w:rPr>
            </w:pPr>
            <w:r>
              <w:rPr>
                <w:rFonts w:hint="eastAsia" w:ascii="仿宋" w:hAnsi="仿宋" w:eastAsia="仿宋"/>
                <w:sz w:val="28"/>
                <w:szCs w:val="28"/>
              </w:rPr>
              <w:t>7</w:t>
            </w:r>
          </w:p>
        </w:tc>
        <w:tc>
          <w:tcPr>
            <w:tcW w:w="6967" w:type="dxa"/>
            <w:tcMar>
              <w:top w:w="15" w:type="dxa"/>
              <w:left w:w="15" w:type="dxa"/>
              <w:bottom w:w="15" w:type="dxa"/>
              <w:right w:w="15" w:type="dxa"/>
            </w:tcMar>
            <w:vAlign w:val="center"/>
          </w:tcPr>
          <w:p>
            <w:pPr>
              <w:spacing w:line="300" w:lineRule="exact"/>
              <w:rPr>
                <w:rFonts w:ascii="仿宋" w:hAnsi="仿宋" w:eastAsia="仿宋"/>
                <w:color w:val="auto"/>
                <w:sz w:val="28"/>
                <w:szCs w:val="28"/>
              </w:rPr>
            </w:pPr>
            <w:r>
              <w:rPr>
                <w:rFonts w:hint="eastAsia" w:ascii="仿宋" w:hAnsi="仿宋" w:eastAsia="仿宋"/>
                <w:color w:val="auto"/>
                <w:sz w:val="28"/>
                <w:szCs w:val="28"/>
              </w:rPr>
              <w:t>●具备中级及以上职称</w:t>
            </w:r>
          </w:p>
          <w:p>
            <w:pPr>
              <w:spacing w:line="300" w:lineRule="exact"/>
              <w:rPr>
                <w:rFonts w:ascii="仿宋" w:hAnsi="仿宋" w:eastAsia="仿宋"/>
                <w:color w:val="auto"/>
                <w:sz w:val="28"/>
                <w:szCs w:val="28"/>
              </w:rPr>
            </w:pPr>
            <w:r>
              <w:rPr>
                <w:rFonts w:hint="eastAsia" w:ascii="仿宋" w:hAnsi="仿宋" w:eastAsia="仿宋"/>
                <w:color w:val="auto"/>
                <w:sz w:val="28"/>
                <w:szCs w:val="28"/>
              </w:rPr>
              <w:t>符合得1分，不符合得0分。</w:t>
            </w:r>
          </w:p>
          <w:p>
            <w:pPr>
              <w:spacing w:line="300" w:lineRule="exact"/>
              <w:rPr>
                <w:rFonts w:ascii="仿宋" w:hAnsi="仿宋" w:eastAsia="仿宋"/>
                <w:color w:val="auto"/>
                <w:sz w:val="28"/>
                <w:szCs w:val="28"/>
              </w:rPr>
            </w:pPr>
            <w:r>
              <w:rPr>
                <w:rFonts w:hint="eastAsia" w:ascii="仿宋" w:hAnsi="仿宋" w:eastAsia="仿宋"/>
                <w:color w:val="auto"/>
                <w:sz w:val="28"/>
                <w:szCs w:val="28"/>
              </w:rPr>
              <w:t>●具备注册造价工程师资格</w:t>
            </w:r>
          </w:p>
          <w:p>
            <w:pPr>
              <w:spacing w:line="300" w:lineRule="exact"/>
              <w:rPr>
                <w:rFonts w:ascii="仿宋" w:hAnsi="仿宋" w:eastAsia="仿宋"/>
                <w:color w:val="auto"/>
                <w:sz w:val="28"/>
                <w:szCs w:val="28"/>
              </w:rPr>
            </w:pPr>
            <w:r>
              <w:rPr>
                <w:rFonts w:hint="eastAsia" w:ascii="仿宋" w:hAnsi="仿宋" w:eastAsia="仿宋"/>
                <w:color w:val="auto"/>
                <w:sz w:val="28"/>
                <w:szCs w:val="28"/>
              </w:rPr>
              <w:t>符合得2分，不符合得0分。</w:t>
            </w:r>
          </w:p>
          <w:p>
            <w:pPr>
              <w:spacing w:line="300" w:lineRule="exact"/>
              <w:rPr>
                <w:rFonts w:ascii="仿宋" w:hAnsi="仿宋" w:eastAsia="仿宋"/>
                <w:color w:val="auto"/>
                <w:sz w:val="28"/>
                <w:szCs w:val="28"/>
              </w:rPr>
            </w:pPr>
            <w:r>
              <w:rPr>
                <w:rFonts w:hint="eastAsia" w:ascii="仿宋" w:hAnsi="仿宋" w:eastAsia="仿宋"/>
                <w:color w:val="auto"/>
                <w:sz w:val="28"/>
                <w:szCs w:val="28"/>
              </w:rPr>
              <w:t>●相关专业领域工作10年及以上</w:t>
            </w:r>
          </w:p>
          <w:p>
            <w:pPr>
              <w:spacing w:line="300" w:lineRule="exact"/>
              <w:rPr>
                <w:rFonts w:ascii="仿宋" w:hAnsi="仿宋" w:eastAsia="仿宋"/>
                <w:color w:val="auto"/>
                <w:sz w:val="28"/>
                <w:szCs w:val="28"/>
              </w:rPr>
            </w:pPr>
            <w:r>
              <w:rPr>
                <w:rFonts w:hint="eastAsia" w:ascii="仿宋" w:hAnsi="仿宋" w:eastAsia="仿宋"/>
                <w:color w:val="auto"/>
                <w:sz w:val="28"/>
                <w:szCs w:val="28"/>
              </w:rPr>
              <w:t>符合得2分，不符合得0分。</w:t>
            </w:r>
          </w:p>
          <w:p>
            <w:pPr>
              <w:spacing w:line="300" w:lineRule="exact"/>
              <w:rPr>
                <w:rFonts w:ascii="仿宋" w:hAnsi="仿宋" w:eastAsia="仿宋"/>
                <w:color w:val="auto"/>
                <w:sz w:val="28"/>
                <w:szCs w:val="28"/>
              </w:rPr>
            </w:pPr>
            <w:r>
              <w:rPr>
                <w:rFonts w:hint="eastAsia" w:ascii="仿宋" w:hAnsi="仿宋" w:eastAsia="仿宋"/>
                <w:color w:val="auto"/>
                <w:sz w:val="28"/>
                <w:szCs w:val="28"/>
              </w:rPr>
              <w:t>●以项目负责人身份完成编制政府或国企投资项目业绩</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项及以上（提供造价咨询成果签章页等相关证明材料</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所提供资料无法判断投资主体的不得分</w:t>
            </w:r>
            <w:r>
              <w:rPr>
                <w:rFonts w:hint="eastAsia" w:ascii="仿宋" w:hAnsi="仿宋" w:eastAsia="仿宋"/>
                <w:color w:val="auto"/>
                <w:sz w:val="28"/>
                <w:szCs w:val="28"/>
              </w:rPr>
              <w:t>）。</w:t>
            </w:r>
          </w:p>
          <w:p>
            <w:pPr>
              <w:widowControl/>
              <w:spacing w:line="360" w:lineRule="auto"/>
              <w:ind w:left="350" w:right="30" w:hanging="350" w:hangingChars="125"/>
              <w:jc w:val="left"/>
              <w:rPr>
                <w:rFonts w:ascii="仿宋" w:hAnsi="仿宋" w:eastAsia="仿宋" w:cs="宋体"/>
                <w:color w:val="auto"/>
                <w:kern w:val="0"/>
                <w:sz w:val="28"/>
                <w:szCs w:val="28"/>
              </w:rPr>
            </w:pPr>
            <w:r>
              <w:rPr>
                <w:rFonts w:hint="eastAsia" w:ascii="仿宋" w:hAnsi="仿宋" w:eastAsia="仿宋"/>
                <w:color w:val="auto"/>
                <w:sz w:val="28"/>
                <w:szCs w:val="28"/>
              </w:rPr>
              <w:t>符合得2分，不符合得0分。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663" w:hRule="atLeast"/>
          <w:tblCellSpacing w:w="0" w:type="dxa"/>
          <w:jc w:val="center"/>
        </w:trPr>
        <w:tc>
          <w:tcPr>
            <w:tcW w:w="1355" w:type="dxa"/>
            <w:tcMar>
              <w:top w:w="15" w:type="dxa"/>
              <w:left w:w="15" w:type="dxa"/>
              <w:bottom w:w="15" w:type="dxa"/>
              <w:right w:w="15" w:type="dxa"/>
            </w:tcMar>
            <w:vAlign w:val="center"/>
          </w:tcPr>
          <w:p>
            <w:pPr>
              <w:spacing w:line="360" w:lineRule="auto"/>
              <w:jc w:val="center"/>
              <w:rPr>
                <w:rFonts w:ascii="仿宋" w:hAnsi="仿宋" w:eastAsia="仿宋"/>
                <w:sz w:val="28"/>
                <w:szCs w:val="28"/>
              </w:rPr>
            </w:pPr>
            <w:r>
              <w:rPr>
                <w:rFonts w:hint="eastAsia" w:ascii="仿宋" w:hAnsi="仿宋" w:eastAsia="仿宋"/>
                <w:sz w:val="28"/>
                <w:szCs w:val="28"/>
              </w:rPr>
              <w:t>土建专业负责人</w:t>
            </w:r>
          </w:p>
        </w:tc>
        <w:tc>
          <w:tcPr>
            <w:tcW w:w="708" w:type="dxa"/>
            <w:tcMar>
              <w:top w:w="15" w:type="dxa"/>
              <w:left w:w="15" w:type="dxa"/>
              <w:bottom w:w="15" w:type="dxa"/>
              <w:right w:w="15" w:type="dxa"/>
            </w:tcMar>
            <w:vAlign w:val="center"/>
          </w:tcPr>
          <w:p>
            <w:pPr>
              <w:spacing w:line="360" w:lineRule="auto"/>
              <w:jc w:val="center"/>
              <w:rPr>
                <w:rFonts w:ascii="仿宋" w:hAnsi="仿宋" w:eastAsia="仿宋"/>
                <w:sz w:val="28"/>
                <w:szCs w:val="28"/>
              </w:rPr>
            </w:pPr>
            <w:r>
              <w:rPr>
                <w:rFonts w:hint="eastAsia" w:ascii="仿宋" w:hAnsi="仿宋" w:eastAsia="仿宋"/>
                <w:sz w:val="28"/>
                <w:szCs w:val="28"/>
              </w:rPr>
              <w:t>5</w:t>
            </w:r>
          </w:p>
        </w:tc>
        <w:tc>
          <w:tcPr>
            <w:tcW w:w="6967" w:type="dxa"/>
            <w:tcMar>
              <w:top w:w="15" w:type="dxa"/>
              <w:left w:w="15" w:type="dxa"/>
              <w:bottom w:w="15" w:type="dxa"/>
              <w:right w:w="15" w:type="dxa"/>
            </w:tcMar>
            <w:vAlign w:val="center"/>
          </w:tcPr>
          <w:p>
            <w:pPr>
              <w:spacing w:line="300" w:lineRule="exact"/>
              <w:rPr>
                <w:rFonts w:ascii="仿宋" w:hAnsi="仿宋" w:eastAsia="仿宋"/>
                <w:color w:val="auto"/>
                <w:sz w:val="28"/>
                <w:szCs w:val="28"/>
              </w:rPr>
            </w:pPr>
            <w:r>
              <w:rPr>
                <w:rFonts w:hint="eastAsia" w:ascii="仿宋" w:hAnsi="仿宋" w:eastAsia="仿宋"/>
                <w:color w:val="auto"/>
                <w:sz w:val="28"/>
                <w:szCs w:val="28"/>
              </w:rPr>
              <w:t>●具备土建专业中级及以上职称</w:t>
            </w:r>
          </w:p>
          <w:p>
            <w:pPr>
              <w:spacing w:line="300" w:lineRule="exact"/>
              <w:rPr>
                <w:rFonts w:ascii="仿宋" w:hAnsi="仿宋" w:eastAsia="仿宋"/>
                <w:color w:val="auto"/>
                <w:sz w:val="28"/>
                <w:szCs w:val="28"/>
              </w:rPr>
            </w:pPr>
            <w:r>
              <w:rPr>
                <w:rFonts w:hint="eastAsia" w:ascii="仿宋" w:hAnsi="仿宋" w:eastAsia="仿宋"/>
                <w:color w:val="auto"/>
                <w:sz w:val="28"/>
                <w:szCs w:val="28"/>
              </w:rPr>
              <w:t>符合得1分，不符合得0分。</w:t>
            </w:r>
          </w:p>
          <w:p>
            <w:pPr>
              <w:spacing w:line="300" w:lineRule="exact"/>
              <w:rPr>
                <w:rFonts w:ascii="仿宋" w:hAnsi="仿宋" w:eastAsia="仿宋"/>
                <w:color w:val="auto"/>
                <w:sz w:val="28"/>
                <w:szCs w:val="28"/>
              </w:rPr>
            </w:pPr>
            <w:r>
              <w:rPr>
                <w:rFonts w:hint="eastAsia" w:ascii="仿宋" w:hAnsi="仿宋" w:eastAsia="仿宋"/>
                <w:color w:val="auto"/>
                <w:sz w:val="28"/>
                <w:szCs w:val="28"/>
              </w:rPr>
              <w:t>●具备注册造价工程师资格</w:t>
            </w:r>
          </w:p>
          <w:p>
            <w:pPr>
              <w:spacing w:line="300" w:lineRule="exact"/>
              <w:rPr>
                <w:rFonts w:ascii="仿宋" w:hAnsi="仿宋" w:eastAsia="仿宋"/>
                <w:color w:val="auto"/>
                <w:sz w:val="28"/>
                <w:szCs w:val="28"/>
              </w:rPr>
            </w:pPr>
            <w:r>
              <w:rPr>
                <w:rFonts w:hint="eastAsia" w:ascii="仿宋" w:hAnsi="仿宋" w:eastAsia="仿宋"/>
                <w:color w:val="auto"/>
                <w:sz w:val="28"/>
                <w:szCs w:val="28"/>
              </w:rPr>
              <w:t>符合得2分，不符合得0分。</w:t>
            </w:r>
          </w:p>
          <w:p>
            <w:pPr>
              <w:spacing w:line="300" w:lineRule="exact"/>
              <w:rPr>
                <w:rFonts w:hint="eastAsia" w:ascii="仿宋" w:hAnsi="仿宋" w:eastAsia="仿宋"/>
                <w:color w:val="auto"/>
                <w:sz w:val="28"/>
                <w:szCs w:val="28"/>
                <w:lang w:eastAsia="zh-CN"/>
              </w:rPr>
            </w:pPr>
            <w:r>
              <w:rPr>
                <w:rFonts w:hint="eastAsia" w:ascii="仿宋" w:hAnsi="仿宋" w:eastAsia="仿宋"/>
                <w:color w:val="auto"/>
                <w:sz w:val="28"/>
                <w:szCs w:val="28"/>
              </w:rPr>
              <w:t>●相关专业领域工作5年及以上</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以获得职称或执业资格证书颁发日期为准</w:t>
            </w:r>
            <w:r>
              <w:rPr>
                <w:rFonts w:hint="eastAsia" w:ascii="仿宋" w:hAnsi="仿宋" w:eastAsia="仿宋"/>
                <w:color w:val="auto"/>
                <w:sz w:val="28"/>
                <w:szCs w:val="28"/>
                <w:lang w:eastAsia="zh-CN"/>
              </w:rPr>
              <w:t>）</w:t>
            </w:r>
          </w:p>
          <w:p>
            <w:pPr>
              <w:widowControl/>
              <w:spacing w:line="360" w:lineRule="auto"/>
              <w:ind w:left="350" w:right="30" w:hanging="350" w:hangingChars="125"/>
              <w:jc w:val="left"/>
              <w:rPr>
                <w:rFonts w:ascii="仿宋" w:hAnsi="仿宋" w:eastAsia="仿宋" w:cs="宋体"/>
                <w:color w:val="auto"/>
                <w:kern w:val="0"/>
                <w:sz w:val="28"/>
                <w:szCs w:val="28"/>
              </w:rPr>
            </w:pPr>
            <w:r>
              <w:rPr>
                <w:rFonts w:hint="eastAsia" w:ascii="仿宋" w:hAnsi="仿宋" w:eastAsia="仿宋"/>
                <w:color w:val="auto"/>
                <w:sz w:val="28"/>
                <w:szCs w:val="28"/>
              </w:rPr>
              <w:t>符合得2分，不符合得0分。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663" w:hRule="atLeast"/>
          <w:tblCellSpacing w:w="0" w:type="dxa"/>
          <w:jc w:val="center"/>
        </w:trPr>
        <w:tc>
          <w:tcPr>
            <w:tcW w:w="1355" w:type="dxa"/>
            <w:tcMar>
              <w:top w:w="15" w:type="dxa"/>
              <w:left w:w="15" w:type="dxa"/>
              <w:bottom w:w="15" w:type="dxa"/>
              <w:right w:w="15" w:type="dxa"/>
            </w:tcMar>
            <w:vAlign w:val="center"/>
          </w:tcPr>
          <w:p>
            <w:pPr>
              <w:spacing w:line="300" w:lineRule="exact"/>
              <w:jc w:val="center"/>
              <w:rPr>
                <w:rFonts w:ascii="仿宋" w:hAnsi="仿宋" w:eastAsia="仿宋"/>
                <w:sz w:val="28"/>
                <w:szCs w:val="28"/>
              </w:rPr>
            </w:pPr>
            <w:r>
              <w:rPr>
                <w:rFonts w:hint="eastAsia" w:ascii="仿宋" w:hAnsi="仿宋" w:eastAsia="仿宋"/>
                <w:sz w:val="28"/>
                <w:szCs w:val="28"/>
              </w:rPr>
              <w:t>安装专业负责人</w:t>
            </w:r>
          </w:p>
        </w:tc>
        <w:tc>
          <w:tcPr>
            <w:tcW w:w="708" w:type="dxa"/>
            <w:tcMar>
              <w:top w:w="15" w:type="dxa"/>
              <w:left w:w="15" w:type="dxa"/>
              <w:bottom w:w="15" w:type="dxa"/>
              <w:right w:w="15" w:type="dxa"/>
            </w:tcMar>
            <w:vAlign w:val="center"/>
          </w:tcPr>
          <w:p>
            <w:pPr>
              <w:spacing w:line="360" w:lineRule="auto"/>
              <w:jc w:val="center"/>
              <w:rPr>
                <w:rFonts w:ascii="仿宋" w:hAnsi="仿宋" w:eastAsia="仿宋"/>
                <w:sz w:val="28"/>
                <w:szCs w:val="28"/>
              </w:rPr>
            </w:pPr>
            <w:r>
              <w:rPr>
                <w:rFonts w:hint="eastAsia" w:ascii="仿宋" w:hAnsi="仿宋" w:eastAsia="仿宋"/>
                <w:sz w:val="28"/>
                <w:szCs w:val="28"/>
              </w:rPr>
              <w:t>5</w:t>
            </w:r>
          </w:p>
        </w:tc>
        <w:tc>
          <w:tcPr>
            <w:tcW w:w="6967" w:type="dxa"/>
            <w:tcMar>
              <w:top w:w="15" w:type="dxa"/>
              <w:left w:w="15" w:type="dxa"/>
              <w:bottom w:w="15" w:type="dxa"/>
              <w:right w:w="15" w:type="dxa"/>
            </w:tcMar>
            <w:vAlign w:val="center"/>
          </w:tcPr>
          <w:p>
            <w:pPr>
              <w:spacing w:line="300" w:lineRule="exact"/>
              <w:rPr>
                <w:rFonts w:ascii="仿宋" w:hAnsi="仿宋" w:eastAsia="仿宋"/>
                <w:color w:val="auto"/>
                <w:sz w:val="28"/>
                <w:szCs w:val="28"/>
              </w:rPr>
            </w:pPr>
            <w:r>
              <w:rPr>
                <w:rFonts w:hint="eastAsia" w:ascii="仿宋" w:hAnsi="仿宋" w:eastAsia="仿宋"/>
                <w:color w:val="auto"/>
                <w:sz w:val="28"/>
                <w:szCs w:val="28"/>
              </w:rPr>
              <w:t>●具备中级及以上职称</w:t>
            </w:r>
          </w:p>
          <w:p>
            <w:pPr>
              <w:spacing w:line="300" w:lineRule="exact"/>
              <w:rPr>
                <w:rFonts w:ascii="仿宋" w:hAnsi="仿宋" w:eastAsia="仿宋"/>
                <w:color w:val="auto"/>
                <w:sz w:val="28"/>
                <w:szCs w:val="28"/>
              </w:rPr>
            </w:pPr>
            <w:r>
              <w:rPr>
                <w:rFonts w:hint="eastAsia" w:ascii="仿宋" w:hAnsi="仿宋" w:eastAsia="仿宋"/>
                <w:color w:val="auto"/>
                <w:sz w:val="28"/>
                <w:szCs w:val="28"/>
              </w:rPr>
              <w:t>符合得1分，不符合得0分。</w:t>
            </w:r>
          </w:p>
          <w:p>
            <w:pPr>
              <w:spacing w:line="300" w:lineRule="exact"/>
              <w:rPr>
                <w:rFonts w:ascii="仿宋" w:hAnsi="仿宋" w:eastAsia="仿宋"/>
                <w:color w:val="auto"/>
                <w:sz w:val="28"/>
                <w:szCs w:val="28"/>
              </w:rPr>
            </w:pPr>
            <w:r>
              <w:rPr>
                <w:rFonts w:hint="eastAsia" w:ascii="仿宋" w:hAnsi="仿宋" w:eastAsia="仿宋"/>
                <w:color w:val="auto"/>
                <w:sz w:val="28"/>
                <w:szCs w:val="28"/>
              </w:rPr>
              <w:t>●具备注册造价工程师资格</w:t>
            </w:r>
          </w:p>
          <w:p>
            <w:pPr>
              <w:spacing w:line="300" w:lineRule="exact"/>
              <w:rPr>
                <w:rFonts w:ascii="仿宋" w:hAnsi="仿宋" w:eastAsia="仿宋"/>
                <w:color w:val="auto"/>
                <w:sz w:val="28"/>
                <w:szCs w:val="28"/>
              </w:rPr>
            </w:pPr>
            <w:r>
              <w:rPr>
                <w:rFonts w:hint="eastAsia" w:ascii="仿宋" w:hAnsi="仿宋" w:eastAsia="仿宋"/>
                <w:color w:val="auto"/>
                <w:sz w:val="28"/>
                <w:szCs w:val="28"/>
              </w:rPr>
              <w:t>符合得2分，不符合得0分。</w:t>
            </w:r>
          </w:p>
          <w:p>
            <w:pPr>
              <w:spacing w:line="300" w:lineRule="exact"/>
              <w:rPr>
                <w:rFonts w:ascii="仿宋" w:hAnsi="仿宋" w:eastAsia="仿宋"/>
                <w:color w:val="auto"/>
                <w:sz w:val="28"/>
                <w:szCs w:val="28"/>
              </w:rPr>
            </w:pPr>
            <w:r>
              <w:rPr>
                <w:rFonts w:hint="eastAsia" w:ascii="仿宋" w:hAnsi="仿宋" w:eastAsia="仿宋"/>
                <w:color w:val="auto"/>
                <w:sz w:val="28"/>
                <w:szCs w:val="28"/>
              </w:rPr>
              <w:t>●相关专业领域工作5年及以上</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以获得职称或执业资格证书颁发日期为准</w:t>
            </w:r>
            <w:r>
              <w:rPr>
                <w:rFonts w:hint="eastAsia" w:ascii="仿宋" w:hAnsi="仿宋" w:eastAsia="仿宋"/>
                <w:color w:val="auto"/>
                <w:sz w:val="28"/>
                <w:szCs w:val="28"/>
                <w:lang w:eastAsia="zh-CN"/>
              </w:rPr>
              <w:t>）</w:t>
            </w:r>
          </w:p>
          <w:p>
            <w:pPr>
              <w:widowControl/>
              <w:spacing w:line="360" w:lineRule="auto"/>
              <w:ind w:left="350" w:right="30" w:hanging="350" w:hangingChars="125"/>
              <w:jc w:val="left"/>
              <w:rPr>
                <w:rFonts w:ascii="仿宋" w:hAnsi="仿宋" w:eastAsia="仿宋" w:cs="宋体"/>
                <w:color w:val="auto"/>
                <w:kern w:val="0"/>
                <w:sz w:val="28"/>
                <w:szCs w:val="28"/>
              </w:rPr>
            </w:pPr>
            <w:r>
              <w:rPr>
                <w:rFonts w:hint="eastAsia" w:ascii="仿宋" w:hAnsi="仿宋" w:eastAsia="仿宋"/>
                <w:color w:val="auto"/>
                <w:sz w:val="28"/>
                <w:szCs w:val="28"/>
              </w:rPr>
              <w:t>符合得2分，不符合得0分。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663" w:hRule="atLeast"/>
          <w:tblCellSpacing w:w="0" w:type="dxa"/>
          <w:jc w:val="center"/>
        </w:trPr>
        <w:tc>
          <w:tcPr>
            <w:tcW w:w="1355" w:type="dxa"/>
            <w:tcMar>
              <w:top w:w="15" w:type="dxa"/>
              <w:left w:w="15" w:type="dxa"/>
              <w:bottom w:w="15" w:type="dxa"/>
              <w:right w:w="15" w:type="dxa"/>
            </w:tcMar>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项目其他人员配置</w:t>
            </w:r>
          </w:p>
        </w:tc>
        <w:tc>
          <w:tcPr>
            <w:tcW w:w="708" w:type="dxa"/>
            <w:tcMar>
              <w:top w:w="15" w:type="dxa"/>
              <w:left w:w="15" w:type="dxa"/>
              <w:bottom w:w="15" w:type="dxa"/>
              <w:right w:w="15" w:type="dxa"/>
            </w:tcMar>
            <w:vAlign w:val="center"/>
          </w:tcPr>
          <w:p>
            <w:pPr>
              <w:spacing w:line="360" w:lineRule="auto"/>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5</w:t>
            </w:r>
          </w:p>
        </w:tc>
        <w:tc>
          <w:tcPr>
            <w:tcW w:w="6967" w:type="dxa"/>
            <w:tcMar>
              <w:top w:w="15" w:type="dxa"/>
              <w:left w:w="15" w:type="dxa"/>
              <w:bottom w:w="15" w:type="dxa"/>
              <w:right w:w="15" w:type="dxa"/>
            </w:tcMar>
            <w:vAlign w:val="center"/>
          </w:tcPr>
          <w:p>
            <w:pPr>
              <w:spacing w:line="300" w:lineRule="exact"/>
              <w:rPr>
                <w:rFonts w:ascii="仿宋" w:hAnsi="仿宋" w:eastAsia="仿宋"/>
                <w:color w:val="auto"/>
                <w:sz w:val="28"/>
                <w:szCs w:val="28"/>
              </w:rPr>
            </w:pPr>
            <w:r>
              <w:rPr>
                <w:rFonts w:hint="eastAsia" w:ascii="仿宋" w:hAnsi="仿宋" w:eastAsia="仿宋"/>
                <w:color w:val="auto"/>
                <w:sz w:val="28"/>
                <w:szCs w:val="28"/>
              </w:rPr>
              <w:t>除项目负责人、土建专业负责人、安装专业负责人外，投标人拟投入本项目人员不得少于3人。</w:t>
            </w:r>
          </w:p>
          <w:p>
            <w:pPr>
              <w:spacing w:line="300" w:lineRule="exact"/>
              <w:rPr>
                <w:rFonts w:ascii="仿宋" w:hAnsi="仿宋" w:eastAsia="仿宋"/>
                <w:color w:val="auto"/>
                <w:sz w:val="28"/>
                <w:szCs w:val="28"/>
              </w:rPr>
            </w:pPr>
            <w:r>
              <w:rPr>
                <w:rFonts w:hint="eastAsia" w:ascii="仿宋" w:hAnsi="仿宋" w:eastAsia="仿宋"/>
                <w:color w:val="auto"/>
                <w:sz w:val="28"/>
                <w:szCs w:val="28"/>
              </w:rPr>
              <w:t>●所投入人员必须具备从事建设工程造价相关工作3年及以上工作经验</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以获得职称或执业资格证书颁发日期为准</w:t>
            </w:r>
            <w:r>
              <w:rPr>
                <w:rFonts w:hint="eastAsia" w:ascii="仿宋" w:hAnsi="仿宋" w:eastAsia="仿宋"/>
                <w:color w:val="auto"/>
                <w:sz w:val="28"/>
                <w:szCs w:val="28"/>
                <w:lang w:eastAsia="zh-CN"/>
              </w:rPr>
              <w:t>）</w:t>
            </w:r>
            <w:r>
              <w:rPr>
                <w:rFonts w:hint="eastAsia" w:ascii="仿宋" w:hAnsi="仿宋" w:eastAsia="仿宋"/>
                <w:color w:val="auto"/>
                <w:sz w:val="28"/>
                <w:szCs w:val="28"/>
              </w:rPr>
              <w:t>。</w:t>
            </w:r>
          </w:p>
          <w:p>
            <w:pPr>
              <w:spacing w:line="300" w:lineRule="exact"/>
              <w:rPr>
                <w:rFonts w:ascii="仿宋" w:hAnsi="仿宋" w:eastAsia="仿宋"/>
                <w:color w:val="auto"/>
                <w:sz w:val="28"/>
                <w:szCs w:val="28"/>
              </w:rPr>
            </w:pPr>
            <w:r>
              <w:rPr>
                <w:rFonts w:hint="eastAsia" w:ascii="仿宋" w:hAnsi="仿宋" w:eastAsia="仿宋"/>
                <w:color w:val="auto"/>
                <w:sz w:val="28"/>
                <w:szCs w:val="28"/>
              </w:rPr>
              <w:t>符合得</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分，不符合得0分。</w:t>
            </w:r>
          </w:p>
          <w:p>
            <w:pPr>
              <w:widowControl/>
              <w:spacing w:line="360" w:lineRule="auto"/>
              <w:ind w:left="30" w:right="30"/>
              <w:jc w:val="left"/>
              <w:rPr>
                <w:rFonts w:ascii="仿宋" w:hAnsi="仿宋" w:eastAsia="仿宋"/>
                <w:color w:val="auto"/>
                <w:sz w:val="28"/>
                <w:szCs w:val="28"/>
              </w:rPr>
            </w:pPr>
            <w:r>
              <w:rPr>
                <w:rFonts w:hint="eastAsia" w:ascii="仿宋" w:hAnsi="仿宋" w:eastAsia="仿宋"/>
                <w:color w:val="auto"/>
                <w:sz w:val="28"/>
                <w:szCs w:val="28"/>
              </w:rPr>
              <w:t>●所投入人员具备国家注册造价工程师资格人数，每人加1分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663" w:hRule="atLeast"/>
          <w:tblCellSpacing w:w="0" w:type="dxa"/>
          <w:jc w:val="center"/>
        </w:trPr>
        <w:tc>
          <w:tcPr>
            <w:tcW w:w="1355" w:type="dxa"/>
            <w:tcMar>
              <w:top w:w="15" w:type="dxa"/>
              <w:left w:w="15" w:type="dxa"/>
              <w:bottom w:w="15" w:type="dxa"/>
              <w:right w:w="15" w:type="dxa"/>
            </w:tcMar>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服务方案</w:t>
            </w:r>
          </w:p>
        </w:tc>
        <w:tc>
          <w:tcPr>
            <w:tcW w:w="708" w:type="dxa"/>
            <w:tcMar>
              <w:top w:w="15" w:type="dxa"/>
              <w:left w:w="15" w:type="dxa"/>
              <w:bottom w:w="15" w:type="dxa"/>
              <w:right w:w="15" w:type="dxa"/>
            </w:tcMar>
            <w:vAlign w:val="center"/>
          </w:tcPr>
          <w:p>
            <w:pPr>
              <w:spacing w:line="360" w:lineRule="auto"/>
              <w:jc w:val="center"/>
              <w:rPr>
                <w:rFonts w:ascii="仿宋" w:hAnsi="仿宋" w:eastAsia="仿宋"/>
                <w:sz w:val="28"/>
                <w:szCs w:val="28"/>
              </w:rPr>
            </w:pPr>
            <w:r>
              <w:rPr>
                <w:rFonts w:hint="eastAsia" w:ascii="仿宋" w:hAnsi="仿宋" w:eastAsia="仿宋"/>
                <w:sz w:val="28"/>
                <w:szCs w:val="28"/>
              </w:rPr>
              <w:t>18</w:t>
            </w:r>
          </w:p>
        </w:tc>
        <w:tc>
          <w:tcPr>
            <w:tcW w:w="6967" w:type="dxa"/>
            <w:tcMar>
              <w:top w:w="15" w:type="dxa"/>
              <w:left w:w="15" w:type="dxa"/>
              <w:bottom w:w="15" w:type="dxa"/>
              <w:right w:w="15" w:type="dxa"/>
            </w:tcMar>
            <w:vAlign w:val="center"/>
          </w:tcPr>
          <w:p>
            <w:pPr>
              <w:spacing w:line="300" w:lineRule="exact"/>
              <w:rPr>
                <w:rFonts w:ascii="仿宋" w:hAnsi="仿宋" w:eastAsia="仿宋"/>
                <w:sz w:val="28"/>
                <w:szCs w:val="28"/>
              </w:rPr>
            </w:pPr>
            <w:r>
              <w:rPr>
                <w:rFonts w:hint="eastAsia" w:ascii="仿宋" w:hAnsi="仿宋" w:eastAsia="仿宋"/>
                <w:sz w:val="28"/>
                <w:szCs w:val="28"/>
              </w:rPr>
              <w:t>●总体思路清晰准确（得分：0-3分）</w:t>
            </w:r>
          </w:p>
          <w:p>
            <w:pPr>
              <w:spacing w:line="300" w:lineRule="exact"/>
              <w:rPr>
                <w:rFonts w:ascii="仿宋" w:hAnsi="仿宋" w:eastAsia="仿宋"/>
                <w:sz w:val="28"/>
                <w:szCs w:val="28"/>
              </w:rPr>
            </w:pPr>
            <w:r>
              <w:rPr>
                <w:rFonts w:hint="eastAsia" w:ascii="仿宋" w:hAnsi="仿宋" w:eastAsia="仿宋"/>
                <w:sz w:val="28"/>
                <w:szCs w:val="28"/>
              </w:rPr>
              <w:t>●工作方案科学合理（得分：0-3分）</w:t>
            </w:r>
          </w:p>
          <w:p>
            <w:pPr>
              <w:widowControl/>
              <w:spacing w:line="360" w:lineRule="auto"/>
              <w:ind w:left="30" w:right="30"/>
              <w:jc w:val="left"/>
              <w:rPr>
                <w:rFonts w:ascii="仿宋" w:hAnsi="仿宋" w:eastAsia="仿宋"/>
                <w:sz w:val="28"/>
                <w:szCs w:val="28"/>
              </w:rPr>
            </w:pPr>
            <w:r>
              <w:rPr>
                <w:rFonts w:hint="eastAsia" w:ascii="仿宋" w:hAnsi="仿宋" w:eastAsia="仿宋"/>
                <w:sz w:val="28"/>
                <w:szCs w:val="28"/>
              </w:rPr>
              <w:t>●工作要点分析透彻、符合实际（得分：0-4分）</w:t>
            </w:r>
          </w:p>
          <w:p>
            <w:pPr>
              <w:spacing w:line="300" w:lineRule="exact"/>
              <w:rPr>
                <w:rFonts w:ascii="仿宋" w:hAnsi="仿宋" w:eastAsia="仿宋"/>
                <w:sz w:val="28"/>
                <w:szCs w:val="28"/>
              </w:rPr>
            </w:pPr>
            <w:r>
              <w:rPr>
                <w:rFonts w:hint="eastAsia" w:ascii="仿宋" w:hAnsi="仿宋" w:eastAsia="仿宋"/>
                <w:sz w:val="28"/>
                <w:szCs w:val="28"/>
              </w:rPr>
              <w:t>●质量控制措施（得分：0-3分）</w:t>
            </w:r>
          </w:p>
          <w:p>
            <w:pPr>
              <w:spacing w:line="300" w:lineRule="exact"/>
              <w:rPr>
                <w:rFonts w:ascii="仿宋" w:hAnsi="仿宋" w:eastAsia="仿宋"/>
                <w:sz w:val="28"/>
                <w:szCs w:val="28"/>
              </w:rPr>
            </w:pPr>
            <w:r>
              <w:rPr>
                <w:rFonts w:hint="eastAsia" w:ascii="仿宋" w:hAnsi="仿宋" w:eastAsia="仿宋"/>
                <w:sz w:val="28"/>
                <w:szCs w:val="28"/>
              </w:rPr>
              <w:t>●进度控制措施（得分：0-3分）</w:t>
            </w:r>
          </w:p>
          <w:p>
            <w:pPr>
              <w:widowControl/>
              <w:spacing w:line="360" w:lineRule="auto"/>
              <w:ind w:left="30" w:right="30"/>
              <w:jc w:val="left"/>
              <w:rPr>
                <w:rFonts w:ascii="仿宋" w:hAnsi="仿宋" w:eastAsia="仿宋"/>
                <w:sz w:val="28"/>
                <w:szCs w:val="28"/>
              </w:rPr>
            </w:pPr>
            <w:r>
              <w:rPr>
                <w:rFonts w:hint="eastAsia" w:ascii="仿宋" w:hAnsi="仿宋" w:eastAsia="仿宋"/>
                <w:sz w:val="28"/>
                <w:szCs w:val="28"/>
              </w:rPr>
              <w:t>●合理化建议的针对性和操作性（得分：0-2分）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555" w:hRule="atLeast"/>
          <w:tblCellSpacing w:w="0" w:type="dxa"/>
          <w:jc w:val="center"/>
        </w:trPr>
        <w:tc>
          <w:tcPr>
            <w:tcW w:w="9030" w:type="dxa"/>
            <w:gridSpan w:val="3"/>
            <w:tcMar>
              <w:top w:w="15" w:type="dxa"/>
              <w:left w:w="15" w:type="dxa"/>
              <w:bottom w:w="15" w:type="dxa"/>
              <w:right w:w="15" w:type="dxa"/>
            </w:tcMar>
            <w:vAlign w:val="center"/>
          </w:tcPr>
          <w:p>
            <w:pPr>
              <w:spacing w:before="100" w:beforeAutospacing="1" w:after="100" w:afterAutospacing="1" w:line="360" w:lineRule="auto"/>
              <w:ind w:left="329" w:hanging="329" w:hangingChars="117"/>
              <w:jc w:val="center"/>
              <w:rPr>
                <w:rFonts w:ascii="仿宋" w:hAnsi="仿宋" w:eastAsia="仿宋"/>
                <w:b/>
                <w:sz w:val="28"/>
                <w:szCs w:val="28"/>
                <w:highlight w:val="yellow"/>
              </w:rPr>
            </w:pPr>
            <w:r>
              <w:rPr>
                <w:rFonts w:hint="eastAsia" w:ascii="仿宋" w:hAnsi="仿宋" w:eastAsia="仿宋"/>
                <w:b/>
                <w:sz w:val="28"/>
                <w:szCs w:val="28"/>
              </w:rPr>
              <w:t>商务标评议项（</w:t>
            </w:r>
            <w:r>
              <w:rPr>
                <w:rFonts w:hint="eastAsia" w:ascii="仿宋" w:hAnsi="仿宋" w:eastAsia="仿宋"/>
                <w:sz w:val="28"/>
                <w:szCs w:val="28"/>
              </w:rPr>
              <w:t>40</w:t>
            </w:r>
            <w:r>
              <w:rPr>
                <w:rFonts w:ascii="仿宋" w:hAnsi="仿宋" w:eastAsia="仿宋"/>
                <w:b/>
                <w:sz w:val="28"/>
                <w:szCs w:val="28"/>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555" w:hRule="atLeast"/>
          <w:tblCellSpacing w:w="0" w:type="dxa"/>
          <w:jc w:val="center"/>
        </w:trPr>
        <w:tc>
          <w:tcPr>
            <w:tcW w:w="13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仿宋" w:hAnsi="仿宋" w:eastAsia="仿宋"/>
                <w:sz w:val="28"/>
                <w:szCs w:val="28"/>
                <w:highlight w:val="none"/>
              </w:rPr>
            </w:pPr>
            <w:r>
              <w:rPr>
                <w:rFonts w:hint="eastAsia" w:ascii="仿宋" w:hAnsi="仿宋" w:eastAsia="仿宋"/>
                <w:sz w:val="28"/>
                <w:szCs w:val="28"/>
                <w:highlight w:val="none"/>
                <w:lang w:val="en-US" w:eastAsia="zh-CN"/>
              </w:rPr>
              <w:t>价格评分</w:t>
            </w:r>
          </w:p>
        </w:tc>
        <w:tc>
          <w:tcPr>
            <w:tcW w:w="70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60" w:lineRule="auto"/>
              <w:jc w:val="center"/>
              <w:rPr>
                <w:rFonts w:ascii="仿宋" w:hAnsi="仿宋" w:eastAsia="仿宋"/>
                <w:sz w:val="28"/>
                <w:szCs w:val="28"/>
                <w:highlight w:val="none"/>
              </w:rPr>
            </w:pP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0</w:t>
            </w:r>
          </w:p>
        </w:tc>
        <w:tc>
          <w:tcPr>
            <w:tcW w:w="69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left"/>
              <w:rPr>
                <w:rFonts w:hint="eastAsia" w:ascii="仿宋" w:hAnsi="仿宋" w:eastAsia="仿宋"/>
                <w:color w:val="auto"/>
                <w:sz w:val="28"/>
                <w:szCs w:val="28"/>
                <w:highlight w:val="none"/>
                <w:lang w:val="en-US" w:eastAsia="zh-CN"/>
              </w:rPr>
            </w:pPr>
            <w:r>
              <w:rPr>
                <w:rFonts w:hint="eastAsia" w:ascii="仿宋" w:hAnsi="仿宋" w:eastAsia="仿宋"/>
                <w:sz w:val="28"/>
                <w:szCs w:val="28"/>
                <w:highlight w:val="none"/>
              </w:rPr>
              <w:t>根据粤价函[20</w:t>
            </w:r>
            <w:r>
              <w:rPr>
                <w:rFonts w:hint="eastAsia" w:ascii="仿宋" w:hAnsi="仿宋" w:eastAsia="仿宋"/>
                <w:color w:val="auto"/>
                <w:sz w:val="28"/>
                <w:szCs w:val="28"/>
                <w:highlight w:val="none"/>
              </w:rPr>
              <w:t>11]742号《广东省建设工程造价咨询服务收费项目和取费标准表》，</w:t>
            </w:r>
            <w:r>
              <w:rPr>
                <w:rFonts w:hint="eastAsia" w:ascii="仿宋" w:hAnsi="仿宋" w:eastAsia="仿宋"/>
                <w:color w:val="auto"/>
                <w:sz w:val="28"/>
                <w:szCs w:val="28"/>
                <w:highlight w:val="none"/>
                <w:lang w:val="en-US" w:eastAsia="zh-CN"/>
              </w:rPr>
              <w:t>拟定</w:t>
            </w:r>
            <w:r>
              <w:rPr>
                <w:rFonts w:hint="eastAsia" w:ascii="仿宋" w:hAnsi="仿宋" w:eastAsia="仿宋"/>
                <w:color w:val="auto"/>
                <w:sz w:val="28"/>
                <w:szCs w:val="28"/>
                <w:highlight w:val="none"/>
              </w:rPr>
              <w:t>收费标准的</w:t>
            </w:r>
            <w:r>
              <w:rPr>
                <w:rFonts w:hint="eastAsia" w:ascii="仿宋" w:hAnsi="仿宋" w:eastAsia="仿宋"/>
                <w:color w:val="auto"/>
                <w:sz w:val="28"/>
                <w:szCs w:val="28"/>
                <w:highlight w:val="none"/>
                <w:lang w:val="en-US" w:eastAsia="zh-CN"/>
              </w:rPr>
              <w:t>折扣率为</w:t>
            </w:r>
            <w:r>
              <w:rPr>
                <w:rFonts w:hint="eastAsia" w:ascii="仿宋" w:hAnsi="仿宋" w:eastAsia="仿宋"/>
                <w:color w:val="auto"/>
                <w:sz w:val="28"/>
                <w:szCs w:val="28"/>
                <w:highlight w:val="none"/>
              </w:rPr>
              <w:t>C</w:t>
            </w:r>
            <w:r>
              <w:rPr>
                <w:rFonts w:hint="eastAsia" w:ascii="仿宋" w:hAnsi="仿宋" w:eastAsia="仿宋"/>
                <w:color w:val="auto"/>
                <w:sz w:val="28"/>
                <w:szCs w:val="28"/>
                <w:highlight w:val="none"/>
                <w:lang w:val="en-US" w:eastAsia="zh-CN"/>
              </w:rPr>
              <w:t>,</w:t>
            </w:r>
          </w:p>
          <w:p>
            <w:pPr>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价格分最终得分为S。</w:t>
            </w:r>
          </w:p>
          <w:p>
            <w:pPr>
              <w:jc w:val="left"/>
              <w:rPr>
                <w:rFonts w:ascii="仿宋" w:hAnsi="仿宋" w:eastAsia="仿宋"/>
                <w:sz w:val="28"/>
                <w:szCs w:val="28"/>
                <w:highlight w:val="none"/>
              </w:rPr>
            </w:pPr>
            <w:r>
              <w:rPr>
                <w:rFonts w:hint="eastAsia" w:ascii="仿宋" w:hAnsi="仿宋" w:eastAsia="仿宋"/>
                <w:color w:val="auto"/>
                <w:sz w:val="28"/>
                <w:szCs w:val="28"/>
                <w:highlight w:val="none"/>
              </w:rPr>
              <w:t>打分规则：C≤0.</w:t>
            </w:r>
            <w:r>
              <w:rPr>
                <w:rFonts w:hint="eastAsia" w:ascii="仿宋" w:hAnsi="仿宋" w:eastAsia="仿宋"/>
                <w:color w:val="auto"/>
                <w:sz w:val="28"/>
                <w:szCs w:val="28"/>
                <w:highlight w:val="none"/>
                <w:lang w:eastAsia="zh-CN"/>
              </w:rPr>
              <w:t>5</w:t>
            </w:r>
            <w:r>
              <w:rPr>
                <w:rFonts w:hint="eastAsia" w:ascii="仿宋" w:hAnsi="仿宋" w:eastAsia="仿宋"/>
                <w:color w:val="auto"/>
                <w:sz w:val="28"/>
                <w:szCs w:val="28"/>
                <w:highlight w:val="none"/>
              </w:rPr>
              <w:t>，</w:t>
            </w:r>
            <w:r>
              <w:rPr>
                <w:rFonts w:hint="eastAsia" w:ascii="仿宋" w:hAnsi="仿宋" w:eastAsia="仿宋"/>
                <w:sz w:val="28"/>
                <w:szCs w:val="28"/>
                <w:highlight w:val="none"/>
              </w:rPr>
              <w:t>得分S=</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0分</w:t>
            </w:r>
          </w:p>
          <w:p>
            <w:pPr>
              <w:ind w:firstLine="1400" w:firstLineChars="500"/>
              <w:jc w:val="left"/>
              <w:rPr>
                <w:rFonts w:ascii="仿宋" w:hAnsi="仿宋" w:eastAsia="仿宋"/>
                <w:sz w:val="28"/>
                <w:szCs w:val="28"/>
                <w:highlight w:val="none"/>
              </w:rPr>
            </w:pPr>
            <w:r>
              <w:rPr>
                <w:rFonts w:hint="eastAsia" w:ascii="仿宋" w:hAnsi="仿宋" w:eastAsia="仿宋"/>
                <w:sz w:val="28"/>
                <w:szCs w:val="28"/>
                <w:highlight w:val="none"/>
              </w:rPr>
              <w:t>0.</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＜C≤</w:t>
            </w:r>
            <w:r>
              <w:rPr>
                <w:rFonts w:hint="eastAsia" w:ascii="仿宋" w:hAnsi="仿宋" w:eastAsia="仿宋"/>
                <w:sz w:val="28"/>
                <w:szCs w:val="28"/>
                <w:highlight w:val="none"/>
                <w:lang w:val="en-US" w:eastAsia="zh-CN"/>
              </w:rPr>
              <w:t>0.8</w:t>
            </w:r>
            <w:r>
              <w:rPr>
                <w:rFonts w:hint="eastAsia" w:ascii="仿宋" w:hAnsi="仿宋" w:eastAsia="仿宋"/>
                <w:sz w:val="28"/>
                <w:szCs w:val="28"/>
                <w:highlight w:val="none"/>
              </w:rPr>
              <w:t>，得分S=</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0-(C-0.</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40</w:t>
            </w:r>
            <w:r>
              <w:rPr>
                <w:rFonts w:hint="eastAsia" w:ascii="仿宋" w:hAnsi="仿宋" w:eastAsia="仿宋"/>
                <w:sz w:val="28"/>
                <w:szCs w:val="28"/>
                <w:highlight w:val="none"/>
              </w:rPr>
              <w:t>/0.</w:t>
            </w:r>
            <w:r>
              <w:rPr>
                <w:rFonts w:hint="eastAsia" w:ascii="仿宋" w:hAnsi="仿宋" w:eastAsia="仿宋"/>
                <w:sz w:val="28"/>
                <w:szCs w:val="28"/>
                <w:highlight w:val="none"/>
                <w:lang w:eastAsia="zh-CN"/>
              </w:rPr>
              <w:t>5</w:t>
            </w:r>
            <w:r>
              <w:rPr>
                <w:rFonts w:hint="eastAsia" w:ascii="仿宋" w:hAnsi="仿宋" w:eastAsia="仿宋"/>
                <w:sz w:val="28"/>
                <w:szCs w:val="28"/>
                <w:highlight w:val="none"/>
              </w:rPr>
              <w:t>；</w:t>
            </w:r>
          </w:p>
          <w:p>
            <w:pPr>
              <w:ind w:firstLine="1400" w:firstLineChars="500"/>
              <w:jc w:val="left"/>
              <w:rPr>
                <w:rFonts w:ascii="仿宋" w:hAnsi="仿宋" w:eastAsia="仿宋"/>
                <w:sz w:val="28"/>
                <w:szCs w:val="28"/>
                <w:highlight w:val="none"/>
              </w:rPr>
            </w:pPr>
            <w:r>
              <w:rPr>
                <w:rFonts w:hint="eastAsia" w:ascii="仿宋" w:hAnsi="仿宋" w:eastAsia="仿宋"/>
                <w:sz w:val="28"/>
                <w:szCs w:val="28"/>
                <w:highlight w:val="none"/>
              </w:rPr>
              <w:t>C＞</w:t>
            </w:r>
            <w:r>
              <w:rPr>
                <w:rFonts w:hint="eastAsia" w:ascii="仿宋" w:hAnsi="仿宋" w:eastAsia="仿宋"/>
                <w:sz w:val="28"/>
                <w:szCs w:val="28"/>
                <w:highlight w:val="none"/>
                <w:lang w:eastAsia="zh-CN"/>
              </w:rPr>
              <w:t>0</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 xml:space="preserve">，报价无效，S得0分 </w:t>
            </w:r>
            <w:r>
              <w:rPr>
                <w:rFonts w:hint="eastAsia" w:ascii="仿宋" w:hAnsi="仿宋" w:eastAsia="仿宋"/>
                <w:sz w:val="28"/>
                <w:szCs w:val="28"/>
                <w:highlight w:val="none"/>
                <w:lang w:val="en-US" w:eastAsia="zh-CN"/>
              </w:rPr>
              <w:t xml:space="preserve">        </w:t>
            </w:r>
          </w:p>
          <w:p>
            <w:pPr>
              <w:widowControl/>
              <w:spacing w:line="240" w:lineRule="auto"/>
              <w:ind w:firstLine="0" w:firstLineChars="0"/>
              <w:jc w:val="left"/>
              <w:rPr>
                <w:rFonts w:ascii="仿宋" w:hAnsi="仿宋" w:eastAsia="仿宋"/>
                <w:sz w:val="28"/>
                <w:szCs w:val="28"/>
                <w:highlight w:val="none"/>
              </w:rPr>
            </w:pPr>
            <w:r>
              <w:rPr>
                <w:rFonts w:hint="eastAsia" w:ascii="仿宋" w:hAnsi="仿宋" w:eastAsia="仿宋"/>
                <w:color w:val="auto"/>
                <w:sz w:val="28"/>
                <w:szCs w:val="28"/>
                <w:highlight w:val="none"/>
                <w:lang w:val="en-US" w:eastAsia="zh-CN"/>
              </w:rPr>
              <w:t>举例：如折扣率为0.8，则</w:t>
            </w:r>
            <w:r>
              <w:rPr>
                <w:rFonts w:hint="eastAsia" w:ascii="仿宋" w:hAnsi="仿宋" w:eastAsia="仿宋"/>
                <w:color w:val="auto"/>
                <w:sz w:val="28"/>
                <w:szCs w:val="28"/>
                <w:highlight w:val="none"/>
              </w:rPr>
              <w:t>价格得分S=</w:t>
            </w:r>
            <w:r>
              <w:rPr>
                <w:rFonts w:hint="eastAsia" w:ascii="仿宋" w:hAnsi="仿宋" w:eastAsia="仿宋"/>
                <w:color w:val="auto"/>
                <w:sz w:val="28"/>
                <w:szCs w:val="28"/>
                <w:highlight w:val="none"/>
                <w:lang w:val="en-US" w:eastAsia="zh-CN"/>
              </w:rPr>
              <w:t>40</w:t>
            </w:r>
            <w:r>
              <w:rPr>
                <w:rFonts w:hint="eastAsia" w:ascii="仿宋" w:hAnsi="仿宋" w:eastAsia="仿宋"/>
                <w:color w:val="auto"/>
                <w:sz w:val="28"/>
                <w:szCs w:val="28"/>
                <w:highlight w:val="none"/>
              </w:rPr>
              <w:t>-(0.8-0.</w:t>
            </w:r>
            <w:r>
              <w:rPr>
                <w:rFonts w:hint="eastAsia" w:ascii="仿宋" w:hAnsi="仿宋" w:eastAsia="仿宋"/>
                <w:color w:val="auto"/>
                <w:sz w:val="28"/>
                <w:szCs w:val="28"/>
                <w:highlight w:val="none"/>
                <w:lang w:eastAsia="zh-CN"/>
              </w:rPr>
              <w:t>5</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40</w:t>
            </w:r>
            <w:r>
              <w:rPr>
                <w:rFonts w:hint="eastAsia" w:ascii="仿宋" w:hAnsi="仿宋" w:eastAsia="仿宋"/>
                <w:color w:val="auto"/>
                <w:sz w:val="28"/>
                <w:szCs w:val="28"/>
                <w:highlight w:val="none"/>
              </w:rPr>
              <w:t>/0.</w:t>
            </w:r>
            <w:r>
              <w:rPr>
                <w:rFonts w:hint="eastAsia" w:ascii="仿宋" w:hAnsi="仿宋" w:eastAsia="仿宋"/>
                <w:color w:val="auto"/>
                <w:sz w:val="28"/>
                <w:szCs w:val="28"/>
                <w:highlight w:val="none"/>
                <w:lang w:eastAsia="zh-CN"/>
              </w:rPr>
              <w:t>5</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16</w:t>
            </w:r>
            <w:r>
              <w:rPr>
                <w:rFonts w:hint="eastAsia" w:ascii="仿宋" w:hAnsi="仿宋" w:eastAsia="仿宋"/>
                <w:color w:val="auto"/>
                <w:sz w:val="28"/>
                <w:szCs w:val="28"/>
                <w:highlight w:val="none"/>
              </w:rPr>
              <w:t>。</w:t>
            </w:r>
          </w:p>
        </w:tc>
      </w:tr>
    </w:tbl>
    <w:p>
      <w:pPr>
        <w:spacing w:line="360" w:lineRule="auto"/>
        <w:ind w:firstLine="560" w:firstLineChars="200"/>
        <w:rPr>
          <w:rFonts w:ascii="仿宋" w:hAnsi="仿宋" w:eastAsia="仿宋"/>
          <w:sz w:val="28"/>
          <w:szCs w:val="28"/>
        </w:rPr>
      </w:pPr>
      <w:r>
        <w:rPr>
          <w:rFonts w:hint="eastAsia" w:ascii="仿宋" w:hAnsi="仿宋" w:eastAsia="仿宋"/>
          <w:sz w:val="28"/>
          <w:szCs w:val="28"/>
        </w:rPr>
        <w:t>算术错误将按以下方法更正（次序排先者优先）：</w:t>
      </w:r>
    </w:p>
    <w:p>
      <w:pPr>
        <w:spacing w:line="360" w:lineRule="auto"/>
        <w:ind w:left="-4" w:leftChars="-2" w:firstLine="663" w:firstLineChars="237"/>
        <w:rPr>
          <w:rFonts w:ascii="仿宋" w:hAnsi="仿宋" w:eastAsia="仿宋"/>
          <w:sz w:val="28"/>
          <w:szCs w:val="28"/>
        </w:rPr>
      </w:pPr>
      <w:r>
        <w:rPr>
          <w:rFonts w:hint="eastAsia" w:ascii="仿宋" w:hAnsi="仿宋" w:eastAsia="仿宋"/>
          <w:sz w:val="28"/>
          <w:szCs w:val="28"/>
        </w:rPr>
        <w:t>1、若分项报价与总价不一致，以总价为准。</w:t>
      </w:r>
    </w:p>
    <w:p>
      <w:pPr>
        <w:spacing w:line="360" w:lineRule="auto"/>
        <w:ind w:left="1105" w:leftChars="337" w:hanging="397" w:hangingChars="142"/>
        <w:rPr>
          <w:rFonts w:ascii="仿宋" w:hAnsi="仿宋" w:eastAsia="仿宋"/>
          <w:sz w:val="28"/>
          <w:szCs w:val="28"/>
        </w:rPr>
      </w:pPr>
      <w:r>
        <w:rPr>
          <w:rFonts w:hint="eastAsia" w:ascii="仿宋" w:hAnsi="仿宋" w:eastAsia="仿宋"/>
          <w:sz w:val="28"/>
          <w:szCs w:val="28"/>
        </w:rPr>
        <w:t>2、若用文字表示的数值与用数字表示的数值不一致，以文字表示的数值为准。</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如果供应商不接受以上对其错误的更正，采购人将拒绝其参加谈判。</w:t>
      </w:r>
    </w:p>
    <w:p>
      <w:pPr>
        <w:pStyle w:val="2"/>
        <w:ind w:left="0" w:leftChars="0" w:firstLine="560" w:firstLineChars="200"/>
        <w:rPr>
          <w:rFonts w:hint="eastAsia"/>
        </w:rPr>
      </w:pPr>
      <w:r>
        <w:rPr>
          <w:rFonts w:hint="eastAsia" w:ascii="仿宋" w:hAnsi="仿宋" w:eastAsia="仿宋" w:cs="Times New Roman"/>
          <w:color w:val="FF0000"/>
          <w:kern w:val="2"/>
          <w:sz w:val="28"/>
          <w:szCs w:val="28"/>
          <w:lang w:val="en-US" w:eastAsia="zh-CN" w:bidi="ar-SA"/>
        </w:rPr>
        <w:t>综合以上分析比较，评委会将对各投标文件进行书面的量化评定，汇总后按得分排名第一名、第二名的参加单位为预中选单位，并作出评标结论。（总得分相同，按投标报价由低到高顺序排列。）</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供应商在参加本项目谈判时，无需交纳谈判保证金。如有意参与本项目谈判，请在本邀请通知书规定的报名截止时间内回传报名回函并致电确认，采购人只接受报名成功的单位参加谈判。</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在谈判开始前2天前，供应商如对“邀请通知书”有疑问，请以书面形式（加盖单位公章）向采购人提出，采购人将视情况给予电话或书面解答；供应商在上述时间未提出疑问的，视为已完全理解并接受了“邀请通知书”所有内容，并不再对“邀请通知书”提出任何质疑。</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谈判截止期前的任何时候，无论出于何种原因，采购人可主动地或在解答供应商提出的澄清问题时对“邀请通知书”进行修改，并有权对谈判日期进行调整。</w:t>
      </w:r>
    </w:p>
    <w:p>
      <w:pPr>
        <w:spacing w:after="156" w:afterLines="50" w:line="360" w:lineRule="auto"/>
        <w:ind w:firstLine="560" w:firstLineChars="200"/>
        <w:rPr>
          <w:rFonts w:ascii="仿宋" w:hAnsi="仿宋" w:eastAsia="仿宋"/>
          <w:sz w:val="28"/>
          <w:szCs w:val="28"/>
        </w:rPr>
      </w:pPr>
      <w:r>
        <w:rPr>
          <w:rFonts w:hint="eastAsia" w:ascii="仿宋" w:hAnsi="仿宋" w:eastAsia="仿宋"/>
          <w:sz w:val="28"/>
          <w:szCs w:val="28"/>
        </w:rPr>
        <w:t>“邀请通知书”的修改将以书面形式通知所有报名成功的单位，并对其具有约束力。供应商在收到上述通知后，应立即向采购人回函确认。如无回函确认，产生的后果由供应商自行承担。联系方式详见本通知书第八项。</w:t>
      </w:r>
    </w:p>
    <w:p>
      <w:pPr>
        <w:spacing w:after="312" w:afterLines="100" w:line="360" w:lineRule="auto"/>
        <w:jc w:val="center"/>
        <w:outlineLvl w:val="0"/>
        <w:rPr>
          <w:b/>
          <w:sz w:val="32"/>
          <w:szCs w:val="32"/>
        </w:rPr>
      </w:pPr>
      <w:r>
        <w:rPr>
          <w:b/>
          <w:sz w:val="28"/>
        </w:rPr>
        <w:br w:type="page"/>
      </w:r>
      <w:bookmarkStart w:id="37" w:name="_Toc478387757"/>
      <w:r>
        <w:rPr>
          <w:rFonts w:hint="eastAsia"/>
          <w:b/>
          <w:sz w:val="32"/>
          <w:szCs w:val="32"/>
        </w:rPr>
        <w:t>第四部分：响应文件说明</w:t>
      </w:r>
      <w:bookmarkEnd w:id="37"/>
    </w:p>
    <w:p>
      <w:pPr>
        <w:numPr>
          <w:ilvl w:val="0"/>
          <w:numId w:val="1"/>
        </w:numPr>
        <w:spacing w:line="360" w:lineRule="auto"/>
        <w:outlineLvl w:val="1"/>
        <w:rPr>
          <w:rFonts w:ascii="仿宋" w:hAnsi="仿宋" w:eastAsia="仿宋"/>
          <w:bCs/>
          <w:sz w:val="28"/>
          <w:szCs w:val="28"/>
        </w:rPr>
      </w:pPr>
      <w:bookmarkStart w:id="38" w:name="_Toc478374825"/>
      <w:bookmarkStart w:id="39" w:name="_Toc478387758"/>
      <w:r>
        <w:rPr>
          <w:rFonts w:hint="eastAsia" w:ascii="仿宋" w:hAnsi="仿宋" w:eastAsia="仿宋"/>
          <w:bCs/>
          <w:sz w:val="28"/>
          <w:szCs w:val="28"/>
        </w:rPr>
        <w:t>被邀请供应商参评时应递交的报价清单和响应文件</w:t>
      </w:r>
      <w:bookmarkEnd w:id="38"/>
      <w:bookmarkEnd w:id="39"/>
    </w:p>
    <w:p>
      <w:pPr>
        <w:spacing w:line="360" w:lineRule="auto"/>
        <w:ind w:firstLine="560" w:firstLineChars="200"/>
        <w:rPr>
          <w:rFonts w:ascii="仿宋" w:hAnsi="仿宋" w:eastAsia="仿宋"/>
          <w:sz w:val="28"/>
          <w:szCs w:val="28"/>
        </w:rPr>
      </w:pPr>
      <w:r>
        <w:rPr>
          <w:rFonts w:hint="eastAsia" w:ascii="仿宋" w:hAnsi="仿宋" w:eastAsia="仿宋"/>
          <w:bCs/>
          <w:sz w:val="28"/>
          <w:szCs w:val="28"/>
        </w:rPr>
        <w:t>按第十一项、第十二项要求提供响应文件（含商务、技术条款响应/偏离表、报价清单），</w:t>
      </w:r>
      <w:r>
        <w:rPr>
          <w:rFonts w:hint="eastAsia" w:ascii="仿宋" w:hAnsi="仿宋" w:eastAsia="仿宋"/>
          <w:bCs/>
          <w:color w:val="FF0000"/>
          <w:sz w:val="28"/>
          <w:szCs w:val="28"/>
        </w:rPr>
        <w:t>本项目竞谈文件需以PDF版形式加密后（必须要能体现参加单位所盖公章及法人或其授权人签名）发送至采购人联系人邮箱：1771389354@qq.com。竞谈文件PDF版递交截止时间为2020年</w:t>
      </w:r>
      <w:r>
        <w:rPr>
          <w:rFonts w:hint="eastAsia" w:ascii="仿宋" w:hAnsi="仿宋" w:eastAsia="仿宋"/>
          <w:bCs/>
          <w:color w:val="FF0000"/>
          <w:sz w:val="28"/>
          <w:szCs w:val="28"/>
          <w:lang w:val="en-US" w:eastAsia="zh-CN"/>
        </w:rPr>
        <w:t>5</w:t>
      </w:r>
      <w:r>
        <w:rPr>
          <w:rFonts w:hint="eastAsia" w:ascii="仿宋" w:hAnsi="仿宋" w:eastAsia="仿宋"/>
          <w:bCs/>
          <w:color w:val="FF0000"/>
          <w:sz w:val="28"/>
          <w:szCs w:val="28"/>
        </w:rPr>
        <w:t>月</w:t>
      </w:r>
      <w:r>
        <w:rPr>
          <w:rFonts w:hint="eastAsia" w:ascii="仿宋" w:hAnsi="仿宋" w:eastAsia="仿宋"/>
          <w:bCs/>
          <w:color w:val="FF0000"/>
          <w:sz w:val="28"/>
          <w:szCs w:val="28"/>
          <w:lang w:val="en-US" w:eastAsia="zh-CN"/>
        </w:rPr>
        <w:t>13</w:t>
      </w:r>
      <w:r>
        <w:rPr>
          <w:rFonts w:hint="eastAsia" w:ascii="仿宋" w:hAnsi="仿宋" w:eastAsia="仿宋"/>
          <w:bCs/>
          <w:color w:val="FF0000"/>
          <w:sz w:val="28"/>
          <w:szCs w:val="28"/>
        </w:rPr>
        <w:t>日17:00。文件解锁密码于开标时间发邮件告知采购人。如未能在开标后15分钟内发出并收到密码且投标文件正常打开的参加单位，投标文件将不予受理（注：纸质文件无需递交）</w:t>
      </w:r>
      <w:r>
        <w:rPr>
          <w:rFonts w:hint="eastAsia" w:ascii="仿宋" w:hAnsi="仿宋" w:eastAsia="仿宋"/>
          <w:color w:val="FF0000"/>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bCs/>
          <w:sz w:val="28"/>
          <w:szCs w:val="28"/>
        </w:rPr>
        <w:t>谈判响应文件目录（</w:t>
      </w:r>
      <w:r>
        <w:rPr>
          <w:rFonts w:hint="eastAsia" w:ascii="仿宋" w:hAnsi="仿宋" w:eastAsia="仿宋"/>
          <w:sz w:val="28"/>
          <w:szCs w:val="28"/>
        </w:rPr>
        <w:t xml:space="preserve">相关资料应包含但不仅限于以下内容）： </w:t>
      </w:r>
    </w:p>
    <w:p>
      <w:pPr>
        <w:numPr>
          <w:ilvl w:val="1"/>
          <w:numId w:val="13"/>
        </w:numPr>
        <w:spacing w:line="360" w:lineRule="auto"/>
        <w:ind w:left="1134" w:hanging="567"/>
        <w:rPr>
          <w:rFonts w:ascii="仿宋" w:hAnsi="仿宋" w:eastAsia="仿宋"/>
          <w:sz w:val="28"/>
          <w:szCs w:val="28"/>
        </w:rPr>
      </w:pPr>
      <w:r>
        <w:rPr>
          <w:rFonts w:hint="eastAsia" w:ascii="仿宋" w:hAnsi="仿宋" w:eastAsia="仿宋"/>
          <w:sz w:val="28"/>
          <w:szCs w:val="28"/>
        </w:rPr>
        <w:t>公司情况一览表；</w:t>
      </w:r>
    </w:p>
    <w:p>
      <w:pPr>
        <w:numPr>
          <w:ilvl w:val="1"/>
          <w:numId w:val="13"/>
        </w:numPr>
        <w:spacing w:line="360" w:lineRule="auto"/>
        <w:ind w:left="1134" w:hanging="567"/>
        <w:rPr>
          <w:rFonts w:ascii="仿宋" w:hAnsi="仿宋" w:eastAsia="仿宋"/>
          <w:sz w:val="28"/>
          <w:szCs w:val="28"/>
        </w:rPr>
      </w:pPr>
      <w:r>
        <w:rPr>
          <w:rFonts w:hint="eastAsia" w:ascii="仿宋" w:hAnsi="仿宋" w:eastAsia="仿宋"/>
          <w:sz w:val="28"/>
          <w:szCs w:val="28"/>
        </w:rPr>
        <w:t>企业营业执照复印件，复印件加盖参加单位公章；</w:t>
      </w:r>
    </w:p>
    <w:p>
      <w:pPr>
        <w:numPr>
          <w:ilvl w:val="1"/>
          <w:numId w:val="13"/>
        </w:numPr>
        <w:spacing w:line="360" w:lineRule="auto"/>
        <w:ind w:left="1134" w:hanging="567"/>
        <w:rPr>
          <w:rFonts w:ascii="仿宋" w:hAnsi="仿宋" w:eastAsia="仿宋"/>
          <w:sz w:val="28"/>
          <w:szCs w:val="28"/>
        </w:rPr>
      </w:pPr>
      <w:r>
        <w:rPr>
          <w:rFonts w:hint="eastAsia" w:ascii="仿宋" w:hAnsi="仿宋" w:eastAsia="仿宋"/>
          <w:sz w:val="28"/>
          <w:szCs w:val="28"/>
        </w:rPr>
        <w:t>提供企业基本信息（或商事登记信息、年报公示信息）页面打印件并加盖投标单位公章；</w:t>
      </w:r>
    </w:p>
    <w:p>
      <w:pPr>
        <w:numPr>
          <w:ilvl w:val="1"/>
          <w:numId w:val="13"/>
        </w:numPr>
        <w:spacing w:line="360" w:lineRule="auto"/>
        <w:ind w:left="1134" w:hanging="567"/>
        <w:rPr>
          <w:rFonts w:ascii="仿宋" w:hAnsi="仿宋" w:eastAsia="仿宋"/>
          <w:sz w:val="28"/>
          <w:szCs w:val="28"/>
        </w:rPr>
      </w:pPr>
      <w:r>
        <w:rPr>
          <w:rFonts w:hint="eastAsia" w:ascii="仿宋" w:hAnsi="仿宋" w:eastAsia="仿宋"/>
          <w:sz w:val="28"/>
          <w:szCs w:val="28"/>
        </w:rPr>
        <w:t>法定代表人证明书（加盖公章）；</w:t>
      </w:r>
    </w:p>
    <w:p>
      <w:pPr>
        <w:numPr>
          <w:ilvl w:val="1"/>
          <w:numId w:val="13"/>
        </w:numPr>
        <w:spacing w:line="360" w:lineRule="auto"/>
        <w:ind w:left="1134" w:hanging="567"/>
        <w:rPr>
          <w:rFonts w:ascii="仿宋" w:hAnsi="仿宋" w:eastAsia="仿宋"/>
          <w:sz w:val="28"/>
          <w:szCs w:val="28"/>
        </w:rPr>
      </w:pPr>
      <w:r>
        <w:rPr>
          <w:rFonts w:hint="eastAsia" w:ascii="仿宋" w:hAnsi="仿宋" w:eastAsia="仿宋"/>
          <w:sz w:val="28"/>
          <w:szCs w:val="28"/>
        </w:rPr>
        <w:t>法人授权委托证明书（加盖公章）（如单位法定代表人为本项目授权代表，则仅提供法定代表人证明书及身份证复印件，身份证原件备查）；</w:t>
      </w:r>
    </w:p>
    <w:p>
      <w:pPr>
        <w:numPr>
          <w:ilvl w:val="1"/>
          <w:numId w:val="13"/>
        </w:numPr>
        <w:spacing w:line="360" w:lineRule="auto"/>
        <w:ind w:left="1134" w:hanging="567"/>
        <w:rPr>
          <w:rFonts w:ascii="仿宋" w:hAnsi="仿宋" w:eastAsia="仿宋"/>
          <w:sz w:val="28"/>
          <w:szCs w:val="28"/>
        </w:rPr>
      </w:pPr>
      <w:r>
        <w:rPr>
          <w:rFonts w:hint="eastAsia" w:ascii="仿宋" w:hAnsi="仿宋" w:eastAsia="仿宋"/>
          <w:sz w:val="28"/>
          <w:szCs w:val="28"/>
        </w:rPr>
        <w:t>商务条款响应/偏离表；</w:t>
      </w:r>
    </w:p>
    <w:p>
      <w:pPr>
        <w:numPr>
          <w:ilvl w:val="1"/>
          <w:numId w:val="13"/>
        </w:numPr>
        <w:spacing w:line="360" w:lineRule="auto"/>
        <w:ind w:left="1134" w:hanging="567"/>
        <w:rPr>
          <w:rFonts w:ascii="仿宋" w:hAnsi="仿宋" w:eastAsia="仿宋"/>
          <w:sz w:val="28"/>
          <w:szCs w:val="28"/>
        </w:rPr>
      </w:pPr>
      <w:r>
        <w:rPr>
          <w:rFonts w:hint="eastAsia" w:ascii="仿宋" w:hAnsi="仿宋" w:eastAsia="仿宋"/>
          <w:sz w:val="28"/>
          <w:szCs w:val="28"/>
        </w:rPr>
        <w:t>技术/服务条款响应/偏离表；</w:t>
      </w:r>
    </w:p>
    <w:p>
      <w:pPr>
        <w:numPr>
          <w:ilvl w:val="1"/>
          <w:numId w:val="13"/>
        </w:numPr>
        <w:spacing w:line="360" w:lineRule="auto"/>
        <w:ind w:left="1134" w:hanging="567"/>
        <w:rPr>
          <w:rFonts w:ascii="仿宋" w:hAnsi="仿宋" w:eastAsia="仿宋"/>
          <w:sz w:val="28"/>
          <w:szCs w:val="28"/>
        </w:rPr>
      </w:pPr>
      <w:r>
        <w:rPr>
          <w:rFonts w:hint="eastAsia" w:ascii="仿宋" w:hAnsi="仿宋" w:eastAsia="仿宋"/>
          <w:sz w:val="28"/>
          <w:szCs w:val="28"/>
        </w:rPr>
        <w:t>项目报价一览表（加盖公章）；</w:t>
      </w:r>
    </w:p>
    <w:p>
      <w:pPr>
        <w:numPr>
          <w:ilvl w:val="1"/>
          <w:numId w:val="13"/>
        </w:numPr>
        <w:spacing w:line="360" w:lineRule="auto"/>
        <w:ind w:left="1134" w:hanging="567"/>
        <w:rPr>
          <w:rFonts w:ascii="仿宋" w:hAnsi="仿宋" w:eastAsia="仿宋"/>
          <w:sz w:val="28"/>
          <w:szCs w:val="28"/>
        </w:rPr>
      </w:pPr>
      <w:r>
        <w:rPr>
          <w:rFonts w:hint="eastAsia" w:ascii="仿宋" w:hAnsi="仿宋" w:eastAsia="仿宋"/>
          <w:sz w:val="28"/>
          <w:szCs w:val="28"/>
        </w:rPr>
        <w:t>业绩一览表及合同关键页复印件（加盖公章）（根据项目需求提供）；</w:t>
      </w:r>
    </w:p>
    <w:p>
      <w:pPr>
        <w:numPr>
          <w:ilvl w:val="1"/>
          <w:numId w:val="13"/>
        </w:numPr>
        <w:spacing w:line="360" w:lineRule="auto"/>
        <w:ind w:left="1134" w:hanging="567"/>
        <w:rPr>
          <w:rFonts w:ascii="仿宋" w:hAnsi="仿宋" w:eastAsia="仿宋"/>
          <w:sz w:val="28"/>
          <w:szCs w:val="28"/>
        </w:rPr>
      </w:pPr>
      <w:r>
        <w:rPr>
          <w:rFonts w:hint="eastAsia" w:ascii="仿宋" w:hAnsi="仿宋" w:eastAsia="仿宋"/>
          <w:sz w:val="28"/>
          <w:szCs w:val="28"/>
        </w:rPr>
        <w:t>项目/施工方案（根据项目需求提供）；</w:t>
      </w:r>
    </w:p>
    <w:p>
      <w:pPr>
        <w:numPr>
          <w:ilvl w:val="1"/>
          <w:numId w:val="13"/>
        </w:numPr>
        <w:spacing w:line="360" w:lineRule="auto"/>
        <w:ind w:left="1134" w:hanging="567"/>
        <w:rPr>
          <w:rFonts w:ascii="仿宋" w:hAnsi="仿宋" w:eastAsia="仿宋"/>
          <w:sz w:val="28"/>
          <w:szCs w:val="28"/>
        </w:rPr>
      </w:pPr>
      <w:r>
        <w:rPr>
          <w:rFonts w:hint="eastAsia" w:ascii="仿宋" w:hAnsi="仿宋" w:eastAsia="仿宋"/>
          <w:sz w:val="28"/>
          <w:szCs w:val="28"/>
        </w:rPr>
        <w:t>资质证明文件（加盖公章）（根据项目需求提供）；</w:t>
      </w:r>
    </w:p>
    <w:p>
      <w:pPr>
        <w:numPr>
          <w:ilvl w:val="1"/>
          <w:numId w:val="13"/>
        </w:numPr>
        <w:spacing w:line="360" w:lineRule="auto"/>
        <w:ind w:left="1134" w:hanging="567"/>
        <w:rPr>
          <w:rFonts w:ascii="仿宋" w:hAnsi="仿宋" w:eastAsia="仿宋"/>
          <w:sz w:val="28"/>
          <w:szCs w:val="28"/>
        </w:rPr>
      </w:pPr>
      <w:r>
        <w:rPr>
          <w:rFonts w:hint="eastAsia" w:ascii="仿宋" w:hAnsi="仿宋" w:eastAsia="仿宋"/>
          <w:sz w:val="28"/>
          <w:szCs w:val="28"/>
        </w:rPr>
        <w:t>售后服务承诺书（根据项目需求提供）；</w:t>
      </w:r>
    </w:p>
    <w:p>
      <w:pPr>
        <w:numPr>
          <w:ilvl w:val="1"/>
          <w:numId w:val="13"/>
        </w:numPr>
        <w:spacing w:line="360" w:lineRule="auto"/>
        <w:ind w:left="1134" w:hanging="567"/>
        <w:rPr>
          <w:rFonts w:ascii="仿宋" w:hAnsi="仿宋" w:eastAsia="仿宋"/>
          <w:sz w:val="28"/>
          <w:szCs w:val="28"/>
        </w:rPr>
      </w:pPr>
      <w:r>
        <w:rPr>
          <w:rFonts w:hint="eastAsia" w:ascii="仿宋" w:hAnsi="仿宋" w:eastAsia="仿宋"/>
          <w:sz w:val="28"/>
          <w:szCs w:val="28"/>
        </w:rPr>
        <w:t>现场考察证明（根据项目需求提供）；</w:t>
      </w:r>
    </w:p>
    <w:p>
      <w:pPr>
        <w:numPr>
          <w:ilvl w:val="1"/>
          <w:numId w:val="13"/>
        </w:numPr>
        <w:spacing w:line="360" w:lineRule="auto"/>
        <w:ind w:left="1134" w:hanging="567"/>
        <w:rPr>
          <w:rFonts w:ascii="仿宋" w:hAnsi="仿宋" w:eastAsia="仿宋"/>
          <w:sz w:val="28"/>
          <w:szCs w:val="28"/>
        </w:rPr>
      </w:pPr>
      <w:r>
        <w:rPr>
          <w:rFonts w:hint="eastAsia" w:ascii="仿宋" w:hAnsi="仿宋" w:eastAsia="仿宋"/>
          <w:sz w:val="28"/>
          <w:szCs w:val="28"/>
        </w:rPr>
        <w:t>项目团队成员简介及认证资格证书复印件（加盖公章）（根据项目需求提供）；</w:t>
      </w:r>
    </w:p>
    <w:p>
      <w:pPr>
        <w:numPr>
          <w:ilvl w:val="1"/>
          <w:numId w:val="13"/>
        </w:numPr>
        <w:spacing w:line="360" w:lineRule="auto"/>
        <w:ind w:left="1134" w:hanging="567"/>
        <w:rPr>
          <w:rFonts w:ascii="仿宋" w:hAnsi="仿宋" w:eastAsia="仿宋"/>
          <w:sz w:val="28"/>
          <w:szCs w:val="28"/>
        </w:rPr>
      </w:pPr>
      <w:r>
        <w:rPr>
          <w:rFonts w:hint="eastAsia" w:ascii="仿宋" w:hAnsi="仿宋" w:eastAsia="仿宋"/>
          <w:sz w:val="28"/>
          <w:szCs w:val="28"/>
        </w:rPr>
        <w:t>企业员工社保证明资料（加盖公章）（根据项目需求提供）；</w:t>
      </w:r>
    </w:p>
    <w:p>
      <w:pPr>
        <w:spacing w:line="360" w:lineRule="auto"/>
        <w:ind w:left="1134"/>
        <w:rPr>
          <w:rFonts w:ascii="仿宋" w:hAnsi="仿宋" w:eastAsia="仿宋"/>
          <w:color w:val="FF0000"/>
          <w:sz w:val="30"/>
          <w:szCs w:val="30"/>
        </w:rPr>
      </w:pPr>
    </w:p>
    <w:p>
      <w:pPr>
        <w:spacing w:before="312" w:beforeLines="100" w:after="312" w:afterLines="100" w:line="360" w:lineRule="auto"/>
        <w:jc w:val="center"/>
        <w:outlineLvl w:val="0"/>
        <w:rPr>
          <w:rFonts w:ascii="仿宋" w:hAnsi="仿宋" w:eastAsia="仿宋"/>
          <w:sz w:val="32"/>
          <w:szCs w:val="32"/>
        </w:rPr>
      </w:pPr>
      <w:r>
        <w:rPr>
          <w:rFonts w:ascii="仿宋" w:hAnsi="仿宋" w:eastAsia="仿宋"/>
          <w:color w:val="FF0000"/>
          <w:sz w:val="30"/>
          <w:szCs w:val="30"/>
        </w:rPr>
        <w:br w:type="page"/>
      </w:r>
      <w:bookmarkStart w:id="40" w:name="_Toc478387759"/>
      <w:r>
        <w:rPr>
          <w:rFonts w:hint="eastAsia"/>
          <w:b/>
          <w:sz w:val="32"/>
          <w:szCs w:val="32"/>
        </w:rPr>
        <w:t>第五部分：参考附件</w:t>
      </w:r>
      <w:bookmarkEnd w:id="40"/>
    </w:p>
    <w:p>
      <w:pPr>
        <w:spacing w:line="0" w:lineRule="atLeast"/>
        <w:outlineLvl w:val="1"/>
        <w:rPr>
          <w:rFonts w:ascii="仿宋" w:hAnsi="仿宋" w:eastAsia="仿宋"/>
          <w:sz w:val="28"/>
          <w:szCs w:val="28"/>
        </w:rPr>
      </w:pPr>
      <w:bookmarkStart w:id="41" w:name="_Toc478387760"/>
      <w:r>
        <w:rPr>
          <w:rFonts w:hint="eastAsia" w:ascii="仿宋" w:hAnsi="仿宋" w:eastAsia="仿宋"/>
          <w:sz w:val="28"/>
          <w:szCs w:val="28"/>
        </w:rPr>
        <w:t>附件1：</w:t>
      </w:r>
      <w:bookmarkEnd w:id="41"/>
      <w:bookmarkStart w:id="42" w:name="_Toc478387761"/>
      <w:r>
        <w:rPr>
          <w:rFonts w:hint="eastAsia" w:ascii="仿宋" w:hAnsi="仿宋" w:eastAsia="仿宋"/>
          <w:sz w:val="28"/>
          <w:szCs w:val="28"/>
        </w:rPr>
        <w:t>技术服务响应/偏离表</w:t>
      </w:r>
      <w:bookmarkEnd w:id="42"/>
    </w:p>
    <w:p>
      <w:pPr>
        <w:spacing w:line="0" w:lineRule="atLeast"/>
        <w:rPr>
          <w:rFonts w:ascii="仿宋_GB2312" w:hAnsi="仿宋" w:eastAsia="仿宋_GB2312"/>
          <w:sz w:val="24"/>
        </w:rPr>
      </w:pPr>
    </w:p>
    <w:p>
      <w:pPr>
        <w:spacing w:before="120" w:after="240"/>
        <w:jc w:val="center"/>
        <w:rPr>
          <w:rFonts w:ascii="宋体" w:hAnsi="宋体"/>
          <w:b/>
          <w:sz w:val="32"/>
          <w:szCs w:val="32"/>
        </w:rPr>
      </w:pPr>
      <w:bookmarkStart w:id="43" w:name="_Toc211248418"/>
      <w:r>
        <w:rPr>
          <w:rFonts w:hint="eastAsia" w:ascii="宋体" w:hAnsi="宋体"/>
          <w:b/>
          <w:sz w:val="32"/>
          <w:szCs w:val="32"/>
        </w:rPr>
        <w:t>技术服务响应/偏离表</w:t>
      </w:r>
      <w:bookmarkEnd w:id="43"/>
    </w:p>
    <w:p>
      <w:pPr>
        <w:spacing w:line="360" w:lineRule="auto"/>
        <w:rPr>
          <w:rFonts w:ascii="仿宋" w:hAnsi="仿宋" w:eastAsia="仿宋"/>
          <w:sz w:val="28"/>
          <w:szCs w:val="28"/>
          <w:u w:val="single"/>
        </w:rPr>
      </w:pPr>
      <w:r>
        <w:rPr>
          <w:rFonts w:hint="eastAsia" w:ascii="仿宋" w:hAnsi="仿宋" w:eastAsia="仿宋"/>
          <w:sz w:val="28"/>
          <w:szCs w:val="28"/>
        </w:rPr>
        <w:t>参加单位名称：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22"/>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35"/>
        <w:gridCol w:w="4773"/>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gridSpan w:val="2"/>
            <w:vAlign w:val="center"/>
          </w:tcPr>
          <w:p>
            <w:pPr>
              <w:spacing w:line="0" w:lineRule="atLeast"/>
              <w:jc w:val="center"/>
              <w:rPr>
                <w:rFonts w:ascii="仿宋" w:hAnsi="仿宋" w:eastAsia="仿宋"/>
                <w:sz w:val="28"/>
                <w:szCs w:val="28"/>
              </w:rPr>
            </w:pPr>
            <w:r>
              <w:rPr>
                <w:rFonts w:hint="eastAsia" w:ascii="仿宋" w:hAnsi="仿宋" w:eastAsia="仿宋"/>
                <w:sz w:val="28"/>
                <w:szCs w:val="28"/>
              </w:rPr>
              <w:t>竞争性谈判文件技术服务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935" w:type="dxa"/>
            <w:vAlign w:val="center"/>
          </w:tcPr>
          <w:p>
            <w:pPr>
              <w:spacing w:line="0" w:lineRule="atLeast"/>
              <w:ind w:left="-105" w:leftChars="-50" w:right="-105" w:rightChars="-50"/>
              <w:jc w:val="center"/>
              <w:rPr>
                <w:rFonts w:ascii="仿宋" w:hAnsi="仿宋" w:eastAsia="仿宋"/>
                <w:sz w:val="28"/>
                <w:szCs w:val="28"/>
              </w:rPr>
            </w:pPr>
            <w:r>
              <w:rPr>
                <w:rFonts w:hint="eastAsia" w:ascii="仿宋" w:hAnsi="仿宋" w:eastAsia="仿宋"/>
                <w:sz w:val="28"/>
                <w:szCs w:val="28"/>
              </w:rPr>
              <w:t>条目号</w:t>
            </w:r>
          </w:p>
        </w:tc>
        <w:tc>
          <w:tcPr>
            <w:tcW w:w="4773" w:type="dxa"/>
            <w:vAlign w:val="center"/>
          </w:tcPr>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4"/>
              </w:numPr>
              <w:spacing w:line="0" w:lineRule="atLeast"/>
              <w:jc w:val="center"/>
              <w:rPr>
                <w:rFonts w:ascii="仿宋" w:hAnsi="仿宋" w:eastAsia="仿宋"/>
                <w:sz w:val="28"/>
                <w:szCs w:val="28"/>
              </w:rPr>
            </w:pPr>
          </w:p>
        </w:tc>
        <w:tc>
          <w:tcPr>
            <w:tcW w:w="935" w:type="dxa"/>
          </w:tcPr>
          <w:p>
            <w:pPr>
              <w:spacing w:line="400" w:lineRule="exact"/>
              <w:ind w:left="170"/>
              <w:rPr>
                <w:rFonts w:ascii="仿宋" w:hAnsi="仿宋" w:eastAsia="仿宋"/>
                <w:sz w:val="28"/>
                <w:szCs w:val="28"/>
              </w:rPr>
            </w:pPr>
          </w:p>
        </w:tc>
        <w:tc>
          <w:tcPr>
            <w:tcW w:w="4773"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4"/>
              </w:numPr>
              <w:spacing w:line="0" w:lineRule="atLeast"/>
              <w:jc w:val="center"/>
              <w:rPr>
                <w:rFonts w:ascii="仿宋" w:hAnsi="仿宋" w:eastAsia="仿宋"/>
                <w:sz w:val="28"/>
                <w:szCs w:val="28"/>
              </w:rPr>
            </w:pPr>
          </w:p>
        </w:tc>
        <w:tc>
          <w:tcPr>
            <w:tcW w:w="935" w:type="dxa"/>
          </w:tcPr>
          <w:p>
            <w:pPr>
              <w:spacing w:line="400" w:lineRule="exact"/>
              <w:ind w:left="170"/>
              <w:rPr>
                <w:rFonts w:ascii="仿宋" w:hAnsi="仿宋" w:eastAsia="仿宋"/>
                <w:sz w:val="28"/>
                <w:szCs w:val="28"/>
              </w:rPr>
            </w:pPr>
          </w:p>
        </w:tc>
        <w:tc>
          <w:tcPr>
            <w:tcW w:w="4773"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4"/>
              </w:numPr>
              <w:spacing w:line="0" w:lineRule="atLeast"/>
              <w:jc w:val="center"/>
              <w:rPr>
                <w:rFonts w:ascii="仿宋" w:hAnsi="仿宋" w:eastAsia="仿宋"/>
                <w:sz w:val="28"/>
                <w:szCs w:val="28"/>
              </w:rPr>
            </w:pPr>
          </w:p>
        </w:tc>
        <w:tc>
          <w:tcPr>
            <w:tcW w:w="935" w:type="dxa"/>
          </w:tcPr>
          <w:p>
            <w:pPr>
              <w:spacing w:line="400" w:lineRule="exact"/>
              <w:ind w:left="170"/>
              <w:rPr>
                <w:rFonts w:ascii="仿宋" w:hAnsi="仿宋" w:eastAsia="仿宋"/>
                <w:sz w:val="28"/>
                <w:szCs w:val="28"/>
              </w:rPr>
            </w:pPr>
          </w:p>
        </w:tc>
        <w:tc>
          <w:tcPr>
            <w:tcW w:w="4773"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4"/>
              </w:numPr>
              <w:spacing w:line="0" w:lineRule="atLeast"/>
              <w:jc w:val="center"/>
              <w:rPr>
                <w:rFonts w:ascii="仿宋" w:hAnsi="仿宋" w:eastAsia="仿宋"/>
                <w:sz w:val="28"/>
                <w:szCs w:val="28"/>
              </w:rPr>
            </w:pPr>
          </w:p>
        </w:tc>
        <w:tc>
          <w:tcPr>
            <w:tcW w:w="935" w:type="dxa"/>
          </w:tcPr>
          <w:p>
            <w:pPr>
              <w:spacing w:line="400" w:lineRule="exact"/>
              <w:ind w:left="170"/>
              <w:rPr>
                <w:rFonts w:ascii="仿宋" w:hAnsi="仿宋" w:eastAsia="仿宋"/>
                <w:sz w:val="28"/>
                <w:szCs w:val="28"/>
              </w:rPr>
            </w:pPr>
          </w:p>
        </w:tc>
        <w:tc>
          <w:tcPr>
            <w:tcW w:w="4773" w:type="dxa"/>
            <w:vAlign w:val="center"/>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1.本表中的《竞争性谈判文件技术服务》来自于竞争性谈判邀请通知书的第十一项《项目要求及数量》中的“技术服务要求”，参加单位须逐条填写在本表中，并对《参加单位响应》下的三栏要求作出响应。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参加单位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3.《有/无偏离》栏只需填“有”或“无”。</w:t>
      </w:r>
      <w:r>
        <w:rPr>
          <w:rFonts w:ascii="仿宋" w:hAnsi="仿宋" w:eastAsia="仿宋"/>
          <w:color w:val="FF0000"/>
          <w:sz w:val="28"/>
          <w:szCs w:val="28"/>
        </w:rPr>
        <w:t xml:space="preserve"> 响应结果优于（或高于）本项目需求的（即正偏离），仍须如实填写“无”，可在《说明》栏中作出具体说明。“不可偏离项”响应内容为“有”的，视同偏离本项目要求，该响应文件不能通过符合性检查。</w:t>
      </w:r>
    </w:p>
    <w:p>
      <w:pPr>
        <w:spacing w:line="360" w:lineRule="auto"/>
        <w:rPr>
          <w:rFonts w:ascii="仿宋" w:hAnsi="仿宋" w:eastAsia="仿宋"/>
          <w:sz w:val="28"/>
          <w:szCs w:val="28"/>
        </w:rPr>
      </w:pPr>
      <w:bookmarkStart w:id="44" w:name="_Toc211243320"/>
      <w:r>
        <w:rPr>
          <w:rFonts w:hint="eastAsia" w:ascii="仿宋" w:hAnsi="仿宋" w:eastAsia="仿宋"/>
          <w:sz w:val="28"/>
          <w:szCs w:val="28"/>
        </w:rPr>
        <w:t>参加单位代表签字:</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hint="eastAsia" w:ascii="仿宋" w:hAnsi="仿宋" w:eastAsia="仿宋"/>
          <w:sz w:val="30"/>
          <w:szCs w:val="30"/>
          <w:u w:val="single"/>
        </w:rPr>
      </w:pPr>
      <w:r>
        <w:rPr>
          <w:rFonts w:hint="eastAsia" w:ascii="仿宋" w:hAnsi="仿宋" w:eastAsia="仿宋"/>
          <w:sz w:val="30"/>
          <w:szCs w:val="30"/>
        </w:rPr>
        <w:t>参加单位名称及盖章：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日期：______________________________</w:t>
      </w:r>
    </w:p>
    <w:bookmarkEnd w:id="44"/>
    <w:p>
      <w:pPr>
        <w:spacing w:line="0" w:lineRule="atLeast"/>
        <w:outlineLvl w:val="1"/>
        <w:rPr>
          <w:rFonts w:ascii="仿宋" w:hAnsi="仿宋" w:eastAsia="仿宋"/>
          <w:sz w:val="28"/>
          <w:szCs w:val="28"/>
        </w:rPr>
      </w:pPr>
      <w:bookmarkStart w:id="45" w:name="_Toc246480945"/>
      <w:bookmarkStart w:id="46" w:name="_Toc478387762"/>
      <w:bookmarkStart w:id="47" w:name="_Toc236803114"/>
      <w:r>
        <w:rPr>
          <w:rFonts w:hint="eastAsia" w:ascii="仿宋" w:hAnsi="仿宋" w:eastAsia="仿宋"/>
          <w:sz w:val="28"/>
          <w:szCs w:val="28"/>
        </w:rPr>
        <w:t>附件</w:t>
      </w:r>
      <w:r>
        <w:rPr>
          <w:rFonts w:hint="eastAsia" w:ascii="仿宋" w:hAnsi="仿宋" w:eastAsia="仿宋"/>
          <w:sz w:val="28"/>
          <w:szCs w:val="28"/>
          <w:lang w:val="en-US" w:eastAsia="zh-CN"/>
        </w:rPr>
        <w:t>2</w:t>
      </w:r>
      <w:r>
        <w:rPr>
          <w:rFonts w:hint="eastAsia" w:ascii="仿宋" w:hAnsi="仿宋" w:eastAsia="仿宋"/>
          <w:sz w:val="28"/>
          <w:szCs w:val="28"/>
        </w:rPr>
        <w:t>：商务条款响应/偏离表</w:t>
      </w:r>
      <w:bookmarkEnd w:id="45"/>
      <w:bookmarkEnd w:id="46"/>
      <w:bookmarkEnd w:id="47"/>
    </w:p>
    <w:p>
      <w:pPr>
        <w:spacing w:line="0" w:lineRule="atLeast"/>
        <w:rPr>
          <w:rFonts w:ascii="仿宋_GB2312" w:hAnsi="仿宋" w:eastAsia="仿宋_GB2312"/>
          <w:sz w:val="24"/>
        </w:rPr>
      </w:pPr>
    </w:p>
    <w:p>
      <w:pPr>
        <w:spacing w:before="120" w:after="240"/>
        <w:jc w:val="center"/>
        <w:rPr>
          <w:rFonts w:ascii="宋体" w:hAnsi="宋体"/>
          <w:b/>
          <w:sz w:val="32"/>
          <w:szCs w:val="32"/>
        </w:rPr>
      </w:pPr>
      <w:bookmarkStart w:id="48" w:name="_Toc211248420"/>
      <w:r>
        <w:rPr>
          <w:rFonts w:hint="eastAsia" w:ascii="宋体" w:hAnsi="宋体"/>
          <w:b/>
          <w:sz w:val="32"/>
          <w:szCs w:val="32"/>
        </w:rPr>
        <w:t>商务条款响应/偏离表</w:t>
      </w:r>
      <w:bookmarkEnd w:id="48"/>
    </w:p>
    <w:p>
      <w:pPr>
        <w:spacing w:line="360" w:lineRule="auto"/>
        <w:rPr>
          <w:rFonts w:ascii="仿宋" w:hAnsi="仿宋" w:eastAsia="仿宋"/>
          <w:sz w:val="30"/>
          <w:szCs w:val="30"/>
        </w:rPr>
      </w:pPr>
      <w:r>
        <w:rPr>
          <w:rFonts w:hint="eastAsia" w:ascii="仿宋" w:hAnsi="仿宋" w:eastAsia="仿宋"/>
          <w:sz w:val="30"/>
          <w:szCs w:val="30"/>
        </w:rPr>
        <w:t>参加单位名称：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22"/>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竞争性谈判文件商务要求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30"/>
                <w:szCs w:val="30"/>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5"/>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5"/>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5"/>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5"/>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竞争性谈判</w:t>
      </w:r>
      <w:r>
        <w:rPr>
          <w:rFonts w:hint="eastAsia" w:ascii="仿宋" w:hAnsi="仿宋" w:eastAsia="仿宋"/>
          <w:sz w:val="28"/>
          <w:szCs w:val="28"/>
        </w:rPr>
        <w:t>文件商务要求》来自于竞争性谈判邀请通知书的第十一项《项目要求及数量》中的“商务要求”，参加单位须逐条填写在本表中，并对《参加单位响应》下的三栏要求作出响应。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参加单位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3.《有/无偏离》栏只需填“有”或“无”，</w:t>
      </w:r>
      <w:r>
        <w:rPr>
          <w:rFonts w:ascii="仿宋" w:hAnsi="仿宋" w:eastAsia="仿宋"/>
          <w:color w:val="FF0000"/>
          <w:sz w:val="28"/>
          <w:szCs w:val="28"/>
        </w:rPr>
        <w:t xml:space="preserve"> 响应结果优于（或高于）本项目需求的（即正偏离），仍须如实填写“无”，可在《说明》栏中作出具体说明。“不可偏离项”响应内容为“有”的，视同偏离本项目要求，该响应文件不能通过符合性检查。</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参加单位代表签字: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30"/>
          <w:szCs w:val="30"/>
        </w:rPr>
        <w:t>参加单位名称及盖章：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日期：______________________________</w:t>
      </w:r>
      <w:bookmarkStart w:id="49" w:name="_Toc478387763"/>
      <w:r>
        <w:rPr>
          <w:rFonts w:ascii="仿宋" w:hAnsi="仿宋" w:eastAsia="仿宋"/>
          <w:sz w:val="28"/>
          <w:szCs w:val="28"/>
        </w:rPr>
        <w:br w:type="page"/>
      </w:r>
    </w:p>
    <w:p>
      <w:pPr>
        <w:widowControl/>
        <w:jc w:val="left"/>
        <w:rPr>
          <w:rFonts w:hint="eastAsia" w:ascii="仿宋" w:hAnsi="仿宋" w:eastAsia="仿宋"/>
          <w:sz w:val="28"/>
          <w:szCs w:val="28"/>
          <w:lang w:eastAsia="zh-CN"/>
        </w:rPr>
      </w:pPr>
      <w:r>
        <w:rPr>
          <w:rFonts w:hint="eastAsia" w:ascii="仿宋" w:hAnsi="仿宋" w:eastAsia="仿宋"/>
          <w:sz w:val="28"/>
          <w:szCs w:val="28"/>
        </w:rPr>
        <w:t>附件</w:t>
      </w:r>
      <w:r>
        <w:rPr>
          <w:rFonts w:hint="eastAsia" w:ascii="仿宋" w:hAnsi="仿宋" w:eastAsia="仿宋"/>
          <w:sz w:val="28"/>
          <w:szCs w:val="28"/>
          <w:lang w:val="en-US" w:eastAsia="zh-CN"/>
        </w:rPr>
        <w:t>3</w:t>
      </w:r>
      <w:r>
        <w:rPr>
          <w:rFonts w:hint="eastAsia" w:ascii="仿宋" w:hAnsi="仿宋" w:eastAsia="仿宋"/>
          <w:sz w:val="28"/>
          <w:szCs w:val="28"/>
        </w:rPr>
        <w:t>：报价一览表（工程）</w:t>
      </w:r>
      <w:bookmarkEnd w:id="49"/>
      <w:r>
        <w:rPr>
          <w:rFonts w:hint="eastAsia" w:ascii="仿宋" w:hAnsi="仿宋" w:eastAsia="仿宋"/>
          <w:sz w:val="28"/>
          <w:szCs w:val="28"/>
          <w:lang w:eastAsia="zh-CN"/>
        </w:rPr>
        <w:t>（</w:t>
      </w:r>
      <w:r>
        <w:rPr>
          <w:rFonts w:hint="eastAsia" w:ascii="仿宋" w:hAnsi="仿宋" w:eastAsia="仿宋"/>
          <w:sz w:val="28"/>
          <w:szCs w:val="28"/>
          <w:lang w:val="en-US" w:eastAsia="zh-CN"/>
        </w:rPr>
        <w:t>本项目不适用</w:t>
      </w:r>
      <w:r>
        <w:rPr>
          <w:rFonts w:hint="eastAsia" w:ascii="仿宋" w:hAnsi="仿宋" w:eastAsia="仿宋"/>
          <w:sz w:val="28"/>
          <w:szCs w:val="28"/>
          <w:lang w:eastAsia="zh-CN"/>
        </w:rPr>
        <w:t>）</w:t>
      </w:r>
    </w:p>
    <w:p>
      <w:pPr>
        <w:jc w:val="center"/>
        <w:rPr>
          <w:rFonts w:ascii="仿宋_GB2312" w:hAnsi="宋体" w:eastAsia="仿宋_GB2312"/>
          <w:b/>
          <w:sz w:val="30"/>
          <w:szCs w:val="30"/>
        </w:rPr>
      </w:pPr>
    </w:p>
    <w:p>
      <w:pPr>
        <w:spacing w:before="120" w:after="240"/>
        <w:jc w:val="center"/>
        <w:rPr>
          <w:rFonts w:ascii="宋体" w:hAnsi="宋体"/>
          <w:b/>
          <w:sz w:val="32"/>
          <w:szCs w:val="32"/>
        </w:rPr>
      </w:pPr>
      <w:r>
        <w:rPr>
          <w:rFonts w:hint="eastAsia" w:ascii="宋体" w:hAnsi="宋体"/>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22"/>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33"/>
        <w:numPr>
          <w:ilvl w:val="1"/>
          <w:numId w:val="16"/>
        </w:numPr>
        <w:spacing w:line="400" w:lineRule="exact"/>
        <w:ind w:firstLineChars="0"/>
        <w:rPr>
          <w:rFonts w:ascii="仿宋" w:hAnsi="仿宋" w:eastAsia="仿宋"/>
          <w:sz w:val="28"/>
          <w:szCs w:val="28"/>
        </w:rPr>
      </w:pPr>
      <w:r>
        <w:rPr>
          <w:rFonts w:hint="eastAsia" w:ascii="仿宋" w:hAnsi="仿宋" w:eastAsia="仿宋"/>
          <w:sz w:val="28"/>
          <w:szCs w:val="28"/>
        </w:rPr>
        <w:t>参加单位如果需要对报价或其它内容加以说明，可在备注一栏中填写。</w:t>
      </w:r>
    </w:p>
    <w:p>
      <w:pPr>
        <w:pStyle w:val="33"/>
        <w:numPr>
          <w:ilvl w:val="1"/>
          <w:numId w:val="16"/>
        </w:numPr>
        <w:spacing w:line="400" w:lineRule="exact"/>
        <w:ind w:firstLineChars="0"/>
        <w:rPr>
          <w:rFonts w:ascii="仿宋" w:hAnsi="仿宋" w:eastAsia="仿宋"/>
          <w:sz w:val="28"/>
          <w:szCs w:val="28"/>
        </w:rPr>
      </w:pPr>
      <w:r>
        <w:rPr>
          <w:rFonts w:hint="eastAsia" w:ascii="仿宋" w:hAnsi="仿宋" w:eastAsia="仿宋"/>
          <w:sz w:val="28"/>
          <w:szCs w:val="28"/>
        </w:rPr>
        <w:t>参加单位使用本表或自由报价单格式报价均可，但应能清晰体现总报价及分项报价信息。</w:t>
      </w:r>
    </w:p>
    <w:p>
      <w:pPr>
        <w:pStyle w:val="33"/>
        <w:numPr>
          <w:ilvl w:val="1"/>
          <w:numId w:val="16"/>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参加单位（盖章）：</w:t>
      </w:r>
      <w:r>
        <w:rPr>
          <w:rFonts w:hint="eastAsia" w:ascii="仿宋" w:hAnsi="仿宋" w:eastAsia="仿宋"/>
          <w:sz w:val="28"/>
          <w:szCs w:val="28"/>
          <w:u w:val="single"/>
        </w:rPr>
        <w:t xml:space="preserve">                        </w:t>
      </w:r>
    </w:p>
    <w:p>
      <w:pPr>
        <w:spacing w:line="360" w:lineRule="auto"/>
        <w:rPr>
          <w:rFonts w:ascii="仿宋_GB2312" w:eastAsia="仿宋_GB2312"/>
          <w:sz w:val="28"/>
          <w:szCs w:val="28"/>
        </w:rPr>
      </w:pPr>
      <w:r>
        <w:rPr>
          <w:rFonts w:hint="eastAsia" w:ascii="仿宋" w:hAnsi="仿宋" w:eastAsia="仿宋"/>
          <w:sz w:val="28"/>
          <w:szCs w:val="28"/>
        </w:rPr>
        <w:t>报价日期：______________________________</w:t>
      </w:r>
    </w:p>
    <w:p>
      <w:pPr>
        <w:spacing w:line="360" w:lineRule="auto"/>
        <w:rPr>
          <w:rFonts w:ascii="仿宋_GB2312" w:eastAsia="仿宋_GB2312"/>
          <w:sz w:val="28"/>
          <w:szCs w:val="28"/>
        </w:rPr>
      </w:pPr>
    </w:p>
    <w:p>
      <w:pPr>
        <w:widowControl/>
        <w:jc w:val="left"/>
        <w:rPr>
          <w:rFonts w:ascii="仿宋" w:hAnsi="仿宋" w:eastAsia="仿宋"/>
          <w:sz w:val="28"/>
          <w:szCs w:val="28"/>
        </w:rPr>
      </w:pPr>
      <w:bookmarkStart w:id="50" w:name="_Toc395883088"/>
      <w:bookmarkStart w:id="51" w:name="_Toc236803111"/>
      <w:bookmarkStart w:id="52" w:name="_Toc478387764"/>
      <w:r>
        <w:rPr>
          <w:rFonts w:hint="eastAsia" w:ascii="仿宋" w:hAnsi="仿宋" w:eastAsia="仿宋"/>
          <w:sz w:val="28"/>
          <w:szCs w:val="28"/>
        </w:rPr>
        <w:t>附件</w:t>
      </w:r>
      <w:r>
        <w:rPr>
          <w:rFonts w:hint="eastAsia" w:ascii="仿宋" w:hAnsi="仿宋" w:eastAsia="仿宋"/>
          <w:sz w:val="28"/>
          <w:szCs w:val="28"/>
          <w:lang w:val="en-US" w:eastAsia="zh-CN"/>
        </w:rPr>
        <w:t>4</w:t>
      </w:r>
      <w:r>
        <w:rPr>
          <w:rFonts w:hint="eastAsia" w:ascii="仿宋" w:hAnsi="仿宋" w:eastAsia="仿宋"/>
          <w:sz w:val="28"/>
          <w:szCs w:val="28"/>
        </w:rPr>
        <w:t>：报价一览表</w:t>
      </w:r>
      <w:bookmarkEnd w:id="50"/>
      <w:bookmarkEnd w:id="51"/>
      <w:r>
        <w:rPr>
          <w:rFonts w:hint="eastAsia" w:ascii="仿宋" w:hAnsi="仿宋" w:eastAsia="仿宋"/>
          <w:sz w:val="28"/>
          <w:szCs w:val="28"/>
        </w:rPr>
        <w:t>（货物）</w:t>
      </w:r>
      <w:bookmarkEnd w:id="52"/>
      <w:r>
        <w:rPr>
          <w:rFonts w:hint="eastAsia" w:ascii="仿宋" w:hAnsi="仿宋" w:eastAsia="仿宋"/>
          <w:sz w:val="28"/>
          <w:szCs w:val="28"/>
          <w:lang w:eastAsia="zh-CN"/>
        </w:rPr>
        <w:t>（</w:t>
      </w:r>
      <w:r>
        <w:rPr>
          <w:rFonts w:hint="eastAsia" w:ascii="仿宋" w:hAnsi="仿宋" w:eastAsia="仿宋"/>
          <w:sz w:val="28"/>
          <w:szCs w:val="28"/>
          <w:lang w:val="en-US" w:eastAsia="zh-CN"/>
        </w:rPr>
        <w:t>本项目不适用</w:t>
      </w:r>
      <w:r>
        <w:rPr>
          <w:rFonts w:hint="eastAsia" w:ascii="仿宋" w:hAnsi="仿宋" w:eastAsia="仿宋"/>
          <w:sz w:val="28"/>
          <w:szCs w:val="28"/>
          <w:lang w:eastAsia="zh-CN"/>
        </w:rPr>
        <w:t>）</w:t>
      </w:r>
    </w:p>
    <w:p>
      <w:pPr>
        <w:spacing w:before="120" w:after="240"/>
        <w:jc w:val="center"/>
        <w:rPr>
          <w:rFonts w:ascii="宋体" w:hAnsi="宋体"/>
          <w:b/>
          <w:sz w:val="32"/>
          <w:szCs w:val="32"/>
        </w:rPr>
      </w:pPr>
      <w:bookmarkStart w:id="53" w:name="_Toc211248412"/>
      <w:r>
        <w:rPr>
          <w:rFonts w:hint="eastAsia" w:ascii="宋体" w:hAnsi="宋体"/>
          <w:b/>
          <w:sz w:val="32"/>
          <w:szCs w:val="32"/>
        </w:rPr>
        <w:t>报价一览表</w:t>
      </w:r>
      <w:bookmarkEnd w:id="53"/>
      <w:r>
        <w:rPr>
          <w:rFonts w:hint="eastAsia" w:ascii="宋体" w:hAnsi="宋体"/>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22"/>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33"/>
        <w:numPr>
          <w:ilvl w:val="1"/>
          <w:numId w:val="17"/>
        </w:numPr>
        <w:spacing w:line="400" w:lineRule="exact"/>
        <w:ind w:left="709" w:hanging="283" w:firstLineChars="0"/>
        <w:rPr>
          <w:rFonts w:ascii="仿宋" w:hAnsi="仿宋" w:eastAsia="仿宋"/>
          <w:sz w:val="28"/>
          <w:szCs w:val="28"/>
        </w:rPr>
      </w:pPr>
      <w:r>
        <w:rPr>
          <w:rFonts w:hint="eastAsia" w:ascii="仿宋" w:hAnsi="仿宋" w:eastAsia="仿宋"/>
          <w:sz w:val="28"/>
          <w:szCs w:val="28"/>
        </w:rPr>
        <w:t>参加单位如果需要对报价或其它内容加以说明，可在备注一栏中填写。</w:t>
      </w:r>
    </w:p>
    <w:p>
      <w:pPr>
        <w:pStyle w:val="33"/>
        <w:numPr>
          <w:ilvl w:val="1"/>
          <w:numId w:val="17"/>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参加单位使用本表或自由报价单格式报价均可，但应能清晰体现总报价及分项报价信息。</w:t>
      </w:r>
    </w:p>
    <w:p>
      <w:pPr>
        <w:pStyle w:val="33"/>
        <w:numPr>
          <w:ilvl w:val="1"/>
          <w:numId w:val="17"/>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33"/>
        <w:numPr>
          <w:ilvl w:val="1"/>
          <w:numId w:val="17"/>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参加单位名称及盖章：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报价日期：______________________________</w:t>
      </w:r>
      <w:bookmarkStart w:id="54" w:name="_Toc478387765"/>
      <w:r>
        <w:rPr>
          <w:rFonts w:ascii="仿宋" w:hAnsi="仿宋" w:eastAsia="仿宋"/>
          <w:sz w:val="28"/>
          <w:szCs w:val="28"/>
        </w:rPr>
        <w:br w:type="page"/>
      </w:r>
      <w:r>
        <w:rPr>
          <w:rFonts w:hint="eastAsia" w:ascii="仿宋" w:hAnsi="仿宋" w:eastAsia="仿宋"/>
          <w:sz w:val="28"/>
          <w:szCs w:val="28"/>
        </w:rPr>
        <w:t>附件</w:t>
      </w:r>
      <w:r>
        <w:rPr>
          <w:rFonts w:hint="eastAsia" w:ascii="仿宋" w:hAnsi="仿宋" w:eastAsia="仿宋"/>
          <w:sz w:val="28"/>
          <w:szCs w:val="28"/>
          <w:lang w:val="en-US" w:eastAsia="zh-CN"/>
        </w:rPr>
        <w:t>5</w:t>
      </w:r>
      <w:r>
        <w:rPr>
          <w:rFonts w:hint="eastAsia" w:ascii="仿宋" w:hAnsi="仿宋" w:eastAsia="仿宋"/>
          <w:sz w:val="28"/>
          <w:szCs w:val="28"/>
        </w:rPr>
        <w:t>：报价一览表（服务）</w:t>
      </w:r>
      <w:bookmarkEnd w:id="54"/>
    </w:p>
    <w:p>
      <w:pPr>
        <w:spacing w:before="120" w:after="240"/>
        <w:jc w:val="center"/>
        <w:rPr>
          <w:rFonts w:ascii="宋体" w:hAnsi="宋体"/>
          <w:b/>
          <w:sz w:val="32"/>
          <w:szCs w:val="32"/>
        </w:rPr>
      </w:pPr>
      <w:r>
        <w:rPr>
          <w:rFonts w:hint="eastAsia" w:ascii="宋体" w:hAnsi="宋体"/>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hint="eastAsia"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22"/>
        <w:tblW w:w="8839" w:type="dxa"/>
        <w:tblInd w:w="0" w:type="dxa"/>
        <w:shd w:val="clear" w:color="auto" w:fill="auto"/>
        <w:tblLayout w:type="autofit"/>
        <w:tblCellMar>
          <w:top w:w="0" w:type="dxa"/>
          <w:left w:w="0" w:type="dxa"/>
          <w:bottom w:w="0" w:type="dxa"/>
          <w:right w:w="0" w:type="dxa"/>
        </w:tblCellMar>
      </w:tblPr>
      <w:tblGrid>
        <w:gridCol w:w="752"/>
        <w:gridCol w:w="5448"/>
        <w:gridCol w:w="2639"/>
      </w:tblGrid>
      <w:tr>
        <w:tblPrEx>
          <w:shd w:val="clear" w:color="auto" w:fill="auto"/>
          <w:tblCellMar>
            <w:top w:w="0" w:type="dxa"/>
            <w:left w:w="0" w:type="dxa"/>
            <w:bottom w:w="0" w:type="dxa"/>
            <w:right w:w="0" w:type="dxa"/>
          </w:tblCellMar>
        </w:tblPrEx>
        <w:trPr>
          <w:trHeight w:val="602"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细黑" w:hAnsi="华文细黑" w:eastAsia="华文细黑" w:cs="华文细黑"/>
                <w:bCs/>
                <w:kern w:val="2"/>
                <w:sz w:val="30"/>
                <w:szCs w:val="30"/>
                <w:lang w:val="en-US" w:eastAsia="zh-CN" w:bidi="ar-SA"/>
              </w:rPr>
            </w:pPr>
            <w:r>
              <w:rPr>
                <w:rFonts w:hint="eastAsia" w:ascii="华文细黑" w:hAnsi="华文细黑" w:eastAsia="华文细黑" w:cs="华文细黑"/>
                <w:bCs/>
                <w:kern w:val="2"/>
                <w:sz w:val="30"/>
                <w:szCs w:val="30"/>
                <w:lang w:val="en-US" w:eastAsia="zh-CN" w:bidi="ar-SA"/>
              </w:rPr>
              <w:t>序号</w:t>
            </w:r>
          </w:p>
        </w:tc>
        <w:tc>
          <w:tcPr>
            <w:tcW w:w="5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细黑" w:hAnsi="华文细黑" w:eastAsia="华文细黑" w:cs="华文细黑"/>
                <w:bCs/>
                <w:kern w:val="2"/>
                <w:sz w:val="30"/>
                <w:szCs w:val="30"/>
                <w:lang w:val="en-US" w:eastAsia="zh-CN" w:bidi="ar-SA"/>
              </w:rPr>
            </w:pPr>
            <w:r>
              <w:rPr>
                <w:rFonts w:hint="eastAsia" w:ascii="华文细黑" w:hAnsi="华文细黑" w:eastAsia="华文细黑" w:cs="华文细黑"/>
                <w:bCs/>
                <w:kern w:val="2"/>
                <w:sz w:val="30"/>
                <w:szCs w:val="30"/>
                <w:lang w:val="en-US" w:eastAsia="zh-CN" w:bidi="ar-SA"/>
              </w:rPr>
              <w:t>咨 询 项 目 名 称</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华文细黑" w:hAnsi="华文细黑" w:eastAsia="华文细黑" w:cs="华文细黑"/>
                <w:bCs/>
                <w:kern w:val="2"/>
                <w:sz w:val="30"/>
                <w:szCs w:val="30"/>
                <w:lang w:val="en-US" w:eastAsia="zh-CN" w:bidi="ar-SA"/>
              </w:rPr>
            </w:pPr>
            <w:r>
              <w:rPr>
                <w:rFonts w:hint="eastAsia" w:ascii="华文细黑" w:hAnsi="华文细黑" w:eastAsia="华文细黑" w:cs="华文细黑"/>
                <w:bCs/>
                <w:kern w:val="2"/>
                <w:sz w:val="30"/>
                <w:szCs w:val="30"/>
                <w:lang w:val="en-US" w:eastAsia="zh-CN" w:bidi="ar-SA"/>
              </w:rPr>
              <w:t>收费折扣率</w:t>
            </w:r>
          </w:p>
        </w:tc>
      </w:tr>
      <w:tr>
        <w:tblPrEx>
          <w:shd w:val="clear" w:color="auto" w:fill="auto"/>
          <w:tblCellMar>
            <w:top w:w="0" w:type="dxa"/>
            <w:left w:w="0" w:type="dxa"/>
            <w:bottom w:w="0" w:type="dxa"/>
            <w:right w:w="0" w:type="dxa"/>
          </w:tblCellMar>
        </w:tblPrEx>
        <w:trPr>
          <w:trHeight w:val="501"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Times New Roman"/>
                <w:bCs/>
                <w:kern w:val="2"/>
                <w:sz w:val="30"/>
                <w:szCs w:val="30"/>
                <w:lang w:val="en-US" w:eastAsia="zh-CN" w:bidi="ar-SA"/>
              </w:rPr>
            </w:pPr>
          </w:p>
        </w:tc>
        <w:tc>
          <w:tcPr>
            <w:tcW w:w="5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Times New Roman"/>
                <w:bCs/>
                <w:kern w:val="2"/>
                <w:sz w:val="30"/>
                <w:szCs w:val="30"/>
                <w:lang w:val="en-US" w:eastAsia="zh-CN" w:bidi="ar-SA"/>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Times New Roman"/>
                <w:bCs/>
                <w:kern w:val="2"/>
                <w:sz w:val="30"/>
                <w:szCs w:val="30"/>
                <w:lang w:val="en-US" w:eastAsia="zh-CN" w:bidi="ar-SA"/>
              </w:rPr>
            </w:pPr>
          </w:p>
        </w:tc>
      </w:tr>
      <w:tr>
        <w:tblPrEx>
          <w:shd w:val="clear" w:color="auto" w:fill="auto"/>
          <w:tblCellMar>
            <w:top w:w="0" w:type="dxa"/>
            <w:left w:w="0" w:type="dxa"/>
            <w:bottom w:w="0" w:type="dxa"/>
            <w:right w:w="0" w:type="dxa"/>
          </w:tblCellMar>
        </w:tblPrEx>
        <w:trPr>
          <w:trHeight w:val="144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1</w:t>
            </w:r>
          </w:p>
        </w:tc>
        <w:tc>
          <w:tcPr>
            <w:tcW w:w="5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工程概算的编制或审核、工程预算的编制或审核、工程结算的编制、工程结算审核等</w:t>
            </w:r>
          </w:p>
        </w:tc>
        <w:tc>
          <w:tcPr>
            <w:tcW w:w="2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Times New Roman"/>
                <w:bCs/>
                <w:kern w:val="2"/>
                <w:sz w:val="30"/>
                <w:szCs w:val="30"/>
                <w:lang w:val="en-US" w:eastAsia="zh-CN" w:bidi="ar-SA"/>
              </w:rPr>
            </w:pPr>
          </w:p>
        </w:tc>
      </w:tr>
    </w:tbl>
    <w:p>
      <w:pPr>
        <w:pStyle w:val="2"/>
      </w:pPr>
    </w:p>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33"/>
        <w:numPr>
          <w:ilvl w:val="1"/>
          <w:numId w:val="18"/>
        </w:numPr>
        <w:spacing w:line="400" w:lineRule="exact"/>
        <w:ind w:left="851" w:hanging="425" w:firstLineChars="0"/>
        <w:rPr>
          <w:rFonts w:hint="eastAsia" w:ascii="仿宋" w:hAnsi="仿宋" w:eastAsia="仿宋"/>
          <w:bCs/>
          <w:sz w:val="30"/>
          <w:szCs w:val="30"/>
        </w:rPr>
      </w:pPr>
      <w:r>
        <w:rPr>
          <w:rFonts w:hint="eastAsia" w:ascii="仿宋" w:hAnsi="仿宋" w:eastAsia="仿宋"/>
          <w:bCs/>
          <w:sz w:val="30"/>
          <w:szCs w:val="30"/>
        </w:rPr>
        <w:t>根据粤价函[2011]742号《广东省建设工程造价咨询服务收费项目和收费标准表》进行报价。</w:t>
      </w:r>
    </w:p>
    <w:p>
      <w:pPr>
        <w:pStyle w:val="33"/>
        <w:numPr>
          <w:ilvl w:val="1"/>
          <w:numId w:val="18"/>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工程类以外的项目，参照工程类项目费率计费。</w:t>
      </w:r>
    </w:p>
    <w:p>
      <w:pPr>
        <w:pStyle w:val="33"/>
        <w:numPr>
          <w:ilvl w:val="1"/>
          <w:numId w:val="18"/>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参加单位如果需要对报价或其它内容加以说明，可在备注一栏中填写。</w:t>
      </w:r>
    </w:p>
    <w:p>
      <w:pPr>
        <w:pStyle w:val="33"/>
        <w:numPr>
          <w:ilvl w:val="1"/>
          <w:numId w:val="18"/>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参加单位使用本表或自由报价单格式报价均可，但应能清晰体现总报价及分项报价信息。</w:t>
      </w:r>
    </w:p>
    <w:p>
      <w:pPr>
        <w:pStyle w:val="33"/>
        <w:numPr>
          <w:ilvl w:val="1"/>
          <w:numId w:val="18"/>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法定代表人或委托授权人（签字或盖章）：: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30"/>
          <w:szCs w:val="30"/>
        </w:rPr>
        <w:t>参加单位名称及盖章：</w:t>
      </w:r>
      <w:r>
        <w:rPr>
          <w:rFonts w:hint="eastAsia" w:ascii="仿宋" w:hAnsi="仿宋" w:eastAsia="仿宋"/>
          <w:sz w:val="30"/>
          <w:szCs w:val="30"/>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报价日期：______________________________</w:t>
      </w:r>
    </w:p>
    <w:p>
      <w:pPr>
        <w:widowControl/>
        <w:jc w:val="left"/>
        <w:rPr>
          <w:rFonts w:ascii="仿宋" w:hAnsi="仿宋" w:eastAsia="仿宋"/>
          <w:sz w:val="30"/>
          <w:szCs w:val="30"/>
        </w:rPr>
      </w:pPr>
      <w:r>
        <w:rPr>
          <w:rFonts w:ascii="仿宋" w:hAnsi="仿宋" w:eastAsia="仿宋"/>
          <w:sz w:val="30"/>
          <w:szCs w:val="30"/>
        </w:rPr>
        <w:br w:type="page"/>
      </w:r>
    </w:p>
    <w:p>
      <w:pPr>
        <w:spacing w:line="0" w:lineRule="atLeast"/>
        <w:outlineLvl w:val="1"/>
        <w:rPr>
          <w:rFonts w:ascii="仿宋" w:hAnsi="仿宋" w:eastAsia="仿宋"/>
          <w:sz w:val="28"/>
          <w:szCs w:val="28"/>
        </w:rPr>
      </w:pPr>
      <w:bookmarkStart w:id="55" w:name="_Toc478387766"/>
      <w:r>
        <w:rPr>
          <w:rFonts w:hint="eastAsia" w:ascii="仿宋" w:hAnsi="仿宋" w:eastAsia="仿宋"/>
          <w:sz w:val="28"/>
          <w:szCs w:val="28"/>
        </w:rPr>
        <w:t>附件</w:t>
      </w:r>
      <w:r>
        <w:rPr>
          <w:rFonts w:hint="eastAsia" w:ascii="仿宋" w:hAnsi="仿宋" w:eastAsia="仿宋"/>
          <w:sz w:val="28"/>
          <w:szCs w:val="28"/>
          <w:lang w:val="en-US" w:eastAsia="zh-CN"/>
        </w:rPr>
        <w:t>6</w:t>
      </w:r>
      <w:r>
        <w:rPr>
          <w:rFonts w:hint="eastAsia" w:ascii="仿宋" w:hAnsi="仿宋" w:eastAsia="仿宋"/>
          <w:sz w:val="28"/>
          <w:szCs w:val="28"/>
        </w:rPr>
        <w:t>：法定代表人证明书</w:t>
      </w:r>
      <w:bookmarkEnd w:id="55"/>
    </w:p>
    <w:p>
      <w:pPr>
        <w:spacing w:line="0" w:lineRule="atLeast"/>
        <w:rPr>
          <w:rFonts w:ascii="仿宋_GB2312" w:hAnsi="仿宋" w:eastAsia="仿宋_GB2312"/>
          <w:sz w:val="24"/>
        </w:rPr>
      </w:pPr>
    </w:p>
    <w:p>
      <w:pPr>
        <w:spacing w:before="120" w:after="240"/>
        <w:jc w:val="center"/>
        <w:rPr>
          <w:rFonts w:ascii="宋体" w:hAnsi="宋体"/>
          <w:b/>
          <w:sz w:val="32"/>
          <w:szCs w:val="32"/>
        </w:rPr>
      </w:pPr>
      <w:r>
        <w:rPr>
          <w:rFonts w:hint="eastAsia" w:ascii="宋体" w:hAnsi="宋体"/>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参加单位名称：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参加单位地址：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360" w:lineRule="auto"/>
        <w:ind w:left="-358" w:leftChars="-171" w:hanging="1"/>
        <w:rPr>
          <w:rFonts w:ascii="仿宋" w:hAnsi="仿宋" w:eastAsia="仿宋"/>
          <w:sz w:val="28"/>
          <w:szCs w:val="28"/>
        </w:rPr>
      </w:pPr>
      <w:r>
        <w:rPr>
          <w:rFonts w:hint="eastAsia" w:ascii="仿宋" w:hAnsi="仿宋" w:eastAsia="仿宋"/>
          <w:sz w:val="28"/>
          <w:szCs w:val="28"/>
        </w:rPr>
        <w:t>说明：</w:t>
      </w:r>
    </w:p>
    <w:p>
      <w:pPr>
        <w:spacing w:line="360" w:lineRule="auto"/>
        <w:ind w:left="799" w:leftChars="230" w:hanging="316" w:hangingChars="113"/>
        <w:rPr>
          <w:rFonts w:ascii="仿宋" w:hAnsi="仿宋" w:eastAsia="仿宋"/>
          <w:sz w:val="28"/>
          <w:szCs w:val="28"/>
        </w:rPr>
      </w:pPr>
      <w:r>
        <w:rPr>
          <w:rFonts w:hint="eastAsia" w:ascii="仿宋" w:hAnsi="仿宋" w:eastAsia="仿宋"/>
          <w:sz w:val="28"/>
          <w:szCs w:val="28"/>
        </w:rPr>
        <w:t>1.法定代表人为企业事业单位、国家机关、社会团体的主要行政负责人。</w:t>
      </w:r>
    </w:p>
    <w:p>
      <w:pPr>
        <w:spacing w:line="360" w:lineRule="auto"/>
        <w:ind w:left="-358" w:leftChars="-171" w:hanging="1"/>
        <w:rPr>
          <w:rFonts w:ascii="仿宋" w:hAnsi="仿宋" w:eastAsia="仿宋"/>
          <w:sz w:val="28"/>
          <w:szCs w:val="28"/>
        </w:rPr>
      </w:pPr>
      <w:r>
        <w:rPr>
          <w:rFonts w:hint="eastAsia" w:ascii="仿宋" w:hAnsi="仿宋" w:eastAsia="仿宋"/>
          <w:sz w:val="28"/>
          <w:szCs w:val="28"/>
        </w:rPr>
        <w:t xml:space="preserve">      2.内容必须填写真实、清楚，涂改无效，不得转让、买卖。</w:t>
      </w:r>
    </w:p>
    <w:p>
      <w:pPr>
        <w:spacing w:line="360" w:lineRule="auto"/>
        <w:ind w:left="-359" w:leftChars="-171" w:firstLine="840" w:firstLineChars="300"/>
        <w:rPr>
          <w:rFonts w:ascii="仿宋" w:hAnsi="仿宋" w:eastAsia="仿宋"/>
          <w:sz w:val="28"/>
          <w:szCs w:val="28"/>
        </w:rPr>
      </w:pPr>
      <w:r>
        <w:rPr>
          <w:rFonts w:hint="eastAsia" w:ascii="仿宋" w:hAnsi="仿宋" w:eastAsia="仿宋"/>
          <w:sz w:val="28"/>
          <w:szCs w:val="28"/>
        </w:rPr>
        <w:t>3.将此证明书提交对方作为合同附件。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参加单位名称及盖章：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rPr>
      </w:pPr>
      <w:r>
        <w:rPr>
          <w:rFonts w:ascii="仿宋_GB2312" w:hAnsi="宋体" w:eastAsia="仿宋_GB2312"/>
          <w:b/>
          <w:color w:val="000000"/>
        </w:rPr>
        <mc:AlternateContent>
          <mc:Choice Requires="wps">
            <w:drawing>
              <wp:anchor distT="0" distB="0" distL="114300" distR="114300" simplePos="0" relativeHeight="251656192" behindDoc="0" locked="0" layoutInCell="1" allowOverlap="1">
                <wp:simplePos x="0" y="0"/>
                <wp:positionH relativeFrom="column">
                  <wp:posOffset>-241300</wp:posOffset>
                </wp:positionH>
                <wp:positionV relativeFrom="paragraph">
                  <wp:posOffset>139700</wp:posOffset>
                </wp:positionV>
                <wp:extent cx="2994025" cy="2095500"/>
                <wp:effectExtent l="6350" t="6350" r="9525" b="12700"/>
                <wp:wrapNone/>
                <wp:docPr id="4"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19pt;margin-top:11pt;height:165pt;width:235.75pt;z-index:251656192;mso-width-relative:page;mso-height-relative:page;" fillcolor="#FFFFFF" filled="t" stroked="t" coordsize="21600,21600" o:gfxdata="UEsDBAoAAAAAAIdO4kAAAAAAAAAAAAAAAAAEAAAAZHJzL1BLAwQUAAAACACHTuJAJlf3WtoAAAAK&#10;AQAADwAAAGRycy9kb3ducmV2LnhtbE2PQU/DMAyF70j8h8hIXNCWrtlGKU13QALBDQaCa9Z4bUXi&#10;lCbrxr/HnOBk2e/p+XvV5uSdmHCMfSANi3kGAqkJtqdWw9vr/awAEZMha1wg1PCNETb1+VllShuO&#10;9ILTNrWCQyiWRkOX0lBKGZsOvYnzMCCxtg+jN4nXsZV2NEcO907mWbaW3vTEHzoz4F2Hzef24DUU&#10;y8fpIz6p5/dmvXc36ep6evgatb68WGS3IBKe0p8ZfvEZHWpm2oUD2SichpkquEvSkOc82bBUagVi&#10;p0Gt+CLrSv6vUP8AUEsDBBQAAAAIAIdO4kAlJ0fzEwIAADkEAAAOAAAAZHJzL2Uyb0RvYy54bWyt&#10;U1Fv0zAQfkfiP1h+p0mjFtao6TQ6FSENhrTxAxzHaSwcnzm7Tcav5+x0pRqIB4QfLJ/v/Pnu++7W&#10;12Nv2FGh12ArPp/lnCkrodF2X/Gvj7s3V5z5IGwjDFhV8Sfl+fXm9av14EpVQAemUcgIxPpycBXv&#10;QnBllnnZqV74GThlydkC9iKQifusQTEQem+yIs/fZgNg4xCk8p5ubycn3yT8tlUy3LetV4GZilNu&#10;Ie2Y9jru2WYtyj0K12l5SkP8Qxa90JY+PUPdiiDYAfVvUL2WCB7aMJPQZ9C2WqpUA1Uzz19U89AJ&#10;p1ItRI53Z5r8/4OVn49fkOmm4gvOrOhJokc1BvYeRlZEdgbnSwp6cBQWRromlVOl3t2B/OaZhW0n&#10;7F7dIMLQKdFQdvP4Mrt4OuH4CFIPn6Chb8QhQAIaW+wjdUQGI3RS6emsTExF0mWxWi3yYsmZJF+R&#10;r5bLPGmXifL5uUMfPijoWTxUHEn6BC+Odz7EdET5HBJ/82B0s9PGJAP39dYgOwpqk11aqYIXYcay&#10;oeKrJSXyd4g8rT9B9DpQvxvdV/zqMsjYE2GRo4mtMNbjSYAamieiDmHqX5o3OnSAPzgbqHcr7r8f&#10;BCrOzEdL9K/mi0Vs9mQslu8KMvDSU196hJUEVfHA2XTchmlADg71vqOfJsEt3JBkrU5kRm2nrE55&#10;U38mjk+zFAfg0k5RvyZ+8x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mV/da2gAAAAoBAAAPAAAA&#10;AAAAAAEAIAAAACIAAABkcnMvZG93bnJldi54bWxQSwECFAAUAAAACACHTuJAJSdH8xMCAAA5BAAA&#10;DgAAAAAAAAABACAAAAApAQAAZHJzL2Uyb0RvYy54bWxQSwUGAAAAAAYABgBZAQAArgU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57216" behindDoc="0" locked="0" layoutInCell="1" allowOverlap="1">
                <wp:simplePos x="0" y="0"/>
                <wp:positionH relativeFrom="column">
                  <wp:posOffset>2844800</wp:posOffset>
                </wp:positionH>
                <wp:positionV relativeFrom="paragraph">
                  <wp:posOffset>139700</wp:posOffset>
                </wp:positionV>
                <wp:extent cx="2994025" cy="2095500"/>
                <wp:effectExtent l="6350" t="6350" r="9525" b="1270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24pt;margin-top:11pt;height:165pt;width:235.75pt;z-index:251657216;mso-width-relative:page;mso-height-relative:page;" fillcolor="#FFFFFF" filled="t" stroked="t" coordsize="21600,21600" o:gfxdata="UEsDBAoAAAAAAIdO4kAAAAAAAAAAAAAAAAAEAAAAZHJzL1BLAwQUAAAACACHTuJAhJAPq9oAAAAK&#10;AQAADwAAAGRycy9kb3ducmV2LnhtbE2PQU/DMAyF70j8h8hIXBBL23WjLXV3QALBDQaCa9ZmbUXi&#10;lCTrxr/HnOBk2e/p+Xv15mSNmLUPoyOEdJGA0NS6bqQe4e31/roAEaKiThlHGuFbB9g052e1qjp3&#10;pBc9b2MvOIRCpRCGGKdKytAO2qqwcJMm1vbOWxV59b3svDpyuDUyS5K1tGok/jCoSd8Nuv3cHixC&#10;kT/OH+Fp+fzervemjFc388OXR7y8SJNbEFGf4p8ZfvEZHRpm2rkDdUEYhDwvuEtEyDKebCjTcgVi&#10;h7Bc8UU2tfxfofkBUEsDBBQAAAAIAIdO4kDwQX4UFAIAADkEAAAOAAAAZHJzL2Uyb0RvYy54bWyt&#10;U1Fv0zAQfkfiP1h+p0mzFtao6TQ6FSGNgbTxAxzHSSxsn7HdJuXXc3a6Ug3EA8IPls93/nz3fXfr&#10;m1ErchDOSzAVnc9ySoTh0EjTVfTr0+7NNSU+MNMwBUZU9Cg8vdm8frUebCkK6EE1whEEMb4cbEX7&#10;EGyZZZ73QjM/AysMOltwmgU0XZc1jg2IrlVW5PnbbADXWAdceI+3d5OTbhJ+2woePretF4GoimJu&#10;Ie0u7XXcs82alZ1jtpf8lAb7hyw0kwY/PUPdscDI3snfoLTkDjy0YcZBZ9C2kotUA1Yzz19U89gz&#10;K1ItSI63Z5r8/4PlD4cvjsimoleUGKZRoicxBvIeRnIV2RmsLzHo0WJYGPEaVU6VensP/JsnBrY9&#10;M524dQ6GXrAGs5vHl9nF0wnHR5B6+AQNfsP2ARLQ2DodqUMyCKKjSsezMjEVjpfFarXIiyUlHH1F&#10;vlou86Rdxsrn59b58EGAJvFQUYfSJ3h2uPchpsPK55D4mwclm51UKhmuq7fKkQPDNtmllSp4EaYM&#10;GSq6WmIif4fI0/oThJYB+11JXdHryyBlToRFjia2wliPJwFqaI5InYOpf3He8NCD+0HJgL1bUf99&#10;z5ygRH00SP9qvljEZk/GYvmuQMNdeupLDzMcoSoaKJmO2zANyN462fX40yS4gVuUrJWJzKjtlNUp&#10;b+zPxPFpluIAXNop6tfEb3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JAPq9oAAAAKAQAADwAA&#10;AAAAAAABACAAAAAiAAAAZHJzL2Rvd25yZXYueG1sUEsBAhQAFAAAAAgAh07iQPBBfh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p>
    <w:p>
      <w:pPr>
        <w:spacing w:line="0" w:lineRule="atLeast"/>
        <w:outlineLvl w:val="1"/>
        <w:rPr>
          <w:rFonts w:ascii="仿宋_GB2312" w:hAnsi="宋体" w:eastAsia="仿宋_GB2312"/>
          <w:b/>
          <w:color w:val="000000"/>
        </w:rPr>
      </w:pPr>
      <w:r>
        <w:rPr>
          <w:rFonts w:hint="eastAsia" w:ascii="仿宋_GB2312" w:hAnsi="宋体" w:eastAsia="仿宋_GB2312"/>
          <w:b/>
          <w:color w:val="000000"/>
        </w:rPr>
        <w:br w:type="page"/>
      </w:r>
    </w:p>
    <w:p>
      <w:pPr>
        <w:spacing w:line="0" w:lineRule="atLeast"/>
        <w:outlineLvl w:val="1"/>
        <w:rPr>
          <w:rFonts w:ascii="仿宋_GB2312" w:hAnsi="宋体" w:eastAsia="仿宋_GB2312"/>
          <w:b/>
          <w:color w:val="000000"/>
        </w:rPr>
      </w:pPr>
    </w:p>
    <w:p>
      <w:pPr>
        <w:spacing w:line="0" w:lineRule="atLeast"/>
        <w:outlineLvl w:val="1"/>
        <w:rPr>
          <w:rFonts w:ascii="仿宋" w:hAnsi="仿宋" w:eastAsia="仿宋"/>
          <w:sz w:val="28"/>
          <w:szCs w:val="28"/>
        </w:rPr>
      </w:pPr>
      <w:bookmarkStart w:id="56" w:name="_Toc478387767"/>
      <w:r>
        <w:rPr>
          <w:rFonts w:hint="eastAsia" w:ascii="仿宋" w:hAnsi="仿宋" w:eastAsia="仿宋"/>
          <w:sz w:val="28"/>
          <w:szCs w:val="28"/>
        </w:rPr>
        <w:t>附件</w:t>
      </w:r>
      <w:r>
        <w:rPr>
          <w:rFonts w:hint="eastAsia" w:ascii="仿宋" w:hAnsi="仿宋" w:eastAsia="仿宋"/>
          <w:sz w:val="28"/>
          <w:szCs w:val="28"/>
          <w:lang w:val="en-US" w:eastAsia="zh-CN"/>
        </w:rPr>
        <w:t>7</w:t>
      </w:r>
      <w:r>
        <w:rPr>
          <w:rFonts w:hint="eastAsia" w:ascii="仿宋" w:hAnsi="仿宋" w:eastAsia="仿宋"/>
          <w:sz w:val="28"/>
          <w:szCs w:val="28"/>
        </w:rPr>
        <w:t>：法人授权委托证明书</w:t>
      </w:r>
      <w:bookmarkEnd w:id="56"/>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宋体" w:hAnsi="宋体"/>
          <w:b/>
          <w:sz w:val="32"/>
          <w:szCs w:val="32"/>
        </w:rPr>
      </w:pPr>
      <w:r>
        <w:rPr>
          <w:rFonts w:hint="eastAsia" w:ascii="宋体" w:hAnsi="宋体"/>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（参加单位名称）的法定代表人，现授权委托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参加单位名称及盖章：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参加单位法定代表人：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年 </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月 </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ascii="仿宋" w:hAnsi="仿宋" w:eastAsia="仿宋"/>
          <w:color w:val="000000"/>
          <w:sz w:val="28"/>
          <w:szCs w:val="28"/>
        </w:rPr>
        <w:t>2.委托书不得转让、买卖。</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将此委托书提交对方作为合同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 xml:space="preserve"> </w:t>
      </w:r>
    </w:p>
    <w:p>
      <w:pPr>
        <w:snapToGrid w:val="0"/>
        <w:spacing w:line="360" w:lineRule="auto"/>
        <w:ind w:firstLine="1805" w:firstLineChars="602"/>
        <w:jc w:val="left"/>
        <w:rPr>
          <w:rFonts w:ascii="仿宋" w:hAnsi="仿宋" w:eastAsia="仿宋"/>
          <w:color w:val="000000"/>
          <w:sz w:val="30"/>
          <w:szCs w:val="30"/>
        </w:rPr>
      </w:pPr>
    </w:p>
    <w:p>
      <w:pPr>
        <w:snapToGrid w:val="0"/>
        <w:spacing w:line="360" w:lineRule="auto"/>
        <w:ind w:firstLine="1264" w:firstLineChars="602"/>
        <w:rPr>
          <w:rFonts w:ascii="仿宋_GB2312" w:hAnsi="宋体" w:eastAsia="仿宋_GB2312"/>
          <w:color w:val="000000"/>
        </w:rPr>
      </w:pPr>
    </w:p>
    <w:p>
      <w:pPr>
        <w:snapToGrid w:val="0"/>
        <w:spacing w:line="360" w:lineRule="auto"/>
        <w:ind w:firstLine="1264" w:firstLineChars="602"/>
        <w:rPr>
          <w:rFonts w:ascii="仿宋_GB2312" w:hAnsi="宋体" w:eastAsia="仿宋_GB2312"/>
          <w:color w:val="000000"/>
        </w:rPr>
      </w:pPr>
    </w:p>
    <w:p>
      <w:pPr>
        <w:snapToGrid w:val="0"/>
        <w:spacing w:line="360" w:lineRule="auto"/>
        <w:ind w:firstLine="1264" w:firstLineChars="602"/>
        <w:rPr>
          <w:rFonts w:ascii="仿宋_GB2312" w:hAnsi="宋体" w:eastAsia="仿宋_GB2312"/>
          <w:color w:val="000000"/>
        </w:rPr>
      </w:pPr>
    </w:p>
    <w:p>
      <w:pPr>
        <w:snapToGrid w:val="0"/>
        <w:spacing w:line="360" w:lineRule="auto"/>
        <w:ind w:firstLine="1264" w:firstLineChars="602"/>
        <w:rPr>
          <w:rFonts w:ascii="仿宋_GB2312" w:hAnsi="宋体" w:eastAsia="仿宋_GB2312"/>
          <w:color w:val="000000"/>
        </w:rPr>
      </w:pPr>
    </w:p>
    <w:p>
      <w:pPr>
        <w:snapToGrid w:val="0"/>
        <w:spacing w:line="360" w:lineRule="auto"/>
        <w:ind w:firstLine="1264" w:firstLineChars="602"/>
        <w:rPr>
          <w:rFonts w:ascii="仿宋_GB2312" w:hAnsi="宋体" w:eastAsia="仿宋_GB2312"/>
          <w:color w:val="000000"/>
        </w:rPr>
      </w:pPr>
    </w:p>
    <w:p>
      <w:pPr>
        <w:spacing w:line="0" w:lineRule="atLeast"/>
        <w:outlineLvl w:val="1"/>
        <w:rPr>
          <w:rFonts w:ascii="仿宋" w:hAnsi="仿宋" w:eastAsia="仿宋"/>
          <w:sz w:val="28"/>
          <w:szCs w:val="28"/>
        </w:rPr>
      </w:pPr>
      <w:bookmarkStart w:id="57" w:name="_Toc478387768"/>
      <w:r>
        <w:rPr>
          <w:rFonts w:hint="eastAsia" w:ascii="仿宋" w:hAnsi="仿宋" w:eastAsia="仿宋"/>
          <w:sz w:val="28"/>
          <w:szCs w:val="28"/>
        </w:rPr>
        <w:t>附件</w:t>
      </w:r>
      <w:r>
        <w:rPr>
          <w:rFonts w:hint="eastAsia" w:ascii="仿宋" w:hAnsi="仿宋" w:eastAsia="仿宋"/>
          <w:sz w:val="28"/>
          <w:szCs w:val="28"/>
          <w:lang w:val="en-US" w:eastAsia="zh-CN"/>
        </w:rPr>
        <w:t>8</w:t>
      </w:r>
      <w:r>
        <w:rPr>
          <w:rFonts w:hint="eastAsia" w:ascii="仿宋" w:hAnsi="仿宋" w:eastAsia="仿宋"/>
          <w:sz w:val="28"/>
          <w:szCs w:val="28"/>
        </w:rPr>
        <w:t>：经营业绩一览表</w:t>
      </w:r>
      <w:bookmarkEnd w:id="57"/>
    </w:p>
    <w:p>
      <w:pPr>
        <w:spacing w:line="0" w:lineRule="atLeast"/>
        <w:outlineLvl w:val="1"/>
        <w:rPr>
          <w:rFonts w:ascii="仿宋" w:hAnsi="仿宋" w:eastAsia="仿宋"/>
          <w:sz w:val="30"/>
          <w:szCs w:val="30"/>
        </w:rPr>
      </w:pPr>
    </w:p>
    <w:p>
      <w:pPr>
        <w:spacing w:before="120" w:after="240"/>
        <w:jc w:val="center"/>
        <w:rPr>
          <w:rFonts w:ascii="宋体" w:hAnsi="宋体"/>
          <w:b/>
          <w:sz w:val="32"/>
          <w:szCs w:val="32"/>
        </w:rPr>
      </w:pPr>
      <w:r>
        <w:rPr>
          <w:rFonts w:hint="eastAsia" w:ascii="宋体" w:hAnsi="宋体"/>
          <w:b/>
          <w:sz w:val="32"/>
          <w:szCs w:val="32"/>
        </w:rPr>
        <w:t>经营业绩一览表</w:t>
      </w:r>
    </w:p>
    <w:tbl>
      <w:tblPr>
        <w:tblStyle w:val="22"/>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（注：此表格式如不合适，参加单位可自行调整。）</w:t>
      </w:r>
    </w:p>
    <w:p>
      <w:pPr>
        <w:snapToGrid w:val="0"/>
        <w:spacing w:line="360" w:lineRule="auto"/>
        <w:jc w:val="left"/>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参加单位名称及盖章：</w:t>
      </w:r>
      <w:r>
        <w:rPr>
          <w:rFonts w:hint="eastAsia" w:ascii="仿宋" w:hAnsi="仿宋" w:eastAsia="仿宋"/>
          <w:sz w:val="28"/>
          <w:szCs w:val="28"/>
          <w:u w:val="single"/>
        </w:rPr>
        <w:t xml:space="preserve">                        </w:t>
      </w:r>
    </w:p>
    <w:p>
      <w:pPr>
        <w:snapToGrid w:val="0"/>
        <w:spacing w:line="360" w:lineRule="auto"/>
        <w:jc w:val="left"/>
        <w:rPr>
          <w:rFonts w:ascii="仿宋_GB2312" w:hAnsi="宋体" w:eastAsia="仿宋_GB2312"/>
          <w:color w:val="000000"/>
        </w:rPr>
      </w:pPr>
    </w:p>
    <w:p>
      <w:pPr>
        <w:snapToGrid w:val="0"/>
        <w:spacing w:line="360" w:lineRule="auto"/>
        <w:jc w:val="left"/>
        <w:rPr>
          <w:rFonts w:ascii="仿宋_GB2312" w:hAnsi="宋体" w:eastAsia="仿宋_GB2312"/>
          <w:color w:val="000000"/>
        </w:rPr>
      </w:pPr>
    </w:p>
    <w:p>
      <w:pPr>
        <w:snapToGrid w:val="0"/>
        <w:spacing w:line="360" w:lineRule="auto"/>
        <w:jc w:val="left"/>
        <w:rPr>
          <w:rFonts w:ascii="仿宋_GB2312" w:hAnsi="宋体" w:eastAsia="仿宋_GB2312"/>
          <w:color w:val="000000"/>
        </w:rPr>
      </w:pPr>
    </w:p>
    <w:p>
      <w:pPr>
        <w:snapToGrid w:val="0"/>
        <w:spacing w:line="360" w:lineRule="auto"/>
        <w:jc w:val="left"/>
        <w:rPr>
          <w:rFonts w:ascii="仿宋_GB2312" w:hAnsi="宋体" w:eastAsia="仿宋_GB2312"/>
          <w:color w:val="000000"/>
        </w:rPr>
      </w:pPr>
    </w:p>
    <w:p>
      <w:pPr>
        <w:snapToGrid w:val="0"/>
        <w:spacing w:line="360" w:lineRule="auto"/>
        <w:jc w:val="left"/>
        <w:rPr>
          <w:rFonts w:ascii="仿宋_GB2312" w:hAnsi="宋体" w:eastAsia="仿宋_GB2312"/>
          <w:color w:val="000000"/>
        </w:rPr>
      </w:pPr>
    </w:p>
    <w:p>
      <w:pPr>
        <w:snapToGrid w:val="0"/>
        <w:spacing w:line="360" w:lineRule="auto"/>
        <w:jc w:val="left"/>
        <w:rPr>
          <w:rFonts w:ascii="仿宋_GB2312" w:hAnsi="宋体" w:eastAsia="仿宋_GB2312"/>
          <w:color w:val="000000"/>
        </w:rPr>
      </w:pPr>
    </w:p>
    <w:p>
      <w:pPr>
        <w:widowControl/>
        <w:jc w:val="left"/>
        <w:rPr>
          <w:rFonts w:ascii="仿宋" w:hAnsi="仿宋" w:eastAsia="仿宋"/>
          <w:sz w:val="28"/>
          <w:szCs w:val="28"/>
        </w:rPr>
      </w:pPr>
      <w:r>
        <w:rPr>
          <w:rFonts w:ascii="仿宋" w:hAnsi="仿宋" w:eastAsia="仿宋"/>
          <w:sz w:val="28"/>
          <w:szCs w:val="28"/>
        </w:rPr>
        <w:br w:type="page"/>
      </w:r>
    </w:p>
    <w:p>
      <w:pPr>
        <w:spacing w:line="0" w:lineRule="atLeast"/>
        <w:outlineLvl w:val="1"/>
        <w:rPr>
          <w:rFonts w:ascii="仿宋" w:hAnsi="仿宋" w:eastAsia="仿宋"/>
          <w:sz w:val="28"/>
          <w:szCs w:val="28"/>
        </w:rPr>
      </w:pPr>
      <w:bookmarkStart w:id="58" w:name="_Toc478387769"/>
      <w:r>
        <w:rPr>
          <w:rFonts w:hint="eastAsia" w:ascii="仿宋" w:hAnsi="仿宋" w:eastAsia="仿宋"/>
          <w:sz w:val="28"/>
          <w:szCs w:val="28"/>
        </w:rPr>
        <w:t>附件</w:t>
      </w:r>
      <w:r>
        <w:rPr>
          <w:rFonts w:hint="eastAsia" w:ascii="仿宋" w:hAnsi="仿宋" w:eastAsia="仿宋"/>
          <w:sz w:val="28"/>
          <w:szCs w:val="28"/>
          <w:lang w:val="en-US" w:eastAsia="zh-CN"/>
        </w:rPr>
        <w:t>9</w:t>
      </w:r>
      <w:r>
        <w:rPr>
          <w:rFonts w:hint="eastAsia" w:ascii="仿宋" w:hAnsi="仿宋" w:eastAsia="仿宋"/>
          <w:sz w:val="28"/>
          <w:szCs w:val="28"/>
        </w:rPr>
        <w:t>：售后服务承诺书</w:t>
      </w:r>
      <w:bookmarkEnd w:id="58"/>
    </w:p>
    <w:p>
      <w:pPr>
        <w:spacing w:line="0" w:lineRule="atLeast"/>
        <w:outlineLvl w:val="1"/>
        <w:rPr>
          <w:rFonts w:ascii="仿宋" w:hAnsi="仿宋" w:eastAsia="仿宋"/>
          <w:sz w:val="28"/>
          <w:szCs w:val="28"/>
        </w:rPr>
      </w:pPr>
    </w:p>
    <w:p>
      <w:pPr>
        <w:tabs>
          <w:tab w:val="left" w:pos="8248"/>
          <w:tab w:val="left" w:pos="9368"/>
        </w:tabs>
        <w:ind w:left="-66"/>
        <w:rPr>
          <w:rFonts w:ascii="仿宋" w:hAnsi="仿宋" w:eastAsia="仿宋"/>
          <w:color w:val="000000"/>
          <w:sz w:val="28"/>
          <w:szCs w:val="28"/>
          <w:u w:val="single"/>
        </w:rPr>
      </w:pPr>
      <w:r>
        <w:rPr>
          <w:rFonts w:hint="eastAsia" w:ascii="宋体" w:hAnsi="宋体"/>
          <w:b/>
          <w:sz w:val="32"/>
          <w:szCs w:val="32"/>
        </w:rPr>
        <w:t>售后服务承诺书</w:t>
      </w: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（注：参加单位可根据项目需求及承诺书具体内容自行调整相关格式）</w:t>
      </w:r>
    </w:p>
    <w:p>
      <w:pPr>
        <w:numPr>
          <w:ilvl w:val="0"/>
          <w:numId w:val="1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1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1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1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1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1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参加单位名称及盖章：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jc w:val="left"/>
        <w:rPr>
          <w:rFonts w:ascii="宋体" w:hAnsi="宋体"/>
          <w:color w:val="000000"/>
          <w:sz w:val="28"/>
          <w:szCs w:val="28"/>
        </w:rPr>
      </w:pPr>
    </w:p>
    <w:p>
      <w:pPr>
        <w:snapToGrid w:val="0"/>
        <w:spacing w:line="360" w:lineRule="auto"/>
        <w:jc w:val="left"/>
        <w:rPr>
          <w:rFonts w:ascii="宋体" w:hAnsi="宋体"/>
          <w:color w:val="000000"/>
          <w:sz w:val="28"/>
          <w:szCs w:val="28"/>
        </w:rPr>
      </w:pPr>
    </w:p>
    <w:p>
      <w:pPr>
        <w:snapToGrid w:val="0"/>
        <w:spacing w:line="360" w:lineRule="auto"/>
        <w:jc w:val="left"/>
        <w:rPr>
          <w:rFonts w:ascii="宋体" w:hAnsi="宋体"/>
          <w:color w:val="000000"/>
          <w:sz w:val="28"/>
          <w:szCs w:val="28"/>
        </w:rPr>
      </w:pPr>
    </w:p>
    <w:p>
      <w:pPr>
        <w:snapToGrid w:val="0"/>
        <w:spacing w:line="360" w:lineRule="auto"/>
        <w:jc w:val="left"/>
        <w:rPr>
          <w:rFonts w:ascii="宋体" w:hAnsi="宋体"/>
          <w:color w:val="000000"/>
          <w:sz w:val="28"/>
          <w:szCs w:val="28"/>
        </w:rPr>
      </w:pPr>
    </w:p>
    <w:p>
      <w:pPr>
        <w:pStyle w:val="20"/>
        <w:jc w:val="both"/>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附件10：深圳会展中心</w:t>
      </w:r>
      <w:r>
        <w:rPr>
          <w:rFonts w:hint="eastAsia" w:ascii="仿宋" w:hAnsi="仿宋" w:eastAsia="仿宋" w:cs="Times New Roman"/>
          <w:kern w:val="2"/>
          <w:sz w:val="28"/>
          <w:szCs w:val="28"/>
          <w:u w:val="single"/>
          <w:lang w:val="en-US" w:eastAsia="zh-CN" w:bidi="ar-SA"/>
        </w:rPr>
        <w:t>　　</w:t>
      </w:r>
      <w:r>
        <w:rPr>
          <w:rFonts w:hint="eastAsia" w:ascii="仿宋" w:hAnsi="仿宋" w:eastAsia="仿宋" w:cs="Times New Roman"/>
          <w:kern w:val="2"/>
          <w:sz w:val="28"/>
          <w:szCs w:val="28"/>
          <w:lang w:val="en-US" w:eastAsia="zh-CN" w:bidi="ar-SA"/>
        </w:rPr>
        <w:t>年度零星工程造价咨询项目一览表</w:t>
      </w:r>
    </w:p>
    <w:p>
      <w:pPr>
        <w:pStyle w:val="20"/>
        <w:jc w:val="center"/>
        <w:rPr>
          <w:b/>
          <w:bCs/>
          <w:sz w:val="32"/>
        </w:rPr>
      </w:pPr>
      <w:r>
        <w:rPr>
          <w:b/>
          <w:bCs/>
          <w:sz w:val="32"/>
          <w:szCs w:val="32"/>
        </w:rPr>
        <w:t>深圳会展中心</w:t>
      </w:r>
      <w:r>
        <w:rPr>
          <w:b/>
          <w:bCs/>
          <w:sz w:val="32"/>
          <w:szCs w:val="32"/>
          <w:u w:val="single"/>
        </w:rPr>
        <w:t>　　</w:t>
      </w:r>
      <w:r>
        <w:rPr>
          <w:b/>
          <w:bCs/>
          <w:sz w:val="32"/>
          <w:szCs w:val="32"/>
        </w:rPr>
        <w:t>年度零星工程造价咨询项目一览表</w:t>
      </w:r>
    </w:p>
    <w:tbl>
      <w:tblPr>
        <w:tblStyle w:val="22"/>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664"/>
        <w:gridCol w:w="1425"/>
        <w:gridCol w:w="1487"/>
        <w:gridCol w:w="1487"/>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55" w:type="dxa"/>
            <w:vAlign w:val="center"/>
          </w:tcPr>
          <w:p>
            <w:pPr>
              <w:jc w:val="center"/>
            </w:pPr>
            <w:r>
              <w:rPr>
                <w:rFonts w:hint="eastAsia"/>
              </w:rPr>
              <w:t>序号</w:t>
            </w:r>
          </w:p>
        </w:tc>
        <w:tc>
          <w:tcPr>
            <w:tcW w:w="2664" w:type="dxa"/>
            <w:vAlign w:val="center"/>
          </w:tcPr>
          <w:p>
            <w:pPr>
              <w:jc w:val="center"/>
            </w:pPr>
            <w:r>
              <w:t>项目名称</w:t>
            </w:r>
          </w:p>
        </w:tc>
        <w:tc>
          <w:tcPr>
            <w:tcW w:w="1425" w:type="dxa"/>
            <w:vAlign w:val="center"/>
          </w:tcPr>
          <w:p>
            <w:pPr>
              <w:jc w:val="center"/>
            </w:pPr>
            <w:r>
              <w:t>审定金额</w:t>
            </w:r>
          </w:p>
        </w:tc>
        <w:tc>
          <w:tcPr>
            <w:tcW w:w="1487" w:type="dxa"/>
            <w:vAlign w:val="center"/>
          </w:tcPr>
          <w:p>
            <w:pPr>
              <w:jc w:val="center"/>
            </w:pPr>
            <w:r>
              <w:t>咨询费</w:t>
            </w:r>
          </w:p>
        </w:tc>
        <w:tc>
          <w:tcPr>
            <w:tcW w:w="1487" w:type="dxa"/>
            <w:vAlign w:val="center"/>
          </w:tcPr>
          <w:p>
            <w:pPr>
              <w:jc w:val="center"/>
            </w:pPr>
            <w:r>
              <w:t>项目负责部门/模块</w:t>
            </w:r>
          </w:p>
        </w:tc>
        <w:tc>
          <w:tcPr>
            <w:tcW w:w="882" w:type="dxa"/>
            <w:vAlign w:val="center"/>
          </w:tcPr>
          <w:p>
            <w:pPr>
              <w:jc w:val="center"/>
            </w:pPr>
            <w:r>
              <w:rPr>
                <w:rFonts w:hint="eastAsia"/>
              </w:rPr>
              <w:t>签认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5" w:type="dxa"/>
            <w:vAlign w:val="center"/>
          </w:tcPr>
          <w:p>
            <w:pPr>
              <w:jc w:val="center"/>
            </w:pPr>
          </w:p>
        </w:tc>
        <w:tc>
          <w:tcPr>
            <w:tcW w:w="2664" w:type="dxa"/>
            <w:vAlign w:val="center"/>
          </w:tcPr>
          <w:p>
            <w:pPr>
              <w:jc w:val="center"/>
            </w:pPr>
          </w:p>
        </w:tc>
        <w:tc>
          <w:tcPr>
            <w:tcW w:w="1425" w:type="dxa"/>
            <w:vAlign w:val="center"/>
          </w:tcPr>
          <w:p>
            <w:pPr>
              <w:jc w:val="center"/>
            </w:pPr>
          </w:p>
        </w:tc>
        <w:tc>
          <w:tcPr>
            <w:tcW w:w="1487" w:type="dxa"/>
            <w:vAlign w:val="center"/>
          </w:tcPr>
          <w:p>
            <w:pPr>
              <w:jc w:val="center"/>
            </w:pPr>
          </w:p>
        </w:tc>
        <w:tc>
          <w:tcPr>
            <w:tcW w:w="1487" w:type="dxa"/>
            <w:vAlign w:val="center"/>
          </w:tcPr>
          <w:p>
            <w:pPr>
              <w:jc w:val="center"/>
            </w:pPr>
          </w:p>
        </w:tc>
        <w:tc>
          <w:tcPr>
            <w:tcW w:w="8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5" w:type="dxa"/>
            <w:vAlign w:val="center"/>
          </w:tcPr>
          <w:p>
            <w:pPr>
              <w:jc w:val="center"/>
            </w:pPr>
          </w:p>
        </w:tc>
        <w:tc>
          <w:tcPr>
            <w:tcW w:w="2664" w:type="dxa"/>
            <w:vAlign w:val="center"/>
          </w:tcPr>
          <w:p>
            <w:pPr>
              <w:jc w:val="center"/>
            </w:pPr>
          </w:p>
        </w:tc>
        <w:tc>
          <w:tcPr>
            <w:tcW w:w="1425" w:type="dxa"/>
            <w:vAlign w:val="center"/>
          </w:tcPr>
          <w:p>
            <w:pPr>
              <w:jc w:val="center"/>
            </w:pPr>
          </w:p>
        </w:tc>
        <w:tc>
          <w:tcPr>
            <w:tcW w:w="1487" w:type="dxa"/>
            <w:vAlign w:val="center"/>
          </w:tcPr>
          <w:p>
            <w:pPr>
              <w:jc w:val="center"/>
            </w:pPr>
          </w:p>
        </w:tc>
        <w:tc>
          <w:tcPr>
            <w:tcW w:w="1487" w:type="dxa"/>
            <w:vAlign w:val="center"/>
          </w:tcPr>
          <w:p>
            <w:pPr>
              <w:jc w:val="center"/>
            </w:pPr>
          </w:p>
        </w:tc>
        <w:tc>
          <w:tcPr>
            <w:tcW w:w="8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5" w:type="dxa"/>
            <w:vAlign w:val="center"/>
          </w:tcPr>
          <w:p>
            <w:pPr>
              <w:jc w:val="center"/>
            </w:pPr>
          </w:p>
        </w:tc>
        <w:tc>
          <w:tcPr>
            <w:tcW w:w="2664" w:type="dxa"/>
            <w:vAlign w:val="center"/>
          </w:tcPr>
          <w:p>
            <w:pPr>
              <w:jc w:val="center"/>
            </w:pPr>
          </w:p>
        </w:tc>
        <w:tc>
          <w:tcPr>
            <w:tcW w:w="1425" w:type="dxa"/>
            <w:vAlign w:val="center"/>
          </w:tcPr>
          <w:p>
            <w:pPr>
              <w:jc w:val="center"/>
            </w:pPr>
          </w:p>
        </w:tc>
        <w:tc>
          <w:tcPr>
            <w:tcW w:w="1487" w:type="dxa"/>
            <w:vAlign w:val="center"/>
          </w:tcPr>
          <w:p>
            <w:pPr>
              <w:jc w:val="center"/>
            </w:pPr>
          </w:p>
        </w:tc>
        <w:tc>
          <w:tcPr>
            <w:tcW w:w="1487" w:type="dxa"/>
            <w:vAlign w:val="center"/>
          </w:tcPr>
          <w:p>
            <w:pPr>
              <w:jc w:val="center"/>
            </w:pPr>
          </w:p>
        </w:tc>
        <w:tc>
          <w:tcPr>
            <w:tcW w:w="8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5" w:type="dxa"/>
            <w:vAlign w:val="center"/>
          </w:tcPr>
          <w:p>
            <w:pPr>
              <w:jc w:val="center"/>
            </w:pPr>
          </w:p>
        </w:tc>
        <w:tc>
          <w:tcPr>
            <w:tcW w:w="2664" w:type="dxa"/>
            <w:vAlign w:val="center"/>
          </w:tcPr>
          <w:p>
            <w:pPr>
              <w:jc w:val="center"/>
            </w:pPr>
          </w:p>
        </w:tc>
        <w:tc>
          <w:tcPr>
            <w:tcW w:w="1425" w:type="dxa"/>
            <w:vAlign w:val="center"/>
          </w:tcPr>
          <w:p>
            <w:pPr>
              <w:jc w:val="center"/>
            </w:pPr>
          </w:p>
        </w:tc>
        <w:tc>
          <w:tcPr>
            <w:tcW w:w="1487" w:type="dxa"/>
            <w:vAlign w:val="center"/>
          </w:tcPr>
          <w:p>
            <w:pPr>
              <w:jc w:val="center"/>
            </w:pPr>
          </w:p>
        </w:tc>
        <w:tc>
          <w:tcPr>
            <w:tcW w:w="1487" w:type="dxa"/>
            <w:vAlign w:val="center"/>
          </w:tcPr>
          <w:p>
            <w:pPr>
              <w:jc w:val="center"/>
            </w:pPr>
          </w:p>
        </w:tc>
        <w:tc>
          <w:tcPr>
            <w:tcW w:w="8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5" w:type="dxa"/>
            <w:vAlign w:val="center"/>
          </w:tcPr>
          <w:p>
            <w:pPr>
              <w:jc w:val="center"/>
            </w:pPr>
          </w:p>
        </w:tc>
        <w:tc>
          <w:tcPr>
            <w:tcW w:w="2664" w:type="dxa"/>
            <w:vAlign w:val="center"/>
          </w:tcPr>
          <w:p>
            <w:pPr>
              <w:jc w:val="center"/>
            </w:pPr>
          </w:p>
        </w:tc>
        <w:tc>
          <w:tcPr>
            <w:tcW w:w="1425" w:type="dxa"/>
            <w:vAlign w:val="center"/>
          </w:tcPr>
          <w:p>
            <w:pPr>
              <w:jc w:val="center"/>
            </w:pPr>
          </w:p>
        </w:tc>
        <w:tc>
          <w:tcPr>
            <w:tcW w:w="1487" w:type="dxa"/>
            <w:vAlign w:val="center"/>
          </w:tcPr>
          <w:p>
            <w:pPr>
              <w:jc w:val="center"/>
            </w:pPr>
          </w:p>
        </w:tc>
        <w:tc>
          <w:tcPr>
            <w:tcW w:w="1487" w:type="dxa"/>
            <w:vAlign w:val="center"/>
          </w:tcPr>
          <w:p>
            <w:pPr>
              <w:jc w:val="center"/>
            </w:pPr>
          </w:p>
        </w:tc>
        <w:tc>
          <w:tcPr>
            <w:tcW w:w="8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5" w:type="dxa"/>
            <w:vAlign w:val="center"/>
          </w:tcPr>
          <w:p>
            <w:pPr>
              <w:jc w:val="center"/>
            </w:pPr>
          </w:p>
        </w:tc>
        <w:tc>
          <w:tcPr>
            <w:tcW w:w="2664" w:type="dxa"/>
            <w:vAlign w:val="center"/>
          </w:tcPr>
          <w:p>
            <w:pPr>
              <w:jc w:val="center"/>
            </w:pPr>
          </w:p>
        </w:tc>
        <w:tc>
          <w:tcPr>
            <w:tcW w:w="1425" w:type="dxa"/>
            <w:vAlign w:val="center"/>
          </w:tcPr>
          <w:p>
            <w:pPr>
              <w:jc w:val="center"/>
            </w:pPr>
          </w:p>
        </w:tc>
        <w:tc>
          <w:tcPr>
            <w:tcW w:w="1487" w:type="dxa"/>
            <w:vAlign w:val="center"/>
          </w:tcPr>
          <w:p>
            <w:pPr>
              <w:jc w:val="center"/>
            </w:pPr>
          </w:p>
        </w:tc>
        <w:tc>
          <w:tcPr>
            <w:tcW w:w="1487" w:type="dxa"/>
            <w:vAlign w:val="center"/>
          </w:tcPr>
          <w:p>
            <w:pPr>
              <w:jc w:val="center"/>
            </w:pPr>
          </w:p>
        </w:tc>
        <w:tc>
          <w:tcPr>
            <w:tcW w:w="8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5" w:type="dxa"/>
            <w:vAlign w:val="center"/>
          </w:tcPr>
          <w:p>
            <w:pPr>
              <w:jc w:val="center"/>
            </w:pPr>
          </w:p>
        </w:tc>
        <w:tc>
          <w:tcPr>
            <w:tcW w:w="2664" w:type="dxa"/>
            <w:vAlign w:val="center"/>
          </w:tcPr>
          <w:p>
            <w:pPr>
              <w:jc w:val="center"/>
            </w:pPr>
          </w:p>
        </w:tc>
        <w:tc>
          <w:tcPr>
            <w:tcW w:w="1425" w:type="dxa"/>
            <w:vAlign w:val="center"/>
          </w:tcPr>
          <w:p>
            <w:pPr>
              <w:jc w:val="center"/>
            </w:pPr>
          </w:p>
        </w:tc>
        <w:tc>
          <w:tcPr>
            <w:tcW w:w="1487" w:type="dxa"/>
            <w:vAlign w:val="center"/>
          </w:tcPr>
          <w:p>
            <w:pPr>
              <w:jc w:val="center"/>
            </w:pPr>
          </w:p>
        </w:tc>
        <w:tc>
          <w:tcPr>
            <w:tcW w:w="1487" w:type="dxa"/>
            <w:vAlign w:val="center"/>
          </w:tcPr>
          <w:p>
            <w:pPr>
              <w:jc w:val="center"/>
            </w:pPr>
          </w:p>
        </w:tc>
        <w:tc>
          <w:tcPr>
            <w:tcW w:w="8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5" w:type="dxa"/>
            <w:vAlign w:val="center"/>
          </w:tcPr>
          <w:p>
            <w:pPr>
              <w:jc w:val="center"/>
            </w:pPr>
          </w:p>
        </w:tc>
        <w:tc>
          <w:tcPr>
            <w:tcW w:w="2664" w:type="dxa"/>
            <w:vAlign w:val="center"/>
          </w:tcPr>
          <w:p>
            <w:pPr>
              <w:jc w:val="center"/>
            </w:pPr>
          </w:p>
        </w:tc>
        <w:tc>
          <w:tcPr>
            <w:tcW w:w="1425" w:type="dxa"/>
            <w:vAlign w:val="center"/>
          </w:tcPr>
          <w:p>
            <w:pPr>
              <w:jc w:val="center"/>
            </w:pPr>
          </w:p>
        </w:tc>
        <w:tc>
          <w:tcPr>
            <w:tcW w:w="1487" w:type="dxa"/>
            <w:vAlign w:val="center"/>
          </w:tcPr>
          <w:p>
            <w:pPr>
              <w:jc w:val="center"/>
            </w:pPr>
          </w:p>
        </w:tc>
        <w:tc>
          <w:tcPr>
            <w:tcW w:w="1487" w:type="dxa"/>
            <w:vAlign w:val="center"/>
          </w:tcPr>
          <w:p>
            <w:pPr>
              <w:jc w:val="center"/>
            </w:pPr>
          </w:p>
        </w:tc>
        <w:tc>
          <w:tcPr>
            <w:tcW w:w="8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5" w:type="dxa"/>
            <w:vAlign w:val="center"/>
          </w:tcPr>
          <w:p>
            <w:pPr>
              <w:jc w:val="center"/>
            </w:pPr>
          </w:p>
        </w:tc>
        <w:tc>
          <w:tcPr>
            <w:tcW w:w="2664" w:type="dxa"/>
            <w:vAlign w:val="center"/>
          </w:tcPr>
          <w:p>
            <w:pPr>
              <w:jc w:val="center"/>
            </w:pPr>
          </w:p>
        </w:tc>
        <w:tc>
          <w:tcPr>
            <w:tcW w:w="1425" w:type="dxa"/>
            <w:vAlign w:val="center"/>
          </w:tcPr>
          <w:p>
            <w:pPr>
              <w:jc w:val="center"/>
            </w:pPr>
          </w:p>
        </w:tc>
        <w:tc>
          <w:tcPr>
            <w:tcW w:w="1487" w:type="dxa"/>
            <w:vAlign w:val="center"/>
          </w:tcPr>
          <w:p>
            <w:pPr>
              <w:jc w:val="center"/>
            </w:pPr>
          </w:p>
        </w:tc>
        <w:tc>
          <w:tcPr>
            <w:tcW w:w="1487" w:type="dxa"/>
            <w:vAlign w:val="center"/>
          </w:tcPr>
          <w:p>
            <w:pPr>
              <w:jc w:val="center"/>
            </w:pPr>
          </w:p>
        </w:tc>
        <w:tc>
          <w:tcPr>
            <w:tcW w:w="8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5" w:type="dxa"/>
            <w:vAlign w:val="center"/>
          </w:tcPr>
          <w:p>
            <w:pPr>
              <w:jc w:val="center"/>
            </w:pPr>
          </w:p>
        </w:tc>
        <w:tc>
          <w:tcPr>
            <w:tcW w:w="2664" w:type="dxa"/>
            <w:vAlign w:val="center"/>
          </w:tcPr>
          <w:p>
            <w:pPr>
              <w:jc w:val="center"/>
            </w:pPr>
          </w:p>
        </w:tc>
        <w:tc>
          <w:tcPr>
            <w:tcW w:w="1425" w:type="dxa"/>
            <w:vAlign w:val="center"/>
          </w:tcPr>
          <w:p>
            <w:pPr>
              <w:jc w:val="center"/>
            </w:pPr>
          </w:p>
        </w:tc>
        <w:tc>
          <w:tcPr>
            <w:tcW w:w="1487" w:type="dxa"/>
            <w:vAlign w:val="center"/>
          </w:tcPr>
          <w:p>
            <w:pPr>
              <w:jc w:val="center"/>
            </w:pPr>
          </w:p>
        </w:tc>
        <w:tc>
          <w:tcPr>
            <w:tcW w:w="1487" w:type="dxa"/>
            <w:vAlign w:val="center"/>
          </w:tcPr>
          <w:p>
            <w:pPr>
              <w:jc w:val="center"/>
            </w:pPr>
          </w:p>
        </w:tc>
        <w:tc>
          <w:tcPr>
            <w:tcW w:w="8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55" w:type="dxa"/>
            <w:vAlign w:val="center"/>
          </w:tcPr>
          <w:p>
            <w:pPr>
              <w:jc w:val="center"/>
            </w:pPr>
          </w:p>
        </w:tc>
        <w:tc>
          <w:tcPr>
            <w:tcW w:w="2664" w:type="dxa"/>
            <w:vAlign w:val="center"/>
          </w:tcPr>
          <w:p>
            <w:pPr>
              <w:jc w:val="center"/>
            </w:pPr>
          </w:p>
        </w:tc>
        <w:tc>
          <w:tcPr>
            <w:tcW w:w="1425" w:type="dxa"/>
            <w:vAlign w:val="center"/>
          </w:tcPr>
          <w:p>
            <w:pPr>
              <w:jc w:val="center"/>
            </w:pPr>
          </w:p>
        </w:tc>
        <w:tc>
          <w:tcPr>
            <w:tcW w:w="1487" w:type="dxa"/>
            <w:vAlign w:val="center"/>
          </w:tcPr>
          <w:p>
            <w:pPr>
              <w:jc w:val="center"/>
            </w:pPr>
          </w:p>
        </w:tc>
        <w:tc>
          <w:tcPr>
            <w:tcW w:w="1487" w:type="dxa"/>
            <w:vAlign w:val="center"/>
          </w:tcPr>
          <w:p>
            <w:pPr>
              <w:jc w:val="center"/>
            </w:pPr>
          </w:p>
        </w:tc>
        <w:tc>
          <w:tcPr>
            <w:tcW w:w="882" w:type="dxa"/>
            <w:vAlign w:val="center"/>
          </w:tcPr>
          <w:p>
            <w:pPr>
              <w:jc w:val="center"/>
            </w:pPr>
          </w:p>
        </w:tc>
      </w:tr>
    </w:tbl>
    <w:p>
      <w:pPr>
        <w:snapToGrid w:val="0"/>
        <w:spacing w:line="360" w:lineRule="auto"/>
        <w:jc w:val="left"/>
        <w:rPr>
          <w:rFonts w:ascii="宋体" w:hAnsi="宋体"/>
          <w:color w:val="000000"/>
          <w:sz w:val="28"/>
          <w:szCs w:val="28"/>
        </w:rPr>
      </w:pPr>
    </w:p>
    <w:p>
      <w:pPr>
        <w:spacing w:line="0" w:lineRule="atLeast"/>
        <w:rPr>
          <w:rFonts w:ascii="仿宋" w:hAnsi="仿宋" w:eastAsia="仿宋"/>
          <w:sz w:val="24"/>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both"/>
        <w:rPr>
          <w:rFonts w:ascii="仿宋" w:hAnsi="仿宋" w:eastAsia="仿宋"/>
          <w:sz w:val="24"/>
        </w:rPr>
      </w:pPr>
    </w:p>
    <w:sectPr>
      <w:footerReference r:id="rId5" w:type="first"/>
      <w:headerReference r:id="rId3" w:type="default"/>
      <w:footerReference r:id="rId4" w:type="default"/>
      <w:pgSz w:w="11906" w:h="16838"/>
      <w:pgMar w:top="1276" w:right="1416" w:bottom="993"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lang w:val="zh-CN"/>
      </w:rPr>
      <w:fldChar w:fldCharType="begin"/>
    </w:r>
    <w:r>
      <w:rPr>
        <w:lang w:val="zh-CN"/>
      </w:rPr>
      <w:instrText xml:space="preserve"> PAGE   \* MERGEFORMAT </w:instrText>
    </w:r>
    <w:r>
      <w:rPr>
        <w:lang w:val="zh-CN"/>
      </w:rPr>
      <w:fldChar w:fldCharType="separate"/>
    </w:r>
    <w:r>
      <w:rPr>
        <w:lang w:val="zh-CN"/>
      </w:rPr>
      <w:t>3</w:t>
    </w:r>
    <w:r>
      <w:rPr>
        <w:lang w:val="zh-CN"/>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33F5A6"/>
    <w:multiLevelType w:val="multilevel"/>
    <w:tmpl w:val="D433F5A6"/>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D45B7C0A"/>
    <w:multiLevelType w:val="multilevel"/>
    <w:tmpl w:val="D45B7C0A"/>
    <w:lvl w:ilvl="0" w:tentative="0">
      <w:start w:val="1"/>
      <w:numFmt w:val="decimal"/>
      <w:lvlText w:val="（%1）"/>
      <w:lvlJc w:val="left"/>
      <w:pPr>
        <w:ind w:left="420" w:hanging="420"/>
      </w:pPr>
      <w:rPr>
        <w:rFonts w:hint="eastAsia" w:ascii="仿宋" w:hAnsi="仿宋" w:eastAsia="仿宋"/>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3"/>
    <w:multiLevelType w:val="singleLevel"/>
    <w:tmpl w:val="00000013"/>
    <w:lvl w:ilvl="0" w:tentative="0">
      <w:start w:val="1"/>
      <w:numFmt w:val="decimal"/>
      <w:lvlText w:val="%1."/>
      <w:lvlJc w:val="left"/>
      <w:pPr>
        <w:ind w:left="420" w:hanging="420"/>
      </w:pPr>
    </w:lvl>
  </w:abstractNum>
  <w:abstractNum w:abstractNumId="6">
    <w:nsid w:val="1F3AE644"/>
    <w:multiLevelType w:val="singleLevel"/>
    <w:tmpl w:val="1F3AE644"/>
    <w:lvl w:ilvl="0" w:tentative="0">
      <w:start w:val="1"/>
      <w:numFmt w:val="decimal"/>
      <w:lvlText w:val="(%1)"/>
      <w:lvlJc w:val="left"/>
      <w:pPr>
        <w:ind w:left="425" w:hanging="425"/>
      </w:pPr>
      <w:rPr>
        <w:rFonts w:hint="default"/>
      </w:rPr>
    </w:lvl>
  </w:abstractNum>
  <w:abstractNum w:abstractNumId="7">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8A04D69"/>
    <w:multiLevelType w:val="singleLevel"/>
    <w:tmpl w:val="38A04D69"/>
    <w:lvl w:ilvl="0" w:tentative="0">
      <w:start w:val="1"/>
      <w:numFmt w:val="decimal"/>
      <w:lvlText w:val="(%1)"/>
      <w:lvlJc w:val="left"/>
      <w:pPr>
        <w:ind w:left="425" w:hanging="425"/>
      </w:pPr>
      <w:rPr>
        <w:rFonts w:hint="default"/>
      </w:rPr>
    </w:lvl>
  </w:abstractNum>
  <w:abstractNum w:abstractNumId="9">
    <w:nsid w:val="3A94754A"/>
    <w:multiLevelType w:val="multilevel"/>
    <w:tmpl w:val="3A94754A"/>
    <w:lvl w:ilvl="0" w:tentative="0">
      <w:start w:val="1"/>
      <w:numFmt w:val="decimal"/>
      <w:lvlText w:val="（%1）"/>
      <w:lvlJc w:val="left"/>
      <w:pPr>
        <w:ind w:left="112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1">
    <w:nsid w:val="44F657B0"/>
    <w:multiLevelType w:val="multilevel"/>
    <w:tmpl w:val="44F657B0"/>
    <w:lvl w:ilvl="0" w:tentative="0">
      <w:start w:val="1"/>
      <w:numFmt w:val="bullet"/>
      <w:lvlText w:val=""/>
      <w:lvlJc w:val="left"/>
      <w:pPr>
        <w:ind w:left="840" w:hanging="420"/>
      </w:pPr>
      <w:rPr>
        <w:rFonts w:hint="default" w:ascii="Wingdings" w:hAnsi="Wingdings"/>
      </w:rPr>
    </w:lvl>
    <w:lvl w:ilvl="1" w:tentative="0">
      <w:start w:val="1"/>
      <w:numFmt w:val="decimal"/>
      <w:lvlText w:val="%2."/>
      <w:lvlJc w:val="left"/>
      <w:pPr>
        <w:ind w:left="846" w:hanging="420"/>
      </w:pPr>
      <w:rPr>
        <w:rFonts w:hint="default"/>
        <w:color w:val="auto"/>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45080434"/>
    <w:multiLevelType w:val="multilevel"/>
    <w:tmpl w:val="45080434"/>
    <w:lvl w:ilvl="0" w:tentative="0">
      <w:start w:val="1"/>
      <w:numFmt w:val="decimal"/>
      <w:lvlText w:val="（%1）"/>
      <w:lvlJc w:val="left"/>
      <w:pPr>
        <w:ind w:left="420" w:hanging="420"/>
      </w:pPr>
      <w:rPr>
        <w:rFonts w:hint="eastAsia" w:ascii="仿宋" w:hAnsi="仿宋" w:eastAsia="仿宋"/>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E706F15"/>
    <w:multiLevelType w:val="multilevel"/>
    <w:tmpl w:val="4E706F15"/>
    <w:lvl w:ilvl="0" w:tentative="0">
      <w:start w:val="1"/>
      <w:numFmt w:val="decimal"/>
      <w:lvlText w:val="（%1）"/>
      <w:lvlJc w:val="left"/>
      <w:pPr>
        <w:ind w:left="420" w:hanging="420"/>
      </w:pPr>
      <w:rPr>
        <w:rFonts w:hint="eastAsia" w:ascii="仿宋" w:hAnsi="仿宋" w:eastAsia="仿宋"/>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3A34B11"/>
    <w:multiLevelType w:val="multilevel"/>
    <w:tmpl w:val="53A34B11"/>
    <w:lvl w:ilvl="0" w:tentative="0">
      <w:start w:val="1"/>
      <w:numFmt w:val="decimal"/>
      <w:lvlText w:val="（%1）"/>
      <w:lvlJc w:val="left"/>
      <w:pPr>
        <w:ind w:left="420" w:hanging="420"/>
      </w:pPr>
      <w:rPr>
        <w:rFonts w:hint="eastAsia" w:ascii="仿宋" w:hAnsi="仿宋" w:eastAsia="仿宋"/>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62460B2"/>
    <w:multiLevelType w:val="singleLevel"/>
    <w:tmpl w:val="562460B2"/>
    <w:lvl w:ilvl="0" w:tentative="0">
      <w:start w:val="1"/>
      <w:numFmt w:val="chineseCounting"/>
      <w:suff w:val="nothing"/>
      <w:lvlText w:val="%1、"/>
      <w:lvlJc w:val="left"/>
    </w:lvl>
  </w:abstractNum>
  <w:abstractNum w:abstractNumId="16">
    <w:nsid w:val="5BAE7B74"/>
    <w:multiLevelType w:val="multilevel"/>
    <w:tmpl w:val="5BAE7B74"/>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78D51F2"/>
    <w:multiLevelType w:val="multilevel"/>
    <w:tmpl w:val="678D51F2"/>
    <w:lvl w:ilvl="0" w:tentative="0">
      <w:start w:val="1"/>
      <w:numFmt w:val="decimal"/>
      <w:lvlText w:val="（%1）"/>
      <w:lvlJc w:val="left"/>
      <w:pPr>
        <w:ind w:left="112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num w:numId="1">
    <w:abstractNumId w:val="15"/>
  </w:num>
  <w:num w:numId="2">
    <w:abstractNumId w:val="12"/>
  </w:num>
  <w:num w:numId="3">
    <w:abstractNumId w:val="13"/>
  </w:num>
  <w:num w:numId="4">
    <w:abstractNumId w:val="1"/>
  </w:num>
  <w:num w:numId="5">
    <w:abstractNumId w:val="6"/>
  </w:num>
  <w:num w:numId="6">
    <w:abstractNumId w:val="8"/>
  </w:num>
  <w:num w:numId="7">
    <w:abstractNumId w:val="17"/>
  </w:num>
  <w:num w:numId="8">
    <w:abstractNumId w:val="9"/>
  </w:num>
  <w:num w:numId="9">
    <w:abstractNumId w:val="16"/>
  </w:num>
  <w:num w:numId="10">
    <w:abstractNumId w:val="0"/>
  </w:num>
  <w:num w:numId="11">
    <w:abstractNumId w:val="4"/>
  </w:num>
  <w:num w:numId="12">
    <w:abstractNumId w:val="14"/>
  </w:num>
  <w:num w:numId="13">
    <w:abstractNumId w:val="11"/>
  </w:num>
  <w:num w:numId="14">
    <w:abstractNumId w:val="3"/>
  </w:num>
  <w:num w:numId="15">
    <w:abstractNumId w:val="2"/>
  </w:num>
  <w:num w:numId="16">
    <w:abstractNumId w:val="7"/>
  </w:num>
  <w:num w:numId="17">
    <w:abstractNumId w:val="18"/>
  </w:num>
  <w:num w:numId="18">
    <w:abstractNumId w:val="10"/>
  </w:num>
  <w:num w:numId="1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usan">
    <w15:presenceInfo w15:providerId="None" w15:userId="susan"/>
  </w15:person>
  <w15:person w15:author="飞儿">
    <w15:presenceInfo w15:providerId="WPS Office" w15:userId="2149244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7CD"/>
    <w:rsid w:val="0000080C"/>
    <w:rsid w:val="00002A1A"/>
    <w:rsid w:val="00002F23"/>
    <w:rsid w:val="00003318"/>
    <w:rsid w:val="000036E5"/>
    <w:rsid w:val="00004C66"/>
    <w:rsid w:val="00006886"/>
    <w:rsid w:val="000119C8"/>
    <w:rsid w:val="0001464A"/>
    <w:rsid w:val="000160C5"/>
    <w:rsid w:val="000164F5"/>
    <w:rsid w:val="00017E0E"/>
    <w:rsid w:val="000203FC"/>
    <w:rsid w:val="000208EE"/>
    <w:rsid w:val="00020EC8"/>
    <w:rsid w:val="00020F3C"/>
    <w:rsid w:val="00021C63"/>
    <w:rsid w:val="00022D1E"/>
    <w:rsid w:val="00023692"/>
    <w:rsid w:val="00023A0A"/>
    <w:rsid w:val="000251D7"/>
    <w:rsid w:val="0002560C"/>
    <w:rsid w:val="00026379"/>
    <w:rsid w:val="000268AE"/>
    <w:rsid w:val="0003151D"/>
    <w:rsid w:val="000350ED"/>
    <w:rsid w:val="000423F7"/>
    <w:rsid w:val="00042439"/>
    <w:rsid w:val="00044B09"/>
    <w:rsid w:val="00051D1D"/>
    <w:rsid w:val="00053424"/>
    <w:rsid w:val="00053981"/>
    <w:rsid w:val="00054148"/>
    <w:rsid w:val="00054C5E"/>
    <w:rsid w:val="00057338"/>
    <w:rsid w:val="0006057D"/>
    <w:rsid w:val="00060FE9"/>
    <w:rsid w:val="00063A13"/>
    <w:rsid w:val="00063D4A"/>
    <w:rsid w:val="000648A3"/>
    <w:rsid w:val="00064B6E"/>
    <w:rsid w:val="00064F41"/>
    <w:rsid w:val="000650A4"/>
    <w:rsid w:val="00065FA3"/>
    <w:rsid w:val="000671E8"/>
    <w:rsid w:val="00070E14"/>
    <w:rsid w:val="00071CD2"/>
    <w:rsid w:val="00071FBE"/>
    <w:rsid w:val="00073904"/>
    <w:rsid w:val="00073A1E"/>
    <w:rsid w:val="00075A13"/>
    <w:rsid w:val="000760D5"/>
    <w:rsid w:val="00076D5A"/>
    <w:rsid w:val="000776DE"/>
    <w:rsid w:val="0008001B"/>
    <w:rsid w:val="000805B4"/>
    <w:rsid w:val="00083F07"/>
    <w:rsid w:val="0008478E"/>
    <w:rsid w:val="00087F2F"/>
    <w:rsid w:val="00092404"/>
    <w:rsid w:val="000925A9"/>
    <w:rsid w:val="00092D63"/>
    <w:rsid w:val="00093EE8"/>
    <w:rsid w:val="000948A6"/>
    <w:rsid w:val="00095CA8"/>
    <w:rsid w:val="0009735E"/>
    <w:rsid w:val="000A19BB"/>
    <w:rsid w:val="000A1FA0"/>
    <w:rsid w:val="000A2088"/>
    <w:rsid w:val="000A2258"/>
    <w:rsid w:val="000A4E5A"/>
    <w:rsid w:val="000A5131"/>
    <w:rsid w:val="000A5A2E"/>
    <w:rsid w:val="000A6A25"/>
    <w:rsid w:val="000A71F0"/>
    <w:rsid w:val="000A754D"/>
    <w:rsid w:val="000A75C8"/>
    <w:rsid w:val="000A785D"/>
    <w:rsid w:val="000A7F47"/>
    <w:rsid w:val="000A7F67"/>
    <w:rsid w:val="000B0206"/>
    <w:rsid w:val="000B0C3B"/>
    <w:rsid w:val="000B1708"/>
    <w:rsid w:val="000B1E91"/>
    <w:rsid w:val="000B3288"/>
    <w:rsid w:val="000B36BC"/>
    <w:rsid w:val="000B3B12"/>
    <w:rsid w:val="000B3CA2"/>
    <w:rsid w:val="000B437F"/>
    <w:rsid w:val="000B4BC2"/>
    <w:rsid w:val="000B63B7"/>
    <w:rsid w:val="000B76D4"/>
    <w:rsid w:val="000C208E"/>
    <w:rsid w:val="000C235D"/>
    <w:rsid w:val="000C355B"/>
    <w:rsid w:val="000C3B6F"/>
    <w:rsid w:val="000C407B"/>
    <w:rsid w:val="000C4EC6"/>
    <w:rsid w:val="000C62CA"/>
    <w:rsid w:val="000D020E"/>
    <w:rsid w:val="000D023E"/>
    <w:rsid w:val="000D0AF2"/>
    <w:rsid w:val="000D1F31"/>
    <w:rsid w:val="000D4291"/>
    <w:rsid w:val="000D477C"/>
    <w:rsid w:val="000D6EBB"/>
    <w:rsid w:val="000D77E9"/>
    <w:rsid w:val="000E042E"/>
    <w:rsid w:val="000E11B0"/>
    <w:rsid w:val="000E1596"/>
    <w:rsid w:val="000E3A7C"/>
    <w:rsid w:val="000E3B53"/>
    <w:rsid w:val="000E4562"/>
    <w:rsid w:val="000E50DB"/>
    <w:rsid w:val="000E71AC"/>
    <w:rsid w:val="000E735B"/>
    <w:rsid w:val="000F0677"/>
    <w:rsid w:val="000F08A3"/>
    <w:rsid w:val="000F09B7"/>
    <w:rsid w:val="000F237E"/>
    <w:rsid w:val="000F2570"/>
    <w:rsid w:val="000F300A"/>
    <w:rsid w:val="00100829"/>
    <w:rsid w:val="00101AEF"/>
    <w:rsid w:val="00102B15"/>
    <w:rsid w:val="001048A8"/>
    <w:rsid w:val="00105B9F"/>
    <w:rsid w:val="0010776C"/>
    <w:rsid w:val="0011046C"/>
    <w:rsid w:val="00110647"/>
    <w:rsid w:val="00110D31"/>
    <w:rsid w:val="00112BC7"/>
    <w:rsid w:val="001137F7"/>
    <w:rsid w:val="001141A1"/>
    <w:rsid w:val="00114FD2"/>
    <w:rsid w:val="001167B6"/>
    <w:rsid w:val="00116BDF"/>
    <w:rsid w:val="00120563"/>
    <w:rsid w:val="00120FEE"/>
    <w:rsid w:val="00121D95"/>
    <w:rsid w:val="001224F2"/>
    <w:rsid w:val="00125731"/>
    <w:rsid w:val="001269FD"/>
    <w:rsid w:val="00127B92"/>
    <w:rsid w:val="00135550"/>
    <w:rsid w:val="001378E1"/>
    <w:rsid w:val="00141DB7"/>
    <w:rsid w:val="00142A8A"/>
    <w:rsid w:val="00144A42"/>
    <w:rsid w:val="0014560C"/>
    <w:rsid w:val="001457ED"/>
    <w:rsid w:val="00145BC0"/>
    <w:rsid w:val="00146973"/>
    <w:rsid w:val="00151A95"/>
    <w:rsid w:val="00152616"/>
    <w:rsid w:val="00154C18"/>
    <w:rsid w:val="001565FC"/>
    <w:rsid w:val="00156AEA"/>
    <w:rsid w:val="00156D7B"/>
    <w:rsid w:val="00157941"/>
    <w:rsid w:val="00161EA3"/>
    <w:rsid w:val="0016364D"/>
    <w:rsid w:val="00165519"/>
    <w:rsid w:val="00165AE5"/>
    <w:rsid w:val="00165ED8"/>
    <w:rsid w:val="001666FA"/>
    <w:rsid w:val="00166744"/>
    <w:rsid w:val="001707EA"/>
    <w:rsid w:val="00170AC4"/>
    <w:rsid w:val="00171B38"/>
    <w:rsid w:val="001750C7"/>
    <w:rsid w:val="001758B0"/>
    <w:rsid w:val="00175DCB"/>
    <w:rsid w:val="00177239"/>
    <w:rsid w:val="00180869"/>
    <w:rsid w:val="00183C15"/>
    <w:rsid w:val="00187E19"/>
    <w:rsid w:val="00187FAE"/>
    <w:rsid w:val="001909F8"/>
    <w:rsid w:val="0019287F"/>
    <w:rsid w:val="00195245"/>
    <w:rsid w:val="00195761"/>
    <w:rsid w:val="001961EB"/>
    <w:rsid w:val="00196746"/>
    <w:rsid w:val="00197DBD"/>
    <w:rsid w:val="001A0777"/>
    <w:rsid w:val="001A224F"/>
    <w:rsid w:val="001A2C57"/>
    <w:rsid w:val="001A4BE1"/>
    <w:rsid w:val="001A7375"/>
    <w:rsid w:val="001A7C24"/>
    <w:rsid w:val="001B0ABB"/>
    <w:rsid w:val="001B202E"/>
    <w:rsid w:val="001B34B5"/>
    <w:rsid w:val="001B48CE"/>
    <w:rsid w:val="001B6CDD"/>
    <w:rsid w:val="001B7DE5"/>
    <w:rsid w:val="001C081E"/>
    <w:rsid w:val="001C10AA"/>
    <w:rsid w:val="001C1D7C"/>
    <w:rsid w:val="001C1F15"/>
    <w:rsid w:val="001C1F39"/>
    <w:rsid w:val="001C2737"/>
    <w:rsid w:val="001C2DE6"/>
    <w:rsid w:val="001C3040"/>
    <w:rsid w:val="001C42DF"/>
    <w:rsid w:val="001C553B"/>
    <w:rsid w:val="001D15BC"/>
    <w:rsid w:val="001D15FD"/>
    <w:rsid w:val="001D3AE9"/>
    <w:rsid w:val="001D63F7"/>
    <w:rsid w:val="001D6996"/>
    <w:rsid w:val="001D7B8A"/>
    <w:rsid w:val="001E0A03"/>
    <w:rsid w:val="001E147C"/>
    <w:rsid w:val="001E1FA7"/>
    <w:rsid w:val="001E20F7"/>
    <w:rsid w:val="001E3316"/>
    <w:rsid w:val="001E3518"/>
    <w:rsid w:val="001E3564"/>
    <w:rsid w:val="001E36D9"/>
    <w:rsid w:val="001F011D"/>
    <w:rsid w:val="001F090F"/>
    <w:rsid w:val="001F0A55"/>
    <w:rsid w:val="001F0AE5"/>
    <w:rsid w:val="001F1EEE"/>
    <w:rsid w:val="001F3A89"/>
    <w:rsid w:val="001F4535"/>
    <w:rsid w:val="001F4880"/>
    <w:rsid w:val="001F5F9D"/>
    <w:rsid w:val="001F78A9"/>
    <w:rsid w:val="001F7AE3"/>
    <w:rsid w:val="002002E1"/>
    <w:rsid w:val="00201954"/>
    <w:rsid w:val="00201A04"/>
    <w:rsid w:val="00204174"/>
    <w:rsid w:val="0020469F"/>
    <w:rsid w:val="00206208"/>
    <w:rsid w:val="002062BC"/>
    <w:rsid w:val="0021083E"/>
    <w:rsid w:val="002121FC"/>
    <w:rsid w:val="002132E9"/>
    <w:rsid w:val="00217174"/>
    <w:rsid w:val="002206BC"/>
    <w:rsid w:val="00221332"/>
    <w:rsid w:val="00221402"/>
    <w:rsid w:val="00222233"/>
    <w:rsid w:val="0022371C"/>
    <w:rsid w:val="00223DFB"/>
    <w:rsid w:val="00224CB1"/>
    <w:rsid w:val="002255AA"/>
    <w:rsid w:val="002258E0"/>
    <w:rsid w:val="00225912"/>
    <w:rsid w:val="00226A07"/>
    <w:rsid w:val="00227A24"/>
    <w:rsid w:val="00231A03"/>
    <w:rsid w:val="00232931"/>
    <w:rsid w:val="00232EB5"/>
    <w:rsid w:val="002330C7"/>
    <w:rsid w:val="002348A9"/>
    <w:rsid w:val="00234A26"/>
    <w:rsid w:val="00235152"/>
    <w:rsid w:val="0023732C"/>
    <w:rsid w:val="0023755C"/>
    <w:rsid w:val="002401DC"/>
    <w:rsid w:val="00244E1C"/>
    <w:rsid w:val="00245254"/>
    <w:rsid w:val="00247061"/>
    <w:rsid w:val="00247641"/>
    <w:rsid w:val="00251495"/>
    <w:rsid w:val="00253008"/>
    <w:rsid w:val="00256D1E"/>
    <w:rsid w:val="0026084D"/>
    <w:rsid w:val="002616C1"/>
    <w:rsid w:val="002623BE"/>
    <w:rsid w:val="002648D0"/>
    <w:rsid w:val="00264A20"/>
    <w:rsid w:val="002660A3"/>
    <w:rsid w:val="0026661A"/>
    <w:rsid w:val="00271258"/>
    <w:rsid w:val="002727FE"/>
    <w:rsid w:val="002728DE"/>
    <w:rsid w:val="00277F3B"/>
    <w:rsid w:val="002800C0"/>
    <w:rsid w:val="00282989"/>
    <w:rsid w:val="00283ECE"/>
    <w:rsid w:val="00284C61"/>
    <w:rsid w:val="00284F52"/>
    <w:rsid w:val="00285BCC"/>
    <w:rsid w:val="0028603B"/>
    <w:rsid w:val="002862B6"/>
    <w:rsid w:val="00286A34"/>
    <w:rsid w:val="00293149"/>
    <w:rsid w:val="00294372"/>
    <w:rsid w:val="002949AE"/>
    <w:rsid w:val="00297073"/>
    <w:rsid w:val="002A0419"/>
    <w:rsid w:val="002A1072"/>
    <w:rsid w:val="002A2322"/>
    <w:rsid w:val="002A284A"/>
    <w:rsid w:val="002A3432"/>
    <w:rsid w:val="002B0ED4"/>
    <w:rsid w:val="002B11B8"/>
    <w:rsid w:val="002B1829"/>
    <w:rsid w:val="002B1E76"/>
    <w:rsid w:val="002B44A5"/>
    <w:rsid w:val="002B55C9"/>
    <w:rsid w:val="002B60E4"/>
    <w:rsid w:val="002B6D67"/>
    <w:rsid w:val="002B79FC"/>
    <w:rsid w:val="002C0519"/>
    <w:rsid w:val="002C0EA0"/>
    <w:rsid w:val="002C19B4"/>
    <w:rsid w:val="002C523F"/>
    <w:rsid w:val="002C5967"/>
    <w:rsid w:val="002C64CA"/>
    <w:rsid w:val="002C7295"/>
    <w:rsid w:val="002D07BD"/>
    <w:rsid w:val="002D1472"/>
    <w:rsid w:val="002D185B"/>
    <w:rsid w:val="002D21FB"/>
    <w:rsid w:val="002D327C"/>
    <w:rsid w:val="002D4535"/>
    <w:rsid w:val="002D64B0"/>
    <w:rsid w:val="002D76B5"/>
    <w:rsid w:val="002F242C"/>
    <w:rsid w:val="002F2715"/>
    <w:rsid w:val="002F3B36"/>
    <w:rsid w:val="002F41EF"/>
    <w:rsid w:val="002F4728"/>
    <w:rsid w:val="002F507F"/>
    <w:rsid w:val="002F78E6"/>
    <w:rsid w:val="002F7EC4"/>
    <w:rsid w:val="0030178B"/>
    <w:rsid w:val="00301790"/>
    <w:rsid w:val="00301F7E"/>
    <w:rsid w:val="00302336"/>
    <w:rsid w:val="003024F4"/>
    <w:rsid w:val="0030298C"/>
    <w:rsid w:val="0030338E"/>
    <w:rsid w:val="00303B1E"/>
    <w:rsid w:val="00304921"/>
    <w:rsid w:val="00304A43"/>
    <w:rsid w:val="00304FB9"/>
    <w:rsid w:val="0030544A"/>
    <w:rsid w:val="00306094"/>
    <w:rsid w:val="00306931"/>
    <w:rsid w:val="00306C5A"/>
    <w:rsid w:val="00307264"/>
    <w:rsid w:val="003075F3"/>
    <w:rsid w:val="0031116E"/>
    <w:rsid w:val="003117F6"/>
    <w:rsid w:val="003126A3"/>
    <w:rsid w:val="0031327E"/>
    <w:rsid w:val="003135DD"/>
    <w:rsid w:val="00315407"/>
    <w:rsid w:val="00316847"/>
    <w:rsid w:val="00317BC5"/>
    <w:rsid w:val="00322697"/>
    <w:rsid w:val="00322C5F"/>
    <w:rsid w:val="00323E56"/>
    <w:rsid w:val="00324D4E"/>
    <w:rsid w:val="00325905"/>
    <w:rsid w:val="00326ADA"/>
    <w:rsid w:val="003271B0"/>
    <w:rsid w:val="00327634"/>
    <w:rsid w:val="00330204"/>
    <w:rsid w:val="003345BC"/>
    <w:rsid w:val="00335A67"/>
    <w:rsid w:val="00335E1D"/>
    <w:rsid w:val="00346624"/>
    <w:rsid w:val="00346CDE"/>
    <w:rsid w:val="00346D2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4AE"/>
    <w:rsid w:val="003657A4"/>
    <w:rsid w:val="0036685D"/>
    <w:rsid w:val="00371661"/>
    <w:rsid w:val="003745D2"/>
    <w:rsid w:val="00375E0D"/>
    <w:rsid w:val="00377CD6"/>
    <w:rsid w:val="00384885"/>
    <w:rsid w:val="0038529F"/>
    <w:rsid w:val="0038645D"/>
    <w:rsid w:val="0038660A"/>
    <w:rsid w:val="003876AD"/>
    <w:rsid w:val="0039211E"/>
    <w:rsid w:val="003927AD"/>
    <w:rsid w:val="00396A05"/>
    <w:rsid w:val="00397CE6"/>
    <w:rsid w:val="003A06DB"/>
    <w:rsid w:val="003A0B9C"/>
    <w:rsid w:val="003A2B77"/>
    <w:rsid w:val="003A31F0"/>
    <w:rsid w:val="003A3AB1"/>
    <w:rsid w:val="003A4024"/>
    <w:rsid w:val="003A431D"/>
    <w:rsid w:val="003A589D"/>
    <w:rsid w:val="003A67C0"/>
    <w:rsid w:val="003A7B29"/>
    <w:rsid w:val="003B34EB"/>
    <w:rsid w:val="003B4725"/>
    <w:rsid w:val="003B4955"/>
    <w:rsid w:val="003B4BB4"/>
    <w:rsid w:val="003B7321"/>
    <w:rsid w:val="003C0135"/>
    <w:rsid w:val="003C0CDC"/>
    <w:rsid w:val="003C12A7"/>
    <w:rsid w:val="003C1D71"/>
    <w:rsid w:val="003C4767"/>
    <w:rsid w:val="003C7670"/>
    <w:rsid w:val="003D10FB"/>
    <w:rsid w:val="003D2DD4"/>
    <w:rsid w:val="003D4463"/>
    <w:rsid w:val="003D6431"/>
    <w:rsid w:val="003D7C10"/>
    <w:rsid w:val="003E1DCD"/>
    <w:rsid w:val="003E1E3A"/>
    <w:rsid w:val="003E36DD"/>
    <w:rsid w:val="003E4D87"/>
    <w:rsid w:val="003E57D4"/>
    <w:rsid w:val="003E5838"/>
    <w:rsid w:val="003E6CEE"/>
    <w:rsid w:val="003F1210"/>
    <w:rsid w:val="003F2A0D"/>
    <w:rsid w:val="003F2D6F"/>
    <w:rsid w:val="003F37DC"/>
    <w:rsid w:val="003F3818"/>
    <w:rsid w:val="003F5439"/>
    <w:rsid w:val="003F7981"/>
    <w:rsid w:val="0040055A"/>
    <w:rsid w:val="0040188B"/>
    <w:rsid w:val="00402485"/>
    <w:rsid w:val="00403474"/>
    <w:rsid w:val="004034B3"/>
    <w:rsid w:val="004035F3"/>
    <w:rsid w:val="0041101E"/>
    <w:rsid w:val="004112D1"/>
    <w:rsid w:val="00414B39"/>
    <w:rsid w:val="00415B59"/>
    <w:rsid w:val="004166AE"/>
    <w:rsid w:val="004168CB"/>
    <w:rsid w:val="0042163B"/>
    <w:rsid w:val="00421B2C"/>
    <w:rsid w:val="00423BA2"/>
    <w:rsid w:val="004244FA"/>
    <w:rsid w:val="004246E4"/>
    <w:rsid w:val="004249D1"/>
    <w:rsid w:val="00426A38"/>
    <w:rsid w:val="00427436"/>
    <w:rsid w:val="0042767E"/>
    <w:rsid w:val="00430255"/>
    <w:rsid w:val="00431C3E"/>
    <w:rsid w:val="00432D1F"/>
    <w:rsid w:val="004359CD"/>
    <w:rsid w:val="00435D6D"/>
    <w:rsid w:val="004412F6"/>
    <w:rsid w:val="00442B2C"/>
    <w:rsid w:val="00443A0B"/>
    <w:rsid w:val="0044441B"/>
    <w:rsid w:val="0044540E"/>
    <w:rsid w:val="004469DF"/>
    <w:rsid w:val="00446FB0"/>
    <w:rsid w:val="004471E4"/>
    <w:rsid w:val="00450C81"/>
    <w:rsid w:val="00450DCF"/>
    <w:rsid w:val="0045239B"/>
    <w:rsid w:val="004541B1"/>
    <w:rsid w:val="004547BC"/>
    <w:rsid w:val="004615AB"/>
    <w:rsid w:val="00463918"/>
    <w:rsid w:val="00463D24"/>
    <w:rsid w:val="00464914"/>
    <w:rsid w:val="00464D03"/>
    <w:rsid w:val="00464D44"/>
    <w:rsid w:val="00465884"/>
    <w:rsid w:val="00467E42"/>
    <w:rsid w:val="00470232"/>
    <w:rsid w:val="004703C1"/>
    <w:rsid w:val="0047053B"/>
    <w:rsid w:val="00470722"/>
    <w:rsid w:val="00470AFA"/>
    <w:rsid w:val="00473E0F"/>
    <w:rsid w:val="004744E8"/>
    <w:rsid w:val="0047540A"/>
    <w:rsid w:val="0047569C"/>
    <w:rsid w:val="004760D1"/>
    <w:rsid w:val="00476E7A"/>
    <w:rsid w:val="0047708D"/>
    <w:rsid w:val="00477EA6"/>
    <w:rsid w:val="004803E0"/>
    <w:rsid w:val="004843C2"/>
    <w:rsid w:val="004859B8"/>
    <w:rsid w:val="00486EDA"/>
    <w:rsid w:val="00487772"/>
    <w:rsid w:val="00487D88"/>
    <w:rsid w:val="00491462"/>
    <w:rsid w:val="004929B2"/>
    <w:rsid w:val="00492EF7"/>
    <w:rsid w:val="00497AED"/>
    <w:rsid w:val="004A07DE"/>
    <w:rsid w:val="004A0DCD"/>
    <w:rsid w:val="004A10C7"/>
    <w:rsid w:val="004A30A0"/>
    <w:rsid w:val="004A35D3"/>
    <w:rsid w:val="004A37E8"/>
    <w:rsid w:val="004A3F57"/>
    <w:rsid w:val="004A3FD7"/>
    <w:rsid w:val="004A552F"/>
    <w:rsid w:val="004A5609"/>
    <w:rsid w:val="004A60CF"/>
    <w:rsid w:val="004B26E0"/>
    <w:rsid w:val="004B3513"/>
    <w:rsid w:val="004B39AD"/>
    <w:rsid w:val="004B4329"/>
    <w:rsid w:val="004B4BE7"/>
    <w:rsid w:val="004B6309"/>
    <w:rsid w:val="004B650A"/>
    <w:rsid w:val="004C1FB8"/>
    <w:rsid w:val="004C26E2"/>
    <w:rsid w:val="004C459F"/>
    <w:rsid w:val="004C5434"/>
    <w:rsid w:val="004C692A"/>
    <w:rsid w:val="004C6EF9"/>
    <w:rsid w:val="004C757B"/>
    <w:rsid w:val="004C77C0"/>
    <w:rsid w:val="004C7A1F"/>
    <w:rsid w:val="004D0C6F"/>
    <w:rsid w:val="004D0D76"/>
    <w:rsid w:val="004D1FEA"/>
    <w:rsid w:val="004D286A"/>
    <w:rsid w:val="004D2B0D"/>
    <w:rsid w:val="004D4B86"/>
    <w:rsid w:val="004D5864"/>
    <w:rsid w:val="004D6179"/>
    <w:rsid w:val="004D6F2D"/>
    <w:rsid w:val="004D7DA8"/>
    <w:rsid w:val="004E16F0"/>
    <w:rsid w:val="004E1A92"/>
    <w:rsid w:val="004E2160"/>
    <w:rsid w:val="004E28E9"/>
    <w:rsid w:val="004E36BA"/>
    <w:rsid w:val="004E5B34"/>
    <w:rsid w:val="004E6BA9"/>
    <w:rsid w:val="004F0AFC"/>
    <w:rsid w:val="004F0DE9"/>
    <w:rsid w:val="004F117C"/>
    <w:rsid w:val="004F156E"/>
    <w:rsid w:val="004F2BA8"/>
    <w:rsid w:val="004F3F85"/>
    <w:rsid w:val="004F415D"/>
    <w:rsid w:val="004F47BE"/>
    <w:rsid w:val="004F5358"/>
    <w:rsid w:val="004F563A"/>
    <w:rsid w:val="004F68AA"/>
    <w:rsid w:val="004F6C7C"/>
    <w:rsid w:val="004F721C"/>
    <w:rsid w:val="00500D66"/>
    <w:rsid w:val="00502474"/>
    <w:rsid w:val="00503109"/>
    <w:rsid w:val="0050393A"/>
    <w:rsid w:val="005041D2"/>
    <w:rsid w:val="005045FC"/>
    <w:rsid w:val="005065FB"/>
    <w:rsid w:val="005067D9"/>
    <w:rsid w:val="005072F8"/>
    <w:rsid w:val="00507F29"/>
    <w:rsid w:val="00510B23"/>
    <w:rsid w:val="00510ECD"/>
    <w:rsid w:val="0051244B"/>
    <w:rsid w:val="00512D53"/>
    <w:rsid w:val="00515C63"/>
    <w:rsid w:val="00515D7B"/>
    <w:rsid w:val="00515E8A"/>
    <w:rsid w:val="0051648E"/>
    <w:rsid w:val="005178C6"/>
    <w:rsid w:val="00523A9D"/>
    <w:rsid w:val="00524290"/>
    <w:rsid w:val="00524809"/>
    <w:rsid w:val="00526156"/>
    <w:rsid w:val="005265AC"/>
    <w:rsid w:val="00526C17"/>
    <w:rsid w:val="00527C3B"/>
    <w:rsid w:val="00527E36"/>
    <w:rsid w:val="00530144"/>
    <w:rsid w:val="005302F9"/>
    <w:rsid w:val="00531410"/>
    <w:rsid w:val="005328BB"/>
    <w:rsid w:val="00532AFA"/>
    <w:rsid w:val="00534AE1"/>
    <w:rsid w:val="00535F6A"/>
    <w:rsid w:val="0053641A"/>
    <w:rsid w:val="00536FC1"/>
    <w:rsid w:val="00541722"/>
    <w:rsid w:val="00541E0B"/>
    <w:rsid w:val="00542B53"/>
    <w:rsid w:val="00543513"/>
    <w:rsid w:val="0054372C"/>
    <w:rsid w:val="00543BA2"/>
    <w:rsid w:val="005445DB"/>
    <w:rsid w:val="00545C6A"/>
    <w:rsid w:val="00550100"/>
    <w:rsid w:val="005528F2"/>
    <w:rsid w:val="00552990"/>
    <w:rsid w:val="005538EC"/>
    <w:rsid w:val="00553F2D"/>
    <w:rsid w:val="00553FEC"/>
    <w:rsid w:val="0055631B"/>
    <w:rsid w:val="005575AB"/>
    <w:rsid w:val="0056033B"/>
    <w:rsid w:val="00560608"/>
    <w:rsid w:val="00561502"/>
    <w:rsid w:val="005644BE"/>
    <w:rsid w:val="00565CC4"/>
    <w:rsid w:val="0056734D"/>
    <w:rsid w:val="00567FDE"/>
    <w:rsid w:val="00571300"/>
    <w:rsid w:val="00572A34"/>
    <w:rsid w:val="005730FB"/>
    <w:rsid w:val="005757AD"/>
    <w:rsid w:val="0058304B"/>
    <w:rsid w:val="00586537"/>
    <w:rsid w:val="00586669"/>
    <w:rsid w:val="005905B2"/>
    <w:rsid w:val="005907F6"/>
    <w:rsid w:val="00591575"/>
    <w:rsid w:val="00591942"/>
    <w:rsid w:val="0059296D"/>
    <w:rsid w:val="0059340C"/>
    <w:rsid w:val="005965A1"/>
    <w:rsid w:val="00597291"/>
    <w:rsid w:val="00597FC8"/>
    <w:rsid w:val="005A0437"/>
    <w:rsid w:val="005A1084"/>
    <w:rsid w:val="005A16BD"/>
    <w:rsid w:val="005A2998"/>
    <w:rsid w:val="005A37D5"/>
    <w:rsid w:val="005A3EFB"/>
    <w:rsid w:val="005A6359"/>
    <w:rsid w:val="005A63BF"/>
    <w:rsid w:val="005A6789"/>
    <w:rsid w:val="005A7503"/>
    <w:rsid w:val="005B0402"/>
    <w:rsid w:val="005B0E2A"/>
    <w:rsid w:val="005C0873"/>
    <w:rsid w:val="005C100C"/>
    <w:rsid w:val="005C4EC9"/>
    <w:rsid w:val="005C6A62"/>
    <w:rsid w:val="005C7CCA"/>
    <w:rsid w:val="005D0AAB"/>
    <w:rsid w:val="005D0ACB"/>
    <w:rsid w:val="005D1649"/>
    <w:rsid w:val="005D2040"/>
    <w:rsid w:val="005D274D"/>
    <w:rsid w:val="005D339D"/>
    <w:rsid w:val="005D36B8"/>
    <w:rsid w:val="005D76EE"/>
    <w:rsid w:val="005D7C80"/>
    <w:rsid w:val="005E01BC"/>
    <w:rsid w:val="005E1F12"/>
    <w:rsid w:val="005E3D65"/>
    <w:rsid w:val="005E5E3F"/>
    <w:rsid w:val="005E7F93"/>
    <w:rsid w:val="005F38C5"/>
    <w:rsid w:val="005F4017"/>
    <w:rsid w:val="005F7E51"/>
    <w:rsid w:val="006035E4"/>
    <w:rsid w:val="0060369C"/>
    <w:rsid w:val="0060446B"/>
    <w:rsid w:val="00606064"/>
    <w:rsid w:val="00606EDC"/>
    <w:rsid w:val="0060705F"/>
    <w:rsid w:val="00607838"/>
    <w:rsid w:val="006079DF"/>
    <w:rsid w:val="00607B1A"/>
    <w:rsid w:val="00610BA9"/>
    <w:rsid w:val="00611BCD"/>
    <w:rsid w:val="00611CE9"/>
    <w:rsid w:val="00612591"/>
    <w:rsid w:val="0061347F"/>
    <w:rsid w:val="00615115"/>
    <w:rsid w:val="0061706F"/>
    <w:rsid w:val="00621E41"/>
    <w:rsid w:val="00623A3E"/>
    <w:rsid w:val="006241F7"/>
    <w:rsid w:val="00624F26"/>
    <w:rsid w:val="00626B19"/>
    <w:rsid w:val="00626E0B"/>
    <w:rsid w:val="00627C74"/>
    <w:rsid w:val="006318E5"/>
    <w:rsid w:val="00631E6E"/>
    <w:rsid w:val="006322E2"/>
    <w:rsid w:val="006327FD"/>
    <w:rsid w:val="006330B9"/>
    <w:rsid w:val="006334B0"/>
    <w:rsid w:val="00633BB6"/>
    <w:rsid w:val="00633DAF"/>
    <w:rsid w:val="0063403B"/>
    <w:rsid w:val="0063730A"/>
    <w:rsid w:val="006415E1"/>
    <w:rsid w:val="00642078"/>
    <w:rsid w:val="00642AF8"/>
    <w:rsid w:val="00644157"/>
    <w:rsid w:val="00644A20"/>
    <w:rsid w:val="006457AC"/>
    <w:rsid w:val="00647284"/>
    <w:rsid w:val="00651E91"/>
    <w:rsid w:val="00652FB0"/>
    <w:rsid w:val="006578F6"/>
    <w:rsid w:val="00660AAD"/>
    <w:rsid w:val="006620CA"/>
    <w:rsid w:val="006630E3"/>
    <w:rsid w:val="00665AE0"/>
    <w:rsid w:val="0066650E"/>
    <w:rsid w:val="006675D4"/>
    <w:rsid w:val="006678F6"/>
    <w:rsid w:val="00671E36"/>
    <w:rsid w:val="00672A60"/>
    <w:rsid w:val="00672EB8"/>
    <w:rsid w:val="006731CE"/>
    <w:rsid w:val="00675FB3"/>
    <w:rsid w:val="006766DF"/>
    <w:rsid w:val="00676757"/>
    <w:rsid w:val="00676BA5"/>
    <w:rsid w:val="00680E04"/>
    <w:rsid w:val="00682AB5"/>
    <w:rsid w:val="00685E0A"/>
    <w:rsid w:val="00686A93"/>
    <w:rsid w:val="00686ABA"/>
    <w:rsid w:val="00691312"/>
    <w:rsid w:val="00691693"/>
    <w:rsid w:val="00691DEC"/>
    <w:rsid w:val="00691EBA"/>
    <w:rsid w:val="00692985"/>
    <w:rsid w:val="006940DA"/>
    <w:rsid w:val="006945B1"/>
    <w:rsid w:val="00697701"/>
    <w:rsid w:val="006979C9"/>
    <w:rsid w:val="006A0A52"/>
    <w:rsid w:val="006A119A"/>
    <w:rsid w:val="006A25C9"/>
    <w:rsid w:val="006A4827"/>
    <w:rsid w:val="006A641E"/>
    <w:rsid w:val="006A6888"/>
    <w:rsid w:val="006A6964"/>
    <w:rsid w:val="006A699F"/>
    <w:rsid w:val="006A7E87"/>
    <w:rsid w:val="006B22DA"/>
    <w:rsid w:val="006B3124"/>
    <w:rsid w:val="006B3AFC"/>
    <w:rsid w:val="006B3CBE"/>
    <w:rsid w:val="006B660A"/>
    <w:rsid w:val="006B78D2"/>
    <w:rsid w:val="006C0F57"/>
    <w:rsid w:val="006C2E78"/>
    <w:rsid w:val="006C426D"/>
    <w:rsid w:val="006C61E4"/>
    <w:rsid w:val="006C63A0"/>
    <w:rsid w:val="006C6DAB"/>
    <w:rsid w:val="006C7A96"/>
    <w:rsid w:val="006D1298"/>
    <w:rsid w:val="006D5014"/>
    <w:rsid w:val="006D6462"/>
    <w:rsid w:val="006D6616"/>
    <w:rsid w:val="006E0B2C"/>
    <w:rsid w:val="006E2AEA"/>
    <w:rsid w:val="006E49EF"/>
    <w:rsid w:val="006E52B3"/>
    <w:rsid w:val="006F24F9"/>
    <w:rsid w:val="006F3320"/>
    <w:rsid w:val="006F41AD"/>
    <w:rsid w:val="006F5B7B"/>
    <w:rsid w:val="00700139"/>
    <w:rsid w:val="00702304"/>
    <w:rsid w:val="0070232E"/>
    <w:rsid w:val="00703FB3"/>
    <w:rsid w:val="00704FD9"/>
    <w:rsid w:val="0070607B"/>
    <w:rsid w:val="007063C0"/>
    <w:rsid w:val="0070717D"/>
    <w:rsid w:val="00707440"/>
    <w:rsid w:val="00707F15"/>
    <w:rsid w:val="00710B94"/>
    <w:rsid w:val="00711B30"/>
    <w:rsid w:val="007140CD"/>
    <w:rsid w:val="00714754"/>
    <w:rsid w:val="00714EF8"/>
    <w:rsid w:val="007150DD"/>
    <w:rsid w:val="00715255"/>
    <w:rsid w:val="007166CC"/>
    <w:rsid w:val="007205D3"/>
    <w:rsid w:val="007211D9"/>
    <w:rsid w:val="00723B0D"/>
    <w:rsid w:val="007251C6"/>
    <w:rsid w:val="0072572D"/>
    <w:rsid w:val="007260AD"/>
    <w:rsid w:val="00727816"/>
    <w:rsid w:val="00727C12"/>
    <w:rsid w:val="00730697"/>
    <w:rsid w:val="007308AB"/>
    <w:rsid w:val="00731EB1"/>
    <w:rsid w:val="00732717"/>
    <w:rsid w:val="00736147"/>
    <w:rsid w:val="007366B3"/>
    <w:rsid w:val="00736CF5"/>
    <w:rsid w:val="00737CAA"/>
    <w:rsid w:val="00737D1B"/>
    <w:rsid w:val="00743AAD"/>
    <w:rsid w:val="00745A93"/>
    <w:rsid w:val="00745FFB"/>
    <w:rsid w:val="007467E4"/>
    <w:rsid w:val="00746D25"/>
    <w:rsid w:val="0075517D"/>
    <w:rsid w:val="00755AA2"/>
    <w:rsid w:val="00756421"/>
    <w:rsid w:val="00757301"/>
    <w:rsid w:val="007607A6"/>
    <w:rsid w:val="00762BBA"/>
    <w:rsid w:val="00763757"/>
    <w:rsid w:val="00763979"/>
    <w:rsid w:val="00763CBE"/>
    <w:rsid w:val="007644D9"/>
    <w:rsid w:val="00766A08"/>
    <w:rsid w:val="00766CED"/>
    <w:rsid w:val="007724B0"/>
    <w:rsid w:val="00772500"/>
    <w:rsid w:val="00772CD5"/>
    <w:rsid w:val="007731F2"/>
    <w:rsid w:val="00774498"/>
    <w:rsid w:val="00774D1A"/>
    <w:rsid w:val="007755E2"/>
    <w:rsid w:val="00777C4B"/>
    <w:rsid w:val="00780287"/>
    <w:rsid w:val="0078219C"/>
    <w:rsid w:val="00791A50"/>
    <w:rsid w:val="00792A00"/>
    <w:rsid w:val="00794C77"/>
    <w:rsid w:val="007955A7"/>
    <w:rsid w:val="00796306"/>
    <w:rsid w:val="00796AD9"/>
    <w:rsid w:val="007A0307"/>
    <w:rsid w:val="007A1381"/>
    <w:rsid w:val="007A2855"/>
    <w:rsid w:val="007A4A16"/>
    <w:rsid w:val="007A5BFB"/>
    <w:rsid w:val="007A6816"/>
    <w:rsid w:val="007A7A10"/>
    <w:rsid w:val="007B005D"/>
    <w:rsid w:val="007B15E0"/>
    <w:rsid w:val="007B6AE3"/>
    <w:rsid w:val="007B6F83"/>
    <w:rsid w:val="007C0D7A"/>
    <w:rsid w:val="007C11FA"/>
    <w:rsid w:val="007C2FB6"/>
    <w:rsid w:val="007C395B"/>
    <w:rsid w:val="007C61D3"/>
    <w:rsid w:val="007C63D2"/>
    <w:rsid w:val="007C761D"/>
    <w:rsid w:val="007D17FA"/>
    <w:rsid w:val="007D3FB8"/>
    <w:rsid w:val="007D4A07"/>
    <w:rsid w:val="007D58BF"/>
    <w:rsid w:val="007D590A"/>
    <w:rsid w:val="007D6293"/>
    <w:rsid w:val="007E0067"/>
    <w:rsid w:val="007E0D5F"/>
    <w:rsid w:val="007E2A8F"/>
    <w:rsid w:val="007E4005"/>
    <w:rsid w:val="007E4695"/>
    <w:rsid w:val="007E490C"/>
    <w:rsid w:val="007E4A3D"/>
    <w:rsid w:val="007E4A9A"/>
    <w:rsid w:val="007E6538"/>
    <w:rsid w:val="007E7A58"/>
    <w:rsid w:val="007E7B77"/>
    <w:rsid w:val="007F07CC"/>
    <w:rsid w:val="007F0C0F"/>
    <w:rsid w:val="007F1689"/>
    <w:rsid w:val="007F27B6"/>
    <w:rsid w:val="007F3198"/>
    <w:rsid w:val="007F51D6"/>
    <w:rsid w:val="007F6EE2"/>
    <w:rsid w:val="007F6F27"/>
    <w:rsid w:val="007F7A60"/>
    <w:rsid w:val="00800591"/>
    <w:rsid w:val="00800A66"/>
    <w:rsid w:val="008013EB"/>
    <w:rsid w:val="00801898"/>
    <w:rsid w:val="0080443A"/>
    <w:rsid w:val="00804702"/>
    <w:rsid w:val="00812991"/>
    <w:rsid w:val="00815285"/>
    <w:rsid w:val="00816667"/>
    <w:rsid w:val="00821C37"/>
    <w:rsid w:val="00822D89"/>
    <w:rsid w:val="008275B6"/>
    <w:rsid w:val="008277E4"/>
    <w:rsid w:val="008313EE"/>
    <w:rsid w:val="00831719"/>
    <w:rsid w:val="008317E9"/>
    <w:rsid w:val="00831EB9"/>
    <w:rsid w:val="00832A93"/>
    <w:rsid w:val="00836239"/>
    <w:rsid w:val="00841113"/>
    <w:rsid w:val="00842866"/>
    <w:rsid w:val="008478F9"/>
    <w:rsid w:val="008505C2"/>
    <w:rsid w:val="00855762"/>
    <w:rsid w:val="00855FE3"/>
    <w:rsid w:val="008573B7"/>
    <w:rsid w:val="00860582"/>
    <w:rsid w:val="0086060B"/>
    <w:rsid w:val="00861EDA"/>
    <w:rsid w:val="00864F43"/>
    <w:rsid w:val="008657FF"/>
    <w:rsid w:val="00866132"/>
    <w:rsid w:val="00866765"/>
    <w:rsid w:val="00870CE9"/>
    <w:rsid w:val="008711C7"/>
    <w:rsid w:val="00872099"/>
    <w:rsid w:val="008727BF"/>
    <w:rsid w:val="008739BD"/>
    <w:rsid w:val="00873E3B"/>
    <w:rsid w:val="008753A3"/>
    <w:rsid w:val="008755F4"/>
    <w:rsid w:val="00876E2E"/>
    <w:rsid w:val="008775CC"/>
    <w:rsid w:val="00877EC1"/>
    <w:rsid w:val="00880266"/>
    <w:rsid w:val="00883A8A"/>
    <w:rsid w:val="00885BEF"/>
    <w:rsid w:val="0088731F"/>
    <w:rsid w:val="0089266E"/>
    <w:rsid w:val="0089570A"/>
    <w:rsid w:val="008A04F2"/>
    <w:rsid w:val="008A1545"/>
    <w:rsid w:val="008A3118"/>
    <w:rsid w:val="008A38DE"/>
    <w:rsid w:val="008A392E"/>
    <w:rsid w:val="008A5A8B"/>
    <w:rsid w:val="008A5DD5"/>
    <w:rsid w:val="008A7927"/>
    <w:rsid w:val="008B1F9B"/>
    <w:rsid w:val="008C2292"/>
    <w:rsid w:val="008C25E9"/>
    <w:rsid w:val="008C3700"/>
    <w:rsid w:val="008C3931"/>
    <w:rsid w:val="008C4A3A"/>
    <w:rsid w:val="008C58A7"/>
    <w:rsid w:val="008C5916"/>
    <w:rsid w:val="008C5E5C"/>
    <w:rsid w:val="008C6726"/>
    <w:rsid w:val="008C6962"/>
    <w:rsid w:val="008C7177"/>
    <w:rsid w:val="008D0554"/>
    <w:rsid w:val="008D30AE"/>
    <w:rsid w:val="008D3B09"/>
    <w:rsid w:val="008D4AE2"/>
    <w:rsid w:val="008D63E6"/>
    <w:rsid w:val="008D69C3"/>
    <w:rsid w:val="008D6DB9"/>
    <w:rsid w:val="008D6E28"/>
    <w:rsid w:val="008E06BB"/>
    <w:rsid w:val="008E1A11"/>
    <w:rsid w:val="008E1ACA"/>
    <w:rsid w:val="008E1EAA"/>
    <w:rsid w:val="008E2FF9"/>
    <w:rsid w:val="008E3D3A"/>
    <w:rsid w:val="008E4DCB"/>
    <w:rsid w:val="008E55B4"/>
    <w:rsid w:val="008E64B4"/>
    <w:rsid w:val="008E64F5"/>
    <w:rsid w:val="008E6A14"/>
    <w:rsid w:val="008F555D"/>
    <w:rsid w:val="008F70A7"/>
    <w:rsid w:val="008F7D4D"/>
    <w:rsid w:val="008F7F05"/>
    <w:rsid w:val="009005D0"/>
    <w:rsid w:val="00900DF7"/>
    <w:rsid w:val="009015DB"/>
    <w:rsid w:val="00903A80"/>
    <w:rsid w:val="0090439C"/>
    <w:rsid w:val="009069A8"/>
    <w:rsid w:val="0091093B"/>
    <w:rsid w:val="00912316"/>
    <w:rsid w:val="0091279D"/>
    <w:rsid w:val="00913B4E"/>
    <w:rsid w:val="00913BBD"/>
    <w:rsid w:val="00915CB3"/>
    <w:rsid w:val="009166D6"/>
    <w:rsid w:val="00916E15"/>
    <w:rsid w:val="00921383"/>
    <w:rsid w:val="00923740"/>
    <w:rsid w:val="0092381F"/>
    <w:rsid w:val="00923F80"/>
    <w:rsid w:val="0092417F"/>
    <w:rsid w:val="00925295"/>
    <w:rsid w:val="00925767"/>
    <w:rsid w:val="00926428"/>
    <w:rsid w:val="00926B75"/>
    <w:rsid w:val="00927F48"/>
    <w:rsid w:val="0093106E"/>
    <w:rsid w:val="00931510"/>
    <w:rsid w:val="009343F5"/>
    <w:rsid w:val="009345CB"/>
    <w:rsid w:val="00935365"/>
    <w:rsid w:val="00935397"/>
    <w:rsid w:val="0093564C"/>
    <w:rsid w:val="00942878"/>
    <w:rsid w:val="00942AA8"/>
    <w:rsid w:val="00942ACC"/>
    <w:rsid w:val="00947693"/>
    <w:rsid w:val="00952FA0"/>
    <w:rsid w:val="0095449D"/>
    <w:rsid w:val="00954642"/>
    <w:rsid w:val="00955045"/>
    <w:rsid w:val="00955050"/>
    <w:rsid w:val="00955495"/>
    <w:rsid w:val="00955DF3"/>
    <w:rsid w:val="009572C2"/>
    <w:rsid w:val="0096116B"/>
    <w:rsid w:val="009634DC"/>
    <w:rsid w:val="00963792"/>
    <w:rsid w:val="00967A9B"/>
    <w:rsid w:val="009705CE"/>
    <w:rsid w:val="00977C15"/>
    <w:rsid w:val="0098050B"/>
    <w:rsid w:val="00980CF8"/>
    <w:rsid w:val="00981DB1"/>
    <w:rsid w:val="0098560E"/>
    <w:rsid w:val="009874B3"/>
    <w:rsid w:val="009902FF"/>
    <w:rsid w:val="00990760"/>
    <w:rsid w:val="00990E45"/>
    <w:rsid w:val="009919B3"/>
    <w:rsid w:val="00991F40"/>
    <w:rsid w:val="00994AFA"/>
    <w:rsid w:val="00995578"/>
    <w:rsid w:val="009A0A09"/>
    <w:rsid w:val="009A22CE"/>
    <w:rsid w:val="009A2E53"/>
    <w:rsid w:val="009A563C"/>
    <w:rsid w:val="009A5C1E"/>
    <w:rsid w:val="009A6D33"/>
    <w:rsid w:val="009B265C"/>
    <w:rsid w:val="009B2B2F"/>
    <w:rsid w:val="009B2FB0"/>
    <w:rsid w:val="009B300C"/>
    <w:rsid w:val="009B35D9"/>
    <w:rsid w:val="009B4333"/>
    <w:rsid w:val="009B538B"/>
    <w:rsid w:val="009B6060"/>
    <w:rsid w:val="009B6251"/>
    <w:rsid w:val="009C075B"/>
    <w:rsid w:val="009C0FF9"/>
    <w:rsid w:val="009C1137"/>
    <w:rsid w:val="009C1B75"/>
    <w:rsid w:val="009C219D"/>
    <w:rsid w:val="009C41C1"/>
    <w:rsid w:val="009C5EBE"/>
    <w:rsid w:val="009C6EA5"/>
    <w:rsid w:val="009C7360"/>
    <w:rsid w:val="009C7A78"/>
    <w:rsid w:val="009D0B95"/>
    <w:rsid w:val="009D0BDB"/>
    <w:rsid w:val="009D3623"/>
    <w:rsid w:val="009D6FF5"/>
    <w:rsid w:val="009D7690"/>
    <w:rsid w:val="009E009E"/>
    <w:rsid w:val="009E0455"/>
    <w:rsid w:val="009E20AC"/>
    <w:rsid w:val="009E3274"/>
    <w:rsid w:val="009E3FA5"/>
    <w:rsid w:val="009E62B2"/>
    <w:rsid w:val="009F02E5"/>
    <w:rsid w:val="009F0559"/>
    <w:rsid w:val="009F0595"/>
    <w:rsid w:val="009F586E"/>
    <w:rsid w:val="009F67A1"/>
    <w:rsid w:val="009F6F70"/>
    <w:rsid w:val="009F70A1"/>
    <w:rsid w:val="00A00E2B"/>
    <w:rsid w:val="00A00FD2"/>
    <w:rsid w:val="00A018ED"/>
    <w:rsid w:val="00A04FE1"/>
    <w:rsid w:val="00A0533B"/>
    <w:rsid w:val="00A05D54"/>
    <w:rsid w:val="00A06343"/>
    <w:rsid w:val="00A067B3"/>
    <w:rsid w:val="00A07453"/>
    <w:rsid w:val="00A10417"/>
    <w:rsid w:val="00A10D8B"/>
    <w:rsid w:val="00A10E51"/>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366E"/>
    <w:rsid w:val="00A3367A"/>
    <w:rsid w:val="00A33F52"/>
    <w:rsid w:val="00A34277"/>
    <w:rsid w:val="00A34A41"/>
    <w:rsid w:val="00A355B2"/>
    <w:rsid w:val="00A35968"/>
    <w:rsid w:val="00A370B3"/>
    <w:rsid w:val="00A4063B"/>
    <w:rsid w:val="00A428DF"/>
    <w:rsid w:val="00A45021"/>
    <w:rsid w:val="00A45C63"/>
    <w:rsid w:val="00A45D2C"/>
    <w:rsid w:val="00A46C67"/>
    <w:rsid w:val="00A47223"/>
    <w:rsid w:val="00A47474"/>
    <w:rsid w:val="00A50478"/>
    <w:rsid w:val="00A52C14"/>
    <w:rsid w:val="00A53608"/>
    <w:rsid w:val="00A56DF9"/>
    <w:rsid w:val="00A56F0F"/>
    <w:rsid w:val="00A577D1"/>
    <w:rsid w:val="00A57D45"/>
    <w:rsid w:val="00A60272"/>
    <w:rsid w:val="00A61BDD"/>
    <w:rsid w:val="00A63B87"/>
    <w:rsid w:val="00A6567C"/>
    <w:rsid w:val="00A65C83"/>
    <w:rsid w:val="00A73C95"/>
    <w:rsid w:val="00A7501D"/>
    <w:rsid w:val="00A76922"/>
    <w:rsid w:val="00A808B9"/>
    <w:rsid w:val="00A83DE6"/>
    <w:rsid w:val="00A8404F"/>
    <w:rsid w:val="00A86578"/>
    <w:rsid w:val="00A86E59"/>
    <w:rsid w:val="00A90196"/>
    <w:rsid w:val="00A909AD"/>
    <w:rsid w:val="00A90BDC"/>
    <w:rsid w:val="00A93701"/>
    <w:rsid w:val="00A9377B"/>
    <w:rsid w:val="00A94D10"/>
    <w:rsid w:val="00A950FC"/>
    <w:rsid w:val="00A953E0"/>
    <w:rsid w:val="00A96E7B"/>
    <w:rsid w:val="00A96F30"/>
    <w:rsid w:val="00A97F15"/>
    <w:rsid w:val="00AA0001"/>
    <w:rsid w:val="00AA1528"/>
    <w:rsid w:val="00AA52B1"/>
    <w:rsid w:val="00AA6225"/>
    <w:rsid w:val="00AA66EE"/>
    <w:rsid w:val="00AA7D11"/>
    <w:rsid w:val="00AB0325"/>
    <w:rsid w:val="00AB1AF6"/>
    <w:rsid w:val="00AB25EF"/>
    <w:rsid w:val="00AB41CF"/>
    <w:rsid w:val="00AB44A9"/>
    <w:rsid w:val="00AB57C6"/>
    <w:rsid w:val="00AB5BC9"/>
    <w:rsid w:val="00AB60BB"/>
    <w:rsid w:val="00AC17B7"/>
    <w:rsid w:val="00AC1AEF"/>
    <w:rsid w:val="00AC1B82"/>
    <w:rsid w:val="00AC1D54"/>
    <w:rsid w:val="00AC384E"/>
    <w:rsid w:val="00AC53FA"/>
    <w:rsid w:val="00AD0DD4"/>
    <w:rsid w:val="00AD1532"/>
    <w:rsid w:val="00AD1D87"/>
    <w:rsid w:val="00AD433A"/>
    <w:rsid w:val="00AD7BC4"/>
    <w:rsid w:val="00AD7CBA"/>
    <w:rsid w:val="00AE0309"/>
    <w:rsid w:val="00AE140F"/>
    <w:rsid w:val="00AE29EC"/>
    <w:rsid w:val="00AE2AC4"/>
    <w:rsid w:val="00AE3421"/>
    <w:rsid w:val="00AE346F"/>
    <w:rsid w:val="00AE51EF"/>
    <w:rsid w:val="00AE68C5"/>
    <w:rsid w:val="00AF1F7A"/>
    <w:rsid w:val="00AF2242"/>
    <w:rsid w:val="00AF268D"/>
    <w:rsid w:val="00AF50D9"/>
    <w:rsid w:val="00AF55B7"/>
    <w:rsid w:val="00AF5B05"/>
    <w:rsid w:val="00AF6399"/>
    <w:rsid w:val="00AF70A5"/>
    <w:rsid w:val="00AF7849"/>
    <w:rsid w:val="00B009D2"/>
    <w:rsid w:val="00B01133"/>
    <w:rsid w:val="00B0127B"/>
    <w:rsid w:val="00B014E7"/>
    <w:rsid w:val="00B017DD"/>
    <w:rsid w:val="00B025AD"/>
    <w:rsid w:val="00B03664"/>
    <w:rsid w:val="00B04372"/>
    <w:rsid w:val="00B103D6"/>
    <w:rsid w:val="00B12370"/>
    <w:rsid w:val="00B1262F"/>
    <w:rsid w:val="00B1460B"/>
    <w:rsid w:val="00B1560E"/>
    <w:rsid w:val="00B15F5D"/>
    <w:rsid w:val="00B15F8F"/>
    <w:rsid w:val="00B1619F"/>
    <w:rsid w:val="00B25B5C"/>
    <w:rsid w:val="00B274CC"/>
    <w:rsid w:val="00B30833"/>
    <w:rsid w:val="00B30FA2"/>
    <w:rsid w:val="00B31AE8"/>
    <w:rsid w:val="00B3434A"/>
    <w:rsid w:val="00B34692"/>
    <w:rsid w:val="00B35B6B"/>
    <w:rsid w:val="00B41136"/>
    <w:rsid w:val="00B42E4B"/>
    <w:rsid w:val="00B452DD"/>
    <w:rsid w:val="00B46383"/>
    <w:rsid w:val="00B46FC9"/>
    <w:rsid w:val="00B472F0"/>
    <w:rsid w:val="00B50876"/>
    <w:rsid w:val="00B5128D"/>
    <w:rsid w:val="00B513A9"/>
    <w:rsid w:val="00B5244C"/>
    <w:rsid w:val="00B530B0"/>
    <w:rsid w:val="00B53579"/>
    <w:rsid w:val="00B5529E"/>
    <w:rsid w:val="00B5568D"/>
    <w:rsid w:val="00B55F89"/>
    <w:rsid w:val="00B56266"/>
    <w:rsid w:val="00B568DF"/>
    <w:rsid w:val="00B640E2"/>
    <w:rsid w:val="00B64887"/>
    <w:rsid w:val="00B6562C"/>
    <w:rsid w:val="00B65E34"/>
    <w:rsid w:val="00B66131"/>
    <w:rsid w:val="00B6616F"/>
    <w:rsid w:val="00B663CA"/>
    <w:rsid w:val="00B670CC"/>
    <w:rsid w:val="00B70372"/>
    <w:rsid w:val="00B708F8"/>
    <w:rsid w:val="00B73D49"/>
    <w:rsid w:val="00B85356"/>
    <w:rsid w:val="00B8581D"/>
    <w:rsid w:val="00B86CC3"/>
    <w:rsid w:val="00B86F0C"/>
    <w:rsid w:val="00B9184B"/>
    <w:rsid w:val="00B91D43"/>
    <w:rsid w:val="00B9354E"/>
    <w:rsid w:val="00B94997"/>
    <w:rsid w:val="00B975DF"/>
    <w:rsid w:val="00BA0D10"/>
    <w:rsid w:val="00BA39EA"/>
    <w:rsid w:val="00BA6158"/>
    <w:rsid w:val="00BA6857"/>
    <w:rsid w:val="00BA6AF7"/>
    <w:rsid w:val="00BA73AE"/>
    <w:rsid w:val="00BA7684"/>
    <w:rsid w:val="00BA7BE4"/>
    <w:rsid w:val="00BA7F61"/>
    <w:rsid w:val="00BB1B7D"/>
    <w:rsid w:val="00BB2B6C"/>
    <w:rsid w:val="00BC0D3D"/>
    <w:rsid w:val="00BC1D1C"/>
    <w:rsid w:val="00BC26A8"/>
    <w:rsid w:val="00BC400B"/>
    <w:rsid w:val="00BD001D"/>
    <w:rsid w:val="00BD0E12"/>
    <w:rsid w:val="00BD2C50"/>
    <w:rsid w:val="00BD2E91"/>
    <w:rsid w:val="00BD3735"/>
    <w:rsid w:val="00BD3B86"/>
    <w:rsid w:val="00BD47E6"/>
    <w:rsid w:val="00BD4DF3"/>
    <w:rsid w:val="00BD58F0"/>
    <w:rsid w:val="00BD593F"/>
    <w:rsid w:val="00BD5F8F"/>
    <w:rsid w:val="00BD6AC5"/>
    <w:rsid w:val="00BD7063"/>
    <w:rsid w:val="00BE0436"/>
    <w:rsid w:val="00BE2FD2"/>
    <w:rsid w:val="00BE4344"/>
    <w:rsid w:val="00BE4EFF"/>
    <w:rsid w:val="00BE501F"/>
    <w:rsid w:val="00BE6EE4"/>
    <w:rsid w:val="00BE7945"/>
    <w:rsid w:val="00BE7F70"/>
    <w:rsid w:val="00BF069C"/>
    <w:rsid w:val="00BF06E1"/>
    <w:rsid w:val="00BF1874"/>
    <w:rsid w:val="00BF1EF8"/>
    <w:rsid w:val="00BF2DAF"/>
    <w:rsid w:val="00BF3E51"/>
    <w:rsid w:val="00BF46B4"/>
    <w:rsid w:val="00BF625E"/>
    <w:rsid w:val="00BF68A3"/>
    <w:rsid w:val="00C017A8"/>
    <w:rsid w:val="00C03A40"/>
    <w:rsid w:val="00C05AAB"/>
    <w:rsid w:val="00C05C43"/>
    <w:rsid w:val="00C07EDE"/>
    <w:rsid w:val="00C1051A"/>
    <w:rsid w:val="00C12B63"/>
    <w:rsid w:val="00C13789"/>
    <w:rsid w:val="00C15921"/>
    <w:rsid w:val="00C15D6F"/>
    <w:rsid w:val="00C20AB9"/>
    <w:rsid w:val="00C21D2A"/>
    <w:rsid w:val="00C21FF0"/>
    <w:rsid w:val="00C24503"/>
    <w:rsid w:val="00C25E49"/>
    <w:rsid w:val="00C272AB"/>
    <w:rsid w:val="00C27DBD"/>
    <w:rsid w:val="00C30CFE"/>
    <w:rsid w:val="00C31E1C"/>
    <w:rsid w:val="00C3239D"/>
    <w:rsid w:val="00C33439"/>
    <w:rsid w:val="00C3543C"/>
    <w:rsid w:val="00C36FC4"/>
    <w:rsid w:val="00C37961"/>
    <w:rsid w:val="00C37B96"/>
    <w:rsid w:val="00C4178D"/>
    <w:rsid w:val="00C42271"/>
    <w:rsid w:val="00C43847"/>
    <w:rsid w:val="00C44028"/>
    <w:rsid w:val="00C45100"/>
    <w:rsid w:val="00C47A15"/>
    <w:rsid w:val="00C52316"/>
    <w:rsid w:val="00C52739"/>
    <w:rsid w:val="00C52A3A"/>
    <w:rsid w:val="00C53CFA"/>
    <w:rsid w:val="00C571E6"/>
    <w:rsid w:val="00C572F6"/>
    <w:rsid w:val="00C57A9B"/>
    <w:rsid w:val="00C57FE8"/>
    <w:rsid w:val="00C60786"/>
    <w:rsid w:val="00C60AB9"/>
    <w:rsid w:val="00C61498"/>
    <w:rsid w:val="00C62C04"/>
    <w:rsid w:val="00C62E00"/>
    <w:rsid w:val="00C6462B"/>
    <w:rsid w:val="00C64811"/>
    <w:rsid w:val="00C65C25"/>
    <w:rsid w:val="00C66553"/>
    <w:rsid w:val="00C676B2"/>
    <w:rsid w:val="00C71441"/>
    <w:rsid w:val="00C72C6F"/>
    <w:rsid w:val="00C73DF0"/>
    <w:rsid w:val="00C76CC9"/>
    <w:rsid w:val="00C7715E"/>
    <w:rsid w:val="00C7726F"/>
    <w:rsid w:val="00C773B7"/>
    <w:rsid w:val="00C773F4"/>
    <w:rsid w:val="00C7752E"/>
    <w:rsid w:val="00C803EA"/>
    <w:rsid w:val="00C8266F"/>
    <w:rsid w:val="00C84D69"/>
    <w:rsid w:val="00C858EA"/>
    <w:rsid w:val="00C9502E"/>
    <w:rsid w:val="00C952F7"/>
    <w:rsid w:val="00C954AA"/>
    <w:rsid w:val="00C97CD3"/>
    <w:rsid w:val="00CA020D"/>
    <w:rsid w:val="00CA1222"/>
    <w:rsid w:val="00CA3EB3"/>
    <w:rsid w:val="00CA49A5"/>
    <w:rsid w:val="00CB000D"/>
    <w:rsid w:val="00CB0850"/>
    <w:rsid w:val="00CB159B"/>
    <w:rsid w:val="00CB3CA2"/>
    <w:rsid w:val="00CB48E2"/>
    <w:rsid w:val="00CB5C1D"/>
    <w:rsid w:val="00CC0089"/>
    <w:rsid w:val="00CC21E0"/>
    <w:rsid w:val="00CC2CCE"/>
    <w:rsid w:val="00CC34B5"/>
    <w:rsid w:val="00CC5741"/>
    <w:rsid w:val="00CD1751"/>
    <w:rsid w:val="00CD2903"/>
    <w:rsid w:val="00CD332A"/>
    <w:rsid w:val="00CD3394"/>
    <w:rsid w:val="00CD3B87"/>
    <w:rsid w:val="00CD3F91"/>
    <w:rsid w:val="00CD75FB"/>
    <w:rsid w:val="00CE2BF6"/>
    <w:rsid w:val="00CE3557"/>
    <w:rsid w:val="00CE4148"/>
    <w:rsid w:val="00CE46E6"/>
    <w:rsid w:val="00CE6372"/>
    <w:rsid w:val="00CE6AFD"/>
    <w:rsid w:val="00CE6D6E"/>
    <w:rsid w:val="00CF130D"/>
    <w:rsid w:val="00CF1BEE"/>
    <w:rsid w:val="00CF3F70"/>
    <w:rsid w:val="00CF4B58"/>
    <w:rsid w:val="00CF6AE0"/>
    <w:rsid w:val="00CF7B66"/>
    <w:rsid w:val="00D01CE4"/>
    <w:rsid w:val="00D02272"/>
    <w:rsid w:val="00D02E5F"/>
    <w:rsid w:val="00D047EA"/>
    <w:rsid w:val="00D050A3"/>
    <w:rsid w:val="00D058E1"/>
    <w:rsid w:val="00D112BA"/>
    <w:rsid w:val="00D11D83"/>
    <w:rsid w:val="00D17990"/>
    <w:rsid w:val="00D17C95"/>
    <w:rsid w:val="00D2000F"/>
    <w:rsid w:val="00D204B3"/>
    <w:rsid w:val="00D214DD"/>
    <w:rsid w:val="00D21845"/>
    <w:rsid w:val="00D21C72"/>
    <w:rsid w:val="00D224D0"/>
    <w:rsid w:val="00D22C98"/>
    <w:rsid w:val="00D25354"/>
    <w:rsid w:val="00D25C12"/>
    <w:rsid w:val="00D264A9"/>
    <w:rsid w:val="00D27194"/>
    <w:rsid w:val="00D27498"/>
    <w:rsid w:val="00D306E0"/>
    <w:rsid w:val="00D30AAE"/>
    <w:rsid w:val="00D31BC3"/>
    <w:rsid w:val="00D32515"/>
    <w:rsid w:val="00D34248"/>
    <w:rsid w:val="00D36456"/>
    <w:rsid w:val="00D3683F"/>
    <w:rsid w:val="00D401E8"/>
    <w:rsid w:val="00D4358A"/>
    <w:rsid w:val="00D43C73"/>
    <w:rsid w:val="00D43F79"/>
    <w:rsid w:val="00D44CAC"/>
    <w:rsid w:val="00D45F1F"/>
    <w:rsid w:val="00D46094"/>
    <w:rsid w:val="00D46E0E"/>
    <w:rsid w:val="00D478EA"/>
    <w:rsid w:val="00D47FE0"/>
    <w:rsid w:val="00D5186C"/>
    <w:rsid w:val="00D52C7C"/>
    <w:rsid w:val="00D54462"/>
    <w:rsid w:val="00D5457F"/>
    <w:rsid w:val="00D54777"/>
    <w:rsid w:val="00D549E3"/>
    <w:rsid w:val="00D55271"/>
    <w:rsid w:val="00D56ADF"/>
    <w:rsid w:val="00D56F64"/>
    <w:rsid w:val="00D607D9"/>
    <w:rsid w:val="00D611EC"/>
    <w:rsid w:val="00D61E49"/>
    <w:rsid w:val="00D626B9"/>
    <w:rsid w:val="00D633C0"/>
    <w:rsid w:val="00D643D8"/>
    <w:rsid w:val="00D658A9"/>
    <w:rsid w:val="00D660E7"/>
    <w:rsid w:val="00D73715"/>
    <w:rsid w:val="00D73966"/>
    <w:rsid w:val="00D741FE"/>
    <w:rsid w:val="00D7533C"/>
    <w:rsid w:val="00D75600"/>
    <w:rsid w:val="00D8030C"/>
    <w:rsid w:val="00D82577"/>
    <w:rsid w:val="00D82AD8"/>
    <w:rsid w:val="00D83F20"/>
    <w:rsid w:val="00D8710D"/>
    <w:rsid w:val="00D87823"/>
    <w:rsid w:val="00D90982"/>
    <w:rsid w:val="00D909D1"/>
    <w:rsid w:val="00D93251"/>
    <w:rsid w:val="00D93395"/>
    <w:rsid w:val="00D9357A"/>
    <w:rsid w:val="00D936DC"/>
    <w:rsid w:val="00D940B5"/>
    <w:rsid w:val="00D9694D"/>
    <w:rsid w:val="00D96F28"/>
    <w:rsid w:val="00DA24F0"/>
    <w:rsid w:val="00DA2C0C"/>
    <w:rsid w:val="00DA359F"/>
    <w:rsid w:val="00DA3898"/>
    <w:rsid w:val="00DA4F0B"/>
    <w:rsid w:val="00DA532F"/>
    <w:rsid w:val="00DA61A4"/>
    <w:rsid w:val="00DA7483"/>
    <w:rsid w:val="00DA79C7"/>
    <w:rsid w:val="00DA79F5"/>
    <w:rsid w:val="00DA7D36"/>
    <w:rsid w:val="00DB0D37"/>
    <w:rsid w:val="00DB222E"/>
    <w:rsid w:val="00DB319A"/>
    <w:rsid w:val="00DB4079"/>
    <w:rsid w:val="00DB4733"/>
    <w:rsid w:val="00DB72E5"/>
    <w:rsid w:val="00DB7883"/>
    <w:rsid w:val="00DB7C31"/>
    <w:rsid w:val="00DC0264"/>
    <w:rsid w:val="00DC6D78"/>
    <w:rsid w:val="00DD031D"/>
    <w:rsid w:val="00DD03DB"/>
    <w:rsid w:val="00DD09F6"/>
    <w:rsid w:val="00DD1120"/>
    <w:rsid w:val="00DD12F8"/>
    <w:rsid w:val="00DD1B7D"/>
    <w:rsid w:val="00DD21A3"/>
    <w:rsid w:val="00DD29A1"/>
    <w:rsid w:val="00DD2B79"/>
    <w:rsid w:val="00DD59D4"/>
    <w:rsid w:val="00DD5E22"/>
    <w:rsid w:val="00DD61FF"/>
    <w:rsid w:val="00DD6893"/>
    <w:rsid w:val="00DE1A05"/>
    <w:rsid w:val="00DE2A94"/>
    <w:rsid w:val="00DE3ACD"/>
    <w:rsid w:val="00DE5C8A"/>
    <w:rsid w:val="00DE72B8"/>
    <w:rsid w:val="00DF5344"/>
    <w:rsid w:val="00DF6B6D"/>
    <w:rsid w:val="00DF7634"/>
    <w:rsid w:val="00E00183"/>
    <w:rsid w:val="00E00532"/>
    <w:rsid w:val="00E01C38"/>
    <w:rsid w:val="00E02D66"/>
    <w:rsid w:val="00E02E93"/>
    <w:rsid w:val="00E03135"/>
    <w:rsid w:val="00E03FBB"/>
    <w:rsid w:val="00E04E14"/>
    <w:rsid w:val="00E05675"/>
    <w:rsid w:val="00E10965"/>
    <w:rsid w:val="00E11348"/>
    <w:rsid w:val="00E1192B"/>
    <w:rsid w:val="00E11E9D"/>
    <w:rsid w:val="00E120B1"/>
    <w:rsid w:val="00E12166"/>
    <w:rsid w:val="00E1377F"/>
    <w:rsid w:val="00E15615"/>
    <w:rsid w:val="00E16BF3"/>
    <w:rsid w:val="00E17955"/>
    <w:rsid w:val="00E208F5"/>
    <w:rsid w:val="00E21364"/>
    <w:rsid w:val="00E2144A"/>
    <w:rsid w:val="00E217A2"/>
    <w:rsid w:val="00E2262B"/>
    <w:rsid w:val="00E2340A"/>
    <w:rsid w:val="00E23432"/>
    <w:rsid w:val="00E23795"/>
    <w:rsid w:val="00E24F2B"/>
    <w:rsid w:val="00E24F90"/>
    <w:rsid w:val="00E27ED8"/>
    <w:rsid w:val="00E30C68"/>
    <w:rsid w:val="00E3346A"/>
    <w:rsid w:val="00E33615"/>
    <w:rsid w:val="00E33808"/>
    <w:rsid w:val="00E36311"/>
    <w:rsid w:val="00E3699E"/>
    <w:rsid w:val="00E42FBA"/>
    <w:rsid w:val="00E45B01"/>
    <w:rsid w:val="00E47F53"/>
    <w:rsid w:val="00E5011A"/>
    <w:rsid w:val="00E50B63"/>
    <w:rsid w:val="00E50DE5"/>
    <w:rsid w:val="00E50EB4"/>
    <w:rsid w:val="00E54550"/>
    <w:rsid w:val="00E56691"/>
    <w:rsid w:val="00E56BD4"/>
    <w:rsid w:val="00E57897"/>
    <w:rsid w:val="00E60648"/>
    <w:rsid w:val="00E60C4C"/>
    <w:rsid w:val="00E61CF1"/>
    <w:rsid w:val="00E61F14"/>
    <w:rsid w:val="00E6249E"/>
    <w:rsid w:val="00E62B69"/>
    <w:rsid w:val="00E63DCC"/>
    <w:rsid w:val="00E65055"/>
    <w:rsid w:val="00E678D0"/>
    <w:rsid w:val="00E67A9C"/>
    <w:rsid w:val="00E71B10"/>
    <w:rsid w:val="00E723A5"/>
    <w:rsid w:val="00E724E3"/>
    <w:rsid w:val="00E73B7D"/>
    <w:rsid w:val="00E81F6D"/>
    <w:rsid w:val="00E83280"/>
    <w:rsid w:val="00E83829"/>
    <w:rsid w:val="00E83CE6"/>
    <w:rsid w:val="00E83D22"/>
    <w:rsid w:val="00E83F0F"/>
    <w:rsid w:val="00E85B18"/>
    <w:rsid w:val="00E869D5"/>
    <w:rsid w:val="00E904E5"/>
    <w:rsid w:val="00E91D70"/>
    <w:rsid w:val="00E9208F"/>
    <w:rsid w:val="00E93D74"/>
    <w:rsid w:val="00E94EE6"/>
    <w:rsid w:val="00E95771"/>
    <w:rsid w:val="00E957CF"/>
    <w:rsid w:val="00E9604F"/>
    <w:rsid w:val="00E97359"/>
    <w:rsid w:val="00EA110F"/>
    <w:rsid w:val="00EA22CA"/>
    <w:rsid w:val="00EA3C71"/>
    <w:rsid w:val="00EA55D9"/>
    <w:rsid w:val="00EA55FC"/>
    <w:rsid w:val="00EA7299"/>
    <w:rsid w:val="00EA7E82"/>
    <w:rsid w:val="00EB09CB"/>
    <w:rsid w:val="00EB12F3"/>
    <w:rsid w:val="00EB15E9"/>
    <w:rsid w:val="00EB1983"/>
    <w:rsid w:val="00EB52BA"/>
    <w:rsid w:val="00EB5821"/>
    <w:rsid w:val="00EB5CD2"/>
    <w:rsid w:val="00EB5E61"/>
    <w:rsid w:val="00EB7038"/>
    <w:rsid w:val="00EC1E2B"/>
    <w:rsid w:val="00EC3C62"/>
    <w:rsid w:val="00EC73F6"/>
    <w:rsid w:val="00ED0015"/>
    <w:rsid w:val="00ED2AC3"/>
    <w:rsid w:val="00ED2D0B"/>
    <w:rsid w:val="00ED4969"/>
    <w:rsid w:val="00ED5C4C"/>
    <w:rsid w:val="00ED71EE"/>
    <w:rsid w:val="00ED7438"/>
    <w:rsid w:val="00EE00D6"/>
    <w:rsid w:val="00EE1D71"/>
    <w:rsid w:val="00EE2A26"/>
    <w:rsid w:val="00EE4B7C"/>
    <w:rsid w:val="00EE5A75"/>
    <w:rsid w:val="00EE672F"/>
    <w:rsid w:val="00EF0471"/>
    <w:rsid w:val="00EF07E9"/>
    <w:rsid w:val="00EF11E4"/>
    <w:rsid w:val="00EF64FB"/>
    <w:rsid w:val="00EF6CC6"/>
    <w:rsid w:val="00EF7B6D"/>
    <w:rsid w:val="00EF7E13"/>
    <w:rsid w:val="00F00CAE"/>
    <w:rsid w:val="00F01105"/>
    <w:rsid w:val="00F018CF"/>
    <w:rsid w:val="00F01EA6"/>
    <w:rsid w:val="00F028A9"/>
    <w:rsid w:val="00F0751F"/>
    <w:rsid w:val="00F13856"/>
    <w:rsid w:val="00F14090"/>
    <w:rsid w:val="00F14AB4"/>
    <w:rsid w:val="00F150D2"/>
    <w:rsid w:val="00F159CE"/>
    <w:rsid w:val="00F16C93"/>
    <w:rsid w:val="00F20F17"/>
    <w:rsid w:val="00F2100E"/>
    <w:rsid w:val="00F21E95"/>
    <w:rsid w:val="00F22B90"/>
    <w:rsid w:val="00F25602"/>
    <w:rsid w:val="00F25D4D"/>
    <w:rsid w:val="00F25FBD"/>
    <w:rsid w:val="00F2748A"/>
    <w:rsid w:val="00F27785"/>
    <w:rsid w:val="00F30004"/>
    <w:rsid w:val="00F30A13"/>
    <w:rsid w:val="00F30DF4"/>
    <w:rsid w:val="00F30E3F"/>
    <w:rsid w:val="00F31272"/>
    <w:rsid w:val="00F32A11"/>
    <w:rsid w:val="00F331E3"/>
    <w:rsid w:val="00F3418E"/>
    <w:rsid w:val="00F34DD5"/>
    <w:rsid w:val="00F35C4F"/>
    <w:rsid w:val="00F36637"/>
    <w:rsid w:val="00F3743B"/>
    <w:rsid w:val="00F37F1A"/>
    <w:rsid w:val="00F409B0"/>
    <w:rsid w:val="00F4259A"/>
    <w:rsid w:val="00F438B3"/>
    <w:rsid w:val="00F4468F"/>
    <w:rsid w:val="00F45281"/>
    <w:rsid w:val="00F469F5"/>
    <w:rsid w:val="00F472F1"/>
    <w:rsid w:val="00F5035A"/>
    <w:rsid w:val="00F508EE"/>
    <w:rsid w:val="00F519B5"/>
    <w:rsid w:val="00F51D6F"/>
    <w:rsid w:val="00F52766"/>
    <w:rsid w:val="00F54131"/>
    <w:rsid w:val="00F54FFF"/>
    <w:rsid w:val="00F5630B"/>
    <w:rsid w:val="00F57490"/>
    <w:rsid w:val="00F60B94"/>
    <w:rsid w:val="00F60C6F"/>
    <w:rsid w:val="00F6117E"/>
    <w:rsid w:val="00F62678"/>
    <w:rsid w:val="00F63118"/>
    <w:rsid w:val="00F701CE"/>
    <w:rsid w:val="00F7026C"/>
    <w:rsid w:val="00F703F5"/>
    <w:rsid w:val="00F7094D"/>
    <w:rsid w:val="00F70E0B"/>
    <w:rsid w:val="00F71486"/>
    <w:rsid w:val="00F72488"/>
    <w:rsid w:val="00F7452A"/>
    <w:rsid w:val="00F747C8"/>
    <w:rsid w:val="00F751CD"/>
    <w:rsid w:val="00F757FE"/>
    <w:rsid w:val="00F80A7E"/>
    <w:rsid w:val="00F82C3C"/>
    <w:rsid w:val="00F8353B"/>
    <w:rsid w:val="00F84D55"/>
    <w:rsid w:val="00F8540B"/>
    <w:rsid w:val="00F873C1"/>
    <w:rsid w:val="00F90E6E"/>
    <w:rsid w:val="00F9269B"/>
    <w:rsid w:val="00F95266"/>
    <w:rsid w:val="00F95959"/>
    <w:rsid w:val="00F961D2"/>
    <w:rsid w:val="00F9711B"/>
    <w:rsid w:val="00FA06D3"/>
    <w:rsid w:val="00FA276C"/>
    <w:rsid w:val="00FA2F96"/>
    <w:rsid w:val="00FA5B41"/>
    <w:rsid w:val="00FA5D53"/>
    <w:rsid w:val="00FA75E2"/>
    <w:rsid w:val="00FA7C07"/>
    <w:rsid w:val="00FB176C"/>
    <w:rsid w:val="00FB206A"/>
    <w:rsid w:val="00FB25C8"/>
    <w:rsid w:val="00FB37D2"/>
    <w:rsid w:val="00FB501C"/>
    <w:rsid w:val="00FB71ED"/>
    <w:rsid w:val="00FB7F16"/>
    <w:rsid w:val="00FC20AF"/>
    <w:rsid w:val="00FC2240"/>
    <w:rsid w:val="00FC3377"/>
    <w:rsid w:val="00FC50E0"/>
    <w:rsid w:val="00FC5770"/>
    <w:rsid w:val="00FC63B0"/>
    <w:rsid w:val="00FC7A7C"/>
    <w:rsid w:val="00FD0006"/>
    <w:rsid w:val="00FD15B4"/>
    <w:rsid w:val="00FD1C10"/>
    <w:rsid w:val="00FD20B4"/>
    <w:rsid w:val="00FD2393"/>
    <w:rsid w:val="00FD26BC"/>
    <w:rsid w:val="00FD2F30"/>
    <w:rsid w:val="00FD34BF"/>
    <w:rsid w:val="00FD4065"/>
    <w:rsid w:val="00FD46D1"/>
    <w:rsid w:val="00FD6EDD"/>
    <w:rsid w:val="00FE147C"/>
    <w:rsid w:val="00FE2874"/>
    <w:rsid w:val="00FE445C"/>
    <w:rsid w:val="00FE5F09"/>
    <w:rsid w:val="00FF1523"/>
    <w:rsid w:val="00FF1DDC"/>
    <w:rsid w:val="00FF2283"/>
    <w:rsid w:val="00FF60FC"/>
    <w:rsid w:val="00FF6131"/>
    <w:rsid w:val="06AC7512"/>
    <w:rsid w:val="07677D40"/>
    <w:rsid w:val="09837CC2"/>
    <w:rsid w:val="0A120C0E"/>
    <w:rsid w:val="0B6672B3"/>
    <w:rsid w:val="0BC962B2"/>
    <w:rsid w:val="0C9A0BA4"/>
    <w:rsid w:val="0D193143"/>
    <w:rsid w:val="0D9749D0"/>
    <w:rsid w:val="0FE45060"/>
    <w:rsid w:val="10B7187A"/>
    <w:rsid w:val="11030723"/>
    <w:rsid w:val="11C65B79"/>
    <w:rsid w:val="1432051D"/>
    <w:rsid w:val="14775E39"/>
    <w:rsid w:val="14C11E85"/>
    <w:rsid w:val="14DB589C"/>
    <w:rsid w:val="158E7778"/>
    <w:rsid w:val="176F4C68"/>
    <w:rsid w:val="1788567A"/>
    <w:rsid w:val="180576CD"/>
    <w:rsid w:val="18747DEC"/>
    <w:rsid w:val="19810FD7"/>
    <w:rsid w:val="19E653E1"/>
    <w:rsid w:val="1CAA0DD9"/>
    <w:rsid w:val="1CD43653"/>
    <w:rsid w:val="1DDB2913"/>
    <w:rsid w:val="1F2176AA"/>
    <w:rsid w:val="202841D8"/>
    <w:rsid w:val="22FA5821"/>
    <w:rsid w:val="23C2519A"/>
    <w:rsid w:val="24D200D8"/>
    <w:rsid w:val="255B4652"/>
    <w:rsid w:val="25F265A1"/>
    <w:rsid w:val="27AF3FF7"/>
    <w:rsid w:val="28891D57"/>
    <w:rsid w:val="2A814995"/>
    <w:rsid w:val="2CA23D47"/>
    <w:rsid w:val="2CFF51B4"/>
    <w:rsid w:val="2D0F2490"/>
    <w:rsid w:val="2D174345"/>
    <w:rsid w:val="2EC2083D"/>
    <w:rsid w:val="2ED83589"/>
    <w:rsid w:val="307B6F13"/>
    <w:rsid w:val="30F6784C"/>
    <w:rsid w:val="31B047F7"/>
    <w:rsid w:val="331E76F8"/>
    <w:rsid w:val="33866FD1"/>
    <w:rsid w:val="349B2137"/>
    <w:rsid w:val="38810AF5"/>
    <w:rsid w:val="38F83832"/>
    <w:rsid w:val="39441CD9"/>
    <w:rsid w:val="39794364"/>
    <w:rsid w:val="3D20148C"/>
    <w:rsid w:val="3DB1016F"/>
    <w:rsid w:val="3DBE0F97"/>
    <w:rsid w:val="3E1614F8"/>
    <w:rsid w:val="3EA0430E"/>
    <w:rsid w:val="3FC76C1E"/>
    <w:rsid w:val="400A6319"/>
    <w:rsid w:val="44356EF9"/>
    <w:rsid w:val="44FF4FE4"/>
    <w:rsid w:val="45540756"/>
    <w:rsid w:val="48921B5B"/>
    <w:rsid w:val="48E97F48"/>
    <w:rsid w:val="49291572"/>
    <w:rsid w:val="4A25405E"/>
    <w:rsid w:val="4CA03F36"/>
    <w:rsid w:val="4D5E49CE"/>
    <w:rsid w:val="4D8C4972"/>
    <w:rsid w:val="4FD71805"/>
    <w:rsid w:val="5159230C"/>
    <w:rsid w:val="522A4C8D"/>
    <w:rsid w:val="52514892"/>
    <w:rsid w:val="53161327"/>
    <w:rsid w:val="56283E56"/>
    <w:rsid w:val="564E6AB5"/>
    <w:rsid w:val="57A740F6"/>
    <w:rsid w:val="58673CA6"/>
    <w:rsid w:val="58F21C32"/>
    <w:rsid w:val="59802412"/>
    <w:rsid w:val="59857867"/>
    <w:rsid w:val="5BF813BD"/>
    <w:rsid w:val="5C9C34A3"/>
    <w:rsid w:val="5D343CB9"/>
    <w:rsid w:val="5D345A98"/>
    <w:rsid w:val="5E346377"/>
    <w:rsid w:val="5E5F30FB"/>
    <w:rsid w:val="5F315723"/>
    <w:rsid w:val="5F686C21"/>
    <w:rsid w:val="5F89129C"/>
    <w:rsid w:val="5F8C60E9"/>
    <w:rsid w:val="5FEC520C"/>
    <w:rsid w:val="60A277AC"/>
    <w:rsid w:val="639231FE"/>
    <w:rsid w:val="65D724B6"/>
    <w:rsid w:val="660E0101"/>
    <w:rsid w:val="66AE4DFD"/>
    <w:rsid w:val="67A531B4"/>
    <w:rsid w:val="68497CA0"/>
    <w:rsid w:val="6A015D2F"/>
    <w:rsid w:val="6A27551D"/>
    <w:rsid w:val="6BB7137D"/>
    <w:rsid w:val="6E8C0650"/>
    <w:rsid w:val="6F2539A0"/>
    <w:rsid w:val="703A63D1"/>
    <w:rsid w:val="72431EC9"/>
    <w:rsid w:val="72C06B0F"/>
    <w:rsid w:val="732C0442"/>
    <w:rsid w:val="73E80AEA"/>
    <w:rsid w:val="76843D86"/>
    <w:rsid w:val="77532787"/>
    <w:rsid w:val="78177CE1"/>
    <w:rsid w:val="782B2000"/>
    <w:rsid w:val="795A4D34"/>
    <w:rsid w:val="7AFD22C5"/>
    <w:rsid w:val="7BFD5795"/>
    <w:rsid w:val="7EF20BF5"/>
    <w:rsid w:val="7F0576F7"/>
    <w:rsid w:val="7F842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7"/>
    <w:qFormat/>
    <w:uiPriority w:val="9"/>
    <w:pPr>
      <w:keepNext/>
      <w:keepLines/>
      <w:spacing w:before="340" w:after="330" w:line="578" w:lineRule="auto"/>
      <w:outlineLvl w:val="0"/>
    </w:pPr>
    <w:rPr>
      <w:b/>
      <w:bCs/>
      <w:kern w:val="44"/>
      <w:sz w:val="44"/>
      <w:szCs w:val="44"/>
    </w:rPr>
  </w:style>
  <w:style w:type="paragraph" w:styleId="5">
    <w:name w:val="heading 3"/>
    <w:basedOn w:val="1"/>
    <w:next w:val="1"/>
    <w:link w:val="37"/>
    <w:qFormat/>
    <w:uiPriority w:val="0"/>
    <w:pPr>
      <w:keepNext/>
      <w:keepLines/>
      <w:adjustRightInd w:val="0"/>
      <w:spacing w:before="260" w:after="260" w:line="416" w:lineRule="atLeast"/>
      <w:textAlignment w:val="baseline"/>
      <w:outlineLvl w:val="2"/>
    </w:pPr>
    <w:rPr>
      <w:b/>
      <w:kern w:val="0"/>
      <w:sz w:val="32"/>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link w:val="43"/>
    <w:qFormat/>
    <w:uiPriority w:val="0"/>
    <w:pPr>
      <w:spacing w:after="120"/>
      <w:ind w:left="420" w:leftChars="200"/>
    </w:pPr>
    <w:rPr>
      <w:rFonts w:ascii="Calibri" w:hAnsi="Calibri"/>
    </w:rPr>
  </w:style>
  <w:style w:type="paragraph" w:styleId="6">
    <w:name w:val="toc 7"/>
    <w:basedOn w:val="1"/>
    <w:next w:val="1"/>
    <w:unhideWhenUsed/>
    <w:qFormat/>
    <w:uiPriority w:val="39"/>
    <w:pPr>
      <w:ind w:left="2520" w:leftChars="1200"/>
    </w:pPr>
  </w:style>
  <w:style w:type="paragraph" w:styleId="7">
    <w:name w:val="annotation text"/>
    <w:basedOn w:val="1"/>
    <w:link w:val="36"/>
    <w:unhideWhenUsed/>
    <w:qFormat/>
    <w:uiPriority w:val="99"/>
    <w:pPr>
      <w:jc w:val="left"/>
    </w:pPr>
  </w:style>
  <w:style w:type="paragraph" w:styleId="8">
    <w:name w:val="toc 5"/>
    <w:basedOn w:val="1"/>
    <w:next w:val="1"/>
    <w:unhideWhenUsed/>
    <w:qFormat/>
    <w:uiPriority w:val="39"/>
    <w:pPr>
      <w:ind w:left="1680" w:leftChars="800"/>
    </w:pPr>
  </w:style>
  <w:style w:type="paragraph" w:styleId="9">
    <w:name w:val="toc 3"/>
    <w:basedOn w:val="1"/>
    <w:next w:val="1"/>
    <w:unhideWhenUsed/>
    <w:qFormat/>
    <w:uiPriority w:val="39"/>
    <w:pPr>
      <w:ind w:left="840" w:leftChars="400"/>
    </w:pPr>
  </w:style>
  <w:style w:type="paragraph" w:styleId="10">
    <w:name w:val="toc 8"/>
    <w:basedOn w:val="1"/>
    <w:next w:val="1"/>
    <w:unhideWhenUsed/>
    <w:qFormat/>
    <w:uiPriority w:val="39"/>
    <w:pPr>
      <w:ind w:left="2940" w:leftChars="1400"/>
    </w:pPr>
  </w:style>
  <w:style w:type="paragraph" w:styleId="11">
    <w:name w:val="Date"/>
    <w:basedOn w:val="1"/>
    <w:next w:val="1"/>
    <w:link w:val="35"/>
    <w:unhideWhenUsed/>
    <w:qFormat/>
    <w:uiPriority w:val="0"/>
    <w:pPr>
      <w:ind w:left="100" w:leftChars="2500"/>
    </w:pPr>
  </w:style>
  <w:style w:type="paragraph" w:styleId="12">
    <w:name w:val="Balloon Text"/>
    <w:basedOn w:val="1"/>
    <w:link w:val="29"/>
    <w:unhideWhenUsed/>
    <w:qFormat/>
    <w:uiPriority w:val="99"/>
    <w:rPr>
      <w:kern w:val="0"/>
      <w:sz w:val="18"/>
      <w:szCs w:val="18"/>
    </w:rPr>
  </w:style>
  <w:style w:type="paragraph" w:styleId="13">
    <w:name w:val="footer"/>
    <w:basedOn w:val="1"/>
    <w:link w:val="38"/>
    <w:unhideWhenUsed/>
    <w:qFormat/>
    <w:uiPriority w:val="99"/>
    <w:pPr>
      <w:tabs>
        <w:tab w:val="center" w:pos="4153"/>
        <w:tab w:val="right" w:pos="8306"/>
      </w:tabs>
      <w:snapToGrid w:val="0"/>
      <w:jc w:val="left"/>
    </w:pPr>
    <w:rPr>
      <w:kern w:val="0"/>
      <w:sz w:val="18"/>
      <w:szCs w:val="18"/>
    </w:rPr>
  </w:style>
  <w:style w:type="paragraph" w:styleId="14">
    <w:name w:val="header"/>
    <w:basedOn w:val="1"/>
    <w:link w:val="2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unhideWhenUsed/>
    <w:qFormat/>
    <w:uiPriority w:val="39"/>
  </w:style>
  <w:style w:type="paragraph" w:styleId="16">
    <w:name w:val="toc 4"/>
    <w:basedOn w:val="1"/>
    <w:next w:val="1"/>
    <w:unhideWhenUsed/>
    <w:qFormat/>
    <w:uiPriority w:val="39"/>
    <w:pPr>
      <w:ind w:left="1260" w:leftChars="600"/>
    </w:pPr>
  </w:style>
  <w:style w:type="paragraph" w:styleId="17">
    <w:name w:val="toc 6"/>
    <w:basedOn w:val="1"/>
    <w:next w:val="1"/>
    <w:unhideWhenUsed/>
    <w:qFormat/>
    <w:uiPriority w:val="39"/>
    <w:pPr>
      <w:ind w:left="2100" w:leftChars="1000"/>
    </w:pPr>
  </w:style>
  <w:style w:type="paragraph" w:styleId="18">
    <w:name w:val="toc 2"/>
    <w:basedOn w:val="1"/>
    <w:next w:val="1"/>
    <w:unhideWhenUsed/>
    <w:qFormat/>
    <w:uiPriority w:val="39"/>
    <w:pPr>
      <w:ind w:left="420" w:leftChars="200"/>
    </w:pPr>
  </w:style>
  <w:style w:type="paragraph" w:styleId="19">
    <w:name w:val="toc 9"/>
    <w:basedOn w:val="1"/>
    <w:next w:val="1"/>
    <w:unhideWhenUsed/>
    <w:qFormat/>
    <w:uiPriority w:val="39"/>
    <w:pPr>
      <w:ind w:left="3360" w:leftChars="1600"/>
    </w:p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1">
    <w:name w:val="annotation subject"/>
    <w:basedOn w:val="7"/>
    <w:next w:val="7"/>
    <w:link w:val="31"/>
    <w:unhideWhenUsed/>
    <w:qFormat/>
    <w:uiPriority w:val="99"/>
    <w:rPr>
      <w:b/>
      <w:bCs/>
    </w:rPr>
  </w:style>
  <w:style w:type="table" w:styleId="23">
    <w:name w:val="Table Grid"/>
    <w:basedOn w:val="22"/>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5">
    <w:name w:val="Emphasis"/>
    <w:basedOn w:val="24"/>
    <w:qFormat/>
    <w:uiPriority w:val="20"/>
    <w:rPr>
      <w:color w:val="CC0000"/>
    </w:rPr>
  </w:style>
  <w:style w:type="character" w:styleId="26">
    <w:name w:val="Hyperlink"/>
    <w:basedOn w:val="24"/>
    <w:unhideWhenUsed/>
    <w:qFormat/>
    <w:uiPriority w:val="99"/>
    <w:rPr>
      <w:color w:val="0000FF"/>
      <w:u w:val="single"/>
    </w:rPr>
  </w:style>
  <w:style w:type="character" w:styleId="27">
    <w:name w:val="annotation reference"/>
    <w:unhideWhenUsed/>
    <w:qFormat/>
    <w:uiPriority w:val="99"/>
    <w:rPr>
      <w:sz w:val="21"/>
      <w:szCs w:val="21"/>
    </w:rPr>
  </w:style>
  <w:style w:type="character" w:customStyle="1" w:styleId="28">
    <w:name w:val="页眉 Char"/>
    <w:link w:val="14"/>
    <w:qFormat/>
    <w:uiPriority w:val="99"/>
    <w:rPr>
      <w:rFonts w:ascii="Times New Roman" w:hAnsi="Times New Roman" w:eastAsia="宋体" w:cs="Times New Roman"/>
      <w:sz w:val="18"/>
      <w:szCs w:val="18"/>
    </w:rPr>
  </w:style>
  <w:style w:type="character" w:customStyle="1" w:styleId="29">
    <w:name w:val="批注框文本 Char"/>
    <w:link w:val="12"/>
    <w:semiHidden/>
    <w:qFormat/>
    <w:uiPriority w:val="99"/>
    <w:rPr>
      <w:rFonts w:ascii="Times New Roman" w:hAnsi="Times New Roman" w:eastAsia="宋体" w:cs="Times New Roman"/>
      <w:sz w:val="18"/>
      <w:szCs w:val="18"/>
    </w:rPr>
  </w:style>
  <w:style w:type="character" w:customStyle="1" w:styleId="30">
    <w:name w:val="标题1"/>
    <w:basedOn w:val="24"/>
    <w:qFormat/>
    <w:uiPriority w:val="0"/>
  </w:style>
  <w:style w:type="character" w:customStyle="1" w:styleId="31">
    <w:name w:val="批注主题 Char"/>
    <w:link w:val="21"/>
    <w:semiHidden/>
    <w:qFormat/>
    <w:uiPriority w:val="99"/>
    <w:rPr>
      <w:rFonts w:ascii="Times New Roman" w:hAnsi="Times New Roman"/>
      <w:b/>
      <w:bCs/>
      <w:kern w:val="2"/>
      <w:sz w:val="21"/>
      <w:szCs w:val="24"/>
    </w:rPr>
  </w:style>
  <w:style w:type="character" w:customStyle="1" w:styleId="32">
    <w:name w:val="列出段落 Char"/>
    <w:link w:val="33"/>
    <w:qFormat/>
    <w:uiPriority w:val="34"/>
    <w:rPr>
      <w:rFonts w:ascii="Times New Roman" w:hAnsi="Times New Roman"/>
      <w:kern w:val="2"/>
      <w:sz w:val="21"/>
      <w:szCs w:val="24"/>
    </w:rPr>
  </w:style>
  <w:style w:type="paragraph" w:styleId="33">
    <w:name w:val="List Paragraph"/>
    <w:basedOn w:val="1"/>
    <w:link w:val="32"/>
    <w:qFormat/>
    <w:uiPriority w:val="34"/>
    <w:pPr>
      <w:ind w:firstLine="420" w:firstLineChars="200"/>
    </w:pPr>
  </w:style>
  <w:style w:type="character" w:customStyle="1" w:styleId="34">
    <w:name w:val="apple-converted-space"/>
    <w:basedOn w:val="24"/>
    <w:qFormat/>
    <w:uiPriority w:val="0"/>
  </w:style>
  <w:style w:type="character" w:customStyle="1" w:styleId="35">
    <w:name w:val="日期 Char"/>
    <w:link w:val="11"/>
    <w:qFormat/>
    <w:uiPriority w:val="0"/>
    <w:rPr>
      <w:rFonts w:ascii="Times New Roman" w:hAnsi="Times New Roman"/>
      <w:kern w:val="2"/>
      <w:sz w:val="21"/>
      <w:szCs w:val="24"/>
    </w:rPr>
  </w:style>
  <w:style w:type="character" w:customStyle="1" w:styleId="36">
    <w:name w:val="批注文字 Char"/>
    <w:link w:val="7"/>
    <w:qFormat/>
    <w:uiPriority w:val="99"/>
    <w:rPr>
      <w:rFonts w:ascii="Times New Roman" w:hAnsi="Times New Roman"/>
      <w:kern w:val="2"/>
      <w:sz w:val="21"/>
      <w:szCs w:val="24"/>
    </w:rPr>
  </w:style>
  <w:style w:type="character" w:customStyle="1" w:styleId="37">
    <w:name w:val="标题 3 Char"/>
    <w:basedOn w:val="24"/>
    <w:link w:val="5"/>
    <w:qFormat/>
    <w:uiPriority w:val="0"/>
    <w:rPr>
      <w:rFonts w:ascii="Times New Roman" w:hAnsi="Times New Roman"/>
      <w:b/>
      <w:sz w:val="32"/>
    </w:rPr>
  </w:style>
  <w:style w:type="character" w:customStyle="1" w:styleId="38">
    <w:name w:val="页脚 Char"/>
    <w:link w:val="13"/>
    <w:qFormat/>
    <w:uiPriority w:val="99"/>
    <w:rPr>
      <w:rFonts w:ascii="Times New Roman" w:hAnsi="Times New Roman" w:eastAsia="宋体" w:cs="Times New Roman"/>
      <w:sz w:val="18"/>
      <w:szCs w:val="18"/>
    </w:rPr>
  </w:style>
  <w:style w:type="paragraph" w:customStyle="1" w:styleId="3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0">
    <w:name w:val="text"/>
    <w:basedOn w:val="1"/>
    <w:qFormat/>
    <w:uiPriority w:val="0"/>
    <w:pPr>
      <w:widowControl/>
      <w:spacing w:before="100" w:beforeAutospacing="1" w:after="100" w:afterAutospacing="1"/>
      <w:jc w:val="left"/>
    </w:pPr>
    <w:rPr>
      <w:rFonts w:eastAsia="Arial Unicode MS" w:cs="Arial Unicode MS"/>
      <w:color w:val="000000"/>
      <w:kern w:val="0"/>
      <w:sz w:val="24"/>
    </w:rPr>
  </w:style>
  <w:style w:type="paragraph" w:customStyle="1" w:styleId="41">
    <w:name w:val="hei"/>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43">
    <w:name w:val="正文文本缩进 Char"/>
    <w:link w:val="3"/>
    <w:qFormat/>
    <w:uiPriority w:val="0"/>
    <w:rPr>
      <w:kern w:val="2"/>
      <w:sz w:val="21"/>
      <w:szCs w:val="24"/>
    </w:rPr>
  </w:style>
  <w:style w:type="character" w:customStyle="1" w:styleId="44">
    <w:name w:val="正文文本缩进 Char1"/>
    <w:basedOn w:val="24"/>
    <w:semiHidden/>
    <w:qFormat/>
    <w:uiPriority w:val="99"/>
    <w:rPr>
      <w:rFonts w:ascii="Times New Roman" w:hAnsi="Times New Roman"/>
      <w:kern w:val="2"/>
      <w:sz w:val="21"/>
      <w:szCs w:val="24"/>
    </w:rPr>
  </w:style>
  <w:style w:type="paragraph" w:customStyle="1" w:styleId="45">
    <w:name w:val="列出段落1"/>
    <w:basedOn w:val="1"/>
    <w:qFormat/>
    <w:uiPriority w:val="34"/>
    <w:pPr>
      <w:ind w:firstLine="420" w:firstLineChars="200"/>
    </w:pPr>
  </w:style>
  <w:style w:type="paragraph" w:customStyle="1" w:styleId="4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7">
    <w:name w:val="标题 1 Char"/>
    <w:basedOn w:val="24"/>
    <w:link w:val="4"/>
    <w:qFormat/>
    <w:uiPriority w:val="9"/>
    <w:rPr>
      <w:rFonts w:ascii="Times New Roman" w:hAnsi="Times New Roman"/>
      <w:b/>
      <w:bCs/>
      <w:kern w:val="44"/>
      <w:sz w:val="44"/>
      <w:szCs w:val="44"/>
    </w:rPr>
  </w:style>
  <w:style w:type="paragraph" w:customStyle="1" w:styleId="48">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EE1760-C9FE-4AEA-9078-BED556E8E9D7}">
  <ds:schemaRefs/>
</ds:datastoreItem>
</file>

<file path=docProps/app.xml><?xml version="1.0" encoding="utf-8"?>
<Properties xmlns="http://schemas.openxmlformats.org/officeDocument/2006/extended-properties" xmlns:vt="http://schemas.openxmlformats.org/officeDocument/2006/docPropsVTypes">
  <Template>Normal</Template>
  <Company>深圳会展中心管理有限责任公司</Company>
  <Pages>1</Pages>
  <Words>2278</Words>
  <Characters>12988</Characters>
  <Lines>108</Lines>
  <Paragraphs>30</Paragraphs>
  <TotalTime>11</TotalTime>
  <ScaleCrop>false</ScaleCrop>
  <LinksUpToDate>false</LinksUpToDate>
  <CharactersWithSpaces>15236</CharactersWithSpaces>
  <Application>WPS Office_11.1.0.9587_F1E327BC-269C-435d-A152-05C5408002CA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2019-09-30T03:46:00Z</dcterms:created>
  <dc:creator>ts</dc:creator>
  <cp:lastModifiedBy>susan</cp:lastModifiedBy>
  <cp:lastPrinted>2016-09-01T03:19:00Z</cp:lastPrinted>
  <dcterms:modified xsi:type="dcterms:W3CDTF">2020-04-28T12:50:43Z</dcterms:modified>
  <dc:title>竞争性谈判</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2052-11.1.0.9587</vt:lpwstr>
  </property>
</Properties>
</file>