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tabs>
          <w:tab w:val="left" w:pos="8640"/>
        </w:tabs>
        <w:ind w:left="360" w:firstLine="0" w:firstLineChars="0"/>
        <w:rPr>
          <w:sz w:val="30"/>
          <w:szCs w:val="30"/>
        </w:rPr>
      </w:pPr>
    </w:p>
    <w:p>
      <w:pPr>
        <w:spacing w:line="0" w:lineRule="atLeast"/>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深圳会展中心管理有限责任公司招标文件</w:t>
      </w:r>
    </w:p>
    <w:p>
      <w:pPr>
        <w:jc w:val="center"/>
        <w:rPr>
          <w:b/>
          <w:sz w:val="72"/>
        </w:rPr>
      </w:pPr>
    </w:p>
    <w:p>
      <w:pPr>
        <w:spacing w:after="100" w:afterAutospacing="1"/>
        <w:ind w:firstLine="640" w:firstLineChars="200"/>
        <w:jc w:val="left"/>
        <w:rPr>
          <w:rFonts w:hint="eastAsia" w:ascii="方正小标宋_GBK" w:hAnsi="方正小标宋_GBK" w:eastAsia="方正小标宋_GBK" w:cs="方正小标宋_GBK"/>
          <w:b/>
          <w:sz w:val="32"/>
          <w:szCs w:val="32"/>
          <w:lang w:eastAsia="zh-CN"/>
        </w:rPr>
      </w:pPr>
      <w:r>
        <w:rPr>
          <w:rFonts w:hint="eastAsia" w:ascii="方正小标宋_GBK" w:hAnsi="方正小标宋_GBK" w:eastAsia="方正小标宋_GBK" w:cs="方正小标宋_GBK"/>
          <w:b/>
          <w:sz w:val="32"/>
          <w:szCs w:val="32"/>
        </w:rPr>
        <w:t>项目名称：2022年度高交会官方微信、微博运维项目</w:t>
      </w:r>
      <w:r>
        <w:rPr>
          <w:rFonts w:hint="eastAsia" w:ascii="方正小标宋_GBK" w:hAnsi="方正小标宋_GBK" w:eastAsia="方正小标宋_GBK" w:cs="方正小标宋_GBK"/>
          <w:b/>
          <w:sz w:val="32"/>
          <w:szCs w:val="32"/>
          <w:lang w:eastAsia="zh-CN"/>
        </w:rPr>
        <w:t>（</w:t>
      </w:r>
      <w:r>
        <w:rPr>
          <w:rFonts w:hint="eastAsia" w:ascii="方正小标宋_GBK" w:hAnsi="方正小标宋_GBK" w:eastAsia="方正小标宋_GBK" w:cs="方正小标宋_GBK"/>
          <w:b/>
          <w:sz w:val="32"/>
          <w:szCs w:val="32"/>
          <w:lang w:val="en-US" w:eastAsia="zh-CN"/>
        </w:rPr>
        <w:t>二次启动</w:t>
      </w:r>
      <w:r>
        <w:rPr>
          <w:rFonts w:hint="eastAsia" w:ascii="方正小标宋_GBK" w:hAnsi="方正小标宋_GBK" w:eastAsia="方正小标宋_GBK" w:cs="方正小标宋_GBK"/>
          <w:b/>
          <w:sz w:val="32"/>
          <w:szCs w:val="32"/>
          <w:lang w:eastAsia="zh-CN"/>
        </w:rPr>
        <w:t>）</w:t>
      </w:r>
    </w:p>
    <w:p>
      <w:pPr>
        <w:spacing w:line="360" w:lineRule="auto"/>
        <w:jc w:val="center"/>
        <w:rPr>
          <w:rFonts w:ascii="方正小标宋_GBK" w:hAnsi="方正小标宋_GBK" w:eastAsia="方正小标宋_GBK" w:cs="方正小标宋_GBK"/>
          <w:b/>
          <w:sz w:val="32"/>
          <w:szCs w:val="32"/>
        </w:rPr>
      </w:pP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hint="eastAsia" w:ascii="宋体" w:hAnsi="宋体"/>
          <w:b/>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深圳会展中心管理有限责任公司</w:t>
      </w:r>
    </w:p>
    <w:p>
      <w:pPr>
        <w:widowControl/>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2</w:t>
      </w:r>
      <w:r>
        <w:rPr>
          <w:rFonts w:ascii="方正小标宋_GBK" w:hAnsi="方正小标宋_GBK" w:eastAsia="方正小标宋_GBK" w:cs="方正小标宋_GBK"/>
          <w:b/>
          <w:sz w:val="32"/>
          <w:szCs w:val="32"/>
        </w:rPr>
        <w:t>02</w:t>
      </w:r>
      <w:r>
        <w:rPr>
          <w:rFonts w:hint="eastAsia" w:ascii="方正小标宋_GBK" w:hAnsi="方正小标宋_GBK" w:eastAsia="方正小标宋_GBK" w:cs="方正小标宋_GBK"/>
          <w:b/>
          <w:sz w:val="32"/>
          <w:szCs w:val="32"/>
        </w:rPr>
        <w:t>2年3月</w:t>
      </w:r>
      <w:r>
        <w:rPr>
          <w:rFonts w:ascii="方正小标宋_GBK" w:hAnsi="方正小标宋_GBK" w:eastAsia="方正小标宋_GBK" w:cs="方正小标宋_GBK"/>
          <w:b/>
          <w:sz w:val="32"/>
          <w:szCs w:val="32"/>
        </w:rPr>
        <w:br w:type="page"/>
      </w:r>
    </w:p>
    <w:p>
      <w:pPr>
        <w:pStyle w:val="9"/>
        <w:tabs>
          <w:tab w:val="right" w:leader="dot" w:pos="8306"/>
        </w:tabs>
        <w:spacing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9"/>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"_Toc82783883" </w:instrText>
      </w:r>
      <w:r>
        <w:fldChar w:fldCharType="separate"/>
      </w:r>
      <w:r>
        <w:rPr>
          <w:rStyle w:val="15"/>
          <w:rFonts w:ascii="宋体" w:hAnsi="宋体"/>
          <w:b/>
          <w:color w:val="auto"/>
        </w:rPr>
        <w:t>第一部分 项目要求</w:t>
      </w:r>
      <w:r>
        <w:tab/>
      </w:r>
      <w:r>
        <w:fldChar w:fldCharType="begin"/>
      </w:r>
      <w:r>
        <w:instrText xml:space="preserve"> PAGEREF _Toc82783883 \h </w:instrText>
      </w:r>
      <w:r>
        <w:fldChar w:fldCharType="separate"/>
      </w:r>
      <w:r>
        <w:t>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"_Toc82783884" </w:instrText>
      </w:r>
      <w:r>
        <w:fldChar w:fldCharType="separate"/>
      </w:r>
      <w:r>
        <w:rPr>
          <w:rStyle w:val="15"/>
          <w:rFonts w:ascii="宋体" w:hAnsi="宋体" w:cs="仿宋"/>
          <w:bCs/>
          <w:color w:val="auto"/>
        </w:rPr>
        <w:t>一、</w:t>
      </w:r>
      <w:r>
        <w:rPr>
          <w:rStyle w:val="15"/>
          <w:rFonts w:ascii="宋体" w:hAnsi="宋体"/>
          <w:color w:val="auto"/>
        </w:rPr>
        <w:t>投标人须知</w:t>
      </w:r>
      <w:r>
        <w:tab/>
      </w:r>
      <w:r>
        <w:fldChar w:fldCharType="begin"/>
      </w:r>
      <w:r>
        <w:instrText xml:space="preserve"> PAGEREF _Toc82783884 \h </w:instrText>
      </w:r>
      <w:r>
        <w:fldChar w:fldCharType="separate"/>
      </w:r>
      <w:r>
        <w:t>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"_Toc82783885" </w:instrText>
      </w:r>
      <w:r>
        <w:fldChar w:fldCharType="separate"/>
      </w:r>
      <w:r>
        <w:rPr>
          <w:rStyle w:val="15"/>
          <w:rFonts w:ascii="宋体" w:hAnsi="宋体" w:cs="仿宋"/>
          <w:bCs/>
          <w:color w:val="auto"/>
        </w:rPr>
        <w:t>二、</w:t>
      </w:r>
      <w:r>
        <w:rPr>
          <w:rStyle w:val="15"/>
          <w:rFonts w:ascii="宋体" w:hAnsi="宋体"/>
          <w:color w:val="auto"/>
        </w:rPr>
        <w:t>特别说明</w:t>
      </w:r>
      <w:r>
        <w:tab/>
      </w:r>
      <w:r>
        <w:fldChar w:fldCharType="begin"/>
      </w:r>
      <w:r>
        <w:instrText xml:space="preserve"> PAGEREF _Toc82783885 \h </w:instrText>
      </w:r>
      <w:r>
        <w:fldChar w:fldCharType="separate"/>
      </w:r>
      <w:r>
        <w:t>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"_Toc82783886" </w:instrText>
      </w:r>
      <w:r>
        <w:fldChar w:fldCharType="separate"/>
      </w:r>
      <w:r>
        <w:rPr>
          <w:rStyle w:val="15"/>
          <w:rFonts w:ascii="宋体" w:hAnsi="宋体" w:cs="仿宋"/>
          <w:bCs/>
          <w:color w:val="auto"/>
        </w:rPr>
        <w:t>三、</w:t>
      </w:r>
      <w:r>
        <w:rPr>
          <w:rStyle w:val="15"/>
          <w:rFonts w:ascii="宋体" w:hAnsi="宋体"/>
          <w:color w:val="auto"/>
        </w:rPr>
        <w:t>投标文件编制</w:t>
      </w:r>
      <w:r>
        <w:tab/>
      </w:r>
      <w:r>
        <w:fldChar w:fldCharType="begin"/>
      </w:r>
      <w:r>
        <w:instrText xml:space="preserve"> PAGEREF _Toc82783886 \h </w:instrText>
      </w:r>
      <w:r>
        <w:fldChar w:fldCharType="separate"/>
      </w:r>
      <w:r>
        <w:t>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"_Toc82783887" </w:instrText>
      </w:r>
      <w:r>
        <w:fldChar w:fldCharType="separate"/>
      </w:r>
      <w:r>
        <w:rPr>
          <w:rStyle w:val="15"/>
          <w:rFonts w:ascii="宋体" w:hAnsi="宋体" w:cs="仿宋"/>
          <w:bCs/>
          <w:color w:val="auto"/>
        </w:rPr>
        <w:t>四、</w:t>
      </w:r>
      <w:r>
        <w:rPr>
          <w:rStyle w:val="15"/>
          <w:rFonts w:ascii="宋体" w:hAnsi="宋体"/>
          <w:color w:val="auto"/>
        </w:rPr>
        <w:t>项目要求及数量</w:t>
      </w:r>
      <w:r>
        <w:tab/>
      </w:r>
      <w:r>
        <w:fldChar w:fldCharType="begin"/>
      </w:r>
      <w:r>
        <w:instrText xml:space="preserve"> PAGEREF _Toc82783887 \h </w:instrText>
      </w:r>
      <w:r>
        <w:fldChar w:fldCharType="separate"/>
      </w:r>
      <w:r>
        <w:t>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"_Toc82783888" </w:instrText>
      </w:r>
      <w:r>
        <w:fldChar w:fldCharType="separate"/>
      </w:r>
      <w:r>
        <w:rPr>
          <w:rStyle w:val="15"/>
          <w:rFonts w:ascii="宋体" w:hAnsi="宋体" w:cs="仿宋"/>
          <w:bCs/>
          <w:color w:val="auto"/>
        </w:rPr>
        <w:t>五、</w:t>
      </w:r>
      <w:r>
        <w:rPr>
          <w:rStyle w:val="15"/>
          <w:rFonts w:ascii="宋体" w:hAnsi="宋体"/>
          <w:color w:val="auto"/>
        </w:rPr>
        <w:t>其他项目说明资料</w:t>
      </w:r>
      <w:r>
        <w:tab/>
      </w:r>
      <w:r>
        <w:fldChar w:fldCharType="begin"/>
      </w:r>
      <w:r>
        <w:instrText xml:space="preserve"> PAGEREF _Toc82783888 \h </w:instrText>
      </w:r>
      <w:r>
        <w:fldChar w:fldCharType="separate"/>
      </w:r>
      <w:r>
        <w:t>6</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"_Toc82783889" </w:instrText>
      </w:r>
      <w:r>
        <w:fldChar w:fldCharType="separate"/>
      </w:r>
      <w:r>
        <w:rPr>
          <w:rStyle w:val="15"/>
          <w:rFonts w:ascii="宋体" w:hAnsi="宋体"/>
          <w:b/>
          <w:color w:val="auto"/>
        </w:rPr>
        <w:t>第二部分：开标流程</w:t>
      </w:r>
      <w:r>
        <w:tab/>
      </w:r>
      <w:r>
        <w:fldChar w:fldCharType="begin"/>
      </w:r>
      <w:r>
        <w:instrText xml:space="preserve"> PAGEREF _Toc82783889 \h </w:instrText>
      </w:r>
      <w:r>
        <w:fldChar w:fldCharType="separate"/>
      </w:r>
      <w:r>
        <w:t>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"_Toc82783890" </w:instrText>
      </w:r>
      <w:r>
        <w:fldChar w:fldCharType="separate"/>
      </w:r>
      <w:r>
        <w:rPr>
          <w:rStyle w:val="15"/>
          <w:rFonts w:ascii="宋体" w:hAnsi="宋体" w:cs="仿宋"/>
          <w:bCs/>
          <w:color w:val="auto"/>
        </w:rPr>
        <w:t>六、</w:t>
      </w:r>
      <w:r>
        <w:rPr>
          <w:rStyle w:val="15"/>
          <w:rFonts w:ascii="宋体" w:hAnsi="宋体"/>
          <w:color w:val="auto"/>
        </w:rPr>
        <w:t>开标流程</w:t>
      </w:r>
      <w:r>
        <w:tab/>
      </w:r>
      <w:r>
        <w:fldChar w:fldCharType="begin"/>
      </w:r>
      <w:r>
        <w:instrText xml:space="preserve"> PAGEREF _Toc82783890 \h </w:instrText>
      </w:r>
      <w:r>
        <w:fldChar w:fldCharType="separate"/>
      </w:r>
      <w:r>
        <w:t>7</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"_Toc82783891" </w:instrText>
      </w:r>
      <w:r>
        <w:fldChar w:fldCharType="separate"/>
      </w:r>
      <w:r>
        <w:rPr>
          <w:rStyle w:val="15"/>
          <w:rFonts w:ascii="宋体" w:hAnsi="宋体"/>
          <w:b/>
          <w:color w:val="auto"/>
        </w:rPr>
        <w:t>第三部分：评审办法</w:t>
      </w:r>
      <w:r>
        <w:tab/>
      </w:r>
      <w:r>
        <w:fldChar w:fldCharType="begin"/>
      </w:r>
      <w:r>
        <w:instrText xml:space="preserve"> PAGEREF _Toc82783891 \h </w:instrText>
      </w:r>
      <w:r>
        <w:fldChar w:fldCharType="separate"/>
      </w:r>
      <w:r>
        <w:t>8</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"_Toc82783892" </w:instrText>
      </w:r>
      <w:r>
        <w:fldChar w:fldCharType="separate"/>
      </w:r>
      <w:r>
        <w:rPr>
          <w:rStyle w:val="15"/>
          <w:rFonts w:ascii="宋体" w:hAnsi="宋体" w:cs="仿宋"/>
          <w:bCs/>
          <w:color w:val="auto"/>
        </w:rPr>
        <w:t>七、</w:t>
      </w:r>
      <w:r>
        <w:rPr>
          <w:rStyle w:val="15"/>
          <w:rFonts w:ascii="宋体" w:hAnsi="宋体"/>
          <w:bCs/>
          <w:color w:val="auto"/>
        </w:rPr>
        <w:t>评审办法</w:t>
      </w:r>
      <w:r>
        <w:tab/>
      </w:r>
      <w:r>
        <w:fldChar w:fldCharType="begin"/>
      </w:r>
      <w:r>
        <w:instrText xml:space="preserve"> PAGEREF _Toc82783892 \h </w:instrText>
      </w:r>
      <w:r>
        <w:fldChar w:fldCharType="separate"/>
      </w:r>
      <w:r>
        <w:t>8</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"_Toc82783893" </w:instrText>
      </w:r>
      <w:r>
        <w:fldChar w:fldCharType="separate"/>
      </w:r>
      <w:r>
        <w:rPr>
          <w:rStyle w:val="15"/>
          <w:rFonts w:ascii="宋体" w:hAnsi="宋体"/>
          <w:color w:val="auto"/>
        </w:rPr>
        <w:t>（一）</w:t>
      </w:r>
      <w:r>
        <w:rPr>
          <w:rStyle w:val="15"/>
          <w:rFonts w:ascii="宋体" w:hAnsi="宋体"/>
          <w:bCs/>
          <w:color w:val="auto"/>
        </w:rPr>
        <w:t>符合性检查</w:t>
      </w:r>
      <w:r>
        <w:tab/>
      </w:r>
      <w:r>
        <w:fldChar w:fldCharType="begin"/>
      </w:r>
      <w:r>
        <w:instrText xml:space="preserve"> PAGEREF _Toc82783893 \h </w:instrText>
      </w:r>
      <w:r>
        <w:fldChar w:fldCharType="separate"/>
      </w:r>
      <w:r>
        <w:t>8</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"_Toc82783894" </w:instrText>
      </w:r>
      <w:r>
        <w:fldChar w:fldCharType="separate"/>
      </w:r>
      <w:r>
        <w:rPr>
          <w:rStyle w:val="15"/>
          <w:rFonts w:ascii="宋体" w:hAnsi="宋体"/>
          <w:bCs/>
          <w:color w:val="auto"/>
        </w:rPr>
        <w:t>（二）综合评议指标表</w:t>
      </w:r>
      <w:r>
        <w:tab/>
      </w:r>
      <w:r>
        <w:fldChar w:fldCharType="begin"/>
      </w:r>
      <w:r>
        <w:instrText xml:space="preserve"> PAGEREF _Toc82783894 \h </w:instrText>
      </w:r>
      <w:r>
        <w:fldChar w:fldCharType="separate"/>
      </w:r>
      <w:r>
        <w:t>8</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"_Toc82783895" </w:instrText>
      </w:r>
      <w:r>
        <w:fldChar w:fldCharType="separate"/>
      </w:r>
      <w:r>
        <w:rPr>
          <w:rStyle w:val="15"/>
          <w:rFonts w:ascii="宋体" w:hAnsi="宋体"/>
          <w:b/>
          <w:color w:val="auto"/>
        </w:rPr>
        <w:t>第四部分：合同条款及格式</w:t>
      </w:r>
      <w:r>
        <w:tab/>
      </w:r>
      <w:r>
        <w:fldChar w:fldCharType="begin"/>
      </w:r>
      <w:r>
        <w:instrText xml:space="preserve"> PAGEREF _Toc82783895 \h </w:instrText>
      </w:r>
      <w:r>
        <w:fldChar w:fldCharType="separate"/>
      </w:r>
      <w:r>
        <w:t>11</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"_Toc82783896" </w:instrText>
      </w:r>
      <w:r>
        <w:fldChar w:fldCharType="separate"/>
      </w:r>
      <w:r>
        <w:rPr>
          <w:rStyle w:val="15"/>
          <w:b/>
          <w:color w:val="auto"/>
        </w:rPr>
        <w:t>第五部分：参考附件</w:t>
      </w:r>
      <w:r>
        <w:tab/>
      </w:r>
      <w:r>
        <w:fldChar w:fldCharType="begin"/>
      </w:r>
      <w:r>
        <w:instrText xml:space="preserve"> PAGEREF _Toc82783896 \h </w:instrText>
      </w:r>
      <w:r>
        <w:fldChar w:fldCharType="separate"/>
      </w:r>
      <w:r>
        <w:t>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"_Toc82783897" </w:instrText>
      </w:r>
      <w:r>
        <w:fldChar w:fldCharType="separate"/>
      </w:r>
      <w:r>
        <w:rPr>
          <w:rStyle w:val="15"/>
          <w:rFonts w:ascii="宋体" w:hAnsi="宋体"/>
          <w:color w:val="auto"/>
        </w:rPr>
        <w:t>附件1：投标函</w:t>
      </w:r>
      <w:r>
        <w:tab/>
      </w:r>
      <w:r>
        <w:fldChar w:fldCharType="begin"/>
      </w:r>
      <w:r>
        <w:instrText xml:space="preserve"> PAGEREF _Toc82783897 \h </w:instrText>
      </w:r>
      <w:r>
        <w:fldChar w:fldCharType="separate"/>
      </w:r>
      <w:r>
        <w:t>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"_Toc82783898" </w:instrText>
      </w:r>
      <w:r>
        <w:fldChar w:fldCharType="separate"/>
      </w:r>
      <w:r>
        <w:rPr>
          <w:rStyle w:val="15"/>
          <w:rFonts w:ascii="宋体" w:hAnsi="宋体"/>
          <w:color w:val="auto"/>
        </w:rPr>
        <w:t>附件2：投标一览表</w:t>
      </w:r>
      <w:r>
        <w:tab/>
      </w:r>
      <w:r>
        <w:fldChar w:fldCharType="begin"/>
      </w:r>
      <w:r>
        <w:instrText xml:space="preserve"> PAGEREF _Toc82783898 \h </w:instrText>
      </w:r>
      <w:r>
        <w:fldChar w:fldCharType="separate"/>
      </w:r>
      <w:r>
        <w:t>2</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"_Toc82783899" </w:instrText>
      </w:r>
      <w:r>
        <w:fldChar w:fldCharType="separate"/>
      </w:r>
      <w:r>
        <w:rPr>
          <w:rStyle w:val="15"/>
          <w:rFonts w:ascii="宋体" w:hAnsi="宋体"/>
          <w:color w:val="auto"/>
        </w:rPr>
        <w:t>附件3：考察证明</w:t>
      </w:r>
      <w:r>
        <w:tab/>
      </w:r>
      <w:r>
        <w:fldChar w:fldCharType="begin"/>
      </w:r>
      <w:r>
        <w:instrText xml:space="preserve"> PAGEREF _Toc82783899 \h </w:instrText>
      </w:r>
      <w:r>
        <w:fldChar w:fldCharType="separate"/>
      </w:r>
      <w:r>
        <w:t>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"_Toc82783900" </w:instrText>
      </w:r>
      <w:r>
        <w:fldChar w:fldCharType="separate"/>
      </w:r>
      <w:r>
        <w:rPr>
          <w:rStyle w:val="15"/>
          <w:rFonts w:ascii="宋体" w:hAnsi="宋体"/>
          <w:color w:val="auto"/>
        </w:rPr>
        <w:t>附件4：技术服务响应/偏离表</w:t>
      </w:r>
      <w:r>
        <w:tab/>
      </w:r>
      <w:r>
        <w:fldChar w:fldCharType="begin"/>
      </w:r>
      <w:r>
        <w:instrText xml:space="preserve"> PAGEREF _Toc82783900 \h </w:instrText>
      </w:r>
      <w:r>
        <w:fldChar w:fldCharType="separate"/>
      </w:r>
      <w:r>
        <w:t>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"_Toc82783901" </w:instrText>
      </w:r>
      <w:r>
        <w:fldChar w:fldCharType="separate"/>
      </w:r>
      <w:r>
        <w:rPr>
          <w:rStyle w:val="15"/>
          <w:rFonts w:ascii="宋体" w:hAnsi="宋体"/>
          <w:color w:val="auto"/>
        </w:rPr>
        <w:t>附件5：商务条款响应/偏离表</w:t>
      </w:r>
      <w:r>
        <w:tab/>
      </w:r>
      <w:r>
        <w:fldChar w:fldCharType="begin"/>
      </w:r>
      <w:r>
        <w:instrText xml:space="preserve"> PAGEREF _Toc82783901 \h </w:instrText>
      </w:r>
      <w:r>
        <w:fldChar w:fldCharType="separate"/>
      </w:r>
      <w:r>
        <w:t>5</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"_Toc82783902" </w:instrText>
      </w:r>
      <w:r>
        <w:fldChar w:fldCharType="separate"/>
      </w:r>
      <w:r>
        <w:rPr>
          <w:rStyle w:val="15"/>
          <w:rFonts w:ascii="宋体" w:hAnsi="宋体"/>
          <w:color w:val="auto"/>
        </w:rPr>
        <w:t>附件6：报价一览表（货物）（本项目不适用）</w:t>
      </w:r>
      <w:r>
        <w:tab/>
      </w:r>
      <w:r>
        <w:fldChar w:fldCharType="begin"/>
      </w:r>
      <w:r>
        <w:instrText xml:space="preserve"> PAGEREF _Toc82783902 \h </w:instrText>
      </w:r>
      <w:r>
        <w:fldChar w:fldCharType="separate"/>
      </w:r>
      <w:r>
        <w:t>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"_Toc82783903" </w:instrText>
      </w:r>
      <w:r>
        <w:fldChar w:fldCharType="separate"/>
      </w:r>
      <w:r>
        <w:rPr>
          <w:rStyle w:val="15"/>
          <w:rFonts w:ascii="宋体" w:hAnsi="宋体"/>
          <w:color w:val="auto"/>
        </w:rPr>
        <w:t>附件7：报价一览表（服务）</w:t>
      </w:r>
      <w:r>
        <w:tab/>
      </w:r>
      <w:r>
        <w:fldChar w:fldCharType="begin"/>
      </w:r>
      <w:r>
        <w:instrText xml:space="preserve"> PAGEREF _Toc82783903 \h </w:instrText>
      </w:r>
      <w:r>
        <w:fldChar w:fldCharType="separate"/>
      </w:r>
      <w:r>
        <w:t>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"_Toc82783904" </w:instrText>
      </w:r>
      <w:r>
        <w:fldChar w:fldCharType="separate"/>
      </w:r>
      <w:r>
        <w:rPr>
          <w:rStyle w:val="15"/>
          <w:rFonts w:ascii="宋体" w:hAnsi="宋体"/>
          <w:color w:val="auto"/>
        </w:rPr>
        <w:t>附件8：报价一览表（工程）（本项目不适用）</w:t>
      </w:r>
      <w:r>
        <w:tab/>
      </w:r>
      <w:r>
        <w:fldChar w:fldCharType="begin"/>
      </w:r>
      <w:r>
        <w:instrText xml:space="preserve"> PAGEREF _Toc82783904 \h </w:instrText>
      </w:r>
      <w:r>
        <w:fldChar w:fldCharType="separate"/>
      </w:r>
      <w:r>
        <w:t>8</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"_Toc82783905" </w:instrText>
      </w:r>
      <w:r>
        <w:fldChar w:fldCharType="separate"/>
      </w:r>
      <w:r>
        <w:rPr>
          <w:rStyle w:val="15"/>
          <w:rFonts w:ascii="宋体" w:hAnsi="宋体"/>
          <w:color w:val="auto"/>
        </w:rPr>
        <w:t>附件9：法定代表人证明书</w:t>
      </w:r>
      <w:r>
        <w:tab/>
      </w:r>
      <w:r>
        <w:fldChar w:fldCharType="begin"/>
      </w:r>
      <w:r>
        <w:instrText xml:space="preserve"> PAGEREF _Toc82783905 \h </w:instrText>
      </w:r>
      <w:r>
        <w:fldChar w:fldCharType="separate"/>
      </w:r>
      <w:r>
        <w:t>9</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"_Toc82783906" </w:instrText>
      </w:r>
      <w:r>
        <w:fldChar w:fldCharType="separate"/>
      </w:r>
      <w:r>
        <w:rPr>
          <w:rStyle w:val="15"/>
          <w:rFonts w:ascii="宋体" w:hAnsi="宋体"/>
          <w:color w:val="auto"/>
        </w:rPr>
        <w:t>附件10：法人授权委托证明书</w:t>
      </w:r>
      <w:r>
        <w:tab/>
      </w:r>
      <w:r>
        <w:fldChar w:fldCharType="begin"/>
      </w:r>
      <w:r>
        <w:instrText xml:space="preserve"> PAGEREF _Toc82783906 \h </w:instrText>
      </w:r>
      <w:r>
        <w:fldChar w:fldCharType="separate"/>
      </w:r>
      <w:r>
        <w:t>10</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"_Toc82783907" </w:instrText>
      </w:r>
      <w:r>
        <w:fldChar w:fldCharType="separate"/>
      </w:r>
      <w:r>
        <w:rPr>
          <w:rStyle w:val="15"/>
          <w:rFonts w:ascii="宋体" w:hAnsi="宋体"/>
          <w:color w:val="auto"/>
        </w:rPr>
        <w:t>附件11：经营业绩一览表</w:t>
      </w:r>
      <w:r>
        <w:tab/>
      </w:r>
      <w:r>
        <w:fldChar w:fldCharType="begin"/>
      </w:r>
      <w:r>
        <w:instrText xml:space="preserve"> PAGEREF _Toc82783907 \h </w:instrText>
      </w:r>
      <w:r>
        <w:fldChar w:fldCharType="separate"/>
      </w:r>
      <w:r>
        <w:t>11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"_Toc82783908" </w:instrText>
      </w:r>
      <w:r>
        <w:fldChar w:fldCharType="separate"/>
      </w:r>
      <w:r>
        <w:rPr>
          <w:rStyle w:val="15"/>
          <w:rFonts w:ascii="宋体" w:hAnsi="宋体"/>
          <w:color w:val="auto"/>
        </w:rPr>
        <w:t>附件12：售后服务承诺书</w:t>
      </w:r>
      <w:r>
        <w:tab/>
      </w:r>
      <w:r>
        <w:fldChar w:fldCharType="begin"/>
      </w:r>
      <w:r>
        <w:instrText xml:space="preserve"> PAGEREF _Toc82783908 \h </w:instrText>
      </w:r>
      <w:r>
        <w:fldChar w:fldCharType="separate"/>
      </w:r>
      <w:r>
        <w:t>12</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"_Toc82783909" </w:instrText>
      </w:r>
      <w:r>
        <w:fldChar w:fldCharType="separate"/>
      </w:r>
      <w:r>
        <w:rPr>
          <w:rStyle w:val="15"/>
          <w:rFonts w:ascii="宋体" w:hAnsi="宋体"/>
          <w:color w:val="auto"/>
        </w:rPr>
        <w:t>附件13：履约情况及社会信誉承诺书</w:t>
      </w:r>
      <w:r>
        <w:tab/>
      </w:r>
      <w:r>
        <w:fldChar w:fldCharType="begin"/>
      </w:r>
      <w:r>
        <w:instrText xml:space="preserve"> PAGEREF _Toc82783909 \h </w:instrText>
      </w:r>
      <w:r>
        <w:fldChar w:fldCharType="separate"/>
      </w:r>
      <w:r>
        <w:t>13</w:t>
      </w:r>
      <w:r>
        <w:fldChar w:fldCharType="end"/>
      </w:r>
      <w:r>
        <w:fldChar w:fldCharType="end"/>
      </w:r>
    </w:p>
    <w:p>
      <w:pPr>
        <w:spacing w:line="400" w:lineRule="exact"/>
        <w:rPr>
          <w:rFonts w:ascii="宋体" w:hAnsi="宋体" w:cs="仿宋"/>
          <w:szCs w:val="21"/>
        </w:rPr>
        <w:sectPr>
          <w:footerReference r:id="rId3"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bookmarkStart w:id="0" w:name="_Toc82783883"/>
    </w:p>
    <w:p>
      <w:pPr>
        <w:spacing w:line="400" w:lineRule="exact"/>
        <w:rPr>
          <w:rFonts w:ascii="宋体" w:hAnsi="宋体"/>
          <w:b/>
          <w:sz w:val="32"/>
          <w:szCs w:val="32"/>
        </w:rPr>
      </w:pPr>
    </w:p>
    <w:p>
      <w:pPr>
        <w:spacing w:line="360" w:lineRule="auto"/>
        <w:jc w:val="center"/>
        <w:outlineLvl w:val="0"/>
        <w:rPr>
          <w:rFonts w:ascii="宋体" w:hAnsi="宋体"/>
          <w:b/>
          <w:sz w:val="32"/>
          <w:szCs w:val="32"/>
        </w:rPr>
      </w:pPr>
      <w:r>
        <w:rPr>
          <w:rFonts w:hint="eastAsia" w:ascii="宋体" w:hAnsi="宋体"/>
          <w:b/>
          <w:sz w:val="32"/>
          <w:szCs w:val="32"/>
        </w:rPr>
        <w:t>第一部分 项目要求</w:t>
      </w:r>
      <w:bookmarkEnd w:id="0"/>
    </w:p>
    <w:p>
      <w:pPr>
        <w:numPr>
          <w:ilvl w:val="0"/>
          <w:numId w:val="1"/>
        </w:numPr>
        <w:spacing w:beforeLines="50" w:line="360" w:lineRule="auto"/>
        <w:outlineLvl w:val="1"/>
        <w:rPr>
          <w:rFonts w:ascii="宋体" w:hAnsi="宋体"/>
          <w:b/>
          <w:szCs w:val="21"/>
        </w:rPr>
      </w:pPr>
      <w:bookmarkStart w:id="1" w:name="_Toc82783884"/>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2"/>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联系人：刘女士</w:t>
            </w:r>
          </w:p>
          <w:p>
            <w:pPr>
              <w:wordWrap w:val="0"/>
              <w:autoSpaceDE w:val="0"/>
              <w:autoSpaceDN w:val="0"/>
              <w:adjustRightInd w:val="0"/>
              <w:snapToGrid w:val="0"/>
              <w:rPr>
                <w:rFonts w:ascii="宋体" w:hAnsi="宋体"/>
                <w:szCs w:val="21"/>
              </w:rPr>
            </w:pPr>
            <w:r>
              <w:rPr>
                <w:rFonts w:hint="eastAsia" w:ascii="宋体" w:hAnsi="宋体"/>
                <w:szCs w:val="21"/>
              </w:rPr>
              <w:t>电话：0755-82848826</w:t>
            </w:r>
          </w:p>
          <w:p>
            <w:pPr>
              <w:wordWrap w:val="0"/>
              <w:autoSpaceDE w:val="0"/>
              <w:autoSpaceDN w:val="0"/>
              <w:adjustRightInd w:val="0"/>
              <w:snapToGrid w:val="0"/>
              <w:rPr>
                <w:rFonts w:ascii="宋体" w:hAnsi="宋体"/>
                <w:szCs w:val="21"/>
              </w:rPr>
            </w:pPr>
            <w:r>
              <w:rPr>
                <w:rFonts w:hint="eastAsia" w:ascii="宋体" w:hAnsi="宋体"/>
                <w:szCs w:val="21"/>
              </w:rPr>
              <w:t>传真：0755-82848694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邮箱：liuxh</w:t>
            </w:r>
            <w:r>
              <w:rPr>
                <w:rFonts w:ascii="宋体" w:hAnsi="宋体"/>
                <w:szCs w:val="21"/>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hint="eastAsia" w:ascii="宋体" w:hAnsi="宋体" w:eastAsia="宋体"/>
                <w:szCs w:val="21"/>
                <w:lang w:eastAsia="zh-CN"/>
              </w:rPr>
            </w:pPr>
            <w:r>
              <w:rPr>
                <w:rFonts w:hint="eastAsia" w:ascii="宋体" w:hAnsi="宋体"/>
                <w:szCs w:val="21"/>
              </w:rPr>
              <w:t>2022年度高交会官方微信、微博运维项目</w:t>
            </w:r>
            <w:r>
              <w:rPr>
                <w:rFonts w:hint="eastAsia" w:ascii="宋体" w:hAnsi="宋体"/>
                <w:szCs w:val="21"/>
                <w:lang w:eastAsia="zh-CN"/>
              </w:rPr>
              <w:t>（</w:t>
            </w:r>
            <w:r>
              <w:rPr>
                <w:rFonts w:hint="eastAsia" w:ascii="宋体" w:hAnsi="宋体"/>
                <w:szCs w:val="21"/>
                <w:lang w:val="en-US" w:eastAsia="zh-CN"/>
              </w:rPr>
              <w:t>二次启动</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为了更好地服务参、观展群众，进一步加强高交会政务新媒体建设，提升平台发布内容质量，增强平台数字化服务功能，保障平台持续有序运行，现拟采购有能力的企业提供专业新媒体运维服务，负责2022年度高交会官方微信、微博平台的代理运营及维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2</w:t>
            </w: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lang w:val="en-US" w:eastAsia="zh-CN"/>
              </w:rPr>
              <w:t>16</w:t>
            </w:r>
            <w:r>
              <w:rPr>
                <w:rFonts w:ascii="宋体" w:hAnsi="宋体"/>
                <w:szCs w:val="21"/>
              </w:rPr>
              <w:t xml:space="preserve"> </w:t>
            </w:r>
            <w:r>
              <w:rPr>
                <w:rFonts w:hint="eastAsia" w:ascii="宋体" w:hAnsi="宋体"/>
                <w:szCs w:val="21"/>
              </w:rPr>
              <w:t>15</w:t>
            </w:r>
            <w:r>
              <w:rPr>
                <w:rFonts w:ascii="宋体" w:hAnsi="宋体"/>
                <w:szCs w:val="21"/>
              </w:rPr>
              <w:t>:</w:t>
            </w:r>
            <w:r>
              <w:rPr>
                <w:rFonts w:hint="eastAsia" w:ascii="宋体" w:hAnsi="宋体"/>
                <w:szCs w:val="21"/>
              </w:rPr>
              <w:t xml:space="preserve"> 00（北京时间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完整填写本项目报名回函（详见采购公告）并加盖公司公章后，按要求发送至招标人联系人并致电确认。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深圳会展中心官网（www.szcec.com）下载。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2</w:t>
            </w: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lang w:val="en-US" w:eastAsia="zh-CN"/>
              </w:rPr>
              <w:t>24</w:t>
            </w:r>
            <w:r>
              <w:rPr>
                <w:rFonts w:hint="eastAsia" w:ascii="宋体" w:hAnsi="宋体"/>
                <w:szCs w:val="21"/>
              </w:rPr>
              <w:t xml:space="preserve"> 17</w:t>
            </w:r>
            <w:r>
              <w:rPr>
                <w:rFonts w:ascii="宋体" w:hAnsi="宋体"/>
                <w:szCs w:val="21"/>
              </w:rPr>
              <w:t>:</w:t>
            </w:r>
            <w:r>
              <w:rPr>
                <w:rFonts w:hint="eastAsia" w:ascii="宋体" w:hAnsi="宋体"/>
                <w:szCs w:val="21"/>
              </w:rPr>
              <w:t xml:space="preserve"> 00（北京时间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2</w:t>
            </w: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lang w:val="en-US" w:eastAsia="zh-CN"/>
              </w:rPr>
              <w:t>24</w:t>
            </w:r>
            <w:r>
              <w:rPr>
                <w:rFonts w:ascii="宋体" w:hAnsi="宋体"/>
                <w:szCs w:val="21"/>
              </w:rPr>
              <w:t xml:space="preserve"> </w:t>
            </w:r>
            <w:r>
              <w:rPr>
                <w:rFonts w:hint="eastAsia" w:ascii="宋体" w:hAnsi="宋体"/>
                <w:szCs w:val="21"/>
              </w:rPr>
              <w:t>17</w:t>
            </w:r>
            <w:r>
              <w:rPr>
                <w:rFonts w:ascii="宋体" w:hAnsi="宋体"/>
                <w:szCs w:val="21"/>
              </w:rPr>
              <w:t>:</w:t>
            </w:r>
            <w:r>
              <w:rPr>
                <w:rFonts w:hint="eastAsia" w:ascii="宋体" w:hAnsi="宋体"/>
                <w:szCs w:val="21"/>
              </w:rPr>
              <w:t xml:space="preserve"> 00（北京时间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2</w:t>
            </w: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lang w:val="en-US" w:eastAsia="zh-CN"/>
              </w:rPr>
              <w:t>25</w:t>
            </w:r>
            <w:r>
              <w:rPr>
                <w:rFonts w:ascii="宋体" w:hAnsi="宋体"/>
                <w:szCs w:val="21"/>
              </w:rPr>
              <w:t xml:space="preserve"> </w:t>
            </w:r>
            <w:r>
              <w:rPr>
                <w:rFonts w:hint="eastAsia" w:ascii="宋体" w:hAnsi="宋体"/>
                <w:szCs w:val="21"/>
              </w:rPr>
              <w:t>17</w:t>
            </w:r>
            <w:r>
              <w:rPr>
                <w:rFonts w:ascii="宋体" w:hAnsi="宋体"/>
                <w:szCs w:val="21"/>
              </w:rPr>
              <w:t>:</w:t>
            </w:r>
            <w:r>
              <w:rPr>
                <w:rFonts w:hint="eastAsia" w:ascii="宋体" w:hAnsi="宋体"/>
                <w:szCs w:val="21"/>
              </w:rPr>
              <w:t xml:space="preserve"> 00（北</w:t>
            </w:r>
            <w:bookmarkStart w:id="75" w:name="_GoBack"/>
            <w:bookmarkEnd w:id="75"/>
            <w:r>
              <w:rPr>
                <w:rFonts w:hint="eastAsia" w:ascii="宋体" w:hAnsi="宋体"/>
                <w:szCs w:val="21"/>
              </w:rPr>
              <w:t>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2</w:t>
            </w: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lang w:val="en-US" w:eastAsia="zh-CN"/>
              </w:rPr>
              <w:t>28</w:t>
            </w:r>
            <w:r>
              <w:rPr>
                <w:rFonts w:ascii="宋体" w:hAnsi="宋体"/>
                <w:szCs w:val="21"/>
              </w:rPr>
              <w:t xml:space="preserve"> </w:t>
            </w:r>
            <w:r>
              <w:rPr>
                <w:rFonts w:hint="eastAsia" w:ascii="宋体" w:hAnsi="宋体"/>
                <w:szCs w:val="21"/>
              </w:rPr>
              <w:t>1</w:t>
            </w:r>
            <w:r>
              <w:rPr>
                <w:rFonts w:hint="eastAsia" w:ascii="宋体" w:hAnsi="宋体"/>
                <w:szCs w:val="21"/>
                <w:lang w:val="en-US" w:eastAsia="zh-CN"/>
              </w:rPr>
              <w:t>7</w:t>
            </w:r>
            <w:r>
              <w:rPr>
                <w:rFonts w:ascii="宋体" w:hAnsi="宋体"/>
                <w:szCs w:val="21"/>
              </w:rPr>
              <w:t>:</w:t>
            </w:r>
            <w:r>
              <w:rPr>
                <w:rFonts w:hint="eastAsia" w:ascii="宋体" w:hAnsi="宋体"/>
                <w:szCs w:val="21"/>
              </w:rPr>
              <w:t xml:space="preserve"> 00（北京时间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w:t>
            </w:r>
            <w:r>
              <w:rPr>
                <w:rFonts w:ascii="宋体" w:hAnsi="宋体"/>
                <w:szCs w:val="21"/>
              </w:rPr>
              <w:t>MS Word</w:t>
            </w:r>
            <w:r>
              <w:rPr>
                <w:rFonts w:hint="eastAsia" w:ascii="宋体" w:hAnsi="宋体"/>
                <w:szCs w:val="21"/>
              </w:rPr>
              <w:t>版</w:t>
            </w:r>
            <w:r>
              <w:rPr>
                <w:rFonts w:ascii="宋体" w:hAnsi="宋体"/>
                <w:szCs w:val="21"/>
              </w:rPr>
              <w:t>文件</w:t>
            </w:r>
            <w:r>
              <w:rPr>
                <w:rFonts w:hint="eastAsia" w:ascii="宋体" w:hAnsi="宋体"/>
                <w:szCs w:val="21"/>
              </w:rPr>
              <w:t>加密形式发送至招标人邮箱并致电确认，</w:t>
            </w:r>
            <w:bookmarkStart w:id="2" w:name="_Toc478392822"/>
            <w:bookmarkStart w:id="3" w:name="_Toc478393187"/>
            <w:bookmarkStart w:id="4" w:name="_Toc478110532"/>
            <w:r>
              <w:rPr>
                <w:rFonts w:hint="eastAsia" w:ascii="宋体" w:hAnsi="宋体"/>
              </w:rPr>
              <w:t>注意事项：</w:t>
            </w:r>
          </w:p>
          <w:p>
            <w:pPr>
              <w:pStyle w:val="18"/>
              <w:numPr>
                <w:ilvl w:val="0"/>
                <w:numId w:val="3"/>
              </w:numPr>
              <w:ind w:left="541" w:hanging="541" w:firstLineChars="0"/>
              <w:rPr>
                <w:rFonts w:ascii="宋体" w:hAnsi="宋体" w:eastAsia="宋体"/>
                <w:szCs w:val="21"/>
              </w:rPr>
            </w:pPr>
            <w:bookmarkStart w:id="5" w:name="_Hlk60498011"/>
            <w:r>
              <w:rPr>
                <w:rFonts w:hint="eastAsia" w:ascii="宋体" w:hAnsi="宋体" w:eastAsia="宋体"/>
                <w:szCs w:val="21"/>
              </w:rPr>
              <w:t>为便于开标时的解密操作，响应文件（</w:t>
            </w:r>
            <w:r>
              <w:rPr>
                <w:rFonts w:ascii="宋体" w:hAnsi="宋体" w:eastAsia="宋体"/>
                <w:szCs w:val="21"/>
              </w:rPr>
              <w:t>PDF</w:t>
            </w:r>
            <w:r>
              <w:rPr>
                <w:rFonts w:hint="eastAsia" w:ascii="宋体" w:hAnsi="宋体" w:eastAsia="宋体"/>
                <w:szCs w:val="21"/>
              </w:rPr>
              <w:t>版及Word版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szCs w:val="21"/>
              </w:rPr>
              <w:t>建议采用</w:t>
            </w:r>
            <w:r>
              <w:rPr>
                <w:rFonts w:hint="eastAsia" w:ascii="宋体" w:hAnsi="宋体" w:eastAsia="宋体"/>
                <w:szCs w:val="21"/>
              </w:rPr>
              <w:t>winRAR或winzip等常用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18"/>
              <w:numPr>
                <w:ilvl w:val="0"/>
                <w:numId w:val="3"/>
              </w:numPr>
              <w:ind w:left="541" w:hanging="541" w:firstLineChars="0"/>
              <w:rPr>
                <w:rFonts w:ascii="宋体" w:hAnsi="宋体" w:eastAsia="宋体"/>
                <w:szCs w:val="21"/>
              </w:rPr>
            </w:pPr>
            <w:r>
              <w:rPr>
                <w:rFonts w:hint="eastAsia" w:ascii="宋体" w:hAnsi="宋体" w:eastAsia="宋体"/>
                <w:szCs w:val="21"/>
              </w:rPr>
              <w:t>投标单位授权代表须熟记文件密码，并在开标时按照招标人指令</w:t>
            </w:r>
            <w:r>
              <w:rPr>
                <w:rFonts w:ascii="宋体" w:hAnsi="宋体" w:eastAsia="宋体"/>
                <w:szCs w:val="21"/>
              </w:rPr>
              <w:t>发送密码至</w:t>
            </w:r>
            <w:r>
              <w:rPr>
                <w:rFonts w:hint="eastAsia" w:ascii="宋体" w:hAnsi="宋体" w:eastAsia="宋体"/>
                <w:szCs w:val="21"/>
              </w:rPr>
              <w:t>采购联系人邮箱（为确保开评标工作的保密性并兼顾效率，密码早发、晚发的，均可能导致废标的不利后果）。</w:t>
            </w:r>
          </w:p>
          <w:p>
            <w:pPr>
              <w:pStyle w:val="18"/>
              <w:numPr>
                <w:ilvl w:val="0"/>
                <w:numId w:val="3"/>
              </w:numPr>
              <w:ind w:left="541" w:hanging="541"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18"/>
              <w:numPr>
                <w:ilvl w:val="0"/>
                <w:numId w:val="3"/>
              </w:numPr>
              <w:ind w:left="541" w:hanging="541"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版）文件为准，W</w:t>
            </w:r>
            <w:r>
              <w:rPr>
                <w:rFonts w:ascii="宋体" w:hAnsi="宋体" w:eastAsia="宋体"/>
                <w:szCs w:val="21"/>
              </w:rPr>
              <w:t>ord</w:t>
            </w:r>
            <w:r>
              <w:rPr>
                <w:rFonts w:hint="eastAsia" w:ascii="宋体" w:hAnsi="宋体" w:eastAsia="宋体"/>
                <w:szCs w:val="21"/>
              </w:rPr>
              <w:t>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rPr>
              <w:t>2</w:t>
            </w: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lang w:val="en-US" w:eastAsia="zh-CN"/>
              </w:rPr>
              <w:t>29</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3</w:t>
            </w:r>
            <w:r>
              <w:rPr>
                <w:rFonts w:ascii="宋体" w:hAnsi="宋体"/>
                <w:szCs w:val="21"/>
              </w:rPr>
              <w:t>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深圳会展中心指定视频会议室，届时请各投标人按采购公告要求准时提交响应文件并参加在线开标。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kern w:val="0"/>
                <w:szCs w:val="21"/>
              </w:rPr>
            </w:pPr>
            <w:r>
              <w:rPr>
                <w:rFonts w:hint="eastAsia" w:ascii="宋体" w:hAnsi="宋体" w:cs="Segoe UI Symbol"/>
                <w:kern w:val="0"/>
                <w:szCs w:val="21"/>
              </w:rPr>
              <w:sym w:font="Wingdings 2" w:char="0052"/>
            </w:r>
            <w:r>
              <w:rPr>
                <w:rFonts w:hint="eastAsia" w:ascii="宋体" w:hAnsi="宋体"/>
                <w:kern w:val="0"/>
                <w:szCs w:val="21"/>
              </w:rPr>
              <w:t>不接受</w:t>
            </w:r>
          </w:p>
          <w:p>
            <w:pPr>
              <w:autoSpaceDE w:val="0"/>
              <w:autoSpaceDN w:val="0"/>
              <w:adjustRightInd w:val="0"/>
              <w:snapToGrid w:val="0"/>
              <w:rPr>
                <w:rFonts w:ascii="宋体" w:hAnsi="宋体"/>
                <w:kern w:val="0"/>
                <w:szCs w:val="21"/>
              </w:rPr>
            </w:pPr>
            <w:r>
              <w:rPr>
                <w:rFonts w:hint="eastAsia" w:ascii="宋体" w:hAnsi="宋体"/>
                <w:kern w:val="0"/>
                <w:szCs w:val="21"/>
              </w:rPr>
              <w:t>□接受，应满足下列要求：</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踏勘</w:t>
            </w:r>
            <w:r>
              <w:rPr>
                <w:rFonts w:hint="eastAsia" w:ascii="宋体" w:hAnsi="宋体"/>
                <w:szCs w:val="21"/>
                <w:shd w:val="clear" w:color="auto" w:fill="FFFFFF"/>
              </w:rPr>
              <w:t>现场</w:t>
            </w:r>
          </w:p>
        </w:tc>
        <w:tc>
          <w:tcPr>
            <w:tcW w:w="7029" w:type="dxa"/>
            <w:vAlign w:val="center"/>
          </w:tcPr>
          <w:p>
            <w:pPr>
              <w:numPr>
                <w:ilvl w:val="0"/>
                <w:numId w:val="4"/>
              </w:numPr>
              <w:tabs>
                <w:tab w:val="left" w:pos="281"/>
                <w:tab w:val="left" w:pos="541"/>
              </w:tabs>
              <w:snapToGrid w:val="0"/>
              <w:spacing w:afterLines="50"/>
              <w:rPr>
                <w:rFonts w:ascii="宋体" w:hAnsi="宋体"/>
                <w:kern w:val="0"/>
                <w:szCs w:val="21"/>
                <w:shd w:val="clear" w:color="auto" w:fill="FFFFFF"/>
              </w:rPr>
            </w:pPr>
            <w:r>
              <w:rPr>
                <w:rFonts w:hint="eastAsia" w:ascii="宋体" w:hAnsi="宋体" w:cs="Segoe UI Symbol"/>
                <w:kern w:val="0"/>
                <w:szCs w:val="21"/>
              </w:rPr>
              <w:sym w:font="Wingdings 2" w:char="0052"/>
            </w:r>
            <w:r>
              <w:rPr>
                <w:rFonts w:hint="eastAsia" w:ascii="宋体" w:hAnsi="宋体"/>
                <w:kern w:val="0"/>
                <w:szCs w:val="21"/>
                <w:shd w:val="clear" w:color="auto" w:fill="FFFFFF"/>
              </w:rPr>
              <w:t>不组织。可在</w:t>
            </w:r>
            <w:r>
              <w:rPr>
                <w:rFonts w:hint="eastAsia" w:ascii="宋体" w:hAnsi="宋体"/>
                <w:kern w:val="0"/>
                <w:szCs w:val="21"/>
                <w:u w:val="single"/>
                <w:shd w:val="clear" w:color="auto" w:fill="FFFFFF"/>
              </w:rPr>
              <w:t>公开招标开始后</w:t>
            </w:r>
            <w:r>
              <w:rPr>
                <w:rFonts w:hint="eastAsia" w:ascii="宋体" w:hAnsi="宋体"/>
                <w:kern w:val="0"/>
                <w:szCs w:val="21"/>
                <w:shd w:val="clear" w:color="auto" w:fill="FFFFFF"/>
              </w:rPr>
              <w:t>至</w:t>
            </w:r>
            <w:r>
              <w:rPr>
                <w:rFonts w:hint="eastAsia" w:ascii="宋体" w:hAnsi="宋体"/>
                <w:kern w:val="0"/>
                <w:szCs w:val="21"/>
                <w:u w:val="single"/>
                <w:shd w:val="clear" w:color="auto" w:fill="FFFFFF"/>
              </w:rPr>
              <w:t>公开招标结束前</w:t>
            </w:r>
            <w:r>
              <w:rPr>
                <w:rFonts w:hint="eastAsia" w:ascii="宋体" w:hAnsi="宋体"/>
                <w:kern w:val="0"/>
                <w:szCs w:val="21"/>
                <w:shd w:val="clear" w:color="auto" w:fill="FFFFFF"/>
              </w:rPr>
              <w:t>自行踏勘。</w:t>
            </w:r>
          </w:p>
          <w:p>
            <w:pPr>
              <w:numPr>
                <w:ilvl w:val="0"/>
                <w:numId w:val="4"/>
              </w:numPr>
              <w:tabs>
                <w:tab w:val="left" w:pos="281"/>
                <w:tab w:val="left" w:pos="541"/>
              </w:tabs>
              <w:snapToGrid w:val="0"/>
              <w:spacing w:afterLines="50"/>
              <w:rPr>
                <w:rFonts w:ascii="宋体" w:hAnsi="宋体"/>
                <w:kern w:val="0"/>
                <w:szCs w:val="21"/>
                <w:shd w:val="clear" w:color="auto" w:fill="FFFFFF"/>
              </w:rPr>
            </w:pPr>
            <w:r>
              <w:rPr>
                <w:rFonts w:hint="eastAsia" w:ascii="宋体" w:hAnsi="宋体" w:cs="Segoe UI Symbol"/>
                <w:kern w:val="0"/>
                <w:szCs w:val="21"/>
              </w:rPr>
              <w:t>□</w:t>
            </w:r>
            <w:r>
              <w:rPr>
                <w:rFonts w:hint="eastAsia" w:ascii="宋体" w:hAnsi="宋体"/>
                <w:kern w:val="0"/>
                <w:szCs w:val="21"/>
                <w:shd w:val="clear" w:color="auto" w:fill="FFFFFF"/>
              </w:rPr>
              <w:t>组织，踏勘要求：</w:t>
            </w:r>
          </w:p>
          <w:p>
            <w:pPr>
              <w:pStyle w:val="18"/>
              <w:numPr>
                <w:ilvl w:val="0"/>
                <w:numId w:val="5"/>
              </w:numPr>
              <w:tabs>
                <w:tab w:val="left" w:pos="541"/>
              </w:tabs>
              <w:snapToGrid w:val="0"/>
              <w:ind w:left="805" w:hanging="227" w:firstLineChars="0"/>
              <w:rPr>
                <w:rFonts w:ascii="宋体" w:hAnsi="宋体" w:eastAsia="宋体"/>
                <w:kern w:val="0"/>
                <w:sz w:val="20"/>
                <w:szCs w:val="21"/>
              </w:rPr>
            </w:pPr>
            <w:r>
              <w:rPr>
                <w:rFonts w:hint="eastAsia" w:ascii="宋体" w:hAnsi="宋体" w:eastAsia="宋体"/>
                <w:szCs w:val="21"/>
              </w:rPr>
              <w:t>投标人是否必须参加：</w:t>
            </w:r>
          </w:p>
          <w:p>
            <w:pPr>
              <w:pStyle w:val="18"/>
              <w:tabs>
                <w:tab w:val="left" w:pos="541"/>
              </w:tabs>
              <w:snapToGrid w:val="0"/>
              <w:ind w:left="805" w:firstLine="8" w:firstLineChars="4"/>
              <w:rPr>
                <w:rFonts w:ascii="宋体" w:hAnsi="宋体" w:eastAsia="宋体"/>
                <w:szCs w:val="21"/>
              </w:rPr>
            </w:pPr>
            <w:r>
              <w:rPr>
                <w:rFonts w:hint="eastAsia" w:ascii="宋体" w:hAnsi="宋体" w:cs="Segoe UI Symbol"/>
                <w:kern w:val="0"/>
                <w:szCs w:val="21"/>
              </w:rPr>
              <w:t>□</w:t>
            </w:r>
            <w:r>
              <w:rPr>
                <w:rFonts w:hint="eastAsia" w:ascii="宋体" w:hAnsi="宋体" w:eastAsia="宋体"/>
                <w:szCs w:val="21"/>
              </w:rPr>
              <w:t>是（若不参加，将因投标文件不完整导致失去本项目投标资格）</w:t>
            </w:r>
          </w:p>
          <w:p>
            <w:pPr>
              <w:pStyle w:val="18"/>
              <w:tabs>
                <w:tab w:val="left" w:pos="541"/>
              </w:tabs>
              <w:snapToGrid w:val="0"/>
              <w:spacing w:afterLines="50"/>
              <w:ind w:left="805" w:firstLine="8" w:firstLineChars="4"/>
              <w:rPr>
                <w:rFonts w:ascii="宋体" w:hAnsi="宋体" w:eastAsia="宋体"/>
                <w:szCs w:val="21"/>
              </w:rPr>
            </w:pPr>
            <w:r>
              <w:rPr>
                <w:rFonts w:hint="eastAsia" w:ascii="宋体" w:hAnsi="宋体" w:cs="Segoe UI Symbol"/>
                <w:kern w:val="0"/>
                <w:szCs w:val="21"/>
              </w:rPr>
              <w:t>□</w:t>
            </w:r>
            <w:r>
              <w:rPr>
                <w:rFonts w:hint="eastAsia" w:ascii="宋体" w:hAnsi="宋体" w:eastAsia="宋体"/>
                <w:szCs w:val="21"/>
              </w:rPr>
              <w:t>否（可选择不参加，不影响投标资格但可能会产生不利后果）</w:t>
            </w:r>
          </w:p>
          <w:p>
            <w:pPr>
              <w:pStyle w:val="18"/>
              <w:numPr>
                <w:ilvl w:val="0"/>
                <w:numId w:val="6"/>
              </w:numPr>
              <w:tabs>
                <w:tab w:val="left" w:pos="541"/>
              </w:tabs>
              <w:snapToGrid w:val="0"/>
              <w:spacing w:afterLines="50"/>
              <w:ind w:left="805" w:hanging="224" w:firstLineChars="0"/>
              <w:rPr>
                <w:rFonts w:ascii="宋体" w:hAnsi="宋体" w:eastAsia="宋体"/>
                <w:kern w:val="0"/>
                <w:szCs w:val="21"/>
              </w:rPr>
            </w:pPr>
            <w:r>
              <w:rPr>
                <w:rFonts w:hint="eastAsia" w:ascii="宋体" w:hAnsi="宋体" w:eastAsia="宋体"/>
                <w:kern w:val="0"/>
                <w:szCs w:val="21"/>
              </w:rPr>
              <w:t>招标人定于202</w:t>
            </w:r>
            <w:r>
              <w:rPr>
                <w:rFonts w:hint="eastAsia" w:ascii="宋体" w:hAnsi="宋体" w:eastAsia="宋体" w:cs="Times New Roman"/>
                <w:szCs w:val="21"/>
              </w:rPr>
              <w:t>×</w:t>
            </w:r>
            <w:r>
              <w:rPr>
                <w:rFonts w:hint="eastAsia" w:ascii="宋体" w:hAnsi="宋体" w:eastAsia="宋体"/>
                <w:kern w:val="0"/>
                <w:szCs w:val="21"/>
              </w:rPr>
              <w:t>-</w:t>
            </w:r>
            <w:r>
              <w:rPr>
                <w:rFonts w:hint="eastAsia" w:ascii="宋体" w:hAnsi="宋体" w:eastAsia="宋体" w:cs="Times New Roman"/>
                <w:szCs w:val="21"/>
              </w:rPr>
              <w:t>××</w:t>
            </w:r>
            <w:r>
              <w:rPr>
                <w:rFonts w:ascii="宋体" w:hAnsi="宋体" w:eastAsia="宋体"/>
                <w:kern w:val="0"/>
                <w:szCs w:val="21"/>
              </w:rPr>
              <w:t>-</w:t>
            </w:r>
            <w:r>
              <w:rPr>
                <w:rFonts w:hint="eastAsia" w:ascii="宋体" w:hAnsi="宋体" w:eastAsia="宋体" w:cs="Times New Roman"/>
                <w:szCs w:val="21"/>
              </w:rPr>
              <w:t>××</w:t>
            </w:r>
            <w:r>
              <w:rPr>
                <w:rFonts w:ascii="宋体" w:hAnsi="宋体" w:eastAsia="宋体"/>
                <w:kern w:val="0"/>
                <w:szCs w:val="21"/>
              </w:rPr>
              <w:t xml:space="preserve"> </w:t>
            </w:r>
            <w:r>
              <w:rPr>
                <w:rFonts w:hint="eastAsia" w:ascii="宋体" w:hAnsi="宋体" w:eastAsia="宋体" w:cs="Times New Roman"/>
                <w:szCs w:val="21"/>
              </w:rPr>
              <w:t>××</w:t>
            </w:r>
            <w:r>
              <w:rPr>
                <w:rFonts w:hint="eastAsia" w:ascii="宋体" w:hAnsi="宋体" w:eastAsia="宋体"/>
                <w:kern w:val="0"/>
                <w:szCs w:val="21"/>
              </w:rPr>
              <w:t>:</w:t>
            </w:r>
            <w:r>
              <w:rPr>
                <w:rFonts w:hint="eastAsia" w:ascii="宋体" w:hAnsi="宋体" w:eastAsia="宋体" w:cs="Times New Roman"/>
                <w:szCs w:val="21"/>
              </w:rPr>
              <w:t xml:space="preserve"> ××</w:t>
            </w:r>
            <w:r>
              <w:rPr>
                <w:rFonts w:hint="eastAsia" w:ascii="宋体" w:hAnsi="宋体" w:eastAsia="宋体"/>
                <w:kern w:val="0"/>
                <w:szCs w:val="21"/>
              </w:rPr>
              <w:t>邀请投标人人员察看现场并讲解项目需求；投标人应在谈判前指派符合疫情防控要求的人员参加由招标人组织的现场踏勘工作。</w:t>
            </w:r>
          </w:p>
          <w:p>
            <w:pPr>
              <w:pStyle w:val="18"/>
              <w:numPr>
                <w:ilvl w:val="0"/>
                <w:numId w:val="6"/>
              </w:numPr>
              <w:tabs>
                <w:tab w:val="left" w:pos="541"/>
              </w:tabs>
              <w:snapToGrid w:val="0"/>
              <w:spacing w:afterLines="5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w:t>
            </w:r>
            <w:r>
              <w:rPr>
                <w:rFonts w:ascii="宋体" w:hAnsi="宋体" w:eastAsia="宋体"/>
                <w:kern w:val="0"/>
                <w:szCs w:val="21"/>
              </w:rPr>
              <w:t>附</w:t>
            </w:r>
            <w:r>
              <w:rPr>
                <w:rFonts w:hint="eastAsia" w:ascii="宋体" w:hAnsi="宋体" w:eastAsia="宋体"/>
                <w:kern w:val="0"/>
                <w:szCs w:val="21"/>
              </w:rPr>
              <w:t>于投标文件中。</w:t>
            </w:r>
          </w:p>
          <w:p>
            <w:pPr>
              <w:pStyle w:val="18"/>
              <w:numPr>
                <w:ilvl w:val="0"/>
                <w:numId w:val="6"/>
              </w:numPr>
              <w:tabs>
                <w:tab w:val="left" w:pos="541"/>
              </w:tabs>
              <w:snapToGrid w:val="0"/>
              <w:spacing w:afterLines="5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已报名但未参加现场踏勘的招标人视为已理解并认同本次踏勘所涉及的全部内容，且对本次踏勘的组织实施过程无异议。招标人自行承担因不参加现场踏勘所可能造成的一切后果（包括</w:t>
            </w:r>
            <w:r>
              <w:rPr>
                <w:rFonts w:ascii="宋体" w:hAnsi="宋体" w:eastAsia="宋体"/>
                <w:kern w:val="0"/>
                <w:szCs w:val="21"/>
              </w:rPr>
              <w:t>因此失去投标资格</w:t>
            </w:r>
            <w:r>
              <w:rPr>
                <w:rFonts w:hint="eastAsia" w:ascii="宋体" w:hAnsi="宋体" w:eastAsia="宋体"/>
                <w:kern w:val="0"/>
                <w:szCs w:val="21"/>
              </w:rPr>
              <w:t>的情形</w:t>
            </w:r>
            <w:r>
              <w:rPr>
                <w:rFonts w:ascii="宋体" w:hAnsi="宋体" w:eastAsia="宋体"/>
                <w:kern w:val="0"/>
                <w:szCs w:val="21"/>
              </w:rPr>
              <w:t>）</w:t>
            </w:r>
            <w:r>
              <w:rPr>
                <w:rFonts w:hint="eastAsia" w:ascii="宋体" w:hAnsi="宋体" w:eastAsia="宋体"/>
                <w:kern w:val="0"/>
                <w:szCs w:val="21"/>
              </w:rPr>
              <w:t>。</w:t>
            </w:r>
          </w:p>
          <w:p>
            <w:pPr>
              <w:pStyle w:val="18"/>
              <w:numPr>
                <w:ilvl w:val="0"/>
                <w:numId w:val="6"/>
              </w:numPr>
              <w:tabs>
                <w:tab w:val="left" w:pos="541"/>
              </w:tabs>
              <w:snapToGrid w:val="0"/>
              <w:spacing w:afterLines="50"/>
              <w:ind w:left="805" w:hanging="224" w:firstLineChars="0"/>
              <w:rPr>
                <w:rFonts w:ascii="宋体" w:hAnsi="宋体" w:eastAsia="宋体"/>
                <w:kern w:val="0"/>
                <w:szCs w:val="21"/>
              </w:rPr>
            </w:pPr>
            <w:r>
              <w:rPr>
                <w:rFonts w:hint="eastAsia" w:ascii="宋体" w:hAnsi="宋体" w:eastAsia="宋体"/>
                <w:kern w:val="0"/>
                <w:szCs w:val="21"/>
              </w:rPr>
              <w:t>鉴于疫情防控要求，投标人须至少提前一天与踏勘联系人预约，并按要求备案本单位指定踏勘人员信息。否则，将可能导致投标人不能进入涉深圳会展中心管控区域的踏勘现场</w:t>
            </w:r>
            <w:r>
              <w:rPr>
                <w:rFonts w:ascii="宋体" w:hAnsi="宋体" w:eastAsia="宋体"/>
                <w:kern w:val="0"/>
                <w:szCs w:val="21"/>
              </w:rPr>
              <w:t>的</w:t>
            </w:r>
            <w:r>
              <w:rPr>
                <w:rFonts w:hint="eastAsia" w:ascii="宋体" w:hAnsi="宋体" w:eastAsia="宋体"/>
                <w:kern w:val="0"/>
                <w:szCs w:val="21"/>
              </w:rPr>
              <w:t>不利后果。投标人必须保证所预约备案的踏勘人员严格符合政府主管部门及招标人防疫要求，否则由此带来的一切问题均由参加单位负责。且招标人有权拒绝未预约备案人员参加本项目踏勘活动。</w:t>
            </w:r>
          </w:p>
          <w:p>
            <w:pPr>
              <w:pStyle w:val="18"/>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r>
              <w:rPr>
                <w:rFonts w:hint="eastAsia" w:ascii="宋体" w:hAnsi="宋体" w:eastAsia="宋体" w:cs="Times New Roman"/>
                <w:szCs w:val="21"/>
              </w:rPr>
              <w:t>×××</w:t>
            </w:r>
          </w:p>
          <w:p>
            <w:pPr>
              <w:pStyle w:val="18"/>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w:t>
            </w:r>
            <w:r>
              <w:rPr>
                <w:rFonts w:hint="eastAsia" w:ascii="宋体" w:hAnsi="宋体" w:eastAsia="宋体" w:cs="Times New Roman"/>
                <w:szCs w:val="21"/>
              </w:rPr>
              <w:t>××××</w:t>
            </w:r>
          </w:p>
          <w:p>
            <w:pPr>
              <w:pStyle w:val="18"/>
              <w:tabs>
                <w:tab w:val="left" w:pos="541"/>
              </w:tabs>
              <w:snapToGrid w:val="0"/>
              <w:ind w:left="805" w:firstLine="0" w:firstLineChars="0"/>
              <w:rPr>
                <w:rFonts w:ascii="宋体" w:hAnsi="宋体" w:eastAsia="宋体"/>
                <w:shd w:val="clear" w:color="auto" w:fill="FFFFFF"/>
              </w:rPr>
            </w:pPr>
            <w:r>
              <w:rPr>
                <w:rFonts w:hint="eastAsia" w:ascii="宋体" w:hAnsi="宋体" w:eastAsia="宋体"/>
                <w:kern w:val="0"/>
                <w:szCs w:val="21"/>
              </w:rPr>
              <w:t>集合地点：</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r>
              <w:rPr>
                <w:rFonts w:ascii="宋体" w:hAnsi="宋体" w:cs="Segoe UI Symbol"/>
                <w:kern w:val="0"/>
                <w:szCs w:val="21"/>
              </w:rPr>
              <w:t xml:space="preserve"> </w:t>
            </w:r>
          </w:p>
          <w:p>
            <w:pPr>
              <w:pStyle w:val="18"/>
              <w:numPr>
                <w:ilvl w:val="0"/>
                <w:numId w:val="7"/>
              </w:numPr>
              <w:autoSpaceDE w:val="0"/>
              <w:autoSpaceDN w:val="0"/>
              <w:adjustRightInd w:val="0"/>
              <w:snapToGrid w:val="0"/>
              <w:ind w:left="536" w:hanging="536" w:firstLineChars="0"/>
              <w:rPr>
                <w:rFonts w:ascii="宋体" w:hAnsi="宋体" w:eastAsia="宋体" w:cs="Segoe UI Symbol"/>
                <w:kern w:val="0"/>
                <w:szCs w:val="21"/>
              </w:rPr>
            </w:pPr>
            <w:r>
              <w:rPr>
                <w:rFonts w:hint="eastAsia" w:ascii="宋体" w:hAnsi="宋体" w:eastAsia="宋体" w:cs="Segoe UI Symbol"/>
                <w:kern w:val="0"/>
                <w:szCs w:val="21"/>
              </w:rPr>
              <w:sym w:font="Wingdings 2" w:char="0052"/>
            </w:r>
            <w:r>
              <w:rPr>
                <w:rFonts w:hint="eastAsia" w:ascii="宋体" w:hAnsi="宋体" w:eastAsia="宋体" w:cs="Segoe UI Symbol"/>
                <w:kern w:val="0"/>
                <w:szCs w:val="21"/>
              </w:rPr>
              <w:t>不要求</w:t>
            </w:r>
          </w:p>
          <w:p>
            <w:pPr>
              <w:pStyle w:val="18"/>
              <w:numPr>
                <w:ilvl w:val="0"/>
                <w:numId w:val="7"/>
              </w:numPr>
              <w:autoSpaceDE w:val="0"/>
              <w:autoSpaceDN w:val="0"/>
              <w:adjustRightInd w:val="0"/>
              <w:snapToGrid w:val="0"/>
              <w:ind w:left="536" w:hanging="536" w:firstLineChars="0"/>
              <w:rPr>
                <w:rFonts w:ascii="宋体" w:hAnsi="宋体" w:eastAsia="宋体" w:cs="Segoe UI Symbol"/>
                <w:kern w:val="0"/>
                <w:szCs w:val="21"/>
              </w:rPr>
            </w:pPr>
            <w:r>
              <w:rPr>
                <w:rFonts w:hint="eastAsia" w:ascii="宋体" w:hAnsi="宋体" w:eastAsia="宋体" w:cs="Segoe UI Symbol"/>
                <w:kern w:val="0"/>
                <w:szCs w:val="21"/>
              </w:rPr>
              <w:t>□要求</w:t>
            </w:r>
          </w:p>
          <w:p>
            <w:pPr>
              <w:pStyle w:val="18"/>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履约保证金金额：人民币</w:t>
            </w:r>
            <w:r>
              <w:rPr>
                <w:rFonts w:hint="eastAsia" w:ascii="宋体" w:hAnsi="宋体" w:eastAsia="宋体" w:cs="Segoe UI Symbol"/>
                <w:kern w:val="0"/>
                <w:szCs w:val="21"/>
                <w:u w:val="single"/>
              </w:rPr>
              <w:t xml:space="preserve"> </w:t>
            </w:r>
            <w:r>
              <w:rPr>
                <w:rFonts w:ascii="宋体" w:hAnsi="宋体" w:eastAsia="宋体" w:cs="Segoe UI Symbol"/>
                <w:kern w:val="0"/>
                <w:szCs w:val="21"/>
                <w:u w:val="single"/>
              </w:rPr>
              <w:t>/</w:t>
            </w:r>
            <w:r>
              <w:rPr>
                <w:rFonts w:hint="eastAsia" w:ascii="宋体" w:hAnsi="宋体" w:eastAsia="宋体" w:cs="Segoe UI Symbol"/>
                <w:kern w:val="0"/>
                <w:szCs w:val="21"/>
                <w:u w:val="single"/>
              </w:rPr>
              <w:t xml:space="preserve"> </w:t>
            </w:r>
            <w:r>
              <w:rPr>
                <w:rFonts w:hint="eastAsia" w:ascii="宋体" w:hAnsi="宋体" w:eastAsia="宋体" w:cs="Segoe UI Symbol"/>
                <w:kern w:val="0"/>
                <w:szCs w:val="21"/>
              </w:rPr>
              <w:t>元</w:t>
            </w:r>
          </w:p>
          <w:p>
            <w:pPr>
              <w:pStyle w:val="18"/>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□银行转账</w:t>
            </w:r>
            <w:r>
              <w:rPr>
                <w:rFonts w:ascii="宋体" w:hAnsi="宋体" w:eastAsia="宋体" w:cs="Segoe UI Symbol"/>
                <w:kern w:val="0"/>
                <w:szCs w:val="21"/>
              </w:rPr>
              <w:t xml:space="preserve">  </w:t>
            </w:r>
            <w:r>
              <w:rPr>
                <w:rFonts w:hint="eastAsia" w:ascii="宋体" w:hAnsi="宋体" w:eastAsia="宋体" w:cs="Segoe UI Symbol"/>
                <w:kern w:val="0"/>
                <w:szCs w:val="21"/>
              </w:rPr>
              <w:t>□现金</w:t>
            </w:r>
          </w:p>
          <w:p>
            <w:pPr>
              <w:pStyle w:val="18"/>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投标人保证金</w:t>
            </w:r>
            <w:r>
              <w:rPr>
                <w:rFonts w:ascii="宋体" w:hAnsi="宋体" w:eastAsia="宋体" w:cs="Segoe UI Symbol"/>
                <w:kern w:val="0"/>
                <w:szCs w:val="21"/>
              </w:rPr>
              <w:t>收款</w:t>
            </w:r>
            <w:r>
              <w:rPr>
                <w:rFonts w:hint="eastAsia" w:ascii="宋体" w:hAnsi="宋体" w:eastAsia="宋体" w:cs="Segoe UI Symbol"/>
                <w:kern w:val="0"/>
                <w:szCs w:val="21"/>
              </w:rPr>
              <w:t>银行账户信息（选用“银行转账</w:t>
            </w:r>
            <w:r>
              <w:rPr>
                <w:rFonts w:ascii="宋体" w:hAnsi="宋体" w:eastAsia="宋体" w:cs="Segoe UI Symbol"/>
                <w:kern w:val="0"/>
                <w:szCs w:val="21"/>
              </w:rPr>
              <w:t>”</w:t>
            </w:r>
            <w:r>
              <w:rPr>
                <w:rFonts w:hint="eastAsia" w:ascii="宋体" w:hAnsi="宋体" w:eastAsia="宋体" w:cs="Segoe UI Symbol"/>
                <w:kern w:val="0"/>
                <w:szCs w:val="21"/>
              </w:rPr>
              <w:t>方式须填</w:t>
            </w:r>
            <w:r>
              <w:rPr>
                <w:rFonts w:ascii="宋体" w:hAnsi="宋体" w:eastAsia="宋体" w:cs="Segoe UI Symbol"/>
                <w:kern w:val="0"/>
                <w:szCs w:val="21"/>
              </w:rPr>
              <w:t>）</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收款单位：</w:t>
            </w:r>
            <w:r>
              <w:rPr>
                <w:rFonts w:hint="eastAsia" w:ascii="宋体" w:hAnsi="宋体" w:cs="Segoe UI Symbol"/>
                <w:kern w:val="0"/>
                <w:szCs w:val="21"/>
                <w:u w:val="single"/>
              </w:rPr>
              <w:t>深圳深圳会展中心管理有限责任公司</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autoSpaceDE w:val="0"/>
              <w:autoSpaceDN w:val="0"/>
              <w:adjustRightInd w:val="0"/>
              <w:snapToGrid w:val="0"/>
              <w:ind w:left="819" w:leftChars="390" w:firstLine="1"/>
              <w:jc w:val="left"/>
              <w:rPr>
                <w:rFonts w:ascii="宋体" w:hAnsi="宋体" w:cs="Segoe UI Symbol"/>
                <w:kern w:val="0"/>
                <w:szCs w:val="21"/>
                <w:u w:val="single"/>
              </w:rPr>
            </w:pPr>
            <w:r>
              <w:rPr>
                <w:rFonts w:hint="eastAsia" w:ascii="宋体" w:hAnsi="宋体" w:cs="Segoe UI Symbol"/>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pStyle w:val="18"/>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szCs w:val="21"/>
              </w:rPr>
            </w:pPr>
            <w:r>
              <w:rPr>
                <w:rFonts w:ascii="Segoe UI Symbol" w:hAnsi="Segoe UI Symbol" w:cs="Segoe UI Symbol"/>
                <w:kern w:val="0"/>
                <w:szCs w:val="21"/>
              </w:rPr>
              <w:t>☑</w:t>
            </w:r>
            <w:r>
              <w:rPr>
                <w:rFonts w:hint="eastAsia" w:ascii="宋体" w:hAnsi="宋体"/>
                <w:szCs w:val="21"/>
              </w:rPr>
              <w:t>不要求递交投标样品</w:t>
            </w:r>
          </w:p>
          <w:p>
            <w:pPr>
              <w:autoSpaceDE w:val="0"/>
              <w:autoSpaceDN w:val="0"/>
              <w:adjustRightInd w:val="0"/>
              <w:snapToGrid w:val="0"/>
              <w:jc w:val="left"/>
              <w:rPr>
                <w:rFonts w:ascii="宋体" w:hAnsi="宋体"/>
                <w:szCs w:val="21"/>
                <w:u w:val="single"/>
              </w:rPr>
            </w:pPr>
            <w:r>
              <w:rPr>
                <w:rFonts w:hint="eastAsia" w:ascii="宋体" w:hAnsi="宋体"/>
                <w:szCs w:val="21"/>
              </w:rPr>
              <w:t>□递交投标样品，具体要求：</w:t>
            </w:r>
            <w:r>
              <w:rPr>
                <w:rFonts w:hint="eastAsia" w:ascii="宋体" w:hAnsi="宋体"/>
                <w:szCs w:val="21"/>
                <w:u w:val="single"/>
              </w:rPr>
              <w:t xml:space="preserve"> </w:t>
            </w:r>
            <w:r>
              <w:rPr>
                <w:rFonts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kern w:val="0"/>
                <w:szCs w:val="21"/>
              </w:rPr>
            </w:pPr>
            <w:r>
              <w:rPr>
                <w:rFonts w:ascii="Segoe UI Symbol" w:hAnsi="Segoe UI Symbol" w:cs="Segoe UI Symbol"/>
                <w:szCs w:val="21"/>
              </w:rPr>
              <w:t>☑</w:t>
            </w:r>
            <w:r>
              <w:rPr>
                <w:rFonts w:hint="eastAsia" w:ascii="宋体" w:hAnsi="宋体" w:cs="Segoe UI Symbol"/>
                <w:kern w:val="0"/>
                <w:szCs w:val="21"/>
              </w:rPr>
              <w:t>综合评分法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□最低价法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□其他：</w:t>
            </w:r>
            <w:r>
              <w:rPr>
                <w:rFonts w:hint="eastAsia" w:ascii="宋体" w:hAnsi="宋体" w:cs="Segoe UI Symbol"/>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szCs w:val="21"/>
              </w:rPr>
            </w:pPr>
            <w:r>
              <w:rPr>
                <w:rFonts w:ascii="Segoe UI Symbol" w:hAnsi="Segoe UI Symbol" w:cs="Segoe UI Symbol"/>
                <w:szCs w:val="21"/>
              </w:rPr>
              <w:t>☑</w:t>
            </w:r>
            <w:r>
              <w:rPr>
                <w:rFonts w:hint="eastAsia" w:ascii="宋体" w:hAnsi="宋体" w:cs="Segoe UI Symbol"/>
                <w:kern w:val="0"/>
                <w:szCs w:val="21"/>
              </w:rPr>
              <w:t>内部招标评标</w:t>
            </w:r>
            <w:r>
              <w:rPr>
                <w:rFonts w:ascii="宋体" w:hAnsi="宋体" w:cs="Segoe UI Symbol"/>
                <w:kern w:val="0"/>
                <w:szCs w:val="21"/>
              </w:rPr>
              <w:t>小组推荐的中标候选人数</w:t>
            </w:r>
            <w:r>
              <w:rPr>
                <w:rFonts w:hint="eastAsia" w:ascii="宋体" w:hAnsi="宋体" w:cs="Segoe UI Symbol"/>
                <w:kern w:val="0"/>
                <w:szCs w:val="21"/>
              </w:rPr>
              <w:t>：</w:t>
            </w:r>
            <w:r>
              <w:rPr>
                <w:rFonts w:hint="eastAsia" w:ascii="宋体" w:hAnsi="宋体" w:cs="Segoe UI Symbol"/>
                <w:kern w:val="0"/>
                <w:szCs w:val="21"/>
                <w:u w:val="single"/>
              </w:rPr>
              <w:t xml:space="preserve">  1  个</w:t>
            </w:r>
            <w:r>
              <w:rPr>
                <w:rFonts w:hint="eastAsia" w:ascii="宋体" w:hAnsi="宋体" w:cs="Segoe UI Symbol"/>
                <w:kern w:val="0"/>
                <w:szCs w:val="21"/>
              </w:rPr>
              <w:t>。</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w:t>
            </w:r>
            <w:r>
              <w:rPr>
                <w:rFonts w:hint="eastAsia" w:ascii="宋体" w:hAnsi="宋体" w:cs="宋体"/>
                <w:szCs w:val="21"/>
              </w:rPr>
              <w:t>适用于采用</w:t>
            </w:r>
            <w:r>
              <w:rPr>
                <w:rFonts w:hint="eastAsia" w:ascii="宋体" w:hAnsi="宋体" w:cs="宋体"/>
                <w:b/>
                <w:bCs/>
                <w:szCs w:val="21"/>
              </w:rPr>
              <w:t>综合评分法</w:t>
            </w:r>
            <w:r>
              <w:rPr>
                <w:rFonts w:hint="eastAsia" w:ascii="宋体" w:hAnsi="宋体" w:cs="宋体"/>
                <w:szCs w:val="21"/>
              </w:rPr>
              <w:t>、</w:t>
            </w:r>
            <w:r>
              <w:rPr>
                <w:rFonts w:hint="eastAsia" w:ascii="宋体" w:hAnsi="宋体" w:cs="宋体"/>
                <w:b/>
                <w:bCs/>
                <w:szCs w:val="21"/>
              </w:rPr>
              <w:t>最低价法</w:t>
            </w:r>
            <w:r>
              <w:rPr>
                <w:rFonts w:hint="eastAsia" w:ascii="宋体" w:hAnsi="宋体" w:cs="宋体"/>
                <w:bCs/>
                <w:szCs w:val="21"/>
              </w:rPr>
              <w:t>）</w:t>
            </w:r>
          </w:p>
        </w:tc>
      </w:tr>
    </w:tbl>
    <w:p>
      <w:pPr>
        <w:numPr>
          <w:ilvl w:val="0"/>
          <w:numId w:val="1"/>
        </w:numPr>
        <w:spacing w:line="560" w:lineRule="exact"/>
        <w:outlineLvl w:val="1"/>
        <w:rPr>
          <w:rFonts w:ascii="宋体" w:hAnsi="宋体"/>
          <w:b/>
          <w:szCs w:val="21"/>
        </w:rPr>
      </w:pPr>
      <w:bookmarkStart w:id="6" w:name="_Toc82685540"/>
      <w:bookmarkEnd w:id="6"/>
      <w:bookmarkStart w:id="7" w:name="_Toc82684589"/>
      <w:bookmarkEnd w:id="7"/>
      <w:bookmarkStart w:id="8" w:name="_Toc82685542"/>
      <w:bookmarkEnd w:id="8"/>
      <w:bookmarkStart w:id="9" w:name="_Toc82684705"/>
      <w:bookmarkEnd w:id="9"/>
      <w:bookmarkStart w:id="10" w:name="_Toc82685543"/>
      <w:bookmarkEnd w:id="10"/>
      <w:bookmarkStart w:id="11" w:name="_Toc82684590"/>
      <w:bookmarkEnd w:id="11"/>
      <w:bookmarkStart w:id="12" w:name="_Toc82684704"/>
      <w:bookmarkEnd w:id="12"/>
      <w:bookmarkStart w:id="13" w:name="_Toc82591925"/>
      <w:bookmarkEnd w:id="13"/>
      <w:bookmarkStart w:id="14" w:name="_Toc82591926"/>
      <w:bookmarkEnd w:id="14"/>
      <w:bookmarkStart w:id="15" w:name="_Toc82684706"/>
      <w:bookmarkEnd w:id="15"/>
      <w:bookmarkStart w:id="16" w:name="_Toc82684588"/>
      <w:bookmarkEnd w:id="16"/>
      <w:bookmarkStart w:id="17" w:name="_Toc82684703"/>
      <w:bookmarkEnd w:id="17"/>
      <w:bookmarkStart w:id="18" w:name="_Toc82591927"/>
      <w:bookmarkEnd w:id="18"/>
      <w:bookmarkStart w:id="19" w:name="_Toc82591928"/>
      <w:bookmarkEnd w:id="19"/>
      <w:bookmarkStart w:id="20" w:name="_Toc82684591"/>
      <w:bookmarkEnd w:id="20"/>
      <w:bookmarkStart w:id="21" w:name="_Toc82685541"/>
      <w:bookmarkEnd w:id="21"/>
      <w:bookmarkStart w:id="22" w:name="_Toc82783885"/>
      <w:r>
        <w:rPr>
          <w:rFonts w:hint="eastAsia" w:ascii="宋体" w:hAnsi="宋体"/>
          <w:b/>
          <w:szCs w:val="21"/>
        </w:rPr>
        <w:t>特别说明</w:t>
      </w:r>
      <w:bookmarkEnd w:id="22"/>
    </w:p>
    <w:p>
      <w:pPr>
        <w:pStyle w:val="18"/>
        <w:numPr>
          <w:ilvl w:val="0"/>
          <w:numId w:val="9"/>
        </w:numPr>
        <w:spacing w:line="360" w:lineRule="auto"/>
        <w:ind w:left="0" w:firstLine="420" w:firstLineChars="0"/>
        <w:rPr>
          <w:rFonts w:ascii="宋体" w:hAnsi="宋体" w:eastAsia="宋体" w:cs="宋体"/>
          <w:szCs w:val="21"/>
        </w:rPr>
      </w:pPr>
      <w:bookmarkStart w:id="23" w:name="_Toc478387747"/>
      <w:bookmarkStart w:id="24" w:name="_Toc45028463"/>
      <w:bookmarkStart w:id="25" w:name="_Toc517278751"/>
      <w:r>
        <w:rPr>
          <w:rFonts w:hint="eastAsia" w:ascii="宋体" w:hAnsi="宋体" w:eastAsia="宋体" w:cs="宋体"/>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pPr>
        <w:pStyle w:val="18"/>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本项目涉及的所有往来资料文件均需通过招标人报名回函上指定的电子邮箱发送和接收，否则可能导致文件不被接受的不利后果。</w:t>
      </w:r>
    </w:p>
    <w:p>
      <w:pPr>
        <w:pStyle w:val="18"/>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18"/>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18"/>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bookmarkEnd w:id="23"/>
    <w:bookmarkEnd w:id="24"/>
    <w:bookmarkEnd w:id="25"/>
    <w:p>
      <w:pPr>
        <w:pStyle w:val="18"/>
        <w:spacing w:line="360" w:lineRule="auto"/>
        <w:ind w:left="420" w:firstLine="0" w:firstLineChars="0"/>
        <w:rPr>
          <w:rFonts w:ascii="宋体" w:hAnsi="宋体" w:eastAsia="宋体" w:cs="宋体"/>
          <w:szCs w:val="21"/>
        </w:rPr>
      </w:pPr>
    </w:p>
    <w:p>
      <w:pPr>
        <w:numPr>
          <w:ilvl w:val="0"/>
          <w:numId w:val="1"/>
        </w:numPr>
        <w:spacing w:line="560" w:lineRule="exact"/>
        <w:outlineLvl w:val="1"/>
        <w:rPr>
          <w:rFonts w:ascii="宋体" w:hAnsi="宋体"/>
          <w:b/>
          <w:szCs w:val="21"/>
        </w:rPr>
      </w:pPr>
      <w:bookmarkStart w:id="26" w:name="_Toc82591986"/>
      <w:bookmarkEnd w:id="26"/>
      <w:bookmarkStart w:id="27" w:name="_Toc82685545"/>
      <w:bookmarkEnd w:id="27"/>
      <w:bookmarkStart w:id="28" w:name="_Toc82591987"/>
      <w:bookmarkEnd w:id="28"/>
      <w:bookmarkStart w:id="29" w:name="_Toc82591930"/>
      <w:bookmarkEnd w:id="29"/>
      <w:bookmarkStart w:id="30" w:name="_Toc82684708"/>
      <w:bookmarkEnd w:id="30"/>
      <w:bookmarkStart w:id="31" w:name="_Toc82591985"/>
      <w:bookmarkEnd w:id="31"/>
      <w:bookmarkStart w:id="32" w:name="_Toc82684593"/>
      <w:bookmarkEnd w:id="32"/>
      <w:bookmarkStart w:id="33" w:name="_Toc82591988"/>
      <w:bookmarkEnd w:id="33"/>
      <w:bookmarkStart w:id="34" w:name="_Toc82591989"/>
      <w:bookmarkEnd w:id="34"/>
      <w:bookmarkStart w:id="35" w:name="_Toc82783886"/>
      <w:r>
        <w:rPr>
          <w:rFonts w:hint="eastAsia" w:ascii="宋体" w:hAnsi="宋体"/>
          <w:b/>
          <w:szCs w:val="21"/>
        </w:rPr>
        <w:t>投标文件编制</w:t>
      </w:r>
      <w:bookmarkEnd w:id="35"/>
    </w:p>
    <w:tbl>
      <w:tblPr>
        <w:tblStyle w:val="12"/>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rPr>
                <w:rFonts w:ascii="宋体" w:hAnsi="宋体" w:cs="Courier New"/>
                <w:b/>
                <w:kern w:val="0"/>
                <w:szCs w:val="21"/>
              </w:rPr>
            </w:pPr>
            <w:r>
              <w:rPr>
                <w:rFonts w:hint="eastAsia" w:ascii="宋体" w:hAnsi="宋体" w:cs="Courier New"/>
                <w:kern w:val="0"/>
                <w:szCs w:val="21"/>
              </w:rPr>
              <w:t>投标文件包含以下组成部分</w:t>
            </w:r>
            <w:r>
              <w:rPr>
                <w:rFonts w:hint="eastAsia" w:ascii="宋体" w:hAnsi="宋体" w:cs="Courier New"/>
                <w:b/>
                <w:kern w:val="0"/>
                <w:szCs w:val="21"/>
              </w:rPr>
              <w:t>：</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资格审查文件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编制内容：</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国家企业信用信息公示系统（www.gsxt.gov.cn）公示的企业信息打印件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法定代表人授权委托书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资格证明文件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编制内容：</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编制内容：</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售后服务承诺书</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项目团队成员简介、社保证明资料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bCs/>
                <w:snapToGrid w:val="0"/>
                <w:kern w:val="0"/>
                <w:szCs w:val="21"/>
              </w:rPr>
            </w:pPr>
            <w:r>
              <w:rPr>
                <w:rFonts w:hint="eastAsia" w:ascii="宋体" w:hAnsi="宋体"/>
                <w:bCs/>
                <w:snapToGrid w:val="0"/>
                <w:kern w:val="0"/>
                <w:szCs w:val="21"/>
              </w:rPr>
              <w:t>编制内容：</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投标报价一览表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投标分项报价表</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6" w:name="_Toc82783887"/>
      <w:r>
        <w:rPr>
          <w:rFonts w:hint="eastAsia" w:ascii="宋体" w:hAnsi="宋体"/>
          <w:b/>
          <w:szCs w:val="21"/>
        </w:rPr>
        <w:t>项目要求及数量</w:t>
      </w:r>
      <w:bookmarkEnd w:id="36"/>
    </w:p>
    <w:tbl>
      <w:tblPr>
        <w:tblStyle w:val="12"/>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18"/>
              <w:numPr>
                <w:ilvl w:val="0"/>
                <w:numId w:val="10"/>
              </w:numPr>
              <w:ind w:firstLineChars="0"/>
              <w:jc w:val="center"/>
              <w:rPr>
                <w:rFonts w:ascii="宋体" w:hAnsi="宋体" w:eastAsia="宋体" w:cs="宋体"/>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0" w:firstLine="0"/>
              <w:rPr>
                <w:rFonts w:ascii="宋体" w:hAnsi="宋体"/>
                <w:szCs w:val="21"/>
              </w:rPr>
            </w:pPr>
            <w:r>
              <w:rPr>
                <w:rFonts w:hint="eastAsia" w:ascii="宋体" w:hAnsi="宋体"/>
                <w:szCs w:val="21"/>
              </w:rPr>
              <w:t>投标单位必须为中华人民共和国境内注册且合法运作的企业，在法律和财务上独立，无未改正的经营异常信息，无严重违法失信记录。企业营业执照处于有效期内，提供营业执照扫描件或复印件（加盖投标单位公章）。</w:t>
            </w:r>
          </w:p>
          <w:p>
            <w:pPr>
              <w:numPr>
                <w:ilvl w:val="0"/>
                <w:numId w:val="11"/>
              </w:numPr>
              <w:tabs>
                <w:tab w:val="left" w:pos="531"/>
              </w:tabs>
              <w:snapToGrid w:val="0"/>
              <w:ind w:left="0" w:firstLine="0"/>
              <w:rPr>
                <w:rFonts w:ascii="宋体" w:hAnsi="宋体"/>
                <w:szCs w:val="21"/>
              </w:rPr>
            </w:pPr>
            <w:r>
              <w:rPr>
                <w:rFonts w:hint="eastAsia" w:ascii="宋体" w:hAnsi="宋体"/>
                <w:szCs w:val="21"/>
              </w:rPr>
              <w:t>投标单位须提供国家企业信用信息公示系统（</w:t>
            </w:r>
            <w:r>
              <w:fldChar w:fldCharType="begin"/>
            </w:r>
            <w:r>
              <w:instrText xml:space="preserve">HYPERLINK "http://www.gsxt.gov.cn/"</w:instrText>
            </w:r>
            <w:r>
              <w:fldChar w:fldCharType="separate"/>
            </w:r>
            <w:r>
              <w:rPr>
                <w:rFonts w:hint="eastAsia" w:ascii="宋体" w:hAnsi="宋体"/>
                <w:szCs w:val="21"/>
              </w:rPr>
              <w:t>http://www.gsxt.gov.cn/</w:t>
            </w:r>
            <w:r>
              <w:fldChar w:fldCharType="end"/>
            </w:r>
            <w:r>
              <w:rPr>
                <w:rFonts w:hint="eastAsia" w:ascii="宋体" w:hAnsi="宋体"/>
                <w:szCs w:val="21"/>
              </w:rPr>
              <w:t>)公示的有关企业基础信息、经营范围、经营异常信息、严重违法失信记录等事项查询结果页面的打印件，并加盖参加单位公章。须同时提供《履约情况及社会信誉承诺书》（格式详见附件13）。</w:t>
            </w:r>
          </w:p>
          <w:p>
            <w:pPr>
              <w:numPr>
                <w:ilvl w:val="0"/>
                <w:numId w:val="11"/>
              </w:numPr>
              <w:tabs>
                <w:tab w:val="left" w:pos="531"/>
              </w:tabs>
              <w:snapToGrid w:val="0"/>
              <w:ind w:left="0" w:firstLine="0"/>
              <w:rPr>
                <w:rFonts w:ascii="宋体" w:hAnsi="宋体"/>
                <w:szCs w:val="21"/>
              </w:rPr>
            </w:pPr>
            <w:r>
              <w:rPr>
                <w:rFonts w:hint="eastAsia" w:ascii="宋体" w:hAnsi="宋体"/>
                <w:szCs w:val="21"/>
              </w:rPr>
              <w:t>投标单位必须提供2019年1月1日至采购公告发布之日（以合同签订时间为准）不少于2个可证明其专业实力的新媒体运营案例，提供合同关键页复印件（合同关键页包含但不限于项目名称、业主方名称、合同主要内容、签订时间、履约地点、甲乙双方盖章等信息）及案例情况陈述（可包括策划方案介绍、图文及设计展示、运营效果、活动效果）、网址、公众号等证明资料。以上证明资料加盖参加单位公章。</w:t>
            </w:r>
          </w:p>
          <w:p>
            <w:pPr>
              <w:numPr>
                <w:ilvl w:val="0"/>
                <w:numId w:val="11"/>
              </w:numPr>
              <w:tabs>
                <w:tab w:val="left" w:pos="531"/>
              </w:tabs>
              <w:snapToGrid w:val="0"/>
              <w:rPr>
                <w:rFonts w:ascii="宋体" w:hAnsi="宋体"/>
                <w:szCs w:val="21"/>
              </w:rPr>
            </w:pPr>
            <w:r>
              <w:rPr>
                <w:rFonts w:hint="eastAsia" w:ascii="宋体" w:hAnsi="宋体"/>
                <w:szCs w:val="21"/>
              </w:rPr>
              <w:t>本项目不接受联合体投标，不得转包或非法分包。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1"/>
              <w:keepNext w:val="0"/>
              <w:numPr>
                <w:ilvl w:val="0"/>
                <w:numId w:val="10"/>
              </w:numPr>
              <w:adjustRightInd/>
              <w:spacing w:before="0" w:after="0" w:line="240" w:lineRule="auto"/>
              <w:rPr>
                <w:rFonts w:ascii="宋体" w:hAnsi="宋体" w:cs="宋体"/>
                <w:snapToGrid/>
                <w:spacing w:val="0"/>
                <w:kern w:val="2"/>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531"/>
              </w:tabs>
              <w:snapToGrid w:val="0"/>
              <w:ind w:left="0" w:firstLine="0"/>
              <w:rPr>
                <w:rFonts w:ascii="宋体" w:hAnsi="宋体"/>
                <w:szCs w:val="21"/>
              </w:rPr>
            </w:pPr>
            <w:r>
              <w:rPr>
                <w:rFonts w:hint="eastAsia" w:ascii="宋体"/>
                <w:szCs w:val="21"/>
              </w:rPr>
              <w:t>投标单位</w:t>
            </w:r>
            <w:r>
              <w:rPr>
                <w:rFonts w:hint="eastAsia" w:ascii="宋体" w:hAnsi="宋体"/>
                <w:szCs w:val="21"/>
              </w:rPr>
              <w:t>必须按照本项目要求提供总报价及详细分项报价清单。</w:t>
            </w:r>
          </w:p>
          <w:p>
            <w:pPr>
              <w:numPr>
                <w:ilvl w:val="0"/>
                <w:numId w:val="12"/>
              </w:numPr>
              <w:tabs>
                <w:tab w:val="left" w:pos="531"/>
              </w:tabs>
              <w:snapToGrid w:val="0"/>
              <w:ind w:left="0" w:firstLine="0"/>
              <w:rPr>
                <w:rFonts w:ascii="宋体" w:hAnsi="宋体"/>
                <w:szCs w:val="21"/>
              </w:rPr>
            </w:pPr>
            <w:r>
              <w:rPr>
                <w:rFonts w:hint="eastAsia" w:ascii="宋体" w:hAnsi="宋体"/>
                <w:szCs w:val="21"/>
              </w:rPr>
              <w:t>本项目报价以人民币为结算币种，报价含增值税（要求开具增值税专用发票）、策划费、撰写费、设计费、制作费、推广费、人工费等完成本项目内容所需的一切费用。</w:t>
            </w:r>
          </w:p>
          <w:p>
            <w:pPr>
              <w:numPr>
                <w:ilvl w:val="0"/>
                <w:numId w:val="12"/>
              </w:numPr>
              <w:tabs>
                <w:tab w:val="left" w:pos="531"/>
              </w:tabs>
              <w:snapToGrid w:val="0"/>
              <w:ind w:left="0" w:firstLine="0"/>
            </w:pPr>
            <w:r>
              <w:rPr>
                <w:rFonts w:hint="eastAsia"/>
              </w:rPr>
              <w:t>投标单位若是提供了两个（含两个）以上报价，且未明确哪个是有效报价，其投标将会被拒绝（除允许提供备选方案的）。</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1"/>
              <w:keepNext w:val="0"/>
              <w:numPr>
                <w:ilvl w:val="0"/>
                <w:numId w:val="10"/>
              </w:numPr>
              <w:adjustRightInd/>
              <w:spacing w:before="0" w:after="0" w:line="240" w:lineRule="auto"/>
              <w:rPr>
                <w:rFonts w:ascii="宋体" w:hAnsi="宋体" w:cs="宋体"/>
                <w:snapToGrid/>
                <w:spacing w:val="0"/>
                <w:kern w:val="2"/>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szCs w:val="21"/>
              </w:rPr>
            </w:pPr>
            <w:r>
              <w:rPr>
                <w:rFonts w:hint="eastAsia" w:ascii="宋体" w:hAnsi="宋体" w:cs="宋体"/>
                <w:szCs w:val="21"/>
              </w:rPr>
              <w:t>本项目采购控制金额为人民币</w:t>
            </w:r>
            <w:r>
              <w:rPr>
                <w:rFonts w:hint="eastAsia" w:ascii="宋体" w:hAnsi="宋体"/>
                <w:szCs w:val="21"/>
              </w:rPr>
              <w:t>20</w:t>
            </w:r>
            <w:r>
              <w:rPr>
                <w:rFonts w:ascii="宋体" w:hAnsi="宋体" w:cs="宋体"/>
                <w:szCs w:val="21"/>
              </w:rPr>
              <w:t>万元（含税）</w:t>
            </w:r>
            <w:r>
              <w:rPr>
                <w:rFonts w:hint="eastAsia" w:ascii="宋体" w:hAnsi="宋体" w:cs="宋体"/>
                <w:szCs w:val="21"/>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1"/>
              <w:keepNext w:val="0"/>
              <w:numPr>
                <w:ilvl w:val="0"/>
                <w:numId w:val="10"/>
              </w:numPr>
              <w:adjustRightInd/>
              <w:spacing w:before="0" w:after="0" w:line="240" w:lineRule="auto"/>
              <w:rPr>
                <w:rFonts w:ascii="宋体" w:hAnsi="宋体" w:cs="宋体"/>
                <w:snapToGrid/>
                <w:spacing w:val="0"/>
                <w:kern w:val="2"/>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szCs w:val="21"/>
              </w:rPr>
            </w:pPr>
            <w:r>
              <w:rPr>
                <w:rFonts w:hint="eastAsia" w:ascii="宋体" w:hAnsi="宋体"/>
                <w:szCs w:val="21"/>
              </w:rPr>
              <w:t>本项目分两次付款：双方签订合同后的十五个工作日内，招标人支付给中标单位合同总金额的50%；项目结束且投标单位提交项目总结报告经招标人验收合格后的十五个工作日内，招标人支付给中标单位合同总金额剩余的50%（具体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b/>
                <w:bCs/>
                <w:sz w:val="18"/>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1"/>
              <w:keepNext w:val="0"/>
              <w:numPr>
                <w:ilvl w:val="0"/>
                <w:numId w:val="10"/>
              </w:numPr>
              <w:adjustRightInd/>
              <w:spacing w:before="0" w:after="0" w:line="240" w:lineRule="auto"/>
              <w:rPr>
                <w:rFonts w:ascii="宋体" w:hAnsi="宋体" w:cs="宋体"/>
                <w:snapToGrid/>
                <w:spacing w:val="0"/>
                <w:kern w:val="2"/>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rPr>
              <w:t>知识产权归属</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3"/>
              </w:numPr>
              <w:tabs>
                <w:tab w:val="left" w:pos="0"/>
                <w:tab w:val="left" w:pos="526"/>
              </w:tabs>
              <w:snapToGrid w:val="0"/>
              <w:ind w:left="0" w:firstLine="0"/>
              <w:rPr>
                <w:rFonts w:ascii="宋体" w:hAnsi="宋体"/>
                <w:szCs w:val="21"/>
              </w:rPr>
            </w:pPr>
            <w:r>
              <w:rPr>
                <w:rFonts w:hint="eastAsia" w:ascii="宋体" w:hAnsi="宋体"/>
                <w:szCs w:val="21"/>
              </w:rPr>
              <w:t>本项目所有成果版权归招标单位所有。</w:t>
            </w:r>
          </w:p>
          <w:p>
            <w:pPr>
              <w:numPr>
                <w:ilvl w:val="0"/>
                <w:numId w:val="13"/>
              </w:numPr>
              <w:tabs>
                <w:tab w:val="left" w:pos="0"/>
                <w:tab w:val="left" w:pos="526"/>
              </w:tabs>
              <w:snapToGrid w:val="0"/>
              <w:ind w:left="0" w:firstLine="0"/>
              <w:rPr>
                <w:rFonts w:ascii="宋体" w:hAnsi="宋体"/>
                <w:szCs w:val="21"/>
              </w:rPr>
            </w:pPr>
            <w:r>
              <w:rPr>
                <w:rFonts w:hint="eastAsia" w:ascii="宋体" w:hAnsi="宋体"/>
                <w:szCs w:val="21"/>
              </w:rPr>
              <w:t>中标单位必须保证对运营、设计、平台建设等内容拥有知识产权或其合法使用授权，不得有欺骗、抄袭等侵权行为。若中标单位因违法违规等行为所带来的法律责任与招标人无关，如果对招标人造成损失的应当赔偿招标人损失。</w:t>
            </w:r>
          </w:p>
          <w:p>
            <w:pPr>
              <w:numPr>
                <w:ilvl w:val="0"/>
                <w:numId w:val="13"/>
              </w:numPr>
              <w:tabs>
                <w:tab w:val="left" w:pos="0"/>
                <w:tab w:val="left" w:pos="526"/>
              </w:tabs>
              <w:snapToGrid w:val="0"/>
              <w:ind w:left="0" w:firstLine="0"/>
              <w:rPr>
                <w:rFonts w:ascii="宋体" w:hAnsi="宋体"/>
                <w:szCs w:val="21"/>
              </w:rPr>
            </w:pPr>
            <w:r>
              <w:rPr>
                <w:rFonts w:hint="eastAsia" w:ascii="宋体"/>
                <w:szCs w:val="21"/>
              </w:rPr>
              <w:t>中标单位必须保证招标人在使用项目成果的任何一部分时免受第三方提出的涉及侵犯知识产权的诉讼，由此带来的任何法律和经济赔偿责任均由中标单位自行承担，与招标人无关。</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b/>
                <w:bCs/>
                <w:sz w:val="18"/>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1"/>
              <w:keepNext w:val="0"/>
              <w:numPr>
                <w:ilvl w:val="0"/>
                <w:numId w:val="14"/>
              </w:numPr>
              <w:adjustRightInd/>
              <w:spacing w:before="0" w:after="0" w:line="240" w:lineRule="auto"/>
              <w:rPr>
                <w:rFonts w:ascii="宋体" w:hAnsi="宋体" w:cs="宋体"/>
                <w:snapToGrid/>
                <w:spacing w:val="0"/>
                <w:kern w:val="2"/>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采购背景</w:t>
            </w:r>
          </w:p>
        </w:tc>
        <w:tc>
          <w:tcPr>
            <w:tcW w:w="74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420" w:firstLineChars="200"/>
              <w:rPr>
                <w:rFonts w:ascii="宋体" w:hAnsi="宋体"/>
                <w:szCs w:val="21"/>
              </w:rPr>
            </w:pPr>
            <w:r>
              <w:rPr>
                <w:rFonts w:hint="eastAsia" w:ascii="宋体" w:hAnsi="宋体"/>
                <w:szCs w:val="21"/>
              </w:rPr>
              <w:t>中国国际高新技术成果交易会（以下简称高交会）是集成果交易、产品展示、高层论坛、项目招商、合作交流于一体的中国最大规模、最具影响力的大型科技类展会，自1999年首次举办以来，已经成功举办了二十三届，有“中国科技第一展”之称。</w:t>
            </w:r>
          </w:p>
          <w:p>
            <w:pPr>
              <w:autoSpaceDE w:val="0"/>
              <w:autoSpaceDN w:val="0"/>
              <w:adjustRightInd w:val="0"/>
              <w:snapToGrid w:val="0"/>
              <w:ind w:firstLine="420" w:firstLineChars="200"/>
              <w:rPr>
                <w:rFonts w:ascii="宋体" w:hAnsi="宋体"/>
                <w:szCs w:val="21"/>
              </w:rPr>
            </w:pPr>
            <w:r>
              <w:rPr>
                <w:rFonts w:hint="eastAsia" w:ascii="宋体" w:hAnsi="宋体"/>
                <w:szCs w:val="21"/>
              </w:rPr>
              <w:t>名称为“高交会”（ID为szchtf）的微信公众号、名称为“高交会”的新浪微博号是高交会自主设立的官方新媒体平台，主要面向社会大众用户提供展会整体宣传及服务。该两平台作为新时代下高交会的重点网络宣传阵地，计划全年不停更，定期发布信息、及时回应互动、有力传播品牌、提供更多高效便捷的数字化展会服务。</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1"/>
              <w:keepNext w:val="0"/>
              <w:numPr>
                <w:ilvl w:val="0"/>
                <w:numId w:val="14"/>
              </w:numPr>
              <w:adjustRightInd/>
              <w:spacing w:before="0" w:after="0" w:line="240" w:lineRule="auto"/>
              <w:rPr>
                <w:rFonts w:ascii="宋体" w:hAnsi="宋体" w:cs="宋体"/>
                <w:snapToGrid/>
                <w:spacing w:val="0"/>
                <w:kern w:val="2"/>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采购目的</w:t>
            </w:r>
          </w:p>
        </w:tc>
        <w:tc>
          <w:tcPr>
            <w:tcW w:w="74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420" w:firstLineChars="200"/>
              <w:rPr>
                <w:rFonts w:ascii="宋体" w:hAnsi="宋体"/>
                <w:szCs w:val="21"/>
              </w:rPr>
            </w:pPr>
            <w:r>
              <w:rPr>
                <w:rFonts w:hint="eastAsia" w:ascii="宋体" w:hAnsi="宋体"/>
                <w:szCs w:val="21"/>
              </w:rPr>
              <w:t>第二十四届高交会计划于2022年11月中旬在深圳举办。自4月起，高交会官方微信、微博平台（简称“双微”）将重点围绕第二十四届高交会展开营销推广。</w:t>
            </w:r>
          </w:p>
          <w:p>
            <w:pPr>
              <w:autoSpaceDE w:val="0"/>
              <w:autoSpaceDN w:val="0"/>
              <w:adjustRightInd w:val="0"/>
              <w:snapToGrid w:val="0"/>
              <w:ind w:firstLine="420" w:firstLineChars="200"/>
              <w:rPr>
                <w:rFonts w:ascii="宋体" w:hAnsi="宋体"/>
                <w:szCs w:val="21"/>
              </w:rPr>
            </w:pPr>
            <w:r>
              <w:rPr>
                <w:rFonts w:hint="eastAsia" w:ascii="宋体" w:hAnsi="宋体"/>
                <w:szCs w:val="21"/>
              </w:rPr>
              <w:t>为了更好地服务参、观展群众，进一步加强高交会政务新媒体建设，提升平台发布内容质量，增强平台数字化服务功能，保障平台持续有序运行，现拟采购有能力的企业针对第二十四届高交会提交双微运维方案并开展合作，负责2022年第二至四季度期间高交会双微的代理运营及维护管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1"/>
              <w:keepNext w:val="0"/>
              <w:numPr>
                <w:ilvl w:val="0"/>
                <w:numId w:val="14"/>
              </w:numPr>
              <w:adjustRightInd/>
              <w:spacing w:before="0" w:after="0" w:line="240" w:lineRule="auto"/>
              <w:rPr>
                <w:rFonts w:ascii="宋体" w:hAnsi="宋体" w:cs="宋体"/>
                <w:snapToGrid/>
                <w:spacing w:val="0"/>
                <w:kern w:val="2"/>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rPr>
              <w:t>服务期限</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jc w:val="left"/>
              <w:rPr>
                <w:rFonts w:ascii="宋体" w:hAnsi="宋体"/>
              </w:rPr>
            </w:pPr>
            <w:r>
              <w:rPr>
                <w:rFonts w:hint="eastAsia" w:ascii="宋体" w:hAnsi="宋体"/>
                <w:szCs w:val="21"/>
              </w:rPr>
              <w:t>计划服务期限9个月，即2022年第二季度至第四季度（4月至12月）。</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1"/>
              <w:keepNext w:val="0"/>
              <w:numPr>
                <w:ilvl w:val="0"/>
                <w:numId w:val="14"/>
              </w:numPr>
              <w:adjustRightInd/>
              <w:spacing w:before="0" w:after="0" w:line="240" w:lineRule="auto"/>
              <w:rPr>
                <w:rFonts w:ascii="宋体" w:hAnsi="宋体" w:cs="宋体"/>
                <w:snapToGrid/>
                <w:spacing w:val="0"/>
                <w:kern w:val="2"/>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rPr>
              <w:t>服务要求</w:t>
            </w:r>
          </w:p>
        </w:tc>
        <w:tc>
          <w:tcPr>
            <w:tcW w:w="74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szCs w:val="21"/>
              </w:rPr>
            </w:pPr>
            <w:r>
              <w:rPr>
                <w:rFonts w:hint="eastAsia" w:ascii="宋体" w:hAnsi="宋体"/>
                <w:szCs w:val="21"/>
              </w:rPr>
              <w:t>投标单位须围绕第二十四届高交会策划并实施2022年第二至四季度高交会双微运维方案或相关计划书，包括但不限于以下所列内容，投标单位可根据自身优势、经验和对项目理解完成投标计划。具体实施以合同条款为准。</w:t>
            </w:r>
          </w:p>
          <w:p>
            <w:pPr>
              <w:autoSpaceDE w:val="0"/>
              <w:autoSpaceDN w:val="0"/>
              <w:adjustRightInd w:val="0"/>
              <w:snapToGrid w:val="0"/>
              <w:rPr>
                <w:rFonts w:ascii="宋体" w:hAnsi="宋体"/>
                <w:szCs w:val="21"/>
              </w:rPr>
            </w:pPr>
            <w:r>
              <w:rPr>
                <w:rFonts w:hint="eastAsia" w:ascii="宋体" w:hAnsi="宋体"/>
                <w:szCs w:val="21"/>
              </w:rPr>
              <w:t>一、平台运营规划</w:t>
            </w:r>
          </w:p>
          <w:p>
            <w:pPr>
              <w:autoSpaceDE w:val="0"/>
              <w:autoSpaceDN w:val="0"/>
              <w:adjustRightInd w:val="0"/>
              <w:snapToGrid w:val="0"/>
              <w:rPr>
                <w:rFonts w:ascii="宋体" w:hAnsi="宋体"/>
                <w:szCs w:val="21"/>
              </w:rPr>
            </w:pPr>
            <w:r>
              <w:rPr>
                <w:rFonts w:hint="eastAsia" w:ascii="宋体" w:hAnsi="宋体"/>
                <w:szCs w:val="21"/>
              </w:rPr>
              <w:t>分析高交会的营销推广需求，提出双微具体运营策略，制定2022年第二至四季度期间的分阶段重点宣传目标、内容排期及创意营销计划。</w:t>
            </w:r>
          </w:p>
          <w:p>
            <w:pPr>
              <w:autoSpaceDE w:val="0"/>
              <w:autoSpaceDN w:val="0"/>
              <w:adjustRightInd w:val="0"/>
              <w:snapToGrid w:val="0"/>
              <w:rPr>
                <w:rFonts w:ascii="宋体" w:hAnsi="宋体"/>
                <w:szCs w:val="21"/>
              </w:rPr>
            </w:pPr>
            <w:r>
              <w:rPr>
                <w:rFonts w:hint="eastAsia" w:ascii="宋体" w:hAnsi="宋体"/>
                <w:szCs w:val="21"/>
              </w:rPr>
              <w:t>二、内容制作发布</w:t>
            </w:r>
          </w:p>
          <w:p>
            <w:pPr>
              <w:autoSpaceDE w:val="0"/>
              <w:autoSpaceDN w:val="0"/>
              <w:adjustRightInd w:val="0"/>
              <w:snapToGrid w:val="0"/>
              <w:rPr>
                <w:rFonts w:ascii="宋体" w:hAnsi="宋体"/>
                <w:szCs w:val="21"/>
              </w:rPr>
            </w:pPr>
            <w:r>
              <w:rPr>
                <w:rFonts w:hint="eastAsia" w:ascii="宋体" w:hAnsi="宋体"/>
                <w:szCs w:val="21"/>
              </w:rPr>
              <w:t>根据所分阶段，提出并实施各阶段的具体内容制作与发布计划。</w:t>
            </w:r>
          </w:p>
          <w:p>
            <w:pPr>
              <w:autoSpaceDE w:val="0"/>
              <w:autoSpaceDN w:val="0"/>
              <w:adjustRightInd w:val="0"/>
              <w:snapToGrid w:val="0"/>
              <w:rPr>
                <w:rFonts w:ascii="宋体" w:hAnsi="宋体"/>
                <w:szCs w:val="21"/>
              </w:rPr>
            </w:pPr>
            <w:r>
              <w:rPr>
                <w:rFonts w:hint="eastAsia" w:ascii="宋体" w:hAnsi="宋体"/>
                <w:szCs w:val="21"/>
              </w:rPr>
              <w:t>1、采编信息，确保信息来源权威、可靠、合法的情况下，对素材进行提炼、整合、编辑等二次创作，生产成日常双微图文稿件，定期开展不同频次、有规律的发布工作。须保障双微每周至少各发布2条图文消息，每条稿件篇数不限。</w:t>
            </w:r>
          </w:p>
          <w:p>
            <w:pPr>
              <w:autoSpaceDE w:val="0"/>
              <w:autoSpaceDN w:val="0"/>
              <w:adjustRightInd w:val="0"/>
              <w:snapToGrid w:val="0"/>
              <w:rPr>
                <w:rFonts w:ascii="宋体" w:hAnsi="宋体"/>
                <w:szCs w:val="21"/>
              </w:rPr>
            </w:pPr>
            <w:r>
              <w:rPr>
                <w:rFonts w:hint="eastAsia" w:ascii="宋体" w:hAnsi="宋体"/>
                <w:szCs w:val="21"/>
              </w:rPr>
              <w:t>2、秉持原创精神、严禁抄袭，策划创意选题、挖掘展会亮点、拓展宣传形式，为高交会定制生产高质量原创图文稿件。须保障双微每月至少各发布2篇原创图文稿件，文章、长图、动图、海报、视频、漫画等形式不限。</w:t>
            </w:r>
          </w:p>
          <w:p>
            <w:pPr>
              <w:autoSpaceDE w:val="0"/>
              <w:autoSpaceDN w:val="0"/>
              <w:adjustRightInd w:val="0"/>
              <w:snapToGrid w:val="0"/>
              <w:rPr>
                <w:rFonts w:ascii="宋体" w:hAnsi="宋体"/>
                <w:szCs w:val="21"/>
              </w:rPr>
            </w:pPr>
            <w:r>
              <w:rPr>
                <w:rFonts w:hint="eastAsia" w:ascii="宋体" w:hAnsi="宋体"/>
                <w:szCs w:val="21"/>
              </w:rPr>
              <w:t>3、根据微信、微博的平台特性、高交会的实际宣传需求，提出并生产其它内容。</w:t>
            </w:r>
          </w:p>
          <w:p>
            <w:pPr>
              <w:autoSpaceDE w:val="0"/>
              <w:autoSpaceDN w:val="0"/>
              <w:adjustRightInd w:val="0"/>
              <w:snapToGrid w:val="0"/>
              <w:rPr>
                <w:rFonts w:ascii="宋体" w:hAnsi="宋体"/>
                <w:szCs w:val="21"/>
              </w:rPr>
            </w:pPr>
            <w:r>
              <w:rPr>
                <w:rFonts w:hint="eastAsia" w:ascii="宋体" w:hAnsi="宋体"/>
                <w:szCs w:val="21"/>
              </w:rPr>
              <w:t>三、平台建设优化</w:t>
            </w:r>
          </w:p>
          <w:p>
            <w:pPr>
              <w:autoSpaceDE w:val="0"/>
              <w:autoSpaceDN w:val="0"/>
              <w:adjustRightInd w:val="0"/>
              <w:snapToGrid w:val="0"/>
              <w:rPr>
                <w:rFonts w:ascii="宋体" w:hAnsi="宋体"/>
                <w:szCs w:val="21"/>
              </w:rPr>
            </w:pPr>
            <w:r>
              <w:rPr>
                <w:rFonts w:hint="eastAsia" w:ascii="宋体" w:hAnsi="宋体"/>
                <w:szCs w:val="21"/>
              </w:rPr>
              <w:t>分析高交会双微平台建设现状，提出并平台建设优化实施方案，包括但不限于完善平台功能、定期检测和维护后台、及时更新信息和数据、积极拓展新服务。</w:t>
            </w:r>
          </w:p>
          <w:p>
            <w:pPr>
              <w:autoSpaceDE w:val="0"/>
              <w:autoSpaceDN w:val="0"/>
              <w:adjustRightInd w:val="0"/>
              <w:snapToGrid w:val="0"/>
              <w:rPr>
                <w:rFonts w:ascii="宋体" w:hAnsi="宋体"/>
                <w:szCs w:val="21"/>
              </w:rPr>
            </w:pPr>
            <w:r>
              <w:rPr>
                <w:rFonts w:hint="eastAsia" w:ascii="宋体" w:hAnsi="宋体"/>
                <w:szCs w:val="21"/>
              </w:rPr>
              <w:t>四、用户管理互动</w:t>
            </w:r>
          </w:p>
          <w:p>
            <w:pPr>
              <w:autoSpaceDE w:val="0"/>
              <w:autoSpaceDN w:val="0"/>
              <w:adjustRightInd w:val="0"/>
              <w:snapToGrid w:val="0"/>
              <w:rPr>
                <w:rFonts w:ascii="宋体" w:hAnsi="宋体"/>
                <w:szCs w:val="21"/>
              </w:rPr>
            </w:pPr>
            <w:r>
              <w:rPr>
                <w:rFonts w:hint="eastAsia" w:ascii="宋体" w:hAnsi="宋体"/>
                <w:szCs w:val="21"/>
              </w:rPr>
              <w:t>提出用户管理互动方案，包括但不限于安排人员每天及时处理用户互动信息、定期总结问题、提交汇报。</w:t>
            </w:r>
          </w:p>
          <w:p>
            <w:pPr>
              <w:autoSpaceDE w:val="0"/>
              <w:autoSpaceDN w:val="0"/>
              <w:adjustRightInd w:val="0"/>
              <w:snapToGrid w:val="0"/>
              <w:rPr>
                <w:rFonts w:ascii="宋体" w:hAnsi="宋体"/>
                <w:szCs w:val="21"/>
              </w:rPr>
            </w:pPr>
            <w:r>
              <w:rPr>
                <w:rFonts w:hint="eastAsia" w:ascii="宋体" w:hAnsi="宋体"/>
                <w:szCs w:val="21"/>
              </w:rPr>
              <w:t>五、数据监测</w:t>
            </w:r>
          </w:p>
          <w:p>
            <w:pPr>
              <w:autoSpaceDE w:val="0"/>
              <w:autoSpaceDN w:val="0"/>
              <w:adjustRightInd w:val="0"/>
              <w:snapToGrid w:val="0"/>
              <w:rPr>
                <w:rFonts w:ascii="宋体" w:hAnsi="宋体"/>
                <w:szCs w:val="21"/>
              </w:rPr>
            </w:pPr>
            <w:r>
              <w:rPr>
                <w:rFonts w:hint="eastAsia" w:ascii="宋体" w:hAnsi="宋体"/>
                <w:szCs w:val="21"/>
              </w:rPr>
              <w:t>提出数据监测方案，包括但不限于实时关注后台数据变化、定期总结问题、调整运营策略、提交汇报。</w:t>
            </w:r>
          </w:p>
          <w:p>
            <w:pPr>
              <w:autoSpaceDE w:val="0"/>
              <w:autoSpaceDN w:val="0"/>
              <w:adjustRightInd w:val="0"/>
              <w:snapToGrid w:val="0"/>
              <w:rPr>
                <w:rFonts w:ascii="宋体" w:hAnsi="宋体"/>
                <w:szCs w:val="21"/>
              </w:rPr>
            </w:pPr>
            <w:r>
              <w:rPr>
                <w:rFonts w:hint="eastAsia" w:ascii="宋体" w:hAnsi="宋体"/>
                <w:szCs w:val="21"/>
              </w:rPr>
              <w:t>六、舆情监管</w:t>
            </w:r>
          </w:p>
          <w:p>
            <w:pPr>
              <w:autoSpaceDE w:val="0"/>
              <w:autoSpaceDN w:val="0"/>
              <w:adjustRightInd w:val="0"/>
              <w:snapToGrid w:val="0"/>
              <w:rPr>
                <w:rFonts w:ascii="宋体" w:hAnsi="宋体"/>
                <w:szCs w:val="21"/>
              </w:rPr>
            </w:pPr>
            <w:r>
              <w:rPr>
                <w:rFonts w:hint="eastAsia" w:ascii="宋体" w:hAnsi="宋体"/>
                <w:szCs w:val="21"/>
              </w:rPr>
              <w:t>提出舆情监管方案，包括但不限于实时监测双微网络舆情、制定预警机制及应对预案、及时处理危机、正确引导舆情。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1"/>
              <w:keepNext w:val="0"/>
              <w:numPr>
                <w:ilvl w:val="0"/>
                <w:numId w:val="14"/>
              </w:numPr>
              <w:adjustRightInd/>
              <w:spacing w:before="0" w:after="0" w:line="240" w:lineRule="auto"/>
              <w:rPr>
                <w:rFonts w:ascii="宋体" w:hAnsi="宋体" w:cs="宋体"/>
                <w:snapToGrid/>
                <w:spacing w:val="0"/>
                <w:kern w:val="2"/>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rPr>
              <w:t>效果承诺</w:t>
            </w:r>
          </w:p>
        </w:tc>
        <w:tc>
          <w:tcPr>
            <w:tcW w:w="74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szCs w:val="21"/>
              </w:rPr>
            </w:pPr>
            <w:r>
              <w:rPr>
                <w:rFonts w:hint="eastAsia" w:ascii="宋体" w:hAnsi="宋体"/>
                <w:szCs w:val="21"/>
              </w:rPr>
              <w:t>投标单位须对本项目运营效果作出具体承诺，包括但不限于以下最低运营指标（合同期内）：</w:t>
            </w:r>
          </w:p>
          <w:p>
            <w:pPr>
              <w:autoSpaceDE w:val="0"/>
              <w:autoSpaceDN w:val="0"/>
              <w:adjustRightInd w:val="0"/>
              <w:snapToGrid w:val="0"/>
              <w:rPr>
                <w:rFonts w:ascii="宋体" w:hAnsi="宋体"/>
                <w:szCs w:val="21"/>
              </w:rPr>
            </w:pPr>
            <w:r>
              <w:rPr>
                <w:rFonts w:hint="eastAsia" w:ascii="宋体" w:hAnsi="宋体"/>
                <w:szCs w:val="21"/>
              </w:rPr>
              <w:t>1、双微发文总数≥100篇</w:t>
            </w:r>
          </w:p>
          <w:p>
            <w:pPr>
              <w:autoSpaceDE w:val="0"/>
              <w:autoSpaceDN w:val="0"/>
              <w:adjustRightInd w:val="0"/>
              <w:snapToGrid w:val="0"/>
              <w:rPr>
                <w:rFonts w:ascii="宋体" w:hAnsi="宋体"/>
                <w:szCs w:val="21"/>
              </w:rPr>
            </w:pPr>
            <w:r>
              <w:rPr>
                <w:rFonts w:hint="eastAsia" w:ascii="宋体" w:hAnsi="宋体"/>
                <w:szCs w:val="21"/>
              </w:rPr>
              <w:t>2、双微图文浏览总量≥30万PV</w:t>
            </w:r>
          </w:p>
          <w:p>
            <w:pPr>
              <w:autoSpaceDE w:val="0"/>
              <w:autoSpaceDN w:val="0"/>
              <w:adjustRightInd w:val="0"/>
              <w:snapToGrid w:val="0"/>
              <w:rPr>
                <w:rFonts w:ascii="宋体" w:hAnsi="宋体"/>
                <w:szCs w:val="21"/>
              </w:rPr>
            </w:pPr>
            <w:r>
              <w:rPr>
                <w:rFonts w:hint="eastAsia" w:ascii="宋体" w:hAnsi="宋体"/>
                <w:szCs w:val="21"/>
              </w:rPr>
              <w:t>3、双微粉丝增长总量≥3万人</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1"/>
              <w:keepNext w:val="0"/>
              <w:numPr>
                <w:ilvl w:val="0"/>
                <w:numId w:val="14"/>
              </w:numPr>
              <w:adjustRightInd/>
              <w:spacing w:before="0" w:after="0" w:line="240" w:lineRule="auto"/>
              <w:rPr>
                <w:rFonts w:ascii="宋体" w:hAnsi="宋体" w:cs="宋体"/>
                <w:snapToGrid/>
                <w:spacing w:val="0"/>
                <w:kern w:val="2"/>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rPr>
              <w:t>人员要求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szCs w:val="21"/>
              </w:rPr>
            </w:pPr>
            <w:r>
              <w:rPr>
                <w:rFonts w:hint="eastAsia" w:ascii="宋体" w:hAnsi="宋体"/>
                <w:szCs w:val="21"/>
              </w:rPr>
              <w:t>1、投标单位须为本项目安排专职、专业的负责人跟进，并为本项目提供专门的服务团队。项目负责人必须具备5年以上品牌推广或新媒体营销工作经验，项目主创运营人员必须成功操作运营过2个以上微信公众号。项目负责人及团队成员均须提供个人简历及服务案例说明，并加盖投标单位公章。</w:t>
            </w:r>
          </w:p>
          <w:p>
            <w:pPr>
              <w:tabs>
                <w:tab w:val="left" w:pos="531"/>
              </w:tabs>
              <w:snapToGrid w:val="0"/>
              <w:rPr>
                <w:rFonts w:ascii="宋体" w:hAnsi="宋体"/>
                <w:szCs w:val="21"/>
              </w:rPr>
            </w:pPr>
            <w:r>
              <w:rPr>
                <w:rFonts w:hint="eastAsia" w:ascii="宋体" w:hAnsi="宋体"/>
                <w:szCs w:val="21"/>
              </w:rPr>
              <w:t>2、投标单位提供的本项目服务团队需及时响应项目需求，并建立合理、完善的项目对接管理流程及方式。</w:t>
            </w:r>
          </w:p>
          <w:p>
            <w:pPr>
              <w:pStyle w:val="2"/>
            </w:pPr>
            <w:r>
              <w:rPr>
                <w:rFonts w:hint="eastAsia" w:ascii="宋体" w:eastAsia="宋体"/>
                <w:szCs w:val="21"/>
              </w:rPr>
              <w:t>3、投标单位拟担任本项目的项目人员应为本单位在岗人员，须提供所属社保机构出具的以上人员在招标公告发布当日之前连续3个月缴纳社保的有效证明材料，并加盖社保机构单位章及投标单位公章(如公告日上一个月的社保材料因社保部门原因暂时无法取得，则可以往前顺延一个月)。</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1"/>
              <w:keepNext w:val="0"/>
              <w:numPr>
                <w:ilvl w:val="0"/>
                <w:numId w:val="14"/>
              </w:numPr>
              <w:adjustRightInd/>
              <w:spacing w:before="0" w:after="0" w:line="240" w:lineRule="auto"/>
              <w:rPr>
                <w:rFonts w:ascii="宋体" w:hAnsi="宋体" w:cs="宋体"/>
                <w:snapToGrid/>
                <w:spacing w:val="0"/>
                <w:kern w:val="2"/>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验收</w:t>
            </w:r>
            <w:r>
              <w:rPr>
                <w:rFonts w:hint="eastAsia"/>
              </w:rPr>
              <w:t>说明</w:t>
            </w:r>
          </w:p>
        </w:tc>
        <w:tc>
          <w:tcPr>
            <w:tcW w:w="7438" w:type="dxa"/>
            <w:tcBorders>
              <w:top w:val="single" w:color="auto" w:sz="4" w:space="0"/>
              <w:left w:val="single" w:color="auto" w:sz="4" w:space="0"/>
              <w:bottom w:val="single" w:color="auto" w:sz="4" w:space="0"/>
              <w:right w:val="single" w:color="auto" w:sz="4" w:space="0"/>
            </w:tcBorders>
            <w:vAlign w:val="center"/>
          </w:tcPr>
          <w:p>
            <w:pPr>
              <w:rPr>
                <w:rFonts w:asciiTheme="majorHAnsi" w:hAnsiTheme="majorHAnsi" w:eastAsiaTheme="majorEastAsia" w:cstheme="majorBidi"/>
                <w:b/>
                <w:bCs/>
                <w:sz w:val="32"/>
              </w:rPr>
            </w:pPr>
            <w:r>
              <w:rPr>
                <w:rFonts w:hint="eastAsia" w:ascii="宋体" w:hAnsi="宋体"/>
                <w:szCs w:val="21"/>
              </w:rPr>
              <w:t>1、中标单位须按照双方共同确认的2022年第二至四季度高交会双微运维方案及相关计划书执行工作，</w:t>
            </w:r>
            <w:r>
              <w:rPr>
                <w:rFonts w:hint="eastAsia"/>
              </w:rPr>
              <w:t>并按月</w:t>
            </w:r>
            <w:r>
              <w:rPr>
                <w:rFonts w:hint="eastAsia" w:ascii="宋体" w:hAnsi="宋体"/>
                <w:szCs w:val="21"/>
              </w:rPr>
              <w:t>提交运营计划</w:t>
            </w:r>
            <w:r>
              <w:rPr>
                <w:rFonts w:hint="eastAsia"/>
              </w:rPr>
              <w:t>（含每月发文选题、内容创意规划、发文数量、发布排期等），分阶段提交运营效果评估报告及相关数据报表（含运营情况及效果总结、用户管理汇报、数据监测汇报、舆情监管汇报等），项目结束后的15个工作日内提交年度运营总结报告（含合同期间工作成果汇总、问题及经验总结、运营效果及数据分析、运营指标完成情况评估、相关数据报表佐证资料等）</w:t>
            </w:r>
            <w:r>
              <w:rPr>
                <w:rFonts w:hint="eastAsia" w:ascii="宋体" w:hAnsi="宋体"/>
                <w:szCs w:val="21"/>
              </w:rPr>
              <w:t>。项目执行期间，如遇到运营内容、发文数量、排期计划等需要进行调整时，应以书面确认为准，详细事宜以合同条款为准。</w:t>
            </w:r>
          </w:p>
          <w:p>
            <w:pPr>
              <w:rPr>
                <w:rFonts w:asciiTheme="majorHAnsi" w:hAnsiTheme="majorHAnsi" w:eastAsiaTheme="majorEastAsia" w:cstheme="majorBidi"/>
                <w:b/>
                <w:bCs/>
                <w:sz w:val="32"/>
              </w:rPr>
            </w:pPr>
            <w:r>
              <w:rPr>
                <w:rFonts w:hint="eastAsia"/>
              </w:rPr>
              <w:t>2、招标人将以中标单位执行过程中提交的以上各类方案、计划、报告为执行依据，对年度运营总结报告进行最终验收。</w:t>
            </w:r>
            <w:r>
              <w:rPr>
                <w:rFonts w:hint="eastAsia" w:ascii="宋体" w:hAnsi="宋体"/>
                <w:szCs w:val="21"/>
              </w:rPr>
              <w:t>具体验收标准以合同条款为准。</w:t>
            </w:r>
          </w:p>
          <w:p>
            <w:r>
              <w:rPr>
                <w:rFonts w:hint="eastAsia" w:ascii="宋体" w:hAnsi="宋体"/>
                <w:szCs w:val="21"/>
              </w:rPr>
              <w:t>3、以上文档及终稿手册须以WORD或PPT文件形式提交至招标人相关负责人。</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不可偏离</w:t>
            </w:r>
          </w:p>
        </w:tc>
      </w:tr>
    </w:tbl>
    <w:p>
      <w:pPr>
        <w:numPr>
          <w:ilvl w:val="0"/>
          <w:numId w:val="1"/>
        </w:numPr>
        <w:spacing w:beforeLines="100" w:line="480" w:lineRule="auto"/>
        <w:jc w:val="left"/>
        <w:outlineLvl w:val="1"/>
        <w:rPr>
          <w:rFonts w:ascii="宋体" w:hAnsi="宋体"/>
          <w:b/>
          <w:szCs w:val="21"/>
        </w:rPr>
      </w:pPr>
      <w:bookmarkStart w:id="37" w:name="_Toc82684600"/>
      <w:bookmarkEnd w:id="37"/>
      <w:bookmarkStart w:id="38" w:name="_Toc82685552"/>
      <w:bookmarkEnd w:id="38"/>
      <w:bookmarkStart w:id="39" w:name="_Toc82684715"/>
      <w:bookmarkEnd w:id="39"/>
      <w:bookmarkStart w:id="40" w:name="_Toc82591996"/>
      <w:bookmarkEnd w:id="40"/>
      <w:bookmarkStart w:id="41" w:name="_Toc82783888"/>
      <w:r>
        <w:rPr>
          <w:rFonts w:hint="eastAsia" w:ascii="宋体" w:hAnsi="宋体"/>
          <w:b/>
          <w:szCs w:val="21"/>
        </w:rPr>
        <w:t>其他项目说明资料</w:t>
      </w:r>
      <w:bookmarkEnd w:id="41"/>
    </w:p>
    <w:p>
      <w:pPr>
        <w:spacing w:line="400" w:lineRule="exact"/>
        <w:jc w:val="center"/>
        <w:outlineLvl w:val="0"/>
        <w:rPr>
          <w:rFonts w:ascii="宋体" w:hAnsi="宋体"/>
          <w:b/>
          <w:sz w:val="32"/>
          <w:szCs w:val="32"/>
        </w:rPr>
      </w:pPr>
      <w:r>
        <w:rPr>
          <w:rFonts w:hint="eastAsia" w:ascii="宋体" w:hAnsi="宋体"/>
          <w:szCs w:val="21"/>
        </w:rPr>
        <w:t>无</w:t>
      </w:r>
      <w:r>
        <w:rPr>
          <w:rFonts w:hint="eastAsia" w:ascii="宋体" w:hAnsi="宋体"/>
          <w:b/>
          <w:sz w:val="28"/>
          <w:szCs w:val="28"/>
        </w:rPr>
        <w:br w:type="page"/>
      </w:r>
      <w:bookmarkStart w:id="42" w:name="_Toc82783889"/>
      <w:r>
        <w:rPr>
          <w:rFonts w:hint="eastAsia" w:ascii="宋体" w:hAnsi="宋体"/>
          <w:b/>
          <w:sz w:val="32"/>
          <w:szCs w:val="32"/>
        </w:rPr>
        <w:t>第二部分：开标流程</w:t>
      </w:r>
      <w:bookmarkEnd w:id="42"/>
    </w:p>
    <w:p>
      <w:pPr>
        <w:numPr>
          <w:ilvl w:val="0"/>
          <w:numId w:val="1"/>
        </w:numPr>
        <w:spacing w:line="360" w:lineRule="auto"/>
        <w:outlineLvl w:val="1"/>
        <w:rPr>
          <w:rFonts w:ascii="宋体" w:hAnsi="宋体"/>
          <w:b/>
          <w:szCs w:val="21"/>
        </w:rPr>
      </w:pPr>
      <w:bookmarkStart w:id="43" w:name="_Toc82783890"/>
      <w:r>
        <w:rPr>
          <w:rFonts w:hint="eastAsia" w:ascii="宋体" w:hAnsi="宋体"/>
          <w:b/>
          <w:szCs w:val="21"/>
        </w:rPr>
        <w:t>开标流程</w:t>
      </w:r>
      <w:bookmarkEnd w:id="43"/>
    </w:p>
    <w:p>
      <w:pPr>
        <w:pStyle w:val="18"/>
        <w:numPr>
          <w:ilvl w:val="0"/>
          <w:numId w:val="15"/>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投标人按要求准时进入视频会议室；</w:t>
      </w:r>
    </w:p>
    <w:p>
      <w:pPr>
        <w:pStyle w:val="18"/>
        <w:numPr>
          <w:ilvl w:val="0"/>
          <w:numId w:val="15"/>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投标人按时发送文件密码至招标联系人邮箱；</w:t>
      </w:r>
    </w:p>
    <w:p>
      <w:pPr>
        <w:pStyle w:val="18"/>
        <w:numPr>
          <w:ilvl w:val="0"/>
          <w:numId w:val="15"/>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宣布开标开始，宣读开标注意事项、流程；</w:t>
      </w:r>
    </w:p>
    <w:p>
      <w:pPr>
        <w:pStyle w:val="18"/>
        <w:numPr>
          <w:ilvl w:val="0"/>
          <w:numId w:val="15"/>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评标小组组长主持评标；</w:t>
      </w:r>
    </w:p>
    <w:p>
      <w:pPr>
        <w:pStyle w:val="18"/>
        <w:numPr>
          <w:ilvl w:val="0"/>
          <w:numId w:val="15"/>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招标人解密投标文件。</w:t>
      </w:r>
    </w:p>
    <w:p>
      <w:pPr>
        <w:pStyle w:val="18"/>
        <w:numPr>
          <w:ilvl w:val="0"/>
          <w:numId w:val="15"/>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现场公开唱标。</w:t>
      </w:r>
    </w:p>
    <w:p>
      <w:pPr>
        <w:pStyle w:val="18"/>
        <w:numPr>
          <w:ilvl w:val="0"/>
          <w:numId w:val="15"/>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投标文件及密码发送符合要求的投标人即可离开视频会议室；</w:t>
      </w:r>
    </w:p>
    <w:p>
      <w:pPr>
        <w:pStyle w:val="18"/>
        <w:numPr>
          <w:ilvl w:val="0"/>
          <w:numId w:val="15"/>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响应文件的完整性检验和投标人基本情况的符合性审查；</w:t>
      </w:r>
    </w:p>
    <w:p>
      <w:pPr>
        <w:pStyle w:val="18"/>
        <w:numPr>
          <w:ilvl w:val="0"/>
          <w:numId w:val="15"/>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商务及技术需求响应性评定；</w:t>
      </w:r>
    </w:p>
    <w:p>
      <w:pPr>
        <w:pStyle w:val="18"/>
        <w:numPr>
          <w:ilvl w:val="0"/>
          <w:numId w:val="15"/>
        </w:numPr>
        <w:tabs>
          <w:tab w:val="left" w:pos="720"/>
          <w:tab w:val="left" w:pos="851"/>
          <w:tab w:val="left" w:pos="993"/>
        </w:tabs>
        <w:spacing w:line="360" w:lineRule="auto"/>
        <w:ind w:left="720" w:firstLine="430" w:firstLineChars="205"/>
        <w:rPr>
          <w:rFonts w:ascii="宋体" w:hAnsi="宋体" w:eastAsia="宋体"/>
          <w:szCs w:val="21"/>
        </w:rPr>
      </w:pPr>
      <w:r>
        <w:rPr>
          <w:rFonts w:hint="eastAsia" w:ascii="宋体" w:hAnsi="宋体" w:eastAsia="宋体"/>
          <w:szCs w:val="21"/>
        </w:rPr>
        <w:t>评标小组成员采用有记名方式按综合评议指标评分；</w:t>
      </w:r>
    </w:p>
    <w:p>
      <w:pPr>
        <w:pStyle w:val="18"/>
        <w:numPr>
          <w:ilvl w:val="0"/>
          <w:numId w:val="15"/>
        </w:numPr>
        <w:tabs>
          <w:tab w:val="left" w:pos="720"/>
          <w:tab w:val="left" w:pos="851"/>
          <w:tab w:val="left" w:pos="993"/>
        </w:tabs>
        <w:spacing w:line="360" w:lineRule="auto"/>
        <w:ind w:left="720" w:firstLine="430" w:firstLineChars="205"/>
        <w:rPr>
          <w:rFonts w:ascii="宋体" w:hAnsi="宋体" w:eastAsia="宋体"/>
          <w:szCs w:val="21"/>
        </w:rPr>
      </w:pPr>
      <w:r>
        <w:rPr>
          <w:rFonts w:hint="eastAsia" w:ascii="宋体" w:hAnsi="宋体" w:eastAsia="宋体"/>
          <w:szCs w:val="21"/>
        </w:rPr>
        <w:t>综合评分的计算和排序；</w:t>
      </w:r>
    </w:p>
    <w:p>
      <w:pPr>
        <w:pStyle w:val="18"/>
        <w:numPr>
          <w:ilvl w:val="0"/>
          <w:numId w:val="15"/>
        </w:numPr>
        <w:tabs>
          <w:tab w:val="left" w:pos="720"/>
          <w:tab w:val="left" w:pos="851"/>
          <w:tab w:val="left" w:pos="993"/>
        </w:tabs>
        <w:spacing w:line="360" w:lineRule="auto"/>
        <w:ind w:left="720" w:firstLine="430" w:firstLineChars="205"/>
        <w:rPr>
          <w:rFonts w:ascii="宋体" w:hAnsi="宋体" w:eastAsia="宋体"/>
          <w:szCs w:val="21"/>
        </w:rPr>
      </w:pPr>
      <w:r>
        <w:rPr>
          <w:rFonts w:hint="eastAsia" w:ascii="宋体" w:hAnsi="宋体" w:eastAsia="宋体"/>
          <w:szCs w:val="21"/>
        </w:rPr>
        <w:t>本项目招标第一候选供应商、备选供应商的确定及报告的出具。</w:t>
      </w:r>
    </w:p>
    <w:p>
      <w:pPr>
        <w:spacing w:line="360" w:lineRule="auto"/>
        <w:jc w:val="center"/>
        <w:outlineLvl w:val="0"/>
        <w:rPr>
          <w:rFonts w:ascii="宋体" w:hAnsi="宋体"/>
          <w:b/>
          <w:sz w:val="32"/>
          <w:szCs w:val="32"/>
        </w:rPr>
      </w:pPr>
      <w:r>
        <w:rPr>
          <w:rFonts w:ascii="宋体" w:hAnsi="宋体"/>
          <w:b/>
          <w:sz w:val="28"/>
        </w:rPr>
        <w:br w:type="page"/>
      </w:r>
      <w:bookmarkStart w:id="44" w:name="_Toc82783891"/>
      <w:r>
        <w:rPr>
          <w:rFonts w:hint="eastAsia" w:ascii="宋体" w:hAnsi="宋体"/>
          <w:b/>
          <w:sz w:val="32"/>
          <w:szCs w:val="32"/>
        </w:rPr>
        <w:t>第三部分：评审办法</w:t>
      </w:r>
      <w:bookmarkEnd w:id="44"/>
    </w:p>
    <w:p>
      <w:pPr>
        <w:numPr>
          <w:ilvl w:val="0"/>
          <w:numId w:val="1"/>
        </w:numPr>
        <w:spacing w:line="360" w:lineRule="auto"/>
        <w:outlineLvl w:val="1"/>
        <w:rPr>
          <w:rFonts w:ascii="宋体" w:hAnsi="宋体"/>
          <w:szCs w:val="21"/>
        </w:rPr>
      </w:pPr>
      <w:bookmarkStart w:id="45" w:name="_Toc82783892"/>
      <w:r>
        <w:rPr>
          <w:rFonts w:hint="eastAsia" w:ascii="宋体" w:hAnsi="宋体"/>
          <w:b/>
          <w:bCs/>
          <w:szCs w:val="21"/>
        </w:rPr>
        <w:t>评审办法</w:t>
      </w:r>
      <w:bookmarkEnd w:id="45"/>
    </w:p>
    <w:p>
      <w:pPr>
        <w:spacing w:line="360" w:lineRule="auto"/>
        <w:ind w:firstLine="420" w:firstLineChars="200"/>
        <w:rPr>
          <w:rFonts w:ascii="宋体" w:hAnsi="宋体"/>
          <w:szCs w:val="21"/>
        </w:rPr>
      </w:pPr>
      <w:r>
        <w:rPr>
          <w:rFonts w:hint="eastAsia" w:ascii="宋体" w:hAnsi="宋体"/>
          <w:szCs w:val="21"/>
        </w:rPr>
        <w:t>首先对各投标人进行符合性审查。对通过符合性审查的投标人，采用</w:t>
      </w:r>
      <w:r>
        <w:rPr>
          <w:rFonts w:hint="eastAsia" w:ascii="宋体" w:hAnsi="宋体"/>
          <w:b/>
          <w:szCs w:val="21"/>
        </w:rPr>
        <w:t>100分制综合评分法</w:t>
      </w:r>
      <w:r>
        <w:rPr>
          <w:rFonts w:hint="eastAsia" w:ascii="宋体" w:hAnsi="宋体"/>
          <w:szCs w:val="21"/>
        </w:rPr>
        <w:t>进行评分。</w:t>
      </w:r>
    </w:p>
    <w:p>
      <w:pPr>
        <w:numPr>
          <w:ilvl w:val="0"/>
          <w:numId w:val="16"/>
        </w:numPr>
        <w:spacing w:line="360" w:lineRule="auto"/>
        <w:jc w:val="left"/>
        <w:outlineLvl w:val="2"/>
        <w:rPr>
          <w:rStyle w:val="25"/>
          <w:rFonts w:ascii="宋体" w:hAnsi="宋体"/>
          <w:b/>
          <w:szCs w:val="21"/>
        </w:rPr>
      </w:pPr>
      <w:bookmarkStart w:id="46" w:name="_Toc82783893"/>
      <w:r>
        <w:rPr>
          <w:rStyle w:val="25"/>
          <w:rFonts w:hint="eastAsia" w:ascii="宋体" w:hAnsi="宋体"/>
          <w:b/>
          <w:bCs/>
          <w:szCs w:val="21"/>
        </w:rPr>
        <w:t>符合性检查</w:t>
      </w:r>
      <w:bookmarkEnd w:id="46"/>
    </w:p>
    <w:tbl>
      <w:tblPr>
        <w:tblStyle w:val="12"/>
        <w:tblW w:w="9516"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881"/>
        <w:gridCol w:w="7635"/>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83" w:hRule="atLeast"/>
          <w:tblCellSpacing w:w="0" w:type="dxa"/>
          <w:jc w:val="center"/>
        </w:trPr>
        <w:tc>
          <w:tcPr>
            <w:tcW w:w="1881"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宋体" w:hAnsi="宋体" w:cs="仿宋"/>
                <w:szCs w:val="21"/>
              </w:rPr>
            </w:pPr>
            <w:r>
              <w:rPr>
                <w:rFonts w:hint="eastAsia" w:ascii="宋体" w:hAnsi="宋体" w:cs="仿宋"/>
                <w:szCs w:val="21"/>
              </w:rPr>
              <w:t>响应文件</w:t>
            </w:r>
          </w:p>
        </w:tc>
        <w:tc>
          <w:tcPr>
            <w:tcW w:w="7635"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宋体" w:hAnsi="宋体" w:cs="仿宋"/>
                <w:szCs w:val="21"/>
              </w:rPr>
            </w:pPr>
            <w:r>
              <w:rPr>
                <w:rFonts w:hint="eastAsia" w:ascii="宋体" w:hAnsi="宋体" w:cs="仿宋"/>
                <w:bCs/>
                <w:szCs w:val="21"/>
              </w:rPr>
              <w:t>投标人提交的响应文件是否按要求编制目录、加密；投标文件的加密密码在按要求发送至招标人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宋体" w:hAnsi="宋体" w:cs="仿宋"/>
                <w:szCs w:val="21"/>
              </w:rPr>
            </w:pPr>
            <w:r>
              <w:rPr>
                <w:rFonts w:hint="eastAsia" w:ascii="宋体" w:hAnsi="宋体" w:cs="仿宋"/>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276" w:lineRule="auto"/>
              <w:jc w:val="center"/>
              <w:rPr>
                <w:rFonts w:ascii="宋体" w:hAnsi="宋体" w:cs="仿宋"/>
                <w:szCs w:val="21"/>
              </w:rPr>
            </w:pPr>
            <w:r>
              <w:rPr>
                <w:rFonts w:hint="eastAsia" w:ascii="宋体" w:hAnsi="宋体" w:cs="仿宋"/>
                <w:szCs w:val="21"/>
              </w:rPr>
              <w:t>资格证明文件</w:t>
            </w:r>
          </w:p>
        </w:tc>
        <w:tc>
          <w:tcPr>
            <w:tcW w:w="7635" w:type="dxa"/>
            <w:tcBorders>
              <w:top w:val="outset" w:color="DDDDDD" w:sz="6" w:space="0"/>
              <w:left w:val="outset" w:color="DDDDDD" w:sz="6" w:space="0"/>
              <w:bottom w:val="outset" w:color="DDDDDD" w:sz="6" w:space="0"/>
              <w:right w:val="outset" w:color="DDDDDD" w:sz="6" w:space="0"/>
            </w:tcBorders>
            <w:vAlign w:val="center"/>
          </w:tcPr>
          <w:p>
            <w:pPr>
              <w:tabs>
                <w:tab w:val="left" w:pos="531"/>
              </w:tabs>
              <w:snapToGrid w:val="0"/>
              <w:spacing w:line="276" w:lineRule="auto"/>
              <w:rPr>
                <w:rFonts w:ascii="宋体" w:hAnsi="宋体" w:cs="仿宋"/>
                <w:szCs w:val="21"/>
              </w:rPr>
            </w:pPr>
            <w:r>
              <w:rPr>
                <w:rFonts w:hint="eastAsia" w:ascii="宋体" w:hAnsi="宋体" w:cs="仿宋"/>
                <w:szCs w:val="21"/>
              </w:rPr>
              <w:t>投标人是否提供以下证明文件：</w:t>
            </w:r>
            <w:r>
              <w:rPr>
                <w:rFonts w:ascii="宋体" w:hAnsi="宋体" w:cs="仿宋"/>
                <w:szCs w:val="21"/>
              </w:rPr>
              <w:t xml:space="preserve"> </w:t>
            </w:r>
          </w:p>
          <w:p>
            <w:pPr>
              <w:numPr>
                <w:ilvl w:val="0"/>
                <w:numId w:val="17"/>
              </w:numPr>
              <w:tabs>
                <w:tab w:val="left" w:pos="531"/>
              </w:tabs>
              <w:snapToGrid w:val="0"/>
              <w:spacing w:line="276" w:lineRule="auto"/>
              <w:ind w:left="0" w:firstLine="0"/>
              <w:rPr>
                <w:rFonts w:ascii="宋体" w:hAnsi="宋体" w:cs="仿宋"/>
                <w:szCs w:val="21"/>
              </w:rPr>
            </w:pPr>
            <w:r>
              <w:rPr>
                <w:rFonts w:hint="eastAsia" w:ascii="宋体" w:hAnsi="宋体" w:cs="仿宋"/>
                <w:szCs w:val="21"/>
              </w:rPr>
              <w:t>投标单位必须为中华人民共和国境内注册且合法运作的企业，在法律和财务上独立，无未改正的经营异常信息，无严重违法失信记录。企业营业执照处于有效期内，提供营业执照扫描件或复印件（加盖投标单位公章）。</w:t>
            </w:r>
          </w:p>
          <w:p>
            <w:pPr>
              <w:numPr>
                <w:ilvl w:val="0"/>
                <w:numId w:val="17"/>
              </w:numPr>
              <w:tabs>
                <w:tab w:val="left" w:pos="531"/>
              </w:tabs>
              <w:snapToGrid w:val="0"/>
              <w:spacing w:line="276" w:lineRule="auto"/>
              <w:ind w:left="0" w:firstLine="0"/>
              <w:rPr>
                <w:rFonts w:ascii="宋体" w:hAnsi="宋体" w:cs="仿宋"/>
                <w:szCs w:val="21"/>
              </w:rPr>
            </w:pPr>
            <w:r>
              <w:rPr>
                <w:rFonts w:hint="eastAsia" w:ascii="宋体" w:hAnsi="宋体" w:cs="仿宋"/>
                <w:szCs w:val="21"/>
              </w:rPr>
              <w:t>投标单位须提供国家企业信用信息公示系统（</w:t>
            </w:r>
            <w:r>
              <w:fldChar w:fldCharType="begin"/>
            </w:r>
            <w:r>
              <w:instrText xml:space="preserve"> HYPERLINK "http://www.gsxt.gov.cn/" </w:instrText>
            </w:r>
            <w:r>
              <w:fldChar w:fldCharType="separate"/>
            </w:r>
            <w:r>
              <w:rPr>
                <w:rFonts w:hint="eastAsia" w:ascii="宋体" w:hAnsi="宋体" w:cs="仿宋"/>
                <w:szCs w:val="21"/>
              </w:rPr>
              <w:t>http://www.gsxt.gov.cn/</w:t>
            </w:r>
            <w:r>
              <w:rPr>
                <w:rFonts w:hint="eastAsia" w:ascii="宋体" w:hAnsi="宋体" w:cs="仿宋"/>
                <w:szCs w:val="21"/>
              </w:rPr>
              <w:fldChar w:fldCharType="end"/>
            </w:r>
            <w:r>
              <w:rPr>
                <w:rFonts w:hint="eastAsia" w:ascii="宋体" w:hAnsi="宋体" w:cs="仿宋"/>
                <w:szCs w:val="21"/>
              </w:rPr>
              <w:t>)公示的有关企业基础信息、经营范围、经营异常信息、严重违法失信记录等事项查询结果页面的打印件，并加盖参加单位公章。须同时提供《履约情况及社会信誉承诺书》（格式详见附件13）。</w:t>
            </w:r>
          </w:p>
          <w:p>
            <w:pPr>
              <w:numPr>
                <w:ilvl w:val="0"/>
                <w:numId w:val="17"/>
              </w:numPr>
              <w:tabs>
                <w:tab w:val="left" w:pos="531"/>
              </w:tabs>
              <w:snapToGrid w:val="0"/>
              <w:spacing w:line="276" w:lineRule="auto"/>
              <w:ind w:left="0" w:firstLine="0"/>
              <w:rPr>
                <w:rFonts w:ascii="宋体" w:hAnsi="宋体" w:cs="仿宋"/>
                <w:szCs w:val="21"/>
              </w:rPr>
            </w:pPr>
            <w:r>
              <w:rPr>
                <w:rFonts w:hint="eastAsia" w:ascii="宋体" w:hAnsi="宋体" w:cs="仿宋"/>
                <w:szCs w:val="21"/>
              </w:rPr>
              <w:t>投标单位必须提供2019年1月1日至采购公告发布之日（以合同签订时间为准）不少于2个可证明其专业实力的新媒体运营案例，提供合同关键页复印件（合同关键页包含但不限于项目名称、业主方名称、合同主要内容、签订时间、履约地点、甲乙双方盖章等信息）及案例情况陈述（可包括策划方案介绍、图文及设计展示、运营效果、活动效果）、网址、公众号等证明资料。以上证明资料加盖参加单位公章。</w:t>
            </w:r>
          </w:p>
          <w:p>
            <w:pPr>
              <w:numPr>
                <w:ilvl w:val="0"/>
                <w:numId w:val="17"/>
              </w:numPr>
              <w:tabs>
                <w:tab w:val="left" w:pos="531"/>
              </w:tabs>
              <w:snapToGrid w:val="0"/>
              <w:spacing w:line="276" w:lineRule="auto"/>
              <w:ind w:left="0" w:firstLine="0"/>
              <w:rPr>
                <w:rFonts w:ascii="宋体" w:hAnsi="宋体" w:cs="仿宋"/>
                <w:szCs w:val="21"/>
              </w:rPr>
            </w:pPr>
            <w:r>
              <w:rPr>
                <w:rFonts w:hint="eastAsia" w:ascii="宋体" w:hAnsi="宋体" w:cs="仿宋"/>
                <w:szCs w:val="21"/>
              </w:rPr>
              <w:t>本项目不接受联合体投标，不得转包或非法分包。</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52" w:hRule="atLeast"/>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宋体" w:hAnsi="宋体" w:cs="仿宋"/>
                <w:szCs w:val="21"/>
              </w:rPr>
            </w:pPr>
            <w:r>
              <w:rPr>
                <w:rFonts w:hint="eastAsia" w:ascii="宋体" w:hAnsi="宋体" w:cs="仿宋"/>
                <w:szCs w:val="21"/>
              </w:rPr>
              <w:t>本项目报价是否高于</w:t>
            </w:r>
            <w:r>
              <w:rPr>
                <w:rFonts w:hint="eastAsia" w:ascii="宋体" w:hAnsi="宋体"/>
                <w:szCs w:val="21"/>
              </w:rPr>
              <w:t>20</w:t>
            </w:r>
            <w:r>
              <w:rPr>
                <w:rFonts w:ascii="宋体" w:hAnsi="宋体" w:cs="仿宋"/>
                <w:szCs w:val="21"/>
              </w:rPr>
              <w:t>万元（含税）</w:t>
            </w:r>
            <w:r>
              <w:rPr>
                <w:rFonts w:hint="eastAsia" w:ascii="宋体" w:hAnsi="宋体" w:cs="仿宋"/>
                <w:szCs w:val="21"/>
              </w:rPr>
              <w:t>，超过上述控制金额的视为无效报价。</w:t>
            </w:r>
          </w:p>
        </w:tc>
      </w:tr>
    </w:tbl>
    <w:p>
      <w:pPr>
        <w:numPr>
          <w:ilvl w:val="0"/>
          <w:numId w:val="16"/>
        </w:numPr>
        <w:spacing w:beforeLines="300" w:line="360" w:lineRule="auto"/>
        <w:jc w:val="left"/>
        <w:outlineLvl w:val="2"/>
        <w:rPr>
          <w:rStyle w:val="25"/>
          <w:rFonts w:ascii="宋体" w:hAnsi="宋体"/>
          <w:b/>
          <w:bCs/>
          <w:szCs w:val="21"/>
        </w:rPr>
      </w:pPr>
      <w:bookmarkStart w:id="47" w:name="_Toc82783894"/>
      <w:r>
        <w:rPr>
          <w:rStyle w:val="25"/>
          <w:rFonts w:hint="eastAsia" w:ascii="宋体" w:hAnsi="宋体"/>
          <w:b/>
          <w:bCs/>
          <w:szCs w:val="21"/>
        </w:rPr>
        <w:t>综合评议指标表</w:t>
      </w:r>
      <w:bookmarkEnd w:id="47"/>
    </w:p>
    <w:tbl>
      <w:tblPr>
        <w:tblStyle w:val="12"/>
        <w:tblW w:w="9351" w:type="dxa"/>
        <w:jc w:val="center"/>
        <w:tblCellSpacing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704"/>
        <w:gridCol w:w="1134"/>
        <w:gridCol w:w="709"/>
        <w:gridCol w:w="6804"/>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blCellSpacing w:w="0" w:type="dxa"/>
          <w:jc w:val="center"/>
        </w:trPr>
        <w:tc>
          <w:tcPr>
            <w:tcW w:w="704" w:type="dxa"/>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right w:val="dotted" w:color="auto" w:sz="4" w:space="0"/>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tcBorders>
              <w:left w:val="dotted" w:color="auto" w:sz="4" w:space="0"/>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blCellSpacing w:w="0" w:type="dxa"/>
          <w:jc w:val="center"/>
        </w:trPr>
        <w:tc>
          <w:tcPr>
            <w:tcW w:w="9351" w:type="dxa"/>
            <w:gridSpan w:val="4"/>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hint="eastAsia" w:ascii="宋体" w:hAnsi="宋体"/>
                <w:szCs w:val="21"/>
              </w:rPr>
              <w:t>15</w:t>
            </w:r>
            <w:r>
              <w:rPr>
                <w:rFonts w:hint="eastAsia" w:ascii="宋体" w:hAnsi="宋体"/>
                <w:b/>
                <w:szCs w:val="21"/>
              </w:rPr>
              <w:t>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704" w:type="dxa"/>
            <w:vAlign w:val="center"/>
          </w:tcPr>
          <w:p>
            <w:pPr>
              <w:pStyle w:val="18"/>
              <w:numPr>
                <w:ilvl w:val="0"/>
                <w:numId w:val="18"/>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spacing w:line="320" w:lineRule="exact"/>
              <w:jc w:val="center"/>
              <w:rPr>
                <w:rFonts w:ascii="宋体" w:hAnsi="宋体"/>
              </w:rPr>
            </w:pPr>
            <w:r>
              <w:rPr>
                <w:rFonts w:hint="eastAsia" w:ascii="宋体" w:hAnsi="宋体"/>
              </w:rPr>
              <w:t>综合实力</w:t>
            </w:r>
          </w:p>
        </w:tc>
        <w:tc>
          <w:tcPr>
            <w:tcW w:w="709" w:type="dxa"/>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6分</w:t>
            </w:r>
          </w:p>
        </w:tc>
        <w:tc>
          <w:tcPr>
            <w:tcW w:w="6804" w:type="dxa"/>
            <w:tcMar>
              <w:top w:w="15" w:type="dxa"/>
              <w:left w:w="15" w:type="dxa"/>
              <w:bottom w:w="15" w:type="dxa"/>
              <w:right w:w="15" w:type="dxa"/>
            </w:tcMar>
            <w:vAlign w:val="center"/>
          </w:tcPr>
          <w:p>
            <w:pPr>
              <w:rPr>
                <w:rFonts w:ascii="宋体" w:hAnsi="宋体"/>
                <w:szCs w:val="21"/>
              </w:rPr>
            </w:pPr>
            <w:r>
              <w:rPr>
                <w:rFonts w:hint="eastAsia" w:ascii="宋体" w:hAnsi="宋体"/>
                <w:szCs w:val="21"/>
              </w:rPr>
              <w:t>（1）根据投标单位提供的企业介绍资料（包括但不限于公司概况、服务内容、人员规模、服务品牌及客户、资源及优势、资质文件、荣誉展示等），综合评议其企业实力、信誉、资质条件，综合实力越强得分越高，优得3分，良得2分，一般得1分（未提供相应资料或提供不清晰者不得分）。（0-3分）</w:t>
            </w:r>
          </w:p>
          <w:p>
            <w:pPr>
              <w:rPr>
                <w:rFonts w:ascii="宋体" w:hAnsi="宋体"/>
                <w:szCs w:val="21"/>
              </w:rPr>
            </w:pPr>
            <w:r>
              <w:rPr>
                <w:rFonts w:hint="eastAsia" w:ascii="宋体" w:hAnsi="宋体"/>
                <w:szCs w:val="21"/>
              </w:rPr>
              <w:t>（2）根据投标单位企业获奖情况打分，获国家级单位或协会奖项得3分，获省级单位或协会颁发奖项得2分，获市级单位或协会颁发奖项得1分。该评议项各获奖情况不累加，以最高奖项为准，只给1次分。参加单位需提供获奖证明文件复印件，并加盖参加单位公章。（0-3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704" w:type="dxa"/>
            <w:vAlign w:val="center"/>
          </w:tcPr>
          <w:p>
            <w:pPr>
              <w:pStyle w:val="18"/>
              <w:numPr>
                <w:ilvl w:val="0"/>
                <w:numId w:val="18"/>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spacing w:line="320" w:lineRule="exact"/>
              <w:jc w:val="center"/>
              <w:rPr>
                <w:rFonts w:ascii="宋体" w:hAnsi="宋体"/>
                <w:szCs w:val="21"/>
              </w:rPr>
            </w:pPr>
            <w:r>
              <w:rPr>
                <w:rFonts w:hint="eastAsia" w:ascii="宋体" w:hAnsi="宋体"/>
              </w:rPr>
              <w:t>案例业绩</w:t>
            </w:r>
          </w:p>
        </w:tc>
        <w:tc>
          <w:tcPr>
            <w:tcW w:w="709" w:type="dxa"/>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9分</w:t>
            </w:r>
          </w:p>
        </w:tc>
        <w:tc>
          <w:tcPr>
            <w:tcW w:w="6804" w:type="dxa"/>
            <w:tcMar>
              <w:top w:w="15" w:type="dxa"/>
              <w:left w:w="15" w:type="dxa"/>
              <w:bottom w:w="15" w:type="dxa"/>
              <w:right w:w="15" w:type="dxa"/>
            </w:tcMar>
            <w:vAlign w:val="center"/>
          </w:tcPr>
          <w:p>
            <w:pPr>
              <w:pStyle w:val="2"/>
              <w:rPr>
                <w:rFonts w:ascii="宋体" w:eastAsia="宋体"/>
                <w:szCs w:val="21"/>
              </w:rPr>
            </w:pPr>
            <w:r>
              <w:rPr>
                <w:rFonts w:hint="eastAsia" w:ascii="宋体" w:eastAsia="宋体"/>
                <w:szCs w:val="21"/>
              </w:rPr>
              <w:t>投标单位提供合同签订时间在2019年1月1日（含）至采购公告发布之日期间成功运营微信、微博的案例证明资料，包括合同关键页（包含但不限于项目名称、业主方名称、合同主要内容、合同金额、签订时间、履约地点、甲乙双方盖章等信息）、能体现实际业绩金额的相关订单或发票（业绩金额最终以提供的发票总金额为准）等其他证明材料复印件，并加盖投标单位公章。（2-9分）</w:t>
            </w:r>
          </w:p>
          <w:p>
            <w:pPr>
              <w:rPr>
                <w:rFonts w:ascii="宋体" w:hAnsi="宋体"/>
                <w:szCs w:val="21"/>
              </w:rPr>
            </w:pPr>
            <w:r>
              <w:rPr>
                <w:rFonts w:hint="eastAsia" w:ascii="宋体" w:hAnsi="宋体"/>
                <w:szCs w:val="21"/>
              </w:rPr>
              <w:t>（1）除资质要求中所提出必须提供的2个案例外（已得2分），每增加1个成功案例得1分，最高5分。</w:t>
            </w:r>
          </w:p>
          <w:p>
            <w:pPr>
              <w:pStyle w:val="2"/>
              <w:rPr>
                <w:rFonts w:ascii="宋体" w:eastAsia="宋体" w:cstheme="majorBidi"/>
                <w:b/>
                <w:bCs/>
                <w:sz w:val="32"/>
                <w:szCs w:val="21"/>
              </w:rPr>
            </w:pPr>
            <w:r>
              <w:rPr>
                <w:rFonts w:hint="eastAsia" w:ascii="宋体" w:eastAsia="宋体"/>
                <w:szCs w:val="21"/>
              </w:rPr>
              <w:t>（2）所提供案例中，单笔实际业绩金额最高者得1分，总实际业绩金额最高者得1分，最高2分。</w:t>
            </w:r>
          </w:p>
          <w:p>
            <w:pPr>
              <w:pStyle w:val="2"/>
              <w:rPr>
                <w:rFonts w:ascii="宋体" w:eastAsia="宋体"/>
              </w:rPr>
            </w:pPr>
            <w:r>
              <w:rPr>
                <w:rFonts w:hint="eastAsia" w:ascii="宋体" w:eastAsia="宋体"/>
                <w:szCs w:val="21"/>
              </w:rPr>
              <w:t>（3）所提供案例中，含有科技类展览或会议活动案例者得2分，含有展览或会议活动案例者得1分，最高2分。</w:t>
            </w:r>
          </w:p>
          <w:p>
            <w:pPr>
              <w:keepNext/>
              <w:keepLines/>
              <w:spacing w:before="260" w:after="260" w:line="416" w:lineRule="auto"/>
              <w:rPr>
                <w:rFonts w:ascii="宋体" w:hAnsi="宋体"/>
              </w:rPr>
            </w:pPr>
            <w:r>
              <w:rPr>
                <w:rFonts w:hint="eastAsia" w:ascii="宋体" w:hAnsi="宋体"/>
                <w:szCs w:val="21"/>
              </w:rPr>
              <w:t>（4）上述情况中，参加单位未按要求提供相应资料或资料不清晰，导致谈判小组无法判断时，不得分。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704" w:type="dxa"/>
          </w:tcPr>
          <w:p>
            <w:pPr>
              <w:spacing w:line="360" w:lineRule="auto"/>
              <w:jc w:val="center"/>
              <w:rPr>
                <w:rFonts w:ascii="宋体" w:hAnsi="宋体"/>
                <w:b/>
                <w:szCs w:val="21"/>
              </w:rPr>
            </w:pPr>
          </w:p>
        </w:tc>
        <w:tc>
          <w:tcPr>
            <w:tcW w:w="8647" w:type="dxa"/>
            <w:gridSpan w:val="3"/>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技术服务评议项（</w:t>
            </w:r>
            <w:r>
              <w:rPr>
                <w:rFonts w:hint="eastAsia" w:ascii="宋体" w:hAnsi="宋体"/>
                <w:szCs w:val="21"/>
              </w:rPr>
              <w:t>55</w:t>
            </w:r>
            <w:r>
              <w:rPr>
                <w:rFonts w:ascii="宋体" w:hAnsi="宋体"/>
                <w:b/>
                <w:szCs w:val="21"/>
              </w:rPr>
              <w:t>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63" w:hRule="atLeast"/>
          <w:tblCellSpacing w:w="0" w:type="dxa"/>
          <w:jc w:val="center"/>
        </w:trPr>
        <w:tc>
          <w:tcPr>
            <w:tcW w:w="704" w:type="dxa"/>
            <w:vAlign w:val="center"/>
          </w:tcPr>
          <w:p>
            <w:pPr>
              <w:pStyle w:val="18"/>
              <w:numPr>
                <w:ilvl w:val="0"/>
                <w:numId w:val="19"/>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spacing w:line="320" w:lineRule="exact"/>
              <w:jc w:val="center"/>
              <w:rPr>
                <w:rFonts w:ascii="宋体" w:hAnsi="宋体"/>
              </w:rPr>
            </w:pPr>
            <w:r>
              <w:rPr>
                <w:rFonts w:hint="eastAsia" w:ascii="宋体" w:hAnsi="宋体"/>
                <w:szCs w:val="21"/>
              </w:rPr>
              <w:t>平台运营</w:t>
            </w:r>
            <w:r>
              <w:rPr>
                <w:rFonts w:ascii="宋体" w:hAnsi="宋体"/>
                <w:szCs w:val="21"/>
              </w:rPr>
              <w:br w:type="textWrapping"/>
            </w:r>
            <w:r>
              <w:rPr>
                <w:rFonts w:hint="eastAsia" w:ascii="宋体" w:hAnsi="宋体"/>
                <w:szCs w:val="21"/>
              </w:rPr>
              <w:t>规划</w:t>
            </w:r>
          </w:p>
        </w:tc>
        <w:tc>
          <w:tcPr>
            <w:tcW w:w="709" w:type="dxa"/>
            <w:tcMar>
              <w:top w:w="15" w:type="dxa"/>
              <w:left w:w="15" w:type="dxa"/>
              <w:bottom w:w="15" w:type="dxa"/>
              <w:right w:w="15" w:type="dxa"/>
            </w:tcMar>
            <w:vAlign w:val="center"/>
          </w:tcPr>
          <w:p>
            <w:pPr>
              <w:jc w:val="center"/>
              <w:rPr>
                <w:rFonts w:ascii="宋体" w:hAnsi="宋体"/>
              </w:rPr>
            </w:pPr>
            <w:r>
              <w:rPr>
                <w:rFonts w:hint="eastAsia" w:ascii="宋体" w:hAnsi="宋体"/>
                <w:szCs w:val="21"/>
              </w:rPr>
              <w:t>10分</w:t>
            </w:r>
          </w:p>
        </w:tc>
        <w:tc>
          <w:tcPr>
            <w:tcW w:w="6804" w:type="dxa"/>
            <w:tcMar>
              <w:top w:w="15" w:type="dxa"/>
              <w:left w:w="15" w:type="dxa"/>
              <w:bottom w:w="15" w:type="dxa"/>
              <w:right w:w="15" w:type="dxa"/>
            </w:tcMar>
            <w:vAlign w:val="center"/>
          </w:tcPr>
          <w:p>
            <w:pPr>
              <w:tabs>
                <w:tab w:val="left" w:pos="531"/>
              </w:tabs>
              <w:snapToGrid w:val="0"/>
              <w:rPr>
                <w:rFonts w:ascii="宋体" w:hAnsi="宋体"/>
                <w:szCs w:val="21"/>
              </w:rPr>
            </w:pPr>
            <w:r>
              <w:rPr>
                <w:rFonts w:hint="eastAsia" w:ascii="宋体" w:hAnsi="宋体"/>
                <w:szCs w:val="21"/>
              </w:rPr>
              <w:t>根据投标单位响应文件中就高交会双微平台作出的总体运营规划进行综合评议。（0-10分）</w:t>
            </w:r>
          </w:p>
          <w:p>
            <w:pPr>
              <w:pStyle w:val="18"/>
              <w:numPr>
                <w:ilvl w:val="0"/>
                <w:numId w:val="20"/>
              </w:numPr>
              <w:tabs>
                <w:tab w:val="left" w:pos="531"/>
              </w:tabs>
              <w:snapToGrid w:val="0"/>
              <w:ind w:left="0" w:firstLine="0" w:firstLineChars="0"/>
              <w:rPr>
                <w:rFonts w:ascii="宋体" w:hAnsi="宋体" w:eastAsia="宋体" w:cs="Times New Roman"/>
                <w:szCs w:val="21"/>
              </w:rPr>
            </w:pPr>
            <w:r>
              <w:rPr>
                <w:rFonts w:hint="eastAsia" w:ascii="宋体" w:hAnsi="宋体" w:eastAsia="宋体" w:cs="Times New Roman"/>
                <w:szCs w:val="21"/>
              </w:rPr>
              <w:t>对高交会的需求分析越深入，对高交会双微平台的定位把握越准确，提出的策略越符合高交会需求，得分越高。优得5分，良得2分，一般得1分，无不得分。</w:t>
            </w:r>
          </w:p>
          <w:p>
            <w:pPr>
              <w:pStyle w:val="18"/>
              <w:numPr>
                <w:ilvl w:val="0"/>
                <w:numId w:val="20"/>
              </w:numPr>
              <w:tabs>
                <w:tab w:val="left" w:pos="531"/>
              </w:tabs>
              <w:snapToGrid w:val="0"/>
              <w:ind w:left="0" w:firstLine="0" w:firstLineChars="0"/>
              <w:rPr>
                <w:rFonts w:ascii="宋体" w:hAnsi="宋体" w:eastAsia="宋体" w:cs="Times New Roman"/>
                <w:szCs w:val="21"/>
              </w:rPr>
            </w:pPr>
            <w:r>
              <w:rPr>
                <w:rFonts w:hint="eastAsia" w:ascii="宋体" w:hAnsi="宋体" w:eastAsia="宋体" w:cs="Times New Roman"/>
                <w:szCs w:val="21"/>
              </w:rPr>
              <w:t>对高交会双微不同阶段重点宣传目标的制定越合理，发布内容及时间排期安排越合理、全面，提出的营销内容及形式越创新，得分越高。优得5分，良得2分，一般得1分，无不得分。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63" w:hRule="atLeast"/>
          <w:tblCellSpacing w:w="0" w:type="dxa"/>
          <w:jc w:val="center"/>
        </w:trPr>
        <w:tc>
          <w:tcPr>
            <w:tcW w:w="704" w:type="dxa"/>
            <w:vAlign w:val="center"/>
          </w:tcPr>
          <w:p>
            <w:pPr>
              <w:pStyle w:val="18"/>
              <w:numPr>
                <w:ilvl w:val="0"/>
                <w:numId w:val="19"/>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spacing w:line="320" w:lineRule="exact"/>
              <w:jc w:val="center"/>
              <w:rPr>
                <w:rFonts w:ascii="宋体" w:hAnsi="宋体"/>
                <w:szCs w:val="21"/>
              </w:rPr>
            </w:pPr>
            <w:r>
              <w:rPr>
                <w:rFonts w:hint="eastAsia" w:ascii="宋体" w:hAnsi="宋体"/>
                <w:szCs w:val="21"/>
              </w:rPr>
              <w:t>内容制作</w:t>
            </w:r>
            <w:r>
              <w:rPr>
                <w:rFonts w:ascii="宋体" w:hAnsi="宋体"/>
                <w:szCs w:val="21"/>
              </w:rPr>
              <w:br w:type="textWrapping"/>
            </w:r>
            <w:r>
              <w:rPr>
                <w:rFonts w:hint="eastAsia" w:ascii="宋体" w:hAnsi="宋体"/>
                <w:szCs w:val="21"/>
              </w:rPr>
              <w:t>发布</w:t>
            </w:r>
          </w:p>
        </w:tc>
        <w:tc>
          <w:tcPr>
            <w:tcW w:w="709" w:type="dxa"/>
            <w:tcMar>
              <w:top w:w="15" w:type="dxa"/>
              <w:left w:w="15" w:type="dxa"/>
              <w:bottom w:w="15" w:type="dxa"/>
              <w:right w:w="15" w:type="dxa"/>
            </w:tcMar>
            <w:vAlign w:val="center"/>
          </w:tcPr>
          <w:p>
            <w:pPr>
              <w:jc w:val="center"/>
              <w:rPr>
                <w:rFonts w:ascii="宋体" w:hAnsi="宋体"/>
              </w:rPr>
            </w:pPr>
            <w:r>
              <w:rPr>
                <w:rFonts w:hint="eastAsia" w:ascii="宋体" w:hAnsi="宋体"/>
                <w:szCs w:val="21"/>
              </w:rPr>
              <w:t>10分</w:t>
            </w:r>
          </w:p>
        </w:tc>
        <w:tc>
          <w:tcPr>
            <w:tcW w:w="6804" w:type="dxa"/>
            <w:tcMar>
              <w:top w:w="15" w:type="dxa"/>
              <w:left w:w="15" w:type="dxa"/>
              <w:bottom w:w="15" w:type="dxa"/>
              <w:right w:w="15" w:type="dxa"/>
            </w:tcMar>
            <w:vAlign w:val="center"/>
          </w:tcPr>
          <w:p>
            <w:pPr>
              <w:tabs>
                <w:tab w:val="left" w:pos="531"/>
              </w:tabs>
              <w:snapToGrid w:val="0"/>
              <w:rPr>
                <w:rFonts w:ascii="宋体" w:hAnsi="宋体"/>
                <w:szCs w:val="21"/>
              </w:rPr>
            </w:pPr>
            <w:r>
              <w:rPr>
                <w:rFonts w:hint="eastAsia" w:ascii="宋体" w:hAnsi="宋体"/>
                <w:szCs w:val="21"/>
              </w:rPr>
              <w:t>根据投标单位响应文件中的内容制作发布计划进行综合评议。（0-10分）</w:t>
            </w:r>
          </w:p>
          <w:p>
            <w:pPr>
              <w:tabs>
                <w:tab w:val="left" w:pos="531"/>
              </w:tabs>
              <w:snapToGrid w:val="0"/>
              <w:rPr>
                <w:rFonts w:ascii="宋体" w:hAnsi="宋体"/>
                <w:szCs w:val="21"/>
              </w:rPr>
            </w:pPr>
            <w:r>
              <w:rPr>
                <w:rFonts w:hint="eastAsia" w:ascii="宋体" w:hAnsi="宋体"/>
                <w:szCs w:val="21"/>
              </w:rPr>
              <w:t>（1）关于日常图文稿件，相关信息采编方案越合理，内容策划越具专业性、可读性，每周发布计划越详细，得分越高。优得3分，良得2分，一般得1分，无不得分。其中，日常稿件发布篇数的总承诺数最高者，额外得1分。</w:t>
            </w:r>
          </w:p>
          <w:p>
            <w:pPr>
              <w:tabs>
                <w:tab w:val="left" w:pos="531"/>
              </w:tabs>
              <w:snapToGrid w:val="0"/>
              <w:rPr>
                <w:rFonts w:ascii="宋体" w:hAnsi="宋体"/>
                <w:szCs w:val="21"/>
              </w:rPr>
            </w:pPr>
            <w:r>
              <w:rPr>
                <w:rFonts w:hint="eastAsia" w:ascii="宋体" w:hAnsi="宋体"/>
                <w:szCs w:val="21"/>
              </w:rPr>
              <w:t>（2）关于原创图文稿件，选题内容越有创意，表现形式越新颖丰富，得分越高。优得3分，良得2分，一般得1分，无不得分。其中，原创稿件发布篇数的总承诺数最高者，额外得1分。</w:t>
            </w:r>
          </w:p>
          <w:p>
            <w:pPr>
              <w:pStyle w:val="2"/>
              <w:rPr>
                <w:rFonts w:ascii="宋体" w:eastAsia="宋体"/>
              </w:rPr>
            </w:pPr>
            <w:r>
              <w:rPr>
                <w:rFonts w:hint="eastAsia" w:ascii="宋体" w:eastAsia="宋体"/>
                <w:szCs w:val="21"/>
              </w:rPr>
              <w:t>（3）提出为高交会生产其他采购人未提出的优质内容，得2分，无不得分。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63" w:hRule="atLeast"/>
          <w:tblCellSpacing w:w="0" w:type="dxa"/>
          <w:jc w:val="center"/>
        </w:trPr>
        <w:tc>
          <w:tcPr>
            <w:tcW w:w="704" w:type="dxa"/>
            <w:vAlign w:val="center"/>
          </w:tcPr>
          <w:p>
            <w:pPr>
              <w:pStyle w:val="18"/>
              <w:numPr>
                <w:ilvl w:val="0"/>
                <w:numId w:val="19"/>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spacing w:line="320" w:lineRule="exact"/>
              <w:jc w:val="center"/>
              <w:rPr>
                <w:rFonts w:ascii="宋体" w:hAnsi="宋体"/>
                <w:szCs w:val="21"/>
              </w:rPr>
            </w:pPr>
            <w:r>
              <w:rPr>
                <w:rFonts w:hint="eastAsia" w:ascii="宋体" w:hAnsi="宋体"/>
                <w:szCs w:val="21"/>
              </w:rPr>
              <w:t>平台建设</w:t>
            </w:r>
            <w:r>
              <w:rPr>
                <w:rFonts w:ascii="宋体" w:hAnsi="宋体"/>
                <w:szCs w:val="21"/>
              </w:rPr>
              <w:br w:type="textWrapping"/>
            </w:r>
            <w:r>
              <w:rPr>
                <w:rFonts w:hint="eastAsia" w:ascii="宋体" w:hAnsi="宋体"/>
                <w:szCs w:val="21"/>
              </w:rPr>
              <w:t>优化</w:t>
            </w:r>
          </w:p>
        </w:tc>
        <w:tc>
          <w:tcPr>
            <w:tcW w:w="709" w:type="dxa"/>
            <w:tcMar>
              <w:top w:w="15" w:type="dxa"/>
              <w:left w:w="15" w:type="dxa"/>
              <w:bottom w:w="15" w:type="dxa"/>
              <w:right w:w="15" w:type="dxa"/>
            </w:tcMar>
            <w:vAlign w:val="center"/>
          </w:tcPr>
          <w:p>
            <w:pPr>
              <w:jc w:val="center"/>
              <w:rPr>
                <w:rFonts w:ascii="宋体" w:hAnsi="宋体"/>
              </w:rPr>
            </w:pPr>
            <w:r>
              <w:rPr>
                <w:rFonts w:hint="eastAsia" w:ascii="宋体" w:hAnsi="宋体"/>
                <w:szCs w:val="21"/>
              </w:rPr>
              <w:t>5分</w:t>
            </w:r>
          </w:p>
        </w:tc>
        <w:tc>
          <w:tcPr>
            <w:tcW w:w="6804" w:type="dxa"/>
            <w:tcMar>
              <w:top w:w="15" w:type="dxa"/>
              <w:left w:w="15" w:type="dxa"/>
              <w:bottom w:w="15" w:type="dxa"/>
              <w:right w:w="15" w:type="dxa"/>
            </w:tcMar>
            <w:vAlign w:val="center"/>
          </w:tcPr>
          <w:p>
            <w:pPr>
              <w:tabs>
                <w:tab w:val="left" w:pos="531"/>
              </w:tabs>
              <w:snapToGrid w:val="0"/>
              <w:rPr>
                <w:rFonts w:ascii="宋体" w:hAnsi="宋体"/>
                <w:szCs w:val="21"/>
              </w:rPr>
            </w:pPr>
            <w:r>
              <w:rPr>
                <w:rFonts w:hint="eastAsia" w:ascii="宋体" w:hAnsi="宋体"/>
                <w:szCs w:val="21"/>
              </w:rPr>
              <w:t>根据投标单位响应文件中的平台建设优化方案进行综合评议。平台建设现状分析越详细，优化思路越清晰，方案越完善、可行性越强，得分越高。优得5分，良得2分，一般得1分，无不得分。（0-5分）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63" w:hRule="atLeast"/>
          <w:tblCellSpacing w:w="0" w:type="dxa"/>
          <w:jc w:val="center"/>
        </w:trPr>
        <w:tc>
          <w:tcPr>
            <w:tcW w:w="704" w:type="dxa"/>
            <w:vAlign w:val="center"/>
          </w:tcPr>
          <w:p>
            <w:pPr>
              <w:pStyle w:val="18"/>
              <w:numPr>
                <w:ilvl w:val="0"/>
                <w:numId w:val="19"/>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spacing w:line="320" w:lineRule="exact"/>
              <w:jc w:val="center"/>
              <w:rPr>
                <w:rFonts w:ascii="宋体" w:hAnsi="宋体"/>
                <w:szCs w:val="21"/>
              </w:rPr>
            </w:pPr>
            <w:r>
              <w:rPr>
                <w:rFonts w:hint="eastAsia" w:ascii="宋体" w:hAnsi="宋体"/>
                <w:szCs w:val="21"/>
              </w:rPr>
              <w:t>用户管理</w:t>
            </w:r>
            <w:r>
              <w:rPr>
                <w:rFonts w:ascii="宋体" w:hAnsi="宋体"/>
                <w:szCs w:val="21"/>
              </w:rPr>
              <w:br w:type="textWrapping"/>
            </w:r>
            <w:r>
              <w:rPr>
                <w:rFonts w:hint="eastAsia" w:ascii="宋体" w:hAnsi="宋体"/>
                <w:szCs w:val="21"/>
              </w:rPr>
              <w:t>互动</w:t>
            </w:r>
          </w:p>
        </w:tc>
        <w:tc>
          <w:tcPr>
            <w:tcW w:w="709" w:type="dxa"/>
            <w:tcMar>
              <w:top w:w="15" w:type="dxa"/>
              <w:left w:w="15" w:type="dxa"/>
              <w:bottom w:w="15" w:type="dxa"/>
              <w:right w:w="15" w:type="dxa"/>
            </w:tcMar>
            <w:vAlign w:val="center"/>
          </w:tcPr>
          <w:p>
            <w:pPr>
              <w:jc w:val="center"/>
              <w:rPr>
                <w:rFonts w:ascii="宋体" w:hAnsi="宋体"/>
              </w:rPr>
            </w:pPr>
            <w:r>
              <w:rPr>
                <w:rFonts w:hint="eastAsia" w:ascii="宋体" w:hAnsi="宋体"/>
                <w:szCs w:val="21"/>
              </w:rPr>
              <w:t>5分</w:t>
            </w:r>
          </w:p>
        </w:tc>
        <w:tc>
          <w:tcPr>
            <w:tcW w:w="6804" w:type="dxa"/>
            <w:tcMar>
              <w:top w:w="15" w:type="dxa"/>
              <w:left w:w="15" w:type="dxa"/>
              <w:bottom w:w="15" w:type="dxa"/>
              <w:right w:w="15" w:type="dxa"/>
            </w:tcMar>
            <w:vAlign w:val="center"/>
          </w:tcPr>
          <w:p>
            <w:pPr>
              <w:tabs>
                <w:tab w:val="left" w:pos="531"/>
              </w:tabs>
              <w:snapToGrid w:val="0"/>
              <w:rPr>
                <w:rFonts w:ascii="宋体" w:hAnsi="宋体"/>
                <w:szCs w:val="21"/>
              </w:rPr>
            </w:pPr>
            <w:r>
              <w:rPr>
                <w:rFonts w:hint="eastAsia" w:ascii="宋体" w:hAnsi="宋体"/>
                <w:szCs w:val="21"/>
              </w:rPr>
              <w:t>根据投标单位响应文件中的用户管理互动方案进行综合评议。方案越详细完整，越具有独到的优势，可行性越强，得分越高。优得5分，良得2分，一般得1分，无不得分。（0-5分）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63" w:hRule="atLeast"/>
          <w:tblCellSpacing w:w="0" w:type="dxa"/>
          <w:jc w:val="center"/>
        </w:trPr>
        <w:tc>
          <w:tcPr>
            <w:tcW w:w="704" w:type="dxa"/>
            <w:vAlign w:val="center"/>
          </w:tcPr>
          <w:p>
            <w:pPr>
              <w:pStyle w:val="18"/>
              <w:numPr>
                <w:ilvl w:val="0"/>
                <w:numId w:val="19"/>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spacing w:line="320" w:lineRule="exact"/>
              <w:jc w:val="center"/>
              <w:rPr>
                <w:rFonts w:ascii="宋体" w:hAnsi="宋体"/>
                <w:szCs w:val="21"/>
              </w:rPr>
            </w:pPr>
            <w:r>
              <w:rPr>
                <w:rFonts w:hint="eastAsia" w:ascii="宋体" w:hAnsi="宋体"/>
                <w:szCs w:val="21"/>
              </w:rPr>
              <w:t>数据监测</w:t>
            </w:r>
          </w:p>
        </w:tc>
        <w:tc>
          <w:tcPr>
            <w:tcW w:w="709" w:type="dxa"/>
            <w:tcMar>
              <w:top w:w="15" w:type="dxa"/>
              <w:left w:w="15" w:type="dxa"/>
              <w:bottom w:w="15" w:type="dxa"/>
              <w:right w:w="15" w:type="dxa"/>
            </w:tcMar>
            <w:vAlign w:val="center"/>
          </w:tcPr>
          <w:p>
            <w:pPr>
              <w:jc w:val="center"/>
              <w:rPr>
                <w:rFonts w:ascii="宋体" w:hAnsi="宋体"/>
              </w:rPr>
            </w:pPr>
            <w:r>
              <w:rPr>
                <w:rFonts w:hint="eastAsia" w:ascii="宋体" w:hAnsi="宋体"/>
                <w:szCs w:val="21"/>
              </w:rPr>
              <w:t>5分</w:t>
            </w:r>
          </w:p>
        </w:tc>
        <w:tc>
          <w:tcPr>
            <w:tcW w:w="6804" w:type="dxa"/>
            <w:tcMar>
              <w:top w:w="15" w:type="dxa"/>
              <w:left w:w="15" w:type="dxa"/>
              <w:bottom w:w="15" w:type="dxa"/>
              <w:right w:w="15" w:type="dxa"/>
            </w:tcMar>
            <w:vAlign w:val="center"/>
          </w:tcPr>
          <w:p>
            <w:pPr>
              <w:tabs>
                <w:tab w:val="left" w:pos="531"/>
              </w:tabs>
              <w:snapToGrid w:val="0"/>
              <w:rPr>
                <w:rFonts w:ascii="宋体" w:hAnsi="宋体"/>
                <w:szCs w:val="21"/>
              </w:rPr>
            </w:pPr>
            <w:r>
              <w:rPr>
                <w:rFonts w:hint="eastAsia" w:ascii="宋体" w:hAnsi="宋体"/>
                <w:szCs w:val="21"/>
              </w:rPr>
              <w:t>根据投标单位响应文件中的数据监测方案进行综合评议。方案越详细完整，对新媒体数据的监测及分析手段越熟悉，越能使用数据开展运营服务，得分越高。优得5分，良得2分，一般得1分，无不得分。（0-5分）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63" w:hRule="atLeast"/>
          <w:tblCellSpacing w:w="0" w:type="dxa"/>
          <w:jc w:val="center"/>
        </w:trPr>
        <w:tc>
          <w:tcPr>
            <w:tcW w:w="704" w:type="dxa"/>
            <w:vAlign w:val="center"/>
          </w:tcPr>
          <w:p>
            <w:pPr>
              <w:pStyle w:val="18"/>
              <w:numPr>
                <w:ilvl w:val="0"/>
                <w:numId w:val="19"/>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spacing w:line="320" w:lineRule="exact"/>
              <w:jc w:val="center"/>
              <w:rPr>
                <w:rFonts w:ascii="宋体" w:hAnsi="宋体"/>
                <w:szCs w:val="21"/>
              </w:rPr>
            </w:pPr>
            <w:r>
              <w:rPr>
                <w:rFonts w:hint="eastAsia" w:ascii="宋体" w:hAnsi="宋体"/>
                <w:szCs w:val="21"/>
              </w:rPr>
              <w:t>舆情监管</w:t>
            </w:r>
          </w:p>
        </w:tc>
        <w:tc>
          <w:tcPr>
            <w:tcW w:w="709" w:type="dxa"/>
            <w:tcMar>
              <w:top w:w="15" w:type="dxa"/>
              <w:left w:w="15" w:type="dxa"/>
              <w:bottom w:w="15" w:type="dxa"/>
              <w:right w:w="15" w:type="dxa"/>
            </w:tcMar>
            <w:vAlign w:val="center"/>
          </w:tcPr>
          <w:p>
            <w:pPr>
              <w:jc w:val="center"/>
              <w:rPr>
                <w:rFonts w:ascii="宋体" w:hAnsi="宋体"/>
              </w:rPr>
            </w:pPr>
            <w:r>
              <w:rPr>
                <w:rFonts w:hint="eastAsia" w:ascii="宋体" w:hAnsi="宋体"/>
                <w:szCs w:val="21"/>
              </w:rPr>
              <w:t>3分</w:t>
            </w:r>
          </w:p>
        </w:tc>
        <w:tc>
          <w:tcPr>
            <w:tcW w:w="6804" w:type="dxa"/>
            <w:tcMar>
              <w:top w:w="15" w:type="dxa"/>
              <w:left w:w="15" w:type="dxa"/>
              <w:bottom w:w="15" w:type="dxa"/>
              <w:right w:w="15" w:type="dxa"/>
            </w:tcMar>
            <w:vAlign w:val="center"/>
          </w:tcPr>
          <w:p>
            <w:pPr>
              <w:rPr>
                <w:rFonts w:ascii="宋体" w:hAnsi="宋体"/>
                <w:szCs w:val="21"/>
              </w:rPr>
            </w:pPr>
            <w:r>
              <w:rPr>
                <w:rFonts w:hint="eastAsia" w:ascii="宋体" w:hAnsi="宋体"/>
                <w:szCs w:val="21"/>
              </w:rPr>
              <w:t>根据投标单位响应文件中的舆情监管方案进行综合评议。方案越详细完整，应急措施越多越合理，可行性越强，得分越高。优得3分，良得2分，一般得1分，无不得分。（0-3分）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63" w:hRule="atLeast"/>
          <w:tblCellSpacing w:w="0" w:type="dxa"/>
          <w:jc w:val="center"/>
        </w:trPr>
        <w:tc>
          <w:tcPr>
            <w:tcW w:w="704" w:type="dxa"/>
            <w:vAlign w:val="center"/>
          </w:tcPr>
          <w:p>
            <w:pPr>
              <w:pStyle w:val="18"/>
              <w:numPr>
                <w:ilvl w:val="0"/>
                <w:numId w:val="19"/>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spacing w:line="320" w:lineRule="exact"/>
              <w:jc w:val="center"/>
              <w:rPr>
                <w:rFonts w:ascii="宋体" w:hAnsi="宋体"/>
              </w:rPr>
            </w:pPr>
            <w:r>
              <w:rPr>
                <w:rFonts w:hint="eastAsia" w:ascii="宋体" w:hAnsi="宋体"/>
              </w:rPr>
              <w:t>效果承诺</w:t>
            </w:r>
          </w:p>
        </w:tc>
        <w:tc>
          <w:tcPr>
            <w:tcW w:w="709" w:type="dxa"/>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12分</w:t>
            </w:r>
          </w:p>
        </w:tc>
        <w:tc>
          <w:tcPr>
            <w:tcW w:w="6804" w:type="dxa"/>
            <w:tcMar>
              <w:top w:w="15" w:type="dxa"/>
              <w:left w:w="15" w:type="dxa"/>
              <w:bottom w:w="15" w:type="dxa"/>
              <w:right w:w="15" w:type="dxa"/>
            </w:tcMar>
            <w:vAlign w:val="center"/>
          </w:tcPr>
          <w:p>
            <w:pPr>
              <w:snapToGrid w:val="0"/>
              <w:rPr>
                <w:rFonts w:ascii="宋体" w:hAnsi="宋体"/>
                <w:szCs w:val="21"/>
              </w:rPr>
            </w:pPr>
            <w:r>
              <w:rPr>
                <w:rFonts w:hint="eastAsia" w:ascii="宋体" w:hAnsi="宋体"/>
                <w:szCs w:val="21"/>
              </w:rPr>
              <w:t>（1）本项目要求最低运营总指标为“双微发文总数≥100篇，双微图文浏览总量≥30万PV，双微粉丝增长总量≥3万人”。根据投标单位所承诺的对应指标进行评分：双微发文总数最高者得3分，其它1分；双微图文浏览总量最高者得3分，其它1分；双微粉丝增长总量最高者得3分，其它1分；未能完成最低指标或未作出承诺者，不得分。（0-9分）</w:t>
            </w:r>
          </w:p>
          <w:p>
            <w:pPr>
              <w:snapToGrid w:val="0"/>
              <w:rPr>
                <w:rFonts w:ascii="宋体" w:hAnsi="宋体"/>
                <w:szCs w:val="21"/>
              </w:rPr>
            </w:pPr>
            <w:r>
              <w:rPr>
                <w:rFonts w:hint="eastAsia" w:ascii="宋体" w:hAnsi="宋体"/>
                <w:szCs w:val="21"/>
              </w:rPr>
              <w:t>（2）投标单位作出以上指标之外的其他运营效果承诺，包括但不限于“1万+以上阅读量图文篇数、10万+以上阅读量图文篇数”等指标，根据指标的合理性、唯一性进行综合评议。每作出一项符合招标人需求的承诺，得1分，最高3分，无不得分（作出同类型承诺时，仅承诺数最高者得分）。（0-3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63" w:hRule="atLeast"/>
          <w:tblCellSpacing w:w="0" w:type="dxa"/>
          <w:jc w:val="center"/>
        </w:trPr>
        <w:tc>
          <w:tcPr>
            <w:tcW w:w="704" w:type="dxa"/>
            <w:vAlign w:val="center"/>
          </w:tcPr>
          <w:p>
            <w:pPr>
              <w:pStyle w:val="18"/>
              <w:numPr>
                <w:ilvl w:val="0"/>
                <w:numId w:val="19"/>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tabs>
                <w:tab w:val="left" w:pos="531"/>
              </w:tabs>
              <w:snapToGrid w:val="0"/>
              <w:jc w:val="center"/>
              <w:rPr>
                <w:rFonts w:ascii="宋体" w:hAnsi="宋体"/>
                <w:szCs w:val="21"/>
              </w:rPr>
            </w:pPr>
            <w:r>
              <w:rPr>
                <w:rFonts w:hint="eastAsia" w:ascii="宋体" w:hAnsi="宋体"/>
                <w:szCs w:val="21"/>
              </w:rPr>
              <w:t>服务承诺</w:t>
            </w:r>
          </w:p>
        </w:tc>
        <w:tc>
          <w:tcPr>
            <w:tcW w:w="709" w:type="dxa"/>
            <w:tcMar>
              <w:top w:w="15" w:type="dxa"/>
              <w:left w:w="15" w:type="dxa"/>
              <w:bottom w:w="15" w:type="dxa"/>
              <w:right w:w="15" w:type="dxa"/>
            </w:tcMar>
            <w:vAlign w:val="center"/>
          </w:tcPr>
          <w:p>
            <w:pPr>
              <w:tabs>
                <w:tab w:val="left" w:pos="531"/>
              </w:tabs>
              <w:snapToGrid w:val="0"/>
              <w:jc w:val="center"/>
              <w:rPr>
                <w:rFonts w:ascii="宋体" w:hAnsi="宋体"/>
                <w:szCs w:val="21"/>
              </w:rPr>
            </w:pPr>
            <w:r>
              <w:rPr>
                <w:rFonts w:hint="eastAsia" w:ascii="宋体" w:hAnsi="宋体"/>
                <w:szCs w:val="21"/>
              </w:rPr>
              <w:t>5分</w:t>
            </w:r>
          </w:p>
        </w:tc>
        <w:tc>
          <w:tcPr>
            <w:tcW w:w="6804" w:type="dxa"/>
            <w:tcMar>
              <w:top w:w="15" w:type="dxa"/>
              <w:left w:w="15" w:type="dxa"/>
              <w:bottom w:w="15" w:type="dxa"/>
              <w:right w:w="15" w:type="dxa"/>
            </w:tcMar>
            <w:vAlign w:val="center"/>
          </w:tcPr>
          <w:p>
            <w:pPr>
              <w:snapToGrid w:val="0"/>
              <w:rPr>
                <w:rFonts w:ascii="宋体" w:hAnsi="宋体"/>
                <w:szCs w:val="21"/>
              </w:rPr>
            </w:pPr>
            <w:r>
              <w:rPr>
                <w:rFonts w:hint="eastAsia" w:ascii="宋体" w:hAnsi="宋体"/>
                <w:szCs w:val="21"/>
              </w:rPr>
              <w:t>（1）根据投标单位提供的项目团队配置情况（包括人员数量、分工配置、个人简历及相关证书等内容，并加盖参加单位公章）进行综合评议。主创经验越丰富、资质实力越强，得分越高。优得3分，良得2，一般得1分，无不得分。（0-3分）</w:t>
            </w:r>
          </w:p>
          <w:p>
            <w:pPr>
              <w:snapToGrid w:val="0"/>
              <w:rPr>
                <w:rFonts w:ascii="宋体" w:hAnsi="宋体"/>
                <w:szCs w:val="21"/>
              </w:rPr>
            </w:pPr>
            <w:r>
              <w:rPr>
                <w:rFonts w:hint="eastAsia" w:ascii="宋体" w:hAnsi="宋体"/>
                <w:szCs w:val="21"/>
              </w:rPr>
              <w:t>（2）根据投标单位提供的项目工作方案进行综合评议。需求响应机制越完善，业务对接管理流程及方式越科学合理，得分越高。最高2分，一般得1分，无不得分。（0-2分）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9351" w:type="dxa"/>
            <w:gridSpan w:val="4"/>
          </w:tcPr>
          <w:p>
            <w:pPr>
              <w:spacing w:before="100" w:beforeAutospacing="1" w:after="100" w:afterAutospacing="1" w:line="360" w:lineRule="auto"/>
              <w:ind w:left="247" w:hanging="247" w:hangingChars="117"/>
              <w:jc w:val="center"/>
              <w:rPr>
                <w:rFonts w:ascii="宋体" w:hAnsi="宋体"/>
                <w:b/>
                <w:szCs w:val="21"/>
              </w:rPr>
            </w:pPr>
            <w:r>
              <w:rPr>
                <w:rFonts w:hint="eastAsia" w:ascii="宋体" w:hAnsi="宋体"/>
                <w:b/>
                <w:szCs w:val="21"/>
              </w:rPr>
              <w:t>价格评议项（</w:t>
            </w:r>
            <w:r>
              <w:rPr>
                <w:rFonts w:hint="eastAsia" w:ascii="宋体" w:hAnsi="宋体"/>
                <w:szCs w:val="21"/>
              </w:rPr>
              <w:t>30</w:t>
            </w:r>
            <w:r>
              <w:rPr>
                <w:rFonts w:ascii="宋体" w:hAnsi="宋体"/>
                <w:b/>
                <w:szCs w:val="21"/>
              </w:rPr>
              <w:t>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704" w:type="dxa"/>
            <w:vMerge w:val="restart"/>
            <w:vAlign w:val="center"/>
          </w:tcPr>
          <w:p>
            <w:pPr>
              <w:spacing w:line="360" w:lineRule="auto"/>
              <w:jc w:val="center"/>
              <w:rPr>
                <w:rFonts w:ascii="宋体" w:hAnsi="宋体"/>
                <w:szCs w:val="21"/>
              </w:rPr>
            </w:pPr>
            <w:r>
              <w:rPr>
                <w:rFonts w:hint="eastAsia" w:ascii="宋体" w:hAnsi="宋体"/>
                <w:szCs w:val="21"/>
              </w:rPr>
              <w:t>1</w:t>
            </w:r>
          </w:p>
        </w:tc>
        <w:tc>
          <w:tcPr>
            <w:tcW w:w="1134" w:type="dxa"/>
            <w:vMerge w:val="restart"/>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价格评议</w:t>
            </w:r>
          </w:p>
        </w:tc>
        <w:tc>
          <w:tcPr>
            <w:tcW w:w="709" w:type="dxa"/>
            <w:vMerge w:val="restart"/>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30</w:t>
            </w:r>
          </w:p>
        </w:tc>
        <w:tc>
          <w:tcPr>
            <w:tcW w:w="6804" w:type="dxa"/>
            <w:tcMar>
              <w:top w:w="15" w:type="dxa"/>
              <w:left w:w="15" w:type="dxa"/>
              <w:bottom w:w="15" w:type="dxa"/>
              <w:right w:w="15" w:type="dxa"/>
            </w:tcMar>
            <w:vAlign w:val="center"/>
          </w:tcPr>
          <w:p>
            <w:pPr>
              <w:spacing w:line="240" w:lineRule="atLeast"/>
              <w:jc w:val="left"/>
              <w:rPr>
                <w:rFonts w:ascii="宋体" w:hAnsi="宋体"/>
                <w:szCs w:val="21"/>
              </w:rPr>
            </w:pPr>
            <w:r>
              <w:rPr>
                <w:rFonts w:hint="eastAsia" w:ascii="宋体" w:hAnsi="宋体"/>
              </w:rPr>
              <w:t>评标基准价：</w:t>
            </w:r>
            <w:r>
              <w:rPr>
                <w:rFonts w:hint="eastAsia" w:ascii="宋体" w:hAnsi="宋体"/>
                <w:szCs w:val="21"/>
              </w:rPr>
              <w:t>1.以满足招标文件要求的所有投标单位有效报价的算术平均数为基准价</w:t>
            </w:r>
          </w:p>
          <w:p>
            <w:pPr>
              <w:pStyle w:val="2"/>
              <w:rPr>
                <w:rFonts w:ascii="宋体" w:eastAsia="宋体"/>
              </w:rPr>
            </w:pPr>
            <w:r>
              <w:rPr>
                <w:rFonts w:hint="eastAsia" w:ascii="宋体" w:eastAsia="宋体"/>
              </w:rPr>
              <w:t xml:space="preserve">           </w:t>
            </w:r>
            <w:r>
              <w:rPr>
                <w:rFonts w:hint="eastAsia" w:ascii="宋体" w:eastAsia="宋体"/>
                <w:szCs w:val="21"/>
              </w:rPr>
              <w:t xml:space="preserve"> </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704" w:type="dxa"/>
            <w:vMerge w:val="continue"/>
          </w:tcPr>
          <w:p>
            <w:pPr>
              <w:spacing w:line="360" w:lineRule="auto"/>
              <w:jc w:val="center"/>
              <w:rPr>
                <w:rFonts w:ascii="宋体" w:hAnsi="宋体"/>
                <w:szCs w:val="21"/>
              </w:rPr>
            </w:pPr>
          </w:p>
        </w:tc>
        <w:tc>
          <w:tcPr>
            <w:tcW w:w="1134" w:type="dxa"/>
            <w:vMerge w:val="continue"/>
          </w:tcPr>
          <w:p>
            <w:pPr>
              <w:spacing w:line="360" w:lineRule="auto"/>
              <w:jc w:val="center"/>
              <w:rPr>
                <w:rFonts w:ascii="宋体" w:hAnsi="宋体"/>
                <w:szCs w:val="21"/>
              </w:rPr>
            </w:pPr>
          </w:p>
        </w:tc>
        <w:tc>
          <w:tcPr>
            <w:tcW w:w="709" w:type="dxa"/>
            <w:vMerge w:val="continue"/>
          </w:tcPr>
          <w:p>
            <w:pPr>
              <w:spacing w:line="360" w:lineRule="auto"/>
              <w:jc w:val="center"/>
              <w:rPr>
                <w:rFonts w:ascii="宋体" w:hAnsi="宋体"/>
                <w:szCs w:val="21"/>
              </w:rPr>
            </w:pPr>
          </w:p>
        </w:tc>
        <w:tc>
          <w:tcPr>
            <w:tcW w:w="6804" w:type="dxa"/>
            <w:vAlign w:val="center"/>
          </w:tcPr>
          <w:p>
            <w:pPr>
              <w:numPr>
                <w:ilvl w:val="255"/>
                <w:numId w:val="0"/>
              </w:numPr>
              <w:snapToGrid w:val="0"/>
              <w:jc w:val="left"/>
              <w:rPr>
                <w:rFonts w:ascii="宋体" w:hAnsi="宋体" w:cs="宋体"/>
                <w:kern w:val="0"/>
                <w:szCs w:val="21"/>
              </w:rPr>
            </w:pPr>
            <w:r>
              <w:rPr>
                <w:rFonts w:hint="eastAsia" w:ascii="宋体" w:hAnsi="宋体" w:cs="宋体"/>
                <w:kern w:val="0"/>
                <w:szCs w:val="21"/>
              </w:rPr>
              <w:t>价格分计算公式：</w:t>
            </w:r>
          </w:p>
          <w:p>
            <w:pPr>
              <w:spacing w:line="240" w:lineRule="atLeast"/>
              <w:jc w:val="center"/>
              <w:rPr>
                <w:rFonts w:ascii="宋体" w:hAnsi="宋体"/>
                <w:szCs w:val="21"/>
              </w:rPr>
            </w:pPr>
            <w:r>
              <w:rPr>
                <w:rFonts w:hint="eastAsia" w:ascii="宋体" w:hAnsi="宋体"/>
                <w:szCs w:val="21"/>
              </w:rPr>
              <w:t>价格得分=（1-|投标报价-基准价|÷基准价）×价格权重分</w:t>
            </w:r>
          </w:p>
          <w:p>
            <w:pPr>
              <w:spacing w:line="240" w:lineRule="atLeast"/>
              <w:jc w:val="left"/>
              <w:rPr>
                <w:rFonts w:ascii="宋体" w:hAnsi="宋体"/>
                <w:szCs w:val="21"/>
              </w:rPr>
            </w:pPr>
            <w:r>
              <w:rPr>
                <w:rFonts w:hint="eastAsia" w:ascii="宋体" w:hAnsi="宋体" w:cs="宋体"/>
                <w:kern w:val="0"/>
                <w:szCs w:val="21"/>
              </w:rPr>
              <w:t>说明：报价最接近基准价的投标人价格分最高，价格分保留至小数点后两位。</w:t>
            </w: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算术错误将按以下方法更正（次序排先者优先）：</w:t>
      </w:r>
    </w:p>
    <w:p>
      <w:pPr>
        <w:spacing w:line="360" w:lineRule="auto"/>
        <w:ind w:left="-4" w:leftChars="-2" w:firstLine="497" w:firstLineChars="237"/>
        <w:rPr>
          <w:rFonts w:ascii="宋体" w:hAnsi="宋体"/>
          <w:szCs w:val="21"/>
        </w:rPr>
      </w:pPr>
      <w:r>
        <w:rPr>
          <w:rFonts w:hint="eastAsia" w:ascii="宋体" w:hAnsi="宋体"/>
          <w:szCs w:val="21"/>
        </w:rPr>
        <w:t>1、若分项报价与总价不一致，以总价为准。</w:t>
      </w:r>
    </w:p>
    <w:p>
      <w:pPr>
        <w:spacing w:line="360" w:lineRule="auto"/>
        <w:ind w:left="-4" w:leftChars="-2" w:firstLine="497" w:firstLineChars="237"/>
        <w:rPr>
          <w:rFonts w:ascii="宋体" w:hAnsi="宋体"/>
          <w:szCs w:val="21"/>
        </w:rPr>
      </w:pPr>
      <w:r>
        <w:rPr>
          <w:rFonts w:hint="eastAsia" w:ascii="宋体" w:hAnsi="宋体"/>
          <w:szCs w:val="21"/>
        </w:rPr>
        <w:t>2、若用文字表示的数值与用数字表示的数值不一致，以文字表示的数值为准。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48" w:name="_Toc82783895"/>
      <w:r>
        <w:rPr>
          <w:rFonts w:hint="eastAsia" w:ascii="宋体" w:hAnsi="宋体"/>
          <w:b/>
          <w:sz w:val="32"/>
          <w:szCs w:val="32"/>
        </w:rPr>
        <w:t>第四部分：合同条款及格式</w:t>
      </w:r>
      <w:bookmarkEnd w:id="48"/>
    </w:p>
    <w:p>
      <w:pPr>
        <w:jc w:val="center"/>
        <w:rPr>
          <w:rFonts w:ascii="方正小标宋简体" w:hAnsi="方正小标宋简体" w:eastAsia="方正小标宋简体" w:cs="方正小标宋简体"/>
          <w:bCs/>
          <w:kern w:val="0"/>
          <w:sz w:val="28"/>
          <w:szCs w:val="28"/>
        </w:rPr>
      </w:pPr>
    </w:p>
    <w:p>
      <w:pPr>
        <w:jc w:val="center"/>
        <w:rPr>
          <w:rFonts w:ascii="宋体" w:hAnsi="宋体"/>
          <w:sz w:val="28"/>
          <w:szCs w:val="21"/>
        </w:rPr>
      </w:pPr>
      <w:r>
        <w:rPr>
          <w:rFonts w:hint="eastAsia" w:ascii="宋体" w:hAnsi="宋体"/>
          <w:sz w:val="28"/>
          <w:szCs w:val="21"/>
        </w:rPr>
        <w:t>2022年度高交会官方微信、微博运维项目合同</w:t>
      </w:r>
    </w:p>
    <w:p>
      <w:pPr>
        <w:jc w:val="center"/>
        <w:rPr>
          <w:rFonts w:ascii="宋体" w:hAnsi="宋体"/>
          <w:szCs w:val="21"/>
        </w:rPr>
      </w:pPr>
      <w:r>
        <w:rPr>
          <w:rFonts w:hint="eastAsia" w:ascii="方正小标宋简体" w:hAnsi="方正小标宋简体" w:eastAsia="方正小标宋简体" w:cs="方正小标宋简体"/>
          <w:bCs/>
          <w:kern w:val="0"/>
          <w:sz w:val="28"/>
          <w:szCs w:val="28"/>
        </w:rPr>
        <w:t>（仅供参考）</w:t>
      </w: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48" w:type="dxa"/>
            <w:vAlign w:val="center"/>
          </w:tcPr>
          <w:p>
            <w:pPr>
              <w:rPr>
                <w:rFonts w:ascii="宋体" w:hAnsi="宋体"/>
                <w:szCs w:val="21"/>
              </w:rPr>
            </w:pPr>
            <w:r>
              <w:rPr>
                <w:rFonts w:hint="eastAsia" w:ascii="宋体" w:hAnsi="宋体"/>
                <w:szCs w:val="21"/>
              </w:rPr>
              <w:t>甲方：深圳会展中心管理有限责任公司</w:t>
            </w:r>
          </w:p>
          <w:p>
            <w:pPr>
              <w:rPr>
                <w:rFonts w:ascii="宋体" w:hAnsi="宋体"/>
                <w:szCs w:val="21"/>
                <w:u w:val="single"/>
              </w:rPr>
            </w:pPr>
            <w:r>
              <w:rPr>
                <w:rFonts w:hint="eastAsia" w:ascii="宋体" w:hAnsi="宋体"/>
                <w:szCs w:val="21"/>
              </w:rPr>
              <w:t>法人代表：</w:t>
            </w:r>
            <w:r>
              <w:rPr>
                <w:rFonts w:ascii="宋体" w:hAnsi="宋体"/>
                <w:szCs w:val="21"/>
                <w:u w:val="single"/>
              </w:rPr>
              <w:t xml:space="preserve">                  </w:t>
            </w:r>
          </w:p>
          <w:p>
            <w:pPr>
              <w:rPr>
                <w:rFonts w:ascii="宋体" w:hAnsi="宋体"/>
                <w:szCs w:val="21"/>
              </w:rPr>
            </w:pPr>
            <w:r>
              <w:rPr>
                <w:rFonts w:hint="eastAsia" w:ascii="宋体" w:hAnsi="宋体"/>
                <w:szCs w:val="21"/>
              </w:rPr>
              <w:t>联 系 人：</w:t>
            </w:r>
            <w:r>
              <w:rPr>
                <w:rFonts w:ascii="宋体" w:hAnsi="宋体"/>
                <w:szCs w:val="21"/>
                <w:u w:val="single"/>
              </w:rPr>
              <w:t xml:space="preserve">                  </w:t>
            </w:r>
          </w:p>
          <w:p>
            <w:pPr>
              <w:rPr>
                <w:rFonts w:ascii="宋体" w:hAnsi="宋体"/>
                <w:szCs w:val="21"/>
              </w:rPr>
            </w:pPr>
            <w:r>
              <w:rPr>
                <w:rFonts w:hint="eastAsia" w:ascii="宋体" w:hAnsi="宋体"/>
                <w:szCs w:val="21"/>
              </w:rPr>
              <w:t>联系电话：</w:t>
            </w:r>
            <w:r>
              <w:rPr>
                <w:rFonts w:ascii="宋体" w:hAnsi="宋体"/>
                <w:szCs w:val="21"/>
                <w:u w:val="single"/>
              </w:rPr>
              <w:t xml:space="preserve">                  </w:t>
            </w:r>
          </w:p>
          <w:p>
            <w:pPr>
              <w:rPr>
                <w:rFonts w:ascii="宋体" w:hAnsi="宋体"/>
                <w:szCs w:val="21"/>
              </w:rPr>
            </w:pPr>
            <w:r>
              <w:rPr>
                <w:rFonts w:hint="eastAsia" w:ascii="宋体" w:hAnsi="宋体"/>
                <w:szCs w:val="21"/>
              </w:rPr>
              <w:t>开户银行：</w:t>
            </w:r>
            <w:r>
              <w:rPr>
                <w:rFonts w:ascii="宋体" w:hAnsi="宋体"/>
                <w:szCs w:val="21"/>
                <w:u w:val="single"/>
              </w:rPr>
              <w:t xml:space="preserve">                  </w:t>
            </w:r>
          </w:p>
          <w:p>
            <w:pPr>
              <w:rPr>
                <w:rFonts w:ascii="宋体" w:hAnsi="宋体"/>
                <w:szCs w:val="21"/>
              </w:rPr>
            </w:pPr>
            <w:r>
              <w:rPr>
                <w:rFonts w:hint="eastAsia" w:ascii="宋体" w:hAnsi="宋体"/>
                <w:szCs w:val="21"/>
              </w:rPr>
              <w:t>银行账号：</w:t>
            </w:r>
            <w:r>
              <w:rPr>
                <w:rFonts w:ascii="宋体" w:hAnsi="宋体"/>
                <w:szCs w:val="21"/>
                <w:u w:val="single"/>
              </w:rPr>
              <w:t xml:space="preserve">                  </w:t>
            </w:r>
          </w:p>
        </w:tc>
        <w:tc>
          <w:tcPr>
            <w:tcW w:w="4148" w:type="dxa"/>
            <w:vAlign w:val="center"/>
          </w:tcPr>
          <w:p>
            <w:pPr>
              <w:spacing w:line="400" w:lineRule="exact"/>
              <w:rPr>
                <w:rFonts w:ascii="宋体" w:hAnsi="宋体"/>
                <w:szCs w:val="21"/>
              </w:rPr>
            </w:pPr>
            <w:r>
              <w:rPr>
                <w:rFonts w:hint="eastAsia" w:ascii="宋体" w:hAnsi="宋体"/>
                <w:szCs w:val="21"/>
              </w:rPr>
              <w:t>乙    方：</w:t>
            </w:r>
            <w:r>
              <w:rPr>
                <w:rFonts w:ascii="宋体" w:hAnsi="宋体"/>
                <w:szCs w:val="21"/>
                <w:u w:val="single"/>
              </w:rPr>
              <w:t xml:space="preserve">                  </w:t>
            </w:r>
          </w:p>
          <w:p>
            <w:pPr>
              <w:rPr>
                <w:rFonts w:ascii="宋体" w:hAnsi="宋体"/>
                <w:szCs w:val="21"/>
              </w:rPr>
            </w:pPr>
            <w:r>
              <w:rPr>
                <w:rFonts w:hint="eastAsia" w:ascii="宋体" w:hAnsi="宋体"/>
                <w:szCs w:val="21"/>
              </w:rPr>
              <w:t>法人代表：</w:t>
            </w:r>
            <w:r>
              <w:rPr>
                <w:rFonts w:ascii="宋体" w:hAnsi="宋体"/>
                <w:szCs w:val="21"/>
                <w:u w:val="single"/>
              </w:rPr>
              <w:t xml:space="preserve">                  </w:t>
            </w:r>
          </w:p>
          <w:p>
            <w:pPr>
              <w:rPr>
                <w:rFonts w:ascii="宋体" w:hAnsi="宋体"/>
                <w:szCs w:val="21"/>
              </w:rPr>
            </w:pPr>
            <w:r>
              <w:rPr>
                <w:rFonts w:hint="eastAsia" w:ascii="宋体" w:hAnsi="宋体"/>
                <w:szCs w:val="21"/>
              </w:rPr>
              <w:t>联 系 人：</w:t>
            </w:r>
            <w:r>
              <w:rPr>
                <w:rFonts w:ascii="宋体" w:hAnsi="宋体"/>
                <w:szCs w:val="21"/>
                <w:u w:val="single"/>
              </w:rPr>
              <w:t xml:space="preserve">                  </w:t>
            </w:r>
          </w:p>
          <w:p>
            <w:pPr>
              <w:rPr>
                <w:rFonts w:ascii="宋体" w:hAnsi="宋体"/>
                <w:szCs w:val="21"/>
              </w:rPr>
            </w:pPr>
            <w:r>
              <w:rPr>
                <w:rFonts w:hint="eastAsia" w:ascii="宋体" w:hAnsi="宋体"/>
                <w:szCs w:val="21"/>
              </w:rPr>
              <w:t>联系电话：</w:t>
            </w:r>
            <w:r>
              <w:rPr>
                <w:rFonts w:ascii="宋体" w:hAnsi="宋体"/>
                <w:szCs w:val="21"/>
                <w:u w:val="single"/>
              </w:rPr>
              <w:t xml:space="preserve">                  </w:t>
            </w:r>
          </w:p>
          <w:p>
            <w:pPr>
              <w:rPr>
                <w:rFonts w:ascii="宋体" w:hAnsi="宋体"/>
                <w:szCs w:val="21"/>
              </w:rPr>
            </w:pPr>
            <w:r>
              <w:rPr>
                <w:rFonts w:hint="eastAsia" w:ascii="宋体" w:hAnsi="宋体"/>
                <w:szCs w:val="21"/>
              </w:rPr>
              <w:t>开户银行：</w:t>
            </w:r>
            <w:r>
              <w:rPr>
                <w:rFonts w:ascii="宋体" w:hAnsi="宋体"/>
                <w:szCs w:val="21"/>
                <w:u w:val="single"/>
              </w:rPr>
              <w:t xml:space="preserve">                  </w:t>
            </w:r>
          </w:p>
          <w:p>
            <w:pPr>
              <w:rPr>
                <w:rFonts w:ascii="宋体" w:hAnsi="宋体"/>
                <w:szCs w:val="21"/>
              </w:rPr>
            </w:pPr>
            <w:r>
              <w:rPr>
                <w:rFonts w:hint="eastAsia" w:ascii="宋体" w:hAnsi="宋体"/>
                <w:szCs w:val="21"/>
              </w:rPr>
              <w:t>银行账号：</w:t>
            </w:r>
            <w:r>
              <w:rPr>
                <w:rFonts w:ascii="宋体" w:hAnsi="宋体"/>
                <w:szCs w:val="21"/>
                <w:u w:val="single"/>
              </w:rPr>
              <w:t xml:space="preserve">                  </w:t>
            </w:r>
          </w:p>
        </w:tc>
      </w:tr>
    </w:tbl>
    <w:p>
      <w:pPr>
        <w:pStyle w:val="2"/>
      </w:pPr>
    </w:p>
    <w:p>
      <w:pPr>
        <w:pStyle w:val="5"/>
        <w:spacing w:beforeLines="30"/>
        <w:ind w:firstLine="420" w:firstLineChars="200"/>
        <w:rPr>
          <w:rFonts w:hAnsi="宋体"/>
        </w:rPr>
      </w:pPr>
      <w:r>
        <w:rPr>
          <w:rFonts w:hint="eastAsia" w:ascii="Times New Roman" w:hAnsi="Times New Roman"/>
          <w:szCs w:val="24"/>
        </w:rPr>
        <w:t>甲乙双方经过友好协商，本着真诚合作、平等互利的原则，就</w:t>
      </w:r>
      <w:r>
        <w:rPr>
          <w:rFonts w:hint="eastAsia" w:hAnsi="宋体"/>
        </w:rPr>
        <w:t>甲方委托乙方提供名称为“高交会”（ID为szchtf）的微信公众号、名称为“高交会”的新浪微博号</w:t>
      </w:r>
      <w:r>
        <w:rPr>
          <w:rFonts w:hint="eastAsia" w:ascii="新宋体" w:hAnsi="新宋体" w:eastAsia="新宋体"/>
          <w:szCs w:val="21"/>
        </w:rPr>
        <w:t>的代理</w:t>
      </w:r>
      <w:r>
        <w:rPr>
          <w:rFonts w:hint="eastAsia" w:hAnsi="宋体"/>
        </w:rPr>
        <w:t>运营及维护管理等事宜达成以下协议：</w:t>
      </w:r>
    </w:p>
    <w:p>
      <w:pPr>
        <w:pStyle w:val="5"/>
        <w:spacing w:beforeLines="30"/>
        <w:ind w:firstLine="420" w:firstLineChars="200"/>
        <w:rPr>
          <w:rFonts w:hAnsi="宋体"/>
        </w:rPr>
      </w:pPr>
    </w:p>
    <w:p>
      <w:pPr>
        <w:spacing w:line="360" w:lineRule="auto"/>
        <w:jc w:val="center"/>
        <w:rPr>
          <w:rStyle w:val="29"/>
          <w:rFonts w:ascii="仿宋_GB2312" w:eastAsia="仿宋_GB2312"/>
          <w:b/>
          <w:sz w:val="32"/>
          <w:szCs w:val="20"/>
        </w:rPr>
      </w:pPr>
      <w:r>
        <w:rPr>
          <w:rFonts w:hint="eastAsia" w:ascii="仿宋_GB2312" w:eastAsia="仿宋_GB2312"/>
          <w:b/>
          <w:sz w:val="32"/>
        </w:rPr>
        <w:t>第一条 乙方</w:t>
      </w:r>
      <w:r>
        <w:rPr>
          <w:rFonts w:ascii="仿宋_GB2312" w:eastAsia="仿宋_GB2312"/>
          <w:b/>
          <w:sz w:val="32"/>
        </w:rPr>
        <w:t>服务</w:t>
      </w:r>
      <w:r>
        <w:rPr>
          <w:rFonts w:hint="eastAsia" w:ascii="仿宋_GB2312" w:eastAsia="仿宋_GB2312"/>
          <w:b/>
          <w:sz w:val="32"/>
        </w:rPr>
        <w:t>内容</w:t>
      </w:r>
    </w:p>
    <w:p>
      <w:pPr>
        <w:pStyle w:val="5"/>
        <w:spacing w:beforeLines="30"/>
        <w:ind w:firstLine="420" w:firstLineChars="200"/>
        <w:rPr>
          <w:rFonts w:ascii="Times New Roman" w:hAnsi="Times New Roman"/>
          <w:szCs w:val="24"/>
        </w:rPr>
      </w:pPr>
      <w:r>
        <w:rPr>
          <w:rFonts w:hint="eastAsia" w:ascii="Times New Roman" w:hAnsi="Times New Roman"/>
          <w:szCs w:val="24"/>
        </w:rPr>
        <w:t>服务时间： 年 月 日至 年 月 日，共 个月。</w:t>
      </w:r>
    </w:p>
    <w:p>
      <w:pPr>
        <w:pStyle w:val="5"/>
        <w:spacing w:beforeLines="30"/>
        <w:ind w:firstLine="420" w:firstLineChars="200"/>
        <w:rPr>
          <w:rFonts w:ascii="Times New Roman" w:hAnsi="Times New Roman"/>
          <w:szCs w:val="24"/>
        </w:rPr>
      </w:pPr>
      <w:r>
        <w:rPr>
          <w:rFonts w:hint="eastAsia" w:ascii="Times New Roman" w:hAnsi="Times New Roman"/>
          <w:szCs w:val="24"/>
        </w:rPr>
        <w:t>服务内容：高交会官方微信、微博平台的代理运营及维护管理，具体项目见下表：</w:t>
      </w:r>
    </w:p>
    <w:tbl>
      <w:tblPr>
        <w:tblStyle w:val="12"/>
        <w:tblW w:w="8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715"/>
        <w:gridCol w:w="31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48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spacing w:line="320" w:lineRule="exact"/>
              <w:jc w:val="center"/>
              <w:rPr>
                <w:b/>
              </w:rPr>
            </w:pPr>
            <w:r>
              <w:rPr>
                <w:rFonts w:hint="eastAsia"/>
                <w:b/>
              </w:rPr>
              <w:t>项目</w:t>
            </w:r>
          </w:p>
        </w:tc>
        <w:tc>
          <w:tcPr>
            <w:tcW w:w="3192"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20" w:lineRule="exact"/>
              <w:jc w:val="center"/>
              <w:rPr>
                <w:b/>
              </w:rPr>
            </w:pPr>
            <w:r>
              <w:rPr>
                <w:rFonts w:hint="eastAsia"/>
                <w:b/>
              </w:rPr>
              <w:t>内容</w:t>
            </w:r>
          </w:p>
        </w:tc>
        <w:tc>
          <w:tcPr>
            <w:tcW w:w="2656"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20" w:lineRule="exact"/>
              <w:jc w:val="center"/>
              <w:rPr>
                <w:b/>
              </w:rPr>
            </w:pPr>
            <w:r>
              <w:rPr>
                <w:rFonts w:hint="eastAsia"/>
                <w:b/>
              </w:rPr>
              <w:t>周期及数量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770" w:type="dxa"/>
            <w:vMerge w:val="restart"/>
            <w:tcBorders>
              <w:top w:val="single" w:color="auto" w:sz="4" w:space="0"/>
              <w:left w:val="single" w:color="auto" w:sz="4" w:space="0"/>
              <w:right w:val="single" w:color="auto" w:sz="4" w:space="0"/>
            </w:tcBorders>
            <w:vAlign w:val="center"/>
          </w:tcPr>
          <w:p>
            <w:pPr>
              <w:spacing w:line="320" w:lineRule="exact"/>
              <w:jc w:val="center"/>
            </w:pPr>
            <w:r>
              <w:rPr>
                <w:rFonts w:hint="eastAsia"/>
              </w:rPr>
              <w:t>微信</w:t>
            </w:r>
          </w:p>
        </w:tc>
        <w:tc>
          <w:tcPr>
            <w:tcW w:w="17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策划</w:t>
            </w:r>
          </w:p>
        </w:tc>
        <w:tc>
          <w:tcPr>
            <w:tcW w:w="319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微软雅黑" w:hAnsi="微软雅黑" w:eastAsia="微软雅黑"/>
                <w:sz w:val="22"/>
                <w:szCs w:val="28"/>
              </w:rPr>
            </w:pPr>
          </w:p>
        </w:tc>
        <w:tc>
          <w:tcPr>
            <w:tcW w:w="265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微软雅黑" w:hAnsi="微软雅黑" w:eastAsia="微软雅黑"/>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70" w:type="dxa"/>
            <w:vMerge w:val="continue"/>
            <w:tcBorders>
              <w:left w:val="single" w:color="auto" w:sz="4" w:space="0"/>
              <w:right w:val="single" w:color="auto" w:sz="4" w:space="0"/>
            </w:tcBorders>
            <w:vAlign w:val="center"/>
          </w:tcPr>
          <w:p>
            <w:pPr>
              <w:spacing w:line="320" w:lineRule="exact"/>
              <w:jc w:val="center"/>
            </w:pPr>
          </w:p>
        </w:tc>
        <w:tc>
          <w:tcPr>
            <w:tcW w:w="1715" w:type="dxa"/>
            <w:tcBorders>
              <w:top w:val="single" w:color="auto" w:sz="4" w:space="0"/>
              <w:left w:val="single" w:color="auto" w:sz="4" w:space="0"/>
              <w:right w:val="single" w:color="auto" w:sz="4" w:space="0"/>
            </w:tcBorders>
            <w:vAlign w:val="center"/>
          </w:tcPr>
          <w:p>
            <w:pPr>
              <w:spacing w:line="320" w:lineRule="exact"/>
              <w:jc w:val="center"/>
            </w:pPr>
            <w:r>
              <w:rPr>
                <w:rFonts w:hint="eastAsia"/>
              </w:rPr>
              <w:t>内容推送</w:t>
            </w:r>
          </w:p>
        </w:tc>
        <w:tc>
          <w:tcPr>
            <w:tcW w:w="3192" w:type="dxa"/>
            <w:tcBorders>
              <w:top w:val="single" w:color="auto" w:sz="4" w:space="0"/>
              <w:left w:val="single" w:color="auto" w:sz="4" w:space="0"/>
              <w:right w:val="single" w:color="auto" w:sz="4" w:space="0"/>
            </w:tcBorders>
            <w:vAlign w:val="center"/>
          </w:tcPr>
          <w:p>
            <w:pPr>
              <w:spacing w:line="320" w:lineRule="exact"/>
              <w:jc w:val="left"/>
              <w:rPr>
                <w:rFonts w:ascii="微软雅黑" w:hAnsi="微软雅黑" w:eastAsia="微软雅黑"/>
                <w:sz w:val="22"/>
                <w:szCs w:val="28"/>
              </w:rPr>
            </w:pPr>
          </w:p>
        </w:tc>
        <w:tc>
          <w:tcPr>
            <w:tcW w:w="2656" w:type="dxa"/>
            <w:tcBorders>
              <w:top w:val="single" w:color="auto" w:sz="4" w:space="0"/>
              <w:left w:val="single" w:color="auto" w:sz="4" w:space="0"/>
              <w:right w:val="single" w:color="auto" w:sz="4" w:space="0"/>
            </w:tcBorders>
            <w:vAlign w:val="center"/>
          </w:tcPr>
          <w:p>
            <w:pPr>
              <w:spacing w:line="320" w:lineRule="exact"/>
              <w:jc w:val="left"/>
              <w:rPr>
                <w:rFonts w:ascii="微软雅黑" w:hAnsi="微软雅黑" w:eastAsia="微软雅黑"/>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770" w:type="dxa"/>
            <w:vMerge w:val="continue"/>
            <w:tcBorders>
              <w:left w:val="single" w:color="auto" w:sz="4" w:space="0"/>
              <w:right w:val="single" w:color="auto" w:sz="4" w:space="0"/>
            </w:tcBorders>
            <w:vAlign w:val="center"/>
          </w:tcPr>
          <w:p>
            <w:pPr>
              <w:spacing w:line="320" w:lineRule="exact"/>
              <w:jc w:val="center"/>
            </w:pPr>
          </w:p>
        </w:tc>
        <w:tc>
          <w:tcPr>
            <w:tcW w:w="1715" w:type="dxa"/>
            <w:tcBorders>
              <w:left w:val="single" w:color="auto" w:sz="4" w:space="0"/>
              <w:bottom w:val="single" w:color="auto" w:sz="4" w:space="0"/>
              <w:right w:val="single" w:color="auto" w:sz="4" w:space="0"/>
            </w:tcBorders>
            <w:vAlign w:val="center"/>
          </w:tcPr>
          <w:p>
            <w:pPr>
              <w:spacing w:line="320" w:lineRule="exact"/>
              <w:jc w:val="center"/>
            </w:pPr>
            <w:r>
              <w:rPr>
                <w:rFonts w:hint="eastAsia"/>
              </w:rPr>
              <w:t>内容规划</w:t>
            </w:r>
          </w:p>
        </w:tc>
        <w:tc>
          <w:tcPr>
            <w:tcW w:w="3192" w:type="dxa"/>
            <w:tcBorders>
              <w:left w:val="single" w:color="auto" w:sz="4" w:space="0"/>
              <w:bottom w:val="single" w:color="auto" w:sz="4" w:space="0"/>
              <w:right w:val="single" w:color="auto" w:sz="4" w:space="0"/>
            </w:tcBorders>
            <w:vAlign w:val="center"/>
          </w:tcPr>
          <w:p>
            <w:pPr>
              <w:spacing w:line="320" w:lineRule="exact"/>
              <w:ind w:left="420"/>
              <w:jc w:val="left"/>
              <w:rPr>
                <w:rFonts w:ascii="微软雅黑" w:hAnsi="微软雅黑" w:eastAsia="微软雅黑"/>
                <w:sz w:val="22"/>
                <w:szCs w:val="28"/>
              </w:rPr>
            </w:pPr>
          </w:p>
        </w:tc>
        <w:tc>
          <w:tcPr>
            <w:tcW w:w="265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微软雅黑" w:hAnsi="微软雅黑" w:eastAsia="微软雅黑"/>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770" w:type="dxa"/>
            <w:vMerge w:val="continue"/>
            <w:tcBorders>
              <w:left w:val="single" w:color="auto" w:sz="4" w:space="0"/>
              <w:right w:val="single" w:color="auto" w:sz="4" w:space="0"/>
            </w:tcBorders>
            <w:vAlign w:val="center"/>
          </w:tcPr>
          <w:p>
            <w:pPr>
              <w:spacing w:line="320" w:lineRule="exact"/>
              <w:jc w:val="center"/>
            </w:pPr>
          </w:p>
        </w:tc>
        <w:tc>
          <w:tcPr>
            <w:tcW w:w="17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人工回复</w:t>
            </w:r>
          </w:p>
        </w:tc>
        <w:tc>
          <w:tcPr>
            <w:tcW w:w="319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微软雅黑" w:hAnsi="微软雅黑" w:eastAsia="微软雅黑"/>
                <w:sz w:val="22"/>
                <w:szCs w:val="28"/>
              </w:rPr>
            </w:pPr>
          </w:p>
        </w:tc>
        <w:tc>
          <w:tcPr>
            <w:tcW w:w="2656"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770" w:type="dxa"/>
            <w:vMerge w:val="continue"/>
            <w:tcBorders>
              <w:left w:val="single" w:color="auto" w:sz="4" w:space="0"/>
              <w:right w:val="single" w:color="auto" w:sz="4" w:space="0"/>
            </w:tcBorders>
            <w:vAlign w:val="center"/>
          </w:tcPr>
          <w:p>
            <w:pPr>
              <w:spacing w:line="320" w:lineRule="exact"/>
              <w:jc w:val="center"/>
            </w:pPr>
          </w:p>
        </w:tc>
        <w:tc>
          <w:tcPr>
            <w:tcW w:w="17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信息收集</w:t>
            </w:r>
          </w:p>
        </w:tc>
        <w:tc>
          <w:tcPr>
            <w:tcW w:w="319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微软雅黑" w:hAnsi="微软雅黑" w:eastAsia="微软雅黑"/>
                <w:sz w:val="22"/>
                <w:szCs w:val="28"/>
              </w:rPr>
            </w:pPr>
          </w:p>
        </w:tc>
        <w:tc>
          <w:tcPr>
            <w:tcW w:w="2656"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770" w:type="dxa"/>
            <w:vMerge w:val="continue"/>
            <w:tcBorders>
              <w:left w:val="single" w:color="auto" w:sz="4" w:space="0"/>
              <w:right w:val="single" w:color="auto" w:sz="4" w:space="0"/>
            </w:tcBorders>
            <w:vAlign w:val="center"/>
          </w:tcPr>
          <w:p>
            <w:pPr>
              <w:spacing w:line="320" w:lineRule="exact"/>
              <w:jc w:val="center"/>
            </w:pPr>
          </w:p>
        </w:tc>
        <w:tc>
          <w:tcPr>
            <w:tcW w:w="17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素材管理</w:t>
            </w:r>
          </w:p>
        </w:tc>
        <w:tc>
          <w:tcPr>
            <w:tcW w:w="319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微软雅黑" w:hAnsi="微软雅黑" w:eastAsia="微软雅黑"/>
                <w:sz w:val="22"/>
                <w:szCs w:val="28"/>
              </w:rPr>
            </w:pPr>
          </w:p>
        </w:tc>
        <w:tc>
          <w:tcPr>
            <w:tcW w:w="2656"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770" w:type="dxa"/>
            <w:vMerge w:val="continue"/>
            <w:tcBorders>
              <w:left w:val="single" w:color="auto" w:sz="4" w:space="0"/>
              <w:bottom w:val="single" w:color="auto" w:sz="4" w:space="0"/>
              <w:right w:val="single" w:color="auto" w:sz="4" w:space="0"/>
            </w:tcBorders>
            <w:vAlign w:val="center"/>
          </w:tcPr>
          <w:p>
            <w:pPr>
              <w:spacing w:line="320" w:lineRule="exact"/>
              <w:jc w:val="center"/>
            </w:pPr>
          </w:p>
        </w:tc>
        <w:tc>
          <w:tcPr>
            <w:tcW w:w="17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粉丝计划</w:t>
            </w:r>
          </w:p>
        </w:tc>
        <w:tc>
          <w:tcPr>
            <w:tcW w:w="319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微软雅黑" w:hAnsi="微软雅黑" w:eastAsia="微软雅黑"/>
                <w:sz w:val="22"/>
                <w:szCs w:val="28"/>
              </w:rPr>
            </w:pPr>
          </w:p>
        </w:tc>
        <w:tc>
          <w:tcPr>
            <w:tcW w:w="2656" w:type="dxa"/>
            <w:tcBorders>
              <w:left w:val="single" w:color="auto" w:sz="4" w:space="0"/>
              <w:right w:val="single" w:color="auto" w:sz="4" w:space="0"/>
            </w:tcBorders>
            <w:vAlign w:val="center"/>
          </w:tcPr>
          <w:p>
            <w:pPr>
              <w:spacing w:line="320" w:lineRule="exact"/>
              <w:jc w:val="left"/>
              <w:rPr>
                <w:rFonts w:ascii="微软雅黑" w:hAnsi="微软雅黑" w:eastAsia="微软雅黑"/>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770" w:type="dxa"/>
            <w:vMerge w:val="restart"/>
            <w:tcBorders>
              <w:left w:val="single" w:color="auto" w:sz="4" w:space="0"/>
              <w:right w:val="single" w:color="auto" w:sz="4" w:space="0"/>
            </w:tcBorders>
            <w:vAlign w:val="center"/>
          </w:tcPr>
          <w:p>
            <w:pPr>
              <w:spacing w:line="320" w:lineRule="exact"/>
              <w:jc w:val="center"/>
            </w:pPr>
            <w:r>
              <w:rPr>
                <w:rFonts w:hint="eastAsia"/>
              </w:rPr>
              <w:t>微博</w:t>
            </w:r>
          </w:p>
        </w:tc>
        <w:tc>
          <w:tcPr>
            <w:tcW w:w="17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基础内容发布</w:t>
            </w:r>
          </w:p>
        </w:tc>
        <w:tc>
          <w:tcPr>
            <w:tcW w:w="319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微软雅黑" w:hAnsi="微软雅黑" w:eastAsia="微软雅黑"/>
                <w:sz w:val="22"/>
                <w:szCs w:val="28"/>
              </w:rPr>
            </w:pPr>
          </w:p>
        </w:tc>
        <w:tc>
          <w:tcPr>
            <w:tcW w:w="2656" w:type="dxa"/>
            <w:tcBorders>
              <w:left w:val="single" w:color="auto" w:sz="4" w:space="0"/>
              <w:right w:val="single" w:color="auto" w:sz="4" w:space="0"/>
            </w:tcBorders>
            <w:vAlign w:val="center"/>
          </w:tcPr>
          <w:p>
            <w:pPr>
              <w:spacing w:line="320" w:lineRule="exact"/>
              <w:jc w:val="left"/>
              <w:rPr>
                <w:rFonts w:ascii="微软雅黑" w:hAnsi="微软雅黑" w:eastAsia="微软雅黑"/>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770" w:type="dxa"/>
            <w:vMerge w:val="continue"/>
            <w:tcBorders>
              <w:left w:val="single" w:color="auto" w:sz="4" w:space="0"/>
              <w:right w:val="single" w:color="auto" w:sz="4" w:space="0"/>
            </w:tcBorders>
            <w:vAlign w:val="center"/>
          </w:tcPr>
          <w:p>
            <w:pPr>
              <w:spacing w:line="320" w:lineRule="exact"/>
              <w:jc w:val="center"/>
            </w:pPr>
          </w:p>
        </w:tc>
        <w:tc>
          <w:tcPr>
            <w:tcW w:w="17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人工回复</w:t>
            </w:r>
          </w:p>
        </w:tc>
        <w:tc>
          <w:tcPr>
            <w:tcW w:w="319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微软雅黑" w:hAnsi="微软雅黑" w:eastAsia="微软雅黑"/>
                <w:sz w:val="22"/>
                <w:szCs w:val="28"/>
              </w:rPr>
            </w:pPr>
          </w:p>
        </w:tc>
        <w:tc>
          <w:tcPr>
            <w:tcW w:w="2656" w:type="dxa"/>
            <w:tcBorders>
              <w:left w:val="single" w:color="auto" w:sz="4" w:space="0"/>
              <w:right w:val="single" w:color="auto" w:sz="4" w:space="0"/>
            </w:tcBorders>
            <w:vAlign w:val="center"/>
          </w:tcPr>
          <w:p>
            <w:pPr>
              <w:spacing w:line="320" w:lineRule="exact"/>
              <w:jc w:val="center"/>
              <w:rPr>
                <w:rFonts w:ascii="微软雅黑" w:hAnsi="微软雅黑" w:eastAsia="微软雅黑"/>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770" w:type="dxa"/>
            <w:vMerge w:val="continue"/>
            <w:tcBorders>
              <w:left w:val="single" w:color="auto" w:sz="4" w:space="0"/>
              <w:right w:val="single" w:color="auto" w:sz="4" w:space="0"/>
            </w:tcBorders>
            <w:vAlign w:val="center"/>
          </w:tcPr>
          <w:p>
            <w:pPr>
              <w:spacing w:line="320" w:lineRule="exact"/>
              <w:jc w:val="center"/>
            </w:pPr>
          </w:p>
        </w:tc>
        <w:tc>
          <w:tcPr>
            <w:tcW w:w="17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舆情监督</w:t>
            </w:r>
          </w:p>
        </w:tc>
        <w:tc>
          <w:tcPr>
            <w:tcW w:w="319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微软雅黑" w:hAnsi="微软雅黑" w:eastAsia="微软雅黑"/>
                <w:sz w:val="22"/>
                <w:szCs w:val="28"/>
              </w:rPr>
            </w:pPr>
          </w:p>
        </w:tc>
        <w:tc>
          <w:tcPr>
            <w:tcW w:w="2656" w:type="dxa"/>
            <w:tcBorders>
              <w:left w:val="single" w:color="auto" w:sz="4" w:space="0"/>
              <w:right w:val="single" w:color="auto" w:sz="4" w:space="0"/>
            </w:tcBorders>
            <w:vAlign w:val="center"/>
          </w:tcPr>
          <w:p>
            <w:pPr>
              <w:spacing w:line="320" w:lineRule="exact"/>
              <w:jc w:val="center"/>
              <w:rPr>
                <w:rFonts w:ascii="微软雅黑" w:hAnsi="微软雅黑" w:eastAsia="微软雅黑"/>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770" w:type="dxa"/>
            <w:vMerge w:val="restart"/>
            <w:tcBorders>
              <w:left w:val="single" w:color="auto" w:sz="4" w:space="0"/>
              <w:right w:val="single" w:color="auto" w:sz="4" w:space="0"/>
            </w:tcBorders>
            <w:vAlign w:val="center"/>
          </w:tcPr>
          <w:p>
            <w:pPr>
              <w:spacing w:line="320" w:lineRule="exact"/>
              <w:jc w:val="center"/>
            </w:pPr>
            <w:r>
              <w:rPr>
                <w:rFonts w:hint="eastAsia"/>
              </w:rPr>
              <w:t>运营</w:t>
            </w:r>
          </w:p>
          <w:p>
            <w:pPr>
              <w:spacing w:line="320" w:lineRule="exact"/>
              <w:jc w:val="center"/>
            </w:pPr>
            <w:r>
              <w:rPr>
                <w:rFonts w:hint="eastAsia"/>
              </w:rPr>
              <w:t>总结</w:t>
            </w:r>
          </w:p>
        </w:tc>
        <w:tc>
          <w:tcPr>
            <w:tcW w:w="17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阶段报告</w:t>
            </w:r>
          </w:p>
        </w:tc>
        <w:tc>
          <w:tcPr>
            <w:tcW w:w="319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微软雅黑" w:hAnsi="微软雅黑" w:eastAsia="微软雅黑"/>
                <w:sz w:val="22"/>
                <w:szCs w:val="28"/>
              </w:rPr>
            </w:pPr>
          </w:p>
        </w:tc>
        <w:tc>
          <w:tcPr>
            <w:tcW w:w="2656" w:type="dxa"/>
            <w:tcBorders>
              <w:left w:val="single" w:color="auto" w:sz="4" w:space="0"/>
              <w:right w:val="single" w:color="auto" w:sz="4" w:space="0"/>
            </w:tcBorders>
            <w:vAlign w:val="center"/>
          </w:tcPr>
          <w:p>
            <w:pPr>
              <w:spacing w:line="320" w:lineRule="exact"/>
              <w:jc w:val="center"/>
              <w:rPr>
                <w:rFonts w:ascii="微软雅黑" w:hAnsi="微软雅黑" w:eastAsia="微软雅黑"/>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770" w:type="dxa"/>
            <w:vMerge w:val="continue"/>
            <w:tcBorders>
              <w:left w:val="single" w:color="auto" w:sz="4" w:space="0"/>
              <w:right w:val="single" w:color="auto" w:sz="4" w:space="0"/>
            </w:tcBorders>
            <w:vAlign w:val="center"/>
          </w:tcPr>
          <w:p>
            <w:pPr>
              <w:spacing w:line="320" w:lineRule="exact"/>
              <w:jc w:val="center"/>
            </w:pPr>
          </w:p>
        </w:tc>
        <w:tc>
          <w:tcPr>
            <w:tcW w:w="17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项目总结</w:t>
            </w:r>
          </w:p>
        </w:tc>
        <w:tc>
          <w:tcPr>
            <w:tcW w:w="319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微软雅黑" w:hAnsi="微软雅黑" w:eastAsia="微软雅黑"/>
                <w:sz w:val="22"/>
                <w:szCs w:val="28"/>
              </w:rPr>
            </w:pPr>
          </w:p>
        </w:tc>
        <w:tc>
          <w:tcPr>
            <w:tcW w:w="2656" w:type="dxa"/>
            <w:tcBorders>
              <w:left w:val="single" w:color="auto" w:sz="4" w:space="0"/>
              <w:right w:val="single" w:color="auto" w:sz="4" w:space="0"/>
            </w:tcBorders>
            <w:vAlign w:val="center"/>
          </w:tcPr>
          <w:p>
            <w:pPr>
              <w:spacing w:line="320" w:lineRule="exact"/>
              <w:jc w:val="left"/>
              <w:rPr>
                <w:rFonts w:ascii="微软雅黑" w:hAnsi="微软雅黑" w:eastAsia="微软雅黑"/>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8332" w:type="dxa"/>
            <w:gridSpan w:val="4"/>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价格：共计   万元</w:t>
            </w:r>
          </w:p>
        </w:tc>
      </w:tr>
    </w:tbl>
    <w:p>
      <w:pPr>
        <w:spacing w:line="360" w:lineRule="auto"/>
        <w:rPr>
          <w:rFonts w:ascii="仿宋_GB2312" w:eastAsia="仿宋_GB2312"/>
          <w:b/>
          <w:sz w:val="32"/>
        </w:rPr>
      </w:pPr>
    </w:p>
    <w:p>
      <w:pPr>
        <w:spacing w:line="360" w:lineRule="auto"/>
        <w:jc w:val="center"/>
        <w:rPr>
          <w:rFonts w:ascii="仿宋_GB2312" w:eastAsia="仿宋_GB2312"/>
          <w:b/>
          <w:sz w:val="32"/>
        </w:rPr>
      </w:pPr>
      <w:r>
        <w:rPr>
          <w:rFonts w:hint="eastAsia" w:ascii="仿宋_GB2312" w:eastAsia="仿宋_GB2312"/>
          <w:b/>
          <w:sz w:val="32"/>
        </w:rPr>
        <w:t>第二条 金额及付款</w:t>
      </w:r>
    </w:p>
    <w:p>
      <w:pPr>
        <w:spacing w:line="360" w:lineRule="auto"/>
        <w:ind w:left="742" w:leftChars="-1" w:hanging="744" w:hangingChars="353"/>
        <w:rPr>
          <w:rFonts w:ascii="宋体" w:hAnsi="宋体"/>
          <w:b/>
        </w:rPr>
      </w:pPr>
      <w:r>
        <w:rPr>
          <w:rFonts w:hint="eastAsia" w:ascii="宋体" w:hAnsi="宋体"/>
          <w:b/>
        </w:rPr>
        <w:t>一、项目金额</w:t>
      </w:r>
    </w:p>
    <w:p>
      <w:pPr>
        <w:spacing w:line="360" w:lineRule="auto"/>
        <w:ind w:left="424" w:leftChars="202"/>
        <w:rPr>
          <w:rFonts w:ascii="宋体" w:hAnsi="宋体"/>
        </w:rPr>
      </w:pPr>
      <w:r>
        <w:rPr>
          <w:rFonts w:hint="eastAsia" w:ascii="宋体" w:hAnsi="宋体"/>
        </w:rPr>
        <w:t>本次项目服务费用为总价人民币</w:t>
      </w:r>
      <w:r>
        <w:rPr>
          <w:rFonts w:hint="eastAsia" w:ascii="宋体" w:hAnsi="宋体"/>
          <w:u w:val="single"/>
        </w:rPr>
        <w:t xml:space="preserve">         </w:t>
      </w:r>
      <w:r>
        <w:rPr>
          <w:rFonts w:hint="eastAsia" w:ascii="宋体" w:hAnsi="宋体"/>
        </w:rPr>
        <w:t>元（大写：   万圆整，此费用含税）。</w:t>
      </w:r>
    </w:p>
    <w:p>
      <w:pPr>
        <w:spacing w:line="360" w:lineRule="auto"/>
        <w:ind w:left="742" w:leftChars="-1" w:hanging="744" w:hangingChars="353"/>
        <w:rPr>
          <w:rFonts w:ascii="宋体" w:hAnsi="宋体"/>
          <w:b/>
        </w:rPr>
      </w:pPr>
      <w:r>
        <w:rPr>
          <w:rFonts w:hint="eastAsia" w:ascii="宋体" w:hAnsi="宋体"/>
          <w:b/>
        </w:rPr>
        <w:t>二、付款事宜</w:t>
      </w:r>
    </w:p>
    <w:p>
      <w:pPr>
        <w:pStyle w:val="5"/>
        <w:spacing w:beforeLines="30"/>
        <w:ind w:firstLine="420" w:firstLineChars="200"/>
        <w:rPr>
          <w:rFonts w:ascii="Times New Roman" w:hAnsi="Times New Roman"/>
          <w:szCs w:val="24"/>
        </w:rPr>
      </w:pPr>
      <w:r>
        <w:rPr>
          <w:rFonts w:hint="eastAsia" w:ascii="Times New Roman" w:hAnsi="Times New Roman"/>
          <w:szCs w:val="24"/>
        </w:rPr>
        <w:t>1、双方签订合同后的十五个工作日内，招标人支付给中标单位合同总金额的50%；项目结束、投标单位提交项目总结报告且经招标人验收合格后的十五个工作日内，招标人支付给中标单位合同总金额剩余的50%</w:t>
      </w:r>
    </w:p>
    <w:p>
      <w:pPr>
        <w:pStyle w:val="5"/>
        <w:spacing w:beforeLines="30"/>
        <w:ind w:firstLine="420" w:firstLineChars="200"/>
        <w:rPr>
          <w:rFonts w:ascii="Times New Roman" w:hAnsi="Times New Roman"/>
          <w:szCs w:val="24"/>
        </w:rPr>
      </w:pPr>
      <w:r>
        <w:rPr>
          <w:rFonts w:hint="eastAsia" w:ascii="Times New Roman" w:hAnsi="Times New Roman"/>
          <w:szCs w:val="24"/>
        </w:rPr>
        <w:t>2、乙方收取本合同款项的指定银行帐户，如下：</w:t>
      </w:r>
    </w:p>
    <w:p>
      <w:pPr>
        <w:pStyle w:val="5"/>
        <w:spacing w:beforeLines="30"/>
        <w:ind w:firstLine="420" w:firstLineChars="200"/>
        <w:rPr>
          <w:rFonts w:ascii="Times New Roman" w:hAnsi="Times New Roman"/>
          <w:szCs w:val="24"/>
        </w:rPr>
      </w:pPr>
      <w:r>
        <w:rPr>
          <w:rFonts w:hint="eastAsia" w:ascii="Times New Roman" w:hAnsi="Times New Roman"/>
          <w:szCs w:val="24"/>
        </w:rPr>
        <w:t xml:space="preserve">开户行： </w:t>
      </w:r>
    </w:p>
    <w:p>
      <w:pPr>
        <w:pStyle w:val="5"/>
        <w:spacing w:beforeLines="30"/>
        <w:ind w:firstLine="420" w:firstLineChars="200"/>
        <w:rPr>
          <w:rFonts w:ascii="Times New Roman" w:hAnsi="Times New Roman"/>
          <w:szCs w:val="24"/>
        </w:rPr>
      </w:pPr>
      <w:r>
        <w:rPr>
          <w:rFonts w:hint="eastAsia" w:ascii="Times New Roman" w:hAnsi="Times New Roman"/>
          <w:szCs w:val="24"/>
        </w:rPr>
        <w:t xml:space="preserve">公司名： </w:t>
      </w:r>
    </w:p>
    <w:p>
      <w:pPr>
        <w:pStyle w:val="5"/>
        <w:spacing w:beforeLines="30"/>
        <w:ind w:firstLine="420" w:firstLineChars="200"/>
        <w:rPr>
          <w:rFonts w:ascii="Times New Roman" w:hAnsi="Times New Roman"/>
          <w:szCs w:val="24"/>
        </w:rPr>
      </w:pPr>
      <w:r>
        <w:rPr>
          <w:rFonts w:hint="eastAsia" w:ascii="Times New Roman" w:hAnsi="Times New Roman"/>
          <w:szCs w:val="24"/>
        </w:rPr>
        <w:t xml:space="preserve">帐号： </w:t>
      </w:r>
    </w:p>
    <w:p>
      <w:pPr>
        <w:spacing w:line="360" w:lineRule="auto"/>
        <w:jc w:val="left"/>
        <w:rPr>
          <w:rFonts w:ascii="仿宋_GB2312" w:eastAsia="仿宋_GB2312"/>
          <w:b/>
          <w:sz w:val="32"/>
        </w:rPr>
      </w:pPr>
    </w:p>
    <w:p>
      <w:pPr>
        <w:spacing w:line="360" w:lineRule="auto"/>
        <w:jc w:val="center"/>
        <w:rPr>
          <w:rFonts w:ascii="仿宋_GB2312" w:eastAsia="仿宋_GB2312"/>
          <w:b/>
          <w:sz w:val="32"/>
        </w:rPr>
      </w:pPr>
      <w:r>
        <w:rPr>
          <w:rFonts w:hint="eastAsia" w:ascii="仿宋_GB2312" w:eastAsia="仿宋_GB2312"/>
          <w:b/>
          <w:sz w:val="32"/>
        </w:rPr>
        <w:t>第三条 合同的生效及其它</w:t>
      </w:r>
    </w:p>
    <w:p>
      <w:pPr>
        <w:pStyle w:val="5"/>
        <w:spacing w:beforeLines="30"/>
        <w:rPr>
          <w:rFonts w:ascii="Times New Roman" w:hAnsi="Times New Roman"/>
          <w:b/>
          <w:szCs w:val="24"/>
        </w:rPr>
      </w:pPr>
      <w:r>
        <w:rPr>
          <w:rFonts w:hint="eastAsia" w:hAnsi="宋体"/>
          <w:b/>
        </w:rPr>
        <w:t>一、</w:t>
      </w:r>
      <w:r>
        <w:rPr>
          <w:rFonts w:hint="eastAsia" w:ascii="Times New Roman" w:hAnsi="Times New Roman"/>
          <w:b/>
          <w:szCs w:val="24"/>
        </w:rPr>
        <w:t>版权说明</w:t>
      </w:r>
    </w:p>
    <w:p>
      <w:pPr>
        <w:pStyle w:val="5"/>
        <w:spacing w:beforeLines="30"/>
        <w:ind w:firstLine="420" w:firstLineChars="200"/>
        <w:rPr>
          <w:rFonts w:ascii="Times New Roman" w:hAnsi="Times New Roman"/>
          <w:szCs w:val="24"/>
        </w:rPr>
      </w:pPr>
      <w:r>
        <w:rPr>
          <w:rFonts w:hint="eastAsia" w:ascii="Times New Roman" w:hAnsi="Times New Roman"/>
          <w:szCs w:val="24"/>
        </w:rPr>
        <w:t>1、</w:t>
      </w:r>
      <w:r>
        <w:rPr>
          <w:rFonts w:ascii="Times New Roman" w:hAnsi="Times New Roman"/>
          <w:szCs w:val="24"/>
        </w:rPr>
        <w:t>甲方在合作过程中提供的</w:t>
      </w:r>
      <w:r>
        <w:rPr>
          <w:rFonts w:hint="eastAsia" w:ascii="Times New Roman" w:hAnsi="Times New Roman"/>
          <w:szCs w:val="24"/>
        </w:rPr>
        <w:t>文档、文件、</w:t>
      </w:r>
      <w:r>
        <w:rPr>
          <w:rFonts w:ascii="Times New Roman" w:hAnsi="Times New Roman"/>
          <w:szCs w:val="24"/>
        </w:rPr>
        <w:t>照片、图片、图表、数据及其他资料，以及甲方提供给乙方作为参考的资料文章，</w:t>
      </w:r>
      <w:r>
        <w:rPr>
          <w:rFonts w:hint="eastAsia" w:ascii="Times New Roman" w:hAnsi="Times New Roman"/>
          <w:szCs w:val="24"/>
        </w:rPr>
        <w:t>著作权</w:t>
      </w:r>
      <w:r>
        <w:rPr>
          <w:rFonts w:ascii="Times New Roman" w:hAnsi="Times New Roman"/>
          <w:szCs w:val="24"/>
        </w:rPr>
        <w:t>均属于甲方，乙方仅限于为本合同的目的使用。</w:t>
      </w:r>
    </w:p>
    <w:p>
      <w:pPr>
        <w:pStyle w:val="5"/>
        <w:spacing w:beforeLines="30"/>
        <w:ind w:firstLine="420" w:firstLineChars="200"/>
        <w:rPr>
          <w:rFonts w:ascii="Times New Roman" w:hAnsi="Times New Roman"/>
          <w:szCs w:val="24"/>
        </w:rPr>
      </w:pPr>
      <w:r>
        <w:rPr>
          <w:rFonts w:hint="eastAsia" w:ascii="Times New Roman" w:hAnsi="Times New Roman"/>
          <w:szCs w:val="24"/>
        </w:rPr>
        <w:t>2、本合同项目结束，并且甲方支付完毕全部款项后，甲方享有委托乙方创作的全部微信运营内容（含文字、图画及其组合）的版权。</w:t>
      </w:r>
    </w:p>
    <w:p>
      <w:pPr>
        <w:pStyle w:val="5"/>
        <w:spacing w:beforeLines="30"/>
        <w:rPr>
          <w:rFonts w:ascii="Times New Roman" w:hAnsi="Times New Roman"/>
          <w:szCs w:val="24"/>
        </w:rPr>
      </w:pPr>
      <w:r>
        <w:rPr>
          <w:rFonts w:hint="eastAsia" w:hAnsi="宋体"/>
          <w:b/>
        </w:rPr>
        <w:t>二、保密协议</w:t>
      </w:r>
    </w:p>
    <w:p>
      <w:pPr>
        <w:pStyle w:val="5"/>
        <w:spacing w:beforeLines="30"/>
        <w:ind w:firstLine="420" w:firstLineChars="200"/>
        <w:rPr>
          <w:rFonts w:ascii="Times New Roman" w:hAnsi="Times New Roman"/>
          <w:szCs w:val="24"/>
        </w:rPr>
      </w:pPr>
      <w:r>
        <w:rPr>
          <w:rFonts w:hint="eastAsia" w:ascii="Times New Roman" w:hAnsi="Times New Roman"/>
          <w:szCs w:val="24"/>
        </w:rPr>
        <w:t xml:space="preserve">1、甲、乙双方所提供给对方的一切资料，包括对项目的策划、运营执行、设计方案要严格保密，并只能在合作双方公司以后各自的业务范围内使用。  </w:t>
      </w:r>
    </w:p>
    <w:p>
      <w:pPr>
        <w:pStyle w:val="5"/>
        <w:spacing w:beforeLines="30"/>
        <w:ind w:firstLine="420" w:firstLineChars="200"/>
        <w:rPr>
          <w:rFonts w:ascii="Times New Roman" w:hAnsi="Times New Roman"/>
          <w:szCs w:val="24"/>
        </w:rPr>
      </w:pPr>
      <w:r>
        <w:rPr>
          <w:rFonts w:hint="eastAsia" w:ascii="Times New Roman" w:hAnsi="Times New Roman"/>
          <w:szCs w:val="24"/>
        </w:rPr>
        <w:t>2、甲、乙双方对履行本合同过程中，所获知的对方商业秘密进行保密。凡未经双方书面同意而直接、间接、口头或者书面的形式，向第三方提供涉及保密内容的行为，均属泄密。</w:t>
      </w:r>
    </w:p>
    <w:p>
      <w:pPr>
        <w:pStyle w:val="5"/>
        <w:spacing w:beforeLines="30"/>
        <w:ind w:firstLine="420" w:firstLineChars="200"/>
        <w:rPr>
          <w:rFonts w:ascii="Times New Roman" w:hAnsi="Times New Roman"/>
          <w:szCs w:val="24"/>
        </w:rPr>
      </w:pPr>
      <w:r>
        <w:rPr>
          <w:rFonts w:hint="eastAsia" w:ascii="Times New Roman" w:hAnsi="Times New Roman"/>
          <w:szCs w:val="24"/>
        </w:rPr>
        <w:t>3、本合同的终止、撤消、无效不应影响本条款约定的效力。</w:t>
      </w:r>
    </w:p>
    <w:p>
      <w:pPr>
        <w:pStyle w:val="5"/>
        <w:spacing w:beforeLines="30"/>
        <w:rPr>
          <w:rFonts w:ascii="Times New Roman" w:hAnsi="Times New Roman"/>
          <w:b/>
          <w:szCs w:val="24"/>
        </w:rPr>
      </w:pPr>
      <w:r>
        <w:rPr>
          <w:rFonts w:hint="eastAsia" w:ascii="Times New Roman" w:hAnsi="Times New Roman"/>
          <w:b/>
          <w:szCs w:val="24"/>
        </w:rPr>
        <w:t>三、不可抗力及免责条款</w:t>
      </w:r>
    </w:p>
    <w:p>
      <w:pPr>
        <w:pStyle w:val="5"/>
        <w:spacing w:beforeLines="30"/>
        <w:ind w:firstLine="420" w:firstLineChars="200"/>
        <w:rPr>
          <w:rFonts w:ascii="Times New Roman" w:hAnsi="Times New Roman"/>
          <w:szCs w:val="24"/>
        </w:rPr>
      </w:pPr>
      <w:r>
        <w:rPr>
          <w:rFonts w:hint="eastAsia" w:ascii="Times New Roman" w:hAnsi="Times New Roman"/>
          <w:szCs w:val="24"/>
        </w:rPr>
        <w:t>1、任何一方在本合同的任何执行阶段，因疫情、动乱、暴乱、火灾、水灾、风暴、爆炸、战争、政府行为、地震或任何其它双方不能预见、不能避免并不能克服的因素而没能履行其本合同全部或部分义务时，甲乙双方之义务应暂时相互冻结，同时双方应尽力避免损失的扩大。</w:t>
      </w:r>
    </w:p>
    <w:p>
      <w:pPr>
        <w:pStyle w:val="5"/>
        <w:spacing w:beforeLines="30"/>
        <w:ind w:firstLine="420" w:firstLineChars="200"/>
        <w:rPr>
          <w:rFonts w:ascii="Times New Roman" w:hAnsi="Times New Roman"/>
          <w:szCs w:val="24"/>
        </w:rPr>
      </w:pPr>
      <w:r>
        <w:rPr>
          <w:rFonts w:hint="eastAsia" w:ascii="Times New Roman" w:hAnsi="Times New Roman"/>
          <w:szCs w:val="24"/>
        </w:rPr>
        <w:t>2、因互联网的不可预见性及国家政策的调整变化，乙方在任何情况下不就因使用或不能使用腾讯微信平台及新浪微博平台所发生的特殊、意外的、直接或间接的损失承担任何赔偿责任。</w:t>
      </w:r>
    </w:p>
    <w:p>
      <w:pPr>
        <w:pStyle w:val="5"/>
        <w:spacing w:beforeLines="30"/>
        <w:rPr>
          <w:rFonts w:ascii="Times New Roman" w:hAnsi="Times New Roman"/>
          <w:b/>
          <w:szCs w:val="24"/>
        </w:rPr>
      </w:pPr>
      <w:r>
        <w:rPr>
          <w:rFonts w:hint="eastAsia" w:ascii="Times New Roman" w:hAnsi="Times New Roman"/>
          <w:b/>
          <w:szCs w:val="24"/>
        </w:rPr>
        <w:t>四、争议与解决</w:t>
      </w:r>
    </w:p>
    <w:p>
      <w:pPr>
        <w:pStyle w:val="5"/>
        <w:spacing w:beforeLines="30"/>
        <w:ind w:firstLine="420" w:firstLineChars="200"/>
        <w:rPr>
          <w:rFonts w:ascii="Times New Roman" w:hAnsi="Times New Roman"/>
          <w:szCs w:val="24"/>
        </w:rPr>
      </w:pPr>
      <w:r>
        <w:rPr>
          <w:rFonts w:hint="eastAsia" w:ascii="Times New Roman" w:hAnsi="Times New Roman"/>
          <w:szCs w:val="24"/>
        </w:rPr>
        <w:t>1、甲乙双方应正当行使权利、履行义务，保证本协议的顺利进行。</w:t>
      </w:r>
    </w:p>
    <w:p>
      <w:pPr>
        <w:pStyle w:val="5"/>
        <w:spacing w:beforeLines="30"/>
        <w:ind w:firstLine="420" w:firstLineChars="200"/>
        <w:rPr>
          <w:rFonts w:ascii="Times New Roman" w:hAnsi="Times New Roman"/>
          <w:szCs w:val="24"/>
        </w:rPr>
      </w:pPr>
      <w:r>
        <w:rPr>
          <w:rFonts w:hint="eastAsia" w:ascii="Times New Roman" w:hAnsi="Times New Roman"/>
          <w:szCs w:val="24"/>
        </w:rPr>
        <w:t>2、甲、乙双方对本对本合同的订立、解释、履行、效力等发生争议时，应友好协商解决；协商不成的，双方同意向甲方所在地法院起诉。本合同的终止、撤消、无效不应影响前款约定的效力。</w:t>
      </w:r>
    </w:p>
    <w:p>
      <w:pPr>
        <w:pStyle w:val="5"/>
        <w:spacing w:beforeLines="30"/>
        <w:ind w:firstLine="420" w:firstLineChars="200"/>
        <w:rPr>
          <w:rFonts w:ascii="Times New Roman" w:hAnsi="Times New Roman"/>
          <w:szCs w:val="24"/>
        </w:rPr>
      </w:pPr>
      <w:r>
        <w:rPr>
          <w:rFonts w:hint="eastAsia" w:ascii="Times New Roman" w:hAnsi="Times New Roman"/>
          <w:szCs w:val="24"/>
        </w:rPr>
        <w:t>3、如果本合同任何条款，根据现行法律被确定为无效或无法实施，本合同的其他所有条款将继续有效。此种情况下，双方将以有效的约定替换该约定，且该有效约定应尽可能接近原约定和本合同相应的精神和宗旨。</w:t>
      </w:r>
    </w:p>
    <w:p>
      <w:pPr>
        <w:pStyle w:val="5"/>
        <w:spacing w:beforeLines="30"/>
        <w:rPr>
          <w:rFonts w:ascii="Times New Roman" w:hAnsi="Times New Roman"/>
          <w:b/>
          <w:szCs w:val="24"/>
        </w:rPr>
      </w:pPr>
      <w:r>
        <w:rPr>
          <w:rFonts w:hint="eastAsia" w:ascii="Times New Roman" w:hAnsi="Times New Roman"/>
          <w:b/>
          <w:szCs w:val="24"/>
        </w:rPr>
        <w:t>五、申明及保证</w:t>
      </w:r>
    </w:p>
    <w:p>
      <w:pPr>
        <w:pStyle w:val="5"/>
        <w:spacing w:beforeLines="30"/>
        <w:ind w:firstLine="420" w:firstLineChars="200"/>
        <w:rPr>
          <w:rFonts w:ascii="Times New Roman" w:hAnsi="Times New Roman"/>
          <w:szCs w:val="24"/>
        </w:rPr>
      </w:pPr>
      <w:r>
        <w:rPr>
          <w:rFonts w:hint="eastAsia" w:ascii="Times New Roman" w:hAnsi="Times New Roman"/>
          <w:szCs w:val="24"/>
        </w:rPr>
        <w:t>1、双方互相向对方声明、保证如下：</w:t>
      </w:r>
    </w:p>
    <w:p>
      <w:pPr>
        <w:pStyle w:val="5"/>
        <w:spacing w:beforeLines="30"/>
        <w:ind w:firstLine="420" w:firstLineChars="200"/>
        <w:rPr>
          <w:rFonts w:ascii="Times New Roman" w:hAnsi="Times New Roman"/>
          <w:szCs w:val="24"/>
        </w:rPr>
      </w:pPr>
      <w:r>
        <w:rPr>
          <w:rFonts w:hint="eastAsia" w:ascii="Times New Roman" w:hAnsi="Times New Roman"/>
          <w:szCs w:val="24"/>
        </w:rPr>
        <w:t>（a）本方为合法设立并有效存续的独立法人机构；</w:t>
      </w:r>
    </w:p>
    <w:p>
      <w:pPr>
        <w:pStyle w:val="5"/>
        <w:spacing w:beforeLines="30"/>
        <w:ind w:firstLine="420" w:firstLineChars="200"/>
        <w:rPr>
          <w:rFonts w:ascii="Times New Roman" w:hAnsi="Times New Roman"/>
          <w:szCs w:val="24"/>
        </w:rPr>
      </w:pPr>
      <w:r>
        <w:rPr>
          <w:rFonts w:hint="eastAsia" w:ascii="Times New Roman" w:hAnsi="Times New Roman"/>
          <w:szCs w:val="24"/>
        </w:rPr>
        <w:t>（b）本方有资格从事本协议下之合作，而该合作符合其经营范围之规定；</w:t>
      </w:r>
    </w:p>
    <w:p>
      <w:pPr>
        <w:pStyle w:val="5"/>
        <w:spacing w:beforeLines="30"/>
        <w:ind w:firstLine="420" w:firstLineChars="200"/>
        <w:rPr>
          <w:rFonts w:ascii="Times New Roman" w:hAnsi="Times New Roman"/>
          <w:szCs w:val="24"/>
        </w:rPr>
      </w:pPr>
      <w:r>
        <w:rPr>
          <w:rFonts w:hint="eastAsia" w:ascii="Times New Roman" w:hAnsi="Times New Roman"/>
          <w:szCs w:val="24"/>
        </w:rPr>
        <w:t>（c）本方授权代表已获得充分授权可代表本方签署本协议；</w:t>
      </w:r>
    </w:p>
    <w:p>
      <w:pPr>
        <w:pStyle w:val="5"/>
        <w:spacing w:beforeLines="30"/>
        <w:ind w:firstLine="420" w:firstLineChars="200"/>
        <w:rPr>
          <w:rFonts w:ascii="Times New Roman" w:hAnsi="Times New Roman"/>
          <w:szCs w:val="24"/>
        </w:rPr>
      </w:pPr>
      <w:r>
        <w:rPr>
          <w:rFonts w:hint="eastAsia" w:ascii="Times New Roman" w:hAnsi="Times New Roman"/>
          <w:szCs w:val="24"/>
        </w:rPr>
        <w:t>（d）本方有能力履行本方于本协议下之义务，并且履行本协议义务行为不违反任何对其有约束力的法律文件之限制。</w:t>
      </w:r>
    </w:p>
    <w:p>
      <w:pPr>
        <w:pStyle w:val="5"/>
        <w:spacing w:beforeLines="30"/>
        <w:ind w:firstLine="420" w:firstLineChars="200"/>
        <w:rPr>
          <w:rFonts w:ascii="Times New Roman" w:hAnsi="Times New Roman"/>
          <w:szCs w:val="24"/>
        </w:rPr>
      </w:pPr>
      <w:r>
        <w:rPr>
          <w:rFonts w:hint="eastAsia" w:ascii="Times New Roman" w:hAnsi="Times New Roman"/>
          <w:szCs w:val="24"/>
        </w:rPr>
        <w:t>2、双方保证所提供的、用于高交会双微平台运营使用的文件（包括文档、图片、视频等素材资料）不违反国家法律，不损害第三方合法权益（包括但不限于第三方的著作权和其他人身、财产权利）。否则一方有权要求另一方改正，若某方不予改正而导致任何不良的后果，则由该方负责解决及承担责任。</w:t>
      </w:r>
    </w:p>
    <w:p>
      <w:pPr>
        <w:pStyle w:val="5"/>
        <w:spacing w:beforeLines="30"/>
        <w:ind w:firstLine="420" w:firstLineChars="200"/>
        <w:rPr>
          <w:rFonts w:ascii="Times New Roman" w:hAnsi="Times New Roman"/>
          <w:szCs w:val="24"/>
        </w:rPr>
      </w:pPr>
      <w:r>
        <w:rPr>
          <w:rFonts w:hint="eastAsia" w:ascii="Times New Roman" w:hAnsi="Times New Roman"/>
          <w:szCs w:val="24"/>
        </w:rPr>
        <w:t>3、乙方必须保证对本项目下出产的文案、设计、视频等内容，不得有欺骗、抄袭等侵权行为，不会违反法律法规或侵犯任何第三方的合法权益（包括但不限于著作权/其他人身、财产权利）。若因此导致任何争议、投诉、索赔、诉讼等后果，与甲方无关，如果对甲方造成损失的，应当赔偿甲方损失。甲方在使用项目成果的任何一部分（包括文案、图片的转载）时，免受第三方提出的涉及侵犯知识产权的起诉，由此所带来的任何法律和经济赔偿责任全部由乙方自行承担，与甲方无关。</w:t>
      </w:r>
    </w:p>
    <w:p>
      <w:pPr>
        <w:pStyle w:val="5"/>
        <w:spacing w:beforeLines="30"/>
        <w:rPr>
          <w:rFonts w:ascii="Times New Roman" w:hAnsi="Times New Roman"/>
          <w:b/>
          <w:szCs w:val="24"/>
        </w:rPr>
      </w:pPr>
      <w:r>
        <w:rPr>
          <w:rFonts w:hint="eastAsia" w:ascii="Times New Roman" w:hAnsi="Times New Roman"/>
          <w:b/>
          <w:szCs w:val="24"/>
        </w:rPr>
        <w:t>六、其它</w:t>
      </w:r>
    </w:p>
    <w:p>
      <w:pPr>
        <w:pStyle w:val="5"/>
        <w:spacing w:beforeLines="30"/>
        <w:ind w:firstLine="420" w:firstLineChars="200"/>
        <w:rPr>
          <w:rFonts w:ascii="Times New Roman" w:hAnsi="Times New Roman"/>
          <w:szCs w:val="24"/>
        </w:rPr>
      </w:pPr>
      <w:r>
        <w:rPr>
          <w:rFonts w:hint="eastAsia" w:ascii="Times New Roman" w:hAnsi="Times New Roman"/>
          <w:szCs w:val="24"/>
        </w:rPr>
        <w:t>1、本协议未尽事宜，由双方协商解决或另行签署补充协议。</w:t>
      </w:r>
    </w:p>
    <w:p>
      <w:pPr>
        <w:pStyle w:val="5"/>
        <w:spacing w:beforeLines="30"/>
        <w:ind w:firstLine="420" w:firstLineChars="200"/>
        <w:rPr>
          <w:rFonts w:ascii="Times New Roman" w:hAnsi="Times New Roman"/>
          <w:szCs w:val="24"/>
        </w:rPr>
      </w:pPr>
      <w:r>
        <w:rPr>
          <w:rFonts w:hint="eastAsia" w:ascii="Times New Roman" w:hAnsi="Times New Roman"/>
          <w:szCs w:val="24"/>
        </w:rPr>
        <w:t>2、本合同经双方授权代表签字并盖章，自签订日起生效。</w:t>
      </w:r>
    </w:p>
    <w:p>
      <w:pPr>
        <w:pStyle w:val="5"/>
        <w:spacing w:beforeLines="30"/>
        <w:ind w:firstLine="420" w:firstLineChars="200"/>
        <w:rPr>
          <w:rFonts w:ascii="Times New Roman" w:hAnsi="Times New Roman"/>
          <w:szCs w:val="24"/>
        </w:rPr>
      </w:pPr>
      <w:r>
        <w:rPr>
          <w:rFonts w:hint="eastAsia" w:ascii="Times New Roman" w:hAnsi="Times New Roman"/>
          <w:szCs w:val="24"/>
        </w:rPr>
        <w:t>3、本协议正本一式四份，双方当事人各执两份，具有同等法律效力。</w:t>
      </w:r>
    </w:p>
    <w:p>
      <w:pPr>
        <w:pStyle w:val="5"/>
        <w:spacing w:beforeLines="30"/>
        <w:ind w:firstLine="420" w:firstLineChars="200"/>
        <w:rPr>
          <w:rFonts w:ascii="Times New Roman" w:hAnsi="Times New Roman"/>
          <w:szCs w:val="24"/>
        </w:rPr>
      </w:pPr>
    </w:p>
    <w:p>
      <w:pPr>
        <w:pStyle w:val="5"/>
        <w:spacing w:beforeLines="30"/>
        <w:ind w:firstLine="420" w:firstLineChars="200"/>
        <w:rPr>
          <w:rFonts w:ascii="Times New Roman" w:hAnsi="Times New Roman"/>
          <w:szCs w:val="24"/>
        </w:rPr>
      </w:pPr>
      <w:r>
        <w:rPr>
          <w:rFonts w:hint="eastAsia" w:ascii="Times New Roman" w:hAnsi="Times New Roman"/>
          <w:szCs w:val="24"/>
        </w:rPr>
        <w:t xml:space="preserve">甲方：深圳会展中心管理有限责任公司              乙方： </w:t>
      </w:r>
    </w:p>
    <w:p>
      <w:pPr>
        <w:pStyle w:val="5"/>
        <w:spacing w:beforeLines="30"/>
        <w:ind w:firstLine="420" w:firstLineChars="200"/>
        <w:rPr>
          <w:rFonts w:ascii="Times New Roman" w:hAnsi="Times New Roman"/>
          <w:szCs w:val="24"/>
        </w:rPr>
      </w:pPr>
      <w:r>
        <w:rPr>
          <w:rFonts w:hint="eastAsia" w:ascii="Times New Roman" w:hAnsi="Times New Roman"/>
          <w:szCs w:val="24"/>
        </w:rPr>
        <w:t>签字：                                          签字：</w:t>
      </w:r>
    </w:p>
    <w:p>
      <w:pPr>
        <w:pStyle w:val="5"/>
        <w:spacing w:beforeLines="30"/>
        <w:ind w:firstLine="420" w:firstLineChars="200"/>
        <w:rPr>
          <w:rFonts w:ascii="Times New Roman" w:hAnsi="Times New Roman"/>
          <w:szCs w:val="24"/>
        </w:rPr>
      </w:pPr>
    </w:p>
    <w:p>
      <w:pPr>
        <w:pStyle w:val="5"/>
        <w:spacing w:beforeLines="30"/>
        <w:ind w:firstLine="420" w:firstLineChars="200"/>
        <w:rPr>
          <w:rFonts w:ascii="Times New Roman" w:hAnsi="Times New Roman"/>
          <w:szCs w:val="24"/>
        </w:rPr>
      </w:pPr>
      <w:r>
        <w:rPr>
          <w:rFonts w:hint="eastAsia" w:ascii="Times New Roman" w:hAnsi="Times New Roman"/>
          <w:szCs w:val="24"/>
        </w:rPr>
        <w:t>盖章：                                          盖章：</w:t>
      </w:r>
    </w:p>
    <w:p>
      <w:pPr>
        <w:pStyle w:val="5"/>
        <w:spacing w:beforeLines="30"/>
        <w:ind w:firstLine="420" w:firstLineChars="200"/>
        <w:rPr>
          <w:rFonts w:ascii="Times New Roman" w:hAnsi="Times New Roman"/>
          <w:szCs w:val="24"/>
        </w:rPr>
      </w:pPr>
    </w:p>
    <w:p>
      <w:pPr>
        <w:pStyle w:val="5"/>
        <w:spacing w:beforeLines="30"/>
        <w:ind w:firstLine="420" w:firstLineChars="200"/>
        <w:rPr>
          <w:rFonts w:ascii="Times New Roman" w:hAnsi="Times New Roman"/>
          <w:szCs w:val="24"/>
        </w:rPr>
      </w:pPr>
      <w:r>
        <w:rPr>
          <w:rFonts w:hint="eastAsia" w:ascii="Times New Roman" w:hAnsi="Times New Roman"/>
          <w:szCs w:val="24"/>
        </w:rPr>
        <w:t xml:space="preserve">        年    月   日                                    年    月    日</w:t>
      </w:r>
    </w:p>
    <w:p>
      <w:pPr>
        <w:pStyle w:val="5"/>
        <w:spacing w:beforeLines="30"/>
        <w:ind w:firstLine="420" w:firstLineChars="200"/>
        <w:rPr>
          <w:rFonts w:ascii="Times New Roman" w:hAnsi="Times New Roman"/>
          <w:szCs w:val="24"/>
        </w:rPr>
      </w:pPr>
    </w:p>
    <w:p>
      <w:pPr>
        <w:spacing w:line="360" w:lineRule="auto"/>
        <w:jc w:val="center"/>
        <w:rPr>
          <w:rFonts w:ascii="宋体" w:hAnsi="宋体"/>
        </w:rPr>
      </w:pPr>
      <w:r>
        <w:rPr>
          <w:rFonts w:hint="eastAsia" w:ascii="宋体" w:hAnsi="宋体"/>
        </w:rPr>
        <w:t>合同机密</w:t>
      </w:r>
      <w:r>
        <w:rPr>
          <w:rFonts w:ascii="宋体" w:hAnsi="宋体"/>
        </w:rPr>
        <w:t>,</w:t>
      </w:r>
      <w:r>
        <w:rPr>
          <w:rFonts w:hint="eastAsia" w:ascii="宋体" w:hAnsi="宋体"/>
        </w:rPr>
        <w:t>请勿泄露</w:t>
      </w:r>
    </w:p>
    <w:p>
      <w:pPr>
        <w:jc w:val="center"/>
        <w:sectPr>
          <w:footerReference r:id="rId4" w:type="default"/>
          <w:pgSz w:w="11906" w:h="16838"/>
          <w:pgMar w:top="1134" w:right="1800" w:bottom="993" w:left="1800" w:header="851" w:footer="409" w:gutter="0"/>
          <w:pgNumType w:start="1"/>
          <w:cols w:space="425" w:num="1"/>
          <w:docGrid w:type="lines" w:linePitch="312" w:charSpace="0"/>
        </w:sectPr>
      </w:pPr>
      <w:r>
        <w:rPr>
          <w:rFonts w:hint="eastAsia" w:ascii="仿宋_GB2312" w:eastAsia="仿宋_GB2312"/>
          <w:sz w:val="24"/>
        </w:rPr>
        <w:t>[本页以下无正文]</w:t>
      </w:r>
    </w:p>
    <w:p>
      <w:pPr>
        <w:spacing w:beforeLines="100" w:afterLines="100" w:line="360" w:lineRule="auto"/>
        <w:jc w:val="center"/>
        <w:outlineLvl w:val="0"/>
        <w:rPr>
          <w:rFonts w:ascii="仿宋" w:hAnsi="仿宋" w:eastAsia="仿宋"/>
          <w:sz w:val="32"/>
          <w:szCs w:val="32"/>
        </w:rPr>
      </w:pPr>
      <w:bookmarkStart w:id="49" w:name="_Toc82783896"/>
      <w:r>
        <w:rPr>
          <w:rFonts w:hint="eastAsia"/>
          <w:b/>
          <w:sz w:val="32"/>
          <w:szCs w:val="32"/>
        </w:rPr>
        <w:t>第五部分：参考附件</w:t>
      </w:r>
      <w:bookmarkEnd w:id="49"/>
    </w:p>
    <w:p>
      <w:pPr>
        <w:spacing w:line="0" w:lineRule="atLeast"/>
        <w:outlineLvl w:val="1"/>
        <w:rPr>
          <w:rFonts w:ascii="宋体" w:hAnsi="宋体"/>
          <w:szCs w:val="21"/>
        </w:rPr>
      </w:pPr>
      <w:bookmarkStart w:id="50" w:name="_Toc82783897"/>
      <w:r>
        <w:rPr>
          <w:rFonts w:hint="eastAsia" w:ascii="宋体" w:hAnsi="宋体"/>
          <w:szCs w:val="21"/>
        </w:rPr>
        <w:t>附件1：投标函</w:t>
      </w:r>
      <w:bookmarkEnd w:id="50"/>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Cs w:val="21"/>
        </w:rPr>
      </w:pPr>
      <w:r>
        <w:rPr>
          <w:rFonts w:hint="eastAsia" w:ascii="仿宋" w:hAnsi="仿宋" w:eastAsia="仿宋"/>
          <w:szCs w:val="21"/>
        </w:rPr>
        <w:t>致：</w:t>
      </w:r>
      <w:r>
        <w:rPr>
          <w:rFonts w:hint="eastAsia" w:ascii="仿宋" w:hAnsi="仿宋" w:eastAsia="仿宋"/>
          <w:szCs w:val="21"/>
          <w:u w:val="single"/>
        </w:rPr>
        <w:t>（招标人名称</w:t>
      </w:r>
      <w:r>
        <w:rPr>
          <w:rFonts w:ascii="仿宋" w:hAnsi="仿宋" w:eastAsia="仿宋"/>
          <w:szCs w:val="21"/>
          <w:u w:val="single"/>
        </w:rPr>
        <w:t xml:space="preserve">) </w:t>
      </w:r>
    </w:p>
    <w:p>
      <w:pPr>
        <w:autoSpaceDE w:val="0"/>
        <w:autoSpaceDN w:val="0"/>
        <w:adjustRightInd w:val="0"/>
        <w:snapToGrid w:val="0"/>
        <w:spacing w:line="340" w:lineRule="exact"/>
        <w:ind w:firstLine="420" w:firstLineChars="200"/>
        <w:rPr>
          <w:rFonts w:ascii="仿宋" w:hAnsi="仿宋" w:eastAsia="仿宋"/>
          <w:szCs w:val="21"/>
        </w:rPr>
      </w:pPr>
      <w:r>
        <w:rPr>
          <w:rFonts w:ascii="仿宋" w:hAnsi="仿宋" w:eastAsia="仿宋"/>
          <w:szCs w:val="21"/>
        </w:rPr>
        <w:t>1、在研究了</w:t>
      </w:r>
      <w:r>
        <w:rPr>
          <w:rFonts w:hint="eastAsia" w:ascii="仿宋" w:hAnsi="仿宋" w:eastAsia="仿宋"/>
          <w:szCs w:val="21"/>
        </w:rPr>
        <w:t>你方</w:t>
      </w:r>
      <w:r>
        <w:rPr>
          <w:rFonts w:ascii="仿宋" w:hAnsi="仿宋" w:eastAsia="仿宋"/>
          <w:szCs w:val="21"/>
        </w:rPr>
        <w:t>提供的招标文件</w:t>
      </w:r>
      <w:r>
        <w:rPr>
          <w:rFonts w:hint="eastAsia" w:ascii="仿宋" w:hAnsi="仿宋" w:eastAsia="仿宋"/>
          <w:szCs w:val="21"/>
        </w:rPr>
        <w:t>及澄清或修改文件</w:t>
      </w:r>
      <w:r>
        <w:rPr>
          <w:rFonts w:ascii="仿宋" w:hAnsi="仿宋" w:eastAsia="仿宋"/>
          <w:szCs w:val="21"/>
        </w:rPr>
        <w:t>后，</w:t>
      </w:r>
      <w:r>
        <w:rPr>
          <w:rFonts w:hint="eastAsia" w:ascii="仿宋" w:hAnsi="仿宋" w:eastAsia="仿宋"/>
          <w:szCs w:val="21"/>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20" w:firstLineChars="200"/>
        <w:jc w:val="left"/>
        <w:rPr>
          <w:rFonts w:ascii="仿宋" w:hAnsi="仿宋" w:eastAsia="仿宋"/>
          <w:szCs w:val="21"/>
        </w:rPr>
      </w:pPr>
      <w:r>
        <w:rPr>
          <w:rFonts w:ascii="仿宋" w:hAnsi="仿宋" w:eastAsia="仿宋"/>
          <w:szCs w:val="21"/>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20" w:firstLineChars="200"/>
        <w:jc w:val="left"/>
        <w:rPr>
          <w:rFonts w:ascii="仿宋" w:hAnsi="仿宋" w:eastAsia="仿宋"/>
          <w:bCs/>
          <w:szCs w:val="21"/>
        </w:rPr>
      </w:pPr>
      <w:r>
        <w:rPr>
          <w:rFonts w:ascii="仿宋" w:hAnsi="仿宋" w:eastAsia="仿宋"/>
          <w:szCs w:val="21"/>
        </w:rPr>
        <w:t>3、</w:t>
      </w:r>
      <w:r>
        <w:rPr>
          <w:rFonts w:hint="eastAsia" w:ascii="仿宋" w:hAnsi="仿宋" w:eastAsia="仿宋"/>
          <w:bCs/>
          <w:szCs w:val="21"/>
        </w:rPr>
        <w:t>本投标有效期为投标截止日起</w:t>
      </w:r>
      <w:r>
        <w:rPr>
          <w:rFonts w:ascii="仿宋" w:hAnsi="仿宋" w:eastAsia="仿宋"/>
          <w:bCs/>
          <w:szCs w:val="21"/>
          <w:u w:val="single"/>
        </w:rPr>
        <w:t xml:space="preserve"> 120 </w:t>
      </w:r>
      <w:r>
        <w:rPr>
          <w:rFonts w:hint="eastAsia" w:ascii="仿宋" w:hAnsi="仿宋" w:eastAsia="仿宋"/>
          <w:bCs/>
          <w:szCs w:val="21"/>
        </w:rPr>
        <w:t>日历日，我方保证在</w:t>
      </w:r>
      <w:r>
        <w:rPr>
          <w:rFonts w:ascii="仿宋" w:hAnsi="仿宋" w:eastAsia="仿宋"/>
          <w:szCs w:val="21"/>
        </w:rPr>
        <w:t>投标有效期内严格遵守本投标函的各项承诺。在此期限届满之前，本投标函将对我方具有约束力，并随时接受中标</w:t>
      </w:r>
      <w:r>
        <w:rPr>
          <w:rFonts w:hint="eastAsia" w:ascii="仿宋" w:hAnsi="仿宋" w:eastAsia="仿宋"/>
          <w:bCs/>
          <w:szCs w:val="21"/>
        </w:rPr>
        <w:t>。</w:t>
      </w:r>
    </w:p>
    <w:p>
      <w:pPr>
        <w:autoSpaceDE w:val="0"/>
        <w:autoSpaceDN w:val="0"/>
        <w:adjustRightInd w:val="0"/>
        <w:snapToGrid w:val="0"/>
        <w:spacing w:line="340" w:lineRule="exact"/>
        <w:ind w:firstLine="420" w:firstLineChars="200"/>
        <w:jc w:val="left"/>
        <w:rPr>
          <w:rFonts w:ascii="仿宋" w:hAnsi="仿宋" w:eastAsia="仿宋"/>
          <w:bCs/>
          <w:szCs w:val="21"/>
        </w:rPr>
      </w:pPr>
      <w:r>
        <w:rPr>
          <w:rFonts w:ascii="仿宋" w:hAnsi="仿宋" w:eastAsia="仿宋"/>
          <w:bCs/>
          <w:szCs w:val="21"/>
        </w:rPr>
        <w:t>4、我方同意按照你方的要求提供与本投标有关的一切数据或资料，完全理解你方不一定要接受最低价的投标或收到的任何投标。</w:t>
      </w:r>
      <w:r>
        <w:rPr>
          <w:rFonts w:ascii="仿宋" w:hAnsi="仿宋" w:eastAsia="仿宋"/>
          <w:szCs w:val="21"/>
        </w:rPr>
        <w:t>同时也理解，</w:t>
      </w:r>
      <w:r>
        <w:rPr>
          <w:rFonts w:hint="eastAsia" w:ascii="仿宋" w:hAnsi="仿宋" w:eastAsia="仿宋"/>
          <w:szCs w:val="21"/>
        </w:rPr>
        <w:t>你</w:t>
      </w:r>
      <w:r>
        <w:rPr>
          <w:rFonts w:ascii="仿宋" w:hAnsi="仿宋" w:eastAsia="仿宋"/>
          <w:szCs w:val="21"/>
        </w:rPr>
        <w:t>方不负担我方的任何投标费用。</w:t>
      </w:r>
    </w:p>
    <w:p>
      <w:pPr>
        <w:autoSpaceDE w:val="0"/>
        <w:autoSpaceDN w:val="0"/>
        <w:adjustRightInd w:val="0"/>
        <w:snapToGrid w:val="0"/>
        <w:spacing w:line="340" w:lineRule="exact"/>
        <w:ind w:firstLine="420" w:firstLineChars="200"/>
        <w:jc w:val="left"/>
        <w:rPr>
          <w:rFonts w:ascii="仿宋" w:hAnsi="仿宋" w:eastAsia="仿宋"/>
          <w:bCs/>
          <w:szCs w:val="21"/>
        </w:rPr>
      </w:pPr>
      <w:r>
        <w:rPr>
          <w:rFonts w:ascii="仿宋" w:hAnsi="仿宋" w:eastAsia="仿宋"/>
          <w:bCs/>
          <w:szCs w:val="21"/>
        </w:rPr>
        <w:t>5、如果我方中标，我方保证按照招标文件规定的期限要求履行提供服务及有关责任和义务。</w:t>
      </w:r>
    </w:p>
    <w:p>
      <w:pPr>
        <w:autoSpaceDE w:val="0"/>
        <w:autoSpaceDN w:val="0"/>
        <w:adjustRightInd w:val="0"/>
        <w:snapToGrid w:val="0"/>
        <w:spacing w:line="340" w:lineRule="exact"/>
        <w:ind w:firstLine="420" w:firstLineChars="200"/>
        <w:jc w:val="left"/>
        <w:rPr>
          <w:rFonts w:ascii="仿宋" w:hAnsi="仿宋" w:eastAsia="仿宋"/>
          <w:bCs/>
          <w:szCs w:val="21"/>
        </w:rPr>
      </w:pPr>
      <w:r>
        <w:rPr>
          <w:rFonts w:ascii="仿宋" w:hAnsi="仿宋" w:eastAsia="仿宋"/>
          <w:bCs/>
          <w:szCs w:val="21"/>
        </w:rPr>
        <w:t>6、</w:t>
      </w:r>
      <w:r>
        <w:rPr>
          <w:rFonts w:ascii="仿宋" w:hAnsi="仿宋" w:eastAsia="仿宋"/>
          <w:szCs w:val="21"/>
        </w:rPr>
        <w:t>在合同协议书正式签署生效之前，本投标函连同</w:t>
      </w:r>
      <w:r>
        <w:rPr>
          <w:rFonts w:hint="eastAsia" w:ascii="仿宋" w:hAnsi="仿宋" w:eastAsia="仿宋"/>
          <w:szCs w:val="21"/>
        </w:rPr>
        <w:t>你方发出</w:t>
      </w:r>
      <w:r>
        <w:rPr>
          <w:rFonts w:ascii="仿宋" w:hAnsi="仿宋" w:eastAsia="仿宋"/>
          <w:szCs w:val="21"/>
        </w:rPr>
        <w:t>的中标通知书</w:t>
      </w:r>
      <w:r>
        <w:rPr>
          <w:rFonts w:hint="eastAsia" w:ascii="仿宋" w:hAnsi="仿宋" w:eastAsia="仿宋"/>
          <w:szCs w:val="21"/>
        </w:rPr>
        <w:t>，</w:t>
      </w:r>
      <w:r>
        <w:rPr>
          <w:rFonts w:ascii="仿宋" w:hAnsi="仿宋" w:eastAsia="仿宋"/>
          <w:szCs w:val="21"/>
        </w:rPr>
        <w:t>将构成</w:t>
      </w:r>
      <w:r>
        <w:rPr>
          <w:rFonts w:hint="eastAsia" w:ascii="仿宋" w:hAnsi="仿宋" w:eastAsia="仿宋"/>
          <w:szCs w:val="21"/>
        </w:rPr>
        <w:t>你我</w:t>
      </w:r>
      <w:r>
        <w:rPr>
          <w:rFonts w:ascii="仿宋" w:hAnsi="仿宋" w:eastAsia="仿宋"/>
          <w:szCs w:val="21"/>
        </w:rPr>
        <w:t>双方共同遵守的文件，对双方具有约束力。</w:t>
      </w:r>
    </w:p>
    <w:p>
      <w:pPr>
        <w:autoSpaceDE w:val="0"/>
        <w:autoSpaceDN w:val="0"/>
        <w:adjustRightInd w:val="0"/>
        <w:snapToGrid w:val="0"/>
        <w:spacing w:line="340" w:lineRule="exact"/>
        <w:ind w:firstLine="420" w:firstLineChars="200"/>
        <w:jc w:val="left"/>
        <w:rPr>
          <w:rFonts w:ascii="仿宋" w:hAnsi="仿宋" w:eastAsia="仿宋"/>
          <w:bCs/>
          <w:szCs w:val="21"/>
        </w:rPr>
      </w:pPr>
      <w:r>
        <w:rPr>
          <w:rFonts w:ascii="仿宋" w:hAnsi="仿宋" w:eastAsia="仿宋"/>
          <w:bCs/>
          <w:szCs w:val="21"/>
        </w:rPr>
        <w:t>7</w:t>
      </w:r>
      <w:r>
        <w:rPr>
          <w:rFonts w:hint="eastAsia" w:ascii="仿宋" w:hAnsi="仿宋" w:eastAsia="仿宋"/>
          <w:bCs/>
          <w:szCs w:val="21"/>
        </w:rPr>
        <w:t>、</w:t>
      </w:r>
      <w:r>
        <w:rPr>
          <w:rFonts w:ascii="仿宋" w:hAnsi="仿宋" w:eastAsia="仿宋"/>
          <w:bCs/>
          <w:szCs w:val="21"/>
        </w:rPr>
        <w:t>随同本投标函，</w:t>
      </w:r>
      <w:r>
        <w:rPr>
          <w:rFonts w:hint="eastAsia" w:ascii="仿宋" w:hAnsi="仿宋" w:eastAsia="仿宋"/>
          <w:bCs/>
          <w:szCs w:val="21"/>
        </w:rPr>
        <w:t>我方缴纳符合招标文件要求的</w:t>
      </w:r>
      <w:r>
        <w:rPr>
          <w:rFonts w:ascii="仿宋" w:hAnsi="仿宋" w:eastAsia="仿宋"/>
          <w:bCs/>
          <w:szCs w:val="21"/>
        </w:rPr>
        <w:t>投标</w:t>
      </w:r>
      <w:r>
        <w:rPr>
          <w:rFonts w:hint="eastAsia" w:ascii="仿宋" w:hAnsi="仿宋" w:eastAsia="仿宋"/>
          <w:bCs/>
          <w:szCs w:val="21"/>
        </w:rPr>
        <w:t>保证金</w:t>
      </w:r>
      <w:r>
        <w:rPr>
          <w:rFonts w:ascii="仿宋" w:hAnsi="仿宋" w:eastAsia="仿宋"/>
          <w:bCs/>
          <w:szCs w:val="21"/>
        </w:rPr>
        <w:t>。如果</w:t>
      </w:r>
      <w:r>
        <w:rPr>
          <w:rFonts w:hint="eastAsia" w:ascii="仿宋" w:hAnsi="仿宋" w:eastAsia="仿宋"/>
          <w:bCs/>
          <w:szCs w:val="21"/>
        </w:rPr>
        <w:t>我方存在以下任何一种行为时，</w:t>
      </w:r>
      <w:r>
        <w:rPr>
          <w:rFonts w:ascii="仿宋" w:hAnsi="仿宋" w:eastAsia="仿宋"/>
          <w:bCs/>
          <w:szCs w:val="21"/>
        </w:rPr>
        <w:t>你方有权</w:t>
      </w:r>
      <w:r>
        <w:rPr>
          <w:rFonts w:hint="eastAsia" w:ascii="仿宋" w:hAnsi="仿宋" w:eastAsia="仿宋"/>
          <w:bCs/>
          <w:szCs w:val="21"/>
        </w:rPr>
        <w:t>不予退还</w:t>
      </w:r>
      <w:r>
        <w:rPr>
          <w:rFonts w:ascii="仿宋" w:hAnsi="仿宋" w:eastAsia="仿宋"/>
          <w:bCs/>
          <w:szCs w:val="21"/>
        </w:rPr>
        <w:t>投标</w:t>
      </w:r>
      <w:r>
        <w:rPr>
          <w:rFonts w:hint="eastAsia" w:ascii="仿宋" w:hAnsi="仿宋" w:eastAsia="仿宋"/>
          <w:bCs/>
          <w:szCs w:val="21"/>
        </w:rPr>
        <w:t>保证金</w:t>
      </w:r>
      <w:r>
        <w:rPr>
          <w:rFonts w:ascii="仿宋" w:hAnsi="仿宋" w:eastAsia="仿宋"/>
          <w:bCs/>
          <w:szCs w:val="21"/>
        </w:rPr>
        <w:t>，</w:t>
      </w:r>
      <w:r>
        <w:rPr>
          <w:rFonts w:hint="eastAsia" w:ascii="仿宋" w:hAnsi="仿宋" w:eastAsia="仿宋"/>
          <w:bCs/>
          <w:szCs w:val="21"/>
        </w:rPr>
        <w:t>取消我方中标资格，</w:t>
      </w:r>
      <w:r>
        <w:rPr>
          <w:rFonts w:ascii="仿宋" w:hAnsi="仿宋" w:eastAsia="仿宋"/>
          <w:bCs/>
          <w:szCs w:val="21"/>
        </w:rPr>
        <w:t>另选中标单位</w:t>
      </w:r>
      <w:r>
        <w:rPr>
          <w:rFonts w:hint="eastAsia" w:ascii="仿宋" w:hAnsi="仿宋" w:eastAsia="仿宋"/>
          <w:szCs w:val="21"/>
        </w:rPr>
        <w:t>，给你方造成的损失超过我方投标保证金的，你方还有权要求我方对超过部分进行赔偿</w:t>
      </w:r>
      <w:r>
        <w:rPr>
          <w:rFonts w:hint="eastAsia" w:ascii="仿宋" w:hAnsi="仿宋" w:eastAsia="仿宋"/>
          <w:bCs/>
          <w:szCs w:val="21"/>
        </w:rPr>
        <w:t>：</w:t>
      </w:r>
    </w:p>
    <w:p>
      <w:pPr>
        <w:autoSpaceDE w:val="0"/>
        <w:autoSpaceDN w:val="0"/>
        <w:adjustRightInd w:val="0"/>
        <w:snapToGrid w:val="0"/>
        <w:spacing w:line="340" w:lineRule="exact"/>
        <w:ind w:firstLine="210" w:firstLineChars="100"/>
        <w:jc w:val="left"/>
        <w:rPr>
          <w:rFonts w:ascii="仿宋" w:hAnsi="仿宋" w:eastAsia="仿宋"/>
          <w:bCs/>
          <w:szCs w:val="21"/>
        </w:rPr>
      </w:pPr>
      <w:r>
        <w:rPr>
          <w:rFonts w:hint="eastAsia" w:ascii="仿宋" w:hAnsi="仿宋" w:eastAsia="仿宋"/>
          <w:bCs/>
          <w:szCs w:val="21"/>
        </w:rPr>
        <w:t>（</w:t>
      </w:r>
      <w:r>
        <w:rPr>
          <w:rFonts w:ascii="仿宋" w:hAnsi="仿宋" w:eastAsia="仿宋"/>
          <w:bCs/>
          <w:szCs w:val="21"/>
        </w:rPr>
        <w:t>1）投标截止时间后，</w:t>
      </w:r>
      <w:r>
        <w:rPr>
          <w:rFonts w:hint="eastAsia" w:ascii="仿宋" w:hAnsi="仿宋" w:eastAsia="仿宋"/>
          <w:bCs/>
          <w:szCs w:val="21"/>
        </w:rPr>
        <w:t>我方在</w:t>
      </w:r>
      <w:r>
        <w:rPr>
          <w:rFonts w:ascii="仿宋" w:hAnsi="仿宋" w:eastAsia="仿宋"/>
          <w:bCs/>
          <w:szCs w:val="21"/>
        </w:rPr>
        <w:t>投标有效期内撤回</w:t>
      </w:r>
      <w:r>
        <w:rPr>
          <w:rFonts w:hint="eastAsia" w:ascii="仿宋" w:hAnsi="仿宋" w:eastAsia="仿宋"/>
          <w:bCs/>
          <w:szCs w:val="21"/>
        </w:rPr>
        <w:t>或修改</w:t>
      </w:r>
      <w:r>
        <w:rPr>
          <w:rFonts w:ascii="仿宋" w:hAnsi="仿宋" w:eastAsia="仿宋"/>
          <w:bCs/>
          <w:szCs w:val="21"/>
        </w:rPr>
        <w:t>投标文件</w:t>
      </w:r>
      <w:r>
        <w:rPr>
          <w:rFonts w:hint="eastAsia" w:ascii="仿宋" w:hAnsi="仿宋" w:eastAsia="仿宋"/>
          <w:bCs/>
          <w:szCs w:val="21"/>
        </w:rPr>
        <w:t>；</w:t>
      </w:r>
      <w:r>
        <w:rPr>
          <w:rFonts w:ascii="仿宋" w:hAnsi="仿宋" w:eastAsia="仿宋"/>
          <w:bCs/>
          <w:szCs w:val="21"/>
        </w:rPr>
        <w:t>或</w:t>
      </w:r>
    </w:p>
    <w:p>
      <w:pPr>
        <w:autoSpaceDE w:val="0"/>
        <w:autoSpaceDN w:val="0"/>
        <w:adjustRightInd w:val="0"/>
        <w:snapToGrid w:val="0"/>
        <w:spacing w:line="340" w:lineRule="exact"/>
        <w:ind w:firstLine="210" w:firstLineChars="100"/>
        <w:jc w:val="left"/>
        <w:rPr>
          <w:rFonts w:ascii="仿宋" w:hAnsi="仿宋" w:eastAsia="仿宋"/>
          <w:bCs/>
          <w:szCs w:val="21"/>
        </w:rPr>
      </w:pPr>
      <w:r>
        <w:rPr>
          <w:rFonts w:hint="eastAsia" w:ascii="仿宋" w:hAnsi="仿宋" w:eastAsia="仿宋"/>
          <w:bCs/>
          <w:szCs w:val="21"/>
        </w:rPr>
        <w:t>（</w:t>
      </w:r>
      <w:r>
        <w:rPr>
          <w:rFonts w:ascii="仿宋" w:hAnsi="仿宋" w:eastAsia="仿宋"/>
          <w:bCs/>
          <w:szCs w:val="21"/>
        </w:rPr>
        <w:t>2）</w:t>
      </w:r>
      <w:r>
        <w:rPr>
          <w:rFonts w:hint="eastAsia" w:ascii="仿宋" w:hAnsi="仿宋" w:eastAsia="仿宋"/>
          <w:szCs w:val="21"/>
        </w:rPr>
        <w:t>我方在接到中标通知书后放弃中标</w:t>
      </w:r>
      <w:r>
        <w:rPr>
          <w:rFonts w:ascii="仿宋" w:hAnsi="仿宋" w:eastAsia="仿宋"/>
          <w:bCs/>
          <w:szCs w:val="21"/>
        </w:rPr>
        <w:t>；</w:t>
      </w:r>
      <w:r>
        <w:rPr>
          <w:rFonts w:hint="eastAsia" w:ascii="仿宋" w:hAnsi="仿宋" w:eastAsia="仿宋"/>
          <w:bCs/>
          <w:szCs w:val="21"/>
        </w:rPr>
        <w:t>或</w:t>
      </w:r>
    </w:p>
    <w:p>
      <w:pPr>
        <w:autoSpaceDE w:val="0"/>
        <w:autoSpaceDN w:val="0"/>
        <w:adjustRightInd w:val="0"/>
        <w:snapToGrid w:val="0"/>
        <w:spacing w:line="340" w:lineRule="exact"/>
        <w:ind w:firstLine="210" w:firstLineChars="100"/>
        <w:jc w:val="left"/>
        <w:rPr>
          <w:rFonts w:ascii="仿宋" w:hAnsi="仿宋" w:eastAsia="仿宋"/>
          <w:bCs/>
          <w:szCs w:val="21"/>
        </w:rPr>
      </w:pPr>
      <w:r>
        <w:rPr>
          <w:rFonts w:hint="eastAsia" w:ascii="仿宋" w:hAnsi="仿宋" w:eastAsia="仿宋"/>
          <w:bCs/>
          <w:szCs w:val="21"/>
        </w:rPr>
        <w:t>（</w:t>
      </w:r>
      <w:r>
        <w:rPr>
          <w:rFonts w:ascii="仿宋" w:hAnsi="仿宋" w:eastAsia="仿宋"/>
          <w:bCs/>
          <w:szCs w:val="21"/>
        </w:rPr>
        <w:t>3）我方自中标通知</w:t>
      </w:r>
      <w:r>
        <w:rPr>
          <w:rFonts w:hint="eastAsia" w:ascii="仿宋" w:hAnsi="仿宋" w:eastAsia="仿宋"/>
          <w:bCs/>
          <w:szCs w:val="21"/>
        </w:rPr>
        <w:t>书发出之日起</w:t>
      </w:r>
      <w:r>
        <w:rPr>
          <w:rFonts w:ascii="仿宋" w:hAnsi="仿宋" w:eastAsia="仿宋"/>
          <w:bCs/>
          <w:szCs w:val="21"/>
          <w:u w:val="single"/>
        </w:rPr>
        <w:t xml:space="preserve"> 30 </w:t>
      </w:r>
      <w:r>
        <w:rPr>
          <w:rFonts w:hint="eastAsia" w:ascii="仿宋" w:hAnsi="仿宋" w:eastAsia="仿宋"/>
          <w:bCs/>
          <w:szCs w:val="21"/>
        </w:rPr>
        <w:t>天内</w:t>
      </w:r>
      <w:r>
        <w:rPr>
          <w:rFonts w:ascii="仿宋" w:hAnsi="仿宋" w:eastAsia="仿宋"/>
          <w:bCs/>
          <w:szCs w:val="21"/>
        </w:rPr>
        <w:t>拒绝</w:t>
      </w:r>
      <w:r>
        <w:rPr>
          <w:rFonts w:hint="eastAsia" w:ascii="仿宋" w:hAnsi="仿宋" w:eastAsia="仿宋"/>
          <w:bCs/>
          <w:szCs w:val="21"/>
        </w:rPr>
        <w:t>按照你方指定的时间和地点</w:t>
      </w:r>
      <w:r>
        <w:rPr>
          <w:rFonts w:ascii="仿宋" w:hAnsi="仿宋" w:eastAsia="仿宋"/>
          <w:bCs/>
          <w:szCs w:val="21"/>
        </w:rPr>
        <w:t>签订合同</w:t>
      </w:r>
      <w:r>
        <w:rPr>
          <w:rFonts w:hint="eastAsia" w:ascii="仿宋" w:hAnsi="仿宋" w:eastAsia="仿宋"/>
          <w:bCs/>
          <w:szCs w:val="21"/>
        </w:rPr>
        <w:t>及附件；</w:t>
      </w:r>
      <w:r>
        <w:rPr>
          <w:rFonts w:ascii="仿宋" w:hAnsi="仿宋" w:eastAsia="仿宋"/>
          <w:bCs/>
          <w:szCs w:val="21"/>
        </w:rPr>
        <w:t>或</w:t>
      </w:r>
    </w:p>
    <w:p>
      <w:pPr>
        <w:autoSpaceDE w:val="0"/>
        <w:autoSpaceDN w:val="0"/>
        <w:adjustRightInd w:val="0"/>
        <w:snapToGrid w:val="0"/>
        <w:spacing w:line="340" w:lineRule="exact"/>
        <w:ind w:firstLine="210" w:firstLineChars="100"/>
        <w:jc w:val="left"/>
        <w:rPr>
          <w:rFonts w:ascii="仿宋" w:hAnsi="仿宋" w:eastAsia="仿宋"/>
          <w:bCs/>
          <w:szCs w:val="21"/>
        </w:rPr>
      </w:pPr>
      <w:r>
        <w:rPr>
          <w:rFonts w:hint="eastAsia" w:ascii="仿宋" w:hAnsi="仿宋" w:eastAsia="仿宋"/>
          <w:bCs/>
          <w:szCs w:val="21"/>
        </w:rPr>
        <w:t>（</w:t>
      </w:r>
      <w:r>
        <w:rPr>
          <w:rFonts w:ascii="仿宋" w:hAnsi="仿宋" w:eastAsia="仿宋"/>
          <w:bCs/>
          <w:szCs w:val="21"/>
        </w:rPr>
        <w:t>4）我方未能</w:t>
      </w:r>
      <w:r>
        <w:rPr>
          <w:rFonts w:hint="eastAsia" w:ascii="仿宋" w:hAnsi="仿宋" w:eastAsia="仿宋"/>
          <w:bCs/>
          <w:szCs w:val="21"/>
        </w:rPr>
        <w:t>按招标文件要求</w:t>
      </w:r>
      <w:r>
        <w:rPr>
          <w:rFonts w:ascii="仿宋" w:hAnsi="仿宋" w:eastAsia="仿宋"/>
          <w:bCs/>
          <w:szCs w:val="21"/>
        </w:rPr>
        <w:t>提交</w:t>
      </w:r>
      <w:r>
        <w:rPr>
          <w:rFonts w:hint="eastAsia" w:ascii="仿宋" w:hAnsi="仿宋" w:eastAsia="仿宋"/>
          <w:bCs/>
          <w:szCs w:val="21"/>
        </w:rPr>
        <w:t>足额</w:t>
      </w:r>
      <w:r>
        <w:rPr>
          <w:rFonts w:ascii="仿宋" w:hAnsi="仿宋" w:eastAsia="仿宋"/>
          <w:bCs/>
          <w:szCs w:val="21"/>
        </w:rPr>
        <w:t>履约</w:t>
      </w:r>
      <w:r>
        <w:rPr>
          <w:rFonts w:hint="eastAsia" w:ascii="仿宋" w:hAnsi="仿宋" w:eastAsia="仿宋"/>
          <w:bCs/>
          <w:szCs w:val="21"/>
        </w:rPr>
        <w:t>担保；或</w:t>
      </w:r>
    </w:p>
    <w:p>
      <w:pPr>
        <w:autoSpaceDE w:val="0"/>
        <w:autoSpaceDN w:val="0"/>
        <w:adjustRightInd w:val="0"/>
        <w:snapToGrid w:val="0"/>
        <w:spacing w:line="340" w:lineRule="exact"/>
        <w:ind w:firstLine="210" w:firstLineChars="100"/>
        <w:jc w:val="left"/>
        <w:rPr>
          <w:rFonts w:ascii="仿宋" w:hAnsi="仿宋" w:eastAsia="仿宋"/>
          <w:bCs/>
          <w:szCs w:val="21"/>
        </w:rPr>
      </w:pPr>
      <w:r>
        <w:rPr>
          <w:rFonts w:hint="eastAsia" w:ascii="仿宋" w:hAnsi="仿宋" w:eastAsia="仿宋"/>
          <w:bCs/>
          <w:szCs w:val="21"/>
        </w:rPr>
        <w:t>（</w:t>
      </w:r>
      <w:r>
        <w:rPr>
          <w:rFonts w:ascii="仿宋" w:hAnsi="仿宋" w:eastAsia="仿宋"/>
          <w:bCs/>
          <w:szCs w:val="21"/>
        </w:rPr>
        <w:t>5）我方在签订合同时提出你方不能接受的附加条件或者更改合同实质性内容的；或</w:t>
      </w:r>
    </w:p>
    <w:p>
      <w:pPr>
        <w:autoSpaceDE w:val="0"/>
        <w:autoSpaceDN w:val="0"/>
        <w:adjustRightInd w:val="0"/>
        <w:snapToGrid w:val="0"/>
        <w:spacing w:line="340" w:lineRule="exact"/>
        <w:ind w:firstLine="210" w:firstLineChars="100"/>
        <w:jc w:val="left"/>
        <w:rPr>
          <w:rFonts w:ascii="仿宋" w:hAnsi="仿宋" w:eastAsia="仿宋"/>
          <w:bCs/>
          <w:szCs w:val="21"/>
        </w:rPr>
      </w:pPr>
      <w:r>
        <w:rPr>
          <w:rFonts w:hint="eastAsia" w:ascii="仿宋" w:hAnsi="仿宋" w:eastAsia="仿宋"/>
          <w:bCs/>
          <w:szCs w:val="21"/>
        </w:rPr>
        <w:t>（</w:t>
      </w:r>
      <w:r>
        <w:rPr>
          <w:rFonts w:ascii="仿宋" w:hAnsi="仿宋" w:eastAsia="仿宋"/>
          <w:bCs/>
          <w:szCs w:val="21"/>
        </w:rPr>
        <w:t>6</w:t>
      </w:r>
      <w:r>
        <w:rPr>
          <w:rFonts w:hint="eastAsia" w:ascii="仿宋" w:hAnsi="仿宋" w:eastAsia="仿宋"/>
          <w:bCs/>
          <w:szCs w:val="21"/>
        </w:rPr>
        <w:t>）我方</w:t>
      </w:r>
      <w:r>
        <w:rPr>
          <w:rFonts w:ascii="仿宋" w:hAnsi="仿宋" w:eastAsia="仿宋"/>
          <w:bCs/>
          <w:szCs w:val="21"/>
        </w:rPr>
        <w:t>资质证书被暂扣或吊销，但仍参与投标的</w:t>
      </w:r>
      <w:r>
        <w:rPr>
          <w:rFonts w:hint="eastAsia" w:ascii="仿宋" w:hAnsi="仿宋" w:eastAsia="仿宋"/>
          <w:bCs/>
          <w:szCs w:val="21"/>
        </w:rPr>
        <w:t>；或</w:t>
      </w:r>
    </w:p>
    <w:p>
      <w:pPr>
        <w:autoSpaceDE w:val="0"/>
        <w:autoSpaceDN w:val="0"/>
        <w:adjustRightInd w:val="0"/>
        <w:snapToGrid w:val="0"/>
        <w:spacing w:line="340" w:lineRule="exact"/>
        <w:ind w:firstLine="210" w:firstLineChars="100"/>
        <w:jc w:val="left"/>
        <w:rPr>
          <w:rFonts w:ascii="仿宋" w:hAnsi="仿宋" w:eastAsia="仿宋"/>
          <w:bCs/>
          <w:szCs w:val="21"/>
        </w:rPr>
      </w:pPr>
      <w:r>
        <w:rPr>
          <w:rFonts w:hint="eastAsia" w:ascii="仿宋" w:hAnsi="仿宋" w:eastAsia="仿宋"/>
          <w:bCs/>
          <w:szCs w:val="21"/>
        </w:rPr>
        <w:t>（</w:t>
      </w:r>
      <w:r>
        <w:rPr>
          <w:rFonts w:ascii="仿宋" w:hAnsi="仿宋" w:eastAsia="仿宋"/>
          <w:bCs/>
          <w:szCs w:val="21"/>
        </w:rPr>
        <w:t>7</w:t>
      </w:r>
      <w:r>
        <w:rPr>
          <w:rFonts w:hint="eastAsia" w:ascii="仿宋" w:hAnsi="仿宋" w:eastAsia="仿宋"/>
          <w:bCs/>
          <w:szCs w:val="21"/>
        </w:rPr>
        <w:t>）我方有法律法规或招标文件中规定的可以不予退还投标保证金的其他行为。</w:t>
      </w:r>
    </w:p>
    <w:p>
      <w:pPr>
        <w:autoSpaceDE w:val="0"/>
        <w:autoSpaceDN w:val="0"/>
        <w:adjustRightInd w:val="0"/>
        <w:snapToGrid w:val="0"/>
        <w:spacing w:line="340" w:lineRule="exact"/>
        <w:ind w:firstLine="420" w:firstLineChars="200"/>
        <w:jc w:val="left"/>
        <w:rPr>
          <w:rFonts w:ascii="仿宋" w:hAnsi="仿宋" w:eastAsia="仿宋"/>
          <w:bCs/>
          <w:szCs w:val="21"/>
          <w:u w:val="single"/>
        </w:rPr>
      </w:pPr>
      <w:r>
        <w:rPr>
          <w:rFonts w:ascii="仿宋" w:hAnsi="仿宋" w:eastAsia="仿宋"/>
          <w:bCs/>
          <w:szCs w:val="21"/>
        </w:rPr>
        <w:t>8、与本投标有关的一切正式往来通讯请发往：</w:t>
      </w:r>
    </w:p>
    <w:p>
      <w:pPr>
        <w:autoSpaceDE w:val="0"/>
        <w:autoSpaceDN w:val="0"/>
        <w:adjustRightInd w:val="0"/>
        <w:snapToGrid w:val="0"/>
        <w:spacing w:line="340" w:lineRule="exact"/>
        <w:jc w:val="left"/>
        <w:rPr>
          <w:rFonts w:ascii="仿宋" w:hAnsi="仿宋" w:eastAsia="仿宋"/>
          <w:szCs w:val="21"/>
          <w:u w:val="single"/>
        </w:rPr>
      </w:pPr>
      <w:r>
        <w:rPr>
          <w:rFonts w:hint="eastAsia" w:ascii="仿宋" w:hAnsi="仿宋" w:eastAsia="仿宋"/>
          <w:szCs w:val="21"/>
        </w:rPr>
        <w:t>法定代表人或其授权代理人（签字</w:t>
      </w:r>
      <w:r>
        <w:rPr>
          <w:rFonts w:ascii="仿宋" w:hAnsi="仿宋" w:eastAsia="仿宋"/>
          <w:szCs w:val="21"/>
        </w:rPr>
        <w:t>或盖章）</w:t>
      </w:r>
      <w:r>
        <w:rPr>
          <w:rFonts w:hint="eastAsia" w:ascii="仿宋" w:hAnsi="仿宋" w:eastAsia="仿宋"/>
          <w:szCs w:val="21"/>
        </w:rPr>
        <w:t>：</w:t>
      </w:r>
      <w:r>
        <w:rPr>
          <w:rFonts w:ascii="仿宋" w:hAnsi="仿宋" w:eastAsia="仿宋"/>
          <w:szCs w:val="21"/>
          <w:u w:val="single"/>
        </w:rPr>
        <w:t xml:space="preserve">             </w:t>
      </w:r>
    </w:p>
    <w:p>
      <w:pPr>
        <w:autoSpaceDE w:val="0"/>
        <w:autoSpaceDN w:val="0"/>
        <w:adjustRightInd w:val="0"/>
        <w:snapToGrid w:val="0"/>
        <w:spacing w:line="340" w:lineRule="exact"/>
        <w:jc w:val="left"/>
        <w:rPr>
          <w:rFonts w:ascii="仿宋" w:hAnsi="仿宋" w:eastAsia="仿宋"/>
          <w:szCs w:val="21"/>
        </w:rPr>
      </w:pPr>
      <w:r>
        <w:rPr>
          <w:rFonts w:hint="eastAsia" w:ascii="仿宋" w:hAnsi="仿宋" w:eastAsia="仿宋"/>
          <w:szCs w:val="21"/>
        </w:rPr>
        <w:t>投标人（名称及盖章）：</w:t>
      </w:r>
      <w:r>
        <w:rPr>
          <w:rFonts w:ascii="仿宋" w:hAnsi="仿宋" w:eastAsia="仿宋"/>
          <w:szCs w:val="21"/>
          <w:u w:val="single"/>
        </w:rPr>
        <w:t xml:space="preserve">                               </w:t>
      </w:r>
    </w:p>
    <w:p>
      <w:pPr>
        <w:autoSpaceDE w:val="0"/>
        <w:autoSpaceDN w:val="0"/>
        <w:adjustRightInd w:val="0"/>
        <w:snapToGrid w:val="0"/>
        <w:spacing w:line="340" w:lineRule="exact"/>
        <w:jc w:val="left"/>
        <w:rPr>
          <w:rFonts w:ascii="仿宋" w:hAnsi="仿宋" w:eastAsia="仿宋"/>
          <w:szCs w:val="21"/>
          <w:u w:val="single"/>
        </w:rPr>
      </w:pPr>
      <w:r>
        <w:rPr>
          <w:rFonts w:hint="eastAsia" w:ascii="仿宋" w:hAnsi="仿宋" w:eastAsia="仿宋"/>
          <w:szCs w:val="21"/>
        </w:rPr>
        <w:t>投标人地址：</w:t>
      </w:r>
      <w:r>
        <w:rPr>
          <w:rFonts w:ascii="仿宋" w:hAnsi="仿宋" w:eastAsia="仿宋"/>
          <w:szCs w:val="21"/>
          <w:u w:val="single"/>
        </w:rPr>
        <w:t xml:space="preserve">                           </w:t>
      </w:r>
    </w:p>
    <w:p>
      <w:pPr>
        <w:autoSpaceDE w:val="0"/>
        <w:autoSpaceDN w:val="0"/>
        <w:adjustRightInd w:val="0"/>
        <w:snapToGrid w:val="0"/>
        <w:spacing w:line="340" w:lineRule="exact"/>
        <w:jc w:val="left"/>
        <w:rPr>
          <w:rFonts w:ascii="仿宋" w:hAnsi="仿宋" w:eastAsia="仿宋"/>
          <w:szCs w:val="21"/>
          <w:u w:val="single"/>
        </w:rPr>
      </w:pPr>
      <w:r>
        <w:rPr>
          <w:rFonts w:hint="eastAsia" w:ascii="仿宋" w:hAnsi="仿宋" w:eastAsia="仿宋"/>
          <w:szCs w:val="21"/>
        </w:rPr>
        <w:t>电话：</w:t>
      </w:r>
      <w:r>
        <w:rPr>
          <w:rFonts w:hint="eastAsia" w:ascii="仿宋" w:hAnsi="仿宋" w:eastAsia="仿宋"/>
          <w:szCs w:val="21"/>
          <w:u w:val="single"/>
        </w:rPr>
        <w:t>　</w:t>
      </w:r>
      <w:r>
        <w:rPr>
          <w:rFonts w:ascii="仿宋" w:hAnsi="仿宋" w:eastAsia="仿宋"/>
          <w:szCs w:val="21"/>
          <w:u w:val="single"/>
        </w:rPr>
        <w:t xml:space="preserve">                               </w:t>
      </w:r>
    </w:p>
    <w:p>
      <w:pPr>
        <w:autoSpaceDE w:val="0"/>
        <w:autoSpaceDN w:val="0"/>
        <w:adjustRightInd w:val="0"/>
        <w:snapToGrid w:val="0"/>
        <w:spacing w:line="340" w:lineRule="exact"/>
        <w:jc w:val="left"/>
        <w:rPr>
          <w:rFonts w:ascii="仿宋" w:hAnsi="仿宋" w:eastAsia="仿宋"/>
          <w:szCs w:val="21"/>
          <w:u w:val="single"/>
        </w:rPr>
      </w:pPr>
      <w:r>
        <w:rPr>
          <w:rFonts w:hint="eastAsia" w:ascii="仿宋" w:hAnsi="仿宋" w:eastAsia="仿宋"/>
          <w:szCs w:val="21"/>
        </w:rPr>
        <w:t>电子邮箱：</w:t>
      </w:r>
      <w:r>
        <w:rPr>
          <w:rFonts w:ascii="仿宋" w:hAnsi="仿宋" w:eastAsia="仿宋"/>
          <w:szCs w:val="21"/>
          <w:u w:val="single"/>
        </w:rPr>
        <w:t xml:space="preserve">                             </w:t>
      </w:r>
    </w:p>
    <w:p>
      <w:pPr>
        <w:autoSpaceDE w:val="0"/>
        <w:autoSpaceDN w:val="0"/>
        <w:adjustRightInd w:val="0"/>
        <w:snapToGrid w:val="0"/>
        <w:spacing w:line="340" w:lineRule="exact"/>
        <w:jc w:val="left"/>
        <w:rPr>
          <w:rFonts w:ascii="仿宋" w:hAnsi="仿宋" w:eastAsia="仿宋"/>
          <w:szCs w:val="21"/>
          <w:u w:val="single"/>
        </w:rPr>
      </w:pPr>
      <w:r>
        <w:rPr>
          <w:rFonts w:hint="eastAsia" w:ascii="仿宋" w:hAnsi="仿宋" w:eastAsia="仿宋"/>
          <w:szCs w:val="21"/>
        </w:rPr>
        <w:t>邮政编码：</w:t>
      </w:r>
      <w:r>
        <w:rPr>
          <w:rFonts w:ascii="仿宋" w:hAnsi="仿宋" w:eastAsia="仿宋"/>
          <w:szCs w:val="21"/>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Cs w:val="21"/>
        </w:rPr>
        <w:t>日期：</w:t>
      </w:r>
      <w:r>
        <w:rPr>
          <w:rFonts w:ascii="仿宋" w:hAnsi="仿宋" w:eastAsia="仿宋"/>
          <w:szCs w:val="21"/>
          <w:u w:val="single"/>
        </w:rPr>
        <w:t xml:space="preserve">      </w:t>
      </w:r>
      <w:r>
        <w:rPr>
          <w:rFonts w:hint="eastAsia" w:ascii="仿宋" w:hAnsi="仿宋" w:eastAsia="仿宋"/>
          <w:szCs w:val="21"/>
        </w:rPr>
        <w:t>年</w:t>
      </w:r>
      <w:r>
        <w:rPr>
          <w:rFonts w:ascii="仿宋" w:hAnsi="仿宋" w:eastAsia="仿宋"/>
          <w:szCs w:val="21"/>
          <w:u w:val="single"/>
        </w:rPr>
        <w:t xml:space="preserve">   </w:t>
      </w:r>
      <w:r>
        <w:rPr>
          <w:rFonts w:hint="eastAsia" w:ascii="仿宋" w:hAnsi="仿宋" w:eastAsia="仿宋"/>
          <w:szCs w:val="21"/>
        </w:rPr>
        <w:t>月</w:t>
      </w:r>
      <w:r>
        <w:rPr>
          <w:rFonts w:ascii="仿宋" w:hAnsi="仿宋" w:eastAsia="仿宋"/>
          <w:szCs w:val="21"/>
          <w:u w:val="single"/>
        </w:rPr>
        <w:t xml:space="preserve">   </w:t>
      </w:r>
      <w:r>
        <w:rPr>
          <w:rFonts w:hint="eastAsia" w:ascii="仿宋" w:hAnsi="仿宋" w:eastAsia="仿宋"/>
          <w:szCs w:val="21"/>
        </w:rPr>
        <w:t>日</w:t>
      </w:r>
      <w:r>
        <w:rPr>
          <w:rFonts w:ascii="仿宋" w:hAnsi="仿宋" w:eastAsia="仿宋"/>
          <w:sz w:val="24"/>
        </w:rPr>
        <w:br w:type="page"/>
      </w:r>
    </w:p>
    <w:p>
      <w:pPr>
        <w:spacing w:line="0" w:lineRule="atLeast"/>
        <w:outlineLvl w:val="1"/>
        <w:rPr>
          <w:rFonts w:ascii="宋体" w:hAnsi="宋体"/>
          <w:szCs w:val="21"/>
        </w:rPr>
      </w:pPr>
      <w:bookmarkStart w:id="51" w:name="_Toc82783898"/>
      <w:r>
        <w:rPr>
          <w:rFonts w:hint="eastAsia" w:ascii="宋体" w:hAnsi="宋体"/>
          <w:szCs w:val="21"/>
        </w:rPr>
        <w:t>附件</w:t>
      </w:r>
      <w:r>
        <w:rPr>
          <w:rFonts w:ascii="宋体" w:hAnsi="宋体"/>
          <w:szCs w:val="21"/>
        </w:rPr>
        <w:t>2</w:t>
      </w:r>
      <w:r>
        <w:rPr>
          <w:rFonts w:hint="eastAsia" w:ascii="宋体" w:hAnsi="宋体"/>
          <w:szCs w:val="21"/>
        </w:rPr>
        <w:t>：投标一览表</w:t>
      </w:r>
      <w:bookmarkEnd w:id="51"/>
    </w:p>
    <w:tbl>
      <w:tblPr>
        <w:tblStyle w:val="12"/>
        <w:tblpPr w:leftFromText="180" w:rightFromText="180" w:vertAnchor="text" w:horzAnchor="margin" w:tblpY="1517"/>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693"/>
        <w:gridCol w:w="255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04" w:type="dxa"/>
            <w:vAlign w:val="center"/>
          </w:tcPr>
          <w:p>
            <w:pPr>
              <w:widowControl/>
              <w:jc w:val="center"/>
              <w:rPr>
                <w:rFonts w:ascii="宋体" w:hAnsi="宋体"/>
                <w:b/>
                <w:szCs w:val="21"/>
              </w:rPr>
            </w:pPr>
            <w:r>
              <w:rPr>
                <w:rFonts w:hint="eastAsia" w:ascii="宋体" w:hAnsi="宋体"/>
                <w:b/>
                <w:szCs w:val="21"/>
              </w:rPr>
              <w:t>序号</w:t>
            </w:r>
          </w:p>
        </w:tc>
        <w:tc>
          <w:tcPr>
            <w:tcW w:w="2693" w:type="dxa"/>
            <w:vAlign w:val="center"/>
          </w:tcPr>
          <w:p>
            <w:pPr>
              <w:widowControl/>
              <w:jc w:val="center"/>
              <w:rPr>
                <w:rFonts w:ascii="宋体" w:hAnsi="宋体"/>
                <w:b/>
                <w:szCs w:val="21"/>
              </w:rPr>
            </w:pPr>
            <w:r>
              <w:rPr>
                <w:rFonts w:hint="eastAsia" w:ascii="宋体" w:hAnsi="宋体"/>
                <w:b/>
                <w:szCs w:val="21"/>
              </w:rPr>
              <w:t>开标内容1</w:t>
            </w:r>
          </w:p>
          <w:p>
            <w:pPr>
              <w:widowControl/>
              <w:jc w:val="center"/>
              <w:rPr>
                <w:rFonts w:ascii="宋体" w:hAnsi="宋体"/>
                <w:b/>
                <w:szCs w:val="21"/>
              </w:rPr>
            </w:pPr>
            <w:r>
              <w:rPr>
                <w:rFonts w:hint="eastAsia" w:ascii="宋体" w:hAnsi="宋体"/>
                <w:b/>
                <w:szCs w:val="21"/>
              </w:rPr>
              <w:t>（招标人填写</w:t>
            </w:r>
            <w:r>
              <w:rPr>
                <w:rFonts w:ascii="宋体" w:hAnsi="宋体"/>
                <w:b/>
                <w:szCs w:val="21"/>
              </w:rPr>
              <w:t>）</w:t>
            </w:r>
          </w:p>
        </w:tc>
        <w:tc>
          <w:tcPr>
            <w:tcW w:w="2552" w:type="dxa"/>
            <w:vAlign w:val="center"/>
          </w:tcPr>
          <w:p>
            <w:pPr>
              <w:widowControl/>
              <w:jc w:val="center"/>
              <w:rPr>
                <w:rFonts w:ascii="宋体" w:hAnsi="宋体"/>
                <w:b/>
                <w:szCs w:val="21"/>
              </w:rPr>
            </w:pPr>
            <w:r>
              <w:rPr>
                <w:rFonts w:hint="eastAsia" w:ascii="宋体" w:hAnsi="宋体"/>
                <w:b/>
                <w:szCs w:val="21"/>
              </w:rPr>
              <w:t>开标内容1</w:t>
            </w:r>
          </w:p>
          <w:p>
            <w:pPr>
              <w:widowControl/>
              <w:jc w:val="center"/>
              <w:rPr>
                <w:rFonts w:ascii="宋体" w:hAnsi="宋体"/>
                <w:b/>
                <w:szCs w:val="21"/>
              </w:rPr>
            </w:pPr>
            <w:r>
              <w:rPr>
                <w:rFonts w:hint="eastAsia" w:ascii="宋体" w:hAnsi="宋体"/>
                <w:b/>
                <w:szCs w:val="21"/>
              </w:rPr>
              <w:t>（投标人填写</w:t>
            </w:r>
            <w:r>
              <w:rPr>
                <w:rFonts w:ascii="宋体" w:hAnsi="宋体"/>
                <w:b/>
                <w:szCs w:val="21"/>
              </w:rPr>
              <w:t>）</w:t>
            </w:r>
          </w:p>
        </w:tc>
        <w:tc>
          <w:tcPr>
            <w:tcW w:w="2268" w:type="dxa"/>
            <w:vAlign w:val="center"/>
          </w:tcPr>
          <w:p>
            <w:pPr>
              <w:widowControl/>
              <w:jc w:val="center"/>
              <w:rPr>
                <w:rFonts w:ascii="宋体" w:hAnsi="宋体"/>
                <w:b/>
                <w:szCs w:val="21"/>
              </w:rPr>
            </w:pPr>
            <w:r>
              <w:rPr>
                <w:rFonts w:hint="eastAsia" w:ascii="宋体" w:hAnsi="宋体"/>
                <w:b/>
                <w:szCs w:val="21"/>
              </w:rPr>
              <w:t>备注</w:t>
            </w:r>
          </w:p>
          <w:p>
            <w:pPr>
              <w:widowControl/>
              <w:jc w:val="center"/>
              <w:rPr>
                <w:rFonts w:ascii="宋体" w:hAnsi="宋体"/>
                <w:b/>
                <w:szCs w:val="21"/>
              </w:rPr>
            </w:pPr>
            <w:r>
              <w:rPr>
                <w:rFonts w:hint="eastAsia" w:ascii="宋体" w:hAnsi="宋体"/>
                <w:b/>
                <w:szCs w:val="21"/>
              </w:rPr>
              <w:t>（招标人填写</w:t>
            </w:r>
            <w:r>
              <w:rPr>
                <w:rFonts w:ascii="宋体" w:hAns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04" w:type="dxa"/>
            <w:vAlign w:val="center"/>
          </w:tcPr>
          <w:p>
            <w:pPr>
              <w:pStyle w:val="18"/>
              <w:widowControl/>
              <w:numPr>
                <w:ilvl w:val="0"/>
                <w:numId w:val="21"/>
              </w:numPr>
              <w:ind w:firstLineChars="0"/>
              <w:jc w:val="center"/>
              <w:rPr>
                <w:rFonts w:ascii="宋体" w:hAnsi="宋体" w:eastAsia="宋体"/>
                <w:szCs w:val="21"/>
              </w:rPr>
            </w:pPr>
          </w:p>
        </w:tc>
        <w:tc>
          <w:tcPr>
            <w:tcW w:w="2693" w:type="dxa"/>
            <w:vAlign w:val="center"/>
          </w:tcPr>
          <w:p>
            <w:pPr>
              <w:widowControl/>
              <w:rPr>
                <w:rFonts w:ascii="宋体" w:hAnsi="宋体"/>
                <w:szCs w:val="21"/>
              </w:rPr>
            </w:pPr>
            <w:r>
              <w:rPr>
                <w:rFonts w:hint="eastAsia" w:ascii="宋体" w:hAnsi="宋体"/>
                <w:szCs w:val="21"/>
              </w:rPr>
              <w:t>含税总报价（元</w:t>
            </w:r>
            <w:r>
              <w:rPr>
                <w:rFonts w:ascii="宋体" w:hAnsi="宋体"/>
                <w:szCs w:val="21"/>
              </w:rPr>
              <w:t>）</w:t>
            </w:r>
          </w:p>
        </w:tc>
        <w:tc>
          <w:tcPr>
            <w:tcW w:w="2552" w:type="dxa"/>
            <w:vAlign w:val="center"/>
          </w:tcPr>
          <w:p>
            <w:pPr>
              <w:widowControl/>
              <w:rPr>
                <w:rFonts w:ascii="宋体" w:hAnsi="宋体"/>
                <w:szCs w:val="21"/>
              </w:rPr>
            </w:pPr>
          </w:p>
        </w:tc>
        <w:tc>
          <w:tcPr>
            <w:tcW w:w="2268" w:type="dxa"/>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4" w:type="dxa"/>
            <w:vAlign w:val="center"/>
          </w:tcPr>
          <w:p>
            <w:pPr>
              <w:pStyle w:val="18"/>
              <w:widowControl/>
              <w:numPr>
                <w:ilvl w:val="0"/>
                <w:numId w:val="21"/>
              </w:numPr>
              <w:ind w:firstLineChars="0"/>
              <w:jc w:val="center"/>
              <w:rPr>
                <w:rFonts w:ascii="宋体" w:hAnsi="宋体" w:eastAsia="宋体"/>
                <w:szCs w:val="21"/>
              </w:rPr>
            </w:pPr>
          </w:p>
        </w:tc>
        <w:tc>
          <w:tcPr>
            <w:tcW w:w="2693" w:type="dxa"/>
            <w:vAlign w:val="center"/>
          </w:tcPr>
          <w:p>
            <w:pPr>
              <w:widowControl/>
              <w:rPr>
                <w:rFonts w:ascii="宋体" w:hAnsi="宋体"/>
                <w:szCs w:val="21"/>
              </w:rPr>
            </w:pPr>
            <w:r>
              <w:rPr>
                <w:rFonts w:hint="eastAsia" w:ascii="宋体" w:hAnsi="宋体"/>
                <w:szCs w:val="21"/>
              </w:rPr>
              <w:t>工期（自然日</w:t>
            </w:r>
            <w:r>
              <w:rPr>
                <w:rFonts w:ascii="宋体" w:hAnsi="宋体"/>
                <w:szCs w:val="21"/>
              </w:rPr>
              <w:t>）</w:t>
            </w:r>
          </w:p>
        </w:tc>
        <w:tc>
          <w:tcPr>
            <w:tcW w:w="2552" w:type="dxa"/>
            <w:vAlign w:val="center"/>
          </w:tcPr>
          <w:p>
            <w:pPr>
              <w:widowControl/>
              <w:rPr>
                <w:rFonts w:ascii="宋体" w:hAnsi="宋体"/>
                <w:szCs w:val="21"/>
              </w:rPr>
            </w:pPr>
          </w:p>
        </w:tc>
        <w:tc>
          <w:tcPr>
            <w:tcW w:w="2268" w:type="dxa"/>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4" w:type="dxa"/>
            <w:vAlign w:val="center"/>
          </w:tcPr>
          <w:p>
            <w:pPr>
              <w:pStyle w:val="18"/>
              <w:widowControl/>
              <w:numPr>
                <w:ilvl w:val="0"/>
                <w:numId w:val="21"/>
              </w:numPr>
              <w:ind w:firstLineChars="0"/>
              <w:jc w:val="center"/>
              <w:rPr>
                <w:rFonts w:ascii="宋体" w:hAnsi="宋体" w:eastAsia="宋体"/>
                <w:szCs w:val="21"/>
              </w:rPr>
            </w:pPr>
          </w:p>
        </w:tc>
        <w:tc>
          <w:tcPr>
            <w:tcW w:w="2693" w:type="dxa"/>
            <w:vAlign w:val="center"/>
          </w:tcPr>
          <w:p>
            <w:pPr>
              <w:widowControl/>
              <w:rPr>
                <w:rFonts w:ascii="宋体" w:hAnsi="宋体"/>
                <w:szCs w:val="21"/>
              </w:rPr>
            </w:pPr>
            <w:r>
              <w:rPr>
                <w:rFonts w:hint="eastAsia" w:ascii="宋体" w:hAnsi="宋体"/>
                <w:szCs w:val="21"/>
              </w:rPr>
              <w:t>项目负责人（资质证书</w:t>
            </w:r>
            <w:r>
              <w:rPr>
                <w:rFonts w:ascii="宋体" w:hAnsi="宋体"/>
                <w:szCs w:val="21"/>
              </w:rPr>
              <w:t>）</w:t>
            </w:r>
          </w:p>
        </w:tc>
        <w:tc>
          <w:tcPr>
            <w:tcW w:w="2552" w:type="dxa"/>
            <w:vAlign w:val="center"/>
          </w:tcPr>
          <w:p>
            <w:pPr>
              <w:widowControl/>
              <w:rPr>
                <w:rFonts w:ascii="宋体" w:hAnsi="宋体"/>
                <w:szCs w:val="21"/>
              </w:rPr>
            </w:pPr>
          </w:p>
        </w:tc>
        <w:tc>
          <w:tcPr>
            <w:tcW w:w="2268" w:type="dxa"/>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4" w:type="dxa"/>
            <w:vAlign w:val="center"/>
          </w:tcPr>
          <w:p>
            <w:pPr>
              <w:pStyle w:val="18"/>
              <w:widowControl/>
              <w:numPr>
                <w:ilvl w:val="0"/>
                <w:numId w:val="21"/>
              </w:numPr>
              <w:ind w:firstLineChars="0"/>
              <w:jc w:val="center"/>
              <w:rPr>
                <w:rFonts w:ascii="宋体" w:hAnsi="宋体" w:eastAsia="宋体"/>
                <w:szCs w:val="21"/>
              </w:rPr>
            </w:pPr>
          </w:p>
        </w:tc>
        <w:tc>
          <w:tcPr>
            <w:tcW w:w="2693" w:type="dxa"/>
            <w:vAlign w:val="center"/>
          </w:tcPr>
          <w:p>
            <w:pPr>
              <w:widowControl/>
              <w:rPr>
                <w:rFonts w:ascii="宋体" w:hAnsi="宋体"/>
                <w:szCs w:val="21"/>
              </w:rPr>
            </w:pPr>
            <w:r>
              <w:rPr>
                <w:rFonts w:hint="eastAsia" w:ascii="宋体" w:hAnsi="宋体"/>
                <w:szCs w:val="21"/>
              </w:rPr>
              <w:t>投标人备注</w:t>
            </w:r>
          </w:p>
        </w:tc>
        <w:tc>
          <w:tcPr>
            <w:tcW w:w="2552" w:type="dxa"/>
            <w:vAlign w:val="center"/>
          </w:tcPr>
          <w:p>
            <w:pPr>
              <w:widowControl/>
              <w:rPr>
                <w:rFonts w:ascii="宋体" w:hAnsi="宋体"/>
                <w:szCs w:val="21"/>
              </w:rPr>
            </w:pPr>
          </w:p>
        </w:tc>
        <w:tc>
          <w:tcPr>
            <w:tcW w:w="2268" w:type="dxa"/>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4" w:type="dxa"/>
            <w:vAlign w:val="center"/>
          </w:tcPr>
          <w:p>
            <w:pPr>
              <w:widowControl/>
              <w:rPr>
                <w:rFonts w:ascii="宋体" w:hAnsi="宋体"/>
                <w:szCs w:val="21"/>
              </w:rPr>
            </w:pPr>
          </w:p>
        </w:tc>
        <w:tc>
          <w:tcPr>
            <w:tcW w:w="2693" w:type="dxa"/>
            <w:vAlign w:val="center"/>
          </w:tcPr>
          <w:p>
            <w:pPr>
              <w:widowControl/>
              <w:rPr>
                <w:rFonts w:ascii="宋体" w:hAnsi="宋体"/>
                <w:szCs w:val="21"/>
              </w:rPr>
            </w:pPr>
          </w:p>
        </w:tc>
        <w:tc>
          <w:tcPr>
            <w:tcW w:w="2552" w:type="dxa"/>
            <w:vAlign w:val="center"/>
          </w:tcPr>
          <w:p>
            <w:pPr>
              <w:widowControl/>
              <w:rPr>
                <w:rFonts w:ascii="宋体" w:hAnsi="宋体"/>
                <w:szCs w:val="21"/>
              </w:rPr>
            </w:pPr>
          </w:p>
        </w:tc>
        <w:tc>
          <w:tcPr>
            <w:tcW w:w="2268" w:type="dxa"/>
            <w:vAlign w:val="center"/>
          </w:tcPr>
          <w:p>
            <w:pPr>
              <w:widowControl/>
              <w:rPr>
                <w:rFonts w:ascii="宋体" w:hAnsi="宋体"/>
                <w:szCs w:val="21"/>
              </w:rPr>
            </w:pPr>
          </w:p>
        </w:tc>
      </w:tr>
    </w:tbl>
    <w:p>
      <w:pPr>
        <w:widowControl/>
        <w:jc w:val="center"/>
        <w:rPr>
          <w:rFonts w:ascii="仿宋" w:hAnsi="仿宋" w:eastAsia="仿宋"/>
          <w:sz w:val="28"/>
          <w:szCs w:val="28"/>
        </w:rPr>
      </w:pPr>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widowControl/>
        <w:jc w:val="left"/>
        <w:rPr>
          <w:rFonts w:ascii="仿宋" w:hAnsi="仿宋" w:eastAsia="仿宋"/>
          <w:szCs w:val="21"/>
        </w:rPr>
      </w:pPr>
      <w:r>
        <w:rPr>
          <w:rFonts w:hint="eastAsia" w:ascii="仿宋" w:hAnsi="仿宋" w:eastAsia="仿宋"/>
          <w:szCs w:val="21"/>
        </w:rPr>
        <w:t>说明：表中内容需根据具体项目调整</w:t>
      </w:r>
    </w:p>
    <w:p>
      <w:pPr>
        <w:spacing w:line="360" w:lineRule="auto"/>
        <w:rPr>
          <w:rFonts w:ascii="宋体" w:hAnsi="宋体"/>
          <w:szCs w:val="21"/>
        </w:rPr>
      </w:pPr>
      <w:r>
        <w:rPr>
          <w:rFonts w:hint="eastAsia" w:ascii="宋体" w:hAnsi="宋体"/>
          <w:szCs w:val="21"/>
        </w:rPr>
        <w:t>投标人代表签字：</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r>
        <w:rPr>
          <w:rFonts w:ascii="仿宋" w:hAnsi="仿宋" w:eastAsia="仿宋"/>
          <w:sz w:val="28"/>
          <w:szCs w:val="28"/>
        </w:rPr>
        <w:br w:type="page"/>
      </w:r>
    </w:p>
    <w:p>
      <w:pPr>
        <w:spacing w:line="0" w:lineRule="atLeast"/>
        <w:outlineLvl w:val="1"/>
        <w:rPr>
          <w:rFonts w:ascii="宋体" w:hAnsi="宋体"/>
          <w:szCs w:val="21"/>
        </w:rPr>
      </w:pPr>
      <w:bookmarkStart w:id="52" w:name="_Toc82783899"/>
      <w:r>
        <w:rPr>
          <w:rFonts w:hint="eastAsia" w:ascii="宋体" w:hAnsi="宋体"/>
          <w:szCs w:val="21"/>
        </w:rPr>
        <w:t>附件</w:t>
      </w:r>
      <w:r>
        <w:rPr>
          <w:rFonts w:ascii="宋体" w:hAnsi="宋体"/>
          <w:szCs w:val="21"/>
        </w:rPr>
        <w:t>3</w:t>
      </w:r>
      <w:r>
        <w:rPr>
          <w:rFonts w:hint="eastAsia" w:ascii="宋体" w:hAnsi="宋体"/>
          <w:szCs w:val="21"/>
        </w:rPr>
        <w:t>：考察证明</w:t>
      </w:r>
      <w:bookmarkEnd w:id="52"/>
      <w:r>
        <w:rPr>
          <w:rFonts w:hint="eastAsia" w:ascii="宋体" w:hAnsi="宋体"/>
          <w:szCs w:val="21"/>
        </w:rPr>
        <w:t>（本项目不适用）</w:t>
      </w: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jc w:val="left"/>
        <w:rPr>
          <w:rFonts w:ascii="仿宋" w:hAnsi="仿宋" w:eastAsia="仿宋"/>
          <w:sz w:val="28"/>
          <w:szCs w:val="28"/>
        </w:rPr>
      </w:pPr>
      <w:r>
        <w:rPr>
          <w:rFonts w:hint="eastAsia" w:ascii="仿宋" w:hAnsi="仿宋" w:eastAsia="仿宋"/>
          <w:sz w:val="28"/>
          <w:szCs w:val="28"/>
        </w:rPr>
        <w:t xml:space="preserve">    已于</w:t>
      </w:r>
      <w:r>
        <w:rPr>
          <w:rFonts w:hint="eastAsia" w:ascii="仿宋" w:hAnsi="仿宋" w:eastAsia="仿宋"/>
          <w:b/>
          <w:sz w:val="28"/>
          <w:szCs w:val="28"/>
        </w:rPr>
        <w:t>2020年*月21日</w:t>
      </w:r>
      <w:r>
        <w:rPr>
          <w:rFonts w:hint="eastAsia" w:ascii="仿宋" w:hAnsi="仿宋" w:eastAsia="仿宋"/>
          <w:sz w:val="28"/>
          <w:szCs w:val="28"/>
        </w:rPr>
        <w:t>参加了招标人（深圳会展中心管理有限责任公司）</w:t>
      </w:r>
      <w:r>
        <w:rPr>
          <w:rFonts w:hint="eastAsia" w:ascii="仿宋" w:hAnsi="仿宋" w:eastAsia="仿宋"/>
          <w:b/>
          <w:sz w:val="28"/>
          <w:szCs w:val="28"/>
        </w:rPr>
        <w:t>关于*项目的现场考察</w:t>
      </w:r>
      <w:r>
        <w:rPr>
          <w:rFonts w:hint="eastAsia" w:ascii="仿宋" w:hAnsi="仿宋" w:eastAsia="仿宋"/>
          <w:sz w:val="28"/>
          <w:szCs w:val="28"/>
        </w:rPr>
        <w:t>，详细听取了招标人的讲解和要求，已经知晓招标人本次项目的所有内容以及技术要求等。</w:t>
      </w: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招标人现场踏勘联系人签字：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53" w:name="_Toc82783900"/>
      <w:r>
        <w:rPr>
          <w:rFonts w:hint="eastAsia" w:ascii="宋体" w:hAnsi="宋体"/>
          <w:szCs w:val="21"/>
        </w:rPr>
        <w:t>附件</w:t>
      </w:r>
      <w:r>
        <w:rPr>
          <w:rFonts w:ascii="宋体" w:hAnsi="宋体"/>
          <w:szCs w:val="21"/>
        </w:rPr>
        <w:t>4</w:t>
      </w:r>
      <w:r>
        <w:rPr>
          <w:rFonts w:hint="eastAsia" w:ascii="宋体" w:hAnsi="宋体"/>
          <w:szCs w:val="21"/>
        </w:rPr>
        <w:t>：技术服务响应/偏离表</w:t>
      </w:r>
      <w:bookmarkEnd w:id="53"/>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54" w:name="_Toc211248418"/>
      <w:r>
        <w:rPr>
          <w:rFonts w:hint="eastAsia" w:ascii="方正小标宋_GBK" w:hAnsi="方正小标宋_GBK" w:eastAsia="方正小标宋_GBK"/>
          <w:b/>
          <w:sz w:val="32"/>
          <w:szCs w:val="32"/>
        </w:rPr>
        <w:t>技术服务响应/偏离表</w:t>
      </w:r>
      <w:bookmarkEnd w:id="54"/>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2"/>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2"/>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2"/>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2"/>
              </w:numPr>
              <w:spacing w:line="0" w:lineRule="atLeast"/>
              <w:jc w:val="center"/>
              <w:rPr>
                <w:rFonts w:ascii="仿宋" w:hAnsi="仿宋" w:eastAsia="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2"/>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3.《有/无偏离》栏只需填“有”或“无”。</w:t>
      </w:r>
      <w:r>
        <w:rPr>
          <w:rFonts w:ascii="仿宋" w:hAnsi="仿宋" w:eastAsia="仿宋"/>
          <w:sz w:val="28"/>
          <w:szCs w:val="28"/>
        </w:rPr>
        <w:t xml:space="preserve"> 响应结果优于（或高于）本项目需求的（即正偏离），仍须如实填写“无”，可在《说明》栏中作出具体说明。“不可偏离项”响应内容为“有”的，视同偏离本项目要求，该</w:t>
      </w:r>
      <w:r>
        <w:rPr>
          <w:rFonts w:hint="eastAsia" w:ascii="仿宋" w:hAnsi="仿宋" w:eastAsia="仿宋"/>
          <w:sz w:val="28"/>
          <w:szCs w:val="28"/>
        </w:rPr>
        <w:t>投标</w:t>
      </w:r>
      <w:r>
        <w:rPr>
          <w:rFonts w:ascii="仿宋" w:hAnsi="仿宋" w:eastAsia="仿宋"/>
          <w:sz w:val="28"/>
          <w:szCs w:val="28"/>
        </w:rPr>
        <w:t>文件不能通过符合性检查。</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55" w:name="_Toc211243320"/>
      <w:r>
        <w:rPr>
          <w:rFonts w:hint="eastAsia" w:ascii="仿宋" w:hAnsi="仿宋" w:eastAsia="仿宋"/>
          <w:sz w:val="28"/>
          <w:szCs w:val="28"/>
        </w:rPr>
        <w:t>投标人代表签字</w:t>
      </w:r>
      <w:r>
        <w:rPr>
          <w:rFonts w:hint="eastAsia" w:ascii="仿宋" w:hAnsi="仿宋" w:eastAsia="仿宋"/>
          <w:sz w:val="30"/>
          <w:szCs w:val="30"/>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55"/>
      <w:bookmarkStart w:id="56" w:name="_Toc246480945"/>
      <w:bookmarkStart w:id="57" w:name="_Toc236803114"/>
      <w:r>
        <w:rPr>
          <w:rFonts w:ascii="仿宋" w:hAnsi="仿宋" w:eastAsia="仿宋"/>
          <w:sz w:val="28"/>
          <w:szCs w:val="28"/>
        </w:rPr>
        <w:br w:type="page"/>
      </w:r>
    </w:p>
    <w:p>
      <w:pPr>
        <w:spacing w:line="0" w:lineRule="atLeast"/>
        <w:outlineLvl w:val="1"/>
        <w:rPr>
          <w:rFonts w:ascii="宋体" w:hAnsi="宋体"/>
          <w:szCs w:val="21"/>
        </w:rPr>
      </w:pPr>
      <w:bookmarkStart w:id="58" w:name="_Toc82783901"/>
      <w:r>
        <w:rPr>
          <w:rFonts w:hint="eastAsia" w:ascii="宋体" w:hAnsi="宋体"/>
          <w:szCs w:val="21"/>
        </w:rPr>
        <w:t>附件</w:t>
      </w:r>
      <w:r>
        <w:rPr>
          <w:rFonts w:ascii="宋体" w:hAnsi="宋体"/>
          <w:szCs w:val="21"/>
        </w:rPr>
        <w:t>5</w:t>
      </w:r>
      <w:r>
        <w:rPr>
          <w:rFonts w:hint="eastAsia" w:ascii="宋体" w:hAnsi="宋体"/>
          <w:szCs w:val="21"/>
        </w:rPr>
        <w:t>：商务条款响应/偏离表</w:t>
      </w:r>
      <w:bookmarkEnd w:id="56"/>
      <w:bookmarkEnd w:id="57"/>
      <w:bookmarkEnd w:id="58"/>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59" w:name="_Toc211248420"/>
      <w:r>
        <w:rPr>
          <w:rFonts w:hint="eastAsia" w:ascii="方正小标宋_GBK" w:hAnsi="方正小标宋_GBK" w:eastAsia="方正小标宋_GBK"/>
          <w:b/>
          <w:sz w:val="32"/>
          <w:szCs w:val="32"/>
        </w:rPr>
        <w:t>商务条款响应/偏离表</w:t>
      </w:r>
      <w:bookmarkEnd w:id="59"/>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2"/>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3.《有/无偏离》栏只需填“有”或“无”，</w:t>
      </w:r>
      <w:r>
        <w:rPr>
          <w:rFonts w:ascii="仿宋" w:hAnsi="仿宋" w:eastAsia="仿宋"/>
          <w:sz w:val="28"/>
          <w:szCs w:val="28"/>
        </w:rPr>
        <w:t xml:space="preserve"> 响应结果优于（或高于）本项目需求的（即正偏离），仍须如实填写“无”，可在《说明》栏中作出具体说明。“不可偏离项”响应内容为“有”的，视同偏离本项目要求，该</w:t>
      </w:r>
      <w:r>
        <w:rPr>
          <w:rFonts w:hint="eastAsia" w:ascii="仿宋" w:hAnsi="仿宋" w:eastAsia="仿宋"/>
          <w:sz w:val="28"/>
          <w:szCs w:val="28"/>
        </w:rPr>
        <w:t>投标</w:t>
      </w:r>
      <w:r>
        <w:rPr>
          <w:rFonts w:ascii="仿宋" w:hAnsi="仿宋" w:eastAsia="仿宋"/>
          <w:sz w:val="28"/>
          <w:szCs w:val="28"/>
        </w:rPr>
        <w:t>文件不能通过符合性检查。</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代表签字：</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60" w:name="_Toc395883088"/>
      <w:bookmarkStart w:id="61" w:name="_Toc236803111"/>
      <w:bookmarkStart w:id="62" w:name="_Toc478387764"/>
      <w:r>
        <w:rPr>
          <w:rFonts w:ascii="仿宋" w:hAnsi="仿宋" w:eastAsia="仿宋"/>
          <w:sz w:val="28"/>
          <w:szCs w:val="28"/>
        </w:rPr>
        <w:br w:type="page"/>
      </w:r>
    </w:p>
    <w:p>
      <w:pPr>
        <w:spacing w:line="0" w:lineRule="atLeast"/>
        <w:outlineLvl w:val="1"/>
        <w:rPr>
          <w:rFonts w:ascii="宋体" w:hAnsi="宋体"/>
          <w:szCs w:val="21"/>
        </w:rPr>
      </w:pPr>
      <w:bookmarkStart w:id="63" w:name="_Toc82783902"/>
      <w:r>
        <w:rPr>
          <w:rFonts w:hint="eastAsia" w:ascii="宋体" w:hAnsi="宋体"/>
          <w:szCs w:val="21"/>
        </w:rPr>
        <w:t>附件</w:t>
      </w:r>
      <w:r>
        <w:rPr>
          <w:rFonts w:ascii="宋体" w:hAnsi="宋体"/>
          <w:szCs w:val="21"/>
        </w:rPr>
        <w:t>6</w:t>
      </w:r>
      <w:r>
        <w:rPr>
          <w:rFonts w:hint="eastAsia" w:ascii="宋体" w:hAnsi="宋体"/>
          <w:szCs w:val="21"/>
        </w:rPr>
        <w:t>：报价一览表（货物）（本项目不适用）</w:t>
      </w:r>
      <w:bookmarkEnd w:id="63"/>
    </w:p>
    <w:bookmarkEnd w:id="60"/>
    <w:bookmarkEnd w:id="61"/>
    <w:bookmarkEnd w:id="62"/>
    <w:p>
      <w:pPr>
        <w:spacing w:before="120" w:after="240"/>
        <w:jc w:val="center"/>
        <w:rPr>
          <w:rFonts w:ascii="宋体" w:hAnsi="宋体"/>
          <w:b/>
          <w:sz w:val="32"/>
          <w:szCs w:val="32"/>
        </w:rPr>
      </w:pPr>
      <w:bookmarkStart w:id="64" w:name="_Toc211248412"/>
      <w:r>
        <w:rPr>
          <w:rFonts w:hint="eastAsia" w:ascii="方正小标宋_GBK" w:hAnsi="方正小标宋_GBK" w:eastAsia="方正小标宋_GBK"/>
          <w:b/>
          <w:sz w:val="32"/>
          <w:szCs w:val="32"/>
        </w:rPr>
        <w:t>报价一览表</w:t>
      </w:r>
      <w:bookmarkEnd w:id="64"/>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2"/>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18"/>
        <w:numPr>
          <w:ilvl w:val="1"/>
          <w:numId w:val="24"/>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18"/>
        <w:numPr>
          <w:ilvl w:val="1"/>
          <w:numId w:val="24"/>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18"/>
        <w:numPr>
          <w:ilvl w:val="1"/>
          <w:numId w:val="24"/>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18"/>
        <w:numPr>
          <w:ilvl w:val="1"/>
          <w:numId w:val="24"/>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65" w:name="_Toc82095917"/>
      <w:bookmarkStart w:id="66" w:name="_Toc82359026"/>
      <w:r>
        <w:rPr>
          <w:rFonts w:hint="eastAsia" w:ascii="仿宋" w:hAnsi="仿宋" w:eastAsia="仿宋"/>
          <w:sz w:val="28"/>
          <w:szCs w:val="28"/>
        </w:rPr>
        <w:t>报价日期：_________年____月____日</w:t>
      </w:r>
      <w:r>
        <w:rPr>
          <w:rFonts w:ascii="仿宋" w:hAnsi="仿宋" w:eastAsia="仿宋"/>
          <w:sz w:val="28"/>
          <w:szCs w:val="28"/>
        </w:rPr>
        <w:br w:type="page"/>
      </w:r>
    </w:p>
    <w:bookmarkEnd w:id="65"/>
    <w:bookmarkEnd w:id="66"/>
    <w:p>
      <w:pPr>
        <w:spacing w:line="0" w:lineRule="atLeast"/>
        <w:outlineLvl w:val="1"/>
        <w:rPr>
          <w:rFonts w:ascii="宋体" w:hAnsi="宋体"/>
          <w:szCs w:val="21"/>
        </w:rPr>
      </w:pPr>
      <w:bookmarkStart w:id="67" w:name="_Toc82783903"/>
      <w:r>
        <w:rPr>
          <w:rFonts w:hint="eastAsia" w:ascii="宋体" w:hAnsi="宋体"/>
          <w:szCs w:val="21"/>
        </w:rPr>
        <w:t>附件</w:t>
      </w:r>
      <w:r>
        <w:rPr>
          <w:rFonts w:ascii="宋体" w:hAnsi="宋体"/>
          <w:szCs w:val="21"/>
        </w:rPr>
        <w:t>7</w:t>
      </w:r>
      <w:r>
        <w:rPr>
          <w:rFonts w:hint="eastAsia" w:ascii="宋体" w:hAnsi="宋体"/>
          <w:szCs w:val="21"/>
        </w:rPr>
        <w:t>：报价一览表（服务）</w:t>
      </w:r>
      <w:bookmarkEnd w:id="67"/>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2"/>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18"/>
        <w:numPr>
          <w:ilvl w:val="1"/>
          <w:numId w:val="25"/>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18"/>
        <w:numPr>
          <w:ilvl w:val="1"/>
          <w:numId w:val="25"/>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18"/>
        <w:numPr>
          <w:ilvl w:val="1"/>
          <w:numId w:val="25"/>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法定代表人或委托授权人（签字或盖章）：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报价日期：_______年____月____日</w:t>
      </w:r>
      <w:r>
        <w:rPr>
          <w:rFonts w:ascii="仿宋" w:hAnsi="仿宋" w:eastAsia="仿宋"/>
          <w:sz w:val="30"/>
          <w:szCs w:val="30"/>
        </w:rPr>
        <w:br w:type="page"/>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p>
    <w:p>
      <w:pPr>
        <w:spacing w:line="0" w:lineRule="atLeast"/>
        <w:outlineLvl w:val="1"/>
        <w:rPr>
          <w:rFonts w:ascii="宋体" w:hAnsi="宋体"/>
          <w:szCs w:val="21"/>
        </w:rPr>
      </w:pPr>
      <w:bookmarkStart w:id="68" w:name="_Toc82783904"/>
      <w:r>
        <w:rPr>
          <w:rFonts w:hint="eastAsia" w:ascii="宋体" w:hAnsi="宋体"/>
          <w:szCs w:val="21"/>
        </w:rPr>
        <w:t>附件</w:t>
      </w:r>
      <w:r>
        <w:rPr>
          <w:rFonts w:ascii="宋体" w:hAnsi="宋体"/>
          <w:szCs w:val="21"/>
        </w:rPr>
        <w:t>8</w:t>
      </w:r>
      <w:r>
        <w:rPr>
          <w:rFonts w:hint="eastAsia" w:ascii="宋体" w:hAnsi="宋体"/>
          <w:szCs w:val="21"/>
        </w:rPr>
        <w:t>：报价一览表（工程）</w:t>
      </w:r>
      <w:bookmarkEnd w:id="68"/>
      <w:r>
        <w:rPr>
          <w:rFonts w:hint="eastAsia" w:ascii="宋体" w:hAnsi="宋体"/>
          <w:szCs w:val="21"/>
        </w:rPr>
        <w:t>（本项目不适用）</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2"/>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18"/>
        <w:numPr>
          <w:ilvl w:val="1"/>
          <w:numId w:val="26"/>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18"/>
        <w:numPr>
          <w:ilvl w:val="1"/>
          <w:numId w:val="26"/>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18"/>
        <w:numPr>
          <w:ilvl w:val="1"/>
          <w:numId w:val="26"/>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18"/>
        <w:numPr>
          <w:ilvl w:val="1"/>
          <w:numId w:val="26"/>
        </w:numPr>
        <w:spacing w:line="400" w:lineRule="exact"/>
        <w:ind w:firstLineChars="0"/>
        <w:rPr>
          <w:rFonts w:ascii="仿宋_GB2312" w:hAnsi="宋体" w:eastAsia="仿宋_GB2312"/>
          <w:sz w:val="28"/>
          <w:szCs w:val="28"/>
        </w:rPr>
      </w:pPr>
      <w:r>
        <w:rPr>
          <w:rFonts w:hint="eastAsia" w:ascii="仿宋" w:hAnsi="仿宋" w:eastAsia="仿宋"/>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报价日期：_______年____月____日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69" w:name="_Toc82783905"/>
      <w:r>
        <w:rPr>
          <w:rFonts w:hint="eastAsia" w:ascii="宋体" w:hAnsi="宋体"/>
          <w:szCs w:val="21"/>
        </w:rPr>
        <w:t>附件</w:t>
      </w:r>
      <w:r>
        <w:rPr>
          <w:rFonts w:ascii="宋体" w:hAnsi="宋体"/>
          <w:szCs w:val="21"/>
        </w:rPr>
        <w:t>9</w:t>
      </w:r>
      <w:r>
        <w:rPr>
          <w:rFonts w:hint="eastAsia" w:ascii="宋体" w:hAnsi="宋体"/>
          <w:szCs w:val="21"/>
        </w:rPr>
        <w:t>：法定代表人证明书</w:t>
      </w:r>
      <w:bookmarkEnd w:id="69"/>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rPr>
      </w:pPr>
    </w:p>
    <w:p>
      <w:pPr>
        <w:snapToGrid w:val="0"/>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p>
    <w:p>
      <w:pPr>
        <w:snapToGrid w:val="0"/>
        <w:spacing w:line="360" w:lineRule="auto"/>
        <w:rPr>
          <w:rFonts w:ascii="仿宋" w:hAnsi="仿宋" w:eastAsia="仿宋"/>
          <w:sz w:val="28"/>
          <w:szCs w:val="28"/>
          <w:u w:val="single"/>
        </w:rPr>
      </w:pPr>
      <w:r>
        <w:rPr>
          <w:rFonts w:hint="eastAsia" w:ascii="仿宋" w:hAnsi="仿宋" w:eastAsia="仿宋"/>
          <w:sz w:val="28"/>
          <w:szCs w:val="28"/>
        </w:rPr>
        <w:t>投标人地址：</w:t>
      </w:r>
      <w:r>
        <w:rPr>
          <w:rFonts w:hint="eastAsia" w:ascii="仿宋" w:hAnsi="仿宋" w:eastAsia="仿宋"/>
          <w:sz w:val="28"/>
          <w:szCs w:val="28"/>
          <w:u w:val="single"/>
        </w:rPr>
        <w:t xml:space="preserve">                                  </w:t>
      </w:r>
    </w:p>
    <w:p>
      <w:pPr>
        <w:snapToGrid w:val="0"/>
        <w:spacing w:line="360" w:lineRule="auto"/>
        <w:rPr>
          <w:rFonts w:ascii="仿宋" w:hAnsi="仿宋" w:eastAsia="仿宋"/>
          <w:sz w:val="28"/>
          <w:szCs w:val="28"/>
        </w:rPr>
      </w:pPr>
      <w:r>
        <w:rPr>
          <w:rFonts w:hint="eastAsia" w:ascii="仿宋" w:hAnsi="仿宋" w:eastAsia="仿宋"/>
          <w:sz w:val="28"/>
          <w:szCs w:val="28"/>
        </w:rPr>
        <w:t>营业执照号码：</w:t>
      </w:r>
      <w:r>
        <w:rPr>
          <w:rFonts w:hint="eastAsia" w:ascii="仿宋" w:hAnsi="仿宋" w:eastAsia="仿宋"/>
          <w:sz w:val="28"/>
          <w:szCs w:val="28"/>
          <w:u w:val="single"/>
        </w:rPr>
        <w:t xml:space="preserve">                      </w:t>
      </w:r>
      <w:r>
        <w:rPr>
          <w:rFonts w:hint="eastAsia" w:ascii="仿宋" w:hAnsi="仿宋" w:eastAsia="仿宋"/>
          <w:sz w:val="28"/>
          <w:szCs w:val="28"/>
        </w:rPr>
        <w:t xml:space="preserve">，经济性质： </w:t>
      </w:r>
      <w:r>
        <w:rPr>
          <w:rFonts w:hint="eastAsia" w:ascii="仿宋" w:hAnsi="仿宋" w:eastAsia="仿宋"/>
          <w:sz w:val="28"/>
          <w:szCs w:val="28"/>
          <w:u w:val="single"/>
        </w:rPr>
        <w:t xml:space="preserve">            </w:t>
      </w:r>
      <w:r>
        <w:rPr>
          <w:rFonts w:hint="eastAsia" w:ascii="仿宋" w:hAnsi="仿宋" w:eastAsia="仿宋"/>
          <w:sz w:val="28"/>
          <w:szCs w:val="28"/>
        </w:rPr>
        <w:t>，</w:t>
      </w:r>
    </w:p>
    <w:p>
      <w:pPr>
        <w:snapToGrid w:val="0"/>
        <w:spacing w:line="360" w:lineRule="auto"/>
        <w:rPr>
          <w:rFonts w:ascii="仿宋" w:hAnsi="仿宋" w:eastAsia="仿宋"/>
          <w:sz w:val="28"/>
          <w:szCs w:val="28"/>
          <w:u w:val="single"/>
        </w:rPr>
      </w:pPr>
      <w:r>
        <w:rPr>
          <w:rFonts w:hint="eastAsia" w:ascii="仿宋" w:hAnsi="仿宋" w:eastAsia="仿宋"/>
          <w:sz w:val="28"/>
          <w:szCs w:val="28"/>
        </w:rPr>
        <w:t>姓名：</w:t>
      </w:r>
      <w:r>
        <w:rPr>
          <w:rFonts w:hint="eastAsia" w:ascii="仿宋" w:hAnsi="仿宋" w:eastAsia="仿宋"/>
          <w:sz w:val="28"/>
          <w:szCs w:val="28"/>
          <w:u w:val="single"/>
        </w:rPr>
        <w:t xml:space="preserve">           </w:t>
      </w:r>
      <w:r>
        <w:rPr>
          <w:rFonts w:hint="eastAsia" w:ascii="仿宋" w:hAnsi="仿宋" w:eastAsia="仿宋"/>
          <w:sz w:val="28"/>
          <w:szCs w:val="28"/>
        </w:rPr>
        <w:t>，性别：</w:t>
      </w:r>
      <w:r>
        <w:rPr>
          <w:rFonts w:hint="eastAsia" w:ascii="仿宋" w:hAnsi="仿宋" w:eastAsia="仿宋"/>
          <w:sz w:val="28"/>
          <w:szCs w:val="28"/>
          <w:u w:val="single"/>
        </w:rPr>
        <w:t xml:space="preserve">     </w:t>
      </w:r>
      <w:r>
        <w:rPr>
          <w:rFonts w:hint="eastAsia" w:ascii="仿宋" w:hAnsi="仿宋" w:eastAsia="仿宋"/>
          <w:sz w:val="28"/>
          <w:szCs w:val="28"/>
        </w:rPr>
        <w:t>，年龄：</w:t>
      </w:r>
      <w:r>
        <w:rPr>
          <w:rFonts w:hint="eastAsia" w:ascii="仿宋" w:hAnsi="仿宋" w:eastAsia="仿宋"/>
          <w:sz w:val="28"/>
          <w:szCs w:val="28"/>
          <w:u w:val="single"/>
        </w:rPr>
        <w:t xml:space="preserve">       </w:t>
      </w:r>
      <w:r>
        <w:rPr>
          <w:rFonts w:hint="eastAsia" w:ascii="仿宋" w:hAnsi="仿宋" w:eastAsia="仿宋"/>
          <w:sz w:val="28"/>
          <w:szCs w:val="28"/>
        </w:rPr>
        <w:t>，职务：</w:t>
      </w:r>
      <w:r>
        <w:rPr>
          <w:rFonts w:hint="eastAsia" w:ascii="仿宋" w:hAnsi="仿宋" w:eastAsia="仿宋"/>
          <w:sz w:val="28"/>
          <w:szCs w:val="28"/>
          <w:u w:val="single"/>
        </w:rPr>
        <w:t xml:space="preserve">        </w:t>
      </w:r>
      <w:r>
        <w:rPr>
          <w:rFonts w:hint="eastAsia" w:ascii="仿宋" w:hAnsi="仿宋" w:eastAsia="仿宋"/>
          <w:sz w:val="28"/>
          <w:szCs w:val="28"/>
        </w:rPr>
        <w:t>，</w:t>
      </w:r>
    </w:p>
    <w:p>
      <w:pPr>
        <w:snapToGrid w:val="0"/>
        <w:spacing w:line="360" w:lineRule="auto"/>
        <w:rPr>
          <w:rFonts w:ascii="仿宋" w:hAnsi="仿宋" w:eastAsia="仿宋"/>
          <w:sz w:val="28"/>
          <w:szCs w:val="28"/>
        </w:rPr>
      </w:pPr>
      <w:r>
        <w:rPr>
          <w:rFonts w:hint="eastAsia" w:ascii="仿宋" w:hAnsi="仿宋" w:eastAsia="仿宋"/>
          <w:sz w:val="28"/>
          <w:szCs w:val="28"/>
        </w:rPr>
        <w:t>系</w:t>
      </w:r>
      <w:r>
        <w:rPr>
          <w:rFonts w:hint="eastAsia" w:ascii="仿宋" w:hAnsi="仿宋" w:eastAsia="仿宋"/>
          <w:sz w:val="28"/>
          <w:szCs w:val="28"/>
          <w:u w:val="single"/>
        </w:rPr>
        <w:t xml:space="preserve">                                      </w:t>
      </w:r>
      <w:r>
        <w:rPr>
          <w:rFonts w:hint="eastAsia" w:ascii="仿宋" w:hAnsi="仿宋" w:eastAsia="仿宋"/>
          <w:sz w:val="28"/>
          <w:szCs w:val="28"/>
        </w:rPr>
        <w:t>的法定代表人。</w:t>
      </w:r>
    </w:p>
    <w:p>
      <w:pPr>
        <w:snapToGrid w:val="0"/>
        <w:spacing w:line="360" w:lineRule="auto"/>
        <w:ind w:firstLine="570"/>
        <w:rPr>
          <w:rFonts w:ascii="仿宋" w:hAnsi="仿宋" w:eastAsia="仿宋"/>
          <w:sz w:val="28"/>
          <w:szCs w:val="28"/>
        </w:rPr>
      </w:pPr>
      <w:r>
        <w:rPr>
          <w:rFonts w:hint="eastAsia" w:ascii="仿宋" w:hAnsi="仿宋" w:eastAsia="仿宋"/>
          <w:sz w:val="28"/>
          <w:szCs w:val="28"/>
        </w:rPr>
        <w:t>特此证明</w:t>
      </w:r>
    </w:p>
    <w:p>
      <w:pPr>
        <w:spacing w:line="360" w:lineRule="auto"/>
        <w:ind w:left="-358" w:leftChars="-171" w:hanging="1"/>
        <w:rPr>
          <w:rFonts w:ascii="仿宋" w:hAnsi="仿宋" w:eastAsia="仿宋"/>
          <w:sz w:val="28"/>
          <w:szCs w:val="28"/>
        </w:rPr>
      </w:pPr>
      <w:r>
        <w:rPr>
          <w:rFonts w:hint="eastAsia" w:ascii="仿宋" w:hAnsi="仿宋" w:eastAsia="仿宋"/>
          <w:sz w:val="28"/>
          <w:szCs w:val="28"/>
        </w:rPr>
        <w:t>说明：</w:t>
      </w:r>
    </w:p>
    <w:p>
      <w:pPr>
        <w:spacing w:line="360" w:lineRule="auto"/>
        <w:ind w:left="799" w:leftChars="230" w:hanging="316" w:hangingChars="113"/>
        <w:rPr>
          <w:rFonts w:ascii="仿宋" w:hAnsi="仿宋" w:eastAsia="仿宋"/>
          <w:sz w:val="28"/>
          <w:szCs w:val="28"/>
        </w:rPr>
      </w:pPr>
      <w:r>
        <w:rPr>
          <w:rFonts w:hint="eastAsia" w:ascii="仿宋" w:hAnsi="仿宋" w:eastAsia="仿宋"/>
          <w:sz w:val="28"/>
          <w:szCs w:val="28"/>
        </w:rPr>
        <w:t>1.法定代表人为企业事业单位、国家机关、社会团体的主要行政负责人。</w:t>
      </w:r>
    </w:p>
    <w:p>
      <w:pPr>
        <w:spacing w:line="360" w:lineRule="auto"/>
        <w:ind w:left="-358" w:leftChars="-171" w:hanging="1"/>
        <w:rPr>
          <w:rFonts w:ascii="仿宋" w:hAnsi="仿宋" w:eastAsia="仿宋"/>
          <w:sz w:val="28"/>
          <w:szCs w:val="28"/>
        </w:rPr>
      </w:pPr>
      <w:r>
        <w:rPr>
          <w:rFonts w:hint="eastAsia" w:ascii="仿宋" w:hAnsi="仿宋" w:eastAsia="仿宋"/>
          <w:sz w:val="28"/>
          <w:szCs w:val="28"/>
        </w:rPr>
        <w:t xml:space="preserve">      2.内容必须填写真实、清楚，涂改无效，不得转让、买卖。</w:t>
      </w:r>
    </w:p>
    <w:p>
      <w:pPr>
        <w:spacing w:line="360" w:lineRule="auto"/>
        <w:ind w:left="-359" w:leftChars="-171" w:firstLine="840" w:firstLineChars="300"/>
        <w:rPr>
          <w:rFonts w:ascii="仿宋" w:hAnsi="仿宋" w:eastAsia="仿宋"/>
          <w:sz w:val="28"/>
          <w:szCs w:val="28"/>
        </w:rPr>
      </w:pPr>
      <w:r>
        <w:rPr>
          <w:rFonts w:hint="eastAsia" w:ascii="仿宋" w:hAnsi="仿宋" w:eastAsia="仿宋"/>
          <w:sz w:val="28"/>
          <w:szCs w:val="28"/>
        </w:rPr>
        <w:t>3.将此证明书提交对方作为合同附件。</w:t>
      </w:r>
    </w:p>
    <w:p>
      <w:pPr>
        <w:snapToGrid w:val="0"/>
        <w:spacing w:line="288" w:lineRule="auto"/>
        <w:ind w:firstLine="570"/>
        <w:rPr>
          <w:rFonts w:ascii="仿宋" w:hAnsi="仿宋" w:eastAsia="仿宋"/>
          <w:sz w:val="28"/>
          <w:szCs w:val="28"/>
        </w:rPr>
      </w:pPr>
    </w:p>
    <w:p>
      <w:pPr>
        <w:snapToGrid w:val="0"/>
        <w:spacing w:line="288" w:lineRule="auto"/>
        <w:ind w:firstLine="570"/>
        <w:rPr>
          <w:rFonts w:ascii="仿宋" w:hAnsi="仿宋" w:eastAsia="仿宋"/>
          <w:sz w:val="28"/>
          <w:szCs w:val="28"/>
        </w:rPr>
      </w:pPr>
    </w:p>
    <w:p>
      <w:pPr>
        <w:snapToGrid w:val="0"/>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sz w:val="28"/>
          <w:szCs w:val="28"/>
        </w:rPr>
      </w:pPr>
      <w:r>
        <w:rPr>
          <w:rFonts w:hint="eastAsia" w:ascii="仿宋" w:hAnsi="仿宋" w:eastAsia="仿宋"/>
          <w:sz w:val="28"/>
          <w:szCs w:val="28"/>
        </w:rPr>
        <w:t>日    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40" w:lineRule="exact"/>
        <w:ind w:left="-358" w:leftChars="-171" w:hanging="1"/>
        <w:rPr>
          <w:rFonts w:ascii="仿宋_GB2312" w:hAnsi="宋体" w:eastAsia="仿宋_GB2312"/>
          <w:b/>
        </w:rPr>
      </w:pPr>
      <w:r>
        <w:rPr>
          <w:rFonts w:ascii="仿宋_GB2312" w:hAnsi="宋体" w:eastAsia="仿宋_GB2312"/>
          <w:b/>
        </w:rPr>
        <w:pict>
          <v:shape id="Text Box 2" o:spid="_x0000_s1026" o:spt="202" type="#_x0000_t202" style="position:absolute;left:0pt;margin-left:213pt;margin-top:20.1pt;height:126.75pt;width:198.2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">
            <v:path/>
            <v:fill focussize="0,0"/>
            <v:stroke joinstyle="miter"/>
            <v:imagedata o:title=""/>
            <o:lock v:ext="edit"/>
            <v:textbox>
              <w:txbxContent>
                <w:p>
                  <w:r>
                    <w:rPr>
                      <w:rFonts w:hint="eastAsia"/>
                    </w:rPr>
                    <w:t>法人身份证</w:t>
                  </w:r>
                  <w:r>
                    <w:t>复印件</w:t>
                  </w:r>
                  <w:r>
                    <w:rPr>
                      <w:rFonts w:hint="eastAsia"/>
                    </w:rPr>
                    <w:t>（正面）</w:t>
                  </w:r>
                </w:p>
              </w:txbxContent>
            </v:textbox>
          </v:shape>
        </w:pict>
      </w:r>
      <w:r>
        <w:rPr>
          <w:rFonts w:ascii="仿宋_GB2312" w:hAnsi="宋体" w:eastAsia="仿宋_GB2312"/>
          <w:b/>
        </w:rPr>
        <w:pict>
          <v:shape id="Text Box 3" o:spid="_x0000_s1027" o:spt="202" type="#_x0000_t202" style="position:absolute;left:0pt;margin-left:-7.5pt;margin-top:20.15pt;height:126.75pt;width:201.2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">
            <v:path/>
            <v:fill focussize="0,0"/>
            <v:stroke joinstyle="miter"/>
            <v:imagedata o:title=""/>
            <o:lock v:ext="edit"/>
            <v:textbox>
              <w:txbxContent>
                <w:p>
                  <w:r>
                    <w:rPr>
                      <w:rFonts w:hint="eastAsia"/>
                    </w:rPr>
                    <w:t>法人身份证</w:t>
                  </w:r>
                  <w:r>
                    <w:t>复印件</w:t>
                  </w:r>
                  <w:r>
                    <w:rPr>
                      <w:rFonts w:hint="eastAsia"/>
                    </w:rPr>
                    <w:t>（反面）</w:t>
                  </w:r>
                </w:p>
              </w:txbxContent>
            </v:textbox>
          </v:shape>
        </w:pict>
      </w:r>
      <w:r>
        <w:rPr>
          <w:rFonts w:ascii="仿宋_GB2312" w:hAnsi="宋体" w:eastAsia="仿宋_GB2312"/>
          <w:b/>
        </w:rPr>
        <w:br w:type="page"/>
      </w:r>
    </w:p>
    <w:p>
      <w:pPr>
        <w:spacing w:line="0" w:lineRule="atLeast"/>
        <w:outlineLvl w:val="1"/>
        <w:rPr>
          <w:rFonts w:ascii="宋体" w:hAnsi="宋体"/>
          <w:szCs w:val="21"/>
        </w:rPr>
      </w:pPr>
      <w:bookmarkStart w:id="70" w:name="_Toc82783906"/>
      <w:r>
        <w:rPr>
          <w:rFonts w:hint="eastAsia" w:ascii="宋体" w:hAnsi="宋体"/>
          <w:szCs w:val="21"/>
        </w:rPr>
        <w:t>附件</w:t>
      </w:r>
      <w:r>
        <w:rPr>
          <w:rFonts w:ascii="宋体" w:hAnsi="宋体"/>
          <w:szCs w:val="21"/>
        </w:rPr>
        <w:t>10</w:t>
      </w:r>
      <w:r>
        <w:rPr>
          <w:rFonts w:hint="eastAsia" w:ascii="宋体" w:hAnsi="宋体"/>
          <w:szCs w:val="21"/>
        </w:rPr>
        <w:t>：法人授权委托证明书</w:t>
      </w:r>
      <w:bookmarkEnd w:id="70"/>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sz w:val="30"/>
          <w:szCs w:val="30"/>
        </w:rPr>
      </w:pPr>
    </w:p>
    <w:p>
      <w:pPr>
        <w:snapToGrid w:val="0"/>
        <w:spacing w:line="360" w:lineRule="auto"/>
        <w:ind w:firstLine="570"/>
        <w:jc w:val="left"/>
        <w:rPr>
          <w:rFonts w:ascii="仿宋" w:hAnsi="仿宋" w:eastAsia="仿宋"/>
          <w:sz w:val="28"/>
          <w:szCs w:val="28"/>
        </w:rPr>
      </w:pPr>
      <w:r>
        <w:rPr>
          <w:rFonts w:hint="eastAsia" w:ascii="仿宋" w:hAnsi="仿宋" w:eastAsia="仿宋"/>
          <w:sz w:val="28"/>
          <w:szCs w:val="28"/>
        </w:rPr>
        <w:t>本授权书声明：我</w:t>
      </w:r>
      <w:r>
        <w:rPr>
          <w:rFonts w:hint="eastAsia" w:ascii="仿宋" w:hAnsi="仿宋" w:eastAsia="仿宋"/>
          <w:sz w:val="28"/>
          <w:szCs w:val="28"/>
          <w:u w:val="single"/>
        </w:rPr>
        <w:t xml:space="preserve">           （</w:t>
      </w:r>
      <w:r>
        <w:rPr>
          <w:rFonts w:hint="eastAsia" w:ascii="仿宋" w:hAnsi="仿宋" w:eastAsia="仿宋"/>
          <w:sz w:val="28"/>
          <w:szCs w:val="28"/>
        </w:rPr>
        <w:t>姓名）系</w:t>
      </w:r>
      <w:r>
        <w:rPr>
          <w:rFonts w:hint="eastAsia" w:ascii="仿宋" w:hAnsi="仿宋" w:eastAsia="仿宋"/>
          <w:sz w:val="28"/>
          <w:szCs w:val="28"/>
          <w:u w:val="single"/>
        </w:rPr>
        <w:t xml:space="preserve">                          </w:t>
      </w:r>
    </w:p>
    <w:p>
      <w:pPr>
        <w:snapToGrid w:val="0"/>
        <w:spacing w:line="360" w:lineRule="auto"/>
        <w:jc w:val="left"/>
        <w:rPr>
          <w:rFonts w:ascii="仿宋" w:hAnsi="仿宋" w:eastAsia="仿宋"/>
          <w:sz w:val="28"/>
          <w:szCs w:val="28"/>
        </w:rPr>
      </w:pPr>
      <w:r>
        <w:rPr>
          <w:rFonts w:hint="eastAsia" w:ascii="仿宋" w:hAnsi="仿宋" w:eastAsia="仿宋"/>
          <w:sz w:val="28"/>
          <w:szCs w:val="28"/>
        </w:rPr>
        <w:t>（投标人名称）的法定代表人，现授权委托</w:t>
      </w:r>
      <w:r>
        <w:rPr>
          <w:rFonts w:hint="eastAsia" w:ascii="仿宋" w:hAnsi="仿宋" w:eastAsia="仿宋"/>
          <w:sz w:val="28"/>
          <w:szCs w:val="28"/>
          <w:u w:val="single"/>
        </w:rPr>
        <w:t xml:space="preserve">               </w:t>
      </w:r>
      <w:r>
        <w:rPr>
          <w:rFonts w:hint="eastAsia" w:ascii="仿宋" w:hAnsi="仿宋" w:eastAsia="仿宋"/>
          <w:sz w:val="28"/>
          <w:szCs w:val="28"/>
        </w:rPr>
        <w:t>（单位名称）的</w:t>
      </w:r>
      <w:r>
        <w:rPr>
          <w:rFonts w:hint="eastAsia" w:ascii="仿宋" w:hAnsi="仿宋" w:eastAsia="仿宋"/>
          <w:sz w:val="28"/>
          <w:szCs w:val="28"/>
          <w:u w:val="single"/>
        </w:rPr>
        <w:t xml:space="preserve">            </w:t>
      </w:r>
      <w:r>
        <w:rPr>
          <w:rFonts w:hint="eastAsia" w:ascii="仿宋" w:hAnsi="仿宋" w:eastAsia="仿宋"/>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napToGrid w:val="0"/>
        <w:spacing w:line="360" w:lineRule="auto"/>
        <w:ind w:firstLine="570"/>
        <w:jc w:val="left"/>
        <w:rPr>
          <w:rFonts w:ascii="仿宋" w:hAnsi="仿宋" w:eastAsia="仿宋"/>
          <w:sz w:val="28"/>
          <w:szCs w:val="28"/>
        </w:rPr>
      </w:pPr>
      <w:r>
        <w:rPr>
          <w:rFonts w:hint="eastAsia" w:ascii="仿宋" w:hAnsi="仿宋" w:eastAsia="仿宋"/>
          <w:sz w:val="28"/>
          <w:szCs w:val="28"/>
        </w:rPr>
        <w:t>代理人无转委托权，特此委托。</w:t>
      </w:r>
    </w:p>
    <w:p>
      <w:pPr>
        <w:snapToGrid w:val="0"/>
        <w:spacing w:line="360" w:lineRule="auto"/>
        <w:jc w:val="left"/>
        <w:rPr>
          <w:rFonts w:ascii="仿宋" w:hAnsi="仿宋" w:eastAsia="仿宋"/>
          <w:sz w:val="28"/>
          <w:szCs w:val="28"/>
        </w:rPr>
      </w:pPr>
      <w:r>
        <w:rPr>
          <w:rFonts w:hint="eastAsia" w:ascii="仿宋" w:hAnsi="仿宋" w:eastAsia="仿宋"/>
          <w:sz w:val="28"/>
          <w:szCs w:val="28"/>
        </w:rPr>
        <w:t>附：</w:t>
      </w:r>
    </w:p>
    <w:p>
      <w:pPr>
        <w:snapToGrid w:val="0"/>
        <w:spacing w:line="360" w:lineRule="auto"/>
        <w:jc w:val="left"/>
        <w:rPr>
          <w:rFonts w:ascii="仿宋" w:hAnsi="仿宋" w:eastAsia="仿宋"/>
          <w:sz w:val="28"/>
          <w:szCs w:val="28"/>
          <w:u w:val="single"/>
        </w:rPr>
      </w:pPr>
      <w:r>
        <w:rPr>
          <w:rFonts w:hint="eastAsia" w:ascii="仿宋" w:hAnsi="仿宋" w:eastAsia="仿宋"/>
          <w:sz w:val="28"/>
          <w:szCs w:val="28"/>
        </w:rPr>
        <w:t>代理人：</w:t>
      </w:r>
      <w:r>
        <w:rPr>
          <w:rFonts w:hint="eastAsia" w:ascii="仿宋" w:hAnsi="仿宋" w:eastAsia="仿宋"/>
          <w:sz w:val="28"/>
          <w:szCs w:val="28"/>
          <w:u w:val="single"/>
        </w:rPr>
        <w:t xml:space="preserve">           </w:t>
      </w:r>
      <w:r>
        <w:rPr>
          <w:rFonts w:hint="eastAsia" w:ascii="仿宋" w:hAnsi="仿宋" w:eastAsia="仿宋"/>
          <w:sz w:val="28"/>
          <w:szCs w:val="28"/>
        </w:rPr>
        <w:t xml:space="preserve"> ，性别：</w:t>
      </w:r>
      <w:r>
        <w:rPr>
          <w:rFonts w:hint="eastAsia" w:ascii="仿宋" w:hAnsi="仿宋" w:eastAsia="仿宋"/>
          <w:sz w:val="28"/>
          <w:szCs w:val="28"/>
          <w:u w:val="single"/>
        </w:rPr>
        <w:t xml:space="preserve">          </w:t>
      </w:r>
      <w:r>
        <w:rPr>
          <w:rFonts w:hint="eastAsia" w:ascii="仿宋" w:hAnsi="仿宋" w:eastAsia="仿宋"/>
          <w:sz w:val="28"/>
          <w:szCs w:val="28"/>
        </w:rPr>
        <w:t>，年龄：</w:t>
      </w:r>
      <w:r>
        <w:rPr>
          <w:rFonts w:hint="eastAsia" w:ascii="仿宋" w:hAnsi="仿宋" w:eastAsia="仿宋"/>
          <w:sz w:val="28"/>
          <w:szCs w:val="28"/>
          <w:u w:val="single"/>
        </w:rPr>
        <w:t xml:space="preserve">          </w:t>
      </w:r>
      <w:r>
        <w:rPr>
          <w:rFonts w:hint="eastAsia" w:ascii="仿宋" w:hAnsi="仿宋" w:eastAsia="仿宋"/>
          <w:sz w:val="28"/>
          <w:szCs w:val="28"/>
        </w:rPr>
        <w:t>，</w:t>
      </w:r>
    </w:p>
    <w:p>
      <w:pPr>
        <w:snapToGrid w:val="0"/>
        <w:spacing w:line="360" w:lineRule="auto"/>
        <w:jc w:val="left"/>
        <w:rPr>
          <w:rFonts w:ascii="仿宋" w:hAnsi="仿宋" w:eastAsia="仿宋"/>
          <w:sz w:val="28"/>
          <w:szCs w:val="28"/>
          <w:u w:val="single"/>
        </w:rPr>
      </w:pPr>
      <w:r>
        <w:rPr>
          <w:rFonts w:hint="eastAsia" w:ascii="仿宋" w:hAnsi="仿宋" w:eastAsia="仿宋"/>
          <w:sz w:val="28"/>
          <w:szCs w:val="28"/>
        </w:rPr>
        <w:t>身份证号码：</w:t>
      </w:r>
      <w:r>
        <w:rPr>
          <w:rFonts w:hint="eastAsia" w:ascii="仿宋" w:hAnsi="仿宋" w:eastAsia="仿宋"/>
          <w:sz w:val="28"/>
          <w:szCs w:val="28"/>
          <w:u w:val="single"/>
        </w:rPr>
        <w:t xml:space="preserve">                         </w:t>
      </w:r>
      <w:r>
        <w:rPr>
          <w:rFonts w:hint="eastAsia" w:ascii="仿宋" w:hAnsi="仿宋" w:eastAsia="仿宋"/>
          <w:sz w:val="28"/>
          <w:szCs w:val="28"/>
        </w:rPr>
        <w:t>，职务：</w:t>
      </w:r>
      <w:r>
        <w:rPr>
          <w:rFonts w:hint="eastAsia" w:ascii="仿宋" w:hAnsi="仿宋" w:eastAsia="仿宋"/>
          <w:sz w:val="28"/>
          <w:szCs w:val="28"/>
          <w:u w:val="single"/>
        </w:rPr>
        <w:t xml:space="preserve">           </w:t>
      </w:r>
      <w:r>
        <w:rPr>
          <w:rFonts w:hint="eastAsia" w:ascii="仿宋" w:hAnsi="仿宋" w:eastAsia="仿宋"/>
          <w:sz w:val="28"/>
          <w:szCs w:val="28"/>
        </w:rPr>
        <w:t>，</w:t>
      </w:r>
    </w:p>
    <w:p>
      <w:pPr>
        <w:snapToGrid w:val="0"/>
        <w:spacing w:line="360" w:lineRule="auto"/>
        <w:jc w:val="left"/>
        <w:rPr>
          <w:rFonts w:ascii="仿宋" w:hAnsi="仿宋" w:eastAsia="仿宋"/>
          <w:sz w:val="28"/>
          <w:szCs w:val="28"/>
        </w:rPr>
      </w:pPr>
      <w:r>
        <w:rPr>
          <w:rFonts w:hint="eastAsia" w:ascii="仿宋" w:hAnsi="仿宋" w:eastAsia="仿宋"/>
          <w:sz w:val="28"/>
          <w:szCs w:val="28"/>
        </w:rPr>
        <w:t>投标人法定代表人：</w:t>
      </w:r>
      <w:r>
        <w:rPr>
          <w:rFonts w:hint="eastAsia" w:ascii="仿宋" w:hAnsi="仿宋" w:eastAsia="仿宋"/>
          <w:sz w:val="28"/>
          <w:szCs w:val="28"/>
          <w:u w:val="single"/>
        </w:rPr>
        <w:t xml:space="preserve">                        </w:t>
      </w:r>
      <w:r>
        <w:rPr>
          <w:rFonts w:hint="eastAsia" w:ascii="仿宋" w:hAnsi="仿宋" w:eastAsia="仿宋"/>
          <w:sz w:val="28"/>
          <w:szCs w:val="28"/>
        </w:rPr>
        <w:t>（签字或盖章）</w:t>
      </w:r>
    </w:p>
    <w:p>
      <w:pPr>
        <w:snapToGrid w:val="0"/>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sz w:val="30"/>
          <w:szCs w:val="30"/>
        </w:rPr>
      </w:pPr>
      <w:r>
        <w:rPr>
          <w:rFonts w:hint="eastAsia" w:ascii="仿宋" w:hAnsi="仿宋" w:eastAsia="仿宋"/>
          <w:sz w:val="30"/>
          <w:szCs w:val="30"/>
        </w:rPr>
        <w:t>授权委托日期：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adjustRightInd w:val="0"/>
        <w:snapToGrid w:val="0"/>
        <w:spacing w:line="400" w:lineRule="exact"/>
        <w:rPr>
          <w:rFonts w:ascii="仿宋" w:hAnsi="仿宋" w:eastAsia="仿宋"/>
          <w:sz w:val="28"/>
          <w:szCs w:val="28"/>
        </w:rPr>
      </w:pPr>
      <w:r>
        <w:rPr>
          <w:rFonts w:ascii="仿宋" w:hAnsi="仿宋" w:eastAsia="仿宋"/>
          <w:sz w:val="28"/>
          <w:szCs w:val="28"/>
        </w:rPr>
        <w:t>说明：1.委托书内容必须填写真实、清楚，涂改无效。</w:t>
      </w:r>
    </w:p>
    <w:p>
      <w:pPr>
        <w:tabs>
          <w:tab w:val="left" w:pos="882"/>
        </w:tabs>
        <w:adjustRightInd w:val="0"/>
        <w:snapToGrid w:val="0"/>
        <w:spacing w:line="400" w:lineRule="exact"/>
        <w:ind w:firstLine="896" w:firstLineChars="320"/>
        <w:rPr>
          <w:rFonts w:ascii="仿宋" w:hAnsi="仿宋" w:eastAsia="仿宋"/>
          <w:sz w:val="28"/>
          <w:szCs w:val="28"/>
        </w:rPr>
      </w:pPr>
      <w:r>
        <w:rPr>
          <w:rFonts w:ascii="仿宋" w:hAnsi="仿宋" w:eastAsia="仿宋"/>
          <w:sz w:val="28"/>
          <w:szCs w:val="28"/>
        </w:rPr>
        <w:t>2.委托书不得转让、买卖。</w:t>
      </w:r>
    </w:p>
    <w:p>
      <w:pPr>
        <w:tabs>
          <w:tab w:val="left" w:pos="882"/>
        </w:tabs>
        <w:adjustRightInd w:val="0"/>
        <w:snapToGrid w:val="0"/>
        <w:spacing w:line="400" w:lineRule="exact"/>
        <w:ind w:firstLine="896" w:firstLineChars="32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rPr>
      </w:pPr>
      <w:r>
        <w:rPr>
          <w:rFonts w:ascii="仿宋_GB2312" w:hAnsi="宋体" w:eastAsia="仿宋_GB2312"/>
        </w:rPr>
        <w:br w:type="page"/>
      </w:r>
    </w:p>
    <w:p>
      <w:pPr>
        <w:spacing w:line="0" w:lineRule="atLeast"/>
        <w:outlineLvl w:val="1"/>
        <w:rPr>
          <w:rFonts w:ascii="宋体" w:hAnsi="宋体"/>
          <w:szCs w:val="21"/>
        </w:rPr>
      </w:pPr>
      <w:bookmarkStart w:id="71" w:name="_Toc82783907"/>
      <w:r>
        <w:rPr>
          <w:rFonts w:hint="eastAsia" w:ascii="宋体" w:hAnsi="宋体"/>
          <w:szCs w:val="21"/>
        </w:rPr>
        <w:t>附件</w:t>
      </w:r>
      <w:r>
        <w:rPr>
          <w:rFonts w:ascii="宋体" w:hAnsi="宋体"/>
          <w:szCs w:val="21"/>
        </w:rPr>
        <w:t>11</w:t>
      </w:r>
      <w:r>
        <w:rPr>
          <w:rFonts w:hint="eastAsia" w:ascii="宋体" w:hAnsi="宋体"/>
          <w:szCs w:val="21"/>
        </w:rPr>
        <w:t>：经营业绩一览表</w:t>
      </w:r>
      <w:bookmarkEnd w:id="71"/>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2"/>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rPr>
          <w:rFonts w:ascii="仿宋" w:hAnsi="仿宋" w:eastAsia="仿宋"/>
          <w:sz w:val="28"/>
          <w:szCs w:val="28"/>
        </w:rPr>
      </w:pPr>
      <w:r>
        <w:rPr>
          <w:rFonts w:hint="eastAsia" w:ascii="仿宋" w:hAnsi="仿宋" w:eastAsia="仿宋"/>
          <w:sz w:val="28"/>
          <w:szCs w:val="28"/>
        </w:rPr>
        <w:t>1.此表格式如不合适，投标人可自行调整。</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2.投标人根据招标文件业绩部分资格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3.上述业绩必须为真实有效，如发现业绩不符，将取消相应资格；</w:t>
      </w:r>
    </w:p>
    <w:p>
      <w:pPr>
        <w:autoSpaceDE w:val="0"/>
        <w:autoSpaceDN w:val="0"/>
        <w:adjustRightInd w:val="0"/>
        <w:snapToGrid w:val="0"/>
        <w:jc w:val="left"/>
        <w:rPr>
          <w:rFonts w:ascii="仿宋" w:hAnsi="仿宋" w:eastAsia="仿宋"/>
          <w:sz w:val="28"/>
          <w:szCs w:val="28"/>
        </w:rPr>
      </w:pPr>
      <w:r>
        <w:rPr>
          <w:rFonts w:hint="eastAsia" w:ascii="仿宋" w:hAnsi="仿宋" w:eastAsia="仿宋"/>
          <w:sz w:val="28"/>
          <w:szCs w:val="28"/>
        </w:rPr>
        <w:t>4.证明材料须附在本表后即可。</w:t>
      </w:r>
    </w:p>
    <w:p>
      <w:pPr>
        <w:snapToGrid w:val="0"/>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r>
        <w:rPr>
          <w:rFonts w:ascii="仿宋" w:hAnsi="仿宋" w:eastAsia="仿宋"/>
          <w:sz w:val="30"/>
          <w:szCs w:val="30"/>
        </w:rPr>
        <w:br w:type="page"/>
      </w:r>
    </w:p>
    <w:p>
      <w:pPr>
        <w:spacing w:line="0" w:lineRule="atLeast"/>
        <w:outlineLvl w:val="1"/>
        <w:rPr>
          <w:rFonts w:ascii="宋体" w:hAnsi="宋体"/>
          <w:szCs w:val="21"/>
        </w:rPr>
      </w:pPr>
      <w:bookmarkStart w:id="72" w:name="_Toc82783908"/>
      <w:r>
        <w:rPr>
          <w:rFonts w:hint="eastAsia" w:ascii="宋体" w:hAnsi="宋体"/>
          <w:szCs w:val="21"/>
        </w:rPr>
        <w:t>附件</w:t>
      </w:r>
      <w:r>
        <w:rPr>
          <w:rFonts w:ascii="宋体" w:hAnsi="宋体"/>
          <w:szCs w:val="21"/>
        </w:rPr>
        <w:t>12</w:t>
      </w:r>
      <w:r>
        <w:rPr>
          <w:rFonts w:hint="eastAsia" w:ascii="宋体" w:hAnsi="宋体"/>
          <w:szCs w:val="21"/>
        </w:rPr>
        <w:t>：售后服务承诺书</w:t>
      </w:r>
      <w:bookmarkEnd w:id="72"/>
      <w:r>
        <w:rPr>
          <w:rFonts w:hint="eastAsia" w:ascii="宋体" w:hAnsi="宋体"/>
          <w:szCs w:val="21"/>
        </w:rPr>
        <w:t>（</w:t>
      </w:r>
      <w:r>
        <w:rPr>
          <w:rFonts w:hint="eastAsia" w:ascii="宋体" w:hAnsi="宋体"/>
        </w:rPr>
        <w:t>质量保证服务承诺书</w:t>
      </w:r>
      <w:r>
        <w:rPr>
          <w:rFonts w:hint="eastAsia" w:ascii="宋体" w:hAnsi="宋体"/>
          <w:szCs w:val="21"/>
        </w:rPr>
        <w:t>）</w:t>
      </w:r>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2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2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2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2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2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2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sz w:val="28"/>
          <w:szCs w:val="28"/>
        </w:rPr>
      </w:pPr>
    </w:p>
    <w:p>
      <w:pPr>
        <w:tabs>
          <w:tab w:val="left" w:pos="8248"/>
          <w:tab w:val="left" w:pos="9368"/>
        </w:tabs>
        <w:ind w:left="-66"/>
        <w:rPr>
          <w:rFonts w:ascii="仿宋" w:hAnsi="仿宋" w:eastAsia="仿宋"/>
          <w:sz w:val="28"/>
          <w:szCs w:val="28"/>
          <w:u w:val="single"/>
        </w:rPr>
      </w:pPr>
    </w:p>
    <w:p>
      <w:pPr>
        <w:tabs>
          <w:tab w:val="left" w:pos="8248"/>
          <w:tab w:val="left" w:pos="9368"/>
        </w:tabs>
        <w:ind w:left="-66"/>
        <w:rPr>
          <w:rFonts w:ascii="仿宋" w:hAnsi="仿宋" w:eastAsia="仿宋"/>
          <w:sz w:val="28"/>
          <w:szCs w:val="28"/>
          <w:u w:val="single"/>
        </w:rPr>
      </w:pPr>
    </w:p>
    <w:p>
      <w:pPr>
        <w:tabs>
          <w:tab w:val="left" w:pos="8248"/>
          <w:tab w:val="left" w:pos="9368"/>
        </w:tabs>
        <w:ind w:left="-66"/>
        <w:rPr>
          <w:rFonts w:ascii="仿宋" w:hAnsi="仿宋" w:eastAsia="仿宋"/>
          <w:sz w:val="28"/>
          <w:szCs w:val="28"/>
          <w:u w:val="single"/>
        </w:rPr>
      </w:pPr>
    </w:p>
    <w:p>
      <w:pPr>
        <w:tabs>
          <w:tab w:val="left" w:pos="8248"/>
          <w:tab w:val="left" w:pos="9368"/>
        </w:tabs>
        <w:ind w:left="-66"/>
        <w:rPr>
          <w:rFonts w:ascii="仿宋" w:hAnsi="仿宋" w:eastAsia="仿宋"/>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 w:val="28"/>
          <w:szCs w:val="28"/>
        </w:rPr>
      </w:pPr>
      <w:bookmarkStart w:id="73" w:name="_Toc32341"/>
      <w:r>
        <w:rPr>
          <w:rFonts w:ascii="仿宋" w:hAnsi="仿宋" w:eastAsia="仿宋"/>
          <w:sz w:val="28"/>
          <w:szCs w:val="28"/>
        </w:rPr>
        <w:br w:type="page"/>
      </w:r>
    </w:p>
    <w:p>
      <w:pPr>
        <w:spacing w:line="0" w:lineRule="atLeast"/>
        <w:outlineLvl w:val="1"/>
        <w:rPr>
          <w:rFonts w:ascii="宋体" w:hAnsi="宋体"/>
          <w:szCs w:val="21"/>
        </w:rPr>
      </w:pPr>
      <w:bookmarkStart w:id="74" w:name="_Toc82783909"/>
      <w:r>
        <w:rPr>
          <w:rFonts w:hint="eastAsia" w:ascii="宋体" w:hAnsi="宋体"/>
          <w:szCs w:val="21"/>
        </w:rPr>
        <w:t>附件</w:t>
      </w:r>
      <w:r>
        <w:rPr>
          <w:rFonts w:ascii="宋体" w:hAnsi="宋体"/>
          <w:szCs w:val="21"/>
        </w:rPr>
        <w:t>13</w:t>
      </w:r>
      <w:r>
        <w:rPr>
          <w:rFonts w:hint="eastAsia" w:ascii="宋体" w:hAnsi="宋体"/>
          <w:szCs w:val="21"/>
        </w:rPr>
        <w:t>：履约情况及社会信誉承诺书</w:t>
      </w:r>
      <w:bookmarkEnd w:id="73"/>
      <w:bookmarkEnd w:id="74"/>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2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2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2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法定代表人或其授权代理人（签字或盖章）：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sectPr>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等线 Light">
    <w:panose1 w:val="02010600030101010101"/>
    <w:charset w:val="86"/>
    <w:family w:val="roman"/>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4879949"/>
    </w:sdtPr>
    <w:sdtContent>
      <w:p>
        <w:pPr>
          <w:pStyle w:val="7"/>
          <w:jc w:val="center"/>
        </w:pPr>
        <w:r>
          <w:fldChar w:fldCharType="begin"/>
        </w:r>
        <w:r>
          <w:instrText xml:space="preserve">PAGE   \* MERGEFORMAT</w:instrText>
        </w:r>
        <w:r>
          <w:fldChar w:fldCharType="separate"/>
        </w:r>
        <w:r>
          <w:rPr>
            <w:lang w:val="zh-CN"/>
          </w:rPr>
          <w:t>13</w:t>
        </w:r>
        <w:r>
          <w:rPr>
            <w:lang w:val="zh-C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690857"/>
    <w:multiLevelType w:val="singleLevel"/>
    <w:tmpl w:val="CA690857"/>
    <w:lvl w:ilvl="0" w:tentative="0">
      <w:start w:val="1"/>
      <w:numFmt w:val="decimal"/>
      <w:lvlText w:val="（%1）"/>
      <w:lvlJc w:val="left"/>
      <w:pPr>
        <w:ind w:left="420" w:hanging="420"/>
      </w:pPr>
      <w:rPr>
        <w:rFonts w:hint="eastAsia"/>
      </w:rPr>
    </w:lvl>
  </w:abstractNum>
  <w:abstractNum w:abstractNumId="1">
    <w:nsid w:val="D3051835"/>
    <w:multiLevelType w:val="singleLevel"/>
    <w:tmpl w:val="D3051835"/>
    <w:lvl w:ilvl="0" w:tentative="0">
      <w:start w:val="1"/>
      <w:numFmt w:val="decimal"/>
      <w:suff w:val="space"/>
      <w:lvlText w:val="%1."/>
      <w:lvlJc w:val="left"/>
    </w:lvl>
  </w:abstractNum>
  <w:abstractNum w:abstractNumId="2">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3"/>
    <w:multiLevelType w:val="singleLevel"/>
    <w:tmpl w:val="00000013"/>
    <w:lvl w:ilvl="0" w:tentative="0">
      <w:start w:val="1"/>
      <w:numFmt w:val="decimal"/>
      <w:lvlText w:val="%1."/>
      <w:lvlJc w:val="left"/>
      <w:pPr>
        <w:ind w:left="420" w:hanging="420"/>
      </w:pPr>
    </w:lvl>
  </w:abstractNum>
  <w:abstractNum w:abstractNumId="6">
    <w:nsid w:val="15D71C3A"/>
    <w:multiLevelType w:val="multilevel"/>
    <w:tmpl w:val="15D71C3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5">
    <w:nsid w:val="3FA00B7A"/>
    <w:multiLevelType w:val="multilevel"/>
    <w:tmpl w:val="3FA00B7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BA719D1"/>
    <w:multiLevelType w:val="singleLevel"/>
    <w:tmpl w:val="4BA719D1"/>
    <w:lvl w:ilvl="0" w:tentative="0">
      <w:start w:val="1"/>
      <w:numFmt w:val="decimal"/>
      <w:lvlText w:val="（%1）"/>
      <w:lvlJc w:val="left"/>
      <w:pPr>
        <w:ind w:left="420" w:hanging="420"/>
      </w:pPr>
      <w:rPr>
        <w:rFonts w:hint="eastAsia"/>
      </w:rPr>
    </w:lvl>
  </w:abstractNum>
  <w:abstractNum w:abstractNumId="17">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18">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19">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9252588"/>
    <w:multiLevelType w:val="multilevel"/>
    <w:tmpl w:val="5925258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92642EB"/>
    <w:multiLevelType w:val="multilevel"/>
    <w:tmpl w:val="592642E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20B0F91"/>
    <w:multiLevelType w:val="multilevel"/>
    <w:tmpl w:val="620B0F9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4">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25">
    <w:nsid w:val="7B4A4E0C"/>
    <w:multiLevelType w:val="singleLevel"/>
    <w:tmpl w:val="7B4A4E0C"/>
    <w:lvl w:ilvl="0" w:tentative="0">
      <w:start w:val="1"/>
      <w:numFmt w:val="decimal"/>
      <w:lvlText w:val="（%1）"/>
      <w:lvlJc w:val="left"/>
      <w:pPr>
        <w:ind w:left="420" w:hanging="420"/>
      </w:pPr>
      <w:rPr>
        <w:rFonts w:hint="eastAsia"/>
      </w:rPr>
    </w:lvl>
  </w:abstractNum>
  <w:abstractNum w:abstractNumId="26">
    <w:nsid w:val="7ED17433"/>
    <w:multiLevelType w:val="singleLevel"/>
    <w:tmpl w:val="7ED17433"/>
    <w:lvl w:ilvl="0" w:tentative="0">
      <w:start w:val="1"/>
      <w:numFmt w:val="decimal"/>
      <w:lvlText w:val="（%1）"/>
      <w:lvlJc w:val="left"/>
      <w:pPr>
        <w:ind w:left="420" w:hanging="420"/>
      </w:pPr>
      <w:rPr>
        <w:rFonts w:hint="eastAsia"/>
      </w:rPr>
    </w:lvl>
  </w:abstractNum>
  <w:num w:numId="1">
    <w:abstractNumId w:val="18"/>
  </w:num>
  <w:num w:numId="2">
    <w:abstractNumId w:val="24"/>
  </w:num>
  <w:num w:numId="3">
    <w:abstractNumId w:val="12"/>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9"/>
  </w:num>
  <w:num w:numId="8">
    <w:abstractNumId w:val="13"/>
  </w:num>
  <w:num w:numId="9">
    <w:abstractNumId w:val="7"/>
  </w:num>
  <w:num w:numId="10">
    <w:abstractNumId w:val="6"/>
  </w:num>
  <w:num w:numId="11">
    <w:abstractNumId w:val="25"/>
  </w:num>
  <w:num w:numId="12">
    <w:abstractNumId w:val="26"/>
  </w:num>
  <w:num w:numId="13">
    <w:abstractNumId w:val="16"/>
  </w:num>
  <w:num w:numId="14">
    <w:abstractNumId w:val="15"/>
  </w:num>
  <w:num w:numId="15">
    <w:abstractNumId w:val="1"/>
  </w:num>
  <w:num w:numId="16">
    <w:abstractNumId w:val="4"/>
  </w:num>
  <w:num w:numId="17">
    <w:abstractNumId w:val="22"/>
  </w:num>
  <w:num w:numId="18">
    <w:abstractNumId w:val="8"/>
  </w:num>
  <w:num w:numId="19">
    <w:abstractNumId w:val="11"/>
  </w:num>
  <w:num w:numId="20">
    <w:abstractNumId w:val="21"/>
  </w:num>
  <w:num w:numId="21">
    <w:abstractNumId w:val="20"/>
  </w:num>
  <w:num w:numId="22">
    <w:abstractNumId w:val="3"/>
  </w:num>
  <w:num w:numId="23">
    <w:abstractNumId w:val="2"/>
  </w:num>
  <w:num w:numId="24">
    <w:abstractNumId w:val="23"/>
  </w:num>
  <w:num w:numId="25">
    <w:abstractNumId w:val="14"/>
  </w:num>
  <w:num w:numId="26">
    <w:abstractNumId w:val="10"/>
  </w:num>
  <w:num w:numId="27">
    <w:abstractNumId w:val="5"/>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C50B2"/>
    <w:rsid w:val="000071F5"/>
    <w:rsid w:val="000109CF"/>
    <w:rsid w:val="0001211D"/>
    <w:rsid w:val="0001408F"/>
    <w:rsid w:val="000152D7"/>
    <w:rsid w:val="000203E3"/>
    <w:rsid w:val="00020D3D"/>
    <w:rsid w:val="0002431D"/>
    <w:rsid w:val="0003503D"/>
    <w:rsid w:val="00050A55"/>
    <w:rsid w:val="000513E4"/>
    <w:rsid w:val="0006063F"/>
    <w:rsid w:val="0006307A"/>
    <w:rsid w:val="0006351C"/>
    <w:rsid w:val="00070029"/>
    <w:rsid w:val="00071803"/>
    <w:rsid w:val="00074891"/>
    <w:rsid w:val="0007613E"/>
    <w:rsid w:val="00077160"/>
    <w:rsid w:val="00080360"/>
    <w:rsid w:val="00080D53"/>
    <w:rsid w:val="00093F3A"/>
    <w:rsid w:val="000A2942"/>
    <w:rsid w:val="000A46B2"/>
    <w:rsid w:val="000A4843"/>
    <w:rsid w:val="000A50EE"/>
    <w:rsid w:val="000C0416"/>
    <w:rsid w:val="000C45B3"/>
    <w:rsid w:val="000C7053"/>
    <w:rsid w:val="000D309A"/>
    <w:rsid w:val="000E3E7C"/>
    <w:rsid w:val="000F16F8"/>
    <w:rsid w:val="000F23B0"/>
    <w:rsid w:val="000F2BC7"/>
    <w:rsid w:val="001052B4"/>
    <w:rsid w:val="001100E4"/>
    <w:rsid w:val="001107A5"/>
    <w:rsid w:val="00111298"/>
    <w:rsid w:val="00117590"/>
    <w:rsid w:val="001238C4"/>
    <w:rsid w:val="0012732B"/>
    <w:rsid w:val="00130515"/>
    <w:rsid w:val="0013213B"/>
    <w:rsid w:val="00134F7D"/>
    <w:rsid w:val="0013586E"/>
    <w:rsid w:val="0013663B"/>
    <w:rsid w:val="00137AB2"/>
    <w:rsid w:val="00141B72"/>
    <w:rsid w:val="001427DC"/>
    <w:rsid w:val="00146EE3"/>
    <w:rsid w:val="00147DF8"/>
    <w:rsid w:val="0015775D"/>
    <w:rsid w:val="00162AA4"/>
    <w:rsid w:val="001723D2"/>
    <w:rsid w:val="00174846"/>
    <w:rsid w:val="00180E0D"/>
    <w:rsid w:val="00185CF6"/>
    <w:rsid w:val="001904C3"/>
    <w:rsid w:val="001959E5"/>
    <w:rsid w:val="001978B2"/>
    <w:rsid w:val="001A6C5B"/>
    <w:rsid w:val="001B723D"/>
    <w:rsid w:val="001C63B2"/>
    <w:rsid w:val="001C7D14"/>
    <w:rsid w:val="001E2E31"/>
    <w:rsid w:val="001E44D2"/>
    <w:rsid w:val="001F14F2"/>
    <w:rsid w:val="001F7A01"/>
    <w:rsid w:val="00204FBF"/>
    <w:rsid w:val="00206999"/>
    <w:rsid w:val="00211D15"/>
    <w:rsid w:val="00212C7F"/>
    <w:rsid w:val="0022465E"/>
    <w:rsid w:val="00233BA2"/>
    <w:rsid w:val="00233E0E"/>
    <w:rsid w:val="00252697"/>
    <w:rsid w:val="00264ACB"/>
    <w:rsid w:val="00292E63"/>
    <w:rsid w:val="00293373"/>
    <w:rsid w:val="00295EAA"/>
    <w:rsid w:val="002963F2"/>
    <w:rsid w:val="002B38E6"/>
    <w:rsid w:val="002B67D0"/>
    <w:rsid w:val="002B743A"/>
    <w:rsid w:val="002C49F2"/>
    <w:rsid w:val="002D64E8"/>
    <w:rsid w:val="002E52F1"/>
    <w:rsid w:val="002E6EC7"/>
    <w:rsid w:val="002F4483"/>
    <w:rsid w:val="00313A9E"/>
    <w:rsid w:val="003158DE"/>
    <w:rsid w:val="00322A74"/>
    <w:rsid w:val="003255E6"/>
    <w:rsid w:val="003300CC"/>
    <w:rsid w:val="0033502D"/>
    <w:rsid w:val="003436BC"/>
    <w:rsid w:val="00345A9C"/>
    <w:rsid w:val="00354484"/>
    <w:rsid w:val="003545D1"/>
    <w:rsid w:val="003823A8"/>
    <w:rsid w:val="003960F6"/>
    <w:rsid w:val="003978EE"/>
    <w:rsid w:val="00397C1E"/>
    <w:rsid w:val="00397CE8"/>
    <w:rsid w:val="003A09E6"/>
    <w:rsid w:val="003A77E4"/>
    <w:rsid w:val="003B01FB"/>
    <w:rsid w:val="003B0FCE"/>
    <w:rsid w:val="003B7A8D"/>
    <w:rsid w:val="003D0358"/>
    <w:rsid w:val="003E5C81"/>
    <w:rsid w:val="003E6092"/>
    <w:rsid w:val="003E66A3"/>
    <w:rsid w:val="003E7621"/>
    <w:rsid w:val="003F04F9"/>
    <w:rsid w:val="004235D9"/>
    <w:rsid w:val="0042631C"/>
    <w:rsid w:val="00427D5D"/>
    <w:rsid w:val="00431873"/>
    <w:rsid w:val="00431CC5"/>
    <w:rsid w:val="004352FB"/>
    <w:rsid w:val="00441F17"/>
    <w:rsid w:val="004550F0"/>
    <w:rsid w:val="00461725"/>
    <w:rsid w:val="004707D2"/>
    <w:rsid w:val="00471ED2"/>
    <w:rsid w:val="00473517"/>
    <w:rsid w:val="00476C96"/>
    <w:rsid w:val="00482D8A"/>
    <w:rsid w:val="004843C8"/>
    <w:rsid w:val="00490BA8"/>
    <w:rsid w:val="00492F1D"/>
    <w:rsid w:val="004A0594"/>
    <w:rsid w:val="004A7C1F"/>
    <w:rsid w:val="004B0D64"/>
    <w:rsid w:val="004B166E"/>
    <w:rsid w:val="004B24F9"/>
    <w:rsid w:val="004D58FC"/>
    <w:rsid w:val="004D6F70"/>
    <w:rsid w:val="004E3802"/>
    <w:rsid w:val="004E4541"/>
    <w:rsid w:val="004E760D"/>
    <w:rsid w:val="004E7657"/>
    <w:rsid w:val="004F28D9"/>
    <w:rsid w:val="004F428A"/>
    <w:rsid w:val="004F63E5"/>
    <w:rsid w:val="00506B6D"/>
    <w:rsid w:val="005130D3"/>
    <w:rsid w:val="00513781"/>
    <w:rsid w:val="00517499"/>
    <w:rsid w:val="00524260"/>
    <w:rsid w:val="00535EB1"/>
    <w:rsid w:val="00544B6E"/>
    <w:rsid w:val="005506AD"/>
    <w:rsid w:val="00565EDC"/>
    <w:rsid w:val="005815FC"/>
    <w:rsid w:val="00587FB2"/>
    <w:rsid w:val="00597F57"/>
    <w:rsid w:val="005A26F8"/>
    <w:rsid w:val="005A480E"/>
    <w:rsid w:val="005B03C2"/>
    <w:rsid w:val="005B1453"/>
    <w:rsid w:val="005B2F62"/>
    <w:rsid w:val="005B328D"/>
    <w:rsid w:val="005C5034"/>
    <w:rsid w:val="005D0248"/>
    <w:rsid w:val="005D123F"/>
    <w:rsid w:val="005E3B07"/>
    <w:rsid w:val="005E43D8"/>
    <w:rsid w:val="005F16B3"/>
    <w:rsid w:val="005F544D"/>
    <w:rsid w:val="005F6B2B"/>
    <w:rsid w:val="00606010"/>
    <w:rsid w:val="00621681"/>
    <w:rsid w:val="00624372"/>
    <w:rsid w:val="00630585"/>
    <w:rsid w:val="006311FC"/>
    <w:rsid w:val="00632039"/>
    <w:rsid w:val="006333BC"/>
    <w:rsid w:val="00664471"/>
    <w:rsid w:val="00676E79"/>
    <w:rsid w:val="00680C5B"/>
    <w:rsid w:val="00681577"/>
    <w:rsid w:val="006815B1"/>
    <w:rsid w:val="00687753"/>
    <w:rsid w:val="006942FF"/>
    <w:rsid w:val="00694C42"/>
    <w:rsid w:val="006979D2"/>
    <w:rsid w:val="006A4FED"/>
    <w:rsid w:val="006B1729"/>
    <w:rsid w:val="006B1E5D"/>
    <w:rsid w:val="006B3970"/>
    <w:rsid w:val="006B4923"/>
    <w:rsid w:val="006C659A"/>
    <w:rsid w:val="006C7266"/>
    <w:rsid w:val="006C7574"/>
    <w:rsid w:val="006E0464"/>
    <w:rsid w:val="006E42A5"/>
    <w:rsid w:val="006E6992"/>
    <w:rsid w:val="006F0E4A"/>
    <w:rsid w:val="006F3293"/>
    <w:rsid w:val="0070433C"/>
    <w:rsid w:val="00710231"/>
    <w:rsid w:val="007115E1"/>
    <w:rsid w:val="00714F2D"/>
    <w:rsid w:val="00715AB4"/>
    <w:rsid w:val="00717FB9"/>
    <w:rsid w:val="00732621"/>
    <w:rsid w:val="00745172"/>
    <w:rsid w:val="007457A0"/>
    <w:rsid w:val="007542A8"/>
    <w:rsid w:val="007559E5"/>
    <w:rsid w:val="00756D11"/>
    <w:rsid w:val="00764F0A"/>
    <w:rsid w:val="007672EE"/>
    <w:rsid w:val="0076763C"/>
    <w:rsid w:val="0077621A"/>
    <w:rsid w:val="00781DFA"/>
    <w:rsid w:val="007826A2"/>
    <w:rsid w:val="00782E08"/>
    <w:rsid w:val="0078427F"/>
    <w:rsid w:val="00790A8A"/>
    <w:rsid w:val="007933D2"/>
    <w:rsid w:val="007B349F"/>
    <w:rsid w:val="007C02CE"/>
    <w:rsid w:val="007C50B2"/>
    <w:rsid w:val="007D079C"/>
    <w:rsid w:val="007D19DC"/>
    <w:rsid w:val="007D64DE"/>
    <w:rsid w:val="007E0BCF"/>
    <w:rsid w:val="00803FA2"/>
    <w:rsid w:val="008078FF"/>
    <w:rsid w:val="00845E57"/>
    <w:rsid w:val="00857F72"/>
    <w:rsid w:val="00861F3F"/>
    <w:rsid w:val="00865C75"/>
    <w:rsid w:val="00866C0E"/>
    <w:rsid w:val="00867C56"/>
    <w:rsid w:val="00870B22"/>
    <w:rsid w:val="008744C9"/>
    <w:rsid w:val="00874BB5"/>
    <w:rsid w:val="00882D48"/>
    <w:rsid w:val="00894955"/>
    <w:rsid w:val="008A0193"/>
    <w:rsid w:val="008A4FC2"/>
    <w:rsid w:val="008B2C67"/>
    <w:rsid w:val="008C44DE"/>
    <w:rsid w:val="008C6761"/>
    <w:rsid w:val="008C7CC5"/>
    <w:rsid w:val="008E05E5"/>
    <w:rsid w:val="008E42A7"/>
    <w:rsid w:val="008E76A2"/>
    <w:rsid w:val="0090721F"/>
    <w:rsid w:val="00910C4B"/>
    <w:rsid w:val="009132DE"/>
    <w:rsid w:val="00926702"/>
    <w:rsid w:val="00927979"/>
    <w:rsid w:val="00934721"/>
    <w:rsid w:val="00937F12"/>
    <w:rsid w:val="00942515"/>
    <w:rsid w:val="00943245"/>
    <w:rsid w:val="0094528D"/>
    <w:rsid w:val="00946817"/>
    <w:rsid w:val="009472EF"/>
    <w:rsid w:val="009509AB"/>
    <w:rsid w:val="009554AB"/>
    <w:rsid w:val="00960B05"/>
    <w:rsid w:val="0096379A"/>
    <w:rsid w:val="00965687"/>
    <w:rsid w:val="00976465"/>
    <w:rsid w:val="0098029E"/>
    <w:rsid w:val="0098263B"/>
    <w:rsid w:val="00991233"/>
    <w:rsid w:val="009927FF"/>
    <w:rsid w:val="00995143"/>
    <w:rsid w:val="00996C96"/>
    <w:rsid w:val="009A0EF3"/>
    <w:rsid w:val="009A1462"/>
    <w:rsid w:val="009A699B"/>
    <w:rsid w:val="009A6EF3"/>
    <w:rsid w:val="009B37D1"/>
    <w:rsid w:val="009B7189"/>
    <w:rsid w:val="009C0135"/>
    <w:rsid w:val="009C0787"/>
    <w:rsid w:val="009C7709"/>
    <w:rsid w:val="009E25C8"/>
    <w:rsid w:val="009E2781"/>
    <w:rsid w:val="009E3D67"/>
    <w:rsid w:val="009F13D1"/>
    <w:rsid w:val="009F7A2A"/>
    <w:rsid w:val="00A0267F"/>
    <w:rsid w:val="00A22E8B"/>
    <w:rsid w:val="00A30228"/>
    <w:rsid w:val="00A31A55"/>
    <w:rsid w:val="00A3423A"/>
    <w:rsid w:val="00A35F31"/>
    <w:rsid w:val="00A40A03"/>
    <w:rsid w:val="00A4407E"/>
    <w:rsid w:val="00A46C1C"/>
    <w:rsid w:val="00A476B2"/>
    <w:rsid w:val="00A639F5"/>
    <w:rsid w:val="00A65990"/>
    <w:rsid w:val="00A67EEF"/>
    <w:rsid w:val="00A711C4"/>
    <w:rsid w:val="00A75537"/>
    <w:rsid w:val="00A761F1"/>
    <w:rsid w:val="00A8313A"/>
    <w:rsid w:val="00AA01BF"/>
    <w:rsid w:val="00AA0F85"/>
    <w:rsid w:val="00AA320E"/>
    <w:rsid w:val="00AA38D8"/>
    <w:rsid w:val="00AA3E97"/>
    <w:rsid w:val="00AA4C64"/>
    <w:rsid w:val="00AA56F4"/>
    <w:rsid w:val="00AB0184"/>
    <w:rsid w:val="00AB0A23"/>
    <w:rsid w:val="00AB43F7"/>
    <w:rsid w:val="00AC1082"/>
    <w:rsid w:val="00AC175B"/>
    <w:rsid w:val="00AC7FB5"/>
    <w:rsid w:val="00AE1E1D"/>
    <w:rsid w:val="00AE240F"/>
    <w:rsid w:val="00AE787E"/>
    <w:rsid w:val="00AF0A7F"/>
    <w:rsid w:val="00AF1254"/>
    <w:rsid w:val="00AF348F"/>
    <w:rsid w:val="00AF730B"/>
    <w:rsid w:val="00B021D8"/>
    <w:rsid w:val="00B049D6"/>
    <w:rsid w:val="00B1365B"/>
    <w:rsid w:val="00B21864"/>
    <w:rsid w:val="00B25A99"/>
    <w:rsid w:val="00B37A2F"/>
    <w:rsid w:val="00B40229"/>
    <w:rsid w:val="00B40F3E"/>
    <w:rsid w:val="00B44E4F"/>
    <w:rsid w:val="00B522B7"/>
    <w:rsid w:val="00B53A13"/>
    <w:rsid w:val="00B55D95"/>
    <w:rsid w:val="00B60036"/>
    <w:rsid w:val="00B65C5E"/>
    <w:rsid w:val="00B76BC6"/>
    <w:rsid w:val="00B97EE9"/>
    <w:rsid w:val="00BC0C0B"/>
    <w:rsid w:val="00BC40BD"/>
    <w:rsid w:val="00BD120A"/>
    <w:rsid w:val="00BD666B"/>
    <w:rsid w:val="00BF423B"/>
    <w:rsid w:val="00BF52E8"/>
    <w:rsid w:val="00C01654"/>
    <w:rsid w:val="00C0483D"/>
    <w:rsid w:val="00C131FE"/>
    <w:rsid w:val="00C13DD1"/>
    <w:rsid w:val="00C22A04"/>
    <w:rsid w:val="00C30244"/>
    <w:rsid w:val="00C331D1"/>
    <w:rsid w:val="00C5180D"/>
    <w:rsid w:val="00C53AB0"/>
    <w:rsid w:val="00C53D1D"/>
    <w:rsid w:val="00C61FB2"/>
    <w:rsid w:val="00C64D97"/>
    <w:rsid w:val="00C6530D"/>
    <w:rsid w:val="00C72E08"/>
    <w:rsid w:val="00C758EF"/>
    <w:rsid w:val="00C76FD5"/>
    <w:rsid w:val="00C95195"/>
    <w:rsid w:val="00C9761C"/>
    <w:rsid w:val="00CA6FC2"/>
    <w:rsid w:val="00CB0006"/>
    <w:rsid w:val="00CB1DEF"/>
    <w:rsid w:val="00CB2ED9"/>
    <w:rsid w:val="00CB31E0"/>
    <w:rsid w:val="00CC73DA"/>
    <w:rsid w:val="00CD4DCE"/>
    <w:rsid w:val="00CE138B"/>
    <w:rsid w:val="00CE34F4"/>
    <w:rsid w:val="00CE5F16"/>
    <w:rsid w:val="00CF3F58"/>
    <w:rsid w:val="00D13594"/>
    <w:rsid w:val="00D2411A"/>
    <w:rsid w:val="00D4224E"/>
    <w:rsid w:val="00D43550"/>
    <w:rsid w:val="00D55E53"/>
    <w:rsid w:val="00D61CAA"/>
    <w:rsid w:val="00D629CE"/>
    <w:rsid w:val="00D83CA2"/>
    <w:rsid w:val="00D83CC0"/>
    <w:rsid w:val="00D84553"/>
    <w:rsid w:val="00D955EB"/>
    <w:rsid w:val="00DB1C4E"/>
    <w:rsid w:val="00DB538B"/>
    <w:rsid w:val="00DC017B"/>
    <w:rsid w:val="00DD544D"/>
    <w:rsid w:val="00DE5E4C"/>
    <w:rsid w:val="00DE7DDC"/>
    <w:rsid w:val="00E107EC"/>
    <w:rsid w:val="00E11738"/>
    <w:rsid w:val="00E12957"/>
    <w:rsid w:val="00E27F91"/>
    <w:rsid w:val="00E31BD7"/>
    <w:rsid w:val="00E35450"/>
    <w:rsid w:val="00E45D07"/>
    <w:rsid w:val="00E677C6"/>
    <w:rsid w:val="00E70687"/>
    <w:rsid w:val="00E75726"/>
    <w:rsid w:val="00E928C6"/>
    <w:rsid w:val="00E93717"/>
    <w:rsid w:val="00EA0513"/>
    <w:rsid w:val="00EA255E"/>
    <w:rsid w:val="00EB34BE"/>
    <w:rsid w:val="00EB3B4B"/>
    <w:rsid w:val="00EC57A0"/>
    <w:rsid w:val="00ED5106"/>
    <w:rsid w:val="00ED6D11"/>
    <w:rsid w:val="00F00080"/>
    <w:rsid w:val="00F01837"/>
    <w:rsid w:val="00F01D21"/>
    <w:rsid w:val="00F02C46"/>
    <w:rsid w:val="00F03A68"/>
    <w:rsid w:val="00F04E6A"/>
    <w:rsid w:val="00F06A1C"/>
    <w:rsid w:val="00F112C6"/>
    <w:rsid w:val="00F125C4"/>
    <w:rsid w:val="00F1499F"/>
    <w:rsid w:val="00F210DC"/>
    <w:rsid w:val="00F2136A"/>
    <w:rsid w:val="00F256B7"/>
    <w:rsid w:val="00F309E8"/>
    <w:rsid w:val="00F313E2"/>
    <w:rsid w:val="00F35E8D"/>
    <w:rsid w:val="00F36975"/>
    <w:rsid w:val="00F47201"/>
    <w:rsid w:val="00F53D25"/>
    <w:rsid w:val="00F55F06"/>
    <w:rsid w:val="00F57389"/>
    <w:rsid w:val="00F64816"/>
    <w:rsid w:val="00F73354"/>
    <w:rsid w:val="00F90E46"/>
    <w:rsid w:val="00FA092E"/>
    <w:rsid w:val="00FA63B5"/>
    <w:rsid w:val="00FA6D58"/>
    <w:rsid w:val="00FC6861"/>
    <w:rsid w:val="00FD52D3"/>
    <w:rsid w:val="00FE0A22"/>
    <w:rsid w:val="00FE72DF"/>
    <w:rsid w:val="00FE76A1"/>
    <w:rsid w:val="00FE7D9B"/>
    <w:rsid w:val="00FF2F91"/>
    <w:rsid w:val="06F95BB5"/>
    <w:rsid w:val="07D0374A"/>
    <w:rsid w:val="08377738"/>
    <w:rsid w:val="092A4CAE"/>
    <w:rsid w:val="15740DA4"/>
    <w:rsid w:val="233478DA"/>
    <w:rsid w:val="392C2CBF"/>
    <w:rsid w:val="44314E85"/>
    <w:rsid w:val="447267E8"/>
    <w:rsid w:val="44892E49"/>
    <w:rsid w:val="449230F4"/>
    <w:rsid w:val="50FA6A61"/>
    <w:rsid w:val="516506E4"/>
    <w:rsid w:val="540F1FD2"/>
    <w:rsid w:val="60A60070"/>
    <w:rsid w:val="63EC3A68"/>
    <w:rsid w:val="640C25AF"/>
    <w:rsid w:val="68E97B63"/>
    <w:rsid w:val="74783A1C"/>
    <w:rsid w:val="74B05132"/>
    <w:rsid w:val="75707559"/>
    <w:rsid w:val="772A35DE"/>
    <w:rsid w:val="79BF662E"/>
    <w:rsid w:val="7B295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jc w:val="left"/>
    </w:pPr>
    <w:rPr>
      <w:rFonts w:ascii="仿宋_GB2312" w:hAnsi="宋体" w:eastAsia="仿宋_GB2312"/>
    </w:rPr>
  </w:style>
  <w:style w:type="paragraph" w:styleId="3">
    <w:name w:val="annotation text"/>
    <w:basedOn w:val="1"/>
    <w:link w:val="20"/>
    <w:unhideWhenUsed/>
    <w:qFormat/>
    <w:uiPriority w:val="99"/>
    <w:pPr>
      <w:jc w:val="left"/>
    </w:pPr>
  </w:style>
  <w:style w:type="paragraph" w:styleId="4">
    <w:name w:val="toc 3"/>
    <w:basedOn w:val="1"/>
    <w:next w:val="1"/>
    <w:unhideWhenUsed/>
    <w:qFormat/>
    <w:uiPriority w:val="39"/>
    <w:pPr>
      <w:ind w:left="840" w:leftChars="400"/>
    </w:pPr>
  </w:style>
  <w:style w:type="paragraph" w:styleId="5">
    <w:name w:val="Plain Text"/>
    <w:basedOn w:val="1"/>
    <w:link w:val="28"/>
    <w:qFormat/>
    <w:uiPriority w:val="0"/>
    <w:rPr>
      <w:rFonts w:ascii="宋体" w:hAnsi="Courier New"/>
      <w:szCs w:val="20"/>
    </w:rPr>
  </w:style>
  <w:style w:type="paragraph" w:styleId="6">
    <w:name w:val="Balloon Text"/>
    <w:basedOn w:val="1"/>
    <w:link w:val="22"/>
    <w:semiHidden/>
    <w:unhideWhenUsed/>
    <w:qFormat/>
    <w:uiPriority w:val="99"/>
    <w:rPr>
      <w:sz w:val="18"/>
      <w:szCs w:val="18"/>
    </w:rPr>
  </w:style>
  <w:style w:type="paragraph" w:styleId="7">
    <w:name w:val="footer"/>
    <w:basedOn w:val="1"/>
    <w:link w:val="24"/>
    <w:unhideWhenUsed/>
    <w:qFormat/>
    <w:uiPriority w:val="99"/>
    <w:pPr>
      <w:tabs>
        <w:tab w:val="center" w:pos="4153"/>
        <w:tab w:val="right" w:pos="8306"/>
      </w:tabs>
      <w:snapToGrid w:val="0"/>
      <w:jc w:val="left"/>
    </w:pPr>
    <w:rPr>
      <w:sz w:val="18"/>
      <w:szCs w:val="18"/>
    </w:rPr>
  </w:style>
  <w:style w:type="paragraph" w:styleId="8">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annotation subject"/>
    <w:basedOn w:val="3"/>
    <w:next w:val="3"/>
    <w:link w:val="26"/>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u w:val="single"/>
    </w:rPr>
  </w:style>
  <w:style w:type="character" w:styleId="16">
    <w:name w:val="annotation reference"/>
    <w:unhideWhenUsed/>
    <w:qFormat/>
    <w:uiPriority w:val="99"/>
    <w:rPr>
      <w:sz w:val="21"/>
      <w:szCs w:val="21"/>
    </w:rPr>
  </w:style>
  <w:style w:type="character" w:customStyle="1" w:styleId="17">
    <w:name w:val="列出段落 Char"/>
    <w:link w:val="18"/>
    <w:qFormat/>
    <w:uiPriority w:val="34"/>
    <w:rPr>
      <w:rFonts w:ascii="Times New Roman" w:hAnsi="Times New Roman"/>
      <w:szCs w:val="24"/>
    </w:rPr>
  </w:style>
  <w:style w:type="paragraph" w:styleId="18">
    <w:name w:val="List Paragraph"/>
    <w:basedOn w:val="1"/>
    <w:link w:val="17"/>
    <w:qFormat/>
    <w:uiPriority w:val="99"/>
    <w:pPr>
      <w:ind w:firstLine="420" w:firstLineChars="200"/>
    </w:pPr>
    <w:rPr>
      <w:rFonts w:eastAsiaTheme="minorEastAsia" w:cstheme="minorBidi"/>
    </w:rPr>
  </w:style>
  <w:style w:type="character" w:customStyle="1" w:styleId="19">
    <w:name w:val="批注文字 字符"/>
    <w:basedOn w:val="14"/>
    <w:semiHidden/>
    <w:qFormat/>
    <w:uiPriority w:val="99"/>
    <w:rPr>
      <w:rFonts w:ascii="Times New Roman" w:hAnsi="Times New Roman" w:eastAsia="宋体" w:cs="Times New Roman"/>
      <w:szCs w:val="24"/>
    </w:rPr>
  </w:style>
  <w:style w:type="character" w:customStyle="1" w:styleId="20">
    <w:name w:val="批注文字 Char"/>
    <w:link w:val="3"/>
    <w:qFormat/>
    <w:uiPriority w:val="99"/>
    <w:rPr>
      <w:rFonts w:ascii="Times New Roman" w:hAnsi="Times New Roman" w:eastAsia="宋体" w:cs="Times New Roman"/>
      <w:szCs w:val="24"/>
    </w:rPr>
  </w:style>
  <w:style w:type="paragraph" w:customStyle="1" w:styleId="2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2">
    <w:name w:val="批注框文本 Char"/>
    <w:basedOn w:val="14"/>
    <w:link w:val="6"/>
    <w:semiHidden/>
    <w:qFormat/>
    <w:uiPriority w:val="99"/>
    <w:rPr>
      <w:rFonts w:ascii="Times New Roman" w:hAnsi="Times New Roman" w:eastAsia="宋体" w:cs="Times New Roman"/>
      <w:sz w:val="18"/>
      <w:szCs w:val="18"/>
    </w:rPr>
  </w:style>
  <w:style w:type="character" w:customStyle="1" w:styleId="23">
    <w:name w:val="页眉 Char"/>
    <w:basedOn w:val="14"/>
    <w:link w:val="8"/>
    <w:qFormat/>
    <w:uiPriority w:val="99"/>
    <w:rPr>
      <w:rFonts w:ascii="Times New Roman" w:hAnsi="Times New Roman" w:eastAsia="宋体" w:cs="Times New Roman"/>
      <w:sz w:val="18"/>
      <w:szCs w:val="18"/>
    </w:rPr>
  </w:style>
  <w:style w:type="character" w:customStyle="1" w:styleId="24">
    <w:name w:val="页脚 Char"/>
    <w:basedOn w:val="14"/>
    <w:link w:val="7"/>
    <w:qFormat/>
    <w:uiPriority w:val="99"/>
    <w:rPr>
      <w:rFonts w:ascii="Times New Roman" w:hAnsi="Times New Roman" w:eastAsia="宋体" w:cs="Times New Roman"/>
      <w:sz w:val="18"/>
      <w:szCs w:val="18"/>
    </w:rPr>
  </w:style>
  <w:style w:type="character" w:customStyle="1" w:styleId="25">
    <w:name w:val="标题1"/>
    <w:basedOn w:val="14"/>
    <w:qFormat/>
    <w:uiPriority w:val="0"/>
  </w:style>
  <w:style w:type="character" w:customStyle="1" w:styleId="26">
    <w:name w:val="批注主题 Char"/>
    <w:basedOn w:val="20"/>
    <w:link w:val="11"/>
    <w:semiHidden/>
    <w:qFormat/>
    <w:uiPriority w:val="99"/>
    <w:rPr>
      <w:rFonts w:ascii="Times New Roman" w:hAnsi="Times New Roman" w:eastAsia="宋体" w:cs="Times New Roman"/>
      <w:b/>
      <w:bCs/>
      <w:szCs w:val="24"/>
    </w:rPr>
  </w:style>
  <w:style w:type="paragraph" w:customStyle="1" w:styleId="2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8">
    <w:name w:val="纯文本 Char"/>
    <w:basedOn w:val="14"/>
    <w:link w:val="5"/>
    <w:qFormat/>
    <w:uiPriority w:val="0"/>
    <w:rPr>
      <w:rFonts w:ascii="宋体" w:hAnsi="Courier New"/>
      <w:kern w:val="2"/>
      <w:sz w:val="21"/>
    </w:rPr>
  </w:style>
  <w:style w:type="character" w:customStyle="1" w:styleId="29">
    <w:name w:val="cjn1"/>
    <w:qFormat/>
    <w:uiPriority w:val="0"/>
    <w:rPr>
      <w:rFonts w:ascii="宋体" w:hAnsi="宋体" w:eastAsia="宋体"/>
      <w:spacing w:val="500"/>
      <w:sz w:val="22"/>
      <w:szCs w:val="22"/>
      <w:u w:val="none"/>
    </w:rPr>
  </w:style>
  <w:style w:type="character" w:customStyle="1" w:styleId="30">
    <w:name w:val="Body text_"/>
    <w:link w:val="31"/>
    <w:uiPriority w:val="0"/>
    <w:rPr>
      <w:rFonts w:ascii="MingLiU" w:eastAsia="MingLiU" w:cs="MingLiU"/>
      <w:shd w:val="clear" w:color="auto" w:fill="FFFFFF"/>
    </w:rPr>
  </w:style>
  <w:style w:type="paragraph" w:customStyle="1" w:styleId="31">
    <w:name w:val="Body text1"/>
    <w:basedOn w:val="1"/>
    <w:link w:val="30"/>
    <w:uiPriority w:val="0"/>
    <w:pPr>
      <w:widowControl/>
      <w:shd w:val="clear" w:color="auto" w:fill="FFFFFF"/>
      <w:spacing w:line="240" w:lineRule="atLeast"/>
      <w:ind w:hanging="280"/>
      <w:jc w:val="left"/>
    </w:pPr>
    <w:rPr>
      <w:rFonts w:ascii="MingLiU" w:eastAsia="MingLiU" w:cs="MingLiU"/>
      <w:kern w:val="0"/>
      <w:sz w:val="20"/>
      <w:szCs w:val="20"/>
    </w:rPr>
  </w:style>
  <w:style w:type="character" w:customStyle="1" w:styleId="32">
    <w:name w:val="Body text7"/>
    <w:basedOn w:val="30"/>
    <w:qFormat/>
    <w:uiPriority w:val="0"/>
    <w:rPr>
      <w:rFonts w:ascii="MingLiU" w:eastAsia="MingLiU" w:cs="MingLiU"/>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C75850-E090-4847-944B-BFA62F928101}">
  <ds:schemaRefs/>
</ds:datastoreItem>
</file>

<file path=docProps/app.xml><?xml version="1.0" encoding="utf-8"?>
<Properties xmlns="http://schemas.openxmlformats.org/officeDocument/2006/extended-properties" xmlns:vt="http://schemas.openxmlformats.org/officeDocument/2006/docPropsVTypes">
  <Template>Normal</Template>
  <Pages>28</Pages>
  <Words>3096</Words>
  <Characters>17653</Characters>
  <Lines>147</Lines>
  <Paragraphs>41</Paragraphs>
  <TotalTime>753</TotalTime>
  <ScaleCrop>false</ScaleCrop>
  <LinksUpToDate>false</LinksUpToDate>
  <CharactersWithSpaces>20708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2022-02-16T03:19:00Z</dcterms:created>
  <dc:creator>Tony Young</dc:creator>
  <cp:lastModifiedBy>szcec</cp:lastModifiedBy>
  <cp:lastPrinted>2022-02-25T09:00:00Z</cp:lastPrinted>
  <dcterms:modified xsi:type="dcterms:W3CDTF">2022-03-16T03:58:12Z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3EE820CB59DF4469B3A8336E241499B4</vt:lpwstr>
  </property>
</Properties>
</file>