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8640"/>
        </w:tabs>
        <w:ind w:left="360" w:firstLine="0" w:firstLineChars="0"/>
        <w:rPr>
          <w:color w:val="000000" w:themeColor="text1"/>
          <w:sz w:val="30"/>
          <w:szCs w:val="30"/>
          <w:highlight w:val="yellow"/>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项目名称：深圳会展中心2022-2024年度造价咨询服务</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w:t>
      </w:r>
      <w:r>
        <w:rPr>
          <w:rFonts w:hint="eastAsia" w:ascii="方正小标宋_GBK" w:hAnsi="方正小标宋_GBK" w:eastAsia="方正小标宋_GBK" w:cs="方正小标宋_GBK"/>
          <w:b/>
          <w:sz w:val="32"/>
          <w:szCs w:val="32"/>
          <w:lang w:val="en-US" w:eastAsia="zh-CN"/>
        </w:rPr>
        <w:t>4</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0"/>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_Toc7889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_Toc7889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_Toc7533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_Toc7533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_Toc23392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_Toc23392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_Toc21859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_Toc21859 \h </w:instrText>
      </w:r>
      <w:r>
        <w:fldChar w:fldCharType="separate"/>
      </w:r>
      <w:r>
        <w:t>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_Toc26677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项目要求及数量</w:t>
      </w:r>
      <w:r>
        <w:tab/>
      </w:r>
      <w:r>
        <w:fldChar w:fldCharType="begin"/>
      </w:r>
      <w:r>
        <w:instrText xml:space="preserve"> PAGEREF _Toc26677 \h </w:instrText>
      </w:r>
      <w:r>
        <w:fldChar w:fldCharType="separate"/>
      </w:r>
      <w:r>
        <w:t>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_Toc6109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_Toc6109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_Toc20601 </w:instrText>
      </w:r>
      <w:r>
        <w:rPr>
          <w:rFonts w:hint="eastAsia" w:ascii="宋体" w:hAnsi="宋体" w:cs="仿宋"/>
          <w:szCs w:val="21"/>
        </w:rPr>
        <w:fldChar w:fldCharType="separate"/>
      </w:r>
      <w:r>
        <w:rPr>
          <w:rFonts w:hint="eastAsia" w:ascii="宋体" w:hAnsi="宋体"/>
          <w:szCs w:val="32"/>
        </w:rPr>
        <w:t>第二部分：开标流程</w:t>
      </w:r>
      <w:r>
        <w:tab/>
      </w:r>
      <w:r>
        <w:fldChar w:fldCharType="begin"/>
      </w:r>
      <w:r>
        <w:instrText xml:space="preserve"> PAGEREF _Toc20601 \h </w:instrText>
      </w:r>
      <w:r>
        <w:fldChar w:fldCharType="separate"/>
      </w:r>
      <w:r>
        <w:t>13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_Toc4125 </w:instrText>
      </w:r>
      <w:r>
        <w:rPr>
          <w:rFonts w:hint="eastAsia" w:ascii="宋体" w:hAnsi="宋体" w:cs="仿宋"/>
          <w:szCs w:val="21"/>
        </w:rPr>
        <w:fldChar w:fldCharType="separate"/>
      </w:r>
      <w:r>
        <w:rPr>
          <w:rFonts w:hint="eastAsia" w:ascii="宋体" w:hAnsi="宋体" w:eastAsia="宋体" w:cs="仿宋"/>
          <w:bCs/>
          <w:szCs w:val="24"/>
        </w:rPr>
        <w:t xml:space="preserve">六、 </w:t>
      </w:r>
      <w:r>
        <w:rPr>
          <w:rFonts w:hint="eastAsia" w:ascii="宋体" w:hAnsi="宋体"/>
          <w:szCs w:val="24"/>
        </w:rPr>
        <w:t>开标流程</w:t>
      </w:r>
      <w:r>
        <w:tab/>
      </w:r>
      <w:r>
        <w:fldChar w:fldCharType="begin"/>
      </w:r>
      <w:r>
        <w:instrText xml:space="preserve"> PAGEREF _Toc4125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_Toc5174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_Toc5174 \h </w:instrText>
      </w:r>
      <w:r>
        <w:fldChar w:fldCharType="separate"/>
      </w:r>
      <w:r>
        <w:t>14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_Toc140 </w:instrText>
      </w:r>
      <w:r>
        <w:rPr>
          <w:rFonts w:hint="eastAsia" w:ascii="宋体" w:hAnsi="宋体" w:cs="仿宋"/>
          <w:szCs w:val="21"/>
        </w:rPr>
        <w:fldChar w:fldCharType="separate"/>
      </w:r>
      <w:r>
        <w:rPr>
          <w:rFonts w:hint="eastAsia" w:ascii="宋体" w:hAnsi="宋体" w:eastAsia="宋体" w:cs="仿宋"/>
          <w:bCs/>
          <w:szCs w:val="24"/>
        </w:rPr>
        <w:t xml:space="preserve">七、 </w:t>
      </w:r>
      <w:r>
        <w:rPr>
          <w:rFonts w:hint="eastAsia" w:ascii="宋体" w:hAnsi="宋体"/>
          <w:bCs/>
          <w:szCs w:val="24"/>
        </w:rPr>
        <w:t>评审办法</w:t>
      </w:r>
      <w:r>
        <w:tab/>
      </w:r>
      <w:r>
        <w:fldChar w:fldCharType="begin"/>
      </w:r>
      <w:r>
        <w:instrText xml:space="preserve"> PAGEREF _Toc140 \h </w:instrText>
      </w:r>
      <w:r>
        <w:fldChar w:fldCharType="separate"/>
      </w:r>
      <w:r>
        <w:t>14</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_Toc19605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_Toc19605 \h </w:instrText>
      </w:r>
      <w:r>
        <w:fldChar w:fldCharType="separate"/>
      </w:r>
      <w:r>
        <w:t>14</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_Toc1164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综合评议指标表</w:t>
      </w:r>
      <w:r>
        <w:tab/>
      </w:r>
      <w:r>
        <w:fldChar w:fldCharType="begin"/>
      </w:r>
      <w:r>
        <w:instrText xml:space="preserve"> PAGEREF _Toc1164 \h </w:instrText>
      </w:r>
      <w:r>
        <w:fldChar w:fldCharType="separate"/>
      </w:r>
      <w:r>
        <w:t>16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_Toc23264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_Toc23264 \h </w:instrText>
      </w:r>
      <w:r>
        <w:fldChar w:fldCharType="separate"/>
      </w:r>
      <w:r>
        <w:t>19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_Toc9702 </w:instrText>
      </w:r>
      <w:r>
        <w:rPr>
          <w:rFonts w:hint="eastAsia" w:ascii="宋体" w:hAnsi="宋体" w:cs="仿宋"/>
          <w:szCs w:val="21"/>
        </w:rPr>
        <w:fldChar w:fldCharType="separate"/>
      </w:r>
      <w:r>
        <w:rPr>
          <w:rFonts w:hint="eastAsia" w:ascii="宋体" w:hAnsi="宋体"/>
          <w:szCs w:val="32"/>
        </w:rPr>
        <w:t>第</w:t>
      </w:r>
      <w:r>
        <w:rPr>
          <w:rFonts w:hint="eastAsia" w:ascii="宋体" w:hAnsi="宋体"/>
          <w:szCs w:val="32"/>
          <w:lang w:val="en-US" w:eastAsia="zh-CN"/>
        </w:rPr>
        <w:t>五部分：参考附件</w:t>
      </w:r>
      <w:r>
        <w:tab/>
      </w:r>
      <w:r>
        <w:fldChar w:fldCharType="begin"/>
      </w:r>
      <w:r>
        <w:instrText xml:space="preserve"> PAGEREF _Toc9702 \h </w:instrText>
      </w:r>
      <w:r>
        <w:fldChar w:fldCharType="separate"/>
      </w:r>
      <w:r>
        <w:t>32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_Toc16579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1</w:t>
      </w:r>
      <w:r>
        <w:rPr>
          <w:rFonts w:hint="eastAsia" w:ascii="宋体" w:hAnsi="宋体"/>
          <w:szCs w:val="21"/>
        </w:rPr>
        <w:t>：投标一览表</w:t>
      </w:r>
      <w:r>
        <w:tab/>
      </w:r>
      <w:r>
        <w:fldChar w:fldCharType="begin"/>
      </w:r>
      <w:r>
        <w:instrText xml:space="preserve"> PAGEREF _Toc16579 \h </w:instrText>
      </w:r>
      <w:r>
        <w:fldChar w:fldCharType="separate"/>
      </w:r>
      <w:r>
        <w:t>32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_Toc2707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2</w:t>
      </w:r>
      <w:r>
        <w:rPr>
          <w:rFonts w:hint="eastAsia" w:ascii="宋体" w:hAnsi="宋体"/>
          <w:szCs w:val="21"/>
        </w:rPr>
        <w:t>：考察证明（本项目不适用）</w:t>
      </w:r>
      <w:r>
        <w:tab/>
      </w:r>
      <w:r>
        <w:fldChar w:fldCharType="begin"/>
      </w:r>
      <w:r>
        <w:instrText xml:space="preserve"> PAGEREF _Toc2707 \h </w:instrText>
      </w:r>
      <w:r>
        <w:fldChar w:fldCharType="separate"/>
      </w:r>
      <w:r>
        <w:t>33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_Toc29535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3</w:t>
      </w:r>
      <w:r>
        <w:rPr>
          <w:rFonts w:hint="eastAsia" w:ascii="宋体" w:hAnsi="宋体"/>
          <w:szCs w:val="21"/>
        </w:rPr>
        <w:t>：技术服务响应/偏离表</w:t>
      </w:r>
      <w:r>
        <w:tab/>
      </w:r>
      <w:r>
        <w:fldChar w:fldCharType="begin"/>
      </w:r>
      <w:r>
        <w:instrText xml:space="preserve"> PAGEREF _Toc29535 \h </w:instrText>
      </w:r>
      <w:r>
        <w:fldChar w:fldCharType="separate"/>
      </w:r>
      <w:r>
        <w:t>34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_Toc26103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4</w:t>
      </w:r>
      <w:r>
        <w:rPr>
          <w:rFonts w:hint="eastAsia" w:ascii="宋体" w:hAnsi="宋体"/>
          <w:szCs w:val="21"/>
        </w:rPr>
        <w:t>：商务条款响应/偏离表</w:t>
      </w:r>
      <w:r>
        <w:tab/>
      </w:r>
      <w:r>
        <w:fldChar w:fldCharType="begin"/>
      </w:r>
      <w:r>
        <w:instrText xml:space="preserve"> PAGEREF _Toc26103 \h </w:instrText>
      </w:r>
      <w:r>
        <w:fldChar w:fldCharType="separate"/>
      </w:r>
      <w:r>
        <w:t>35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_Toc18475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5</w:t>
      </w:r>
      <w:r>
        <w:rPr>
          <w:rFonts w:hint="eastAsia" w:ascii="宋体" w:hAnsi="宋体"/>
          <w:szCs w:val="21"/>
        </w:rPr>
        <w:t>：报价一览表（货物）（本项目不适用）</w:t>
      </w:r>
      <w:r>
        <w:tab/>
      </w:r>
      <w:r>
        <w:fldChar w:fldCharType="begin"/>
      </w:r>
      <w:r>
        <w:instrText xml:space="preserve"> PAGEREF _Toc18475 \h </w:instrText>
      </w:r>
      <w:r>
        <w:fldChar w:fldCharType="separate"/>
      </w:r>
      <w:r>
        <w:t>36</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_Toc28870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6</w:t>
      </w:r>
      <w:r>
        <w:rPr>
          <w:rFonts w:hint="eastAsia" w:ascii="宋体" w:hAnsi="宋体"/>
          <w:szCs w:val="21"/>
        </w:rPr>
        <w:t>：报价一览表（服务）</w:t>
      </w:r>
      <w:r>
        <w:tab/>
      </w:r>
      <w:r>
        <w:fldChar w:fldCharType="begin"/>
      </w:r>
      <w:r>
        <w:instrText xml:space="preserve"> PAGEREF _Toc28870 \h </w:instrText>
      </w:r>
      <w:r>
        <w:fldChar w:fldCharType="separate"/>
      </w:r>
      <w:r>
        <w:t>38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_Toc31094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7</w:t>
      </w:r>
      <w:r>
        <w:rPr>
          <w:rFonts w:hint="eastAsia" w:ascii="宋体" w:hAnsi="宋体"/>
          <w:szCs w:val="21"/>
        </w:rPr>
        <w:t>：报价一览表（工程）（本项目不适用）</w:t>
      </w:r>
      <w:r>
        <w:tab/>
      </w:r>
      <w:r>
        <w:fldChar w:fldCharType="begin"/>
      </w:r>
      <w:r>
        <w:instrText xml:space="preserve"> PAGEREF _Toc31094 \h </w:instrText>
      </w:r>
      <w:r>
        <w:fldChar w:fldCharType="separate"/>
      </w:r>
      <w:r>
        <w:t>39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_Toc3636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8</w:t>
      </w:r>
      <w:r>
        <w:rPr>
          <w:rFonts w:hint="eastAsia" w:ascii="宋体" w:hAnsi="宋体"/>
          <w:szCs w:val="21"/>
        </w:rPr>
        <w:t>：法定代表人证明书</w:t>
      </w:r>
      <w:r>
        <w:tab/>
      </w:r>
      <w:r>
        <w:fldChar w:fldCharType="begin"/>
      </w:r>
      <w:r>
        <w:instrText xml:space="preserve"> PAGEREF _Toc3636 \h </w:instrText>
      </w:r>
      <w:r>
        <w:fldChar w:fldCharType="separate"/>
      </w:r>
      <w:r>
        <w:t>40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_Toc27641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9</w:t>
      </w:r>
      <w:r>
        <w:rPr>
          <w:rFonts w:hint="eastAsia" w:ascii="宋体" w:hAnsi="宋体"/>
          <w:szCs w:val="21"/>
        </w:rPr>
        <w:t>：法人授权委托证明书</w:t>
      </w:r>
      <w:r>
        <w:tab/>
      </w:r>
      <w:r>
        <w:fldChar w:fldCharType="begin"/>
      </w:r>
      <w:r>
        <w:instrText xml:space="preserve"> PAGEREF _Toc27641 \h </w:instrText>
      </w:r>
      <w:r>
        <w:fldChar w:fldCharType="separate"/>
      </w:r>
      <w:r>
        <w:t>41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_Toc2973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lang w:val="en-US" w:eastAsia="zh-CN"/>
        </w:rPr>
        <w:t>0</w:t>
      </w:r>
      <w:r>
        <w:rPr>
          <w:rFonts w:hint="eastAsia" w:ascii="宋体" w:hAnsi="宋体"/>
          <w:szCs w:val="21"/>
        </w:rPr>
        <w:t>：经营业绩一览表</w:t>
      </w:r>
      <w:r>
        <w:tab/>
      </w:r>
      <w:r>
        <w:fldChar w:fldCharType="begin"/>
      </w:r>
      <w:r>
        <w:instrText xml:space="preserve"> PAGEREF _Toc2973 \h </w:instrText>
      </w:r>
      <w:r>
        <w:fldChar w:fldCharType="separate"/>
      </w:r>
      <w:r>
        <w:t>42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_Toc6917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lang w:val="en-US" w:eastAsia="zh-CN"/>
        </w:rPr>
        <w:t>1</w:t>
      </w:r>
      <w:r>
        <w:rPr>
          <w:rFonts w:hint="eastAsia" w:ascii="宋体" w:hAnsi="宋体"/>
          <w:szCs w:val="21"/>
        </w:rPr>
        <w:t>：履约情况及社会信誉承诺书</w:t>
      </w:r>
      <w:r>
        <w:tab/>
      </w:r>
      <w:r>
        <w:fldChar w:fldCharType="begin"/>
      </w:r>
      <w:r>
        <w:instrText xml:space="preserve"> PAGEREF _Toc6917 \h </w:instrText>
      </w:r>
      <w:r>
        <w:fldChar w:fldCharType="separate"/>
      </w:r>
      <w:r>
        <w:t>43</w:t>
      </w:r>
      <w:r>
        <w:fldChar w:fldCharType="end"/>
      </w:r>
      <w:r>
        <w:rPr>
          <w:rFonts w:hint="eastAsia" w:ascii="宋体" w:hAnsi="宋体" w:cs="仿宋"/>
          <w:szCs w:val="21"/>
        </w:rPr>
        <w:fldChar w:fldCharType="end"/>
      </w:r>
    </w:p>
    <w:p>
      <w:pPr>
        <w:spacing w:line="400" w:lineRule="exact"/>
        <w:rPr>
          <w:rFonts w:ascii="宋体" w:hAnsi="宋体" w:cs="仿宋"/>
          <w:szCs w:val="21"/>
        </w:rPr>
        <w:sectPr>
          <w:footerReference r:id="rId5"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7889"/>
      <w:r>
        <w:rPr>
          <w:rFonts w:hint="eastAsia" w:ascii="宋体" w:hAnsi="宋体"/>
          <w:b/>
          <w:sz w:val="32"/>
          <w:szCs w:val="32"/>
        </w:rPr>
        <w:t>第一部分 项目要求</w:t>
      </w:r>
      <w:bookmarkEnd w:id="0"/>
    </w:p>
    <w:p>
      <w:pPr>
        <w:numPr>
          <w:ilvl w:val="0"/>
          <w:numId w:val="5"/>
        </w:numPr>
        <w:spacing w:beforeLines="50" w:line="360" w:lineRule="auto"/>
        <w:outlineLvl w:val="1"/>
        <w:rPr>
          <w:rFonts w:ascii="宋体" w:hAnsi="宋体"/>
          <w:b/>
          <w:szCs w:val="21"/>
        </w:rPr>
      </w:pPr>
      <w:bookmarkStart w:id="1" w:name="_Toc753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6"/>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6"/>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6"/>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ascii="宋体" w:hAnsi="宋体"/>
                <w:szCs w:val="21"/>
              </w:rPr>
              <w:fldChar w:fldCharType="begin"/>
            </w:r>
            <w:r>
              <w:rPr>
                <w:rFonts w:ascii="宋体" w:hAnsi="宋体"/>
                <w:szCs w:val="21"/>
              </w:rPr>
              <w:instrText xml:space="preserve"> HYPERLINK "mailto:</w:instrText>
            </w:r>
            <w:r>
              <w:rPr>
                <w:rFonts w:hint="eastAsia" w:ascii="宋体" w:hAnsi="宋体"/>
                <w:szCs w:val="21"/>
              </w:rPr>
              <w:instrText xml:space="preserve">liuxh@chtf.com</w:instrText>
            </w:r>
            <w:r>
              <w:rPr>
                <w:rFonts w:ascii="宋体" w:hAnsi="宋体"/>
                <w:szCs w:val="21"/>
              </w:rPr>
              <w:instrText xml:space="preserve">" </w:instrText>
            </w:r>
            <w:r>
              <w:rPr>
                <w:rFonts w:ascii="宋体" w:hAnsi="宋体"/>
                <w:szCs w:val="21"/>
              </w:rPr>
              <w:fldChar w:fldCharType="separate"/>
            </w:r>
            <w:r>
              <w:rPr>
                <w:rStyle w:val="18"/>
                <w:rFonts w:hint="eastAsia" w:ascii="宋体" w:hAnsi="宋体"/>
                <w:szCs w:val="21"/>
              </w:rPr>
              <w:t>liuxh@chtf.com</w:t>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shd w:val="clear" w:color="auto" w:fill="auto"/>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深圳会展中心2022-2024年度造价咨询服务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shd w:val="clear" w:color="auto" w:fill="auto"/>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shd w:val="clear" w:color="auto" w:fill="auto"/>
            <w:vAlign w:val="center"/>
          </w:tcPr>
          <w:p>
            <w:pPr>
              <w:autoSpaceDE w:val="0"/>
              <w:autoSpaceDN w:val="0"/>
              <w:adjustRightInd w:val="0"/>
              <w:snapToGrid w:val="0"/>
              <w:rPr>
                <w:rFonts w:ascii="宋体" w:hAnsi="宋体"/>
                <w:i/>
                <w:szCs w:val="21"/>
              </w:rPr>
            </w:pPr>
            <w:r>
              <w:rPr>
                <w:rFonts w:hint="eastAsia" w:ascii="宋体" w:hAnsi="宋体" w:eastAsia="宋体" w:cs="Times New Roman"/>
                <w:i w:val="0"/>
                <w:iCs w:val="0"/>
                <w:caps w:val="0"/>
                <w:spacing w:val="0"/>
                <w:sz w:val="21"/>
                <w:szCs w:val="21"/>
                <w:shd w:val="clear"/>
              </w:rPr>
              <w:t>为进一步提高公司采购项目最高限价的准确性，合理降低公司采购成本，为重点、难点项目提供充足的决策依据，招标人计划采购2家造价咨询服务商为招标人提供造价咨询服务。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shd w:val="clear" w:color="auto" w:fill="auto"/>
            <w:vAlign w:val="center"/>
          </w:tcPr>
          <w:p>
            <w:pPr>
              <w:autoSpaceDE w:val="0"/>
              <w:autoSpaceDN w:val="0"/>
              <w:adjustRightInd w:val="0"/>
              <w:snapToGrid w:val="0"/>
              <w:rPr>
                <w:rFonts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2</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完整填写本项目报名回函（详见采购公告）并加盖公司公章后，按要求发送至招标人联系人并致电确认。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 xml:space="preserve">13 </w:t>
            </w:r>
            <w:r>
              <w:rPr>
                <w:rFonts w:hint="eastAsia" w:ascii="宋体" w:hAnsi="宋体"/>
                <w:szCs w:val="21"/>
              </w:rPr>
              <w:t>1</w:t>
            </w:r>
            <w:r>
              <w:rPr>
                <w:rFonts w:hint="eastAsia" w:ascii="宋体" w:hAnsi="宋体"/>
                <w:szCs w:val="21"/>
                <w:lang w:val="en-US" w:eastAsia="zh-CN"/>
              </w:rPr>
              <w:t>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加密形式发送至招标人邮箱并致电确认，</w:t>
            </w:r>
            <w:bookmarkStart w:id="2" w:name="_Toc478393187"/>
            <w:bookmarkStart w:id="3" w:name="_Toc478110532"/>
            <w:bookmarkStart w:id="4" w:name="_Toc478392822"/>
            <w:r>
              <w:rPr>
                <w:rFonts w:hint="eastAsia" w:ascii="宋体" w:hAnsi="宋体"/>
              </w:rPr>
              <w:t>注意事项：</w:t>
            </w:r>
          </w:p>
          <w:p>
            <w:pPr>
              <w:pStyle w:val="21"/>
              <w:numPr>
                <w:ilvl w:val="0"/>
                <w:numId w:val="7"/>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1"/>
              <w:numPr>
                <w:ilvl w:val="0"/>
                <w:numId w:val="7"/>
              </w:numPr>
              <w:ind w:left="541" w:hanging="541" w:firstLineChars="0"/>
              <w:rPr>
                <w:rFonts w:ascii="宋体" w:hAnsi="宋体" w:eastAsia="宋体"/>
                <w:szCs w:val="21"/>
              </w:rPr>
            </w:pPr>
            <w:r>
              <w:rPr>
                <w:rFonts w:hint="eastAsia" w:ascii="宋体" w:hAnsi="宋体" w:eastAsia="宋体"/>
                <w:szCs w:val="21"/>
                <w:lang w:eastAsia="zh-CN"/>
              </w:rPr>
              <w:t>投标人</w:t>
            </w:r>
            <w:r>
              <w:rPr>
                <w:rFonts w:hint="eastAsia" w:ascii="宋体" w:hAnsi="宋体" w:eastAsia="宋体"/>
                <w:szCs w:val="21"/>
              </w:rPr>
              <w:t>授权代表须熟记文件密码，并在开标时按照招标人指令</w:t>
            </w:r>
            <w:r>
              <w:rPr>
                <w:rFonts w:ascii="宋体" w:hAnsi="宋体" w:eastAsia="宋体"/>
                <w:szCs w:val="21"/>
              </w:rPr>
              <w:t>发送密码至</w:t>
            </w:r>
            <w:r>
              <w:rPr>
                <w:rFonts w:hint="eastAsia" w:ascii="宋体" w:hAnsi="宋体" w:eastAsia="宋体"/>
                <w:szCs w:val="21"/>
              </w:rPr>
              <w:t>采购联系人邮箱（为确保开评标工作的保密性并兼顾效率，密码早发、晚发的，均可能导致废标的不利后果）。</w:t>
            </w:r>
          </w:p>
          <w:p>
            <w:pPr>
              <w:pStyle w:val="21"/>
              <w:numPr>
                <w:ilvl w:val="0"/>
                <w:numId w:val="7"/>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1"/>
              <w:numPr>
                <w:ilvl w:val="0"/>
                <w:numId w:val="7"/>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2-</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14</w:t>
            </w:r>
            <w:r>
              <w:rPr>
                <w:rFonts w:hint="eastAsia"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30（北京时间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ascii="Segoe UI Emoji" w:hAnsi="Segoe UI Emoji" w:cs="Segoe UI Emoji"/>
                <w:kern w:val="0"/>
                <w:szCs w:val="21"/>
              </w:rPr>
              <w:t>☑</w:t>
            </w:r>
            <w:r>
              <w:rPr>
                <w:rFonts w:hint="eastAsia" w:ascii="宋体" w:hAnsi="宋体"/>
                <w:kern w:val="0"/>
                <w:szCs w:val="21"/>
              </w:rPr>
              <w:t>不接受</w:t>
            </w:r>
          </w:p>
          <w:p>
            <w:pPr>
              <w:autoSpaceDE w:val="0"/>
              <w:autoSpaceDN w:val="0"/>
              <w:adjustRightInd w:val="0"/>
              <w:snapToGrid w:val="0"/>
              <w:rPr>
                <w:rFonts w:ascii="宋体" w:hAnsi="宋体"/>
                <w:kern w:val="0"/>
                <w:szCs w:val="21"/>
              </w:rPr>
            </w:pPr>
            <w:r>
              <w:rPr>
                <w:rFonts w:hint="eastAsia" w:ascii="宋体" w:hAnsi="宋体"/>
                <w:kern w:val="0"/>
                <w:szCs w:val="21"/>
              </w:rPr>
              <w:t>□接受，应满足下列要求：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踏勘</w:t>
            </w:r>
            <w:r>
              <w:rPr>
                <w:rFonts w:hint="eastAsia" w:ascii="宋体" w:hAnsi="宋体"/>
                <w:szCs w:val="21"/>
                <w:shd w:val="clear" w:color="auto" w:fill="FFFFFF"/>
              </w:rPr>
              <w:t>现场</w:t>
            </w:r>
          </w:p>
        </w:tc>
        <w:tc>
          <w:tcPr>
            <w:tcW w:w="7029" w:type="dxa"/>
            <w:vAlign w:val="center"/>
          </w:tcPr>
          <w:p>
            <w:pPr>
              <w:numPr>
                <w:ilvl w:val="0"/>
                <w:numId w:val="8"/>
              </w:numPr>
              <w:tabs>
                <w:tab w:val="left" w:pos="281"/>
                <w:tab w:val="left" w:pos="541"/>
              </w:tabs>
              <w:snapToGrid w:val="0"/>
              <w:spacing w:afterLines="50"/>
              <w:rPr>
                <w:rFonts w:ascii="宋体" w:hAnsi="宋体"/>
                <w:kern w:val="0"/>
                <w:szCs w:val="21"/>
                <w:shd w:val="clear" w:color="auto" w:fill="FFFFFF"/>
              </w:rPr>
            </w:pPr>
            <w:r>
              <w:rPr>
                <w:rFonts w:ascii="Segoe UI Emoji" w:hAnsi="Segoe UI Emoji" w:cs="Segoe UI Emoji"/>
                <w:kern w:val="0"/>
                <w:szCs w:val="21"/>
              </w:rPr>
              <w:t>☑</w:t>
            </w:r>
            <w:r>
              <w:rPr>
                <w:rFonts w:hint="eastAsia" w:ascii="宋体" w:hAnsi="宋体"/>
                <w:kern w:val="0"/>
                <w:szCs w:val="21"/>
                <w:shd w:val="clear" w:color="auto" w:fill="FFFFFF"/>
              </w:rPr>
              <w:t>不组织。可在</w:t>
            </w:r>
            <w:r>
              <w:rPr>
                <w:rFonts w:hint="eastAsia" w:ascii="宋体" w:hAnsi="宋体"/>
                <w:kern w:val="0"/>
                <w:szCs w:val="21"/>
                <w:u w:val="single"/>
                <w:shd w:val="clear" w:color="auto" w:fill="FFFFFF"/>
              </w:rPr>
              <w:t>公开招标开始后</w:t>
            </w:r>
            <w:r>
              <w:rPr>
                <w:rFonts w:hint="eastAsia" w:ascii="宋体" w:hAnsi="宋体"/>
                <w:kern w:val="0"/>
                <w:szCs w:val="21"/>
                <w:shd w:val="clear" w:color="auto" w:fill="FFFFFF"/>
              </w:rPr>
              <w:t>至</w:t>
            </w:r>
            <w:r>
              <w:rPr>
                <w:rFonts w:hint="eastAsia" w:ascii="宋体" w:hAnsi="宋体"/>
                <w:kern w:val="0"/>
                <w:szCs w:val="21"/>
                <w:u w:val="single"/>
                <w:shd w:val="clear" w:color="auto" w:fill="FFFFFF"/>
              </w:rPr>
              <w:t>公开招标结束前</w:t>
            </w:r>
            <w:r>
              <w:rPr>
                <w:rFonts w:hint="eastAsia" w:ascii="宋体" w:hAnsi="宋体"/>
                <w:kern w:val="0"/>
                <w:szCs w:val="21"/>
                <w:shd w:val="clear" w:color="auto" w:fill="FFFFFF"/>
              </w:rPr>
              <w:t>自行踏勘。</w:t>
            </w:r>
          </w:p>
          <w:p>
            <w:pPr>
              <w:numPr>
                <w:ilvl w:val="0"/>
                <w:numId w:val="8"/>
              </w:numPr>
              <w:tabs>
                <w:tab w:val="left" w:pos="281"/>
                <w:tab w:val="left" w:pos="541"/>
              </w:tabs>
              <w:snapToGrid w:val="0"/>
              <w:spacing w:afterLines="50"/>
              <w:rPr>
                <w:rFonts w:ascii="宋体" w:hAnsi="宋体"/>
                <w:kern w:val="0"/>
                <w:szCs w:val="21"/>
                <w:shd w:val="clear" w:color="auto" w:fill="FFFFFF"/>
              </w:rPr>
            </w:pPr>
            <w:r>
              <w:rPr>
                <w:rFonts w:hint="eastAsia" w:ascii="宋体" w:hAnsi="宋体" w:cs="Segoe UI Symbol"/>
                <w:kern w:val="0"/>
                <w:szCs w:val="21"/>
              </w:rPr>
              <w:t>□</w:t>
            </w:r>
            <w:r>
              <w:rPr>
                <w:rFonts w:hint="eastAsia" w:ascii="宋体" w:hAnsi="宋体"/>
                <w:kern w:val="0"/>
                <w:szCs w:val="21"/>
                <w:shd w:val="clear" w:color="auto" w:fill="FFFFFF"/>
              </w:rPr>
              <w:t>组织，踏勘要求：</w:t>
            </w:r>
          </w:p>
          <w:p>
            <w:pPr>
              <w:pStyle w:val="21"/>
              <w:numPr>
                <w:ilvl w:val="0"/>
                <w:numId w:val="9"/>
              </w:numPr>
              <w:tabs>
                <w:tab w:val="left" w:pos="541"/>
              </w:tabs>
              <w:snapToGrid w:val="0"/>
              <w:ind w:left="805" w:hanging="227" w:firstLineChars="0"/>
              <w:rPr>
                <w:rFonts w:ascii="宋体" w:hAnsi="宋体" w:eastAsia="宋体"/>
                <w:kern w:val="0"/>
                <w:sz w:val="20"/>
                <w:szCs w:val="21"/>
              </w:rPr>
            </w:pPr>
            <w:r>
              <w:rPr>
                <w:rFonts w:hint="eastAsia" w:ascii="宋体" w:hAnsi="宋体" w:eastAsia="宋体"/>
                <w:szCs w:val="21"/>
              </w:rPr>
              <w:t>投标人是否必须参加：</w:t>
            </w:r>
          </w:p>
          <w:p>
            <w:pPr>
              <w:pStyle w:val="21"/>
              <w:tabs>
                <w:tab w:val="left" w:pos="541"/>
              </w:tabs>
              <w:snapToGrid w:val="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是（若不参加，将因投标文件不完整导致失去本项目投标资格）</w:t>
            </w:r>
          </w:p>
          <w:p>
            <w:pPr>
              <w:pStyle w:val="21"/>
              <w:tabs>
                <w:tab w:val="left" w:pos="541"/>
              </w:tabs>
              <w:snapToGrid w:val="0"/>
              <w:spacing w:afterLines="5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否（可选择不参加，不影响投标资格但可能会产生不利后果）</w:t>
            </w:r>
          </w:p>
          <w:p>
            <w:pPr>
              <w:pStyle w:val="21"/>
              <w:numPr>
                <w:ilvl w:val="0"/>
                <w:numId w:val="10"/>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 xml:space="preserve"> </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 xml:space="preserve"> ××</w:t>
            </w:r>
            <w:r>
              <w:rPr>
                <w:rFonts w:hint="eastAsia" w:ascii="宋体" w:hAnsi="宋体" w:eastAsia="宋体"/>
                <w:kern w:val="0"/>
                <w:szCs w:val="21"/>
              </w:rPr>
              <w:t>邀请投标人人员察看现场并讲解项目需求；投标人应在谈判前指派符合疫情防控要求的人员参加由招标人组织的现场踏勘工作。</w:t>
            </w:r>
          </w:p>
          <w:p>
            <w:pPr>
              <w:pStyle w:val="21"/>
              <w:numPr>
                <w:ilvl w:val="0"/>
                <w:numId w:val="10"/>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w:t>
            </w:r>
            <w:r>
              <w:rPr>
                <w:rFonts w:ascii="宋体" w:hAnsi="宋体" w:eastAsia="宋体"/>
                <w:kern w:val="0"/>
                <w:szCs w:val="21"/>
              </w:rPr>
              <w:t>附</w:t>
            </w:r>
            <w:r>
              <w:rPr>
                <w:rFonts w:hint="eastAsia" w:ascii="宋体" w:hAnsi="宋体" w:eastAsia="宋体"/>
                <w:kern w:val="0"/>
                <w:szCs w:val="21"/>
              </w:rPr>
              <w:t>于投标文件中。</w:t>
            </w:r>
          </w:p>
          <w:p>
            <w:pPr>
              <w:pStyle w:val="21"/>
              <w:numPr>
                <w:ilvl w:val="0"/>
                <w:numId w:val="10"/>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已报名但未参加现场踏勘的招标人视为已理解并认同本次踏勘所涉及的全部内容，且对本次踏勘的组织实施过程无异议。投标人自行承担因不参加现场踏勘所可能造成的一切后果（包括</w:t>
            </w:r>
            <w:r>
              <w:rPr>
                <w:rFonts w:ascii="宋体" w:hAnsi="宋体" w:eastAsia="宋体"/>
                <w:kern w:val="0"/>
                <w:szCs w:val="21"/>
              </w:rPr>
              <w:t>因此失去投标资格</w:t>
            </w:r>
            <w:r>
              <w:rPr>
                <w:rFonts w:hint="eastAsia" w:ascii="宋体" w:hAnsi="宋体" w:eastAsia="宋体"/>
                <w:kern w:val="0"/>
                <w:szCs w:val="21"/>
              </w:rPr>
              <w:t>的情形</w:t>
            </w:r>
            <w:r>
              <w:rPr>
                <w:rFonts w:ascii="宋体" w:hAnsi="宋体" w:eastAsia="宋体"/>
                <w:kern w:val="0"/>
                <w:szCs w:val="21"/>
              </w:rPr>
              <w:t>）</w:t>
            </w:r>
            <w:r>
              <w:rPr>
                <w:rFonts w:hint="eastAsia" w:ascii="宋体" w:hAnsi="宋体" w:eastAsia="宋体"/>
                <w:kern w:val="0"/>
                <w:szCs w:val="21"/>
              </w:rPr>
              <w:t>。</w:t>
            </w:r>
          </w:p>
          <w:p>
            <w:pPr>
              <w:pStyle w:val="21"/>
              <w:numPr>
                <w:ilvl w:val="0"/>
                <w:numId w:val="10"/>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鉴于疫情防控要求，投标人须至少提前一天与踏勘联系人预约，并按要求备案本单位指定踏勘人员信息。否则，将可能导致投标人不能进入涉深圳会展中心管控区域的踏勘现场</w:t>
            </w:r>
            <w:r>
              <w:rPr>
                <w:rFonts w:ascii="宋体" w:hAnsi="宋体" w:eastAsia="宋体"/>
                <w:kern w:val="0"/>
                <w:szCs w:val="21"/>
              </w:rPr>
              <w:t>的</w:t>
            </w:r>
            <w:r>
              <w:rPr>
                <w:rFonts w:hint="eastAsia" w:ascii="宋体" w:hAnsi="宋体" w:eastAsia="宋体"/>
                <w:kern w:val="0"/>
                <w:szCs w:val="21"/>
              </w:rPr>
              <w:t>不利后果。投标人必须保证所预约备案的踏勘人员严格符合政府主管部门及招标人防疫要求，否则由此带来的一切问题均由投标人负责。且招标人有权拒绝未预约备案人员参加本项目踏勘活动。</w:t>
            </w:r>
          </w:p>
          <w:p>
            <w:pPr>
              <w:pStyle w:val="21"/>
              <w:numPr>
                <w:ilvl w:val="0"/>
                <w:numId w:val="10"/>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cs="Times New Roman"/>
                <w:szCs w:val="21"/>
              </w:rPr>
              <w:t>×××</w:t>
            </w:r>
          </w:p>
          <w:p>
            <w:pPr>
              <w:pStyle w:val="21"/>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w:t>
            </w:r>
            <w:r>
              <w:rPr>
                <w:rFonts w:hint="eastAsia" w:ascii="宋体" w:hAnsi="宋体" w:eastAsia="宋体" w:cs="Times New Roman"/>
                <w:szCs w:val="21"/>
              </w:rPr>
              <w:t>××××</w:t>
            </w:r>
          </w:p>
          <w:p>
            <w:pPr>
              <w:pStyle w:val="21"/>
              <w:tabs>
                <w:tab w:val="left" w:pos="541"/>
              </w:tabs>
              <w:snapToGrid w:val="0"/>
              <w:ind w:left="805" w:firstLine="0" w:firstLineChars="0"/>
              <w:rPr>
                <w:rFonts w:ascii="宋体" w:hAnsi="宋体" w:eastAsia="宋体"/>
                <w:shd w:val="clear" w:color="auto" w:fill="FFFFFF"/>
              </w:rPr>
            </w:pPr>
            <w:r>
              <w:rPr>
                <w:rFonts w:hint="eastAsia" w:ascii="宋体" w:hAnsi="宋体" w:eastAsia="宋体"/>
                <w:kern w:val="0"/>
                <w:szCs w:val="21"/>
              </w:rPr>
              <w:t>集合地点：</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1"/>
              <w:numPr>
                <w:ilvl w:val="0"/>
                <w:numId w:val="11"/>
              </w:numPr>
              <w:autoSpaceDE w:val="0"/>
              <w:autoSpaceDN w:val="0"/>
              <w:adjustRightInd w:val="0"/>
              <w:snapToGrid w:val="0"/>
              <w:ind w:left="536" w:hanging="536" w:firstLineChars="0"/>
              <w:rPr>
                <w:rFonts w:ascii="宋体" w:hAnsi="宋体" w:eastAsia="宋体" w:cs="Segoe UI Symbol"/>
                <w:kern w:val="0"/>
                <w:szCs w:val="21"/>
              </w:rPr>
            </w:pPr>
            <w:r>
              <w:rPr>
                <w:rFonts w:ascii="Segoe UI Emoji" w:hAnsi="Segoe UI Emoji" w:cs="Segoe UI Emoji"/>
                <w:kern w:val="0"/>
                <w:szCs w:val="21"/>
              </w:rPr>
              <w:t>☑</w:t>
            </w:r>
            <w:r>
              <w:rPr>
                <w:rFonts w:hint="eastAsia" w:ascii="宋体" w:hAnsi="宋体" w:eastAsia="宋体" w:cs="Segoe UI Symbol"/>
                <w:kern w:val="0"/>
                <w:szCs w:val="21"/>
              </w:rPr>
              <w:t>不要求</w:t>
            </w:r>
          </w:p>
          <w:p>
            <w:pPr>
              <w:pStyle w:val="21"/>
              <w:numPr>
                <w:ilvl w:val="0"/>
                <w:numId w:val="11"/>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1"/>
              <w:numPr>
                <w:ilvl w:val="0"/>
                <w:numId w:val="12"/>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1"/>
              <w:numPr>
                <w:ilvl w:val="0"/>
                <w:numId w:val="12"/>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1"/>
              <w:numPr>
                <w:ilvl w:val="0"/>
                <w:numId w:val="12"/>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kern w:val="0"/>
                <w:szCs w:val="21"/>
                <w:u w:val="single"/>
              </w:rPr>
              <w:t>：</w:t>
            </w:r>
            <w:r>
              <w:rPr>
                <w:rFonts w:hint="eastAsia" w:ascii="宋体" w:hAnsi="宋体" w:cs="Segoe UI Symbol"/>
                <w:kern w:val="0"/>
                <w:szCs w:val="21"/>
                <w:u w:val="single"/>
              </w:rPr>
              <w:t xml:space="preserve"> </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1"/>
              <w:numPr>
                <w:ilvl w:val="0"/>
                <w:numId w:val="12"/>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w:t>
            </w:r>
            <w:r>
              <w:rPr>
                <w:rFonts w:hint="eastAsia" w:ascii="宋体" w:hAnsi="宋体" w:cs="Segoe UI Symbol"/>
                <w:kern w:val="0"/>
                <w:szCs w:val="21"/>
                <w:u w:val="single"/>
                <w:lang w:val="en-US" w:eastAsia="zh-CN"/>
              </w:rPr>
              <w:t>2</w:t>
            </w:r>
            <w:r>
              <w:rPr>
                <w:rFonts w:hint="eastAsia" w:ascii="宋体" w:hAnsi="宋体" w:cs="Segoe UI Symbol"/>
                <w:kern w:val="0"/>
                <w:szCs w:val="21"/>
                <w:u w:val="single"/>
              </w:rPr>
              <w:t xml:space="preserve">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5"/>
        </w:numPr>
        <w:spacing w:line="560" w:lineRule="exact"/>
        <w:outlineLvl w:val="1"/>
        <w:rPr>
          <w:rFonts w:ascii="宋体" w:hAnsi="宋体"/>
          <w:b/>
          <w:szCs w:val="21"/>
        </w:rPr>
      </w:pPr>
      <w:bookmarkStart w:id="6" w:name="_Toc82591928"/>
      <w:bookmarkEnd w:id="6"/>
      <w:bookmarkStart w:id="7" w:name="_Toc82591927"/>
      <w:bookmarkEnd w:id="7"/>
      <w:bookmarkStart w:id="8" w:name="_Toc82684588"/>
      <w:bookmarkEnd w:id="8"/>
      <w:bookmarkStart w:id="9" w:name="_Toc82684591"/>
      <w:bookmarkEnd w:id="9"/>
      <w:bookmarkStart w:id="10" w:name="_Toc82684703"/>
      <w:bookmarkEnd w:id="10"/>
      <w:bookmarkStart w:id="11" w:name="_Toc82591926"/>
      <w:bookmarkEnd w:id="11"/>
      <w:bookmarkStart w:id="12" w:name="_Toc82684704"/>
      <w:bookmarkEnd w:id="12"/>
      <w:bookmarkStart w:id="13" w:name="_Toc82685543"/>
      <w:bookmarkEnd w:id="13"/>
      <w:bookmarkStart w:id="14" w:name="_Toc82684589"/>
      <w:bookmarkEnd w:id="14"/>
      <w:bookmarkStart w:id="15" w:name="_Toc82684706"/>
      <w:bookmarkEnd w:id="15"/>
      <w:bookmarkStart w:id="16" w:name="_Toc82591925"/>
      <w:bookmarkEnd w:id="16"/>
      <w:bookmarkStart w:id="17" w:name="_Toc82685540"/>
      <w:bookmarkEnd w:id="17"/>
      <w:bookmarkStart w:id="18" w:name="_Toc82685541"/>
      <w:bookmarkEnd w:id="18"/>
      <w:bookmarkStart w:id="19" w:name="_Toc82684705"/>
      <w:bookmarkEnd w:id="19"/>
      <w:bookmarkStart w:id="20" w:name="_Toc82685542"/>
      <w:bookmarkEnd w:id="20"/>
      <w:bookmarkStart w:id="21" w:name="_Toc82684590"/>
      <w:bookmarkEnd w:id="21"/>
      <w:bookmarkStart w:id="22" w:name="_Toc23392"/>
      <w:r>
        <w:rPr>
          <w:rFonts w:hint="eastAsia" w:ascii="宋体" w:hAnsi="宋体"/>
          <w:b/>
          <w:szCs w:val="21"/>
        </w:rPr>
        <w:t>特别说明</w:t>
      </w:r>
      <w:bookmarkEnd w:id="22"/>
    </w:p>
    <w:p>
      <w:pPr>
        <w:pStyle w:val="21"/>
        <w:numPr>
          <w:ilvl w:val="0"/>
          <w:numId w:val="13"/>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1"/>
        <w:numPr>
          <w:ilvl w:val="0"/>
          <w:numId w:val="13"/>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21"/>
        <w:numPr>
          <w:ilvl w:val="0"/>
          <w:numId w:val="13"/>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1"/>
        <w:numPr>
          <w:ilvl w:val="0"/>
          <w:numId w:val="13"/>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1"/>
        <w:numPr>
          <w:ilvl w:val="0"/>
          <w:numId w:val="13"/>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numPr>
          <w:ilvl w:val="0"/>
          <w:numId w:val="5"/>
        </w:numPr>
        <w:spacing w:line="560" w:lineRule="exact"/>
        <w:outlineLvl w:val="1"/>
        <w:rPr>
          <w:rFonts w:ascii="宋体" w:hAnsi="宋体"/>
          <w:b/>
          <w:szCs w:val="21"/>
        </w:rPr>
      </w:pPr>
      <w:bookmarkStart w:id="26" w:name="_Toc82685545"/>
      <w:bookmarkEnd w:id="26"/>
      <w:bookmarkStart w:id="27" w:name="_Toc82591988"/>
      <w:bookmarkEnd w:id="27"/>
      <w:bookmarkStart w:id="28" w:name="_Toc82684708"/>
      <w:bookmarkEnd w:id="28"/>
      <w:bookmarkStart w:id="29" w:name="_Toc82591987"/>
      <w:bookmarkEnd w:id="29"/>
      <w:bookmarkStart w:id="30" w:name="_Toc82591986"/>
      <w:bookmarkEnd w:id="30"/>
      <w:bookmarkStart w:id="31" w:name="_Toc82591989"/>
      <w:bookmarkEnd w:id="31"/>
      <w:bookmarkStart w:id="32" w:name="_Toc82591985"/>
      <w:bookmarkEnd w:id="32"/>
      <w:bookmarkStart w:id="33" w:name="_Toc82684593"/>
      <w:bookmarkEnd w:id="33"/>
      <w:bookmarkStart w:id="34" w:name="_Toc82591930"/>
      <w:bookmarkEnd w:id="34"/>
      <w:bookmarkStart w:id="35" w:name="_Toc21859"/>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bookmarkStart w:id="36" w:name="OLE_LINK3"/>
            <w:bookmarkStart w:id="37" w:name="OLE_LINK8"/>
            <w:r>
              <w:rPr>
                <w:rFonts w:hint="eastAsia" w:ascii="宋体" w:hAnsi="宋体" w:cs="Courier New"/>
                <w:kern w:val="0"/>
                <w:szCs w:val="21"/>
              </w:rPr>
              <w:t>□</w:t>
            </w:r>
            <w:bookmarkEnd w:id="36"/>
            <w:bookmarkEnd w:id="37"/>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5"/>
        </w:numPr>
        <w:spacing w:line="560" w:lineRule="exact"/>
        <w:outlineLvl w:val="1"/>
        <w:rPr>
          <w:rFonts w:ascii="宋体" w:hAnsi="宋体"/>
          <w:b/>
          <w:szCs w:val="21"/>
        </w:rPr>
      </w:pPr>
      <w:bookmarkStart w:id="38" w:name="_Toc26677"/>
      <w:r>
        <w:rPr>
          <w:rFonts w:hint="eastAsia" w:ascii="宋体" w:hAnsi="宋体"/>
          <w:b/>
          <w:szCs w:val="21"/>
        </w:rPr>
        <w:t>项目要求及数量</w:t>
      </w:r>
      <w:bookmarkEnd w:id="38"/>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numPr>
                <w:ilvl w:val="0"/>
                <w:numId w:val="14"/>
              </w:numPr>
              <w:ind w:firstLineChars="0"/>
              <w:jc w:val="center"/>
              <w:rPr>
                <w:rFonts w:hint="eastAsia" w:ascii="宋体" w:hAnsi="宋体" w:eastAsia="宋体" w:cs="宋体"/>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snapToGrid w:val="0"/>
              <w:spacing w:line="360" w:lineRule="auto"/>
              <w:ind w:left="531" w:hanging="70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必须为中华人民共和国境内注册且合法运作的企业（企业营业执照经营期限处于有效期内），并能独立承担民事责任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无未改正的经营异常信息，无严重违法失信记录。（</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须提供企业营业执照复印件复印件加盖</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公章。)</w:t>
            </w:r>
          </w:p>
          <w:p>
            <w:pPr>
              <w:numPr>
                <w:ilvl w:val="0"/>
                <w:numId w:val="15"/>
              </w:numPr>
              <w:tabs>
                <w:tab w:val="left" w:pos="531"/>
              </w:tabs>
              <w:snapToGrid w:val="0"/>
              <w:spacing w:line="360" w:lineRule="auto"/>
              <w:ind w:left="531" w:hanging="70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投标人应提供国家企业信用信息公示系统（http://www.gsxt.gov.cn/）公示的企业信息打印件（至少包含“基础信息页”、“列入经营异常名录信息页”、“列入严重违法失信企业名单信息页”）并加盖</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公章。</w:t>
            </w:r>
          </w:p>
          <w:p>
            <w:pPr>
              <w:numPr>
                <w:ilvl w:val="0"/>
                <w:numId w:val="15"/>
              </w:numPr>
              <w:tabs>
                <w:tab w:val="left" w:pos="531"/>
              </w:tabs>
              <w:snapToGrid w:val="0"/>
              <w:spacing w:line="360" w:lineRule="auto"/>
              <w:ind w:left="531" w:hanging="70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必须具备工程造价咨询资质甲级资质（</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必须提供上述资质证明的复印件加盖公章）。</w:t>
            </w:r>
          </w:p>
          <w:p>
            <w:pPr>
              <w:numPr>
                <w:ilvl w:val="0"/>
                <w:numId w:val="15"/>
              </w:numPr>
              <w:tabs>
                <w:tab w:val="left" w:pos="531"/>
              </w:tabs>
              <w:snapToGrid w:val="0"/>
              <w:spacing w:line="360" w:lineRule="auto"/>
              <w:ind w:left="531" w:hanging="70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参加</w:t>
            </w:r>
            <w:r>
              <w:rPr>
                <w:rFonts w:hint="eastAsia" w:ascii="宋体" w:hAnsi="宋体" w:cs="宋体"/>
                <w:kern w:val="2"/>
                <w:sz w:val="21"/>
                <w:szCs w:val="21"/>
                <w:lang w:val="en-US" w:eastAsia="zh-CN" w:bidi="ar-SA"/>
              </w:rPr>
              <w:t>投标</w:t>
            </w:r>
            <w:r>
              <w:rPr>
                <w:rFonts w:hint="eastAsia" w:ascii="宋体" w:hAnsi="宋体" w:eastAsia="宋体" w:cs="宋体"/>
                <w:kern w:val="2"/>
                <w:sz w:val="21"/>
                <w:szCs w:val="21"/>
                <w:lang w:val="en-US" w:eastAsia="zh-CN" w:bidi="ar-SA"/>
              </w:rPr>
              <w:t>的代表必须是单位的法定代表人或持有法定代表人亲自签署的法人授权委托证明书的该单位员工。（提供法定代表人证明书、法</w:t>
            </w:r>
            <w:r>
              <w:rPr>
                <w:rFonts w:hint="eastAsia" w:ascii="宋体" w:hAnsi="宋体" w:cs="宋体"/>
                <w:kern w:val="2"/>
                <w:sz w:val="21"/>
                <w:szCs w:val="21"/>
                <w:lang w:val="en-US" w:eastAsia="zh-CN" w:bidi="ar-SA"/>
              </w:rPr>
              <w:t>定代表</w:t>
            </w:r>
            <w:r>
              <w:rPr>
                <w:rFonts w:hint="eastAsia" w:ascii="宋体" w:hAnsi="宋体" w:eastAsia="宋体" w:cs="宋体"/>
                <w:kern w:val="2"/>
                <w:sz w:val="21"/>
                <w:szCs w:val="21"/>
                <w:lang w:val="en-US" w:eastAsia="zh-CN" w:bidi="ar-SA"/>
              </w:rPr>
              <w:t>人授权委托证明书，如单位法定代表人为本项目授权代表，则仅提供法定代表人证明书及身份证复印件，各证明书须加盖公章，身份证原件备查）。</w:t>
            </w:r>
          </w:p>
          <w:p>
            <w:pPr>
              <w:numPr>
                <w:ilvl w:val="0"/>
                <w:numId w:val="15"/>
              </w:numPr>
              <w:tabs>
                <w:tab w:val="left" w:pos="531"/>
              </w:tabs>
              <w:snapToGrid w:val="0"/>
              <w:spacing w:line="360" w:lineRule="auto"/>
              <w:ind w:left="531" w:hanging="709"/>
              <w:rPr>
                <w:rFonts w:hint="eastAsia" w:ascii="宋体" w:hAnsi="宋体" w:eastAsia="宋体" w:cs="宋体"/>
                <w:sz w:val="21"/>
                <w:szCs w:val="21"/>
              </w:rPr>
            </w:pPr>
            <w:r>
              <w:rPr>
                <w:rFonts w:hint="eastAsia" w:ascii="宋体" w:hAnsi="宋体" w:eastAsia="宋体" w:cs="宋体"/>
                <w:kern w:val="2"/>
                <w:sz w:val="21"/>
                <w:szCs w:val="21"/>
                <w:lang w:val="en-US" w:eastAsia="zh-CN" w:bidi="ar-SA"/>
              </w:rPr>
              <w:t>本项目不接受联合体投标。</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4"/>
              </w:numPr>
              <w:adjustRightInd/>
              <w:spacing w:before="0" w:after="0" w:line="240" w:lineRule="auto"/>
              <w:rPr>
                <w:rFonts w:hint="eastAsia" w:ascii="宋体" w:hAnsi="宋体" w:eastAsia="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spacing w:line="360" w:lineRule="auto"/>
              <w:ind w:left="531" w:hanging="709"/>
              <w:rPr>
                <w:rFonts w:hint="eastAsia" w:ascii="宋体" w:hAnsi="宋体" w:eastAsia="宋体" w:cs="宋体"/>
                <w:sz w:val="21"/>
                <w:szCs w:val="21"/>
              </w:rPr>
            </w:pPr>
            <w:r>
              <w:rPr>
                <w:rFonts w:hint="eastAsia" w:ascii="宋体" w:hAnsi="宋体" w:eastAsia="宋体" w:cs="宋体"/>
                <w:sz w:val="21"/>
                <w:szCs w:val="21"/>
              </w:rPr>
              <w:t>本项目报价以人民币为结算币种，报价包含造价咨询项目人员工资、差旅费、交通费、加班费、保险费、办公费、管理费、不可预见费及利润、税金等</w:t>
            </w:r>
            <w:r>
              <w:rPr>
                <w:rFonts w:hint="eastAsia" w:ascii="宋体" w:hAnsi="宋体" w:cs="宋体"/>
                <w:sz w:val="21"/>
                <w:szCs w:val="21"/>
                <w:lang w:val="en-US" w:eastAsia="zh-CN"/>
              </w:rPr>
              <w:t>完成</w:t>
            </w:r>
            <w:r>
              <w:rPr>
                <w:rFonts w:hint="eastAsia" w:ascii="宋体" w:hAnsi="宋体" w:eastAsia="宋体" w:cs="宋体"/>
                <w:sz w:val="21"/>
                <w:szCs w:val="21"/>
              </w:rPr>
              <w:t>本项目造价咨询工作相关的一切费用。如果</w:t>
            </w:r>
            <w:r>
              <w:rPr>
                <w:rFonts w:hint="eastAsia" w:ascii="宋体" w:hAnsi="宋体" w:cs="宋体"/>
                <w:sz w:val="21"/>
                <w:szCs w:val="21"/>
                <w:lang w:eastAsia="zh-CN"/>
              </w:rPr>
              <w:t>投标人</w:t>
            </w:r>
            <w:r>
              <w:rPr>
                <w:rFonts w:hint="eastAsia" w:ascii="宋体" w:hAnsi="宋体" w:eastAsia="宋体" w:cs="宋体"/>
                <w:sz w:val="21"/>
                <w:szCs w:val="21"/>
              </w:rPr>
              <w:t>在投标时未在报价表中列出，但造价咨询过程中又必须发生费用项目，</w:t>
            </w:r>
            <w:r>
              <w:rPr>
                <w:rFonts w:hint="eastAsia" w:ascii="宋体" w:hAnsi="宋体" w:cs="宋体"/>
                <w:sz w:val="21"/>
                <w:szCs w:val="21"/>
                <w:lang w:eastAsia="zh-CN"/>
              </w:rPr>
              <w:t>招标人</w:t>
            </w:r>
            <w:r>
              <w:rPr>
                <w:rFonts w:hint="eastAsia" w:ascii="宋体" w:hAnsi="宋体" w:eastAsia="宋体" w:cs="宋体"/>
                <w:sz w:val="21"/>
                <w:szCs w:val="21"/>
              </w:rPr>
              <w:t>有权认为，此部分所产生的费用已经</w:t>
            </w:r>
            <w:r>
              <w:rPr>
                <w:rFonts w:hint="eastAsia" w:ascii="宋体" w:hAnsi="宋体" w:cs="宋体"/>
                <w:sz w:val="21"/>
                <w:szCs w:val="21"/>
                <w:lang w:val="en-US" w:eastAsia="zh-CN"/>
              </w:rPr>
              <w:t>包含</w:t>
            </w:r>
            <w:r>
              <w:rPr>
                <w:rFonts w:hint="eastAsia" w:ascii="宋体" w:hAnsi="宋体" w:eastAsia="宋体" w:cs="宋体"/>
                <w:sz w:val="21"/>
                <w:szCs w:val="21"/>
              </w:rPr>
              <w:t>在投标费率中，</w:t>
            </w:r>
            <w:r>
              <w:rPr>
                <w:rFonts w:hint="eastAsia" w:ascii="宋体" w:hAnsi="宋体" w:cs="宋体"/>
                <w:sz w:val="21"/>
                <w:szCs w:val="21"/>
                <w:lang w:eastAsia="zh-CN"/>
              </w:rPr>
              <w:t>投标人</w:t>
            </w:r>
            <w:r>
              <w:rPr>
                <w:rFonts w:hint="eastAsia" w:ascii="宋体" w:hAnsi="宋体" w:eastAsia="宋体" w:cs="宋体"/>
                <w:sz w:val="21"/>
                <w:szCs w:val="21"/>
              </w:rPr>
              <w:t>不得以任何理由提出索赔或增加费用项目。</w:t>
            </w:r>
          </w:p>
          <w:p>
            <w:pPr>
              <w:numPr>
                <w:ilvl w:val="0"/>
                <w:numId w:val="16"/>
              </w:numPr>
              <w:tabs>
                <w:tab w:val="left" w:pos="531"/>
              </w:tabs>
              <w:snapToGrid w:val="0"/>
              <w:spacing w:line="360" w:lineRule="auto"/>
              <w:ind w:left="531" w:hanging="709"/>
              <w:rPr>
                <w:rFonts w:hint="eastAsia" w:ascii="宋体" w:hAnsi="宋体" w:eastAsia="宋体" w:cs="宋体"/>
                <w:sz w:val="21"/>
                <w:szCs w:val="21"/>
                <w:highlight w:val="none"/>
              </w:rPr>
            </w:pPr>
            <w:r>
              <w:rPr>
                <w:rFonts w:hint="eastAsia" w:ascii="宋体" w:hAnsi="宋体" w:cs="宋体"/>
                <w:bCs w:val="0"/>
                <w:sz w:val="21"/>
                <w:szCs w:val="21"/>
                <w:highlight w:val="none"/>
                <w:lang w:eastAsia="zh-CN"/>
              </w:rPr>
              <w:t>投标人</w:t>
            </w:r>
            <w:r>
              <w:rPr>
                <w:rFonts w:hint="eastAsia" w:ascii="宋体" w:hAnsi="宋体" w:eastAsia="宋体" w:cs="宋体"/>
                <w:bCs w:val="0"/>
                <w:sz w:val="21"/>
                <w:szCs w:val="21"/>
                <w:highlight w:val="none"/>
              </w:rPr>
              <w:t>应</w:t>
            </w:r>
            <w:r>
              <w:rPr>
                <w:rFonts w:hint="eastAsia" w:ascii="宋体" w:hAnsi="宋体" w:eastAsia="宋体" w:cs="宋体"/>
                <w:sz w:val="21"/>
                <w:szCs w:val="21"/>
                <w:highlight w:val="none"/>
              </w:rPr>
              <w:t>根</w:t>
            </w:r>
            <w:r>
              <w:rPr>
                <w:rFonts w:hint="eastAsia" w:ascii="宋体" w:hAnsi="宋体" w:cs="宋体"/>
                <w:bCs w:val="0"/>
                <w:sz w:val="21"/>
                <w:szCs w:val="21"/>
                <w:highlight w:val="none"/>
                <w:lang w:eastAsia="zh-CN"/>
              </w:rPr>
              <w:t>据《深圳市建设工程造价咨询业收费市场参考价格》</w:t>
            </w:r>
            <w:r>
              <w:rPr>
                <w:rFonts w:hint="eastAsia" w:ascii="宋体" w:hAnsi="宋体" w:eastAsia="宋体" w:cs="宋体"/>
                <w:sz w:val="21"/>
                <w:szCs w:val="21"/>
                <w:highlight w:val="none"/>
              </w:rPr>
              <w:t>，对</w:t>
            </w:r>
            <w:r>
              <w:rPr>
                <w:rFonts w:hint="eastAsia" w:ascii="宋体" w:hAnsi="宋体" w:cs="宋体"/>
                <w:sz w:val="21"/>
                <w:szCs w:val="21"/>
                <w:highlight w:val="none"/>
                <w:lang w:val="en-US" w:eastAsia="zh-CN"/>
              </w:rPr>
              <w:t>项目进行</w:t>
            </w:r>
            <w:r>
              <w:rPr>
                <w:rFonts w:hint="eastAsia" w:ascii="宋体" w:hAnsi="宋体" w:eastAsia="宋体" w:cs="宋体"/>
                <w:sz w:val="21"/>
                <w:szCs w:val="21"/>
                <w:highlight w:val="none"/>
              </w:rPr>
              <w:t>概算编制或审核</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预算编制或审核</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结算编制、结算审核等，按标准收费</w:t>
            </w:r>
            <w:r>
              <w:rPr>
                <w:rFonts w:hint="eastAsia" w:ascii="宋体" w:hAnsi="宋体" w:eastAsia="宋体" w:cs="宋体"/>
                <w:sz w:val="21"/>
                <w:szCs w:val="21"/>
                <w:highlight w:val="none"/>
                <w:lang w:eastAsia="zh-CN"/>
              </w:rPr>
              <w:t>费率</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折</w:t>
            </w:r>
            <w:r>
              <w:rPr>
                <w:rFonts w:hint="eastAsia" w:ascii="宋体" w:hAnsi="宋体" w:cs="宋体"/>
                <w:sz w:val="21"/>
                <w:szCs w:val="21"/>
                <w:highlight w:val="none"/>
                <w:lang w:val="en-US" w:eastAsia="zh-CN"/>
              </w:rPr>
              <w:t>扣</w:t>
            </w:r>
            <w:r>
              <w:rPr>
                <w:rFonts w:hint="eastAsia" w:ascii="宋体" w:hAnsi="宋体" w:eastAsia="宋体" w:cs="宋体"/>
                <w:sz w:val="21"/>
                <w:szCs w:val="21"/>
                <w:highlight w:val="none"/>
              </w:rPr>
              <w:t>率进行</w:t>
            </w:r>
            <w:r>
              <w:rPr>
                <w:rFonts w:hint="eastAsia" w:ascii="宋体" w:hAnsi="宋体" w:eastAsia="宋体" w:cs="宋体"/>
                <w:sz w:val="21"/>
                <w:szCs w:val="21"/>
                <w:highlight w:val="none"/>
                <w:lang w:eastAsia="zh-CN"/>
              </w:rPr>
              <w:t>统一</w:t>
            </w:r>
            <w:r>
              <w:rPr>
                <w:rFonts w:hint="eastAsia" w:ascii="宋体" w:hAnsi="宋体" w:eastAsia="宋体" w:cs="宋体"/>
                <w:sz w:val="21"/>
                <w:szCs w:val="21"/>
                <w:highlight w:val="none"/>
              </w:rPr>
              <w:t>报价。</w:t>
            </w:r>
          </w:p>
          <w:p>
            <w:pPr>
              <w:numPr>
                <w:ilvl w:val="0"/>
                <w:numId w:val="16"/>
              </w:numPr>
              <w:tabs>
                <w:tab w:val="left" w:pos="531"/>
              </w:tabs>
              <w:snapToGrid w:val="0"/>
              <w:spacing w:line="360" w:lineRule="auto"/>
              <w:ind w:left="531" w:hanging="709"/>
              <w:rPr>
                <w:rFonts w:hint="eastAsia" w:ascii="宋体" w:hAnsi="宋体" w:eastAsia="宋体" w:cs="宋体"/>
                <w:sz w:val="21"/>
                <w:szCs w:val="21"/>
              </w:rPr>
            </w:pPr>
            <w:r>
              <w:rPr>
                <w:rFonts w:hint="eastAsia" w:ascii="宋体" w:hAnsi="宋体" w:cs="宋体"/>
                <w:sz w:val="21"/>
                <w:szCs w:val="21"/>
                <w:lang w:val="en-US" w:eastAsia="zh-CN"/>
              </w:rPr>
              <w:t>非</w:t>
            </w:r>
            <w:r>
              <w:rPr>
                <w:rFonts w:hint="eastAsia" w:ascii="宋体" w:hAnsi="宋体" w:eastAsia="宋体" w:cs="宋体"/>
                <w:sz w:val="21"/>
                <w:szCs w:val="21"/>
              </w:rPr>
              <w:t>工程类采购项目造价取费报价，参照工程类。</w:t>
            </w:r>
          </w:p>
          <w:p>
            <w:pPr>
              <w:numPr>
                <w:ilvl w:val="0"/>
                <w:numId w:val="16"/>
              </w:numPr>
              <w:tabs>
                <w:tab w:val="left" w:pos="531"/>
              </w:tabs>
              <w:snapToGrid w:val="0"/>
              <w:spacing w:line="360" w:lineRule="auto"/>
              <w:ind w:left="531" w:hanging="709"/>
              <w:rPr>
                <w:rFonts w:hint="eastAsia" w:ascii="宋体" w:hAnsi="宋体" w:eastAsia="宋体" w:cs="宋体"/>
                <w:sz w:val="21"/>
                <w:szCs w:val="21"/>
              </w:rPr>
            </w:pPr>
            <w:r>
              <w:rPr>
                <w:rFonts w:hint="eastAsia" w:ascii="宋体" w:hAnsi="宋体" w:eastAsia="宋体" w:cs="宋体"/>
                <w:sz w:val="21"/>
                <w:szCs w:val="21"/>
              </w:rPr>
              <w:t>本次</w:t>
            </w:r>
            <w:r>
              <w:rPr>
                <w:rFonts w:hint="eastAsia" w:ascii="宋体" w:hAnsi="宋体" w:cs="宋体"/>
                <w:sz w:val="21"/>
                <w:szCs w:val="21"/>
                <w:lang w:val="en-US" w:eastAsia="zh-CN"/>
              </w:rPr>
              <w:t>投标</w:t>
            </w:r>
            <w:r>
              <w:rPr>
                <w:rFonts w:hint="eastAsia" w:ascii="宋体" w:hAnsi="宋体" w:eastAsia="宋体" w:cs="宋体"/>
                <w:sz w:val="21"/>
                <w:szCs w:val="21"/>
              </w:rPr>
              <w:t>的费用由</w:t>
            </w:r>
            <w:r>
              <w:rPr>
                <w:rFonts w:hint="eastAsia" w:ascii="宋体" w:hAnsi="宋体" w:cs="宋体"/>
                <w:sz w:val="21"/>
                <w:szCs w:val="21"/>
                <w:lang w:val="en-US" w:eastAsia="zh-CN"/>
              </w:rPr>
              <w:t>投标人</w:t>
            </w:r>
            <w:r>
              <w:rPr>
                <w:rFonts w:hint="eastAsia" w:ascii="宋体" w:hAnsi="宋体" w:eastAsia="宋体" w:cs="宋体"/>
                <w:sz w:val="21"/>
                <w:szCs w:val="21"/>
              </w:rPr>
              <w:t>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4"/>
              </w:numPr>
              <w:adjustRightInd/>
              <w:spacing w:before="0" w:after="0" w:line="240" w:lineRule="auto"/>
              <w:rPr>
                <w:rFonts w:hint="eastAsia" w:ascii="宋体" w:hAnsi="宋体" w:eastAsia="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sz w:val="21"/>
                <w:szCs w:val="21"/>
              </w:rPr>
            </w:pPr>
            <w:r>
              <w:rPr>
                <w:rFonts w:hint="eastAsia" w:ascii="宋体" w:hAnsi="宋体" w:eastAsia="宋体" w:cs="宋体"/>
                <w:sz w:val="21"/>
                <w:szCs w:val="21"/>
              </w:rPr>
              <w:t>报价费率最高不得超</w:t>
            </w:r>
            <w:r>
              <w:rPr>
                <w:rFonts w:hint="eastAsia" w:ascii="宋体" w:hAnsi="宋体" w:eastAsia="宋体" w:cs="宋体"/>
                <w:sz w:val="21"/>
                <w:szCs w:val="21"/>
                <w:highlight w:val="none"/>
              </w:rPr>
              <w:t>过标准费率的</w:t>
            </w:r>
            <w:r>
              <w:rPr>
                <w:rFonts w:hint="eastAsia" w:ascii="宋体" w:hAnsi="宋体" w:cs="宋体"/>
                <w:sz w:val="21"/>
                <w:szCs w:val="21"/>
                <w:highlight w:val="none"/>
                <w:lang w:val="en-US" w:eastAsia="zh-CN"/>
              </w:rPr>
              <w:t>八</w:t>
            </w:r>
            <w:r>
              <w:rPr>
                <w:rFonts w:hint="eastAsia" w:ascii="宋体" w:hAnsi="宋体" w:eastAsia="宋体" w:cs="宋体"/>
                <w:sz w:val="21"/>
                <w:szCs w:val="21"/>
                <w:highlight w:val="none"/>
              </w:rPr>
              <w:t>折。本项目</w:t>
            </w:r>
            <w:r>
              <w:rPr>
                <w:rFonts w:hint="eastAsia" w:ascii="宋体" w:hAnsi="宋体" w:cs="宋体"/>
                <w:sz w:val="21"/>
                <w:szCs w:val="21"/>
                <w:lang w:val="en-US" w:eastAsia="zh-CN"/>
              </w:rPr>
              <w:t>年度控制金额为人民币20万元，3年</w:t>
            </w:r>
            <w:r>
              <w:rPr>
                <w:rFonts w:hint="eastAsia" w:ascii="宋体" w:hAnsi="宋体" w:eastAsia="宋体" w:cs="宋体"/>
                <w:sz w:val="21"/>
                <w:szCs w:val="21"/>
              </w:rPr>
              <w:t>控制金额为人民币</w:t>
            </w:r>
            <w:r>
              <w:rPr>
                <w:rFonts w:hint="eastAsia" w:ascii="宋体" w:hAnsi="宋体" w:cs="宋体"/>
                <w:sz w:val="21"/>
                <w:szCs w:val="21"/>
                <w:lang w:val="en-US" w:eastAsia="zh-CN"/>
              </w:rPr>
              <w:t>60</w:t>
            </w:r>
            <w:r>
              <w:rPr>
                <w:rFonts w:hint="eastAsia" w:ascii="宋体" w:hAnsi="宋体" w:eastAsia="宋体" w:cs="宋体"/>
                <w:sz w:val="21"/>
                <w:szCs w:val="21"/>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4"/>
              </w:numPr>
              <w:adjustRightInd/>
              <w:spacing w:before="0" w:after="0" w:line="240" w:lineRule="auto"/>
              <w:rPr>
                <w:rFonts w:hint="eastAsia" w:ascii="宋体" w:hAnsi="宋体" w:eastAsia="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3"/>
              <w:numPr>
                <w:ilvl w:val="0"/>
                <w:numId w:val="0"/>
              </w:numPr>
              <w:tabs>
                <w:tab w:val="left" w:pos="420"/>
              </w:tabs>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招标人每个季度根据</w:t>
            </w:r>
            <w:r>
              <w:rPr>
                <w:rFonts w:hint="eastAsia" w:ascii="宋体" w:hAnsi="宋体" w:eastAsia="宋体" w:cs="宋体"/>
                <w:sz w:val="21"/>
                <w:szCs w:val="21"/>
                <w:highlight w:val="none"/>
              </w:rPr>
              <w:t>“深圳会展中心＿＿年＿＿</w:t>
            </w:r>
            <w:r>
              <w:rPr>
                <w:rFonts w:hint="eastAsia" w:ascii="宋体" w:hAnsi="宋体" w:cs="宋体"/>
                <w:sz w:val="21"/>
                <w:szCs w:val="21"/>
                <w:highlight w:val="none"/>
                <w:lang w:val="en-US" w:eastAsia="zh-CN"/>
              </w:rPr>
              <w:t>季度</w:t>
            </w:r>
            <w:r>
              <w:rPr>
                <w:rFonts w:hint="eastAsia" w:ascii="宋体" w:hAnsi="宋体" w:eastAsia="宋体" w:cs="宋体"/>
                <w:sz w:val="21"/>
                <w:szCs w:val="21"/>
                <w:highlight w:val="none"/>
              </w:rPr>
              <w:t>造价咨询服务项目一览表”</w:t>
            </w:r>
            <w:r>
              <w:rPr>
                <w:rFonts w:hint="eastAsia" w:ascii="宋体" w:hAnsi="宋体" w:cs="宋体"/>
                <w:sz w:val="21"/>
                <w:szCs w:val="21"/>
                <w:highlight w:val="none"/>
                <w:lang w:val="en-US" w:eastAsia="zh-CN"/>
              </w:rPr>
              <w:t>对已完成并验收合格的咨询服务进行核对，经双方确认无误后按季度结算。如季度结算费用低于人民币5万元时，则转入下一季度进行结算，</w:t>
            </w:r>
            <w:r>
              <w:rPr>
                <w:rFonts w:hint="eastAsia" w:ascii="宋体" w:hAnsi="宋体" w:eastAsia="宋体" w:cs="宋体"/>
                <w:sz w:val="21"/>
                <w:szCs w:val="21"/>
                <w:highlight w:val="none"/>
              </w:rPr>
              <w:t>或合同服务时间累计每超过半年，</w:t>
            </w:r>
            <w:r>
              <w:rPr>
                <w:rFonts w:hint="eastAsia" w:ascii="宋体" w:hAnsi="宋体" w:cs="宋体"/>
                <w:sz w:val="21"/>
                <w:szCs w:val="21"/>
                <w:highlight w:val="none"/>
                <w:lang w:val="en-US" w:eastAsia="zh-CN"/>
              </w:rPr>
              <w:t>招标人</w:t>
            </w:r>
            <w:r>
              <w:rPr>
                <w:rFonts w:hint="eastAsia" w:ascii="宋体" w:hAnsi="宋体" w:eastAsia="宋体" w:cs="宋体"/>
                <w:sz w:val="21"/>
                <w:szCs w:val="21"/>
                <w:highlight w:val="none"/>
              </w:rPr>
              <w:t>根据</w:t>
            </w:r>
            <w:r>
              <w:rPr>
                <w:rFonts w:hint="eastAsia" w:ascii="宋体" w:hAnsi="宋体" w:cs="宋体"/>
                <w:sz w:val="21"/>
                <w:szCs w:val="21"/>
                <w:highlight w:val="none"/>
                <w:lang w:val="en-US" w:eastAsia="zh-CN"/>
              </w:rPr>
              <w:t>中标人</w:t>
            </w:r>
            <w:r>
              <w:rPr>
                <w:rFonts w:hint="eastAsia" w:ascii="宋体" w:hAnsi="宋体" w:eastAsia="宋体" w:cs="宋体"/>
                <w:sz w:val="21"/>
                <w:szCs w:val="21"/>
                <w:highlight w:val="none"/>
              </w:rPr>
              <w:t>提供的咨询服务</w:t>
            </w:r>
            <w:r>
              <w:rPr>
                <w:rFonts w:hint="eastAsia" w:ascii="宋体" w:hAnsi="宋体" w:cs="宋体"/>
                <w:sz w:val="21"/>
                <w:szCs w:val="21"/>
                <w:highlight w:val="none"/>
                <w:lang w:val="en-US" w:eastAsia="zh-CN"/>
              </w:rPr>
              <w:t>项目一览</w:t>
            </w:r>
            <w:r>
              <w:rPr>
                <w:rFonts w:hint="eastAsia" w:ascii="宋体" w:hAnsi="宋体" w:eastAsia="宋体" w:cs="宋体"/>
                <w:sz w:val="21"/>
                <w:szCs w:val="21"/>
                <w:highlight w:val="none"/>
              </w:rPr>
              <w:t>表，按合同</w:t>
            </w:r>
            <w:r>
              <w:rPr>
                <w:rFonts w:hint="eastAsia" w:ascii="宋体" w:hAnsi="宋体" w:cs="宋体"/>
                <w:sz w:val="21"/>
                <w:szCs w:val="21"/>
                <w:highlight w:val="none"/>
                <w:lang w:val="en-US" w:eastAsia="zh-CN"/>
              </w:rPr>
              <w:t>约定</w:t>
            </w:r>
            <w:r>
              <w:rPr>
                <w:rFonts w:hint="eastAsia" w:ascii="宋体" w:hAnsi="宋体" w:eastAsia="宋体" w:cs="宋体"/>
                <w:sz w:val="21"/>
                <w:szCs w:val="21"/>
                <w:highlight w:val="none"/>
              </w:rPr>
              <w:t>向</w:t>
            </w:r>
            <w:r>
              <w:rPr>
                <w:rFonts w:hint="eastAsia" w:ascii="宋体" w:hAnsi="宋体" w:cs="宋体"/>
                <w:sz w:val="21"/>
                <w:szCs w:val="21"/>
                <w:highlight w:val="none"/>
                <w:lang w:val="en-US" w:eastAsia="zh-CN"/>
              </w:rPr>
              <w:t>中标人</w:t>
            </w:r>
            <w:r>
              <w:rPr>
                <w:rFonts w:hint="eastAsia" w:ascii="宋体" w:hAnsi="宋体" w:eastAsia="宋体" w:cs="宋体"/>
                <w:sz w:val="21"/>
                <w:szCs w:val="21"/>
                <w:highlight w:val="none"/>
              </w:rPr>
              <w:t>支付一次。</w:t>
            </w:r>
          </w:p>
          <w:p>
            <w:pPr>
              <w:numPr>
                <w:ilvl w:val="-1"/>
                <w:numId w:val="0"/>
              </w:numPr>
              <w:tabs>
                <w:tab w:val="left" w:pos="531"/>
              </w:tabs>
              <w:snapToGrid w:val="0"/>
              <w:spacing w:line="360" w:lineRule="auto"/>
              <w:ind w:left="388" w:leftChars="0" w:hanging="388" w:hangingChars="185"/>
              <w:rPr>
                <w:rFonts w:hint="default" w:ascii="宋体" w:hAnsi="宋体" w:eastAsia="宋体" w:cs="宋体"/>
                <w:sz w:val="21"/>
                <w:szCs w:val="21"/>
                <w:highlight w:val="none"/>
                <w:lang w:val="en-US"/>
              </w:rPr>
            </w:pPr>
            <w:r>
              <w:rPr>
                <w:rFonts w:hint="eastAsia" w:ascii="宋体" w:hAnsi="宋体" w:cs="宋体"/>
                <w:sz w:val="21"/>
                <w:szCs w:val="21"/>
                <w:highlight w:val="none"/>
                <w:lang w:val="en-US" w:eastAsia="zh-CN"/>
              </w:rPr>
              <w:t>对争议项目服务费在双方商榷无误后归入确认季度结算。</w:t>
            </w:r>
          </w:p>
          <w:p>
            <w:pPr>
              <w:numPr>
                <w:ilvl w:val="-1"/>
                <w:numId w:val="0"/>
              </w:numPr>
              <w:tabs>
                <w:tab w:val="left" w:pos="531"/>
              </w:tabs>
              <w:snapToGrid w:val="0"/>
              <w:spacing w:line="360" w:lineRule="auto"/>
              <w:ind w:left="388" w:leftChars="0" w:hanging="388" w:hangingChars="185"/>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有关合同价格详细事宜以合同条款为准。</w:t>
            </w:r>
          </w:p>
          <w:p>
            <w:pPr>
              <w:numPr>
                <w:ilvl w:val="0"/>
                <w:numId w:val="0"/>
              </w:numPr>
              <w:tabs>
                <w:tab w:val="left" w:pos="531"/>
              </w:tabs>
              <w:snapToGrid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cs="宋体"/>
                <w:sz w:val="21"/>
                <w:szCs w:val="21"/>
                <w:lang w:val="en-US" w:eastAsia="zh-CN"/>
              </w:rPr>
              <w:t>招标</w:t>
            </w:r>
            <w:r>
              <w:rPr>
                <w:rFonts w:hint="eastAsia" w:ascii="宋体" w:hAnsi="宋体" w:eastAsia="宋体" w:cs="宋体"/>
                <w:sz w:val="21"/>
                <w:szCs w:val="21"/>
              </w:rPr>
              <w:t>人不承诺合同期内最低服务费用。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eastAsia" w:ascii="宋体" w:hAnsi="宋体" w:eastAsia="宋体" w:cs="宋体"/>
                <w:b/>
                <w:bCs/>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4"/>
              </w:numPr>
              <w:adjustRightInd/>
              <w:spacing w:before="0" w:after="0" w:line="240" w:lineRule="auto"/>
              <w:rPr>
                <w:rFonts w:hint="eastAsia" w:ascii="宋体" w:hAnsi="宋体" w:eastAsia="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1"/>
              <w:numPr>
                <w:ilvl w:val="0"/>
                <w:numId w:val="17"/>
              </w:numPr>
              <w:tabs>
                <w:tab w:val="left" w:pos="531"/>
              </w:tabs>
              <w:spacing w:line="360" w:lineRule="auto"/>
              <w:ind w:left="531" w:hanging="709" w:firstLineChars="0"/>
              <w:rPr>
                <w:rFonts w:hint="eastAsia" w:ascii="宋体" w:hAnsi="宋体" w:eastAsia="宋体" w:cs="宋体"/>
                <w:sz w:val="21"/>
                <w:szCs w:val="21"/>
              </w:rPr>
            </w:pPr>
            <w:r>
              <w:rPr>
                <w:rFonts w:hint="eastAsia" w:ascii="宋体" w:hAnsi="宋体" w:eastAsia="宋体" w:cs="宋体"/>
                <w:sz w:val="21"/>
                <w:szCs w:val="21"/>
              </w:rPr>
              <w:t>项目实施时间为：合同签订次日向</w:t>
            </w:r>
            <w:r>
              <w:rPr>
                <w:rFonts w:hint="eastAsia" w:ascii="宋体" w:hAnsi="宋体" w:eastAsia="宋体" w:cs="宋体"/>
                <w:sz w:val="21"/>
                <w:szCs w:val="21"/>
                <w:lang w:eastAsia="zh-CN"/>
              </w:rPr>
              <w:t>招标人</w:t>
            </w:r>
            <w:r>
              <w:rPr>
                <w:rFonts w:hint="eastAsia" w:ascii="宋体" w:hAnsi="宋体" w:eastAsia="宋体" w:cs="宋体"/>
                <w:sz w:val="21"/>
                <w:szCs w:val="21"/>
              </w:rPr>
              <w:t>提供咨询服务。</w:t>
            </w:r>
          </w:p>
          <w:p>
            <w:pPr>
              <w:pStyle w:val="21"/>
              <w:numPr>
                <w:ilvl w:val="0"/>
                <w:numId w:val="17"/>
              </w:numPr>
              <w:tabs>
                <w:tab w:val="left" w:pos="531"/>
              </w:tabs>
              <w:spacing w:line="360" w:lineRule="auto"/>
              <w:ind w:left="531" w:hanging="709" w:firstLineChars="0"/>
              <w:rPr>
                <w:rFonts w:hint="eastAsia" w:ascii="宋体" w:hAnsi="宋体" w:eastAsia="宋体" w:cs="宋体"/>
                <w:sz w:val="21"/>
                <w:szCs w:val="21"/>
                <w:lang w:eastAsia="zh-CN"/>
              </w:rPr>
            </w:pPr>
            <w:r>
              <w:rPr>
                <w:rFonts w:hint="eastAsia" w:ascii="宋体" w:hAnsi="宋体" w:eastAsia="宋体" w:cs="宋体"/>
                <w:sz w:val="21"/>
                <w:szCs w:val="21"/>
              </w:rPr>
              <w:t>对于工程类及货物采购类造价</w:t>
            </w:r>
            <w:r>
              <w:rPr>
                <w:rFonts w:hint="eastAsia" w:ascii="宋体" w:hAnsi="宋体" w:eastAsia="宋体" w:cs="宋体"/>
                <w:sz w:val="21"/>
                <w:szCs w:val="21"/>
                <w:lang w:val="en-US" w:eastAsia="zh-CN"/>
              </w:rPr>
              <w:t>100</w:t>
            </w:r>
            <w:r>
              <w:rPr>
                <w:rFonts w:hint="eastAsia" w:ascii="宋体" w:hAnsi="宋体" w:eastAsia="宋体" w:cs="宋体"/>
                <w:sz w:val="21"/>
                <w:szCs w:val="21"/>
              </w:rPr>
              <w:t>万元以内的项目，</w:t>
            </w:r>
            <w:r>
              <w:rPr>
                <w:rFonts w:hint="eastAsia" w:ascii="宋体" w:hAnsi="宋体" w:eastAsia="宋体" w:cs="宋体"/>
                <w:sz w:val="21"/>
                <w:szCs w:val="21"/>
                <w:lang w:val="en-US" w:eastAsia="zh-CN"/>
              </w:rPr>
              <w:t>投标</w:t>
            </w:r>
            <w:r>
              <w:rPr>
                <w:rFonts w:hint="eastAsia" w:ascii="宋体" w:hAnsi="宋体" w:eastAsia="宋体" w:cs="宋体"/>
                <w:sz w:val="21"/>
                <w:szCs w:val="21"/>
              </w:rPr>
              <w:t>人应在收到委托资料后5个日历天内完成，</w:t>
            </w:r>
            <w:r>
              <w:rPr>
                <w:rFonts w:hint="eastAsia" w:ascii="宋体" w:hAnsi="宋体" w:eastAsia="宋体" w:cs="宋体"/>
                <w:sz w:val="21"/>
                <w:szCs w:val="21"/>
                <w:lang w:val="en-US" w:eastAsia="zh-CN"/>
              </w:rPr>
              <w:t>100</w:t>
            </w:r>
            <w:r>
              <w:rPr>
                <w:rFonts w:hint="eastAsia" w:ascii="宋体" w:hAnsi="宋体" w:eastAsia="宋体" w:cs="宋体"/>
                <w:sz w:val="21"/>
                <w:szCs w:val="21"/>
              </w:rPr>
              <w:t>万以上（含）的项目应在收到委托资料后7个日历天内完成</w:t>
            </w:r>
            <w:r>
              <w:rPr>
                <w:rFonts w:hint="eastAsia" w:ascii="宋体" w:hAnsi="宋体" w:eastAsia="宋体" w:cs="宋体"/>
                <w:sz w:val="21"/>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hint="eastAsia" w:ascii="宋体" w:hAnsi="宋体" w:eastAsia="宋体" w:cs="宋体"/>
                <w:sz w:val="21"/>
                <w:szCs w:val="21"/>
                <w:highlight w:val="yellow"/>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4"/>
              </w:numPr>
              <w:adjustRightInd/>
              <w:spacing w:before="0" w:after="0" w:line="240" w:lineRule="auto"/>
              <w:rPr>
                <w:rFonts w:hint="eastAsia" w:ascii="宋体" w:hAnsi="宋体" w:eastAsia="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tabs>
                <w:tab w:val="left" w:pos="531"/>
              </w:tabs>
              <w:spacing w:line="360" w:lineRule="auto"/>
              <w:ind w:right="30"/>
              <w:jc w:val="left"/>
              <w:rPr>
                <w:rFonts w:hint="eastAsia" w:ascii="宋体" w:hAnsi="宋体" w:cs="宋体"/>
                <w:sz w:val="21"/>
                <w:szCs w:val="21"/>
              </w:rPr>
            </w:pPr>
            <w:r>
              <w:rPr>
                <w:rFonts w:hint="eastAsia" w:ascii="宋体" w:hAnsi="宋体" w:cs="宋体"/>
                <w:sz w:val="21"/>
                <w:szCs w:val="21"/>
                <w:lang w:eastAsia="zh-CN"/>
              </w:rPr>
              <w:t>投标人</w:t>
            </w:r>
            <w:r>
              <w:rPr>
                <w:rFonts w:hint="eastAsia" w:ascii="宋体" w:hAnsi="宋体" w:cs="宋体"/>
                <w:sz w:val="21"/>
                <w:szCs w:val="21"/>
              </w:rPr>
              <w:t>须指定项目负责人，并提供该负责人姓名、电话、职务、职称或执业资格、及身份证复印件（加盖公章，原件备查）等信息，负责联络协调及跟进该项目具体实施。</w:t>
            </w:r>
          </w:p>
          <w:p>
            <w:pPr>
              <w:widowControl/>
              <w:numPr>
                <w:ilvl w:val="0"/>
                <w:numId w:val="18"/>
              </w:numPr>
              <w:tabs>
                <w:tab w:val="left" w:pos="531"/>
              </w:tabs>
              <w:spacing w:line="360" w:lineRule="auto"/>
              <w:ind w:right="30"/>
              <w:jc w:val="left"/>
              <w:rPr>
                <w:rFonts w:hint="eastAsia" w:ascii="宋体" w:hAnsi="宋体" w:cs="宋体"/>
                <w:sz w:val="21"/>
                <w:szCs w:val="21"/>
              </w:rPr>
            </w:pPr>
            <w:r>
              <w:rPr>
                <w:rFonts w:hint="eastAsia" w:ascii="宋体" w:hAnsi="宋体" w:cs="宋体"/>
                <w:sz w:val="21"/>
                <w:szCs w:val="21"/>
                <w:lang w:eastAsia="zh-CN"/>
              </w:rPr>
              <w:t>投标人</w:t>
            </w:r>
            <w:r>
              <w:rPr>
                <w:rFonts w:hint="eastAsia" w:ascii="宋体" w:hAnsi="宋体" w:cs="宋体"/>
                <w:sz w:val="21"/>
                <w:szCs w:val="21"/>
              </w:rPr>
              <w:t>拟投入本项目的人员应为本单位在岗人员，必须从事建设工程造价相关工作3年及以上工作经验，并具有相应职称或执业资格，须提供</w:t>
            </w:r>
            <w:r>
              <w:rPr>
                <w:rFonts w:hint="eastAsia" w:ascii="宋体" w:hAnsi="宋体" w:cs="宋体"/>
                <w:sz w:val="21"/>
                <w:szCs w:val="21"/>
                <w:lang w:val="en-US" w:eastAsia="zh-CN"/>
              </w:rPr>
              <w:t>拟投入人员简历及</w:t>
            </w:r>
            <w:r>
              <w:rPr>
                <w:rFonts w:hint="eastAsia" w:ascii="宋体" w:hAnsi="宋体" w:cs="宋体"/>
                <w:sz w:val="21"/>
                <w:szCs w:val="21"/>
              </w:rPr>
              <w:t>所属社保机构出具的社保</w:t>
            </w:r>
            <w:r>
              <w:rPr>
                <w:rFonts w:hint="eastAsia" w:ascii="宋体" w:hAnsi="宋体" w:cs="宋体"/>
                <w:sz w:val="21"/>
                <w:szCs w:val="21"/>
                <w:lang w:val="en-US" w:eastAsia="zh-CN"/>
              </w:rPr>
              <w:t>缴纳</w:t>
            </w:r>
            <w:r>
              <w:rPr>
                <w:rFonts w:hint="eastAsia" w:ascii="宋体" w:hAnsi="宋体" w:cs="宋体"/>
                <w:sz w:val="21"/>
                <w:szCs w:val="21"/>
              </w:rPr>
              <w:t>有效证明材料(在</w:t>
            </w:r>
            <w:r>
              <w:rPr>
                <w:rFonts w:hint="eastAsia" w:ascii="宋体" w:hAnsi="宋体" w:cs="宋体"/>
                <w:sz w:val="21"/>
                <w:szCs w:val="21"/>
                <w:lang w:val="en-US" w:eastAsia="zh-CN"/>
              </w:rPr>
              <w:t>招标</w:t>
            </w:r>
            <w:r>
              <w:rPr>
                <w:rFonts w:hint="eastAsia" w:ascii="宋体" w:hAnsi="宋体" w:cs="宋体"/>
                <w:sz w:val="21"/>
                <w:szCs w:val="21"/>
              </w:rPr>
              <w:t>公告发布当日之前连续3个月</w:t>
            </w:r>
            <w:r>
              <w:rPr>
                <w:rFonts w:hint="eastAsia" w:ascii="宋体" w:hAnsi="宋体" w:cs="宋体"/>
                <w:sz w:val="21"/>
                <w:szCs w:val="21"/>
                <w:lang w:val="en-US" w:eastAsia="zh-CN"/>
              </w:rPr>
              <w:t>的</w:t>
            </w:r>
            <w:r>
              <w:rPr>
                <w:rFonts w:hint="eastAsia" w:ascii="宋体" w:hAnsi="宋体" w:cs="宋体"/>
                <w:sz w:val="21"/>
                <w:szCs w:val="21"/>
              </w:rPr>
              <w:t>缴费</w:t>
            </w:r>
            <w:r>
              <w:rPr>
                <w:rFonts w:hint="eastAsia" w:ascii="宋体" w:hAnsi="宋体" w:cs="宋体"/>
                <w:sz w:val="21"/>
                <w:szCs w:val="21"/>
                <w:lang w:val="en-US" w:eastAsia="zh-CN"/>
              </w:rPr>
              <w:t>记录</w:t>
            </w:r>
            <w:r>
              <w:rPr>
                <w:rFonts w:hint="eastAsia" w:ascii="宋体" w:hAnsi="宋体" w:cs="宋体"/>
                <w:sz w:val="21"/>
                <w:szCs w:val="21"/>
              </w:rPr>
              <w:t>，如公告日上一个月的社保材料因社保部门原因暂时无法取得，则可以往前顺延一个月</w:t>
            </w:r>
            <w:r>
              <w:rPr>
                <w:rFonts w:hint="eastAsia" w:ascii="宋体" w:hAnsi="宋体" w:cs="宋体"/>
                <w:sz w:val="21"/>
                <w:szCs w:val="21"/>
                <w:lang w:eastAsia="zh-CN"/>
              </w:rPr>
              <w:t>。</w:t>
            </w:r>
            <w:r>
              <w:rPr>
                <w:rFonts w:hint="eastAsia" w:ascii="宋体" w:hAnsi="宋体" w:cs="宋体"/>
                <w:sz w:val="21"/>
                <w:szCs w:val="21"/>
              </w:rPr>
              <w:t>加盖社保机构</w:t>
            </w:r>
            <w:r>
              <w:rPr>
                <w:rFonts w:hint="eastAsia" w:ascii="宋体" w:hAnsi="宋体" w:cs="宋体"/>
                <w:sz w:val="21"/>
                <w:szCs w:val="21"/>
                <w:lang w:val="en-US" w:eastAsia="zh-CN"/>
              </w:rPr>
              <w:t>及投标人公</w:t>
            </w:r>
            <w:r>
              <w:rPr>
                <w:rFonts w:hint="eastAsia" w:ascii="宋体" w:hAnsi="宋体" w:cs="宋体"/>
                <w:sz w:val="21"/>
                <w:szCs w:val="21"/>
              </w:rPr>
              <w:t>章，未按要求提供或提供不清晰导致</w:t>
            </w:r>
            <w:r>
              <w:rPr>
                <w:rFonts w:hint="eastAsia" w:ascii="宋体" w:hAnsi="宋体" w:cs="宋体"/>
                <w:sz w:val="21"/>
                <w:szCs w:val="21"/>
                <w:lang w:val="en-US" w:eastAsia="zh-CN"/>
              </w:rPr>
              <w:t>评委</w:t>
            </w:r>
            <w:r>
              <w:rPr>
                <w:rFonts w:hint="eastAsia" w:ascii="宋体" w:hAnsi="宋体" w:cs="宋体"/>
                <w:sz w:val="21"/>
                <w:szCs w:val="21"/>
              </w:rPr>
              <w:t>无法判断的，证明材料作无效处理)。</w:t>
            </w:r>
          </w:p>
          <w:p>
            <w:pPr>
              <w:widowControl/>
              <w:numPr>
                <w:ilvl w:val="0"/>
                <w:numId w:val="18"/>
              </w:numPr>
              <w:tabs>
                <w:tab w:val="left" w:pos="531"/>
              </w:tabs>
              <w:spacing w:line="360" w:lineRule="auto"/>
              <w:ind w:right="30"/>
              <w:jc w:val="left"/>
              <w:rPr>
                <w:rFonts w:hint="eastAsia" w:ascii="宋体" w:hAnsi="宋体" w:cs="宋体"/>
                <w:sz w:val="21"/>
                <w:szCs w:val="21"/>
              </w:rPr>
            </w:pPr>
            <w:r>
              <w:rPr>
                <w:rFonts w:hint="eastAsia" w:ascii="宋体" w:hAnsi="宋体" w:cs="宋体"/>
                <w:sz w:val="21"/>
                <w:szCs w:val="21"/>
              </w:rPr>
              <w:t>除项目负责人、土建专业负责人、安装专业负责人外，投标人拟投入本项目人员不得少于3人。</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4"/>
              </w:numPr>
              <w:adjustRightInd/>
              <w:spacing w:before="0" w:after="0" w:line="240" w:lineRule="auto"/>
              <w:rPr>
                <w:rFonts w:hint="eastAsia" w:ascii="宋体" w:hAnsi="宋体" w:eastAsia="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rPr>
              <w:t>合同</w:t>
            </w:r>
            <w:r>
              <w:rPr>
                <w:rFonts w:hint="eastAsia" w:ascii="宋体" w:hAnsi="宋体" w:eastAsia="宋体" w:cs="宋体"/>
                <w:color w:val="auto"/>
                <w:sz w:val="21"/>
                <w:szCs w:val="21"/>
                <w:lang w:val="en-US" w:eastAsia="zh-CN"/>
              </w:rPr>
              <w:t>周期及签订要求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531"/>
              </w:tabs>
              <w:snapToGrid/>
              <w:spacing w:line="360" w:lineRule="auto"/>
              <w:ind w:left="0" w:leftChars="0" w:right="30"/>
              <w:jc w:val="left"/>
              <w:rPr>
                <w:rFonts w:hint="eastAsia" w:ascii="宋体" w:hAnsi="宋体" w:eastAsia="宋体" w:cs="宋体"/>
                <w:sz w:val="21"/>
                <w:szCs w:val="21"/>
                <w:highlight w:val="none"/>
              </w:rPr>
            </w:pPr>
            <w:r>
              <w:rPr>
                <w:rFonts w:hint="eastAsia" w:ascii="宋体" w:hAnsi="宋体" w:eastAsia="宋体" w:cs="宋体"/>
                <w:color w:val="auto"/>
                <w:sz w:val="21"/>
                <w:szCs w:val="21"/>
              </w:rPr>
              <w:t>本项目服务时间</w:t>
            </w:r>
            <w:r>
              <w:rPr>
                <w:rFonts w:hint="eastAsia" w:ascii="宋体" w:hAnsi="宋体" w:eastAsia="宋体" w:cs="宋体"/>
                <w:color w:val="auto"/>
                <w:sz w:val="21"/>
                <w:szCs w:val="21"/>
                <w:highlight w:val="none"/>
              </w:rPr>
              <w:t>3年，采取“1＋1＋1”的方式。</w:t>
            </w:r>
            <w:r>
              <w:rPr>
                <w:rFonts w:hint="eastAsia" w:ascii="宋体" w:hAnsi="宋体" w:eastAsia="宋体" w:cs="宋体"/>
                <w:color w:val="auto"/>
                <w:sz w:val="21"/>
                <w:szCs w:val="21"/>
              </w:rPr>
              <w:t>在第一年度服务期满前</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w:t>
            </w:r>
            <w:r>
              <w:rPr>
                <w:rFonts w:hint="eastAsia" w:ascii="宋体" w:hAnsi="宋体" w:cs="宋体"/>
                <w:color w:val="auto"/>
                <w:sz w:val="21"/>
                <w:szCs w:val="21"/>
                <w:lang w:val="en-US" w:eastAsia="zh-CN"/>
              </w:rPr>
              <w:t>中标人应主动提请招标人对其上一年度的服务情况进行考核评审，</w:t>
            </w:r>
            <w:r>
              <w:rPr>
                <w:rFonts w:hint="eastAsia" w:ascii="宋体" w:hAnsi="宋体" w:cs="宋体"/>
                <w:color w:val="auto"/>
                <w:sz w:val="21"/>
                <w:szCs w:val="21"/>
                <w:lang w:eastAsia="zh-CN"/>
              </w:rPr>
              <w:t>招标人</w:t>
            </w:r>
            <w:r>
              <w:rPr>
                <w:rFonts w:hint="eastAsia" w:ascii="宋体" w:hAnsi="宋体" w:eastAsia="宋体" w:cs="宋体"/>
                <w:color w:val="auto"/>
                <w:sz w:val="21"/>
                <w:szCs w:val="21"/>
              </w:rPr>
              <w:t>根据</w:t>
            </w:r>
            <w:r>
              <w:rPr>
                <w:rFonts w:hint="eastAsia" w:ascii="宋体" w:hAnsi="宋体" w:cs="宋体"/>
                <w:color w:val="auto"/>
                <w:sz w:val="21"/>
                <w:szCs w:val="21"/>
                <w:lang w:eastAsia="zh-CN"/>
              </w:rPr>
              <w:t>中标</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的服务质量、各项承诺兑现情况等因素进行考核评</w:t>
            </w:r>
            <w:r>
              <w:rPr>
                <w:rFonts w:hint="eastAsia" w:ascii="宋体" w:hAnsi="宋体" w:cs="宋体"/>
                <w:color w:val="auto"/>
                <w:sz w:val="21"/>
                <w:szCs w:val="21"/>
                <w:lang w:val="en-US" w:eastAsia="zh-CN"/>
              </w:rPr>
              <w:t>审</w:t>
            </w:r>
            <w:r>
              <w:rPr>
                <w:rFonts w:hint="eastAsia" w:ascii="宋体" w:hAnsi="宋体" w:eastAsia="宋体" w:cs="宋体"/>
                <w:color w:val="auto"/>
                <w:sz w:val="21"/>
                <w:szCs w:val="21"/>
              </w:rPr>
              <w:t>，如考核</w:t>
            </w:r>
            <w:r>
              <w:rPr>
                <w:rFonts w:hint="eastAsia" w:ascii="宋体" w:hAnsi="宋体" w:cs="宋体"/>
                <w:color w:val="auto"/>
                <w:sz w:val="21"/>
                <w:szCs w:val="21"/>
                <w:lang w:val="en-US" w:eastAsia="zh-CN"/>
              </w:rPr>
              <w:t>评审综合得分</w:t>
            </w:r>
            <w:r>
              <w:rPr>
                <w:rFonts w:hint="eastAsia" w:ascii="宋体" w:hAnsi="宋体" w:eastAsia="宋体" w:cs="宋体"/>
                <w:color w:val="auto"/>
                <w:sz w:val="21"/>
                <w:szCs w:val="21"/>
              </w:rPr>
              <w:t>达到优良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≥80分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，则执行</w:t>
            </w:r>
            <w:r>
              <w:rPr>
                <w:rFonts w:hint="eastAsia" w:ascii="宋体" w:hAnsi="宋体" w:cs="宋体"/>
                <w:color w:val="auto"/>
                <w:sz w:val="21"/>
                <w:szCs w:val="21"/>
                <w:lang w:val="en-US" w:eastAsia="zh-CN"/>
              </w:rPr>
              <w:t>继续执行</w:t>
            </w:r>
            <w:r>
              <w:rPr>
                <w:rFonts w:hint="eastAsia" w:ascii="宋体" w:hAnsi="宋体" w:eastAsia="宋体" w:cs="宋体"/>
                <w:color w:val="auto"/>
                <w:sz w:val="21"/>
                <w:szCs w:val="21"/>
              </w:rPr>
              <w:t>第二年度合同，如考核</w:t>
            </w:r>
            <w:r>
              <w:rPr>
                <w:rFonts w:hint="eastAsia" w:ascii="宋体" w:hAnsi="宋体" w:cs="宋体"/>
                <w:color w:val="auto"/>
                <w:sz w:val="21"/>
                <w:szCs w:val="21"/>
                <w:lang w:val="en-US" w:eastAsia="zh-CN"/>
              </w:rPr>
              <w:t>评审综合得分</w:t>
            </w:r>
            <w:r>
              <w:rPr>
                <w:rFonts w:hint="eastAsia" w:ascii="宋体" w:hAnsi="宋体" w:eastAsia="宋体" w:cs="宋体"/>
                <w:color w:val="auto"/>
                <w:sz w:val="21"/>
                <w:szCs w:val="21"/>
              </w:rPr>
              <w:t>未达到优良，</w:t>
            </w:r>
            <w:r>
              <w:rPr>
                <w:rFonts w:hint="eastAsia" w:ascii="宋体" w:hAnsi="宋体" w:cs="宋体"/>
                <w:color w:val="auto"/>
                <w:sz w:val="21"/>
                <w:szCs w:val="21"/>
                <w:lang w:eastAsia="zh-CN"/>
              </w:rPr>
              <w:t>招标人</w:t>
            </w:r>
            <w:r>
              <w:rPr>
                <w:rFonts w:hint="eastAsia" w:ascii="宋体" w:hAnsi="宋体" w:eastAsia="宋体" w:cs="宋体"/>
                <w:color w:val="auto"/>
                <w:sz w:val="21"/>
                <w:szCs w:val="21"/>
              </w:rPr>
              <w:t>有权在第一年度服务期满时终止第二年度合同。第三年度合同执行方式参考以上办法。具体考核</w:t>
            </w:r>
            <w:r>
              <w:rPr>
                <w:rFonts w:hint="eastAsia" w:ascii="宋体" w:hAnsi="宋体" w:cs="宋体"/>
                <w:color w:val="auto"/>
                <w:sz w:val="21"/>
                <w:szCs w:val="21"/>
                <w:lang w:val="en-US" w:eastAsia="zh-CN"/>
              </w:rPr>
              <w:t>评审</w:t>
            </w:r>
            <w:r>
              <w:rPr>
                <w:rFonts w:hint="eastAsia" w:ascii="宋体" w:hAnsi="宋体" w:eastAsia="宋体" w:cs="宋体"/>
                <w:color w:val="auto"/>
                <w:sz w:val="21"/>
                <w:szCs w:val="21"/>
              </w:rPr>
              <w:t>办法详见</w:t>
            </w:r>
            <w:r>
              <w:rPr>
                <w:rFonts w:hint="eastAsia" w:ascii="宋体" w:hAnsi="宋体" w:cs="宋体"/>
                <w:color w:val="auto"/>
                <w:sz w:val="21"/>
                <w:szCs w:val="21"/>
                <w:shd w:val="clear" w:color="auto" w:fill="auto"/>
                <w:lang w:val="en-US" w:eastAsia="zh-CN"/>
              </w:rPr>
              <w:t>招标文件</w:t>
            </w:r>
            <w:r>
              <w:rPr>
                <w:rFonts w:hint="eastAsia" w:ascii="宋体" w:hAnsi="宋体" w:eastAsia="宋体" w:cs="宋体"/>
                <w:color w:val="auto"/>
                <w:sz w:val="21"/>
                <w:szCs w:val="21"/>
                <w:shd w:val="clear" w:color="auto" w:fill="auto"/>
                <w:lang w:val="en-US" w:eastAsia="zh-CN"/>
              </w:rPr>
              <w:t>《</w:t>
            </w:r>
            <w:r>
              <w:rPr>
                <w:rFonts w:hint="eastAsia" w:ascii="宋体" w:hAnsi="宋体" w:eastAsia="宋体" w:cs="宋体"/>
                <w:color w:val="auto"/>
                <w:sz w:val="21"/>
                <w:szCs w:val="21"/>
                <w:shd w:val="clear" w:color="auto" w:fill="auto"/>
              </w:rPr>
              <w:t>深圳会展中心造价咨询服务年度考评表</w:t>
            </w:r>
            <w:r>
              <w:rPr>
                <w:rFonts w:hint="eastAsia" w:ascii="宋体" w:hAnsi="宋体" w:eastAsia="宋体" w:cs="宋体"/>
                <w:color w:val="auto"/>
                <w:sz w:val="21"/>
                <w:szCs w:val="21"/>
                <w:shd w:val="clear" w:color="auto" w:fill="auto"/>
                <w:lang w:val="en-US" w:eastAsia="zh-CN"/>
              </w:rPr>
              <w:t>》</w:t>
            </w:r>
            <w:r>
              <w:rPr>
                <w:rFonts w:hint="eastAsia" w:ascii="宋体" w:hAnsi="宋体" w:eastAsia="宋体" w:cs="宋体"/>
                <w:color w:val="auto"/>
                <w:sz w:val="21"/>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9"/>
              </w:numPr>
              <w:adjustRightInd/>
              <w:spacing w:before="0" w:after="0" w:line="240" w:lineRule="auto"/>
              <w:rPr>
                <w:rFonts w:hint="eastAsia" w:ascii="宋体" w:hAnsi="宋体" w:eastAsia="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服务</w:t>
            </w:r>
            <w:r>
              <w:rPr>
                <w:rFonts w:hint="eastAsia" w:ascii="宋体" w:hAnsi="宋体" w:eastAsia="宋体" w:cs="宋体"/>
                <w:sz w:val="21"/>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服务内容： </w:t>
            </w:r>
          </w:p>
          <w:p>
            <w:pPr>
              <w:spacing w:after="156" w:afterLines="5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highlight w:val="none"/>
              </w:rPr>
              <w:t>（1）本项目主要工作内容是根据现行相关法律、法规，执行相关价格规定、以及市场询价，编制</w:t>
            </w:r>
            <w:r>
              <w:rPr>
                <w:rFonts w:hint="eastAsia" w:ascii="宋体" w:hAnsi="宋体" w:eastAsia="宋体" w:cs="宋体"/>
                <w:color w:val="000000" w:themeColor="text1"/>
                <w:sz w:val="21"/>
                <w:szCs w:val="21"/>
              </w:rPr>
              <w:t>深圳会展中心维修改造项目相关土建工程、装饰工程、安装工程及经营所需其它相关采购项目的概算、预算及结算审核，并出具相应的专业报告。</w:t>
            </w:r>
          </w:p>
          <w:p>
            <w:pPr>
              <w:spacing w:after="156" w:afterLines="5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（2）工程概算编制或审核：依据初步设计图纸计算或复核工程量，出具工程概算书或审核报告。</w:t>
            </w:r>
          </w:p>
          <w:p>
            <w:pPr>
              <w:spacing w:after="156" w:afterLines="50"/>
              <w:ind w:left="140" w:hanging="105" w:hangingChars="5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（3）工程预算编制：依据施工图或工程量清单，编制或审核工程量清单报价，并提供有关工程造价的信息资料，招标控制价审核与说明。</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（4）工程结算审核：依据竣工图、签证资料，工程结算书等资料进行审核，出具工程竣工结算报告及向建设主管部门编制报送三算单。</w:t>
            </w:r>
          </w:p>
          <w:p>
            <w:pPr>
              <w:rPr>
                <w:rFonts w:hint="eastAsia" w:ascii="宋体" w:hAnsi="宋体" w:eastAsia="宋体" w:cs="宋体"/>
                <w:color w:val="000000" w:themeColor="text1"/>
                <w:sz w:val="21"/>
                <w:szCs w:val="21"/>
                <w:highlight w:val="yellow"/>
              </w:rPr>
            </w:pPr>
            <w:r>
              <w:rPr>
                <w:rFonts w:hint="eastAsia" w:ascii="宋体" w:hAnsi="宋体" w:eastAsia="宋体" w:cs="宋体"/>
                <w:color w:val="000000" w:themeColor="text1"/>
                <w:sz w:val="21"/>
                <w:szCs w:val="21"/>
              </w:rPr>
              <w:t>（5）通过执行相关价格规定、依据以及市场询价，对深圳会展中心经营所需其它类（工程外）采购项目进行造价编制（含概算、预算、结算等编制或审核）。</w:t>
            </w:r>
          </w:p>
          <w:p>
            <w:pPr>
              <w:pStyle w:val="21"/>
              <w:numPr>
                <w:ilvl w:val="0"/>
                <w:numId w:val="0"/>
              </w:num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（6）</w:t>
            </w:r>
            <w:r>
              <w:rPr>
                <w:rFonts w:hint="eastAsia" w:ascii="宋体" w:hAnsi="宋体" w:eastAsia="宋体" w:cs="宋体"/>
                <w:color w:val="000000" w:themeColor="text1"/>
                <w:sz w:val="21"/>
                <w:szCs w:val="21"/>
                <w:highlight w:val="none"/>
              </w:rPr>
              <w:t>出具报告要求：须在预算编制说明上</w:t>
            </w:r>
            <w:r>
              <w:rPr>
                <w:rFonts w:hint="eastAsia" w:ascii="宋体" w:hAnsi="宋体" w:eastAsia="宋体" w:cs="宋体"/>
                <w:color w:val="000000" w:themeColor="text1"/>
                <w:sz w:val="21"/>
                <w:szCs w:val="21"/>
                <w:highlight w:val="none"/>
                <w:lang w:eastAsia="zh-CN"/>
              </w:rPr>
              <w:t>说明清楚计价依据，若有市场询价的，</w:t>
            </w:r>
            <w:r>
              <w:rPr>
                <w:rFonts w:hint="eastAsia" w:ascii="宋体" w:hAnsi="宋体" w:eastAsia="宋体" w:cs="宋体"/>
                <w:color w:val="000000" w:themeColor="text1"/>
                <w:sz w:val="21"/>
                <w:szCs w:val="21"/>
                <w:highlight w:val="none"/>
              </w:rPr>
              <w:t>出具的报告需附上</w:t>
            </w:r>
            <w:r>
              <w:rPr>
                <w:rFonts w:hint="eastAsia" w:ascii="宋体" w:hAnsi="宋体" w:eastAsia="宋体" w:cs="宋体"/>
                <w:color w:val="000000" w:themeColor="text1"/>
                <w:sz w:val="21"/>
                <w:szCs w:val="21"/>
                <w:highlight w:val="none"/>
                <w:lang w:eastAsia="zh-CN"/>
              </w:rPr>
              <w:t>市场</w:t>
            </w:r>
            <w:r>
              <w:rPr>
                <w:rFonts w:hint="eastAsia" w:ascii="宋体" w:hAnsi="宋体" w:eastAsia="宋体" w:cs="宋体"/>
                <w:color w:val="000000" w:themeColor="text1"/>
                <w:sz w:val="21"/>
                <w:szCs w:val="21"/>
                <w:highlight w:val="none"/>
              </w:rPr>
              <w:t>询价记录单。</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9"/>
              </w:numPr>
              <w:adjustRightInd/>
              <w:spacing w:before="0" w:after="0" w:line="240" w:lineRule="auto"/>
              <w:rPr>
                <w:rFonts w:hint="eastAsia" w:ascii="宋体" w:hAnsi="宋体" w:eastAsia="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21"/>
              <w:numPr>
                <w:ilvl w:val="0"/>
                <w:numId w:val="20"/>
              </w:numPr>
              <w:tabs>
                <w:tab w:val="left" w:pos="531"/>
              </w:tabs>
              <w:spacing w:line="360" w:lineRule="auto"/>
              <w:ind w:left="531" w:hanging="709" w:firstLineChars="0"/>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必须严格遵守《工程造价咨询单位执业行为准则》</w:t>
            </w:r>
            <w:r>
              <w:rPr>
                <w:rFonts w:hint="eastAsia" w:ascii="宋体" w:hAnsi="宋体" w:eastAsia="宋体" w:cs="宋体"/>
                <w:sz w:val="21"/>
                <w:szCs w:val="21"/>
                <w:lang w:eastAsia="zh-CN"/>
              </w:rPr>
              <w:t>、</w:t>
            </w:r>
            <w:r>
              <w:rPr>
                <w:rFonts w:hint="eastAsia" w:ascii="宋体" w:hAnsi="宋体" w:eastAsia="宋体" w:cs="宋体"/>
                <w:sz w:val="21"/>
                <w:szCs w:val="21"/>
              </w:rPr>
              <w:t>《工程造价咨询业务操作指导规程》</w:t>
            </w:r>
            <w:r>
              <w:rPr>
                <w:rFonts w:hint="eastAsia" w:ascii="宋体" w:hAnsi="宋体" w:eastAsia="宋体" w:cs="宋体"/>
                <w:sz w:val="21"/>
                <w:szCs w:val="21"/>
                <w:lang w:eastAsia="zh-CN"/>
              </w:rPr>
              <w:t>、</w:t>
            </w:r>
            <w:r>
              <w:rPr>
                <w:rFonts w:hint="eastAsia" w:ascii="宋体" w:hAnsi="宋体" w:eastAsia="宋体" w:cs="宋体"/>
                <w:sz w:val="21"/>
                <w:szCs w:val="21"/>
              </w:rPr>
              <w:t>《造价工程师职业道德行为准则》</w:t>
            </w:r>
            <w:r>
              <w:rPr>
                <w:rFonts w:hint="eastAsia" w:ascii="宋体" w:hAnsi="宋体" w:eastAsia="宋体" w:cs="宋体"/>
                <w:sz w:val="21"/>
                <w:szCs w:val="21"/>
                <w:lang w:val="en-US" w:eastAsia="zh-CN"/>
              </w:rPr>
              <w:t>等</w:t>
            </w:r>
            <w:r>
              <w:rPr>
                <w:rFonts w:hint="eastAsia" w:ascii="宋体" w:hAnsi="宋体" w:eastAsia="宋体" w:cs="宋体"/>
                <w:sz w:val="21"/>
                <w:szCs w:val="21"/>
              </w:rPr>
              <w:t>相关</w:t>
            </w:r>
            <w:r>
              <w:rPr>
                <w:rFonts w:hint="eastAsia" w:ascii="宋体" w:hAnsi="宋体" w:eastAsia="宋体" w:cs="宋体"/>
                <w:sz w:val="21"/>
                <w:szCs w:val="21"/>
                <w:lang w:val="en-US" w:eastAsia="zh-CN"/>
              </w:rPr>
              <w:t>规定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向招标人提供</w:t>
            </w:r>
            <w:r>
              <w:rPr>
                <w:rFonts w:hint="eastAsia" w:ascii="宋体" w:hAnsi="宋体" w:eastAsia="宋体" w:cs="宋体"/>
                <w:sz w:val="21"/>
                <w:szCs w:val="21"/>
              </w:rPr>
              <w:t>造价咨询服务。</w:t>
            </w:r>
          </w:p>
          <w:p>
            <w:pPr>
              <w:pStyle w:val="21"/>
              <w:numPr>
                <w:ilvl w:val="0"/>
                <w:numId w:val="20"/>
              </w:numPr>
              <w:tabs>
                <w:tab w:val="left" w:pos="531"/>
              </w:tabs>
              <w:spacing w:line="360" w:lineRule="auto"/>
              <w:ind w:left="531" w:hanging="709" w:firstLineChars="0"/>
              <w:rPr>
                <w:rFonts w:hint="eastAsia" w:ascii="宋体" w:hAnsi="宋体" w:eastAsia="宋体" w:cs="宋体"/>
                <w:sz w:val="21"/>
                <w:szCs w:val="21"/>
              </w:rPr>
            </w:pPr>
            <w:r>
              <w:rPr>
                <w:rFonts w:hint="eastAsia" w:ascii="宋体" w:hAnsi="宋体" w:eastAsia="宋体" w:cs="宋体"/>
                <w:sz w:val="21"/>
                <w:szCs w:val="21"/>
              </w:rPr>
              <w:t>所出具的造价咨询成果报告，除签字盖章的文字资料外，还必须有可编辑电子文件且须与书面文字资料相一致。</w:t>
            </w:r>
          </w:p>
          <w:p>
            <w:pPr>
              <w:pStyle w:val="21"/>
              <w:numPr>
                <w:ilvl w:val="0"/>
                <w:numId w:val="20"/>
              </w:numPr>
              <w:tabs>
                <w:tab w:val="left" w:pos="531"/>
              </w:tabs>
              <w:spacing w:line="360" w:lineRule="auto"/>
              <w:ind w:left="531" w:hanging="709" w:firstLineChars="0"/>
              <w:rPr>
                <w:rFonts w:hint="eastAsia" w:ascii="宋体" w:hAnsi="宋体" w:eastAsia="宋体" w:cs="宋体"/>
                <w:sz w:val="21"/>
                <w:szCs w:val="21"/>
              </w:rPr>
            </w:pPr>
            <w:r>
              <w:rPr>
                <w:rFonts w:hint="eastAsia" w:ascii="宋体" w:hAnsi="宋体" w:eastAsia="宋体" w:cs="宋体"/>
                <w:sz w:val="21"/>
                <w:szCs w:val="21"/>
              </w:rPr>
              <w:t>所出具的造价咨询成果报告</w:t>
            </w:r>
            <w:r>
              <w:rPr>
                <w:rFonts w:hint="eastAsia" w:ascii="宋体" w:hAnsi="宋体" w:eastAsia="宋体" w:cs="宋体"/>
                <w:sz w:val="21"/>
                <w:szCs w:val="21"/>
                <w:lang w:val="en-US" w:eastAsia="zh-CN"/>
              </w:rPr>
              <w:t>须</w:t>
            </w:r>
            <w:r>
              <w:rPr>
                <w:rFonts w:hint="eastAsia" w:ascii="宋体" w:hAnsi="宋体" w:eastAsia="宋体" w:cs="宋体"/>
                <w:sz w:val="21"/>
                <w:szCs w:val="21"/>
              </w:rPr>
              <w:t>符合国家建设部建设工程工程量清单计价规范的规定和广东省、深圳市有关建设工程计价文件的规定；符合深圳市有关工程造价管理的相关规定和委托人与施工单位签订的施工合同中的相关约定，并确保成果资料完整、真实准确、清晰有据。</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9"/>
              </w:numPr>
              <w:adjustRightInd/>
              <w:spacing w:before="0" w:after="0" w:line="240" w:lineRule="auto"/>
              <w:rPr>
                <w:rFonts w:hint="eastAsia" w:ascii="宋体" w:hAnsi="宋体" w:eastAsia="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知识产权保护及保密要求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1"/>
              </w:numPr>
              <w:tabs>
                <w:tab w:val="left" w:pos="531"/>
              </w:tabs>
              <w:jc w:val="left"/>
              <w:rPr>
                <w:rFonts w:hint="eastAsia" w:ascii="宋体" w:hAnsi="宋体" w:eastAsia="宋体" w:cs="宋体"/>
                <w:sz w:val="21"/>
                <w:szCs w:val="21"/>
                <w:lang w:val="en-GB"/>
              </w:rPr>
            </w:pPr>
            <w:r>
              <w:rPr>
                <w:rFonts w:hint="eastAsia" w:ascii="宋体" w:hAnsi="宋体" w:eastAsia="宋体" w:cs="宋体"/>
                <w:sz w:val="21"/>
                <w:szCs w:val="21"/>
                <w:lang w:val="en-GB"/>
              </w:rPr>
              <w:t>中标人针对本项目</w:t>
            </w:r>
            <w:r>
              <w:rPr>
                <w:rFonts w:hint="eastAsia" w:ascii="宋体" w:hAnsi="宋体" w:eastAsia="宋体" w:cs="宋体"/>
                <w:sz w:val="21"/>
                <w:szCs w:val="21"/>
              </w:rPr>
              <w:t>所有委托咨询服务项目的成果所有权归</w:t>
            </w:r>
            <w:r>
              <w:rPr>
                <w:rFonts w:hint="eastAsia" w:ascii="宋体" w:hAnsi="宋体" w:cs="宋体"/>
                <w:sz w:val="21"/>
                <w:szCs w:val="21"/>
                <w:lang w:val="en-US" w:eastAsia="zh-CN"/>
              </w:rPr>
              <w:t>招标</w:t>
            </w:r>
            <w:r>
              <w:rPr>
                <w:rFonts w:hint="eastAsia" w:ascii="宋体" w:hAnsi="宋体" w:eastAsia="宋体" w:cs="宋体"/>
                <w:sz w:val="21"/>
                <w:szCs w:val="21"/>
              </w:rPr>
              <w:t>人所有。</w:t>
            </w:r>
          </w:p>
          <w:p>
            <w:pPr>
              <w:numPr>
                <w:ilvl w:val="0"/>
                <w:numId w:val="21"/>
              </w:numPr>
              <w:tabs>
                <w:tab w:val="left" w:pos="531"/>
              </w:tabs>
              <w:jc w:val="left"/>
              <w:rPr>
                <w:rFonts w:hint="eastAsia" w:ascii="宋体" w:hAnsi="宋体" w:eastAsia="宋体" w:cs="宋体"/>
                <w:kern w:val="0"/>
                <w:sz w:val="21"/>
                <w:szCs w:val="21"/>
              </w:rPr>
            </w:pPr>
            <w:r>
              <w:rPr>
                <w:rFonts w:hint="eastAsia" w:ascii="宋体" w:hAnsi="宋体" w:eastAsia="宋体" w:cs="宋体"/>
                <w:sz w:val="21"/>
                <w:szCs w:val="21"/>
                <w:lang w:val="en-GB"/>
              </w:rPr>
              <w:t>双方都有责任对对方提供的技术情报、资料数据及商业秘密保密。</w:t>
            </w:r>
            <w:r>
              <w:rPr>
                <w:rFonts w:hint="eastAsia" w:ascii="宋体" w:hAnsi="宋体" w:eastAsia="宋体" w:cs="宋体"/>
                <w:sz w:val="21"/>
                <w:szCs w:val="21"/>
              </w:rPr>
              <w:t>中</w:t>
            </w:r>
            <w:r>
              <w:rPr>
                <w:rFonts w:hint="eastAsia" w:ascii="宋体" w:hAnsi="宋体" w:eastAsia="宋体" w:cs="宋体"/>
                <w:sz w:val="21"/>
                <w:szCs w:val="21"/>
                <w:lang w:val="en-US" w:eastAsia="zh-CN"/>
              </w:rPr>
              <w:t>标人</w:t>
            </w:r>
            <w:r>
              <w:rPr>
                <w:rFonts w:hint="eastAsia" w:ascii="宋体" w:hAnsi="宋体" w:eastAsia="宋体" w:cs="宋体"/>
                <w:sz w:val="21"/>
                <w:szCs w:val="21"/>
              </w:rPr>
              <w:t>不得向第三方泄露与</w:t>
            </w:r>
            <w:r>
              <w:rPr>
                <w:rFonts w:hint="eastAsia" w:ascii="宋体" w:hAnsi="宋体" w:eastAsia="宋体" w:cs="宋体"/>
                <w:sz w:val="21"/>
                <w:szCs w:val="21"/>
                <w:lang w:val="en-US" w:eastAsia="zh-CN"/>
              </w:rPr>
              <w:t>招标</w:t>
            </w:r>
            <w:r>
              <w:rPr>
                <w:rFonts w:hint="eastAsia" w:ascii="宋体" w:hAnsi="宋体" w:eastAsia="宋体" w:cs="宋体"/>
                <w:sz w:val="21"/>
                <w:szCs w:val="21"/>
              </w:rPr>
              <w:t>人相关的图纸、规划、设施设备情况等一切资料。</w:t>
            </w:r>
            <w:r>
              <w:rPr>
                <w:rFonts w:hint="eastAsia" w:ascii="宋体" w:hAnsi="宋体" w:eastAsia="宋体" w:cs="宋体"/>
                <w:sz w:val="21"/>
                <w:szCs w:val="21"/>
                <w:lang w:val="en-GB"/>
              </w:rPr>
              <w:t>未经对方同意，任何一方不得以任何形式向第三方泄露本项目资料或在项目中接触到的资料，不得将其用于履行本合同之外的其他用途。中标人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不可</w:t>
            </w:r>
            <w:bookmarkStart w:id="122" w:name="_GoBack"/>
            <w:bookmarkEnd w:id="122"/>
            <w:r>
              <w:rPr>
                <w:rFonts w:hint="eastAsia" w:ascii="宋体" w:hAnsi="宋体" w:cs="宋体"/>
                <w:sz w:val="21"/>
                <w:szCs w:val="21"/>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9"/>
              </w:numPr>
              <w:adjustRightInd/>
              <w:spacing w:before="0" w:after="0" w:line="240" w:lineRule="auto"/>
              <w:rPr>
                <w:rFonts w:hint="eastAsia" w:ascii="宋体" w:hAnsi="宋体" w:eastAsia="宋体" w:cs="宋体"/>
                <w:snapToGrid/>
                <w:color w:val="auto"/>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项目服务方案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left="-2" w:leftChars="-1" w:firstLine="1" w:firstLineChars="0"/>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投标人提供针对本项目的服务方案，包括但不仅限于对本项目的理解和分析、人员组织架构、工作流程、成果质量控制、项目进度计划、服务承诺等方面。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hint="eastAsia" w:ascii="宋体" w:hAnsi="宋体" w:eastAsia="宋体" w:cs="宋体"/>
                <w:color w:val="FF0000"/>
                <w:sz w:val="21"/>
                <w:szCs w:val="21"/>
              </w:rPr>
            </w:pPr>
            <w:r>
              <w:rPr>
                <w:rFonts w:hint="eastAsia" w:ascii="宋体" w:hAnsi="宋体" w:eastAsia="宋体" w:cs="宋体"/>
                <w:color w:val="auto"/>
                <w:sz w:val="21"/>
                <w:szCs w:val="21"/>
              </w:rPr>
              <w:t>不可偏离</w:t>
            </w:r>
          </w:p>
        </w:tc>
      </w:tr>
    </w:tbl>
    <w:p>
      <w:pPr>
        <w:numPr>
          <w:ilvl w:val="0"/>
          <w:numId w:val="5"/>
        </w:numPr>
        <w:spacing w:beforeLines="100" w:line="480" w:lineRule="auto"/>
        <w:jc w:val="left"/>
        <w:outlineLvl w:val="1"/>
        <w:rPr>
          <w:rFonts w:ascii="宋体" w:hAnsi="宋体"/>
          <w:b/>
          <w:szCs w:val="21"/>
        </w:rPr>
      </w:pPr>
      <w:bookmarkStart w:id="39" w:name="_Toc82685552"/>
      <w:bookmarkEnd w:id="39"/>
      <w:bookmarkStart w:id="40" w:name="_Toc82591996"/>
      <w:bookmarkEnd w:id="40"/>
      <w:bookmarkStart w:id="41" w:name="_Toc82684715"/>
      <w:bookmarkEnd w:id="41"/>
      <w:bookmarkStart w:id="42" w:name="_Toc82684600"/>
      <w:bookmarkEnd w:id="42"/>
      <w:bookmarkStart w:id="43" w:name="_Toc6109"/>
      <w:r>
        <w:rPr>
          <w:rFonts w:hint="eastAsia" w:ascii="宋体" w:hAnsi="宋体"/>
          <w:b/>
          <w:szCs w:val="21"/>
        </w:rPr>
        <w:t>其他项目说明资料</w:t>
      </w:r>
      <w:bookmarkEnd w:id="43"/>
    </w:p>
    <w:p>
      <w:pPr>
        <w:jc w:val="left"/>
        <w:rPr>
          <w:rFonts w:ascii="黑体" w:eastAsia="黑体"/>
          <w:sz w:val="36"/>
          <w:szCs w:val="36"/>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深圳会展中心造价咨询服务年度考评表</w:t>
      </w:r>
    </w:p>
    <w:tbl>
      <w:tblPr>
        <w:tblStyle w:val="15"/>
        <w:tblW w:w="10065" w:type="dxa"/>
        <w:jc w:val="center"/>
        <w:tblLayout w:type="fixed"/>
        <w:tblCellMar>
          <w:top w:w="0" w:type="dxa"/>
          <w:left w:w="108" w:type="dxa"/>
          <w:bottom w:w="0" w:type="dxa"/>
          <w:right w:w="108" w:type="dxa"/>
        </w:tblCellMar>
      </w:tblPr>
      <w:tblGrid>
        <w:gridCol w:w="707"/>
        <w:gridCol w:w="817"/>
        <w:gridCol w:w="40"/>
        <w:gridCol w:w="222"/>
        <w:gridCol w:w="128"/>
        <w:gridCol w:w="350"/>
        <w:gridCol w:w="1620"/>
        <w:gridCol w:w="2320"/>
        <w:gridCol w:w="593"/>
        <w:gridCol w:w="850"/>
        <w:gridCol w:w="11"/>
        <w:gridCol w:w="105"/>
        <w:gridCol w:w="178"/>
        <w:gridCol w:w="414"/>
        <w:gridCol w:w="222"/>
        <w:gridCol w:w="629"/>
        <w:gridCol w:w="859"/>
      </w:tblGrid>
      <w:tr>
        <w:tblPrEx>
          <w:tblCellMar>
            <w:top w:w="0" w:type="dxa"/>
            <w:left w:w="108" w:type="dxa"/>
            <w:bottom w:w="0" w:type="dxa"/>
            <w:right w:w="108" w:type="dxa"/>
          </w:tblCellMar>
        </w:tblPrEx>
        <w:trPr>
          <w:trHeight w:val="336"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rPr>
                <w:rFonts w:ascii="宋体" w:hAnsi="宋体"/>
                <w:b/>
                <w:szCs w:val="21"/>
              </w:rPr>
            </w:pPr>
            <w:r>
              <w:rPr>
                <w:rFonts w:hint="eastAsia" w:ascii="宋体" w:hAnsi="宋体"/>
                <w:b/>
                <w:szCs w:val="21"/>
              </w:rPr>
              <w:t>基本信息</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szCs w:val="21"/>
              </w:rPr>
              <w:t>服务机构名称</w:t>
            </w:r>
          </w:p>
        </w:tc>
        <w:tc>
          <w:tcPr>
            <w:tcW w:w="4680" w:type="dxa"/>
            <w:gridSpan w:val="6"/>
            <w:tcBorders>
              <w:top w:val="single" w:color="auto" w:sz="8" w:space="0"/>
              <w:left w:val="single" w:color="auto" w:sz="8" w:space="0"/>
              <w:bottom w:val="single" w:color="auto" w:sz="8" w:space="0"/>
              <w:right w:val="single" w:color="auto" w:sz="8" w:space="0"/>
            </w:tcBorders>
            <w:noWrap w:val="0"/>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szCs w:val="21"/>
              </w:rPr>
              <w:t>中标时间</w:t>
            </w:r>
          </w:p>
        </w:tc>
        <w:tc>
          <w:tcPr>
            <w:tcW w:w="2302" w:type="dxa"/>
            <w:gridSpan w:val="5"/>
            <w:tcBorders>
              <w:top w:val="single" w:color="auto" w:sz="8" w:space="0"/>
              <w:left w:val="single" w:color="auto" w:sz="8" w:space="0"/>
              <w:bottom w:val="single" w:color="auto" w:sz="8" w:space="0"/>
              <w:right w:val="single" w:color="000000" w:sz="8" w:space="0"/>
            </w:tcBorders>
            <w:noWrap w:val="0"/>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ascii="宋体" w:hAnsi="宋体"/>
                <w:szCs w:val="21"/>
              </w:rPr>
              <w:t>合同名称</w:t>
            </w:r>
          </w:p>
        </w:tc>
        <w:tc>
          <w:tcPr>
            <w:tcW w:w="4680" w:type="dxa"/>
            <w:gridSpan w:val="6"/>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szCs w:val="21"/>
              </w:rPr>
              <w:t>合同签订时间</w:t>
            </w:r>
          </w:p>
        </w:tc>
        <w:tc>
          <w:tcPr>
            <w:tcW w:w="2302" w:type="dxa"/>
            <w:gridSpan w:val="5"/>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15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黑体" w:hAnsi="宋体" w:eastAsia="黑体" w:cs="宋体"/>
                <w:sz w:val="24"/>
              </w:rPr>
            </w:pPr>
            <w:r>
              <w:rPr>
                <w:rFonts w:hint="eastAsia" w:ascii="宋体" w:hAnsi="宋体"/>
                <w:szCs w:val="21"/>
              </w:rPr>
              <w:t>合同范围内容概要</w:t>
            </w:r>
          </w:p>
        </w:tc>
        <w:tc>
          <w:tcPr>
            <w:tcW w:w="8541" w:type="dxa"/>
            <w:gridSpan w:val="15"/>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szCs w:val="21"/>
              </w:rPr>
            </w:pPr>
            <w:r>
              <w:rPr>
                <w:rFonts w:hint="eastAsia" w:ascii="宋体" w:hAnsi="宋体"/>
                <w:szCs w:val="21"/>
              </w:rPr>
              <w:t>服务机构项目组成员构成</w:t>
            </w:r>
          </w:p>
        </w:tc>
        <w:tc>
          <w:tcPr>
            <w:tcW w:w="8541" w:type="dxa"/>
            <w:gridSpan w:val="15"/>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szCs w:val="21"/>
              </w:rPr>
            </w:pPr>
            <w:r>
              <w:rPr>
                <w:rFonts w:hint="eastAsia" w:ascii="宋体" w:hAnsi="宋体"/>
                <w:szCs w:val="21"/>
              </w:rPr>
              <w:t>合同金额</w:t>
            </w:r>
          </w:p>
        </w:tc>
        <w:tc>
          <w:tcPr>
            <w:tcW w:w="4680" w:type="dxa"/>
            <w:gridSpan w:val="6"/>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559" w:type="dxa"/>
            <w:gridSpan w:val="4"/>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szCs w:val="21"/>
              </w:rPr>
              <w:t>结算金额</w:t>
            </w:r>
          </w:p>
        </w:tc>
        <w:tc>
          <w:tcPr>
            <w:tcW w:w="2302" w:type="dxa"/>
            <w:gridSpan w:val="5"/>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szCs w:val="21"/>
              </w:rPr>
            </w:pPr>
            <w:r>
              <w:rPr>
                <w:rFonts w:hint="eastAsia" w:ascii="宋体" w:hAnsi="宋体"/>
                <w:szCs w:val="21"/>
              </w:rPr>
              <w:t>合同服务期</w:t>
            </w:r>
          </w:p>
        </w:tc>
        <w:tc>
          <w:tcPr>
            <w:tcW w:w="4680" w:type="dxa"/>
            <w:gridSpan w:val="6"/>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559" w:type="dxa"/>
            <w:gridSpan w:val="4"/>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szCs w:val="21"/>
              </w:rPr>
              <w:t>验收时间</w:t>
            </w:r>
          </w:p>
        </w:tc>
        <w:tc>
          <w:tcPr>
            <w:tcW w:w="2302" w:type="dxa"/>
            <w:gridSpan w:val="5"/>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hint="eastAsia" w:ascii="宋体" w:hAnsi="宋体"/>
                <w:szCs w:val="21"/>
              </w:rPr>
              <w:t>_____年____月___日</w:t>
            </w:r>
          </w:p>
        </w:tc>
      </w:tr>
      <w:tr>
        <w:tblPrEx>
          <w:tblCellMar>
            <w:top w:w="0" w:type="dxa"/>
            <w:left w:w="108" w:type="dxa"/>
            <w:bottom w:w="0" w:type="dxa"/>
            <w:right w:w="108" w:type="dxa"/>
          </w:tblCellMar>
        </w:tblPrEx>
        <w:trPr>
          <w:trHeight w:val="379"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jc w:val="left"/>
              <w:rPr>
                <w:rFonts w:hint="eastAsia" w:ascii="宋体" w:hAnsi="宋体"/>
                <w:b/>
                <w:bCs/>
                <w:szCs w:val="21"/>
              </w:rPr>
            </w:pPr>
            <w:r>
              <w:rPr>
                <w:rFonts w:hint="eastAsia" w:ascii="宋体" w:hAnsi="宋体"/>
                <w:b/>
                <w:bCs/>
                <w:szCs w:val="21"/>
              </w:rPr>
              <w:t>评价标准</w:t>
            </w:r>
          </w:p>
        </w:tc>
      </w:tr>
      <w:tr>
        <w:tblPrEx>
          <w:tblCellMar>
            <w:top w:w="0" w:type="dxa"/>
            <w:left w:w="108" w:type="dxa"/>
            <w:bottom w:w="0" w:type="dxa"/>
            <w:right w:w="108" w:type="dxa"/>
          </w:tblCellMar>
        </w:tblPrEx>
        <w:trPr>
          <w:trHeight w:val="572" w:hRule="atLeast"/>
          <w:jc w:val="center"/>
        </w:trPr>
        <w:tc>
          <w:tcPr>
            <w:tcW w:w="2264" w:type="dxa"/>
            <w:gridSpan w:val="6"/>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4533" w:type="dxa"/>
            <w:gridSpan w:val="3"/>
            <w:tcBorders>
              <w:top w:val="single" w:color="auto" w:sz="8" w:space="0"/>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850" w:type="dxa"/>
            <w:tcBorders>
              <w:top w:val="nil"/>
              <w:left w:val="nil"/>
              <w:bottom w:val="single" w:color="auto" w:sz="4" w:space="0"/>
              <w:right w:val="single" w:color="auto" w:sz="4" w:space="0"/>
            </w:tcBorders>
            <w:noWrap w:val="0"/>
            <w:vAlign w:val="center"/>
          </w:tcPr>
          <w:p>
            <w:pPr>
              <w:spacing w:line="260" w:lineRule="exact"/>
              <w:rPr>
                <w:rFonts w:ascii="宋体" w:hAnsi="宋体" w:cs="宋体"/>
                <w:szCs w:val="21"/>
              </w:rPr>
            </w:pPr>
            <w:r>
              <w:rPr>
                <w:rFonts w:hint="eastAsia" w:ascii="宋体" w:hAnsi="宋体" w:cs="宋体"/>
                <w:szCs w:val="21"/>
              </w:rPr>
              <w:t>分值</w:t>
            </w:r>
          </w:p>
        </w:tc>
        <w:tc>
          <w:tcPr>
            <w:tcW w:w="1559" w:type="dxa"/>
            <w:gridSpan w:val="6"/>
            <w:tcBorders>
              <w:top w:val="single" w:color="auto" w:sz="8" w:space="0"/>
              <w:left w:val="nil"/>
              <w:bottom w:val="single" w:color="auto" w:sz="4" w:space="0"/>
              <w:right w:val="single" w:color="000000" w:sz="4" w:space="0"/>
            </w:tcBorders>
            <w:noWrap w:val="0"/>
            <w:vAlign w:val="center"/>
          </w:tcPr>
          <w:p>
            <w:pPr>
              <w:spacing w:line="260" w:lineRule="exact"/>
              <w:rPr>
                <w:rFonts w:ascii="宋体" w:hAnsi="宋体" w:cs="宋体"/>
                <w:szCs w:val="21"/>
              </w:rPr>
            </w:pPr>
            <w:r>
              <w:rPr>
                <w:rFonts w:hint="eastAsia" w:ascii="宋体" w:hAnsi="宋体" w:cs="宋体"/>
                <w:szCs w:val="21"/>
              </w:rPr>
              <w:t>扣分</w:t>
            </w:r>
            <w:r>
              <w:rPr>
                <w:rFonts w:hint="eastAsia" w:ascii="宋体" w:hAnsi="宋体" w:cs="宋体"/>
                <w:sz w:val="16"/>
                <w:szCs w:val="16"/>
              </w:rPr>
              <w:t>（最小扣分单位为0.5分，最多不超过该项分值）</w:t>
            </w:r>
          </w:p>
        </w:tc>
        <w:tc>
          <w:tcPr>
            <w:tcW w:w="859" w:type="dxa"/>
            <w:tcBorders>
              <w:top w:val="single" w:color="auto" w:sz="8" w:space="0"/>
              <w:left w:val="nil"/>
              <w:bottom w:val="single" w:color="auto" w:sz="4" w:space="0"/>
              <w:right w:val="single" w:color="000000" w:sz="8" w:space="0"/>
            </w:tcBorders>
            <w:noWrap w:val="0"/>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37" w:hRule="atLeast"/>
          <w:jc w:val="center"/>
        </w:trPr>
        <w:tc>
          <w:tcPr>
            <w:tcW w:w="707" w:type="dxa"/>
            <w:vMerge w:val="restart"/>
            <w:tcBorders>
              <w:top w:val="nil"/>
              <w:left w:val="single" w:color="auto" w:sz="8" w:space="0"/>
              <w:right w:val="single" w:color="auto" w:sz="4" w:space="0"/>
            </w:tcBorders>
            <w:noWrap w:val="0"/>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能力</w:t>
            </w:r>
          </w:p>
        </w:tc>
        <w:tc>
          <w:tcPr>
            <w:tcW w:w="740" w:type="dxa"/>
            <w:gridSpan w:val="4"/>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效率</w:t>
            </w:r>
          </w:p>
        </w:tc>
        <w:tc>
          <w:tcPr>
            <w:tcW w:w="4533" w:type="dxa"/>
            <w:gridSpan w:val="3"/>
            <w:tcBorders>
              <w:top w:val="single" w:color="auto" w:sz="4" w:space="0"/>
              <w:left w:val="nil"/>
              <w:bottom w:val="single" w:color="auto" w:sz="4" w:space="0"/>
              <w:right w:val="single" w:color="auto" w:sz="4" w:space="0"/>
            </w:tcBorders>
            <w:noWrap w:val="0"/>
            <w:vAlign w:val="center"/>
          </w:tcPr>
          <w:p>
            <w:pPr>
              <w:spacing w:line="300" w:lineRule="exact"/>
              <w:ind w:firstLine="357"/>
              <w:jc w:val="left"/>
              <w:rPr>
                <w:rFonts w:ascii="宋体" w:hAnsi="宋体" w:cs="宋体"/>
                <w:szCs w:val="21"/>
              </w:rPr>
            </w:pPr>
            <w:r>
              <w:rPr>
                <w:rFonts w:hint="eastAsia" w:ascii="宋体" w:hAnsi="宋体" w:cs="宋体"/>
                <w:szCs w:val="21"/>
              </w:rPr>
              <w:t>1.是否按时完成各项工作任务</w:t>
            </w:r>
          </w:p>
        </w:tc>
        <w:tc>
          <w:tcPr>
            <w:tcW w:w="850" w:type="dxa"/>
            <w:tcBorders>
              <w:top w:val="nil"/>
              <w:left w:val="nil"/>
              <w:bottom w:val="single" w:color="auto" w:sz="4" w:space="0"/>
              <w:right w:val="single" w:color="auto" w:sz="4" w:space="0"/>
            </w:tcBorders>
            <w:noWrap w:val="0"/>
            <w:vAlign w:val="center"/>
          </w:tcPr>
          <w:p>
            <w:pPr>
              <w:spacing w:line="30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noWrap w:val="0"/>
            <w:vAlign w:val="center"/>
          </w:tcPr>
          <w:p>
            <w:pPr>
              <w:spacing w:line="300" w:lineRule="exact"/>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spacing w:line="300" w:lineRule="exact"/>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16"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cs="宋体"/>
                <w:szCs w:val="21"/>
              </w:rPr>
            </w:pPr>
            <w:r>
              <w:rPr>
                <w:rFonts w:hint="eastAsia" w:ascii="宋体" w:hAnsi="宋体" w:cs="宋体"/>
                <w:szCs w:val="21"/>
              </w:rPr>
              <w:t>2.能否按照计划进度开展工作</w:t>
            </w:r>
          </w:p>
        </w:tc>
        <w:tc>
          <w:tcPr>
            <w:tcW w:w="850" w:type="dxa"/>
            <w:tcBorders>
              <w:top w:val="nil"/>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22"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胜任</w:t>
            </w:r>
          </w:p>
          <w:p>
            <w:pPr>
              <w:jc w:val="center"/>
              <w:rPr>
                <w:rFonts w:ascii="宋体" w:hAnsi="宋体" w:cs="宋体"/>
                <w:sz w:val="20"/>
              </w:rPr>
            </w:pPr>
            <w:r>
              <w:rPr>
                <w:rFonts w:hint="eastAsia" w:ascii="宋体" w:hAnsi="宋体" w:cs="宋体"/>
                <w:sz w:val="20"/>
              </w:rPr>
              <w:t>能力</w:t>
            </w:r>
          </w:p>
        </w:tc>
        <w:tc>
          <w:tcPr>
            <w:tcW w:w="4533" w:type="dxa"/>
            <w:gridSpan w:val="3"/>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cs="宋体"/>
                <w:szCs w:val="21"/>
              </w:rPr>
            </w:pPr>
            <w:r>
              <w:rPr>
                <w:rFonts w:hint="eastAsia" w:ascii="宋体" w:hAnsi="宋体" w:cs="宋体"/>
                <w:szCs w:val="21"/>
              </w:rPr>
              <w:t>3.现场工作期间，工作人数、人员资质等是否达到委托要求</w:t>
            </w:r>
          </w:p>
        </w:tc>
        <w:tc>
          <w:tcPr>
            <w:tcW w:w="850" w:type="dxa"/>
            <w:tcBorders>
              <w:top w:val="nil"/>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44"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cs="宋体"/>
                <w:szCs w:val="21"/>
              </w:rPr>
            </w:pPr>
            <w:r>
              <w:rPr>
                <w:rFonts w:hint="eastAsia" w:ascii="宋体" w:hAnsi="宋体" w:cs="宋体"/>
                <w:szCs w:val="21"/>
              </w:rPr>
              <w:t>4.每位工作人员是否具备与中介项目相匹配的专业知识</w:t>
            </w:r>
          </w:p>
        </w:tc>
        <w:tc>
          <w:tcPr>
            <w:tcW w:w="850" w:type="dxa"/>
            <w:tcBorders>
              <w:top w:val="nil"/>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1266"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cs="宋体"/>
                <w:szCs w:val="21"/>
              </w:rPr>
            </w:pPr>
            <w:r>
              <w:rPr>
                <w:rFonts w:hint="eastAsia" w:ascii="宋体" w:hAnsi="宋体" w:cs="宋体"/>
                <w:szCs w:val="21"/>
              </w:rPr>
              <w:t>5.是否存在对同一事项（如差错、修改意见、疑问及需进一步了解的情况、需进一步分析的事项等）进行多次修改才得到最终结果的情况</w:t>
            </w:r>
          </w:p>
        </w:tc>
        <w:tc>
          <w:tcPr>
            <w:tcW w:w="850" w:type="dxa"/>
            <w:tcBorders>
              <w:top w:val="nil"/>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6</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配合</w:t>
            </w:r>
          </w:p>
          <w:p>
            <w:pPr>
              <w:jc w:val="center"/>
              <w:rPr>
                <w:rFonts w:ascii="宋体" w:hAnsi="宋体" w:cs="宋体"/>
                <w:sz w:val="20"/>
              </w:rPr>
            </w:pPr>
            <w:r>
              <w:rPr>
                <w:rFonts w:hint="eastAsia" w:ascii="宋体" w:hAnsi="宋体" w:cs="宋体"/>
                <w:sz w:val="20"/>
              </w:rPr>
              <w:t>程度</w:t>
            </w:r>
          </w:p>
        </w:tc>
        <w:tc>
          <w:tcPr>
            <w:tcW w:w="740" w:type="dxa"/>
            <w:gridSpan w:val="4"/>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沟通</w:t>
            </w:r>
          </w:p>
          <w:p>
            <w:pPr>
              <w:jc w:val="center"/>
              <w:rPr>
                <w:rFonts w:hint="eastAsia" w:ascii="宋体" w:hAnsi="宋体" w:cs="宋体"/>
                <w:sz w:val="20"/>
              </w:rPr>
            </w:pPr>
            <w:r>
              <w:rPr>
                <w:rFonts w:hint="eastAsia" w:ascii="宋体" w:hAnsi="宋体" w:cs="宋体"/>
                <w:sz w:val="20"/>
              </w:rPr>
              <w:t>主动</w:t>
            </w:r>
          </w:p>
          <w:p>
            <w:pPr>
              <w:jc w:val="center"/>
              <w:rPr>
                <w:rFonts w:ascii="宋体" w:hAnsi="宋体" w:cs="宋体"/>
                <w:sz w:val="20"/>
              </w:rPr>
            </w:pPr>
            <w:r>
              <w:rPr>
                <w:rFonts w:hint="eastAsia" w:ascii="宋体" w:hAnsi="宋体" w:cs="宋体"/>
                <w:sz w:val="20"/>
              </w:rPr>
              <w:t>性</w:t>
            </w: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cs="宋体"/>
                <w:szCs w:val="21"/>
              </w:rPr>
            </w:pPr>
            <w:r>
              <w:rPr>
                <w:rFonts w:hint="eastAsia" w:ascii="宋体" w:hAnsi="宋体" w:cs="宋体"/>
                <w:szCs w:val="21"/>
              </w:rPr>
              <w:t>6.是否及时就项目开展进度、情况进行沟通</w:t>
            </w:r>
          </w:p>
        </w:tc>
        <w:tc>
          <w:tcPr>
            <w:tcW w:w="850" w:type="dxa"/>
            <w:tcBorders>
              <w:top w:val="nil"/>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cs="宋体"/>
                <w:szCs w:val="21"/>
              </w:rPr>
            </w:pPr>
            <w:r>
              <w:rPr>
                <w:rFonts w:hint="eastAsia" w:ascii="宋体" w:hAnsi="宋体" w:cs="宋体"/>
                <w:szCs w:val="21"/>
              </w:rPr>
              <w:t>7.是否及时回馈委托方提出的意见、问题等，并主动提供有关建议等</w:t>
            </w:r>
          </w:p>
        </w:tc>
        <w:tc>
          <w:tcPr>
            <w:tcW w:w="850" w:type="dxa"/>
            <w:tcBorders>
              <w:top w:val="nil"/>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cs="宋体"/>
                <w:szCs w:val="21"/>
              </w:rPr>
            </w:pPr>
            <w:r>
              <w:rPr>
                <w:rFonts w:hint="eastAsia" w:ascii="宋体" w:hAnsi="宋体" w:cs="宋体"/>
                <w:szCs w:val="21"/>
              </w:rPr>
              <w:t>8.在对重大事项得出结论前是否与有关方面进行了充分的沟通</w:t>
            </w:r>
          </w:p>
        </w:tc>
        <w:tc>
          <w:tcPr>
            <w:tcW w:w="85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auto" w:sz="4" w:space="0"/>
              <w:right w:val="single" w:color="auto" w:sz="4" w:space="0"/>
            </w:tcBorders>
            <w:noWrap w:val="0"/>
            <w:vAlign w:val="center"/>
          </w:tcPr>
          <w:p>
            <w:pPr>
              <w:rPr>
                <w:rFonts w:ascii="宋体" w:hAnsi="宋体" w:cs="宋体"/>
                <w:sz w:val="20"/>
              </w:rPr>
            </w:pPr>
            <w:r>
              <w:rPr>
                <w:rFonts w:hint="eastAsia" w:ascii="宋体" w:hAnsi="宋体" w:cs="宋体"/>
                <w:sz w:val="20"/>
              </w:rPr>
              <w:t>沟通能力</w:t>
            </w: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cs="宋体"/>
                <w:szCs w:val="21"/>
              </w:rPr>
            </w:pPr>
            <w:r>
              <w:rPr>
                <w:rFonts w:hint="eastAsia" w:ascii="宋体" w:hAnsi="宋体" w:cs="宋体"/>
                <w:szCs w:val="21"/>
              </w:rPr>
              <w:t>9.服务机构工作人员能否准确理解委托方的意图</w:t>
            </w:r>
          </w:p>
        </w:tc>
        <w:tc>
          <w:tcPr>
            <w:tcW w:w="85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95"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cs="宋体"/>
                <w:szCs w:val="21"/>
              </w:rPr>
            </w:pPr>
            <w:r>
              <w:rPr>
                <w:rFonts w:hint="eastAsia" w:ascii="宋体" w:hAnsi="宋体" w:cs="宋体"/>
                <w:szCs w:val="21"/>
              </w:rPr>
              <w:t>10.服务机构工作人员表达或表述是否清晰无误，善于沟通</w:t>
            </w:r>
          </w:p>
        </w:tc>
        <w:tc>
          <w:tcPr>
            <w:tcW w:w="850" w:type="dxa"/>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18"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职业</w:t>
            </w:r>
          </w:p>
          <w:p>
            <w:pPr>
              <w:jc w:val="center"/>
              <w:rPr>
                <w:rFonts w:ascii="宋体" w:hAnsi="宋体" w:cs="宋体"/>
                <w:sz w:val="20"/>
              </w:rPr>
            </w:pPr>
            <w:r>
              <w:rPr>
                <w:rFonts w:hint="eastAsia" w:ascii="宋体" w:hAnsi="宋体" w:cs="宋体"/>
                <w:sz w:val="20"/>
              </w:rPr>
              <w:t>操守</w:t>
            </w:r>
          </w:p>
        </w:tc>
        <w:tc>
          <w:tcPr>
            <w:tcW w:w="74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工作态度</w:t>
            </w: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cs="宋体"/>
                <w:szCs w:val="21"/>
              </w:rPr>
            </w:pPr>
            <w:r>
              <w:rPr>
                <w:rFonts w:hint="eastAsia" w:ascii="宋体" w:hAnsi="宋体" w:cs="宋体"/>
                <w:szCs w:val="21"/>
              </w:rPr>
              <w:t>11.服务机构工作团队对事项的描述、问题的定性和数据的确定等是否合理谨慎</w:t>
            </w:r>
          </w:p>
        </w:tc>
        <w:tc>
          <w:tcPr>
            <w:tcW w:w="85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cs="宋体"/>
                <w:szCs w:val="21"/>
              </w:rPr>
            </w:pPr>
            <w:r>
              <w:rPr>
                <w:rFonts w:hint="eastAsia" w:ascii="宋体" w:hAnsi="宋体" w:cs="宋体"/>
                <w:szCs w:val="21"/>
              </w:rPr>
              <w:t>12.服务机构工作团队对事项的描述、问题的定性和数据的确定等是否客观真实</w:t>
            </w:r>
          </w:p>
        </w:tc>
        <w:tc>
          <w:tcPr>
            <w:tcW w:w="85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sz w:val="20"/>
              </w:rPr>
            </w:pPr>
            <w:r>
              <w:rPr>
                <w:rFonts w:hint="eastAsia" w:ascii="宋体" w:hAnsi="宋体" w:cs="宋体"/>
                <w:sz w:val="20"/>
              </w:rPr>
              <w:t>职业道德</w:t>
            </w: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13.服务机构工作人员能否对执业过程中获得的信息保密</w:t>
            </w:r>
          </w:p>
        </w:tc>
        <w:tc>
          <w:tcPr>
            <w:tcW w:w="85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hint="eastAsia" w:ascii="宋体" w:hAnsi="宋体" w:cs="宋体"/>
                <w:sz w:val="20"/>
              </w:rPr>
            </w:pPr>
          </w:p>
        </w:tc>
      </w:tr>
      <w:tr>
        <w:tblPrEx>
          <w:tblCellMar>
            <w:top w:w="0" w:type="dxa"/>
            <w:left w:w="108" w:type="dxa"/>
            <w:bottom w:w="0" w:type="dxa"/>
            <w:right w:w="108" w:type="dxa"/>
          </w:tblCellMar>
        </w:tblPrEx>
        <w:trPr>
          <w:trHeight w:val="1165" w:hRule="atLeast"/>
          <w:jc w:val="center"/>
        </w:trPr>
        <w:tc>
          <w:tcPr>
            <w:tcW w:w="707" w:type="dxa"/>
            <w:vMerge w:val="continue"/>
            <w:tcBorders>
              <w:left w:val="single" w:color="auto" w:sz="8" w:space="0"/>
              <w:bottom w:val="single" w:color="auto" w:sz="4"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740" w:type="dxa"/>
            <w:gridSpan w:val="4"/>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14.服务机构工作人员能否坚持独立、客观、公正的立场</w:t>
            </w:r>
          </w:p>
        </w:tc>
        <w:tc>
          <w:tcPr>
            <w:tcW w:w="85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hint="eastAsia" w:ascii="宋体" w:hAnsi="宋体" w:cs="宋体"/>
                <w:sz w:val="20"/>
              </w:rPr>
            </w:pPr>
          </w:p>
        </w:tc>
      </w:tr>
      <w:tr>
        <w:tblPrEx>
          <w:tblCellMar>
            <w:top w:w="0" w:type="dxa"/>
            <w:left w:w="108" w:type="dxa"/>
            <w:bottom w:w="0" w:type="dxa"/>
            <w:right w:w="108" w:type="dxa"/>
          </w:tblCellMar>
        </w:tblPrEx>
        <w:trPr>
          <w:trHeight w:val="699" w:hRule="atLeast"/>
          <w:jc w:val="center"/>
        </w:trPr>
        <w:tc>
          <w:tcPr>
            <w:tcW w:w="707" w:type="dxa"/>
            <w:vMerge w:val="restart"/>
            <w:tcBorders>
              <w:top w:val="single" w:color="auto" w:sz="4" w:space="0"/>
              <w:left w:val="single" w:color="auto" w:sz="8" w:space="0"/>
              <w:bottom w:val="double" w:color="000000" w:sz="6" w:space="0"/>
              <w:right w:val="single" w:color="auto" w:sz="4" w:space="0"/>
            </w:tcBorders>
            <w:noWrap w:val="0"/>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817" w:type="dxa"/>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规范性</w:t>
            </w:r>
          </w:p>
        </w:tc>
        <w:tc>
          <w:tcPr>
            <w:tcW w:w="74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格式     与      文字</w:t>
            </w: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15.报告或相关材料的格式是否符合委托要求</w:t>
            </w:r>
          </w:p>
        </w:tc>
        <w:tc>
          <w:tcPr>
            <w:tcW w:w="861"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73" w:hRule="atLeast"/>
          <w:jc w:val="center"/>
        </w:trPr>
        <w:tc>
          <w:tcPr>
            <w:tcW w:w="707" w:type="dxa"/>
            <w:vMerge w:val="continue"/>
            <w:tcBorders>
              <w:top w:val="nil"/>
              <w:left w:val="single" w:color="auto" w:sz="8" w:space="0"/>
              <w:bottom w:val="double" w:color="000000" w:sz="6"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16.报告或相关材料表内表间数据的勾稽关系是否正确</w:t>
            </w:r>
          </w:p>
        </w:tc>
        <w:tc>
          <w:tcPr>
            <w:tcW w:w="861"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55" w:hRule="atLeast"/>
          <w:jc w:val="center"/>
        </w:trPr>
        <w:tc>
          <w:tcPr>
            <w:tcW w:w="707" w:type="dxa"/>
            <w:vMerge w:val="continue"/>
            <w:tcBorders>
              <w:top w:val="nil"/>
              <w:left w:val="single" w:color="auto" w:sz="8" w:space="0"/>
              <w:bottom w:val="double" w:color="000000" w:sz="6"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17.文字表述是否清晰，易产生歧义的内容是否不多于3处</w:t>
            </w:r>
          </w:p>
        </w:tc>
        <w:tc>
          <w:tcPr>
            <w:tcW w:w="861"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5" w:hRule="atLeast"/>
          <w:jc w:val="center"/>
        </w:trPr>
        <w:tc>
          <w:tcPr>
            <w:tcW w:w="707" w:type="dxa"/>
            <w:vMerge w:val="continue"/>
            <w:tcBorders>
              <w:top w:val="nil"/>
              <w:left w:val="single" w:color="auto" w:sz="8" w:space="0"/>
              <w:bottom w:val="double" w:color="000000" w:sz="6"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18.报告或相关材料中的错别字、笔误等是否不多于5处</w:t>
            </w:r>
          </w:p>
        </w:tc>
        <w:tc>
          <w:tcPr>
            <w:tcW w:w="861"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2" w:hRule="atLeast"/>
          <w:jc w:val="center"/>
        </w:trPr>
        <w:tc>
          <w:tcPr>
            <w:tcW w:w="707" w:type="dxa"/>
            <w:vMerge w:val="continue"/>
            <w:tcBorders>
              <w:top w:val="nil"/>
              <w:left w:val="single" w:color="auto" w:sz="8" w:space="0"/>
              <w:bottom w:val="double" w:color="000000" w:sz="6"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19.报告或相关材料中是否存在一个或多个表格不符合委托要求</w:t>
            </w:r>
          </w:p>
        </w:tc>
        <w:tc>
          <w:tcPr>
            <w:tcW w:w="861"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noWrap w:val="0"/>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完整性</w:t>
            </w:r>
          </w:p>
        </w:tc>
        <w:tc>
          <w:tcPr>
            <w:tcW w:w="740" w:type="dxa"/>
            <w:gridSpan w:val="4"/>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内容     与      成果</w:t>
            </w: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20.是否完成协议规定的具体服务内容</w:t>
            </w:r>
          </w:p>
        </w:tc>
        <w:tc>
          <w:tcPr>
            <w:tcW w:w="861"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09" w:hRule="atLeast"/>
          <w:jc w:val="center"/>
        </w:trPr>
        <w:tc>
          <w:tcPr>
            <w:tcW w:w="707" w:type="dxa"/>
            <w:vMerge w:val="continue"/>
            <w:tcBorders>
              <w:top w:val="nil"/>
              <w:left w:val="single" w:color="auto" w:sz="8" w:space="0"/>
              <w:bottom w:val="double" w:color="000000" w:sz="6"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21.是否按要求提交相关的工作成果或达到预期目标</w:t>
            </w:r>
          </w:p>
        </w:tc>
        <w:tc>
          <w:tcPr>
            <w:tcW w:w="861"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noWrap w:val="0"/>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nil"/>
              <w:right w:val="single" w:color="000000" w:sz="4" w:space="0"/>
            </w:tcBorders>
            <w:noWrap w:val="0"/>
            <w:vAlign w:val="center"/>
          </w:tcPr>
          <w:p>
            <w:pPr>
              <w:jc w:val="center"/>
              <w:rPr>
                <w:rFonts w:ascii="宋体" w:hAnsi="宋体" w:cs="宋体"/>
                <w:szCs w:val="21"/>
              </w:rPr>
            </w:pPr>
            <w:r>
              <w:rPr>
                <w:rFonts w:hint="eastAsia" w:ascii="宋体" w:hAnsi="宋体" w:cs="宋体"/>
                <w:szCs w:val="21"/>
              </w:rPr>
              <w:t>建设性</w:t>
            </w:r>
          </w:p>
        </w:tc>
        <w:tc>
          <w:tcPr>
            <w:tcW w:w="740" w:type="dxa"/>
            <w:gridSpan w:val="4"/>
            <w:vMerge w:val="restart"/>
            <w:tcBorders>
              <w:top w:val="nil"/>
              <w:left w:val="single" w:color="auto" w:sz="4" w:space="0"/>
              <w:bottom w:val="nil"/>
              <w:right w:val="single" w:color="auto" w:sz="4" w:space="0"/>
            </w:tcBorders>
            <w:noWrap w:val="0"/>
            <w:vAlign w:val="center"/>
          </w:tcPr>
          <w:p>
            <w:pPr>
              <w:jc w:val="center"/>
              <w:rPr>
                <w:rFonts w:ascii="宋体" w:hAnsi="宋体" w:cs="宋体"/>
                <w:szCs w:val="21"/>
              </w:rPr>
            </w:pPr>
            <w:r>
              <w:rPr>
                <w:rFonts w:hint="eastAsia" w:ascii="宋体" w:hAnsi="宋体" w:cs="宋体"/>
                <w:szCs w:val="21"/>
              </w:rPr>
              <w:t>分析      与      建议</w:t>
            </w: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22.工作成果是否具有较深入的情况分析和较高的质量</w:t>
            </w:r>
          </w:p>
        </w:tc>
        <w:tc>
          <w:tcPr>
            <w:tcW w:w="861"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88" w:hRule="atLeast"/>
          <w:jc w:val="center"/>
        </w:trPr>
        <w:tc>
          <w:tcPr>
            <w:tcW w:w="707" w:type="dxa"/>
            <w:vMerge w:val="continue"/>
            <w:tcBorders>
              <w:top w:val="nil"/>
              <w:left w:val="single" w:color="auto" w:sz="8" w:space="0"/>
              <w:bottom w:val="double" w:color="000000" w:sz="6"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23.是否存在对问题定性或有关表述等含糊不清或不客观真实等情况</w:t>
            </w:r>
          </w:p>
        </w:tc>
        <w:tc>
          <w:tcPr>
            <w:tcW w:w="861"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8" w:hRule="atLeast"/>
          <w:jc w:val="center"/>
        </w:trPr>
        <w:tc>
          <w:tcPr>
            <w:tcW w:w="707" w:type="dxa"/>
            <w:vMerge w:val="continue"/>
            <w:tcBorders>
              <w:top w:val="nil"/>
              <w:left w:val="single" w:color="auto" w:sz="8" w:space="0"/>
              <w:bottom w:val="double" w:color="000000" w:sz="6" w:space="0"/>
              <w:right w:val="single" w:color="auto" w:sz="4" w:space="0"/>
            </w:tcBorders>
            <w:noWrap w:val="0"/>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szCs w:val="21"/>
              </w:rPr>
            </w:pPr>
          </w:p>
        </w:tc>
        <w:tc>
          <w:tcPr>
            <w:tcW w:w="4533" w:type="dxa"/>
            <w:gridSpan w:val="3"/>
            <w:tcBorders>
              <w:top w:val="single" w:color="auto" w:sz="4" w:space="0"/>
              <w:left w:val="nil"/>
              <w:bottom w:val="doub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24.是否存在无充分依据或数据进行情况分析、原因剖析、判断预测等情况</w:t>
            </w:r>
          </w:p>
        </w:tc>
        <w:tc>
          <w:tcPr>
            <w:tcW w:w="861" w:type="dxa"/>
            <w:gridSpan w:val="2"/>
            <w:tcBorders>
              <w:top w:val="single" w:color="auto" w:sz="4" w:space="0"/>
              <w:left w:val="nil"/>
              <w:bottom w:val="double" w:color="auto" w:sz="4" w:space="0"/>
              <w:right w:val="single" w:color="auto" w:sz="4" w:space="0"/>
            </w:tcBorders>
            <w:noWrap w:val="0"/>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double" w:color="auto"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double" w:color="auto" w:sz="6" w:space="0"/>
              <w:right w:val="single" w:color="000000" w:sz="8" w:space="0"/>
            </w:tcBorders>
            <w:noWrap w:val="0"/>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8" w:hRule="atLeast"/>
          <w:jc w:val="center"/>
        </w:trPr>
        <w:tc>
          <w:tcPr>
            <w:tcW w:w="707" w:type="dxa"/>
            <w:vMerge w:val="restart"/>
            <w:tcBorders>
              <w:top w:val="nil"/>
              <w:left w:val="single" w:color="auto" w:sz="8" w:space="0"/>
              <w:bottom w:val="single" w:color="000000" w:sz="4" w:space="0"/>
              <w:right w:val="single" w:color="auto" w:sz="4" w:space="0"/>
            </w:tcBorders>
            <w:noWrap w:val="0"/>
            <w:textDirection w:val="tbRlV"/>
            <w:vAlign w:val="center"/>
          </w:tcPr>
          <w:p>
            <w:pPr>
              <w:spacing w:line="260" w:lineRule="exact"/>
              <w:ind w:firstLine="360"/>
              <w:jc w:val="center"/>
              <w:rPr>
                <w:rFonts w:ascii="黑体" w:hAnsi="宋体" w:eastAsia="黑体" w:cs="宋体"/>
                <w:sz w:val="24"/>
              </w:rPr>
            </w:pPr>
            <w:r>
              <w:rPr>
                <w:rFonts w:hint="eastAsia" w:ascii="黑体" w:hAnsi="宋体" w:eastAsia="黑体" w:cs="宋体"/>
                <w:sz w:val="24"/>
              </w:rPr>
              <w:t>附加</w:t>
            </w:r>
          </w:p>
        </w:tc>
        <w:tc>
          <w:tcPr>
            <w:tcW w:w="1557" w:type="dxa"/>
            <w:gridSpan w:val="5"/>
            <w:tcBorders>
              <w:top w:val="double" w:color="auto" w:sz="6" w:space="0"/>
              <w:left w:val="nil"/>
              <w:bottom w:val="single" w:color="auto" w:sz="4" w:space="0"/>
              <w:right w:val="single" w:color="000000" w:sz="4" w:space="0"/>
            </w:tcBorders>
            <w:noWrap w:val="0"/>
            <w:vAlign w:val="center"/>
          </w:tcPr>
          <w:p>
            <w:pPr>
              <w:spacing w:line="260" w:lineRule="exact"/>
              <w:jc w:val="center"/>
              <w:rPr>
                <w:rFonts w:ascii="宋体" w:hAnsi="宋体" w:cs="宋体"/>
                <w:szCs w:val="21"/>
              </w:rPr>
            </w:pPr>
            <w:r>
              <w:rPr>
                <w:rFonts w:hint="eastAsia" w:ascii="宋体" w:hAnsi="宋体" w:cs="宋体"/>
                <w:szCs w:val="21"/>
              </w:rPr>
              <w:t>附加分</w:t>
            </w:r>
          </w:p>
        </w:tc>
        <w:tc>
          <w:tcPr>
            <w:tcW w:w="4533" w:type="dxa"/>
            <w:gridSpan w:val="3"/>
            <w:tcBorders>
              <w:top w:val="doub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25.具有针对性、较高参考价值的意见或建议有几条（每条5分，得分=条数×5）</w:t>
            </w:r>
          </w:p>
        </w:tc>
        <w:tc>
          <w:tcPr>
            <w:tcW w:w="861" w:type="dxa"/>
            <w:gridSpan w:val="2"/>
            <w:tcBorders>
              <w:top w:val="double" w:color="auto" w:sz="4" w:space="0"/>
              <w:left w:val="nil"/>
              <w:bottom w:val="single" w:color="auto" w:sz="4" w:space="0"/>
              <w:right w:val="single" w:color="auto" w:sz="4" w:space="0"/>
            </w:tcBorders>
            <w:noWrap w:val="0"/>
            <w:vAlign w:val="center"/>
          </w:tcPr>
          <w:p>
            <w:pPr>
              <w:spacing w:line="260" w:lineRule="exact"/>
              <w:jc w:val="center"/>
              <w:rPr>
                <w:rFonts w:ascii="宋体" w:hAnsi="宋体" w:cs="宋体"/>
                <w:color w:val="000000"/>
                <w:szCs w:val="21"/>
              </w:rPr>
            </w:pPr>
            <w:r>
              <w:rPr>
                <w:rFonts w:hint="eastAsia" w:ascii="宋体" w:hAnsi="宋体" w:cs="宋体"/>
                <w:color w:val="000000"/>
                <w:szCs w:val="21"/>
              </w:rPr>
              <w:t>得分</w:t>
            </w:r>
          </w:p>
        </w:tc>
        <w:tc>
          <w:tcPr>
            <w:tcW w:w="1548" w:type="dxa"/>
            <w:gridSpan w:val="5"/>
            <w:tcBorders>
              <w:top w:val="double" w:color="auto" w:sz="4" w:space="0"/>
              <w:left w:val="nil"/>
              <w:bottom w:val="single" w:color="auto" w:sz="4" w:space="0"/>
              <w:right w:val="single" w:color="000000" w:sz="4" w:space="0"/>
            </w:tcBorders>
            <w:noWrap w:val="0"/>
            <w:vAlign w:val="center"/>
          </w:tcPr>
          <w:p>
            <w:pPr>
              <w:spacing w:line="260" w:lineRule="exact"/>
              <w:jc w:val="center"/>
              <w:rPr>
                <w:rFonts w:ascii="宋体" w:hAnsi="宋体" w:cs="宋体"/>
                <w:color w:val="000000"/>
                <w:szCs w:val="21"/>
              </w:rPr>
            </w:pPr>
            <w:r>
              <w:rPr>
                <w:rFonts w:hint="eastAsia" w:ascii="宋体" w:hAnsi="宋体" w:cs="宋体"/>
                <w:color w:val="000000"/>
                <w:szCs w:val="21"/>
              </w:rPr>
              <w:t>条数</w:t>
            </w:r>
          </w:p>
        </w:tc>
        <w:tc>
          <w:tcPr>
            <w:tcW w:w="859" w:type="dxa"/>
            <w:tcBorders>
              <w:top w:val="nil"/>
              <w:left w:val="nil"/>
              <w:bottom w:val="single" w:color="auto" w:sz="4" w:space="0"/>
              <w:right w:val="single" w:color="000000" w:sz="8" w:space="0"/>
            </w:tcBorders>
            <w:noWrap w:val="0"/>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968" w:hRule="atLeast"/>
          <w:jc w:val="center"/>
        </w:trPr>
        <w:tc>
          <w:tcPr>
            <w:tcW w:w="707"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黑体" w:hAnsi="宋体" w:eastAsia="黑体" w:cs="宋体"/>
                <w:sz w:val="24"/>
              </w:rPr>
            </w:pPr>
          </w:p>
        </w:tc>
        <w:tc>
          <w:tcPr>
            <w:tcW w:w="857" w:type="dxa"/>
            <w:gridSpan w:val="2"/>
            <w:tcBorders>
              <w:top w:val="nil"/>
              <w:left w:val="nil"/>
              <w:bottom w:val="single" w:color="auto" w:sz="4" w:space="0"/>
              <w:right w:val="nil"/>
            </w:tcBorders>
            <w:noWrap w:val="0"/>
            <w:vAlign w:val="center"/>
          </w:tcPr>
          <w:p>
            <w:pPr>
              <w:widowControl/>
              <w:jc w:val="left"/>
              <w:rPr>
                <w:rFonts w:ascii="宋体" w:hAnsi="宋体" w:cs="宋体"/>
                <w:kern w:val="0"/>
                <w:sz w:val="24"/>
              </w:rPr>
            </w:pPr>
          </w:p>
        </w:tc>
        <w:tc>
          <w:tcPr>
            <w:tcW w:w="350" w:type="dxa"/>
            <w:gridSpan w:val="2"/>
            <w:tcBorders>
              <w:top w:val="nil"/>
              <w:left w:val="nil"/>
              <w:bottom w:val="single" w:color="auto" w:sz="4" w:space="0"/>
              <w:right w:val="nil"/>
            </w:tcBorders>
            <w:noWrap w:val="0"/>
            <w:vAlign w:val="center"/>
          </w:tcPr>
          <w:p>
            <w:pPr>
              <w:widowControl/>
              <w:jc w:val="left"/>
              <w:rPr>
                <w:rFonts w:ascii="宋体" w:hAnsi="宋体" w:cs="宋体"/>
                <w:kern w:val="0"/>
                <w:sz w:val="24"/>
              </w:rPr>
            </w:pPr>
          </w:p>
        </w:tc>
        <w:tc>
          <w:tcPr>
            <w:tcW w:w="35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4533" w:type="dxa"/>
            <w:gridSpan w:val="3"/>
            <w:tcBorders>
              <w:top w:val="single" w:color="auto" w:sz="4" w:space="0"/>
              <w:left w:val="nil"/>
              <w:bottom w:val="single" w:color="auto" w:sz="4" w:space="0"/>
              <w:right w:val="single" w:color="000000"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26.报告或相关材料得到公司领导(或同级别其他领导)批示好评（每条批示20分，得分=条数×20）</w:t>
            </w:r>
          </w:p>
        </w:tc>
        <w:tc>
          <w:tcPr>
            <w:tcW w:w="86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919" w:type="dxa"/>
            <w:gridSpan w:val="4"/>
            <w:tcBorders>
              <w:top w:val="nil"/>
              <w:left w:val="nil"/>
              <w:bottom w:val="single" w:color="auto" w:sz="4" w:space="0"/>
              <w:right w:val="nil"/>
            </w:tcBorders>
            <w:noWrap w:val="0"/>
            <w:vAlign w:val="center"/>
          </w:tcPr>
          <w:p>
            <w:pPr>
              <w:spacing w:line="260" w:lineRule="exact"/>
              <w:ind w:firstLine="360"/>
              <w:jc w:val="center"/>
              <w:rPr>
                <w:rFonts w:ascii="宋体" w:hAnsi="宋体" w:cs="宋体"/>
                <w:color w:val="000000"/>
                <w:szCs w:val="21"/>
              </w:rPr>
            </w:pPr>
            <w:r>
              <w:rPr>
                <w:rFonts w:hint="eastAsia" w:ascii="宋体" w:hAnsi="宋体" w:cs="宋体"/>
                <w:color w:val="000000"/>
                <w:szCs w:val="21"/>
              </w:rPr>
              <w:t>　</w:t>
            </w:r>
          </w:p>
        </w:tc>
        <w:tc>
          <w:tcPr>
            <w:tcW w:w="6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859" w:type="dxa"/>
            <w:tcBorders>
              <w:top w:val="nil"/>
              <w:left w:val="nil"/>
              <w:bottom w:val="single" w:color="auto" w:sz="4" w:space="0"/>
              <w:right w:val="single" w:color="000000" w:sz="8" w:space="0"/>
            </w:tcBorders>
            <w:noWrap w:val="0"/>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663" w:hRule="atLeast"/>
          <w:jc w:val="center"/>
        </w:trPr>
        <w:tc>
          <w:tcPr>
            <w:tcW w:w="707"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黑体" w:hAnsi="宋体" w:eastAsia="黑体" w:cs="宋体"/>
                <w:sz w:val="24"/>
              </w:rPr>
            </w:pPr>
          </w:p>
        </w:tc>
        <w:tc>
          <w:tcPr>
            <w:tcW w:w="1557" w:type="dxa"/>
            <w:gridSpan w:val="5"/>
            <w:tcBorders>
              <w:top w:val="single" w:color="auto" w:sz="4" w:space="0"/>
              <w:left w:val="nil"/>
              <w:bottom w:val="single" w:color="auto" w:sz="4" w:space="0"/>
              <w:right w:val="single" w:color="000000" w:sz="4" w:space="0"/>
            </w:tcBorders>
            <w:noWrap w:val="0"/>
            <w:vAlign w:val="center"/>
          </w:tcPr>
          <w:p>
            <w:pPr>
              <w:spacing w:line="260" w:lineRule="exact"/>
              <w:jc w:val="center"/>
              <w:rPr>
                <w:rFonts w:ascii="宋体" w:hAnsi="宋体" w:cs="宋体"/>
                <w:szCs w:val="21"/>
              </w:rPr>
            </w:pPr>
            <w:r>
              <w:rPr>
                <w:rFonts w:hint="eastAsia" w:ascii="宋体" w:hAnsi="宋体" w:cs="宋体"/>
                <w:szCs w:val="21"/>
              </w:rPr>
              <w:t>一票否决项</w:t>
            </w:r>
          </w:p>
        </w:tc>
        <w:tc>
          <w:tcPr>
            <w:tcW w:w="5394" w:type="dxa"/>
            <w:gridSpan w:val="5"/>
            <w:tcBorders>
              <w:top w:val="single" w:color="auto" w:sz="4" w:space="0"/>
              <w:left w:val="nil"/>
              <w:bottom w:val="single" w:color="auto" w:sz="4" w:space="0"/>
              <w:right w:val="single" w:color="auto" w:sz="4" w:space="0"/>
            </w:tcBorders>
            <w:noWrap w:val="0"/>
            <w:vAlign w:val="center"/>
          </w:tcPr>
          <w:p>
            <w:pPr>
              <w:spacing w:line="260" w:lineRule="exact"/>
              <w:ind w:firstLine="360"/>
              <w:rPr>
                <w:rFonts w:ascii="宋体" w:hAnsi="宋体" w:cs="宋体"/>
                <w:szCs w:val="21"/>
              </w:rPr>
            </w:pPr>
            <w:r>
              <w:rPr>
                <w:rFonts w:hint="eastAsia" w:ascii="宋体" w:hAnsi="宋体" w:cs="宋体"/>
                <w:szCs w:val="21"/>
              </w:rPr>
              <w:t>27.服务机构工作人员存在违反办法中明确禁止事项的行为</w:t>
            </w:r>
          </w:p>
        </w:tc>
        <w:tc>
          <w:tcPr>
            <w:tcW w:w="697" w:type="dxa"/>
            <w:gridSpan w:val="3"/>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color w:val="000000"/>
                <w:szCs w:val="21"/>
              </w:rPr>
            </w:pPr>
            <w:r>
              <w:rPr>
                <w:rFonts w:hint="eastAsia" w:ascii="宋体" w:hAnsi="宋体" w:cs="宋体"/>
                <w:color w:val="000000"/>
                <w:szCs w:val="21"/>
              </w:rPr>
              <w:t>是</w:t>
            </w:r>
          </w:p>
        </w:tc>
        <w:tc>
          <w:tcPr>
            <w:tcW w:w="851"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hAnsi="宋体" w:cs="宋体"/>
                <w:color w:val="000000"/>
                <w:szCs w:val="21"/>
              </w:rPr>
            </w:pPr>
            <w:r>
              <w:rPr>
                <w:rFonts w:hint="eastAsia" w:ascii="宋体" w:hAnsi="宋体" w:cs="宋体"/>
                <w:color w:val="000000"/>
                <w:szCs w:val="21"/>
              </w:rPr>
              <w:t>否</w:t>
            </w:r>
          </w:p>
        </w:tc>
        <w:tc>
          <w:tcPr>
            <w:tcW w:w="859" w:type="dxa"/>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cs="宋体"/>
                <w:sz w:val="20"/>
              </w:rPr>
            </w:pPr>
            <w:r>
              <w:rPr>
                <w:rFonts w:hint="eastAsia" w:ascii="宋体" w:hAnsi="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707" w:type="dxa"/>
            <w:tcBorders>
              <w:top w:val="nil"/>
              <w:left w:val="single" w:color="auto" w:sz="8" w:space="0"/>
              <w:bottom w:val="single" w:color="000000" w:sz="4" w:space="0"/>
              <w:right w:val="single" w:color="auto" w:sz="4" w:space="0"/>
            </w:tcBorders>
            <w:noWrap w:val="0"/>
            <w:vAlign w:val="center"/>
          </w:tcPr>
          <w:p>
            <w:pPr>
              <w:spacing w:line="260" w:lineRule="exact"/>
              <w:ind w:firstLine="360"/>
              <w:rPr>
                <w:rFonts w:ascii="黑体" w:hAnsi="宋体" w:eastAsia="黑体" w:cs="宋体"/>
                <w:sz w:val="24"/>
              </w:rPr>
            </w:pPr>
          </w:p>
        </w:tc>
        <w:tc>
          <w:tcPr>
            <w:tcW w:w="9358" w:type="dxa"/>
            <w:gridSpan w:val="16"/>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cs="宋体"/>
                <w:sz w:val="24"/>
              </w:rPr>
            </w:pPr>
            <w:r>
              <w:rPr>
                <w:rFonts w:hint="eastAsia" w:ascii="宋体" w:hAnsi="宋体" w:cs="宋体"/>
                <w:sz w:val="24"/>
              </w:rPr>
              <w:t>合计得分：</w:t>
            </w:r>
          </w:p>
        </w:tc>
      </w:tr>
      <w:tr>
        <w:tblPrEx>
          <w:tblCellMar>
            <w:top w:w="0" w:type="dxa"/>
            <w:left w:w="108" w:type="dxa"/>
            <w:bottom w:w="0" w:type="dxa"/>
            <w:right w:w="108" w:type="dxa"/>
          </w:tblCellMar>
        </w:tblPrEx>
        <w:trPr>
          <w:trHeight w:val="530" w:hRule="atLeast"/>
          <w:jc w:val="center"/>
        </w:trPr>
        <w:tc>
          <w:tcPr>
            <w:tcW w:w="1786" w:type="dxa"/>
            <w:gridSpan w:val="4"/>
            <w:vMerge w:val="restart"/>
            <w:tcBorders>
              <w:top w:val="single" w:color="auto" w:sz="8" w:space="0"/>
              <w:left w:val="single" w:color="auto" w:sz="8" w:space="0"/>
              <w:bottom w:val="single" w:color="000000" w:sz="8" w:space="0"/>
              <w:right w:val="single" w:color="000000" w:sz="8" w:space="0"/>
            </w:tcBorders>
            <w:noWrap w:val="0"/>
            <w:vAlign w:val="center"/>
          </w:tcPr>
          <w:p>
            <w:pPr>
              <w:jc w:val="center"/>
              <w:rPr>
                <w:rFonts w:ascii="黑体" w:hAnsi="宋体" w:eastAsia="黑体" w:cs="宋体"/>
                <w:sz w:val="24"/>
              </w:rPr>
            </w:pPr>
            <w:r>
              <w:rPr>
                <w:rFonts w:hint="eastAsia" w:ascii="黑体" w:hAnsi="宋体" w:eastAsia="黑体" w:cs="宋体"/>
                <w:sz w:val="24"/>
              </w:rPr>
              <w:t>评价档次</w:t>
            </w:r>
          </w:p>
        </w:tc>
        <w:tc>
          <w:tcPr>
            <w:tcW w:w="2098" w:type="dxa"/>
            <w:gridSpan w:val="3"/>
            <w:tcBorders>
              <w:top w:val="single" w:color="auto" w:sz="8" w:space="0"/>
              <w:left w:val="nil"/>
              <w:bottom w:val="single" w:color="auto" w:sz="8" w:space="0"/>
              <w:right w:val="single" w:color="000000" w:sz="8" w:space="0"/>
            </w:tcBorders>
            <w:noWrap w:val="0"/>
            <w:vAlign w:val="center"/>
          </w:tcPr>
          <w:p>
            <w:pPr>
              <w:jc w:val="center"/>
              <w:rPr>
                <w:rFonts w:ascii="宋体" w:hAnsi="宋体" w:cs="宋体"/>
                <w:szCs w:val="21"/>
              </w:rPr>
            </w:pPr>
            <w:r>
              <w:rPr>
                <w:rFonts w:hint="eastAsia" w:ascii="宋体" w:hAnsi="宋体" w:cs="宋体"/>
                <w:szCs w:val="21"/>
              </w:rPr>
              <w:t>优秀（</w:t>
            </w:r>
            <w:r>
              <w:rPr>
                <w:rFonts w:ascii="宋体" w:hAnsi="宋体"/>
                <w:color w:val="767171"/>
                <w:szCs w:val="21"/>
              </w:rPr>
              <w:t>≥</w:t>
            </w:r>
            <w:r>
              <w:rPr>
                <w:rFonts w:hint="eastAsia" w:ascii="宋体" w:hAnsi="宋体" w:cs="宋体"/>
                <w:szCs w:val="21"/>
              </w:rPr>
              <w:t>90分）</w:t>
            </w:r>
          </w:p>
        </w:tc>
        <w:tc>
          <w:tcPr>
            <w:tcW w:w="2320" w:type="dxa"/>
            <w:tcBorders>
              <w:top w:val="single" w:color="auto" w:sz="8" w:space="0"/>
              <w:left w:val="nil"/>
              <w:bottom w:val="single" w:color="auto" w:sz="8" w:space="0"/>
              <w:right w:val="single" w:color="000000" w:sz="8" w:space="0"/>
            </w:tcBorders>
            <w:noWrap w:val="0"/>
            <w:vAlign w:val="center"/>
          </w:tcPr>
          <w:p>
            <w:pPr>
              <w:jc w:val="center"/>
              <w:rPr>
                <w:rFonts w:ascii="宋体" w:hAnsi="宋体" w:cs="宋体"/>
                <w:szCs w:val="21"/>
              </w:rPr>
            </w:pPr>
            <w:r>
              <w:rPr>
                <w:rFonts w:hint="eastAsia" w:ascii="宋体" w:hAnsi="宋体" w:cs="宋体"/>
                <w:szCs w:val="21"/>
              </w:rPr>
              <w:t>良好（</w:t>
            </w:r>
            <w:r>
              <w:rPr>
                <w:rFonts w:hint="eastAsia" w:ascii="宋体" w:hAnsi="宋体"/>
                <w:color w:val="767171"/>
                <w:szCs w:val="21"/>
              </w:rPr>
              <w:t>90&gt;X</w:t>
            </w:r>
            <w:r>
              <w:rPr>
                <w:rFonts w:ascii="宋体" w:hAnsi="宋体"/>
                <w:color w:val="767171"/>
                <w:szCs w:val="21"/>
              </w:rPr>
              <w:t>≥80</w:t>
            </w:r>
            <w:r>
              <w:rPr>
                <w:rFonts w:hint="eastAsia" w:ascii="宋体" w:hAnsi="宋体" w:cs="宋体"/>
                <w:szCs w:val="21"/>
              </w:rPr>
              <w:t>）</w:t>
            </w:r>
          </w:p>
        </w:tc>
        <w:tc>
          <w:tcPr>
            <w:tcW w:w="1737" w:type="dxa"/>
            <w:gridSpan w:val="5"/>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cs="宋体"/>
                <w:szCs w:val="21"/>
              </w:rPr>
            </w:pPr>
            <w:r>
              <w:rPr>
                <w:rFonts w:hint="eastAsia" w:ascii="宋体" w:hAnsi="宋体" w:cs="宋体"/>
                <w:szCs w:val="21"/>
              </w:rPr>
              <w:t>合格（</w:t>
            </w:r>
            <w:r>
              <w:rPr>
                <w:rFonts w:hint="eastAsia" w:ascii="宋体" w:hAnsi="宋体"/>
                <w:color w:val="767171"/>
                <w:szCs w:val="21"/>
              </w:rPr>
              <w:t>80&gt;</w:t>
            </w:r>
            <w:r>
              <w:rPr>
                <w:rFonts w:ascii="宋体" w:hAnsi="宋体"/>
                <w:color w:val="767171"/>
                <w:szCs w:val="21"/>
              </w:rPr>
              <w:t>X≥6</w:t>
            </w:r>
            <w:r>
              <w:rPr>
                <w:rFonts w:hint="eastAsia" w:ascii="宋体" w:hAnsi="宋体"/>
                <w:color w:val="767171"/>
                <w:szCs w:val="21"/>
              </w:rPr>
              <w:t>0</w:t>
            </w:r>
            <w:r>
              <w:rPr>
                <w:rFonts w:hint="eastAsia" w:ascii="宋体" w:hAnsi="宋体" w:cs="宋体"/>
                <w:szCs w:val="21"/>
              </w:rPr>
              <w:t>）</w:t>
            </w:r>
          </w:p>
        </w:tc>
        <w:tc>
          <w:tcPr>
            <w:tcW w:w="2124" w:type="dxa"/>
            <w:gridSpan w:val="4"/>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CellMar>
            <w:top w:w="0" w:type="dxa"/>
            <w:left w:w="108" w:type="dxa"/>
            <w:bottom w:w="0" w:type="dxa"/>
            <w:right w:w="108" w:type="dxa"/>
          </w:tblCellMar>
        </w:tblPrEx>
        <w:trPr>
          <w:trHeight w:val="566" w:hRule="atLeast"/>
          <w:jc w:val="center"/>
        </w:trPr>
        <w:tc>
          <w:tcPr>
            <w:tcW w:w="1786" w:type="dxa"/>
            <w:gridSpan w:val="4"/>
            <w:vMerge w:val="continue"/>
            <w:tcBorders>
              <w:top w:val="single" w:color="auto" w:sz="8" w:space="0"/>
              <w:left w:val="single" w:color="auto" w:sz="8" w:space="0"/>
              <w:bottom w:val="single" w:color="auto" w:sz="12" w:space="0"/>
              <w:right w:val="single" w:color="000000" w:sz="8" w:space="0"/>
            </w:tcBorders>
            <w:noWrap w:val="0"/>
            <w:vAlign w:val="center"/>
          </w:tcPr>
          <w:p>
            <w:pPr>
              <w:widowControl/>
              <w:jc w:val="left"/>
              <w:rPr>
                <w:rFonts w:ascii="黑体" w:hAnsi="宋体" w:eastAsia="黑体" w:cs="宋体"/>
                <w:sz w:val="24"/>
              </w:rPr>
            </w:pPr>
          </w:p>
        </w:tc>
        <w:tc>
          <w:tcPr>
            <w:tcW w:w="2098" w:type="dxa"/>
            <w:gridSpan w:val="3"/>
            <w:tcBorders>
              <w:top w:val="nil"/>
              <w:left w:val="nil"/>
              <w:bottom w:val="single" w:color="auto" w:sz="12" w:space="0"/>
              <w:right w:val="single" w:color="000000" w:sz="8" w:space="0"/>
            </w:tcBorders>
            <w:noWrap w:val="0"/>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2320" w:type="dxa"/>
            <w:tcBorders>
              <w:top w:val="single" w:color="auto" w:sz="8" w:space="0"/>
              <w:left w:val="nil"/>
              <w:bottom w:val="single" w:color="auto" w:sz="12" w:space="0"/>
              <w:right w:val="single" w:color="000000" w:sz="8" w:space="0"/>
            </w:tcBorders>
            <w:noWrap w:val="0"/>
            <w:vAlign w:val="center"/>
          </w:tcPr>
          <w:p>
            <w:pPr>
              <w:ind w:firstLine="360"/>
              <w:jc w:val="center"/>
              <w:rPr>
                <w:szCs w:val="21"/>
              </w:rPr>
            </w:pPr>
          </w:p>
        </w:tc>
        <w:tc>
          <w:tcPr>
            <w:tcW w:w="1737" w:type="dxa"/>
            <w:gridSpan w:val="5"/>
            <w:tcBorders>
              <w:top w:val="single" w:color="auto" w:sz="8" w:space="0"/>
              <w:left w:val="nil"/>
              <w:bottom w:val="single" w:color="auto" w:sz="12" w:space="0"/>
              <w:right w:val="single" w:color="auto" w:sz="8" w:space="0"/>
            </w:tcBorders>
            <w:noWrap w:val="0"/>
            <w:vAlign w:val="center"/>
          </w:tcPr>
          <w:p>
            <w:pPr>
              <w:ind w:firstLine="360"/>
              <w:jc w:val="center"/>
              <w:rPr>
                <w:szCs w:val="21"/>
              </w:rPr>
            </w:pPr>
            <w:r>
              <w:rPr>
                <w:rFonts w:hint="eastAsia"/>
                <w:szCs w:val="21"/>
              </w:rPr>
              <w:t>　</w:t>
            </w:r>
          </w:p>
        </w:tc>
        <w:tc>
          <w:tcPr>
            <w:tcW w:w="2124" w:type="dxa"/>
            <w:gridSpan w:val="4"/>
            <w:tcBorders>
              <w:top w:val="single" w:color="auto" w:sz="8" w:space="0"/>
              <w:left w:val="nil"/>
              <w:bottom w:val="single" w:color="auto" w:sz="12" w:space="0"/>
              <w:right w:val="single" w:color="auto" w:sz="8" w:space="0"/>
            </w:tcBorders>
            <w:noWrap w:val="0"/>
            <w:vAlign w:val="center"/>
          </w:tcPr>
          <w:p>
            <w:pPr>
              <w:ind w:firstLine="360"/>
              <w:jc w:val="center"/>
              <w:rPr>
                <w:szCs w:val="21"/>
              </w:rPr>
            </w:pPr>
            <w:r>
              <w:rPr>
                <w:rFonts w:hint="eastAsia"/>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10065" w:type="dxa"/>
            <w:gridSpan w:val="17"/>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b/>
                <w:bCs/>
                <w:szCs w:val="21"/>
              </w:rPr>
            </w:pPr>
            <w:r>
              <w:rPr>
                <w:rFonts w:ascii="宋体" w:hAnsi="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1524" w:type="dxa"/>
            <w:gridSpan w:val="2"/>
            <w:tcBorders>
              <w:top w:val="single" w:color="auto" w:sz="12" w:space="0"/>
              <w:bottom w:val="single" w:color="auto" w:sz="12" w:space="0"/>
            </w:tcBorders>
            <w:noWrap w:val="0"/>
            <w:vAlign w:val="center"/>
          </w:tcPr>
          <w:p>
            <w:pPr>
              <w:spacing w:line="240" w:lineRule="atLeast"/>
              <w:rPr>
                <w:rFonts w:hint="eastAsia" w:ascii="宋体" w:hAnsi="宋体"/>
                <w:szCs w:val="21"/>
              </w:rPr>
            </w:pPr>
            <w:r>
              <w:rPr>
                <w:rFonts w:hint="eastAsia" w:ascii="宋体" w:hAnsi="宋体"/>
                <w:szCs w:val="21"/>
              </w:rPr>
              <w:t>其他补充评价</w:t>
            </w:r>
          </w:p>
        </w:tc>
        <w:tc>
          <w:tcPr>
            <w:tcW w:w="8541" w:type="dxa"/>
            <w:gridSpan w:val="15"/>
            <w:tcBorders>
              <w:top w:val="single" w:color="auto" w:sz="12" w:space="0"/>
              <w:bottom w:val="single" w:color="auto" w:sz="12" w:space="0"/>
            </w:tcBorders>
            <w:noWrap w:val="0"/>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10065" w:type="dxa"/>
            <w:gridSpan w:val="17"/>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b/>
                <w:bCs/>
                <w:szCs w:val="21"/>
              </w:rPr>
            </w:pPr>
            <w:r>
              <w:rPr>
                <w:rFonts w:hint="eastAsia" w:ascii="宋体" w:hAnsi="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1524" w:type="dxa"/>
            <w:gridSpan w:val="2"/>
            <w:tcBorders>
              <w:top w:val="single" w:color="auto" w:sz="12" w:space="0"/>
              <w:bottom w:val="double" w:color="auto" w:sz="4" w:space="0"/>
            </w:tcBorders>
            <w:noWrap w:val="0"/>
            <w:vAlign w:val="center"/>
          </w:tcPr>
          <w:p>
            <w:pPr>
              <w:spacing w:line="240" w:lineRule="atLeast"/>
              <w:rPr>
                <w:rFonts w:hint="eastAsia" w:ascii="宋体" w:hAnsi="宋体"/>
                <w:szCs w:val="21"/>
              </w:rPr>
            </w:pPr>
            <w:r>
              <w:rPr>
                <w:rFonts w:hint="eastAsia" w:ascii="宋体" w:hAnsi="宋体"/>
                <w:szCs w:val="21"/>
              </w:rPr>
              <w:t>评价结论</w:t>
            </w:r>
          </w:p>
        </w:tc>
        <w:tc>
          <w:tcPr>
            <w:tcW w:w="8541" w:type="dxa"/>
            <w:gridSpan w:val="15"/>
            <w:tcBorders>
              <w:top w:val="single" w:color="auto" w:sz="12" w:space="0"/>
              <w:bottom w:val="double" w:color="auto" w:sz="4" w:space="0"/>
            </w:tcBorders>
            <w:noWrap w:val="0"/>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hint="eastAsia" w:ascii="宋体" w:hAnsi="宋体"/>
                <w:bCs/>
                <w:szCs w:val="21"/>
              </w:rPr>
            </w:pPr>
          </w:p>
          <w:p>
            <w:pPr>
              <w:spacing w:line="240" w:lineRule="atLeast"/>
              <w:jc w:val="left"/>
              <w:rPr>
                <w:rFonts w:ascii="宋体" w:hAnsi="宋体"/>
                <w:bCs/>
                <w:szCs w:val="21"/>
              </w:rPr>
            </w:pPr>
            <w:r>
              <w:rPr>
                <w:rFonts w:hint="eastAsia" w:ascii="宋体" w:hAnsi="宋体"/>
                <w:bCs/>
                <w:szCs w:val="21"/>
              </w:rPr>
              <w:t>评估成为本单位：□ 推荐</w:t>
            </w:r>
            <w:r>
              <w:rPr>
                <w:rFonts w:ascii="宋体" w:hAnsi="宋体"/>
                <w:bCs/>
                <w:szCs w:val="21"/>
              </w:rPr>
              <w:t>服务机构</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不合格服务机构</w:t>
            </w:r>
          </w:p>
          <w:p>
            <w:pPr>
              <w:spacing w:line="240" w:lineRule="atLeast"/>
              <w:jc w:val="left"/>
              <w:rPr>
                <w:rFonts w:ascii="宋体" w:hAnsi="宋体"/>
                <w:szCs w:val="21"/>
                <w:u w:val="single"/>
              </w:rPr>
            </w:pPr>
            <w:r>
              <w:rPr>
                <w:rFonts w:hint="eastAsia" w:ascii="宋体" w:hAnsi="宋体"/>
                <w:bCs/>
                <w:szCs w:val="21"/>
              </w:rPr>
              <w:t>项目负责人签字（单位签章</w:t>
            </w:r>
            <w:r>
              <w:rPr>
                <w:rFonts w:ascii="宋体" w:hAnsi="宋体"/>
                <w:bCs/>
                <w:szCs w:val="21"/>
              </w:rPr>
              <w:t>）</w:t>
            </w:r>
            <w:r>
              <w:rPr>
                <w:rFonts w:hint="eastAsia" w:ascii="宋体" w:hAnsi="宋体"/>
                <w:bCs/>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center" w:pos="3817"/>
              </w:tabs>
              <w:spacing w:line="240" w:lineRule="atLeast"/>
              <w:jc w:val="left"/>
              <w:rPr>
                <w:rFonts w:hint="eastAsia" w:ascii="宋体" w:hAnsi="宋体"/>
                <w:bCs/>
                <w:szCs w:val="21"/>
              </w:rPr>
            </w:pPr>
            <w:r>
              <w:rPr>
                <w:rFonts w:hint="eastAsia" w:ascii="宋体" w:hAnsi="宋体"/>
                <w:szCs w:val="21"/>
              </w:rPr>
              <w:t>日期：        年    月     日</w:t>
            </w:r>
          </w:p>
        </w:tc>
      </w:tr>
    </w:tbl>
    <w:p>
      <w:pPr>
        <w:jc w:val="center"/>
        <w:rPr>
          <w:rFonts w:ascii="仿宋_GB2312" w:hAnsi="宋体" w:eastAsia="仿宋_GB2312"/>
          <w:sz w:val="28"/>
          <w:szCs w:val="28"/>
        </w:rPr>
      </w:pPr>
    </w:p>
    <w:p>
      <w:pPr>
        <w:pStyle w:val="13"/>
        <w:jc w:val="left"/>
        <w:rPr>
          <w:rFonts w:hint="eastAsia"/>
          <w:b w:val="0"/>
          <w:bCs w:val="0"/>
          <w:sz w:val="21"/>
          <w:szCs w:val="21"/>
          <w:lang w:val="en-US" w:eastAsia="zh-CN"/>
        </w:rPr>
      </w:pPr>
    </w:p>
    <w:p>
      <w:pPr>
        <w:pStyle w:val="13"/>
        <w:jc w:val="left"/>
        <w:rPr>
          <w:rFonts w:hint="eastAsia"/>
          <w:b w:val="0"/>
          <w:bCs w:val="0"/>
          <w:sz w:val="21"/>
          <w:szCs w:val="21"/>
          <w:lang w:val="en-US" w:eastAsia="zh-CN"/>
        </w:rPr>
      </w:pPr>
    </w:p>
    <w:p>
      <w:pPr>
        <w:pStyle w:val="13"/>
        <w:jc w:val="left"/>
        <w:rPr>
          <w:rFonts w:hint="eastAsia"/>
          <w:b w:val="0"/>
          <w:bCs w:val="0"/>
          <w:sz w:val="21"/>
          <w:szCs w:val="21"/>
          <w:lang w:val="en-US" w:eastAsia="zh-CN"/>
        </w:rPr>
      </w:pPr>
    </w:p>
    <w:p>
      <w:pPr>
        <w:pStyle w:val="13"/>
        <w:jc w:val="left"/>
        <w:rPr>
          <w:rFonts w:hint="eastAsia"/>
          <w:b w:val="0"/>
          <w:bCs w:val="0"/>
          <w:sz w:val="21"/>
          <w:szCs w:val="21"/>
          <w:lang w:val="en-US" w:eastAsia="zh-CN"/>
        </w:rPr>
      </w:pPr>
    </w:p>
    <w:p>
      <w:pPr>
        <w:pStyle w:val="13"/>
        <w:jc w:val="left"/>
        <w:rPr>
          <w:b w:val="0"/>
          <w:bCs w:val="0"/>
          <w:sz w:val="21"/>
          <w:szCs w:val="21"/>
        </w:rPr>
      </w:pPr>
      <w:r>
        <w:rPr>
          <w:rFonts w:hint="eastAsia"/>
          <w:b w:val="0"/>
          <w:bCs w:val="0"/>
          <w:sz w:val="21"/>
          <w:szCs w:val="21"/>
          <w:lang w:val="en-US" w:eastAsia="zh-CN"/>
        </w:rPr>
        <w:t>（二</w:t>
      </w:r>
      <w:r>
        <w:rPr>
          <w:rFonts w:hint="eastAsia"/>
          <w:b w:val="0"/>
          <w:bCs w:val="0"/>
          <w:sz w:val="21"/>
          <w:szCs w:val="21"/>
          <w:lang w:eastAsia="zh-CN"/>
        </w:rPr>
        <w:t>）</w:t>
      </w:r>
      <w:r>
        <w:rPr>
          <w:b w:val="0"/>
          <w:bCs w:val="0"/>
          <w:sz w:val="21"/>
          <w:szCs w:val="21"/>
        </w:rPr>
        <w:t>深圳会展中心</w:t>
      </w:r>
      <w:r>
        <w:rPr>
          <w:b w:val="0"/>
          <w:bCs w:val="0"/>
          <w:sz w:val="21"/>
          <w:szCs w:val="21"/>
          <w:u w:val="single"/>
        </w:rPr>
        <w:t>　　</w:t>
      </w:r>
      <w:r>
        <w:rPr>
          <w:b w:val="0"/>
          <w:bCs w:val="0"/>
          <w:sz w:val="21"/>
          <w:szCs w:val="21"/>
        </w:rPr>
        <w:t>年</w:t>
      </w:r>
      <w:r>
        <w:rPr>
          <w:b w:val="0"/>
          <w:bCs w:val="0"/>
          <w:sz w:val="21"/>
          <w:szCs w:val="21"/>
          <w:u w:val="single"/>
        </w:rPr>
        <w:t>　　</w:t>
      </w:r>
      <w:r>
        <w:rPr>
          <w:rFonts w:hint="eastAsia"/>
          <w:b w:val="0"/>
          <w:bCs w:val="0"/>
          <w:sz w:val="21"/>
          <w:szCs w:val="21"/>
          <w:u w:val="none"/>
          <w:lang w:val="en-US" w:eastAsia="zh-CN"/>
        </w:rPr>
        <w:t>季度</w:t>
      </w:r>
      <w:r>
        <w:rPr>
          <w:b w:val="0"/>
          <w:bCs w:val="0"/>
          <w:sz w:val="21"/>
          <w:szCs w:val="21"/>
        </w:rPr>
        <w:t>零星工程造价咨询项目一览表</w:t>
      </w:r>
    </w:p>
    <w:tbl>
      <w:tblPr>
        <w:tblStyle w:val="15"/>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64"/>
        <w:gridCol w:w="1425"/>
        <w:gridCol w:w="1487"/>
        <w:gridCol w:w="148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5" w:type="dxa"/>
            <w:vAlign w:val="center"/>
          </w:tcPr>
          <w:p>
            <w:pPr>
              <w:jc w:val="center"/>
            </w:pPr>
            <w:r>
              <w:rPr>
                <w:rFonts w:hint="eastAsia"/>
              </w:rPr>
              <w:t>序号</w:t>
            </w:r>
          </w:p>
        </w:tc>
        <w:tc>
          <w:tcPr>
            <w:tcW w:w="2664" w:type="dxa"/>
            <w:vAlign w:val="center"/>
          </w:tcPr>
          <w:p>
            <w:pPr>
              <w:jc w:val="center"/>
            </w:pPr>
            <w:r>
              <w:t>项目名称</w:t>
            </w:r>
          </w:p>
        </w:tc>
        <w:tc>
          <w:tcPr>
            <w:tcW w:w="1425" w:type="dxa"/>
            <w:vAlign w:val="center"/>
          </w:tcPr>
          <w:p>
            <w:pPr>
              <w:jc w:val="center"/>
            </w:pPr>
            <w:r>
              <w:t>审定金额</w:t>
            </w:r>
          </w:p>
        </w:tc>
        <w:tc>
          <w:tcPr>
            <w:tcW w:w="1487" w:type="dxa"/>
            <w:vAlign w:val="center"/>
          </w:tcPr>
          <w:p>
            <w:pPr>
              <w:jc w:val="center"/>
            </w:pPr>
            <w:r>
              <w:t>咨询费</w:t>
            </w:r>
          </w:p>
        </w:tc>
        <w:tc>
          <w:tcPr>
            <w:tcW w:w="1487" w:type="dxa"/>
            <w:vAlign w:val="center"/>
          </w:tcPr>
          <w:p>
            <w:pPr>
              <w:jc w:val="center"/>
            </w:pPr>
            <w:r>
              <w:t>项目负责部门/模块</w:t>
            </w:r>
          </w:p>
        </w:tc>
        <w:tc>
          <w:tcPr>
            <w:tcW w:w="882" w:type="dxa"/>
            <w:vAlign w:val="center"/>
          </w:tcPr>
          <w:p>
            <w:pPr>
              <w:jc w:val="center"/>
            </w:pPr>
            <w:r>
              <w:rPr>
                <w:rFonts w:hint="eastAsia"/>
              </w:rPr>
              <w:t>签认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bl>
    <w:p>
      <w:pPr>
        <w:spacing w:line="400" w:lineRule="exact"/>
        <w:outlineLvl w:val="0"/>
        <w:rPr>
          <w:rFonts w:ascii="宋体" w:hAnsi="宋体"/>
          <w:b/>
          <w:sz w:val="32"/>
          <w:szCs w:val="32"/>
        </w:rPr>
      </w:pPr>
      <w:r>
        <w:rPr>
          <w:rFonts w:hint="eastAsia" w:ascii="宋体" w:hAnsi="宋体"/>
          <w:b/>
          <w:sz w:val="28"/>
          <w:szCs w:val="28"/>
        </w:rPr>
        <w:br w:type="page"/>
      </w:r>
      <w:bookmarkStart w:id="44" w:name="_Toc20601"/>
      <w:r>
        <w:rPr>
          <w:rFonts w:hint="eastAsia" w:ascii="宋体" w:hAnsi="宋体"/>
          <w:b/>
          <w:sz w:val="32"/>
          <w:szCs w:val="32"/>
        </w:rPr>
        <w:t>第二部分：开标流程</w:t>
      </w:r>
      <w:bookmarkEnd w:id="44"/>
    </w:p>
    <w:p>
      <w:pPr>
        <w:numPr>
          <w:ilvl w:val="0"/>
          <w:numId w:val="5"/>
        </w:numPr>
        <w:spacing w:line="360" w:lineRule="auto"/>
        <w:outlineLvl w:val="1"/>
        <w:rPr>
          <w:rFonts w:ascii="宋体" w:hAnsi="宋体"/>
          <w:b/>
          <w:sz w:val="24"/>
          <w:szCs w:val="24"/>
        </w:rPr>
      </w:pPr>
      <w:bookmarkStart w:id="45" w:name="_Toc4125"/>
      <w:r>
        <w:rPr>
          <w:rFonts w:hint="eastAsia" w:ascii="宋体" w:hAnsi="宋体"/>
          <w:b/>
          <w:sz w:val="24"/>
          <w:szCs w:val="24"/>
        </w:rPr>
        <w:t>开标流程</w:t>
      </w:r>
      <w:bookmarkEnd w:id="45"/>
    </w:p>
    <w:p>
      <w:pPr>
        <w:pStyle w:val="21"/>
        <w:numPr>
          <w:ilvl w:val="0"/>
          <w:numId w:val="22"/>
        </w:numPr>
        <w:tabs>
          <w:tab w:val="left" w:pos="720"/>
          <w:tab w:val="left" w:pos="851"/>
        </w:tabs>
        <w:spacing w:line="360" w:lineRule="auto"/>
        <w:ind w:left="720" w:firstLine="491" w:firstLineChars="205"/>
        <w:rPr>
          <w:rFonts w:ascii="宋体" w:hAnsi="宋体" w:eastAsia="宋体"/>
          <w:sz w:val="24"/>
          <w:szCs w:val="24"/>
        </w:rPr>
      </w:pPr>
      <w:r>
        <w:rPr>
          <w:rFonts w:hint="eastAsia" w:ascii="宋体" w:hAnsi="宋体" w:eastAsia="宋体"/>
          <w:sz w:val="24"/>
          <w:szCs w:val="24"/>
        </w:rPr>
        <w:t>投标人按要求准时进入视频会议室；</w:t>
      </w:r>
    </w:p>
    <w:p>
      <w:pPr>
        <w:pStyle w:val="21"/>
        <w:numPr>
          <w:ilvl w:val="0"/>
          <w:numId w:val="22"/>
        </w:numPr>
        <w:tabs>
          <w:tab w:val="left" w:pos="720"/>
          <w:tab w:val="left" w:pos="851"/>
        </w:tabs>
        <w:spacing w:line="360" w:lineRule="auto"/>
        <w:ind w:left="720" w:firstLine="491" w:firstLineChars="205"/>
        <w:rPr>
          <w:rFonts w:ascii="宋体" w:hAnsi="宋体" w:eastAsia="宋体"/>
          <w:sz w:val="24"/>
          <w:szCs w:val="24"/>
        </w:rPr>
      </w:pPr>
      <w:r>
        <w:rPr>
          <w:rFonts w:hint="eastAsia" w:ascii="宋体" w:hAnsi="宋体" w:eastAsia="宋体"/>
          <w:sz w:val="24"/>
          <w:szCs w:val="24"/>
        </w:rPr>
        <w:t>投标人按时发送文件密码至招标联系人邮箱；</w:t>
      </w:r>
    </w:p>
    <w:p>
      <w:pPr>
        <w:pStyle w:val="21"/>
        <w:numPr>
          <w:ilvl w:val="0"/>
          <w:numId w:val="22"/>
        </w:numPr>
        <w:tabs>
          <w:tab w:val="left" w:pos="720"/>
          <w:tab w:val="left" w:pos="851"/>
        </w:tabs>
        <w:spacing w:line="360" w:lineRule="auto"/>
        <w:ind w:left="720" w:firstLine="491" w:firstLineChars="205"/>
        <w:rPr>
          <w:rFonts w:ascii="宋体" w:hAnsi="宋体" w:eastAsia="宋体"/>
          <w:sz w:val="24"/>
          <w:szCs w:val="24"/>
        </w:rPr>
      </w:pPr>
      <w:r>
        <w:rPr>
          <w:rFonts w:hint="eastAsia" w:ascii="宋体" w:hAnsi="宋体" w:eastAsia="宋体"/>
          <w:sz w:val="24"/>
          <w:szCs w:val="24"/>
        </w:rPr>
        <w:t>宣布开标开始，宣读开标注意事项、流程；</w:t>
      </w:r>
    </w:p>
    <w:p>
      <w:pPr>
        <w:pStyle w:val="21"/>
        <w:numPr>
          <w:ilvl w:val="0"/>
          <w:numId w:val="22"/>
        </w:numPr>
        <w:tabs>
          <w:tab w:val="left" w:pos="720"/>
          <w:tab w:val="left" w:pos="851"/>
        </w:tabs>
        <w:spacing w:line="360" w:lineRule="auto"/>
        <w:ind w:left="720" w:firstLine="491" w:firstLineChars="205"/>
        <w:rPr>
          <w:rFonts w:ascii="宋体" w:hAnsi="宋体" w:eastAsia="宋体"/>
          <w:sz w:val="24"/>
          <w:szCs w:val="24"/>
        </w:rPr>
      </w:pPr>
      <w:r>
        <w:rPr>
          <w:rFonts w:hint="eastAsia" w:ascii="宋体" w:hAnsi="宋体" w:eastAsia="宋体"/>
          <w:sz w:val="24"/>
          <w:szCs w:val="24"/>
        </w:rPr>
        <w:t>评标小组组长主持评标；</w:t>
      </w:r>
    </w:p>
    <w:p>
      <w:pPr>
        <w:pStyle w:val="21"/>
        <w:numPr>
          <w:ilvl w:val="0"/>
          <w:numId w:val="22"/>
        </w:numPr>
        <w:tabs>
          <w:tab w:val="left" w:pos="720"/>
          <w:tab w:val="left" w:pos="851"/>
        </w:tabs>
        <w:spacing w:line="360" w:lineRule="auto"/>
        <w:ind w:left="720" w:firstLine="491" w:firstLineChars="205"/>
        <w:rPr>
          <w:rFonts w:ascii="宋体" w:hAnsi="宋体" w:eastAsia="宋体"/>
          <w:sz w:val="24"/>
          <w:szCs w:val="24"/>
        </w:rPr>
      </w:pPr>
      <w:r>
        <w:rPr>
          <w:rFonts w:hint="eastAsia" w:ascii="宋体" w:hAnsi="宋体" w:eastAsia="宋体"/>
          <w:sz w:val="24"/>
          <w:szCs w:val="24"/>
        </w:rPr>
        <w:t>招标人解密投标文件。</w:t>
      </w:r>
    </w:p>
    <w:p>
      <w:pPr>
        <w:pStyle w:val="21"/>
        <w:numPr>
          <w:ilvl w:val="0"/>
          <w:numId w:val="22"/>
        </w:numPr>
        <w:tabs>
          <w:tab w:val="left" w:pos="720"/>
          <w:tab w:val="left" w:pos="851"/>
        </w:tabs>
        <w:spacing w:line="360" w:lineRule="auto"/>
        <w:ind w:left="720" w:firstLine="491" w:firstLineChars="205"/>
        <w:rPr>
          <w:rFonts w:ascii="宋体" w:hAnsi="宋体" w:eastAsia="宋体"/>
          <w:sz w:val="24"/>
          <w:szCs w:val="24"/>
        </w:rPr>
      </w:pPr>
      <w:r>
        <w:rPr>
          <w:rFonts w:hint="eastAsia" w:ascii="宋体" w:hAnsi="宋体" w:eastAsia="宋体"/>
          <w:sz w:val="24"/>
          <w:szCs w:val="24"/>
        </w:rPr>
        <w:t>现场公开唱标。</w:t>
      </w:r>
    </w:p>
    <w:p>
      <w:pPr>
        <w:pStyle w:val="21"/>
        <w:numPr>
          <w:ilvl w:val="0"/>
          <w:numId w:val="22"/>
        </w:numPr>
        <w:tabs>
          <w:tab w:val="left" w:pos="720"/>
          <w:tab w:val="left" w:pos="851"/>
        </w:tabs>
        <w:spacing w:line="360" w:lineRule="auto"/>
        <w:ind w:left="720" w:firstLine="491" w:firstLineChars="205"/>
        <w:rPr>
          <w:rFonts w:ascii="宋体" w:hAnsi="宋体" w:eastAsia="宋体"/>
          <w:sz w:val="24"/>
          <w:szCs w:val="24"/>
        </w:rPr>
      </w:pPr>
      <w:r>
        <w:rPr>
          <w:rFonts w:hint="eastAsia" w:ascii="宋体" w:hAnsi="宋体" w:eastAsia="宋体"/>
          <w:sz w:val="24"/>
          <w:szCs w:val="24"/>
        </w:rPr>
        <w:t>投标文件及密码发送符合要求的投标人即可离开视频会议室；</w:t>
      </w:r>
    </w:p>
    <w:p>
      <w:pPr>
        <w:pStyle w:val="21"/>
        <w:numPr>
          <w:ilvl w:val="0"/>
          <w:numId w:val="22"/>
        </w:numPr>
        <w:tabs>
          <w:tab w:val="left" w:pos="720"/>
          <w:tab w:val="left" w:pos="851"/>
        </w:tabs>
        <w:spacing w:line="360" w:lineRule="auto"/>
        <w:ind w:left="720" w:firstLine="491" w:firstLineChars="205"/>
        <w:rPr>
          <w:rFonts w:ascii="宋体" w:hAnsi="宋体" w:eastAsia="宋体"/>
          <w:sz w:val="24"/>
          <w:szCs w:val="24"/>
        </w:rPr>
      </w:pPr>
      <w:r>
        <w:rPr>
          <w:rFonts w:hint="eastAsia" w:ascii="宋体" w:hAnsi="宋体" w:eastAsia="宋体"/>
          <w:sz w:val="24"/>
          <w:szCs w:val="24"/>
        </w:rPr>
        <w:t>响应文件的完整性检验和投标人基本情况的符合性审查；</w:t>
      </w:r>
    </w:p>
    <w:p>
      <w:pPr>
        <w:pStyle w:val="21"/>
        <w:numPr>
          <w:ilvl w:val="0"/>
          <w:numId w:val="22"/>
        </w:numPr>
        <w:tabs>
          <w:tab w:val="left" w:pos="720"/>
          <w:tab w:val="left" w:pos="851"/>
        </w:tabs>
        <w:spacing w:line="360" w:lineRule="auto"/>
        <w:ind w:left="720" w:firstLine="491" w:firstLineChars="205"/>
        <w:rPr>
          <w:rFonts w:ascii="宋体" w:hAnsi="宋体" w:eastAsia="宋体"/>
          <w:sz w:val="24"/>
          <w:szCs w:val="24"/>
        </w:rPr>
      </w:pPr>
      <w:r>
        <w:rPr>
          <w:rFonts w:hint="eastAsia" w:ascii="宋体" w:hAnsi="宋体" w:eastAsia="宋体"/>
          <w:sz w:val="24"/>
          <w:szCs w:val="24"/>
        </w:rPr>
        <w:t>商务及技术需求响应性评定；</w:t>
      </w:r>
    </w:p>
    <w:p>
      <w:pPr>
        <w:pStyle w:val="21"/>
        <w:numPr>
          <w:ilvl w:val="0"/>
          <w:numId w:val="22"/>
        </w:numPr>
        <w:tabs>
          <w:tab w:val="left" w:pos="720"/>
          <w:tab w:val="left" w:pos="851"/>
          <w:tab w:val="left" w:pos="993"/>
        </w:tabs>
        <w:spacing w:line="360" w:lineRule="auto"/>
        <w:ind w:left="720" w:firstLine="491" w:firstLineChars="205"/>
        <w:rPr>
          <w:rFonts w:ascii="宋体" w:hAnsi="宋体" w:eastAsia="宋体"/>
          <w:sz w:val="24"/>
          <w:szCs w:val="24"/>
        </w:rPr>
      </w:pPr>
      <w:r>
        <w:rPr>
          <w:rFonts w:hint="eastAsia" w:ascii="宋体" w:hAnsi="宋体" w:eastAsia="宋体"/>
          <w:sz w:val="24"/>
          <w:szCs w:val="24"/>
        </w:rPr>
        <w:t>评标小组成员采用有记名方式按综合评议指标评分；</w:t>
      </w:r>
    </w:p>
    <w:p>
      <w:pPr>
        <w:pStyle w:val="21"/>
        <w:numPr>
          <w:ilvl w:val="0"/>
          <w:numId w:val="22"/>
        </w:numPr>
        <w:tabs>
          <w:tab w:val="left" w:pos="720"/>
          <w:tab w:val="left" w:pos="851"/>
          <w:tab w:val="left" w:pos="993"/>
        </w:tabs>
        <w:spacing w:line="360" w:lineRule="auto"/>
        <w:ind w:left="720" w:firstLine="491" w:firstLineChars="205"/>
        <w:rPr>
          <w:rFonts w:ascii="宋体" w:hAnsi="宋体" w:eastAsia="宋体"/>
          <w:sz w:val="24"/>
          <w:szCs w:val="24"/>
        </w:rPr>
      </w:pPr>
      <w:r>
        <w:rPr>
          <w:rFonts w:hint="eastAsia" w:ascii="宋体" w:hAnsi="宋体" w:eastAsia="宋体"/>
          <w:sz w:val="24"/>
          <w:szCs w:val="24"/>
        </w:rPr>
        <w:t>综合评分的计算和排序；</w:t>
      </w:r>
    </w:p>
    <w:p>
      <w:pPr>
        <w:pStyle w:val="21"/>
        <w:numPr>
          <w:ilvl w:val="0"/>
          <w:numId w:val="22"/>
        </w:numPr>
        <w:tabs>
          <w:tab w:val="left" w:pos="720"/>
          <w:tab w:val="left" w:pos="851"/>
          <w:tab w:val="left" w:pos="993"/>
        </w:tabs>
        <w:spacing w:line="360" w:lineRule="auto"/>
        <w:ind w:left="720" w:firstLine="491" w:firstLineChars="205"/>
        <w:rPr>
          <w:rFonts w:ascii="宋体" w:hAnsi="宋体" w:eastAsia="宋体"/>
          <w:sz w:val="24"/>
          <w:szCs w:val="24"/>
        </w:rPr>
      </w:pPr>
      <w:r>
        <w:rPr>
          <w:rFonts w:hint="eastAsia" w:ascii="宋体" w:hAnsi="宋体" w:eastAsia="宋体"/>
          <w:sz w:val="24"/>
          <w:szCs w:val="24"/>
        </w:rPr>
        <w:t>本项目招标第一候选供应商、备选供应商的确定及报告的出具。</w:t>
      </w:r>
    </w:p>
    <w:p>
      <w:pPr>
        <w:spacing w:line="360" w:lineRule="auto"/>
        <w:jc w:val="center"/>
        <w:outlineLvl w:val="0"/>
        <w:rPr>
          <w:rFonts w:ascii="宋体" w:hAnsi="宋体"/>
          <w:b/>
          <w:sz w:val="32"/>
          <w:szCs w:val="32"/>
        </w:rPr>
      </w:pPr>
      <w:r>
        <w:rPr>
          <w:rFonts w:ascii="宋体" w:hAnsi="宋体"/>
          <w:b/>
          <w:sz w:val="28"/>
        </w:rPr>
        <w:br w:type="page"/>
      </w:r>
      <w:bookmarkStart w:id="46" w:name="_Toc5174"/>
      <w:r>
        <w:rPr>
          <w:rFonts w:hint="eastAsia" w:ascii="宋体" w:hAnsi="宋体"/>
          <w:b/>
          <w:sz w:val="32"/>
          <w:szCs w:val="32"/>
        </w:rPr>
        <w:t>第三部分：评审办法</w:t>
      </w:r>
      <w:bookmarkEnd w:id="46"/>
    </w:p>
    <w:p>
      <w:pPr>
        <w:numPr>
          <w:ilvl w:val="0"/>
          <w:numId w:val="5"/>
        </w:numPr>
        <w:spacing w:line="360" w:lineRule="auto"/>
        <w:outlineLvl w:val="1"/>
        <w:rPr>
          <w:rFonts w:ascii="宋体" w:hAnsi="宋体"/>
          <w:sz w:val="24"/>
          <w:szCs w:val="24"/>
        </w:rPr>
      </w:pPr>
      <w:bookmarkStart w:id="47" w:name="_Toc140"/>
      <w:r>
        <w:rPr>
          <w:rFonts w:hint="eastAsia" w:ascii="宋体" w:hAnsi="宋体"/>
          <w:b/>
          <w:bCs/>
          <w:sz w:val="24"/>
          <w:szCs w:val="24"/>
        </w:rPr>
        <w:t>评审办法</w:t>
      </w:r>
      <w:bookmarkEnd w:id="47"/>
    </w:p>
    <w:p>
      <w:pPr>
        <w:spacing w:line="360" w:lineRule="auto"/>
        <w:ind w:firstLine="480" w:firstLineChars="200"/>
        <w:rPr>
          <w:rFonts w:ascii="宋体" w:hAnsi="宋体"/>
          <w:sz w:val="24"/>
          <w:szCs w:val="24"/>
        </w:rPr>
      </w:pPr>
      <w:r>
        <w:rPr>
          <w:rFonts w:hint="eastAsia" w:ascii="宋体" w:hAnsi="宋体"/>
          <w:sz w:val="24"/>
          <w:szCs w:val="24"/>
        </w:rPr>
        <w:t>首先对各投标人进行符合性审查。对通过符合性审查的投标人，采用</w:t>
      </w:r>
      <w:r>
        <w:rPr>
          <w:rFonts w:hint="eastAsia" w:ascii="宋体" w:hAnsi="宋体"/>
          <w:b/>
          <w:sz w:val="24"/>
          <w:szCs w:val="24"/>
        </w:rPr>
        <w:t>100分制综合评分法</w:t>
      </w:r>
      <w:r>
        <w:rPr>
          <w:rFonts w:hint="eastAsia" w:ascii="宋体" w:hAnsi="宋体"/>
          <w:sz w:val="24"/>
          <w:szCs w:val="24"/>
        </w:rPr>
        <w:t>进行评分。</w:t>
      </w:r>
    </w:p>
    <w:p>
      <w:pPr>
        <w:numPr>
          <w:ilvl w:val="0"/>
          <w:numId w:val="23"/>
        </w:numPr>
        <w:spacing w:line="360" w:lineRule="auto"/>
        <w:jc w:val="left"/>
        <w:outlineLvl w:val="2"/>
        <w:rPr>
          <w:rStyle w:val="28"/>
          <w:rFonts w:ascii="宋体" w:hAnsi="宋体"/>
          <w:b/>
          <w:szCs w:val="21"/>
        </w:rPr>
      </w:pPr>
      <w:bookmarkStart w:id="48" w:name="_Toc19605"/>
      <w:r>
        <w:rPr>
          <w:rStyle w:val="28"/>
          <w:rFonts w:hint="eastAsia" w:ascii="宋体" w:hAnsi="宋体"/>
          <w:b/>
          <w:bCs/>
          <w:szCs w:val="21"/>
        </w:rPr>
        <w:t>符合性检查</w:t>
      </w:r>
      <w:bookmarkEnd w:id="48"/>
    </w:p>
    <w:tbl>
      <w:tblPr>
        <w:tblStyle w:val="15"/>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 w:val="21"/>
                <w:szCs w:val="21"/>
              </w:rPr>
            </w:pPr>
            <w:r>
              <w:rPr>
                <w:rFonts w:hint="eastAsia" w:ascii="宋体" w:hAnsi="宋体" w:cs="仿宋"/>
                <w:sz w:val="21"/>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 w:val="21"/>
                <w:szCs w:val="21"/>
              </w:rPr>
            </w:pPr>
            <w:r>
              <w:rPr>
                <w:rFonts w:hint="eastAsia" w:ascii="宋体" w:hAnsi="宋体" w:cs="仿宋"/>
                <w:sz w:val="21"/>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 w:val="21"/>
                <w:szCs w:val="21"/>
              </w:rPr>
            </w:pPr>
            <w:r>
              <w:rPr>
                <w:rFonts w:hint="eastAsia" w:ascii="宋体" w:hAnsi="宋体" w:cs="仿宋"/>
                <w:sz w:val="21"/>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 w:val="21"/>
                <w:szCs w:val="21"/>
              </w:rPr>
            </w:pPr>
            <w:r>
              <w:rPr>
                <w:rFonts w:hint="eastAsia" w:ascii="宋体" w:hAnsi="宋体" w:cs="仿宋"/>
                <w:bCs/>
                <w:sz w:val="21"/>
                <w:szCs w:val="21"/>
              </w:rPr>
              <w:t>投标人提交的响应文件是否按要求编制目录、加密；投标文件的加密密码在按要求发送至招标人</w:t>
            </w:r>
            <w:r>
              <w:rPr>
                <w:rFonts w:ascii="宋体" w:hAnsi="宋体" w:cs="仿宋"/>
                <w:bCs/>
                <w:sz w:val="21"/>
                <w:szCs w:val="21"/>
              </w:rPr>
              <w:t>且</w:t>
            </w:r>
            <w:r>
              <w:rPr>
                <w:rFonts w:hint="eastAsia" w:ascii="宋体" w:hAnsi="宋体" w:cs="仿宋"/>
                <w:bCs/>
                <w:sz w:val="21"/>
                <w:szCs w:val="21"/>
              </w:rPr>
              <w:t>保证</w:t>
            </w:r>
            <w:r>
              <w:rPr>
                <w:rFonts w:ascii="宋体" w:hAnsi="宋体" w:cs="仿宋"/>
                <w:bCs/>
                <w:sz w:val="21"/>
                <w:szCs w:val="21"/>
              </w:rPr>
              <w:t>文件完整可正常打开；</w:t>
            </w:r>
            <w:r>
              <w:rPr>
                <w:rFonts w:hint="eastAsia" w:ascii="宋体" w:hAnsi="宋体" w:cs="仿宋"/>
                <w:bCs/>
                <w:sz w:val="21"/>
                <w:szCs w:val="21"/>
              </w:rPr>
              <w:t>投标人必须提供由法人代表或其书面授权人签署并加盖投标人公章的投标响应文件</w:t>
            </w:r>
            <w:r>
              <w:rPr>
                <w:rFonts w:hint="eastAsia" w:ascii="宋体" w:hAnsi="宋体" w:cs="仿宋"/>
                <w:sz w:val="21"/>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 w:val="21"/>
                <w:szCs w:val="21"/>
              </w:rPr>
            </w:pPr>
            <w:r>
              <w:rPr>
                <w:rFonts w:hint="eastAsia" w:ascii="宋体" w:hAnsi="宋体" w:cs="仿宋"/>
                <w:sz w:val="21"/>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 w:val="21"/>
                <w:szCs w:val="21"/>
              </w:rPr>
            </w:pPr>
            <w:r>
              <w:rPr>
                <w:rFonts w:hint="eastAsia" w:ascii="宋体" w:hAnsi="宋体" w:cs="仿宋"/>
                <w:sz w:val="21"/>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 w:val="21"/>
                <w:szCs w:val="21"/>
              </w:rPr>
            </w:pPr>
            <w:r>
              <w:rPr>
                <w:rFonts w:hint="eastAsia" w:ascii="宋体" w:hAnsi="宋体" w:cs="仿宋"/>
                <w:sz w:val="21"/>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 w:val="21"/>
                <w:szCs w:val="21"/>
              </w:rPr>
            </w:pPr>
            <w:r>
              <w:rPr>
                <w:rFonts w:hint="eastAsia" w:ascii="宋体" w:hAnsi="宋体" w:cs="仿宋"/>
                <w:sz w:val="21"/>
                <w:szCs w:val="21"/>
              </w:rPr>
              <w:t>投标人是否提供以下证明文件：</w:t>
            </w:r>
          </w:p>
          <w:p>
            <w:pPr>
              <w:numPr>
                <w:ilvl w:val="0"/>
                <w:numId w:val="24"/>
              </w:numPr>
              <w:tabs>
                <w:tab w:val="left" w:pos="531"/>
              </w:tabs>
              <w:snapToGrid w:val="0"/>
              <w:spacing w:line="360" w:lineRule="auto"/>
              <w:ind w:left="531" w:hanging="70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必须为中华人民共和国境内注册且合法运作的企业，（企业营业执照经营期限处于有效期内），并能独立承担民事责任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无未改正的经营异常信息，无严重违法失信记录。（</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须提供企业营业执照复印件复印件加盖</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公章。)</w:t>
            </w:r>
          </w:p>
          <w:p>
            <w:pPr>
              <w:numPr>
                <w:ilvl w:val="0"/>
                <w:numId w:val="24"/>
              </w:numPr>
              <w:tabs>
                <w:tab w:val="left" w:pos="531"/>
              </w:tabs>
              <w:snapToGrid w:val="0"/>
              <w:spacing w:line="360" w:lineRule="auto"/>
              <w:ind w:left="531" w:hanging="70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投标人应提供国家企业信用信息公示系统（http://www.gsxt.gov.cn/）公示的企业信息打印件（至少包含“基础信息页”、“列入经营异常名录信息页”、“列入严重违法失信企业名单信息页”）并加盖</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公章。</w:t>
            </w:r>
          </w:p>
          <w:p>
            <w:pPr>
              <w:numPr>
                <w:ilvl w:val="0"/>
                <w:numId w:val="24"/>
              </w:numPr>
              <w:tabs>
                <w:tab w:val="left" w:pos="531"/>
              </w:tabs>
              <w:snapToGrid w:val="0"/>
              <w:spacing w:line="360" w:lineRule="auto"/>
              <w:ind w:left="531" w:hanging="70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必须具备建设行政主管部门核发的工程造价咨询资质甲级资质（</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必须提供上述资质证明的复印件加盖公章）。</w:t>
            </w:r>
          </w:p>
          <w:p>
            <w:pPr>
              <w:numPr>
                <w:ilvl w:val="0"/>
                <w:numId w:val="24"/>
              </w:numPr>
              <w:tabs>
                <w:tab w:val="left" w:pos="531"/>
              </w:tabs>
              <w:snapToGrid w:val="0"/>
              <w:spacing w:line="360" w:lineRule="auto"/>
              <w:ind w:left="531" w:hanging="709"/>
              <w:rPr>
                <w:rFonts w:ascii="宋体" w:hAnsi="宋体" w:cs="仿宋"/>
                <w:sz w:val="21"/>
                <w:szCs w:val="21"/>
              </w:rPr>
            </w:pPr>
            <w:r>
              <w:rPr>
                <w:rFonts w:hint="eastAsia" w:ascii="宋体" w:hAnsi="宋体" w:eastAsia="宋体" w:cs="宋体"/>
                <w:kern w:val="2"/>
                <w:sz w:val="21"/>
                <w:szCs w:val="21"/>
                <w:lang w:val="en-US" w:eastAsia="zh-CN" w:bidi="ar-SA"/>
              </w:rPr>
              <w:t>本项目不接受联合体投标。</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 w:val="21"/>
                <w:szCs w:val="21"/>
              </w:rPr>
            </w:pPr>
            <w:r>
              <w:rPr>
                <w:rFonts w:hint="eastAsia" w:ascii="宋体" w:hAnsi="宋体" w:cs="仿宋"/>
                <w:sz w:val="21"/>
                <w:szCs w:val="21"/>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 w:val="21"/>
                <w:szCs w:val="21"/>
              </w:rPr>
            </w:pPr>
            <w:r>
              <w:rPr>
                <w:rFonts w:hint="eastAsia" w:ascii="宋体" w:hAnsi="宋体" w:eastAsia="宋体" w:cs="宋体"/>
                <w:sz w:val="21"/>
                <w:szCs w:val="21"/>
              </w:rPr>
              <w:t>报价费率最高不得超</w:t>
            </w:r>
            <w:r>
              <w:rPr>
                <w:rFonts w:hint="eastAsia" w:ascii="宋体" w:hAnsi="宋体" w:eastAsia="宋体" w:cs="宋体"/>
                <w:sz w:val="21"/>
                <w:szCs w:val="21"/>
                <w:highlight w:val="none"/>
              </w:rPr>
              <w:t>过标</w:t>
            </w:r>
            <w:r>
              <w:rPr>
                <w:rFonts w:hint="eastAsia" w:ascii="宋体" w:hAnsi="宋体" w:eastAsia="宋体" w:cs="宋体"/>
                <w:sz w:val="21"/>
                <w:szCs w:val="21"/>
                <w:highlight w:val="none"/>
                <w:shd w:val="clear"/>
              </w:rPr>
              <w:t>准费率的八折。本项</w:t>
            </w:r>
            <w:r>
              <w:rPr>
                <w:rFonts w:hint="eastAsia" w:ascii="宋体" w:hAnsi="宋体" w:eastAsia="宋体" w:cs="宋体"/>
                <w:sz w:val="21"/>
                <w:szCs w:val="21"/>
              </w:rPr>
              <w:t>目</w:t>
            </w:r>
            <w:r>
              <w:rPr>
                <w:rFonts w:hint="eastAsia" w:ascii="宋体" w:hAnsi="宋体" w:cs="宋体"/>
                <w:sz w:val="21"/>
                <w:szCs w:val="21"/>
                <w:lang w:val="en-US" w:eastAsia="zh-CN"/>
              </w:rPr>
              <w:t>年度控制金额为人民币20万元，3年</w:t>
            </w:r>
            <w:r>
              <w:rPr>
                <w:rFonts w:hint="eastAsia" w:ascii="宋体" w:hAnsi="宋体" w:eastAsia="宋体" w:cs="宋体"/>
                <w:sz w:val="21"/>
                <w:szCs w:val="21"/>
              </w:rPr>
              <w:t>控制金额为人民币</w:t>
            </w:r>
            <w:r>
              <w:rPr>
                <w:rFonts w:hint="eastAsia" w:ascii="宋体" w:hAnsi="宋体" w:cs="宋体"/>
                <w:sz w:val="21"/>
                <w:szCs w:val="21"/>
                <w:lang w:val="en-US" w:eastAsia="zh-CN"/>
              </w:rPr>
              <w:t>60</w:t>
            </w:r>
            <w:r>
              <w:rPr>
                <w:rFonts w:hint="eastAsia" w:ascii="宋体" w:hAnsi="宋体" w:eastAsia="宋体" w:cs="宋体"/>
                <w:sz w:val="21"/>
                <w:szCs w:val="21"/>
              </w:rPr>
              <w:t>万元（含税），报价超过上述控制金额的投标文件作废标处理。</w:t>
            </w:r>
          </w:p>
        </w:tc>
      </w:tr>
    </w:tbl>
    <w:p>
      <w:pPr>
        <w:pStyle w:val="5"/>
        <w:rPr>
          <w:rStyle w:val="28"/>
          <w:rFonts w:ascii="宋体" w:hAnsi="宋体"/>
          <w:b/>
          <w:bCs/>
          <w:szCs w:val="21"/>
        </w:rPr>
      </w:pPr>
      <w:r>
        <w:rPr>
          <w:rStyle w:val="28"/>
          <w:rFonts w:ascii="宋体" w:hAnsi="宋体"/>
          <w:b/>
          <w:bCs/>
          <w:szCs w:val="21"/>
        </w:rPr>
        <w:br w:type="page"/>
      </w:r>
    </w:p>
    <w:p>
      <w:pPr>
        <w:numPr>
          <w:ilvl w:val="0"/>
          <w:numId w:val="23"/>
        </w:numPr>
        <w:spacing w:beforeLines="300" w:line="360" w:lineRule="auto"/>
        <w:jc w:val="left"/>
        <w:outlineLvl w:val="2"/>
        <w:rPr>
          <w:rStyle w:val="28"/>
          <w:rFonts w:ascii="宋体" w:hAnsi="宋体"/>
          <w:b/>
          <w:bCs/>
          <w:szCs w:val="21"/>
        </w:rPr>
      </w:pPr>
      <w:bookmarkStart w:id="49" w:name="_Toc1164"/>
      <w:r>
        <w:rPr>
          <w:rStyle w:val="28"/>
          <w:rFonts w:hint="eastAsia" w:ascii="宋体" w:hAnsi="宋体"/>
          <w:b/>
          <w:bCs/>
          <w:szCs w:val="21"/>
        </w:rPr>
        <w:t>综合评议指标表</w:t>
      </w:r>
      <w:bookmarkEnd w:id="49"/>
    </w:p>
    <w:tbl>
      <w:tblPr>
        <w:tblStyle w:val="15"/>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680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704" w:type="dxa"/>
            <w:shd w:val="clear" w:color="auto" w:fill="EEEEEE"/>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6804" w:type="dxa"/>
            <w:tcBorders>
              <w:left w:val="dotted" w:color="auto" w:sz="4" w:space="0"/>
            </w:tcBorders>
            <w:shd w:val="clear" w:color="auto" w:fill="EEEEEE"/>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4"/>
            <w:shd w:val="clear" w:color="auto" w:fill="EEEEEE"/>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商务评议项（</w:t>
            </w:r>
            <w:r>
              <w:rPr>
                <w:rFonts w:hint="eastAsia" w:ascii="宋体" w:hAnsi="宋体" w:cs="宋体"/>
                <w:b/>
                <w:sz w:val="21"/>
                <w:szCs w:val="21"/>
                <w:lang w:val="en-US" w:eastAsia="zh-CN"/>
              </w:rPr>
              <w:t>20</w:t>
            </w:r>
            <w:r>
              <w:rPr>
                <w:rFonts w:hint="eastAsia" w:ascii="宋体" w:hAnsi="宋体" w:eastAsia="宋体" w:cs="宋体"/>
                <w:b/>
                <w:sz w:val="21"/>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1"/>
              <w:numPr>
                <w:ilvl w:val="0"/>
                <w:numId w:val="25"/>
              </w:numPr>
              <w:spacing w:line="360" w:lineRule="auto"/>
              <w:ind w:firstLineChars="0"/>
              <w:jc w:val="center"/>
              <w:rPr>
                <w:rFonts w:hint="eastAsia" w:ascii="宋体" w:hAnsi="宋体" w:eastAsia="宋体" w:cs="宋体"/>
                <w:sz w:val="21"/>
                <w:szCs w:val="21"/>
              </w:rPr>
            </w:pPr>
          </w:p>
        </w:tc>
        <w:tc>
          <w:tcPr>
            <w:tcW w:w="1134" w:type="dxa"/>
            <w:tcMar>
              <w:top w:w="15" w:type="dxa"/>
              <w:left w:w="15" w:type="dxa"/>
              <w:bottom w:w="15" w:type="dxa"/>
              <w:right w:w="15" w:type="dxa"/>
            </w:tcMar>
            <w:vAlign w:val="center"/>
          </w:tcPr>
          <w:p>
            <w:pPr>
              <w:spacing w:line="300" w:lineRule="exact"/>
              <w:jc w:val="center"/>
              <w:rPr>
                <w:rFonts w:hint="eastAsia" w:ascii="宋体" w:hAnsi="宋体" w:eastAsia="宋体" w:cs="宋体"/>
                <w:b/>
                <w:bCs/>
                <w:sz w:val="21"/>
                <w:szCs w:val="21"/>
                <w:highlight w:val="yellow"/>
              </w:rPr>
            </w:pPr>
            <w:r>
              <w:rPr>
                <w:rFonts w:hint="eastAsia" w:ascii="宋体" w:hAnsi="宋体" w:eastAsia="宋体" w:cs="宋体"/>
                <w:sz w:val="21"/>
                <w:szCs w:val="21"/>
              </w:rPr>
              <w:t>企业人员情况</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6804" w:type="dxa"/>
            <w:tcMar>
              <w:top w:w="15" w:type="dxa"/>
              <w:left w:w="15" w:type="dxa"/>
              <w:bottom w:w="15" w:type="dxa"/>
              <w:right w:w="15" w:type="dxa"/>
            </w:tcMar>
            <w:vAlign w:val="center"/>
          </w:tcPr>
          <w:p>
            <w:pPr>
              <w:numPr>
                <w:ilvl w:val="0"/>
                <w:numId w:val="26"/>
              </w:numPr>
              <w:spacing w:line="3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根据投标人</w:t>
            </w:r>
            <w:r>
              <w:rPr>
                <w:rFonts w:hint="eastAsia" w:ascii="宋体" w:hAnsi="宋体" w:eastAsia="宋体" w:cs="宋体"/>
                <w:color w:val="auto"/>
                <w:sz w:val="21"/>
                <w:szCs w:val="21"/>
              </w:rPr>
              <w:t>专业人员</w:t>
            </w:r>
            <w:r>
              <w:rPr>
                <w:rFonts w:hint="eastAsia" w:ascii="宋体" w:hAnsi="宋体" w:cs="宋体"/>
                <w:color w:val="auto"/>
                <w:sz w:val="21"/>
                <w:szCs w:val="21"/>
                <w:lang w:val="en-US" w:eastAsia="zh-CN"/>
              </w:rPr>
              <w:t>数量进行综合评议。</w:t>
            </w:r>
          </w:p>
          <w:p>
            <w:pPr>
              <w:numPr>
                <w:ilvl w:val="0"/>
                <w:numId w:val="26"/>
              </w:numPr>
              <w:spacing w:line="3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专业人员数量</w:t>
            </w:r>
            <w:r>
              <w:rPr>
                <w:rFonts w:hint="default" w:ascii="Arial" w:hAnsi="Arial" w:eastAsia="宋体" w:cs="Arial"/>
                <w:color w:val="auto"/>
                <w:sz w:val="21"/>
                <w:szCs w:val="21"/>
              </w:rPr>
              <w:t>≥</w:t>
            </w:r>
            <w:r>
              <w:rPr>
                <w:rFonts w:hint="eastAsia" w:ascii="宋体" w:hAnsi="宋体" w:eastAsia="宋体" w:cs="宋体"/>
                <w:color w:val="auto"/>
                <w:sz w:val="21"/>
                <w:szCs w:val="21"/>
              </w:rPr>
              <w:t>20人</w:t>
            </w:r>
            <w:r>
              <w:rPr>
                <w:rFonts w:hint="eastAsia" w:ascii="宋体" w:hAnsi="宋体" w:cs="宋体"/>
                <w:color w:val="auto"/>
                <w:sz w:val="21"/>
                <w:szCs w:val="21"/>
                <w:lang w:val="en-US" w:eastAsia="zh-CN"/>
              </w:rPr>
              <w:t>且</w:t>
            </w:r>
            <w:r>
              <w:rPr>
                <w:rFonts w:hint="eastAsia" w:ascii="宋体" w:hAnsi="宋体" w:eastAsia="宋体" w:cs="宋体"/>
                <w:color w:val="auto"/>
                <w:sz w:val="21"/>
                <w:szCs w:val="21"/>
              </w:rPr>
              <w:t>其中工程或工程经济系列中级以上专业技术职称的人员</w:t>
            </w:r>
            <w:r>
              <w:rPr>
                <w:rFonts w:hint="default" w:ascii="Arial" w:hAnsi="Arial" w:eastAsia="宋体" w:cs="Arial"/>
                <w:color w:val="auto"/>
                <w:sz w:val="21"/>
                <w:szCs w:val="21"/>
              </w:rPr>
              <w:t>≥</w:t>
            </w:r>
            <w:r>
              <w:rPr>
                <w:rFonts w:hint="eastAsia" w:ascii="宋体" w:hAnsi="宋体" w:eastAsia="宋体" w:cs="宋体"/>
                <w:color w:val="auto"/>
                <w:sz w:val="21"/>
                <w:szCs w:val="21"/>
              </w:rPr>
              <w:t>16人</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取得造价工程师注册证书的人员</w:t>
            </w:r>
            <w:r>
              <w:rPr>
                <w:rFonts w:hint="default" w:ascii="Arial" w:hAnsi="Arial" w:eastAsia="宋体" w:cs="Arial"/>
                <w:color w:val="auto"/>
                <w:sz w:val="21"/>
                <w:szCs w:val="21"/>
              </w:rPr>
              <w:t>≥</w:t>
            </w:r>
            <w:r>
              <w:rPr>
                <w:rFonts w:hint="eastAsia" w:ascii="宋体" w:hAnsi="宋体" w:eastAsia="宋体" w:cs="宋体"/>
                <w:color w:val="auto"/>
                <w:sz w:val="21"/>
                <w:szCs w:val="21"/>
              </w:rPr>
              <w:t>10人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在</w:t>
            </w:r>
            <w:r>
              <w:rPr>
                <w:rFonts w:hint="eastAsia" w:ascii="宋体" w:hAnsi="宋体" w:eastAsia="宋体" w:cs="宋体"/>
                <w:color w:val="auto"/>
                <w:sz w:val="21"/>
                <w:szCs w:val="21"/>
              </w:rPr>
              <w:t>满足上述</w:t>
            </w:r>
            <w:r>
              <w:rPr>
                <w:rFonts w:hint="eastAsia" w:ascii="宋体" w:hAnsi="宋体" w:cs="宋体"/>
                <w:color w:val="auto"/>
                <w:sz w:val="21"/>
                <w:szCs w:val="21"/>
                <w:lang w:val="en-US" w:eastAsia="zh-CN"/>
              </w:rPr>
              <w:t>要求的</w:t>
            </w:r>
            <w:r>
              <w:rPr>
                <w:rFonts w:hint="eastAsia" w:ascii="宋体" w:hAnsi="宋体" w:eastAsia="宋体" w:cs="宋体"/>
                <w:color w:val="auto"/>
                <w:sz w:val="21"/>
                <w:szCs w:val="21"/>
                <w:lang w:val="en-US" w:eastAsia="zh-CN"/>
              </w:rPr>
              <w:t>基础上，</w:t>
            </w:r>
            <w:r>
              <w:rPr>
                <w:rFonts w:hint="eastAsia" w:ascii="宋体" w:hAnsi="宋体" w:cs="宋体"/>
                <w:color w:val="auto"/>
                <w:sz w:val="21"/>
                <w:szCs w:val="21"/>
                <w:lang w:val="en-US" w:eastAsia="zh-CN"/>
              </w:rPr>
              <w:t>依据</w:t>
            </w:r>
            <w:r>
              <w:rPr>
                <w:rFonts w:hint="eastAsia" w:ascii="宋体" w:hAnsi="宋体" w:eastAsia="宋体" w:cs="宋体"/>
                <w:color w:val="auto"/>
                <w:sz w:val="21"/>
                <w:szCs w:val="21"/>
                <w:lang w:val="en-US" w:eastAsia="zh-CN"/>
              </w:rPr>
              <w:t>职称</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执业证书等级由高向低排序，等级高的人数越多则得分越高</w:t>
            </w:r>
            <w:r>
              <w:rPr>
                <w:rFonts w:hint="eastAsia" w:ascii="宋体" w:hAnsi="宋体" w:cs="宋体"/>
                <w:color w:val="auto"/>
                <w:sz w:val="21"/>
                <w:szCs w:val="21"/>
                <w:lang w:val="en-US" w:eastAsia="zh-CN"/>
              </w:rPr>
              <w:t>，同等级人数相同则比较下一等级人数情况</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评价</w:t>
            </w:r>
            <w:r>
              <w:rPr>
                <w:rFonts w:hint="eastAsia" w:ascii="宋体" w:hAnsi="宋体" w:eastAsia="宋体" w:cs="宋体"/>
                <w:color w:val="auto"/>
                <w:sz w:val="21"/>
                <w:szCs w:val="21"/>
                <w:lang w:val="en-US" w:eastAsia="zh-CN"/>
              </w:rPr>
              <w:t>优</w:t>
            </w:r>
            <w:r>
              <w:rPr>
                <w:rFonts w:hint="eastAsia" w:ascii="宋体" w:hAnsi="宋体" w:cs="宋体"/>
                <w:color w:val="auto"/>
                <w:sz w:val="21"/>
                <w:szCs w:val="21"/>
                <w:lang w:val="en-US" w:eastAsia="zh-CN"/>
              </w:rPr>
              <w:t>得</w:t>
            </w:r>
            <w:r>
              <w:rPr>
                <w:rFonts w:hint="eastAsia" w:ascii="宋体" w:hAnsi="宋体" w:eastAsia="宋体" w:cs="宋体"/>
                <w:color w:val="auto"/>
                <w:sz w:val="21"/>
                <w:szCs w:val="21"/>
                <w:lang w:val="en-US" w:eastAsia="zh-CN"/>
              </w:rPr>
              <w:t>4分，良</w:t>
            </w:r>
            <w:r>
              <w:rPr>
                <w:rFonts w:hint="eastAsia" w:ascii="宋体" w:hAnsi="宋体" w:cs="宋体"/>
                <w:color w:val="auto"/>
                <w:sz w:val="21"/>
                <w:szCs w:val="21"/>
                <w:lang w:val="en-US" w:eastAsia="zh-CN"/>
              </w:rPr>
              <w:t>得</w:t>
            </w:r>
            <w:r>
              <w:rPr>
                <w:rFonts w:hint="eastAsia" w:ascii="宋体" w:hAnsi="宋体" w:eastAsia="宋体" w:cs="宋体"/>
                <w:color w:val="auto"/>
                <w:sz w:val="21"/>
                <w:szCs w:val="21"/>
                <w:lang w:val="en-US" w:eastAsia="zh-CN"/>
              </w:rPr>
              <w:t>3分，</w:t>
            </w:r>
            <w:r>
              <w:rPr>
                <w:rFonts w:hint="eastAsia" w:ascii="宋体" w:hAnsi="宋体" w:cs="宋体"/>
                <w:color w:val="auto"/>
                <w:sz w:val="21"/>
                <w:szCs w:val="21"/>
                <w:lang w:val="en-US" w:eastAsia="zh-CN"/>
              </w:rPr>
              <w:t>一般得</w:t>
            </w:r>
            <w:r>
              <w:rPr>
                <w:rFonts w:hint="eastAsia" w:ascii="宋体" w:hAnsi="宋体" w:eastAsia="宋体" w:cs="宋体"/>
                <w:color w:val="auto"/>
                <w:sz w:val="21"/>
                <w:szCs w:val="21"/>
                <w:lang w:val="en-US" w:eastAsia="zh-CN"/>
              </w:rPr>
              <w:t>2分。</w:t>
            </w:r>
          </w:p>
          <w:p>
            <w:pPr>
              <w:numPr>
                <w:ilvl w:val="0"/>
                <w:numId w:val="26"/>
              </w:numPr>
              <w:spacing w:line="300" w:lineRule="exact"/>
              <w:rPr>
                <w:rFonts w:hint="default"/>
                <w:lang w:val="en-US" w:eastAsia="zh-CN"/>
              </w:rPr>
            </w:pPr>
            <w:r>
              <w:rPr>
                <w:rFonts w:hint="eastAsia" w:ascii="宋体" w:hAnsi="宋体" w:cs="宋体"/>
                <w:color w:val="auto"/>
                <w:sz w:val="21"/>
                <w:szCs w:val="21"/>
                <w:lang w:val="en-US" w:eastAsia="zh-CN"/>
              </w:rPr>
              <w:t>专业人员数量</w:t>
            </w:r>
            <w:r>
              <w:rPr>
                <w:rFonts w:hint="eastAsia" w:ascii="宋体" w:hAnsi="宋体" w:eastAsia="宋体" w:cs="宋体"/>
                <w:color w:val="auto"/>
                <w:sz w:val="21"/>
                <w:szCs w:val="21"/>
                <w:lang w:val="en-US" w:eastAsia="zh-CN"/>
              </w:rPr>
              <w:t>&lt;</w:t>
            </w:r>
            <w:r>
              <w:rPr>
                <w:rFonts w:hint="eastAsia" w:ascii="宋体" w:hAnsi="宋体" w:cs="宋体"/>
                <w:color w:val="auto"/>
                <w:sz w:val="21"/>
                <w:szCs w:val="21"/>
                <w:lang w:val="en-US" w:eastAsia="zh-CN"/>
              </w:rPr>
              <w:t>20人得1分。</w:t>
            </w:r>
          </w:p>
          <w:p>
            <w:pPr>
              <w:numPr>
                <w:ilvl w:val="-1"/>
                <w:numId w:val="0"/>
              </w:numPr>
              <w:spacing w:line="3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说明：</w:t>
            </w:r>
          </w:p>
          <w:p>
            <w:pPr>
              <w:numPr>
                <w:ilvl w:val="0"/>
                <w:numId w:val="27"/>
              </w:numPr>
              <w:spacing w:line="300" w:lineRule="exact"/>
              <w:rPr>
                <w:rFonts w:hint="eastAsia" w:ascii="宋体" w:hAnsi="宋体" w:cs="宋体"/>
                <w:color w:val="000000"/>
                <w:szCs w:val="21"/>
              </w:rPr>
            </w:pPr>
            <w:r>
              <w:rPr>
                <w:rFonts w:hint="eastAsia" w:ascii="宋体" w:hAnsi="宋体" w:eastAsia="宋体" w:cs="宋体"/>
                <w:color w:val="auto"/>
                <w:sz w:val="21"/>
                <w:szCs w:val="21"/>
              </w:rPr>
              <w:t>提供</w:t>
            </w:r>
            <w:r>
              <w:rPr>
                <w:rFonts w:hint="eastAsia" w:ascii="宋体" w:hAnsi="宋体" w:cs="宋体"/>
                <w:color w:val="auto"/>
                <w:sz w:val="21"/>
                <w:szCs w:val="21"/>
                <w:lang w:val="en-US" w:eastAsia="zh-CN"/>
              </w:rPr>
              <w:t>以上人员执业资格证书复印件</w:t>
            </w:r>
            <w:r>
              <w:rPr>
                <w:rFonts w:hint="eastAsia" w:ascii="宋体" w:hAnsi="宋体" w:cs="宋体"/>
                <w:color w:val="000000"/>
                <w:szCs w:val="21"/>
              </w:rPr>
              <w:t>和近3个月(2021年</w:t>
            </w:r>
            <w:r>
              <w:rPr>
                <w:rFonts w:hint="eastAsia" w:ascii="宋体" w:hAnsi="宋体" w:cs="宋体"/>
                <w:color w:val="000000"/>
                <w:szCs w:val="21"/>
                <w:lang w:val="en-US" w:eastAsia="zh-CN"/>
              </w:rPr>
              <w:t>12</w:t>
            </w:r>
            <w:r>
              <w:rPr>
                <w:rFonts w:hint="eastAsia" w:ascii="宋体" w:hAnsi="宋体" w:cs="宋体"/>
                <w:color w:val="000000"/>
                <w:szCs w:val="21"/>
              </w:rPr>
              <w:t>月至</w:t>
            </w:r>
            <w:r>
              <w:rPr>
                <w:rFonts w:ascii="宋体" w:hAnsi="宋体" w:cs="宋体"/>
                <w:color w:val="000000"/>
                <w:szCs w:val="21"/>
              </w:rPr>
              <w:t>202</w:t>
            </w:r>
            <w:r>
              <w:rPr>
                <w:rFonts w:hint="eastAsia" w:ascii="宋体" w:hAnsi="宋体" w:cs="宋体"/>
                <w:color w:val="000000"/>
                <w:szCs w:val="21"/>
                <w:lang w:val="en-US" w:eastAsia="zh-CN"/>
              </w:rPr>
              <w:t>2</w:t>
            </w:r>
            <w:r>
              <w:rPr>
                <w:rFonts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月</w:t>
            </w:r>
            <w:r>
              <w:rPr>
                <w:rFonts w:ascii="宋体" w:hAnsi="宋体" w:cs="宋体"/>
                <w:color w:val="000000"/>
                <w:szCs w:val="21"/>
              </w:rPr>
              <w:t>)社保清单证明，如开标日上一个月的社保材料因社保部门原因暂时无法取得，则可以往前顺推一个月，</w:t>
            </w:r>
            <w:r>
              <w:rPr>
                <w:rFonts w:hint="eastAsia" w:ascii="宋体" w:hAnsi="宋体" w:cs="宋体"/>
                <w:color w:val="000000"/>
                <w:szCs w:val="21"/>
              </w:rPr>
              <w:t>社保证明须同时加盖投标人公章。</w:t>
            </w:r>
          </w:p>
          <w:p>
            <w:pPr>
              <w:numPr>
                <w:ilvl w:val="0"/>
                <w:numId w:val="27"/>
              </w:numPr>
              <w:spacing w:line="300" w:lineRule="exact"/>
              <w:rPr>
                <w:rFonts w:hint="eastAsia" w:ascii="宋体" w:hAnsi="宋体" w:eastAsia="宋体" w:cs="宋体"/>
                <w:sz w:val="21"/>
                <w:szCs w:val="21"/>
              </w:rPr>
            </w:pPr>
            <w:r>
              <w:rPr>
                <w:rFonts w:hint="eastAsia" w:ascii="宋体" w:hAnsi="宋体" w:cs="宋体"/>
                <w:color w:val="000000"/>
                <w:szCs w:val="21"/>
              </w:rPr>
              <w:t>未按要求提供或提供不清晰导致</w:t>
            </w:r>
            <w:r>
              <w:rPr>
                <w:rFonts w:hint="eastAsia" w:ascii="宋体" w:hAnsi="宋体" w:cs="宋体"/>
                <w:color w:val="000000"/>
                <w:szCs w:val="21"/>
                <w:lang w:val="en-US" w:eastAsia="zh-CN"/>
              </w:rPr>
              <w:t>评委</w:t>
            </w:r>
            <w:r>
              <w:rPr>
                <w:rFonts w:hint="eastAsia" w:ascii="宋体" w:hAnsi="宋体" w:cs="宋体"/>
                <w:color w:val="000000"/>
                <w:szCs w:val="21"/>
              </w:rPr>
              <w:t>无法判断的不得分，原件备查</w:t>
            </w:r>
            <w:r>
              <w:rPr>
                <w:rFonts w:hint="eastAsia" w:ascii="宋体" w:hAnsi="宋体" w:eastAsia="宋体" w:cs="宋体"/>
                <w:color w:val="auto"/>
                <w:sz w:val="21"/>
                <w:szCs w:val="21"/>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1"/>
              <w:numPr>
                <w:ilvl w:val="0"/>
                <w:numId w:val="25"/>
              </w:numPr>
              <w:spacing w:line="360" w:lineRule="auto"/>
              <w:ind w:firstLineChars="0"/>
              <w:jc w:val="center"/>
              <w:rPr>
                <w:rFonts w:hint="eastAsia" w:ascii="宋体" w:hAnsi="宋体" w:eastAsia="宋体" w:cs="宋体"/>
                <w:sz w:val="21"/>
                <w:szCs w:val="21"/>
              </w:rPr>
            </w:pPr>
          </w:p>
        </w:tc>
        <w:tc>
          <w:tcPr>
            <w:tcW w:w="1134" w:type="dxa"/>
            <w:tcMar>
              <w:top w:w="15" w:type="dxa"/>
              <w:left w:w="15" w:type="dxa"/>
              <w:bottom w:w="15" w:type="dxa"/>
              <w:right w:w="15" w:type="dxa"/>
            </w:tcMar>
            <w:vAlign w:val="center"/>
          </w:tcPr>
          <w:p>
            <w:pPr>
              <w:spacing w:line="300" w:lineRule="exact"/>
              <w:jc w:val="center"/>
              <w:rPr>
                <w:rFonts w:hint="eastAsia" w:ascii="宋体" w:hAnsi="宋体" w:eastAsia="宋体" w:cs="宋体"/>
                <w:sz w:val="21"/>
                <w:szCs w:val="21"/>
                <w:highlight w:val="yellow"/>
              </w:rPr>
            </w:pPr>
            <w:r>
              <w:rPr>
                <w:rFonts w:hint="eastAsia" w:ascii="宋体" w:hAnsi="宋体" w:eastAsia="宋体" w:cs="宋体"/>
                <w:sz w:val="21"/>
                <w:szCs w:val="21"/>
              </w:rPr>
              <w:t>企业质量保证</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highlight w:val="yellow"/>
              </w:rPr>
            </w:pPr>
            <w:r>
              <w:rPr>
                <w:rFonts w:hint="eastAsia" w:ascii="宋体" w:hAnsi="宋体" w:eastAsia="宋体" w:cs="宋体"/>
                <w:sz w:val="21"/>
                <w:szCs w:val="21"/>
              </w:rPr>
              <w:t>2</w:t>
            </w:r>
          </w:p>
        </w:tc>
        <w:tc>
          <w:tcPr>
            <w:tcW w:w="6804" w:type="dxa"/>
            <w:tcMar>
              <w:top w:w="15" w:type="dxa"/>
              <w:left w:w="15" w:type="dxa"/>
              <w:bottom w:w="15" w:type="dxa"/>
              <w:right w:w="15" w:type="dxa"/>
            </w:tcMar>
            <w:vAlign w:val="center"/>
          </w:tcPr>
          <w:p>
            <w:pPr>
              <w:numPr>
                <w:ilvl w:val="0"/>
                <w:numId w:val="28"/>
              </w:numPr>
              <w:spacing w:line="300" w:lineRule="exact"/>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投标人具有有效</w:t>
            </w:r>
            <w:r>
              <w:rPr>
                <w:rFonts w:hint="eastAsia" w:ascii="宋体" w:hAnsi="宋体" w:eastAsia="宋体" w:cs="宋体"/>
                <w:b w:val="0"/>
                <w:bCs/>
                <w:color w:val="auto"/>
                <w:sz w:val="21"/>
                <w:szCs w:val="21"/>
              </w:rPr>
              <w:t>质量管理体系认证证书</w:t>
            </w:r>
            <w:r>
              <w:rPr>
                <w:rFonts w:hint="eastAsia" w:ascii="宋体" w:hAnsi="宋体" w:cs="宋体"/>
                <w:b w:val="0"/>
                <w:bCs/>
                <w:color w:val="auto"/>
                <w:sz w:val="21"/>
                <w:szCs w:val="21"/>
                <w:lang w:val="en-US" w:eastAsia="zh-CN"/>
              </w:rPr>
              <w:t>的，</w:t>
            </w:r>
            <w:r>
              <w:rPr>
                <w:rFonts w:hint="eastAsia" w:ascii="宋体" w:hAnsi="宋体" w:eastAsia="宋体" w:cs="宋体"/>
                <w:b w:val="0"/>
                <w:bCs/>
                <w:color w:val="auto"/>
                <w:sz w:val="21"/>
                <w:szCs w:val="21"/>
              </w:rPr>
              <w:t>得2分；</w:t>
            </w:r>
          </w:p>
          <w:p>
            <w:pPr>
              <w:numPr>
                <w:ilvl w:val="0"/>
                <w:numId w:val="28"/>
              </w:numPr>
              <w:spacing w:line="300" w:lineRule="exact"/>
              <w:rPr>
                <w:rFonts w:hint="eastAsia" w:ascii="宋体" w:hAnsi="宋体" w:eastAsia="宋体" w:cs="宋体"/>
                <w:b w:val="0"/>
                <w:bCs/>
                <w:sz w:val="21"/>
                <w:szCs w:val="21"/>
              </w:rPr>
            </w:pPr>
            <w:r>
              <w:rPr>
                <w:rFonts w:hint="eastAsia" w:ascii="宋体" w:hAnsi="宋体" w:eastAsia="宋体" w:cs="宋体"/>
                <w:b w:val="0"/>
                <w:bCs/>
                <w:color w:val="auto"/>
                <w:sz w:val="21"/>
                <w:szCs w:val="21"/>
              </w:rPr>
              <w:t>提供证书扫描件或复印件加盖</w:t>
            </w:r>
            <w:r>
              <w:rPr>
                <w:rFonts w:hint="eastAsia" w:ascii="宋体" w:hAnsi="宋体" w:cs="宋体"/>
                <w:b w:val="0"/>
                <w:bCs/>
                <w:color w:val="auto"/>
                <w:sz w:val="21"/>
                <w:szCs w:val="21"/>
                <w:lang w:val="en-US" w:eastAsia="zh-CN"/>
              </w:rPr>
              <w:t>投标人</w:t>
            </w:r>
            <w:r>
              <w:rPr>
                <w:rFonts w:hint="eastAsia" w:ascii="宋体" w:hAnsi="宋体" w:eastAsia="宋体" w:cs="宋体"/>
                <w:b w:val="0"/>
                <w:bCs/>
                <w:color w:val="auto"/>
                <w:sz w:val="21"/>
                <w:szCs w:val="21"/>
              </w:rPr>
              <w:t>公章。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1"/>
              <w:numPr>
                <w:ilvl w:val="0"/>
                <w:numId w:val="25"/>
              </w:numPr>
              <w:spacing w:line="360" w:lineRule="auto"/>
              <w:ind w:firstLineChars="0"/>
              <w:jc w:val="center"/>
              <w:rPr>
                <w:rFonts w:hint="eastAsia" w:ascii="宋体" w:hAnsi="宋体" w:eastAsia="宋体" w:cs="宋体"/>
                <w:sz w:val="21"/>
                <w:szCs w:val="21"/>
                <w:highlight w:val="none"/>
              </w:rPr>
            </w:pPr>
          </w:p>
        </w:tc>
        <w:tc>
          <w:tcPr>
            <w:tcW w:w="1134" w:type="dxa"/>
            <w:tcMar>
              <w:top w:w="15" w:type="dxa"/>
              <w:left w:w="15" w:type="dxa"/>
              <w:bottom w:w="15" w:type="dxa"/>
              <w:right w:w="15" w:type="dxa"/>
            </w:tcMar>
            <w:vAlign w:val="center"/>
          </w:tcPr>
          <w:p>
            <w:pPr>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公司纳税情况（提供纳税证明扫描件）</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6804" w:type="dxa"/>
            <w:tcMar>
              <w:top w:w="15" w:type="dxa"/>
              <w:left w:w="15" w:type="dxa"/>
              <w:bottom w:w="15" w:type="dxa"/>
              <w:right w:w="15" w:type="dxa"/>
            </w:tcMar>
            <w:vAlign w:val="center"/>
          </w:tcPr>
          <w:p>
            <w:pPr>
              <w:tabs>
                <w:tab w:val="left" w:pos="855"/>
              </w:tabs>
              <w:spacing w:line="300" w:lineRule="exac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根据</w:t>
            </w:r>
            <w:r>
              <w:rPr>
                <w:rFonts w:hint="eastAsia" w:ascii="宋体" w:hAnsi="宋体" w:cs="宋体"/>
                <w:b w:val="0"/>
                <w:bCs/>
                <w:color w:val="auto"/>
                <w:sz w:val="21"/>
                <w:szCs w:val="21"/>
                <w:highlight w:val="none"/>
                <w:lang w:eastAsia="zh-CN"/>
              </w:rPr>
              <w:t>投标人</w:t>
            </w:r>
            <w:r>
              <w:rPr>
                <w:rFonts w:hint="eastAsia" w:ascii="宋体" w:hAnsi="宋体" w:cs="宋体"/>
                <w:b w:val="0"/>
                <w:bCs/>
                <w:color w:val="auto"/>
                <w:sz w:val="21"/>
                <w:szCs w:val="21"/>
                <w:highlight w:val="none"/>
                <w:lang w:val="en-US" w:eastAsia="zh-CN"/>
              </w:rPr>
              <w:t>2020年及2021年</w:t>
            </w:r>
            <w:r>
              <w:rPr>
                <w:rFonts w:hint="eastAsia" w:ascii="宋体" w:hAnsi="宋体" w:eastAsia="宋体" w:cs="宋体"/>
                <w:b w:val="0"/>
                <w:bCs/>
                <w:color w:val="auto"/>
                <w:sz w:val="21"/>
                <w:szCs w:val="21"/>
                <w:highlight w:val="none"/>
              </w:rPr>
              <w:t>纳税额总额</w:t>
            </w:r>
            <w:r>
              <w:rPr>
                <w:rFonts w:hint="eastAsia" w:ascii="宋体" w:hAnsi="宋体" w:cs="宋体"/>
                <w:b w:val="0"/>
                <w:bCs/>
                <w:color w:val="auto"/>
                <w:sz w:val="21"/>
                <w:szCs w:val="21"/>
                <w:highlight w:val="none"/>
                <w:lang w:val="en-US" w:eastAsia="zh-CN"/>
              </w:rPr>
              <w:t>情况进行评分</w:t>
            </w:r>
            <w:r>
              <w:rPr>
                <w:rFonts w:hint="eastAsia" w:ascii="宋体" w:hAnsi="宋体" w:eastAsia="宋体" w:cs="宋体"/>
                <w:b w:val="0"/>
                <w:bCs/>
                <w:color w:val="auto"/>
                <w:sz w:val="21"/>
                <w:szCs w:val="21"/>
                <w:highlight w:val="none"/>
              </w:rPr>
              <w:t>（需提供纳税证明</w:t>
            </w:r>
            <w:r>
              <w:rPr>
                <w:rFonts w:hint="eastAsia" w:ascii="宋体" w:hAnsi="宋体" w:cs="宋体"/>
                <w:b w:val="0"/>
                <w:bCs/>
                <w:color w:val="auto"/>
                <w:sz w:val="21"/>
                <w:szCs w:val="21"/>
                <w:highlight w:val="none"/>
                <w:lang w:val="en-US" w:eastAsia="zh-CN"/>
              </w:rPr>
              <w:t>并加盖</w:t>
            </w:r>
            <w:r>
              <w:rPr>
                <w:rFonts w:hint="eastAsia" w:ascii="宋体" w:hAnsi="宋体" w:eastAsia="宋体" w:cs="宋体"/>
                <w:b w:val="0"/>
                <w:bCs/>
                <w:color w:val="auto"/>
                <w:sz w:val="21"/>
                <w:szCs w:val="21"/>
                <w:highlight w:val="none"/>
              </w:rPr>
              <w:t>税务部门打印盖章以及</w:t>
            </w: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公章）。</w:t>
            </w:r>
          </w:p>
          <w:p>
            <w:pPr>
              <w:numPr>
                <w:ilvl w:val="0"/>
                <w:numId w:val="29"/>
              </w:numPr>
              <w:spacing w:line="300" w:lineRule="exact"/>
              <w:ind w:left="420" w:leftChars="0" w:hanging="420" w:firstLineChars="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两年纳税总额</w:t>
            </w:r>
            <w:r>
              <w:rPr>
                <w:rFonts w:hint="default" w:ascii="Arial" w:hAnsi="Arial" w:eastAsia="宋体" w:cs="Arial"/>
                <w:b w:val="0"/>
                <w:bCs/>
                <w:color w:val="auto"/>
                <w:sz w:val="21"/>
                <w:szCs w:val="21"/>
                <w:highlight w:val="none"/>
              </w:rPr>
              <w:t>≥</w:t>
            </w:r>
            <w:r>
              <w:rPr>
                <w:rFonts w:hint="eastAsia" w:ascii="宋体" w:hAnsi="宋体" w:eastAsia="宋体" w:cs="宋体"/>
                <w:b w:val="0"/>
                <w:bCs/>
                <w:color w:val="auto"/>
                <w:sz w:val="21"/>
                <w:szCs w:val="21"/>
                <w:highlight w:val="none"/>
              </w:rPr>
              <w:t>100万元，得4分</w:t>
            </w:r>
          </w:p>
          <w:p>
            <w:pPr>
              <w:numPr>
                <w:ilvl w:val="0"/>
                <w:numId w:val="29"/>
              </w:numPr>
              <w:spacing w:line="300" w:lineRule="exact"/>
              <w:ind w:left="420" w:leftChars="0" w:hanging="42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50</w:t>
            </w:r>
            <w:r>
              <w:rPr>
                <w:rFonts w:hint="eastAsia" w:ascii="宋体" w:hAnsi="宋体" w:cs="宋体"/>
                <w:b w:val="0"/>
                <w:bCs/>
                <w:color w:val="auto"/>
                <w:sz w:val="21"/>
                <w:szCs w:val="21"/>
                <w:highlight w:val="none"/>
                <w:lang w:val="en-US" w:eastAsia="zh-CN"/>
              </w:rPr>
              <w:t>万元</w:t>
            </w:r>
            <w:r>
              <w:rPr>
                <w:rFonts w:hint="default" w:ascii="Arial" w:hAnsi="Arial" w:cs="Arial"/>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两年纳税总额</w:t>
            </w:r>
            <w:r>
              <w:rPr>
                <w:rFonts w:hint="eastAsia" w:ascii="宋体" w:hAnsi="宋体" w:eastAsia="宋体" w:cs="宋体"/>
                <w:b w:val="0"/>
                <w:bCs/>
                <w:color w:val="auto"/>
                <w:sz w:val="21"/>
                <w:szCs w:val="21"/>
                <w:highlight w:val="none"/>
              </w:rPr>
              <w:t>&lt;100万元，得2分；</w:t>
            </w:r>
          </w:p>
          <w:p>
            <w:pPr>
              <w:numPr>
                <w:ilvl w:val="0"/>
                <w:numId w:val="29"/>
              </w:numPr>
              <w:spacing w:line="300" w:lineRule="exact"/>
              <w:ind w:left="420" w:leftChars="0" w:hanging="420" w:firstLineChars="0"/>
              <w:rPr>
                <w:rFonts w:hint="eastAsia" w:ascii="宋体" w:hAnsi="宋体" w:eastAsia="宋体" w:cs="宋体"/>
                <w:b w:val="0"/>
                <w:bCs/>
                <w:sz w:val="21"/>
                <w:szCs w:val="21"/>
                <w:highlight w:val="none"/>
              </w:rPr>
            </w:pPr>
            <w:r>
              <w:rPr>
                <w:rFonts w:hint="eastAsia" w:ascii="宋体" w:hAnsi="宋体" w:cs="宋体"/>
                <w:b w:val="0"/>
                <w:bCs/>
                <w:color w:val="auto"/>
                <w:sz w:val="21"/>
                <w:szCs w:val="21"/>
                <w:highlight w:val="none"/>
                <w:lang w:val="en-US" w:eastAsia="zh-CN"/>
              </w:rPr>
              <w:t>两年纳税总额</w:t>
            </w:r>
            <w:r>
              <w:rPr>
                <w:rFonts w:hint="eastAsia" w:ascii="宋体" w:hAnsi="宋体" w:eastAsia="宋体" w:cs="宋体"/>
                <w:b w:val="0"/>
                <w:bCs/>
                <w:color w:val="auto"/>
                <w:sz w:val="21"/>
                <w:szCs w:val="21"/>
                <w:highlight w:val="none"/>
                <w:lang w:val="en-US" w:eastAsia="zh-CN"/>
              </w:rPr>
              <w:t>&lt;</w:t>
            </w:r>
            <w:r>
              <w:rPr>
                <w:rFonts w:hint="eastAsia" w:ascii="宋体" w:hAnsi="宋体" w:eastAsia="宋体" w:cs="宋体"/>
                <w:b w:val="0"/>
                <w:bCs/>
                <w:color w:val="auto"/>
                <w:sz w:val="21"/>
                <w:szCs w:val="21"/>
                <w:highlight w:val="none"/>
              </w:rPr>
              <w:t>50万元，得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1"/>
              <w:numPr>
                <w:ilvl w:val="0"/>
                <w:numId w:val="25"/>
              </w:numPr>
              <w:spacing w:line="360" w:lineRule="auto"/>
              <w:ind w:firstLineChars="0"/>
              <w:jc w:val="center"/>
              <w:rPr>
                <w:rFonts w:hint="eastAsia" w:ascii="宋体" w:hAnsi="宋体" w:eastAsia="宋体" w:cs="宋体"/>
                <w:sz w:val="21"/>
                <w:szCs w:val="21"/>
              </w:rPr>
            </w:pPr>
          </w:p>
        </w:tc>
        <w:tc>
          <w:tcPr>
            <w:tcW w:w="1134"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同类项目业绩</w:t>
            </w:r>
          </w:p>
        </w:tc>
        <w:tc>
          <w:tcPr>
            <w:tcW w:w="709" w:type="dxa"/>
            <w:tcMar>
              <w:top w:w="15" w:type="dxa"/>
              <w:left w:w="15" w:type="dxa"/>
              <w:bottom w:w="15" w:type="dxa"/>
              <w:right w:w="15" w:type="dxa"/>
            </w:tcMar>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6804" w:type="dxa"/>
            <w:tcMar>
              <w:top w:w="15" w:type="dxa"/>
              <w:left w:w="15" w:type="dxa"/>
              <w:bottom w:w="15" w:type="dxa"/>
              <w:right w:w="15" w:type="dxa"/>
            </w:tcMar>
            <w:vAlign w:val="center"/>
          </w:tcPr>
          <w:p>
            <w:pPr>
              <w:spacing w:line="300" w:lineRule="exact"/>
              <w:rPr>
                <w:rFonts w:hint="eastAsia" w:ascii="宋体" w:hAnsi="宋体" w:cs="宋体"/>
                <w:szCs w:val="21"/>
              </w:rPr>
            </w:pPr>
            <w:r>
              <w:rPr>
                <w:rFonts w:hint="eastAsia" w:ascii="宋体" w:hAnsi="宋体" w:cs="宋体"/>
                <w:kern w:val="2"/>
                <w:sz w:val="21"/>
                <w:szCs w:val="21"/>
                <w:lang w:val="en-US" w:eastAsia="zh-CN" w:bidi="ar-SA"/>
              </w:rPr>
              <w:t>根据投标人提供的2019年1月1日到本项目招标公告发布之日止（以合同签订日期为准）为大型公共建筑（单体建筑面积大于5万平方米）经营管理企事业单位</w:t>
            </w:r>
            <w:r>
              <w:rPr>
                <w:rFonts w:hint="eastAsia" w:ascii="宋体" w:hAnsi="宋体" w:eastAsia="宋体" w:cs="宋体"/>
                <w:kern w:val="2"/>
                <w:sz w:val="21"/>
                <w:szCs w:val="21"/>
                <w:lang w:val="en-US" w:eastAsia="zh-CN" w:bidi="ar-SA"/>
              </w:rPr>
              <w:t>造价咨询项目</w:t>
            </w:r>
            <w:r>
              <w:rPr>
                <w:rFonts w:hint="eastAsia" w:ascii="宋体" w:hAnsi="宋体" w:cs="宋体"/>
                <w:kern w:val="2"/>
                <w:sz w:val="21"/>
                <w:szCs w:val="21"/>
                <w:lang w:val="en-US" w:eastAsia="zh-CN" w:bidi="ar-SA"/>
              </w:rPr>
              <w:t>情况评分。</w:t>
            </w:r>
            <w:r>
              <w:rPr>
                <w:rFonts w:hint="eastAsia" w:ascii="宋体" w:hAnsi="宋体" w:eastAsia="宋体" w:cs="宋体"/>
                <w:color w:val="auto"/>
                <w:sz w:val="21"/>
                <w:szCs w:val="21"/>
              </w:rPr>
              <w:t>（提供合同</w:t>
            </w:r>
            <w:r>
              <w:rPr>
                <w:rFonts w:hint="eastAsia" w:ascii="宋体" w:hAnsi="宋体" w:eastAsia="宋体" w:cs="宋体"/>
                <w:color w:val="auto"/>
                <w:sz w:val="21"/>
                <w:szCs w:val="21"/>
                <w:lang w:val="en-US" w:eastAsia="zh-CN"/>
              </w:rPr>
              <w:t>关键页</w:t>
            </w:r>
            <w:r>
              <w:rPr>
                <w:rFonts w:hint="eastAsia" w:ascii="宋体" w:hAnsi="宋体" w:eastAsia="宋体" w:cs="宋体"/>
                <w:color w:val="auto"/>
                <w:sz w:val="21"/>
                <w:szCs w:val="21"/>
              </w:rPr>
              <w:t>扫描件或复印件加盖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所提供资料无法判断投资主体的不得分</w:t>
            </w:r>
            <w:r>
              <w:rPr>
                <w:rFonts w:hint="eastAsia" w:ascii="宋体" w:hAnsi="宋体" w:eastAsia="宋体" w:cs="宋体"/>
                <w:color w:val="auto"/>
                <w:sz w:val="21"/>
                <w:szCs w:val="21"/>
              </w:rPr>
              <w:t>）。</w:t>
            </w:r>
          </w:p>
          <w:p>
            <w:pPr>
              <w:numPr>
                <w:ilvl w:val="0"/>
                <w:numId w:val="30"/>
              </w:numPr>
              <w:spacing w:line="300" w:lineRule="exact"/>
              <w:ind w:left="425" w:leftChars="0" w:hanging="425" w:firstLineChars="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每提供一份合同加1分。</w:t>
            </w:r>
          </w:p>
          <w:p>
            <w:pPr>
              <w:numPr>
                <w:ilvl w:val="0"/>
                <w:numId w:val="30"/>
              </w:numPr>
              <w:spacing w:line="300" w:lineRule="exact"/>
              <w:ind w:left="425" w:leftChars="0" w:hanging="425" w:firstLineChars="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如所提供合同有2份以上为同一甲方企业，代表投标人持续服务能力较强，可额外加1分。</w:t>
            </w:r>
          </w:p>
          <w:p>
            <w:pPr>
              <w:numPr>
                <w:ilvl w:val="0"/>
                <w:numId w:val="30"/>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无此类业绩</w:t>
            </w:r>
            <w:r>
              <w:rPr>
                <w:rFonts w:hint="eastAsia" w:ascii="宋体" w:hAnsi="宋体" w:cs="宋体"/>
                <w:color w:val="auto"/>
                <w:sz w:val="21"/>
                <w:szCs w:val="21"/>
                <w:lang w:val="en-US" w:eastAsia="zh-CN"/>
              </w:rPr>
              <w:t>或业绩辨识不清</w:t>
            </w:r>
            <w:r>
              <w:rPr>
                <w:rFonts w:hint="eastAsia" w:ascii="宋体" w:hAnsi="宋体" w:eastAsia="宋体" w:cs="宋体"/>
                <w:color w:val="auto"/>
                <w:sz w:val="21"/>
                <w:szCs w:val="21"/>
              </w:rPr>
              <w:t>，得0分。</w:t>
            </w:r>
          </w:p>
          <w:p>
            <w:pPr>
              <w:numPr>
                <w:ilvl w:val="0"/>
                <w:numId w:val="30"/>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color w:val="auto"/>
                <w:sz w:val="21"/>
                <w:szCs w:val="21"/>
                <w:lang w:val="en-US" w:eastAsia="zh-CN"/>
              </w:rPr>
              <w:t>本项得分为以上各类业绩得分加总，最高分6分。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1"/>
              <w:numPr>
                <w:ilvl w:val="0"/>
                <w:numId w:val="25"/>
              </w:numPr>
              <w:spacing w:line="360" w:lineRule="auto"/>
              <w:ind w:firstLineChars="0"/>
              <w:jc w:val="center"/>
              <w:rPr>
                <w:rFonts w:hint="eastAsia" w:ascii="宋体" w:hAnsi="宋体" w:eastAsia="宋体" w:cs="宋体"/>
                <w:sz w:val="21"/>
                <w:szCs w:val="21"/>
              </w:rPr>
            </w:pPr>
          </w:p>
        </w:tc>
        <w:tc>
          <w:tcPr>
            <w:tcW w:w="1134" w:type="dxa"/>
            <w:tcMar>
              <w:top w:w="15" w:type="dxa"/>
              <w:left w:w="15" w:type="dxa"/>
              <w:bottom w:w="15" w:type="dxa"/>
              <w:right w:w="15" w:type="dxa"/>
            </w:tcMar>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其他情况</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6804" w:type="dxa"/>
            <w:tcMar>
              <w:top w:w="15" w:type="dxa"/>
              <w:left w:w="15" w:type="dxa"/>
              <w:bottom w:w="15" w:type="dxa"/>
              <w:right w:w="15" w:type="dxa"/>
            </w:tcMar>
            <w:vAlign w:val="center"/>
          </w:tcPr>
          <w:p>
            <w:pPr>
              <w:spacing w:line="3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rPr>
              <w:t>近五年</w:t>
            </w:r>
            <w:r>
              <w:rPr>
                <w:rFonts w:hint="eastAsia" w:ascii="宋体" w:hAnsi="宋体" w:eastAsia="宋体" w:cs="宋体"/>
                <w:color w:val="auto"/>
                <w:sz w:val="21"/>
                <w:szCs w:val="21"/>
                <w:lang w:val="en-US" w:eastAsia="zh-CN"/>
              </w:rPr>
              <w:t>有作</w:t>
            </w:r>
            <w:r>
              <w:rPr>
                <w:rFonts w:hint="eastAsia" w:ascii="宋体" w:hAnsi="宋体" w:eastAsia="宋体" w:cs="宋体"/>
                <w:color w:val="auto"/>
                <w:sz w:val="21"/>
                <w:szCs w:val="21"/>
              </w:rPr>
              <w:t>为深圳市（区）工程造价管理站协助审核造价咨询服务的协审单位，或深圳市或区级政府部门投资项目协助审核造价咨询服务的协审单位（均需提供</w:t>
            </w:r>
            <w:r>
              <w:rPr>
                <w:rFonts w:hint="eastAsia" w:ascii="宋体" w:hAnsi="宋体" w:eastAsia="宋体" w:cs="宋体"/>
                <w:color w:val="auto"/>
                <w:sz w:val="21"/>
                <w:szCs w:val="21"/>
                <w:lang w:val="en-US" w:eastAsia="zh-CN"/>
              </w:rPr>
              <w:t>合同协议书关键页</w:t>
            </w:r>
            <w:r>
              <w:rPr>
                <w:rFonts w:hint="eastAsia" w:ascii="宋体" w:hAnsi="宋体" w:eastAsia="宋体" w:cs="宋体"/>
                <w:color w:val="auto"/>
                <w:sz w:val="21"/>
                <w:szCs w:val="21"/>
              </w:rPr>
              <w:t>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所提供资料无法判断投资主体的不得分</w:t>
            </w:r>
            <w:r>
              <w:rPr>
                <w:rFonts w:hint="eastAsia" w:ascii="宋体" w:hAnsi="宋体" w:eastAsia="宋体" w:cs="宋体"/>
                <w:color w:val="auto"/>
                <w:sz w:val="21"/>
                <w:szCs w:val="21"/>
              </w:rPr>
              <w:t>）。</w:t>
            </w:r>
          </w:p>
          <w:p>
            <w:pPr>
              <w:numPr>
                <w:ilvl w:val="0"/>
                <w:numId w:val="31"/>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两项都是，得4分；</w:t>
            </w:r>
          </w:p>
          <w:p>
            <w:pPr>
              <w:numPr>
                <w:ilvl w:val="0"/>
                <w:numId w:val="31"/>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只一项是，得2分；</w:t>
            </w:r>
          </w:p>
          <w:p>
            <w:pPr>
              <w:numPr>
                <w:ilvl w:val="0"/>
                <w:numId w:val="31"/>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color w:val="auto"/>
                <w:sz w:val="21"/>
                <w:szCs w:val="21"/>
              </w:rPr>
              <w:t>都不是，得0分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shd w:val="clear" w:color="auto" w:fill="D0CECE" w:themeFill="background2" w:themeFillShade="E6"/>
          </w:tcPr>
          <w:p>
            <w:pPr>
              <w:spacing w:line="360" w:lineRule="auto"/>
              <w:jc w:val="center"/>
              <w:rPr>
                <w:rFonts w:hint="eastAsia" w:ascii="宋体" w:hAnsi="宋体" w:eastAsia="宋体" w:cs="宋体"/>
                <w:b/>
                <w:sz w:val="21"/>
                <w:szCs w:val="21"/>
              </w:rPr>
            </w:pPr>
          </w:p>
        </w:tc>
        <w:tc>
          <w:tcPr>
            <w:tcW w:w="8647" w:type="dxa"/>
            <w:gridSpan w:val="3"/>
            <w:shd w:val="clear" w:color="auto" w:fill="D0CECE" w:themeFill="background2" w:themeFillShade="E6"/>
            <w:tcMar>
              <w:top w:w="15" w:type="dxa"/>
              <w:left w:w="15" w:type="dxa"/>
              <w:bottom w:w="15" w:type="dxa"/>
              <w:right w:w="15" w:type="dxa"/>
            </w:tcMar>
            <w:vAlign w:val="center"/>
          </w:tcPr>
          <w:p>
            <w:pPr>
              <w:spacing w:line="360" w:lineRule="auto"/>
              <w:jc w:val="center"/>
              <w:rPr>
                <w:rFonts w:hint="eastAsia" w:ascii="宋体" w:hAnsi="宋体" w:eastAsia="宋体" w:cs="宋体"/>
                <w:b/>
                <w:sz w:val="21"/>
                <w:szCs w:val="21"/>
                <w:highlight w:val="yellow"/>
              </w:rPr>
            </w:pPr>
            <w:r>
              <w:rPr>
                <w:rFonts w:hint="eastAsia" w:ascii="宋体" w:hAnsi="宋体" w:eastAsia="宋体" w:cs="宋体"/>
                <w:b/>
                <w:sz w:val="21"/>
                <w:szCs w:val="21"/>
              </w:rPr>
              <w:t>技术服务评议项（4</w:t>
            </w:r>
            <w:r>
              <w:rPr>
                <w:rFonts w:hint="eastAsia" w:ascii="宋体" w:hAnsi="宋体" w:cs="宋体"/>
                <w:b/>
                <w:sz w:val="21"/>
                <w:szCs w:val="21"/>
                <w:lang w:val="en-US" w:eastAsia="zh-CN"/>
              </w:rPr>
              <w:t>0</w:t>
            </w:r>
            <w:r>
              <w:rPr>
                <w:rFonts w:hint="eastAsia" w:ascii="宋体" w:hAnsi="宋体" w:eastAsia="宋体" w:cs="宋体"/>
                <w:b/>
                <w:sz w:val="21"/>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1"/>
              <w:numPr>
                <w:ilvl w:val="0"/>
                <w:numId w:val="32"/>
              </w:numPr>
              <w:spacing w:line="360" w:lineRule="auto"/>
              <w:ind w:firstLineChars="0"/>
              <w:jc w:val="center"/>
              <w:rPr>
                <w:rFonts w:hint="eastAsia" w:ascii="宋体" w:hAnsi="宋体" w:eastAsia="宋体" w:cs="宋体"/>
                <w:sz w:val="21"/>
                <w:szCs w:val="21"/>
              </w:rPr>
            </w:pPr>
          </w:p>
        </w:tc>
        <w:tc>
          <w:tcPr>
            <w:tcW w:w="1134" w:type="dxa"/>
            <w:tcMar>
              <w:top w:w="15" w:type="dxa"/>
              <w:left w:w="15" w:type="dxa"/>
              <w:bottom w:w="15" w:type="dxa"/>
              <w:right w:w="15" w:type="dxa"/>
            </w:tcMar>
            <w:vAlign w:val="center"/>
          </w:tcPr>
          <w:p>
            <w:pPr>
              <w:spacing w:line="300" w:lineRule="exact"/>
              <w:jc w:val="center"/>
              <w:rPr>
                <w:rFonts w:hint="eastAsia" w:ascii="宋体" w:hAnsi="宋体" w:eastAsia="宋体" w:cs="宋体"/>
                <w:sz w:val="21"/>
                <w:szCs w:val="21"/>
                <w:highlight w:val="yellow"/>
              </w:rPr>
            </w:pPr>
            <w:r>
              <w:rPr>
                <w:rFonts w:hint="eastAsia" w:ascii="宋体" w:hAnsi="宋体" w:eastAsia="宋体" w:cs="宋体"/>
                <w:sz w:val="21"/>
                <w:szCs w:val="21"/>
              </w:rPr>
              <w:t>项目负责人</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6804" w:type="dxa"/>
            <w:tcMar>
              <w:top w:w="15" w:type="dxa"/>
              <w:left w:w="15" w:type="dxa"/>
              <w:bottom w:w="15" w:type="dxa"/>
              <w:right w:w="15" w:type="dxa"/>
            </w:tcMar>
            <w:vAlign w:val="center"/>
          </w:tcPr>
          <w:p>
            <w:pPr>
              <w:numPr>
                <w:ilvl w:val="-1"/>
                <w:numId w:val="0"/>
              </w:numPr>
              <w:spacing w:line="300" w:lineRule="exact"/>
              <w:ind w:left="0" w:leftChars="0" w:firstLine="0" w:firstLineChars="0"/>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根据投标人拟派项目负责人资质、业绩等进行评分：</w:t>
            </w:r>
          </w:p>
          <w:p>
            <w:pPr>
              <w:numPr>
                <w:ilvl w:val="0"/>
                <w:numId w:val="33"/>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具备中级及以上职称</w:t>
            </w:r>
            <w:r>
              <w:rPr>
                <w:rFonts w:hint="eastAsia" w:ascii="宋体" w:hAnsi="宋体" w:cs="宋体"/>
                <w:color w:val="auto"/>
                <w:sz w:val="21"/>
                <w:szCs w:val="21"/>
                <w:lang w:eastAsia="zh-CN"/>
              </w:rPr>
              <w:t>，</w:t>
            </w:r>
            <w:r>
              <w:rPr>
                <w:rFonts w:hint="eastAsia" w:ascii="宋体" w:hAnsi="宋体" w:eastAsia="宋体" w:cs="宋体"/>
                <w:color w:val="auto"/>
                <w:sz w:val="21"/>
                <w:szCs w:val="21"/>
              </w:rPr>
              <w:t>得1分，不</w:t>
            </w:r>
            <w:r>
              <w:rPr>
                <w:rFonts w:hint="eastAsia" w:ascii="宋体" w:hAnsi="宋体" w:cs="宋体"/>
                <w:color w:val="auto"/>
                <w:sz w:val="21"/>
                <w:szCs w:val="21"/>
                <w:lang w:val="en-US" w:eastAsia="zh-CN"/>
              </w:rPr>
              <w:t>具备</w:t>
            </w:r>
            <w:r>
              <w:rPr>
                <w:rFonts w:hint="eastAsia" w:ascii="宋体" w:hAnsi="宋体" w:eastAsia="宋体" w:cs="宋体"/>
                <w:color w:val="auto"/>
                <w:sz w:val="21"/>
                <w:szCs w:val="21"/>
              </w:rPr>
              <w:t>得0分。</w:t>
            </w:r>
          </w:p>
          <w:p>
            <w:pPr>
              <w:numPr>
                <w:ilvl w:val="0"/>
                <w:numId w:val="33"/>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具备注册造价工程师资格</w:t>
            </w:r>
            <w:r>
              <w:rPr>
                <w:rFonts w:hint="eastAsia" w:ascii="宋体" w:hAnsi="宋体" w:cs="宋体"/>
                <w:color w:val="auto"/>
                <w:sz w:val="21"/>
                <w:szCs w:val="21"/>
                <w:lang w:val="en-US" w:eastAsia="zh-CN"/>
              </w:rPr>
              <w:t>证书</w:t>
            </w:r>
            <w:r>
              <w:rPr>
                <w:rFonts w:hint="eastAsia" w:ascii="宋体" w:hAnsi="宋体" w:cs="宋体"/>
                <w:color w:val="auto"/>
                <w:sz w:val="21"/>
                <w:szCs w:val="21"/>
                <w:lang w:eastAsia="zh-CN"/>
              </w:rPr>
              <w:t>，</w:t>
            </w:r>
            <w:r>
              <w:rPr>
                <w:rFonts w:hint="eastAsia" w:ascii="宋体" w:hAnsi="宋体" w:eastAsia="宋体" w:cs="宋体"/>
                <w:color w:val="auto"/>
                <w:sz w:val="21"/>
                <w:szCs w:val="21"/>
              </w:rPr>
              <w:t>得2分，不</w:t>
            </w:r>
            <w:r>
              <w:rPr>
                <w:rFonts w:hint="eastAsia" w:ascii="宋体" w:hAnsi="宋体" w:cs="宋体"/>
                <w:color w:val="auto"/>
                <w:sz w:val="21"/>
                <w:szCs w:val="21"/>
                <w:lang w:val="en-US" w:eastAsia="zh-CN"/>
              </w:rPr>
              <w:t>具备</w:t>
            </w:r>
            <w:r>
              <w:rPr>
                <w:rFonts w:hint="eastAsia" w:ascii="宋体" w:hAnsi="宋体" w:eastAsia="宋体" w:cs="宋体"/>
                <w:color w:val="auto"/>
                <w:sz w:val="21"/>
                <w:szCs w:val="21"/>
              </w:rPr>
              <w:t>得0分。</w:t>
            </w:r>
          </w:p>
          <w:p>
            <w:pPr>
              <w:numPr>
                <w:ilvl w:val="0"/>
                <w:numId w:val="33"/>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造价</w:t>
            </w:r>
            <w:r>
              <w:rPr>
                <w:rFonts w:hint="eastAsia" w:ascii="宋体" w:hAnsi="宋体" w:eastAsia="宋体" w:cs="宋体"/>
                <w:color w:val="auto"/>
                <w:sz w:val="21"/>
                <w:szCs w:val="21"/>
              </w:rPr>
              <w:t>相关专业领域工作10年及以上</w:t>
            </w:r>
            <w:r>
              <w:rPr>
                <w:rFonts w:hint="eastAsia" w:ascii="宋体" w:hAnsi="宋体" w:cs="宋体"/>
                <w:color w:val="auto"/>
                <w:sz w:val="21"/>
                <w:szCs w:val="21"/>
                <w:lang w:eastAsia="zh-CN"/>
              </w:rPr>
              <w:t>，</w:t>
            </w:r>
            <w:r>
              <w:rPr>
                <w:rFonts w:hint="eastAsia" w:ascii="宋体" w:hAnsi="宋体" w:eastAsia="宋体" w:cs="宋体"/>
                <w:color w:val="auto"/>
                <w:sz w:val="21"/>
                <w:szCs w:val="21"/>
              </w:rPr>
              <w:t>得2分，不符合得0分。</w:t>
            </w:r>
          </w:p>
          <w:p>
            <w:pPr>
              <w:numPr>
                <w:ilvl w:val="0"/>
                <w:numId w:val="33"/>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color w:val="auto"/>
                <w:sz w:val="21"/>
                <w:szCs w:val="21"/>
              </w:rPr>
              <w:t>以项目负责人身份完成编制政府或国企投资项目业绩</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或</w:t>
            </w:r>
            <w:r>
              <w:rPr>
                <w:rFonts w:hint="eastAsia" w:ascii="宋体" w:hAnsi="宋体" w:cs="宋体"/>
                <w:kern w:val="2"/>
                <w:sz w:val="21"/>
                <w:szCs w:val="21"/>
                <w:lang w:val="en-US" w:eastAsia="zh-CN" w:bidi="ar-SA"/>
              </w:rPr>
              <w:t>大型公共建筑（单体建筑面积大于5万平方米）</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项及以上（提供</w:t>
            </w:r>
            <w:r>
              <w:rPr>
                <w:rFonts w:hint="eastAsia" w:ascii="宋体" w:hAnsi="宋体" w:cs="宋体"/>
                <w:color w:val="auto"/>
                <w:sz w:val="21"/>
                <w:szCs w:val="21"/>
                <w:lang w:val="en-US" w:eastAsia="zh-CN"/>
              </w:rPr>
              <w:t>可证明其负责人身份的</w:t>
            </w:r>
            <w:r>
              <w:rPr>
                <w:rFonts w:hint="eastAsia" w:ascii="宋体" w:hAnsi="宋体" w:eastAsia="宋体" w:cs="宋体"/>
                <w:color w:val="auto"/>
                <w:sz w:val="21"/>
                <w:szCs w:val="21"/>
              </w:rPr>
              <w:t>造价咨询成果签章页</w:t>
            </w:r>
            <w:r>
              <w:rPr>
                <w:rFonts w:hint="eastAsia" w:ascii="宋体" w:hAnsi="宋体" w:cs="宋体"/>
                <w:color w:val="auto"/>
                <w:sz w:val="21"/>
                <w:szCs w:val="21"/>
                <w:lang w:val="en-US" w:eastAsia="zh-CN"/>
              </w:rPr>
              <w:t>或其他</w:t>
            </w:r>
            <w:r>
              <w:rPr>
                <w:rFonts w:hint="eastAsia" w:ascii="宋体" w:hAnsi="宋体" w:eastAsia="宋体" w:cs="宋体"/>
                <w:color w:val="auto"/>
                <w:sz w:val="21"/>
                <w:szCs w:val="21"/>
              </w:rPr>
              <w:t>相关证明材料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所提供资料无法判断投资主体的不得分</w:t>
            </w:r>
            <w:r>
              <w:rPr>
                <w:rFonts w:hint="eastAsia" w:ascii="宋体" w:hAnsi="宋体" w:eastAsia="宋体" w:cs="宋体"/>
                <w:color w:val="auto"/>
                <w:sz w:val="21"/>
                <w:szCs w:val="21"/>
              </w:rPr>
              <w:t>）。符合得2分，不符合得0分。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1"/>
              <w:numPr>
                <w:ilvl w:val="0"/>
                <w:numId w:val="32"/>
              </w:numPr>
              <w:spacing w:line="360" w:lineRule="auto"/>
              <w:ind w:firstLineChars="0"/>
              <w:jc w:val="center"/>
              <w:rPr>
                <w:rFonts w:hint="eastAsia" w:ascii="宋体" w:hAnsi="宋体" w:eastAsia="宋体" w:cs="宋体"/>
                <w:sz w:val="21"/>
                <w:szCs w:val="21"/>
              </w:rPr>
            </w:pPr>
          </w:p>
        </w:tc>
        <w:tc>
          <w:tcPr>
            <w:tcW w:w="1134"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highlight w:val="yellow"/>
              </w:rPr>
            </w:pPr>
            <w:r>
              <w:rPr>
                <w:rFonts w:hint="eastAsia" w:ascii="宋体" w:hAnsi="宋体" w:eastAsia="宋体" w:cs="宋体"/>
                <w:sz w:val="21"/>
                <w:szCs w:val="21"/>
              </w:rPr>
              <w:t>土建专业负责人</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804" w:type="dxa"/>
            <w:tcMar>
              <w:top w:w="15" w:type="dxa"/>
              <w:left w:w="15" w:type="dxa"/>
              <w:bottom w:w="15" w:type="dxa"/>
              <w:right w:w="15" w:type="dxa"/>
            </w:tcMar>
            <w:vAlign w:val="center"/>
          </w:tcPr>
          <w:p>
            <w:pPr>
              <w:numPr>
                <w:ilvl w:val="-1"/>
                <w:numId w:val="0"/>
              </w:numPr>
              <w:spacing w:line="300" w:lineRule="exact"/>
              <w:ind w:left="0" w:leftChars="0" w:firstLine="0" w:firstLineChars="0"/>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根据投标人拟派土建专业负责人资质进行评分：</w:t>
            </w:r>
          </w:p>
          <w:p>
            <w:pPr>
              <w:numPr>
                <w:ilvl w:val="0"/>
                <w:numId w:val="34"/>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具备土建专业中级及以上职称</w:t>
            </w:r>
            <w:r>
              <w:rPr>
                <w:rFonts w:hint="eastAsia" w:ascii="宋体" w:hAnsi="宋体" w:cs="宋体"/>
                <w:color w:val="auto"/>
                <w:sz w:val="21"/>
                <w:szCs w:val="21"/>
                <w:lang w:eastAsia="zh-CN"/>
              </w:rPr>
              <w:t>，</w:t>
            </w:r>
            <w:r>
              <w:rPr>
                <w:rFonts w:hint="eastAsia" w:ascii="宋体" w:hAnsi="宋体" w:eastAsia="宋体" w:cs="宋体"/>
                <w:color w:val="auto"/>
                <w:sz w:val="21"/>
                <w:szCs w:val="21"/>
              </w:rPr>
              <w:t>得1分，不</w:t>
            </w:r>
            <w:r>
              <w:rPr>
                <w:rFonts w:hint="eastAsia" w:ascii="宋体" w:hAnsi="宋体" w:cs="宋体"/>
                <w:color w:val="auto"/>
                <w:sz w:val="21"/>
                <w:szCs w:val="21"/>
                <w:lang w:val="en-US" w:eastAsia="zh-CN"/>
              </w:rPr>
              <w:t>具备</w:t>
            </w:r>
            <w:r>
              <w:rPr>
                <w:rFonts w:hint="eastAsia" w:ascii="宋体" w:hAnsi="宋体" w:eastAsia="宋体" w:cs="宋体"/>
                <w:color w:val="auto"/>
                <w:sz w:val="21"/>
                <w:szCs w:val="21"/>
              </w:rPr>
              <w:t>得0分。</w:t>
            </w:r>
          </w:p>
          <w:p>
            <w:pPr>
              <w:numPr>
                <w:ilvl w:val="0"/>
                <w:numId w:val="34"/>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具备注册造价工程师资格</w:t>
            </w:r>
            <w:r>
              <w:rPr>
                <w:rFonts w:hint="eastAsia" w:ascii="宋体" w:hAnsi="宋体" w:cs="宋体"/>
                <w:color w:val="auto"/>
                <w:sz w:val="21"/>
                <w:szCs w:val="21"/>
                <w:lang w:eastAsia="zh-CN"/>
              </w:rPr>
              <w:t>，</w:t>
            </w:r>
            <w:r>
              <w:rPr>
                <w:rFonts w:hint="eastAsia" w:ascii="宋体" w:hAnsi="宋体" w:eastAsia="宋体" w:cs="宋体"/>
                <w:color w:val="auto"/>
                <w:sz w:val="21"/>
                <w:szCs w:val="21"/>
              </w:rPr>
              <w:t>得2分，不</w:t>
            </w:r>
            <w:r>
              <w:rPr>
                <w:rFonts w:hint="eastAsia" w:ascii="宋体" w:hAnsi="宋体" w:cs="宋体"/>
                <w:color w:val="auto"/>
                <w:sz w:val="21"/>
                <w:szCs w:val="21"/>
                <w:lang w:val="en-US" w:eastAsia="zh-CN"/>
              </w:rPr>
              <w:t>具备</w:t>
            </w:r>
            <w:r>
              <w:rPr>
                <w:rFonts w:hint="eastAsia" w:ascii="宋体" w:hAnsi="宋体" w:eastAsia="宋体" w:cs="宋体"/>
                <w:color w:val="auto"/>
                <w:sz w:val="21"/>
                <w:szCs w:val="21"/>
              </w:rPr>
              <w:t>得0分。</w:t>
            </w:r>
          </w:p>
          <w:p>
            <w:pPr>
              <w:numPr>
                <w:ilvl w:val="0"/>
                <w:numId w:val="34"/>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color w:val="auto"/>
                <w:sz w:val="21"/>
                <w:szCs w:val="21"/>
              </w:rPr>
              <w:t>相关专业领域工作5年及以上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以获得职称或执业资格证书颁发日期为准</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r>
              <w:rPr>
                <w:rFonts w:hint="eastAsia" w:ascii="宋体" w:hAnsi="宋体" w:eastAsia="宋体" w:cs="宋体"/>
                <w:color w:val="auto"/>
                <w:sz w:val="21"/>
                <w:szCs w:val="21"/>
              </w:rPr>
              <w:t>符合得2分，不符合得0分。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1"/>
              <w:numPr>
                <w:ilvl w:val="0"/>
                <w:numId w:val="32"/>
              </w:numPr>
              <w:spacing w:line="360" w:lineRule="auto"/>
              <w:ind w:firstLineChars="0"/>
              <w:jc w:val="center"/>
              <w:rPr>
                <w:rFonts w:hint="eastAsia" w:ascii="宋体" w:hAnsi="宋体" w:eastAsia="宋体" w:cs="宋体"/>
                <w:sz w:val="21"/>
                <w:szCs w:val="21"/>
              </w:rPr>
            </w:pPr>
          </w:p>
        </w:tc>
        <w:tc>
          <w:tcPr>
            <w:tcW w:w="1134" w:type="dxa"/>
            <w:tcMar>
              <w:top w:w="15" w:type="dxa"/>
              <w:left w:w="15" w:type="dxa"/>
              <w:bottom w:w="15" w:type="dxa"/>
              <w:right w:w="15" w:type="dxa"/>
            </w:tcMar>
            <w:vAlign w:val="center"/>
          </w:tcPr>
          <w:p>
            <w:pPr>
              <w:spacing w:line="300" w:lineRule="exact"/>
              <w:jc w:val="center"/>
              <w:rPr>
                <w:rFonts w:hint="eastAsia" w:ascii="宋体" w:hAnsi="宋体" w:eastAsia="宋体" w:cs="宋体"/>
                <w:sz w:val="21"/>
                <w:szCs w:val="21"/>
                <w:highlight w:val="yellow"/>
              </w:rPr>
            </w:pPr>
            <w:r>
              <w:rPr>
                <w:rFonts w:hint="eastAsia" w:ascii="宋体" w:hAnsi="宋体" w:eastAsia="宋体" w:cs="宋体"/>
                <w:sz w:val="21"/>
                <w:szCs w:val="21"/>
              </w:rPr>
              <w:t>安装专业负责人</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804" w:type="dxa"/>
            <w:tcMar>
              <w:top w:w="15" w:type="dxa"/>
              <w:left w:w="15" w:type="dxa"/>
              <w:bottom w:w="15" w:type="dxa"/>
              <w:right w:w="15" w:type="dxa"/>
            </w:tcMar>
            <w:vAlign w:val="center"/>
          </w:tcPr>
          <w:p>
            <w:pPr>
              <w:numPr>
                <w:ilvl w:val="-1"/>
                <w:numId w:val="0"/>
              </w:numPr>
              <w:spacing w:line="300" w:lineRule="exact"/>
              <w:ind w:left="0" w:leftChars="0" w:firstLine="0" w:firstLineChars="0"/>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根据投标人拟派安装专业负责人资质进行评分：</w:t>
            </w:r>
          </w:p>
          <w:p>
            <w:pPr>
              <w:numPr>
                <w:ilvl w:val="0"/>
                <w:numId w:val="35"/>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具备中级及以上职称</w:t>
            </w:r>
            <w:r>
              <w:rPr>
                <w:rFonts w:hint="eastAsia" w:ascii="宋体" w:hAnsi="宋体" w:cs="宋体"/>
                <w:color w:val="auto"/>
                <w:sz w:val="21"/>
                <w:szCs w:val="21"/>
                <w:lang w:eastAsia="zh-CN"/>
              </w:rPr>
              <w:t>，</w:t>
            </w:r>
            <w:r>
              <w:rPr>
                <w:rFonts w:hint="eastAsia" w:ascii="宋体" w:hAnsi="宋体" w:eastAsia="宋体" w:cs="宋体"/>
                <w:color w:val="auto"/>
                <w:sz w:val="21"/>
                <w:szCs w:val="21"/>
              </w:rPr>
              <w:t>得1分，不</w:t>
            </w:r>
            <w:r>
              <w:rPr>
                <w:rFonts w:hint="eastAsia" w:ascii="宋体" w:hAnsi="宋体" w:cs="宋体"/>
                <w:color w:val="auto"/>
                <w:sz w:val="21"/>
                <w:szCs w:val="21"/>
                <w:lang w:val="en-US" w:eastAsia="zh-CN"/>
              </w:rPr>
              <w:t>具备</w:t>
            </w:r>
            <w:r>
              <w:rPr>
                <w:rFonts w:hint="eastAsia" w:ascii="宋体" w:hAnsi="宋体" w:eastAsia="宋体" w:cs="宋体"/>
                <w:color w:val="auto"/>
                <w:sz w:val="21"/>
                <w:szCs w:val="21"/>
              </w:rPr>
              <w:t>得0分。</w:t>
            </w:r>
          </w:p>
          <w:p>
            <w:pPr>
              <w:numPr>
                <w:ilvl w:val="0"/>
                <w:numId w:val="35"/>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具备注册造价工程师资格</w:t>
            </w:r>
            <w:r>
              <w:rPr>
                <w:rFonts w:hint="eastAsia" w:ascii="宋体" w:hAnsi="宋体" w:cs="宋体"/>
                <w:color w:val="auto"/>
                <w:sz w:val="21"/>
                <w:szCs w:val="21"/>
                <w:lang w:eastAsia="zh-CN"/>
              </w:rPr>
              <w:t>，</w:t>
            </w:r>
            <w:r>
              <w:rPr>
                <w:rFonts w:hint="eastAsia" w:ascii="宋体" w:hAnsi="宋体" w:eastAsia="宋体" w:cs="宋体"/>
                <w:color w:val="auto"/>
                <w:sz w:val="21"/>
                <w:szCs w:val="21"/>
              </w:rPr>
              <w:t>得2分，不</w:t>
            </w:r>
            <w:r>
              <w:rPr>
                <w:rFonts w:hint="eastAsia" w:ascii="宋体" w:hAnsi="宋体" w:cs="宋体"/>
                <w:color w:val="auto"/>
                <w:sz w:val="21"/>
                <w:szCs w:val="21"/>
                <w:lang w:val="en-US" w:eastAsia="zh-CN"/>
              </w:rPr>
              <w:t>具备</w:t>
            </w:r>
            <w:r>
              <w:rPr>
                <w:rFonts w:hint="eastAsia" w:ascii="宋体" w:hAnsi="宋体" w:eastAsia="宋体" w:cs="宋体"/>
                <w:color w:val="auto"/>
                <w:sz w:val="21"/>
                <w:szCs w:val="21"/>
              </w:rPr>
              <w:t>得0分。</w:t>
            </w:r>
          </w:p>
          <w:p>
            <w:pPr>
              <w:numPr>
                <w:ilvl w:val="0"/>
                <w:numId w:val="35"/>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color w:val="auto"/>
                <w:sz w:val="21"/>
                <w:szCs w:val="21"/>
              </w:rPr>
              <w:t>相关专业领域工作5年及以上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以获得职称或执业资格证书颁发日期为准</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r>
              <w:rPr>
                <w:rFonts w:hint="eastAsia" w:ascii="宋体" w:hAnsi="宋体" w:eastAsia="宋体" w:cs="宋体"/>
                <w:color w:val="auto"/>
                <w:sz w:val="21"/>
                <w:szCs w:val="21"/>
              </w:rPr>
              <w:t>符合得2分，不符合得0分。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1"/>
              <w:numPr>
                <w:ilvl w:val="0"/>
                <w:numId w:val="32"/>
              </w:numPr>
              <w:spacing w:line="360" w:lineRule="auto"/>
              <w:ind w:firstLineChars="0"/>
              <w:jc w:val="center"/>
              <w:rPr>
                <w:rFonts w:hint="eastAsia" w:ascii="宋体" w:hAnsi="宋体" w:eastAsia="宋体" w:cs="宋体"/>
                <w:sz w:val="21"/>
                <w:szCs w:val="21"/>
              </w:rPr>
            </w:pPr>
          </w:p>
        </w:tc>
        <w:tc>
          <w:tcPr>
            <w:tcW w:w="1134" w:type="dxa"/>
            <w:tcMar>
              <w:top w:w="15" w:type="dxa"/>
              <w:left w:w="15" w:type="dxa"/>
              <w:bottom w:w="15" w:type="dxa"/>
              <w:right w:w="15" w:type="dxa"/>
            </w:tcMar>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项目其他人员配置</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6804" w:type="dxa"/>
            <w:tcMar>
              <w:top w:w="15" w:type="dxa"/>
              <w:left w:w="15" w:type="dxa"/>
              <w:bottom w:w="15" w:type="dxa"/>
              <w:right w:w="15" w:type="dxa"/>
            </w:tcMar>
            <w:vAlign w:val="center"/>
          </w:tcPr>
          <w:p>
            <w:pPr>
              <w:spacing w:line="3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根据投标人拟派项目其他人员资质进行评分（</w:t>
            </w:r>
            <w:r>
              <w:rPr>
                <w:rFonts w:hint="eastAsia" w:ascii="宋体" w:hAnsi="宋体" w:cs="宋体"/>
                <w:sz w:val="21"/>
                <w:szCs w:val="21"/>
              </w:rPr>
              <w:t>除项目负责人、土建专业负责人、安装专业负责人外</w:t>
            </w:r>
            <w:r>
              <w:rPr>
                <w:rFonts w:hint="eastAsia" w:ascii="宋体" w:hAnsi="宋体" w:cs="宋体"/>
                <w:sz w:val="21"/>
                <w:szCs w:val="21"/>
                <w:lang w:eastAsia="zh-CN"/>
              </w:rPr>
              <w:t>）：</w:t>
            </w:r>
          </w:p>
          <w:p>
            <w:pPr>
              <w:numPr>
                <w:ilvl w:val="0"/>
                <w:numId w:val="36"/>
              </w:numPr>
              <w:spacing w:line="300" w:lineRule="exact"/>
              <w:ind w:left="425" w:leftChars="0" w:hanging="425"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剩余拟</w:t>
            </w:r>
            <w:r>
              <w:rPr>
                <w:rFonts w:hint="eastAsia" w:ascii="宋体" w:hAnsi="宋体" w:eastAsia="宋体" w:cs="宋体"/>
                <w:color w:val="auto"/>
                <w:sz w:val="21"/>
                <w:szCs w:val="21"/>
              </w:rPr>
              <w:t>投入人员</w:t>
            </w:r>
            <w:r>
              <w:rPr>
                <w:rFonts w:hint="eastAsia" w:ascii="宋体" w:hAnsi="宋体" w:cs="宋体"/>
                <w:color w:val="auto"/>
                <w:sz w:val="21"/>
                <w:szCs w:val="21"/>
                <w:lang w:val="en-US" w:eastAsia="zh-CN"/>
              </w:rPr>
              <w:t>从事</w:t>
            </w:r>
            <w:r>
              <w:rPr>
                <w:rFonts w:hint="eastAsia" w:ascii="宋体" w:hAnsi="宋体" w:eastAsia="宋体" w:cs="宋体"/>
                <w:color w:val="auto"/>
                <w:sz w:val="21"/>
                <w:szCs w:val="21"/>
              </w:rPr>
              <w:t>工程造价相关工作</w:t>
            </w:r>
            <w:r>
              <w:rPr>
                <w:rFonts w:hint="eastAsia" w:ascii="宋体" w:hAnsi="宋体" w:cs="宋体"/>
                <w:color w:val="auto"/>
                <w:sz w:val="21"/>
                <w:szCs w:val="21"/>
                <w:lang w:val="en-US" w:eastAsia="zh-CN"/>
              </w:rPr>
              <w:t>均为4</w:t>
            </w:r>
            <w:r>
              <w:rPr>
                <w:rFonts w:hint="eastAsia" w:ascii="宋体" w:hAnsi="宋体" w:eastAsia="宋体" w:cs="宋体"/>
                <w:color w:val="auto"/>
                <w:sz w:val="21"/>
                <w:szCs w:val="21"/>
              </w:rPr>
              <w:t>年及以上工作经验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以获得职称或执业资格证书颁发日期为准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。符合得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分，不符合得0分。</w:t>
            </w:r>
          </w:p>
          <w:p>
            <w:pPr>
              <w:numPr>
                <w:ilvl w:val="0"/>
                <w:numId w:val="36"/>
              </w:numPr>
              <w:spacing w:line="300" w:lineRule="exact"/>
              <w:ind w:left="425" w:leftChars="0" w:hanging="425" w:firstLineChars="0"/>
              <w:rPr>
                <w:rFonts w:hint="eastAsia" w:ascii="宋体" w:hAnsi="宋体" w:eastAsia="宋体" w:cs="宋体"/>
                <w:sz w:val="21"/>
                <w:szCs w:val="21"/>
              </w:rPr>
            </w:pPr>
            <w:r>
              <w:rPr>
                <w:rFonts w:hint="eastAsia" w:ascii="宋体" w:hAnsi="宋体" w:cs="宋体"/>
                <w:color w:val="auto"/>
                <w:sz w:val="21"/>
                <w:szCs w:val="21"/>
                <w:lang w:val="en-US" w:eastAsia="zh-CN"/>
              </w:rPr>
              <w:t>拟</w:t>
            </w:r>
            <w:r>
              <w:rPr>
                <w:rFonts w:hint="eastAsia" w:ascii="宋体" w:hAnsi="宋体" w:eastAsia="宋体" w:cs="宋体"/>
                <w:color w:val="auto"/>
                <w:sz w:val="21"/>
                <w:szCs w:val="21"/>
              </w:rPr>
              <w:t>投入人员具备国家注册造价工程师资格</w:t>
            </w:r>
            <w:r>
              <w:rPr>
                <w:rFonts w:hint="eastAsia" w:ascii="宋体" w:hAnsi="宋体" w:cs="宋体"/>
                <w:color w:val="auto"/>
                <w:sz w:val="21"/>
                <w:szCs w:val="21"/>
                <w:lang w:val="en-US" w:eastAsia="zh-CN"/>
              </w:rPr>
              <w:t>证书的</w:t>
            </w:r>
            <w:r>
              <w:rPr>
                <w:rFonts w:hint="eastAsia" w:ascii="宋体" w:hAnsi="宋体" w:eastAsia="宋体" w:cs="宋体"/>
                <w:color w:val="auto"/>
                <w:sz w:val="21"/>
                <w:szCs w:val="21"/>
              </w:rPr>
              <w:t>，每人加1分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本项最高得3分</w:t>
            </w:r>
            <w:r>
              <w:rPr>
                <w:rFonts w:hint="eastAsia" w:ascii="宋体" w:hAnsi="宋体" w:eastAsia="宋体" w:cs="宋体"/>
                <w:color w:val="auto"/>
                <w:sz w:val="21"/>
                <w:szCs w:val="21"/>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1"/>
              <w:numPr>
                <w:ilvl w:val="0"/>
                <w:numId w:val="32"/>
              </w:numPr>
              <w:spacing w:line="360" w:lineRule="auto"/>
              <w:ind w:firstLineChars="0"/>
              <w:jc w:val="center"/>
              <w:rPr>
                <w:rFonts w:hint="eastAsia" w:ascii="宋体" w:hAnsi="宋体" w:eastAsia="宋体" w:cs="宋体"/>
                <w:sz w:val="21"/>
                <w:szCs w:val="21"/>
              </w:rPr>
            </w:pPr>
          </w:p>
        </w:tc>
        <w:tc>
          <w:tcPr>
            <w:tcW w:w="1134" w:type="dxa"/>
            <w:tcMar>
              <w:top w:w="15" w:type="dxa"/>
              <w:left w:w="15" w:type="dxa"/>
              <w:bottom w:w="15" w:type="dxa"/>
              <w:right w:w="15" w:type="dxa"/>
            </w:tcMar>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服务方案</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6804" w:type="dxa"/>
            <w:tcMar>
              <w:top w:w="15" w:type="dxa"/>
              <w:left w:w="15" w:type="dxa"/>
              <w:bottom w:w="15" w:type="dxa"/>
              <w:right w:w="15" w:type="dxa"/>
            </w:tcMar>
            <w:vAlign w:val="center"/>
          </w:tcPr>
          <w:p>
            <w:pPr>
              <w:numPr>
                <w:ilvl w:val="-1"/>
                <w:numId w:val="0"/>
              </w:numPr>
              <w:spacing w:line="300" w:lineRule="exact"/>
              <w:ind w:left="0" w:leftChars="0" w:firstLine="0" w:firstLineChars="0"/>
              <w:rPr>
                <w:rFonts w:hint="default" w:ascii="宋体" w:hAnsi="宋体" w:eastAsia="宋体" w:cs="宋体"/>
                <w:sz w:val="21"/>
                <w:szCs w:val="21"/>
                <w:lang w:val="en-US"/>
              </w:rPr>
            </w:pPr>
            <w:r>
              <w:rPr>
                <w:rFonts w:hint="eastAsia" w:ascii="宋体" w:hAnsi="宋体" w:cs="宋体"/>
                <w:color w:val="auto"/>
                <w:sz w:val="21"/>
                <w:szCs w:val="21"/>
                <w:lang w:val="en-US" w:eastAsia="zh-CN"/>
              </w:rPr>
              <w:t>根据投标人制定的服务方案横向比较进行评分：</w:t>
            </w:r>
          </w:p>
          <w:p>
            <w:pPr>
              <w:numPr>
                <w:ilvl w:val="0"/>
                <w:numId w:val="37"/>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总体思路清晰准确</w:t>
            </w:r>
            <w:r>
              <w:rPr>
                <w:rFonts w:hint="eastAsia" w:ascii="宋体" w:hAnsi="宋体" w:cs="宋体"/>
                <w:sz w:val="21"/>
                <w:szCs w:val="21"/>
                <w:lang w:val="en-US" w:eastAsia="zh-CN"/>
              </w:rPr>
              <w:t>性，</w:t>
            </w:r>
            <w:r>
              <w:rPr>
                <w:rFonts w:hint="eastAsia" w:ascii="宋体" w:hAnsi="宋体" w:eastAsia="宋体" w:cs="宋体"/>
                <w:sz w:val="21"/>
                <w:szCs w:val="21"/>
              </w:rPr>
              <w:t>得0-3分</w:t>
            </w:r>
            <w:r>
              <w:rPr>
                <w:rFonts w:hint="eastAsia" w:ascii="宋体" w:hAnsi="宋体" w:cs="宋体"/>
                <w:sz w:val="21"/>
                <w:szCs w:val="21"/>
                <w:lang w:val="en-US" w:eastAsia="zh-CN"/>
              </w:rPr>
              <w:t>；</w:t>
            </w:r>
          </w:p>
          <w:p>
            <w:pPr>
              <w:numPr>
                <w:ilvl w:val="0"/>
                <w:numId w:val="37"/>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工作方案科学合理</w:t>
            </w:r>
            <w:r>
              <w:rPr>
                <w:rFonts w:hint="eastAsia" w:ascii="宋体" w:hAnsi="宋体" w:cs="宋体"/>
                <w:sz w:val="21"/>
                <w:szCs w:val="21"/>
                <w:lang w:val="en-US" w:eastAsia="zh-CN"/>
              </w:rPr>
              <w:t>性，</w:t>
            </w:r>
            <w:r>
              <w:rPr>
                <w:rFonts w:hint="eastAsia" w:ascii="宋体" w:hAnsi="宋体" w:eastAsia="宋体" w:cs="宋体"/>
                <w:sz w:val="21"/>
                <w:szCs w:val="21"/>
              </w:rPr>
              <w:t>得0-3分</w:t>
            </w:r>
            <w:r>
              <w:rPr>
                <w:rFonts w:hint="eastAsia" w:ascii="宋体" w:hAnsi="宋体" w:cs="宋体"/>
                <w:sz w:val="21"/>
                <w:szCs w:val="21"/>
                <w:lang w:val="en-US" w:eastAsia="zh-CN"/>
              </w:rPr>
              <w:t>；</w:t>
            </w:r>
          </w:p>
          <w:p>
            <w:pPr>
              <w:numPr>
                <w:ilvl w:val="0"/>
                <w:numId w:val="37"/>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工作要点分析透彻、符合实际</w:t>
            </w:r>
            <w:r>
              <w:rPr>
                <w:rFonts w:hint="eastAsia" w:ascii="宋体" w:hAnsi="宋体" w:cs="宋体"/>
                <w:sz w:val="21"/>
                <w:szCs w:val="21"/>
                <w:lang w:val="en-US" w:eastAsia="zh-CN"/>
              </w:rPr>
              <w:t>方面，</w:t>
            </w:r>
            <w:r>
              <w:rPr>
                <w:rFonts w:hint="eastAsia" w:ascii="宋体" w:hAnsi="宋体" w:eastAsia="宋体" w:cs="宋体"/>
                <w:sz w:val="21"/>
                <w:szCs w:val="21"/>
              </w:rPr>
              <w:t>得0-4分</w:t>
            </w:r>
            <w:r>
              <w:rPr>
                <w:rFonts w:hint="eastAsia" w:ascii="宋体" w:hAnsi="宋体" w:cs="宋体"/>
                <w:sz w:val="21"/>
                <w:szCs w:val="21"/>
                <w:lang w:val="en-US" w:eastAsia="zh-CN"/>
              </w:rPr>
              <w:t>；</w:t>
            </w:r>
          </w:p>
          <w:p>
            <w:pPr>
              <w:numPr>
                <w:ilvl w:val="0"/>
                <w:numId w:val="37"/>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质量控制措施</w:t>
            </w:r>
            <w:r>
              <w:rPr>
                <w:rFonts w:hint="eastAsia" w:ascii="宋体" w:hAnsi="宋体" w:cs="宋体"/>
                <w:sz w:val="21"/>
                <w:szCs w:val="21"/>
                <w:lang w:val="en-US" w:eastAsia="zh-CN"/>
              </w:rPr>
              <w:t>的可行性，</w:t>
            </w:r>
            <w:r>
              <w:rPr>
                <w:rFonts w:hint="eastAsia" w:ascii="宋体" w:hAnsi="宋体" w:eastAsia="宋体" w:cs="宋体"/>
                <w:sz w:val="21"/>
                <w:szCs w:val="21"/>
              </w:rPr>
              <w:t>得0-3分</w:t>
            </w:r>
            <w:r>
              <w:rPr>
                <w:rFonts w:hint="eastAsia" w:ascii="宋体" w:hAnsi="宋体" w:cs="宋体"/>
                <w:sz w:val="21"/>
                <w:szCs w:val="21"/>
                <w:lang w:val="en-US" w:eastAsia="zh-CN"/>
              </w:rPr>
              <w:t>；</w:t>
            </w:r>
          </w:p>
          <w:p>
            <w:pPr>
              <w:numPr>
                <w:ilvl w:val="0"/>
                <w:numId w:val="37"/>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进度控制措施</w:t>
            </w:r>
            <w:r>
              <w:rPr>
                <w:rFonts w:hint="eastAsia" w:ascii="宋体" w:hAnsi="宋体" w:cs="宋体"/>
                <w:sz w:val="21"/>
                <w:szCs w:val="21"/>
                <w:lang w:val="en-US" w:eastAsia="zh-CN"/>
              </w:rPr>
              <w:t>的可行性，</w:t>
            </w:r>
            <w:r>
              <w:rPr>
                <w:rFonts w:hint="eastAsia" w:ascii="宋体" w:hAnsi="宋体" w:eastAsia="宋体" w:cs="宋体"/>
                <w:sz w:val="21"/>
                <w:szCs w:val="21"/>
              </w:rPr>
              <w:t>得0-3分</w:t>
            </w:r>
            <w:r>
              <w:rPr>
                <w:rFonts w:hint="eastAsia" w:ascii="宋体" w:hAnsi="宋体" w:cs="宋体"/>
                <w:sz w:val="21"/>
                <w:szCs w:val="21"/>
                <w:lang w:val="en-US" w:eastAsia="zh-CN"/>
              </w:rPr>
              <w:t>；</w:t>
            </w:r>
          </w:p>
          <w:p>
            <w:pPr>
              <w:numPr>
                <w:ilvl w:val="0"/>
                <w:numId w:val="37"/>
              </w:numPr>
              <w:spacing w:line="300" w:lineRule="exact"/>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合理化建议的针对性和</w:t>
            </w:r>
            <w:r>
              <w:rPr>
                <w:rFonts w:hint="eastAsia" w:ascii="宋体" w:hAnsi="宋体" w:cs="宋体"/>
                <w:sz w:val="21"/>
                <w:szCs w:val="21"/>
                <w:lang w:val="en-US" w:eastAsia="zh-CN"/>
              </w:rPr>
              <w:t>可</w:t>
            </w:r>
            <w:r>
              <w:rPr>
                <w:rFonts w:hint="eastAsia" w:ascii="宋体" w:hAnsi="宋体" w:eastAsia="宋体" w:cs="宋体"/>
                <w:sz w:val="21"/>
                <w:szCs w:val="21"/>
              </w:rPr>
              <w:t>操作性</w:t>
            </w:r>
            <w:r>
              <w:rPr>
                <w:rFonts w:hint="eastAsia" w:ascii="宋体" w:hAnsi="宋体" w:cs="宋体"/>
                <w:sz w:val="21"/>
                <w:szCs w:val="21"/>
                <w:lang w:eastAsia="zh-CN"/>
              </w:rPr>
              <w:t>，</w:t>
            </w:r>
            <w:r>
              <w:rPr>
                <w:rFonts w:hint="eastAsia" w:ascii="宋体" w:hAnsi="宋体" w:eastAsia="宋体" w:cs="宋体"/>
                <w:sz w:val="21"/>
                <w:szCs w:val="21"/>
              </w:rPr>
              <w:t>得0-2分</w:t>
            </w:r>
            <w:r>
              <w:rPr>
                <w:rFonts w:hint="eastAsia" w:ascii="宋体" w:hAnsi="宋体" w:cs="宋体"/>
                <w:sz w:val="21"/>
                <w:szCs w:val="21"/>
                <w:lang w:eastAsia="zh-CN"/>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4"/>
            <w:shd w:val="clear" w:color="auto" w:fill="D0CECE" w:themeFill="background2" w:themeFillShade="E6"/>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价格评议项（</w:t>
            </w:r>
            <w:r>
              <w:rPr>
                <w:rFonts w:hint="eastAsia" w:ascii="宋体" w:hAnsi="宋体" w:cs="宋体"/>
                <w:b/>
                <w:sz w:val="21"/>
                <w:szCs w:val="21"/>
                <w:lang w:val="en-US" w:eastAsia="zh-CN"/>
              </w:rPr>
              <w:t>4</w:t>
            </w:r>
            <w:r>
              <w:rPr>
                <w:rFonts w:hint="eastAsia" w:ascii="宋体" w:hAnsi="宋体" w:eastAsia="宋体" w:cs="宋体"/>
                <w:b/>
                <w:sz w:val="21"/>
                <w:szCs w:val="21"/>
              </w:rPr>
              <w:t>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823" w:hRule="atLeast"/>
          <w:tblCellSpacing w:w="0" w:type="dxa"/>
          <w:jc w:val="center"/>
        </w:trPr>
        <w:tc>
          <w:tcPr>
            <w:tcW w:w="70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34"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价格评议</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0</w:t>
            </w:r>
          </w:p>
        </w:tc>
        <w:tc>
          <w:tcPr>
            <w:tcW w:w="6804" w:type="dxa"/>
            <w:tcMar>
              <w:top w:w="15" w:type="dxa"/>
              <w:left w:w="15" w:type="dxa"/>
              <w:bottom w:w="15" w:type="dxa"/>
              <w:right w:w="15" w:type="dxa"/>
            </w:tcMar>
            <w:vAlign w:val="center"/>
          </w:tcPr>
          <w:p>
            <w:pPr>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shd w:val="clear"/>
              </w:rPr>
              <w:t>根据</w:t>
            </w:r>
            <w:r>
              <w:rPr>
                <w:rFonts w:hint="eastAsia" w:ascii="宋体" w:hAnsi="宋体" w:cs="宋体"/>
                <w:color w:val="auto"/>
                <w:sz w:val="21"/>
                <w:szCs w:val="21"/>
                <w:highlight w:val="none"/>
                <w:shd w:val="clear"/>
                <w:lang w:val="en-US" w:eastAsia="zh-CN"/>
              </w:rPr>
              <w:t>深价协【2019】013</w:t>
            </w:r>
            <w:r>
              <w:rPr>
                <w:rFonts w:hint="eastAsia" w:ascii="宋体" w:hAnsi="宋体" w:eastAsia="宋体" w:cs="宋体"/>
                <w:color w:val="auto"/>
                <w:sz w:val="21"/>
                <w:szCs w:val="21"/>
                <w:highlight w:val="none"/>
                <w:shd w:val="clear"/>
              </w:rPr>
              <w:t>号《</w:t>
            </w:r>
            <w:r>
              <w:rPr>
                <w:rFonts w:hint="eastAsia" w:ascii="宋体" w:hAnsi="宋体" w:eastAsia="宋体" w:cs="宋体"/>
                <w:color w:val="auto"/>
                <w:sz w:val="21"/>
                <w:szCs w:val="21"/>
                <w:highlight w:val="none"/>
                <w:shd w:val="clear"/>
                <w:lang w:val="en-US" w:eastAsia="zh-CN"/>
              </w:rPr>
              <w:t>深圳</w:t>
            </w:r>
            <w:r>
              <w:rPr>
                <w:rFonts w:hint="eastAsia" w:ascii="宋体" w:hAnsi="宋体" w:eastAsia="宋体" w:cs="宋体"/>
                <w:color w:val="auto"/>
                <w:sz w:val="21"/>
                <w:szCs w:val="21"/>
                <w:highlight w:val="none"/>
                <w:lang w:val="en-US" w:eastAsia="zh-CN"/>
              </w:rPr>
              <w:t>市建设工程造价咨询业收费市场参考价格</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拟定</w:t>
            </w:r>
            <w:r>
              <w:rPr>
                <w:rFonts w:hint="eastAsia" w:ascii="宋体" w:hAnsi="宋体" w:eastAsia="宋体" w:cs="宋体"/>
                <w:color w:val="auto"/>
                <w:sz w:val="21"/>
                <w:szCs w:val="21"/>
                <w:highlight w:val="none"/>
              </w:rPr>
              <w:t>收费标准的</w:t>
            </w:r>
            <w:r>
              <w:rPr>
                <w:rFonts w:hint="eastAsia" w:ascii="宋体" w:hAnsi="宋体" w:eastAsia="宋体" w:cs="宋体"/>
                <w:color w:val="auto"/>
                <w:sz w:val="21"/>
                <w:szCs w:val="21"/>
                <w:highlight w:val="none"/>
                <w:lang w:val="en-US" w:eastAsia="zh-CN"/>
              </w:rPr>
              <w:t>折扣率为</w:t>
            </w: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,价格分最终得分为S。</w:t>
            </w:r>
            <w:r>
              <w:rPr>
                <w:rFonts w:hint="eastAsia" w:ascii="宋体" w:hAnsi="宋体" w:eastAsia="宋体" w:cs="宋体"/>
                <w:color w:val="auto"/>
                <w:sz w:val="21"/>
                <w:szCs w:val="21"/>
                <w:highlight w:val="none"/>
              </w:rPr>
              <w:t>打分规则：</w:t>
            </w:r>
          </w:p>
          <w:p>
            <w:pPr>
              <w:ind w:firstLine="0" w:firstLineChars="0"/>
              <w:jc w:val="left"/>
              <w:rPr>
                <w:rFonts w:hint="eastAsia" w:ascii="宋体" w:hAnsi="宋体" w:eastAsia="宋体" w:cs="宋体"/>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C≤0.</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得分S=</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0分</w:t>
            </w:r>
            <w:r>
              <w:rPr>
                <w:rFonts w:hint="eastAsia" w:ascii="宋体" w:hAnsi="宋体" w:cs="宋体"/>
                <w:sz w:val="21"/>
                <w:szCs w:val="21"/>
                <w:highlight w:val="none"/>
                <w:lang w:val="en-US" w:eastAsia="zh-CN"/>
              </w:rPr>
              <w:t>；</w:t>
            </w:r>
          </w:p>
          <w:p>
            <w:pPr>
              <w:ind w:firstLine="0" w:firstLineChars="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＜C≤</w:t>
            </w:r>
            <w:r>
              <w:rPr>
                <w:rFonts w:hint="eastAsia" w:ascii="宋体" w:hAnsi="宋体" w:eastAsia="宋体" w:cs="宋体"/>
                <w:sz w:val="21"/>
                <w:szCs w:val="21"/>
                <w:highlight w:val="none"/>
                <w:lang w:val="en-US" w:eastAsia="zh-CN"/>
              </w:rPr>
              <w:t>0.8</w:t>
            </w:r>
            <w:r>
              <w:rPr>
                <w:rFonts w:hint="eastAsia" w:ascii="宋体" w:hAnsi="宋体" w:eastAsia="宋体" w:cs="宋体"/>
                <w:sz w:val="21"/>
                <w:szCs w:val="21"/>
                <w:highlight w:val="none"/>
              </w:rPr>
              <w:t>，得分S=</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0-(C-0.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/0.</w:t>
            </w:r>
            <w:r>
              <w:rPr>
                <w:rFonts w:hint="eastAsia" w:ascii="宋体" w:hAnsi="宋体" w:eastAsia="宋体" w:cs="宋体"/>
                <w:sz w:val="21"/>
                <w:szCs w:val="21"/>
                <w:highlight w:val="none"/>
                <w:lang w:eastAsia="zh-CN"/>
              </w:rPr>
              <w:t>5</w:t>
            </w:r>
            <w:r>
              <w:rPr>
                <w:rFonts w:hint="eastAsia" w:ascii="宋体" w:hAnsi="宋体" w:eastAsia="宋体" w:cs="宋体"/>
                <w:sz w:val="21"/>
                <w:szCs w:val="21"/>
                <w:highlight w:val="none"/>
              </w:rPr>
              <w:t>；</w:t>
            </w:r>
          </w:p>
          <w:p>
            <w:pPr>
              <w:ind w:firstLine="0" w:firstLineChars="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C＞</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，报价无效，S得0分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p>
          <w:p>
            <w:pPr>
              <w:tabs>
                <w:tab w:val="left" w:pos="360"/>
              </w:tabs>
              <w:autoSpaceDE w:val="0"/>
              <w:autoSpaceDN w:val="0"/>
              <w:adjustRightInd w:val="0"/>
              <w:spacing w:line="240" w:lineRule="atLeast"/>
              <w:ind w:right="63" w:rightChars="30"/>
              <w:jc w:val="left"/>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举例：如折扣率为0.8，则</w:t>
            </w:r>
            <w:r>
              <w:rPr>
                <w:rFonts w:hint="eastAsia" w:ascii="宋体" w:hAnsi="宋体" w:eastAsia="宋体" w:cs="宋体"/>
                <w:color w:val="auto"/>
                <w:sz w:val="21"/>
                <w:szCs w:val="21"/>
                <w:highlight w:val="none"/>
              </w:rPr>
              <w:t>价格得分S=</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-(0.8-0.</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算术错误将按以下方法更正（次序排先者优先）：</w:t>
      </w:r>
    </w:p>
    <w:p>
      <w:pPr>
        <w:spacing w:line="360" w:lineRule="auto"/>
        <w:ind w:left="-4" w:leftChars="-2" w:firstLine="497" w:firstLineChars="237"/>
        <w:rPr>
          <w:rFonts w:ascii="宋体" w:hAnsi="宋体"/>
          <w:szCs w:val="21"/>
        </w:rPr>
      </w:pPr>
      <w:r>
        <w:rPr>
          <w:rFonts w:hint="eastAsia" w:ascii="宋体" w:hAnsi="宋体"/>
          <w:szCs w:val="21"/>
        </w:rPr>
        <w:t>1、若分项报价与总价不一致，以总价为准。</w:t>
      </w:r>
    </w:p>
    <w:p>
      <w:pPr>
        <w:spacing w:line="360" w:lineRule="auto"/>
        <w:ind w:left="-4" w:leftChars="-2" w:firstLine="497" w:firstLineChars="237"/>
        <w:rPr>
          <w:rFonts w:ascii="宋体" w:hAnsi="宋体"/>
          <w:szCs w:val="21"/>
        </w:rPr>
      </w:pPr>
      <w:r>
        <w:rPr>
          <w:rFonts w:hint="eastAsia" w:ascii="宋体" w:hAnsi="宋体"/>
          <w:szCs w:val="21"/>
        </w:rPr>
        <w:t>2、若用文字表示的数值与用数字表示的数值不一致，以文字表示的数值为准。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0" w:name="_Toc23264"/>
      <w:r>
        <w:rPr>
          <w:rFonts w:hint="eastAsia" w:ascii="宋体" w:hAnsi="宋体"/>
          <w:b/>
          <w:sz w:val="32"/>
          <w:szCs w:val="32"/>
        </w:rPr>
        <w:t>第四部分：合同条款及格式</w:t>
      </w:r>
      <w:bookmarkEnd w:id="50"/>
    </w:p>
    <w:p>
      <w:pPr>
        <w:ind w:firstLine="140" w:firstLineChars="50"/>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（仅供参考）</w:t>
      </w:r>
    </w:p>
    <w:p>
      <w:pPr>
        <w:pStyle w:val="5"/>
        <w:ind w:left="0"/>
      </w:pPr>
      <w:r>
        <w:rPr>
          <w:rFonts w:hint="eastAsia" w:ascii="微软雅黑" w:hAnsi="微软雅黑" w:eastAsia="微软雅黑"/>
          <w:sz w:val="72"/>
          <w:szCs w:val="72"/>
        </w:rPr>
        <w:drawing>
          <wp:inline distT="0" distB="0" distL="114300" distR="114300">
            <wp:extent cx="2844165" cy="736600"/>
            <wp:effectExtent l="0" t="0" r="635" b="0"/>
            <wp:docPr id="1"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0-08-13 上午2.10.25"/>
                    <pic:cNvPicPr>
                      <a:picLocks noChangeAspect="1"/>
                    </pic:cNvPicPr>
                  </pic:nvPicPr>
                  <pic:blipFill>
                    <a:blip r:embed="rId8"/>
                    <a:stretch>
                      <a:fillRect/>
                    </a:stretch>
                  </pic:blipFill>
                  <pic:spPr>
                    <a:xfrm>
                      <a:off x="0" y="0"/>
                      <a:ext cx="2844165" cy="736600"/>
                    </a:xfrm>
                    <a:prstGeom prst="rect">
                      <a:avLst/>
                    </a:prstGeom>
                    <a:noFill/>
                    <a:ln>
                      <a:noFill/>
                    </a:ln>
                  </pic:spPr>
                </pic:pic>
              </a:graphicData>
            </a:graphic>
          </wp:inline>
        </w:drawing>
      </w:r>
    </w:p>
    <w:p>
      <w:pPr>
        <w:pStyle w:val="5"/>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spacing w:line="700" w:lineRule="exact"/>
        <w:jc w:val="center"/>
        <w:rPr>
          <w:rFonts w:eastAsia="黑体"/>
          <w:b/>
          <w:bCs/>
          <w:sz w:val="52"/>
          <w:szCs w:val="52"/>
        </w:rPr>
      </w:pPr>
    </w:p>
    <w:p>
      <w:pPr>
        <w:spacing w:line="700" w:lineRule="exact"/>
        <w:jc w:val="center"/>
        <w:rPr>
          <w:rFonts w:eastAsia="黑体"/>
          <w:b/>
          <w:bCs/>
          <w:sz w:val="52"/>
          <w:szCs w:val="52"/>
        </w:rPr>
      </w:pPr>
    </w:p>
    <w:p>
      <w:pPr>
        <w:spacing w:line="700" w:lineRule="exact"/>
        <w:jc w:val="center"/>
        <w:rPr>
          <w:rFonts w:hint="eastAsia" w:eastAsia="黑体" w:cs="黑体"/>
          <w:b/>
          <w:bCs/>
          <w:sz w:val="48"/>
          <w:szCs w:val="48"/>
          <w:lang w:val="en-US" w:eastAsia="zh-CN"/>
        </w:rPr>
      </w:pPr>
      <w:r>
        <w:rPr>
          <w:rFonts w:hint="eastAsia" w:eastAsia="黑体" w:cs="黑体"/>
          <w:b/>
          <w:bCs/>
          <w:sz w:val="48"/>
          <w:szCs w:val="48"/>
        </w:rPr>
        <w:t>深圳会展中心</w:t>
      </w:r>
      <w:r>
        <w:rPr>
          <w:rFonts w:hint="eastAsia" w:eastAsia="黑体" w:cs="黑体"/>
          <w:b/>
          <w:bCs/>
          <w:sz w:val="48"/>
          <w:szCs w:val="48"/>
          <w:lang w:val="en-US" w:eastAsia="zh-CN"/>
        </w:rPr>
        <w:t>2022-2024年度造价咨询</w:t>
      </w:r>
    </w:p>
    <w:p>
      <w:pPr>
        <w:spacing w:line="700" w:lineRule="exact"/>
        <w:jc w:val="center"/>
        <w:rPr>
          <w:rFonts w:eastAsia="黑体" w:cs="黑体"/>
          <w:b/>
          <w:bCs/>
          <w:sz w:val="48"/>
          <w:szCs w:val="48"/>
        </w:rPr>
      </w:pPr>
      <w:r>
        <w:rPr>
          <w:rFonts w:hint="eastAsia" w:eastAsia="黑体" w:cs="黑体"/>
          <w:b/>
          <w:bCs/>
          <w:sz w:val="48"/>
          <w:szCs w:val="48"/>
          <w:lang w:val="en-US" w:eastAsia="zh-CN"/>
        </w:rPr>
        <w:t>服务</w:t>
      </w:r>
      <w:r>
        <w:rPr>
          <w:rFonts w:hint="eastAsia" w:eastAsia="黑体" w:cs="黑体"/>
          <w:b/>
          <w:bCs/>
          <w:sz w:val="48"/>
          <w:szCs w:val="48"/>
        </w:rPr>
        <w:t>项目合同</w:t>
      </w:r>
    </w:p>
    <w:p>
      <w:pPr>
        <w:tabs>
          <w:tab w:val="left" w:pos="180"/>
        </w:tabs>
        <w:spacing w:line="640" w:lineRule="exact"/>
        <w:rPr>
          <w:sz w:val="32"/>
          <w:szCs w:val="32"/>
        </w:rPr>
      </w:pPr>
      <w:r>
        <w:t xml:space="preserve">                      </w:t>
      </w:r>
    </w:p>
    <w:p>
      <w:pPr>
        <w:tabs>
          <w:tab w:val="left" w:pos="180"/>
        </w:tabs>
        <w:spacing w:line="640" w:lineRule="exact"/>
        <w:ind w:firstLine="480" w:firstLineChars="200"/>
        <w:rPr>
          <w:sz w:val="24"/>
        </w:rPr>
      </w:pPr>
    </w:p>
    <w:p>
      <w:pPr>
        <w:tabs>
          <w:tab w:val="left" w:pos="180"/>
        </w:tabs>
        <w:spacing w:line="640" w:lineRule="exact"/>
        <w:ind w:firstLine="480" w:firstLineChars="200"/>
        <w:rPr>
          <w:sz w:val="24"/>
        </w:rPr>
      </w:pPr>
    </w:p>
    <w:p>
      <w:pPr>
        <w:tabs>
          <w:tab w:val="left" w:pos="180"/>
        </w:tabs>
        <w:spacing w:line="640" w:lineRule="exact"/>
        <w:ind w:firstLine="480" w:firstLineChars="200"/>
        <w:rPr>
          <w:rFonts w:hint="eastAsia"/>
          <w:sz w:val="24"/>
        </w:rPr>
      </w:pPr>
    </w:p>
    <w:p>
      <w:pPr>
        <w:tabs>
          <w:tab w:val="left" w:pos="180"/>
        </w:tabs>
        <w:spacing w:line="640" w:lineRule="exact"/>
        <w:ind w:firstLine="480" w:firstLineChars="200"/>
        <w:rPr>
          <w:rFonts w:hint="eastAsia" w:cs="宋体"/>
          <w:sz w:val="24"/>
        </w:rPr>
      </w:pPr>
      <w:r>
        <w:rPr>
          <w:rFonts w:hint="eastAsia" w:cs="宋体"/>
          <w:sz w:val="24"/>
        </w:rPr>
        <w:t>甲方（委托方）：深圳会展中心管理有限责任公司</w:t>
      </w:r>
    </w:p>
    <w:p>
      <w:pPr>
        <w:tabs>
          <w:tab w:val="left" w:pos="180"/>
        </w:tabs>
        <w:spacing w:line="640" w:lineRule="exact"/>
        <w:ind w:firstLine="480" w:firstLineChars="200"/>
        <w:rPr>
          <w:rFonts w:hint="eastAsia" w:cs="宋体"/>
          <w:sz w:val="24"/>
        </w:rPr>
      </w:pPr>
      <w:r>
        <w:rPr>
          <w:rFonts w:hint="eastAsia" w:cs="宋体"/>
          <w:sz w:val="24"/>
        </w:rPr>
        <w:t xml:space="preserve">乙方（受托方）：                </w:t>
      </w:r>
    </w:p>
    <w:p>
      <w:pPr>
        <w:tabs>
          <w:tab w:val="left" w:pos="180"/>
        </w:tabs>
        <w:spacing w:line="640" w:lineRule="exact"/>
        <w:ind w:firstLine="480" w:firstLineChars="200"/>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2022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180"/>
        </w:tabs>
        <w:ind w:firstLine="480" w:firstLineChars="200"/>
        <w:jc w:val="center"/>
        <w:rPr>
          <w:sz w:val="24"/>
        </w:rPr>
      </w:pPr>
    </w:p>
    <w:p>
      <w:pPr>
        <w:widowControl/>
        <w:jc w:val="left"/>
        <w:rPr>
          <w:szCs w:val="21"/>
        </w:rPr>
      </w:pPr>
      <w:r>
        <w:rPr>
          <w:szCs w:val="21"/>
        </w:rPr>
        <w:br w:type="page"/>
      </w: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甲方（委托方）：深圳会展中心管理有限责任公司（简称“会展中心”）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法定代表人：岳启伟</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地址：深圳市福田区福华三路深圳会展中心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联系人：刘徐华</w:t>
      </w:r>
    </w:p>
    <w:p>
      <w:pPr>
        <w:autoSpaceDE w:val="0"/>
        <w:autoSpaceDN w:val="0"/>
        <w:adjustRightInd w:val="0"/>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电话：0755-82848826</w:t>
      </w:r>
      <w:r>
        <w:rPr>
          <w:rFonts w:ascii="仿宋" w:hAnsi="仿宋" w:eastAsia="仿宋" w:cs="宋体"/>
          <w:kern w:val="0"/>
          <w:sz w:val="28"/>
          <w:szCs w:val="28"/>
        </w:rPr>
        <w:t xml:space="preserve"> </w:t>
      </w:r>
    </w:p>
    <w:p>
      <w:pPr>
        <w:widowControl/>
        <w:snapToGrid w:val="0"/>
        <w:spacing w:line="360" w:lineRule="auto"/>
        <w:ind w:firstLine="560"/>
        <w:rPr>
          <w:rFonts w:ascii="仿宋" w:hAnsi="仿宋" w:eastAsia="仿宋" w:cs="宋体"/>
          <w:color w:val="FF0000"/>
          <w:kern w:val="0"/>
          <w:sz w:val="28"/>
          <w:szCs w:val="28"/>
        </w:rPr>
      </w:pPr>
    </w:p>
    <w:p>
      <w:pPr>
        <w:widowControl/>
        <w:snapToGrid w:val="0"/>
        <w:spacing w:line="360" w:lineRule="auto"/>
        <w:rPr>
          <w:rFonts w:ascii="仿宋" w:hAnsi="仿宋" w:eastAsia="仿宋" w:cs="宋体"/>
          <w:b/>
          <w:kern w:val="0"/>
          <w:sz w:val="28"/>
          <w:szCs w:val="28"/>
        </w:rPr>
      </w:pPr>
      <w:r>
        <w:rPr>
          <w:rFonts w:hint="eastAsia" w:ascii="仿宋" w:hAnsi="仿宋" w:eastAsia="仿宋" w:cs="宋体"/>
          <w:b/>
          <w:kern w:val="0"/>
          <w:sz w:val="28"/>
          <w:szCs w:val="28"/>
        </w:rPr>
        <w:t>乙方（受托方）：</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p>
    <w:p>
      <w:pPr>
        <w:widowControl/>
        <w:snapToGrid w:val="0"/>
        <w:spacing w:line="360" w:lineRule="auto"/>
        <w:rPr>
          <w:rFonts w:hint="eastAsia" w:ascii="仿宋" w:hAnsi="仿宋" w:eastAsia="仿宋" w:cs="宋体"/>
          <w:kern w:val="0"/>
          <w:sz w:val="28"/>
          <w:szCs w:val="28"/>
        </w:rPr>
      </w:pPr>
      <w:r>
        <w:rPr>
          <w:rFonts w:hint="eastAsia" w:ascii="仿宋" w:hAnsi="仿宋" w:eastAsia="仿宋" w:cs="宋体"/>
          <w:kern w:val="0"/>
          <w:sz w:val="28"/>
          <w:szCs w:val="28"/>
        </w:rPr>
        <w:t>电话：0755-</w:t>
      </w:r>
    </w:p>
    <w:p>
      <w:pPr>
        <w:pStyle w:val="5"/>
        <w:ind w:left="0" w:leftChars="0" w:firstLine="0" w:firstLineChars="0"/>
      </w:pPr>
    </w:p>
    <w:p>
      <w:pPr>
        <w:pStyle w:val="34"/>
        <w:numPr>
          <w:ilvl w:val="0"/>
          <w:numId w:val="0"/>
        </w:numPr>
        <w:tabs>
          <w:tab w:val="left" w:pos="420"/>
        </w:tabs>
        <w:spacing w:line="360" w:lineRule="auto"/>
        <w:rPr>
          <w:rFonts w:hint="default" w:eastAsia="黑体"/>
          <w:b w:val="0"/>
          <w:bCs/>
          <w:sz w:val="28"/>
          <w:szCs w:val="28"/>
          <w:lang w:val="en-US" w:eastAsia="zh-CN"/>
        </w:rPr>
      </w:pPr>
      <w:r>
        <w:rPr>
          <w:rFonts w:hint="eastAsia"/>
          <w:b w:val="0"/>
          <w:bCs/>
          <w:sz w:val="28"/>
          <w:szCs w:val="28"/>
        </w:rPr>
        <w:t>第一部分</w:t>
      </w:r>
      <w:r>
        <w:rPr>
          <w:b w:val="0"/>
          <w:bCs/>
          <w:sz w:val="28"/>
          <w:szCs w:val="28"/>
        </w:rPr>
        <w:t xml:space="preserve"> </w:t>
      </w:r>
      <w:r>
        <w:rPr>
          <w:rFonts w:hint="eastAsia"/>
          <w:b w:val="0"/>
          <w:bCs/>
          <w:sz w:val="28"/>
          <w:szCs w:val="28"/>
          <w:lang w:val="en-US" w:eastAsia="zh-CN"/>
        </w:rPr>
        <w:t>合同条款</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依据《中华人民共和国民法典》及相关法律、法规</w:t>
      </w:r>
      <w:r>
        <w:rPr>
          <w:rFonts w:hint="eastAsia" w:ascii="仿宋" w:hAnsi="仿宋" w:eastAsia="仿宋" w:cs="仿宋"/>
          <w:sz w:val="28"/>
          <w:szCs w:val="28"/>
          <w:lang w:val="en-US" w:eastAsia="zh-CN"/>
        </w:rPr>
        <w:t>和</w:t>
      </w:r>
      <w:r>
        <w:rPr>
          <w:rFonts w:hint="eastAsia" w:ascii="仿宋" w:hAnsi="仿宋" w:eastAsia="仿宋" w:cs="仿宋"/>
          <w:sz w:val="28"/>
          <w:szCs w:val="28"/>
        </w:rPr>
        <w:t>规定</w:t>
      </w:r>
      <w:r>
        <w:rPr>
          <w:rFonts w:hint="eastAsia" w:ascii="仿宋" w:hAnsi="仿宋" w:eastAsia="仿宋" w:cs="仿宋"/>
          <w:sz w:val="28"/>
          <w:szCs w:val="28"/>
          <w:lang w:val="en-US" w:eastAsia="zh-CN"/>
        </w:rPr>
        <w:t>，遵循平等、自愿、公平和诚实信用原则，乙方</w:t>
      </w:r>
      <w:r>
        <w:rPr>
          <w:rFonts w:hint="eastAsia" w:ascii="仿宋" w:hAnsi="仿宋" w:eastAsia="仿宋" w:cs="仿宋"/>
          <w:sz w:val="28"/>
          <w:szCs w:val="28"/>
        </w:rPr>
        <w:t>受甲方委托，为甲方提</w:t>
      </w:r>
      <w:r>
        <w:rPr>
          <w:rFonts w:hint="eastAsia" w:ascii="仿宋" w:hAnsi="仿宋" w:eastAsia="仿宋" w:cs="仿宋"/>
          <w:sz w:val="28"/>
          <w:szCs w:val="28"/>
          <w:lang w:val="en-US" w:eastAsia="zh-CN"/>
        </w:rPr>
        <w:t>造价咨询</w:t>
      </w:r>
      <w:r>
        <w:rPr>
          <w:rFonts w:hint="eastAsia" w:ascii="仿宋" w:hAnsi="仿宋" w:eastAsia="仿宋" w:cs="仿宋"/>
          <w:sz w:val="28"/>
          <w:szCs w:val="28"/>
        </w:rPr>
        <w:t>服务，甲乙双方经协商一致，签订本合同。</w:t>
      </w:r>
    </w:p>
    <w:p>
      <w:pPr>
        <w:pStyle w:val="33"/>
        <w:numPr>
          <w:ilvl w:val="0"/>
          <w:numId w:val="38"/>
        </w:numPr>
        <w:tabs>
          <w:tab w:val="left" w:pos="420"/>
        </w:tabs>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服务内容</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乙方</w:t>
      </w:r>
      <w:r>
        <w:rPr>
          <w:rFonts w:hint="eastAsia" w:ascii="仿宋" w:hAnsi="仿宋" w:eastAsia="仿宋" w:cs="仿宋"/>
          <w:sz w:val="28"/>
          <w:szCs w:val="28"/>
        </w:rPr>
        <w:t>根据</w:t>
      </w:r>
      <w:r>
        <w:rPr>
          <w:rFonts w:hint="eastAsia" w:ascii="仿宋" w:hAnsi="仿宋" w:eastAsia="仿宋" w:cs="仿宋"/>
          <w:sz w:val="28"/>
          <w:szCs w:val="28"/>
          <w:lang w:val="en-US" w:eastAsia="zh-CN"/>
        </w:rPr>
        <w:t>甲方</w:t>
      </w:r>
      <w:r>
        <w:rPr>
          <w:rFonts w:hint="eastAsia" w:ascii="仿宋" w:hAnsi="仿宋" w:eastAsia="仿宋" w:cs="仿宋"/>
          <w:sz w:val="28"/>
          <w:szCs w:val="28"/>
        </w:rPr>
        <w:t>提供的有效资料和现场勘察的情况，遵循实事求是、客观公正的原则</w:t>
      </w:r>
      <w:r>
        <w:rPr>
          <w:rFonts w:hint="eastAsia" w:ascii="仿宋" w:hAnsi="仿宋" w:eastAsia="仿宋" w:cs="仿宋"/>
          <w:sz w:val="28"/>
          <w:szCs w:val="28"/>
          <w:lang w:eastAsia="zh-CN"/>
        </w:rPr>
        <w:t>，</w:t>
      </w:r>
      <w:r>
        <w:rPr>
          <w:rFonts w:hint="eastAsia" w:ascii="仿宋" w:hAnsi="仿宋" w:eastAsia="仿宋" w:cs="仿宋"/>
          <w:sz w:val="28"/>
          <w:szCs w:val="28"/>
        </w:rPr>
        <w:t>开展工程类新增、改造及相关配套工程的土建、安装、装饰预算、结算编制</w:t>
      </w:r>
      <w:r>
        <w:rPr>
          <w:rFonts w:hint="eastAsia" w:ascii="仿宋" w:hAnsi="仿宋" w:eastAsia="仿宋" w:cs="仿宋"/>
          <w:sz w:val="28"/>
          <w:szCs w:val="28"/>
          <w:lang w:val="en-US" w:eastAsia="zh-CN"/>
        </w:rPr>
        <w:t>和</w:t>
      </w:r>
      <w:r>
        <w:rPr>
          <w:rFonts w:hint="eastAsia" w:ascii="仿宋" w:hAnsi="仿宋" w:eastAsia="仿宋" w:cs="仿宋"/>
          <w:sz w:val="28"/>
          <w:szCs w:val="28"/>
        </w:rPr>
        <w:t>货物</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w:t>
      </w:r>
      <w:r>
        <w:rPr>
          <w:rFonts w:hint="eastAsia" w:ascii="仿宋" w:hAnsi="仿宋" w:eastAsia="仿宋" w:cs="仿宋"/>
          <w:sz w:val="28"/>
          <w:szCs w:val="28"/>
        </w:rPr>
        <w:t>类采购项目</w:t>
      </w:r>
      <w:r>
        <w:rPr>
          <w:rFonts w:hint="eastAsia" w:ascii="仿宋" w:hAnsi="仿宋" w:eastAsia="仿宋" w:cs="仿宋"/>
          <w:sz w:val="28"/>
          <w:szCs w:val="28"/>
          <w:lang w:val="en-US" w:eastAsia="zh-CN"/>
        </w:rPr>
        <w:t>预算编制，并</w:t>
      </w:r>
      <w:r>
        <w:rPr>
          <w:rFonts w:hint="eastAsia" w:ascii="仿宋" w:hAnsi="仿宋" w:eastAsia="仿宋" w:cs="仿宋"/>
          <w:sz w:val="28"/>
          <w:szCs w:val="28"/>
        </w:rPr>
        <w:t>提供中间过程等造价咨询服务，具体包括但不限于以下内容：</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）工程概算编制或审核：依据方案设计</w:t>
      </w:r>
      <w:r>
        <w:rPr>
          <w:rFonts w:hint="eastAsia" w:ascii="仿宋" w:hAnsi="仿宋" w:eastAsia="仿宋" w:cs="仿宋"/>
          <w:sz w:val="28"/>
          <w:szCs w:val="28"/>
          <w:lang w:eastAsia="zh-CN"/>
        </w:rPr>
        <w:t>、</w:t>
      </w:r>
      <w:r>
        <w:rPr>
          <w:rFonts w:hint="eastAsia" w:ascii="仿宋" w:hAnsi="仿宋" w:eastAsia="仿宋" w:cs="仿宋"/>
          <w:sz w:val="28"/>
          <w:szCs w:val="28"/>
        </w:rPr>
        <w:t>初步设计图纸计算或复核工程量，出具工程概算书或审核报告。</w:t>
      </w:r>
    </w:p>
    <w:p>
      <w:pPr>
        <w:pStyle w:val="33"/>
        <w:numPr>
          <w:ilvl w:val="0"/>
          <w:numId w:val="0"/>
        </w:numPr>
        <w:tabs>
          <w:tab w:val="left" w:pos="420"/>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）工程预算编制：依据施工图或工程量清单，编制或审核工程量清单报价，并提供有关工程造价的信息资料，招标控制价审核与说明，协助</w:t>
      </w:r>
      <w:r>
        <w:rPr>
          <w:rFonts w:hint="eastAsia" w:ascii="仿宋" w:hAnsi="仿宋" w:eastAsia="仿宋" w:cs="仿宋"/>
          <w:sz w:val="28"/>
          <w:szCs w:val="28"/>
          <w:lang w:val="en-US" w:eastAsia="zh-CN"/>
        </w:rPr>
        <w:t>甲方</w:t>
      </w:r>
      <w:r>
        <w:rPr>
          <w:rFonts w:hint="eastAsia" w:ascii="仿宋" w:hAnsi="仿宋" w:eastAsia="仿宋" w:cs="仿宋"/>
          <w:sz w:val="28"/>
          <w:szCs w:val="28"/>
        </w:rPr>
        <w:t>签订工程施工合同</w:t>
      </w:r>
      <w:r>
        <w:rPr>
          <w:rFonts w:hint="eastAsia" w:ascii="仿宋" w:hAnsi="仿宋" w:eastAsia="仿宋" w:cs="仿宋"/>
          <w:sz w:val="28"/>
          <w:szCs w:val="28"/>
          <w:lang w:eastAsia="zh-CN"/>
        </w:rPr>
        <w:t>。</w:t>
      </w:r>
    </w:p>
    <w:p>
      <w:pPr>
        <w:pStyle w:val="33"/>
        <w:numPr>
          <w:ilvl w:val="0"/>
          <w:numId w:val="0"/>
        </w:numPr>
        <w:tabs>
          <w:tab w:val="left" w:pos="42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）中间过程造价咨询：包括编制工程进度款支付计价依据及工程进度款支付控制报告，审核现场签证及设计变更工程造价、对工程索赔及合同争议的鉴定与审核</w:t>
      </w:r>
      <w:r>
        <w:rPr>
          <w:rFonts w:hint="eastAsia" w:ascii="仿宋" w:hAnsi="仿宋" w:eastAsia="仿宋" w:cs="仿宋"/>
          <w:sz w:val="28"/>
          <w:szCs w:val="28"/>
          <w:lang w:eastAsia="zh-CN"/>
        </w:rPr>
        <w:t>。</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）工程结算审核：依据招投标文件、施工合同、竣工图、签证资料、工程结算书等资料进行审核，出具工程竣工结算报告，达到向建设主管部门编制报审的标准。</w:t>
      </w:r>
    </w:p>
    <w:p>
      <w:pPr>
        <w:pStyle w:val="33"/>
        <w:numPr>
          <w:ilvl w:val="0"/>
          <w:numId w:val="0"/>
        </w:numPr>
        <w:tabs>
          <w:tab w:val="left" w:pos="420"/>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五</w:t>
      </w:r>
      <w:r>
        <w:rPr>
          <w:rFonts w:hint="eastAsia" w:ascii="仿宋" w:hAnsi="仿宋" w:eastAsia="仿宋" w:cs="仿宋"/>
          <w:sz w:val="28"/>
          <w:szCs w:val="28"/>
        </w:rPr>
        <w:t>）其他货物</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w:t>
      </w:r>
      <w:r>
        <w:rPr>
          <w:rFonts w:hint="eastAsia" w:ascii="仿宋" w:hAnsi="仿宋" w:eastAsia="仿宋" w:cs="仿宋"/>
          <w:sz w:val="28"/>
          <w:szCs w:val="28"/>
        </w:rPr>
        <w:t>类采购项目造价咨询服务，含概算、预算、中间过程、结算等编制或审核等</w:t>
      </w:r>
      <w:r>
        <w:rPr>
          <w:rFonts w:hint="eastAsia" w:ascii="仿宋" w:hAnsi="仿宋" w:eastAsia="仿宋" w:cs="仿宋"/>
          <w:sz w:val="28"/>
          <w:szCs w:val="28"/>
          <w:lang w:eastAsia="zh-CN"/>
        </w:rPr>
        <w:t>。</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六</w:t>
      </w:r>
      <w:r>
        <w:rPr>
          <w:rFonts w:hint="eastAsia" w:ascii="仿宋" w:hAnsi="仿宋" w:eastAsia="仿宋" w:cs="仿宋"/>
          <w:sz w:val="28"/>
          <w:szCs w:val="28"/>
        </w:rPr>
        <w:t>）出具报告要求：须在编制说明中载明计价计量依据；通过市场询价的项目，需附上市场询价记录单。</w:t>
      </w:r>
    </w:p>
    <w:p>
      <w:pPr>
        <w:pStyle w:val="33"/>
        <w:numPr>
          <w:ilvl w:val="1"/>
          <w:numId w:val="0"/>
        </w:numPr>
        <w:tabs>
          <w:tab w:val="left" w:pos="42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七</w:t>
      </w:r>
      <w:r>
        <w:rPr>
          <w:rFonts w:hint="eastAsia" w:ascii="仿宋" w:hAnsi="仿宋" w:eastAsia="仿宋" w:cs="仿宋"/>
          <w:sz w:val="28"/>
          <w:szCs w:val="28"/>
        </w:rPr>
        <w:t>）现场勘查：由于</w:t>
      </w:r>
      <w:r>
        <w:rPr>
          <w:rFonts w:hint="eastAsia" w:ascii="仿宋" w:hAnsi="仿宋" w:eastAsia="仿宋" w:cs="仿宋"/>
          <w:sz w:val="28"/>
          <w:szCs w:val="28"/>
          <w:lang w:val="en-US" w:eastAsia="zh-CN"/>
        </w:rPr>
        <w:t>甲方</w:t>
      </w:r>
      <w:r>
        <w:rPr>
          <w:rFonts w:hint="eastAsia" w:ascii="仿宋" w:hAnsi="仿宋" w:eastAsia="仿宋" w:cs="仿宋"/>
          <w:sz w:val="28"/>
          <w:szCs w:val="28"/>
        </w:rPr>
        <w:t>项目的特殊性，在</w:t>
      </w:r>
      <w:r>
        <w:rPr>
          <w:rFonts w:hint="eastAsia" w:ascii="仿宋" w:hAnsi="仿宋" w:eastAsia="仿宋" w:cs="仿宋"/>
          <w:sz w:val="28"/>
          <w:szCs w:val="28"/>
          <w:lang w:val="en-US" w:eastAsia="zh-CN"/>
        </w:rPr>
        <w:t>甲方</w:t>
      </w:r>
      <w:r>
        <w:rPr>
          <w:rFonts w:hint="eastAsia" w:ascii="仿宋" w:hAnsi="仿宋" w:eastAsia="仿宋" w:cs="仿宋"/>
          <w:sz w:val="28"/>
          <w:szCs w:val="28"/>
        </w:rPr>
        <w:t>要求或</w:t>
      </w:r>
      <w:r>
        <w:rPr>
          <w:rFonts w:hint="eastAsia" w:ascii="仿宋" w:hAnsi="仿宋" w:eastAsia="仿宋" w:cs="仿宋"/>
          <w:sz w:val="28"/>
          <w:szCs w:val="28"/>
          <w:lang w:val="en-US" w:eastAsia="zh-CN"/>
        </w:rPr>
        <w:t>乙方</w:t>
      </w:r>
      <w:r>
        <w:rPr>
          <w:rFonts w:hint="eastAsia" w:ascii="仿宋" w:hAnsi="仿宋" w:eastAsia="仿宋" w:cs="仿宋"/>
          <w:sz w:val="28"/>
          <w:szCs w:val="28"/>
        </w:rPr>
        <w:t>通过</w:t>
      </w:r>
      <w:r>
        <w:rPr>
          <w:rFonts w:hint="eastAsia" w:ascii="仿宋" w:hAnsi="仿宋" w:eastAsia="仿宋" w:cs="仿宋"/>
          <w:sz w:val="28"/>
          <w:szCs w:val="28"/>
          <w:lang w:val="en-US" w:eastAsia="zh-CN"/>
        </w:rPr>
        <w:t>甲方</w:t>
      </w:r>
      <w:r>
        <w:rPr>
          <w:rFonts w:hint="eastAsia" w:ascii="仿宋" w:hAnsi="仿宋" w:eastAsia="仿宋" w:cs="仿宋"/>
          <w:sz w:val="28"/>
          <w:szCs w:val="28"/>
        </w:rPr>
        <w:t>提供的资料无法</w:t>
      </w:r>
      <w:r>
        <w:rPr>
          <w:rFonts w:hint="eastAsia" w:ascii="仿宋" w:hAnsi="仿宋" w:eastAsia="仿宋" w:cs="仿宋"/>
          <w:sz w:val="28"/>
          <w:szCs w:val="28"/>
          <w:lang w:val="en-US" w:eastAsia="zh-CN"/>
        </w:rPr>
        <w:t>全面</w:t>
      </w:r>
      <w:r>
        <w:rPr>
          <w:rFonts w:hint="eastAsia" w:ascii="仿宋" w:hAnsi="仿宋" w:eastAsia="仿宋" w:cs="仿宋"/>
          <w:sz w:val="28"/>
          <w:szCs w:val="28"/>
        </w:rPr>
        <w:t>了解项目详细情况时，须</w:t>
      </w:r>
      <w:r>
        <w:rPr>
          <w:rFonts w:hint="eastAsia" w:ascii="仿宋" w:hAnsi="仿宋" w:eastAsia="仿宋" w:cs="仿宋"/>
          <w:sz w:val="28"/>
          <w:szCs w:val="28"/>
          <w:lang w:val="en-US" w:eastAsia="zh-CN"/>
        </w:rPr>
        <w:t>到项目</w:t>
      </w:r>
      <w:r>
        <w:rPr>
          <w:rFonts w:hint="eastAsia" w:ascii="仿宋" w:hAnsi="仿宋" w:eastAsia="仿宋" w:cs="仿宋"/>
          <w:sz w:val="28"/>
          <w:szCs w:val="28"/>
        </w:rPr>
        <w:t>现场进行</w:t>
      </w:r>
      <w:r>
        <w:rPr>
          <w:rFonts w:hint="eastAsia" w:ascii="仿宋" w:hAnsi="仿宋" w:eastAsia="仿宋" w:cs="仿宋"/>
          <w:sz w:val="28"/>
          <w:szCs w:val="28"/>
          <w:lang w:val="en-US" w:eastAsia="zh-CN"/>
        </w:rPr>
        <w:t>实地</w:t>
      </w:r>
      <w:r>
        <w:rPr>
          <w:rFonts w:hint="eastAsia" w:ascii="仿宋" w:hAnsi="仿宋" w:eastAsia="仿宋" w:cs="仿宋"/>
          <w:sz w:val="28"/>
          <w:szCs w:val="28"/>
        </w:rPr>
        <w:t>勘查。</w:t>
      </w:r>
    </w:p>
    <w:p>
      <w:pPr>
        <w:pStyle w:val="33"/>
        <w:numPr>
          <w:ilvl w:val="0"/>
          <w:numId w:val="38"/>
        </w:numPr>
        <w:tabs>
          <w:tab w:val="left" w:pos="420"/>
        </w:tabs>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合同期限</w:t>
      </w:r>
    </w:p>
    <w:p>
      <w:pPr>
        <w:pStyle w:val="33"/>
        <w:numPr>
          <w:ilvl w:val="1"/>
          <w:numId w:val="0"/>
        </w:numPr>
        <w:tabs>
          <w:tab w:val="left" w:pos="42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w:t>
      </w:r>
      <w:r>
        <w:rPr>
          <w:rFonts w:hint="eastAsia" w:ascii="仿宋" w:hAnsi="仿宋" w:eastAsia="仿宋" w:cs="仿宋"/>
          <w:sz w:val="28"/>
          <w:szCs w:val="28"/>
        </w:rPr>
        <w:t>合同</w:t>
      </w:r>
      <w:r>
        <w:rPr>
          <w:rFonts w:hint="eastAsia" w:ascii="仿宋" w:hAnsi="仿宋" w:eastAsia="仿宋" w:cs="仿宋"/>
          <w:sz w:val="28"/>
          <w:szCs w:val="28"/>
          <w:lang w:val="en-US" w:eastAsia="zh-CN"/>
        </w:rPr>
        <w:t>服务时间为三年</w:t>
      </w:r>
      <w:r>
        <w:rPr>
          <w:rFonts w:hint="eastAsia" w:ascii="仿宋" w:hAnsi="仿宋" w:eastAsia="仿宋" w:cs="仿宋"/>
          <w:sz w:val="28"/>
          <w:szCs w:val="28"/>
        </w:rPr>
        <w:t>（36个月）</w:t>
      </w:r>
      <w:r>
        <w:rPr>
          <w:rFonts w:hint="eastAsia" w:ascii="仿宋" w:hAnsi="仿宋" w:eastAsia="仿宋" w:cs="仿宋"/>
          <w:sz w:val="28"/>
          <w:szCs w:val="28"/>
          <w:lang w:val="en-US" w:eastAsia="zh-CN"/>
        </w:rPr>
        <w:t>，</w:t>
      </w:r>
      <w:r>
        <w:rPr>
          <w:rFonts w:hint="eastAsia" w:ascii="仿宋" w:hAnsi="仿宋" w:eastAsia="仿宋" w:cs="仿宋"/>
          <w:sz w:val="28"/>
          <w:szCs w:val="28"/>
        </w:rPr>
        <w:t>自202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w:t>
      </w:r>
      <w:r>
        <w:rPr>
          <w:rFonts w:hint="eastAsia" w:ascii="仿宋" w:hAnsi="仿宋" w:eastAsia="仿宋" w:cs="仿宋"/>
          <w:sz w:val="28"/>
          <w:szCs w:val="28"/>
          <w:lang w:val="en-US" w:eastAsia="zh-CN"/>
        </w:rPr>
        <w:t>至2024年X月X日止</w:t>
      </w:r>
      <w:r>
        <w:rPr>
          <w:rFonts w:hint="eastAsia" w:ascii="仿宋" w:hAnsi="仿宋" w:eastAsia="仿宋" w:cs="仿宋"/>
          <w:sz w:val="28"/>
          <w:szCs w:val="28"/>
        </w:rPr>
        <w:t>，采取“1＋1＋1”方式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第一年度服务期满前1个月，乙方应主动提请甲方对其上一年度的服务情况进行考核评审，甲方根据乙方的服务质量、各项承诺兑现情况等因素进行考核评审，如考核评审综合得分达到优良（≥80分），则执行继续执行第二年度合同；如考核评审综合得分未达到优良，甲方有权在第一年度服务期满时终止第二年度合同。第三年度合同执行方式参考以上办法。具体考核评审办法详见附件《深圳会展中心造价咨询服务年度考评表》。</w:t>
      </w:r>
    </w:p>
    <w:p>
      <w:pPr>
        <w:pStyle w:val="33"/>
        <w:numPr>
          <w:ilvl w:val="0"/>
          <w:numId w:val="38"/>
        </w:numPr>
        <w:tabs>
          <w:tab w:val="left" w:pos="420"/>
        </w:tabs>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费用标准</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工程</w:t>
      </w:r>
      <w:r>
        <w:rPr>
          <w:rFonts w:hint="eastAsia" w:ascii="仿宋" w:hAnsi="仿宋" w:eastAsia="仿宋" w:cs="仿宋"/>
          <w:sz w:val="28"/>
          <w:szCs w:val="28"/>
          <w:lang w:eastAsia="zh-CN"/>
        </w:rPr>
        <w:t>、</w:t>
      </w:r>
      <w:r>
        <w:rPr>
          <w:rFonts w:hint="eastAsia" w:ascii="仿宋" w:hAnsi="仿宋" w:eastAsia="仿宋" w:cs="仿宋"/>
          <w:sz w:val="28"/>
          <w:szCs w:val="28"/>
        </w:rPr>
        <w:t>货物采购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w:t>
      </w:r>
      <w:r>
        <w:rPr>
          <w:rFonts w:hint="eastAsia" w:ascii="仿宋" w:hAnsi="仿宋" w:eastAsia="仿宋" w:cs="仿宋"/>
          <w:sz w:val="28"/>
          <w:szCs w:val="28"/>
        </w:rPr>
        <w:t>类造价咨询业务的酬金计算方法如下：</w:t>
      </w:r>
    </w:p>
    <w:p>
      <w:pPr>
        <w:pStyle w:val="33"/>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概算编制、预算编制、中间过程造价咨询、结算审核等造价咨询服务</w:t>
      </w:r>
      <w:r>
        <w:rPr>
          <w:rFonts w:hint="eastAsia" w:ascii="仿宋" w:hAnsi="仿宋" w:eastAsia="仿宋" w:cs="仿宋"/>
          <w:sz w:val="28"/>
          <w:szCs w:val="28"/>
          <w:lang w:val="en-US" w:eastAsia="zh-CN"/>
        </w:rPr>
        <w:t>费用</w:t>
      </w:r>
      <w:r>
        <w:rPr>
          <w:rFonts w:hint="eastAsia" w:ascii="仿宋" w:hAnsi="仿宋" w:eastAsia="仿宋" w:cs="仿宋"/>
          <w:sz w:val="28"/>
          <w:szCs w:val="28"/>
        </w:rPr>
        <w:t>，均根据</w:t>
      </w:r>
      <w:r>
        <w:rPr>
          <w:rFonts w:hint="eastAsia" w:ascii="仿宋" w:hAnsi="仿宋" w:eastAsia="仿宋" w:cs="仿宋"/>
          <w:sz w:val="28"/>
          <w:szCs w:val="28"/>
          <w:lang w:val="en-US" w:eastAsia="zh-CN"/>
        </w:rPr>
        <w:t>深价协【2019】013</w:t>
      </w:r>
      <w:r>
        <w:rPr>
          <w:rFonts w:hint="eastAsia" w:ascii="仿宋" w:hAnsi="仿宋" w:eastAsia="仿宋" w:cs="仿宋"/>
          <w:sz w:val="28"/>
          <w:szCs w:val="28"/>
        </w:rPr>
        <w:t>号《</w:t>
      </w:r>
      <w:r>
        <w:rPr>
          <w:rFonts w:hint="eastAsia" w:ascii="仿宋" w:hAnsi="仿宋" w:eastAsia="仿宋" w:cs="仿宋"/>
          <w:sz w:val="28"/>
          <w:szCs w:val="28"/>
          <w:lang w:val="en-US" w:eastAsia="zh-CN"/>
        </w:rPr>
        <w:t>深圳市建设工程造价咨询业收费市场参考价格</w:t>
      </w:r>
      <w:r>
        <w:rPr>
          <w:rFonts w:hint="eastAsia" w:ascii="仿宋" w:hAnsi="仿宋" w:eastAsia="仿宋" w:cs="仿宋"/>
          <w:sz w:val="28"/>
          <w:szCs w:val="28"/>
        </w:rPr>
        <w:t>》按打折系数</w:t>
      </w:r>
      <w:r>
        <w:rPr>
          <w:rFonts w:hint="eastAsia" w:ascii="仿宋" w:hAnsi="仿宋" w:eastAsia="仿宋" w:cs="仿宋"/>
          <w:sz w:val="28"/>
          <w:szCs w:val="28"/>
          <w:lang w:val="en-US" w:eastAsia="zh-CN"/>
        </w:rPr>
        <w:t>XX</w:t>
      </w:r>
      <w:r>
        <w:rPr>
          <w:rFonts w:hint="eastAsia" w:ascii="仿宋" w:hAnsi="仿宋" w:eastAsia="仿宋" w:cs="仿宋"/>
          <w:sz w:val="28"/>
          <w:szCs w:val="28"/>
        </w:rPr>
        <w:t>计算。</w:t>
      </w:r>
    </w:p>
    <w:p>
      <w:pPr>
        <w:pStyle w:val="33"/>
        <w:numPr>
          <w:ilvl w:val="0"/>
          <w:numId w:val="38"/>
        </w:numPr>
        <w:tabs>
          <w:tab w:val="left" w:pos="420"/>
        </w:tabs>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付款方式</w:t>
      </w:r>
    </w:p>
    <w:p>
      <w:pPr>
        <w:pStyle w:val="33"/>
        <w:numPr>
          <w:ilvl w:val="0"/>
          <w:numId w:val="39"/>
        </w:numPr>
        <w:tabs>
          <w:tab w:val="left" w:pos="42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个季度对已完成并验收合格的咨询服务进行核对，经双方确认无误后按季度结算。如季度结算费用低于人民币5万元时，则转入下一季度进行结算，或合同服务时间累计每超过半年，甲方根据乙方提供的咨询服务项目一览表，按合同约定向乙方支付一次。</w:t>
      </w:r>
    </w:p>
    <w:p>
      <w:pPr>
        <w:pStyle w:val="33"/>
        <w:numPr>
          <w:ilvl w:val="0"/>
          <w:numId w:val="39"/>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对争议项目服务费在双方商榷无误后归入确认季度结算。</w:t>
      </w:r>
    </w:p>
    <w:p>
      <w:pPr>
        <w:pStyle w:val="33"/>
        <w:numPr>
          <w:ilvl w:val="0"/>
          <w:numId w:val="39"/>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结算币种为人民币。</w:t>
      </w:r>
    </w:p>
    <w:p>
      <w:pPr>
        <w:pStyle w:val="33"/>
        <w:numPr>
          <w:ilvl w:val="0"/>
          <w:numId w:val="39"/>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甲方收到乙方开具的等额合法有效的增值税专用发票之日起20个工作日内，支付结算款项。</w:t>
      </w:r>
    </w:p>
    <w:p>
      <w:pPr>
        <w:pStyle w:val="33"/>
        <w:numPr>
          <w:ilvl w:val="0"/>
          <w:numId w:val="38"/>
        </w:numPr>
        <w:tabs>
          <w:tab w:val="left" w:pos="420"/>
        </w:tabs>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工期</w:t>
      </w:r>
      <w:r>
        <w:rPr>
          <w:rFonts w:hint="eastAsia" w:ascii="黑体" w:hAnsi="黑体" w:eastAsia="黑体" w:cs="黑体"/>
          <w:sz w:val="28"/>
          <w:szCs w:val="28"/>
        </w:rPr>
        <w:t>要求</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w:t>
      </w:r>
      <w:r>
        <w:rPr>
          <w:rFonts w:hint="eastAsia" w:ascii="仿宋" w:hAnsi="仿宋" w:eastAsia="仿宋" w:cs="仿宋"/>
          <w:sz w:val="28"/>
          <w:szCs w:val="28"/>
          <w:lang w:val="en-US" w:eastAsia="zh-CN"/>
        </w:rPr>
        <w:t>10</w:t>
      </w:r>
      <w:r>
        <w:rPr>
          <w:rFonts w:hint="eastAsia" w:ascii="仿宋" w:hAnsi="仿宋" w:eastAsia="仿宋" w:cs="仿宋"/>
          <w:sz w:val="28"/>
          <w:szCs w:val="28"/>
        </w:rPr>
        <w:t>0万元以内（含）的项目，</w:t>
      </w:r>
      <w:r>
        <w:rPr>
          <w:rFonts w:hint="eastAsia" w:ascii="仿宋" w:hAnsi="仿宋" w:eastAsia="仿宋" w:cs="仿宋"/>
          <w:sz w:val="28"/>
          <w:szCs w:val="28"/>
          <w:lang w:val="en-US" w:eastAsia="zh-CN"/>
        </w:rPr>
        <w:t>乙方</w:t>
      </w:r>
      <w:r>
        <w:rPr>
          <w:rFonts w:hint="eastAsia" w:ascii="仿宋" w:hAnsi="仿宋" w:eastAsia="仿宋" w:cs="仿宋"/>
          <w:sz w:val="28"/>
          <w:szCs w:val="28"/>
        </w:rPr>
        <w:t>应在收到委托资料后5个日历天内完成，</w:t>
      </w:r>
      <w:r>
        <w:rPr>
          <w:rFonts w:hint="eastAsia" w:ascii="仿宋" w:hAnsi="仿宋" w:eastAsia="仿宋" w:cs="仿宋"/>
          <w:sz w:val="28"/>
          <w:szCs w:val="28"/>
          <w:lang w:val="en-US" w:eastAsia="zh-CN"/>
        </w:rPr>
        <w:t>10</w:t>
      </w:r>
      <w:r>
        <w:rPr>
          <w:rFonts w:hint="eastAsia" w:ascii="仿宋" w:hAnsi="仿宋" w:eastAsia="仿宋" w:cs="仿宋"/>
          <w:sz w:val="28"/>
          <w:szCs w:val="28"/>
        </w:rPr>
        <w:t>0万以上的项目应在7个日历天内完成。</w:t>
      </w:r>
    </w:p>
    <w:p>
      <w:pPr>
        <w:pStyle w:val="33"/>
        <w:numPr>
          <w:ilvl w:val="0"/>
          <w:numId w:val="38"/>
        </w:numPr>
        <w:tabs>
          <w:tab w:val="left" w:pos="420"/>
        </w:tabs>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质量要求</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乙方出具的各类报告</w:t>
      </w:r>
      <w:r>
        <w:rPr>
          <w:rFonts w:hint="eastAsia" w:ascii="仿宋" w:hAnsi="仿宋" w:eastAsia="仿宋" w:cs="仿宋"/>
          <w:sz w:val="28"/>
          <w:szCs w:val="28"/>
        </w:rPr>
        <w:t>质量须符合国家建设部建设工程量清单计价规范的规定和广东省、深圳市有关建设工程计价文件的规定，并符合深圳市有关工程造价管理的相关规定和</w:t>
      </w:r>
      <w:r>
        <w:rPr>
          <w:rFonts w:hint="eastAsia" w:ascii="仿宋" w:hAnsi="仿宋" w:eastAsia="仿宋" w:cs="仿宋"/>
          <w:sz w:val="28"/>
          <w:szCs w:val="28"/>
          <w:lang w:val="en-US" w:eastAsia="zh-CN"/>
        </w:rPr>
        <w:t>甲方</w:t>
      </w:r>
      <w:r>
        <w:rPr>
          <w:rFonts w:hint="eastAsia" w:ascii="仿宋" w:hAnsi="仿宋" w:eastAsia="仿宋" w:cs="仿宋"/>
          <w:sz w:val="28"/>
          <w:szCs w:val="28"/>
        </w:rPr>
        <w:t>与施工单位签订的施工合同中的相关约定。</w:t>
      </w:r>
    </w:p>
    <w:p>
      <w:pPr>
        <w:pStyle w:val="33"/>
        <w:numPr>
          <w:ilvl w:val="0"/>
          <w:numId w:val="38"/>
        </w:numPr>
        <w:tabs>
          <w:tab w:val="left" w:pos="420"/>
        </w:tabs>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本合同的组成部分</w:t>
      </w:r>
    </w:p>
    <w:p>
      <w:pPr>
        <w:pStyle w:val="33"/>
        <w:numPr>
          <w:ilvl w:val="0"/>
          <w:numId w:val="0"/>
        </w:numPr>
        <w:tabs>
          <w:tab w:val="left" w:pos="420"/>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本合同第二部分</w:t>
      </w:r>
      <w:r>
        <w:rPr>
          <w:rFonts w:hint="eastAsia" w:ascii="仿宋" w:hAnsi="仿宋" w:eastAsia="仿宋" w:cs="仿宋"/>
          <w:sz w:val="28"/>
          <w:szCs w:val="28"/>
          <w:lang w:val="en-US" w:eastAsia="zh-CN"/>
        </w:rPr>
        <w:t>--</w:t>
      </w:r>
      <w:r>
        <w:rPr>
          <w:rFonts w:hint="eastAsia" w:ascii="仿宋" w:hAnsi="仿宋" w:eastAsia="仿宋" w:cs="仿宋"/>
          <w:sz w:val="28"/>
          <w:szCs w:val="28"/>
        </w:rPr>
        <w:t>建设工程造价咨询合同通用条件</w:t>
      </w:r>
      <w:r>
        <w:rPr>
          <w:rFonts w:hint="eastAsia" w:ascii="仿宋" w:hAnsi="仿宋" w:eastAsia="仿宋" w:cs="仿宋"/>
          <w:sz w:val="28"/>
          <w:szCs w:val="28"/>
          <w:lang w:eastAsia="zh-CN"/>
        </w:rPr>
        <w:t>。</w:t>
      </w:r>
    </w:p>
    <w:p>
      <w:pPr>
        <w:pStyle w:val="33"/>
        <w:numPr>
          <w:ilvl w:val="0"/>
          <w:numId w:val="0"/>
        </w:numPr>
        <w:tabs>
          <w:tab w:val="left" w:pos="420"/>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本合同第三部分</w:t>
      </w:r>
      <w:r>
        <w:rPr>
          <w:rFonts w:hint="eastAsia" w:ascii="仿宋" w:hAnsi="仿宋" w:eastAsia="仿宋" w:cs="仿宋"/>
          <w:sz w:val="28"/>
          <w:szCs w:val="28"/>
          <w:lang w:val="en-US" w:eastAsia="zh-CN"/>
        </w:rPr>
        <w:t>--</w:t>
      </w:r>
      <w:r>
        <w:rPr>
          <w:rFonts w:hint="eastAsia" w:ascii="仿宋" w:hAnsi="仿宋" w:eastAsia="仿宋" w:cs="仿宋"/>
          <w:sz w:val="28"/>
          <w:szCs w:val="28"/>
        </w:rPr>
        <w:t>建设工程造价咨询合同专用条件</w:t>
      </w:r>
      <w:r>
        <w:rPr>
          <w:rFonts w:hint="eastAsia" w:ascii="仿宋" w:hAnsi="仿宋" w:eastAsia="仿宋" w:cs="仿宋"/>
          <w:sz w:val="28"/>
          <w:szCs w:val="28"/>
          <w:lang w:eastAsia="zh-CN"/>
        </w:rPr>
        <w:t>。</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建设工程造价咨询合同执行中共同签署的补充与修改文件。</w:t>
      </w:r>
    </w:p>
    <w:p>
      <w:pPr>
        <w:pStyle w:val="33"/>
        <w:numPr>
          <w:ilvl w:val="0"/>
          <w:numId w:val="38"/>
        </w:numPr>
        <w:tabs>
          <w:tab w:val="left" w:pos="420"/>
        </w:tabs>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其他</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w:t>
      </w:r>
      <w:r>
        <w:rPr>
          <w:rFonts w:hint="eastAsia" w:ascii="仿宋" w:hAnsi="仿宋" w:eastAsia="仿宋" w:cs="仿宋"/>
          <w:sz w:val="28"/>
          <w:szCs w:val="28"/>
        </w:rPr>
        <w:t>同意按照本合同的规定，承担本合同议定范围内的造价咨询业务。</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甲方</w:t>
      </w:r>
      <w:r>
        <w:rPr>
          <w:rFonts w:hint="eastAsia" w:ascii="仿宋" w:hAnsi="仿宋" w:eastAsia="仿宋" w:cs="仿宋"/>
          <w:sz w:val="28"/>
          <w:szCs w:val="28"/>
        </w:rPr>
        <w:t>同意按照本合同规定的期限、方式、币种、额度向</w:t>
      </w:r>
      <w:r>
        <w:rPr>
          <w:rFonts w:hint="eastAsia" w:ascii="仿宋" w:hAnsi="仿宋" w:eastAsia="仿宋" w:cs="仿宋"/>
          <w:sz w:val="28"/>
          <w:szCs w:val="28"/>
          <w:lang w:val="en-US" w:eastAsia="zh-CN"/>
        </w:rPr>
        <w:t>乙方</w:t>
      </w:r>
      <w:r>
        <w:rPr>
          <w:rFonts w:hint="eastAsia" w:ascii="仿宋" w:hAnsi="仿宋" w:eastAsia="仿宋" w:cs="仿宋"/>
          <w:sz w:val="28"/>
          <w:szCs w:val="28"/>
        </w:rPr>
        <w:t>支付</w:t>
      </w:r>
      <w:r>
        <w:rPr>
          <w:rFonts w:hint="eastAsia" w:ascii="仿宋" w:hAnsi="仿宋" w:eastAsia="仿宋" w:cs="仿宋"/>
          <w:sz w:val="28"/>
          <w:szCs w:val="28"/>
          <w:lang w:val="en-US" w:eastAsia="zh-CN"/>
        </w:rPr>
        <w:t>费用</w:t>
      </w:r>
      <w:r>
        <w:rPr>
          <w:rFonts w:hint="eastAsia" w:ascii="仿宋" w:hAnsi="仿宋" w:eastAsia="仿宋" w:cs="仿宋"/>
          <w:sz w:val="28"/>
          <w:szCs w:val="28"/>
        </w:rPr>
        <w:t>。</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本合同有效期内，</w:t>
      </w:r>
      <w:r>
        <w:rPr>
          <w:rFonts w:hint="eastAsia" w:ascii="仿宋" w:hAnsi="仿宋" w:eastAsia="仿宋" w:cs="仿宋"/>
          <w:sz w:val="28"/>
          <w:szCs w:val="28"/>
          <w:lang w:val="en-US" w:eastAsia="zh-CN"/>
        </w:rPr>
        <w:t>甲方</w:t>
      </w:r>
      <w:r>
        <w:rPr>
          <w:rFonts w:hint="eastAsia" w:ascii="仿宋" w:hAnsi="仿宋" w:eastAsia="仿宋" w:cs="仿宋"/>
          <w:sz w:val="28"/>
          <w:szCs w:val="28"/>
        </w:rPr>
        <w:t>有权另行与其他第三方签订与本合同项下业务相同的</w:t>
      </w:r>
      <w:r>
        <w:rPr>
          <w:rFonts w:hint="eastAsia" w:ascii="仿宋" w:hAnsi="仿宋" w:eastAsia="仿宋" w:cs="仿宋"/>
          <w:bCs/>
          <w:sz w:val="28"/>
          <w:szCs w:val="28"/>
        </w:rPr>
        <w:t>造价咨询委托合同。</w:t>
      </w:r>
    </w:p>
    <w:p>
      <w:pPr>
        <w:pStyle w:val="33"/>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本合同一式</w:t>
      </w:r>
      <w:r>
        <w:rPr>
          <w:rFonts w:hint="eastAsia" w:ascii="仿宋" w:hAnsi="仿宋" w:eastAsia="仿宋" w:cs="仿宋"/>
          <w:sz w:val="28"/>
          <w:szCs w:val="28"/>
          <w:lang w:val="en-US" w:eastAsia="zh-CN"/>
        </w:rPr>
        <w:t>捌</w:t>
      </w:r>
      <w:r>
        <w:rPr>
          <w:rFonts w:hint="eastAsia" w:ascii="仿宋" w:hAnsi="仿宋" w:eastAsia="仿宋" w:cs="仿宋"/>
          <w:sz w:val="28"/>
          <w:szCs w:val="28"/>
        </w:rPr>
        <w:t>份，具有同等法律效力，甲方执</w:t>
      </w:r>
      <w:r>
        <w:rPr>
          <w:rFonts w:hint="eastAsia" w:ascii="仿宋" w:hAnsi="仿宋" w:eastAsia="仿宋" w:cs="仿宋"/>
          <w:sz w:val="28"/>
          <w:szCs w:val="28"/>
          <w:lang w:val="en-US" w:eastAsia="zh-CN"/>
        </w:rPr>
        <w:t>肆</w:t>
      </w:r>
      <w:r>
        <w:rPr>
          <w:rFonts w:hint="eastAsia" w:ascii="仿宋" w:hAnsi="仿宋" w:eastAsia="仿宋" w:cs="仿宋"/>
          <w:sz w:val="28"/>
          <w:szCs w:val="28"/>
        </w:rPr>
        <w:t>份，乙方执</w:t>
      </w:r>
      <w:r>
        <w:rPr>
          <w:rFonts w:hint="eastAsia" w:ascii="仿宋" w:hAnsi="仿宋" w:eastAsia="仿宋" w:cs="仿宋"/>
          <w:sz w:val="28"/>
          <w:szCs w:val="28"/>
          <w:lang w:val="en-US" w:eastAsia="zh-CN"/>
        </w:rPr>
        <w:t>肆</w:t>
      </w:r>
      <w:r>
        <w:rPr>
          <w:rFonts w:hint="eastAsia" w:ascii="仿宋" w:hAnsi="仿宋" w:eastAsia="仿宋" w:cs="仿宋"/>
          <w:sz w:val="28"/>
          <w:szCs w:val="28"/>
        </w:rPr>
        <w:t>份。</w:t>
      </w:r>
    </w:p>
    <w:p>
      <w:pPr>
        <w:shd w:val="clear" w:color="auto" w:fill="FFFFFF"/>
        <w:spacing w:line="360" w:lineRule="auto"/>
        <w:ind w:firstLine="42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w:t>
      </w:r>
      <w:r>
        <w:rPr>
          <w:rFonts w:hint="eastAsia" w:ascii="仿宋" w:hAnsi="仿宋" w:eastAsia="仿宋" w:cs="仿宋"/>
          <w:kern w:val="2"/>
          <w:sz w:val="28"/>
          <w:szCs w:val="28"/>
          <w:lang w:val="en-US" w:eastAsia="zh-CN" w:bidi="ar-SA"/>
        </w:rPr>
        <w:t>五）本合同载明的联系方式（包括联系地址、联系人、联系电话）为双方约定的联系方式，若有变动，应提前书面告知对方，否则该联系方式为双方法定的送达和联系方式，一经发送至上述地址即视为送达。</w:t>
      </w:r>
    </w:p>
    <w:p>
      <w:pPr>
        <w:ind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（以下无正文）</w:t>
      </w:r>
    </w:p>
    <w:p>
      <w:pPr>
        <w:pStyle w:val="2"/>
        <w:rPr>
          <w:rFonts w:hint="eastAsia"/>
          <w:lang w:val="en-US" w:eastAsia="zh-CN"/>
        </w:rPr>
      </w:pPr>
    </w:p>
    <w:p>
      <w:pPr>
        <w:spacing w:line="500" w:lineRule="exact"/>
        <w:rPr>
          <w:rFonts w:ascii="仿宋" w:hAnsi="仿宋" w:eastAsia="仿宋"/>
          <w:sz w:val="28"/>
          <w:szCs w:val="28"/>
        </w:rPr>
      </w:pPr>
      <w:r>
        <w:rPr>
          <w:rFonts w:hint="eastAsia" w:ascii="仿宋" w:hAnsi="仿宋" w:eastAsia="仿宋"/>
          <w:sz w:val="28"/>
          <w:szCs w:val="28"/>
        </w:rPr>
        <w:t xml:space="preserve">甲方(公章):                   </w:t>
      </w:r>
      <w:r>
        <w:rPr>
          <w:rFonts w:hint="eastAsia" w:ascii="仿宋" w:hAnsi="仿宋" w:eastAsia="仿宋"/>
          <w:sz w:val="28"/>
          <w:szCs w:val="28"/>
          <w:lang w:val="en-US" w:eastAsia="zh-CN"/>
        </w:rPr>
        <w:t xml:space="preserve">   </w:t>
      </w:r>
      <w:r>
        <w:rPr>
          <w:rFonts w:hint="eastAsia" w:ascii="仿宋" w:hAnsi="仿宋" w:eastAsia="仿宋"/>
          <w:sz w:val="28"/>
          <w:szCs w:val="28"/>
        </w:rPr>
        <w:t>乙方(公章):</w:t>
      </w:r>
    </w:p>
    <w:p>
      <w:pPr>
        <w:spacing w:line="500" w:lineRule="exact"/>
        <w:rPr>
          <w:rFonts w:ascii="仿宋" w:hAnsi="仿宋" w:eastAsia="仿宋"/>
          <w:sz w:val="28"/>
          <w:szCs w:val="28"/>
        </w:rPr>
      </w:pPr>
      <w:r>
        <w:rPr>
          <w:rFonts w:hint="eastAsia" w:ascii="仿宋" w:hAnsi="仿宋" w:eastAsia="仿宋"/>
          <w:sz w:val="28"/>
          <w:szCs w:val="28"/>
        </w:rPr>
        <w:t xml:space="preserve">签字：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pPr>
        <w:spacing w:line="500" w:lineRule="exact"/>
        <w:ind w:firstLine="840" w:firstLineChars="300"/>
        <w:rPr>
          <w:rFonts w:ascii="仿宋" w:hAnsi="仿宋" w:eastAsia="仿宋"/>
          <w:sz w:val="28"/>
          <w:szCs w:val="28"/>
        </w:rPr>
      </w:pPr>
      <w:r>
        <w:rPr>
          <w:rFonts w:hint="eastAsia" w:ascii="仿宋" w:hAnsi="仿宋" w:eastAsia="仿宋"/>
          <w:sz w:val="28"/>
          <w:szCs w:val="28"/>
        </w:rPr>
        <w:t>年   月   日                年   月   日</w:t>
      </w:r>
    </w:p>
    <w:p>
      <w:pPr>
        <w:spacing w:before="624" w:beforeLines="200" w:after="312" w:afterLines="100" w:line="360" w:lineRule="auto"/>
        <w:ind w:right="482" w:firstLine="723"/>
        <w:jc w:val="center"/>
        <w:rPr>
          <w:rFonts w:hint="eastAsia" w:ascii="黑体" w:hAnsi="黑体" w:eastAsia="黑体" w:cs="黑体"/>
          <w:b w:val="0"/>
          <w:bCs/>
          <w:sz w:val="28"/>
          <w:szCs w:val="28"/>
        </w:rPr>
      </w:pPr>
      <w:r>
        <w:rPr>
          <w:rFonts w:hint="eastAsia" w:ascii="黑体" w:hAnsi="黑体" w:eastAsia="黑体" w:cs="黑体"/>
          <w:b w:val="0"/>
          <w:bCs/>
          <w:sz w:val="28"/>
          <w:szCs w:val="28"/>
        </w:rPr>
        <w:t>第二部分　建设工程造价咨询合同通用条件</w:t>
      </w:r>
    </w:p>
    <w:p>
      <w:pPr>
        <w:pStyle w:val="35"/>
        <w:spacing w:before="312" w:beforeLines="100" w:after="312" w:afterLines="100" w:line="360" w:lineRule="auto"/>
        <w:rPr>
          <w:rFonts w:hint="eastAsia" w:ascii="仿宋" w:hAnsi="仿宋" w:eastAsia="仿宋" w:cs="仿宋"/>
          <w:sz w:val="28"/>
          <w:szCs w:val="28"/>
        </w:rPr>
      </w:pPr>
      <w:r>
        <w:rPr>
          <w:rFonts w:hint="eastAsia" w:ascii="仿宋" w:hAnsi="仿宋" w:eastAsia="仿宋" w:cs="仿宋"/>
          <w:sz w:val="28"/>
          <w:szCs w:val="28"/>
        </w:rPr>
        <w:t>词语定义、适用语言和法律、法规</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第一条</w:t>
      </w:r>
      <w:r>
        <w:rPr>
          <w:rFonts w:hint="eastAsia" w:ascii="仿宋" w:hAnsi="仿宋" w:eastAsia="仿宋" w:cs="仿宋"/>
          <w:sz w:val="28"/>
          <w:szCs w:val="28"/>
        </w:rPr>
        <w:t>　下列名词和用语，除上下文另有规定外具有如下含义。</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1、“委托人”是指委托建设工程造价咨询业务和聘用工程造价咨询单位的一方，以及其合法继承人。</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2、“咨询人”是指承担建设工程造价咨询业务和工程造价咨询责任的一方，以及其合法继承人。</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3、“第三人”是指除委托人、咨询人以外与本咨询业务有关的当事人。</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4、“日”是指任何一天零时至第二天零时的时间段。</w:t>
      </w:r>
    </w:p>
    <w:p>
      <w:pPr>
        <w:spacing w:line="360" w:lineRule="auto"/>
        <w:ind w:firstLine="562"/>
        <w:rPr>
          <w:rFonts w:hint="eastAsia" w:ascii="仿宋" w:hAnsi="仿宋" w:eastAsia="仿宋" w:cs="仿宋"/>
          <w:sz w:val="28"/>
          <w:szCs w:val="28"/>
        </w:rPr>
      </w:pPr>
      <w:r>
        <w:rPr>
          <w:rFonts w:hint="eastAsia" w:ascii="仿宋" w:hAnsi="仿宋" w:eastAsia="仿宋" w:cs="仿宋"/>
          <w:b/>
          <w:sz w:val="28"/>
          <w:szCs w:val="28"/>
        </w:rPr>
        <w:t>第二条</w:t>
      </w:r>
      <w:r>
        <w:rPr>
          <w:rFonts w:hint="eastAsia" w:ascii="仿宋" w:hAnsi="仿宋" w:eastAsia="仿宋" w:cs="仿宋"/>
          <w:sz w:val="28"/>
          <w:szCs w:val="28"/>
        </w:rPr>
        <w:t>　建设工程造价咨询合同适用的是中国的法律、法规，以及专用条件中议定的部门规章、工程造价有关计价办法和规定或项目所在地的地方法规、地方规章。</w:t>
      </w:r>
    </w:p>
    <w:p>
      <w:pPr>
        <w:spacing w:line="360" w:lineRule="auto"/>
        <w:ind w:firstLine="562"/>
        <w:rPr>
          <w:rFonts w:hint="eastAsia" w:ascii="仿宋" w:hAnsi="仿宋" w:eastAsia="仿宋" w:cs="仿宋"/>
          <w:sz w:val="28"/>
          <w:szCs w:val="28"/>
        </w:rPr>
      </w:pPr>
      <w:r>
        <w:rPr>
          <w:rFonts w:hint="eastAsia" w:ascii="仿宋" w:hAnsi="仿宋" w:eastAsia="仿宋" w:cs="仿宋"/>
          <w:b/>
          <w:sz w:val="28"/>
          <w:szCs w:val="28"/>
        </w:rPr>
        <w:t>第三条</w:t>
      </w:r>
      <w:r>
        <w:rPr>
          <w:rFonts w:hint="eastAsia" w:ascii="仿宋" w:hAnsi="仿宋" w:eastAsia="仿宋" w:cs="仿宋"/>
          <w:sz w:val="28"/>
          <w:szCs w:val="28"/>
        </w:rPr>
        <w:t>　建设工程造价咨询合同的书写、解释和说明，以汉语为主导语言。当不同语言文本发生不同解释时，以汉语合同文本为准。</w:t>
      </w:r>
    </w:p>
    <w:p>
      <w:pPr>
        <w:pStyle w:val="35"/>
        <w:spacing w:before="312" w:beforeLines="100" w:after="468" w:afterLines="150" w:line="360" w:lineRule="auto"/>
        <w:rPr>
          <w:rFonts w:hint="eastAsia" w:ascii="仿宋" w:hAnsi="仿宋" w:eastAsia="仿宋" w:cs="仿宋"/>
          <w:sz w:val="28"/>
          <w:szCs w:val="28"/>
        </w:rPr>
      </w:pPr>
      <w:r>
        <w:rPr>
          <w:rFonts w:hint="eastAsia" w:ascii="仿宋" w:hAnsi="仿宋" w:eastAsia="仿宋" w:cs="仿宋"/>
          <w:sz w:val="28"/>
          <w:szCs w:val="28"/>
        </w:rPr>
        <w:t>咨询人的义务</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第四条　</w:t>
      </w:r>
      <w:r>
        <w:rPr>
          <w:rFonts w:hint="eastAsia" w:ascii="仿宋" w:hAnsi="仿宋" w:eastAsia="仿宋" w:cs="仿宋"/>
          <w:sz w:val="28"/>
          <w:szCs w:val="28"/>
        </w:rPr>
        <w:t>向委托人提供与工程造价咨询业务有关的资料，包括工程造价咨询的资质证书及承担本合同业务的专业人员名单、咨询工作计划等，并按合同协议书中约定的范围实施咨询业务。</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第五条</w:t>
      </w:r>
      <w:r>
        <w:rPr>
          <w:rFonts w:hint="eastAsia" w:ascii="仿宋" w:hAnsi="仿宋" w:eastAsia="仿宋" w:cs="仿宋"/>
          <w:sz w:val="28"/>
          <w:szCs w:val="28"/>
        </w:rPr>
        <w:t>　咨询人在履行本合同期间，向委托人提供的服务包括正常服务、附加服务和额外服务。</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1、“正常服务”是指双方在专用条件中约定的工程造价咨询工作；</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2、“附加服务”是指在“正常服务”以外，经双方书面协议确定的附加服务；</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3、“额外服务”是指不属于“正常服务”和“附加服务”，但根据合同通用条件第二十条和二十二条的规定，咨询人应增加的额外工作量。</w:t>
      </w:r>
    </w:p>
    <w:p>
      <w:pPr>
        <w:pStyle w:val="36"/>
        <w:numPr>
          <w:ilvl w:val="0"/>
          <w:numId w:val="0"/>
        </w:numPr>
        <w:tabs>
          <w:tab w:val="left" w:pos="420"/>
        </w:tabs>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第六条　</w:t>
      </w:r>
      <w:r>
        <w:rPr>
          <w:rFonts w:hint="eastAsia" w:ascii="仿宋" w:hAnsi="仿宋" w:eastAsia="仿宋" w:cs="仿宋"/>
          <w:sz w:val="28"/>
          <w:szCs w:val="28"/>
        </w:rPr>
        <w:t>在履行合同期间或合同规定期限内，不得泄露与本合同规定业务活动有关的保密资料。</w:t>
      </w:r>
    </w:p>
    <w:p>
      <w:pPr>
        <w:pStyle w:val="35"/>
        <w:spacing w:before="312" w:beforeLines="100" w:after="312" w:afterLines="100" w:line="360" w:lineRule="auto"/>
        <w:rPr>
          <w:rFonts w:hint="eastAsia" w:ascii="仿宋" w:hAnsi="仿宋" w:eastAsia="仿宋" w:cs="仿宋"/>
          <w:sz w:val="28"/>
          <w:szCs w:val="28"/>
        </w:rPr>
      </w:pPr>
      <w:r>
        <w:rPr>
          <w:rFonts w:hint="eastAsia" w:ascii="仿宋" w:hAnsi="仿宋" w:eastAsia="仿宋" w:cs="仿宋"/>
          <w:sz w:val="28"/>
          <w:szCs w:val="28"/>
        </w:rPr>
        <w:t>委托人的义务</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第七条　</w:t>
      </w:r>
      <w:r>
        <w:rPr>
          <w:rFonts w:hint="eastAsia" w:ascii="仿宋" w:hAnsi="仿宋" w:eastAsia="仿宋" w:cs="仿宋"/>
          <w:sz w:val="28"/>
          <w:szCs w:val="28"/>
        </w:rPr>
        <w:t>委托人应负责与本建设工程造价咨询业务有关的第三人的协调工作，为咨询工作提供外部条件。</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第八条</w:t>
      </w:r>
      <w:r>
        <w:rPr>
          <w:rFonts w:hint="eastAsia" w:ascii="仿宋" w:hAnsi="仿宋" w:eastAsia="仿宋" w:cs="仿宋"/>
          <w:sz w:val="28"/>
          <w:szCs w:val="28"/>
        </w:rPr>
        <w:t>　委托人应当在约定的时间内，免费向咨询人提供与本项目咨询业务有关的资料。</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第九条</w:t>
      </w:r>
      <w:r>
        <w:rPr>
          <w:rFonts w:hint="eastAsia" w:ascii="仿宋" w:hAnsi="仿宋" w:eastAsia="仿宋" w:cs="仿宋"/>
          <w:sz w:val="28"/>
          <w:szCs w:val="28"/>
        </w:rPr>
        <w:t>　委托人应当在约定的时间内就咨询人书面提交并要求做出答复的事宜做出书面答复。咨询人要求第三人提供有关资料时，委托人应当负责转达及资料转送。</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第十条</w:t>
      </w:r>
      <w:r>
        <w:rPr>
          <w:rFonts w:hint="eastAsia" w:ascii="仿宋" w:hAnsi="仿宋" w:eastAsia="仿宋" w:cs="仿宋"/>
          <w:sz w:val="28"/>
          <w:szCs w:val="28"/>
        </w:rPr>
        <w:t>　委托人应当授权胜任本咨询业务的代表，负责与咨询人联系。</w:t>
      </w:r>
    </w:p>
    <w:p>
      <w:pPr>
        <w:pStyle w:val="35"/>
        <w:spacing w:before="468" w:beforeLines="150" w:after="312" w:afterLines="100" w:line="360" w:lineRule="auto"/>
        <w:rPr>
          <w:rFonts w:hint="eastAsia" w:ascii="仿宋" w:hAnsi="仿宋" w:eastAsia="仿宋" w:cs="仿宋"/>
          <w:sz w:val="28"/>
          <w:szCs w:val="28"/>
        </w:rPr>
      </w:pPr>
      <w:r>
        <w:rPr>
          <w:rFonts w:hint="eastAsia" w:ascii="仿宋" w:hAnsi="仿宋" w:eastAsia="仿宋" w:cs="仿宋"/>
          <w:sz w:val="28"/>
          <w:szCs w:val="28"/>
        </w:rPr>
        <w:t>咨询人的权利</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十一条　</w:t>
      </w:r>
      <w:r>
        <w:rPr>
          <w:rFonts w:hint="eastAsia" w:ascii="仿宋" w:hAnsi="仿宋" w:eastAsia="仿宋" w:cs="仿宋"/>
          <w:sz w:val="28"/>
          <w:szCs w:val="28"/>
        </w:rPr>
        <w:t>委托人在委托的建设工程造价咨询业务范围内，授予咨询人以下权利：</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1、咨询人在咨询过程中，如委托人提供的资料不明确时可向委托人提出书面报告。</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2、咨询人在咨询过程中，有权对第三人提出与本咨询业务有关的问题进行核对或查问。</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3、咨询人在咨询过程中，有到工程现场勘察的权利。</w:t>
      </w:r>
    </w:p>
    <w:p>
      <w:pPr>
        <w:pStyle w:val="35"/>
        <w:spacing w:before="312" w:beforeLines="100" w:after="312" w:afterLines="100" w:line="360" w:lineRule="auto"/>
        <w:rPr>
          <w:rFonts w:hint="eastAsia" w:ascii="仿宋" w:hAnsi="仿宋" w:eastAsia="仿宋" w:cs="仿宋"/>
          <w:sz w:val="28"/>
          <w:szCs w:val="28"/>
        </w:rPr>
      </w:pPr>
      <w:r>
        <w:rPr>
          <w:rFonts w:hint="eastAsia" w:ascii="仿宋" w:hAnsi="仿宋" w:eastAsia="仿宋" w:cs="仿宋"/>
          <w:sz w:val="28"/>
          <w:szCs w:val="28"/>
        </w:rPr>
        <w:t>委托人的权利</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第十二条　</w:t>
      </w:r>
      <w:r>
        <w:rPr>
          <w:rFonts w:hint="eastAsia" w:ascii="仿宋" w:hAnsi="仿宋" w:eastAsia="仿宋" w:cs="仿宋"/>
          <w:sz w:val="28"/>
          <w:szCs w:val="28"/>
        </w:rPr>
        <w:t>委托人有下列权利：</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1、委托人有权向咨询人询问工作进展情况及相关的内容。</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2、委托人有权阐述对具体问题的意见和建议。</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3、当委托人认定咨询专业人员不按咨询合同履行其职责，或与第三人串通给委托人造成经济损失的，委托人有权要求更换咨询专业人员，直到终止合同并要求咨询人承担相应的赔偿责任。</w:t>
      </w:r>
    </w:p>
    <w:p>
      <w:pPr>
        <w:pStyle w:val="35"/>
        <w:spacing w:before="312" w:beforeLines="100" w:after="312" w:afterLines="100" w:line="360" w:lineRule="auto"/>
        <w:rPr>
          <w:rFonts w:hint="eastAsia" w:ascii="仿宋" w:hAnsi="仿宋" w:eastAsia="仿宋" w:cs="仿宋"/>
          <w:sz w:val="28"/>
          <w:szCs w:val="28"/>
        </w:rPr>
      </w:pPr>
      <w:r>
        <w:rPr>
          <w:rFonts w:hint="eastAsia" w:ascii="仿宋" w:hAnsi="仿宋" w:eastAsia="仿宋" w:cs="仿宋"/>
          <w:sz w:val="28"/>
          <w:szCs w:val="28"/>
        </w:rPr>
        <w:t>咨询人的责任</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第十三条　</w:t>
      </w:r>
      <w:r>
        <w:rPr>
          <w:rFonts w:hint="eastAsia" w:ascii="仿宋" w:hAnsi="仿宋" w:eastAsia="仿宋" w:cs="仿宋"/>
          <w:sz w:val="28"/>
          <w:szCs w:val="28"/>
        </w:rPr>
        <w:t>咨询人的责任期即建设工程造价咨询合同有效期。如因非咨询人的责任造成进度的推迟或延误而超过约定的日期，双方应进一步约定相应延长合同有效期。</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第十四条</w:t>
      </w:r>
      <w:r>
        <w:rPr>
          <w:rFonts w:hint="eastAsia" w:ascii="仿宋" w:hAnsi="仿宋" w:eastAsia="仿宋" w:cs="仿宋"/>
          <w:sz w:val="28"/>
          <w:szCs w:val="28"/>
        </w:rPr>
        <w:t>　咨询人责任期内，应当履行建设工程造价咨询合同中约定的义务，因咨询人的单方过失造成的经济损失，应当向委托人进行赔偿。累计赔偿总额不应超过建设工程造价咨询酬金总额（除去税金）。</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第十五条</w:t>
      </w:r>
      <w:r>
        <w:rPr>
          <w:rFonts w:hint="eastAsia" w:ascii="仿宋" w:hAnsi="仿宋" w:eastAsia="仿宋" w:cs="仿宋"/>
          <w:sz w:val="28"/>
          <w:szCs w:val="28"/>
        </w:rPr>
        <w:t>　咨询人对委托人或第三人所提出的问题不能及时核对或答复，导致合同不能全部或部分履行，咨询人应当承担责任。</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第十六条</w:t>
      </w:r>
      <w:r>
        <w:rPr>
          <w:rFonts w:hint="eastAsia" w:ascii="仿宋" w:hAnsi="仿宋" w:eastAsia="仿宋" w:cs="仿宋"/>
          <w:sz w:val="28"/>
          <w:szCs w:val="28"/>
        </w:rPr>
        <w:t>　咨询人向委托人提出赔偿要求不能成立时，则应补偿由于该赔偿或其他要求所导致委托人的各种费用的支出。</w:t>
      </w:r>
    </w:p>
    <w:p>
      <w:pPr>
        <w:pStyle w:val="35"/>
        <w:spacing w:before="312" w:beforeLines="100" w:after="312" w:afterLines="100" w:line="360" w:lineRule="auto"/>
        <w:ind w:firstLine="723"/>
        <w:rPr>
          <w:rFonts w:hint="eastAsia" w:ascii="仿宋" w:hAnsi="仿宋" w:eastAsia="仿宋" w:cs="仿宋"/>
          <w:sz w:val="28"/>
          <w:szCs w:val="28"/>
        </w:rPr>
      </w:pPr>
      <w:r>
        <w:rPr>
          <w:rFonts w:hint="eastAsia" w:ascii="仿宋" w:hAnsi="仿宋" w:eastAsia="仿宋" w:cs="仿宋"/>
          <w:sz w:val="28"/>
          <w:szCs w:val="28"/>
        </w:rPr>
        <w:t>委托人的责任</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第十七条</w:t>
      </w:r>
      <w:r>
        <w:rPr>
          <w:rFonts w:hint="eastAsia" w:ascii="仿宋" w:hAnsi="仿宋" w:eastAsia="仿宋" w:cs="仿宋"/>
          <w:sz w:val="28"/>
          <w:szCs w:val="28"/>
        </w:rPr>
        <w:t>　委托人应当履行建设工程造价咨询合同中约定的义务，如有违反则应当承担违约责任，赔偿给咨询人造成的损失。</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第十八条</w:t>
      </w:r>
      <w:r>
        <w:rPr>
          <w:rFonts w:hint="eastAsia" w:ascii="仿宋" w:hAnsi="仿宋" w:eastAsia="仿宋" w:cs="仿宋"/>
          <w:sz w:val="28"/>
          <w:szCs w:val="28"/>
        </w:rPr>
        <w:t>　委托人如果向咨询人提出赔偿或其他要求不能成立时，则应补偿由于该赔偿或其他要求所导致咨询人的各种费用的支出。</w:t>
      </w:r>
    </w:p>
    <w:p>
      <w:pPr>
        <w:pStyle w:val="35"/>
        <w:spacing w:before="312" w:beforeLines="100" w:after="312" w:afterLines="100" w:line="360" w:lineRule="auto"/>
        <w:ind w:firstLine="723"/>
        <w:rPr>
          <w:rFonts w:hint="eastAsia" w:ascii="仿宋" w:hAnsi="仿宋" w:eastAsia="仿宋" w:cs="仿宋"/>
          <w:sz w:val="28"/>
          <w:szCs w:val="28"/>
        </w:rPr>
      </w:pPr>
      <w:r>
        <w:rPr>
          <w:rFonts w:hint="eastAsia" w:ascii="仿宋" w:hAnsi="仿宋" w:eastAsia="仿宋" w:cs="仿宋"/>
          <w:sz w:val="28"/>
          <w:szCs w:val="28"/>
        </w:rPr>
        <w:t>合同生效，变更与终止</w:t>
      </w:r>
    </w:p>
    <w:p>
      <w:pPr>
        <w:pStyle w:val="36"/>
        <w:numPr>
          <w:ilvl w:val="0"/>
          <w:numId w:val="0"/>
        </w:numPr>
        <w:tabs>
          <w:tab w:val="left" w:pos="42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第十九条　本合同自双方签字盖章之日起生效。</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第二十条</w:t>
      </w:r>
      <w:r>
        <w:rPr>
          <w:rFonts w:hint="eastAsia" w:ascii="仿宋" w:hAnsi="仿宋" w:eastAsia="仿宋" w:cs="仿宋"/>
          <w:sz w:val="28"/>
          <w:szCs w:val="28"/>
        </w:rPr>
        <w:t>　由于委托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第二十一条</w:t>
      </w:r>
      <w:r>
        <w:rPr>
          <w:rFonts w:hint="eastAsia" w:ascii="仿宋" w:hAnsi="仿宋" w:eastAsia="仿宋" w:cs="仿宋"/>
          <w:sz w:val="28"/>
          <w:szCs w:val="28"/>
        </w:rPr>
        <w:t>　当事人一方要求变更或解除合同时，则应当在14日前通知对方；变更或解除合同使一方遭受损失的，应由责任方负责赔偿。</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第二十二条　</w:t>
      </w:r>
      <w:r>
        <w:rPr>
          <w:rFonts w:hint="eastAsia" w:ascii="仿宋" w:hAnsi="仿宋" w:eastAsia="仿宋" w:cs="仿宋"/>
          <w:sz w:val="28"/>
          <w:szCs w:val="28"/>
        </w:rPr>
        <w:t>咨询人由于非自身原因暂停或终止执行建设工程造价咨询业务，由此而增加的恢复执行建设工程造价咨询业务的工作，应视为额外服务，有权得到额外的时间和酬金。</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第二十三条</w:t>
      </w:r>
      <w:r>
        <w:rPr>
          <w:rFonts w:hint="eastAsia" w:ascii="仿宋" w:hAnsi="仿宋" w:eastAsia="仿宋" w:cs="仿宋"/>
          <w:sz w:val="28"/>
          <w:szCs w:val="28"/>
        </w:rPr>
        <w:t>　变更或解除合同的通知或协议应当采取书面形式，新的协议未达成之前，原合同仍然有效。</w:t>
      </w:r>
    </w:p>
    <w:p>
      <w:pPr>
        <w:pStyle w:val="35"/>
        <w:spacing w:before="312" w:beforeLines="100" w:after="312" w:afterLines="100" w:line="360" w:lineRule="auto"/>
        <w:ind w:firstLine="723"/>
        <w:rPr>
          <w:rFonts w:hint="eastAsia" w:ascii="仿宋" w:hAnsi="仿宋" w:eastAsia="仿宋" w:cs="仿宋"/>
          <w:sz w:val="28"/>
          <w:szCs w:val="28"/>
        </w:rPr>
      </w:pPr>
      <w:r>
        <w:rPr>
          <w:rFonts w:hint="eastAsia" w:ascii="仿宋" w:hAnsi="仿宋" w:eastAsia="仿宋" w:cs="仿宋"/>
          <w:sz w:val="28"/>
          <w:szCs w:val="28"/>
        </w:rPr>
        <w:t>咨询业务的酬金</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第二十四条</w:t>
      </w:r>
      <w:r>
        <w:rPr>
          <w:rFonts w:hint="eastAsia" w:ascii="仿宋" w:hAnsi="仿宋" w:eastAsia="仿宋" w:cs="仿宋"/>
          <w:sz w:val="28"/>
          <w:szCs w:val="28"/>
        </w:rPr>
        <w:t>　正常的建设工程造价咨询业务，附加工作和额外工作的酬金，按照建设工程造价咨询合同协议书约定的方法计取，并按约定的时间和数额支付。</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第二十五条</w:t>
      </w:r>
      <w:r>
        <w:rPr>
          <w:rFonts w:hint="eastAsia" w:ascii="仿宋" w:hAnsi="仿宋" w:eastAsia="仿宋" w:cs="仿宋"/>
          <w:sz w:val="28"/>
          <w:szCs w:val="28"/>
        </w:rPr>
        <w:t>　如果委托人在规定的支付期限内未支付建设工程造价咨询酬金，自规定支付之日起，应当向咨询人补偿应支付的酬金利息。利息额按规定支付期限最后一日银行活期贷款乘以拖欠酬金时间计算。</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第二十六条</w:t>
      </w:r>
      <w:r>
        <w:rPr>
          <w:rFonts w:hint="eastAsia" w:ascii="仿宋" w:hAnsi="仿宋" w:eastAsia="仿宋" w:cs="仿宋"/>
          <w:sz w:val="28"/>
          <w:szCs w:val="28"/>
        </w:rPr>
        <w:t>　如果委托人对咨询人提交的支付通知书中酬金或部分酬金项目提出异议，应当在收到支付通知书两日内向咨询人发出异议的通知，但委托人不得拖延其无异议酬金项目的支付。</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第二十七条</w:t>
      </w:r>
      <w:r>
        <w:rPr>
          <w:rFonts w:hint="eastAsia" w:ascii="仿宋" w:hAnsi="仿宋" w:eastAsia="仿宋" w:cs="仿宋"/>
          <w:sz w:val="28"/>
          <w:szCs w:val="28"/>
        </w:rPr>
        <w:t>　支付建设工程造价咨询酬金所采取的货币币种、汇率由合同专用条件约定。</w:t>
      </w:r>
    </w:p>
    <w:p>
      <w:pPr>
        <w:pStyle w:val="35"/>
        <w:spacing w:before="312" w:beforeLines="100" w:after="312" w:afterLines="100" w:line="360" w:lineRule="auto"/>
        <w:rPr>
          <w:rFonts w:hint="eastAsia" w:ascii="仿宋" w:hAnsi="仿宋" w:eastAsia="仿宋" w:cs="仿宋"/>
          <w:sz w:val="28"/>
          <w:szCs w:val="28"/>
        </w:rPr>
      </w:pPr>
      <w:r>
        <w:rPr>
          <w:rFonts w:hint="eastAsia" w:ascii="仿宋" w:hAnsi="仿宋" w:eastAsia="仿宋" w:cs="仿宋"/>
          <w:sz w:val="28"/>
          <w:szCs w:val="28"/>
        </w:rPr>
        <w:t>其　　他</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第二十八条</w:t>
      </w:r>
      <w:r>
        <w:rPr>
          <w:rFonts w:hint="eastAsia" w:ascii="仿宋" w:hAnsi="仿宋" w:eastAsia="仿宋" w:cs="仿宋"/>
          <w:sz w:val="28"/>
          <w:szCs w:val="28"/>
        </w:rPr>
        <w:t>　因建设工程造价咨询业务的需要，咨询人在合同约定外的外出考察，经委托人同意，其所需要费用由委托人负责。</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第二十九条</w:t>
      </w:r>
      <w:r>
        <w:rPr>
          <w:rFonts w:hint="eastAsia" w:ascii="仿宋" w:hAnsi="仿宋" w:eastAsia="仿宋" w:cs="仿宋"/>
          <w:sz w:val="28"/>
          <w:szCs w:val="28"/>
        </w:rPr>
        <w:t>　咨询人如需外聘专家协助，在委托的建设工程造价咨询业务范围内其费用由咨询人承担；委托的建设工程造价咨询业务范围以外经委托人同意并认可其费用后由委托人承担。</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第三十条</w:t>
      </w:r>
      <w:r>
        <w:rPr>
          <w:rFonts w:hint="eastAsia" w:ascii="仿宋" w:hAnsi="仿宋" w:eastAsia="仿宋" w:cs="仿宋"/>
          <w:sz w:val="28"/>
          <w:szCs w:val="28"/>
        </w:rPr>
        <w:t>　未经对方的书面同意，各方均不得转让合同约定的权利和义务。</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第三十一条</w:t>
      </w:r>
      <w:r>
        <w:rPr>
          <w:rFonts w:hint="eastAsia" w:ascii="仿宋" w:hAnsi="仿宋" w:eastAsia="仿宋" w:cs="仿宋"/>
          <w:sz w:val="28"/>
          <w:szCs w:val="28"/>
        </w:rPr>
        <w:t>　除委托人书面同意外，咨询人及咨询专业人员不应接受建设工程造价咨询合同约定以外的与工程造价咨询项目有关的任何报酬。</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咨询人不得参与可能与合同规定的与委托人利益相冲突的任何活动。</w:t>
      </w:r>
    </w:p>
    <w:p>
      <w:pPr>
        <w:pStyle w:val="35"/>
        <w:spacing w:before="312" w:beforeLines="100" w:after="312" w:afterLines="100" w:line="360" w:lineRule="auto"/>
        <w:rPr>
          <w:rFonts w:hint="eastAsia" w:ascii="仿宋" w:hAnsi="仿宋" w:eastAsia="仿宋" w:cs="仿宋"/>
          <w:sz w:val="28"/>
          <w:szCs w:val="28"/>
        </w:rPr>
      </w:pPr>
      <w:r>
        <w:rPr>
          <w:rFonts w:hint="eastAsia" w:ascii="仿宋" w:hAnsi="仿宋" w:eastAsia="仿宋" w:cs="仿宋"/>
          <w:sz w:val="28"/>
          <w:szCs w:val="28"/>
        </w:rPr>
        <w:t>合同争议的解决</w:t>
      </w:r>
    </w:p>
    <w:p>
      <w:pPr>
        <w:pStyle w:val="36"/>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第三十二条</w:t>
      </w:r>
      <w:r>
        <w:rPr>
          <w:rFonts w:hint="eastAsia" w:ascii="仿宋" w:hAnsi="仿宋" w:eastAsia="仿宋" w:cs="仿宋"/>
          <w:sz w:val="28"/>
          <w:szCs w:val="28"/>
        </w:rPr>
        <w:t>　因违约或终止合同而引起的损失和损害的赔偿，委托人与咨询人之间应当协商解决；如未能达成一致，可提交有关主管部门调解；协商或调解不成的，向人民法院起诉。</w:t>
      </w:r>
    </w:p>
    <w:p>
      <w:pPr>
        <w:pStyle w:val="34"/>
        <w:numPr>
          <w:ilvl w:val="0"/>
          <w:numId w:val="0"/>
        </w:numPr>
        <w:tabs>
          <w:tab w:val="left" w:pos="420"/>
        </w:tabs>
        <w:spacing w:line="360" w:lineRule="auto"/>
        <w:ind w:left="360"/>
        <w:rPr>
          <w:b w:val="0"/>
          <w:bCs/>
          <w:sz w:val="28"/>
          <w:szCs w:val="28"/>
        </w:rPr>
      </w:pPr>
      <w:r>
        <w:rPr>
          <w:rFonts w:hint="eastAsia"/>
          <w:b w:val="0"/>
          <w:bCs/>
          <w:sz w:val="28"/>
          <w:szCs w:val="28"/>
        </w:rPr>
        <w:t>第三部分　建设工程造价咨询合同专用条件</w:t>
      </w:r>
    </w:p>
    <w:p>
      <w:pPr>
        <w:pStyle w:val="37"/>
        <w:spacing w:line="360" w:lineRule="auto"/>
        <w:ind w:left="420"/>
        <w:rPr>
          <w:sz w:val="21"/>
          <w:szCs w:val="21"/>
        </w:rPr>
      </w:pPr>
    </w:p>
    <w:p>
      <w:pPr>
        <w:pStyle w:val="37"/>
        <w:spacing w:line="360" w:lineRule="auto"/>
        <w:ind w:left="420" w:leftChars="200" w:firstLine="219" w:firstLineChars="78"/>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本合同适用的法律、法规及工程造价计价办法和规定：</w:t>
      </w:r>
    </w:p>
    <w:p>
      <w:pPr>
        <w:pStyle w:val="37"/>
        <w:numPr>
          <w:ilvl w:val="0"/>
          <w:numId w:val="40"/>
        </w:numPr>
        <w:spacing w:line="360" w:lineRule="auto"/>
        <w:ind w:left="420" w:leftChars="200" w:firstLine="218" w:firstLineChars="78"/>
        <w:rPr>
          <w:rFonts w:hint="eastAsia" w:ascii="仿宋" w:hAnsi="仿宋" w:eastAsia="仿宋" w:cs="仿宋"/>
          <w:sz w:val="28"/>
          <w:szCs w:val="28"/>
        </w:rPr>
      </w:pPr>
      <w:r>
        <w:rPr>
          <w:rFonts w:hint="eastAsia" w:ascii="仿宋" w:hAnsi="仿宋" w:eastAsia="仿宋" w:cs="仿宋"/>
          <w:sz w:val="28"/>
          <w:szCs w:val="28"/>
        </w:rPr>
        <w:t>中华人民共和国《合同法》、《建筑法》、《价格法》；</w:t>
      </w:r>
    </w:p>
    <w:p>
      <w:pPr>
        <w:pStyle w:val="37"/>
        <w:numPr>
          <w:ilvl w:val="0"/>
          <w:numId w:val="40"/>
        </w:numPr>
        <w:spacing w:line="360" w:lineRule="auto"/>
        <w:ind w:left="420" w:leftChars="200" w:firstLine="218" w:firstLineChars="78"/>
        <w:rPr>
          <w:rFonts w:hint="eastAsia" w:ascii="仿宋" w:hAnsi="仿宋" w:eastAsia="仿宋" w:cs="仿宋"/>
          <w:sz w:val="28"/>
          <w:szCs w:val="28"/>
        </w:rPr>
      </w:pPr>
      <w:r>
        <w:rPr>
          <w:rFonts w:hint="eastAsia" w:ascii="仿宋" w:hAnsi="仿宋" w:eastAsia="仿宋" w:cs="仿宋"/>
          <w:sz w:val="28"/>
          <w:szCs w:val="28"/>
        </w:rPr>
        <w:t>国家建设部《建设工程工程量清单计价规范》；</w:t>
      </w:r>
    </w:p>
    <w:p>
      <w:pPr>
        <w:pStyle w:val="37"/>
        <w:numPr>
          <w:ilvl w:val="0"/>
          <w:numId w:val="40"/>
        </w:numPr>
        <w:spacing w:line="360" w:lineRule="auto"/>
        <w:ind w:left="420" w:leftChars="200" w:firstLine="218" w:firstLineChars="78"/>
        <w:rPr>
          <w:rFonts w:hint="eastAsia" w:ascii="仿宋" w:hAnsi="仿宋" w:eastAsia="仿宋" w:cs="仿宋"/>
          <w:sz w:val="28"/>
          <w:szCs w:val="28"/>
        </w:rPr>
      </w:pPr>
      <w:r>
        <w:rPr>
          <w:rFonts w:hint="eastAsia" w:ascii="仿宋" w:hAnsi="仿宋" w:eastAsia="仿宋" w:cs="仿宋"/>
          <w:sz w:val="28"/>
          <w:szCs w:val="28"/>
        </w:rPr>
        <w:t>广东省、深圳市关于工程造价计价办法的有关规定。</w:t>
      </w:r>
    </w:p>
    <w:p>
      <w:pPr>
        <w:pStyle w:val="37"/>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咨询人指派</w:t>
      </w:r>
      <w:r>
        <w:rPr>
          <w:rFonts w:hint="eastAsia" w:ascii="仿宋" w:hAnsi="仿宋" w:eastAsia="仿宋" w:cs="仿宋"/>
          <w:sz w:val="28"/>
          <w:szCs w:val="28"/>
          <w:u w:val="single"/>
        </w:rPr>
        <w:t>　　</w:t>
      </w:r>
      <w:r>
        <w:rPr>
          <w:rFonts w:hint="eastAsia" w:ascii="仿宋" w:hAnsi="仿宋" w:eastAsia="仿宋" w:cs="仿宋"/>
          <w:sz w:val="28"/>
          <w:szCs w:val="28"/>
        </w:rPr>
        <w:t>造价工程师负责本项目咨询业务，其主要职责：</w:t>
      </w:r>
    </w:p>
    <w:p>
      <w:pPr>
        <w:pStyle w:val="37"/>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负责组织实施本工程造价咨询服务，并按时提交咨询报告。</w:t>
      </w:r>
    </w:p>
    <w:p>
      <w:pPr>
        <w:spacing w:line="360" w:lineRule="auto"/>
        <w:ind w:firstLine="562"/>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双方约定的委托人应提供的建设工程造价咨询材料：</w:t>
      </w:r>
    </w:p>
    <w:p>
      <w:pPr>
        <w:pStyle w:val="37"/>
        <w:numPr>
          <w:ilvl w:val="0"/>
          <w:numId w:val="41"/>
        </w:numPr>
        <w:spacing w:line="360" w:lineRule="auto"/>
        <w:ind w:left="1400" w:leftChars="0" w:hanging="760" w:firstLineChars="0"/>
        <w:rPr>
          <w:rFonts w:hint="eastAsia" w:ascii="仿宋" w:hAnsi="仿宋" w:eastAsia="仿宋" w:cs="仿宋"/>
          <w:sz w:val="28"/>
          <w:szCs w:val="28"/>
        </w:rPr>
      </w:pPr>
      <w:r>
        <w:rPr>
          <w:rFonts w:hint="eastAsia" w:ascii="仿宋" w:hAnsi="仿宋" w:eastAsia="仿宋" w:cs="仿宋"/>
          <w:sz w:val="28"/>
          <w:szCs w:val="28"/>
        </w:rPr>
        <w:t>施工图纸及有关技术说明；</w:t>
      </w:r>
    </w:p>
    <w:p>
      <w:pPr>
        <w:pStyle w:val="37"/>
        <w:numPr>
          <w:ilvl w:val="0"/>
          <w:numId w:val="41"/>
        </w:numPr>
        <w:spacing w:line="360" w:lineRule="auto"/>
        <w:ind w:left="1400" w:leftChars="0" w:hanging="760" w:firstLineChars="0"/>
        <w:rPr>
          <w:rFonts w:hint="eastAsia" w:ascii="仿宋" w:hAnsi="仿宋" w:eastAsia="仿宋" w:cs="仿宋"/>
          <w:sz w:val="28"/>
          <w:szCs w:val="28"/>
        </w:rPr>
      </w:pPr>
      <w:r>
        <w:rPr>
          <w:rFonts w:hint="eastAsia" w:ascii="仿宋" w:hAnsi="仿宋" w:eastAsia="仿宋" w:cs="仿宋"/>
          <w:sz w:val="28"/>
          <w:szCs w:val="28"/>
        </w:rPr>
        <w:t>其他与本工程造价咨询有关的资料。</w:t>
      </w:r>
    </w:p>
    <w:p>
      <w:pPr>
        <w:spacing w:line="360" w:lineRule="auto"/>
        <w:ind w:firstLine="562"/>
        <w:rPr>
          <w:rFonts w:hint="eastAsia" w:ascii="仿宋" w:hAnsi="仿宋" w:eastAsia="仿宋" w:cs="仿宋"/>
          <w:sz w:val="28"/>
          <w:szCs w:val="28"/>
        </w:rPr>
      </w:pPr>
      <w:r>
        <w:rPr>
          <w:rFonts w:hint="eastAsia" w:ascii="仿宋" w:hAnsi="仿宋" w:eastAsia="仿宋" w:cs="仿宋"/>
          <w:b/>
          <w:bCs/>
          <w:sz w:val="28"/>
          <w:szCs w:val="28"/>
        </w:rPr>
        <w:t>第四条</w:t>
      </w:r>
      <w:r>
        <w:rPr>
          <w:rFonts w:hint="eastAsia" w:ascii="仿宋" w:hAnsi="仿宋" w:eastAsia="仿宋" w:cs="仿宋"/>
          <w:sz w:val="28"/>
          <w:szCs w:val="28"/>
        </w:rPr>
        <w:t>　委托人应在</w:t>
      </w:r>
      <w:r>
        <w:rPr>
          <w:rFonts w:hint="eastAsia" w:ascii="仿宋" w:hAnsi="仿宋" w:eastAsia="仿宋" w:cs="仿宋"/>
          <w:sz w:val="28"/>
          <w:szCs w:val="28"/>
          <w:u w:val="single"/>
        </w:rPr>
        <w:t>　5　</w:t>
      </w:r>
      <w:r>
        <w:rPr>
          <w:rFonts w:hint="eastAsia" w:ascii="仿宋" w:hAnsi="仿宋" w:eastAsia="仿宋" w:cs="仿宋"/>
          <w:sz w:val="28"/>
          <w:szCs w:val="28"/>
        </w:rPr>
        <w:t>日内对咨询人书面提交并要求做出答复的事宜做出书面答复。</w:t>
      </w:r>
    </w:p>
    <w:p>
      <w:pPr>
        <w:spacing w:line="360" w:lineRule="auto"/>
        <w:ind w:firstLine="562"/>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委托人授权的本咨询业务代表，姓名</w:t>
      </w:r>
      <w:r>
        <w:rPr>
          <w:rFonts w:hint="eastAsia" w:ascii="仿宋" w:hAnsi="仿宋" w:eastAsia="仿宋" w:cs="仿宋"/>
          <w:sz w:val="28"/>
          <w:szCs w:val="28"/>
          <w:u w:val="single"/>
        </w:rPr>
        <w:t>　   　　</w:t>
      </w:r>
      <w:r>
        <w:rPr>
          <w:rFonts w:hint="eastAsia" w:ascii="仿宋" w:hAnsi="仿宋" w:eastAsia="仿宋" w:cs="仿宋"/>
          <w:sz w:val="28"/>
          <w:szCs w:val="28"/>
        </w:rPr>
        <w:t>，其主要职责：</w:t>
      </w:r>
    </w:p>
    <w:p>
      <w:pPr>
        <w:pStyle w:val="37"/>
        <w:numPr>
          <w:ilvl w:val="0"/>
          <w:numId w:val="42"/>
        </w:numPr>
        <w:spacing w:line="360" w:lineRule="auto"/>
        <w:ind w:left="1400" w:leftChars="0" w:hanging="760" w:firstLineChars="0"/>
        <w:rPr>
          <w:rFonts w:hint="eastAsia" w:ascii="仿宋" w:hAnsi="仿宋" w:eastAsia="仿宋" w:cs="仿宋"/>
          <w:sz w:val="28"/>
          <w:szCs w:val="28"/>
        </w:rPr>
      </w:pPr>
      <w:r>
        <w:rPr>
          <w:rFonts w:hint="eastAsia" w:ascii="仿宋" w:hAnsi="仿宋" w:eastAsia="仿宋" w:cs="仿宋"/>
          <w:sz w:val="28"/>
          <w:szCs w:val="28"/>
        </w:rPr>
        <w:t>按合同约定时间提供造价咨询所需全部资料；</w:t>
      </w:r>
    </w:p>
    <w:p>
      <w:pPr>
        <w:pStyle w:val="37"/>
        <w:numPr>
          <w:ilvl w:val="0"/>
          <w:numId w:val="42"/>
        </w:numPr>
        <w:spacing w:line="360" w:lineRule="auto"/>
        <w:ind w:left="1400" w:leftChars="0" w:hanging="760" w:firstLineChars="0"/>
        <w:rPr>
          <w:rFonts w:hint="eastAsia" w:ascii="仿宋" w:hAnsi="仿宋" w:eastAsia="仿宋" w:cs="仿宋"/>
          <w:sz w:val="28"/>
          <w:szCs w:val="28"/>
        </w:rPr>
      </w:pPr>
      <w:r>
        <w:rPr>
          <w:rFonts w:hint="eastAsia" w:ascii="仿宋" w:hAnsi="仿宋" w:eastAsia="仿宋" w:cs="仿宋"/>
          <w:sz w:val="28"/>
          <w:szCs w:val="28"/>
        </w:rPr>
        <w:t>及时解答咨询人关于本工程造价咨询方面的问题；</w:t>
      </w:r>
    </w:p>
    <w:p>
      <w:pPr>
        <w:pStyle w:val="37"/>
        <w:numPr>
          <w:ilvl w:val="0"/>
          <w:numId w:val="42"/>
        </w:numPr>
        <w:spacing w:line="360" w:lineRule="auto"/>
        <w:ind w:left="1400" w:leftChars="0" w:hanging="760" w:firstLineChars="0"/>
        <w:rPr>
          <w:rFonts w:hint="eastAsia" w:ascii="仿宋" w:hAnsi="仿宋" w:eastAsia="仿宋" w:cs="仿宋"/>
          <w:sz w:val="28"/>
          <w:szCs w:val="28"/>
        </w:rPr>
      </w:pPr>
      <w:r>
        <w:rPr>
          <w:rFonts w:hint="eastAsia" w:ascii="仿宋" w:hAnsi="仿宋" w:eastAsia="仿宋" w:cs="仿宋"/>
          <w:sz w:val="28"/>
          <w:szCs w:val="28"/>
        </w:rPr>
        <w:t>按本合同约定支付咨询服务费。</w:t>
      </w:r>
    </w:p>
    <w:p>
      <w:pPr>
        <w:spacing w:line="360" w:lineRule="auto"/>
        <w:ind w:firstLine="562"/>
        <w:rPr>
          <w:rFonts w:hint="eastAsia" w:ascii="仿宋" w:hAnsi="仿宋" w:eastAsia="仿宋" w:cs="仿宋"/>
          <w:sz w:val="28"/>
          <w:szCs w:val="28"/>
        </w:rPr>
      </w:pPr>
      <w:r>
        <w:rPr>
          <w:rFonts w:hint="eastAsia" w:ascii="仿宋" w:hAnsi="仿宋" w:eastAsia="仿宋" w:cs="仿宋"/>
          <w:b/>
          <w:bCs/>
          <w:sz w:val="28"/>
          <w:szCs w:val="28"/>
        </w:rPr>
        <w:t>第六条</w:t>
      </w:r>
      <w:r>
        <w:rPr>
          <w:rFonts w:hint="eastAsia" w:ascii="仿宋" w:hAnsi="仿宋" w:eastAsia="仿宋" w:cs="仿宋"/>
          <w:sz w:val="28"/>
          <w:szCs w:val="28"/>
        </w:rPr>
        <w:t>　咨询人在其责任期内如果失职，同意按以下办法承担因单方责任而造成的经济损失：</w:t>
      </w:r>
    </w:p>
    <w:p>
      <w:pPr>
        <w:spacing w:line="360" w:lineRule="auto"/>
        <w:ind w:firstLine="562"/>
        <w:rPr>
          <w:rFonts w:hint="eastAsia"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双方同意用</w:t>
      </w:r>
      <w:r>
        <w:rPr>
          <w:rFonts w:hint="eastAsia" w:ascii="仿宋" w:hAnsi="仿宋" w:eastAsia="仿宋" w:cs="仿宋"/>
          <w:sz w:val="28"/>
          <w:szCs w:val="28"/>
          <w:u w:val="single"/>
        </w:rPr>
        <w:t>　人民币　</w:t>
      </w:r>
      <w:r>
        <w:rPr>
          <w:rFonts w:hint="eastAsia" w:ascii="仿宋" w:hAnsi="仿宋" w:eastAsia="仿宋" w:cs="仿宋"/>
          <w:sz w:val="28"/>
          <w:szCs w:val="28"/>
        </w:rPr>
        <w:t>支付酬金，按</w:t>
      </w:r>
      <w:r>
        <w:rPr>
          <w:rFonts w:hint="eastAsia" w:ascii="仿宋" w:hAnsi="仿宋" w:eastAsia="仿宋" w:cs="仿宋"/>
          <w:sz w:val="28"/>
          <w:szCs w:val="28"/>
          <w:u w:val="single"/>
        </w:rPr>
        <w:t>　/　</w:t>
      </w:r>
      <w:r>
        <w:rPr>
          <w:rFonts w:hint="eastAsia" w:ascii="仿宋" w:hAnsi="仿宋" w:eastAsia="仿宋" w:cs="仿宋"/>
          <w:sz w:val="28"/>
          <w:szCs w:val="28"/>
        </w:rPr>
        <w:t>汇率计付。</w:t>
      </w:r>
    </w:p>
    <w:p>
      <w:pPr>
        <w:pStyle w:val="38"/>
        <w:numPr>
          <w:ilvl w:val="0"/>
          <w:numId w:val="0"/>
        </w:numPr>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建设工程造价咨询合同在履行过程中发生争议，委托人与咨询人应及时协商解决；如未能达成一致，可提交有关主管部门调解；协商或调解不成的，依法向</w:t>
      </w:r>
      <w:r>
        <w:rPr>
          <w:rFonts w:hint="eastAsia" w:ascii="仿宋" w:hAnsi="仿宋" w:eastAsia="仿宋" w:cs="仿宋"/>
          <w:sz w:val="28"/>
          <w:szCs w:val="28"/>
          <w:lang w:val="en-US" w:eastAsia="zh-CN"/>
        </w:rPr>
        <w:t>甲方所在地的</w:t>
      </w:r>
      <w:r>
        <w:rPr>
          <w:rFonts w:hint="eastAsia" w:ascii="仿宋" w:hAnsi="仿宋" w:eastAsia="仿宋" w:cs="仿宋"/>
          <w:sz w:val="28"/>
          <w:szCs w:val="28"/>
        </w:rPr>
        <w:t>人民法院起诉。</w:t>
      </w:r>
    </w:p>
    <w:p>
      <w:pPr>
        <w:spacing w:line="360" w:lineRule="auto"/>
        <w:ind w:firstLine="560"/>
        <w:rPr>
          <w:rFonts w:hint="eastAsia" w:ascii="仿宋" w:hAnsi="仿宋" w:eastAsia="仿宋" w:cs="仿宋"/>
          <w:sz w:val="28"/>
          <w:szCs w:val="28"/>
        </w:rPr>
      </w:pPr>
      <w:r>
        <w:rPr>
          <w:rFonts w:hint="eastAsia" w:ascii="仿宋" w:hAnsi="仿宋" w:eastAsia="仿宋" w:cs="仿宋"/>
          <w:b/>
          <w:bCs/>
          <w:kern w:val="2"/>
          <w:sz w:val="28"/>
          <w:szCs w:val="28"/>
          <w:lang w:val="en-US" w:eastAsia="zh-CN" w:bidi="ar-SA"/>
        </w:rPr>
        <w:t xml:space="preserve">第九条 </w:t>
      </w:r>
      <w:r>
        <w:rPr>
          <w:rFonts w:hint="eastAsia" w:ascii="仿宋" w:hAnsi="仿宋" w:eastAsia="仿宋" w:cs="仿宋"/>
          <w:sz w:val="28"/>
          <w:szCs w:val="28"/>
        </w:rPr>
        <w:t>补充合同条款：无。</w:t>
      </w:r>
    </w:p>
    <w:p>
      <w:pPr>
        <w:spacing w:line="360" w:lineRule="auto"/>
        <w:jc w:val="center"/>
        <w:rPr>
          <w:rFonts w:ascii="仿宋" w:hAnsi="仿宋" w:eastAsia="仿宋"/>
          <w:szCs w:val="21"/>
        </w:rPr>
      </w:pPr>
      <w:r>
        <w:rPr>
          <w:rFonts w:ascii="仿宋" w:hAnsi="仿宋" w:eastAsia="仿宋"/>
          <w:szCs w:val="21"/>
        </w:rPr>
        <w:t xml:space="preserve"> </w:t>
      </w: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bookmarkStart w:id="51" w:name="_Toc9702"/>
      <w:r>
        <w:rPr>
          <w:rFonts w:hint="eastAsia" w:ascii="宋体" w:hAnsi="宋体"/>
          <w:b/>
          <w:sz w:val="32"/>
          <w:szCs w:val="32"/>
        </w:rPr>
        <w:t>第</w:t>
      </w:r>
      <w:r>
        <w:rPr>
          <w:rFonts w:hint="eastAsia" w:ascii="宋体" w:hAnsi="宋体"/>
          <w:b/>
          <w:sz w:val="32"/>
          <w:szCs w:val="32"/>
          <w:lang w:val="en-US" w:eastAsia="zh-CN"/>
        </w:rPr>
        <w:t>五部分：参考附件</w:t>
      </w:r>
      <w:bookmarkEnd w:id="51"/>
    </w:p>
    <w:p>
      <w:pPr>
        <w:spacing w:line="0" w:lineRule="atLeast"/>
        <w:outlineLvl w:val="1"/>
        <w:rPr>
          <w:rFonts w:ascii="宋体" w:hAnsi="宋体"/>
          <w:szCs w:val="21"/>
        </w:rPr>
      </w:pPr>
      <w:bookmarkStart w:id="52" w:name="_Toc16579"/>
      <w:r>
        <w:rPr>
          <w:rFonts w:hint="eastAsia" w:ascii="宋体" w:hAnsi="宋体"/>
          <w:szCs w:val="21"/>
        </w:rPr>
        <w:t>附件</w:t>
      </w:r>
      <w:r>
        <w:rPr>
          <w:rFonts w:hint="eastAsia" w:ascii="宋体" w:hAnsi="宋体"/>
          <w:szCs w:val="21"/>
          <w:lang w:val="en-US" w:eastAsia="zh-CN"/>
        </w:rPr>
        <w:t>1</w:t>
      </w:r>
      <w:r>
        <w:rPr>
          <w:rFonts w:hint="eastAsia" w:ascii="宋体" w:hAnsi="宋体"/>
          <w:szCs w:val="21"/>
        </w:rPr>
        <w:t>：投标一览表</w:t>
      </w:r>
      <w:bookmarkEnd w:id="52"/>
    </w:p>
    <w:tbl>
      <w:tblPr>
        <w:tblStyle w:val="15"/>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szCs w:val="21"/>
              </w:rPr>
            </w:pPr>
            <w:r>
              <w:rPr>
                <w:rFonts w:hint="eastAsia" w:ascii="宋体" w:hAnsi="宋体"/>
                <w:b/>
                <w:szCs w:val="21"/>
              </w:rPr>
              <w:t>序号</w:t>
            </w:r>
          </w:p>
        </w:tc>
        <w:tc>
          <w:tcPr>
            <w:tcW w:w="2693"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c>
          <w:tcPr>
            <w:tcW w:w="2552"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（投标人填写</w:t>
            </w:r>
            <w:r>
              <w:rPr>
                <w:rFonts w:ascii="宋体" w:hAnsi="宋体"/>
                <w:b/>
                <w:szCs w:val="21"/>
              </w:rPr>
              <w:t>）</w:t>
            </w:r>
          </w:p>
        </w:tc>
        <w:tc>
          <w:tcPr>
            <w:tcW w:w="2268" w:type="dxa"/>
            <w:vAlign w:val="center"/>
          </w:tcPr>
          <w:p>
            <w:pPr>
              <w:widowControl/>
              <w:jc w:val="center"/>
              <w:rPr>
                <w:rFonts w:ascii="宋体" w:hAnsi="宋体"/>
                <w:b/>
                <w:szCs w:val="21"/>
              </w:rPr>
            </w:pPr>
            <w:r>
              <w:rPr>
                <w:rFonts w:hint="eastAsia" w:ascii="宋体" w:hAnsi="宋体"/>
                <w:b/>
                <w:szCs w:val="21"/>
              </w:rPr>
              <w:t>备注</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21"/>
              <w:widowControl/>
              <w:numPr>
                <w:ilvl w:val="0"/>
                <w:numId w:val="4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含税总报价（元</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1"/>
              <w:widowControl/>
              <w:numPr>
                <w:ilvl w:val="0"/>
                <w:numId w:val="4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服务期</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1"/>
              <w:widowControl/>
              <w:numPr>
                <w:ilvl w:val="0"/>
                <w:numId w:val="4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项目负责人</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1"/>
              <w:widowControl/>
              <w:numPr>
                <w:ilvl w:val="0"/>
                <w:numId w:val="4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投标人备注</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bl>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pStyle w:val="5"/>
      </w:pPr>
    </w:p>
    <w:p>
      <w:pPr>
        <w:pStyle w:val="5"/>
      </w:pPr>
    </w:p>
    <w:p>
      <w:pPr>
        <w:pStyle w:val="5"/>
        <w:widowControl/>
        <w:jc w:val="left"/>
        <w:rPr>
          <w:rFonts w:ascii="仿宋" w:hAnsi="仿宋" w:eastAsia="仿宋"/>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ascii="宋体" w:hAnsi="宋体"/>
          <w:szCs w:val="21"/>
        </w:rPr>
      </w:pPr>
      <w:bookmarkStart w:id="53" w:name="_Toc2707"/>
      <w:r>
        <w:rPr>
          <w:rFonts w:hint="eastAsia" w:ascii="宋体" w:hAnsi="宋体"/>
          <w:szCs w:val="21"/>
        </w:rPr>
        <w:t>附件</w:t>
      </w:r>
      <w:r>
        <w:rPr>
          <w:rFonts w:hint="eastAsia" w:ascii="宋体" w:hAnsi="宋体"/>
          <w:szCs w:val="21"/>
          <w:lang w:val="en-US" w:eastAsia="zh-CN"/>
        </w:rPr>
        <w:t>2</w:t>
      </w:r>
      <w:r>
        <w:rPr>
          <w:rFonts w:hint="eastAsia" w:ascii="宋体" w:hAnsi="宋体"/>
          <w:szCs w:val="21"/>
        </w:rPr>
        <w:t>：考察证明</w:t>
      </w:r>
      <w:r>
        <w:rPr>
          <w:rFonts w:hint="eastAsia" w:ascii="宋体" w:hAnsi="宋体"/>
          <w:color w:val="FF0000"/>
          <w:szCs w:val="21"/>
        </w:rPr>
        <w:t>（本项目不适用）</w:t>
      </w:r>
      <w:bookmarkEnd w:id="53"/>
    </w:p>
    <w:p>
      <w:pPr>
        <w:spacing w:line="0" w:lineRule="atLeast"/>
        <w:outlineLvl w:val="1"/>
        <w:rPr>
          <w:rFonts w:ascii="宋体" w:hAnsi="宋体"/>
          <w:szCs w:val="21"/>
        </w:rPr>
      </w:pP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2020年*月21日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p>
    <w:p>
      <w:pPr>
        <w:spacing w:line="0" w:lineRule="atLeast"/>
        <w:outlineLvl w:val="1"/>
        <w:rPr>
          <w:rFonts w:ascii="宋体" w:hAnsi="宋体"/>
          <w:szCs w:val="21"/>
        </w:rPr>
      </w:pPr>
      <w:bookmarkStart w:id="54" w:name="_Toc29535"/>
      <w:r>
        <w:rPr>
          <w:rFonts w:hint="eastAsia" w:ascii="宋体" w:hAnsi="宋体"/>
          <w:szCs w:val="21"/>
        </w:rPr>
        <w:t>附件</w:t>
      </w:r>
      <w:r>
        <w:rPr>
          <w:rFonts w:hint="eastAsia" w:ascii="宋体" w:hAnsi="宋体"/>
          <w:szCs w:val="21"/>
          <w:lang w:val="en-US" w:eastAsia="zh-CN"/>
        </w:rPr>
        <w:t>3</w:t>
      </w:r>
      <w:r>
        <w:rPr>
          <w:rFonts w:hint="eastAsia" w:ascii="宋体" w:hAnsi="宋体"/>
          <w:szCs w:val="21"/>
        </w:rPr>
        <w:t>：技术服务响应/偏离表</w:t>
      </w:r>
      <w:bookmarkEnd w:id="54"/>
    </w:p>
    <w:p>
      <w:pPr>
        <w:spacing w:before="120" w:after="240"/>
        <w:jc w:val="center"/>
        <w:rPr>
          <w:rFonts w:ascii="方正小标宋_GBK" w:hAnsi="方正小标宋_GBK" w:eastAsia="方正小标宋_GBK"/>
          <w:b/>
          <w:sz w:val="32"/>
          <w:szCs w:val="32"/>
        </w:rPr>
      </w:pPr>
      <w:bookmarkStart w:id="55" w:name="_Toc211248418"/>
      <w:r>
        <w:rPr>
          <w:rFonts w:hint="eastAsia" w:ascii="方正小标宋_GBK" w:hAnsi="方正小标宋_GBK" w:eastAsia="方正小标宋_GBK"/>
          <w:b/>
          <w:sz w:val="32"/>
          <w:szCs w:val="32"/>
        </w:rPr>
        <w:t>技术服务响应/偏离表</w:t>
      </w:r>
      <w:bookmarkEnd w:id="55"/>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sz w:val="24"/>
        </w:rPr>
      </w:pPr>
      <w:r>
        <w:rPr>
          <w:rFonts w:hint="eastAsia" w:ascii="仿宋" w:hAnsi="仿宋" w:eastAsia="仿宋"/>
          <w:sz w:val="24"/>
        </w:rPr>
        <w:t>填报说明：</w:t>
      </w:r>
    </w:p>
    <w:p>
      <w:pPr>
        <w:spacing w:line="400" w:lineRule="exact"/>
        <w:ind w:left="9" w:firstLine="417"/>
        <w:rPr>
          <w:rFonts w:ascii="仿宋" w:hAnsi="仿宋" w:eastAsia="仿宋"/>
          <w:sz w:val="24"/>
        </w:rPr>
      </w:pPr>
      <w:r>
        <w:rPr>
          <w:rFonts w:hint="eastAsia" w:ascii="仿宋" w:hAnsi="仿宋" w:eastAsia="仿宋"/>
          <w:sz w:val="24"/>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4"/>
        </w:rPr>
      </w:pPr>
      <w:r>
        <w:rPr>
          <w:rFonts w:hint="eastAsia" w:ascii="仿宋" w:hAnsi="仿宋" w:eastAsia="仿宋"/>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4"/>
        </w:rPr>
      </w:pPr>
      <w:r>
        <w:rPr>
          <w:rFonts w:hint="eastAsia" w:ascii="仿宋" w:hAnsi="仿宋" w:eastAsia="仿宋"/>
          <w:sz w:val="24"/>
        </w:rPr>
        <w:t>3.《有/无偏离》栏只需填“有”或“无”。</w:t>
      </w:r>
      <w:r>
        <w:rPr>
          <w:rFonts w:ascii="仿宋" w:hAnsi="仿宋" w:eastAsia="仿宋"/>
          <w:color w:val="FF0000"/>
          <w:sz w:val="24"/>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4"/>
        </w:rPr>
        <w:t>投标</w:t>
      </w:r>
      <w:r>
        <w:rPr>
          <w:rFonts w:ascii="仿宋" w:hAnsi="仿宋" w:eastAsia="仿宋"/>
          <w:color w:val="FF0000"/>
          <w:sz w:val="24"/>
        </w:rPr>
        <w:t>文件不能通过符合性检查。</w:t>
      </w:r>
    </w:p>
    <w:p>
      <w:pPr>
        <w:spacing w:line="360" w:lineRule="auto"/>
        <w:rPr>
          <w:rFonts w:ascii="仿宋" w:hAnsi="仿宋" w:eastAsia="仿宋"/>
          <w:sz w:val="28"/>
          <w:szCs w:val="28"/>
        </w:rPr>
      </w:pPr>
      <w:bookmarkStart w:id="56"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56"/>
      <w:bookmarkStart w:id="57" w:name="_Toc246480945"/>
      <w:bookmarkStart w:id="58" w:name="_Toc236803114"/>
      <w:r>
        <w:rPr>
          <w:rFonts w:ascii="仿宋" w:hAnsi="仿宋" w:eastAsia="仿宋"/>
          <w:sz w:val="28"/>
          <w:szCs w:val="28"/>
        </w:rPr>
        <w:br w:type="page"/>
      </w:r>
    </w:p>
    <w:p>
      <w:pPr>
        <w:spacing w:line="0" w:lineRule="atLeast"/>
        <w:outlineLvl w:val="1"/>
        <w:rPr>
          <w:rFonts w:ascii="宋体" w:hAnsi="宋体"/>
          <w:szCs w:val="21"/>
        </w:rPr>
      </w:pPr>
      <w:bookmarkStart w:id="59" w:name="_Toc26103"/>
      <w:r>
        <w:rPr>
          <w:rFonts w:hint="eastAsia" w:ascii="宋体" w:hAnsi="宋体"/>
          <w:szCs w:val="21"/>
        </w:rPr>
        <w:t>附件</w:t>
      </w:r>
      <w:r>
        <w:rPr>
          <w:rFonts w:hint="eastAsia" w:ascii="宋体" w:hAnsi="宋体"/>
          <w:szCs w:val="21"/>
          <w:lang w:val="en-US" w:eastAsia="zh-CN"/>
        </w:rPr>
        <w:t>4</w:t>
      </w:r>
      <w:r>
        <w:rPr>
          <w:rFonts w:hint="eastAsia" w:ascii="宋体" w:hAnsi="宋体"/>
          <w:szCs w:val="21"/>
        </w:rPr>
        <w:t>：商务条款响应/偏离表</w:t>
      </w:r>
      <w:bookmarkEnd w:id="57"/>
      <w:bookmarkEnd w:id="58"/>
      <w:bookmarkEnd w:id="5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0" w:name="_Toc211248420"/>
      <w:r>
        <w:rPr>
          <w:rFonts w:hint="eastAsia" w:ascii="方正小标宋_GBK" w:hAnsi="方正小标宋_GBK" w:eastAsia="方正小标宋_GBK"/>
          <w:b/>
          <w:sz w:val="32"/>
          <w:szCs w:val="32"/>
        </w:rPr>
        <w:t>商务条款响应/偏离表</w:t>
      </w:r>
      <w:bookmarkEnd w:id="60"/>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sz w:val="24"/>
        </w:rPr>
      </w:pPr>
      <w:r>
        <w:rPr>
          <w:rFonts w:hint="eastAsia" w:ascii="仿宋" w:hAnsi="仿宋" w:eastAsia="仿宋"/>
          <w:sz w:val="24"/>
        </w:rPr>
        <w:t>填报说明：</w:t>
      </w:r>
    </w:p>
    <w:p>
      <w:pPr>
        <w:spacing w:line="400" w:lineRule="exact"/>
        <w:ind w:left="709" w:hanging="283"/>
        <w:rPr>
          <w:rFonts w:ascii="仿宋" w:hAnsi="仿宋" w:eastAsia="仿宋"/>
          <w:sz w:val="24"/>
        </w:rPr>
      </w:pPr>
      <w:r>
        <w:rPr>
          <w:rFonts w:hint="eastAsia" w:ascii="仿宋" w:hAnsi="仿宋" w:eastAsia="仿宋"/>
          <w:sz w:val="24"/>
        </w:rPr>
        <w:t>1.本表中的《招标文件商务要求》来自于招标文件的《项目要求及数量》中的“商务要求”，投标人须逐条填写在本表中，并对《投标人响应》下的三栏要求作出响应。</w:t>
      </w:r>
    </w:p>
    <w:p>
      <w:pPr>
        <w:spacing w:line="400" w:lineRule="exact"/>
        <w:ind w:left="709" w:hanging="283"/>
        <w:rPr>
          <w:rFonts w:ascii="仿宋" w:hAnsi="仿宋" w:eastAsia="仿宋"/>
          <w:sz w:val="24"/>
        </w:rPr>
      </w:pPr>
      <w:r>
        <w:rPr>
          <w:rFonts w:hint="eastAsia" w:ascii="仿宋" w:hAnsi="仿宋" w:eastAsia="仿宋"/>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4"/>
        </w:rPr>
      </w:pPr>
      <w:r>
        <w:rPr>
          <w:rFonts w:hint="eastAsia" w:ascii="仿宋" w:hAnsi="仿宋" w:eastAsia="仿宋"/>
          <w:sz w:val="24"/>
        </w:rPr>
        <w:t>3.《有/无偏离》栏只需填“有”或“无”，</w:t>
      </w:r>
      <w:r>
        <w:rPr>
          <w:rFonts w:ascii="仿宋" w:hAnsi="仿宋" w:eastAsia="仿宋"/>
          <w:color w:val="FF0000"/>
          <w:sz w:val="24"/>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4"/>
        </w:rPr>
        <w:t>投标</w:t>
      </w:r>
      <w:r>
        <w:rPr>
          <w:rFonts w:ascii="仿宋" w:hAnsi="仿宋" w:eastAsia="仿宋"/>
          <w:color w:val="FF0000"/>
          <w:sz w:val="24"/>
        </w:rPr>
        <w:t>文件不能通过符合性检查。</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1" w:name="_Toc236803111"/>
      <w:bookmarkStart w:id="62" w:name="_Toc478387764"/>
      <w:bookmarkStart w:id="63" w:name="_Toc395883088"/>
      <w:r>
        <w:rPr>
          <w:rFonts w:ascii="仿宋" w:hAnsi="仿宋" w:eastAsia="仿宋"/>
          <w:sz w:val="28"/>
          <w:szCs w:val="28"/>
        </w:rPr>
        <w:br w:type="page"/>
      </w:r>
    </w:p>
    <w:p>
      <w:pPr>
        <w:spacing w:line="0" w:lineRule="atLeast"/>
        <w:outlineLvl w:val="1"/>
        <w:rPr>
          <w:rFonts w:ascii="宋体" w:hAnsi="宋体"/>
          <w:szCs w:val="21"/>
        </w:rPr>
      </w:pPr>
      <w:bookmarkStart w:id="64" w:name="_Toc18475"/>
      <w:r>
        <w:rPr>
          <w:rFonts w:hint="eastAsia" w:ascii="宋体" w:hAnsi="宋体"/>
          <w:szCs w:val="21"/>
        </w:rPr>
        <w:t>附件</w:t>
      </w:r>
      <w:r>
        <w:rPr>
          <w:rFonts w:hint="eastAsia" w:ascii="宋体" w:hAnsi="宋体"/>
          <w:szCs w:val="21"/>
          <w:lang w:val="en-US" w:eastAsia="zh-CN"/>
        </w:rPr>
        <w:t>5</w:t>
      </w:r>
      <w:r>
        <w:rPr>
          <w:rFonts w:hint="eastAsia" w:ascii="宋体" w:hAnsi="宋体"/>
          <w:szCs w:val="21"/>
        </w:rPr>
        <w:t>：报价一览表（货物）</w:t>
      </w:r>
      <w:r>
        <w:rPr>
          <w:rFonts w:hint="eastAsia" w:ascii="宋体" w:hAnsi="宋体"/>
          <w:color w:val="FF0000"/>
          <w:szCs w:val="21"/>
        </w:rPr>
        <w:t>（本项目不适用）</w:t>
      </w:r>
      <w:bookmarkEnd w:id="64"/>
    </w:p>
    <w:bookmarkEnd w:id="61"/>
    <w:bookmarkEnd w:id="62"/>
    <w:bookmarkEnd w:id="63"/>
    <w:p>
      <w:pPr>
        <w:spacing w:before="120" w:after="240"/>
        <w:jc w:val="center"/>
        <w:rPr>
          <w:rFonts w:ascii="宋体" w:hAnsi="宋体"/>
          <w:b/>
          <w:sz w:val="32"/>
          <w:szCs w:val="32"/>
        </w:rPr>
      </w:pPr>
      <w:bookmarkStart w:id="65" w:name="_Toc211248412"/>
      <w:r>
        <w:rPr>
          <w:rFonts w:hint="eastAsia" w:ascii="方正小标宋_GBK" w:hAnsi="方正小标宋_GBK" w:eastAsia="方正小标宋_GBK"/>
          <w:b/>
          <w:sz w:val="32"/>
          <w:szCs w:val="32"/>
        </w:rPr>
        <w:t>报价一览表</w:t>
      </w:r>
      <w:bookmarkEnd w:id="65"/>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4"/>
        </w:rPr>
      </w:pPr>
      <w:r>
        <w:rPr>
          <w:rFonts w:hint="eastAsia" w:ascii="仿宋" w:hAnsi="仿宋" w:eastAsia="仿宋"/>
          <w:sz w:val="24"/>
        </w:rPr>
        <w:t>注：</w:t>
      </w:r>
    </w:p>
    <w:p>
      <w:pPr>
        <w:pStyle w:val="21"/>
        <w:numPr>
          <w:ilvl w:val="1"/>
          <w:numId w:val="46"/>
        </w:numPr>
        <w:spacing w:line="400" w:lineRule="exact"/>
        <w:ind w:left="709" w:hanging="283" w:firstLineChars="0"/>
        <w:rPr>
          <w:rFonts w:ascii="仿宋" w:hAnsi="仿宋" w:eastAsia="仿宋"/>
          <w:sz w:val="24"/>
        </w:rPr>
      </w:pPr>
      <w:r>
        <w:rPr>
          <w:rFonts w:hint="eastAsia" w:ascii="仿宋" w:hAnsi="仿宋" w:eastAsia="仿宋"/>
          <w:sz w:val="24"/>
        </w:rPr>
        <w:t>投标人如果需要对报价或其它内容加以说明，可在备注一栏中填写。</w:t>
      </w:r>
    </w:p>
    <w:p>
      <w:pPr>
        <w:pStyle w:val="21"/>
        <w:numPr>
          <w:ilvl w:val="1"/>
          <w:numId w:val="46"/>
        </w:numPr>
        <w:spacing w:line="400" w:lineRule="exact"/>
        <w:ind w:left="709" w:hanging="283" w:firstLineChars="0"/>
        <w:rPr>
          <w:rFonts w:ascii="仿宋" w:hAnsi="仿宋" w:eastAsia="仿宋"/>
          <w:bCs/>
          <w:sz w:val="24"/>
        </w:rPr>
      </w:pPr>
      <w:r>
        <w:rPr>
          <w:rFonts w:hint="eastAsia" w:ascii="仿宋" w:hAnsi="仿宋" w:eastAsia="仿宋"/>
          <w:sz w:val="24"/>
        </w:rPr>
        <w:t>投标人</w:t>
      </w:r>
      <w:r>
        <w:rPr>
          <w:rFonts w:hint="eastAsia" w:ascii="仿宋" w:hAnsi="仿宋" w:eastAsia="仿宋"/>
          <w:bCs/>
          <w:sz w:val="24"/>
        </w:rPr>
        <w:t>使用本表或自由报价单格式报价均可，但应能清晰体现总报价及分项报价信息。</w:t>
      </w:r>
    </w:p>
    <w:p>
      <w:pPr>
        <w:pStyle w:val="21"/>
        <w:numPr>
          <w:ilvl w:val="1"/>
          <w:numId w:val="46"/>
        </w:numPr>
        <w:spacing w:line="400" w:lineRule="exact"/>
        <w:ind w:left="709" w:hanging="283" w:firstLineChars="0"/>
        <w:rPr>
          <w:rFonts w:ascii="仿宋" w:hAnsi="仿宋" w:eastAsia="仿宋"/>
          <w:bCs/>
          <w:sz w:val="24"/>
        </w:rPr>
      </w:pPr>
      <w:r>
        <w:rPr>
          <w:rFonts w:hint="eastAsia" w:ascii="仿宋" w:hAnsi="仿宋" w:eastAsia="仿宋"/>
          <w:bCs/>
          <w:sz w:val="24"/>
        </w:rPr>
        <w:t>如果分项报价与总价不一致，以总价为准。</w:t>
      </w:r>
    </w:p>
    <w:p>
      <w:pPr>
        <w:pStyle w:val="21"/>
        <w:numPr>
          <w:ilvl w:val="1"/>
          <w:numId w:val="46"/>
        </w:numPr>
        <w:spacing w:line="400" w:lineRule="exact"/>
        <w:ind w:left="709" w:hanging="283" w:firstLineChars="0"/>
        <w:rPr>
          <w:rFonts w:ascii="仿宋" w:hAnsi="仿宋" w:eastAsia="仿宋"/>
          <w:bCs/>
          <w:sz w:val="24"/>
        </w:rPr>
      </w:pPr>
      <w:r>
        <w:rPr>
          <w:rFonts w:hint="eastAsia" w:ascii="仿宋" w:hAnsi="仿宋" w:eastAsia="仿宋"/>
          <w:bCs/>
          <w:sz w:val="24"/>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66" w:name="_Toc82359026"/>
      <w:bookmarkStart w:id="67"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66"/>
    <w:bookmarkEnd w:id="67"/>
    <w:p>
      <w:pPr>
        <w:spacing w:line="0" w:lineRule="atLeast"/>
        <w:outlineLvl w:val="1"/>
        <w:rPr>
          <w:rFonts w:ascii="宋体" w:hAnsi="宋体"/>
          <w:szCs w:val="21"/>
        </w:rPr>
      </w:pPr>
      <w:bookmarkStart w:id="68" w:name="_Toc28870"/>
      <w:r>
        <w:rPr>
          <w:rFonts w:hint="eastAsia" w:ascii="宋体" w:hAnsi="宋体"/>
          <w:szCs w:val="21"/>
        </w:rPr>
        <w:t>附件</w:t>
      </w:r>
      <w:r>
        <w:rPr>
          <w:rFonts w:hint="eastAsia" w:ascii="宋体" w:hAnsi="宋体"/>
          <w:szCs w:val="21"/>
          <w:lang w:val="en-US" w:eastAsia="zh-CN"/>
        </w:rPr>
        <w:t>6</w:t>
      </w:r>
      <w:r>
        <w:rPr>
          <w:rFonts w:hint="eastAsia" w:ascii="宋体" w:hAnsi="宋体"/>
          <w:szCs w:val="21"/>
        </w:rPr>
        <w:t>：报价一览表（服务）</w:t>
      </w:r>
      <w:bookmarkEnd w:id="68"/>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6    </w:t>
      </w:r>
      <w:r>
        <w:rPr>
          <w:rFonts w:hint="eastAsia" w:ascii="仿宋" w:hAnsi="仿宋" w:eastAsia="仿宋"/>
          <w:sz w:val="28"/>
          <w:szCs w:val="28"/>
        </w:rPr>
        <w:t xml:space="preserve">%          单位：元 </w:t>
      </w:r>
    </w:p>
    <w:tbl>
      <w:tblPr>
        <w:tblStyle w:val="15"/>
        <w:tblpPr w:leftFromText="180" w:rightFromText="180" w:vertAnchor="text" w:horzAnchor="page" w:tblpX="1337" w:tblpY="475"/>
        <w:tblOverlap w:val="never"/>
        <w:tblW w:w="10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5"/>
        <w:gridCol w:w="1560"/>
        <w:gridCol w:w="1701"/>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6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bookmarkStart w:id="69" w:name="_Toc93411369"/>
            <w:bookmarkStart w:id="70" w:name="_Toc93411193"/>
            <w:bookmarkStart w:id="71" w:name="_Toc20928"/>
            <w:r>
              <w:rPr>
                <w:rFonts w:hint="eastAsia" w:ascii="宋体" w:hAnsi="宋体"/>
                <w:b/>
                <w:szCs w:val="21"/>
              </w:rPr>
              <w:t>序号</w:t>
            </w:r>
            <w:bookmarkEnd w:id="69"/>
            <w:bookmarkEnd w:id="70"/>
            <w:bookmarkEnd w:id="71"/>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bookmarkStart w:id="72" w:name="_Toc1315"/>
            <w:bookmarkStart w:id="73" w:name="_Toc40707663"/>
            <w:bookmarkStart w:id="74" w:name="_Toc93411194"/>
            <w:bookmarkStart w:id="75" w:name="_Toc93411370"/>
            <w:bookmarkStart w:id="76" w:name="_Toc40378896"/>
            <w:bookmarkStart w:id="77" w:name="_Toc40449648"/>
            <w:r>
              <w:rPr>
                <w:rFonts w:hint="eastAsia" w:ascii="宋体" w:hAnsi="宋体"/>
                <w:b/>
                <w:szCs w:val="21"/>
              </w:rPr>
              <w:t>项目名称</w:t>
            </w:r>
            <w:bookmarkEnd w:id="72"/>
            <w:bookmarkEnd w:id="73"/>
            <w:bookmarkEnd w:id="74"/>
            <w:bookmarkEnd w:id="75"/>
            <w:bookmarkEnd w:id="76"/>
            <w:bookmarkEnd w:id="77"/>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outlineLvl w:val="1"/>
              <w:rPr>
                <w:rFonts w:ascii="宋体" w:hAnsi="宋体"/>
                <w:b/>
                <w:szCs w:val="21"/>
              </w:rPr>
            </w:pPr>
            <w:bookmarkStart w:id="78" w:name="_Toc93411371"/>
            <w:bookmarkStart w:id="79" w:name="_Toc40378897"/>
            <w:bookmarkStart w:id="80" w:name="_Toc40707664"/>
            <w:bookmarkStart w:id="81" w:name="_Toc40449649"/>
            <w:bookmarkStart w:id="82" w:name="_Toc93411195"/>
            <w:bookmarkStart w:id="83" w:name="_Toc29685"/>
            <w:r>
              <w:rPr>
                <w:rFonts w:hint="eastAsia" w:ascii="宋体" w:hAnsi="宋体"/>
                <w:b/>
                <w:szCs w:val="21"/>
                <w:lang w:val="zh-CN"/>
              </w:rPr>
              <w:t>报价（净价）</w:t>
            </w:r>
            <w:bookmarkEnd w:id="78"/>
            <w:bookmarkEnd w:id="79"/>
            <w:bookmarkEnd w:id="80"/>
            <w:bookmarkEnd w:id="81"/>
            <w:bookmarkEnd w:id="82"/>
            <w:bookmarkEnd w:id="83"/>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bookmarkStart w:id="84" w:name="_Toc40378900"/>
            <w:bookmarkStart w:id="85" w:name="_Toc40449651"/>
            <w:bookmarkStart w:id="86" w:name="_Toc93411196"/>
            <w:bookmarkStart w:id="87" w:name="_Toc10435"/>
            <w:bookmarkStart w:id="88" w:name="_Toc93411372"/>
            <w:bookmarkStart w:id="89" w:name="_Toc40707666"/>
            <w:r>
              <w:rPr>
                <w:rFonts w:hint="eastAsia" w:ascii="宋体" w:hAnsi="宋体"/>
                <w:b/>
                <w:szCs w:val="21"/>
              </w:rPr>
              <w:t>税额</w:t>
            </w:r>
            <w:bookmarkEnd w:id="84"/>
            <w:bookmarkEnd w:id="85"/>
            <w:bookmarkEnd w:id="86"/>
            <w:bookmarkEnd w:id="87"/>
            <w:bookmarkEnd w:id="88"/>
            <w:bookmarkEnd w:id="89"/>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bookmarkStart w:id="90" w:name="_Toc40707667"/>
            <w:bookmarkStart w:id="91" w:name="_Toc29180"/>
            <w:bookmarkStart w:id="92" w:name="_Toc40378901"/>
            <w:bookmarkStart w:id="93" w:name="_Toc93411197"/>
            <w:bookmarkStart w:id="94" w:name="_Toc93411373"/>
            <w:bookmarkStart w:id="95" w:name="_Toc40449652"/>
            <w:r>
              <w:rPr>
                <w:rFonts w:hint="eastAsia" w:ascii="宋体" w:hAnsi="宋体"/>
                <w:b/>
                <w:szCs w:val="21"/>
              </w:rPr>
              <w:t>含税金额总计</w:t>
            </w:r>
            <w:bookmarkEnd w:id="90"/>
            <w:bookmarkEnd w:id="91"/>
            <w:bookmarkEnd w:id="92"/>
            <w:bookmarkEnd w:id="93"/>
            <w:bookmarkEnd w:id="94"/>
            <w:bookmarkEnd w:id="95"/>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bookmarkStart w:id="96" w:name="_Toc40449653"/>
            <w:bookmarkStart w:id="97" w:name="_Toc40378902"/>
            <w:bookmarkStart w:id="98" w:name="_Toc40707668"/>
            <w:bookmarkStart w:id="99" w:name="_Toc23831"/>
            <w:bookmarkStart w:id="100" w:name="_Toc93411198"/>
            <w:bookmarkStart w:id="101" w:name="_Toc93411374"/>
            <w:r>
              <w:rPr>
                <w:rFonts w:hint="eastAsia" w:ascii="宋体" w:hAnsi="宋体"/>
                <w:b/>
                <w:szCs w:val="21"/>
              </w:rPr>
              <w:t>服务期</w:t>
            </w:r>
            <w:bookmarkEnd w:id="96"/>
            <w:bookmarkEnd w:id="97"/>
            <w:bookmarkEnd w:id="98"/>
            <w:bookmarkEnd w:id="99"/>
            <w:bookmarkEnd w:id="100"/>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6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bookmarkStart w:id="102" w:name="_Toc93411199"/>
            <w:bookmarkStart w:id="103" w:name="_Toc3686"/>
            <w:bookmarkStart w:id="104" w:name="_Toc93411375"/>
            <w:r>
              <w:rPr>
                <w:rFonts w:hint="eastAsia" w:ascii="宋体" w:hAnsi="宋体"/>
                <w:szCs w:val="21"/>
              </w:rPr>
              <w:t>1</w:t>
            </w:r>
            <w:bookmarkEnd w:id="102"/>
            <w:bookmarkEnd w:id="103"/>
            <w:bookmarkEnd w:id="104"/>
          </w:p>
        </w:tc>
        <w:tc>
          <w:tcPr>
            <w:tcW w:w="2835"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6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bookmarkStart w:id="105" w:name="_Toc93411376"/>
            <w:bookmarkStart w:id="106" w:name="_Toc93411200"/>
            <w:bookmarkStart w:id="107" w:name="_Toc3525"/>
            <w:r>
              <w:rPr>
                <w:rFonts w:hint="eastAsia" w:ascii="宋体" w:hAnsi="宋体"/>
                <w:szCs w:val="21"/>
              </w:rPr>
              <w:t>2</w:t>
            </w:r>
            <w:bookmarkEnd w:id="105"/>
            <w:bookmarkEnd w:id="106"/>
            <w:bookmarkEnd w:id="107"/>
          </w:p>
        </w:tc>
        <w:tc>
          <w:tcPr>
            <w:tcW w:w="2835"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6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bookmarkStart w:id="108" w:name="_Toc93411377"/>
            <w:bookmarkStart w:id="109" w:name="_Toc21554"/>
            <w:bookmarkStart w:id="110" w:name="_Toc93411201"/>
            <w:r>
              <w:rPr>
                <w:rFonts w:hint="eastAsia" w:ascii="宋体" w:hAnsi="宋体"/>
                <w:szCs w:val="21"/>
              </w:rPr>
              <w:t>3</w:t>
            </w:r>
            <w:bookmarkEnd w:id="108"/>
            <w:bookmarkEnd w:id="109"/>
            <w:bookmarkEnd w:id="110"/>
          </w:p>
        </w:tc>
        <w:tc>
          <w:tcPr>
            <w:tcW w:w="2835"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6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bookmarkStart w:id="111" w:name="_Toc93411202"/>
            <w:bookmarkStart w:id="112" w:name="_Toc93411378"/>
            <w:bookmarkStart w:id="113" w:name="_Toc30719"/>
            <w:r>
              <w:rPr>
                <w:rFonts w:hint="eastAsia" w:ascii="宋体" w:hAnsi="宋体"/>
                <w:szCs w:val="21"/>
              </w:rPr>
              <w:t>4</w:t>
            </w:r>
            <w:bookmarkEnd w:id="111"/>
            <w:bookmarkEnd w:id="112"/>
            <w:bookmarkEnd w:id="113"/>
          </w:p>
        </w:tc>
        <w:tc>
          <w:tcPr>
            <w:tcW w:w="2835"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6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6096" w:type="dxa"/>
            <w:gridSpan w:val="3"/>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b/>
                <w:color w:val="FF0000"/>
                <w:szCs w:val="21"/>
              </w:rPr>
            </w:pPr>
            <w:bookmarkStart w:id="114" w:name="_Toc6476"/>
            <w:bookmarkStart w:id="115" w:name="_Toc93411203"/>
            <w:bookmarkStart w:id="116" w:name="_Toc93411379"/>
            <w:r>
              <w:rPr>
                <w:rFonts w:hint="eastAsia" w:ascii="宋体" w:hAnsi="宋体"/>
                <w:b/>
                <w:color w:val="FF0000"/>
                <w:szCs w:val="21"/>
              </w:rPr>
              <w:t>合计金额：</w:t>
            </w:r>
            <w:bookmarkEnd w:id="114"/>
            <w:bookmarkEnd w:id="115"/>
            <w:bookmarkEnd w:id="116"/>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spacing w:line="400" w:lineRule="exact"/>
        <w:rPr>
          <w:rFonts w:ascii="仿宋" w:hAnsi="仿宋" w:eastAsia="仿宋"/>
          <w:bCs/>
          <w:color w:val="FF0000"/>
          <w:sz w:val="30"/>
          <w:szCs w:val="30"/>
          <w:u w:val="single"/>
        </w:rPr>
      </w:pPr>
      <w:r>
        <w:rPr>
          <w:rFonts w:hint="eastAsia" w:ascii="仿宋" w:hAnsi="仿宋" w:eastAsia="仿宋"/>
          <w:color w:val="FF0000"/>
          <w:sz w:val="30"/>
          <w:szCs w:val="30"/>
        </w:rPr>
        <w:t>注：</w:t>
      </w:r>
      <w:r>
        <w:rPr>
          <w:rFonts w:hint="eastAsia" w:ascii="仿宋" w:hAnsi="仿宋" w:eastAsia="仿宋"/>
          <w:bCs/>
          <w:color w:val="FF0000"/>
          <w:sz w:val="30"/>
          <w:szCs w:val="30"/>
        </w:rPr>
        <w:t>如果分项报价与总价不一致，以总价为准。</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117" w:name="_Toc31094"/>
      <w:r>
        <w:rPr>
          <w:rFonts w:hint="eastAsia" w:ascii="宋体" w:hAnsi="宋体"/>
          <w:szCs w:val="21"/>
        </w:rPr>
        <w:t>附件</w:t>
      </w:r>
      <w:r>
        <w:rPr>
          <w:rFonts w:hint="eastAsia" w:ascii="宋体" w:hAnsi="宋体"/>
          <w:szCs w:val="21"/>
          <w:lang w:val="en-US" w:eastAsia="zh-CN"/>
        </w:rPr>
        <w:t>7</w:t>
      </w:r>
      <w:r>
        <w:rPr>
          <w:rFonts w:hint="eastAsia" w:ascii="宋体" w:hAnsi="宋体"/>
          <w:szCs w:val="21"/>
        </w:rPr>
        <w:t>：报价一览表（工程）</w:t>
      </w:r>
      <w:r>
        <w:rPr>
          <w:rFonts w:hint="eastAsia" w:ascii="宋体" w:hAnsi="宋体"/>
          <w:color w:val="FF0000"/>
          <w:szCs w:val="21"/>
        </w:rPr>
        <w:t>（本项目不适用）</w:t>
      </w:r>
      <w:bookmarkEnd w:id="117"/>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1"/>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1"/>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1"/>
        <w:numPr>
          <w:ilvl w:val="1"/>
          <w:numId w:val="4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1"/>
        <w:numPr>
          <w:ilvl w:val="1"/>
          <w:numId w:val="4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118" w:name="_Toc3636"/>
      <w:r>
        <w:rPr>
          <w:rFonts w:hint="eastAsia" w:ascii="宋体" w:hAnsi="宋体"/>
          <w:szCs w:val="21"/>
        </w:rPr>
        <w:t>附件</w:t>
      </w:r>
      <w:r>
        <w:rPr>
          <w:rFonts w:hint="eastAsia" w:ascii="宋体" w:hAnsi="宋体"/>
          <w:szCs w:val="21"/>
          <w:lang w:val="en-US" w:eastAsia="zh-CN"/>
        </w:rPr>
        <w:t>8</w:t>
      </w:r>
      <w:r>
        <w:rPr>
          <w:rFonts w:hint="eastAsia" w:ascii="宋体" w:hAnsi="宋体"/>
          <w:szCs w:val="21"/>
        </w:rPr>
        <w:t>：法定代表人证明书</w:t>
      </w:r>
      <w:bookmarkEnd w:id="118"/>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59264;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1027" o:spt="202" type="#_x0000_t202" style="position:absolute;left:0pt;margin-left:-7.5pt;margin-top:20.15pt;height:126.75pt;width:201.25pt;z-index:251660288;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119" w:name="_Toc27641"/>
      <w:r>
        <w:rPr>
          <w:rFonts w:hint="eastAsia" w:ascii="宋体" w:hAnsi="宋体"/>
          <w:szCs w:val="21"/>
        </w:rPr>
        <w:t>附件</w:t>
      </w:r>
      <w:r>
        <w:rPr>
          <w:rFonts w:hint="eastAsia" w:ascii="宋体" w:hAnsi="宋体"/>
          <w:szCs w:val="21"/>
          <w:lang w:val="en-US" w:eastAsia="zh-CN"/>
        </w:rPr>
        <w:t>9</w:t>
      </w:r>
      <w:r>
        <w:rPr>
          <w:rFonts w:hint="eastAsia" w:ascii="宋体" w:hAnsi="宋体"/>
          <w:szCs w:val="21"/>
        </w:rPr>
        <w:t>：法人授权委托证明书</w:t>
      </w:r>
      <w:bookmarkEnd w:id="11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120" w:name="_Toc2973"/>
      <w:r>
        <w:rPr>
          <w:rFonts w:hint="eastAsia" w:ascii="宋体" w:hAnsi="宋体"/>
          <w:szCs w:val="21"/>
        </w:rPr>
        <w:t>附件</w:t>
      </w:r>
      <w:r>
        <w:rPr>
          <w:rFonts w:ascii="宋体" w:hAnsi="宋体"/>
          <w:szCs w:val="21"/>
        </w:rPr>
        <w:t>1</w:t>
      </w:r>
      <w:r>
        <w:rPr>
          <w:rFonts w:hint="eastAsia" w:ascii="宋体" w:hAnsi="宋体"/>
          <w:szCs w:val="21"/>
          <w:lang w:val="en-US" w:eastAsia="zh-CN"/>
        </w:rPr>
        <w:t>0</w:t>
      </w:r>
      <w:r>
        <w:rPr>
          <w:rFonts w:hint="eastAsia" w:ascii="宋体" w:hAnsi="宋体"/>
          <w:szCs w:val="21"/>
        </w:rPr>
        <w:t>：经营业绩一览表</w:t>
      </w:r>
      <w:bookmarkEnd w:id="120"/>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7718" w:type="dxa"/>
        <w:jc w:val="center"/>
        <w:tblLayout w:type="fixed"/>
        <w:tblCellMar>
          <w:top w:w="0" w:type="dxa"/>
          <w:left w:w="54" w:type="dxa"/>
          <w:bottom w:w="0" w:type="dxa"/>
          <w:right w:w="54" w:type="dxa"/>
        </w:tblCellMar>
      </w:tblPr>
      <w:tblGrid>
        <w:gridCol w:w="906"/>
        <w:gridCol w:w="1928"/>
        <w:gridCol w:w="3600"/>
        <w:gridCol w:w="1284"/>
      </w:tblGrid>
      <w:tr>
        <w:tblPrEx>
          <w:tblCellMar>
            <w:top w:w="0" w:type="dxa"/>
            <w:left w:w="54" w:type="dxa"/>
            <w:bottom w:w="0" w:type="dxa"/>
            <w:right w:w="54" w:type="dxa"/>
          </w:tblCellMar>
        </w:tblPrEx>
        <w:trPr>
          <w:cantSplit/>
          <w:trHeight w:val="562" w:hRule="atLeast"/>
          <w:jc w:val="center"/>
        </w:trPr>
        <w:tc>
          <w:tcPr>
            <w:tcW w:w="90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928"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3600"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128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客户名称</w:t>
            </w: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928"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3600"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928"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3600"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928"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3600"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928"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3600"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928"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3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pStyle w:val="12"/>
      </w:pPr>
    </w:p>
    <w:p>
      <w:pPr>
        <w:spacing w:line="0" w:lineRule="atLeast"/>
        <w:outlineLvl w:val="1"/>
        <w:rPr>
          <w:rFonts w:ascii="宋体" w:hAnsi="宋体"/>
          <w:szCs w:val="21"/>
        </w:rPr>
      </w:pPr>
      <w:bookmarkStart w:id="121" w:name="_Toc6917"/>
      <w:r>
        <w:rPr>
          <w:rFonts w:hint="eastAsia" w:ascii="宋体" w:hAnsi="宋体"/>
          <w:szCs w:val="21"/>
        </w:rPr>
        <w:t>附件</w:t>
      </w:r>
      <w:r>
        <w:rPr>
          <w:rFonts w:ascii="宋体" w:hAnsi="宋体"/>
          <w:szCs w:val="21"/>
        </w:rPr>
        <w:t>1</w:t>
      </w:r>
      <w:r>
        <w:rPr>
          <w:rFonts w:hint="eastAsia" w:ascii="宋体" w:hAnsi="宋体"/>
          <w:szCs w:val="21"/>
          <w:lang w:val="en-US" w:eastAsia="zh-CN"/>
        </w:rPr>
        <w:t>1</w:t>
      </w:r>
      <w:r>
        <w:rPr>
          <w:rFonts w:hint="eastAsia" w:ascii="宋体" w:hAnsi="宋体"/>
          <w:szCs w:val="21"/>
        </w:rPr>
        <w:t>：履约情况及社会信誉承诺书</w:t>
      </w:r>
      <w:bookmarkEnd w:id="121"/>
    </w:p>
    <w:p>
      <w:pPr>
        <w:adjustRightInd w:val="0"/>
        <w:snapToGrid w:val="0"/>
        <w:rPr>
          <w:rFonts w:ascii="宋体" w:hAnsi="宋体"/>
          <w:bCs/>
          <w:sz w:val="28"/>
          <w:szCs w:val="28"/>
        </w:rPr>
      </w:pPr>
    </w:p>
    <w:p>
      <w:pPr>
        <w:adjustRightInd w:val="0"/>
        <w:snapToGrid w:val="0"/>
        <w:jc w:val="center"/>
        <w:rPr>
          <w:rFonts w:ascii="宋体" w:hAnsi="宋体"/>
          <w:b/>
          <w:bCs/>
          <w:sz w:val="36"/>
          <w:szCs w:val="36"/>
        </w:rPr>
      </w:pPr>
      <w:r>
        <w:rPr>
          <w:rFonts w:hint="eastAsia" w:ascii="宋体" w:hAnsi="宋体"/>
          <w:b/>
          <w:bCs/>
          <w:sz w:val="36"/>
          <w:szCs w:val="36"/>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w:t>
      </w:r>
      <w:r>
        <w:rPr>
          <w:rFonts w:hint="eastAsia" w:ascii="仿宋" w:hAnsi="仿宋" w:eastAsia="仿宋"/>
          <w:sz w:val="28"/>
          <w:szCs w:val="28"/>
          <w:lang w:eastAsia="zh-CN"/>
        </w:rPr>
        <w:t>中标</w:t>
      </w:r>
      <w:r>
        <w:rPr>
          <w:rFonts w:hint="eastAsia" w:ascii="仿宋" w:hAnsi="仿宋" w:eastAsia="仿宋"/>
          <w:sz w:val="28"/>
          <w:szCs w:val="28"/>
        </w:rPr>
        <w:t>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footerReference r:id="rId6" w:type="default"/>
      <w:pgSz w:w="11906" w:h="16838"/>
      <w:pgMar w:top="1134" w:right="1800" w:bottom="993" w:left="1800" w:header="851" w:footer="409"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8EF45"/>
    <w:multiLevelType w:val="singleLevel"/>
    <w:tmpl w:val="8488EF45"/>
    <w:lvl w:ilvl="0" w:tentative="0">
      <w:start w:val="1"/>
      <w:numFmt w:val="decimal"/>
      <w:suff w:val="nothing"/>
      <w:lvlText w:val="（%1）"/>
      <w:lvlJc w:val="left"/>
    </w:lvl>
  </w:abstractNum>
  <w:abstractNum w:abstractNumId="1">
    <w:nsid w:val="940865E6"/>
    <w:multiLevelType w:val="singleLevel"/>
    <w:tmpl w:val="940865E6"/>
    <w:lvl w:ilvl="0" w:tentative="0">
      <w:start w:val="1"/>
      <w:numFmt w:val="decimal"/>
      <w:lvlText w:val="(%1)"/>
      <w:lvlJc w:val="left"/>
      <w:pPr>
        <w:ind w:left="425" w:hanging="425"/>
      </w:pPr>
      <w:rPr>
        <w:rFonts w:hint="default"/>
      </w:rPr>
    </w:lvl>
  </w:abstractNum>
  <w:abstractNum w:abstractNumId="2">
    <w:nsid w:val="A3D482A9"/>
    <w:multiLevelType w:val="singleLevel"/>
    <w:tmpl w:val="A3D482A9"/>
    <w:lvl w:ilvl="0" w:tentative="0">
      <w:start w:val="1"/>
      <w:numFmt w:val="decimal"/>
      <w:lvlText w:val="(%1)"/>
      <w:lvlJc w:val="left"/>
      <w:pPr>
        <w:ind w:left="425" w:hanging="425"/>
      </w:pPr>
      <w:rPr>
        <w:rFonts w:hint="default"/>
      </w:rPr>
    </w:lvl>
  </w:abstractNum>
  <w:abstractNum w:abstractNumId="3">
    <w:nsid w:val="A3F8B211"/>
    <w:multiLevelType w:val="singleLevel"/>
    <w:tmpl w:val="A3F8B211"/>
    <w:lvl w:ilvl="0" w:tentative="0">
      <w:start w:val="1"/>
      <w:numFmt w:val="decimal"/>
      <w:lvlText w:val="(%1)"/>
      <w:lvlJc w:val="left"/>
      <w:pPr>
        <w:ind w:left="425" w:hanging="425"/>
      </w:pPr>
      <w:rPr>
        <w:rFonts w:hint="default"/>
      </w:rPr>
    </w:lvl>
  </w:abstractNum>
  <w:abstractNum w:abstractNumId="4">
    <w:nsid w:val="A9AF471A"/>
    <w:multiLevelType w:val="singleLevel"/>
    <w:tmpl w:val="A9AF471A"/>
    <w:lvl w:ilvl="0" w:tentative="0">
      <w:start w:val="1"/>
      <w:numFmt w:val="decimal"/>
      <w:lvlText w:val="(%1)"/>
      <w:lvlJc w:val="left"/>
      <w:pPr>
        <w:ind w:left="425" w:hanging="425"/>
      </w:pPr>
      <w:rPr>
        <w:rFonts w:hint="default"/>
      </w:rPr>
    </w:lvl>
  </w:abstractNum>
  <w:abstractNum w:abstractNumId="5">
    <w:nsid w:val="B4704FE4"/>
    <w:multiLevelType w:val="singleLevel"/>
    <w:tmpl w:val="B4704FE4"/>
    <w:lvl w:ilvl="0" w:tentative="0">
      <w:start w:val="1"/>
      <w:numFmt w:val="chineseCounting"/>
      <w:suff w:val="nothing"/>
      <w:lvlText w:val="%1、"/>
      <w:lvlJc w:val="left"/>
      <w:rPr>
        <w:rFonts w:hint="eastAsia" w:ascii="黑体" w:hAnsi="黑体" w:eastAsia="黑体" w:cs="黑体"/>
        <w:b w:val="0"/>
        <w:bCs w:val="0"/>
        <w:sz w:val="28"/>
        <w:szCs w:val="28"/>
      </w:rPr>
    </w:lvl>
  </w:abstractNum>
  <w:abstractNum w:abstractNumId="6">
    <w:nsid w:val="C0062E03"/>
    <w:multiLevelType w:val="multilevel"/>
    <w:tmpl w:val="C0062E03"/>
    <w:lvl w:ilvl="0" w:tentative="0">
      <w:start w:val="1"/>
      <w:numFmt w:val="decimal"/>
      <w:suff w:val="space"/>
      <w:lvlText w:val="%1."/>
      <w:lvlJc w:val="left"/>
      <w:pPr>
        <w:ind w:left="14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D15E50C5"/>
    <w:multiLevelType w:val="singleLevel"/>
    <w:tmpl w:val="D15E50C5"/>
    <w:lvl w:ilvl="0" w:tentative="0">
      <w:start w:val="1"/>
      <w:numFmt w:val="decimal"/>
      <w:lvlText w:val="(%1)"/>
      <w:lvlJc w:val="left"/>
      <w:pPr>
        <w:ind w:left="425" w:hanging="425"/>
      </w:pPr>
      <w:rPr>
        <w:rFonts w:hint="default"/>
      </w:rPr>
    </w:lvl>
  </w:abstractNum>
  <w:abstractNum w:abstractNumId="9">
    <w:nsid w:val="D191DCA0"/>
    <w:multiLevelType w:val="singleLevel"/>
    <w:tmpl w:val="D191DCA0"/>
    <w:lvl w:ilvl="0" w:tentative="0">
      <w:start w:val="1"/>
      <w:numFmt w:val="decimal"/>
      <w:suff w:val="nothing"/>
      <w:lvlText w:val="（%1）"/>
      <w:lvlJc w:val="left"/>
    </w:lvl>
  </w:abstractNum>
  <w:abstractNum w:abstractNumId="10">
    <w:nsid w:val="D3051835"/>
    <w:multiLevelType w:val="singleLevel"/>
    <w:tmpl w:val="D3051835"/>
    <w:lvl w:ilvl="0" w:tentative="0">
      <w:start w:val="1"/>
      <w:numFmt w:val="decimal"/>
      <w:suff w:val="space"/>
      <w:lvlText w:val="%1."/>
      <w:lvlJc w:val="left"/>
    </w:lvl>
  </w:abstractNum>
  <w:abstractNum w:abstractNumId="11">
    <w:nsid w:val="D433F5A6"/>
    <w:multiLevelType w:val="multilevel"/>
    <w:tmpl w:val="D433F5A6"/>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F8DA1D8D"/>
    <w:multiLevelType w:val="singleLevel"/>
    <w:tmpl w:val="F8DA1D8D"/>
    <w:lvl w:ilvl="0" w:tentative="0">
      <w:start w:val="1"/>
      <w:numFmt w:val="decimal"/>
      <w:lvlText w:val="(%1)"/>
      <w:lvlJc w:val="left"/>
      <w:pPr>
        <w:ind w:left="425" w:hanging="425"/>
      </w:pPr>
      <w:rPr>
        <w:rFonts w:hint="default"/>
      </w:rPr>
    </w:lvl>
  </w:abstractNum>
  <w:abstractNum w:abstractNumId="13">
    <w:nsid w:val="FCD746C7"/>
    <w:multiLevelType w:val="multilevel"/>
    <w:tmpl w:val="FCD746C7"/>
    <w:lvl w:ilvl="0" w:tentative="0">
      <w:start w:val="1"/>
      <w:numFmt w:val="decimal"/>
      <w:suff w:val="space"/>
      <w:lvlText w:val="%1."/>
      <w:lvlJc w:val="left"/>
      <w:pPr>
        <w:ind w:left="1820" w:hanging="420"/>
      </w:pPr>
    </w:lvl>
    <w:lvl w:ilvl="1" w:tentative="0">
      <w:start w:val="1"/>
      <w:numFmt w:val="decimal"/>
      <w:lvlText w:val="%2."/>
      <w:lvlJc w:val="left"/>
      <w:pPr>
        <w:tabs>
          <w:tab w:val="left" w:pos="1400"/>
        </w:tabs>
        <w:ind w:left="140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FED74635"/>
    <w:multiLevelType w:val="multilevel"/>
    <w:tmpl w:val="FED74635"/>
    <w:lvl w:ilvl="0" w:tentative="0">
      <w:start w:val="1"/>
      <w:numFmt w:val="decimal"/>
      <w:lvlText w:val="（%1）"/>
      <w:lvlJc w:val="left"/>
      <w:pPr>
        <w:ind w:left="4956" w:hanging="420"/>
      </w:pPr>
      <w:rPr>
        <w:rFonts w:hint="default" w:ascii="仿宋" w:hAnsi="仿宋" w:eastAsia="仿宋"/>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6B2E338"/>
    <w:multiLevelType w:val="singleLevel"/>
    <w:tmpl w:val="06B2E338"/>
    <w:lvl w:ilvl="0" w:tentative="0">
      <w:start w:val="1"/>
      <w:numFmt w:val="decimal"/>
      <w:lvlText w:val="(%1)"/>
      <w:lvlJc w:val="left"/>
      <w:pPr>
        <w:ind w:left="425" w:hanging="425"/>
      </w:pPr>
      <w:rPr>
        <w:rFonts w:hint="default"/>
      </w:rPr>
    </w:lvl>
  </w:abstractNum>
  <w:abstractNum w:abstractNumId="19">
    <w:nsid w:val="15D71C3A"/>
    <w:multiLevelType w:val="multilevel"/>
    <w:tmpl w:val="15D71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F3AE644"/>
    <w:multiLevelType w:val="singleLevel"/>
    <w:tmpl w:val="1F3AE644"/>
    <w:lvl w:ilvl="0" w:tentative="0">
      <w:start w:val="1"/>
      <w:numFmt w:val="decimal"/>
      <w:lvlText w:val="(%1)"/>
      <w:lvlJc w:val="left"/>
      <w:pPr>
        <w:ind w:left="425" w:hanging="425"/>
      </w:pPr>
      <w:rPr>
        <w:rFonts w:hint="default"/>
      </w:rPr>
    </w:lvl>
  </w:abstractNum>
  <w:abstractNum w:abstractNumId="23">
    <w:nsid w:val="1F6E99FD"/>
    <w:multiLevelType w:val="singleLevel"/>
    <w:tmpl w:val="1F6E99FD"/>
    <w:lvl w:ilvl="0" w:tentative="0">
      <w:start w:val="1"/>
      <w:numFmt w:val="chineseCounting"/>
      <w:suff w:val="nothing"/>
      <w:lvlText w:val="（%1）"/>
      <w:lvlJc w:val="left"/>
      <w:rPr>
        <w:rFonts w:hint="eastAsia"/>
      </w:rPr>
    </w:lvl>
  </w:abstractNum>
  <w:abstractNum w:abstractNumId="24">
    <w:nsid w:val="25143A5C"/>
    <w:multiLevelType w:val="multilevel"/>
    <w:tmpl w:val="25143A5C"/>
    <w:lvl w:ilvl="0" w:tentative="0">
      <w:start w:val="1"/>
      <w:numFmt w:val="chineseCountingThousand"/>
      <w:lvlText w:val="%1、"/>
      <w:lvlJc w:val="left"/>
      <w:pPr>
        <w:tabs>
          <w:tab w:val="left" w:pos="720"/>
        </w:tabs>
        <w:ind w:left="0" w:firstLine="0"/>
      </w:pPr>
    </w:lvl>
    <w:lvl w:ilvl="1" w:tentative="0">
      <w:start w:val="1"/>
      <w:numFmt w:val="decimal"/>
      <w:pStyle w:val="33"/>
      <w:lvlText w:val="%2、"/>
      <w:lvlJc w:val="left"/>
      <w:pPr>
        <w:tabs>
          <w:tab w:val="left" w:pos="1140"/>
        </w:tabs>
        <w:ind w:left="420" w:firstLine="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F3E4F9"/>
    <w:multiLevelType w:val="singleLevel"/>
    <w:tmpl w:val="2BF3E4F9"/>
    <w:lvl w:ilvl="0" w:tentative="0">
      <w:start w:val="1"/>
      <w:numFmt w:val="decimal"/>
      <w:suff w:val="nothing"/>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A94754A"/>
    <w:multiLevelType w:val="multilevel"/>
    <w:tmpl w:val="3A94754A"/>
    <w:lvl w:ilvl="0" w:tentative="0">
      <w:start w:val="1"/>
      <w:numFmt w:val="decimal"/>
      <w:lvlText w:val="（%1）"/>
      <w:lvlJc w:val="left"/>
      <w:pPr>
        <w:ind w:left="112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CCE614D"/>
    <w:multiLevelType w:val="multilevel"/>
    <w:tmpl w:val="3CCE614D"/>
    <w:lvl w:ilvl="0" w:tentative="0">
      <w:start w:val="1"/>
      <w:numFmt w:val="chineseCountingThousand"/>
      <w:pStyle w:val="36"/>
      <w:lvlText w:val="第%1条"/>
      <w:lvlJc w:val="left"/>
      <w:pPr>
        <w:tabs>
          <w:tab w:val="left" w:pos="1440"/>
        </w:tabs>
        <w:ind w:left="0" w:firstLine="0"/>
      </w:pPr>
      <w:rPr>
        <w:rFonts w:hint="eastAsia" w:ascii="Times New Roman" w:eastAsia="黑体"/>
        <w:b/>
        <w:i w:val="0"/>
        <w:lang w:val="en-US"/>
      </w:rPr>
    </w:lvl>
    <w:lvl w:ilvl="1" w:tentative="0">
      <w:start w:val="1"/>
      <w:numFmt w:val="decimal"/>
      <w:lvlText w:val="%2、"/>
      <w:lvlJc w:val="center"/>
      <w:pPr>
        <w:tabs>
          <w:tab w:val="left" w:pos="927"/>
        </w:tabs>
        <w:ind w:left="0" w:firstLine="567"/>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12E381"/>
    <w:multiLevelType w:val="multilevel"/>
    <w:tmpl w:val="3D12E381"/>
    <w:lvl w:ilvl="0" w:tentative="0">
      <w:start w:val="1"/>
      <w:numFmt w:val="decimal"/>
      <w:suff w:val="space"/>
      <w:lvlText w:val="%1."/>
      <w:lvlJc w:val="left"/>
      <w:pPr>
        <w:ind w:left="14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3FA00B7A"/>
    <w:multiLevelType w:val="multilevel"/>
    <w:tmpl w:val="3FA00B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5080434"/>
    <w:multiLevelType w:val="multilevel"/>
    <w:tmpl w:val="45080434"/>
    <w:lvl w:ilvl="0" w:tentative="0">
      <w:start w:val="1"/>
      <w:numFmt w:val="decimal"/>
      <w:lvlText w:val="（%1）"/>
      <w:lvlJc w:val="left"/>
      <w:pPr>
        <w:ind w:left="4956" w:hanging="420"/>
      </w:pPr>
      <w:rPr>
        <w:rFonts w:hint="default" w:ascii="仿宋" w:hAnsi="仿宋" w:eastAsia="仿宋"/>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E706F15"/>
    <w:multiLevelType w:val="multilevel"/>
    <w:tmpl w:val="4E706F15"/>
    <w:lvl w:ilvl="0" w:tentative="0">
      <w:start w:val="1"/>
      <w:numFmt w:val="decimal"/>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8D51F2"/>
    <w:multiLevelType w:val="multilevel"/>
    <w:tmpl w:val="678D51F2"/>
    <w:lvl w:ilvl="0" w:tentative="0">
      <w:start w:val="1"/>
      <w:numFmt w:val="decimal"/>
      <w:lvlText w:val="（%1）"/>
      <w:lvlJc w:val="left"/>
      <w:pPr>
        <w:ind w:left="112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0135C8D"/>
    <w:multiLevelType w:val="multilevel"/>
    <w:tmpl w:val="70135C8D"/>
    <w:lvl w:ilvl="0" w:tentative="0">
      <w:start w:val="1"/>
      <w:numFmt w:val="chineseCountingThousand"/>
      <w:pStyle w:val="34"/>
      <w:lvlText w:val="第%1部分"/>
      <w:lvlJc w:val="left"/>
      <w:pPr>
        <w:tabs>
          <w:tab w:val="left" w:pos="1200"/>
        </w:tabs>
        <w:ind w:left="1200" w:hanging="840"/>
      </w:pPr>
    </w:lvl>
    <w:lvl w:ilvl="1" w:tentative="0">
      <w:start w:val="2"/>
      <w:numFmt w:val="chineseCountingThousand"/>
      <w:lvlText w:val="第%2条"/>
      <w:lvlJc w:val="left"/>
      <w:pPr>
        <w:tabs>
          <w:tab w:val="left" w:pos="1140"/>
        </w:tabs>
        <w:ind w:left="840" w:hanging="420"/>
      </w:pPr>
      <w:rPr>
        <w:rFonts w:hint="eastAsia" w:ascii="Times New Roman" w:eastAsia="黑体"/>
        <w:b/>
        <w:i w:val="0"/>
        <w:sz w:val="28"/>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71966707"/>
    <w:multiLevelType w:val="multilevel"/>
    <w:tmpl w:val="71966707"/>
    <w:lvl w:ilvl="0" w:tentative="0">
      <w:start w:val="1"/>
      <w:numFmt w:val="chineseCountingThousand"/>
      <w:pStyle w:val="38"/>
      <w:lvlText w:val="（%1）"/>
      <w:lvlJc w:val="left"/>
      <w:pPr>
        <w:tabs>
          <w:tab w:val="left" w:pos="1260"/>
        </w:tabs>
        <w:ind w:left="96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71D9189A"/>
    <w:multiLevelType w:val="singleLevel"/>
    <w:tmpl w:val="71D9189A"/>
    <w:lvl w:ilvl="0" w:tentative="0">
      <w:start w:val="1"/>
      <w:numFmt w:val="decimal"/>
      <w:lvlText w:val="(%1)"/>
      <w:lvlJc w:val="left"/>
      <w:pPr>
        <w:ind w:left="425" w:hanging="425"/>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3"/>
  </w:num>
  <w:num w:numId="7">
    <w:abstractNumId w:val="29"/>
  </w:num>
  <w:num w:numId="8">
    <w:abstractNumId w:val="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9"/>
  </w:num>
  <w:num w:numId="12">
    <w:abstractNumId w:val="32"/>
  </w:num>
  <w:num w:numId="13">
    <w:abstractNumId w:val="20"/>
  </w:num>
  <w:num w:numId="14">
    <w:abstractNumId w:val="19"/>
  </w:num>
  <w:num w:numId="15">
    <w:abstractNumId w:val="35"/>
  </w:num>
  <w:num w:numId="16">
    <w:abstractNumId w:val="36"/>
  </w:num>
  <w:num w:numId="17">
    <w:abstractNumId w:val="41"/>
  </w:num>
  <w:num w:numId="18">
    <w:abstractNumId w:val="22"/>
  </w:num>
  <w:num w:numId="19">
    <w:abstractNumId w:val="34"/>
  </w:num>
  <w:num w:numId="20">
    <w:abstractNumId w:val="30"/>
  </w:num>
  <w:num w:numId="21">
    <w:abstractNumId w:val="11"/>
  </w:num>
  <w:num w:numId="22">
    <w:abstractNumId w:val="10"/>
  </w:num>
  <w:num w:numId="23">
    <w:abstractNumId w:val="17"/>
  </w:num>
  <w:num w:numId="24">
    <w:abstractNumId w:val="14"/>
  </w:num>
  <w:num w:numId="25">
    <w:abstractNumId w:val="21"/>
  </w:num>
  <w:num w:numId="26">
    <w:abstractNumId w:val="0"/>
  </w:num>
  <w:num w:numId="27">
    <w:abstractNumId w:val="9"/>
  </w:num>
  <w:num w:numId="28">
    <w:abstractNumId w:val="26"/>
  </w:num>
  <w:num w:numId="29">
    <w:abstractNumId w:val="18"/>
  </w:num>
  <w:num w:numId="30">
    <w:abstractNumId w:val="1"/>
  </w:num>
  <w:num w:numId="31">
    <w:abstractNumId w:val="4"/>
  </w:num>
  <w:num w:numId="32">
    <w:abstractNumId w:val="28"/>
  </w:num>
  <w:num w:numId="33">
    <w:abstractNumId w:val="46"/>
  </w:num>
  <w:num w:numId="34">
    <w:abstractNumId w:val="3"/>
  </w:num>
  <w:num w:numId="35">
    <w:abstractNumId w:val="2"/>
  </w:num>
  <w:num w:numId="36">
    <w:abstractNumId w:val="12"/>
  </w:num>
  <w:num w:numId="37">
    <w:abstractNumId w:val="8"/>
  </w:num>
  <w:num w:numId="38">
    <w:abstractNumId w:val="5"/>
  </w:num>
  <w:num w:numId="39">
    <w:abstractNumId w:val="23"/>
  </w:num>
  <w:num w:numId="40">
    <w:abstractNumId w:val="13"/>
  </w:num>
  <w:num w:numId="41">
    <w:abstractNumId w:val="33"/>
  </w:num>
  <w:num w:numId="42">
    <w:abstractNumId w:val="6"/>
  </w:num>
  <w:num w:numId="43">
    <w:abstractNumId w:val="40"/>
  </w:num>
  <w:num w:numId="44">
    <w:abstractNumId w:val="16"/>
  </w:num>
  <w:num w:numId="45">
    <w:abstractNumId w:val="15"/>
  </w:num>
  <w:num w:numId="46">
    <w:abstractNumId w:val="42"/>
  </w:num>
  <w:num w:numId="47">
    <w:abstractNumId w:val="2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C50B2"/>
    <w:rsid w:val="00003757"/>
    <w:rsid w:val="000071F5"/>
    <w:rsid w:val="000109CF"/>
    <w:rsid w:val="0001408F"/>
    <w:rsid w:val="00020D3D"/>
    <w:rsid w:val="0002431D"/>
    <w:rsid w:val="00046CA0"/>
    <w:rsid w:val="0006307A"/>
    <w:rsid w:val="00071803"/>
    <w:rsid w:val="00072868"/>
    <w:rsid w:val="00074891"/>
    <w:rsid w:val="00077160"/>
    <w:rsid w:val="00080360"/>
    <w:rsid w:val="00093F3A"/>
    <w:rsid w:val="0009436F"/>
    <w:rsid w:val="000A2942"/>
    <w:rsid w:val="000B41FD"/>
    <w:rsid w:val="000C0416"/>
    <w:rsid w:val="000C45B3"/>
    <w:rsid w:val="000C7053"/>
    <w:rsid w:val="000E3E7C"/>
    <w:rsid w:val="000F16F8"/>
    <w:rsid w:val="000F23B0"/>
    <w:rsid w:val="001052B4"/>
    <w:rsid w:val="001107A5"/>
    <w:rsid w:val="001146D2"/>
    <w:rsid w:val="001238C4"/>
    <w:rsid w:val="0012732B"/>
    <w:rsid w:val="0013213B"/>
    <w:rsid w:val="0013663B"/>
    <w:rsid w:val="00137AB2"/>
    <w:rsid w:val="001408B0"/>
    <w:rsid w:val="00141B72"/>
    <w:rsid w:val="001427DC"/>
    <w:rsid w:val="00162AA4"/>
    <w:rsid w:val="00170AD1"/>
    <w:rsid w:val="001723D2"/>
    <w:rsid w:val="00174846"/>
    <w:rsid w:val="00180E0D"/>
    <w:rsid w:val="001959E5"/>
    <w:rsid w:val="001978B2"/>
    <w:rsid w:val="001A13FF"/>
    <w:rsid w:val="001A6C5B"/>
    <w:rsid w:val="001D572E"/>
    <w:rsid w:val="001E07B4"/>
    <w:rsid w:val="001E0E46"/>
    <w:rsid w:val="001E44D2"/>
    <w:rsid w:val="001F14F2"/>
    <w:rsid w:val="00206999"/>
    <w:rsid w:val="0022465E"/>
    <w:rsid w:val="00233E0E"/>
    <w:rsid w:val="00252697"/>
    <w:rsid w:val="00292E63"/>
    <w:rsid w:val="002963F2"/>
    <w:rsid w:val="002B0FEA"/>
    <w:rsid w:val="002B743A"/>
    <w:rsid w:val="002C49F2"/>
    <w:rsid w:val="00304858"/>
    <w:rsid w:val="003158DE"/>
    <w:rsid w:val="00323025"/>
    <w:rsid w:val="003255E6"/>
    <w:rsid w:val="003300CC"/>
    <w:rsid w:val="003436BC"/>
    <w:rsid w:val="00344AEC"/>
    <w:rsid w:val="00354484"/>
    <w:rsid w:val="003545D1"/>
    <w:rsid w:val="00365F71"/>
    <w:rsid w:val="003823A8"/>
    <w:rsid w:val="00385061"/>
    <w:rsid w:val="00397C1E"/>
    <w:rsid w:val="003A09E6"/>
    <w:rsid w:val="003A6682"/>
    <w:rsid w:val="003B01FB"/>
    <w:rsid w:val="003C703B"/>
    <w:rsid w:val="003D0358"/>
    <w:rsid w:val="003E6092"/>
    <w:rsid w:val="003E66A3"/>
    <w:rsid w:val="003E7621"/>
    <w:rsid w:val="004235D9"/>
    <w:rsid w:val="00425CE9"/>
    <w:rsid w:val="00427D5D"/>
    <w:rsid w:val="00441F17"/>
    <w:rsid w:val="00463D0F"/>
    <w:rsid w:val="004707D2"/>
    <w:rsid w:val="00471ED2"/>
    <w:rsid w:val="00476C96"/>
    <w:rsid w:val="00477E8C"/>
    <w:rsid w:val="00481CA5"/>
    <w:rsid w:val="00482B62"/>
    <w:rsid w:val="004851A7"/>
    <w:rsid w:val="00492F1D"/>
    <w:rsid w:val="004A0594"/>
    <w:rsid w:val="004A7C1F"/>
    <w:rsid w:val="004B0D64"/>
    <w:rsid w:val="004B24F9"/>
    <w:rsid w:val="004D1749"/>
    <w:rsid w:val="004D58FC"/>
    <w:rsid w:val="004D6F70"/>
    <w:rsid w:val="004E1D7F"/>
    <w:rsid w:val="004E3802"/>
    <w:rsid w:val="004E4541"/>
    <w:rsid w:val="004E7199"/>
    <w:rsid w:val="004E7657"/>
    <w:rsid w:val="004F63E5"/>
    <w:rsid w:val="00501F31"/>
    <w:rsid w:val="00506B6D"/>
    <w:rsid w:val="00510A04"/>
    <w:rsid w:val="005240B5"/>
    <w:rsid w:val="00532EBA"/>
    <w:rsid w:val="00544B6E"/>
    <w:rsid w:val="0056275F"/>
    <w:rsid w:val="00562967"/>
    <w:rsid w:val="00565EDC"/>
    <w:rsid w:val="00577B76"/>
    <w:rsid w:val="00580009"/>
    <w:rsid w:val="005815FC"/>
    <w:rsid w:val="00581656"/>
    <w:rsid w:val="005A26F8"/>
    <w:rsid w:val="005A480E"/>
    <w:rsid w:val="005B03C2"/>
    <w:rsid w:val="005B1453"/>
    <w:rsid w:val="005B328D"/>
    <w:rsid w:val="005C5034"/>
    <w:rsid w:val="005D123F"/>
    <w:rsid w:val="005D7D79"/>
    <w:rsid w:val="005E43D8"/>
    <w:rsid w:val="005F01A9"/>
    <w:rsid w:val="005F16B3"/>
    <w:rsid w:val="00601270"/>
    <w:rsid w:val="006034C8"/>
    <w:rsid w:val="00605307"/>
    <w:rsid w:val="00606010"/>
    <w:rsid w:val="00621681"/>
    <w:rsid w:val="00630585"/>
    <w:rsid w:val="006311FC"/>
    <w:rsid w:val="00632039"/>
    <w:rsid w:val="006333BC"/>
    <w:rsid w:val="00644F3D"/>
    <w:rsid w:val="00645B53"/>
    <w:rsid w:val="00664471"/>
    <w:rsid w:val="0066489F"/>
    <w:rsid w:val="006752C0"/>
    <w:rsid w:val="006810AF"/>
    <w:rsid w:val="00681577"/>
    <w:rsid w:val="006815B1"/>
    <w:rsid w:val="00683657"/>
    <w:rsid w:val="00687753"/>
    <w:rsid w:val="006942FF"/>
    <w:rsid w:val="006A4FED"/>
    <w:rsid w:val="006B0C06"/>
    <w:rsid w:val="006B1729"/>
    <w:rsid w:val="006B3970"/>
    <w:rsid w:val="006B4923"/>
    <w:rsid w:val="006C0C61"/>
    <w:rsid w:val="006C659A"/>
    <w:rsid w:val="006C7266"/>
    <w:rsid w:val="006C7574"/>
    <w:rsid w:val="006E0464"/>
    <w:rsid w:val="006E42A5"/>
    <w:rsid w:val="006E6992"/>
    <w:rsid w:val="006F0E4A"/>
    <w:rsid w:val="006F3293"/>
    <w:rsid w:val="006F73D7"/>
    <w:rsid w:val="00702166"/>
    <w:rsid w:val="0070433C"/>
    <w:rsid w:val="007115E1"/>
    <w:rsid w:val="00714F2D"/>
    <w:rsid w:val="00715AB4"/>
    <w:rsid w:val="00717FB9"/>
    <w:rsid w:val="007542A8"/>
    <w:rsid w:val="007559E5"/>
    <w:rsid w:val="007672EE"/>
    <w:rsid w:val="0076763C"/>
    <w:rsid w:val="007739C1"/>
    <w:rsid w:val="0077621A"/>
    <w:rsid w:val="00781DFA"/>
    <w:rsid w:val="00782E08"/>
    <w:rsid w:val="00790A8A"/>
    <w:rsid w:val="007933D2"/>
    <w:rsid w:val="007A0142"/>
    <w:rsid w:val="007B7B37"/>
    <w:rsid w:val="007C02CE"/>
    <w:rsid w:val="007C0F2D"/>
    <w:rsid w:val="007C50B2"/>
    <w:rsid w:val="008016FA"/>
    <w:rsid w:val="00803FA2"/>
    <w:rsid w:val="00857F72"/>
    <w:rsid w:val="00866C0E"/>
    <w:rsid w:val="00867C56"/>
    <w:rsid w:val="00870B22"/>
    <w:rsid w:val="00874BB5"/>
    <w:rsid w:val="00884C18"/>
    <w:rsid w:val="0088566A"/>
    <w:rsid w:val="00894310"/>
    <w:rsid w:val="008A0193"/>
    <w:rsid w:val="008B2C67"/>
    <w:rsid w:val="008C44DE"/>
    <w:rsid w:val="008E05E5"/>
    <w:rsid w:val="008F5056"/>
    <w:rsid w:val="0090721F"/>
    <w:rsid w:val="009238CC"/>
    <w:rsid w:val="00926702"/>
    <w:rsid w:val="00927979"/>
    <w:rsid w:val="0093775A"/>
    <w:rsid w:val="00937F12"/>
    <w:rsid w:val="0094099F"/>
    <w:rsid w:val="00941DBC"/>
    <w:rsid w:val="00943245"/>
    <w:rsid w:val="0094528D"/>
    <w:rsid w:val="00955609"/>
    <w:rsid w:val="00960B05"/>
    <w:rsid w:val="00976465"/>
    <w:rsid w:val="00976C8B"/>
    <w:rsid w:val="0098029E"/>
    <w:rsid w:val="0098263B"/>
    <w:rsid w:val="00985E6A"/>
    <w:rsid w:val="00991233"/>
    <w:rsid w:val="009A1E0E"/>
    <w:rsid w:val="009A699B"/>
    <w:rsid w:val="009A6EF3"/>
    <w:rsid w:val="009B5C85"/>
    <w:rsid w:val="009B7189"/>
    <w:rsid w:val="009C0135"/>
    <w:rsid w:val="009E176C"/>
    <w:rsid w:val="009E25C8"/>
    <w:rsid w:val="009E2781"/>
    <w:rsid w:val="009E3D67"/>
    <w:rsid w:val="00A0267F"/>
    <w:rsid w:val="00A30228"/>
    <w:rsid w:val="00A31A55"/>
    <w:rsid w:val="00A3423A"/>
    <w:rsid w:val="00A35F31"/>
    <w:rsid w:val="00A4407E"/>
    <w:rsid w:val="00A46C1C"/>
    <w:rsid w:val="00A50133"/>
    <w:rsid w:val="00A639F5"/>
    <w:rsid w:val="00A761F1"/>
    <w:rsid w:val="00A8313A"/>
    <w:rsid w:val="00A83D8E"/>
    <w:rsid w:val="00A900CA"/>
    <w:rsid w:val="00AA01BF"/>
    <w:rsid w:val="00AA0F85"/>
    <w:rsid w:val="00AA320E"/>
    <w:rsid w:val="00AA38D8"/>
    <w:rsid w:val="00AA56F4"/>
    <w:rsid w:val="00AB0184"/>
    <w:rsid w:val="00AB0A23"/>
    <w:rsid w:val="00AC1082"/>
    <w:rsid w:val="00AC124B"/>
    <w:rsid w:val="00AC7FB5"/>
    <w:rsid w:val="00AE1E1D"/>
    <w:rsid w:val="00AF0A7F"/>
    <w:rsid w:val="00AF1254"/>
    <w:rsid w:val="00AF348F"/>
    <w:rsid w:val="00AF730B"/>
    <w:rsid w:val="00B049D6"/>
    <w:rsid w:val="00B1365B"/>
    <w:rsid w:val="00B21864"/>
    <w:rsid w:val="00B24D3D"/>
    <w:rsid w:val="00B353B9"/>
    <w:rsid w:val="00B37A2F"/>
    <w:rsid w:val="00B40F3E"/>
    <w:rsid w:val="00B44E4F"/>
    <w:rsid w:val="00B522B7"/>
    <w:rsid w:val="00B65C5E"/>
    <w:rsid w:val="00B6690E"/>
    <w:rsid w:val="00B76BC6"/>
    <w:rsid w:val="00B8264F"/>
    <w:rsid w:val="00BC0C0B"/>
    <w:rsid w:val="00BC40BD"/>
    <w:rsid w:val="00BD120A"/>
    <w:rsid w:val="00BD666B"/>
    <w:rsid w:val="00BF52E8"/>
    <w:rsid w:val="00C01654"/>
    <w:rsid w:val="00C14005"/>
    <w:rsid w:val="00C30244"/>
    <w:rsid w:val="00C5180D"/>
    <w:rsid w:val="00C53AB0"/>
    <w:rsid w:val="00C53D1D"/>
    <w:rsid w:val="00C573D5"/>
    <w:rsid w:val="00C61FB2"/>
    <w:rsid w:val="00C63858"/>
    <w:rsid w:val="00C63F3E"/>
    <w:rsid w:val="00C6530D"/>
    <w:rsid w:val="00C72E08"/>
    <w:rsid w:val="00C750C7"/>
    <w:rsid w:val="00C76FD5"/>
    <w:rsid w:val="00C95195"/>
    <w:rsid w:val="00CB0006"/>
    <w:rsid w:val="00CB1DEF"/>
    <w:rsid w:val="00CC73DA"/>
    <w:rsid w:val="00CD4DCE"/>
    <w:rsid w:val="00CE34F4"/>
    <w:rsid w:val="00CE5F16"/>
    <w:rsid w:val="00CF3F58"/>
    <w:rsid w:val="00D13594"/>
    <w:rsid w:val="00D2363D"/>
    <w:rsid w:val="00D2411A"/>
    <w:rsid w:val="00D4224E"/>
    <w:rsid w:val="00D43550"/>
    <w:rsid w:val="00D5565A"/>
    <w:rsid w:val="00D629CE"/>
    <w:rsid w:val="00D83CA2"/>
    <w:rsid w:val="00D83CC0"/>
    <w:rsid w:val="00D84553"/>
    <w:rsid w:val="00D955EB"/>
    <w:rsid w:val="00DB1C4E"/>
    <w:rsid w:val="00DD544D"/>
    <w:rsid w:val="00DE5E4C"/>
    <w:rsid w:val="00DE7DDC"/>
    <w:rsid w:val="00E107EC"/>
    <w:rsid w:val="00E11738"/>
    <w:rsid w:val="00E12957"/>
    <w:rsid w:val="00E1493D"/>
    <w:rsid w:val="00E27F91"/>
    <w:rsid w:val="00E31BD7"/>
    <w:rsid w:val="00E37BF0"/>
    <w:rsid w:val="00E45D07"/>
    <w:rsid w:val="00E677C6"/>
    <w:rsid w:val="00E70687"/>
    <w:rsid w:val="00E75726"/>
    <w:rsid w:val="00E928C6"/>
    <w:rsid w:val="00EA0513"/>
    <w:rsid w:val="00EC492E"/>
    <w:rsid w:val="00EC57A0"/>
    <w:rsid w:val="00ED5DD9"/>
    <w:rsid w:val="00ED6D11"/>
    <w:rsid w:val="00EF2AD6"/>
    <w:rsid w:val="00EF64FF"/>
    <w:rsid w:val="00F00080"/>
    <w:rsid w:val="00F01837"/>
    <w:rsid w:val="00F01D21"/>
    <w:rsid w:val="00F03A68"/>
    <w:rsid w:val="00F04E6A"/>
    <w:rsid w:val="00F112C6"/>
    <w:rsid w:val="00F1499F"/>
    <w:rsid w:val="00F210DC"/>
    <w:rsid w:val="00F2136A"/>
    <w:rsid w:val="00F256B7"/>
    <w:rsid w:val="00F309E8"/>
    <w:rsid w:val="00F313E2"/>
    <w:rsid w:val="00F3226B"/>
    <w:rsid w:val="00F36975"/>
    <w:rsid w:val="00F424BB"/>
    <w:rsid w:val="00F47201"/>
    <w:rsid w:val="00F53D25"/>
    <w:rsid w:val="00F64816"/>
    <w:rsid w:val="00F73354"/>
    <w:rsid w:val="00FA092E"/>
    <w:rsid w:val="00FA63B5"/>
    <w:rsid w:val="00FA6D58"/>
    <w:rsid w:val="00FB702A"/>
    <w:rsid w:val="00FC2B63"/>
    <w:rsid w:val="00FD52D3"/>
    <w:rsid w:val="00FE72DF"/>
    <w:rsid w:val="00FF2F91"/>
    <w:rsid w:val="00FF5E3B"/>
    <w:rsid w:val="024B59C2"/>
    <w:rsid w:val="027B3F88"/>
    <w:rsid w:val="04243DB5"/>
    <w:rsid w:val="044E2BE0"/>
    <w:rsid w:val="046B3792"/>
    <w:rsid w:val="047458EF"/>
    <w:rsid w:val="056B1570"/>
    <w:rsid w:val="06862EF1"/>
    <w:rsid w:val="068B1EC9"/>
    <w:rsid w:val="06C87A51"/>
    <w:rsid w:val="06D63B61"/>
    <w:rsid w:val="07A019A5"/>
    <w:rsid w:val="07A50D69"/>
    <w:rsid w:val="07F23BF9"/>
    <w:rsid w:val="08404F36"/>
    <w:rsid w:val="08712AE0"/>
    <w:rsid w:val="087C54B5"/>
    <w:rsid w:val="08AD5626"/>
    <w:rsid w:val="092C1016"/>
    <w:rsid w:val="09300B06"/>
    <w:rsid w:val="09DC47EA"/>
    <w:rsid w:val="0AE61DC4"/>
    <w:rsid w:val="0B1F0E32"/>
    <w:rsid w:val="0B867103"/>
    <w:rsid w:val="0C035E90"/>
    <w:rsid w:val="0C395F24"/>
    <w:rsid w:val="0D2C3CDA"/>
    <w:rsid w:val="0D2E7A52"/>
    <w:rsid w:val="0DCA158B"/>
    <w:rsid w:val="0E1C78AB"/>
    <w:rsid w:val="0EAD00AF"/>
    <w:rsid w:val="0F305775"/>
    <w:rsid w:val="0F4D77BA"/>
    <w:rsid w:val="0F4E0ECB"/>
    <w:rsid w:val="0FD20B69"/>
    <w:rsid w:val="11292A0B"/>
    <w:rsid w:val="11845E93"/>
    <w:rsid w:val="12371157"/>
    <w:rsid w:val="12C625C7"/>
    <w:rsid w:val="137912FC"/>
    <w:rsid w:val="13976EA8"/>
    <w:rsid w:val="13A76B9D"/>
    <w:rsid w:val="13F75615"/>
    <w:rsid w:val="14164D9C"/>
    <w:rsid w:val="14AB1989"/>
    <w:rsid w:val="14D64C58"/>
    <w:rsid w:val="15740DA4"/>
    <w:rsid w:val="17FB6783"/>
    <w:rsid w:val="18455C50"/>
    <w:rsid w:val="1867206B"/>
    <w:rsid w:val="18952734"/>
    <w:rsid w:val="191C2209"/>
    <w:rsid w:val="19B361B1"/>
    <w:rsid w:val="19F837A9"/>
    <w:rsid w:val="1A143963"/>
    <w:rsid w:val="1AA17AB6"/>
    <w:rsid w:val="1AB86BAD"/>
    <w:rsid w:val="1AF912D2"/>
    <w:rsid w:val="1B682381"/>
    <w:rsid w:val="1BF81957"/>
    <w:rsid w:val="1BFF6B23"/>
    <w:rsid w:val="1C4E5A1B"/>
    <w:rsid w:val="1C7A05BE"/>
    <w:rsid w:val="1CD31A7D"/>
    <w:rsid w:val="1D0205B4"/>
    <w:rsid w:val="1D216C8C"/>
    <w:rsid w:val="1D3544E5"/>
    <w:rsid w:val="1EF1268E"/>
    <w:rsid w:val="1EF272D4"/>
    <w:rsid w:val="1F274302"/>
    <w:rsid w:val="1F864F29"/>
    <w:rsid w:val="1FA04A85"/>
    <w:rsid w:val="2007660D"/>
    <w:rsid w:val="20146634"/>
    <w:rsid w:val="20C938C2"/>
    <w:rsid w:val="20DB53A4"/>
    <w:rsid w:val="21335230"/>
    <w:rsid w:val="21486EDD"/>
    <w:rsid w:val="21617F9F"/>
    <w:rsid w:val="22421B7E"/>
    <w:rsid w:val="22AA3280"/>
    <w:rsid w:val="2378403F"/>
    <w:rsid w:val="255469AF"/>
    <w:rsid w:val="258C1362"/>
    <w:rsid w:val="25B3069D"/>
    <w:rsid w:val="262D0F24"/>
    <w:rsid w:val="2666570F"/>
    <w:rsid w:val="26C012C4"/>
    <w:rsid w:val="278247CB"/>
    <w:rsid w:val="2829733C"/>
    <w:rsid w:val="286B525F"/>
    <w:rsid w:val="29FA2D3E"/>
    <w:rsid w:val="2ACE376E"/>
    <w:rsid w:val="2BAA2542"/>
    <w:rsid w:val="2C163734"/>
    <w:rsid w:val="2DE03FF9"/>
    <w:rsid w:val="2E254102"/>
    <w:rsid w:val="2E821554"/>
    <w:rsid w:val="2EAB0AAB"/>
    <w:rsid w:val="2F6C1CBB"/>
    <w:rsid w:val="3034687E"/>
    <w:rsid w:val="306E7FE2"/>
    <w:rsid w:val="315216B2"/>
    <w:rsid w:val="31BB3CA4"/>
    <w:rsid w:val="31F6028F"/>
    <w:rsid w:val="32840C5C"/>
    <w:rsid w:val="336B6CE0"/>
    <w:rsid w:val="338140BB"/>
    <w:rsid w:val="34D0274F"/>
    <w:rsid w:val="35337105"/>
    <w:rsid w:val="35AE44BE"/>
    <w:rsid w:val="3693704A"/>
    <w:rsid w:val="36AB33AA"/>
    <w:rsid w:val="370F76FD"/>
    <w:rsid w:val="371D62BE"/>
    <w:rsid w:val="37480789"/>
    <w:rsid w:val="379B089E"/>
    <w:rsid w:val="37A10E22"/>
    <w:rsid w:val="38AA1B3D"/>
    <w:rsid w:val="38E56968"/>
    <w:rsid w:val="39BC3B6C"/>
    <w:rsid w:val="3AA36ADA"/>
    <w:rsid w:val="3AB900AC"/>
    <w:rsid w:val="3B9D352A"/>
    <w:rsid w:val="3C7544A7"/>
    <w:rsid w:val="3CD613E9"/>
    <w:rsid w:val="3CDD2778"/>
    <w:rsid w:val="3E032AE0"/>
    <w:rsid w:val="3EC314F9"/>
    <w:rsid w:val="3F603C49"/>
    <w:rsid w:val="3F76656C"/>
    <w:rsid w:val="3FD93355"/>
    <w:rsid w:val="40550877"/>
    <w:rsid w:val="420A16A2"/>
    <w:rsid w:val="42E80618"/>
    <w:rsid w:val="43357503"/>
    <w:rsid w:val="438C45B0"/>
    <w:rsid w:val="443609BF"/>
    <w:rsid w:val="447267E8"/>
    <w:rsid w:val="44784B34"/>
    <w:rsid w:val="449A71A0"/>
    <w:rsid w:val="44BF2763"/>
    <w:rsid w:val="450308A1"/>
    <w:rsid w:val="456D21BF"/>
    <w:rsid w:val="45A2455E"/>
    <w:rsid w:val="462705C0"/>
    <w:rsid w:val="46817118"/>
    <w:rsid w:val="47501B4C"/>
    <w:rsid w:val="479F4ACB"/>
    <w:rsid w:val="47AC3472"/>
    <w:rsid w:val="47BB1907"/>
    <w:rsid w:val="485A3530"/>
    <w:rsid w:val="4A18759E"/>
    <w:rsid w:val="4A3414FD"/>
    <w:rsid w:val="4AD06FAC"/>
    <w:rsid w:val="4B6A7992"/>
    <w:rsid w:val="4C15710C"/>
    <w:rsid w:val="4C2630C7"/>
    <w:rsid w:val="4C5440D8"/>
    <w:rsid w:val="4CC46A55"/>
    <w:rsid w:val="4D163D1E"/>
    <w:rsid w:val="4D186EB4"/>
    <w:rsid w:val="4DE84247"/>
    <w:rsid w:val="4E197388"/>
    <w:rsid w:val="4E2006BF"/>
    <w:rsid w:val="4E347D1E"/>
    <w:rsid w:val="4F302BDB"/>
    <w:rsid w:val="4F7A5455"/>
    <w:rsid w:val="50893C0F"/>
    <w:rsid w:val="5095328E"/>
    <w:rsid w:val="50FA6A61"/>
    <w:rsid w:val="51165E00"/>
    <w:rsid w:val="51917235"/>
    <w:rsid w:val="519A433C"/>
    <w:rsid w:val="51F021AD"/>
    <w:rsid w:val="540F1FD2"/>
    <w:rsid w:val="54B95421"/>
    <w:rsid w:val="54BA0E8E"/>
    <w:rsid w:val="5563713A"/>
    <w:rsid w:val="56777341"/>
    <w:rsid w:val="56E10C5F"/>
    <w:rsid w:val="56F75D8C"/>
    <w:rsid w:val="57654754"/>
    <w:rsid w:val="59102873"/>
    <w:rsid w:val="59107A41"/>
    <w:rsid w:val="59381598"/>
    <w:rsid w:val="593B28A8"/>
    <w:rsid w:val="59A10231"/>
    <w:rsid w:val="59E666D4"/>
    <w:rsid w:val="5A236E98"/>
    <w:rsid w:val="5A9D30EE"/>
    <w:rsid w:val="5AC93EE4"/>
    <w:rsid w:val="5B3F5F54"/>
    <w:rsid w:val="5B5437AD"/>
    <w:rsid w:val="5B6559BA"/>
    <w:rsid w:val="5B8F47E5"/>
    <w:rsid w:val="5BD40D92"/>
    <w:rsid w:val="5BFD0034"/>
    <w:rsid w:val="5C583771"/>
    <w:rsid w:val="5C6E089F"/>
    <w:rsid w:val="5CB14C2F"/>
    <w:rsid w:val="5CE648D9"/>
    <w:rsid w:val="5D1A4582"/>
    <w:rsid w:val="5D1F428F"/>
    <w:rsid w:val="5DCF1811"/>
    <w:rsid w:val="5FAF18FA"/>
    <w:rsid w:val="5FCC24AC"/>
    <w:rsid w:val="5FD01870"/>
    <w:rsid w:val="600532C8"/>
    <w:rsid w:val="60076EC3"/>
    <w:rsid w:val="607411AB"/>
    <w:rsid w:val="60873EC2"/>
    <w:rsid w:val="60A60070"/>
    <w:rsid w:val="60E44AC0"/>
    <w:rsid w:val="60FF240D"/>
    <w:rsid w:val="61314591"/>
    <w:rsid w:val="617D04D5"/>
    <w:rsid w:val="619F599E"/>
    <w:rsid w:val="61C251E9"/>
    <w:rsid w:val="61D4389A"/>
    <w:rsid w:val="61EC5132"/>
    <w:rsid w:val="62A50D92"/>
    <w:rsid w:val="63AD6150"/>
    <w:rsid w:val="63F7561D"/>
    <w:rsid w:val="640C25AF"/>
    <w:rsid w:val="64195594"/>
    <w:rsid w:val="654772A2"/>
    <w:rsid w:val="65F53DDF"/>
    <w:rsid w:val="66EA3218"/>
    <w:rsid w:val="66FC2F4B"/>
    <w:rsid w:val="679D4253"/>
    <w:rsid w:val="68294F2E"/>
    <w:rsid w:val="684921C0"/>
    <w:rsid w:val="684A6664"/>
    <w:rsid w:val="6850354E"/>
    <w:rsid w:val="68E97B63"/>
    <w:rsid w:val="6B2440DA"/>
    <w:rsid w:val="6B637E29"/>
    <w:rsid w:val="6B674B73"/>
    <w:rsid w:val="6D2179A7"/>
    <w:rsid w:val="6D5533B5"/>
    <w:rsid w:val="6DA23D7D"/>
    <w:rsid w:val="6F9401C4"/>
    <w:rsid w:val="6FD902CD"/>
    <w:rsid w:val="703F282F"/>
    <w:rsid w:val="709D12FB"/>
    <w:rsid w:val="70F51137"/>
    <w:rsid w:val="713A123F"/>
    <w:rsid w:val="71862E51"/>
    <w:rsid w:val="71A62431"/>
    <w:rsid w:val="71CB1E97"/>
    <w:rsid w:val="72AA5080"/>
    <w:rsid w:val="731358A4"/>
    <w:rsid w:val="74404DBF"/>
    <w:rsid w:val="744228E5"/>
    <w:rsid w:val="74783A1C"/>
    <w:rsid w:val="74B05132"/>
    <w:rsid w:val="752E10BB"/>
    <w:rsid w:val="755328D0"/>
    <w:rsid w:val="759C014B"/>
    <w:rsid w:val="75A17AE4"/>
    <w:rsid w:val="760065B4"/>
    <w:rsid w:val="7601232C"/>
    <w:rsid w:val="76766876"/>
    <w:rsid w:val="76AF28AF"/>
    <w:rsid w:val="77266D5B"/>
    <w:rsid w:val="772A35DE"/>
    <w:rsid w:val="77C81353"/>
    <w:rsid w:val="77ED428C"/>
    <w:rsid w:val="78B6564F"/>
    <w:rsid w:val="7967694A"/>
    <w:rsid w:val="79B8166B"/>
    <w:rsid w:val="79BF662E"/>
    <w:rsid w:val="79C1605A"/>
    <w:rsid w:val="7A777AE8"/>
    <w:rsid w:val="7AA65250"/>
    <w:rsid w:val="7ACB502A"/>
    <w:rsid w:val="7B2952F2"/>
    <w:rsid w:val="7B460AAB"/>
    <w:rsid w:val="7B4E6013"/>
    <w:rsid w:val="7BF5023D"/>
    <w:rsid w:val="7C5F3444"/>
    <w:rsid w:val="7D807FDA"/>
    <w:rsid w:val="7E9A50CB"/>
    <w:rsid w:val="7EDC1B88"/>
    <w:rsid w:val="7FC44AF6"/>
    <w:rsid w:val="7FD4460D"/>
    <w:rsid w:val="7FEA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rFonts w:ascii="Calibri" w:hAnsi="Calibri"/>
    </w:rPr>
  </w:style>
  <w:style w:type="paragraph" w:styleId="4">
    <w:name w:val="annotation text"/>
    <w:basedOn w:val="1"/>
    <w:link w:val="23"/>
    <w:unhideWhenUsed/>
    <w:qFormat/>
    <w:uiPriority w:val="99"/>
    <w:pPr>
      <w:jc w:val="left"/>
    </w:pPr>
  </w:style>
  <w:style w:type="paragraph" w:styleId="5">
    <w:name w:val="Body Text"/>
    <w:basedOn w:val="1"/>
    <w:unhideWhenUsed/>
    <w:qFormat/>
    <w:uiPriority w:val="99"/>
    <w:pPr>
      <w:spacing w:after="120"/>
    </w:pPr>
  </w:style>
  <w:style w:type="paragraph" w:styleId="6">
    <w:name w:val="toc 3"/>
    <w:basedOn w:val="1"/>
    <w:next w:val="1"/>
    <w:unhideWhenUsed/>
    <w:qFormat/>
    <w:uiPriority w:val="39"/>
    <w:pPr>
      <w:ind w:left="840" w:leftChars="400"/>
    </w:pPr>
  </w:style>
  <w:style w:type="paragraph" w:styleId="7">
    <w:name w:val="Balloon Text"/>
    <w:basedOn w:val="1"/>
    <w:link w:val="25"/>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9"/>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列出段落 Char"/>
    <w:link w:val="21"/>
    <w:qFormat/>
    <w:uiPriority w:val="34"/>
    <w:rPr>
      <w:rFonts w:ascii="Times New Roman" w:hAnsi="Times New Roman"/>
      <w:szCs w:val="24"/>
    </w:rPr>
  </w:style>
  <w:style w:type="paragraph" w:styleId="21">
    <w:name w:val="List Paragraph"/>
    <w:basedOn w:val="1"/>
    <w:link w:val="20"/>
    <w:qFormat/>
    <w:uiPriority w:val="34"/>
    <w:pPr>
      <w:ind w:firstLine="420" w:firstLineChars="200"/>
    </w:pPr>
    <w:rPr>
      <w:rFonts w:eastAsiaTheme="minorEastAsia" w:cstheme="minorBidi"/>
    </w:rPr>
  </w:style>
  <w:style w:type="character" w:customStyle="1" w:styleId="22">
    <w:name w:val="批注文字 字符"/>
    <w:basedOn w:val="17"/>
    <w:semiHidden/>
    <w:qFormat/>
    <w:uiPriority w:val="99"/>
    <w:rPr>
      <w:rFonts w:ascii="Times New Roman" w:hAnsi="Times New Roman" w:eastAsia="宋体" w:cs="Times New Roman"/>
      <w:szCs w:val="24"/>
    </w:rPr>
  </w:style>
  <w:style w:type="character" w:customStyle="1" w:styleId="23">
    <w:name w:val="批注文字 Char"/>
    <w:link w:val="4"/>
    <w:qFormat/>
    <w:uiPriority w:val="99"/>
    <w:rPr>
      <w:rFonts w:ascii="Times New Roman" w:hAnsi="Times New Roman" w:eastAsia="宋体" w:cs="Times New Roman"/>
      <w:szCs w:val="24"/>
    </w:rPr>
  </w:style>
  <w:style w:type="paragraph" w:customStyle="1" w:styleId="2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5">
    <w:name w:val="批注框文本 Char"/>
    <w:basedOn w:val="17"/>
    <w:link w:val="7"/>
    <w:semiHidden/>
    <w:qFormat/>
    <w:uiPriority w:val="99"/>
    <w:rPr>
      <w:rFonts w:ascii="Times New Roman" w:hAnsi="Times New Roman" w:eastAsia="宋体" w:cs="Times New Roman"/>
      <w:sz w:val="18"/>
      <w:szCs w:val="18"/>
    </w:rPr>
  </w:style>
  <w:style w:type="character" w:customStyle="1" w:styleId="26">
    <w:name w:val="页眉 Char"/>
    <w:basedOn w:val="17"/>
    <w:link w:val="9"/>
    <w:qFormat/>
    <w:uiPriority w:val="99"/>
    <w:rPr>
      <w:rFonts w:ascii="Times New Roman" w:hAnsi="Times New Roman" w:eastAsia="宋体" w:cs="Times New Roman"/>
      <w:sz w:val="18"/>
      <w:szCs w:val="18"/>
    </w:rPr>
  </w:style>
  <w:style w:type="character" w:customStyle="1" w:styleId="27">
    <w:name w:val="页脚 Char"/>
    <w:basedOn w:val="17"/>
    <w:link w:val="8"/>
    <w:qFormat/>
    <w:uiPriority w:val="99"/>
    <w:rPr>
      <w:rFonts w:ascii="Times New Roman" w:hAnsi="Times New Roman" w:eastAsia="宋体" w:cs="Times New Roman"/>
      <w:sz w:val="18"/>
      <w:szCs w:val="18"/>
    </w:rPr>
  </w:style>
  <w:style w:type="character" w:customStyle="1" w:styleId="28">
    <w:name w:val="标题1"/>
    <w:basedOn w:val="17"/>
    <w:qFormat/>
    <w:uiPriority w:val="0"/>
  </w:style>
  <w:style w:type="character" w:customStyle="1" w:styleId="29">
    <w:name w:val="批注主题 Char"/>
    <w:basedOn w:val="23"/>
    <w:link w:val="14"/>
    <w:semiHidden/>
    <w:qFormat/>
    <w:uiPriority w:val="99"/>
    <w:rPr>
      <w:rFonts w:ascii="Times New Roman" w:hAnsi="Times New Roman" w:eastAsia="宋体" w:cs="Times New Roman"/>
      <w:b/>
      <w:bCs/>
      <w:szCs w:val="24"/>
    </w:rPr>
  </w:style>
  <w:style w:type="paragraph" w:customStyle="1" w:styleId="30">
    <w:name w:val="修订1"/>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3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Unresolved Mention"/>
    <w:basedOn w:val="17"/>
    <w:semiHidden/>
    <w:unhideWhenUsed/>
    <w:qFormat/>
    <w:uiPriority w:val="99"/>
    <w:rPr>
      <w:color w:val="605E5C"/>
      <w:shd w:val="clear" w:color="auto" w:fill="E1DFDD"/>
    </w:rPr>
  </w:style>
  <w:style w:type="paragraph" w:customStyle="1" w:styleId="33">
    <w:name w:val="一、"/>
    <w:basedOn w:val="1"/>
    <w:qFormat/>
    <w:uiPriority w:val="0"/>
    <w:pPr>
      <w:numPr>
        <w:ilvl w:val="1"/>
        <w:numId w:val="1"/>
      </w:numPr>
      <w:tabs>
        <w:tab w:val="left" w:pos="720"/>
      </w:tabs>
      <w:spacing w:line="740" w:lineRule="exact"/>
      <w:ind w:left="0"/>
    </w:pPr>
    <w:rPr>
      <w:sz w:val="28"/>
    </w:rPr>
  </w:style>
  <w:style w:type="paragraph" w:customStyle="1" w:styleId="34">
    <w:name w:val="第一部分"/>
    <w:basedOn w:val="1"/>
    <w:qFormat/>
    <w:uiPriority w:val="0"/>
    <w:pPr>
      <w:numPr>
        <w:ilvl w:val="0"/>
        <w:numId w:val="2"/>
      </w:numPr>
      <w:spacing w:line="1000" w:lineRule="exact"/>
      <w:ind w:left="0" w:firstLine="0"/>
      <w:jc w:val="center"/>
    </w:pPr>
    <w:rPr>
      <w:rFonts w:eastAsia="黑体"/>
      <w:b/>
      <w:spacing w:val="24"/>
      <w:sz w:val="36"/>
    </w:rPr>
  </w:style>
  <w:style w:type="paragraph" w:customStyle="1" w:styleId="35">
    <w:name w:val="居中"/>
    <w:basedOn w:val="1"/>
    <w:qFormat/>
    <w:uiPriority w:val="0"/>
    <w:pPr>
      <w:spacing w:line="2000" w:lineRule="exact"/>
      <w:jc w:val="center"/>
    </w:pPr>
    <w:rPr>
      <w:b/>
      <w:bCs/>
      <w:sz w:val="40"/>
    </w:rPr>
  </w:style>
  <w:style w:type="paragraph" w:customStyle="1" w:styleId="36">
    <w:name w:val="第一条"/>
    <w:basedOn w:val="1"/>
    <w:qFormat/>
    <w:uiPriority w:val="0"/>
    <w:pPr>
      <w:numPr>
        <w:ilvl w:val="0"/>
        <w:numId w:val="3"/>
      </w:numPr>
      <w:spacing w:line="740" w:lineRule="exact"/>
      <w:ind w:firstLine="200" w:firstLineChars="200"/>
    </w:pPr>
    <w:rPr>
      <w:sz w:val="28"/>
    </w:rPr>
  </w:style>
  <w:style w:type="paragraph" w:customStyle="1" w:styleId="37">
    <w:name w:val="第二条"/>
    <w:basedOn w:val="1"/>
    <w:qFormat/>
    <w:uiPriority w:val="0"/>
    <w:pPr>
      <w:spacing w:line="740" w:lineRule="exact"/>
    </w:pPr>
    <w:rPr>
      <w:sz w:val="28"/>
    </w:rPr>
  </w:style>
  <w:style w:type="paragraph" w:customStyle="1" w:styleId="38">
    <w:name w:val="（一）"/>
    <w:basedOn w:val="1"/>
    <w:qFormat/>
    <w:uiPriority w:val="0"/>
    <w:pPr>
      <w:numPr>
        <w:ilvl w:val="0"/>
        <w:numId w:val="4"/>
      </w:numPr>
      <w:spacing w:line="740" w:lineRule="exact"/>
      <w:ind w:left="198" w:firstLine="198"/>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6FB03-7A98-467A-8867-9BE84B945ABD}">
  <ds:schemaRefs/>
</ds:datastoreItem>
</file>

<file path=docProps/app.xml><?xml version="1.0" encoding="utf-8"?>
<Properties xmlns="http://schemas.openxmlformats.org/officeDocument/2006/extended-properties" xmlns:vt="http://schemas.openxmlformats.org/officeDocument/2006/docPropsVTypes">
  <Template>Normal</Template>
  <Pages>43</Pages>
  <Words>17014</Words>
  <Characters>17680</Characters>
  <Lines>148</Lines>
  <Paragraphs>41</Paragraphs>
  <TotalTime>68</TotalTime>
  <ScaleCrop>false</ScaleCrop>
  <LinksUpToDate>false</LinksUpToDate>
  <CharactersWithSpaces>19861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2022-01-13T13:01:00Z</dcterms:created>
  <dc:creator>Tony Young</dc:creator>
  <cp:lastModifiedBy>szcec</cp:lastModifiedBy>
  <dcterms:modified xsi:type="dcterms:W3CDTF">2022-04-01T06:42:16Z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3EE820CB59DF4469B3A8336E241499B4</vt:lpwstr>
  </property>
</Properties>
</file>