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tabs>
          <w:tab w:val="left" w:pos="8640"/>
        </w:tabs>
        <w:ind w:left="360" w:firstLine="0" w:firstLineChars="0"/>
        <w:rPr>
          <w:color w:val="000000" w:themeColor="text1"/>
          <w:sz w:val="30"/>
          <w:szCs w:val="30"/>
          <w:highlight w:val="yellow"/>
          <w14:textFill>
            <w14:solidFill>
              <w14:schemeClr w14:val="tx1"/>
            </w14:solidFill>
          </w14:textFill>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项目名称：深圳会展中心20</w:t>
      </w:r>
      <w:r>
        <w:rPr>
          <w:rFonts w:ascii="方正小标宋_GBK" w:hAnsi="方正小标宋_GBK" w:eastAsia="方正小标宋_GBK" w:cs="方正小标宋_GBK"/>
          <w:b/>
          <w:sz w:val="32"/>
          <w:szCs w:val="32"/>
        </w:rPr>
        <w:t>22</w:t>
      </w:r>
      <w:r>
        <w:rPr>
          <w:rFonts w:hint="eastAsia" w:ascii="方正小标宋_GBK" w:hAnsi="方正小标宋_GBK" w:eastAsia="方正小标宋_GBK" w:cs="方正小标宋_GBK"/>
          <w:b/>
          <w:sz w:val="32"/>
          <w:szCs w:val="32"/>
        </w:rPr>
        <w:t>年度绿化服务项目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rPr>
        <w:t>2年</w:t>
      </w:r>
      <w:r>
        <w:rPr>
          <w:rFonts w:hint="eastAsia" w:ascii="方正小标宋_GBK" w:hAnsi="方正小标宋_GBK" w:eastAsia="方正小标宋_GBK" w:cs="方正小标宋_GBK"/>
          <w:b/>
          <w:sz w:val="32"/>
          <w:szCs w:val="32"/>
          <w:lang w:val="en-US" w:eastAsia="zh-CN"/>
        </w:rPr>
        <w:t>4</w:t>
      </w:r>
      <w:r>
        <w:rPr>
          <w:rFonts w:hint="eastAsia" w:ascii="方正小标宋_GBK" w:hAnsi="方正小标宋_GBK" w:eastAsia="方正小标宋_GBK" w:cs="方正小标宋_GBK"/>
          <w:b/>
          <w:sz w:val="32"/>
          <w:szCs w:val="32"/>
        </w:rPr>
        <w:t>月</w:t>
      </w:r>
      <w:r>
        <w:rPr>
          <w:rFonts w:ascii="方正小标宋_GBK" w:hAnsi="方正小标宋_GBK" w:eastAsia="方正小标宋_GBK" w:cs="方正小标宋_GBK"/>
          <w:b/>
          <w:sz w:val="32"/>
          <w:szCs w:val="32"/>
        </w:rPr>
        <w:br w:type="page"/>
      </w:r>
    </w:p>
    <w:p>
      <w:pPr>
        <w:pStyle w:val="1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8"/>
        <w:tabs>
          <w:tab w:val="right" w:leader="dot" w:pos="8296"/>
        </w:tabs>
        <w:spacing w:line="360" w:lineRule="auto"/>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"_Toc82783883" </w:instrText>
      </w:r>
      <w:r>
        <w:fldChar w:fldCharType="separate"/>
      </w:r>
      <w:r>
        <w:rPr>
          <w:rStyle w:val="24"/>
          <w:rFonts w:ascii="宋体" w:hAnsi="宋体"/>
          <w:b/>
        </w:rPr>
        <w:t>第一部分 项目要求</w:t>
      </w:r>
      <w:r>
        <w:tab/>
      </w:r>
      <w:r>
        <w:fldChar w:fldCharType="begin"/>
      </w:r>
      <w:r>
        <w:instrText xml:space="preserve"> PAGEREF _Toc82783883 \h </w:instrText>
      </w:r>
      <w:r>
        <w:fldChar w:fldCharType="separate"/>
      </w:r>
      <w:r>
        <w:t>1</w:t>
      </w:r>
      <w:r>
        <w:fldChar w:fldCharType="end"/>
      </w:r>
      <w:r>
        <w:fldChar w:fldCharType="end"/>
      </w:r>
    </w:p>
    <w:p>
      <w:pPr>
        <w:pStyle w:val="19"/>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"_Toc82783884" </w:instrText>
      </w:r>
      <w:r>
        <w:fldChar w:fldCharType="separate"/>
      </w:r>
      <w:r>
        <w:rPr>
          <w:rStyle w:val="24"/>
          <w:rFonts w:ascii="宋体" w:hAnsi="宋体" w:cs="仿宋"/>
          <w:bCs/>
        </w:rPr>
        <w:t>一、</w:t>
      </w:r>
      <w:r>
        <w:rPr>
          <w:rStyle w:val="24"/>
          <w:rFonts w:ascii="宋体" w:hAnsi="宋体"/>
        </w:rPr>
        <w:t>投标人须知</w:t>
      </w:r>
      <w:r>
        <w:tab/>
      </w:r>
      <w:r>
        <w:fldChar w:fldCharType="begin"/>
      </w:r>
      <w:r>
        <w:instrText xml:space="preserve"> PAGEREF _Toc82783884 \h </w:instrText>
      </w:r>
      <w:r>
        <w:fldChar w:fldCharType="separate"/>
      </w:r>
      <w:r>
        <w:t>1</w:t>
      </w:r>
      <w:r>
        <w:fldChar w:fldCharType="end"/>
      </w:r>
      <w:r>
        <w:fldChar w:fldCharType="end"/>
      </w:r>
    </w:p>
    <w:p>
      <w:pPr>
        <w:pStyle w:val="19"/>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"_Toc82783885" </w:instrText>
      </w:r>
      <w:r>
        <w:fldChar w:fldCharType="separate"/>
      </w:r>
      <w:r>
        <w:rPr>
          <w:rStyle w:val="24"/>
          <w:rFonts w:ascii="宋体" w:hAnsi="宋体" w:cs="仿宋"/>
          <w:bCs/>
        </w:rPr>
        <w:t>二、</w:t>
      </w:r>
      <w:r>
        <w:rPr>
          <w:rStyle w:val="24"/>
          <w:rFonts w:ascii="宋体" w:hAnsi="宋体"/>
        </w:rPr>
        <w:t>特别说明</w:t>
      </w:r>
      <w:r>
        <w:tab/>
      </w:r>
      <w:r>
        <w:fldChar w:fldCharType="begin"/>
      </w:r>
      <w:r>
        <w:instrText xml:space="preserve"> PAGEREF _Toc82783885 \h </w:instrText>
      </w:r>
      <w:r>
        <w:fldChar w:fldCharType="separate"/>
      </w:r>
      <w:r>
        <w:t>3</w:t>
      </w:r>
      <w:r>
        <w:fldChar w:fldCharType="end"/>
      </w:r>
      <w:r>
        <w:fldChar w:fldCharType="end"/>
      </w:r>
    </w:p>
    <w:p>
      <w:pPr>
        <w:pStyle w:val="19"/>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"_Toc82783886" </w:instrText>
      </w:r>
      <w:r>
        <w:fldChar w:fldCharType="separate"/>
      </w:r>
      <w:r>
        <w:rPr>
          <w:rStyle w:val="24"/>
          <w:rFonts w:ascii="宋体" w:hAnsi="宋体" w:cs="仿宋"/>
          <w:bCs/>
        </w:rPr>
        <w:t>三、</w:t>
      </w:r>
      <w:r>
        <w:rPr>
          <w:rStyle w:val="24"/>
          <w:rFonts w:ascii="宋体" w:hAnsi="宋体"/>
        </w:rPr>
        <w:t>投标文件编制</w:t>
      </w:r>
      <w:r>
        <w:tab/>
      </w:r>
      <w:r>
        <w:fldChar w:fldCharType="begin"/>
      </w:r>
      <w:r>
        <w:instrText xml:space="preserve"> PAGEREF _Toc82783886 \h </w:instrText>
      </w:r>
      <w:r>
        <w:fldChar w:fldCharType="separate"/>
      </w:r>
      <w:r>
        <w:t>3</w:t>
      </w:r>
      <w:r>
        <w:fldChar w:fldCharType="end"/>
      </w:r>
      <w:r>
        <w:fldChar w:fldCharType="end"/>
      </w:r>
    </w:p>
    <w:p>
      <w:pPr>
        <w:pStyle w:val="19"/>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"_Toc82783887" </w:instrText>
      </w:r>
      <w:r>
        <w:fldChar w:fldCharType="separate"/>
      </w:r>
      <w:r>
        <w:rPr>
          <w:rStyle w:val="24"/>
          <w:rFonts w:ascii="宋体" w:hAnsi="宋体" w:cs="仿宋"/>
          <w:bCs/>
        </w:rPr>
        <w:t>四、</w:t>
      </w:r>
      <w:r>
        <w:rPr>
          <w:rStyle w:val="24"/>
          <w:rFonts w:ascii="宋体" w:hAnsi="宋体"/>
        </w:rPr>
        <w:t>项目要求及数量</w:t>
      </w:r>
      <w:r>
        <w:tab/>
      </w:r>
      <w:r>
        <w:fldChar w:fldCharType="begin"/>
      </w:r>
      <w:r>
        <w:instrText xml:space="preserve"> PAGEREF _Toc82783887 \h </w:instrText>
      </w:r>
      <w:r>
        <w:fldChar w:fldCharType="separate"/>
      </w:r>
      <w:r>
        <w:t>4</w:t>
      </w:r>
      <w:r>
        <w:fldChar w:fldCharType="end"/>
      </w:r>
      <w:r>
        <w:fldChar w:fldCharType="end"/>
      </w:r>
    </w:p>
    <w:p>
      <w:pPr>
        <w:pStyle w:val="19"/>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"_Toc82783888" </w:instrText>
      </w:r>
      <w:r>
        <w:fldChar w:fldCharType="separate"/>
      </w:r>
      <w:r>
        <w:rPr>
          <w:rStyle w:val="24"/>
          <w:rFonts w:ascii="宋体" w:hAnsi="宋体" w:cs="仿宋"/>
          <w:bCs/>
        </w:rPr>
        <w:t>五、</w:t>
      </w:r>
      <w:r>
        <w:rPr>
          <w:rStyle w:val="24"/>
          <w:rFonts w:ascii="宋体" w:hAnsi="宋体"/>
        </w:rPr>
        <w:t>其他项目说明资料</w:t>
      </w:r>
      <w:r>
        <w:tab/>
      </w:r>
      <w:r>
        <w:fldChar w:fldCharType="begin"/>
      </w:r>
      <w:r>
        <w:instrText xml:space="preserve"> PAGEREF _Toc82783888 \h </w:instrText>
      </w:r>
      <w:r>
        <w:fldChar w:fldCharType="separate"/>
      </w:r>
      <w:r>
        <w:t>8</w:t>
      </w:r>
      <w:r>
        <w:fldChar w:fldCharType="end"/>
      </w:r>
      <w:r>
        <w:fldChar w:fldCharType="end"/>
      </w:r>
    </w:p>
    <w:p>
      <w:pPr>
        <w:pStyle w:val="18"/>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"_Toc82783889" </w:instrText>
      </w:r>
      <w:r>
        <w:fldChar w:fldCharType="separate"/>
      </w:r>
      <w:r>
        <w:rPr>
          <w:rStyle w:val="24"/>
          <w:rFonts w:ascii="宋体" w:hAnsi="宋体"/>
          <w:b/>
        </w:rPr>
        <w:t>第二部分：开标流程</w:t>
      </w:r>
      <w:r>
        <w:tab/>
      </w:r>
      <w:r>
        <w:fldChar w:fldCharType="begin"/>
      </w:r>
      <w:r>
        <w:instrText xml:space="preserve"> PAGEREF _Toc82783889 \h </w:instrText>
      </w:r>
      <w:r>
        <w:fldChar w:fldCharType="separate"/>
      </w:r>
      <w:r>
        <w:t>11</w:t>
      </w:r>
      <w:r>
        <w:fldChar w:fldCharType="end"/>
      </w:r>
      <w:r>
        <w:fldChar w:fldCharType="end"/>
      </w:r>
    </w:p>
    <w:p>
      <w:pPr>
        <w:pStyle w:val="19"/>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"_Toc82783890" </w:instrText>
      </w:r>
      <w:r>
        <w:fldChar w:fldCharType="separate"/>
      </w:r>
      <w:r>
        <w:rPr>
          <w:rStyle w:val="24"/>
          <w:rFonts w:ascii="宋体" w:hAnsi="宋体" w:cs="仿宋"/>
          <w:bCs/>
        </w:rPr>
        <w:t>六、</w:t>
      </w:r>
      <w:r>
        <w:rPr>
          <w:rStyle w:val="24"/>
          <w:rFonts w:ascii="宋体" w:hAnsi="宋体"/>
        </w:rPr>
        <w:t>开标流程</w:t>
      </w:r>
      <w:r>
        <w:tab/>
      </w:r>
      <w:r>
        <w:fldChar w:fldCharType="begin"/>
      </w:r>
      <w:r>
        <w:instrText xml:space="preserve"> PAGEREF _Toc82783890 \h </w:instrText>
      </w:r>
      <w:r>
        <w:fldChar w:fldCharType="separate"/>
      </w:r>
      <w:r>
        <w:t>11</w:t>
      </w:r>
      <w:r>
        <w:fldChar w:fldCharType="end"/>
      </w:r>
      <w:r>
        <w:fldChar w:fldCharType="end"/>
      </w:r>
    </w:p>
    <w:p>
      <w:pPr>
        <w:pStyle w:val="18"/>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"_Toc82783891" </w:instrText>
      </w:r>
      <w:r>
        <w:fldChar w:fldCharType="separate"/>
      </w:r>
      <w:r>
        <w:rPr>
          <w:rStyle w:val="24"/>
          <w:rFonts w:ascii="宋体" w:hAnsi="宋体"/>
          <w:b/>
        </w:rPr>
        <w:t>第三部分：评审办法</w:t>
      </w:r>
      <w:r>
        <w:tab/>
      </w:r>
      <w:r>
        <w:fldChar w:fldCharType="begin"/>
      </w:r>
      <w:r>
        <w:instrText xml:space="preserve"> PAGEREF _Toc82783891 \h </w:instrText>
      </w:r>
      <w:r>
        <w:fldChar w:fldCharType="separate"/>
      </w:r>
      <w:r>
        <w:t>12</w:t>
      </w:r>
      <w:r>
        <w:fldChar w:fldCharType="end"/>
      </w:r>
      <w:r>
        <w:fldChar w:fldCharType="end"/>
      </w:r>
    </w:p>
    <w:p>
      <w:pPr>
        <w:pStyle w:val="19"/>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"_Toc82783892" </w:instrText>
      </w:r>
      <w:r>
        <w:fldChar w:fldCharType="separate"/>
      </w:r>
      <w:r>
        <w:rPr>
          <w:rStyle w:val="24"/>
          <w:rFonts w:ascii="宋体" w:hAnsi="宋体" w:cs="仿宋"/>
          <w:bCs/>
        </w:rPr>
        <w:t>七、</w:t>
      </w:r>
      <w:r>
        <w:rPr>
          <w:rStyle w:val="24"/>
          <w:rFonts w:ascii="宋体" w:hAnsi="宋体"/>
          <w:bCs/>
        </w:rPr>
        <w:t>评审办法</w:t>
      </w:r>
      <w:r>
        <w:tab/>
      </w:r>
      <w:r>
        <w:fldChar w:fldCharType="begin"/>
      </w:r>
      <w:r>
        <w:instrText xml:space="preserve"> PAGEREF _Toc82783892 \h </w:instrText>
      </w:r>
      <w:r>
        <w:fldChar w:fldCharType="separate"/>
      </w:r>
      <w:r>
        <w:t>12</w:t>
      </w:r>
      <w:r>
        <w:fldChar w:fldCharType="end"/>
      </w:r>
      <w:r>
        <w:fldChar w:fldCharType="end"/>
      </w:r>
    </w:p>
    <w:p>
      <w:pPr>
        <w:pStyle w:val="14"/>
        <w:tabs>
          <w:tab w:val="left" w:pos="1682"/>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"_Toc82783893" </w:instrText>
      </w:r>
      <w:r>
        <w:fldChar w:fldCharType="separate"/>
      </w:r>
      <w:r>
        <w:rPr>
          <w:rStyle w:val="24"/>
          <w:rFonts w:ascii="宋体" w:hAnsi="宋体"/>
        </w:rPr>
        <w:t>（一）</w:t>
      </w:r>
      <w:r>
        <w:rPr>
          <w:rStyle w:val="24"/>
          <w:rFonts w:ascii="宋体" w:hAnsi="宋体"/>
          <w:bCs/>
        </w:rPr>
        <w:t>符合性检查</w:t>
      </w:r>
      <w:r>
        <w:tab/>
      </w:r>
      <w:r>
        <w:fldChar w:fldCharType="begin"/>
      </w:r>
      <w:r>
        <w:instrText xml:space="preserve"> PAGEREF _Toc82783893 \h </w:instrText>
      </w:r>
      <w:r>
        <w:fldChar w:fldCharType="separate"/>
      </w:r>
      <w:r>
        <w:t>12</w:t>
      </w:r>
      <w:r>
        <w:fldChar w:fldCharType="end"/>
      </w:r>
      <w:r>
        <w:fldChar w:fldCharType="end"/>
      </w:r>
    </w:p>
    <w:p>
      <w:pPr>
        <w:pStyle w:val="14"/>
        <w:tabs>
          <w:tab w:val="left" w:pos="1682"/>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"_Toc82783894" </w:instrText>
      </w:r>
      <w:r>
        <w:fldChar w:fldCharType="separate"/>
      </w:r>
      <w:r>
        <w:rPr>
          <w:rStyle w:val="24"/>
          <w:rFonts w:ascii="宋体" w:hAnsi="宋体"/>
          <w:bCs/>
        </w:rPr>
        <w:t>（二）综合评议指标表</w:t>
      </w:r>
      <w:r>
        <w:tab/>
      </w:r>
      <w:r>
        <w:fldChar w:fldCharType="begin"/>
      </w:r>
      <w:r>
        <w:instrText xml:space="preserve"> PAGEREF _Toc82783894 \h </w:instrText>
      </w:r>
      <w:r>
        <w:fldChar w:fldCharType="separate"/>
      </w:r>
      <w:r>
        <w:t>13</w:t>
      </w:r>
      <w:r>
        <w:fldChar w:fldCharType="end"/>
      </w:r>
      <w:r>
        <w:fldChar w:fldCharType="end"/>
      </w:r>
    </w:p>
    <w:p>
      <w:pPr>
        <w:pStyle w:val="18"/>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"_Toc82783895" </w:instrText>
      </w:r>
      <w:r>
        <w:fldChar w:fldCharType="separate"/>
      </w:r>
      <w:r>
        <w:rPr>
          <w:rStyle w:val="24"/>
          <w:rFonts w:ascii="宋体" w:hAnsi="宋体"/>
          <w:b/>
        </w:rPr>
        <w:t>第四部分：合同条款及格式</w:t>
      </w:r>
      <w:r>
        <w:tab/>
      </w:r>
      <w:r>
        <w:fldChar w:fldCharType="begin"/>
      </w:r>
      <w:r>
        <w:instrText xml:space="preserve"> PAGEREF _Toc82783895 \h </w:instrText>
      </w:r>
      <w:r>
        <w:fldChar w:fldCharType="separate"/>
      </w:r>
      <w:r>
        <w:t>15</w:t>
      </w:r>
      <w:r>
        <w:fldChar w:fldCharType="end"/>
      </w:r>
      <w:r>
        <w:fldChar w:fldCharType="end"/>
      </w:r>
    </w:p>
    <w:p>
      <w:pPr>
        <w:pStyle w:val="18"/>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"_Toc82783896" </w:instrText>
      </w:r>
      <w:r>
        <w:fldChar w:fldCharType="separate"/>
      </w:r>
      <w:r>
        <w:rPr>
          <w:rStyle w:val="24"/>
          <w:b/>
        </w:rPr>
        <w:t>第五部分：参考附件</w:t>
      </w:r>
      <w:r>
        <w:tab/>
      </w:r>
      <w:r>
        <w:fldChar w:fldCharType="begin"/>
      </w:r>
      <w:r>
        <w:instrText xml:space="preserve"> PAGEREF _Toc82783896 \h </w:instrText>
      </w:r>
      <w:r>
        <w:fldChar w:fldCharType="separate"/>
      </w:r>
      <w:r>
        <w:t>18</w:t>
      </w:r>
      <w:r>
        <w:fldChar w:fldCharType="end"/>
      </w:r>
      <w:r>
        <w:fldChar w:fldCharType="end"/>
      </w:r>
    </w:p>
    <w:p>
      <w:pPr>
        <w:pStyle w:val="19"/>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"_Toc82783897" </w:instrText>
      </w:r>
      <w:r>
        <w:fldChar w:fldCharType="separate"/>
      </w:r>
      <w:r>
        <w:rPr>
          <w:rStyle w:val="24"/>
          <w:rFonts w:ascii="宋体" w:hAnsi="宋体"/>
        </w:rPr>
        <w:t>附件1：投标函</w:t>
      </w:r>
      <w:r>
        <w:tab/>
      </w:r>
      <w:r>
        <w:fldChar w:fldCharType="begin"/>
      </w:r>
      <w:r>
        <w:instrText xml:space="preserve"> PAGEREF _Toc82783897 \h </w:instrText>
      </w:r>
      <w:r>
        <w:fldChar w:fldCharType="separate"/>
      </w:r>
      <w:r>
        <w:t>18</w:t>
      </w:r>
      <w:r>
        <w:fldChar w:fldCharType="end"/>
      </w:r>
      <w:r>
        <w:fldChar w:fldCharType="end"/>
      </w:r>
    </w:p>
    <w:p>
      <w:pPr>
        <w:pStyle w:val="19"/>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"_Toc82783898" </w:instrText>
      </w:r>
      <w:r>
        <w:fldChar w:fldCharType="separate"/>
      </w:r>
      <w:r>
        <w:rPr>
          <w:rStyle w:val="24"/>
          <w:rFonts w:ascii="宋体" w:hAnsi="宋体"/>
        </w:rPr>
        <w:t>附件2：投标一览表</w:t>
      </w:r>
      <w:r>
        <w:tab/>
      </w:r>
      <w:r>
        <w:fldChar w:fldCharType="begin"/>
      </w:r>
      <w:r>
        <w:instrText xml:space="preserve"> PAGEREF _Toc82783898 \h </w:instrText>
      </w:r>
      <w:r>
        <w:fldChar w:fldCharType="separate"/>
      </w:r>
      <w:r>
        <w:t>19</w:t>
      </w:r>
      <w:r>
        <w:fldChar w:fldCharType="end"/>
      </w:r>
      <w:r>
        <w:fldChar w:fldCharType="end"/>
      </w:r>
    </w:p>
    <w:p>
      <w:pPr>
        <w:pStyle w:val="19"/>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"_Toc82783899" </w:instrText>
      </w:r>
      <w:r>
        <w:fldChar w:fldCharType="separate"/>
      </w:r>
      <w:r>
        <w:rPr>
          <w:rStyle w:val="24"/>
          <w:rFonts w:ascii="宋体" w:hAnsi="宋体"/>
        </w:rPr>
        <w:t>附件3：考察证明（本项目不适用）</w:t>
      </w:r>
      <w:r>
        <w:tab/>
      </w:r>
      <w:r>
        <w:fldChar w:fldCharType="begin"/>
      </w:r>
      <w:r>
        <w:instrText xml:space="preserve"> PAGEREF _Toc82783899 \h </w:instrText>
      </w:r>
      <w:r>
        <w:fldChar w:fldCharType="separate"/>
      </w:r>
      <w:r>
        <w:t>20</w:t>
      </w:r>
      <w:r>
        <w:fldChar w:fldCharType="end"/>
      </w:r>
      <w:r>
        <w:fldChar w:fldCharType="end"/>
      </w:r>
    </w:p>
    <w:p>
      <w:pPr>
        <w:pStyle w:val="19"/>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"_Toc82783900" </w:instrText>
      </w:r>
      <w:r>
        <w:fldChar w:fldCharType="separate"/>
      </w:r>
      <w:r>
        <w:rPr>
          <w:rStyle w:val="24"/>
          <w:rFonts w:ascii="宋体" w:hAnsi="宋体"/>
        </w:rPr>
        <w:t>附件4：技术服务响应/偏离表</w:t>
      </w:r>
      <w:r>
        <w:tab/>
      </w:r>
      <w:r>
        <w:fldChar w:fldCharType="begin"/>
      </w:r>
      <w:r>
        <w:instrText xml:space="preserve"> PAGEREF _Toc82783900 \h </w:instrText>
      </w:r>
      <w:r>
        <w:fldChar w:fldCharType="separate"/>
      </w:r>
      <w:r>
        <w:t>21</w:t>
      </w:r>
      <w:r>
        <w:fldChar w:fldCharType="end"/>
      </w:r>
      <w:r>
        <w:fldChar w:fldCharType="end"/>
      </w:r>
    </w:p>
    <w:p>
      <w:pPr>
        <w:pStyle w:val="19"/>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"_Toc82783901" </w:instrText>
      </w:r>
      <w:r>
        <w:fldChar w:fldCharType="separate"/>
      </w:r>
      <w:r>
        <w:rPr>
          <w:rStyle w:val="24"/>
          <w:rFonts w:ascii="宋体" w:hAnsi="宋体"/>
        </w:rPr>
        <w:t>附件5：商务条款响应/偏离表</w:t>
      </w:r>
      <w:r>
        <w:tab/>
      </w:r>
      <w:r>
        <w:fldChar w:fldCharType="begin"/>
      </w:r>
      <w:r>
        <w:instrText xml:space="preserve"> PAGEREF _Toc82783901 \h </w:instrText>
      </w:r>
      <w:r>
        <w:fldChar w:fldCharType="separate"/>
      </w:r>
      <w:r>
        <w:t>22</w:t>
      </w:r>
      <w:r>
        <w:fldChar w:fldCharType="end"/>
      </w:r>
      <w:r>
        <w:fldChar w:fldCharType="end"/>
      </w:r>
    </w:p>
    <w:p>
      <w:pPr>
        <w:pStyle w:val="19"/>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"_Toc82783902" </w:instrText>
      </w:r>
      <w:r>
        <w:fldChar w:fldCharType="separate"/>
      </w:r>
      <w:r>
        <w:rPr>
          <w:rStyle w:val="24"/>
          <w:rFonts w:ascii="宋体" w:hAnsi="宋体"/>
        </w:rPr>
        <w:t>附件6：报价一览表（货物）（本项目不适用）</w:t>
      </w:r>
      <w:r>
        <w:tab/>
      </w:r>
      <w:r>
        <w:fldChar w:fldCharType="begin"/>
      </w:r>
      <w:r>
        <w:instrText xml:space="preserve"> PAGEREF _Toc82783902 \h </w:instrText>
      </w:r>
      <w:r>
        <w:fldChar w:fldCharType="separate"/>
      </w:r>
      <w:r>
        <w:t>23</w:t>
      </w:r>
      <w:r>
        <w:fldChar w:fldCharType="end"/>
      </w:r>
      <w:r>
        <w:fldChar w:fldCharType="end"/>
      </w:r>
    </w:p>
    <w:p>
      <w:pPr>
        <w:pStyle w:val="19"/>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"_Toc82783903" </w:instrText>
      </w:r>
      <w:r>
        <w:fldChar w:fldCharType="separate"/>
      </w:r>
      <w:r>
        <w:rPr>
          <w:rStyle w:val="24"/>
          <w:rFonts w:ascii="宋体" w:hAnsi="宋体"/>
        </w:rPr>
        <w:t>附件7：报价一览表（服务）</w:t>
      </w:r>
      <w:r>
        <w:tab/>
      </w:r>
      <w:r>
        <w:fldChar w:fldCharType="begin"/>
      </w:r>
      <w:r>
        <w:instrText xml:space="preserve"> PAGEREF _Toc82783903 \h </w:instrText>
      </w:r>
      <w:r>
        <w:fldChar w:fldCharType="separate"/>
      </w:r>
      <w:r>
        <w:t>24</w:t>
      </w:r>
      <w:r>
        <w:fldChar w:fldCharType="end"/>
      </w:r>
      <w:r>
        <w:fldChar w:fldCharType="end"/>
      </w:r>
    </w:p>
    <w:p>
      <w:pPr>
        <w:pStyle w:val="19"/>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"_Toc82783904" </w:instrText>
      </w:r>
      <w:r>
        <w:fldChar w:fldCharType="separate"/>
      </w:r>
      <w:r>
        <w:rPr>
          <w:rStyle w:val="24"/>
          <w:rFonts w:ascii="宋体" w:hAnsi="宋体"/>
        </w:rPr>
        <w:t>附件8：报价一览表（工程）（本项目不适用）</w:t>
      </w:r>
      <w:r>
        <w:tab/>
      </w:r>
      <w:r>
        <w:fldChar w:fldCharType="begin"/>
      </w:r>
      <w:r>
        <w:instrText xml:space="preserve"> PAGEREF _Toc82783904 \h </w:instrText>
      </w:r>
      <w:r>
        <w:fldChar w:fldCharType="separate"/>
      </w:r>
      <w:r>
        <w:t>25</w:t>
      </w:r>
      <w:r>
        <w:fldChar w:fldCharType="end"/>
      </w:r>
      <w:r>
        <w:fldChar w:fldCharType="end"/>
      </w:r>
    </w:p>
    <w:p>
      <w:pPr>
        <w:pStyle w:val="19"/>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"_Toc82783905" </w:instrText>
      </w:r>
      <w:r>
        <w:fldChar w:fldCharType="separate"/>
      </w:r>
      <w:r>
        <w:rPr>
          <w:rStyle w:val="24"/>
          <w:rFonts w:ascii="宋体" w:hAnsi="宋体"/>
        </w:rPr>
        <w:t>附件9：法定代表人证明书</w:t>
      </w:r>
      <w:r>
        <w:tab/>
      </w:r>
      <w:r>
        <w:fldChar w:fldCharType="begin"/>
      </w:r>
      <w:r>
        <w:instrText xml:space="preserve"> PAGEREF _Toc82783905 \h </w:instrText>
      </w:r>
      <w:r>
        <w:fldChar w:fldCharType="separate"/>
      </w:r>
      <w:r>
        <w:t>26</w:t>
      </w:r>
      <w:r>
        <w:fldChar w:fldCharType="end"/>
      </w:r>
      <w:r>
        <w:fldChar w:fldCharType="end"/>
      </w:r>
    </w:p>
    <w:p>
      <w:pPr>
        <w:pStyle w:val="19"/>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"_Toc82783906" </w:instrText>
      </w:r>
      <w:r>
        <w:fldChar w:fldCharType="separate"/>
      </w:r>
      <w:r>
        <w:rPr>
          <w:rStyle w:val="24"/>
          <w:rFonts w:ascii="宋体" w:hAnsi="宋体"/>
        </w:rPr>
        <w:t>附件10：法人授权委托证明书</w:t>
      </w:r>
      <w:r>
        <w:tab/>
      </w:r>
      <w:r>
        <w:fldChar w:fldCharType="begin"/>
      </w:r>
      <w:r>
        <w:instrText xml:space="preserve"> PAGEREF _Toc82783906 \h </w:instrText>
      </w:r>
      <w:r>
        <w:fldChar w:fldCharType="separate"/>
      </w:r>
      <w:r>
        <w:t>27</w:t>
      </w:r>
      <w:r>
        <w:fldChar w:fldCharType="end"/>
      </w:r>
      <w:r>
        <w:fldChar w:fldCharType="end"/>
      </w:r>
    </w:p>
    <w:p>
      <w:pPr>
        <w:pStyle w:val="19"/>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"_Toc82783907" </w:instrText>
      </w:r>
      <w:r>
        <w:fldChar w:fldCharType="separate"/>
      </w:r>
      <w:r>
        <w:rPr>
          <w:rStyle w:val="24"/>
          <w:rFonts w:ascii="宋体" w:hAnsi="宋体"/>
        </w:rPr>
        <w:t>附件11：经营业绩一览表</w:t>
      </w:r>
      <w:r>
        <w:tab/>
      </w:r>
      <w:r>
        <w:fldChar w:fldCharType="begin"/>
      </w:r>
      <w:r>
        <w:instrText xml:space="preserve"> PAGEREF _Toc82783907 \h </w:instrText>
      </w:r>
      <w:r>
        <w:fldChar w:fldCharType="separate"/>
      </w:r>
      <w:r>
        <w:t>28</w:t>
      </w:r>
      <w:r>
        <w:fldChar w:fldCharType="end"/>
      </w:r>
      <w:r>
        <w:fldChar w:fldCharType="end"/>
      </w:r>
    </w:p>
    <w:p>
      <w:pPr>
        <w:pStyle w:val="19"/>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"_Toc82783908" </w:instrText>
      </w:r>
      <w:r>
        <w:fldChar w:fldCharType="separate"/>
      </w:r>
      <w:r>
        <w:rPr>
          <w:rStyle w:val="24"/>
          <w:rFonts w:ascii="宋体" w:hAnsi="宋体"/>
        </w:rPr>
        <w:t>附件12：售后服务承诺书</w:t>
      </w:r>
      <w:r>
        <w:tab/>
      </w:r>
      <w:r>
        <w:fldChar w:fldCharType="begin"/>
      </w:r>
      <w:r>
        <w:instrText xml:space="preserve"> PAGEREF _Toc82783908 \h </w:instrText>
      </w:r>
      <w:r>
        <w:fldChar w:fldCharType="separate"/>
      </w:r>
      <w:r>
        <w:t>29</w:t>
      </w:r>
      <w:r>
        <w:fldChar w:fldCharType="end"/>
      </w:r>
      <w:r>
        <w:fldChar w:fldCharType="end"/>
      </w:r>
    </w:p>
    <w:p>
      <w:pPr>
        <w:pStyle w:val="19"/>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"_Toc82783909" </w:instrText>
      </w:r>
      <w:r>
        <w:fldChar w:fldCharType="separate"/>
      </w:r>
      <w:r>
        <w:rPr>
          <w:rStyle w:val="24"/>
          <w:rFonts w:ascii="宋体" w:hAnsi="宋体"/>
        </w:rPr>
        <w:t>附件13：履约情况及社会信誉承诺书</w:t>
      </w:r>
      <w:r>
        <w:tab/>
      </w:r>
      <w:r>
        <w:fldChar w:fldCharType="begin"/>
      </w:r>
      <w:r>
        <w:instrText xml:space="preserve"> PAGEREF _Toc82783909 \h </w:instrText>
      </w:r>
      <w:r>
        <w:fldChar w:fldCharType="separate"/>
      </w:r>
      <w:r>
        <w:t>30</w:t>
      </w:r>
      <w:r>
        <w:fldChar w:fldCharType="end"/>
      </w:r>
      <w:r>
        <w:fldChar w:fldCharType="end"/>
      </w:r>
    </w:p>
    <w:p>
      <w:pPr>
        <w:spacing w:line="360" w:lineRule="auto"/>
        <w:rPr>
          <w:rFonts w:ascii="宋体" w:hAnsi="宋体" w:cs="仿宋"/>
          <w:szCs w:val="21"/>
        </w:rPr>
        <w:sectPr>
          <w:footerReference r:id="rId5"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bookmarkStart w:id="76" w:name="_GoBack"/>
      <w:bookmarkEnd w:id="76"/>
      <w:bookmarkStart w:id="0" w:name="_Toc82783883"/>
    </w:p>
    <w:p>
      <w:pPr>
        <w:spacing w:line="400" w:lineRule="exact"/>
        <w:rPr>
          <w:rFonts w:ascii="宋体" w:hAnsi="宋体"/>
          <w:b/>
          <w:sz w:val="32"/>
          <w:szCs w:val="32"/>
        </w:rPr>
      </w:pPr>
    </w:p>
    <w:p>
      <w:pPr>
        <w:spacing w:line="360" w:lineRule="auto"/>
        <w:jc w:val="center"/>
        <w:outlineLvl w:val="0"/>
        <w:rPr>
          <w:rFonts w:ascii="宋体" w:hAnsi="宋体"/>
          <w:b/>
          <w:sz w:val="32"/>
          <w:szCs w:val="32"/>
        </w:rPr>
      </w:pPr>
      <w:r>
        <w:rPr>
          <w:rFonts w:hint="eastAsia" w:ascii="宋体" w:hAnsi="宋体"/>
          <w:b/>
          <w:sz w:val="32"/>
          <w:szCs w:val="32"/>
        </w:rPr>
        <w:t>第一部分 项目要求</w:t>
      </w:r>
      <w:bookmarkEnd w:id="0"/>
    </w:p>
    <w:p>
      <w:pPr>
        <w:numPr>
          <w:ilvl w:val="0"/>
          <w:numId w:val="2"/>
        </w:numPr>
        <w:spacing w:before="156" w:beforeLines="50" w:line="360" w:lineRule="auto"/>
        <w:outlineLvl w:val="1"/>
        <w:rPr>
          <w:rFonts w:ascii="宋体" w:hAnsi="宋体"/>
          <w:b/>
          <w:szCs w:val="21"/>
        </w:rPr>
      </w:pPr>
      <w:bookmarkStart w:id="1" w:name="_Toc82783884"/>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3"/>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3"/>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3"/>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21"/>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联系人：刘女士</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"mailto:liuxh@chtf.com" </w:instrText>
            </w:r>
            <w:r>
              <w:fldChar w:fldCharType="separate"/>
            </w:r>
            <w:r>
              <w:rPr>
                <w:rStyle w:val="24"/>
                <w:rFonts w:hint="eastAsia" w:ascii="宋体" w:hAnsi="宋体"/>
                <w:szCs w:val="21"/>
              </w:rPr>
              <w:t>liuxh@chtf.com</w:t>
            </w:r>
            <w:r>
              <w:rPr>
                <w:rStyle w:val="24"/>
                <w:rFonts w:hint="eastAsia"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bCs/>
                <w:color w:val="000000" w:themeColor="text1"/>
                <w14:textFill>
                  <w14:solidFill>
                    <w14:schemeClr w14:val="tx1"/>
                  </w14:solidFill>
                </w14:textFill>
              </w:rPr>
              <w:t>深圳会展中心20</w:t>
            </w:r>
            <w:r>
              <w:rPr>
                <w:bCs/>
                <w:color w:val="000000" w:themeColor="text1"/>
                <w14:textFill>
                  <w14:solidFill>
                    <w14:schemeClr w14:val="tx1"/>
                  </w14:solidFill>
                </w14:textFill>
              </w:rPr>
              <w:t>22</w:t>
            </w:r>
            <w:r>
              <w:rPr>
                <w:rFonts w:hint="eastAsia"/>
                <w:bCs/>
                <w:color w:val="000000" w:themeColor="text1"/>
                <w14:textFill>
                  <w14:solidFill>
                    <w14:schemeClr w14:val="tx1"/>
                  </w14:solidFill>
                </w14:textFill>
              </w:rPr>
              <w:t>年度绿化服务项目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绿化服务类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jc w:val="lef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根据我公司绿化的要求及发展规划，突出绿化生态的特点，会展中心拟通过内部公开招标方式，确定20</w:t>
            </w:r>
            <w:r>
              <w:rPr>
                <w:bCs/>
                <w:color w:val="000000" w:themeColor="text1"/>
                <w14:textFill>
                  <w14:solidFill>
                    <w14:schemeClr w14:val="tx1"/>
                  </w14:solidFill>
                </w14:textFill>
              </w:rPr>
              <w:t>22</w:t>
            </w:r>
            <w:r>
              <w:rPr>
                <w:rFonts w:hint="eastAsia"/>
                <w:bCs/>
                <w:color w:val="000000" w:themeColor="text1"/>
                <w14:textFill>
                  <w14:solidFill>
                    <w14:schemeClr w14:val="tx1"/>
                  </w14:solidFill>
                </w14:textFill>
              </w:rPr>
              <w:t>年会展中心绿化服务项目的供应商</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深圳会展中心红线范围内、门前三包范围的绿植养护及租摆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3</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完整填写本项目报名回函（详见采购公告）并加盖公司公章后，按要求发送至招标人联系人并致电确认。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深圳会展中心官网（www.szcec.com）下载。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13</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13</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14</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15</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ascii="宋体" w:hAnsi="宋体"/>
                <w:szCs w:val="21"/>
              </w:rPr>
              <w:t>MS Word</w:t>
            </w:r>
            <w:r>
              <w:rPr>
                <w:rFonts w:hint="eastAsia" w:ascii="宋体" w:hAnsi="宋体"/>
                <w:szCs w:val="21"/>
              </w:rPr>
              <w:t>版</w:t>
            </w:r>
            <w:r>
              <w:rPr>
                <w:rFonts w:ascii="宋体" w:hAnsi="宋体"/>
                <w:szCs w:val="21"/>
              </w:rPr>
              <w:t>文件</w:t>
            </w:r>
            <w:r>
              <w:rPr>
                <w:rFonts w:hint="eastAsia" w:ascii="宋体" w:hAnsi="宋体"/>
                <w:szCs w:val="21"/>
              </w:rPr>
              <w:t>加密形式发送至招标人邮箱并致电确认，</w:t>
            </w:r>
            <w:bookmarkStart w:id="2" w:name="_Toc478393187"/>
            <w:bookmarkStart w:id="3" w:name="_Toc478392822"/>
            <w:bookmarkStart w:id="4" w:name="_Toc478110532"/>
            <w:r>
              <w:rPr>
                <w:rFonts w:hint="eastAsia" w:ascii="宋体" w:hAnsi="宋体"/>
              </w:rPr>
              <w:t>注意事项：</w:t>
            </w:r>
          </w:p>
          <w:p>
            <w:pPr>
              <w:pStyle w:val="27"/>
              <w:numPr>
                <w:ilvl w:val="0"/>
                <w:numId w:val="4"/>
              </w:numPr>
              <w:ind w:left="541" w:hanging="541" w:firstLineChars="0"/>
              <w:rPr>
                <w:rFonts w:ascii="宋体" w:hAnsi="宋体" w:eastAsia="宋体"/>
                <w:szCs w:val="21"/>
              </w:rPr>
            </w:pPr>
            <w:bookmarkStart w:id="5" w:name="_Hlk60498011"/>
            <w:r>
              <w:rPr>
                <w:rFonts w:hint="eastAsia" w:ascii="宋体" w:hAnsi="宋体" w:eastAsia="宋体"/>
                <w:szCs w:val="21"/>
              </w:rPr>
              <w:t>为便于开标时的解密操作，响应文件（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szCs w:val="21"/>
              </w:rPr>
              <w:t>建议采用</w:t>
            </w:r>
            <w:r>
              <w:rPr>
                <w:rFonts w:hint="eastAsia" w:ascii="宋体" w:hAnsi="宋体" w:eastAsia="宋体"/>
                <w:szCs w:val="21"/>
              </w:rPr>
              <w:t>winRAR或winzip等常用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7"/>
              <w:numPr>
                <w:ilvl w:val="0"/>
                <w:numId w:val="4"/>
              </w:numPr>
              <w:ind w:left="541" w:hanging="541" w:firstLineChars="0"/>
              <w:rPr>
                <w:rFonts w:ascii="宋体" w:hAnsi="宋体" w:eastAsia="宋体"/>
                <w:szCs w:val="21"/>
              </w:rPr>
            </w:pPr>
            <w:r>
              <w:rPr>
                <w:rFonts w:hint="eastAsia" w:ascii="宋体" w:hAnsi="宋体" w:eastAsia="宋体"/>
                <w:szCs w:val="21"/>
              </w:rPr>
              <w:t>投标单位授权代表须熟记文件密码，并在开标时按照招标人指令</w:t>
            </w:r>
            <w:r>
              <w:rPr>
                <w:rFonts w:ascii="宋体" w:hAnsi="宋体" w:eastAsia="宋体"/>
                <w:szCs w:val="21"/>
              </w:rPr>
              <w:t>发送密码至</w:t>
            </w:r>
            <w:r>
              <w:rPr>
                <w:rFonts w:hint="eastAsia" w:ascii="宋体" w:hAnsi="宋体" w:eastAsia="宋体"/>
                <w:szCs w:val="21"/>
              </w:rPr>
              <w:t>采购联系人邮箱（为确保开评标工作的保密性并兼顾效率，密码早发、晚发的，均可能导致废标的不利后果）。</w:t>
            </w:r>
          </w:p>
          <w:p>
            <w:pPr>
              <w:pStyle w:val="27"/>
              <w:numPr>
                <w:ilvl w:val="0"/>
                <w:numId w:val="4"/>
              </w:numPr>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7"/>
              <w:numPr>
                <w:ilvl w:val="0"/>
                <w:numId w:val="4"/>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w:t>
            </w:r>
            <w:r>
              <w:rPr>
                <w:rFonts w:ascii="宋体" w:hAnsi="宋体" w:eastAsia="宋体"/>
                <w:szCs w:val="21"/>
              </w:rPr>
              <w:t>ord</w:t>
            </w:r>
            <w:r>
              <w:rPr>
                <w:rFonts w:hint="eastAsia" w:ascii="宋体" w:hAnsi="宋体" w:eastAsia="宋体"/>
                <w:szCs w:val="21"/>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18</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lang w:val="en-US" w:eastAsia="zh-CN"/>
              </w:rPr>
              <w:t>3</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深圳会展中心指定视频会议室，届时请各投标人按采购公告要求准时提交响应文件并参加在线开标。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kern w:val="0"/>
                <w:szCs w:val="21"/>
              </w:rPr>
            </w:pPr>
            <w:r>
              <w:rPr>
                <w:rFonts w:hint="eastAsia" w:ascii="宋体" w:hAnsi="宋体"/>
                <w:kern w:val="0"/>
                <w:szCs w:val="21"/>
              </w:rPr>
              <w:sym w:font="Wingdings 2" w:char="0052"/>
            </w:r>
            <w:r>
              <w:rPr>
                <w:rFonts w:hint="eastAsia" w:ascii="宋体" w:hAnsi="宋体"/>
                <w:kern w:val="0"/>
                <w:szCs w:val="21"/>
              </w:rPr>
              <w:t>不接受</w:t>
            </w:r>
          </w:p>
          <w:p>
            <w:pPr>
              <w:autoSpaceDE w:val="0"/>
              <w:autoSpaceDN w:val="0"/>
              <w:adjustRightInd w:val="0"/>
              <w:snapToGrid w:val="0"/>
              <w:rPr>
                <w:rFonts w:ascii="宋体" w:hAnsi="宋体"/>
                <w:kern w:val="0"/>
                <w:szCs w:val="21"/>
              </w:rPr>
            </w:pPr>
            <w:r>
              <w:rPr>
                <w:rFonts w:hint="eastAsia" w:ascii="宋体" w:hAnsi="宋体"/>
                <w:kern w:val="0"/>
                <w:szCs w:val="21"/>
              </w:rPr>
              <w:t>□接受，应满足下列要求：</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踏勘</w:t>
            </w:r>
            <w:r>
              <w:rPr>
                <w:rFonts w:hint="eastAsia" w:ascii="宋体" w:hAnsi="宋体"/>
                <w:szCs w:val="21"/>
                <w:shd w:val="clear" w:color="auto" w:fill="FFFFFF"/>
              </w:rPr>
              <w:t>现场</w:t>
            </w:r>
          </w:p>
        </w:tc>
        <w:tc>
          <w:tcPr>
            <w:tcW w:w="7029" w:type="dxa"/>
            <w:vAlign w:val="center"/>
          </w:tcPr>
          <w:p>
            <w:pPr>
              <w:numPr>
                <w:ilvl w:val="0"/>
                <w:numId w:val="5"/>
              </w:numPr>
              <w:tabs>
                <w:tab w:val="left" w:pos="281"/>
                <w:tab w:val="left" w:pos="541"/>
              </w:tabs>
              <w:snapToGrid w:val="0"/>
              <w:spacing w:after="156" w:afterLines="50"/>
              <w:rPr>
                <w:rFonts w:ascii="宋体" w:hAnsi="宋体"/>
                <w:kern w:val="0"/>
                <w:sz w:val="18"/>
                <w:szCs w:val="21"/>
                <w:shd w:val="clear" w:color="auto" w:fill="FFFFFF"/>
              </w:rPr>
            </w:pPr>
            <w:r>
              <w:rPr>
                <w:rFonts w:hint="eastAsia" w:ascii="Segoe UI Symbol" w:hAnsi="Segoe UI Symbol" w:cs="Segoe UI Symbol"/>
                <w:kern w:val="0"/>
                <w:szCs w:val="21"/>
                <w:lang w:eastAsia="zh-CN"/>
              </w:rPr>
              <w:sym w:font="Wingdings 2" w:char="0052"/>
            </w:r>
            <w:r>
              <w:rPr>
                <w:rFonts w:hint="eastAsia" w:ascii="宋体" w:hAnsi="宋体"/>
                <w:kern w:val="0"/>
                <w:szCs w:val="21"/>
                <w:shd w:val="clear" w:color="auto" w:fill="FFFFFF"/>
              </w:rPr>
              <w:t>不组织。可在</w:t>
            </w:r>
            <w:r>
              <w:rPr>
                <w:rFonts w:hint="eastAsia" w:ascii="宋体" w:hAnsi="宋体"/>
                <w:kern w:val="0"/>
                <w:szCs w:val="21"/>
                <w:u w:val="single"/>
                <w:shd w:val="clear" w:color="auto" w:fill="FFFFFF"/>
              </w:rPr>
              <w:t>公开招标开始后</w:t>
            </w:r>
            <w:r>
              <w:rPr>
                <w:rFonts w:hint="eastAsia" w:ascii="宋体" w:hAnsi="宋体"/>
                <w:kern w:val="0"/>
                <w:szCs w:val="21"/>
                <w:shd w:val="clear" w:color="auto" w:fill="FFFFFF"/>
              </w:rPr>
              <w:t>至</w:t>
            </w:r>
            <w:r>
              <w:rPr>
                <w:rFonts w:hint="eastAsia" w:ascii="宋体" w:hAnsi="宋体"/>
                <w:kern w:val="0"/>
                <w:szCs w:val="21"/>
                <w:u w:val="single"/>
                <w:shd w:val="clear" w:color="auto" w:fill="FFFFFF"/>
              </w:rPr>
              <w:t>公开招标结束前</w:t>
            </w:r>
            <w:r>
              <w:rPr>
                <w:rFonts w:hint="eastAsia" w:ascii="宋体" w:hAnsi="宋体"/>
                <w:kern w:val="0"/>
                <w:szCs w:val="21"/>
                <w:shd w:val="clear" w:color="auto" w:fill="FFFFFF"/>
              </w:rPr>
              <w:t>自行踏勘。</w:t>
            </w:r>
          </w:p>
          <w:p>
            <w:pPr>
              <w:numPr>
                <w:ilvl w:val="0"/>
                <w:numId w:val="5"/>
              </w:numPr>
              <w:tabs>
                <w:tab w:val="left" w:pos="281"/>
                <w:tab w:val="left" w:pos="541"/>
              </w:tabs>
              <w:snapToGrid w:val="0"/>
              <w:spacing w:after="156" w:afterLines="50"/>
              <w:rPr>
                <w:rFonts w:ascii="宋体" w:hAnsi="宋体"/>
                <w:kern w:val="0"/>
                <w:sz w:val="18"/>
                <w:szCs w:val="21"/>
                <w:shd w:val="clear" w:color="auto" w:fill="FFFFFF"/>
              </w:rPr>
            </w:pPr>
            <w:r>
              <w:rPr>
                <w:rFonts w:hint="eastAsia" w:ascii="宋体" w:hAnsi="宋体" w:cs="Segoe UI Symbol"/>
                <w:kern w:val="0"/>
                <w:szCs w:val="21"/>
              </w:rPr>
              <w:t>□</w:t>
            </w:r>
            <w:r>
              <w:rPr>
                <w:rFonts w:hint="eastAsia" w:ascii="宋体" w:hAnsi="宋体"/>
                <w:kern w:val="0"/>
                <w:szCs w:val="21"/>
                <w:shd w:val="clear" w:color="auto" w:fill="FFFFFF"/>
              </w:rPr>
              <w:t>组织，踏勘要求：</w:t>
            </w:r>
          </w:p>
          <w:p>
            <w:pPr>
              <w:pStyle w:val="27"/>
              <w:numPr>
                <w:ilvl w:val="0"/>
                <w:numId w:val="6"/>
              </w:numPr>
              <w:tabs>
                <w:tab w:val="left" w:pos="541"/>
              </w:tabs>
              <w:snapToGrid w:val="0"/>
              <w:ind w:left="805" w:hanging="227" w:firstLineChars="0"/>
              <w:rPr>
                <w:rFonts w:ascii="宋体" w:hAnsi="宋体" w:eastAsia="宋体"/>
                <w:kern w:val="0"/>
                <w:sz w:val="20"/>
                <w:szCs w:val="21"/>
              </w:rPr>
            </w:pPr>
            <w:r>
              <w:rPr>
                <w:rFonts w:hint="eastAsia" w:ascii="宋体" w:hAnsi="宋体" w:eastAsia="宋体"/>
                <w:szCs w:val="21"/>
              </w:rPr>
              <w:t>投标人是否必须参加：</w:t>
            </w:r>
          </w:p>
          <w:p>
            <w:pPr>
              <w:pStyle w:val="27"/>
              <w:tabs>
                <w:tab w:val="left" w:pos="541"/>
              </w:tabs>
              <w:snapToGrid w:val="0"/>
              <w:ind w:left="805" w:firstLine="8" w:firstLineChars="4"/>
              <w:rPr>
                <w:rFonts w:ascii="宋体" w:hAnsi="宋体" w:eastAsia="宋体"/>
                <w:szCs w:val="21"/>
              </w:rPr>
            </w:pPr>
            <w:r>
              <w:rPr>
                <w:rFonts w:hint="eastAsia" w:ascii="宋体" w:hAnsi="宋体" w:cs="Segoe UI Symbol"/>
                <w:kern w:val="0"/>
                <w:szCs w:val="21"/>
              </w:rPr>
              <w:t>□</w:t>
            </w:r>
            <w:r>
              <w:rPr>
                <w:rFonts w:hint="eastAsia" w:ascii="宋体" w:hAnsi="宋体" w:eastAsia="宋体"/>
                <w:szCs w:val="21"/>
              </w:rPr>
              <w:t>是（若不参加，将因投标文件不完整导致失去本项目投标资格）</w:t>
            </w:r>
          </w:p>
          <w:p>
            <w:pPr>
              <w:pStyle w:val="27"/>
              <w:tabs>
                <w:tab w:val="left" w:pos="541"/>
              </w:tabs>
              <w:snapToGrid w:val="0"/>
              <w:spacing w:after="156" w:afterLines="50"/>
              <w:ind w:left="805" w:firstLine="8" w:firstLineChars="4"/>
              <w:rPr>
                <w:rFonts w:ascii="宋体" w:hAnsi="宋体" w:eastAsia="宋体"/>
                <w:sz w:val="18"/>
                <w:szCs w:val="21"/>
              </w:rPr>
            </w:pPr>
            <w:r>
              <w:rPr>
                <w:rFonts w:hint="eastAsia" w:ascii="宋体" w:hAnsi="宋体" w:cs="Segoe UI Symbol"/>
                <w:kern w:val="0"/>
                <w:szCs w:val="21"/>
              </w:rPr>
              <w:t>□</w:t>
            </w:r>
            <w:r>
              <w:rPr>
                <w:rFonts w:hint="eastAsia" w:ascii="宋体" w:hAnsi="宋体" w:eastAsia="宋体"/>
                <w:szCs w:val="21"/>
              </w:rPr>
              <w:t>否（可选择不参加，不影响投标资格但可能会产生不利后果）</w:t>
            </w:r>
          </w:p>
          <w:p>
            <w:pPr>
              <w:pStyle w:val="27"/>
              <w:numPr>
                <w:ilvl w:val="0"/>
                <w:numId w:val="7"/>
              </w:numPr>
              <w:tabs>
                <w:tab w:val="left" w:pos="541"/>
              </w:tabs>
              <w:snapToGrid w:val="0"/>
              <w:spacing w:after="156" w:afterLines="50"/>
              <w:ind w:left="805" w:hanging="224" w:firstLineChars="0"/>
              <w:rPr>
                <w:rFonts w:ascii="宋体" w:hAnsi="宋体" w:eastAsia="宋体"/>
                <w:kern w:val="0"/>
                <w:sz w:val="18"/>
                <w:szCs w:val="21"/>
              </w:rPr>
            </w:pPr>
            <w:r>
              <w:rPr>
                <w:rFonts w:hint="eastAsia" w:ascii="宋体" w:hAnsi="宋体" w:eastAsia="宋体"/>
                <w:kern w:val="0"/>
                <w:szCs w:val="21"/>
              </w:rPr>
              <w:t>招标人定于202</w:t>
            </w:r>
            <w:r>
              <w:rPr>
                <w:rFonts w:hint="eastAsia" w:ascii="宋体" w:hAnsi="宋体" w:eastAsia="宋体" w:cs="Times New Roman"/>
                <w:szCs w:val="21"/>
              </w:rPr>
              <w:t>×</w:t>
            </w:r>
            <w:r>
              <w:rPr>
                <w:rFonts w:hint="eastAsia" w:ascii="宋体" w:hAnsi="宋体" w:eastAsia="宋体"/>
                <w:kern w:val="0"/>
                <w:szCs w:val="21"/>
              </w:rPr>
              <w:t>-</w:t>
            </w:r>
            <w:r>
              <w:rPr>
                <w:rFonts w:hint="eastAsia" w:ascii="宋体" w:hAnsi="宋体" w:eastAsia="宋体" w:cs="Times New Roman"/>
                <w:szCs w:val="21"/>
              </w:rPr>
              <w:t>××</w:t>
            </w:r>
            <w:r>
              <w:rPr>
                <w:rFonts w:ascii="宋体" w:hAnsi="宋体" w:eastAsia="宋体"/>
                <w:kern w:val="0"/>
                <w:szCs w:val="21"/>
              </w:rPr>
              <w:t>-</w:t>
            </w:r>
            <w:r>
              <w:rPr>
                <w:rFonts w:hint="eastAsia" w:ascii="宋体" w:hAnsi="宋体" w:eastAsia="宋体" w:cs="Times New Roman"/>
                <w:szCs w:val="21"/>
              </w:rPr>
              <w:t>××</w:t>
            </w:r>
            <w:r>
              <w:rPr>
                <w:rFonts w:ascii="宋体" w:hAnsi="宋体" w:eastAsia="宋体"/>
                <w:kern w:val="0"/>
                <w:szCs w:val="21"/>
              </w:rPr>
              <w:t xml:space="preserve"> </w:t>
            </w:r>
            <w:r>
              <w:rPr>
                <w:rFonts w:hint="eastAsia" w:ascii="宋体" w:hAnsi="宋体" w:eastAsia="宋体" w:cs="Times New Roman"/>
                <w:szCs w:val="21"/>
              </w:rPr>
              <w:t>××</w:t>
            </w:r>
            <w:r>
              <w:rPr>
                <w:rFonts w:hint="eastAsia" w:ascii="宋体" w:hAnsi="宋体" w:eastAsia="宋体"/>
                <w:kern w:val="0"/>
                <w:szCs w:val="21"/>
              </w:rPr>
              <w:t>:</w:t>
            </w:r>
            <w:r>
              <w:rPr>
                <w:rFonts w:hint="eastAsia" w:ascii="宋体" w:hAnsi="宋体" w:eastAsia="宋体" w:cs="Times New Roman"/>
                <w:szCs w:val="21"/>
              </w:rPr>
              <w:t xml:space="preserve"> ××</w:t>
            </w:r>
            <w:r>
              <w:rPr>
                <w:rFonts w:hint="eastAsia" w:ascii="宋体" w:hAnsi="宋体" w:eastAsia="宋体"/>
                <w:kern w:val="0"/>
                <w:szCs w:val="21"/>
              </w:rPr>
              <w:t>邀请投标人人员察看现场并讲解项目需求；投标人应在谈判前指派符合疫情防控要求的人员参加由招标人组织的现场踏勘工作。</w:t>
            </w:r>
          </w:p>
          <w:p>
            <w:pPr>
              <w:pStyle w:val="27"/>
              <w:numPr>
                <w:ilvl w:val="0"/>
                <w:numId w:val="7"/>
              </w:numPr>
              <w:tabs>
                <w:tab w:val="left" w:pos="541"/>
              </w:tabs>
              <w:snapToGrid w:val="0"/>
              <w:spacing w:after="156" w:afterLines="50"/>
              <w:ind w:left="805" w:hanging="224" w:firstLineChars="0"/>
              <w:rPr>
                <w:rFonts w:ascii="宋体" w:hAnsi="宋体" w:eastAsia="宋体"/>
                <w:kern w:val="0"/>
                <w:sz w:val="18"/>
                <w:szCs w:val="21"/>
              </w:rPr>
            </w:pPr>
            <w:r>
              <w:rPr>
                <w:rFonts w:hint="eastAsia" w:ascii="宋体" w:hAnsi="宋体" w:eastAsia="宋体"/>
                <w:kern w:val="0"/>
                <w:szCs w:val="21"/>
              </w:rPr>
              <w:t>投标人须持《现场考察证明》（格式见附件）参加现场踏勘，并在完成现场踏勘后交由招标人管理人员签字确认，并</w:t>
            </w:r>
            <w:r>
              <w:rPr>
                <w:rFonts w:ascii="宋体" w:hAnsi="宋体" w:eastAsia="宋体"/>
                <w:kern w:val="0"/>
                <w:szCs w:val="21"/>
              </w:rPr>
              <w:t>附</w:t>
            </w:r>
            <w:r>
              <w:rPr>
                <w:rFonts w:hint="eastAsia" w:ascii="宋体" w:hAnsi="宋体" w:eastAsia="宋体"/>
                <w:kern w:val="0"/>
                <w:szCs w:val="21"/>
              </w:rPr>
              <w:t>于投标文件中。</w:t>
            </w:r>
          </w:p>
          <w:p>
            <w:pPr>
              <w:pStyle w:val="27"/>
              <w:numPr>
                <w:ilvl w:val="0"/>
                <w:numId w:val="7"/>
              </w:numPr>
              <w:tabs>
                <w:tab w:val="left" w:pos="541"/>
              </w:tabs>
              <w:snapToGrid w:val="0"/>
              <w:spacing w:after="156" w:afterLines="50"/>
              <w:ind w:left="805" w:hanging="224" w:firstLineChars="0"/>
              <w:rPr>
                <w:rFonts w:ascii="宋体" w:hAnsi="宋体" w:eastAsia="宋体"/>
                <w:kern w:val="0"/>
                <w:sz w:val="18"/>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已报名但未参加现场踏勘的招标人视为已理解并认同本次踏勘所涉及的全部内容，且对本次踏勘的组织实施过程无异议。投标人自行承担因不参加现场踏勘所可能造成的一切后果（包括</w:t>
            </w:r>
            <w:r>
              <w:rPr>
                <w:rFonts w:ascii="宋体" w:hAnsi="宋体" w:eastAsia="宋体"/>
                <w:kern w:val="0"/>
                <w:szCs w:val="21"/>
              </w:rPr>
              <w:t>因此失去投标资格</w:t>
            </w:r>
            <w:r>
              <w:rPr>
                <w:rFonts w:hint="eastAsia" w:ascii="宋体" w:hAnsi="宋体" w:eastAsia="宋体"/>
                <w:kern w:val="0"/>
                <w:szCs w:val="21"/>
              </w:rPr>
              <w:t>的情形</w:t>
            </w:r>
            <w:r>
              <w:rPr>
                <w:rFonts w:ascii="宋体" w:hAnsi="宋体" w:eastAsia="宋体"/>
                <w:kern w:val="0"/>
                <w:szCs w:val="21"/>
              </w:rPr>
              <w:t>）</w:t>
            </w:r>
            <w:r>
              <w:rPr>
                <w:rFonts w:hint="eastAsia" w:ascii="宋体" w:hAnsi="宋体" w:eastAsia="宋体"/>
                <w:kern w:val="0"/>
                <w:szCs w:val="21"/>
              </w:rPr>
              <w:t>。</w:t>
            </w:r>
          </w:p>
          <w:p>
            <w:pPr>
              <w:pStyle w:val="27"/>
              <w:numPr>
                <w:ilvl w:val="0"/>
                <w:numId w:val="7"/>
              </w:numPr>
              <w:tabs>
                <w:tab w:val="left" w:pos="541"/>
              </w:tabs>
              <w:snapToGrid w:val="0"/>
              <w:spacing w:after="156" w:afterLines="50"/>
              <w:ind w:left="805" w:hanging="224" w:firstLineChars="0"/>
              <w:rPr>
                <w:rFonts w:ascii="宋体" w:hAnsi="宋体" w:eastAsia="宋体"/>
                <w:kern w:val="0"/>
                <w:sz w:val="18"/>
                <w:szCs w:val="21"/>
              </w:rPr>
            </w:pPr>
            <w:r>
              <w:rPr>
                <w:rFonts w:hint="eastAsia" w:ascii="宋体" w:hAnsi="宋体" w:eastAsia="宋体"/>
                <w:kern w:val="0"/>
                <w:szCs w:val="21"/>
              </w:rPr>
              <w:t>鉴于疫情防控要求，投标人须至少提前一天与踏勘联系人预约，并按要求备案本单位指定踏勘人员信息。否则，将可能导致投标人不能进入涉深圳会展中心管控区域的踏勘现场</w:t>
            </w:r>
            <w:r>
              <w:rPr>
                <w:rFonts w:ascii="宋体" w:hAnsi="宋体" w:eastAsia="宋体"/>
                <w:kern w:val="0"/>
                <w:szCs w:val="21"/>
              </w:rPr>
              <w:t>的</w:t>
            </w:r>
            <w:r>
              <w:rPr>
                <w:rFonts w:hint="eastAsia" w:ascii="宋体" w:hAnsi="宋体" w:eastAsia="宋体"/>
                <w:kern w:val="0"/>
                <w:szCs w:val="21"/>
              </w:rPr>
              <w:t>不利后果。投标人必须保证所预约备案的踏勘人员严格符合政府主管部门及招标人防疫要求，否则由此带来的一切问题均由参加单位负责。且招标人有权拒绝未预约备案人员参加本项目踏勘活动。</w:t>
            </w:r>
          </w:p>
          <w:p>
            <w:pPr>
              <w:pStyle w:val="27"/>
              <w:numPr>
                <w:ilvl w:val="0"/>
                <w:numId w:val="7"/>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r>
              <w:rPr>
                <w:rFonts w:hint="eastAsia" w:ascii="宋体" w:hAnsi="宋体" w:eastAsia="宋体" w:cs="Times New Roman"/>
                <w:szCs w:val="21"/>
              </w:rPr>
              <w:t>×××</w:t>
            </w:r>
          </w:p>
          <w:p>
            <w:pPr>
              <w:pStyle w:val="27"/>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w:t>
            </w:r>
            <w:r>
              <w:rPr>
                <w:rFonts w:hint="eastAsia" w:ascii="宋体" w:hAnsi="宋体" w:eastAsia="宋体" w:cs="Times New Roman"/>
                <w:szCs w:val="21"/>
              </w:rPr>
              <w:t>××××</w:t>
            </w:r>
          </w:p>
          <w:p>
            <w:pPr>
              <w:pStyle w:val="27"/>
              <w:tabs>
                <w:tab w:val="left" w:pos="541"/>
              </w:tabs>
              <w:snapToGrid w:val="0"/>
              <w:ind w:left="805" w:firstLine="0" w:firstLineChars="0"/>
              <w:rPr>
                <w:rFonts w:ascii="宋体" w:hAnsi="宋体" w:eastAsia="宋体"/>
                <w:shd w:val="clear" w:color="auto" w:fill="FFFFFF"/>
              </w:rPr>
            </w:pPr>
            <w:r>
              <w:rPr>
                <w:rFonts w:hint="eastAsia" w:ascii="宋体" w:hAnsi="宋体" w:eastAsia="宋体"/>
                <w:kern w:val="0"/>
                <w:szCs w:val="21"/>
              </w:rPr>
              <w:t>集合地点：</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7"/>
              <w:numPr>
                <w:ilvl w:val="0"/>
                <w:numId w:val="8"/>
              </w:numPr>
              <w:autoSpaceDE w:val="0"/>
              <w:autoSpaceDN w:val="0"/>
              <w:adjustRightInd w:val="0"/>
              <w:snapToGrid w:val="0"/>
              <w:ind w:left="536" w:hanging="536" w:firstLineChars="0"/>
              <w:rPr>
                <w:rFonts w:ascii="宋体" w:hAnsi="宋体" w:eastAsia="宋体" w:cs="Segoe UI Symbol"/>
                <w:kern w:val="0"/>
                <w:szCs w:val="21"/>
              </w:rPr>
            </w:pPr>
            <w:r>
              <w:rPr>
                <w:rFonts w:ascii="Segoe UI Symbol" w:hAnsi="Segoe UI Symbol" w:cs="Segoe UI Symbol"/>
                <w:kern w:val="0"/>
                <w:szCs w:val="21"/>
              </w:rPr>
              <w:t>☑</w:t>
            </w:r>
            <w:r>
              <w:rPr>
                <w:rFonts w:hint="eastAsia" w:ascii="宋体" w:hAnsi="宋体" w:eastAsia="宋体" w:cs="Segoe UI Symbol"/>
                <w:kern w:val="0"/>
                <w:szCs w:val="21"/>
              </w:rPr>
              <w:t>不要求</w:t>
            </w:r>
          </w:p>
          <w:p>
            <w:pPr>
              <w:pStyle w:val="27"/>
              <w:numPr>
                <w:ilvl w:val="0"/>
                <w:numId w:val="8"/>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27"/>
              <w:numPr>
                <w:ilvl w:val="0"/>
                <w:numId w:val="9"/>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7"/>
              <w:numPr>
                <w:ilvl w:val="0"/>
                <w:numId w:val="9"/>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7"/>
              <w:numPr>
                <w:ilvl w:val="0"/>
                <w:numId w:val="9"/>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7"/>
              <w:numPr>
                <w:ilvl w:val="0"/>
                <w:numId w:val="9"/>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hint="eastAsia" w:ascii="宋体" w:hAnsi="宋体"/>
                <w:szCs w:val="21"/>
              </w:rPr>
              <w:t>不要求递交投标样品</w:t>
            </w:r>
          </w:p>
          <w:p>
            <w:pPr>
              <w:autoSpaceDE w:val="0"/>
              <w:autoSpaceDN w:val="0"/>
              <w:adjustRightInd w:val="0"/>
              <w:snapToGrid w:val="0"/>
              <w:jc w:val="left"/>
              <w:rPr>
                <w:rFonts w:ascii="宋体" w:hAnsi="宋体"/>
                <w:szCs w:val="21"/>
                <w:u w:val="single"/>
              </w:rPr>
            </w:pPr>
            <w:r>
              <w:rPr>
                <w:rFonts w:hint="eastAsia" w:ascii="宋体" w:hAnsi="宋体"/>
                <w:szCs w:val="21"/>
              </w:rPr>
              <w:t>□递交投标样品，具体要求：</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r>
              <w:rPr>
                <w:rFonts w:hint="eastAsia" w:ascii="宋体" w:hAnsi="宋体" w:cs="Segoe UI Symbol"/>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Segoe UI Symbol" w:hAnsi="Segoe UI Symbol" w:cs="Segoe UI Symbol"/>
                <w:szCs w:val="21"/>
              </w:rPr>
              <w:t>☑</w:t>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2"/>
        </w:numPr>
        <w:spacing w:line="560" w:lineRule="exact"/>
        <w:outlineLvl w:val="1"/>
        <w:rPr>
          <w:rFonts w:ascii="宋体" w:hAnsi="宋体"/>
          <w:b/>
          <w:szCs w:val="21"/>
        </w:rPr>
      </w:pPr>
      <w:bookmarkStart w:id="6" w:name="_Toc82684590"/>
      <w:bookmarkEnd w:id="6"/>
      <w:bookmarkStart w:id="7" w:name="_Toc82684706"/>
      <w:bookmarkEnd w:id="7"/>
      <w:bookmarkStart w:id="8" w:name="_Toc82685542"/>
      <w:bookmarkEnd w:id="8"/>
      <w:bookmarkStart w:id="9" w:name="_Toc82684591"/>
      <w:bookmarkEnd w:id="9"/>
      <w:bookmarkStart w:id="10" w:name="_Toc82591928"/>
      <w:bookmarkEnd w:id="10"/>
      <w:bookmarkStart w:id="11" w:name="_Toc82684705"/>
      <w:bookmarkEnd w:id="11"/>
      <w:bookmarkStart w:id="12" w:name="_Toc82685540"/>
      <w:bookmarkEnd w:id="12"/>
      <w:bookmarkStart w:id="13" w:name="_Toc82591927"/>
      <w:bookmarkEnd w:id="13"/>
      <w:bookmarkStart w:id="14" w:name="_Toc82684589"/>
      <w:bookmarkEnd w:id="14"/>
      <w:bookmarkStart w:id="15" w:name="_Toc82684704"/>
      <w:bookmarkEnd w:id="15"/>
      <w:bookmarkStart w:id="16" w:name="_Toc82591925"/>
      <w:bookmarkEnd w:id="16"/>
      <w:bookmarkStart w:id="17" w:name="_Toc82684703"/>
      <w:bookmarkEnd w:id="17"/>
      <w:bookmarkStart w:id="18" w:name="_Toc82685541"/>
      <w:bookmarkEnd w:id="18"/>
      <w:bookmarkStart w:id="19" w:name="_Toc82685543"/>
      <w:bookmarkEnd w:id="19"/>
      <w:bookmarkStart w:id="20" w:name="_Toc82591926"/>
      <w:bookmarkEnd w:id="20"/>
      <w:bookmarkStart w:id="21" w:name="_Toc82684588"/>
      <w:bookmarkEnd w:id="21"/>
      <w:bookmarkStart w:id="22" w:name="_Toc82783885"/>
      <w:r>
        <w:rPr>
          <w:rFonts w:hint="eastAsia" w:ascii="宋体" w:hAnsi="宋体"/>
          <w:b/>
          <w:szCs w:val="21"/>
        </w:rPr>
        <w:t>特别说明</w:t>
      </w:r>
      <w:bookmarkEnd w:id="22"/>
    </w:p>
    <w:p>
      <w:pPr>
        <w:pStyle w:val="27"/>
        <w:numPr>
          <w:ilvl w:val="0"/>
          <w:numId w:val="10"/>
        </w:numPr>
        <w:spacing w:line="360" w:lineRule="auto"/>
        <w:ind w:left="0" w:firstLine="420" w:firstLineChars="0"/>
        <w:rPr>
          <w:rFonts w:ascii="宋体" w:hAnsi="宋体" w:eastAsia="宋体" w:cs="宋体"/>
          <w:szCs w:val="21"/>
        </w:rPr>
      </w:pPr>
      <w:bookmarkStart w:id="23" w:name="_Toc517278751"/>
      <w:bookmarkStart w:id="24" w:name="_Toc45028463"/>
      <w:bookmarkStart w:id="25" w:name="_Toc478387747"/>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7"/>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本项目涉及的所有往来资料文件均需通过招标人报名回函上指定的电子邮箱发送和接收，否则可能导致文件不被接受的不利后果。</w:t>
      </w:r>
    </w:p>
    <w:p>
      <w:pPr>
        <w:pStyle w:val="27"/>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7"/>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7"/>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pPr>
        <w:pStyle w:val="27"/>
        <w:spacing w:line="360" w:lineRule="auto"/>
        <w:ind w:left="420" w:firstLine="0" w:firstLineChars="0"/>
        <w:rPr>
          <w:rFonts w:ascii="宋体" w:hAnsi="宋体" w:eastAsia="宋体" w:cs="宋体"/>
          <w:szCs w:val="21"/>
        </w:rPr>
      </w:pPr>
    </w:p>
    <w:p>
      <w:pPr>
        <w:numPr>
          <w:ilvl w:val="0"/>
          <w:numId w:val="2"/>
        </w:numPr>
        <w:spacing w:line="560" w:lineRule="exact"/>
        <w:outlineLvl w:val="1"/>
        <w:rPr>
          <w:rFonts w:ascii="宋体" w:hAnsi="宋体"/>
          <w:b/>
          <w:szCs w:val="21"/>
        </w:rPr>
      </w:pPr>
      <w:bookmarkStart w:id="26" w:name="_Toc82591986"/>
      <w:bookmarkEnd w:id="26"/>
      <w:bookmarkStart w:id="27" w:name="_Toc82591989"/>
      <w:bookmarkEnd w:id="27"/>
      <w:bookmarkStart w:id="28" w:name="_Toc82591988"/>
      <w:bookmarkEnd w:id="28"/>
      <w:bookmarkStart w:id="29" w:name="_Toc82684708"/>
      <w:bookmarkEnd w:id="29"/>
      <w:bookmarkStart w:id="30" w:name="_Toc82685545"/>
      <w:bookmarkEnd w:id="30"/>
      <w:bookmarkStart w:id="31" w:name="_Toc82591987"/>
      <w:bookmarkEnd w:id="31"/>
      <w:bookmarkStart w:id="32" w:name="_Toc82684593"/>
      <w:bookmarkEnd w:id="32"/>
      <w:bookmarkStart w:id="33" w:name="_Toc82591930"/>
      <w:bookmarkEnd w:id="33"/>
      <w:bookmarkStart w:id="34" w:name="_Toc82591985"/>
      <w:bookmarkEnd w:id="34"/>
      <w:bookmarkStart w:id="35" w:name="_Toc82783886"/>
      <w:r>
        <w:rPr>
          <w:rFonts w:hint="eastAsia" w:ascii="宋体" w:hAnsi="宋体"/>
          <w:b/>
          <w:szCs w:val="21"/>
        </w:rPr>
        <w:t>投标文件编制</w:t>
      </w:r>
      <w:bookmarkEnd w:id="35"/>
    </w:p>
    <w:tbl>
      <w:tblPr>
        <w:tblStyle w:val="21"/>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国家企业信用信息公示系统（www.gsxt.gov.cn）公示的企业信息打印件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bCs/>
                <w:snapToGrid w:val="0"/>
                <w:kern w:val="0"/>
                <w:szCs w:val="21"/>
              </w:rPr>
            </w:pPr>
            <w:r>
              <w:rPr>
                <w:rFonts w:hint="eastAsia" w:ascii="宋体" w:hAnsi="宋体"/>
                <w:bCs/>
                <w:snapToGrid w:val="0"/>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投标报价一览表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2"/>
        </w:numPr>
        <w:spacing w:line="560" w:lineRule="exact"/>
        <w:outlineLvl w:val="1"/>
        <w:rPr>
          <w:rFonts w:ascii="宋体" w:hAnsi="宋体"/>
          <w:b/>
          <w:szCs w:val="21"/>
        </w:rPr>
      </w:pPr>
      <w:bookmarkStart w:id="36" w:name="_Toc82783887"/>
      <w:r>
        <w:rPr>
          <w:rFonts w:hint="eastAsia" w:ascii="宋体" w:hAnsi="宋体"/>
          <w:b/>
          <w:szCs w:val="21"/>
        </w:rPr>
        <w:t>项目要求及数量</w:t>
      </w:r>
      <w:bookmarkEnd w:id="36"/>
    </w:p>
    <w:tbl>
      <w:tblPr>
        <w:tblStyle w:val="21"/>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7083"/>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需求名称</w:t>
            </w:r>
          </w:p>
        </w:tc>
        <w:tc>
          <w:tcPr>
            <w:tcW w:w="7083"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hint="eastAsia" w:ascii="宋体" w:hAnsi="宋体" w:eastAsia="宋体" w:cs="宋体"/>
                <w:b/>
                <w:color w:val="auto"/>
                <w:sz w:val="21"/>
                <w:szCs w:val="21"/>
              </w:rPr>
            </w:pPr>
            <w:r>
              <w:rPr>
                <w:rFonts w:hint="eastAsia" w:ascii="宋体" w:hAnsi="宋体" w:eastAsia="宋体" w:cs="宋体"/>
                <w:b/>
                <w:color w:val="auto"/>
                <w:sz w:val="21"/>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27"/>
              <w:numPr>
                <w:ilvl w:val="0"/>
                <w:numId w:val="11"/>
              </w:numPr>
              <w:ind w:firstLineChars="0"/>
              <w:jc w:val="center"/>
              <w:rPr>
                <w:rFonts w:hint="eastAsia" w:ascii="宋体" w:hAnsi="宋体" w:eastAsia="宋体" w:cs="宋体"/>
                <w:color w:val="auto"/>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资质要求</w:t>
            </w:r>
          </w:p>
        </w:tc>
        <w:tc>
          <w:tcPr>
            <w:tcW w:w="7083" w:type="dxa"/>
            <w:tcBorders>
              <w:top w:val="single" w:color="auto" w:sz="4" w:space="0"/>
              <w:left w:val="single" w:color="auto" w:sz="4" w:space="0"/>
              <w:bottom w:val="single" w:color="auto" w:sz="4" w:space="0"/>
              <w:right w:val="single" w:color="auto" w:sz="4" w:space="0"/>
            </w:tcBorders>
            <w:vAlign w:val="center"/>
          </w:tcPr>
          <w:p>
            <w:pPr>
              <w:pStyle w:val="2"/>
              <w:numPr>
                <w:ilvl w:val="0"/>
                <w:numId w:val="12"/>
              </w:numPr>
              <w:ind w:left="360" w:hanging="360"/>
              <w:rPr>
                <w:rFonts w:hint="eastAsia" w:ascii="宋体" w:hAnsi="宋体" w:eastAsia="宋体" w:cs="宋体"/>
                <w:bCs/>
                <w:color w:val="auto"/>
                <w:sz w:val="21"/>
                <w:szCs w:val="21"/>
              </w:rPr>
            </w:pPr>
            <w:r>
              <w:rPr>
                <w:rFonts w:hint="eastAsia" w:ascii="宋体" w:hAnsi="宋体" w:eastAsia="宋体" w:cs="宋体"/>
                <w:bCs/>
                <w:color w:val="auto"/>
                <w:sz w:val="21"/>
                <w:szCs w:val="21"/>
              </w:rPr>
              <w:t>投标单位须为中华人民共和国境内注册并合法运作的独立法人，且无未改正的经营异常信息，无严重违法失信记录。（提供营业执照复印件加盖公章）。</w:t>
            </w:r>
          </w:p>
          <w:p>
            <w:pPr>
              <w:pStyle w:val="2"/>
              <w:numPr>
                <w:ilvl w:val="0"/>
                <w:numId w:val="12"/>
              </w:numPr>
              <w:ind w:left="360" w:hanging="360"/>
              <w:rPr>
                <w:rFonts w:hint="eastAsia" w:ascii="宋体" w:hAnsi="宋体" w:eastAsia="宋体" w:cs="宋体"/>
                <w:b/>
                <w:bCs/>
                <w:color w:val="auto"/>
                <w:sz w:val="21"/>
                <w:szCs w:val="21"/>
              </w:rPr>
            </w:pPr>
            <w:r>
              <w:rPr>
                <w:rFonts w:hint="eastAsia" w:ascii="宋体" w:hAnsi="宋体" w:eastAsia="宋体" w:cs="宋体"/>
                <w:bCs/>
                <w:color w:val="auto"/>
                <w:sz w:val="21"/>
                <w:szCs w:val="21"/>
              </w:rPr>
              <w:t>投标单位须提供国家企业信用信息公示系统（http://www.gsxt.gov.cn/）公示的企业信息打印件（至少包含“基础信息页”、“列入经营异常名录信息页”、“列入严重违法失信企业名单信息页”）并加盖参加单位公章。</w:t>
            </w:r>
          </w:p>
          <w:p>
            <w:pPr>
              <w:pStyle w:val="2"/>
              <w:numPr>
                <w:ilvl w:val="0"/>
                <w:numId w:val="12"/>
              </w:numPr>
              <w:ind w:left="360" w:hanging="360"/>
              <w:rPr>
                <w:rFonts w:hint="eastAsia" w:ascii="宋体" w:hAnsi="宋体" w:eastAsia="宋体" w:cs="宋体"/>
                <w:color w:val="auto"/>
                <w:sz w:val="21"/>
                <w:szCs w:val="21"/>
              </w:rPr>
            </w:pPr>
            <w:r>
              <w:rPr>
                <w:rFonts w:hint="eastAsia" w:ascii="宋体" w:hAnsi="宋体" w:eastAsia="宋体" w:cs="宋体"/>
                <w:bCs/>
                <w:color w:val="auto"/>
                <w:sz w:val="21"/>
                <w:szCs w:val="21"/>
              </w:rPr>
              <w:t>投标单位应提供自2018年1月1日至招标公告发布日期内（以合同签订时间为准）涉及摆花、养护综合能力的业绩证明及公司简介（包括公司规模及优势、技术力量、种植基地、绿地面积）。投标单位需自行汇总业绩合同清单。投标单位须提供体现上述信息相应合同的关键页。合同关键页包含但不限于项目名称、业主方名称、合同主要内容、签订时间、履约地点、甲乙双方盖章等信息。</w:t>
            </w:r>
          </w:p>
          <w:p>
            <w:pPr>
              <w:pStyle w:val="2"/>
              <w:numPr>
                <w:ilvl w:val="0"/>
                <w:numId w:val="12"/>
              </w:numPr>
              <w:ind w:left="360" w:hanging="360"/>
              <w:rPr>
                <w:rFonts w:hint="eastAsia" w:ascii="宋体" w:hAnsi="宋体" w:eastAsia="宋体" w:cs="宋体"/>
                <w:color w:val="auto"/>
                <w:sz w:val="21"/>
                <w:szCs w:val="21"/>
              </w:rPr>
            </w:pPr>
            <w:r>
              <w:rPr>
                <w:rFonts w:hint="eastAsia" w:ascii="宋体" w:hAnsi="宋体" w:eastAsia="宋体" w:cs="宋体"/>
                <w:bCs/>
                <w:color w:val="auto"/>
                <w:sz w:val="21"/>
                <w:szCs w:val="21"/>
              </w:rPr>
              <w:t>本项目不接受联合体投标。不得转包或非法分包。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bCs/>
                <w:color w:val="auto"/>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30"/>
              <w:keepNext w:val="0"/>
              <w:numPr>
                <w:ilvl w:val="0"/>
                <w:numId w:val="11"/>
              </w:numPr>
              <w:adjustRightInd/>
              <w:spacing w:before="0" w:after="0" w:line="240" w:lineRule="auto"/>
              <w:rPr>
                <w:rFonts w:hint="eastAsia" w:ascii="宋体" w:hAnsi="宋体" w:eastAsia="宋体" w:cs="宋体"/>
                <w:snapToGrid/>
                <w:color w:val="auto"/>
                <w:spacing w:val="0"/>
                <w:kern w:val="2"/>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报价要求</w:t>
            </w:r>
          </w:p>
        </w:tc>
        <w:tc>
          <w:tcPr>
            <w:tcW w:w="7083" w:type="dxa"/>
            <w:tcBorders>
              <w:top w:val="single" w:color="auto" w:sz="4" w:space="0"/>
              <w:left w:val="single" w:color="auto" w:sz="4" w:space="0"/>
              <w:bottom w:val="single" w:color="auto" w:sz="4" w:space="0"/>
              <w:right w:val="single" w:color="auto" w:sz="4" w:space="0"/>
            </w:tcBorders>
            <w:vAlign w:val="center"/>
          </w:tcPr>
          <w:p>
            <w:pPr>
              <w:pStyle w:val="27"/>
              <w:numPr>
                <w:ilvl w:val="0"/>
                <w:numId w:val="13"/>
              </w:numPr>
              <w:spacing w:line="0" w:lineRule="atLeast"/>
              <w:ind w:left="360" w:hanging="36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投标单位必须按照招标文件第五部分“服务需求明细”内容提供报价，全年绿化服务需求预估数据仅作为报价参考数据，最终现场以实际发生的租摆数量为准。</w:t>
            </w:r>
          </w:p>
          <w:p>
            <w:pPr>
              <w:pStyle w:val="27"/>
              <w:numPr>
                <w:ilvl w:val="0"/>
                <w:numId w:val="13"/>
              </w:numPr>
              <w:spacing w:line="0" w:lineRule="atLeast"/>
              <w:ind w:left="360" w:hanging="36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投标单位按照本项目要求提供展馆物业盆栽植物租摆、北广场花箱植物管养、绿篱和北广场石碑植物管养（展馆红线范围内绿篱和北广场石碑处灌木）、北广场新增改建的6个花坛植物管养，以上价格</w:t>
            </w:r>
            <w:r>
              <w:rPr>
                <w:rFonts w:hint="eastAsia" w:ascii="宋体" w:hAnsi="宋体" w:eastAsia="宋体" w:cs="宋体"/>
                <w:bCs/>
                <w:color w:val="auto"/>
                <w:sz w:val="21"/>
                <w:szCs w:val="21"/>
                <w:lang w:val="en-US" w:eastAsia="zh-CN"/>
              </w:rPr>
              <w:t>提供分项报价清单及各项内容</w:t>
            </w:r>
            <w:r>
              <w:rPr>
                <w:rFonts w:hint="eastAsia" w:ascii="宋体" w:hAnsi="宋体" w:eastAsia="宋体" w:cs="宋体"/>
                <w:bCs/>
                <w:color w:val="auto"/>
                <w:sz w:val="21"/>
                <w:szCs w:val="21"/>
              </w:rPr>
              <w:t>年度总价</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并汇总各项内容</w:t>
            </w:r>
            <w:r>
              <w:rPr>
                <w:rFonts w:hint="eastAsia" w:ascii="宋体" w:hAnsi="宋体" w:eastAsia="宋体" w:cs="宋体"/>
                <w:bCs/>
                <w:color w:val="auto"/>
                <w:sz w:val="21"/>
                <w:szCs w:val="21"/>
              </w:rPr>
              <w:t>年度总价</w:t>
            </w:r>
            <w:r>
              <w:rPr>
                <w:rFonts w:hint="eastAsia" w:ascii="宋体" w:hAnsi="宋体" w:eastAsia="宋体" w:cs="宋体"/>
                <w:bCs/>
                <w:color w:val="auto"/>
                <w:sz w:val="21"/>
                <w:szCs w:val="21"/>
                <w:lang w:val="en-US" w:eastAsia="zh-CN"/>
              </w:rPr>
              <w:t>作为年度总报价。该年度总报价为本项目投标报价。</w:t>
            </w:r>
          </w:p>
          <w:p>
            <w:pPr>
              <w:pStyle w:val="27"/>
              <w:numPr>
                <w:ilvl w:val="0"/>
                <w:numId w:val="13"/>
              </w:numPr>
              <w:spacing w:line="0" w:lineRule="atLeast"/>
              <w:ind w:left="360" w:hanging="36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投标单位提供展会临时盆栽租摆、高交会及其他临时自用造型摆花和北广场花箱维护维修的分项报价清单及各项年度总报价。须列明绿地管养、</w:t>
            </w:r>
            <w:r>
              <w:rPr>
                <w:rFonts w:hint="eastAsia" w:ascii="宋体" w:hAnsi="宋体" w:eastAsia="宋体" w:cs="宋体"/>
                <w:color w:val="auto"/>
                <w:sz w:val="21"/>
                <w:szCs w:val="21"/>
              </w:rPr>
              <w:t>花箱脚粘连、小盆、大盆和高档盆的</w:t>
            </w:r>
            <w:r>
              <w:rPr>
                <w:rFonts w:hint="eastAsia" w:ascii="宋体" w:hAnsi="宋体" w:eastAsia="宋体" w:cs="宋体"/>
                <w:bCs/>
                <w:color w:val="auto"/>
                <w:sz w:val="21"/>
                <w:szCs w:val="21"/>
              </w:rPr>
              <w:t>综合单价。展会临时盆栽租摆、高交会及其他临时自用造型摆花和北广场花箱维护维修</w:t>
            </w:r>
            <w:r>
              <w:rPr>
                <w:rFonts w:hint="eastAsia" w:ascii="宋体" w:hAnsi="宋体" w:eastAsia="宋体" w:cs="宋体"/>
                <w:bCs/>
                <w:color w:val="auto"/>
                <w:sz w:val="21"/>
                <w:szCs w:val="21"/>
                <w:lang w:val="en-US" w:eastAsia="zh-CN"/>
              </w:rPr>
              <w:t>报价仅作为服务价格参考，不作为本项目投标总报价所含内容。</w:t>
            </w:r>
          </w:p>
          <w:p>
            <w:pPr>
              <w:pStyle w:val="27"/>
              <w:numPr>
                <w:ilvl w:val="0"/>
                <w:numId w:val="13"/>
              </w:numPr>
              <w:spacing w:line="0" w:lineRule="atLeast"/>
              <w:ind w:left="360" w:hanging="360" w:firstLineChars="0"/>
              <w:rPr>
                <w:rFonts w:hint="eastAsia" w:ascii="宋体" w:hAnsi="宋体" w:eastAsia="宋体" w:cs="宋体"/>
                <w:color w:val="auto"/>
                <w:sz w:val="21"/>
                <w:szCs w:val="21"/>
              </w:rPr>
            </w:pPr>
            <w:r>
              <w:rPr>
                <w:rFonts w:hint="eastAsia" w:ascii="宋体" w:hAnsi="宋体" w:eastAsia="宋体" w:cs="宋体"/>
                <w:bCs/>
                <w:color w:val="auto"/>
                <w:sz w:val="21"/>
                <w:szCs w:val="21"/>
              </w:rPr>
              <w:t>由于</w:t>
            </w:r>
            <w:r>
              <w:rPr>
                <w:rFonts w:hint="eastAsia" w:ascii="宋体" w:hAnsi="宋体" w:eastAsia="宋体" w:cs="宋体"/>
                <w:color w:val="auto"/>
                <w:sz w:val="21"/>
                <w:szCs w:val="21"/>
              </w:rPr>
              <w:t>北广场6个花坛及绿篱养护</w:t>
            </w:r>
            <w:r>
              <w:rPr>
                <w:rFonts w:hint="eastAsia" w:ascii="宋体" w:hAnsi="宋体" w:eastAsia="宋体" w:cs="宋体"/>
                <w:bCs/>
                <w:color w:val="auto"/>
                <w:sz w:val="21"/>
                <w:szCs w:val="21"/>
              </w:rPr>
              <w:t>两项工作有调整的可能性，</w:t>
            </w:r>
            <w:r>
              <w:rPr>
                <w:rFonts w:hint="eastAsia" w:ascii="宋体" w:hAnsi="宋体" w:eastAsia="宋体" w:cs="宋体"/>
                <w:color w:val="auto"/>
                <w:sz w:val="21"/>
                <w:szCs w:val="21"/>
              </w:rPr>
              <w:t>需要根据采购人实际需求结算费用，此两项工作按月报价</w:t>
            </w:r>
            <w:r>
              <w:rPr>
                <w:rFonts w:hint="eastAsia" w:ascii="宋体" w:hAnsi="宋体" w:eastAsia="宋体" w:cs="宋体"/>
                <w:bCs/>
                <w:color w:val="auto"/>
                <w:sz w:val="21"/>
                <w:szCs w:val="21"/>
              </w:rPr>
              <w:t>，需要自行以年汇总总价。</w:t>
            </w:r>
          </w:p>
          <w:p>
            <w:pPr>
              <w:pStyle w:val="27"/>
              <w:numPr>
                <w:ilvl w:val="0"/>
                <w:numId w:val="13"/>
              </w:numPr>
              <w:spacing w:line="0" w:lineRule="atLeast"/>
              <w:ind w:left="360" w:hanging="360" w:firstLineChars="0"/>
              <w:rPr>
                <w:rFonts w:hint="eastAsia" w:ascii="宋体" w:hAnsi="宋体" w:eastAsia="宋体" w:cs="宋体"/>
                <w:color w:val="auto"/>
                <w:sz w:val="21"/>
                <w:szCs w:val="21"/>
              </w:rPr>
            </w:pPr>
            <w:r>
              <w:rPr>
                <w:rFonts w:hint="eastAsia" w:ascii="宋体" w:hAnsi="宋体" w:eastAsia="宋体" w:cs="宋体"/>
                <w:color w:val="auto"/>
                <w:sz w:val="21"/>
                <w:szCs w:val="21"/>
              </w:rPr>
              <w:t>投标人需自行汇总以上各项报价，提供本项目年度总报价。该报价包含增值税及完成本项目服务需求所需一切费用。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30"/>
              <w:keepNext w:val="0"/>
              <w:numPr>
                <w:ilvl w:val="0"/>
                <w:numId w:val="11"/>
              </w:numPr>
              <w:adjustRightInd/>
              <w:spacing w:before="0" w:after="0" w:line="240" w:lineRule="auto"/>
              <w:rPr>
                <w:rFonts w:hint="eastAsia" w:ascii="宋体" w:hAnsi="宋体" w:eastAsia="宋体" w:cs="宋体"/>
                <w:snapToGrid/>
                <w:color w:val="auto"/>
                <w:spacing w:val="0"/>
                <w:kern w:val="2"/>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控制金额</w:t>
            </w:r>
          </w:p>
        </w:tc>
        <w:tc>
          <w:tcPr>
            <w:tcW w:w="7083"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hint="eastAsia" w:ascii="宋体" w:hAnsi="宋体" w:eastAsia="宋体" w:cs="宋体"/>
                <w:color w:val="auto"/>
                <w:sz w:val="21"/>
                <w:szCs w:val="21"/>
              </w:rPr>
            </w:pPr>
            <w:r>
              <w:rPr>
                <w:rFonts w:hint="eastAsia" w:ascii="宋体" w:hAnsi="宋体" w:eastAsia="宋体" w:cs="宋体"/>
                <w:bCs/>
                <w:color w:val="auto"/>
                <w:sz w:val="21"/>
                <w:szCs w:val="21"/>
              </w:rPr>
              <w:t>本次招标项目固定物业租摆、高交会及其他临时自用造型摆花单项控制金额均为：</w:t>
            </w:r>
            <w:r>
              <w:rPr>
                <w:rFonts w:hint="eastAsia" w:ascii="宋体" w:hAnsi="宋体" w:eastAsia="宋体" w:cs="宋体"/>
                <w:color w:val="auto"/>
                <w:sz w:val="21"/>
                <w:szCs w:val="21"/>
              </w:rPr>
              <w:t>高档105 元/盆/月、大盆29元/盆/月、小盆7.5元/盆/月、绿地养护1.8元/平方米/月、花箱脚粘连60元/角</w:t>
            </w:r>
            <w:r>
              <w:rPr>
                <w:rFonts w:hint="eastAsia" w:ascii="宋体" w:hAnsi="宋体" w:eastAsia="宋体" w:cs="宋体"/>
                <w:bCs/>
                <w:color w:val="auto"/>
                <w:sz w:val="21"/>
                <w:szCs w:val="21"/>
              </w:rPr>
              <w:t>，详见全年绿化服务需求数据；年度报价控制金额为人民币53万元（含税）。投标单位的投标报价不可高于相应的控制金额，否则投标文件做废标处理。全年支付费用不能超过总控制金额。</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30"/>
              <w:keepNext w:val="0"/>
              <w:numPr>
                <w:ilvl w:val="0"/>
                <w:numId w:val="11"/>
              </w:numPr>
              <w:adjustRightInd/>
              <w:spacing w:before="0" w:after="0" w:line="240" w:lineRule="auto"/>
              <w:rPr>
                <w:rFonts w:hint="eastAsia" w:ascii="宋体" w:hAnsi="宋体" w:eastAsia="宋体" w:cs="宋体"/>
                <w:snapToGrid/>
                <w:color w:val="auto"/>
                <w:spacing w:val="0"/>
                <w:kern w:val="2"/>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付款要求</w:t>
            </w:r>
          </w:p>
        </w:tc>
        <w:tc>
          <w:tcPr>
            <w:tcW w:w="7083"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eastAsia="宋体" w:cs="宋体"/>
                <w:color w:val="auto"/>
                <w:sz w:val="21"/>
                <w:szCs w:val="21"/>
              </w:rPr>
            </w:pPr>
            <w:r>
              <w:rPr>
                <w:rFonts w:hint="eastAsia" w:ascii="宋体" w:hAnsi="宋体" w:eastAsia="宋体" w:cs="宋体"/>
                <w:bCs/>
                <w:color w:val="auto"/>
                <w:sz w:val="21"/>
                <w:szCs w:val="21"/>
              </w:rPr>
              <w:t>合同为固定单价合同，最终结算金额</w:t>
            </w:r>
            <w:r>
              <w:rPr>
                <w:rFonts w:hint="eastAsia" w:ascii="宋体" w:hAnsi="宋体" w:eastAsia="宋体" w:cs="宋体"/>
                <w:b/>
                <w:bCs/>
                <w:color w:val="auto"/>
                <w:sz w:val="21"/>
                <w:szCs w:val="21"/>
              </w:rPr>
              <w:t>按实际执行数量</w:t>
            </w:r>
            <w:r>
              <w:rPr>
                <w:rFonts w:hint="eastAsia" w:ascii="宋体" w:hAnsi="宋体" w:eastAsia="宋体" w:cs="宋体"/>
                <w:bCs/>
                <w:color w:val="auto"/>
                <w:sz w:val="21"/>
                <w:szCs w:val="21"/>
              </w:rPr>
              <w:t>核算。</w:t>
            </w:r>
          </w:p>
          <w:p>
            <w:pPr>
              <w:pStyle w:val="2"/>
              <w:rPr>
                <w:rFonts w:hint="eastAsia" w:ascii="宋体" w:hAnsi="宋体" w:eastAsia="宋体" w:cs="宋体"/>
                <w:color w:val="auto"/>
                <w:sz w:val="21"/>
                <w:szCs w:val="21"/>
              </w:rPr>
            </w:pPr>
            <w:r>
              <w:rPr>
                <w:rFonts w:hint="eastAsia" w:ascii="宋体" w:hAnsi="宋体" w:eastAsia="宋体" w:cs="宋体"/>
                <w:bCs/>
                <w:color w:val="auto"/>
                <w:sz w:val="21"/>
                <w:szCs w:val="21"/>
              </w:rPr>
              <w:t>按月结算。每月以双方确认的月度结算单为依据，</w:t>
            </w:r>
            <w:r>
              <w:rPr>
                <w:rFonts w:hint="eastAsia" w:ascii="宋体" w:hAnsi="宋体" w:eastAsia="宋体" w:cs="宋体"/>
                <w:color w:val="auto"/>
                <w:sz w:val="21"/>
                <w:szCs w:val="21"/>
              </w:rPr>
              <w:t>招标人在收到中标人开具有效的发票后根据双方提供每月完整的检查记录，支付应付款项。</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29" w:type="dxa"/>
            <w:vMerge w:val="restart"/>
            <w:tcBorders>
              <w:top w:val="single" w:color="auto" w:sz="4" w:space="0"/>
              <w:left w:val="single" w:color="auto" w:sz="4" w:space="0"/>
              <w:right w:val="single" w:color="auto" w:sz="4" w:space="0"/>
            </w:tcBorders>
            <w:vAlign w:val="center"/>
          </w:tcPr>
          <w:p>
            <w:pPr>
              <w:pStyle w:val="30"/>
              <w:keepNext w:val="0"/>
              <w:numPr>
                <w:ilvl w:val="0"/>
                <w:numId w:val="11"/>
              </w:numPr>
              <w:adjustRightInd/>
              <w:spacing w:before="0" w:after="0" w:line="240" w:lineRule="auto"/>
              <w:rPr>
                <w:rFonts w:hint="eastAsia" w:ascii="宋体" w:hAnsi="宋体" w:eastAsia="宋体" w:cs="宋体"/>
                <w:snapToGrid/>
                <w:color w:val="auto"/>
                <w:spacing w:val="0"/>
                <w:kern w:val="2"/>
                <w:sz w:val="21"/>
                <w:szCs w:val="21"/>
              </w:rPr>
            </w:pPr>
            <w:r>
              <w:rPr>
                <w:rFonts w:hint="eastAsia" w:ascii="宋体" w:hAnsi="宋体" w:eastAsia="宋体" w:cs="宋体"/>
                <w:snapToGrid/>
                <w:color w:val="auto"/>
                <w:spacing w:val="0"/>
                <w:kern w:val="2"/>
                <w:sz w:val="21"/>
                <w:szCs w:val="21"/>
              </w:rPr>
              <w:t>，</w:t>
            </w:r>
            <w:commentRangeStart w:id="0"/>
          </w:p>
        </w:tc>
        <w:tc>
          <w:tcPr>
            <w:tcW w:w="127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bCs/>
                <w:color w:val="auto"/>
                <w:sz w:val="21"/>
                <w:szCs w:val="21"/>
              </w:rPr>
              <w:t>服务要求</w:t>
            </w:r>
          </w:p>
        </w:tc>
        <w:tc>
          <w:tcPr>
            <w:tcW w:w="7083"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eastAsia="宋体" w:cs="宋体"/>
                <w:color w:val="auto"/>
                <w:sz w:val="21"/>
                <w:szCs w:val="21"/>
              </w:rPr>
            </w:pPr>
            <w:r>
              <w:rPr>
                <w:rFonts w:hint="eastAsia" w:ascii="宋体" w:hAnsi="宋体" w:eastAsia="宋体" w:cs="宋体"/>
                <w:color w:val="auto"/>
                <w:sz w:val="21"/>
                <w:szCs w:val="21"/>
              </w:rPr>
              <w:t>服务时间：本</w:t>
            </w:r>
            <w:r>
              <w:rPr>
                <w:rFonts w:hint="eastAsia" w:ascii="宋体" w:hAnsi="宋体" w:eastAsia="宋体" w:cs="宋体"/>
                <w:bCs/>
                <w:color w:val="auto"/>
                <w:sz w:val="21"/>
                <w:szCs w:val="21"/>
              </w:rPr>
              <w:t>服务</w:t>
            </w:r>
            <w:r>
              <w:rPr>
                <w:rFonts w:hint="eastAsia" w:ascii="宋体" w:hAnsi="宋体" w:eastAsia="宋体" w:cs="宋体"/>
                <w:color w:val="auto"/>
                <w:sz w:val="21"/>
                <w:szCs w:val="21"/>
              </w:rPr>
              <w:t>合同期1年，不再续签合同，第二年重新招标。</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sz w:val="21"/>
                <w:szCs w:val="21"/>
              </w:rPr>
            </w:pPr>
            <w:r>
              <w:rPr>
                <w:rFonts w:hint="eastAsia" w:ascii="宋体" w:hAnsi="宋体" w:eastAsia="宋体" w:cs="宋体"/>
                <w:bCs/>
                <w:color w:val="auto"/>
                <w:sz w:val="21"/>
                <w:szCs w:val="21"/>
              </w:rPr>
              <w:t>不可偏离</w:t>
            </w:r>
          </w:p>
        </w:tc>
      </w:tr>
      <w:commentRange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29" w:type="dxa"/>
            <w:vMerge w:val="continue"/>
            <w:tcBorders>
              <w:left w:val="single" w:color="auto" w:sz="4" w:space="0"/>
              <w:bottom w:val="single" w:color="auto" w:sz="4" w:space="0"/>
              <w:right w:val="single" w:color="auto" w:sz="4" w:space="0"/>
            </w:tcBorders>
            <w:vAlign w:val="center"/>
          </w:tcPr>
          <w:p>
            <w:pPr>
              <w:pStyle w:val="30"/>
              <w:keepNext w:val="0"/>
              <w:numPr>
                <w:ilvl w:val="0"/>
                <w:numId w:val="11"/>
              </w:numPr>
              <w:adjustRightInd/>
              <w:spacing w:before="0" w:after="0" w:line="240" w:lineRule="auto"/>
              <w:rPr>
                <w:rFonts w:hint="eastAsia" w:ascii="宋体" w:hAnsi="宋体" w:eastAsia="宋体" w:cs="宋体"/>
                <w:snapToGrid/>
                <w:color w:val="auto"/>
                <w:spacing w:val="0"/>
                <w:kern w:val="2"/>
                <w:sz w:val="21"/>
                <w:szCs w:val="21"/>
              </w:rPr>
            </w:pPr>
            <w:r>
              <w:rPr>
                <w:rStyle w:val="25"/>
                <w:rFonts w:hint="eastAsia" w:ascii="宋体" w:hAnsi="宋体" w:eastAsia="宋体" w:cs="宋体"/>
                <w:color w:val="auto"/>
                <w:sz w:val="21"/>
                <w:szCs w:val="21"/>
              </w:rPr>
              <w:commentReference w:id="0"/>
            </w:r>
          </w:p>
        </w:tc>
        <w:tc>
          <w:tcPr>
            <w:tcW w:w="1276"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c>
          <w:tcPr>
            <w:tcW w:w="7083"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eastAsia="宋体" w:cs="宋体"/>
                <w:color w:val="auto"/>
                <w:sz w:val="21"/>
                <w:szCs w:val="21"/>
              </w:rPr>
            </w:pPr>
            <w:r>
              <w:rPr>
                <w:rFonts w:hint="eastAsia" w:ascii="宋体" w:hAnsi="宋体" w:eastAsia="宋体" w:cs="宋体"/>
                <w:bCs/>
                <w:color w:val="auto"/>
                <w:sz w:val="21"/>
                <w:szCs w:val="21"/>
              </w:rPr>
              <w:t>服务地点：深圳市福田区福华三路 深圳会展中心</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sz w:val="21"/>
                <w:szCs w:val="21"/>
              </w:rPr>
            </w:pPr>
            <w:r>
              <w:rPr>
                <w:rFonts w:hint="eastAsia" w:ascii="宋体" w:hAnsi="宋体" w:eastAsia="宋体" w:cs="宋体"/>
                <w:bCs/>
                <w:color w:val="auto"/>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29" w:type="dxa"/>
            <w:vMerge w:val="restart"/>
            <w:tcBorders>
              <w:top w:val="single" w:color="auto" w:sz="4" w:space="0"/>
              <w:left w:val="single" w:color="auto" w:sz="4" w:space="0"/>
              <w:right w:val="single" w:color="auto" w:sz="4" w:space="0"/>
            </w:tcBorders>
            <w:vAlign w:val="center"/>
          </w:tcPr>
          <w:p>
            <w:pPr>
              <w:pStyle w:val="30"/>
              <w:keepNext w:val="0"/>
              <w:numPr>
                <w:ilvl w:val="0"/>
                <w:numId w:val="11"/>
              </w:numPr>
              <w:adjustRightInd/>
              <w:spacing w:before="0" w:after="0" w:line="240" w:lineRule="auto"/>
              <w:rPr>
                <w:rFonts w:hint="eastAsia" w:ascii="宋体" w:hAnsi="宋体" w:eastAsia="宋体" w:cs="宋体"/>
                <w:snapToGrid/>
                <w:color w:val="auto"/>
                <w:spacing w:val="0"/>
                <w:kern w:val="2"/>
                <w:sz w:val="21"/>
                <w:szCs w:val="21"/>
              </w:rPr>
            </w:pPr>
            <w:bookmarkStart w:id="37" w:name="_Hlk93869580"/>
          </w:p>
        </w:tc>
        <w:tc>
          <w:tcPr>
            <w:tcW w:w="127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bCs/>
                <w:color w:val="auto"/>
                <w:sz w:val="21"/>
                <w:szCs w:val="21"/>
              </w:rPr>
              <w:t>管理要求</w:t>
            </w:r>
          </w:p>
        </w:tc>
        <w:tc>
          <w:tcPr>
            <w:tcW w:w="708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1.中标单位至少派驻1名现场负责人及3名养护人员负责招标人盆栽养护工作。相关人员必须经岗前培训合格后上岗，工作时着统一工作服、佩戴工作牌，并应按双方现场约定的时间进行各项作业。</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2.中标单位养护人员进入招标人办公区域内，须遵守招标人的相关管理制度，对从招标人获取的商业机密、信息资料等，中标单位负有保密义务。</w:t>
            </w:r>
          </w:p>
          <w:p>
            <w:pPr>
              <w:tabs>
                <w:tab w:val="left" w:pos="426"/>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3.中标单位要加强对养护人员的在岗培训、监督和管理，确保绿化服务项目的优质高效。</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4.中标单位派驻招标人的养护人员，按招标人的有关管理制度统一办理手续，并向招标人提交人员的有效身份证明及相关资料。</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5.中标单位调换员工需提前告知招标人，若中标单位养护人员服务工作不能符合招标人的要求，招标人有权提出更换，更换人员须在招标人提出要求的一周内到位。</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6.中标单位提供一切所需机器设备、绿化工具、相关绿化养护物料及绿化养护技术，中标单位保证按合同规定的服务范围和质量要求完成各项工作，并严守有关安全作业规定。</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7.中标单位对盆栽枯萎或花盆破损的要在2日内完成更换；在养护中产生的绿化垃圾、污泥、积水等须立即清理，保持作业后环境的整洁。</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8.中标单位应根据季节、花木的习性适时调整租摆方案，经招标人确认后进行更换，保证盆栽的观赏性。</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9.中标单位应按深圳市园林绿化二级养护标准对室内外景观进行绿化养护，每周养护次数不少于2次，养护过程中如发现苗木花草枯死等现象，须于一周内进行补种复原。</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10.因中标单位管养不到位造成苗木花草死株缺苗，由中标单位无偿更换同等品种规格的植物。因自然灾害如台风、暴雨、地震、山火、滑坡等无法抗拒力造成的不属于中标单位责任。</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11.如遇招标人有重要活动安排时，中标单位须予以积极配合，因此所产生的绿化费用可协商解决。</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12.中标单位须无条件配合招标人做好日常的安全管理和服务管理工作，并接受招标人的检查和监督。</w:t>
            </w:r>
          </w:p>
          <w:p>
            <w:pPr>
              <w:spacing w:line="360" w:lineRule="auto"/>
              <w:outlineLvl w:val="1"/>
              <w:rPr>
                <w:rFonts w:hint="eastAsia" w:ascii="宋体" w:hAnsi="宋体" w:eastAsia="宋体" w:cs="宋体"/>
                <w:color w:val="auto"/>
                <w:sz w:val="21"/>
                <w:szCs w:val="21"/>
              </w:rPr>
            </w:pPr>
            <w:r>
              <w:rPr>
                <w:rFonts w:hint="eastAsia" w:ascii="宋体" w:hAnsi="宋体" w:eastAsia="宋体" w:cs="宋体"/>
                <w:color w:val="auto"/>
                <w:sz w:val="21"/>
                <w:szCs w:val="21"/>
              </w:rPr>
              <w:t>13.中标单位在履行合同过程中应遵循安全生产规定。绿化服务作业过程中发现突发性事故，应及时报告招标人主管人员，并协助处理。</w:t>
            </w:r>
            <w:r>
              <w:rPr>
                <w:rFonts w:hint="eastAsia" w:ascii="宋体" w:hAnsi="宋体" w:eastAsia="宋体" w:cs="宋体"/>
                <w:bCs/>
                <w:color w:val="auto"/>
                <w:sz w:val="21"/>
                <w:szCs w:val="21"/>
              </w:rPr>
              <w:t>因中标单位原因导致招标人或第三方发生伤亡事件或财产损失，一切责任和费用由中标单位承担。</w:t>
            </w:r>
          </w:p>
          <w:p>
            <w:pPr>
              <w:rPr>
                <w:rFonts w:hint="eastAsia" w:ascii="宋体" w:hAnsi="宋体" w:eastAsia="宋体" w:cs="宋体"/>
                <w:color w:val="auto"/>
                <w:sz w:val="21"/>
                <w:szCs w:val="21"/>
              </w:rPr>
            </w:pPr>
            <w:r>
              <w:rPr>
                <w:rFonts w:hint="eastAsia" w:ascii="宋体" w:hAnsi="宋体" w:eastAsia="宋体" w:cs="宋体"/>
                <w:color w:val="auto"/>
                <w:sz w:val="21"/>
                <w:szCs w:val="21"/>
              </w:rPr>
              <w:t>14．中标单位应认真履行其义务，以上条款如达不到要求标准的，将根据具体情况按合同约定，在服务合同款中扣减。</w:t>
            </w:r>
          </w:p>
          <w:p>
            <w:pPr>
              <w:tabs>
                <w:tab w:val="left" w:pos="531"/>
              </w:tabs>
              <w:snapToGrid w:val="0"/>
              <w:rPr>
                <w:rFonts w:hint="eastAsia" w:ascii="宋体" w:hAnsi="宋体" w:eastAsia="宋体" w:cs="宋体"/>
                <w:b/>
                <w:color w:val="auto"/>
                <w:sz w:val="21"/>
                <w:szCs w:val="21"/>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sz w:val="21"/>
                <w:szCs w:val="21"/>
              </w:rPr>
            </w:pPr>
            <w:r>
              <w:rPr>
                <w:rFonts w:hint="eastAsia" w:ascii="宋体" w:hAnsi="宋体" w:eastAsia="宋体" w:cs="宋体"/>
                <w:bCs/>
                <w:color w:val="auto"/>
                <w:sz w:val="21"/>
                <w:szCs w:val="21"/>
              </w:rPr>
              <w:t>不可偏离</w:t>
            </w:r>
          </w:p>
        </w:tc>
      </w:tr>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29" w:type="dxa"/>
            <w:vMerge w:val="continue"/>
            <w:tcBorders>
              <w:left w:val="single" w:color="auto" w:sz="4" w:space="0"/>
              <w:right w:val="single" w:color="auto" w:sz="4" w:space="0"/>
            </w:tcBorders>
            <w:vAlign w:val="center"/>
          </w:tcPr>
          <w:p>
            <w:pPr>
              <w:pStyle w:val="30"/>
              <w:keepNext w:val="0"/>
              <w:numPr>
                <w:ilvl w:val="0"/>
                <w:numId w:val="11"/>
              </w:numPr>
              <w:adjustRightInd/>
              <w:spacing w:before="0" w:after="0" w:line="240" w:lineRule="auto"/>
              <w:rPr>
                <w:rFonts w:hint="eastAsia" w:ascii="宋体" w:hAnsi="宋体" w:eastAsia="宋体" w:cs="宋体"/>
                <w:snapToGrid/>
                <w:color w:val="auto"/>
                <w:spacing w:val="0"/>
                <w:kern w:val="2"/>
                <w:sz w:val="21"/>
                <w:szCs w:val="21"/>
              </w:rPr>
            </w:pPr>
          </w:p>
        </w:tc>
        <w:tc>
          <w:tcPr>
            <w:tcW w:w="127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rPr>
            </w:pPr>
          </w:p>
        </w:tc>
        <w:tc>
          <w:tcPr>
            <w:tcW w:w="7083" w:type="dxa"/>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531"/>
              </w:tabs>
              <w:snapToGrid w:val="0"/>
              <w:ind w:firstLine="0"/>
              <w:jc w:val="left"/>
              <w:rPr>
                <w:rFonts w:hint="eastAsia" w:ascii="宋体" w:hAnsi="宋体" w:eastAsia="宋体" w:cs="宋体"/>
                <w:color w:val="auto"/>
                <w:sz w:val="21"/>
                <w:szCs w:val="21"/>
              </w:rPr>
            </w:pPr>
            <w:r>
              <w:rPr>
                <w:rFonts w:hint="eastAsia" w:ascii="宋体" w:hAnsi="宋体" w:eastAsia="宋体" w:cs="宋体"/>
                <w:bCs/>
                <w:color w:val="auto"/>
                <w:sz w:val="21"/>
                <w:szCs w:val="21"/>
              </w:rPr>
              <w:t>投标单位可提供行业协会或国家体系认证证明以及获奖证明。（须提供相应证书复印件或证明文件，复印件加盖投标单位公章）</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sz w:val="21"/>
                <w:szCs w:val="21"/>
              </w:rPr>
            </w:pPr>
            <w:r>
              <w:rPr>
                <w:rFonts w:hint="eastAsia" w:ascii="宋体" w:hAnsi="宋体" w:eastAsia="宋体" w:cs="宋体"/>
                <w:bCs/>
                <w:color w:val="auto"/>
                <w:sz w:val="21"/>
                <w:szCs w:val="21"/>
              </w:rPr>
              <w:t>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29" w:type="dxa"/>
            <w:vMerge w:val="continue"/>
            <w:tcBorders>
              <w:left w:val="single" w:color="auto" w:sz="4" w:space="0"/>
              <w:bottom w:val="single" w:color="auto" w:sz="4" w:space="0"/>
              <w:right w:val="single" w:color="auto" w:sz="4" w:space="0"/>
            </w:tcBorders>
            <w:vAlign w:val="center"/>
          </w:tcPr>
          <w:p>
            <w:pPr>
              <w:pStyle w:val="30"/>
              <w:keepNext w:val="0"/>
              <w:numPr>
                <w:ilvl w:val="0"/>
                <w:numId w:val="11"/>
              </w:numPr>
              <w:adjustRightInd/>
              <w:spacing w:before="0" w:after="0" w:line="240" w:lineRule="auto"/>
              <w:rPr>
                <w:rFonts w:hint="eastAsia" w:ascii="宋体" w:hAnsi="宋体" w:eastAsia="宋体" w:cs="宋体"/>
                <w:snapToGrid/>
                <w:color w:val="auto"/>
                <w:spacing w:val="0"/>
                <w:kern w:val="2"/>
                <w:sz w:val="21"/>
                <w:szCs w:val="21"/>
              </w:rPr>
            </w:pPr>
          </w:p>
        </w:tc>
        <w:tc>
          <w:tcPr>
            <w:tcW w:w="1276"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c>
          <w:tcPr>
            <w:tcW w:w="7083" w:type="dxa"/>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531"/>
              </w:tabs>
              <w:snapToGrid w:val="0"/>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投标单位可提供近四年（2018年1月1日至本项目招标公告发出之日止）展馆绿化养护、园林绿化养护或绿植租摆服务合同</w:t>
            </w:r>
            <w:r>
              <w:rPr>
                <w:rFonts w:hint="eastAsia" w:ascii="宋体" w:hAnsi="宋体" w:eastAsia="宋体" w:cs="宋体"/>
                <w:b/>
                <w:bCs/>
                <w:color w:val="auto"/>
                <w:sz w:val="21"/>
                <w:szCs w:val="21"/>
              </w:rPr>
              <w:t>（</w:t>
            </w:r>
            <w:r>
              <w:rPr>
                <w:rFonts w:hint="eastAsia" w:ascii="宋体" w:hAnsi="宋体" w:eastAsia="宋体" w:cs="宋体"/>
                <w:color w:val="auto"/>
                <w:sz w:val="21"/>
                <w:szCs w:val="21"/>
              </w:rPr>
              <w:t>须提供合同关键页复印件加盖投标单位公章）。</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sz w:val="21"/>
                <w:szCs w:val="21"/>
              </w:rPr>
            </w:pPr>
            <w:r>
              <w:rPr>
                <w:rFonts w:hint="eastAsia" w:ascii="宋体" w:hAnsi="宋体" w:eastAsia="宋体" w:cs="宋体"/>
                <w:bCs/>
                <w:color w:val="auto"/>
                <w:sz w:val="21"/>
                <w:szCs w:val="21"/>
              </w:rPr>
              <w:t>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（二）技术/服务需求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需求名称</w:t>
            </w:r>
          </w:p>
        </w:tc>
        <w:tc>
          <w:tcPr>
            <w:tcW w:w="7083"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hint="eastAsia" w:ascii="宋体" w:hAnsi="宋体" w:eastAsia="宋体" w:cs="宋体"/>
                <w:b/>
                <w:color w:val="auto"/>
                <w:sz w:val="21"/>
                <w:szCs w:val="21"/>
              </w:rPr>
            </w:pPr>
            <w:r>
              <w:rPr>
                <w:rFonts w:hint="eastAsia" w:ascii="宋体" w:hAnsi="宋体" w:eastAsia="宋体" w:cs="宋体"/>
                <w:b/>
                <w:color w:val="auto"/>
                <w:sz w:val="21"/>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项目实施内容</w:t>
            </w:r>
          </w:p>
        </w:tc>
        <w:tc>
          <w:tcPr>
            <w:tcW w:w="708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本次绿化服务需求包括五个方面：</w:t>
            </w:r>
          </w:p>
          <w:p>
            <w:pPr>
              <w:pStyle w:val="27"/>
              <w:numPr>
                <w:ilvl w:val="0"/>
                <w:numId w:val="15"/>
              </w:numPr>
              <w:spacing w:line="360" w:lineRule="auto"/>
              <w:ind w:firstLine="66"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绿地（展馆红线范围内绿篱、北广场新增改建的6个花坛）的养护（日常）</w:t>
            </w:r>
          </w:p>
          <w:p>
            <w:pPr>
              <w:pStyle w:val="27"/>
              <w:numPr>
                <w:ilvl w:val="0"/>
                <w:numId w:val="15"/>
              </w:numPr>
              <w:spacing w:line="360" w:lineRule="auto"/>
              <w:ind w:firstLine="66"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展馆物业盆栽租摆+北广场花箱植物养护租摆（日常）</w:t>
            </w:r>
          </w:p>
          <w:p>
            <w:pPr>
              <w:pStyle w:val="27"/>
              <w:numPr>
                <w:ilvl w:val="0"/>
                <w:numId w:val="15"/>
              </w:numPr>
              <w:spacing w:line="360" w:lineRule="auto"/>
              <w:ind w:firstLine="66"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北广场花箱维护维修（日常）</w:t>
            </w:r>
          </w:p>
          <w:p>
            <w:pPr>
              <w:pStyle w:val="27"/>
              <w:numPr>
                <w:ilvl w:val="0"/>
                <w:numId w:val="15"/>
              </w:numPr>
              <w:spacing w:line="360" w:lineRule="auto"/>
              <w:ind w:firstLine="66"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高交会及自办展会摆花（优先选择）</w:t>
            </w:r>
          </w:p>
          <w:p>
            <w:pPr>
              <w:pStyle w:val="27"/>
              <w:numPr>
                <w:ilvl w:val="0"/>
                <w:numId w:val="15"/>
              </w:numPr>
              <w:spacing w:line="360" w:lineRule="auto"/>
              <w:ind w:firstLine="9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展览、重要的会议等活动植物临时盆栽租摆（优先选择）</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说明：1、2、3项为日常性服务需求；4、5项为本次绿化服务招标中选供应商有优先服务机会的项目，招标人提供4、5项需求参考数据，供应商应表示出具备相应的服务能力，并在投标文件中承诺服务优惠价格。</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绿地养护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30"/>
              <w:keepNext w:val="0"/>
              <w:numPr>
                <w:ilvl w:val="0"/>
                <w:numId w:val="16"/>
              </w:numPr>
              <w:adjustRightInd/>
              <w:spacing w:before="0" w:after="0" w:line="240" w:lineRule="auto"/>
              <w:rPr>
                <w:rFonts w:hint="eastAsia" w:ascii="宋体" w:hAnsi="宋体" w:eastAsia="宋体" w:cs="宋体"/>
                <w:snapToGrid/>
                <w:color w:val="auto"/>
                <w:spacing w:val="0"/>
                <w:kern w:val="2"/>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bCs/>
                <w:color w:val="auto"/>
                <w:sz w:val="21"/>
                <w:szCs w:val="21"/>
              </w:rPr>
              <w:t>植物</w:t>
            </w:r>
          </w:p>
        </w:tc>
        <w:tc>
          <w:tcPr>
            <w:tcW w:w="7083" w:type="dxa"/>
            <w:tcBorders>
              <w:top w:val="single" w:color="auto" w:sz="4" w:space="0"/>
              <w:left w:val="single" w:color="auto" w:sz="4" w:space="0"/>
              <w:bottom w:val="single" w:color="auto" w:sz="4" w:space="0"/>
              <w:right w:val="single" w:color="auto" w:sz="4" w:space="0"/>
            </w:tcBorders>
            <w:vAlign w:val="center"/>
          </w:tcPr>
          <w:p>
            <w:pPr>
              <w:ind w:left="-2" w:leftChars="-1" w:firstLine="16" w:firstLineChars="8"/>
              <w:rPr>
                <w:rFonts w:hint="eastAsia" w:ascii="宋体" w:hAnsi="宋体" w:eastAsia="宋体" w:cs="宋体"/>
                <w:bCs/>
                <w:color w:val="auto"/>
                <w:sz w:val="21"/>
                <w:szCs w:val="21"/>
              </w:rPr>
            </w:pPr>
            <w:r>
              <w:rPr>
                <w:rFonts w:hint="eastAsia" w:ascii="宋体" w:hAnsi="宋体" w:eastAsia="宋体" w:cs="宋体"/>
                <w:bCs/>
                <w:color w:val="auto"/>
                <w:sz w:val="21"/>
                <w:szCs w:val="21"/>
              </w:rPr>
              <w:t>绿篱：勒杜鹃（约3500平方米），北广场6个花坛约2000平米</w:t>
            </w:r>
          </w:p>
          <w:p>
            <w:pPr>
              <w:tabs>
                <w:tab w:val="left" w:pos="531"/>
              </w:tabs>
              <w:snapToGrid w:val="0"/>
              <w:ind w:left="420"/>
              <w:rPr>
                <w:rFonts w:hint="eastAsia" w:ascii="宋体" w:hAnsi="宋体" w:eastAsia="宋体" w:cs="宋体"/>
                <w:color w:val="auto"/>
                <w:sz w:val="21"/>
                <w:szCs w:val="21"/>
              </w:rPr>
            </w:pPr>
            <w:r>
              <w:rPr>
                <w:rFonts w:hint="eastAsia" w:ascii="宋体" w:hAnsi="宋体" w:eastAsia="宋体" w:cs="宋体"/>
                <w:bCs/>
                <w:color w:val="auto"/>
                <w:sz w:val="21"/>
                <w:szCs w:val="21"/>
              </w:rPr>
              <w:t>花箱植物（约540小盆）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sz w:val="21"/>
                <w:szCs w:val="21"/>
              </w:rPr>
            </w:pPr>
            <w:r>
              <w:rPr>
                <w:rFonts w:hint="eastAsia" w:ascii="宋体" w:hAnsi="宋体" w:eastAsia="宋体" w:cs="宋体"/>
                <w:bCs/>
                <w:color w:val="auto"/>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30"/>
              <w:keepNext w:val="0"/>
              <w:numPr>
                <w:ilvl w:val="0"/>
                <w:numId w:val="16"/>
              </w:numPr>
              <w:adjustRightInd/>
              <w:spacing w:before="0" w:after="0" w:line="240" w:lineRule="auto"/>
              <w:rPr>
                <w:rFonts w:hint="eastAsia" w:ascii="宋体" w:hAnsi="宋体" w:eastAsia="宋体" w:cs="宋体"/>
                <w:snapToGrid/>
                <w:color w:val="auto"/>
                <w:spacing w:val="0"/>
                <w:kern w:val="2"/>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bCs/>
                <w:color w:val="auto"/>
                <w:sz w:val="21"/>
                <w:szCs w:val="21"/>
              </w:rPr>
              <w:t>养护要求</w:t>
            </w:r>
          </w:p>
        </w:tc>
        <w:tc>
          <w:tcPr>
            <w:tcW w:w="7083"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eastAsia="宋体" w:cs="宋体"/>
                <w:color w:val="auto"/>
                <w:sz w:val="21"/>
                <w:szCs w:val="21"/>
              </w:rPr>
            </w:pPr>
            <w:r>
              <w:rPr>
                <w:rFonts w:hint="eastAsia" w:ascii="宋体" w:hAnsi="宋体" w:eastAsia="宋体" w:cs="宋体"/>
                <w:bCs/>
                <w:color w:val="auto"/>
                <w:sz w:val="21"/>
                <w:szCs w:val="21"/>
              </w:rPr>
              <w:t>达到深圳市园林绿化管理二级绿地养护标准；勒杜鹃等植物生长良好，造型整齐美观，叶色和花色鲜艳，无枯枝残枝，沿绿篱围墙攀爬生长覆盖率达95％以上，达到遮蔽外部视线要求，无明显暴露部位，不得出现供人穿行的较大空档。</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bCs/>
                <w:color w:val="auto"/>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盆栽租摆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30"/>
              <w:keepNext w:val="0"/>
              <w:numPr>
                <w:ilvl w:val="0"/>
                <w:numId w:val="16"/>
              </w:numPr>
              <w:adjustRightInd/>
              <w:spacing w:before="0" w:after="0" w:line="240" w:lineRule="auto"/>
              <w:rPr>
                <w:rFonts w:hint="eastAsia" w:ascii="宋体" w:hAnsi="宋体" w:eastAsia="宋体" w:cs="宋体"/>
                <w:snapToGrid/>
                <w:color w:val="auto"/>
                <w:spacing w:val="0"/>
                <w:kern w:val="2"/>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bCs/>
                <w:color w:val="auto"/>
                <w:sz w:val="21"/>
                <w:szCs w:val="21"/>
              </w:rPr>
              <w:t>分类</w:t>
            </w:r>
          </w:p>
        </w:tc>
        <w:tc>
          <w:tcPr>
            <w:tcW w:w="7083" w:type="dxa"/>
            <w:tcBorders>
              <w:top w:val="single" w:color="auto" w:sz="4" w:space="0"/>
              <w:left w:val="single" w:color="auto" w:sz="4" w:space="0"/>
              <w:bottom w:val="single" w:color="auto" w:sz="4" w:space="0"/>
              <w:right w:val="single" w:color="auto" w:sz="4" w:space="0"/>
            </w:tcBorders>
            <w:vAlign w:val="center"/>
          </w:tcPr>
          <w:p>
            <w:pPr>
              <w:pStyle w:val="27"/>
              <w:numPr>
                <w:ilvl w:val="0"/>
                <w:numId w:val="17"/>
              </w:numPr>
              <w:tabs>
                <w:tab w:val="left" w:pos="375"/>
              </w:tabs>
              <w:ind w:left="360" w:hanging="36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大盆盆栽：连盆高度超过1米的植物</w:t>
            </w:r>
          </w:p>
          <w:p>
            <w:pPr>
              <w:pStyle w:val="27"/>
              <w:numPr>
                <w:ilvl w:val="0"/>
                <w:numId w:val="17"/>
              </w:numPr>
              <w:tabs>
                <w:tab w:val="left" w:pos="375"/>
              </w:tabs>
              <w:ind w:left="360" w:hanging="36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小盆盆栽：连盆高度小于等于1米的植物或一般时花</w:t>
            </w:r>
          </w:p>
          <w:p>
            <w:pPr>
              <w:pStyle w:val="27"/>
              <w:numPr>
                <w:ilvl w:val="0"/>
                <w:numId w:val="17"/>
              </w:numPr>
              <w:tabs>
                <w:tab w:val="left" w:pos="375"/>
              </w:tabs>
              <w:ind w:left="360" w:hanging="360" w:firstLineChars="0"/>
              <w:rPr>
                <w:rFonts w:hint="eastAsia" w:ascii="宋体" w:hAnsi="宋体" w:eastAsia="宋体" w:cs="宋体"/>
                <w:color w:val="auto"/>
                <w:sz w:val="21"/>
                <w:szCs w:val="21"/>
              </w:rPr>
            </w:pPr>
            <w:r>
              <w:rPr>
                <w:rFonts w:hint="eastAsia" w:ascii="宋体" w:hAnsi="宋体" w:eastAsia="宋体" w:cs="宋体"/>
                <w:bCs/>
                <w:color w:val="auto"/>
                <w:sz w:val="21"/>
                <w:szCs w:val="21"/>
              </w:rPr>
              <w:t>高档盆栽：特大或价值高的盆栽或时花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bCs/>
                <w:color w:val="auto"/>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30"/>
              <w:keepNext w:val="0"/>
              <w:numPr>
                <w:ilvl w:val="0"/>
                <w:numId w:val="16"/>
              </w:numPr>
              <w:adjustRightInd/>
              <w:spacing w:before="0" w:after="0" w:line="240" w:lineRule="auto"/>
              <w:rPr>
                <w:rFonts w:hint="eastAsia" w:ascii="宋体" w:hAnsi="宋体" w:eastAsia="宋体" w:cs="宋体"/>
                <w:snapToGrid/>
                <w:color w:val="auto"/>
                <w:spacing w:val="0"/>
                <w:kern w:val="2"/>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bCs/>
                <w:color w:val="auto"/>
                <w:sz w:val="21"/>
                <w:szCs w:val="21"/>
              </w:rPr>
              <w:t>整体要求</w:t>
            </w:r>
          </w:p>
        </w:tc>
        <w:tc>
          <w:tcPr>
            <w:tcW w:w="7083" w:type="dxa"/>
            <w:tcBorders>
              <w:top w:val="single" w:color="auto" w:sz="4" w:space="0"/>
              <w:left w:val="single" w:color="auto" w:sz="4" w:space="0"/>
              <w:bottom w:val="single" w:color="auto" w:sz="4" w:space="0"/>
              <w:right w:val="single" w:color="auto" w:sz="4" w:space="0"/>
            </w:tcBorders>
            <w:vAlign w:val="center"/>
          </w:tcPr>
          <w:p>
            <w:pPr>
              <w:pStyle w:val="27"/>
              <w:numPr>
                <w:ilvl w:val="0"/>
                <w:numId w:val="18"/>
              </w:numPr>
              <w:tabs>
                <w:tab w:val="left" w:pos="360"/>
              </w:tabs>
              <w:ind w:left="360" w:hanging="36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植物生长良好，外形美观，叶片亮泽，无焦叶、枯叶；无枯枝、病虫枝，无残花败蕾，日常租摆花卉须统一配备瓷盆，租赁花卉应保持植物及花盆外观整洁干净。如植物出现病、坏、死等情况应按展馆要求及时更换同类健康品种。</w:t>
            </w:r>
          </w:p>
          <w:p>
            <w:pPr>
              <w:numPr>
                <w:ilvl w:val="0"/>
                <w:numId w:val="18"/>
              </w:numPr>
              <w:tabs>
                <w:tab w:val="left" w:pos="360"/>
              </w:tabs>
              <w:ind w:left="360" w:hanging="360"/>
              <w:rPr>
                <w:rFonts w:hint="eastAsia" w:ascii="宋体" w:hAnsi="宋体" w:eastAsia="宋体" w:cs="宋体"/>
                <w:bCs/>
                <w:color w:val="auto"/>
                <w:sz w:val="21"/>
                <w:szCs w:val="21"/>
              </w:rPr>
            </w:pPr>
            <w:r>
              <w:rPr>
                <w:rFonts w:hint="eastAsia" w:ascii="宋体" w:hAnsi="宋体" w:eastAsia="宋体" w:cs="宋体"/>
                <w:bCs/>
                <w:color w:val="auto"/>
                <w:sz w:val="21"/>
                <w:szCs w:val="21"/>
              </w:rPr>
              <w:t>浇水施肥、整形修枝需保证每周不少于2次的频率；需更换的植物，按展馆要求需3天内完成。</w:t>
            </w:r>
          </w:p>
          <w:p>
            <w:pPr>
              <w:numPr>
                <w:ilvl w:val="0"/>
                <w:numId w:val="18"/>
              </w:numPr>
              <w:tabs>
                <w:tab w:val="left" w:pos="360"/>
              </w:tabs>
              <w:ind w:left="360" w:hanging="360"/>
              <w:rPr>
                <w:rFonts w:hint="eastAsia" w:ascii="宋体" w:hAnsi="宋体" w:eastAsia="宋体" w:cs="宋体"/>
                <w:bCs/>
                <w:color w:val="auto"/>
                <w:sz w:val="21"/>
                <w:szCs w:val="21"/>
              </w:rPr>
            </w:pPr>
            <w:r>
              <w:rPr>
                <w:rFonts w:hint="eastAsia" w:ascii="宋体" w:hAnsi="宋体" w:eastAsia="宋体" w:cs="宋体"/>
                <w:bCs/>
                <w:color w:val="auto"/>
                <w:sz w:val="21"/>
                <w:szCs w:val="21"/>
              </w:rPr>
              <w:t>在位置和数量不变的情况下，不论更换次数多少，均按租赁价每月只结算一次；租赁时间超过十天（含）的，按月单价结算；租赁时间十天内的，按月单价一半结算。</w:t>
            </w:r>
          </w:p>
          <w:p>
            <w:pPr>
              <w:numPr>
                <w:ilvl w:val="0"/>
                <w:numId w:val="18"/>
              </w:numPr>
              <w:tabs>
                <w:tab w:val="left" w:pos="360"/>
              </w:tabs>
              <w:ind w:left="360" w:hanging="360"/>
              <w:rPr>
                <w:rFonts w:hint="eastAsia" w:ascii="宋体" w:hAnsi="宋体" w:eastAsia="宋体" w:cs="宋体"/>
                <w:bCs/>
                <w:color w:val="auto"/>
                <w:sz w:val="21"/>
                <w:szCs w:val="21"/>
              </w:rPr>
            </w:pPr>
            <w:r>
              <w:rPr>
                <w:rFonts w:hint="eastAsia" w:ascii="宋体" w:hAnsi="宋体" w:eastAsia="宋体" w:cs="宋体"/>
                <w:bCs/>
                <w:color w:val="auto"/>
                <w:sz w:val="21"/>
                <w:szCs w:val="21"/>
              </w:rPr>
              <w:t>物业及重大节假日活动应使用配高档盆，如瓷盆，工艺花瓶，工艺塑料盆，包装布、支撑架等。</w:t>
            </w:r>
          </w:p>
          <w:p>
            <w:pPr>
              <w:numPr>
                <w:ilvl w:val="0"/>
                <w:numId w:val="18"/>
              </w:numPr>
              <w:tabs>
                <w:tab w:val="left" w:pos="360"/>
              </w:tabs>
              <w:ind w:left="360" w:hanging="360"/>
              <w:rPr>
                <w:rFonts w:hint="eastAsia" w:ascii="宋体" w:hAnsi="宋体" w:eastAsia="宋体" w:cs="宋体"/>
                <w:bCs/>
                <w:color w:val="auto"/>
                <w:sz w:val="21"/>
                <w:szCs w:val="21"/>
              </w:rPr>
            </w:pPr>
            <w:r>
              <w:rPr>
                <w:rFonts w:hint="eastAsia" w:ascii="宋体" w:hAnsi="宋体" w:eastAsia="宋体" w:cs="宋体"/>
                <w:bCs/>
                <w:color w:val="auto"/>
                <w:sz w:val="21"/>
                <w:szCs w:val="21"/>
              </w:rPr>
              <w:t>展会如有租赁花卉，应安排人员加班在要求时间内完成租摆工作。遇高交会等重大展会，有大型绿化服务需求时，应安排专业技术人员和管理人员现场指挥保障工作至活动顺利结束。</w:t>
            </w:r>
          </w:p>
          <w:p>
            <w:pPr>
              <w:numPr>
                <w:ilvl w:val="0"/>
                <w:numId w:val="18"/>
              </w:numPr>
              <w:tabs>
                <w:tab w:val="left" w:pos="360"/>
              </w:tabs>
              <w:ind w:left="360" w:hanging="360"/>
              <w:rPr>
                <w:rFonts w:hint="eastAsia" w:ascii="宋体" w:hAnsi="宋体" w:eastAsia="宋体" w:cs="宋体"/>
                <w:bCs/>
                <w:color w:val="auto"/>
                <w:sz w:val="21"/>
                <w:szCs w:val="21"/>
              </w:rPr>
            </w:pPr>
            <w:r>
              <w:rPr>
                <w:rFonts w:hint="eastAsia" w:ascii="宋体" w:hAnsi="宋体" w:eastAsia="宋体" w:cs="宋体"/>
                <w:bCs/>
                <w:color w:val="auto"/>
                <w:sz w:val="21"/>
                <w:szCs w:val="21"/>
              </w:rPr>
              <w:t>工作人员服装统一。</w:t>
            </w:r>
          </w:p>
          <w:p>
            <w:pPr>
              <w:numPr>
                <w:ilvl w:val="0"/>
                <w:numId w:val="18"/>
              </w:numPr>
              <w:tabs>
                <w:tab w:val="left" w:pos="360"/>
              </w:tabs>
              <w:ind w:left="360" w:hanging="360"/>
              <w:rPr>
                <w:rFonts w:hint="eastAsia" w:ascii="宋体" w:hAnsi="宋体" w:eastAsia="宋体" w:cs="宋体"/>
                <w:color w:val="auto"/>
                <w:sz w:val="21"/>
                <w:szCs w:val="21"/>
              </w:rPr>
            </w:pPr>
            <w:r>
              <w:rPr>
                <w:rFonts w:hint="eastAsia" w:ascii="宋体" w:hAnsi="宋体" w:eastAsia="宋体" w:cs="宋体"/>
                <w:bCs/>
                <w:color w:val="auto"/>
                <w:sz w:val="21"/>
                <w:szCs w:val="21"/>
              </w:rPr>
              <w:t>中标单位中标后需将植物图片，标明大、小盆及高档等类别及配置说明，装订成册。</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bCs/>
                <w:color w:val="auto"/>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30"/>
              <w:keepNext w:val="0"/>
              <w:numPr>
                <w:ilvl w:val="0"/>
                <w:numId w:val="16"/>
              </w:numPr>
              <w:adjustRightInd/>
              <w:spacing w:before="0" w:after="0" w:line="240" w:lineRule="auto"/>
              <w:rPr>
                <w:rFonts w:hint="eastAsia" w:ascii="宋体" w:hAnsi="宋体" w:eastAsia="宋体" w:cs="宋体"/>
                <w:snapToGrid/>
                <w:color w:val="auto"/>
                <w:spacing w:val="0"/>
                <w:kern w:val="2"/>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bCs/>
                <w:color w:val="auto"/>
                <w:sz w:val="21"/>
                <w:szCs w:val="21"/>
              </w:rPr>
              <w:t>物业、北广场摆花（年花）租摆</w:t>
            </w:r>
          </w:p>
        </w:tc>
        <w:tc>
          <w:tcPr>
            <w:tcW w:w="7083" w:type="dxa"/>
            <w:tcBorders>
              <w:top w:val="single" w:color="auto" w:sz="4" w:space="0"/>
              <w:left w:val="single" w:color="auto" w:sz="4" w:space="0"/>
              <w:bottom w:val="single" w:color="auto" w:sz="4" w:space="0"/>
              <w:right w:val="single" w:color="auto" w:sz="4" w:space="0"/>
            </w:tcBorders>
            <w:vAlign w:val="center"/>
          </w:tcPr>
          <w:p>
            <w:pPr>
              <w:pStyle w:val="27"/>
              <w:numPr>
                <w:ilvl w:val="0"/>
                <w:numId w:val="19"/>
              </w:numPr>
              <w:tabs>
                <w:tab w:val="left" w:pos="360"/>
              </w:tabs>
              <w:ind w:left="360" w:hanging="36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办公区、会议区和北广场等展馆自用盆栽，按展馆需求配置及摆放。</w:t>
            </w:r>
          </w:p>
          <w:p>
            <w:pPr>
              <w:pStyle w:val="27"/>
              <w:numPr>
                <w:ilvl w:val="0"/>
                <w:numId w:val="19"/>
              </w:numPr>
              <w:tabs>
                <w:tab w:val="left" w:pos="360"/>
              </w:tabs>
              <w:ind w:left="360" w:hanging="36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电梯厅、展会服务大厅绿植摆放, 提供不少于三套适合展馆公共区域绿植摆放的设计方案，附摆放植物效果图。根据招标人要求摆放，每个季度更换一次优质茂盛绿植。.</w:t>
            </w:r>
          </w:p>
          <w:p>
            <w:pPr>
              <w:numPr>
                <w:ilvl w:val="0"/>
                <w:numId w:val="19"/>
              </w:numPr>
              <w:tabs>
                <w:tab w:val="left" w:pos="360"/>
              </w:tabs>
              <w:ind w:left="360" w:hanging="360"/>
              <w:rPr>
                <w:rFonts w:hint="eastAsia" w:ascii="宋体" w:hAnsi="宋体" w:eastAsia="宋体" w:cs="宋体"/>
                <w:bCs/>
                <w:color w:val="auto"/>
                <w:sz w:val="21"/>
                <w:szCs w:val="21"/>
              </w:rPr>
            </w:pPr>
            <w:r>
              <w:rPr>
                <w:rFonts w:hint="eastAsia" w:ascii="宋体" w:hAnsi="宋体" w:eastAsia="宋体" w:cs="宋体"/>
                <w:bCs/>
                <w:color w:val="auto"/>
                <w:sz w:val="21"/>
                <w:szCs w:val="21"/>
              </w:rPr>
              <w:t>北广场通往皇庭广场地下负1层人行通道内绿植摆放, 提供绿植摆放设计方案,定制固定花箱摆放在两侧垂直电梯的两边，附摆放植物效果图。</w:t>
            </w:r>
          </w:p>
          <w:p>
            <w:pPr>
              <w:numPr>
                <w:ilvl w:val="0"/>
                <w:numId w:val="19"/>
              </w:numPr>
              <w:tabs>
                <w:tab w:val="left" w:pos="360"/>
              </w:tabs>
              <w:ind w:left="360" w:hanging="360"/>
              <w:rPr>
                <w:rFonts w:hint="eastAsia" w:ascii="宋体" w:hAnsi="宋体" w:eastAsia="宋体" w:cs="宋体"/>
                <w:bCs/>
                <w:color w:val="auto"/>
                <w:sz w:val="21"/>
                <w:szCs w:val="21"/>
              </w:rPr>
            </w:pPr>
            <w:r>
              <w:rPr>
                <w:rFonts w:hint="eastAsia" w:ascii="宋体" w:hAnsi="宋体" w:eastAsia="宋体" w:cs="宋体"/>
                <w:bCs/>
                <w:color w:val="auto"/>
                <w:sz w:val="21"/>
                <w:szCs w:val="21"/>
              </w:rPr>
              <w:t>展馆临时的自用盆栽，以现场免费调动为主的方式摆放；现场盆栽不能满足需求时，另行租摆。</w:t>
            </w:r>
          </w:p>
          <w:p>
            <w:pPr>
              <w:numPr>
                <w:ilvl w:val="0"/>
                <w:numId w:val="19"/>
              </w:numPr>
              <w:tabs>
                <w:tab w:val="left" w:pos="360"/>
              </w:tabs>
              <w:ind w:left="360" w:hanging="360"/>
              <w:rPr>
                <w:rFonts w:hint="eastAsia" w:ascii="宋体" w:hAnsi="宋体" w:eastAsia="宋体" w:cs="宋体"/>
                <w:bCs/>
                <w:color w:val="auto"/>
                <w:sz w:val="21"/>
                <w:szCs w:val="21"/>
              </w:rPr>
            </w:pPr>
            <w:r>
              <w:rPr>
                <w:rFonts w:hint="eastAsia" w:ascii="宋体" w:hAnsi="宋体" w:eastAsia="宋体" w:cs="宋体"/>
                <w:bCs/>
                <w:color w:val="auto"/>
                <w:sz w:val="21"/>
                <w:szCs w:val="21"/>
              </w:rPr>
              <w:t>中标人所提供的摆放于公共区域的花盆应有中选供应商标识（特殊情况除外），以便区别其他外来花盆。</w:t>
            </w:r>
          </w:p>
          <w:p>
            <w:pPr>
              <w:numPr>
                <w:ilvl w:val="0"/>
                <w:numId w:val="19"/>
              </w:numPr>
              <w:tabs>
                <w:tab w:val="left" w:pos="360"/>
              </w:tabs>
              <w:ind w:left="360" w:hanging="360"/>
              <w:rPr>
                <w:rFonts w:hint="eastAsia" w:ascii="宋体" w:hAnsi="宋体" w:eastAsia="宋体" w:cs="宋体"/>
                <w:bCs/>
                <w:color w:val="auto"/>
                <w:sz w:val="21"/>
                <w:szCs w:val="21"/>
              </w:rPr>
            </w:pPr>
            <w:r>
              <w:rPr>
                <w:rFonts w:hint="eastAsia" w:ascii="宋体" w:hAnsi="宋体" w:eastAsia="宋体" w:cs="宋体"/>
                <w:bCs/>
                <w:color w:val="auto"/>
                <w:sz w:val="21"/>
                <w:szCs w:val="21"/>
              </w:rPr>
              <w:t>重大节日视展馆要求摆放实施。需提供春节2楼大厅花卉的摆放方案。</w:t>
            </w:r>
          </w:p>
          <w:p>
            <w:pPr>
              <w:tabs>
                <w:tab w:val="left" w:pos="531"/>
              </w:tabs>
              <w:snapToGrid w:val="0"/>
              <w:rPr>
                <w:rFonts w:hint="eastAsia" w:ascii="宋体" w:hAnsi="宋体" w:eastAsia="宋体" w:cs="宋体"/>
                <w:color w:val="auto"/>
                <w:sz w:val="21"/>
                <w:szCs w:val="21"/>
              </w:rPr>
            </w:pPr>
            <w:r>
              <w:rPr>
                <w:rFonts w:hint="eastAsia" w:ascii="宋体" w:hAnsi="宋体" w:eastAsia="宋体" w:cs="宋体"/>
                <w:b/>
                <w:bCs/>
                <w:color w:val="auto"/>
                <w:sz w:val="21"/>
                <w:szCs w:val="21"/>
              </w:rPr>
              <w:t>* 重要说明：</w:t>
            </w:r>
            <w:r>
              <w:rPr>
                <w:rFonts w:hint="eastAsia" w:ascii="宋体" w:hAnsi="宋体" w:eastAsia="宋体" w:cs="宋体"/>
                <w:bCs/>
                <w:color w:val="auto"/>
                <w:sz w:val="21"/>
                <w:szCs w:val="21"/>
              </w:rPr>
              <w:t>如无特别注明，本招标文件中所述“电梯厅”均指的是深圳会展中心第1、2、5层东、西两侧的所有电梯厅。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bCs/>
                <w:color w:val="auto"/>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1129" w:type="dxa"/>
            <w:vMerge w:val="restart"/>
            <w:tcBorders>
              <w:top w:val="single" w:color="auto" w:sz="4" w:space="0"/>
              <w:left w:val="single" w:color="auto" w:sz="4" w:space="0"/>
              <w:right w:val="single" w:color="auto" w:sz="4" w:space="0"/>
            </w:tcBorders>
            <w:vAlign w:val="center"/>
          </w:tcPr>
          <w:p>
            <w:pPr>
              <w:pStyle w:val="30"/>
              <w:keepNext w:val="0"/>
              <w:numPr>
                <w:ilvl w:val="0"/>
                <w:numId w:val="16"/>
              </w:numPr>
              <w:adjustRightInd/>
              <w:spacing w:before="0" w:after="0" w:line="240" w:lineRule="auto"/>
              <w:rPr>
                <w:rFonts w:hint="eastAsia" w:ascii="宋体" w:hAnsi="宋体" w:eastAsia="宋体" w:cs="宋体"/>
                <w:snapToGrid/>
                <w:color w:val="auto"/>
                <w:spacing w:val="0"/>
                <w:kern w:val="2"/>
                <w:sz w:val="21"/>
                <w:szCs w:val="21"/>
              </w:rPr>
            </w:pPr>
          </w:p>
        </w:tc>
        <w:tc>
          <w:tcPr>
            <w:tcW w:w="127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bCs/>
                <w:color w:val="auto"/>
                <w:sz w:val="21"/>
                <w:szCs w:val="21"/>
              </w:rPr>
              <w:t>服务方案</w:t>
            </w:r>
          </w:p>
        </w:tc>
        <w:tc>
          <w:tcPr>
            <w:tcW w:w="7083" w:type="dxa"/>
            <w:tcBorders>
              <w:top w:val="single" w:color="auto" w:sz="4" w:space="0"/>
              <w:left w:val="single" w:color="auto" w:sz="4" w:space="0"/>
              <w:right w:val="single" w:color="auto" w:sz="4" w:space="0"/>
            </w:tcBorders>
            <w:vAlign w:val="center"/>
          </w:tcPr>
          <w:p>
            <w:pPr>
              <w:tabs>
                <w:tab w:val="left" w:pos="531"/>
              </w:tabs>
              <w:snapToGrid w:val="0"/>
              <w:rPr>
                <w:rFonts w:hint="eastAsia" w:ascii="宋体" w:hAnsi="宋体" w:eastAsia="宋体" w:cs="宋体"/>
                <w:color w:val="auto"/>
                <w:sz w:val="21"/>
                <w:szCs w:val="21"/>
              </w:rPr>
            </w:pPr>
            <w:r>
              <w:rPr>
                <w:rFonts w:hint="eastAsia" w:ascii="宋体" w:hAnsi="宋体" w:eastAsia="宋体" w:cs="宋体"/>
                <w:bCs/>
                <w:color w:val="auto"/>
                <w:sz w:val="21"/>
                <w:szCs w:val="21"/>
              </w:rPr>
              <w:t>1、投标单位应提供对会展中心绿化服务的具体规划方案（绿植租摆实施方案、绿植管养方案），方案应考虑物业绿化服务、</w:t>
            </w:r>
            <w:r>
              <w:rPr>
                <w:rFonts w:hint="eastAsia" w:ascii="宋体" w:hAnsi="宋体" w:eastAsia="宋体" w:cs="宋体"/>
                <w:bCs/>
                <w:snapToGrid w:val="0"/>
                <w:color w:val="auto"/>
                <w:sz w:val="21"/>
                <w:szCs w:val="21"/>
              </w:rPr>
              <w:t>租赁植物更换周期、</w:t>
            </w:r>
            <w:r>
              <w:rPr>
                <w:rFonts w:hint="eastAsia" w:ascii="宋体" w:hAnsi="宋体" w:eastAsia="宋体" w:cs="宋体"/>
                <w:bCs/>
                <w:color w:val="auto"/>
                <w:sz w:val="21"/>
                <w:szCs w:val="21"/>
              </w:rPr>
              <w:t xml:space="preserve">展会绿化服务及高交会绿化服务的不同特性或突发性、非常规的绿化服务，以及应急管理方案。提供管理措施、培训、工作流程等。 </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bCs/>
                <w:color w:val="auto"/>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129" w:type="dxa"/>
            <w:vMerge w:val="continue"/>
            <w:tcBorders>
              <w:left w:val="single" w:color="auto" w:sz="4" w:space="0"/>
              <w:right w:val="single" w:color="auto" w:sz="4" w:space="0"/>
            </w:tcBorders>
            <w:vAlign w:val="center"/>
          </w:tcPr>
          <w:p>
            <w:pPr>
              <w:pStyle w:val="30"/>
              <w:keepNext w:val="0"/>
              <w:numPr>
                <w:ilvl w:val="0"/>
                <w:numId w:val="16"/>
              </w:numPr>
              <w:adjustRightInd/>
              <w:spacing w:before="0" w:after="0" w:line="240" w:lineRule="auto"/>
              <w:rPr>
                <w:rFonts w:hint="eastAsia" w:ascii="宋体" w:hAnsi="宋体" w:eastAsia="宋体" w:cs="宋体"/>
                <w:snapToGrid/>
                <w:color w:val="auto"/>
                <w:spacing w:val="0"/>
                <w:kern w:val="2"/>
                <w:sz w:val="21"/>
                <w:szCs w:val="21"/>
              </w:rPr>
            </w:pPr>
          </w:p>
        </w:tc>
        <w:tc>
          <w:tcPr>
            <w:tcW w:w="127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rPr>
            </w:pPr>
          </w:p>
        </w:tc>
        <w:tc>
          <w:tcPr>
            <w:tcW w:w="7083"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2、投标单位应为本项目提供专业绿化服务项目管理人员，为会展中心绿化服务配置固定管理人员不得少于1人，驻场专业养护人员不得少于3人，提供拟派人员配置方案（须提供上述人员简历、具有职业或执业资格证书的可提供资格证书复印件、身份证复印件，加盖投标单位公章）。</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bCs/>
                <w:color w:val="auto"/>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129" w:type="dxa"/>
            <w:vMerge w:val="continue"/>
            <w:tcBorders>
              <w:left w:val="single" w:color="auto" w:sz="4" w:space="0"/>
              <w:bottom w:val="single" w:color="auto" w:sz="4" w:space="0"/>
              <w:right w:val="single" w:color="auto" w:sz="4" w:space="0"/>
            </w:tcBorders>
            <w:vAlign w:val="center"/>
          </w:tcPr>
          <w:p>
            <w:pPr>
              <w:pStyle w:val="30"/>
              <w:keepNext w:val="0"/>
              <w:numPr>
                <w:ilvl w:val="0"/>
                <w:numId w:val="16"/>
              </w:numPr>
              <w:adjustRightInd/>
              <w:spacing w:before="0" w:after="0" w:line="240" w:lineRule="auto"/>
              <w:rPr>
                <w:rFonts w:hint="eastAsia" w:ascii="宋体" w:hAnsi="宋体" w:eastAsia="宋体" w:cs="宋体"/>
                <w:snapToGrid/>
                <w:color w:val="auto"/>
                <w:spacing w:val="0"/>
                <w:kern w:val="2"/>
                <w:sz w:val="21"/>
                <w:szCs w:val="21"/>
              </w:rPr>
            </w:pPr>
          </w:p>
        </w:tc>
        <w:tc>
          <w:tcPr>
            <w:tcW w:w="1276"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c>
          <w:tcPr>
            <w:tcW w:w="7083"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3、投标单位应使用较先进的绿篱修剪设备，确保绿篱植物、前广场大花坛存活率达到98%，绿篱</w:t>
            </w:r>
            <w:r>
              <w:rPr>
                <w:rFonts w:hint="eastAsia" w:ascii="宋体" w:hAnsi="宋体" w:eastAsia="宋体" w:cs="宋体"/>
                <w:color w:val="auto"/>
                <w:sz w:val="21"/>
                <w:szCs w:val="21"/>
              </w:rPr>
              <w:t>植物不能出现坏死或漏洞，发现漏洞或坏死的要及时采取补救措施，不能出现坏死后不补种的情况；绿篱及花坛要定期养护和修剪，植物修剪养护、补种不及时招标人根据实际情况给予处罚；办公室绿植养护存活率达到95%,发现有枯黄或坏死的要及时修剪或更换，办公区域及公共区域枯黄坏死植物更换不及时的招标人根据实际情况给予处罚（处罚标准以合同为准）</w:t>
            </w:r>
            <w:r>
              <w:rPr>
                <w:rFonts w:hint="eastAsia" w:ascii="宋体" w:hAnsi="宋体" w:eastAsia="宋体" w:cs="宋体"/>
                <w:bCs/>
                <w:color w:val="auto"/>
                <w:sz w:val="21"/>
                <w:szCs w:val="21"/>
              </w:rPr>
              <w:t>。投标人根据绿化服务要求提供本项目相关设备（含绿篱修剪设备）和工具清单，以及其他技术支持承诺。</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bCs/>
                <w:color w:val="auto"/>
                <w:sz w:val="21"/>
                <w:szCs w:val="21"/>
              </w:rPr>
              <w:t>不可偏离</w:t>
            </w:r>
          </w:p>
        </w:tc>
      </w:tr>
    </w:tbl>
    <w:p>
      <w:pPr>
        <w:numPr>
          <w:ilvl w:val="0"/>
          <w:numId w:val="2"/>
        </w:numPr>
        <w:spacing w:before="312" w:beforeLines="100" w:line="480" w:lineRule="auto"/>
        <w:jc w:val="left"/>
        <w:outlineLvl w:val="1"/>
        <w:rPr>
          <w:rFonts w:ascii="宋体" w:hAnsi="宋体"/>
          <w:b/>
          <w:szCs w:val="21"/>
        </w:rPr>
      </w:pPr>
      <w:bookmarkStart w:id="38" w:name="_Toc82684600"/>
      <w:bookmarkEnd w:id="38"/>
      <w:bookmarkStart w:id="39" w:name="_Toc82591996"/>
      <w:bookmarkEnd w:id="39"/>
      <w:bookmarkStart w:id="40" w:name="_Toc82684715"/>
      <w:bookmarkEnd w:id="40"/>
      <w:bookmarkStart w:id="41" w:name="_Toc82685552"/>
      <w:bookmarkEnd w:id="41"/>
      <w:bookmarkStart w:id="42" w:name="_Toc82783888"/>
      <w:r>
        <w:rPr>
          <w:rFonts w:hint="eastAsia" w:ascii="宋体" w:hAnsi="宋体"/>
          <w:b/>
          <w:szCs w:val="21"/>
        </w:rPr>
        <w:t>其他项目说明资料</w:t>
      </w:r>
      <w:bookmarkEnd w:id="42"/>
    </w:p>
    <w:tbl>
      <w:tblPr>
        <w:tblStyle w:val="21"/>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0272" w:type="dxa"/>
            <w:tcBorders>
              <w:top w:val="single" w:color="auto" w:sz="4" w:space="0"/>
              <w:left w:val="nil"/>
              <w:bottom w:val="single" w:color="auto" w:sz="4" w:space="0"/>
              <w:right w:val="nil"/>
            </w:tcBorders>
            <w:vAlign w:val="center"/>
          </w:tcPr>
          <w:p>
            <w:pPr>
              <w:pStyle w:val="4"/>
              <w:numPr>
                <w:ilvl w:val="1"/>
                <w:numId w:val="0"/>
              </w:numPr>
              <w:spacing w:before="0" w:after="0"/>
              <w:rPr>
                <w:rFonts w:ascii="宋体" w:hAnsi="宋体" w:eastAsia="宋体"/>
                <w:sz w:val="28"/>
                <w:szCs w:val="28"/>
              </w:rPr>
            </w:pPr>
            <w:r>
              <w:rPr>
                <w:rFonts w:hint="eastAsia" w:ascii="宋体" w:hAnsi="宋体" w:eastAsia="宋体"/>
                <w:sz w:val="28"/>
                <w:szCs w:val="28"/>
              </w:rPr>
              <w:t>服务</w:t>
            </w:r>
            <w:r>
              <w:rPr>
                <w:rFonts w:ascii="宋体" w:hAnsi="宋体" w:eastAsia="宋体"/>
                <w:sz w:val="28"/>
                <w:szCs w:val="28"/>
              </w:rPr>
              <w:t xml:space="preserve">需求明细 </w:t>
            </w:r>
          </w:p>
          <w:p>
            <w:pPr>
              <w:spacing w:line="0" w:lineRule="atLeast"/>
              <w:rPr>
                <w:b/>
                <w:bCs/>
              </w:rPr>
            </w:pPr>
          </w:p>
          <w:p>
            <w:pPr>
              <w:spacing w:line="0" w:lineRule="atLeast"/>
              <w:rPr>
                <w:b/>
                <w:bCs/>
              </w:rPr>
            </w:pPr>
            <w:r>
              <w:rPr>
                <w:rFonts w:hint="eastAsia"/>
                <w:b/>
                <w:bCs/>
              </w:rPr>
              <w:t>（一）全年绿化服务需求预估数据</w:t>
            </w:r>
          </w:p>
          <w:p>
            <w:pPr>
              <w:spacing w:line="0" w:lineRule="atLeast"/>
            </w:pPr>
          </w:p>
          <w:tbl>
            <w:tblPr>
              <w:tblStyle w:val="21"/>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1354"/>
              <w:gridCol w:w="2870"/>
              <w:gridCol w:w="3544"/>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3"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rPr>
                    <w:t>需求名称</w:t>
                  </w:r>
                </w:p>
              </w:tc>
              <w:tc>
                <w:tcPr>
                  <w:tcW w:w="6414" w:type="dxa"/>
                  <w:gridSpan w:val="2"/>
                  <w:tcBorders>
                    <w:top w:val="single" w:color="auto" w:sz="4" w:space="0"/>
                    <w:left w:val="nil"/>
                    <w:bottom w:val="single" w:color="auto" w:sz="4" w:space="0"/>
                    <w:right w:val="single" w:color="auto" w:sz="4" w:space="0"/>
                  </w:tcBorders>
                  <w:vAlign w:val="center"/>
                </w:tcPr>
                <w:p>
                  <w:pPr>
                    <w:spacing w:line="0" w:lineRule="atLeast"/>
                    <w:jc w:val="center"/>
                  </w:pPr>
                  <w:r>
                    <w:rPr>
                      <w:rFonts w:hint="eastAsia" w:ascii="宋体" w:hAnsi="宋体"/>
                    </w:rPr>
                    <w:t>需求说明</w:t>
                  </w:r>
                </w:p>
              </w:tc>
              <w:tc>
                <w:tcPr>
                  <w:tcW w:w="750" w:type="dxa"/>
                  <w:tcBorders>
                    <w:top w:val="single" w:color="auto" w:sz="4" w:space="0"/>
                    <w:left w:val="nil"/>
                    <w:bottom w:val="single" w:color="auto" w:sz="4" w:space="0"/>
                    <w:right w:val="single" w:color="auto" w:sz="4" w:space="0"/>
                  </w:tcBorders>
                </w:tcPr>
                <w:p>
                  <w:pPr>
                    <w:spacing w:line="0" w:lineRule="atLeast"/>
                    <w:jc w:val="center"/>
                  </w:pPr>
                  <w:r>
                    <w:rPr>
                      <w:rFonts w:hint="eastAsia" w:ascii="宋体" w:hAnsi="宋体"/>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168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rPr>
                    <w:t>1</w:t>
                  </w:r>
                </w:p>
              </w:tc>
              <w:tc>
                <w:tcPr>
                  <w:tcW w:w="1354" w:type="dxa"/>
                  <w:tcBorders>
                    <w:top w:val="single" w:color="auto" w:sz="4" w:space="0"/>
                    <w:left w:val="nil"/>
                    <w:bottom w:val="single" w:color="auto" w:sz="4" w:space="0"/>
                    <w:right w:val="single" w:color="auto" w:sz="4" w:space="0"/>
                  </w:tcBorders>
                  <w:vAlign w:val="center"/>
                </w:tcPr>
                <w:p>
                  <w:pPr>
                    <w:spacing w:line="0" w:lineRule="atLeast"/>
                  </w:pPr>
                  <w:r>
                    <w:rPr>
                      <w:rFonts w:hint="eastAsia" w:ascii="宋体" w:hAnsi="宋体"/>
                    </w:rPr>
                    <w:t>展馆物业盆栽租摆</w:t>
                  </w:r>
                </w:p>
              </w:tc>
              <w:tc>
                <w:tcPr>
                  <w:tcW w:w="2870" w:type="dxa"/>
                  <w:tcBorders>
                    <w:top w:val="single" w:color="auto" w:sz="4" w:space="0"/>
                    <w:left w:val="nil"/>
                    <w:bottom w:val="single" w:color="auto" w:sz="4" w:space="0"/>
                    <w:right w:val="single" w:color="auto" w:sz="4" w:space="0"/>
                  </w:tcBorders>
                  <w:vAlign w:val="center"/>
                </w:tcPr>
                <w:p>
                  <w:pPr>
                    <w:adjustRightInd w:val="0"/>
                    <w:snapToGrid w:val="0"/>
                  </w:pPr>
                  <w:r>
                    <w:rPr>
                      <w:rFonts w:hint="eastAsia" w:ascii="宋体" w:hAnsi="宋体"/>
                    </w:rPr>
                    <w:t>参考数量：</w:t>
                  </w:r>
                </w:p>
                <w:p>
                  <w:pPr>
                    <w:adjustRightInd w:val="0"/>
                    <w:snapToGrid w:val="0"/>
                  </w:pPr>
                  <w:r>
                    <w:rPr>
                      <w:rFonts w:hint="eastAsia" w:ascii="宋体" w:hAnsi="宋体"/>
                    </w:rPr>
                    <w:t>高档：约132</w:t>
                  </w:r>
                  <w:r>
                    <w:rPr>
                      <w:rFonts w:hint="eastAsia"/>
                    </w:rPr>
                    <w:t>0</w:t>
                  </w:r>
                  <w:r>
                    <w:rPr>
                      <w:rFonts w:hint="eastAsia" w:ascii="宋体" w:hAnsi="宋体"/>
                    </w:rPr>
                    <w:t>盆</w:t>
                  </w:r>
                </w:p>
                <w:p>
                  <w:pPr>
                    <w:adjustRightInd w:val="0"/>
                    <w:snapToGrid w:val="0"/>
                  </w:pPr>
                  <w:r>
                    <w:rPr>
                      <w:rFonts w:hint="eastAsia" w:ascii="宋体" w:hAnsi="宋体"/>
                    </w:rPr>
                    <w:t>大盆：约2908盆</w:t>
                  </w:r>
                </w:p>
                <w:p>
                  <w:r>
                    <w:rPr>
                      <w:rFonts w:hint="eastAsia" w:ascii="宋体" w:hAnsi="宋体"/>
                    </w:rPr>
                    <w:t>小盆：约24748盆</w:t>
                  </w:r>
                </w:p>
              </w:tc>
              <w:tc>
                <w:tcPr>
                  <w:tcW w:w="3544" w:type="dxa"/>
                  <w:tcBorders>
                    <w:top w:val="single" w:color="auto" w:sz="4" w:space="0"/>
                    <w:left w:val="nil"/>
                    <w:bottom w:val="single" w:color="auto" w:sz="4" w:space="0"/>
                    <w:right w:val="single" w:color="auto" w:sz="4" w:space="0"/>
                  </w:tcBorders>
                  <w:vAlign w:val="center"/>
                </w:tcPr>
                <w:p>
                  <w:pPr>
                    <w:spacing w:line="0" w:lineRule="atLeast"/>
                  </w:pPr>
                  <w:r>
                    <w:rPr>
                      <w:rFonts w:hint="eastAsia" w:ascii="宋体" w:hAnsi="宋体"/>
                    </w:rPr>
                    <w:t>根据《盆栽植物分类建议清单》配置植物。此数据仅作全年参考量，以实际产生为准</w:t>
                  </w:r>
                </w:p>
              </w:tc>
              <w:tc>
                <w:tcPr>
                  <w:tcW w:w="750" w:type="dxa"/>
                  <w:tcBorders>
                    <w:top w:val="single" w:color="auto" w:sz="4" w:space="0"/>
                    <w:left w:val="nil"/>
                    <w:bottom w:val="single" w:color="auto" w:sz="4" w:space="0"/>
                    <w:right w:val="single" w:color="auto" w:sz="4" w:space="0"/>
                  </w:tcBorders>
                  <w:vAlign w:val="center"/>
                </w:tcPr>
                <w:p>
                  <w:pPr>
                    <w:spacing w:line="0" w:lineRule="atLeast"/>
                    <w:jc w:val="center"/>
                  </w:pPr>
                  <w:r>
                    <w:rPr>
                      <w:rFonts w:hint="eastAsia" w:ascii="宋体" w:hAnsi="宋体"/>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8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rPr>
                    <w:t>2</w:t>
                  </w:r>
                </w:p>
              </w:tc>
              <w:tc>
                <w:tcPr>
                  <w:tcW w:w="1354" w:type="dxa"/>
                  <w:tcBorders>
                    <w:top w:val="single" w:color="auto" w:sz="4" w:space="0"/>
                    <w:left w:val="nil"/>
                    <w:bottom w:val="single" w:color="auto" w:sz="4" w:space="0"/>
                    <w:right w:val="single" w:color="auto" w:sz="4" w:space="0"/>
                  </w:tcBorders>
                  <w:vAlign w:val="center"/>
                </w:tcPr>
                <w:p>
                  <w:pPr>
                    <w:spacing w:line="0" w:lineRule="atLeast"/>
                  </w:pPr>
                  <w:r>
                    <w:rPr>
                      <w:rFonts w:hint="eastAsia" w:ascii="宋体" w:hAnsi="宋体"/>
                    </w:rPr>
                    <w:t>绿地养护</w:t>
                  </w:r>
                </w:p>
              </w:tc>
              <w:tc>
                <w:tcPr>
                  <w:tcW w:w="2870" w:type="dxa"/>
                  <w:tcBorders>
                    <w:top w:val="single" w:color="auto" w:sz="4" w:space="0"/>
                    <w:left w:val="nil"/>
                    <w:bottom w:val="single" w:color="auto" w:sz="4" w:space="0"/>
                    <w:right w:val="single" w:color="auto" w:sz="4" w:space="0"/>
                  </w:tcBorders>
                  <w:vAlign w:val="center"/>
                </w:tcPr>
                <w:p>
                  <w:pPr>
                    <w:spacing w:line="0" w:lineRule="atLeast"/>
                    <w:rPr>
                      <w:rFonts w:ascii="宋体" w:hAnsi="宋体"/>
                    </w:rPr>
                  </w:pPr>
                  <w:r>
                    <w:rPr>
                      <w:rFonts w:hint="eastAsia" w:ascii="宋体" w:hAnsi="宋体"/>
                    </w:rPr>
                    <w:t>展馆外围绿篱约</w:t>
                  </w:r>
                  <w:r>
                    <w:rPr>
                      <w:rFonts w:hint="eastAsia"/>
                    </w:rPr>
                    <w:t>3500</w:t>
                  </w:r>
                  <w:r>
                    <w:rPr>
                      <w:rFonts w:hint="eastAsia" w:ascii="宋体" w:hAnsi="宋体"/>
                    </w:rPr>
                    <w:t>平米</w:t>
                  </w:r>
                </w:p>
                <w:p>
                  <w:pPr>
                    <w:spacing w:line="0" w:lineRule="atLeast"/>
                    <w:rPr>
                      <w:rFonts w:ascii="宋体" w:hAnsi="宋体"/>
                      <w:color w:val="000000"/>
                    </w:rPr>
                  </w:pPr>
                  <w:r>
                    <w:rPr>
                      <w:rFonts w:hint="eastAsia" w:ascii="宋体" w:hAnsi="宋体"/>
                      <w:color w:val="000000"/>
                    </w:rPr>
                    <w:t>前广场6个花坛约</w:t>
                  </w:r>
                  <w:r>
                    <w:rPr>
                      <w:rFonts w:hint="eastAsia" w:ascii="宋体" w:hAnsi="宋体"/>
                      <w:color w:val="000000"/>
                      <w:highlight w:val="none"/>
                    </w:rPr>
                    <w:t>2000平</w:t>
                  </w:r>
                  <w:r>
                    <w:rPr>
                      <w:rFonts w:hint="eastAsia" w:ascii="宋体" w:hAnsi="宋体"/>
                      <w:color w:val="000000"/>
                    </w:rPr>
                    <w:t>米</w:t>
                  </w:r>
                </w:p>
              </w:tc>
              <w:tc>
                <w:tcPr>
                  <w:tcW w:w="3544" w:type="dxa"/>
                  <w:tcBorders>
                    <w:top w:val="single" w:color="auto" w:sz="4" w:space="0"/>
                    <w:left w:val="nil"/>
                    <w:bottom w:val="single" w:color="auto" w:sz="4" w:space="0"/>
                    <w:right w:val="single" w:color="auto" w:sz="4" w:space="0"/>
                  </w:tcBorders>
                  <w:vAlign w:val="center"/>
                </w:tcPr>
                <w:p>
                  <w:pPr>
                    <w:spacing w:line="0" w:lineRule="atLeast"/>
                  </w:pPr>
                  <w:r>
                    <w:rPr>
                      <w:rFonts w:hint="eastAsia" w:ascii="宋体" w:hAnsi="宋体"/>
                    </w:rPr>
                    <w:t>城市绿地二级养护修剪标准</w:t>
                  </w:r>
                </w:p>
              </w:tc>
              <w:tc>
                <w:tcPr>
                  <w:tcW w:w="750" w:type="dxa"/>
                  <w:tcBorders>
                    <w:top w:val="single" w:color="auto" w:sz="4" w:space="0"/>
                    <w:left w:val="nil"/>
                    <w:bottom w:val="single" w:color="auto" w:sz="4" w:space="0"/>
                    <w:right w:val="single" w:color="auto" w:sz="4" w:space="0"/>
                  </w:tcBorders>
                  <w:vAlign w:val="center"/>
                </w:tcPr>
                <w:p>
                  <w:pPr>
                    <w:spacing w:line="0" w:lineRule="atLeast"/>
                    <w:jc w:val="center"/>
                  </w:pPr>
                  <w:r>
                    <w:rPr>
                      <w:rFonts w:hint="eastAsia" w:ascii="宋体" w:hAnsi="宋体"/>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rPr>
                    <w:t>3</w:t>
                  </w:r>
                </w:p>
              </w:tc>
              <w:tc>
                <w:tcPr>
                  <w:tcW w:w="1354" w:type="dxa"/>
                  <w:tcBorders>
                    <w:top w:val="single" w:color="auto" w:sz="4" w:space="0"/>
                    <w:left w:val="nil"/>
                    <w:bottom w:val="single" w:color="auto" w:sz="4" w:space="0"/>
                    <w:right w:val="single" w:color="auto" w:sz="4" w:space="0"/>
                  </w:tcBorders>
                  <w:vAlign w:val="center"/>
                </w:tcPr>
                <w:p>
                  <w:pPr>
                    <w:spacing w:line="0" w:lineRule="atLeast"/>
                  </w:pPr>
                  <w:r>
                    <w:rPr>
                      <w:rFonts w:hint="eastAsia" w:ascii="宋体" w:hAnsi="宋体"/>
                    </w:rPr>
                    <w:t>北广场花箱维护维修</w:t>
                  </w:r>
                </w:p>
              </w:tc>
              <w:tc>
                <w:tcPr>
                  <w:tcW w:w="2870" w:type="dxa"/>
                  <w:tcBorders>
                    <w:top w:val="single" w:color="auto" w:sz="4" w:space="0"/>
                    <w:left w:val="nil"/>
                    <w:bottom w:val="single" w:color="auto" w:sz="4" w:space="0"/>
                    <w:right w:val="single" w:color="auto" w:sz="4" w:space="0"/>
                  </w:tcBorders>
                  <w:vAlign w:val="center"/>
                </w:tcPr>
                <w:p>
                  <w:pPr>
                    <w:adjustRightInd w:val="0"/>
                    <w:snapToGrid w:val="0"/>
                  </w:pPr>
                  <w:r>
                    <w:rPr>
                      <w:rFonts w:hint="eastAsia" w:ascii="宋体" w:hAnsi="宋体"/>
                    </w:rPr>
                    <w:t>每年维修</w:t>
                  </w:r>
                  <w:r>
                    <w:rPr>
                      <w:rFonts w:hint="eastAsia"/>
                    </w:rPr>
                    <w:t>24</w:t>
                  </w:r>
                  <w:r>
                    <w:rPr>
                      <w:rFonts w:hint="eastAsia" w:ascii="宋体" w:hAnsi="宋体"/>
                    </w:rPr>
                    <w:t>个脚。</w:t>
                  </w:r>
                </w:p>
              </w:tc>
              <w:tc>
                <w:tcPr>
                  <w:tcW w:w="3544" w:type="dxa"/>
                  <w:tcBorders>
                    <w:top w:val="single" w:color="auto" w:sz="4" w:space="0"/>
                    <w:left w:val="nil"/>
                    <w:bottom w:val="single" w:color="auto" w:sz="4" w:space="0"/>
                    <w:right w:val="single" w:color="auto" w:sz="4" w:space="0"/>
                  </w:tcBorders>
                  <w:vAlign w:val="center"/>
                </w:tcPr>
                <w:p>
                  <w:pPr>
                    <w:spacing w:line="0" w:lineRule="atLeast"/>
                  </w:pPr>
                  <w:r>
                    <w:rPr>
                      <w:rFonts w:hint="eastAsia" w:ascii="宋体" w:hAnsi="宋体"/>
                    </w:rPr>
                    <w:t>大理石材质，主要是花箱脚粘连维修，花箱尺寸为长</w:t>
                  </w:r>
                  <w:r>
                    <w:rPr>
                      <w:rFonts w:hint="eastAsia"/>
                    </w:rPr>
                    <w:t>150cm*</w:t>
                  </w:r>
                  <w:r>
                    <w:rPr>
                      <w:rFonts w:hint="eastAsia" w:ascii="宋体" w:hAnsi="宋体"/>
                    </w:rPr>
                    <w:t>宽</w:t>
                  </w:r>
                  <w:r>
                    <w:rPr>
                      <w:rFonts w:hint="eastAsia"/>
                    </w:rPr>
                    <w:t>60cm*</w:t>
                  </w:r>
                  <w:r>
                    <w:rPr>
                      <w:rFonts w:hint="eastAsia" w:ascii="宋体" w:hAnsi="宋体"/>
                    </w:rPr>
                    <w:t>高</w:t>
                  </w:r>
                  <w:r>
                    <w:rPr>
                      <w:rFonts w:hint="eastAsia"/>
                    </w:rPr>
                    <w:t>70cm</w:t>
                  </w:r>
                  <w:r>
                    <w:rPr>
                      <w:rFonts w:hint="eastAsia" w:ascii="宋体" w:hAnsi="宋体"/>
                    </w:rPr>
                    <w:t>，</w:t>
                  </w:r>
                  <w:r>
                    <w:rPr>
                      <w:rFonts w:hint="eastAsia"/>
                    </w:rPr>
                    <w:t>18</w:t>
                  </w:r>
                  <w:r>
                    <w:rPr>
                      <w:rFonts w:hint="eastAsia" w:ascii="宋体" w:hAnsi="宋体"/>
                    </w:rPr>
                    <w:t>个花箱，</w:t>
                  </w:r>
                  <w:r>
                    <w:rPr>
                      <w:rFonts w:hint="eastAsia"/>
                    </w:rPr>
                    <w:t>1</w:t>
                  </w:r>
                  <w:r>
                    <w:rPr>
                      <w:rFonts w:hint="eastAsia" w:ascii="宋体" w:hAnsi="宋体"/>
                    </w:rPr>
                    <w:t>个花箱</w:t>
                  </w:r>
                  <w:r>
                    <w:rPr>
                      <w:rFonts w:hint="eastAsia"/>
                    </w:rPr>
                    <w:t>4</w:t>
                  </w:r>
                  <w:r>
                    <w:rPr>
                      <w:rFonts w:hint="eastAsia" w:ascii="宋体" w:hAnsi="宋体"/>
                    </w:rPr>
                    <w:t>个脚，共</w:t>
                  </w:r>
                  <w:r>
                    <w:rPr>
                      <w:rFonts w:hint="eastAsia"/>
                    </w:rPr>
                    <w:t>72</w:t>
                  </w:r>
                  <w:r>
                    <w:rPr>
                      <w:rFonts w:hint="eastAsia" w:ascii="宋体" w:hAnsi="宋体"/>
                    </w:rPr>
                    <w:t>个脚，分个</w:t>
                  </w:r>
                  <w:r>
                    <w:rPr>
                      <w:rFonts w:hint="eastAsia"/>
                    </w:rPr>
                    <w:t>3</w:t>
                  </w:r>
                  <w:r>
                    <w:rPr>
                      <w:rFonts w:hint="eastAsia" w:ascii="宋体" w:hAnsi="宋体"/>
                    </w:rPr>
                    <w:t>年度完成。</w:t>
                  </w:r>
                </w:p>
              </w:tc>
              <w:tc>
                <w:tcPr>
                  <w:tcW w:w="750" w:type="dxa"/>
                  <w:tcBorders>
                    <w:top w:val="single" w:color="auto" w:sz="4" w:space="0"/>
                    <w:left w:val="nil"/>
                    <w:bottom w:val="single" w:color="auto" w:sz="4" w:space="0"/>
                    <w:right w:val="single" w:color="auto" w:sz="4" w:space="0"/>
                  </w:tcBorders>
                  <w:vAlign w:val="center"/>
                </w:tcPr>
                <w:p>
                  <w:pPr>
                    <w:spacing w:line="0" w:lineRule="atLeast"/>
                    <w:jc w:val="center"/>
                  </w:pPr>
                  <w:r>
                    <w:rPr>
                      <w:rFonts w:hint="eastAsia" w:ascii="宋体" w:hAnsi="宋体"/>
                    </w:rPr>
                    <w:t>不可偏离</w:t>
                  </w:r>
                </w:p>
              </w:tc>
            </w:tr>
          </w:tbl>
          <w:p>
            <w:pPr>
              <w:pStyle w:val="2"/>
              <w:rPr>
                <w:highlight w:val="yellow"/>
              </w:rPr>
            </w:pPr>
          </w:p>
        </w:tc>
      </w:tr>
    </w:tbl>
    <w:p>
      <w:pPr>
        <w:pStyle w:val="2"/>
      </w:pPr>
    </w:p>
    <w:p>
      <w:pPr>
        <w:spacing w:line="0" w:lineRule="atLeast"/>
      </w:pPr>
      <w:r>
        <w:rPr>
          <w:rFonts w:hint="eastAsia" w:hAnsi="宋体"/>
          <w:b/>
          <w:szCs w:val="21"/>
        </w:rPr>
        <w:t>（</w:t>
      </w:r>
      <w:r>
        <w:rPr>
          <w:rFonts w:hint="eastAsia" w:ascii="宋体" w:hAnsi="宋体"/>
          <w:b/>
          <w:bCs/>
        </w:rPr>
        <w:t>二）绿色植物配置标准</w:t>
      </w:r>
      <w:r>
        <w:t xml:space="preserve"> </w:t>
      </w:r>
    </w:p>
    <w:tbl>
      <w:tblPr>
        <w:tblStyle w:val="21"/>
        <w:tblW w:w="10065"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3577"/>
        <w:gridCol w:w="2151"/>
        <w:gridCol w:w="1701"/>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rPr>
              <w:t>需求名称</w:t>
            </w:r>
          </w:p>
        </w:tc>
        <w:tc>
          <w:tcPr>
            <w:tcW w:w="3852" w:type="dxa"/>
            <w:gridSpan w:val="2"/>
            <w:tcBorders>
              <w:top w:val="single" w:color="auto" w:sz="4" w:space="0"/>
              <w:left w:val="nil"/>
              <w:bottom w:val="single" w:color="auto" w:sz="4" w:space="0"/>
              <w:right w:val="single" w:color="auto" w:sz="4" w:space="0"/>
            </w:tcBorders>
            <w:vAlign w:val="center"/>
          </w:tcPr>
          <w:p>
            <w:pPr>
              <w:spacing w:line="0" w:lineRule="atLeast"/>
              <w:jc w:val="center"/>
            </w:pPr>
            <w:r>
              <w:rPr>
                <w:rFonts w:hint="eastAsia" w:ascii="宋体" w:hAnsi="宋体"/>
              </w:rPr>
              <w:t>需求说明</w:t>
            </w:r>
          </w:p>
        </w:tc>
        <w:tc>
          <w:tcPr>
            <w:tcW w:w="826" w:type="dxa"/>
            <w:tcBorders>
              <w:top w:val="single" w:color="auto" w:sz="4" w:space="0"/>
              <w:left w:val="nil"/>
              <w:bottom w:val="single" w:color="auto" w:sz="4" w:space="0"/>
              <w:right w:val="single" w:color="auto" w:sz="4" w:space="0"/>
            </w:tcBorders>
          </w:tcPr>
          <w:p>
            <w:pPr>
              <w:spacing w:line="0" w:lineRule="atLeast"/>
              <w:jc w:val="center"/>
            </w:pPr>
            <w:r>
              <w:rPr>
                <w:rFonts w:hint="eastAsia" w:ascii="宋体" w:hAnsi="宋体"/>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rPr>
              <w:t>序号</w:t>
            </w:r>
          </w:p>
        </w:tc>
        <w:tc>
          <w:tcPr>
            <w:tcW w:w="3577" w:type="dxa"/>
            <w:tcBorders>
              <w:top w:val="single" w:color="auto" w:sz="4" w:space="0"/>
              <w:left w:val="nil"/>
              <w:bottom w:val="single" w:color="auto" w:sz="4" w:space="0"/>
              <w:right w:val="single" w:color="auto" w:sz="4" w:space="0"/>
            </w:tcBorders>
            <w:vAlign w:val="center"/>
          </w:tcPr>
          <w:p>
            <w:pPr>
              <w:spacing w:line="0" w:lineRule="atLeast"/>
              <w:jc w:val="center"/>
            </w:pPr>
            <w:r>
              <w:rPr>
                <w:rFonts w:hint="eastAsia" w:ascii="宋体" w:hAnsi="宋体"/>
              </w:rPr>
              <w:t>区域</w:t>
            </w:r>
          </w:p>
        </w:tc>
        <w:tc>
          <w:tcPr>
            <w:tcW w:w="2151" w:type="dxa"/>
            <w:tcBorders>
              <w:top w:val="single" w:color="auto" w:sz="4" w:space="0"/>
              <w:left w:val="nil"/>
              <w:bottom w:val="single" w:color="auto" w:sz="4" w:space="0"/>
              <w:right w:val="single" w:color="auto" w:sz="4" w:space="0"/>
            </w:tcBorders>
            <w:vAlign w:val="center"/>
          </w:tcPr>
          <w:p>
            <w:pPr>
              <w:spacing w:line="0" w:lineRule="atLeast"/>
              <w:jc w:val="center"/>
            </w:pPr>
            <w:r>
              <w:rPr>
                <w:rFonts w:hint="eastAsia" w:ascii="宋体" w:hAnsi="宋体"/>
              </w:rPr>
              <w:t>参考数量</w:t>
            </w:r>
          </w:p>
        </w:tc>
        <w:tc>
          <w:tcPr>
            <w:tcW w:w="1701" w:type="dxa"/>
            <w:tcBorders>
              <w:top w:val="single" w:color="auto" w:sz="4" w:space="0"/>
              <w:left w:val="nil"/>
              <w:bottom w:val="single" w:color="auto" w:sz="4" w:space="0"/>
              <w:right w:val="single" w:color="auto" w:sz="4" w:space="0"/>
            </w:tcBorders>
            <w:vAlign w:val="center"/>
          </w:tcPr>
          <w:p>
            <w:pPr>
              <w:spacing w:line="0" w:lineRule="atLeast"/>
              <w:jc w:val="center"/>
            </w:pPr>
            <w:r>
              <w:rPr>
                <w:rFonts w:hint="eastAsia" w:ascii="宋体" w:hAnsi="宋体"/>
              </w:rPr>
              <w:t>备注</w:t>
            </w:r>
          </w:p>
        </w:tc>
        <w:tc>
          <w:tcPr>
            <w:tcW w:w="826" w:type="dxa"/>
            <w:tcBorders>
              <w:top w:val="single" w:color="auto" w:sz="4" w:space="0"/>
              <w:left w:val="nil"/>
              <w:bottom w:val="single" w:color="auto" w:sz="4" w:space="0"/>
              <w:right w:val="single" w:color="auto" w:sz="4" w:space="0"/>
            </w:tcBorders>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rPr>
              <w:t>1</w:t>
            </w:r>
          </w:p>
        </w:tc>
        <w:tc>
          <w:tcPr>
            <w:tcW w:w="3577" w:type="dxa"/>
            <w:tcBorders>
              <w:top w:val="single" w:color="auto" w:sz="4" w:space="0"/>
              <w:left w:val="nil"/>
              <w:bottom w:val="single" w:color="auto" w:sz="4" w:space="0"/>
              <w:right w:val="single" w:color="auto" w:sz="4" w:space="0"/>
            </w:tcBorders>
            <w:vAlign w:val="center"/>
          </w:tcPr>
          <w:p>
            <w:pPr>
              <w:spacing w:line="0" w:lineRule="atLeast"/>
            </w:pPr>
            <w:r>
              <w:rPr>
                <w:rFonts w:hint="eastAsia" w:ascii="宋体" w:hAnsi="宋体"/>
              </w:rPr>
              <w:t>主要公共区域</w:t>
            </w:r>
          </w:p>
        </w:tc>
        <w:tc>
          <w:tcPr>
            <w:tcW w:w="2151" w:type="dxa"/>
            <w:tcBorders>
              <w:top w:val="single" w:color="auto" w:sz="4" w:space="0"/>
              <w:left w:val="nil"/>
              <w:bottom w:val="single" w:color="auto" w:sz="4" w:space="0"/>
              <w:right w:val="single" w:color="auto" w:sz="4" w:space="0"/>
            </w:tcBorders>
            <w:vAlign w:val="center"/>
          </w:tcPr>
          <w:p>
            <w:pPr>
              <w:spacing w:line="0" w:lineRule="atLeast"/>
              <w:jc w:val="left"/>
            </w:pPr>
            <w:r>
              <w:rPr>
                <w:rFonts w:hint="eastAsia" w:ascii="宋体" w:hAnsi="宋体"/>
              </w:rPr>
              <w:t>约30高档</w:t>
            </w:r>
            <w:r>
              <w:rPr>
                <w:rFonts w:hint="eastAsia"/>
              </w:rPr>
              <w:t>/</w:t>
            </w:r>
            <w:r>
              <w:rPr>
                <w:rFonts w:hint="eastAsia" w:ascii="宋体" w:hAnsi="宋体"/>
              </w:rPr>
              <w:t>月、21大盆</w:t>
            </w:r>
            <w:r>
              <w:rPr>
                <w:rFonts w:hint="eastAsia"/>
              </w:rPr>
              <w:t>/</w:t>
            </w:r>
            <w:r>
              <w:rPr>
                <w:rFonts w:hint="eastAsia" w:ascii="宋体" w:hAnsi="宋体"/>
              </w:rPr>
              <w:t>月、550小盆</w:t>
            </w:r>
            <w:r>
              <w:rPr>
                <w:rFonts w:hint="eastAsia"/>
              </w:rPr>
              <w:t>/</w:t>
            </w:r>
            <w:r>
              <w:rPr>
                <w:rFonts w:hint="eastAsia" w:ascii="宋体" w:hAnsi="宋体"/>
              </w:rPr>
              <w:t>月</w:t>
            </w:r>
          </w:p>
        </w:tc>
        <w:tc>
          <w:tcPr>
            <w:tcW w:w="1701" w:type="dxa"/>
            <w:vMerge w:val="restart"/>
            <w:tcBorders>
              <w:top w:val="nil"/>
              <w:left w:val="nil"/>
              <w:bottom w:val="single" w:color="auto" w:sz="4" w:space="0"/>
              <w:right w:val="single" w:color="auto" w:sz="4" w:space="0"/>
            </w:tcBorders>
            <w:vAlign w:val="center"/>
          </w:tcPr>
          <w:p>
            <w:pPr>
              <w:spacing w:line="0" w:lineRule="atLeast"/>
            </w:pPr>
            <w:r>
              <w:rPr>
                <w:rFonts w:hint="eastAsia" w:ascii="宋体" w:hAnsi="宋体"/>
              </w:rPr>
              <w:t>摆放盆栽绿色植物及养护。（高交会、五一、十一等重大节日摆放草花，数量会微调，根据实际需求配置。</w:t>
            </w:r>
          </w:p>
        </w:tc>
        <w:tc>
          <w:tcPr>
            <w:tcW w:w="826" w:type="dxa"/>
            <w:vMerge w:val="restart"/>
            <w:tcBorders>
              <w:top w:val="nil"/>
              <w:left w:val="nil"/>
              <w:bottom w:val="single" w:color="auto" w:sz="4" w:space="0"/>
              <w:right w:val="single" w:color="auto" w:sz="4" w:space="0"/>
            </w:tcBorders>
            <w:vAlign w:val="center"/>
          </w:tcPr>
          <w:p>
            <w:pPr>
              <w:spacing w:line="0" w:lineRule="atLeast"/>
              <w:jc w:val="center"/>
            </w:pPr>
            <w:r>
              <w:rPr>
                <w:rFonts w:hint="eastAsia" w:ascii="宋体" w:hAnsi="宋体"/>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rPr>
              <w:t>2</w:t>
            </w:r>
          </w:p>
        </w:tc>
        <w:tc>
          <w:tcPr>
            <w:tcW w:w="3577" w:type="dxa"/>
            <w:tcBorders>
              <w:top w:val="single" w:color="auto" w:sz="4" w:space="0"/>
              <w:left w:val="nil"/>
              <w:bottom w:val="single" w:color="auto" w:sz="4" w:space="0"/>
              <w:right w:val="single" w:color="auto" w:sz="4" w:space="0"/>
            </w:tcBorders>
            <w:vAlign w:val="center"/>
          </w:tcPr>
          <w:p>
            <w:pPr>
              <w:spacing w:line="0" w:lineRule="atLeast"/>
            </w:pPr>
            <w:r>
              <w:rPr>
                <w:rFonts w:hint="eastAsia" w:ascii="宋体" w:hAnsi="宋体"/>
              </w:rPr>
              <w:t>1层、</w:t>
            </w:r>
            <w:r>
              <w:rPr>
                <w:rFonts w:hint="eastAsia"/>
              </w:rPr>
              <w:t>2</w:t>
            </w:r>
            <w:r>
              <w:rPr>
                <w:rFonts w:hint="eastAsia" w:ascii="宋体" w:hAnsi="宋体"/>
              </w:rPr>
              <w:t>层、</w:t>
            </w:r>
            <w:r>
              <w:rPr>
                <w:rFonts w:hint="eastAsia"/>
              </w:rPr>
              <w:t>5</w:t>
            </w:r>
            <w:r>
              <w:rPr>
                <w:rFonts w:hint="eastAsia" w:ascii="宋体" w:hAnsi="宋体"/>
              </w:rPr>
              <w:t>层电梯厅</w:t>
            </w:r>
          </w:p>
        </w:tc>
        <w:tc>
          <w:tcPr>
            <w:tcW w:w="2151" w:type="dxa"/>
            <w:tcBorders>
              <w:top w:val="single" w:color="auto" w:sz="4" w:space="0"/>
              <w:left w:val="nil"/>
              <w:bottom w:val="single" w:color="auto" w:sz="4" w:space="0"/>
              <w:right w:val="single" w:color="auto" w:sz="4" w:space="0"/>
            </w:tcBorders>
            <w:vAlign w:val="center"/>
          </w:tcPr>
          <w:p>
            <w:pPr>
              <w:adjustRightInd w:val="0"/>
              <w:snapToGrid w:val="0"/>
            </w:pPr>
            <w:r>
              <w:rPr>
                <w:rFonts w:hint="eastAsia" w:ascii="宋体" w:hAnsi="宋体"/>
              </w:rPr>
              <w:t>约</w:t>
            </w:r>
            <w:r>
              <w:rPr>
                <w:rFonts w:hint="eastAsia"/>
              </w:rPr>
              <w:t>6</w:t>
            </w:r>
            <w:r>
              <w:rPr>
                <w:rFonts w:hint="eastAsia" w:ascii="宋体" w:hAnsi="宋体"/>
              </w:rPr>
              <w:t>大盆</w:t>
            </w:r>
            <w:r>
              <w:rPr>
                <w:rFonts w:hint="eastAsia"/>
              </w:rPr>
              <w:t>/</w:t>
            </w:r>
            <w:r>
              <w:rPr>
                <w:rFonts w:hint="eastAsia" w:ascii="宋体" w:hAnsi="宋体"/>
              </w:rPr>
              <w:t>月，100小盆</w:t>
            </w:r>
            <w:r>
              <w:rPr>
                <w:rFonts w:hint="eastAsia"/>
              </w:rPr>
              <w:t>/</w:t>
            </w:r>
            <w:r>
              <w:rPr>
                <w:rFonts w:hint="eastAsia" w:ascii="宋体" w:hAnsi="宋体"/>
              </w:rPr>
              <w:t>月</w:t>
            </w:r>
          </w:p>
        </w:tc>
        <w:tc>
          <w:tcPr>
            <w:tcW w:w="1701" w:type="dxa"/>
            <w:vMerge w:val="continue"/>
            <w:tcBorders>
              <w:top w:val="nil"/>
              <w:left w:val="nil"/>
              <w:bottom w:val="single" w:color="auto" w:sz="4" w:space="0"/>
              <w:right w:val="single" w:color="auto" w:sz="4" w:space="0"/>
            </w:tcBorders>
            <w:vAlign w:val="center"/>
          </w:tcPr>
          <w:p>
            <w:pPr>
              <w:widowControl/>
              <w:jc w:val="left"/>
            </w:pPr>
          </w:p>
        </w:tc>
        <w:tc>
          <w:tcPr>
            <w:tcW w:w="826" w:type="dxa"/>
            <w:vMerge w:val="continue"/>
            <w:tcBorders>
              <w:top w:val="nil"/>
              <w:left w:val="nil"/>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rPr>
              <w:t>3</w:t>
            </w:r>
          </w:p>
        </w:tc>
        <w:tc>
          <w:tcPr>
            <w:tcW w:w="3577" w:type="dxa"/>
            <w:tcBorders>
              <w:top w:val="single" w:color="auto" w:sz="4" w:space="0"/>
              <w:left w:val="nil"/>
              <w:bottom w:val="single" w:color="auto" w:sz="4" w:space="0"/>
              <w:right w:val="single" w:color="auto" w:sz="4" w:space="0"/>
            </w:tcBorders>
            <w:vAlign w:val="center"/>
          </w:tcPr>
          <w:p>
            <w:pPr>
              <w:widowControl/>
              <w:jc w:val="left"/>
            </w:pPr>
            <w:r>
              <w:rPr>
                <w:rFonts w:hint="eastAsia" w:ascii="宋体" w:hAnsi="宋体"/>
              </w:rPr>
              <w:t>二楼东、西平台</w:t>
            </w:r>
          </w:p>
        </w:tc>
        <w:tc>
          <w:tcPr>
            <w:tcW w:w="2151" w:type="dxa"/>
            <w:tcBorders>
              <w:top w:val="single" w:color="auto" w:sz="4" w:space="0"/>
              <w:left w:val="nil"/>
              <w:bottom w:val="single" w:color="auto" w:sz="4" w:space="0"/>
              <w:right w:val="single" w:color="auto" w:sz="4" w:space="0"/>
            </w:tcBorders>
            <w:vAlign w:val="center"/>
          </w:tcPr>
          <w:p>
            <w:pPr>
              <w:adjustRightInd w:val="0"/>
              <w:snapToGrid w:val="0"/>
            </w:pPr>
            <w:r>
              <w:rPr>
                <w:rFonts w:hint="eastAsia" w:ascii="宋体" w:hAnsi="宋体"/>
              </w:rPr>
              <w:t>约</w:t>
            </w:r>
            <w:r>
              <w:rPr>
                <w:rFonts w:hint="eastAsia"/>
              </w:rPr>
              <w:t>12</w:t>
            </w:r>
            <w:r>
              <w:rPr>
                <w:rFonts w:hint="eastAsia" w:ascii="宋体" w:hAnsi="宋体"/>
              </w:rPr>
              <w:t>大盆</w:t>
            </w:r>
            <w:r>
              <w:rPr>
                <w:rFonts w:hint="eastAsia"/>
              </w:rPr>
              <w:t>/</w:t>
            </w:r>
            <w:r>
              <w:rPr>
                <w:rFonts w:hint="eastAsia" w:ascii="宋体" w:hAnsi="宋体"/>
              </w:rPr>
              <w:t>月</w:t>
            </w:r>
          </w:p>
        </w:tc>
        <w:tc>
          <w:tcPr>
            <w:tcW w:w="1701" w:type="dxa"/>
            <w:vMerge w:val="continue"/>
            <w:tcBorders>
              <w:top w:val="nil"/>
              <w:left w:val="nil"/>
              <w:bottom w:val="single" w:color="auto" w:sz="4" w:space="0"/>
              <w:right w:val="single" w:color="auto" w:sz="4" w:space="0"/>
            </w:tcBorders>
            <w:vAlign w:val="center"/>
          </w:tcPr>
          <w:p>
            <w:pPr>
              <w:widowControl/>
              <w:jc w:val="left"/>
            </w:pPr>
          </w:p>
        </w:tc>
        <w:tc>
          <w:tcPr>
            <w:tcW w:w="826" w:type="dxa"/>
            <w:vMerge w:val="continue"/>
            <w:tcBorders>
              <w:top w:val="nil"/>
              <w:left w:val="nil"/>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rPr>
              <w:t>4</w:t>
            </w:r>
          </w:p>
        </w:tc>
        <w:tc>
          <w:tcPr>
            <w:tcW w:w="3577" w:type="dxa"/>
            <w:tcBorders>
              <w:top w:val="single" w:color="auto" w:sz="4" w:space="0"/>
              <w:left w:val="nil"/>
              <w:bottom w:val="single" w:color="auto" w:sz="4" w:space="0"/>
              <w:right w:val="single" w:color="auto" w:sz="4" w:space="0"/>
            </w:tcBorders>
            <w:vAlign w:val="center"/>
          </w:tcPr>
          <w:p>
            <w:pPr>
              <w:widowControl/>
              <w:jc w:val="left"/>
            </w:pPr>
            <w:r>
              <w:rPr>
                <w:rFonts w:hint="eastAsia" w:ascii="宋体" w:hAnsi="宋体"/>
              </w:rPr>
              <w:t>二楼</w:t>
            </w:r>
            <w:r>
              <w:rPr>
                <w:rFonts w:hint="eastAsia"/>
              </w:rPr>
              <w:t>7.5</w:t>
            </w:r>
            <w:r>
              <w:rPr>
                <w:rFonts w:hint="eastAsia" w:ascii="宋体" w:hAnsi="宋体"/>
              </w:rPr>
              <w:t>米服务大厅内</w:t>
            </w:r>
          </w:p>
        </w:tc>
        <w:tc>
          <w:tcPr>
            <w:tcW w:w="2151" w:type="dxa"/>
            <w:tcBorders>
              <w:top w:val="single" w:color="auto" w:sz="4" w:space="0"/>
              <w:left w:val="nil"/>
              <w:bottom w:val="single" w:color="auto" w:sz="4" w:space="0"/>
              <w:right w:val="single" w:color="auto" w:sz="4" w:space="0"/>
            </w:tcBorders>
            <w:vAlign w:val="center"/>
          </w:tcPr>
          <w:p>
            <w:pPr>
              <w:spacing w:line="0" w:lineRule="atLeast"/>
              <w:jc w:val="left"/>
            </w:pPr>
            <w:r>
              <w:rPr>
                <w:rFonts w:hint="eastAsia" w:ascii="宋体" w:hAnsi="宋体"/>
              </w:rPr>
              <w:t>约</w:t>
            </w:r>
            <w:r>
              <w:rPr>
                <w:rFonts w:hint="eastAsia"/>
              </w:rPr>
              <w:t>18</w:t>
            </w:r>
            <w:r>
              <w:rPr>
                <w:rFonts w:hint="eastAsia" w:ascii="宋体" w:hAnsi="宋体"/>
              </w:rPr>
              <w:t>高档</w:t>
            </w:r>
            <w:r>
              <w:rPr>
                <w:rFonts w:hint="eastAsia"/>
              </w:rPr>
              <w:t>/</w:t>
            </w:r>
            <w:r>
              <w:rPr>
                <w:rFonts w:hint="eastAsia" w:ascii="宋体" w:hAnsi="宋体"/>
              </w:rPr>
              <w:t>月</w:t>
            </w:r>
          </w:p>
        </w:tc>
        <w:tc>
          <w:tcPr>
            <w:tcW w:w="1701" w:type="dxa"/>
            <w:vMerge w:val="continue"/>
            <w:tcBorders>
              <w:top w:val="nil"/>
              <w:left w:val="nil"/>
              <w:bottom w:val="single" w:color="auto" w:sz="4" w:space="0"/>
              <w:right w:val="single" w:color="auto" w:sz="4" w:space="0"/>
            </w:tcBorders>
            <w:vAlign w:val="center"/>
          </w:tcPr>
          <w:p>
            <w:pPr>
              <w:widowControl/>
              <w:jc w:val="left"/>
            </w:pPr>
          </w:p>
        </w:tc>
        <w:tc>
          <w:tcPr>
            <w:tcW w:w="826" w:type="dxa"/>
            <w:vMerge w:val="continue"/>
            <w:tcBorders>
              <w:top w:val="nil"/>
              <w:left w:val="nil"/>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rPr>
              <w:t>5</w:t>
            </w:r>
          </w:p>
        </w:tc>
        <w:tc>
          <w:tcPr>
            <w:tcW w:w="3577" w:type="dxa"/>
            <w:tcBorders>
              <w:top w:val="single" w:color="auto" w:sz="4" w:space="0"/>
              <w:left w:val="nil"/>
              <w:bottom w:val="single" w:color="auto" w:sz="4" w:space="0"/>
              <w:right w:val="single" w:color="auto" w:sz="4" w:space="0"/>
            </w:tcBorders>
            <w:vAlign w:val="center"/>
          </w:tcPr>
          <w:p>
            <w:pPr>
              <w:widowControl/>
              <w:jc w:val="left"/>
            </w:pPr>
            <w:r>
              <w:rPr>
                <w:rFonts w:hint="eastAsia" w:ascii="宋体" w:hAnsi="宋体"/>
              </w:rPr>
              <w:t>二楼</w:t>
            </w:r>
            <w:r>
              <w:rPr>
                <w:rFonts w:hint="eastAsia"/>
              </w:rPr>
              <w:t>7.5</w:t>
            </w:r>
            <w:r>
              <w:rPr>
                <w:rFonts w:hint="eastAsia" w:ascii="宋体" w:hAnsi="宋体"/>
              </w:rPr>
              <w:t>米服务大厅外</w:t>
            </w:r>
          </w:p>
        </w:tc>
        <w:tc>
          <w:tcPr>
            <w:tcW w:w="2151" w:type="dxa"/>
            <w:tcBorders>
              <w:top w:val="single" w:color="auto" w:sz="4" w:space="0"/>
              <w:left w:val="nil"/>
              <w:bottom w:val="single" w:color="auto" w:sz="4" w:space="0"/>
              <w:right w:val="single" w:color="auto" w:sz="4" w:space="0"/>
            </w:tcBorders>
            <w:vAlign w:val="center"/>
          </w:tcPr>
          <w:p>
            <w:pPr>
              <w:adjustRightInd w:val="0"/>
              <w:snapToGrid w:val="0"/>
            </w:pPr>
            <w:r>
              <w:rPr>
                <w:rFonts w:hint="eastAsia" w:ascii="宋体" w:hAnsi="宋体"/>
              </w:rPr>
              <w:t>约</w:t>
            </w:r>
            <w:r>
              <w:rPr>
                <w:rFonts w:hint="eastAsia"/>
              </w:rPr>
              <w:t>8</w:t>
            </w:r>
            <w:r>
              <w:rPr>
                <w:rFonts w:hint="eastAsia" w:ascii="宋体" w:hAnsi="宋体"/>
              </w:rPr>
              <w:t>大盆</w:t>
            </w:r>
            <w:r>
              <w:rPr>
                <w:rFonts w:hint="eastAsia"/>
              </w:rPr>
              <w:t>/</w:t>
            </w:r>
            <w:r>
              <w:rPr>
                <w:rFonts w:hint="eastAsia" w:ascii="宋体" w:hAnsi="宋体"/>
              </w:rPr>
              <w:t>月</w:t>
            </w:r>
          </w:p>
        </w:tc>
        <w:tc>
          <w:tcPr>
            <w:tcW w:w="1701" w:type="dxa"/>
            <w:vMerge w:val="continue"/>
            <w:tcBorders>
              <w:top w:val="nil"/>
              <w:left w:val="nil"/>
              <w:bottom w:val="single" w:color="auto" w:sz="4" w:space="0"/>
              <w:right w:val="single" w:color="auto" w:sz="4" w:space="0"/>
            </w:tcBorders>
            <w:vAlign w:val="center"/>
          </w:tcPr>
          <w:p>
            <w:pPr>
              <w:widowControl/>
              <w:jc w:val="left"/>
            </w:pPr>
          </w:p>
        </w:tc>
        <w:tc>
          <w:tcPr>
            <w:tcW w:w="826" w:type="dxa"/>
            <w:vMerge w:val="continue"/>
            <w:tcBorders>
              <w:top w:val="nil"/>
              <w:left w:val="nil"/>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rPr>
              <w:t>6</w:t>
            </w:r>
          </w:p>
        </w:tc>
        <w:tc>
          <w:tcPr>
            <w:tcW w:w="3577" w:type="dxa"/>
            <w:tcBorders>
              <w:top w:val="single" w:color="auto" w:sz="4" w:space="0"/>
              <w:left w:val="nil"/>
              <w:bottom w:val="single" w:color="auto" w:sz="4" w:space="0"/>
              <w:right w:val="single" w:color="auto" w:sz="4" w:space="0"/>
            </w:tcBorders>
            <w:vAlign w:val="center"/>
          </w:tcPr>
          <w:p>
            <w:pPr>
              <w:widowControl/>
              <w:jc w:val="left"/>
            </w:pPr>
            <w:r>
              <w:rPr>
                <w:rFonts w:hint="eastAsia" w:ascii="宋体" w:hAnsi="宋体"/>
              </w:rPr>
              <w:t>207贵宾室209客户中心正门两侧、209客服中心、办公室</w:t>
            </w:r>
          </w:p>
        </w:tc>
        <w:tc>
          <w:tcPr>
            <w:tcW w:w="2151" w:type="dxa"/>
            <w:tcBorders>
              <w:top w:val="single" w:color="auto" w:sz="4" w:space="0"/>
              <w:left w:val="nil"/>
              <w:bottom w:val="single" w:color="auto" w:sz="4" w:space="0"/>
              <w:right w:val="single" w:color="auto" w:sz="4" w:space="0"/>
            </w:tcBorders>
            <w:vAlign w:val="center"/>
          </w:tcPr>
          <w:p>
            <w:pPr>
              <w:adjustRightInd w:val="0"/>
              <w:snapToGrid w:val="0"/>
            </w:pPr>
            <w:r>
              <w:rPr>
                <w:rFonts w:hint="eastAsia" w:ascii="宋体" w:hAnsi="宋体"/>
              </w:rPr>
              <w:t>约</w:t>
            </w:r>
            <w:r>
              <w:rPr>
                <w:rFonts w:hint="eastAsia"/>
              </w:rPr>
              <w:t>16</w:t>
            </w:r>
            <w:r>
              <w:rPr>
                <w:rFonts w:hint="eastAsia" w:ascii="宋体" w:hAnsi="宋体"/>
              </w:rPr>
              <w:t>大盆</w:t>
            </w:r>
            <w:r>
              <w:rPr>
                <w:rFonts w:hint="eastAsia"/>
              </w:rPr>
              <w:t>/</w:t>
            </w:r>
            <w:r>
              <w:rPr>
                <w:rFonts w:hint="eastAsia" w:ascii="宋体" w:hAnsi="宋体"/>
              </w:rPr>
              <w:t>月、69小盆</w:t>
            </w:r>
            <w:r>
              <w:rPr>
                <w:rFonts w:hint="eastAsia"/>
              </w:rPr>
              <w:t>/</w:t>
            </w:r>
            <w:r>
              <w:rPr>
                <w:rFonts w:hint="eastAsia" w:ascii="宋体" w:hAnsi="宋体"/>
              </w:rPr>
              <w:t>月</w:t>
            </w:r>
          </w:p>
        </w:tc>
        <w:tc>
          <w:tcPr>
            <w:tcW w:w="1701" w:type="dxa"/>
            <w:vMerge w:val="continue"/>
            <w:tcBorders>
              <w:top w:val="nil"/>
              <w:left w:val="nil"/>
              <w:bottom w:val="single" w:color="auto" w:sz="4" w:space="0"/>
              <w:right w:val="single" w:color="auto" w:sz="4" w:space="0"/>
            </w:tcBorders>
            <w:vAlign w:val="center"/>
          </w:tcPr>
          <w:p>
            <w:pPr>
              <w:widowControl/>
              <w:jc w:val="left"/>
            </w:pPr>
          </w:p>
        </w:tc>
        <w:tc>
          <w:tcPr>
            <w:tcW w:w="826" w:type="dxa"/>
            <w:vMerge w:val="continue"/>
            <w:tcBorders>
              <w:top w:val="nil"/>
              <w:left w:val="nil"/>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rPr>
              <w:t>7</w:t>
            </w:r>
          </w:p>
        </w:tc>
        <w:tc>
          <w:tcPr>
            <w:tcW w:w="3577" w:type="dxa"/>
            <w:tcBorders>
              <w:top w:val="single" w:color="auto" w:sz="4" w:space="0"/>
              <w:left w:val="nil"/>
              <w:bottom w:val="single" w:color="auto" w:sz="4" w:space="0"/>
              <w:right w:val="single" w:color="auto" w:sz="4" w:space="0"/>
            </w:tcBorders>
            <w:vAlign w:val="center"/>
          </w:tcPr>
          <w:p>
            <w:pPr>
              <w:widowControl/>
              <w:jc w:val="left"/>
            </w:pPr>
            <w:r>
              <w:rPr>
                <w:rFonts w:hint="eastAsia" w:ascii="宋体" w:hAnsi="宋体"/>
              </w:rPr>
              <w:t>北广场</w:t>
            </w:r>
          </w:p>
        </w:tc>
        <w:tc>
          <w:tcPr>
            <w:tcW w:w="2151" w:type="dxa"/>
            <w:tcBorders>
              <w:top w:val="single" w:color="auto" w:sz="4" w:space="0"/>
              <w:left w:val="nil"/>
              <w:bottom w:val="single" w:color="auto" w:sz="4" w:space="0"/>
              <w:right w:val="single" w:color="auto" w:sz="4" w:space="0"/>
            </w:tcBorders>
            <w:vAlign w:val="center"/>
          </w:tcPr>
          <w:p>
            <w:pPr>
              <w:spacing w:line="0" w:lineRule="atLeast"/>
              <w:jc w:val="left"/>
            </w:pPr>
            <w:r>
              <w:rPr>
                <w:rFonts w:hint="eastAsia" w:ascii="宋体" w:hAnsi="宋体"/>
              </w:rPr>
              <w:t>540小盆</w:t>
            </w:r>
            <w:r>
              <w:rPr>
                <w:rFonts w:hint="eastAsia"/>
              </w:rPr>
              <w:t>/</w:t>
            </w:r>
            <w:r>
              <w:rPr>
                <w:rFonts w:hint="eastAsia" w:ascii="宋体" w:hAnsi="宋体"/>
              </w:rPr>
              <w:t>季度</w:t>
            </w:r>
          </w:p>
        </w:tc>
        <w:tc>
          <w:tcPr>
            <w:tcW w:w="1701" w:type="dxa"/>
            <w:vMerge w:val="continue"/>
            <w:tcBorders>
              <w:top w:val="nil"/>
              <w:left w:val="nil"/>
              <w:bottom w:val="single" w:color="auto" w:sz="4" w:space="0"/>
              <w:right w:val="single" w:color="auto" w:sz="4" w:space="0"/>
            </w:tcBorders>
            <w:vAlign w:val="center"/>
          </w:tcPr>
          <w:p>
            <w:pPr>
              <w:widowControl/>
              <w:jc w:val="left"/>
            </w:pPr>
          </w:p>
        </w:tc>
        <w:tc>
          <w:tcPr>
            <w:tcW w:w="826" w:type="dxa"/>
            <w:vMerge w:val="continue"/>
            <w:tcBorders>
              <w:top w:val="nil"/>
              <w:left w:val="nil"/>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rPr>
              <w:t>8</w:t>
            </w:r>
          </w:p>
        </w:tc>
        <w:tc>
          <w:tcPr>
            <w:tcW w:w="3577" w:type="dxa"/>
            <w:tcBorders>
              <w:top w:val="single" w:color="auto" w:sz="4" w:space="0"/>
              <w:left w:val="nil"/>
              <w:bottom w:val="single" w:color="auto" w:sz="4" w:space="0"/>
              <w:right w:val="single" w:color="auto" w:sz="4" w:space="0"/>
            </w:tcBorders>
            <w:vAlign w:val="center"/>
          </w:tcPr>
          <w:p>
            <w:pPr>
              <w:spacing w:line="0" w:lineRule="atLeast"/>
            </w:pPr>
            <w:r>
              <w:rPr>
                <w:rFonts w:hint="eastAsia" w:ascii="宋体" w:hAnsi="宋体"/>
              </w:rPr>
              <w:t>会议室</w:t>
            </w:r>
          </w:p>
        </w:tc>
        <w:tc>
          <w:tcPr>
            <w:tcW w:w="2151" w:type="dxa"/>
            <w:tcBorders>
              <w:top w:val="single" w:color="auto" w:sz="4" w:space="0"/>
              <w:left w:val="nil"/>
              <w:bottom w:val="single" w:color="auto" w:sz="4" w:space="0"/>
              <w:right w:val="single" w:color="auto" w:sz="4" w:space="0"/>
            </w:tcBorders>
            <w:vAlign w:val="center"/>
          </w:tcPr>
          <w:p>
            <w:pPr>
              <w:spacing w:line="0" w:lineRule="atLeast"/>
              <w:jc w:val="left"/>
            </w:pPr>
            <w:r>
              <w:rPr>
                <w:rFonts w:hint="eastAsia" w:ascii="宋体" w:hAnsi="宋体"/>
              </w:rPr>
              <w:t>约14盆高档</w:t>
            </w:r>
            <w:r>
              <w:rPr>
                <w:rFonts w:hint="eastAsia"/>
              </w:rPr>
              <w:t>/</w:t>
            </w:r>
            <w:r>
              <w:rPr>
                <w:rFonts w:hint="eastAsia" w:ascii="宋体" w:hAnsi="宋体"/>
              </w:rPr>
              <w:t>月、</w:t>
            </w:r>
            <w:r>
              <w:rPr>
                <w:rFonts w:hint="eastAsia"/>
              </w:rPr>
              <w:t>160</w:t>
            </w:r>
            <w:r>
              <w:rPr>
                <w:rFonts w:hint="eastAsia" w:ascii="宋体" w:hAnsi="宋体"/>
              </w:rPr>
              <w:t>小盆</w:t>
            </w:r>
            <w:r>
              <w:rPr>
                <w:rFonts w:hint="eastAsia"/>
              </w:rPr>
              <w:t>/</w:t>
            </w:r>
            <w:r>
              <w:rPr>
                <w:rFonts w:hint="eastAsia" w:ascii="宋体" w:hAnsi="宋体"/>
              </w:rPr>
              <w:t>月</w:t>
            </w:r>
          </w:p>
        </w:tc>
        <w:tc>
          <w:tcPr>
            <w:tcW w:w="1701" w:type="dxa"/>
            <w:vMerge w:val="continue"/>
            <w:tcBorders>
              <w:top w:val="nil"/>
              <w:left w:val="nil"/>
              <w:bottom w:val="single" w:color="auto" w:sz="4" w:space="0"/>
              <w:right w:val="single" w:color="auto" w:sz="4" w:space="0"/>
            </w:tcBorders>
            <w:vAlign w:val="center"/>
          </w:tcPr>
          <w:p>
            <w:pPr>
              <w:widowControl/>
              <w:jc w:val="left"/>
            </w:pPr>
          </w:p>
        </w:tc>
        <w:tc>
          <w:tcPr>
            <w:tcW w:w="826" w:type="dxa"/>
            <w:vMerge w:val="continue"/>
            <w:tcBorders>
              <w:top w:val="nil"/>
              <w:left w:val="nil"/>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rPr>
              <w:t>9</w:t>
            </w:r>
          </w:p>
        </w:tc>
        <w:tc>
          <w:tcPr>
            <w:tcW w:w="3577" w:type="dxa"/>
            <w:tcBorders>
              <w:top w:val="single" w:color="auto" w:sz="4" w:space="0"/>
              <w:left w:val="nil"/>
              <w:bottom w:val="single" w:color="auto" w:sz="4" w:space="0"/>
              <w:right w:val="single" w:color="auto" w:sz="4" w:space="0"/>
            </w:tcBorders>
            <w:vAlign w:val="center"/>
          </w:tcPr>
          <w:p>
            <w:pPr>
              <w:spacing w:line="0" w:lineRule="atLeast"/>
            </w:pPr>
            <w:r>
              <w:rPr>
                <w:rFonts w:hint="eastAsia" w:ascii="宋体" w:hAnsi="宋体"/>
              </w:rPr>
              <w:t>领导办公室</w:t>
            </w:r>
          </w:p>
        </w:tc>
        <w:tc>
          <w:tcPr>
            <w:tcW w:w="2151" w:type="dxa"/>
            <w:tcBorders>
              <w:top w:val="single" w:color="auto" w:sz="4" w:space="0"/>
              <w:left w:val="nil"/>
              <w:bottom w:val="single" w:color="auto" w:sz="4" w:space="0"/>
              <w:right w:val="single" w:color="auto" w:sz="4" w:space="0"/>
            </w:tcBorders>
            <w:vAlign w:val="center"/>
          </w:tcPr>
          <w:p>
            <w:pPr>
              <w:spacing w:line="0" w:lineRule="atLeast"/>
              <w:jc w:val="left"/>
            </w:pPr>
            <w:r>
              <w:rPr>
                <w:rFonts w:hint="eastAsia" w:ascii="宋体" w:hAnsi="宋体"/>
              </w:rPr>
              <w:t>约48高档</w:t>
            </w:r>
            <w:r>
              <w:rPr>
                <w:rFonts w:hint="eastAsia"/>
              </w:rPr>
              <w:t>/</w:t>
            </w:r>
            <w:r>
              <w:rPr>
                <w:rFonts w:hint="eastAsia" w:ascii="宋体" w:hAnsi="宋体"/>
              </w:rPr>
              <w:t>月、</w:t>
            </w:r>
            <w:r>
              <w:rPr>
                <w:rFonts w:hint="eastAsia"/>
              </w:rPr>
              <w:t>42</w:t>
            </w:r>
            <w:r>
              <w:rPr>
                <w:rFonts w:hint="eastAsia" w:ascii="宋体" w:hAnsi="宋体"/>
              </w:rPr>
              <w:t>桌面</w:t>
            </w:r>
            <w:r>
              <w:rPr>
                <w:rFonts w:hint="eastAsia"/>
              </w:rPr>
              <w:t>/</w:t>
            </w:r>
            <w:r>
              <w:rPr>
                <w:rFonts w:hint="eastAsia" w:ascii="宋体" w:hAnsi="宋体"/>
              </w:rPr>
              <w:t>月、20</w:t>
            </w:r>
            <w:r>
              <w:rPr>
                <w:rFonts w:hint="eastAsia"/>
              </w:rPr>
              <w:t>0</w:t>
            </w:r>
            <w:r>
              <w:rPr>
                <w:rFonts w:hint="eastAsia" w:ascii="宋体" w:hAnsi="宋体"/>
              </w:rPr>
              <w:t>小盆</w:t>
            </w:r>
            <w:r>
              <w:rPr>
                <w:rFonts w:hint="eastAsia"/>
              </w:rPr>
              <w:t>/</w:t>
            </w:r>
            <w:r>
              <w:rPr>
                <w:rFonts w:hint="eastAsia" w:ascii="宋体" w:hAnsi="宋体"/>
              </w:rPr>
              <w:t>月</w:t>
            </w:r>
          </w:p>
        </w:tc>
        <w:tc>
          <w:tcPr>
            <w:tcW w:w="1701" w:type="dxa"/>
            <w:vMerge w:val="continue"/>
            <w:tcBorders>
              <w:top w:val="nil"/>
              <w:left w:val="nil"/>
              <w:bottom w:val="single" w:color="auto" w:sz="4" w:space="0"/>
              <w:right w:val="single" w:color="auto" w:sz="4" w:space="0"/>
            </w:tcBorders>
            <w:vAlign w:val="center"/>
          </w:tcPr>
          <w:p>
            <w:pPr>
              <w:widowControl/>
              <w:jc w:val="left"/>
            </w:pPr>
          </w:p>
        </w:tc>
        <w:tc>
          <w:tcPr>
            <w:tcW w:w="826" w:type="dxa"/>
            <w:vMerge w:val="continue"/>
            <w:tcBorders>
              <w:top w:val="nil"/>
              <w:left w:val="nil"/>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rPr>
              <w:t>10</w:t>
            </w:r>
          </w:p>
        </w:tc>
        <w:tc>
          <w:tcPr>
            <w:tcW w:w="3577" w:type="dxa"/>
            <w:tcBorders>
              <w:top w:val="single" w:color="auto" w:sz="4" w:space="0"/>
              <w:left w:val="nil"/>
              <w:bottom w:val="single" w:color="auto" w:sz="4" w:space="0"/>
              <w:right w:val="single" w:color="auto" w:sz="4" w:space="0"/>
            </w:tcBorders>
            <w:vAlign w:val="center"/>
          </w:tcPr>
          <w:p>
            <w:pPr>
              <w:spacing w:line="0" w:lineRule="atLeast"/>
            </w:pPr>
            <w:r>
              <w:rPr>
                <w:rFonts w:hint="eastAsia" w:ascii="宋体" w:hAnsi="宋体"/>
              </w:rPr>
              <w:t>3人以下职员房（含</w:t>
            </w:r>
            <w:r>
              <w:rPr>
                <w:rFonts w:hint="eastAsia"/>
              </w:rPr>
              <w:t>3</w:t>
            </w:r>
            <w:r>
              <w:rPr>
                <w:rFonts w:hint="eastAsia" w:ascii="宋体" w:hAnsi="宋体"/>
              </w:rPr>
              <w:t>人）共35个房间</w:t>
            </w:r>
          </w:p>
        </w:tc>
        <w:tc>
          <w:tcPr>
            <w:tcW w:w="2151" w:type="dxa"/>
            <w:tcBorders>
              <w:top w:val="single" w:color="auto" w:sz="4" w:space="0"/>
              <w:left w:val="nil"/>
              <w:bottom w:val="single" w:color="auto" w:sz="4" w:space="0"/>
              <w:right w:val="single" w:color="auto" w:sz="4" w:space="0"/>
            </w:tcBorders>
            <w:vAlign w:val="center"/>
          </w:tcPr>
          <w:p>
            <w:pPr>
              <w:spacing w:line="0" w:lineRule="atLeast"/>
              <w:jc w:val="left"/>
            </w:pPr>
            <w:r>
              <w:rPr>
                <w:rFonts w:hint="eastAsia" w:ascii="宋体" w:hAnsi="宋体"/>
              </w:rPr>
              <w:t>约35大盆</w:t>
            </w:r>
            <w:r>
              <w:rPr>
                <w:rFonts w:hint="eastAsia"/>
              </w:rPr>
              <w:t>/</w:t>
            </w:r>
            <w:r>
              <w:rPr>
                <w:rFonts w:hint="eastAsia" w:ascii="宋体" w:hAnsi="宋体"/>
              </w:rPr>
              <w:t>月，105小盆</w:t>
            </w:r>
            <w:r>
              <w:rPr>
                <w:rFonts w:hint="eastAsia"/>
              </w:rPr>
              <w:t>/</w:t>
            </w:r>
            <w:r>
              <w:rPr>
                <w:rFonts w:hint="eastAsia" w:ascii="宋体" w:hAnsi="宋体"/>
              </w:rPr>
              <w:t>月</w:t>
            </w:r>
          </w:p>
        </w:tc>
        <w:tc>
          <w:tcPr>
            <w:tcW w:w="1701" w:type="dxa"/>
            <w:vMerge w:val="continue"/>
            <w:tcBorders>
              <w:top w:val="nil"/>
              <w:left w:val="nil"/>
              <w:bottom w:val="single" w:color="auto" w:sz="4" w:space="0"/>
              <w:right w:val="single" w:color="auto" w:sz="4" w:space="0"/>
            </w:tcBorders>
            <w:vAlign w:val="center"/>
          </w:tcPr>
          <w:p>
            <w:pPr>
              <w:widowControl/>
              <w:jc w:val="left"/>
            </w:pPr>
          </w:p>
        </w:tc>
        <w:tc>
          <w:tcPr>
            <w:tcW w:w="826" w:type="dxa"/>
            <w:vMerge w:val="continue"/>
            <w:tcBorders>
              <w:top w:val="nil"/>
              <w:left w:val="nil"/>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rPr>
            </w:pPr>
            <w:r>
              <w:rPr>
                <w:rFonts w:hint="eastAsia" w:ascii="宋体" w:hAnsi="宋体"/>
              </w:rPr>
              <w:t>11</w:t>
            </w:r>
          </w:p>
        </w:tc>
        <w:tc>
          <w:tcPr>
            <w:tcW w:w="3577" w:type="dxa"/>
            <w:tcBorders>
              <w:top w:val="single" w:color="auto" w:sz="4" w:space="0"/>
              <w:left w:val="nil"/>
              <w:bottom w:val="single" w:color="auto" w:sz="4" w:space="0"/>
              <w:right w:val="single" w:color="auto" w:sz="4" w:space="0"/>
            </w:tcBorders>
            <w:vAlign w:val="center"/>
          </w:tcPr>
          <w:p>
            <w:pPr>
              <w:spacing w:line="0" w:lineRule="atLeast"/>
              <w:rPr>
                <w:rFonts w:ascii="宋体" w:hAnsi="宋体"/>
              </w:rPr>
            </w:pPr>
            <w:r>
              <w:rPr>
                <w:rFonts w:hint="eastAsia" w:ascii="宋体" w:hAnsi="宋体"/>
              </w:rPr>
              <w:t>4人以上职员房（含4人）共37个房</w:t>
            </w:r>
          </w:p>
        </w:tc>
        <w:tc>
          <w:tcPr>
            <w:tcW w:w="2151"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r>
              <w:rPr>
                <w:rFonts w:hint="eastAsia" w:ascii="宋体" w:hAnsi="宋体"/>
              </w:rPr>
              <w:t>约70大盆</w:t>
            </w:r>
            <w:r>
              <w:rPr>
                <w:rFonts w:hint="eastAsia"/>
              </w:rPr>
              <w:t>/</w:t>
            </w:r>
            <w:r>
              <w:rPr>
                <w:rFonts w:hint="eastAsia" w:ascii="宋体" w:hAnsi="宋体"/>
              </w:rPr>
              <w:t>月，148小盆</w:t>
            </w:r>
            <w:r>
              <w:rPr>
                <w:rFonts w:hint="eastAsia"/>
              </w:rPr>
              <w:t>/</w:t>
            </w:r>
            <w:r>
              <w:rPr>
                <w:rFonts w:hint="eastAsia" w:ascii="宋体" w:hAnsi="宋体"/>
              </w:rPr>
              <w:t>月</w:t>
            </w:r>
          </w:p>
        </w:tc>
        <w:tc>
          <w:tcPr>
            <w:tcW w:w="1701" w:type="dxa"/>
            <w:vMerge w:val="continue"/>
            <w:tcBorders>
              <w:top w:val="nil"/>
              <w:left w:val="nil"/>
              <w:bottom w:val="single" w:color="auto" w:sz="4" w:space="0"/>
              <w:right w:val="single" w:color="auto" w:sz="4" w:space="0"/>
            </w:tcBorders>
            <w:vAlign w:val="center"/>
          </w:tcPr>
          <w:p>
            <w:pPr>
              <w:widowControl/>
              <w:jc w:val="left"/>
            </w:pPr>
          </w:p>
        </w:tc>
        <w:tc>
          <w:tcPr>
            <w:tcW w:w="826" w:type="dxa"/>
            <w:vMerge w:val="continue"/>
            <w:tcBorders>
              <w:top w:val="nil"/>
              <w:left w:val="nil"/>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rPr>
              <w:t>12</w:t>
            </w:r>
          </w:p>
        </w:tc>
        <w:tc>
          <w:tcPr>
            <w:tcW w:w="3577" w:type="dxa"/>
            <w:tcBorders>
              <w:top w:val="single" w:color="auto" w:sz="4" w:space="0"/>
              <w:left w:val="nil"/>
              <w:bottom w:val="single" w:color="auto" w:sz="4" w:space="0"/>
              <w:right w:val="single" w:color="auto" w:sz="4" w:space="0"/>
            </w:tcBorders>
            <w:vAlign w:val="center"/>
          </w:tcPr>
          <w:p>
            <w:pPr>
              <w:spacing w:line="0" w:lineRule="atLeast"/>
            </w:pPr>
            <w:r>
              <w:rPr>
                <w:rFonts w:hint="eastAsia" w:ascii="宋体" w:hAnsi="宋体"/>
              </w:rPr>
              <w:t>8人以上职员房共6个房</w:t>
            </w:r>
          </w:p>
        </w:tc>
        <w:tc>
          <w:tcPr>
            <w:tcW w:w="2151" w:type="dxa"/>
            <w:tcBorders>
              <w:top w:val="single" w:color="auto" w:sz="4" w:space="0"/>
              <w:left w:val="nil"/>
              <w:bottom w:val="single" w:color="auto" w:sz="4" w:space="0"/>
              <w:right w:val="single" w:color="auto" w:sz="4" w:space="0"/>
            </w:tcBorders>
            <w:vAlign w:val="center"/>
          </w:tcPr>
          <w:p>
            <w:pPr>
              <w:spacing w:line="0" w:lineRule="atLeast"/>
            </w:pPr>
            <w:r>
              <w:rPr>
                <w:rFonts w:hint="eastAsia" w:ascii="宋体" w:hAnsi="宋体"/>
              </w:rPr>
              <w:t>24大盆</w:t>
            </w:r>
            <w:r>
              <w:rPr>
                <w:rFonts w:hint="eastAsia"/>
              </w:rPr>
              <w:t>/</w:t>
            </w:r>
            <w:r>
              <w:rPr>
                <w:rFonts w:hint="eastAsia" w:ascii="宋体" w:hAnsi="宋体"/>
              </w:rPr>
              <w:t>月，</w:t>
            </w:r>
            <w:r>
              <w:rPr>
                <w:rFonts w:hint="eastAsia"/>
              </w:rPr>
              <w:t>60</w:t>
            </w:r>
            <w:r>
              <w:rPr>
                <w:rFonts w:hint="eastAsia" w:ascii="宋体" w:hAnsi="宋体"/>
              </w:rPr>
              <w:t>小盆</w:t>
            </w:r>
            <w:r>
              <w:rPr>
                <w:rFonts w:hint="eastAsia"/>
              </w:rPr>
              <w:t>/</w:t>
            </w:r>
            <w:r>
              <w:rPr>
                <w:rFonts w:hint="eastAsia" w:ascii="宋体" w:hAnsi="宋体"/>
              </w:rPr>
              <w:t>月</w:t>
            </w:r>
          </w:p>
        </w:tc>
        <w:tc>
          <w:tcPr>
            <w:tcW w:w="1701" w:type="dxa"/>
            <w:vMerge w:val="continue"/>
            <w:tcBorders>
              <w:top w:val="nil"/>
              <w:left w:val="nil"/>
              <w:bottom w:val="single" w:color="auto" w:sz="4" w:space="0"/>
              <w:right w:val="single" w:color="auto" w:sz="4" w:space="0"/>
            </w:tcBorders>
            <w:vAlign w:val="center"/>
          </w:tcPr>
          <w:p>
            <w:pPr>
              <w:widowControl/>
              <w:jc w:val="left"/>
            </w:pPr>
          </w:p>
        </w:tc>
        <w:tc>
          <w:tcPr>
            <w:tcW w:w="826" w:type="dxa"/>
            <w:vMerge w:val="continue"/>
            <w:tcBorders>
              <w:top w:val="nil"/>
              <w:left w:val="nil"/>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rPr>
              <w:t>13</w:t>
            </w:r>
          </w:p>
        </w:tc>
        <w:tc>
          <w:tcPr>
            <w:tcW w:w="3577" w:type="dxa"/>
            <w:tcBorders>
              <w:top w:val="single" w:color="auto" w:sz="4" w:space="0"/>
              <w:left w:val="nil"/>
              <w:bottom w:val="single" w:color="auto" w:sz="4" w:space="0"/>
              <w:right w:val="single" w:color="auto" w:sz="4" w:space="0"/>
            </w:tcBorders>
            <w:vAlign w:val="center"/>
          </w:tcPr>
          <w:p>
            <w:pPr>
              <w:spacing w:line="0" w:lineRule="atLeast"/>
            </w:pPr>
            <w:r>
              <w:rPr>
                <w:rFonts w:hint="eastAsia" w:ascii="宋体" w:hAnsi="宋体"/>
              </w:rPr>
              <w:t>五、六楼男、女洗手间、三男、女楼洗手间</w:t>
            </w:r>
          </w:p>
        </w:tc>
        <w:tc>
          <w:tcPr>
            <w:tcW w:w="2151" w:type="dxa"/>
            <w:tcBorders>
              <w:top w:val="single" w:color="auto" w:sz="4" w:space="0"/>
              <w:left w:val="nil"/>
              <w:bottom w:val="single" w:color="auto" w:sz="4" w:space="0"/>
              <w:right w:val="single" w:color="auto" w:sz="4" w:space="0"/>
            </w:tcBorders>
            <w:vAlign w:val="center"/>
          </w:tcPr>
          <w:p>
            <w:pPr>
              <w:spacing w:line="0" w:lineRule="atLeast"/>
            </w:pPr>
            <w:r>
              <w:rPr>
                <w:rFonts w:hint="eastAsia" w:ascii="宋体" w:hAnsi="宋体"/>
              </w:rPr>
              <w:t>18大盆</w:t>
            </w:r>
            <w:r>
              <w:rPr>
                <w:rFonts w:hint="eastAsia"/>
              </w:rPr>
              <w:t>/</w:t>
            </w:r>
            <w:r>
              <w:rPr>
                <w:rFonts w:hint="eastAsia" w:ascii="宋体" w:hAnsi="宋体"/>
              </w:rPr>
              <w:t>月、38小盆</w:t>
            </w:r>
            <w:r>
              <w:rPr>
                <w:rFonts w:hint="eastAsia"/>
              </w:rPr>
              <w:t>/</w:t>
            </w:r>
            <w:r>
              <w:rPr>
                <w:rFonts w:hint="eastAsia" w:ascii="宋体" w:hAnsi="宋体"/>
              </w:rPr>
              <w:t>月</w:t>
            </w:r>
          </w:p>
        </w:tc>
        <w:tc>
          <w:tcPr>
            <w:tcW w:w="1701" w:type="dxa"/>
            <w:vMerge w:val="continue"/>
            <w:tcBorders>
              <w:top w:val="nil"/>
              <w:left w:val="nil"/>
              <w:bottom w:val="single" w:color="auto" w:sz="4" w:space="0"/>
              <w:right w:val="single" w:color="auto" w:sz="4" w:space="0"/>
            </w:tcBorders>
            <w:vAlign w:val="center"/>
          </w:tcPr>
          <w:p>
            <w:pPr>
              <w:widowControl/>
              <w:jc w:val="left"/>
            </w:pPr>
          </w:p>
        </w:tc>
        <w:tc>
          <w:tcPr>
            <w:tcW w:w="826" w:type="dxa"/>
            <w:vMerge w:val="continue"/>
            <w:tcBorders>
              <w:top w:val="nil"/>
              <w:left w:val="nil"/>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rPr>
              <w:t>14</w:t>
            </w:r>
          </w:p>
        </w:tc>
        <w:tc>
          <w:tcPr>
            <w:tcW w:w="3577" w:type="dxa"/>
            <w:tcBorders>
              <w:top w:val="single" w:color="auto" w:sz="4" w:space="0"/>
              <w:left w:val="nil"/>
              <w:bottom w:val="single" w:color="auto" w:sz="4" w:space="0"/>
              <w:right w:val="single" w:color="auto" w:sz="4" w:space="0"/>
            </w:tcBorders>
            <w:vAlign w:val="center"/>
          </w:tcPr>
          <w:p>
            <w:pPr>
              <w:spacing w:line="0" w:lineRule="atLeast"/>
            </w:pPr>
            <w:r>
              <w:rPr>
                <w:rFonts w:hint="eastAsia"/>
              </w:rPr>
              <w:t>贵宾餐厅、员工餐厅</w:t>
            </w:r>
          </w:p>
        </w:tc>
        <w:tc>
          <w:tcPr>
            <w:tcW w:w="2151" w:type="dxa"/>
            <w:tcBorders>
              <w:top w:val="single" w:color="auto" w:sz="4" w:space="0"/>
              <w:left w:val="nil"/>
              <w:bottom w:val="single" w:color="auto" w:sz="4" w:space="0"/>
              <w:right w:val="single" w:color="auto" w:sz="4" w:space="0"/>
            </w:tcBorders>
            <w:vAlign w:val="center"/>
          </w:tcPr>
          <w:p>
            <w:pPr>
              <w:spacing w:line="0" w:lineRule="atLeast"/>
            </w:pPr>
            <w:r>
              <w:rPr>
                <w:rFonts w:hint="eastAsia" w:ascii="宋体" w:hAnsi="宋体"/>
              </w:rPr>
              <w:t>20大盆</w:t>
            </w:r>
            <w:r>
              <w:rPr>
                <w:rFonts w:hint="eastAsia"/>
              </w:rPr>
              <w:t>/</w:t>
            </w:r>
            <w:r>
              <w:rPr>
                <w:rFonts w:hint="eastAsia" w:ascii="宋体" w:hAnsi="宋体"/>
              </w:rPr>
              <w:t>月、50小盆</w:t>
            </w:r>
            <w:r>
              <w:rPr>
                <w:rFonts w:hint="eastAsia"/>
              </w:rPr>
              <w:t>/</w:t>
            </w:r>
            <w:r>
              <w:rPr>
                <w:rFonts w:hint="eastAsia" w:ascii="宋体" w:hAnsi="宋体"/>
              </w:rPr>
              <w:t>月</w:t>
            </w:r>
          </w:p>
        </w:tc>
        <w:tc>
          <w:tcPr>
            <w:tcW w:w="1701" w:type="dxa"/>
            <w:vMerge w:val="continue"/>
            <w:tcBorders>
              <w:top w:val="nil"/>
              <w:left w:val="nil"/>
              <w:bottom w:val="single" w:color="auto" w:sz="4" w:space="0"/>
              <w:right w:val="single" w:color="auto" w:sz="4" w:space="0"/>
            </w:tcBorders>
            <w:vAlign w:val="center"/>
          </w:tcPr>
          <w:p>
            <w:pPr>
              <w:widowControl/>
              <w:jc w:val="left"/>
            </w:pPr>
          </w:p>
        </w:tc>
        <w:tc>
          <w:tcPr>
            <w:tcW w:w="826" w:type="dxa"/>
            <w:vMerge w:val="continue"/>
            <w:tcBorders>
              <w:top w:val="nil"/>
              <w:left w:val="nil"/>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rPr>
              <w:t>15</w:t>
            </w:r>
          </w:p>
        </w:tc>
        <w:tc>
          <w:tcPr>
            <w:tcW w:w="3577" w:type="dxa"/>
            <w:tcBorders>
              <w:top w:val="single" w:color="auto" w:sz="4" w:space="0"/>
              <w:left w:val="nil"/>
              <w:bottom w:val="single" w:color="auto" w:sz="4" w:space="0"/>
              <w:right w:val="single" w:color="auto" w:sz="4" w:space="0"/>
            </w:tcBorders>
            <w:vAlign w:val="center"/>
          </w:tcPr>
          <w:p>
            <w:pPr>
              <w:spacing w:line="0" w:lineRule="atLeast"/>
            </w:pPr>
            <w:r>
              <w:rPr>
                <w:rFonts w:hint="eastAsia" w:ascii="宋体" w:hAnsi="宋体"/>
              </w:rPr>
              <w:t>负一层餐饮广场通道内绿植摆放</w:t>
            </w:r>
          </w:p>
        </w:tc>
        <w:tc>
          <w:tcPr>
            <w:tcW w:w="2151" w:type="dxa"/>
            <w:tcBorders>
              <w:top w:val="single" w:color="auto" w:sz="4" w:space="0"/>
              <w:left w:val="nil"/>
              <w:bottom w:val="single" w:color="auto" w:sz="4" w:space="0"/>
              <w:right w:val="single" w:color="auto" w:sz="4" w:space="0"/>
            </w:tcBorders>
            <w:vAlign w:val="center"/>
          </w:tcPr>
          <w:p>
            <w:pPr>
              <w:spacing w:line="0" w:lineRule="atLeast"/>
            </w:pPr>
            <w:r>
              <w:rPr>
                <w:rFonts w:hint="eastAsia" w:ascii="宋体" w:hAnsi="宋体"/>
              </w:rPr>
              <w:t>约12大盆</w:t>
            </w:r>
            <w:r>
              <w:rPr>
                <w:rFonts w:hint="eastAsia"/>
              </w:rPr>
              <w:t>/</w:t>
            </w:r>
            <w:r>
              <w:rPr>
                <w:rFonts w:hint="eastAsia" w:ascii="宋体" w:hAnsi="宋体"/>
              </w:rPr>
              <w:t>月</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宋体" w:hAnsi="宋体"/>
              </w:rPr>
              <w:t>定制固定花箱（由投标人定制，作为摆放绿植固定配置），摆放在东、西两侧垂直电梯的两边</w:t>
            </w:r>
          </w:p>
        </w:tc>
        <w:tc>
          <w:tcPr>
            <w:tcW w:w="826"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sz w:val="24"/>
              </w:rPr>
            </w:pPr>
            <w:r>
              <w:rPr>
                <w:rFonts w:hint="eastAsia" w:ascii="宋体" w:hAnsi="宋体"/>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rPr>
              <w:t>16</w:t>
            </w:r>
          </w:p>
        </w:tc>
        <w:tc>
          <w:tcPr>
            <w:tcW w:w="3577" w:type="dxa"/>
            <w:tcBorders>
              <w:top w:val="single" w:color="auto" w:sz="4" w:space="0"/>
              <w:left w:val="nil"/>
              <w:bottom w:val="single" w:color="auto" w:sz="4" w:space="0"/>
              <w:right w:val="single" w:color="auto" w:sz="4" w:space="0"/>
            </w:tcBorders>
            <w:vAlign w:val="center"/>
          </w:tcPr>
          <w:p>
            <w:pPr>
              <w:spacing w:line="0" w:lineRule="atLeast"/>
            </w:pPr>
            <w:r>
              <w:rPr>
                <w:rFonts w:hint="eastAsia" w:ascii="宋体" w:hAnsi="宋体"/>
              </w:rPr>
              <w:t>4层、</w:t>
            </w:r>
            <w:r>
              <w:rPr>
                <w:rFonts w:hint="eastAsia"/>
              </w:rPr>
              <w:t>5</w:t>
            </w:r>
            <w:r>
              <w:rPr>
                <w:rFonts w:hint="eastAsia" w:ascii="宋体" w:hAnsi="宋体"/>
              </w:rPr>
              <w:t>层交叉扶梯东、西两侧空隙处配置假草皮</w:t>
            </w:r>
          </w:p>
        </w:tc>
        <w:tc>
          <w:tcPr>
            <w:tcW w:w="2151" w:type="dxa"/>
            <w:tcBorders>
              <w:top w:val="single" w:color="auto" w:sz="4" w:space="0"/>
              <w:left w:val="nil"/>
              <w:bottom w:val="single" w:color="auto" w:sz="4" w:space="0"/>
              <w:right w:val="single" w:color="auto" w:sz="4" w:space="0"/>
            </w:tcBorders>
            <w:vAlign w:val="center"/>
          </w:tcPr>
          <w:p>
            <w:pPr>
              <w:adjustRightInd w:val="0"/>
              <w:snapToGrid w:val="0"/>
            </w:pPr>
            <w:r>
              <w:rPr>
                <w:rFonts w:hint="eastAsia" w:ascii="宋体" w:hAnsi="宋体"/>
              </w:rPr>
              <w:t>每月派专人检查维护</w:t>
            </w:r>
            <w:r>
              <w:rPr>
                <w:rFonts w:hint="eastAsia"/>
              </w:rPr>
              <w:t>1</w:t>
            </w:r>
            <w:r>
              <w:rPr>
                <w:rFonts w:hint="eastAsia" w:ascii="宋体" w:hAnsi="宋体"/>
              </w:rPr>
              <w:t>次，重大展会活动布展最后一天下午必须检查维修</w:t>
            </w:r>
            <w:r>
              <w:rPr>
                <w:rFonts w:hint="eastAsia"/>
              </w:rPr>
              <w:t>1</w:t>
            </w:r>
            <w:r>
              <w:rPr>
                <w:rFonts w:hint="eastAsia" w:ascii="宋体" w:hAnsi="宋体"/>
              </w:rPr>
              <w:t>次，以现场通知为准</w:t>
            </w:r>
          </w:p>
        </w:tc>
        <w:tc>
          <w:tcPr>
            <w:tcW w:w="1701" w:type="dxa"/>
            <w:tcBorders>
              <w:top w:val="single" w:color="auto" w:sz="4" w:space="0"/>
              <w:left w:val="nil"/>
              <w:bottom w:val="single" w:color="auto" w:sz="4" w:space="0"/>
              <w:right w:val="single" w:color="auto" w:sz="4" w:space="0"/>
            </w:tcBorders>
            <w:vAlign w:val="center"/>
          </w:tcPr>
          <w:p>
            <w:pPr>
              <w:widowControl/>
              <w:jc w:val="left"/>
            </w:pPr>
            <w:r>
              <w:rPr>
                <w:rFonts w:hint="eastAsia" w:ascii="宋体" w:hAnsi="宋体"/>
              </w:rPr>
              <w:t>此项为投标人赠送服务</w:t>
            </w:r>
          </w:p>
        </w:tc>
        <w:tc>
          <w:tcPr>
            <w:tcW w:w="826" w:type="dxa"/>
            <w:tcBorders>
              <w:top w:val="single" w:color="auto" w:sz="4" w:space="0"/>
              <w:left w:val="nil"/>
              <w:bottom w:val="single" w:color="auto" w:sz="4" w:space="0"/>
              <w:right w:val="single" w:color="auto" w:sz="4" w:space="0"/>
            </w:tcBorders>
            <w:vAlign w:val="center"/>
          </w:tcPr>
          <w:p>
            <w:pPr>
              <w:widowControl/>
              <w:jc w:val="center"/>
            </w:pPr>
            <w:r>
              <w:rPr>
                <w:rFonts w:hint="eastAsia" w:ascii="宋体" w:hAnsi="宋体"/>
              </w:rPr>
              <w:t>不可偏离</w:t>
            </w:r>
          </w:p>
        </w:tc>
      </w:tr>
    </w:tbl>
    <w:p>
      <w:pPr>
        <w:pStyle w:val="27"/>
        <w:numPr>
          <w:ilvl w:val="0"/>
          <w:numId w:val="2"/>
        </w:numPr>
        <w:ind w:firstLineChars="0"/>
        <w:rPr>
          <w:vanish/>
        </w:rPr>
      </w:pPr>
    </w:p>
    <w:p>
      <w:pPr>
        <w:pStyle w:val="27"/>
        <w:numPr>
          <w:ilvl w:val="0"/>
          <w:numId w:val="2"/>
        </w:numPr>
        <w:ind w:firstLineChars="0"/>
        <w:rPr>
          <w:vanish/>
        </w:rPr>
      </w:pPr>
    </w:p>
    <w:p>
      <w:pPr>
        <w:pStyle w:val="27"/>
        <w:numPr>
          <w:ilvl w:val="0"/>
          <w:numId w:val="2"/>
        </w:numPr>
        <w:ind w:firstLineChars="0"/>
        <w:rPr>
          <w:vanish/>
        </w:rPr>
      </w:pPr>
    </w:p>
    <w:p>
      <w:pPr>
        <w:pStyle w:val="27"/>
        <w:numPr>
          <w:ilvl w:val="0"/>
          <w:numId w:val="2"/>
        </w:numPr>
        <w:ind w:firstLineChars="0"/>
        <w:rPr>
          <w:vanish/>
        </w:rPr>
      </w:pPr>
    </w:p>
    <w:p>
      <w:pPr>
        <w:spacing w:line="0" w:lineRule="atLeast"/>
        <w:jc w:val="left"/>
        <w:rPr>
          <w:rFonts w:ascii="宋体" w:hAnsi="宋体"/>
          <w:b/>
          <w:bCs/>
        </w:rPr>
      </w:pPr>
    </w:p>
    <w:p>
      <w:pPr>
        <w:spacing w:line="0" w:lineRule="atLeast"/>
        <w:jc w:val="left"/>
      </w:pPr>
      <w:r>
        <w:rPr>
          <w:rFonts w:hint="eastAsia" w:ascii="宋体" w:hAnsi="宋体"/>
          <w:b/>
          <w:bCs/>
        </w:rPr>
        <w:t>（三）临时盆栽租摆项</w:t>
      </w:r>
    </w:p>
    <w:tbl>
      <w:tblPr>
        <w:tblStyle w:val="21"/>
        <w:tblW w:w="10251" w:type="dxa"/>
        <w:tblInd w:w="-9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2514"/>
        <w:gridCol w:w="1559"/>
        <w:gridCol w:w="19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left"/>
            </w:pPr>
            <w:r>
              <w:rPr>
                <w:rFonts w:hint="eastAsia" w:ascii="宋体" w:hAnsi="宋体"/>
              </w:rPr>
              <w:t>需求名称</w:t>
            </w:r>
          </w:p>
        </w:tc>
        <w:tc>
          <w:tcPr>
            <w:tcW w:w="3468" w:type="dxa"/>
            <w:gridSpan w:val="2"/>
            <w:tcBorders>
              <w:top w:val="single" w:color="auto" w:sz="4" w:space="0"/>
              <w:left w:val="nil"/>
              <w:bottom w:val="single" w:color="auto" w:sz="4" w:space="0"/>
              <w:right w:val="single" w:color="auto" w:sz="4" w:space="0"/>
            </w:tcBorders>
            <w:vAlign w:val="center"/>
          </w:tcPr>
          <w:p>
            <w:pPr>
              <w:spacing w:line="0" w:lineRule="atLeast"/>
              <w:jc w:val="left"/>
            </w:pPr>
            <w:r>
              <w:rPr>
                <w:rFonts w:hint="eastAsia" w:ascii="宋体" w:hAnsi="宋体"/>
              </w:rPr>
              <w:t>需求说明</w:t>
            </w:r>
          </w:p>
        </w:tc>
        <w:tc>
          <w:tcPr>
            <w:tcW w:w="2268" w:type="dxa"/>
            <w:tcBorders>
              <w:top w:val="single" w:color="auto" w:sz="4" w:space="0"/>
              <w:left w:val="nil"/>
              <w:bottom w:val="single" w:color="auto" w:sz="4" w:space="0"/>
              <w:right w:val="single" w:color="auto" w:sz="4" w:space="0"/>
            </w:tcBorders>
          </w:tcPr>
          <w:p>
            <w:pPr>
              <w:spacing w:line="0" w:lineRule="atLeast"/>
              <w:jc w:val="left"/>
            </w:pPr>
            <w:r>
              <w:rPr>
                <w:rFonts w:hint="eastAsia" w:ascii="宋体" w:hAnsi="宋体"/>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1" w:type="dxa"/>
            <w:tcBorders>
              <w:top w:val="single" w:color="auto" w:sz="4" w:space="0"/>
              <w:left w:val="single" w:color="auto" w:sz="4" w:space="0"/>
              <w:bottom w:val="single" w:color="auto" w:sz="4" w:space="0"/>
              <w:right w:val="single" w:color="auto" w:sz="4" w:space="0"/>
            </w:tcBorders>
            <w:vAlign w:val="center"/>
          </w:tcPr>
          <w:p>
            <w:pPr>
              <w:spacing w:line="0" w:lineRule="atLeast"/>
              <w:jc w:val="left"/>
            </w:pPr>
            <w:r>
              <w:rPr>
                <w:rFonts w:hint="eastAsia" w:ascii="宋体" w:hAnsi="宋体"/>
              </w:rPr>
              <w:t>序号</w:t>
            </w:r>
          </w:p>
        </w:tc>
        <w:tc>
          <w:tcPr>
            <w:tcW w:w="2514" w:type="dxa"/>
            <w:tcBorders>
              <w:top w:val="single" w:color="auto" w:sz="4" w:space="0"/>
              <w:left w:val="nil"/>
              <w:bottom w:val="single" w:color="auto" w:sz="4" w:space="0"/>
              <w:right w:val="single" w:color="auto" w:sz="4" w:space="0"/>
            </w:tcBorders>
            <w:vAlign w:val="center"/>
          </w:tcPr>
          <w:p>
            <w:pPr>
              <w:spacing w:line="0" w:lineRule="atLeast"/>
              <w:jc w:val="left"/>
            </w:pPr>
            <w:r>
              <w:rPr>
                <w:rFonts w:hint="eastAsia" w:ascii="宋体" w:hAnsi="宋体"/>
              </w:rPr>
              <w:t>项目名称</w:t>
            </w:r>
          </w:p>
        </w:tc>
        <w:tc>
          <w:tcPr>
            <w:tcW w:w="1559" w:type="dxa"/>
            <w:tcBorders>
              <w:top w:val="single" w:color="auto" w:sz="4" w:space="0"/>
              <w:left w:val="nil"/>
              <w:bottom w:val="single" w:color="auto" w:sz="4" w:space="0"/>
              <w:right w:val="single" w:color="auto" w:sz="4" w:space="0"/>
            </w:tcBorders>
            <w:vAlign w:val="center"/>
          </w:tcPr>
          <w:p>
            <w:pPr>
              <w:adjustRightInd w:val="0"/>
              <w:snapToGrid w:val="0"/>
            </w:pPr>
            <w:r>
              <w:rPr>
                <w:rFonts w:hint="eastAsia" w:ascii="宋体" w:hAnsi="宋体"/>
              </w:rPr>
              <w:t>参考数量</w:t>
            </w:r>
          </w:p>
        </w:tc>
        <w:tc>
          <w:tcPr>
            <w:tcW w:w="1909" w:type="dxa"/>
            <w:tcBorders>
              <w:top w:val="single" w:color="auto" w:sz="4" w:space="0"/>
              <w:left w:val="nil"/>
              <w:bottom w:val="single" w:color="auto" w:sz="4" w:space="0"/>
              <w:right w:val="single" w:color="auto" w:sz="4" w:space="0"/>
            </w:tcBorders>
            <w:vAlign w:val="center"/>
          </w:tcPr>
          <w:p>
            <w:pPr>
              <w:spacing w:line="0" w:lineRule="atLeast"/>
              <w:jc w:val="left"/>
            </w:pPr>
            <w:r>
              <w:rPr>
                <w:rFonts w:hint="eastAsia" w:ascii="宋体" w:hAnsi="宋体"/>
              </w:rPr>
              <w:t>备注</w:t>
            </w:r>
          </w:p>
        </w:tc>
        <w:tc>
          <w:tcPr>
            <w:tcW w:w="2268" w:type="dxa"/>
            <w:tcBorders>
              <w:top w:val="single" w:color="auto" w:sz="4" w:space="0"/>
              <w:left w:val="nil"/>
              <w:bottom w:val="single" w:color="auto" w:sz="4" w:space="0"/>
              <w:right w:val="single" w:color="auto" w:sz="4" w:space="0"/>
            </w:tcBorders>
          </w:tcPr>
          <w:p>
            <w:pPr>
              <w:spacing w:line="0"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1" w:type="dxa"/>
            <w:tcBorders>
              <w:top w:val="single" w:color="auto" w:sz="4" w:space="0"/>
              <w:left w:val="single" w:color="auto" w:sz="4" w:space="0"/>
              <w:bottom w:val="single" w:color="auto" w:sz="4" w:space="0"/>
              <w:right w:val="single" w:color="auto" w:sz="4" w:space="0"/>
            </w:tcBorders>
          </w:tcPr>
          <w:p>
            <w:pPr>
              <w:spacing w:line="0" w:lineRule="atLeast"/>
              <w:jc w:val="left"/>
            </w:pPr>
            <w:r>
              <w:rPr>
                <w:rFonts w:hint="eastAsia" w:ascii="宋体" w:hAnsi="宋体"/>
              </w:rPr>
              <w:t>1</w:t>
            </w:r>
          </w:p>
        </w:tc>
        <w:tc>
          <w:tcPr>
            <w:tcW w:w="2514" w:type="dxa"/>
            <w:tcBorders>
              <w:top w:val="single" w:color="auto" w:sz="4" w:space="0"/>
              <w:left w:val="nil"/>
              <w:bottom w:val="single" w:color="auto" w:sz="4" w:space="0"/>
              <w:right w:val="single" w:color="auto" w:sz="4" w:space="0"/>
            </w:tcBorders>
          </w:tcPr>
          <w:p>
            <w:pPr>
              <w:spacing w:line="0" w:lineRule="atLeast"/>
              <w:jc w:val="left"/>
            </w:pPr>
            <w:r>
              <w:rPr>
                <w:rFonts w:hint="eastAsia" w:ascii="宋体" w:hAnsi="宋体"/>
              </w:rPr>
              <w:t>临时盆栽租摆</w:t>
            </w:r>
          </w:p>
        </w:tc>
        <w:tc>
          <w:tcPr>
            <w:tcW w:w="1559" w:type="dxa"/>
            <w:tcBorders>
              <w:top w:val="single" w:color="auto" w:sz="4" w:space="0"/>
              <w:left w:val="nil"/>
              <w:bottom w:val="single" w:color="auto" w:sz="4" w:space="0"/>
              <w:right w:val="single" w:color="auto" w:sz="4" w:space="0"/>
            </w:tcBorders>
          </w:tcPr>
          <w:p>
            <w:pPr>
              <w:adjustRightInd w:val="0"/>
              <w:snapToGrid w:val="0"/>
            </w:pPr>
            <w:r>
              <w:rPr>
                <w:rFonts w:hint="eastAsia" w:ascii="宋体" w:hAnsi="宋体"/>
              </w:rPr>
              <w:t>参考数量：</w:t>
            </w:r>
          </w:p>
          <w:p>
            <w:r>
              <w:rPr>
                <w:rFonts w:hint="eastAsia" w:ascii="宋体" w:hAnsi="宋体"/>
              </w:rPr>
              <w:t>大：</w:t>
            </w:r>
            <w:r>
              <w:rPr>
                <w:rFonts w:hint="eastAsia"/>
              </w:rPr>
              <w:t>271</w:t>
            </w:r>
            <w:r>
              <w:rPr>
                <w:rFonts w:hint="eastAsia" w:ascii="宋体" w:hAnsi="宋体"/>
              </w:rPr>
              <w:t>盆</w:t>
            </w:r>
          </w:p>
          <w:p>
            <w:pPr>
              <w:spacing w:line="0" w:lineRule="atLeast"/>
              <w:jc w:val="left"/>
            </w:pPr>
            <w:r>
              <w:rPr>
                <w:rFonts w:hint="eastAsia" w:ascii="宋体" w:hAnsi="宋体"/>
              </w:rPr>
              <w:t>小：</w:t>
            </w:r>
            <w:r>
              <w:rPr>
                <w:rFonts w:hint="eastAsia"/>
              </w:rPr>
              <w:t>87</w:t>
            </w:r>
            <w:r>
              <w:rPr>
                <w:rFonts w:hint="eastAsia" w:ascii="宋体" w:hAnsi="宋体"/>
              </w:rPr>
              <w:t>盆</w:t>
            </w:r>
          </w:p>
        </w:tc>
        <w:tc>
          <w:tcPr>
            <w:tcW w:w="1909" w:type="dxa"/>
            <w:tcBorders>
              <w:top w:val="single" w:color="auto" w:sz="4" w:space="0"/>
              <w:left w:val="nil"/>
              <w:bottom w:val="single" w:color="auto" w:sz="4" w:space="0"/>
              <w:right w:val="single" w:color="auto" w:sz="4" w:space="0"/>
            </w:tcBorders>
            <w:vAlign w:val="center"/>
          </w:tcPr>
          <w:p>
            <w:pPr>
              <w:spacing w:line="0" w:lineRule="atLeast"/>
              <w:jc w:val="left"/>
            </w:pPr>
            <w:r>
              <w:rPr>
                <w:rFonts w:hint="eastAsia" w:ascii="宋体" w:hAnsi="宋体"/>
              </w:rPr>
              <w:t>对外价格由会展中心制定，根据各项目需求下单，收入与中标单位</w:t>
            </w:r>
            <w:r>
              <w:rPr>
                <w:rFonts w:hint="eastAsia"/>
              </w:rPr>
              <w:t>7</w:t>
            </w:r>
            <w:r>
              <w:rPr>
                <w:rFonts w:hint="eastAsia" w:ascii="宋体" w:hAnsi="宋体"/>
              </w:rPr>
              <w:t>：</w:t>
            </w:r>
            <w:r>
              <w:rPr>
                <w:rFonts w:hint="eastAsia"/>
              </w:rPr>
              <w:t>3</w:t>
            </w:r>
            <w:r>
              <w:rPr>
                <w:rFonts w:hint="eastAsia" w:ascii="宋体" w:hAnsi="宋体"/>
              </w:rPr>
              <w:t>分</w:t>
            </w:r>
          </w:p>
        </w:tc>
        <w:tc>
          <w:tcPr>
            <w:tcW w:w="2268" w:type="dxa"/>
            <w:tcBorders>
              <w:top w:val="single" w:color="auto" w:sz="4" w:space="0"/>
              <w:left w:val="nil"/>
              <w:bottom w:val="single" w:color="auto" w:sz="4" w:space="0"/>
              <w:right w:val="single" w:color="auto" w:sz="4" w:space="0"/>
            </w:tcBorders>
            <w:vAlign w:val="center"/>
          </w:tcPr>
          <w:p>
            <w:pPr>
              <w:spacing w:line="0" w:lineRule="atLeast"/>
              <w:jc w:val="center"/>
            </w:pPr>
            <w:r>
              <w:rPr>
                <w:rFonts w:hint="eastAsia" w:ascii="宋体" w:hAnsi="宋体"/>
              </w:rPr>
              <w:t>说明项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1" w:type="dxa"/>
            <w:tcBorders>
              <w:top w:val="single" w:color="auto" w:sz="4" w:space="0"/>
              <w:left w:val="single" w:color="auto" w:sz="4" w:space="0"/>
              <w:bottom w:val="single" w:color="auto" w:sz="4" w:space="0"/>
              <w:right w:val="single" w:color="auto" w:sz="4" w:space="0"/>
            </w:tcBorders>
          </w:tcPr>
          <w:p>
            <w:pPr>
              <w:spacing w:line="0" w:lineRule="atLeast"/>
              <w:jc w:val="left"/>
            </w:pPr>
            <w:r>
              <w:rPr>
                <w:rFonts w:hint="eastAsia" w:ascii="宋体" w:hAnsi="宋体"/>
              </w:rPr>
              <w:t>2</w:t>
            </w:r>
          </w:p>
        </w:tc>
        <w:tc>
          <w:tcPr>
            <w:tcW w:w="2514" w:type="dxa"/>
            <w:tcBorders>
              <w:top w:val="single" w:color="auto" w:sz="4" w:space="0"/>
              <w:left w:val="nil"/>
              <w:bottom w:val="single" w:color="auto" w:sz="4" w:space="0"/>
              <w:right w:val="single" w:color="auto" w:sz="4" w:space="0"/>
            </w:tcBorders>
          </w:tcPr>
          <w:p>
            <w:pPr>
              <w:spacing w:line="0" w:lineRule="atLeast"/>
              <w:jc w:val="left"/>
            </w:pPr>
            <w:r>
              <w:rPr>
                <w:rFonts w:hint="eastAsia" w:ascii="宋体" w:hAnsi="宋体"/>
              </w:rPr>
              <w:t>高交会及其他临时自用造型摆花</w:t>
            </w:r>
          </w:p>
        </w:tc>
        <w:tc>
          <w:tcPr>
            <w:tcW w:w="1559" w:type="dxa"/>
            <w:tcBorders>
              <w:top w:val="single" w:color="auto" w:sz="4" w:space="0"/>
              <w:left w:val="nil"/>
              <w:bottom w:val="single" w:color="auto" w:sz="4" w:space="0"/>
              <w:right w:val="single" w:color="auto" w:sz="4" w:space="0"/>
            </w:tcBorders>
          </w:tcPr>
          <w:p>
            <w:pPr>
              <w:adjustRightInd w:val="0"/>
              <w:snapToGrid w:val="0"/>
            </w:pPr>
            <w:r>
              <w:rPr>
                <w:rFonts w:hint="eastAsia" w:ascii="宋体" w:hAnsi="宋体"/>
              </w:rPr>
              <w:t>参考数量：</w:t>
            </w:r>
          </w:p>
          <w:p>
            <w:pPr>
              <w:adjustRightInd w:val="0"/>
              <w:snapToGrid w:val="0"/>
            </w:pPr>
            <w:r>
              <w:rPr>
                <w:rFonts w:hint="eastAsia" w:ascii="宋体" w:hAnsi="宋体"/>
              </w:rPr>
              <w:t>高档：34盆</w:t>
            </w:r>
          </w:p>
          <w:p>
            <w:pPr>
              <w:adjustRightInd w:val="0"/>
              <w:snapToGrid w:val="0"/>
            </w:pPr>
            <w:r>
              <w:rPr>
                <w:rFonts w:hint="eastAsia" w:ascii="宋体" w:hAnsi="宋体"/>
              </w:rPr>
              <w:t>大盆：105盆</w:t>
            </w:r>
          </w:p>
          <w:p>
            <w:pPr>
              <w:adjustRightInd w:val="0"/>
              <w:snapToGrid w:val="0"/>
            </w:pPr>
            <w:r>
              <w:rPr>
                <w:rFonts w:hint="eastAsia" w:ascii="宋体" w:hAnsi="宋体"/>
              </w:rPr>
              <w:t>小盆：238盆</w:t>
            </w:r>
          </w:p>
          <w:p>
            <w:pPr>
              <w:spacing w:line="0" w:lineRule="atLeast"/>
              <w:jc w:val="left"/>
            </w:pPr>
            <w:r>
              <w:rPr>
                <w:rFonts w:hint="eastAsia" w:ascii="宋体" w:hAnsi="宋体"/>
              </w:rPr>
              <w:t>含人工费、运输费、税费等</w:t>
            </w:r>
          </w:p>
        </w:tc>
        <w:tc>
          <w:tcPr>
            <w:tcW w:w="1909" w:type="dxa"/>
            <w:tcBorders>
              <w:top w:val="single" w:color="auto" w:sz="4" w:space="0"/>
              <w:left w:val="nil"/>
              <w:bottom w:val="single" w:color="auto" w:sz="4" w:space="0"/>
              <w:right w:val="single" w:color="auto" w:sz="4" w:space="0"/>
            </w:tcBorders>
            <w:vAlign w:val="center"/>
          </w:tcPr>
          <w:p>
            <w:pPr>
              <w:spacing w:line="0" w:lineRule="atLeast"/>
              <w:jc w:val="left"/>
            </w:pPr>
            <w:r>
              <w:rPr>
                <w:rFonts w:hint="eastAsia" w:ascii="宋体" w:hAnsi="宋体"/>
              </w:rPr>
              <w:t>根据各个项目具体要求单独提供方案及报价，单价以日常摆花价格为基础价。</w:t>
            </w:r>
          </w:p>
        </w:tc>
        <w:tc>
          <w:tcPr>
            <w:tcW w:w="2268" w:type="dxa"/>
            <w:tcBorders>
              <w:top w:val="single" w:color="auto" w:sz="4" w:space="0"/>
              <w:left w:val="nil"/>
              <w:bottom w:val="single" w:color="auto" w:sz="4" w:space="0"/>
              <w:right w:val="single" w:color="auto" w:sz="4" w:space="0"/>
            </w:tcBorders>
            <w:vAlign w:val="center"/>
          </w:tcPr>
          <w:p>
            <w:pPr>
              <w:spacing w:line="0" w:lineRule="atLeast"/>
              <w:jc w:val="center"/>
            </w:pPr>
            <w:r>
              <w:rPr>
                <w:rFonts w:hint="eastAsia" w:ascii="宋体" w:hAnsi="宋体"/>
              </w:rPr>
              <w:t>说明项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1" w:type="dxa"/>
            <w:tcBorders>
              <w:top w:val="single" w:color="auto" w:sz="4" w:space="0"/>
              <w:left w:val="single" w:color="auto" w:sz="4" w:space="0"/>
              <w:bottom w:val="single" w:color="auto" w:sz="4" w:space="0"/>
              <w:right w:val="single" w:color="auto" w:sz="4" w:space="0"/>
            </w:tcBorders>
          </w:tcPr>
          <w:p>
            <w:pPr>
              <w:spacing w:line="0" w:lineRule="atLeast"/>
              <w:jc w:val="left"/>
            </w:pPr>
          </w:p>
        </w:tc>
        <w:tc>
          <w:tcPr>
            <w:tcW w:w="2514" w:type="dxa"/>
            <w:tcBorders>
              <w:top w:val="single" w:color="auto" w:sz="4" w:space="0"/>
              <w:left w:val="nil"/>
              <w:bottom w:val="single" w:color="auto" w:sz="4" w:space="0"/>
              <w:right w:val="single" w:color="auto" w:sz="4" w:space="0"/>
            </w:tcBorders>
          </w:tcPr>
          <w:p>
            <w:pPr>
              <w:spacing w:line="0" w:lineRule="atLeast"/>
              <w:jc w:val="left"/>
            </w:pPr>
          </w:p>
        </w:tc>
        <w:tc>
          <w:tcPr>
            <w:tcW w:w="1559" w:type="dxa"/>
            <w:tcBorders>
              <w:top w:val="single" w:color="auto" w:sz="4" w:space="0"/>
              <w:left w:val="nil"/>
              <w:bottom w:val="single" w:color="auto" w:sz="4" w:space="0"/>
              <w:right w:val="single" w:color="auto" w:sz="4" w:space="0"/>
            </w:tcBorders>
          </w:tcPr>
          <w:p>
            <w:pPr>
              <w:spacing w:line="0" w:lineRule="atLeast"/>
              <w:jc w:val="left"/>
            </w:pPr>
          </w:p>
        </w:tc>
        <w:tc>
          <w:tcPr>
            <w:tcW w:w="1909" w:type="dxa"/>
            <w:tcBorders>
              <w:top w:val="single" w:color="auto" w:sz="4" w:space="0"/>
              <w:left w:val="nil"/>
              <w:bottom w:val="single" w:color="auto" w:sz="4" w:space="0"/>
              <w:right w:val="single" w:color="auto" w:sz="4" w:space="0"/>
            </w:tcBorders>
          </w:tcPr>
          <w:p>
            <w:pPr>
              <w:spacing w:line="0" w:lineRule="atLeast"/>
              <w:jc w:val="left"/>
            </w:pPr>
          </w:p>
        </w:tc>
        <w:tc>
          <w:tcPr>
            <w:tcW w:w="2268" w:type="dxa"/>
            <w:tcBorders>
              <w:top w:val="single" w:color="auto" w:sz="4" w:space="0"/>
              <w:left w:val="nil"/>
              <w:bottom w:val="single" w:color="auto" w:sz="4" w:space="0"/>
              <w:right w:val="single" w:color="auto" w:sz="4" w:space="0"/>
            </w:tcBorders>
          </w:tcPr>
          <w:p>
            <w:pPr>
              <w:spacing w:line="0" w:lineRule="atLeast"/>
              <w:jc w:val="left"/>
            </w:pPr>
          </w:p>
        </w:tc>
      </w:tr>
    </w:tbl>
    <w:p>
      <w:pPr>
        <w:pStyle w:val="27"/>
        <w:spacing w:line="0" w:lineRule="atLeast"/>
        <w:ind w:left="420" w:firstLine="0" w:firstLineChars="0"/>
        <w:jc w:val="left"/>
      </w:pPr>
    </w:p>
    <w:p>
      <w:pPr>
        <w:pStyle w:val="27"/>
        <w:spacing w:line="0" w:lineRule="atLeast"/>
        <w:ind w:left="420" w:firstLine="0" w:firstLineChars="0"/>
        <w:jc w:val="left"/>
      </w:pPr>
      <w:r>
        <w:rPr>
          <w:rFonts w:hint="eastAsia" w:ascii="宋体" w:hAnsi="宋体"/>
          <w:b/>
          <w:bCs/>
        </w:rPr>
        <w:t>（四）盆栽植物分类建议清单（包括但不仅限于以下品种）</w:t>
      </w:r>
    </w:p>
    <w:tbl>
      <w:tblPr>
        <w:tblStyle w:val="21"/>
        <w:tblW w:w="10490" w:type="dxa"/>
        <w:tblInd w:w="-10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0"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ascii="宋体" w:hAnsi="宋体"/>
              </w:rPr>
              <w:t>分 类</w:t>
            </w:r>
          </w:p>
        </w:tc>
        <w:tc>
          <w:tcPr>
            <w:tcW w:w="9210" w:type="dxa"/>
            <w:tcBorders>
              <w:top w:val="single" w:color="auto" w:sz="4" w:space="0"/>
              <w:left w:val="nil"/>
              <w:bottom w:val="single" w:color="auto" w:sz="4" w:space="0"/>
              <w:right w:val="single" w:color="auto" w:sz="4" w:space="0"/>
            </w:tcBorders>
          </w:tcPr>
          <w:p>
            <w:pPr>
              <w:spacing w:line="0" w:lineRule="atLeast"/>
            </w:pPr>
            <w:r>
              <w:rPr>
                <w:rFonts w:hint="eastAsia" w:ascii="宋体" w:hAnsi="宋体"/>
              </w:rPr>
              <w:t>盆栽名称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ascii="宋体" w:hAnsi="宋体"/>
              </w:rPr>
              <w:t>小盆</w:t>
            </w:r>
          </w:p>
        </w:tc>
        <w:tc>
          <w:tcPr>
            <w:tcW w:w="9210" w:type="dxa"/>
            <w:tcBorders>
              <w:top w:val="single" w:color="auto" w:sz="4" w:space="0"/>
              <w:left w:val="nil"/>
              <w:bottom w:val="single" w:color="auto" w:sz="4" w:space="0"/>
              <w:right w:val="single" w:color="auto" w:sz="4" w:space="0"/>
            </w:tcBorders>
          </w:tcPr>
          <w:p>
            <w:pPr>
              <w:spacing w:line="0" w:lineRule="atLeast"/>
            </w:pPr>
            <w:r>
              <w:rPr>
                <w:rFonts w:hint="eastAsia" w:ascii="宋体" w:hAnsi="宋体"/>
              </w:rPr>
              <w:t>仙人球、芦荟、吊兰、豆瓣绿、文竹、白掌、万年青、鸡冠花、穗冠、百日红、黄金菊、金盏菊、夏槿、凤仙、矮牵牛、小绿萝、千手观音、海棠、银皇后、雅丽皇后、绿蒂王、黑美人、虎尾兰等植物高度不得低于</w:t>
            </w:r>
            <w:r>
              <w:rPr>
                <w:rFonts w:hint="eastAsia"/>
              </w:rPr>
              <w:t>30</w:t>
            </w:r>
            <w:r>
              <w:rPr>
                <w:rFonts w:hint="eastAsia" w:ascii="宋体" w:hAnsi="宋体"/>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ascii="宋体" w:hAnsi="宋体"/>
              </w:rPr>
              <w:t>大盆</w:t>
            </w:r>
          </w:p>
        </w:tc>
        <w:tc>
          <w:tcPr>
            <w:tcW w:w="9210" w:type="dxa"/>
            <w:tcBorders>
              <w:top w:val="single" w:color="auto" w:sz="4" w:space="0"/>
              <w:left w:val="nil"/>
              <w:bottom w:val="single" w:color="auto" w:sz="4" w:space="0"/>
              <w:right w:val="single" w:color="auto" w:sz="4" w:space="0"/>
            </w:tcBorders>
          </w:tcPr>
          <w:p>
            <w:pPr>
              <w:spacing w:line="0" w:lineRule="atLeast"/>
            </w:pPr>
            <w:r>
              <w:rPr>
                <w:rFonts w:hint="eastAsia" w:ascii="宋体" w:hAnsi="宋体"/>
              </w:rPr>
              <w:t>也门铁、红掌、开运竹、金钱树、君子兰、绿公主、散尾葵、绿萝柱、夏威夷竹、巴西木、五辫发财树、大叶伞、富贵花篮、绿宝、福禄桐、滴水观音等植物高度不得低于</w:t>
            </w:r>
            <w:r>
              <w:rPr>
                <w:rFonts w:hint="eastAsia"/>
              </w:rPr>
              <w:t>60</w:t>
            </w:r>
            <w:r>
              <w:rPr>
                <w:rFonts w:hint="eastAsia" w:ascii="宋体" w:hAnsi="宋体"/>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ascii="宋体" w:hAnsi="宋体"/>
              </w:rPr>
              <w:t>高档盆</w:t>
            </w:r>
          </w:p>
        </w:tc>
        <w:tc>
          <w:tcPr>
            <w:tcW w:w="9210" w:type="dxa"/>
            <w:tcBorders>
              <w:top w:val="single" w:color="auto" w:sz="4" w:space="0"/>
              <w:left w:val="nil"/>
              <w:bottom w:val="single" w:color="auto" w:sz="4" w:space="0"/>
              <w:right w:val="single" w:color="auto" w:sz="4" w:space="0"/>
            </w:tcBorders>
          </w:tcPr>
          <w:p>
            <w:pPr>
              <w:spacing w:line="0" w:lineRule="atLeast"/>
            </w:pPr>
            <w:r>
              <w:rPr>
                <w:rFonts w:hint="eastAsia" w:ascii="宋体" w:hAnsi="宋体"/>
              </w:rPr>
              <w:t>大榕树、桔树、绿公主（</w:t>
            </w:r>
            <w:r>
              <w:rPr>
                <w:rFonts w:hint="eastAsia"/>
              </w:rPr>
              <w:t>&gt;1.8</w:t>
            </w:r>
            <w:r>
              <w:rPr>
                <w:rFonts w:hint="eastAsia" w:ascii="宋体" w:hAnsi="宋体"/>
              </w:rPr>
              <w:t>米）、散尾葵（</w:t>
            </w:r>
            <w:r>
              <w:rPr>
                <w:rFonts w:hint="eastAsia"/>
              </w:rPr>
              <w:t>&gt;1.8</w:t>
            </w:r>
            <w:r>
              <w:rPr>
                <w:rFonts w:hint="eastAsia" w:ascii="宋体" w:hAnsi="宋体"/>
              </w:rPr>
              <w:t>米）、富贵花篮（</w:t>
            </w:r>
            <w:r>
              <w:rPr>
                <w:rFonts w:hint="eastAsia"/>
              </w:rPr>
              <w:t>&gt;1.8</w:t>
            </w:r>
            <w:r>
              <w:rPr>
                <w:rFonts w:hint="eastAsia" w:ascii="宋体" w:hAnsi="宋体"/>
              </w:rPr>
              <w:t>米）、造型杜鹃、金钱树（</w:t>
            </w:r>
            <w:r>
              <w:rPr>
                <w:rFonts w:hint="eastAsia"/>
              </w:rPr>
              <w:t>&gt;1.2</w:t>
            </w:r>
            <w:r>
              <w:rPr>
                <w:rFonts w:hint="eastAsia" w:ascii="宋体" w:hAnsi="宋体"/>
              </w:rPr>
              <w:t>米）、君子兰、绿萝柱（</w:t>
            </w:r>
            <w:r>
              <w:rPr>
                <w:rFonts w:hint="eastAsia"/>
              </w:rPr>
              <w:t>&gt;1.8</w:t>
            </w:r>
            <w:r>
              <w:rPr>
                <w:rFonts w:hint="eastAsia" w:ascii="宋体" w:hAnsi="宋体"/>
              </w:rPr>
              <w:t>米）、夏威夷竹（</w:t>
            </w:r>
            <w:r>
              <w:rPr>
                <w:rFonts w:hint="eastAsia"/>
              </w:rPr>
              <w:t>&gt;1.8</w:t>
            </w:r>
            <w:r>
              <w:rPr>
                <w:rFonts w:hint="eastAsia" w:ascii="宋体" w:hAnsi="宋体"/>
              </w:rPr>
              <w:t>米）、单头发财树、三头发财树、大叶伞（</w:t>
            </w:r>
            <w:r>
              <w:rPr>
                <w:rFonts w:hint="eastAsia"/>
              </w:rPr>
              <w:t>&gt;1.8</w:t>
            </w:r>
            <w:r>
              <w:rPr>
                <w:rFonts w:hint="eastAsia" w:ascii="宋体" w:hAnsi="宋体"/>
              </w:rPr>
              <w:t>米）、滴水观音（</w:t>
            </w:r>
            <w:r>
              <w:rPr>
                <w:rFonts w:hint="eastAsia"/>
              </w:rPr>
              <w:t>&gt;1.6</w:t>
            </w:r>
            <w:r>
              <w:rPr>
                <w:rFonts w:hint="eastAsia" w:ascii="宋体" w:hAnsi="宋体"/>
              </w:rPr>
              <w:t>米）等植物高度不得低于</w:t>
            </w:r>
            <w:r>
              <w:rPr>
                <w:rFonts w:hint="eastAsia"/>
              </w:rPr>
              <w:t>1.6</w:t>
            </w:r>
            <w:r>
              <w:rPr>
                <w:rFonts w:hint="eastAsia" w:ascii="宋体" w:hAnsi="宋体"/>
              </w:rPr>
              <w:t>厘米</w:t>
            </w:r>
          </w:p>
        </w:tc>
      </w:tr>
    </w:tbl>
    <w:p>
      <w:pPr>
        <w:pStyle w:val="2"/>
      </w:pPr>
    </w:p>
    <w:p>
      <w:pPr>
        <w:spacing w:line="400" w:lineRule="exact"/>
        <w:jc w:val="center"/>
        <w:outlineLvl w:val="0"/>
        <w:rPr>
          <w:rFonts w:ascii="宋体" w:hAnsi="宋体"/>
          <w:b/>
          <w:sz w:val="32"/>
          <w:szCs w:val="32"/>
        </w:rPr>
      </w:pPr>
      <w:r>
        <w:rPr>
          <w:rFonts w:hint="eastAsia" w:ascii="宋体" w:hAnsi="宋体"/>
          <w:b/>
          <w:sz w:val="28"/>
          <w:szCs w:val="28"/>
        </w:rPr>
        <w:br w:type="page"/>
      </w:r>
      <w:bookmarkStart w:id="43" w:name="_Toc82783889"/>
      <w:r>
        <w:rPr>
          <w:rFonts w:hint="eastAsia" w:ascii="宋体" w:hAnsi="宋体"/>
          <w:b/>
          <w:sz w:val="32"/>
          <w:szCs w:val="32"/>
        </w:rPr>
        <w:t>第二部分：开标流程</w:t>
      </w:r>
      <w:bookmarkEnd w:id="43"/>
    </w:p>
    <w:p>
      <w:pPr>
        <w:numPr>
          <w:ilvl w:val="0"/>
          <w:numId w:val="2"/>
        </w:numPr>
        <w:spacing w:line="360" w:lineRule="auto"/>
        <w:outlineLvl w:val="1"/>
        <w:rPr>
          <w:rFonts w:ascii="宋体" w:hAnsi="宋体"/>
          <w:b/>
          <w:szCs w:val="21"/>
        </w:rPr>
      </w:pPr>
      <w:bookmarkStart w:id="44" w:name="_Toc82783890"/>
      <w:r>
        <w:rPr>
          <w:rFonts w:hint="eastAsia" w:ascii="宋体" w:hAnsi="宋体"/>
          <w:b/>
          <w:szCs w:val="21"/>
        </w:rPr>
        <w:t>开标流程</w:t>
      </w:r>
      <w:bookmarkEnd w:id="44"/>
    </w:p>
    <w:p>
      <w:pPr>
        <w:pStyle w:val="27"/>
        <w:numPr>
          <w:ilvl w:val="0"/>
          <w:numId w:val="20"/>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投标人按要求准时进入视频会议室；</w:t>
      </w:r>
    </w:p>
    <w:p>
      <w:pPr>
        <w:pStyle w:val="27"/>
        <w:numPr>
          <w:ilvl w:val="0"/>
          <w:numId w:val="20"/>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投标人按时发送文件密码至招标联系人邮箱；</w:t>
      </w:r>
    </w:p>
    <w:p>
      <w:pPr>
        <w:pStyle w:val="27"/>
        <w:numPr>
          <w:ilvl w:val="0"/>
          <w:numId w:val="20"/>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宣布开标开始，宣读开标注意事项、流程；</w:t>
      </w:r>
    </w:p>
    <w:p>
      <w:pPr>
        <w:pStyle w:val="27"/>
        <w:numPr>
          <w:ilvl w:val="0"/>
          <w:numId w:val="20"/>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评标小组组长主持评标；</w:t>
      </w:r>
    </w:p>
    <w:p>
      <w:pPr>
        <w:pStyle w:val="27"/>
        <w:numPr>
          <w:ilvl w:val="0"/>
          <w:numId w:val="20"/>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招标人解密投标文件。</w:t>
      </w:r>
    </w:p>
    <w:p>
      <w:pPr>
        <w:pStyle w:val="27"/>
        <w:numPr>
          <w:ilvl w:val="0"/>
          <w:numId w:val="20"/>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现场公开唱标。</w:t>
      </w:r>
    </w:p>
    <w:p>
      <w:pPr>
        <w:pStyle w:val="27"/>
        <w:numPr>
          <w:ilvl w:val="0"/>
          <w:numId w:val="20"/>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投标文件及密码发送符合要求的投标人即可离开视频会议室；</w:t>
      </w:r>
    </w:p>
    <w:p>
      <w:pPr>
        <w:pStyle w:val="27"/>
        <w:numPr>
          <w:ilvl w:val="0"/>
          <w:numId w:val="20"/>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响应文件的完整性检验和投标人基本情况的符合性审查；</w:t>
      </w:r>
    </w:p>
    <w:p>
      <w:pPr>
        <w:pStyle w:val="27"/>
        <w:numPr>
          <w:ilvl w:val="0"/>
          <w:numId w:val="20"/>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商务及技术需求响应性评定；</w:t>
      </w:r>
    </w:p>
    <w:p>
      <w:pPr>
        <w:pStyle w:val="27"/>
        <w:numPr>
          <w:ilvl w:val="0"/>
          <w:numId w:val="20"/>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评标小组成员采用有记名方式按综合评议指标评分；</w:t>
      </w:r>
    </w:p>
    <w:p>
      <w:pPr>
        <w:pStyle w:val="27"/>
        <w:numPr>
          <w:ilvl w:val="0"/>
          <w:numId w:val="20"/>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综合评分的计算和排序；</w:t>
      </w:r>
    </w:p>
    <w:p>
      <w:pPr>
        <w:pStyle w:val="27"/>
        <w:numPr>
          <w:ilvl w:val="0"/>
          <w:numId w:val="20"/>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本项目招标第一候选供应商、备选供应商的确定及报告的出具。</w:t>
      </w:r>
    </w:p>
    <w:p>
      <w:pPr>
        <w:spacing w:line="360" w:lineRule="auto"/>
        <w:jc w:val="center"/>
        <w:outlineLvl w:val="0"/>
        <w:rPr>
          <w:rFonts w:ascii="宋体" w:hAnsi="宋体"/>
          <w:b/>
          <w:sz w:val="32"/>
          <w:szCs w:val="32"/>
        </w:rPr>
      </w:pPr>
      <w:r>
        <w:rPr>
          <w:rFonts w:ascii="宋体" w:hAnsi="宋体"/>
          <w:b/>
          <w:sz w:val="28"/>
        </w:rPr>
        <w:br w:type="page"/>
      </w:r>
      <w:bookmarkStart w:id="45" w:name="_Toc82783891"/>
      <w:r>
        <w:rPr>
          <w:rFonts w:hint="eastAsia" w:ascii="宋体" w:hAnsi="宋体"/>
          <w:b/>
          <w:sz w:val="32"/>
          <w:szCs w:val="32"/>
        </w:rPr>
        <w:t>第三部分：评审办法</w:t>
      </w:r>
      <w:bookmarkEnd w:id="45"/>
    </w:p>
    <w:p>
      <w:pPr>
        <w:numPr>
          <w:ilvl w:val="0"/>
          <w:numId w:val="2"/>
        </w:numPr>
        <w:spacing w:line="360" w:lineRule="auto"/>
        <w:outlineLvl w:val="1"/>
        <w:rPr>
          <w:rFonts w:ascii="宋体" w:hAnsi="宋体"/>
          <w:szCs w:val="21"/>
        </w:rPr>
      </w:pPr>
      <w:bookmarkStart w:id="46" w:name="_Toc82783892"/>
      <w:r>
        <w:rPr>
          <w:rFonts w:hint="eastAsia" w:ascii="宋体" w:hAnsi="宋体"/>
          <w:b/>
          <w:bCs/>
          <w:szCs w:val="21"/>
        </w:rPr>
        <w:t>评审办法</w:t>
      </w:r>
      <w:bookmarkEnd w:id="46"/>
    </w:p>
    <w:p>
      <w:pPr>
        <w:spacing w:line="360" w:lineRule="auto"/>
        <w:ind w:firstLine="420" w:firstLineChars="200"/>
        <w:rPr>
          <w:rFonts w:ascii="宋体" w:hAnsi="宋体"/>
          <w:szCs w:val="21"/>
        </w:rPr>
      </w:pPr>
      <w:r>
        <w:rPr>
          <w:rFonts w:hint="eastAsia" w:ascii="宋体" w:hAnsi="宋体"/>
          <w:szCs w:val="21"/>
        </w:rPr>
        <w:t>首先对各投标人进行符合性审查。对通过符合性审查的投标人，采用</w:t>
      </w:r>
      <w:r>
        <w:rPr>
          <w:rFonts w:hint="eastAsia" w:ascii="宋体" w:hAnsi="宋体"/>
          <w:b/>
          <w:szCs w:val="21"/>
        </w:rPr>
        <w:t>100分制综合评分法</w:t>
      </w:r>
      <w:r>
        <w:rPr>
          <w:rFonts w:hint="eastAsia" w:ascii="宋体" w:hAnsi="宋体"/>
          <w:szCs w:val="21"/>
        </w:rPr>
        <w:t>进行评分。</w:t>
      </w:r>
    </w:p>
    <w:p>
      <w:pPr>
        <w:numPr>
          <w:ilvl w:val="0"/>
          <w:numId w:val="21"/>
        </w:numPr>
        <w:spacing w:line="360" w:lineRule="auto"/>
        <w:jc w:val="left"/>
        <w:outlineLvl w:val="2"/>
        <w:rPr>
          <w:rStyle w:val="34"/>
          <w:rFonts w:ascii="宋体" w:hAnsi="宋体"/>
          <w:b/>
          <w:szCs w:val="21"/>
        </w:rPr>
      </w:pPr>
      <w:bookmarkStart w:id="47" w:name="_Toc82783893"/>
      <w:r>
        <w:rPr>
          <w:rStyle w:val="34"/>
          <w:rFonts w:hint="eastAsia" w:ascii="宋体" w:hAnsi="宋体"/>
          <w:b/>
          <w:bCs/>
          <w:szCs w:val="21"/>
        </w:rPr>
        <w:t>符合性检查</w:t>
      </w:r>
      <w:bookmarkEnd w:id="47"/>
    </w:p>
    <w:tbl>
      <w:tblPr>
        <w:tblStyle w:val="21"/>
        <w:tblW w:w="951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881"/>
        <w:gridCol w:w="763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宋体" w:hAnsi="宋体" w:cs="仿宋"/>
                <w:sz w:val="21"/>
                <w:szCs w:val="21"/>
              </w:rPr>
            </w:pPr>
            <w:r>
              <w:rPr>
                <w:rFonts w:hint="eastAsia" w:ascii="宋体" w:hAnsi="宋体" w:cs="仿宋"/>
                <w:sz w:val="21"/>
                <w:szCs w:val="21"/>
              </w:rPr>
              <w:t>评议项目</w:t>
            </w:r>
          </w:p>
        </w:tc>
        <w:tc>
          <w:tcPr>
            <w:tcW w:w="763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宋体" w:hAnsi="宋体" w:cs="仿宋"/>
                <w:sz w:val="21"/>
                <w:szCs w:val="21"/>
              </w:rPr>
            </w:pPr>
            <w:r>
              <w:rPr>
                <w:rFonts w:hint="eastAsia" w:ascii="宋体" w:hAnsi="宋体" w:cs="仿宋"/>
                <w:sz w:val="21"/>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 w:val="21"/>
                <w:szCs w:val="21"/>
              </w:rPr>
            </w:pPr>
            <w:r>
              <w:rPr>
                <w:rFonts w:hint="eastAsia" w:ascii="宋体" w:hAnsi="宋体" w:cs="仿宋"/>
                <w:sz w:val="21"/>
                <w:szCs w:val="21"/>
              </w:rPr>
              <w:t>响应文件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 w:val="21"/>
                <w:szCs w:val="21"/>
              </w:rPr>
            </w:pPr>
            <w:r>
              <w:rPr>
                <w:rFonts w:hint="eastAsia" w:ascii="宋体" w:hAnsi="宋体" w:cs="仿宋"/>
                <w:bCs/>
                <w:sz w:val="21"/>
                <w:szCs w:val="21"/>
              </w:rPr>
              <w:t>投标人提交的响应文件是否按要求编制目录、加密；投标文件的加密密码在按要求发送至招标人</w:t>
            </w:r>
            <w:r>
              <w:rPr>
                <w:rFonts w:ascii="宋体" w:hAnsi="宋体" w:cs="仿宋"/>
                <w:bCs/>
                <w:sz w:val="21"/>
                <w:szCs w:val="21"/>
              </w:rPr>
              <w:t>且</w:t>
            </w:r>
            <w:r>
              <w:rPr>
                <w:rFonts w:hint="eastAsia" w:ascii="宋体" w:hAnsi="宋体" w:cs="仿宋"/>
                <w:bCs/>
                <w:sz w:val="21"/>
                <w:szCs w:val="21"/>
              </w:rPr>
              <w:t>保证</w:t>
            </w:r>
            <w:r>
              <w:rPr>
                <w:rFonts w:ascii="宋体" w:hAnsi="宋体" w:cs="仿宋"/>
                <w:bCs/>
                <w:sz w:val="21"/>
                <w:szCs w:val="21"/>
              </w:rPr>
              <w:t>文件完整可正常打开；</w:t>
            </w:r>
            <w:r>
              <w:rPr>
                <w:rFonts w:hint="eastAsia" w:ascii="宋体" w:hAnsi="宋体" w:cs="仿宋"/>
                <w:bCs/>
                <w:sz w:val="21"/>
                <w:szCs w:val="21"/>
              </w:rPr>
              <w:t>投标人必须提供由法人代表或其书面授权人签署并加盖投标人公章的投标响应文件</w:t>
            </w:r>
            <w:r>
              <w:rPr>
                <w:rFonts w:hint="eastAsia" w:ascii="宋体" w:hAnsi="宋体" w:cs="仿宋"/>
                <w:sz w:val="21"/>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 w:val="21"/>
                <w:szCs w:val="21"/>
              </w:rPr>
            </w:pPr>
            <w:r>
              <w:rPr>
                <w:rFonts w:hint="eastAsia" w:ascii="宋体" w:hAnsi="宋体" w:cs="仿宋"/>
                <w:sz w:val="21"/>
                <w:szCs w:val="21"/>
              </w:rPr>
              <w:t>法定代表人证明书及授权委托证明书</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 w:val="21"/>
                <w:szCs w:val="21"/>
              </w:rPr>
            </w:pPr>
            <w:r>
              <w:rPr>
                <w:rFonts w:hint="eastAsia" w:ascii="宋体" w:hAnsi="宋体" w:cs="仿宋"/>
                <w:sz w:val="21"/>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 w:val="21"/>
                <w:szCs w:val="21"/>
              </w:rPr>
            </w:pPr>
            <w:r>
              <w:rPr>
                <w:rFonts w:hint="eastAsia" w:ascii="宋体" w:hAnsi="宋体" w:cs="仿宋"/>
                <w:sz w:val="21"/>
                <w:szCs w:val="21"/>
              </w:rPr>
              <w:t>资格证明文件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pStyle w:val="2"/>
            </w:pPr>
            <w:r>
              <w:rPr>
                <w:rFonts w:hint="eastAsia"/>
              </w:rPr>
              <w:t>投标人是否提供以下证明文件：</w:t>
            </w:r>
          </w:p>
          <w:p>
            <w:pPr>
              <w:numPr>
                <w:ilvl w:val="0"/>
                <w:numId w:val="22"/>
              </w:numPr>
              <w:tabs>
                <w:tab w:val="left" w:pos="531"/>
              </w:tabs>
              <w:snapToGrid w:val="0"/>
              <w:spacing w:line="360" w:lineRule="auto"/>
            </w:pPr>
            <w:r>
              <w:rPr>
                <w:rFonts w:hint="eastAsia"/>
              </w:rPr>
              <w:t>投标单位须为中华人民共和国境内注册并合法运作的独立法人，且无未改正的经营异常信息，无严重违法失信记录。。（提供营业执照复印件加盖公章）。</w:t>
            </w:r>
          </w:p>
          <w:p>
            <w:pPr>
              <w:numPr>
                <w:ilvl w:val="0"/>
                <w:numId w:val="22"/>
              </w:numPr>
              <w:tabs>
                <w:tab w:val="left" w:pos="531"/>
              </w:tabs>
              <w:snapToGrid w:val="0"/>
              <w:spacing w:line="360" w:lineRule="auto"/>
            </w:pPr>
            <w:r>
              <w:rPr>
                <w:rFonts w:hint="eastAsia"/>
              </w:rPr>
              <w:t>投标单位须提供国家企业信用信息公示系统（http://www.gsxt.gov.cn/）公示的企业信息打印件（至少包含“基础信息页”、“列入经营异常名录信息页”、“列入严重违法失信企业名单信息页”）并加盖参加单位公章。</w:t>
            </w:r>
          </w:p>
          <w:p>
            <w:pPr>
              <w:numPr>
                <w:ilvl w:val="0"/>
                <w:numId w:val="22"/>
              </w:numPr>
              <w:tabs>
                <w:tab w:val="left" w:pos="531"/>
              </w:tabs>
              <w:snapToGrid w:val="0"/>
              <w:spacing w:line="360" w:lineRule="auto"/>
            </w:pPr>
            <w:r>
              <w:rPr>
                <w:rFonts w:hint="eastAsia"/>
              </w:rPr>
              <w:t>投标单位应提供自2018年1月1日至招标公告发布日期内（以合同签订时间为准）涉及摆花、养护综合能力的业绩证明及公司简介（包括公司规模及优势、技术力量、种植基地、绿地面积）。投标单位需自行汇总业绩合同清单。投标单位须提供体现上述信息相应合同的关键页。合同关键页包含但不限于项目名称、业主方名称、合同主要内容、签订时间、履约地点、甲乙双方盖章等信息。</w:t>
            </w:r>
          </w:p>
          <w:p>
            <w:pPr>
              <w:numPr>
                <w:ilvl w:val="0"/>
                <w:numId w:val="22"/>
              </w:numPr>
              <w:tabs>
                <w:tab w:val="left" w:pos="531"/>
              </w:tabs>
              <w:snapToGrid w:val="0"/>
              <w:spacing w:line="360" w:lineRule="auto"/>
            </w:pPr>
            <w:r>
              <w:rPr>
                <w:rFonts w:hint="eastAsia" w:ascii="宋体" w:hAnsi="宋体" w:eastAsia="宋体" w:cs="宋体"/>
                <w:bCs/>
                <w:color w:val="auto"/>
                <w:sz w:val="21"/>
                <w:szCs w:val="21"/>
              </w:rPr>
              <w:t>本项目不接受联合体投标。不得转包或非法分包。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 w:val="21"/>
                <w:szCs w:val="21"/>
              </w:rPr>
            </w:pPr>
            <w:r>
              <w:rPr>
                <w:rFonts w:hint="eastAsia" w:ascii="宋体" w:hAnsi="宋体" w:cs="仿宋"/>
                <w:sz w:val="21"/>
                <w:szCs w:val="21"/>
              </w:rPr>
              <w:t>控制金额</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 w:val="21"/>
                <w:szCs w:val="21"/>
              </w:rPr>
            </w:pPr>
            <w:r>
              <w:rPr>
                <w:rFonts w:hint="eastAsia" w:ascii="宋体" w:hAnsi="宋体" w:eastAsia="宋体" w:cs="宋体"/>
                <w:bCs/>
                <w:color w:val="auto"/>
                <w:sz w:val="21"/>
                <w:szCs w:val="21"/>
              </w:rPr>
              <w:t>本次招标项目固定物业租摆、高交会及其他临时自用造型摆花单项控制金额均为：</w:t>
            </w:r>
            <w:r>
              <w:rPr>
                <w:rFonts w:hint="eastAsia" w:ascii="宋体" w:hAnsi="宋体" w:eastAsia="宋体" w:cs="宋体"/>
                <w:color w:val="auto"/>
                <w:sz w:val="21"/>
                <w:szCs w:val="21"/>
              </w:rPr>
              <w:t>高档105 元/盆/月、大盆29元/盆/月、小盆7.5元/盆/月、绿地养护1.8元/平方米/月、花箱脚粘连60元/角</w:t>
            </w:r>
            <w:r>
              <w:rPr>
                <w:rFonts w:hint="eastAsia" w:ascii="宋体" w:hAnsi="宋体" w:eastAsia="宋体" w:cs="宋体"/>
                <w:bCs/>
                <w:color w:val="auto"/>
                <w:sz w:val="21"/>
                <w:szCs w:val="21"/>
              </w:rPr>
              <w:t>，详见全年绿化服务需求数据；年度报价控制金额为人民币53万元（含税）。投标单位的投标报价不可高于相应的控制金额，否则投标文件做废标处理。全年支付费用不能超过总控制金额。</w:t>
            </w:r>
            <w:r>
              <w:rPr>
                <w:rFonts w:hint="eastAsia" w:ascii="宋体" w:hAnsi="宋体" w:cs="仿宋"/>
                <w:sz w:val="21"/>
                <w:szCs w:val="21"/>
              </w:rPr>
              <w:t>超过上述</w:t>
            </w:r>
            <w:r>
              <w:rPr>
                <w:rFonts w:hint="eastAsia" w:ascii="宋体" w:hAnsi="宋体" w:cs="仿宋"/>
                <w:sz w:val="21"/>
                <w:szCs w:val="21"/>
                <w:lang w:val="en-US" w:eastAsia="zh-CN"/>
              </w:rPr>
              <w:t>各项</w:t>
            </w:r>
            <w:r>
              <w:rPr>
                <w:rFonts w:hint="eastAsia" w:ascii="宋体" w:hAnsi="宋体" w:cs="仿宋"/>
                <w:sz w:val="21"/>
                <w:szCs w:val="21"/>
              </w:rPr>
              <w:t>控制金额</w:t>
            </w:r>
            <w:r>
              <w:rPr>
                <w:rFonts w:hint="eastAsia" w:ascii="宋体" w:hAnsi="宋体" w:cs="仿宋"/>
                <w:sz w:val="21"/>
                <w:szCs w:val="21"/>
                <w:lang w:val="en-US" w:eastAsia="zh-CN"/>
              </w:rPr>
              <w:t>及总控制金额</w:t>
            </w:r>
            <w:r>
              <w:rPr>
                <w:rFonts w:hint="eastAsia" w:ascii="宋体" w:hAnsi="宋体" w:cs="仿宋"/>
                <w:sz w:val="21"/>
                <w:szCs w:val="21"/>
              </w:rPr>
              <w:t>的</w:t>
            </w:r>
            <w:r>
              <w:rPr>
                <w:rFonts w:hint="eastAsia" w:ascii="宋体" w:hAnsi="宋体" w:cs="仿宋"/>
                <w:sz w:val="21"/>
                <w:szCs w:val="21"/>
                <w:lang w:val="en-US" w:eastAsia="zh-CN"/>
              </w:rPr>
              <w:t>报价</w:t>
            </w:r>
            <w:r>
              <w:rPr>
                <w:rFonts w:hint="eastAsia" w:ascii="宋体" w:hAnsi="宋体" w:cs="仿宋"/>
                <w:sz w:val="21"/>
                <w:szCs w:val="21"/>
              </w:rPr>
              <w:t>视为无效报价。</w:t>
            </w:r>
          </w:p>
        </w:tc>
      </w:tr>
    </w:tbl>
    <w:p>
      <w:pPr>
        <w:numPr>
          <w:ilvl w:val="0"/>
          <w:numId w:val="21"/>
        </w:numPr>
        <w:spacing w:before="936" w:beforeLines="300" w:line="360" w:lineRule="auto"/>
        <w:jc w:val="left"/>
        <w:outlineLvl w:val="2"/>
        <w:rPr>
          <w:rStyle w:val="34"/>
          <w:rFonts w:ascii="宋体" w:hAnsi="宋体"/>
          <w:b/>
          <w:bCs/>
          <w:szCs w:val="21"/>
        </w:rPr>
      </w:pPr>
      <w:bookmarkStart w:id="48" w:name="_Toc82783894"/>
      <w:r>
        <w:rPr>
          <w:rStyle w:val="34"/>
          <w:rFonts w:hint="eastAsia" w:ascii="宋体" w:hAnsi="宋体"/>
          <w:b/>
          <w:bCs/>
          <w:szCs w:val="21"/>
        </w:rPr>
        <w:t>综合评议指标表</w:t>
      </w:r>
      <w:bookmarkEnd w:id="48"/>
      <w:r>
        <w:rPr>
          <w:rStyle w:val="34"/>
          <w:rFonts w:hint="eastAsia" w:ascii="宋体" w:hAnsi="宋体"/>
          <w:b/>
          <w:bCs/>
          <w:szCs w:val="21"/>
        </w:rPr>
        <w:t>（30分）</w:t>
      </w:r>
    </w:p>
    <w:tbl>
      <w:tblPr>
        <w:tblStyle w:val="21"/>
        <w:tblW w:w="9634" w:type="dxa"/>
        <w:jc w:val="center"/>
        <w:tblCellSpacing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704"/>
        <w:gridCol w:w="1134"/>
        <w:gridCol w:w="7048"/>
        <w:gridCol w:w="709"/>
        <w:gridCol w:w="39"/>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gridAfter w:val="1"/>
          <w:wAfter w:w="39" w:type="dxa"/>
          <w:tblCellSpacing w:w="0" w:type="dxa"/>
          <w:jc w:val="center"/>
        </w:trPr>
        <w:tc>
          <w:tcPr>
            <w:tcW w:w="704" w:type="dxa"/>
            <w:shd w:val="clear" w:color="auto" w:fill="F1F1F1" w:themeFill="background1" w:themeFillShade="F2"/>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34" w:type="dxa"/>
            <w:shd w:val="clear" w:color="auto" w:fill="F1F1F1" w:themeFill="background1" w:themeFillShade="F2"/>
            <w:tcMar>
              <w:top w:w="15" w:type="dxa"/>
              <w:left w:w="15" w:type="dxa"/>
              <w:bottom w:w="15" w:type="dxa"/>
              <w:right w:w="15" w:type="dxa"/>
            </w:tcMar>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评议内容</w:t>
            </w:r>
          </w:p>
        </w:tc>
        <w:tc>
          <w:tcPr>
            <w:tcW w:w="7048" w:type="dxa"/>
            <w:tcBorders>
              <w:left w:val="dotted" w:color="auto" w:sz="4" w:space="0"/>
            </w:tcBorders>
            <w:shd w:val="clear" w:color="auto" w:fill="F1F1F1" w:themeFill="background1" w:themeFillShade="F2"/>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评议标准及权重</w:t>
            </w:r>
          </w:p>
        </w:tc>
        <w:tc>
          <w:tcPr>
            <w:tcW w:w="709" w:type="dxa"/>
            <w:shd w:val="clear" w:color="auto" w:fill="F1F1F1" w:themeFill="background1" w:themeFillShade="F2"/>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gridAfter w:val="1"/>
          <w:wAfter w:w="39" w:type="dxa"/>
          <w:tblCellSpacing w:w="0" w:type="dxa"/>
          <w:jc w:val="center"/>
        </w:trPr>
        <w:tc>
          <w:tcPr>
            <w:tcW w:w="9595" w:type="dxa"/>
            <w:gridSpan w:val="4"/>
            <w:shd w:val="clear" w:color="auto" w:fill="EEEEEE"/>
            <w:vAlign w:val="top"/>
          </w:tcPr>
          <w:p>
            <w:pPr>
              <w:shd w:val="clear" w:fill="FFFFFF" w:themeFill="background1"/>
              <w:spacing w:line="360" w:lineRule="auto"/>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商务</w:t>
            </w:r>
            <w:r>
              <w:rPr>
                <w:rFonts w:hint="eastAsia" w:ascii="宋体" w:hAnsi="宋体" w:eastAsia="宋体" w:cs="宋体"/>
                <w:b/>
                <w:color w:val="auto"/>
                <w:sz w:val="21"/>
                <w:szCs w:val="21"/>
                <w:highlight w:val="none"/>
              </w:rPr>
              <w:t>评议项（30分）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gridAfter w:val="1"/>
          <w:wAfter w:w="39" w:type="dxa"/>
          <w:trHeight w:val="374" w:hRule="atLeast"/>
          <w:tblCellSpacing w:w="0" w:type="dxa"/>
          <w:jc w:val="center"/>
        </w:trPr>
        <w:tc>
          <w:tcPr>
            <w:tcW w:w="704" w:type="dxa"/>
            <w:vAlign w:val="center"/>
          </w:tcPr>
          <w:p>
            <w:pPr>
              <w:pStyle w:val="27"/>
              <w:numPr>
                <w:ilvl w:val="0"/>
                <w:numId w:val="23"/>
              </w:numPr>
              <w:spacing w:line="360" w:lineRule="auto"/>
              <w:ind w:firstLineChars="0"/>
              <w:jc w:val="center"/>
              <w:rPr>
                <w:rFonts w:hint="eastAsia" w:ascii="宋体" w:hAnsi="宋体" w:eastAsia="宋体" w:cs="宋体"/>
                <w:color w:val="auto"/>
                <w:sz w:val="21"/>
                <w:szCs w:val="21"/>
                <w:highlight w:val="none"/>
              </w:rPr>
            </w:pPr>
          </w:p>
        </w:tc>
        <w:tc>
          <w:tcPr>
            <w:tcW w:w="1134" w:type="dxa"/>
            <w:tcMar>
              <w:top w:w="15" w:type="dxa"/>
              <w:left w:w="15" w:type="dxa"/>
              <w:bottom w:w="15" w:type="dxa"/>
              <w:right w:w="15" w:type="dxa"/>
            </w:tcMar>
            <w:vAlign w:val="center"/>
          </w:tcPr>
          <w:p>
            <w:pPr>
              <w:spacing w:line="3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公司规模</w:t>
            </w:r>
          </w:p>
        </w:tc>
        <w:tc>
          <w:tcPr>
            <w:tcW w:w="7048" w:type="dxa"/>
            <w:tcMar>
              <w:top w:w="15" w:type="dxa"/>
              <w:left w:w="15" w:type="dxa"/>
              <w:bottom w:w="15" w:type="dxa"/>
              <w:right w:w="15" w:type="dxa"/>
            </w:tcMar>
            <w:vAlign w:val="center"/>
          </w:tcPr>
          <w:p>
            <w:pPr>
              <w:snapToGrid w:val="0"/>
              <w:spacing w:line="0" w:lineRule="atLeast"/>
              <w:rPr>
                <w:rFonts w:hint="eastAsia" w:ascii="宋体" w:hAnsi="宋体" w:eastAsia="宋体" w:cs="宋体"/>
                <w:color w:val="auto"/>
                <w:sz w:val="21"/>
                <w:szCs w:val="21"/>
                <w:highlight w:val="none"/>
              </w:rPr>
            </w:pPr>
          </w:p>
          <w:p>
            <w:pPr>
              <w:pStyle w:val="27"/>
              <w:numPr>
                <w:ilvl w:val="255"/>
                <w:numId w:val="0"/>
              </w:numPr>
              <w:snapToGrid w:val="0"/>
              <w:spacing w:line="0" w:lineRule="atLeas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1、具有有效高级绿化工或花卉工证书12名以上得5分，10-11名得3分,10名以下得2分，无以上证书不得分。（提供持证人员由本单位缴纳的近3个月社保证明及相关证书复印件并加盖公章）。</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植物种植生产基地证明文件（指场地租赁合同、自有产权证明等可证明具有种植、存放植物场所的文件，承租人或产权所有人必须为投标人），在广东省内有植物种植生产基地的且大于100亩的得2分，100亩以下的得1分，在广东省内没有植物种植生产基地的不得分。</w:t>
            </w:r>
          </w:p>
        </w:tc>
        <w:tc>
          <w:tcPr>
            <w:tcW w:w="709"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gridAfter w:val="1"/>
          <w:wAfter w:w="39" w:type="dxa"/>
          <w:trHeight w:val="374" w:hRule="atLeast"/>
          <w:tblCellSpacing w:w="0" w:type="dxa"/>
          <w:jc w:val="center"/>
        </w:trPr>
        <w:tc>
          <w:tcPr>
            <w:tcW w:w="704" w:type="dxa"/>
            <w:vAlign w:val="center"/>
          </w:tcPr>
          <w:p>
            <w:pPr>
              <w:pStyle w:val="27"/>
              <w:numPr>
                <w:ilvl w:val="0"/>
                <w:numId w:val="23"/>
              </w:numPr>
              <w:spacing w:line="360" w:lineRule="auto"/>
              <w:ind w:firstLineChars="0"/>
              <w:jc w:val="center"/>
              <w:rPr>
                <w:rFonts w:hint="eastAsia" w:ascii="宋体" w:hAnsi="宋体" w:eastAsia="宋体" w:cs="宋体"/>
                <w:color w:val="auto"/>
                <w:sz w:val="21"/>
                <w:szCs w:val="21"/>
                <w:highlight w:val="none"/>
              </w:rPr>
            </w:pPr>
          </w:p>
        </w:tc>
        <w:tc>
          <w:tcPr>
            <w:tcW w:w="1134" w:type="dxa"/>
            <w:tcMar>
              <w:top w:w="15" w:type="dxa"/>
              <w:left w:w="15" w:type="dxa"/>
              <w:bottom w:w="15" w:type="dxa"/>
              <w:right w:w="15" w:type="dxa"/>
            </w:tcMar>
            <w:vAlign w:val="center"/>
          </w:tcPr>
          <w:p>
            <w:pPr>
              <w:spacing w:line="32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企业证书、获奖情况</w:t>
            </w:r>
          </w:p>
        </w:tc>
        <w:tc>
          <w:tcPr>
            <w:tcW w:w="7048" w:type="dxa"/>
            <w:tcMar>
              <w:top w:w="15" w:type="dxa"/>
              <w:left w:w="15" w:type="dxa"/>
              <w:bottom w:w="15" w:type="dxa"/>
              <w:right w:w="15" w:type="dxa"/>
            </w:tcMar>
            <w:vAlign w:val="center"/>
          </w:tcPr>
          <w:p>
            <w:pPr>
              <w:widowControl/>
              <w:numPr>
                <w:ilvl w:val="255"/>
                <w:numId w:val="0"/>
              </w:numPr>
              <w:spacing w:line="0" w:lineRule="atLeas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1、提供城市园林绿化企业资质三级及以上资质证书得2分；</w:t>
            </w:r>
          </w:p>
          <w:p>
            <w:pPr>
              <w:widowControl/>
              <w:numPr>
                <w:ilvl w:val="255"/>
                <w:numId w:val="0"/>
              </w:numPr>
              <w:spacing w:line="0" w:lineRule="atLeas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2、提供市场监督管理局颁发的重信用守合同企业证书得2分；</w:t>
            </w:r>
          </w:p>
          <w:p>
            <w:pPr>
              <w:widowControl/>
              <w:numPr>
                <w:ilvl w:val="255"/>
                <w:numId w:val="0"/>
              </w:numPr>
              <w:spacing w:line="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rPr>
              <w:t>提供花卉协会评定颁发的室内植物租摆优秀企业证书得2分</w:t>
            </w:r>
          </w:p>
          <w:p>
            <w:pPr>
              <w:tabs>
                <w:tab w:val="left" w:pos="531"/>
              </w:tabs>
              <w:snapToGrid w:val="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需要提供相关资质认证证书的复印件，加盖公章，原件备查。</w:t>
            </w:r>
          </w:p>
        </w:tc>
        <w:tc>
          <w:tcPr>
            <w:tcW w:w="709"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gridAfter w:val="1"/>
          <w:wAfter w:w="39" w:type="dxa"/>
          <w:trHeight w:val="374" w:hRule="atLeast"/>
          <w:tblCellSpacing w:w="0" w:type="dxa"/>
          <w:jc w:val="center"/>
        </w:trPr>
        <w:tc>
          <w:tcPr>
            <w:tcW w:w="704" w:type="dxa"/>
            <w:vAlign w:val="center"/>
          </w:tcPr>
          <w:p>
            <w:pPr>
              <w:pStyle w:val="27"/>
              <w:numPr>
                <w:ilvl w:val="0"/>
                <w:numId w:val="23"/>
              </w:numPr>
              <w:spacing w:line="360" w:lineRule="auto"/>
              <w:ind w:firstLineChars="0"/>
              <w:jc w:val="center"/>
              <w:rPr>
                <w:rFonts w:hint="eastAsia" w:ascii="宋体" w:hAnsi="宋体" w:eastAsia="宋体" w:cs="宋体"/>
                <w:color w:val="auto"/>
                <w:sz w:val="21"/>
                <w:szCs w:val="21"/>
                <w:highlight w:val="none"/>
              </w:rPr>
            </w:pPr>
          </w:p>
        </w:tc>
        <w:tc>
          <w:tcPr>
            <w:tcW w:w="1134" w:type="dxa"/>
            <w:tcMar>
              <w:top w:w="15" w:type="dxa"/>
              <w:left w:w="15" w:type="dxa"/>
              <w:bottom w:w="15" w:type="dxa"/>
              <w:right w:w="15" w:type="dxa"/>
            </w:tcMar>
            <w:vAlign w:val="center"/>
          </w:tcPr>
          <w:p>
            <w:pPr>
              <w:spacing w:line="32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体系认证</w:t>
            </w:r>
          </w:p>
        </w:tc>
        <w:tc>
          <w:tcPr>
            <w:tcW w:w="7048" w:type="dxa"/>
            <w:tcMar>
              <w:top w:w="15" w:type="dxa"/>
              <w:left w:w="15" w:type="dxa"/>
              <w:bottom w:w="15" w:type="dxa"/>
              <w:right w:w="15" w:type="dxa"/>
            </w:tcMar>
            <w:vAlign w:val="center"/>
          </w:tcPr>
          <w:p>
            <w:pPr>
              <w:numPr>
                <w:ilvl w:val="0"/>
                <w:numId w:val="24"/>
              </w:numPr>
              <w:snapToGrid w:val="0"/>
              <w:spacing w:line="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具有有效的质量管理体系认证，环境管理体系认证，职业健康安全管理体系认证，三证齐全得3分，每提供1证得1分，最高不得超过3分。</w:t>
            </w:r>
          </w:p>
          <w:p>
            <w:pPr>
              <w:numPr>
                <w:ilvl w:val="0"/>
                <w:numId w:val="24"/>
              </w:numPr>
              <w:snapToGrid w:val="0"/>
              <w:spacing w:line="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具有国家批注的认证机构颁发的五星级或以上 “星级售后服务认证证书”且认证范围中应与园林绿化养护的售后服务相关，得2分， 低于五星级或没有获得认证不得分。需要提供相关资质认证证书的复印件，加盖公章，原件备查。</w:t>
            </w:r>
          </w:p>
        </w:tc>
        <w:tc>
          <w:tcPr>
            <w:tcW w:w="709"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gridAfter w:val="1"/>
          <w:wAfter w:w="39" w:type="dxa"/>
          <w:trHeight w:val="374" w:hRule="atLeast"/>
          <w:tblCellSpacing w:w="0" w:type="dxa"/>
          <w:jc w:val="center"/>
        </w:trPr>
        <w:tc>
          <w:tcPr>
            <w:tcW w:w="704" w:type="dxa"/>
            <w:vAlign w:val="center"/>
          </w:tcPr>
          <w:p>
            <w:pPr>
              <w:pStyle w:val="27"/>
              <w:numPr>
                <w:ilvl w:val="0"/>
                <w:numId w:val="23"/>
              </w:numPr>
              <w:spacing w:line="360" w:lineRule="auto"/>
              <w:ind w:firstLineChars="0"/>
              <w:jc w:val="center"/>
              <w:rPr>
                <w:rFonts w:hint="eastAsia" w:ascii="宋体" w:hAnsi="宋体" w:eastAsia="宋体" w:cs="宋体"/>
                <w:color w:val="auto"/>
                <w:sz w:val="21"/>
                <w:szCs w:val="21"/>
                <w:highlight w:val="none"/>
              </w:rPr>
            </w:pPr>
          </w:p>
        </w:tc>
        <w:tc>
          <w:tcPr>
            <w:tcW w:w="1134" w:type="dxa"/>
            <w:tcMar>
              <w:top w:w="15" w:type="dxa"/>
              <w:left w:w="15" w:type="dxa"/>
              <w:bottom w:w="15" w:type="dxa"/>
              <w:right w:w="15" w:type="dxa"/>
            </w:tcMar>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业绩情况</w:t>
            </w:r>
          </w:p>
        </w:tc>
        <w:tc>
          <w:tcPr>
            <w:tcW w:w="7048" w:type="dxa"/>
            <w:tcMar>
              <w:top w:w="15" w:type="dxa"/>
              <w:left w:w="15" w:type="dxa"/>
              <w:bottom w:w="15" w:type="dxa"/>
              <w:right w:w="15" w:type="dxa"/>
            </w:tcMar>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自2018年1月1日至招标公告发布之日内（以合同签订时间为准）的绿植租摆类项目业绩，需提供3份以上年合同金额在25万（含）以上的合同，累计合同金额从高至低排序，第一名得9分，第二名得5分，第三名得2分，第四名及以下得分1。提供合同不足或合同无法判定金额的该份合同不得分。</w:t>
            </w:r>
          </w:p>
          <w:p>
            <w:pPr>
              <w:pStyle w:val="13"/>
              <w:shd w:val="clear" w:color="auto" w:fill="FFFFFF"/>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2、提供自2018年1月1日至招标公告发布之日内（以合同签订时间为准）的展馆、绿化养护、园林绿化养护或绿植租摆服务合同的，每个可加1分，最多不得超过3分。</w:t>
            </w:r>
          </w:p>
          <w:p>
            <w:pPr>
              <w:pStyle w:val="13"/>
              <w:shd w:val="clear" w:color="auto" w:fill="FFFFFF"/>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证明文件： </w:t>
            </w:r>
          </w:p>
          <w:p>
            <w:pPr>
              <w:pStyle w:val="27"/>
              <w:numPr>
                <w:ilvl w:val="0"/>
                <w:numId w:val="25"/>
              </w:numPr>
              <w:shd w:val="clear" w:color="auto" w:fill="FFFFFF"/>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投标人自行汇总并计算相关业绩总金额及数量。</w:t>
            </w:r>
          </w:p>
          <w:p>
            <w:pPr>
              <w:pStyle w:val="27"/>
              <w:numPr>
                <w:ilvl w:val="0"/>
                <w:numId w:val="25"/>
              </w:numPr>
              <w:shd w:val="clear" w:color="auto" w:fill="FFFFFF"/>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须提供上述汇总表中相应合同关键页或中标通知书扫描件或复印件加盖投标人公章，原件备查。</w:t>
            </w:r>
          </w:p>
          <w:p>
            <w:pPr>
              <w:snapToGrid w:val="0"/>
              <w:rPr>
                <w:rFonts w:hint="eastAsia" w:ascii="宋体" w:hAnsi="宋体" w:eastAsia="宋体" w:cs="宋体"/>
                <w:color w:val="auto"/>
                <w:sz w:val="21"/>
                <w:szCs w:val="21"/>
                <w:highlight w:val="none"/>
              </w:rPr>
            </w:pPr>
          </w:p>
        </w:tc>
        <w:tc>
          <w:tcPr>
            <w:tcW w:w="709"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9634" w:type="dxa"/>
            <w:gridSpan w:val="5"/>
          </w:tcPr>
          <w:p>
            <w:pPr>
              <w:widowControl/>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技术服务评议项（</w:t>
            </w:r>
            <w:r>
              <w:rPr>
                <w:rFonts w:hint="eastAsia" w:ascii="宋体" w:hAnsi="宋体" w:eastAsia="宋体" w:cs="宋体"/>
                <w:color w:val="auto"/>
                <w:sz w:val="21"/>
                <w:szCs w:val="21"/>
                <w:highlight w:val="none"/>
              </w:rPr>
              <w:t>30</w:t>
            </w:r>
            <w:r>
              <w:rPr>
                <w:rFonts w:hint="eastAsia" w:ascii="宋体" w:hAnsi="宋体" w:eastAsia="宋体" w:cs="宋体"/>
                <w:b/>
                <w:color w:val="auto"/>
                <w:sz w:val="21"/>
                <w:szCs w:val="21"/>
                <w:highlight w:val="none"/>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gridAfter w:val="1"/>
          <w:wAfter w:w="39" w:type="dxa"/>
          <w:trHeight w:val="663" w:hRule="atLeast"/>
          <w:tblCellSpacing w:w="0" w:type="dxa"/>
          <w:jc w:val="center"/>
        </w:trPr>
        <w:tc>
          <w:tcPr>
            <w:tcW w:w="704" w:type="dxa"/>
            <w:vAlign w:val="center"/>
          </w:tcPr>
          <w:p>
            <w:pPr>
              <w:pStyle w:val="27"/>
              <w:numPr>
                <w:ilvl w:val="0"/>
                <w:numId w:val="26"/>
              </w:numPr>
              <w:spacing w:line="360" w:lineRule="auto"/>
              <w:ind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134" w:type="dxa"/>
            <w:tcMar>
              <w:top w:w="15" w:type="dxa"/>
              <w:left w:w="15" w:type="dxa"/>
              <w:bottom w:w="15" w:type="dxa"/>
              <w:right w:w="15" w:type="dxa"/>
            </w:tcMar>
            <w:vAlign w:val="center"/>
          </w:tcPr>
          <w:p>
            <w:pPr>
              <w:spacing w:line="32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绿化服务规划方案及管理方案</w:t>
            </w:r>
          </w:p>
        </w:tc>
        <w:tc>
          <w:tcPr>
            <w:tcW w:w="7048" w:type="dxa"/>
            <w:tcMar>
              <w:top w:w="15" w:type="dxa"/>
              <w:left w:w="15" w:type="dxa"/>
              <w:bottom w:w="15" w:type="dxa"/>
              <w:right w:w="15" w:type="dxa"/>
            </w:tcMar>
            <w:vAlign w:val="center"/>
          </w:tcPr>
          <w:p>
            <w:pPr>
              <w:spacing w:line="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根据投标人绿化服务规划方案的绿植配置规划、养护计划和标准、与招标人符合度，以及</w:t>
            </w:r>
            <w:r>
              <w:rPr>
                <w:rFonts w:hint="eastAsia" w:ascii="宋体" w:hAnsi="宋体" w:eastAsia="宋体" w:cs="宋体"/>
                <w:bCs/>
                <w:color w:val="auto"/>
                <w:sz w:val="21"/>
                <w:szCs w:val="21"/>
                <w:highlight w:val="none"/>
              </w:rPr>
              <w:t>投标人的管理方案的管理措施、管理指标、培训方案、考勤办法、工作流程</w:t>
            </w:r>
            <w:r>
              <w:rPr>
                <w:rFonts w:hint="eastAsia" w:ascii="宋体" w:hAnsi="宋体" w:eastAsia="宋体" w:cs="宋体"/>
                <w:color w:val="auto"/>
                <w:sz w:val="21"/>
                <w:szCs w:val="21"/>
                <w:highlight w:val="none"/>
              </w:rPr>
              <w:t>、</w:t>
            </w:r>
            <w:r>
              <w:rPr>
                <w:rFonts w:hint="eastAsia" w:ascii="宋体" w:hAnsi="宋体" w:eastAsia="宋体" w:cs="宋体"/>
                <w:bCs/>
                <w:snapToGrid w:val="0"/>
                <w:color w:val="auto"/>
                <w:sz w:val="21"/>
                <w:szCs w:val="21"/>
                <w:highlight w:val="none"/>
              </w:rPr>
              <w:t>突发事件应急处理措施等内容。</w:t>
            </w:r>
            <w:r>
              <w:rPr>
                <w:rFonts w:hint="eastAsia" w:ascii="宋体" w:hAnsi="宋体" w:eastAsia="宋体" w:cs="宋体"/>
                <w:color w:val="auto"/>
                <w:sz w:val="21"/>
                <w:szCs w:val="21"/>
                <w:highlight w:val="none"/>
              </w:rPr>
              <w:t xml:space="preserve">                       </w:t>
            </w:r>
          </w:p>
          <w:p>
            <w:pPr>
              <w:spacing w:line="0" w:lineRule="atLeast"/>
              <w:rPr>
                <w:rFonts w:hint="eastAsia" w:ascii="宋体" w:hAnsi="宋体" w:eastAsia="宋体" w:cs="宋体"/>
                <w:color w:val="auto"/>
                <w:sz w:val="21"/>
                <w:szCs w:val="21"/>
                <w:highlight w:val="none"/>
              </w:rPr>
            </w:pPr>
          </w:p>
          <w:p>
            <w:pPr>
              <w:spacing w:line="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1、优秀得12分：投标人对本项目总体要求有深刻认识，能充分考虑中标人绿化服务特点，能高于服务条款要求，表述清晰、完整、严谨、合理，措施先进、具体、有效、成熟；</w:t>
            </w:r>
          </w:p>
          <w:p>
            <w:pPr>
              <w:spacing w:line="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2、良好得6分：投标人对本项目总体要求有一定认识，能考虑中标人绿化服务特点，能达到服务条款要求，表述清晰、完整，措施具体有效；</w:t>
            </w:r>
          </w:p>
          <w:p>
            <w:pPr>
              <w:widowControl/>
              <w:spacing w:line="360" w:lineRule="auto"/>
              <w:ind w:right="3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3、一般得2分：投标人对项目总体要求有认识，能基本达到服务条款要求，有一定的措施但部分不具体。</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4、差得0分，投标人所提供服务规划方案及管理方案与本项目相关性不大。</w:t>
            </w:r>
          </w:p>
        </w:tc>
        <w:tc>
          <w:tcPr>
            <w:tcW w:w="709"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gridAfter w:val="1"/>
          <w:wAfter w:w="39" w:type="dxa"/>
          <w:trHeight w:val="663" w:hRule="atLeast"/>
          <w:tblCellSpacing w:w="0" w:type="dxa"/>
          <w:jc w:val="center"/>
        </w:trPr>
        <w:tc>
          <w:tcPr>
            <w:tcW w:w="704" w:type="dxa"/>
            <w:vAlign w:val="center"/>
          </w:tcPr>
          <w:p>
            <w:pPr>
              <w:pStyle w:val="27"/>
              <w:numPr>
                <w:ilvl w:val="0"/>
                <w:numId w:val="26"/>
              </w:numPr>
              <w:spacing w:line="360" w:lineRule="auto"/>
              <w:ind w:firstLineChars="0"/>
              <w:jc w:val="center"/>
              <w:rPr>
                <w:rFonts w:hint="eastAsia" w:ascii="宋体" w:hAnsi="宋体" w:eastAsia="宋体" w:cs="宋体"/>
                <w:color w:val="auto"/>
                <w:sz w:val="21"/>
                <w:szCs w:val="21"/>
                <w:highlight w:val="none"/>
              </w:rPr>
            </w:pPr>
          </w:p>
        </w:tc>
        <w:tc>
          <w:tcPr>
            <w:tcW w:w="1134" w:type="dxa"/>
            <w:tcMar>
              <w:top w:w="15" w:type="dxa"/>
              <w:left w:w="15" w:type="dxa"/>
              <w:bottom w:w="15" w:type="dxa"/>
              <w:right w:w="15" w:type="dxa"/>
            </w:tcMar>
            <w:vAlign w:val="center"/>
          </w:tcPr>
          <w:p>
            <w:pPr>
              <w:spacing w:line="32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人员配置</w:t>
            </w:r>
          </w:p>
        </w:tc>
        <w:tc>
          <w:tcPr>
            <w:tcW w:w="7048" w:type="dxa"/>
            <w:tcMar>
              <w:top w:w="15" w:type="dxa"/>
              <w:left w:w="15" w:type="dxa"/>
              <w:bottom w:w="15" w:type="dxa"/>
              <w:right w:w="15" w:type="dxa"/>
            </w:tcMar>
            <w:vAlign w:val="center"/>
          </w:tcPr>
          <w:p>
            <w:pPr>
              <w:pStyle w:val="27"/>
              <w:numPr>
                <w:ilvl w:val="0"/>
                <w:numId w:val="27"/>
              </w:numPr>
              <w:snapToGrid w:val="0"/>
              <w:spacing w:line="0" w:lineRule="atLeas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为本项目配备绿化养护人员最低配置四人，每超1人加1分，最多得分2分，最低配置不包含项目负责人。</w:t>
            </w:r>
          </w:p>
          <w:p>
            <w:pPr>
              <w:widowControl/>
              <w:spacing w:line="360" w:lineRule="auto"/>
              <w:ind w:right="3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2.拟派本项目负责人具有高级园艺师资格证的得2分，助理园艺师、园艺师得1分，其他情况不得分。</w:t>
            </w:r>
          </w:p>
        </w:tc>
        <w:tc>
          <w:tcPr>
            <w:tcW w:w="709"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gridAfter w:val="1"/>
          <w:wAfter w:w="39" w:type="dxa"/>
          <w:trHeight w:val="663" w:hRule="atLeast"/>
          <w:tblCellSpacing w:w="0" w:type="dxa"/>
          <w:jc w:val="center"/>
        </w:trPr>
        <w:tc>
          <w:tcPr>
            <w:tcW w:w="704" w:type="dxa"/>
            <w:vAlign w:val="center"/>
          </w:tcPr>
          <w:p>
            <w:pPr>
              <w:pStyle w:val="27"/>
              <w:numPr>
                <w:ilvl w:val="0"/>
                <w:numId w:val="26"/>
              </w:numPr>
              <w:spacing w:line="360" w:lineRule="auto"/>
              <w:ind w:firstLineChars="0"/>
              <w:jc w:val="center"/>
              <w:rPr>
                <w:rFonts w:hint="eastAsia" w:ascii="宋体" w:hAnsi="宋体" w:eastAsia="宋体" w:cs="宋体"/>
                <w:color w:val="auto"/>
                <w:sz w:val="21"/>
                <w:szCs w:val="21"/>
                <w:highlight w:val="none"/>
              </w:rPr>
            </w:pPr>
          </w:p>
        </w:tc>
        <w:tc>
          <w:tcPr>
            <w:tcW w:w="1134" w:type="dxa"/>
            <w:tcMar>
              <w:top w:w="15" w:type="dxa"/>
              <w:left w:w="15" w:type="dxa"/>
              <w:bottom w:w="15" w:type="dxa"/>
              <w:right w:w="15" w:type="dxa"/>
            </w:tcMar>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b/>
                <w:bCs/>
                <w:snapToGrid w:val="0"/>
                <w:color w:val="auto"/>
                <w:sz w:val="21"/>
                <w:szCs w:val="21"/>
                <w:highlight w:val="none"/>
              </w:rPr>
              <w:t>物资装备</w:t>
            </w:r>
          </w:p>
        </w:tc>
        <w:tc>
          <w:tcPr>
            <w:tcW w:w="7048" w:type="dxa"/>
            <w:tcMar>
              <w:top w:w="15" w:type="dxa"/>
              <w:left w:w="15" w:type="dxa"/>
              <w:bottom w:w="15" w:type="dxa"/>
              <w:right w:w="15" w:type="dxa"/>
            </w:tcMar>
            <w:vAlign w:val="center"/>
          </w:tcPr>
          <w:p>
            <w:pPr>
              <w:widowControl/>
              <w:spacing w:line="360" w:lineRule="auto"/>
              <w:ind w:right="30"/>
              <w:jc w:val="left"/>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sz w:val="21"/>
                <w:szCs w:val="21"/>
                <w:highlight w:val="none"/>
              </w:rPr>
              <w:t>依据投标人拟使用的绿化养护工具、用品（车、绿篱电剪机、拖车、水管、药物）的配备完备情况、设备先进性、对绿篱修剪操作安全性综合评估，优秀得2分，</w:t>
            </w:r>
            <w:r>
              <w:rPr>
                <w:rFonts w:hint="eastAsia" w:ascii="宋体" w:hAnsi="宋体" w:eastAsia="宋体" w:cs="宋体"/>
                <w:snapToGrid w:val="0"/>
                <w:color w:val="auto"/>
                <w:sz w:val="21"/>
                <w:szCs w:val="21"/>
                <w:highlight w:val="none"/>
              </w:rPr>
              <w:t>良得1分，差0分。</w:t>
            </w:r>
          </w:p>
        </w:tc>
        <w:tc>
          <w:tcPr>
            <w:tcW w:w="709"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gridAfter w:val="1"/>
          <w:wAfter w:w="39" w:type="dxa"/>
          <w:trHeight w:val="663" w:hRule="atLeast"/>
          <w:tblCellSpacing w:w="0" w:type="dxa"/>
          <w:jc w:val="center"/>
        </w:trPr>
        <w:tc>
          <w:tcPr>
            <w:tcW w:w="704" w:type="dxa"/>
            <w:vAlign w:val="center"/>
          </w:tcPr>
          <w:p>
            <w:pPr>
              <w:pStyle w:val="27"/>
              <w:numPr>
                <w:ilvl w:val="0"/>
                <w:numId w:val="26"/>
              </w:numPr>
              <w:spacing w:line="360" w:lineRule="auto"/>
              <w:ind w:firstLineChars="0"/>
              <w:jc w:val="center"/>
              <w:rPr>
                <w:rFonts w:hint="eastAsia" w:ascii="宋体" w:hAnsi="宋体" w:eastAsia="宋体" w:cs="宋体"/>
                <w:b w:val="0"/>
                <w:bCs w:val="0"/>
                <w:color w:val="auto"/>
                <w:sz w:val="21"/>
                <w:szCs w:val="21"/>
                <w:highlight w:val="none"/>
              </w:rPr>
            </w:pPr>
          </w:p>
        </w:tc>
        <w:tc>
          <w:tcPr>
            <w:tcW w:w="1134" w:type="dxa"/>
            <w:tcMar>
              <w:top w:w="15" w:type="dxa"/>
              <w:left w:w="15" w:type="dxa"/>
              <w:bottom w:w="15" w:type="dxa"/>
              <w:right w:w="15" w:type="dxa"/>
            </w:tcMar>
            <w:vAlign w:val="center"/>
          </w:tcPr>
          <w:p>
            <w:pPr>
              <w:snapToGrid w:val="0"/>
              <w:spacing w:line="0" w:lineRule="atLeas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重要面客区域绿植物摆放设计方案及效果图</w:t>
            </w:r>
          </w:p>
          <w:p>
            <w:pPr>
              <w:spacing w:line="320" w:lineRule="exact"/>
              <w:jc w:val="center"/>
              <w:rPr>
                <w:rFonts w:hint="eastAsia" w:ascii="宋体" w:hAnsi="宋体" w:eastAsia="宋体" w:cs="宋体"/>
                <w:b w:val="0"/>
                <w:bCs w:val="0"/>
                <w:color w:val="auto"/>
                <w:sz w:val="21"/>
                <w:szCs w:val="21"/>
                <w:highlight w:val="none"/>
              </w:rPr>
            </w:pPr>
          </w:p>
        </w:tc>
        <w:tc>
          <w:tcPr>
            <w:tcW w:w="7048" w:type="dxa"/>
            <w:tcMar>
              <w:top w:w="15" w:type="dxa"/>
              <w:left w:w="15" w:type="dxa"/>
              <w:bottom w:w="15" w:type="dxa"/>
              <w:right w:w="15"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所提供的会展中心实际场景提供重要面客区域绿植摆放设计方案、绿植摆放效果图、以及春节2楼大厅花卉的摆放方案，设计方案越符合会展中心的展会特点，越能体现出地域特色，得分越高。如能提供的。优秀得12分，良好得6分，合格得2分，不合格不得分。</w:t>
            </w:r>
          </w:p>
          <w:p>
            <w:pPr>
              <w:widowControl/>
              <w:spacing w:line="360" w:lineRule="auto"/>
              <w:ind w:right="3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说明：上述重点面客区域是指深圳会展中心各层电梯厅、7.5米二楼服务大厅和平台、五楼中厅。</w:t>
            </w:r>
          </w:p>
        </w:tc>
        <w:tc>
          <w:tcPr>
            <w:tcW w:w="709"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gridAfter w:val="1"/>
          <w:wAfter w:w="39" w:type="dxa"/>
          <w:trHeight w:val="663" w:hRule="atLeast"/>
          <w:tblCellSpacing w:w="0" w:type="dxa"/>
          <w:jc w:val="center"/>
        </w:trPr>
        <w:tc>
          <w:tcPr>
            <w:tcW w:w="9595" w:type="dxa"/>
            <w:gridSpan w:val="4"/>
            <w:vAlign w:val="center"/>
          </w:tcPr>
          <w:p>
            <w:pPr>
              <w:widowControl/>
              <w:jc w:val="center"/>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价格</w:t>
            </w:r>
            <w:r>
              <w:rPr>
                <w:rFonts w:hint="eastAsia" w:ascii="宋体" w:hAnsi="宋体" w:eastAsia="宋体" w:cs="宋体"/>
                <w:b/>
                <w:color w:val="auto"/>
                <w:sz w:val="21"/>
                <w:szCs w:val="21"/>
                <w:highlight w:val="none"/>
              </w:rPr>
              <w:t>评议项（</w:t>
            </w:r>
            <w:r>
              <w:rPr>
                <w:rFonts w:hint="eastAsia" w:ascii="宋体" w:hAnsi="宋体" w:cs="宋体"/>
                <w:b/>
                <w:color w:val="auto"/>
                <w:sz w:val="21"/>
                <w:szCs w:val="21"/>
                <w:highlight w:val="none"/>
                <w:lang w:val="en-US" w:eastAsia="zh-CN"/>
              </w:rPr>
              <w:t>4</w:t>
            </w:r>
            <w:r>
              <w:rPr>
                <w:rFonts w:hint="eastAsia" w:ascii="宋体" w:hAnsi="宋体" w:eastAsia="宋体" w:cs="宋体"/>
                <w:color w:val="auto"/>
                <w:sz w:val="21"/>
                <w:szCs w:val="21"/>
                <w:highlight w:val="none"/>
              </w:rPr>
              <w:t>0</w:t>
            </w:r>
            <w:r>
              <w:rPr>
                <w:rFonts w:hint="eastAsia" w:ascii="宋体" w:hAnsi="宋体" w:eastAsia="宋体" w:cs="宋体"/>
                <w:b/>
                <w:color w:val="auto"/>
                <w:sz w:val="21"/>
                <w:szCs w:val="21"/>
                <w:highlight w:val="none"/>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gridAfter w:val="1"/>
          <w:wAfter w:w="39" w:type="dxa"/>
          <w:trHeight w:val="555" w:hRule="atLeast"/>
          <w:tblCellSpacing w:w="0" w:type="dxa"/>
          <w:jc w:val="center"/>
        </w:trPr>
        <w:tc>
          <w:tcPr>
            <w:tcW w:w="704" w:type="dxa"/>
            <w:vMerge w:val="restar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4" w:type="dxa"/>
            <w:vMerge w:val="restart"/>
            <w:tcMar>
              <w:top w:w="15" w:type="dxa"/>
              <w:left w:w="15" w:type="dxa"/>
              <w:bottom w:w="15" w:type="dxa"/>
              <w:right w:w="15" w:type="dxa"/>
            </w:tcMar>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价格评议</w:t>
            </w:r>
          </w:p>
        </w:tc>
        <w:tc>
          <w:tcPr>
            <w:tcW w:w="7048" w:type="dxa"/>
            <w:tcMar>
              <w:top w:w="15" w:type="dxa"/>
              <w:left w:w="15" w:type="dxa"/>
              <w:bottom w:w="15" w:type="dxa"/>
              <w:right w:w="15" w:type="dxa"/>
            </w:tcMar>
            <w:vAlign w:val="center"/>
          </w:tcPr>
          <w:p>
            <w:pPr>
              <w:widowControl/>
              <w:spacing w:line="0" w:lineRule="atLeas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价格分按以下方法计算：</w:t>
            </w:r>
          </w:p>
          <w:p>
            <w:pPr>
              <w:widowControl/>
              <w:spacing w:line="0" w:lineRule="atLeas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方法：价格分= [1-A×│1－投标报价／Z│] ×价格权重×100</w:t>
            </w:r>
          </w:p>
          <w:p>
            <w:pPr>
              <w:widowControl/>
              <w:spacing w:line="0" w:lineRule="atLeas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Z---即本次招标的最佳报价，即对所有通过资格性检查和符合性检查的所有有效投标报价的算术平均值。</w:t>
            </w:r>
          </w:p>
          <w:p>
            <w:pPr>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A---价格调整系数，当投标报价低于本次招标最佳报价Z时，A=0.5；当投标报价高于本次招标最佳报价Z时，A=1。</w:t>
            </w:r>
          </w:p>
        </w:tc>
        <w:tc>
          <w:tcPr>
            <w:tcW w:w="709" w:type="dxa"/>
            <w:vMerge w:val="restart"/>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gridAfter w:val="1"/>
          <w:wAfter w:w="39" w:type="dxa"/>
          <w:trHeight w:val="555" w:hRule="atLeast"/>
          <w:tblCellSpacing w:w="0" w:type="dxa"/>
          <w:jc w:val="center"/>
        </w:trPr>
        <w:tc>
          <w:tcPr>
            <w:tcW w:w="704" w:type="dxa"/>
            <w:vMerge w:val="continue"/>
          </w:tcPr>
          <w:p>
            <w:pPr>
              <w:spacing w:line="360" w:lineRule="auto"/>
              <w:jc w:val="center"/>
              <w:rPr>
                <w:rFonts w:hint="eastAsia" w:ascii="宋体" w:hAnsi="宋体" w:eastAsia="宋体" w:cs="宋体"/>
                <w:color w:val="auto"/>
                <w:sz w:val="21"/>
                <w:szCs w:val="21"/>
                <w:highlight w:val="none"/>
              </w:rPr>
            </w:pPr>
          </w:p>
        </w:tc>
        <w:tc>
          <w:tcPr>
            <w:tcW w:w="1134" w:type="dxa"/>
            <w:vMerge w:val="continue"/>
          </w:tcPr>
          <w:p>
            <w:pPr>
              <w:spacing w:line="360" w:lineRule="auto"/>
              <w:jc w:val="center"/>
              <w:rPr>
                <w:rFonts w:hint="eastAsia" w:ascii="宋体" w:hAnsi="宋体" w:eastAsia="宋体" w:cs="宋体"/>
                <w:color w:val="auto"/>
                <w:sz w:val="21"/>
                <w:szCs w:val="21"/>
                <w:highlight w:val="none"/>
              </w:rPr>
            </w:pPr>
          </w:p>
        </w:tc>
        <w:tc>
          <w:tcPr>
            <w:tcW w:w="7048" w:type="dxa"/>
            <w:vAlign w:val="center"/>
          </w:tcPr>
          <w:p>
            <w:pPr>
              <w:numPr>
                <w:ilvl w:val="255"/>
                <w:numId w:val="0"/>
              </w:numPr>
              <w:snapToGri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价格分计算公式：</w:t>
            </w:r>
          </w:p>
          <w:p>
            <w:pPr>
              <w:widowControl/>
              <w:spacing w:line="0" w:lineRule="atLeast"/>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价格得分</w:t>
            </w:r>
            <w:r>
              <w:rPr>
                <w:rFonts w:hint="eastAsia" w:ascii="宋体" w:hAnsi="宋体" w:eastAsia="宋体" w:cs="宋体"/>
                <w:color w:val="auto"/>
                <w:kern w:val="0"/>
                <w:sz w:val="21"/>
                <w:szCs w:val="21"/>
                <w:highlight w:val="none"/>
              </w:rPr>
              <w:t>= [1-A×│1－投标报价／Z│] ×价格权重×100</w:t>
            </w:r>
          </w:p>
          <w:p>
            <w:pPr>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说明：报价最接近基准价的投标人价格分最高，价格分保留至小数点后两位。</w:t>
            </w:r>
          </w:p>
        </w:tc>
        <w:tc>
          <w:tcPr>
            <w:tcW w:w="709" w:type="dxa"/>
            <w:vMerge w:val="continue"/>
            <w:vAlign w:val="center"/>
          </w:tcPr>
          <w:p>
            <w:pPr>
              <w:widowControl/>
              <w:jc w:val="left"/>
              <w:rPr>
                <w:rFonts w:hint="eastAsia" w:ascii="宋体" w:hAnsi="宋体" w:eastAsia="宋体" w:cs="宋体"/>
                <w:color w:val="auto"/>
                <w:sz w:val="21"/>
                <w:szCs w:val="21"/>
                <w:highlight w:val="none"/>
              </w:rPr>
            </w:pP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算术错误将按以下方法更正（次序排先者优先）：</w:t>
      </w:r>
    </w:p>
    <w:p>
      <w:pPr>
        <w:spacing w:line="360" w:lineRule="auto"/>
        <w:ind w:left="-4" w:leftChars="-2" w:firstLine="497" w:firstLineChars="237"/>
        <w:rPr>
          <w:rFonts w:ascii="宋体" w:hAnsi="宋体"/>
          <w:szCs w:val="21"/>
        </w:rPr>
      </w:pPr>
      <w:r>
        <w:rPr>
          <w:rFonts w:hint="eastAsia" w:ascii="宋体" w:hAnsi="宋体"/>
          <w:szCs w:val="21"/>
        </w:rPr>
        <w:t>1、若分项报价与总价不一致，以总价为准。</w:t>
      </w:r>
    </w:p>
    <w:p>
      <w:pPr>
        <w:spacing w:line="360" w:lineRule="auto"/>
        <w:ind w:left="-4" w:leftChars="-2" w:firstLine="497" w:firstLineChars="237"/>
        <w:rPr>
          <w:rFonts w:ascii="宋体" w:hAnsi="宋体"/>
          <w:szCs w:val="21"/>
        </w:rPr>
      </w:pPr>
      <w:r>
        <w:rPr>
          <w:rFonts w:hint="eastAsia" w:ascii="宋体" w:hAnsi="宋体"/>
          <w:szCs w:val="21"/>
        </w:rPr>
        <w:t>2、若用文字表示的数值与用数字表示的数值不一致，以文字表示的数值为准。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spacing w:line="360" w:lineRule="auto"/>
        <w:ind w:firstLine="422" w:firstLineChars="200"/>
        <w:jc w:val="left"/>
        <w:outlineLvl w:val="0"/>
        <w:rPr>
          <w:b/>
          <w:bCs/>
        </w:rPr>
      </w:pPr>
      <w:r>
        <w:rPr>
          <w:rFonts w:ascii="宋体" w:hAnsi="宋体"/>
          <w:b/>
          <w:szCs w:val="21"/>
        </w:rPr>
        <w:br w:type="page"/>
      </w:r>
    </w:p>
    <w:p>
      <w:pPr>
        <w:spacing w:line="360" w:lineRule="auto"/>
        <w:jc w:val="center"/>
        <w:outlineLvl w:val="0"/>
        <w:rPr>
          <w:rFonts w:ascii="宋体" w:hAnsi="宋体"/>
          <w:b/>
          <w:sz w:val="32"/>
          <w:szCs w:val="32"/>
        </w:rPr>
      </w:pPr>
      <w:bookmarkStart w:id="49" w:name="_Toc82783895"/>
      <w:r>
        <w:rPr>
          <w:rFonts w:hint="eastAsia" w:ascii="宋体" w:hAnsi="宋体"/>
          <w:b/>
          <w:sz w:val="32"/>
          <w:szCs w:val="32"/>
        </w:rPr>
        <w:t>第四部分：合同条款及格式</w:t>
      </w:r>
      <w:bookmarkEnd w:id="49"/>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r>
        <w:rPr>
          <w:rFonts w:hint="eastAsia" w:ascii="方正小标宋简体" w:hAnsi="方正小标宋简体" w:eastAsia="方正小标宋简体" w:cs="方正小标宋简体"/>
          <w:bCs/>
          <w:kern w:val="0"/>
          <w:sz w:val="28"/>
          <w:szCs w:val="28"/>
        </w:rPr>
        <w:t>深圳会展中心绿化服务合同</w:t>
      </w:r>
    </w:p>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pPr>
              <w:rPr>
                <w:rFonts w:ascii="宋体" w:hAnsi="宋体"/>
                <w:szCs w:val="21"/>
              </w:rPr>
            </w:pPr>
            <w:r>
              <w:rPr>
                <w:rFonts w:hint="eastAsia" w:ascii="宋体" w:hAnsi="宋体"/>
                <w:szCs w:val="21"/>
              </w:rPr>
              <w:t>甲方：深圳会展中心管理有限责任公司</w:t>
            </w:r>
          </w:p>
          <w:p>
            <w:pPr>
              <w:rPr>
                <w:rFonts w:ascii="宋体" w:hAnsi="宋体"/>
                <w:szCs w:val="21"/>
                <w:u w:val="single"/>
              </w:rPr>
            </w:pPr>
            <w:r>
              <w:rPr>
                <w:rFonts w:hint="eastAsia" w:ascii="宋体" w:hAnsi="宋体"/>
                <w:szCs w:val="21"/>
              </w:rPr>
              <w:t>法人代表：</w:t>
            </w:r>
            <w:r>
              <w:rPr>
                <w:rFonts w:ascii="宋体" w:hAnsi="宋体"/>
                <w:szCs w:val="21"/>
                <w:u w:val="single"/>
              </w:rPr>
              <w:t xml:space="preserve">                  </w:t>
            </w:r>
          </w:p>
          <w:p>
            <w:pPr>
              <w:rPr>
                <w:rFonts w:ascii="宋体" w:hAnsi="宋体"/>
                <w:szCs w:val="21"/>
              </w:rPr>
            </w:pPr>
            <w:r>
              <w:rPr>
                <w:rFonts w:hint="eastAsia" w:ascii="宋体" w:hAnsi="宋体"/>
                <w:szCs w:val="21"/>
              </w:rPr>
              <w:t>联 系 人：</w:t>
            </w:r>
            <w:r>
              <w:rPr>
                <w:rFonts w:ascii="宋体" w:hAnsi="宋体"/>
                <w:szCs w:val="21"/>
                <w:u w:val="single"/>
              </w:rPr>
              <w:t xml:space="preserve">                  </w:t>
            </w:r>
          </w:p>
          <w:p>
            <w:pPr>
              <w:rPr>
                <w:rFonts w:ascii="宋体" w:hAnsi="宋体"/>
                <w:szCs w:val="21"/>
              </w:rPr>
            </w:pPr>
            <w:r>
              <w:rPr>
                <w:rFonts w:hint="eastAsia" w:ascii="宋体" w:hAnsi="宋体"/>
                <w:szCs w:val="21"/>
              </w:rPr>
              <w:t>联系电话：</w:t>
            </w:r>
            <w:r>
              <w:rPr>
                <w:rFonts w:ascii="宋体" w:hAnsi="宋体"/>
                <w:szCs w:val="21"/>
                <w:u w:val="single"/>
              </w:rPr>
              <w:t xml:space="preserve">                  </w:t>
            </w:r>
          </w:p>
          <w:p>
            <w:pPr>
              <w:rPr>
                <w:rFonts w:ascii="宋体" w:hAnsi="宋体"/>
                <w:szCs w:val="21"/>
              </w:rPr>
            </w:pPr>
            <w:r>
              <w:rPr>
                <w:rFonts w:hint="eastAsia" w:ascii="宋体" w:hAnsi="宋体"/>
                <w:szCs w:val="21"/>
              </w:rPr>
              <w:t>开户银行：</w:t>
            </w:r>
            <w:r>
              <w:rPr>
                <w:rFonts w:ascii="宋体" w:hAnsi="宋体"/>
                <w:szCs w:val="21"/>
                <w:u w:val="single"/>
              </w:rPr>
              <w:t xml:space="preserve">                  </w:t>
            </w:r>
          </w:p>
          <w:p>
            <w:pPr>
              <w:rPr>
                <w:rFonts w:ascii="宋体" w:hAnsi="宋体"/>
                <w:szCs w:val="21"/>
              </w:rPr>
            </w:pPr>
            <w:r>
              <w:rPr>
                <w:rFonts w:hint="eastAsia" w:ascii="宋体" w:hAnsi="宋体"/>
                <w:szCs w:val="21"/>
              </w:rPr>
              <w:t>银行账号：</w:t>
            </w:r>
            <w:r>
              <w:rPr>
                <w:rFonts w:ascii="宋体" w:hAnsi="宋体"/>
                <w:szCs w:val="21"/>
                <w:u w:val="single"/>
              </w:rPr>
              <w:t xml:space="preserve">                  </w:t>
            </w:r>
          </w:p>
        </w:tc>
        <w:tc>
          <w:tcPr>
            <w:tcW w:w="4148" w:type="dxa"/>
            <w:vAlign w:val="center"/>
          </w:tcPr>
          <w:p>
            <w:pPr>
              <w:spacing w:line="400" w:lineRule="exact"/>
              <w:rPr>
                <w:rFonts w:ascii="宋体" w:hAnsi="宋体"/>
                <w:szCs w:val="21"/>
              </w:rPr>
            </w:pPr>
            <w:r>
              <w:rPr>
                <w:rFonts w:hint="eastAsia" w:ascii="宋体" w:hAnsi="宋体"/>
                <w:szCs w:val="21"/>
              </w:rPr>
              <w:t>乙    方：</w:t>
            </w:r>
            <w:r>
              <w:rPr>
                <w:rFonts w:ascii="宋体" w:hAnsi="宋体"/>
                <w:szCs w:val="21"/>
                <w:u w:val="single"/>
              </w:rPr>
              <w:t xml:space="preserve">                  </w:t>
            </w:r>
          </w:p>
          <w:p>
            <w:pPr>
              <w:rPr>
                <w:rFonts w:ascii="宋体" w:hAnsi="宋体"/>
                <w:szCs w:val="21"/>
              </w:rPr>
            </w:pPr>
            <w:r>
              <w:rPr>
                <w:rFonts w:hint="eastAsia" w:ascii="宋体" w:hAnsi="宋体"/>
                <w:szCs w:val="21"/>
              </w:rPr>
              <w:t>法人代表：</w:t>
            </w:r>
            <w:r>
              <w:rPr>
                <w:rFonts w:ascii="宋体" w:hAnsi="宋体"/>
                <w:szCs w:val="21"/>
                <w:u w:val="single"/>
              </w:rPr>
              <w:t xml:space="preserve">                  </w:t>
            </w:r>
          </w:p>
          <w:p>
            <w:pPr>
              <w:rPr>
                <w:rFonts w:ascii="宋体" w:hAnsi="宋体"/>
                <w:szCs w:val="21"/>
              </w:rPr>
            </w:pPr>
            <w:r>
              <w:rPr>
                <w:rFonts w:hint="eastAsia" w:ascii="宋体" w:hAnsi="宋体"/>
                <w:szCs w:val="21"/>
              </w:rPr>
              <w:t>联 系 人：</w:t>
            </w:r>
            <w:r>
              <w:rPr>
                <w:rFonts w:ascii="宋体" w:hAnsi="宋体"/>
                <w:szCs w:val="21"/>
                <w:u w:val="single"/>
              </w:rPr>
              <w:t xml:space="preserve">                  </w:t>
            </w:r>
          </w:p>
          <w:p>
            <w:pPr>
              <w:rPr>
                <w:rFonts w:ascii="宋体" w:hAnsi="宋体"/>
                <w:szCs w:val="21"/>
              </w:rPr>
            </w:pPr>
            <w:r>
              <w:rPr>
                <w:rFonts w:hint="eastAsia" w:ascii="宋体" w:hAnsi="宋体"/>
                <w:szCs w:val="21"/>
              </w:rPr>
              <w:t>联系电话：</w:t>
            </w:r>
            <w:r>
              <w:rPr>
                <w:rFonts w:ascii="宋体" w:hAnsi="宋体"/>
                <w:szCs w:val="21"/>
                <w:u w:val="single"/>
              </w:rPr>
              <w:t xml:space="preserve">                  </w:t>
            </w:r>
          </w:p>
          <w:p>
            <w:pPr>
              <w:rPr>
                <w:rFonts w:ascii="宋体" w:hAnsi="宋体"/>
                <w:szCs w:val="21"/>
              </w:rPr>
            </w:pPr>
            <w:r>
              <w:rPr>
                <w:rFonts w:hint="eastAsia" w:ascii="宋体" w:hAnsi="宋体"/>
                <w:szCs w:val="21"/>
              </w:rPr>
              <w:t>开户银行：</w:t>
            </w:r>
            <w:r>
              <w:rPr>
                <w:rFonts w:ascii="宋体" w:hAnsi="宋体"/>
                <w:szCs w:val="21"/>
                <w:u w:val="single"/>
              </w:rPr>
              <w:t xml:space="preserve">                  </w:t>
            </w:r>
          </w:p>
          <w:p>
            <w:pPr>
              <w:rPr>
                <w:rFonts w:ascii="宋体" w:hAnsi="宋体"/>
                <w:szCs w:val="21"/>
              </w:rPr>
            </w:pPr>
            <w:r>
              <w:rPr>
                <w:rFonts w:hint="eastAsia" w:ascii="宋体" w:hAnsi="宋体"/>
                <w:szCs w:val="21"/>
              </w:rPr>
              <w:t>银行账号：</w:t>
            </w:r>
            <w:r>
              <w:rPr>
                <w:rFonts w:ascii="宋体" w:hAnsi="宋体"/>
                <w:szCs w:val="21"/>
                <w:u w:val="single"/>
              </w:rPr>
              <w:t xml:space="preserve">                  </w:t>
            </w:r>
          </w:p>
        </w:tc>
      </w:tr>
    </w:tbl>
    <w:p>
      <w:pPr>
        <w:ind w:firstLine="420" w:firstLineChars="200"/>
        <w:jc w:val="left"/>
        <w:rPr>
          <w:rFonts w:ascii="宋体" w:hAnsi="宋体"/>
          <w:szCs w:val="21"/>
        </w:rPr>
      </w:pPr>
    </w:p>
    <w:p>
      <w:pPr>
        <w:spacing w:line="300" w:lineRule="exact"/>
        <w:rPr>
          <w:rFonts w:ascii="宋体" w:hAnsi="宋体"/>
          <w:b/>
          <w:bCs/>
        </w:rPr>
      </w:pPr>
    </w:p>
    <w:p>
      <w:pPr>
        <w:spacing w:line="300" w:lineRule="exact"/>
        <w:rPr>
          <w:rFonts w:ascii="宋体" w:hAnsi="宋体"/>
          <w:b/>
          <w:bCs/>
        </w:rPr>
      </w:pPr>
      <w:r>
        <w:rPr>
          <w:rFonts w:hint="eastAsia" w:ascii="宋体" w:hAnsi="宋体"/>
          <w:b/>
          <w:bCs/>
        </w:rPr>
        <w:t>第一条 本合同当事人</w:t>
      </w:r>
    </w:p>
    <w:p>
      <w:pPr>
        <w:pStyle w:val="46"/>
      </w:pPr>
    </w:p>
    <w:p>
      <w:pPr>
        <w:spacing w:line="300" w:lineRule="exact"/>
        <w:rPr>
          <w:rFonts w:ascii="宋体" w:hAnsi="宋体"/>
        </w:rPr>
      </w:pPr>
      <w:r>
        <w:rPr>
          <w:rFonts w:hint="eastAsia" w:ascii="宋体" w:hAnsi="宋体"/>
        </w:rPr>
        <w:t>项目名称：深圳会展中心2022年度绿化服务</w:t>
      </w:r>
    </w:p>
    <w:p>
      <w:pPr>
        <w:spacing w:line="300" w:lineRule="exact"/>
        <w:rPr>
          <w:rFonts w:ascii="宋体" w:hAnsi="宋体"/>
        </w:rPr>
      </w:pPr>
      <w:r>
        <w:rPr>
          <w:rFonts w:hint="eastAsia" w:ascii="宋体" w:hAnsi="宋体"/>
        </w:rPr>
        <w:t>委托方（甲方）：＿＿＿＿＿＿＿＿</w:t>
      </w:r>
    </w:p>
    <w:p>
      <w:pPr>
        <w:spacing w:line="300" w:lineRule="exact"/>
        <w:rPr>
          <w:rFonts w:ascii="宋体" w:hAnsi="宋体"/>
        </w:rPr>
      </w:pPr>
      <w:r>
        <w:rPr>
          <w:rFonts w:hint="eastAsia" w:ascii="宋体" w:hAnsi="宋体"/>
        </w:rPr>
        <w:t>服务方（乙方）：＿＿＿＿＿＿＿＿</w:t>
      </w:r>
      <w:r>
        <w:rPr>
          <w:rFonts w:hint="eastAsia" w:ascii="宋体" w:hAnsi="宋体"/>
        </w:rPr>
        <w:br w:type="textWrapping"/>
      </w:r>
      <w:r>
        <w:rPr>
          <w:rFonts w:hint="eastAsia" w:ascii="宋体" w:hAnsi="宋体"/>
        </w:rPr>
        <w:br w:type="textWrapping"/>
      </w:r>
      <w:r>
        <w:rPr>
          <w:rFonts w:hint="eastAsia" w:ascii="宋体" w:hAnsi="宋体"/>
        </w:rPr>
        <w:t>　　　根据有关法律、法规、在自愿、平等、协商一致的基础上，双方就</w:t>
      </w:r>
      <w:r>
        <w:rPr>
          <w:rFonts w:hint="eastAsia" w:ascii="宋体" w:hAnsi="宋体"/>
          <w:u w:val="single"/>
        </w:rPr>
        <w:t>深圳会展中心202</w:t>
      </w:r>
      <w:r>
        <w:rPr>
          <w:rFonts w:hint="eastAsia" w:ascii="宋体" w:hAnsi="宋体"/>
          <w:u w:val="single"/>
          <w:lang w:val="en-US" w:eastAsia="zh-CN"/>
        </w:rPr>
        <w:t>2</w:t>
      </w:r>
      <w:r>
        <w:rPr>
          <w:rFonts w:hint="eastAsia" w:ascii="宋体" w:hAnsi="宋体"/>
          <w:u w:val="single"/>
        </w:rPr>
        <w:t>年度绿化服务项目</w:t>
      </w:r>
      <w:r>
        <w:rPr>
          <w:rFonts w:hint="eastAsia" w:ascii="宋体" w:hAnsi="宋体"/>
        </w:rPr>
        <w:t>的绿化服务，订立本合同。</w:t>
      </w:r>
      <w:r>
        <w:rPr>
          <w:rFonts w:hint="eastAsia" w:ascii="宋体" w:hAnsi="宋体"/>
        </w:rPr>
        <w:br w:type="textWrapping"/>
      </w:r>
      <w:r>
        <w:rPr>
          <w:rFonts w:hint="eastAsia" w:ascii="宋体" w:hAnsi="宋体"/>
        </w:rPr>
        <w:t>　</w:t>
      </w:r>
    </w:p>
    <w:p>
      <w:pPr>
        <w:spacing w:line="300" w:lineRule="exact"/>
        <w:rPr>
          <w:rFonts w:ascii="宋体" w:hAnsi="宋体"/>
        </w:rPr>
      </w:pPr>
      <w:r>
        <w:rPr>
          <w:rFonts w:hint="eastAsia" w:ascii="宋体" w:hAnsi="宋体"/>
          <w:b/>
          <w:bCs/>
        </w:rPr>
        <w:t>第二条 服务场地基本情况</w:t>
      </w:r>
      <w:r>
        <w:rPr>
          <w:rFonts w:hint="eastAsia" w:ascii="宋体" w:hAnsi="宋体"/>
          <w:b/>
          <w:bCs/>
        </w:rPr>
        <w:br w:type="textWrapping"/>
      </w:r>
      <w:r>
        <w:rPr>
          <w:rFonts w:hint="eastAsia" w:ascii="宋体" w:hAnsi="宋体"/>
        </w:rPr>
        <w:br w:type="textWrapping"/>
      </w:r>
      <w:r>
        <w:rPr>
          <w:rFonts w:hint="eastAsia" w:ascii="宋体" w:hAnsi="宋体"/>
        </w:rPr>
        <w:t>　　绿化场地：深圳会展中心</w:t>
      </w:r>
      <w:r>
        <w:rPr>
          <w:rFonts w:hint="eastAsia" w:ascii="宋体" w:hAnsi="宋体"/>
        </w:rPr>
        <w:br w:type="textWrapping"/>
      </w:r>
      <w:r>
        <w:rPr>
          <w:rFonts w:hint="eastAsia" w:ascii="宋体" w:hAnsi="宋体"/>
        </w:rPr>
        <w:t xml:space="preserve">　　座落位置： </w:t>
      </w:r>
      <w:r>
        <w:rPr>
          <w:rFonts w:hint="eastAsia" w:ascii="宋体" w:hAnsi="宋体"/>
        </w:rPr>
        <w:br w:type="textWrapping"/>
      </w:r>
      <w:r>
        <w:rPr>
          <w:rFonts w:hint="eastAsia" w:ascii="宋体" w:hAnsi="宋体"/>
        </w:rPr>
        <w:t>　  建筑面积：＿＿＿＿平方米      绿化养护面积：＿＿＿＿平方米</w:t>
      </w:r>
      <w:r>
        <w:rPr>
          <w:rFonts w:hint="eastAsia" w:ascii="宋体" w:hAnsi="宋体"/>
        </w:rPr>
        <w:br w:type="textWrapping"/>
      </w:r>
      <w:r>
        <w:rPr>
          <w:rFonts w:hint="eastAsia" w:ascii="宋体" w:hAnsi="宋体"/>
        </w:rPr>
        <w:t xml:space="preserve">　　物业类型： </w:t>
      </w:r>
    </w:p>
    <w:p>
      <w:pPr>
        <w:spacing w:line="300" w:lineRule="exact"/>
        <w:rPr>
          <w:rFonts w:ascii="宋体" w:hAnsi="宋体"/>
        </w:rPr>
      </w:pPr>
    </w:p>
    <w:p>
      <w:pPr>
        <w:spacing w:line="300" w:lineRule="exact"/>
        <w:rPr>
          <w:rFonts w:ascii="宋体" w:hAnsi="宋体"/>
          <w:b/>
          <w:bCs/>
        </w:rPr>
      </w:pPr>
      <w:r>
        <w:rPr>
          <w:rFonts w:hint="eastAsia" w:ascii="宋体" w:hAnsi="宋体"/>
          <w:b/>
          <w:bCs/>
        </w:rPr>
        <w:t>第三条 服务事项：</w:t>
      </w:r>
    </w:p>
    <w:p>
      <w:pPr>
        <w:pStyle w:val="27"/>
        <w:spacing w:line="360" w:lineRule="auto"/>
        <w:ind w:left="360" w:firstLine="0" w:firstLineChars="0"/>
        <w:rPr>
          <w:rFonts w:ascii="宋体" w:hAnsi="宋体"/>
        </w:rPr>
      </w:pPr>
      <w:r>
        <w:rPr>
          <w:rFonts w:hint="eastAsia" w:ascii="宋体" w:hAnsi="宋体"/>
        </w:rPr>
        <w:t>1、绿地（含东、西门外绿化带和北广场石碑处灌木）的养护（日常）</w:t>
      </w:r>
    </w:p>
    <w:p>
      <w:pPr>
        <w:pStyle w:val="27"/>
        <w:spacing w:line="360" w:lineRule="auto"/>
        <w:ind w:firstLine="315" w:firstLineChars="150"/>
        <w:rPr>
          <w:rFonts w:ascii="宋体" w:hAnsi="宋体"/>
        </w:rPr>
      </w:pPr>
      <w:r>
        <w:rPr>
          <w:rFonts w:hint="eastAsia" w:ascii="宋体" w:hAnsi="宋体"/>
        </w:rPr>
        <w:t>2、展馆物业盆栽租摆+北广场花箱植物养护租摆（日常）</w:t>
      </w:r>
    </w:p>
    <w:p>
      <w:pPr>
        <w:pStyle w:val="27"/>
        <w:spacing w:line="360" w:lineRule="auto"/>
        <w:ind w:firstLine="315" w:firstLineChars="150"/>
        <w:rPr>
          <w:rFonts w:ascii="宋体" w:hAnsi="宋体"/>
        </w:rPr>
      </w:pPr>
      <w:r>
        <w:rPr>
          <w:rFonts w:hint="eastAsia" w:ascii="宋体" w:hAnsi="宋体"/>
        </w:rPr>
        <w:t>3、临时盆栽租摆（优先选择）</w:t>
      </w:r>
    </w:p>
    <w:p>
      <w:pPr>
        <w:pStyle w:val="27"/>
        <w:spacing w:line="360" w:lineRule="auto"/>
        <w:ind w:firstLine="315" w:firstLineChars="150"/>
        <w:rPr>
          <w:rFonts w:ascii="宋体" w:hAnsi="宋体"/>
        </w:rPr>
      </w:pPr>
      <w:r>
        <w:rPr>
          <w:rFonts w:hint="eastAsia" w:ascii="宋体" w:hAnsi="宋体"/>
        </w:rPr>
        <w:t>4、高交会及自办展会摆花（优先选择）</w:t>
      </w:r>
    </w:p>
    <w:p>
      <w:pPr>
        <w:pStyle w:val="27"/>
        <w:spacing w:line="360" w:lineRule="auto"/>
        <w:ind w:firstLine="315" w:firstLineChars="150"/>
        <w:rPr>
          <w:rFonts w:ascii="宋体" w:hAnsi="宋体"/>
        </w:rPr>
      </w:pPr>
      <w:r>
        <w:rPr>
          <w:rFonts w:hint="eastAsia" w:ascii="宋体" w:hAnsi="宋体"/>
        </w:rPr>
        <w:t>5、北广场花箱维护维修（日常）</w:t>
      </w:r>
    </w:p>
    <w:p>
      <w:pPr>
        <w:spacing w:line="300" w:lineRule="exact"/>
        <w:rPr>
          <w:rFonts w:ascii="宋体" w:hAnsi="宋体"/>
          <w:b/>
          <w:bCs/>
        </w:rPr>
      </w:pPr>
      <w:r>
        <w:rPr>
          <w:rFonts w:hint="eastAsia" w:ascii="宋体" w:hAnsi="宋体"/>
          <w:b/>
          <w:bCs/>
        </w:rPr>
        <w:t>第四条 服务期限、地点和方式：</w:t>
      </w:r>
    </w:p>
    <w:p>
      <w:pPr>
        <w:spacing w:line="300" w:lineRule="exact"/>
        <w:ind w:firstLine="210" w:firstLineChars="100"/>
        <w:rPr>
          <w:rFonts w:ascii="宋体" w:hAnsi="宋体"/>
        </w:rPr>
      </w:pPr>
      <w:r>
        <w:rPr>
          <w:rFonts w:hint="eastAsia" w:ascii="宋体" w:hAnsi="宋体"/>
        </w:rPr>
        <w:t xml:space="preserve">服务期限： </w:t>
      </w:r>
    </w:p>
    <w:p>
      <w:pPr>
        <w:spacing w:line="300" w:lineRule="exact"/>
        <w:ind w:firstLine="210" w:firstLineChars="100"/>
        <w:rPr>
          <w:rFonts w:ascii="宋体" w:hAnsi="宋体"/>
        </w:rPr>
      </w:pPr>
      <w:r>
        <w:rPr>
          <w:rFonts w:hint="eastAsia" w:ascii="宋体" w:hAnsi="宋体"/>
        </w:rPr>
        <w:t>地点：深圳会展中心</w:t>
      </w:r>
    </w:p>
    <w:p>
      <w:pPr>
        <w:spacing w:line="300" w:lineRule="exact"/>
        <w:ind w:firstLine="210" w:firstLineChars="100"/>
        <w:rPr>
          <w:rFonts w:ascii="宋体" w:hAnsi="宋体"/>
        </w:rPr>
      </w:pPr>
      <w:r>
        <w:rPr>
          <w:rFonts w:hint="eastAsia" w:ascii="宋体" w:hAnsi="宋体"/>
        </w:rPr>
        <w:t>方式：绿化养护采取承包方式----实行乙方包工、包料、包管理的全方位责任制，由乙方提供大厦绿化所需各种花卉品种，对承包范围内的花卉实施全过程养护。甲方对乙方的绿化服务质量和养护质量实行监督检查。</w:t>
      </w:r>
    </w:p>
    <w:p>
      <w:pPr>
        <w:spacing w:line="300" w:lineRule="exact"/>
        <w:ind w:firstLine="210" w:firstLineChars="100"/>
        <w:rPr>
          <w:rFonts w:ascii="宋体" w:hAnsi="宋体"/>
        </w:rPr>
      </w:pPr>
    </w:p>
    <w:p>
      <w:pPr>
        <w:spacing w:line="300" w:lineRule="exact"/>
        <w:rPr>
          <w:rFonts w:ascii="宋体" w:hAnsi="宋体"/>
          <w:b/>
          <w:bCs/>
        </w:rPr>
      </w:pPr>
      <w:r>
        <w:rPr>
          <w:rFonts w:hint="eastAsia" w:ascii="宋体" w:hAnsi="宋体"/>
          <w:b/>
          <w:bCs/>
        </w:rPr>
        <w:t>第五条 绿化费用及付款方式</w:t>
      </w:r>
    </w:p>
    <w:p>
      <w:pPr>
        <w:spacing w:line="300" w:lineRule="exact"/>
        <w:rPr>
          <w:rFonts w:ascii="宋体" w:hAnsi="宋体"/>
        </w:rPr>
      </w:pPr>
      <w:r>
        <w:rPr>
          <w:rFonts w:hint="eastAsia" w:ascii="宋体" w:hAnsi="宋体"/>
        </w:rPr>
        <w:t>1、月绿化费用总计为人民币：</w:t>
      </w:r>
      <w:r>
        <w:rPr>
          <w:rFonts w:hint="eastAsia" w:ascii="宋体" w:hAnsi="宋体"/>
          <w:u w:val="single"/>
        </w:rPr>
        <w:t xml:space="preserve">                              </w:t>
      </w:r>
      <w:r>
        <w:rPr>
          <w:rFonts w:hint="eastAsia" w:ascii="宋体" w:hAnsi="宋体"/>
        </w:rPr>
        <w:t xml:space="preserve">  详细清单如下：</w:t>
      </w:r>
    </w:p>
    <w:p>
      <w:pPr>
        <w:spacing w:line="300" w:lineRule="exact"/>
        <w:rPr>
          <w:rFonts w:ascii="宋体" w:hAnsi="宋体"/>
        </w:rPr>
      </w:pPr>
      <w:r>
        <w:rPr>
          <w:rFonts w:hint="eastAsia" w:ascii="宋体" w:hAnsi="宋体"/>
        </w:rPr>
        <w:t>2、乙方每月   日开出当月绿化费（纳税发票）给甲方，甲方在受到乙方开出发票    日内，以转帐形式将应付款转入乙方公司的银行帐号。</w:t>
      </w:r>
    </w:p>
    <w:p>
      <w:pPr>
        <w:spacing w:line="300" w:lineRule="exact"/>
        <w:rPr>
          <w:rFonts w:ascii="宋体" w:hAnsi="宋体"/>
          <w:b/>
          <w:bCs/>
        </w:rPr>
      </w:pPr>
    </w:p>
    <w:p>
      <w:pPr>
        <w:spacing w:line="300" w:lineRule="exact"/>
        <w:rPr>
          <w:rFonts w:ascii="宋体" w:hAnsi="宋体"/>
          <w:b/>
          <w:bCs/>
        </w:rPr>
      </w:pPr>
      <w:r>
        <w:rPr>
          <w:rFonts w:hint="eastAsia" w:ascii="宋体" w:hAnsi="宋体"/>
          <w:b/>
          <w:bCs/>
        </w:rPr>
        <w:t>第六条 验收标准和方式：</w:t>
      </w:r>
    </w:p>
    <w:p>
      <w:pPr>
        <w:spacing w:line="300" w:lineRule="exact"/>
        <w:ind w:firstLine="210" w:firstLineChars="100"/>
        <w:rPr>
          <w:rFonts w:ascii="宋体" w:hAnsi="宋体"/>
        </w:rPr>
      </w:pPr>
      <w:r>
        <w:rPr>
          <w:rFonts w:hint="eastAsia" w:ascii="宋体" w:hAnsi="宋体"/>
        </w:rPr>
        <w:t xml:space="preserve">    在服务期内发现服务质量问题的，乙方应当负责返工或采取补救措施。</w:t>
      </w:r>
    </w:p>
    <w:p>
      <w:pPr>
        <w:spacing w:line="300" w:lineRule="exact"/>
        <w:rPr>
          <w:rFonts w:ascii="宋体" w:hAnsi="宋体"/>
          <w:b/>
          <w:bCs/>
        </w:rPr>
      </w:pPr>
    </w:p>
    <w:p>
      <w:pPr>
        <w:spacing w:line="300" w:lineRule="exact"/>
        <w:rPr>
          <w:rFonts w:ascii="宋体" w:hAnsi="宋体"/>
          <w:b/>
          <w:bCs/>
        </w:rPr>
      </w:pPr>
      <w:r>
        <w:rPr>
          <w:rFonts w:hint="eastAsia" w:ascii="宋体" w:hAnsi="宋体"/>
          <w:b/>
          <w:bCs/>
        </w:rPr>
        <w:t>第七条 甲方的权利和义务：</w:t>
      </w:r>
    </w:p>
    <w:p>
      <w:pPr>
        <w:numPr>
          <w:ilvl w:val="0"/>
          <w:numId w:val="28"/>
        </w:numPr>
        <w:spacing w:line="300" w:lineRule="exact"/>
        <w:rPr>
          <w:rFonts w:ascii="宋体" w:hAnsi="宋体"/>
        </w:rPr>
      </w:pPr>
      <w:r>
        <w:rPr>
          <w:rFonts w:hint="eastAsia" w:ascii="宋体" w:hAnsi="宋体"/>
        </w:rPr>
        <w:t>负责在深圳会展中心绿化带及公共区域设置爱护花卉的示意宣传牌，协助乙方作好展馆红线范围内的绿化养护工作；</w:t>
      </w:r>
    </w:p>
    <w:p>
      <w:pPr>
        <w:numPr>
          <w:ilvl w:val="0"/>
          <w:numId w:val="28"/>
        </w:numPr>
        <w:spacing w:line="300" w:lineRule="exact"/>
        <w:rPr>
          <w:rFonts w:ascii="宋体" w:hAnsi="宋体"/>
        </w:rPr>
      </w:pPr>
      <w:r>
        <w:rPr>
          <w:rFonts w:hint="eastAsia" w:ascii="宋体" w:hAnsi="宋体"/>
        </w:rPr>
        <w:t>负责监督管理深圳会展中心的绿化工作。并对花卉标准、品种、质量、维护、调整、换花时间的项事宜进行监督检查，发现问题可随时要求乙方进行整改，如果乙方绿化养护工作质量达不到双方约定的承包质量标准，甲方有权要求乙方进行整改直至解除合同；</w:t>
      </w:r>
    </w:p>
    <w:p>
      <w:pPr>
        <w:numPr>
          <w:ilvl w:val="0"/>
          <w:numId w:val="28"/>
        </w:numPr>
        <w:spacing w:line="300" w:lineRule="exact"/>
        <w:rPr>
          <w:rFonts w:ascii="宋体" w:hAnsi="宋体"/>
        </w:rPr>
      </w:pPr>
      <w:r>
        <w:rPr>
          <w:rFonts w:hint="eastAsia" w:ascii="宋体" w:hAnsi="宋体"/>
        </w:rPr>
        <w:t>如遇到投诉问题，应及时到场处理，并记录处理解决的时间，对投诉未解决的视投诉的具体情况必要时依合同处理；</w:t>
      </w:r>
    </w:p>
    <w:p>
      <w:pPr>
        <w:numPr>
          <w:ilvl w:val="0"/>
          <w:numId w:val="28"/>
        </w:numPr>
        <w:spacing w:line="300" w:lineRule="exact"/>
        <w:rPr>
          <w:rFonts w:ascii="宋体" w:hAnsi="宋体"/>
        </w:rPr>
      </w:pPr>
      <w:r>
        <w:rPr>
          <w:rFonts w:hint="eastAsia" w:ascii="宋体" w:hAnsi="宋体"/>
        </w:rPr>
        <w:t>免费提供绿化用水、用电；</w:t>
      </w:r>
    </w:p>
    <w:p>
      <w:pPr>
        <w:spacing w:line="300" w:lineRule="exact"/>
        <w:rPr>
          <w:rFonts w:ascii="宋体" w:hAnsi="宋体"/>
          <w:b/>
          <w:bCs/>
        </w:rPr>
      </w:pPr>
    </w:p>
    <w:p>
      <w:pPr>
        <w:spacing w:line="300" w:lineRule="exact"/>
        <w:rPr>
          <w:rFonts w:ascii="宋体" w:hAnsi="宋体"/>
          <w:b/>
          <w:bCs/>
        </w:rPr>
      </w:pPr>
      <w:r>
        <w:rPr>
          <w:rFonts w:hint="eastAsia" w:ascii="宋体" w:hAnsi="宋体"/>
          <w:b/>
          <w:bCs/>
        </w:rPr>
        <w:t>第八条 乙方的权利和义务：</w:t>
      </w:r>
    </w:p>
    <w:p>
      <w:pPr>
        <w:numPr>
          <w:ilvl w:val="0"/>
          <w:numId w:val="29"/>
        </w:numPr>
        <w:spacing w:line="300" w:lineRule="exact"/>
        <w:rPr>
          <w:rFonts w:ascii="宋体" w:hAnsi="宋体"/>
        </w:rPr>
      </w:pPr>
      <w:r>
        <w:rPr>
          <w:rFonts w:hint="eastAsia" w:ascii="宋体" w:hAnsi="宋体"/>
        </w:rPr>
        <w:t>遵守甲方的管理制度及有关规定，服从甲方的监督管理；</w:t>
      </w:r>
    </w:p>
    <w:p>
      <w:pPr>
        <w:numPr>
          <w:ilvl w:val="0"/>
          <w:numId w:val="29"/>
        </w:numPr>
        <w:spacing w:line="300" w:lineRule="exact"/>
        <w:rPr>
          <w:rFonts w:ascii="宋体" w:hAnsi="宋体"/>
        </w:rPr>
      </w:pPr>
      <w:r>
        <w:rPr>
          <w:rFonts w:hint="eastAsia" w:ascii="宋体" w:hAnsi="宋体"/>
        </w:rPr>
        <w:t>乙方按甲方要求提供的各种花卉、植物，应长势良好、生计盎然。每月所提供花卉不得少于计：</w:t>
      </w:r>
      <w:r>
        <w:rPr>
          <w:rFonts w:hint="eastAsia" w:ascii="宋体" w:hAnsi="宋体"/>
          <w:u w:val="single"/>
        </w:rPr>
        <w:t xml:space="preserve">                                         </w:t>
      </w:r>
      <w:r>
        <w:rPr>
          <w:rFonts w:hint="eastAsia" w:ascii="宋体" w:hAnsi="宋体"/>
        </w:rPr>
        <w:t xml:space="preserve"> </w:t>
      </w:r>
    </w:p>
    <w:p>
      <w:pPr>
        <w:numPr>
          <w:ilvl w:val="0"/>
          <w:numId w:val="29"/>
        </w:numPr>
        <w:spacing w:line="300" w:lineRule="exact"/>
        <w:rPr>
          <w:rFonts w:ascii="宋体" w:hAnsi="宋体"/>
        </w:rPr>
      </w:pPr>
      <w:r>
        <w:rPr>
          <w:rFonts w:hint="eastAsia" w:ascii="宋体" w:hAnsi="宋体"/>
        </w:rPr>
        <w:t>乙方必须安排综合素质较高的员工负责大厦绿化及日常养护工作，保证绿化维护人员的相对稳定，并对员工进行必要的遵纪守法、思想品德教育及业务培训；</w:t>
      </w:r>
    </w:p>
    <w:p>
      <w:pPr>
        <w:numPr>
          <w:ilvl w:val="0"/>
          <w:numId w:val="29"/>
        </w:numPr>
        <w:spacing w:line="300" w:lineRule="exact"/>
        <w:rPr>
          <w:rFonts w:ascii="宋体" w:hAnsi="宋体"/>
        </w:rPr>
      </w:pPr>
      <w:r>
        <w:rPr>
          <w:rFonts w:hint="eastAsia" w:ascii="宋体" w:hAnsi="宋体"/>
        </w:rPr>
        <w:t>负责乙方员工的管理，办理有关保险，提供相关证件，保证绿化员工持有效、合法证件上岗，并穿着整洁统一工作服，佩带统一工作卡；</w:t>
      </w:r>
    </w:p>
    <w:p>
      <w:pPr>
        <w:numPr>
          <w:ilvl w:val="0"/>
          <w:numId w:val="29"/>
        </w:numPr>
        <w:spacing w:line="300" w:lineRule="exact"/>
        <w:rPr>
          <w:rFonts w:ascii="宋体" w:hAnsi="宋体"/>
        </w:rPr>
      </w:pPr>
      <w:r>
        <w:rPr>
          <w:rFonts w:hint="eastAsia" w:ascii="宋体" w:hAnsi="宋体"/>
        </w:rPr>
        <w:t>教育员工自觉遵守甲方管理的各项规章制度及上级主管部门有关绿化管理规定，如违反甲方规定或损坏甲方公物，危害甲方利益，一切责任由乙方承担；</w:t>
      </w:r>
    </w:p>
    <w:p>
      <w:pPr>
        <w:numPr>
          <w:ilvl w:val="0"/>
          <w:numId w:val="29"/>
        </w:numPr>
        <w:spacing w:line="300" w:lineRule="exact"/>
        <w:rPr>
          <w:rFonts w:ascii="宋体" w:hAnsi="宋体"/>
        </w:rPr>
      </w:pPr>
      <w:r>
        <w:rPr>
          <w:rFonts w:hint="eastAsia" w:ascii="宋体" w:hAnsi="宋体"/>
        </w:rPr>
        <w:t>乙方应按规定文明服务，自觉爱护公物，乙方人员在工作中损坏甲方或业主、客户财产，经查属实，后果由乙方自负。</w:t>
      </w:r>
    </w:p>
    <w:p>
      <w:pPr>
        <w:numPr>
          <w:ilvl w:val="0"/>
          <w:numId w:val="29"/>
        </w:numPr>
        <w:spacing w:line="300" w:lineRule="exact"/>
        <w:rPr>
          <w:rFonts w:ascii="宋体" w:hAnsi="宋体"/>
        </w:rPr>
      </w:pPr>
      <w:r>
        <w:rPr>
          <w:rFonts w:hint="eastAsia" w:ascii="宋体" w:hAnsi="宋体"/>
        </w:rPr>
        <w:t>节约使用水电，严守有关水电使用规定，节约用水用点，降低成本费用。</w:t>
      </w:r>
    </w:p>
    <w:p>
      <w:pPr>
        <w:numPr>
          <w:ilvl w:val="0"/>
          <w:numId w:val="29"/>
        </w:numPr>
        <w:spacing w:line="300" w:lineRule="exact"/>
        <w:rPr>
          <w:rFonts w:ascii="宋体" w:hAnsi="宋体"/>
        </w:rPr>
      </w:pPr>
      <w:r>
        <w:rPr>
          <w:rFonts w:hint="eastAsia" w:ascii="宋体" w:hAnsi="宋体"/>
        </w:rPr>
        <w:t>乙方因管理不周，造成绿化带花草的损坏或死亡，所发生的一切费用由乙方自负；</w:t>
      </w:r>
    </w:p>
    <w:p>
      <w:pPr>
        <w:numPr>
          <w:ilvl w:val="0"/>
          <w:numId w:val="29"/>
        </w:numPr>
        <w:spacing w:line="300" w:lineRule="exact"/>
        <w:rPr>
          <w:rFonts w:ascii="宋体" w:hAnsi="宋体"/>
        </w:rPr>
      </w:pPr>
      <w:r>
        <w:rPr>
          <w:rFonts w:hint="eastAsia" w:ascii="宋体" w:hAnsi="宋体"/>
        </w:rPr>
        <w:t>乙方在合同期内，由于管理不善，造成甲方花卉较大损失，甲方除要求乙方赔偿经济损失外、有权提出解除合同。但无特殊原因在合同期内需要终止合同的，违约方须免收（或多付）对方一个月绿化费用。</w:t>
      </w:r>
    </w:p>
    <w:p>
      <w:pPr>
        <w:numPr>
          <w:ilvl w:val="0"/>
          <w:numId w:val="29"/>
        </w:numPr>
        <w:spacing w:line="300" w:lineRule="exact"/>
        <w:rPr>
          <w:rFonts w:ascii="宋体" w:hAnsi="宋体"/>
        </w:rPr>
      </w:pPr>
      <w:r>
        <w:rPr>
          <w:rFonts w:hint="eastAsia" w:ascii="宋体" w:hAnsi="宋体"/>
        </w:rPr>
        <w:t>乙方应遵守相关劳动及用工法律法规和制度，安全生产。工作中发生一切伤亡事故由乙方负责；</w:t>
      </w:r>
    </w:p>
    <w:p>
      <w:pPr>
        <w:spacing w:line="300" w:lineRule="exact"/>
        <w:rPr>
          <w:rFonts w:ascii="宋体" w:hAnsi="宋体"/>
          <w:b/>
          <w:bCs/>
        </w:rPr>
      </w:pPr>
      <w:r>
        <w:rPr>
          <w:rFonts w:hint="eastAsia" w:ascii="宋体" w:hAnsi="宋体"/>
          <w:b/>
          <w:bCs/>
        </w:rPr>
        <w:t>第八条 绿化服务要求标准：</w:t>
      </w:r>
    </w:p>
    <w:p>
      <w:pPr>
        <w:spacing w:line="300" w:lineRule="exact"/>
        <w:ind w:firstLine="420" w:firstLineChars="200"/>
        <w:rPr>
          <w:rFonts w:ascii="宋体" w:hAnsi="宋体"/>
        </w:rPr>
      </w:pPr>
      <w:r>
        <w:rPr>
          <w:rFonts w:hint="eastAsia" w:ascii="宋体" w:hAnsi="宋体"/>
        </w:rPr>
        <w:t>乙方根据甲方的委托管理事项制定出本物业“绿化服务方案”</w:t>
      </w:r>
      <w:r>
        <w:rPr>
          <w:rFonts w:ascii="宋体" w:hAnsi="宋体"/>
        </w:rPr>
        <w:t xml:space="preserve">, </w:t>
      </w:r>
      <w:r>
        <w:rPr>
          <w:rFonts w:hint="eastAsia" w:ascii="宋体" w:hAnsi="宋体"/>
        </w:rPr>
        <w:t>与甲方协商同意后作为本合同的必备附件。</w:t>
      </w:r>
    </w:p>
    <w:p>
      <w:pPr>
        <w:spacing w:line="300" w:lineRule="exact"/>
        <w:rPr>
          <w:rFonts w:ascii="宋体" w:hAnsi="宋体"/>
          <w:b/>
          <w:bCs/>
        </w:rPr>
      </w:pPr>
      <w:r>
        <w:rPr>
          <w:rFonts w:hint="eastAsia" w:ascii="宋体" w:hAnsi="宋体"/>
          <w:b/>
          <w:bCs/>
        </w:rPr>
        <w:t>第九条 违约责任：</w:t>
      </w:r>
    </w:p>
    <w:p>
      <w:pPr>
        <w:numPr>
          <w:ilvl w:val="0"/>
          <w:numId w:val="30"/>
        </w:numPr>
        <w:spacing w:line="300" w:lineRule="exact"/>
        <w:rPr>
          <w:rFonts w:ascii="宋体" w:hAnsi="宋体"/>
        </w:rPr>
      </w:pPr>
      <w:r>
        <w:rPr>
          <w:rFonts w:hint="eastAsia" w:ascii="宋体" w:hAnsi="宋体"/>
        </w:rPr>
        <w:t>如因甲方原因</w:t>
      </w:r>
      <w:r>
        <w:rPr>
          <w:rFonts w:ascii="宋体" w:hAnsi="宋体"/>
        </w:rPr>
        <w:t xml:space="preserve">, </w:t>
      </w:r>
      <w:r>
        <w:rPr>
          <w:rFonts w:hint="eastAsia" w:ascii="宋体" w:hAnsi="宋体"/>
        </w:rPr>
        <w:t>造成乙方未完成规定管理目标或直接造成乙方经济损失的</w:t>
      </w:r>
      <w:r>
        <w:rPr>
          <w:rFonts w:ascii="宋体" w:hAnsi="宋体"/>
        </w:rPr>
        <w:t xml:space="preserve">, </w:t>
      </w:r>
      <w:r>
        <w:rPr>
          <w:rFonts w:hint="eastAsia" w:ascii="宋体" w:hAnsi="宋体"/>
        </w:rPr>
        <w:t>甲方应给予乙方相应补偿</w:t>
      </w:r>
      <w:r>
        <w:rPr>
          <w:rFonts w:ascii="宋体" w:hAnsi="宋体"/>
        </w:rPr>
        <w:t xml:space="preserve">; </w:t>
      </w:r>
      <w:r>
        <w:rPr>
          <w:rFonts w:hint="eastAsia" w:ascii="宋体" w:hAnsi="宋体"/>
        </w:rPr>
        <w:t>乙方有权要求甲方限期整改</w:t>
      </w:r>
      <w:r>
        <w:rPr>
          <w:rFonts w:ascii="宋体" w:hAnsi="宋体"/>
        </w:rPr>
        <w:t xml:space="preserve">, </w:t>
      </w:r>
      <w:r>
        <w:rPr>
          <w:rFonts w:hint="eastAsia" w:ascii="宋体" w:hAnsi="宋体"/>
        </w:rPr>
        <w:t>并有权终止合同。</w:t>
      </w:r>
    </w:p>
    <w:p>
      <w:pPr>
        <w:numPr>
          <w:ilvl w:val="0"/>
          <w:numId w:val="30"/>
        </w:numPr>
        <w:spacing w:line="300" w:lineRule="exact"/>
        <w:rPr>
          <w:rFonts w:ascii="宋体" w:hAnsi="宋体"/>
        </w:rPr>
      </w:pPr>
      <w:r>
        <w:rPr>
          <w:rFonts w:hint="eastAsia" w:ascii="宋体" w:hAnsi="宋体"/>
        </w:rPr>
        <w:t>如因乙方原因</w:t>
      </w:r>
      <w:r>
        <w:rPr>
          <w:rFonts w:ascii="宋体" w:hAnsi="宋体"/>
        </w:rPr>
        <w:t xml:space="preserve">, </w:t>
      </w:r>
      <w:r>
        <w:rPr>
          <w:rFonts w:hint="eastAsia" w:ascii="宋体" w:hAnsi="宋体"/>
        </w:rPr>
        <w:t>造成不能完成管理目标或直接造成甲方经济损失的</w:t>
      </w:r>
      <w:r>
        <w:rPr>
          <w:rFonts w:ascii="宋体" w:hAnsi="宋体"/>
        </w:rPr>
        <w:t xml:space="preserve">, </w:t>
      </w:r>
      <w:r>
        <w:rPr>
          <w:rFonts w:hint="eastAsia" w:ascii="宋体" w:hAnsi="宋体"/>
        </w:rPr>
        <w:t>乙方应给予甲方相应补偿。甲方有权要求乙方限期整改</w:t>
      </w:r>
      <w:r>
        <w:rPr>
          <w:rFonts w:ascii="宋体" w:hAnsi="宋体"/>
        </w:rPr>
        <w:t xml:space="preserve">, </w:t>
      </w:r>
      <w:r>
        <w:rPr>
          <w:rFonts w:hint="eastAsia" w:ascii="宋体" w:hAnsi="宋体"/>
        </w:rPr>
        <w:t>并有权终止合同。</w:t>
      </w:r>
    </w:p>
    <w:p>
      <w:pPr>
        <w:numPr>
          <w:ilvl w:val="0"/>
          <w:numId w:val="30"/>
        </w:numPr>
        <w:spacing w:line="300" w:lineRule="exact"/>
        <w:rPr>
          <w:rFonts w:ascii="宋体" w:hAnsi="宋体"/>
        </w:rPr>
      </w:pPr>
      <w:r>
        <w:rPr>
          <w:rFonts w:hint="eastAsia" w:ascii="宋体" w:hAnsi="宋体"/>
        </w:rPr>
        <w:t>因甲方建筑或设施设备质量或安装技术等原因</w:t>
      </w:r>
      <w:r>
        <w:rPr>
          <w:rFonts w:ascii="宋体" w:hAnsi="宋体"/>
        </w:rPr>
        <w:t xml:space="preserve">, </w:t>
      </w:r>
      <w:r>
        <w:rPr>
          <w:rFonts w:hint="eastAsia" w:ascii="宋体" w:hAnsi="宋体"/>
        </w:rPr>
        <w:t>造成重大事故的</w:t>
      </w:r>
      <w:r>
        <w:rPr>
          <w:rFonts w:ascii="宋体" w:hAnsi="宋体"/>
        </w:rPr>
        <w:t xml:space="preserve">, </w:t>
      </w:r>
      <w:r>
        <w:rPr>
          <w:rFonts w:hint="eastAsia" w:ascii="宋体" w:hAnsi="宋体"/>
        </w:rPr>
        <w:t>由甲方承担责任并负责善后处理。因乙方管理不善或操作不当等原因造成重大事故的</w:t>
      </w:r>
      <w:r>
        <w:rPr>
          <w:rFonts w:ascii="宋体" w:hAnsi="宋体"/>
        </w:rPr>
        <w:t xml:space="preserve">, </w:t>
      </w:r>
      <w:r>
        <w:rPr>
          <w:rFonts w:hint="eastAsia" w:ascii="宋体" w:hAnsi="宋体"/>
        </w:rPr>
        <w:t>由乙方承担责任并负责善后处理。</w:t>
      </w:r>
      <w:r>
        <w:rPr>
          <w:rFonts w:ascii="宋体" w:hAnsi="宋体"/>
        </w:rPr>
        <w:t>(</w:t>
      </w:r>
      <w:r>
        <w:rPr>
          <w:rFonts w:hint="eastAsia" w:ascii="宋体" w:hAnsi="宋体"/>
        </w:rPr>
        <w:t>产生事故的直接原因</w:t>
      </w:r>
      <w:r>
        <w:rPr>
          <w:rFonts w:ascii="宋体" w:hAnsi="宋体"/>
        </w:rPr>
        <w:t xml:space="preserve">, </w:t>
      </w:r>
      <w:r>
        <w:rPr>
          <w:rFonts w:hint="eastAsia" w:ascii="宋体" w:hAnsi="宋体"/>
        </w:rPr>
        <w:t>以政府有关部门的鉴定结论为准</w:t>
      </w:r>
      <w:r>
        <w:rPr>
          <w:rFonts w:ascii="宋体" w:hAnsi="宋体"/>
        </w:rPr>
        <w:t>)</w:t>
      </w:r>
    </w:p>
    <w:p>
      <w:pPr>
        <w:spacing w:line="300" w:lineRule="exact"/>
        <w:ind w:firstLine="210" w:firstLineChars="100"/>
        <w:rPr>
          <w:rFonts w:ascii="宋体" w:hAnsi="宋体"/>
        </w:rPr>
      </w:pPr>
      <w:r>
        <w:rPr>
          <w:rFonts w:hint="eastAsia" w:ascii="宋体" w:hAnsi="宋体"/>
        </w:rPr>
        <w:t>如因甲方违约</w:t>
      </w:r>
      <w:r>
        <w:rPr>
          <w:rFonts w:ascii="宋体" w:hAnsi="宋体"/>
        </w:rPr>
        <w:t xml:space="preserve">, </w:t>
      </w:r>
      <w:r>
        <w:rPr>
          <w:rFonts w:hint="eastAsia" w:ascii="宋体" w:hAnsi="宋体"/>
        </w:rPr>
        <w:t>甲方将返回乙方风险抵押金</w:t>
      </w:r>
      <w:r>
        <w:rPr>
          <w:rFonts w:ascii="宋体" w:hAnsi="宋体"/>
        </w:rPr>
        <w:t xml:space="preserve">, </w:t>
      </w:r>
      <w:r>
        <w:rPr>
          <w:rFonts w:hint="eastAsia" w:ascii="宋体" w:hAnsi="宋体"/>
        </w:rPr>
        <w:t>并承担对乙方造成的全部经济损失。</w:t>
      </w:r>
    </w:p>
    <w:p>
      <w:pPr>
        <w:spacing w:line="300" w:lineRule="exact"/>
        <w:rPr>
          <w:rFonts w:ascii="宋体" w:hAnsi="宋体"/>
          <w:b/>
          <w:bCs/>
        </w:rPr>
      </w:pPr>
      <w:r>
        <w:rPr>
          <w:rFonts w:hint="eastAsia" w:ascii="宋体" w:hAnsi="宋体"/>
          <w:b/>
          <w:bCs/>
        </w:rPr>
        <w:t>第十条 特殊及紧急情况的处理</w:t>
      </w:r>
    </w:p>
    <w:p>
      <w:pPr>
        <w:numPr>
          <w:ilvl w:val="0"/>
          <w:numId w:val="31"/>
        </w:numPr>
        <w:spacing w:line="300" w:lineRule="exact"/>
        <w:rPr>
          <w:rFonts w:ascii="宋体" w:hAnsi="宋体"/>
        </w:rPr>
      </w:pPr>
      <w:r>
        <w:rPr>
          <w:rFonts w:hint="eastAsia" w:ascii="宋体" w:hAnsi="宋体"/>
        </w:rPr>
        <w:t>如有主管单位检查绿化及上级领导视察、参观等，甲方将根据需要通知乙方，乙方将根据具体情况调整绿化工作安排，调派机动人员，协助大厦加强绿化工作；</w:t>
      </w:r>
    </w:p>
    <w:p>
      <w:pPr>
        <w:numPr>
          <w:ilvl w:val="0"/>
          <w:numId w:val="31"/>
        </w:numPr>
        <w:spacing w:line="300" w:lineRule="exact"/>
        <w:rPr>
          <w:rFonts w:ascii="宋体" w:hAnsi="宋体"/>
        </w:rPr>
      </w:pPr>
      <w:r>
        <w:rPr>
          <w:rFonts w:hint="eastAsia" w:ascii="宋体" w:hAnsi="宋体"/>
        </w:rPr>
        <w:t>如遇自然灾害，如台风、暴雨等，乙方应密切关注天气预报，提前加强会展中心绿化植物防风、防雨工作，并及时到现场采取措施，事后全面检查承包合同范围内的花卉、植物，最大限度的降低因自然灾害而造成的绿化损失；</w:t>
      </w:r>
    </w:p>
    <w:p>
      <w:pPr>
        <w:numPr>
          <w:ilvl w:val="0"/>
          <w:numId w:val="31"/>
        </w:numPr>
        <w:spacing w:line="300" w:lineRule="exact"/>
        <w:rPr>
          <w:rFonts w:ascii="宋体" w:hAnsi="宋体"/>
        </w:rPr>
      </w:pPr>
      <w:r>
        <w:rPr>
          <w:rFonts w:hint="eastAsia" w:ascii="宋体" w:hAnsi="宋体"/>
        </w:rPr>
        <w:t>乙方需无条件的配合甲方的紧急任务及活动，服从调遣，帮助处理其力所能及的事务，如会务需要临时增加花卉品种、数量等；</w:t>
      </w:r>
    </w:p>
    <w:p>
      <w:pPr>
        <w:numPr>
          <w:ilvl w:val="0"/>
          <w:numId w:val="31"/>
        </w:numPr>
        <w:spacing w:line="300" w:lineRule="exact"/>
        <w:rPr>
          <w:rFonts w:ascii="宋体" w:hAnsi="宋体"/>
        </w:rPr>
      </w:pPr>
      <w:r>
        <w:rPr>
          <w:rFonts w:hint="eastAsia" w:ascii="宋体" w:hAnsi="宋体"/>
        </w:rPr>
        <w:t>乙方不得就本条所承诺的各项工作收取任何费用。</w:t>
      </w:r>
    </w:p>
    <w:p>
      <w:pPr>
        <w:spacing w:line="300" w:lineRule="exact"/>
        <w:ind w:firstLine="210" w:firstLineChars="100"/>
        <w:rPr>
          <w:rFonts w:ascii="宋体" w:hAnsi="宋体"/>
        </w:rPr>
      </w:pPr>
    </w:p>
    <w:p>
      <w:pPr>
        <w:spacing w:line="300" w:lineRule="exact"/>
        <w:rPr>
          <w:rFonts w:ascii="宋体" w:hAnsi="宋体"/>
          <w:b/>
          <w:bCs/>
        </w:rPr>
      </w:pPr>
      <w:r>
        <w:rPr>
          <w:rFonts w:hint="eastAsia" w:ascii="宋体" w:hAnsi="宋体"/>
          <w:b/>
          <w:bCs/>
        </w:rPr>
        <w:t>第十一条 违约金或者损失赔偿额的计算方法：</w:t>
      </w:r>
    </w:p>
    <w:p>
      <w:pPr>
        <w:numPr>
          <w:ilvl w:val="0"/>
          <w:numId w:val="32"/>
        </w:numPr>
        <w:spacing w:line="300" w:lineRule="exact"/>
        <w:rPr>
          <w:rFonts w:ascii="宋体" w:hAnsi="宋体"/>
        </w:rPr>
      </w:pPr>
      <w:r>
        <w:rPr>
          <w:rFonts w:hint="eastAsia" w:ascii="宋体" w:hAnsi="宋体"/>
        </w:rPr>
        <w:t>如发现乙方人员有偷窃行为，第一次甲方将扣除履约保证金的20%，乙方必须立刻开除有偷窃行为人员；第二次发现乙方人员有偷窃行为，除乙方应立刻开除有偷窃行为人员外，甲方将扣除履约保证金的50%，如偷窃行为第三次发生，甲方有权立刻终止合同，并扣除全部履约保证金。</w:t>
      </w:r>
    </w:p>
    <w:p>
      <w:pPr>
        <w:numPr>
          <w:ilvl w:val="0"/>
          <w:numId w:val="32"/>
        </w:numPr>
        <w:spacing w:line="300" w:lineRule="exact"/>
        <w:rPr>
          <w:rFonts w:ascii="宋体" w:hAnsi="宋体"/>
        </w:rPr>
      </w:pPr>
      <w:r>
        <w:rPr>
          <w:rFonts w:hint="eastAsia" w:ascii="宋体" w:hAnsi="宋体"/>
        </w:rPr>
        <w:t xml:space="preserve">对于投资大厦绿化问题的有效投诉率应控制在 </w:t>
      </w:r>
      <w:r>
        <w:rPr>
          <w:rFonts w:hint="eastAsia" w:ascii="宋体" w:hAnsi="宋体"/>
          <w:u w:val="single"/>
        </w:rPr>
        <w:t xml:space="preserve">                   </w:t>
      </w:r>
      <w:r>
        <w:rPr>
          <w:rFonts w:hint="eastAsia" w:ascii="宋体" w:hAnsi="宋体"/>
        </w:rPr>
        <w:t xml:space="preserve">  范围内，如超出此标准，甲方将按</w:t>
      </w:r>
      <w:r>
        <w:rPr>
          <w:rFonts w:hint="eastAsia" w:ascii="宋体" w:hAnsi="宋体"/>
          <w:u w:val="single"/>
        </w:rPr>
        <w:t xml:space="preserve">                                              </w:t>
      </w:r>
    </w:p>
    <w:p>
      <w:pPr>
        <w:spacing w:line="300" w:lineRule="exact"/>
        <w:ind w:left="105" w:firstLine="254" w:firstLineChars="121"/>
        <w:rPr>
          <w:rFonts w:ascii="宋体" w:hAnsi="宋体"/>
        </w:rPr>
      </w:pPr>
      <w:r>
        <w:rPr>
          <w:rFonts w:hint="eastAsia" w:ascii="宋体" w:hAnsi="宋体"/>
          <w:u w:val="single"/>
        </w:rPr>
        <w:t xml:space="preserve">                            </w:t>
      </w:r>
      <w:r>
        <w:rPr>
          <w:rFonts w:hint="eastAsia" w:ascii="宋体" w:hAnsi="宋体"/>
        </w:rPr>
        <w:t>标准惩罚。</w:t>
      </w:r>
    </w:p>
    <w:p>
      <w:pPr>
        <w:spacing w:line="300" w:lineRule="exact"/>
        <w:ind w:firstLine="210" w:firstLineChars="100"/>
        <w:rPr>
          <w:rFonts w:ascii="宋体" w:hAnsi="宋体"/>
        </w:rPr>
      </w:pPr>
    </w:p>
    <w:p>
      <w:pPr>
        <w:spacing w:line="300" w:lineRule="exact"/>
        <w:rPr>
          <w:rFonts w:ascii="宋体" w:hAnsi="宋体"/>
          <w:b/>
          <w:bCs/>
        </w:rPr>
      </w:pPr>
      <w:r>
        <w:rPr>
          <w:rFonts w:hint="eastAsia" w:ascii="宋体" w:hAnsi="宋体"/>
          <w:b/>
          <w:bCs/>
        </w:rPr>
        <w:t>第十二条 合同争议的解决方法：</w:t>
      </w:r>
    </w:p>
    <w:p>
      <w:pPr>
        <w:spacing w:line="300" w:lineRule="exact"/>
        <w:ind w:firstLine="210" w:firstLineChars="100"/>
        <w:rPr>
          <w:rFonts w:ascii="宋体" w:hAnsi="宋体"/>
        </w:rPr>
      </w:pPr>
      <w:r>
        <w:rPr>
          <w:rFonts w:hint="eastAsia" w:ascii="宋体" w:hAnsi="宋体"/>
        </w:rPr>
        <w:t>在合同履行过程中发生争议，双方应当协商解决，也可以请求</w:t>
      </w:r>
      <w:r>
        <w:rPr>
          <w:rFonts w:hint="eastAsia" w:ascii="宋体" w:hAnsi="宋体"/>
          <w:u w:val="single"/>
        </w:rPr>
        <w:t xml:space="preserve">      </w:t>
      </w:r>
      <w:r>
        <w:rPr>
          <w:rFonts w:hint="eastAsia" w:ascii="宋体" w:hAnsi="宋体"/>
        </w:rPr>
        <w:t>进行调解。当事人不愿协商、调解解决或者协商、调解不成的，双方商定，采用以下第</w:t>
      </w:r>
      <w:r>
        <w:rPr>
          <w:rFonts w:hint="eastAsia" w:ascii="宋体" w:hAnsi="宋体"/>
          <w:u w:val="single"/>
        </w:rPr>
        <w:t xml:space="preserve">   </w:t>
      </w:r>
      <w:r>
        <w:rPr>
          <w:rFonts w:hint="eastAsia" w:ascii="宋体" w:hAnsi="宋体"/>
        </w:rPr>
        <w:t>种方式解决。</w:t>
      </w:r>
    </w:p>
    <w:p>
      <w:pPr>
        <w:spacing w:line="300" w:lineRule="exact"/>
        <w:ind w:firstLine="210" w:firstLineChars="100"/>
        <w:rPr>
          <w:rFonts w:ascii="宋体" w:hAnsi="宋体"/>
        </w:rPr>
      </w:pPr>
      <w:r>
        <w:rPr>
          <w:rFonts w:hint="eastAsia" w:ascii="宋体" w:hAnsi="宋体"/>
        </w:rPr>
        <w:t>（一）因本合同所发生任何争议，申请</w:t>
      </w:r>
      <w:r>
        <w:rPr>
          <w:rFonts w:hint="eastAsia" w:ascii="宋体" w:hAnsi="宋体"/>
          <w:u w:val="single"/>
        </w:rPr>
        <w:t xml:space="preserve">      </w:t>
      </w:r>
      <w:r>
        <w:rPr>
          <w:rFonts w:hint="eastAsia" w:ascii="宋体" w:hAnsi="宋体"/>
        </w:rPr>
        <w:t>仲裁委员会仲裁委员会仲裁；</w:t>
      </w:r>
    </w:p>
    <w:p>
      <w:pPr>
        <w:spacing w:line="300" w:lineRule="exact"/>
        <w:ind w:firstLine="210" w:firstLineChars="100"/>
        <w:rPr>
          <w:rFonts w:ascii="宋体" w:hAnsi="宋体"/>
        </w:rPr>
      </w:pPr>
      <w:r>
        <w:rPr>
          <w:rFonts w:hint="eastAsia" w:ascii="宋体" w:hAnsi="宋体"/>
        </w:rPr>
        <w:t>（二）向</w:t>
      </w:r>
      <w:r>
        <w:rPr>
          <w:rFonts w:hint="eastAsia" w:ascii="宋体" w:hAnsi="宋体"/>
          <w:u w:val="single"/>
        </w:rPr>
        <w:t xml:space="preserve">       </w:t>
      </w:r>
      <w:r>
        <w:rPr>
          <w:rFonts w:hint="eastAsia" w:ascii="宋体" w:hAnsi="宋体"/>
        </w:rPr>
        <w:t>人民法院起诉；</w:t>
      </w:r>
    </w:p>
    <w:p>
      <w:pPr>
        <w:spacing w:line="300" w:lineRule="exact"/>
        <w:rPr>
          <w:rFonts w:ascii="宋体" w:hAnsi="宋体"/>
        </w:rPr>
      </w:pPr>
      <w:r>
        <w:rPr>
          <w:rFonts w:hint="eastAsia" w:ascii="宋体" w:hAnsi="宋体"/>
        </w:rPr>
        <w:t>第十三条 本合同未尽事宜，由甲、乙双方协商解决。</w:t>
      </w:r>
    </w:p>
    <w:p>
      <w:pPr>
        <w:spacing w:line="300" w:lineRule="exact"/>
        <w:rPr>
          <w:rFonts w:ascii="宋体" w:hAnsi="宋体"/>
        </w:rPr>
      </w:pPr>
      <w:r>
        <w:rPr>
          <w:rFonts w:hint="eastAsia" w:ascii="宋体" w:hAnsi="宋体"/>
        </w:rPr>
        <w:t>第十四条 本合同壹式贰份，甲乙双方各执壹份，具有同等的法律效力。</w:t>
      </w:r>
    </w:p>
    <w:p>
      <w:pPr>
        <w:pStyle w:val="2"/>
      </w:pPr>
    </w:p>
    <w:p>
      <w:pPr>
        <w:pStyle w:val="2"/>
      </w:pPr>
    </w:p>
    <w:p>
      <w:pPr>
        <w:pStyle w:val="2"/>
      </w:pP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2"/>
        <w:gridCol w:w="3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2" w:type="dxa"/>
          </w:tcPr>
          <w:p>
            <w:pPr>
              <w:pStyle w:val="2"/>
              <w:rPr>
                <w:rFonts w:ascii="宋体" w:eastAsia="宋体"/>
                <w:szCs w:val="21"/>
              </w:rPr>
            </w:pPr>
            <w:r>
              <w:rPr>
                <w:rFonts w:hint="eastAsia" w:ascii="宋体" w:eastAsia="宋体"/>
                <w:szCs w:val="21"/>
              </w:rPr>
              <w:t>甲方（公章）：深圳会展中心管理有限责任公司</w:t>
            </w:r>
          </w:p>
          <w:p>
            <w:pPr>
              <w:pStyle w:val="2"/>
              <w:rPr>
                <w:rFonts w:ascii="宋体" w:eastAsia="宋体"/>
                <w:szCs w:val="21"/>
                <w:u w:val="single"/>
              </w:rPr>
            </w:pPr>
            <w:r>
              <w:rPr>
                <w:rFonts w:hint="eastAsia" w:ascii="宋体" w:eastAsia="宋体"/>
                <w:szCs w:val="21"/>
              </w:rPr>
              <w:t>甲方代表：</w:t>
            </w:r>
            <w:r>
              <w:rPr>
                <w:rFonts w:ascii="宋体" w:eastAsia="宋体"/>
                <w:szCs w:val="21"/>
                <w:u w:val="single"/>
              </w:rPr>
              <w:t xml:space="preserve">                  </w:t>
            </w:r>
          </w:p>
          <w:p>
            <w:pPr>
              <w:pStyle w:val="2"/>
              <w:rPr>
                <w:rFonts w:ascii="宋体" w:eastAsia="宋体"/>
                <w:szCs w:val="21"/>
                <w:u w:val="single"/>
              </w:rPr>
            </w:pPr>
            <w:r>
              <w:rPr>
                <w:rFonts w:hint="eastAsia" w:ascii="宋体" w:eastAsia="宋体"/>
                <w:szCs w:val="21"/>
              </w:rPr>
              <w:t>联系电话：</w:t>
            </w:r>
            <w:r>
              <w:rPr>
                <w:rFonts w:ascii="宋体" w:eastAsia="宋体"/>
                <w:szCs w:val="21"/>
                <w:u w:val="single"/>
              </w:rPr>
              <w:t xml:space="preserve">                  </w:t>
            </w:r>
          </w:p>
          <w:p>
            <w:pPr>
              <w:pStyle w:val="2"/>
              <w:rPr>
                <w:rFonts w:ascii="宋体" w:eastAsia="宋体"/>
              </w:rPr>
            </w:pPr>
          </w:p>
        </w:tc>
        <w:tc>
          <w:tcPr>
            <w:tcW w:w="3334" w:type="dxa"/>
          </w:tcPr>
          <w:p>
            <w:pPr>
              <w:pStyle w:val="2"/>
              <w:rPr>
                <w:rFonts w:ascii="宋体" w:eastAsia="宋体"/>
                <w:szCs w:val="21"/>
                <w:u w:val="single"/>
              </w:rPr>
            </w:pPr>
            <w:r>
              <w:rPr>
                <w:rFonts w:hint="eastAsia" w:ascii="宋体" w:eastAsia="宋体"/>
                <w:szCs w:val="21"/>
              </w:rPr>
              <w:t>乙方（公章）：</w:t>
            </w:r>
            <w:r>
              <w:rPr>
                <w:rFonts w:ascii="宋体" w:eastAsia="宋体"/>
                <w:szCs w:val="21"/>
                <w:u w:val="single"/>
              </w:rPr>
              <w:t xml:space="preserve">         </w:t>
            </w:r>
            <w:r>
              <w:rPr>
                <w:rFonts w:hint="eastAsia" w:ascii="宋体" w:eastAsia="宋体"/>
                <w:szCs w:val="21"/>
                <w:u w:val="single"/>
              </w:rPr>
              <w:t xml:space="preserve">    </w:t>
            </w:r>
            <w:r>
              <w:rPr>
                <w:rFonts w:ascii="宋体" w:eastAsia="宋体"/>
                <w:szCs w:val="21"/>
                <w:u w:val="single"/>
              </w:rPr>
              <w:t xml:space="preserve">         </w:t>
            </w:r>
          </w:p>
          <w:p>
            <w:pPr>
              <w:pStyle w:val="2"/>
              <w:rPr>
                <w:rFonts w:ascii="宋体" w:eastAsia="宋体"/>
                <w:szCs w:val="21"/>
                <w:u w:val="single"/>
              </w:rPr>
            </w:pPr>
            <w:r>
              <w:rPr>
                <w:rFonts w:hint="eastAsia" w:ascii="宋体" w:eastAsia="宋体"/>
                <w:szCs w:val="21"/>
              </w:rPr>
              <w:t>乙方代表：</w:t>
            </w:r>
            <w:r>
              <w:rPr>
                <w:rFonts w:ascii="宋体" w:eastAsia="宋体"/>
                <w:szCs w:val="21"/>
                <w:u w:val="single"/>
              </w:rPr>
              <w:t xml:space="preserve">                  </w:t>
            </w:r>
          </w:p>
          <w:p>
            <w:pPr>
              <w:pStyle w:val="2"/>
              <w:rPr>
                <w:rFonts w:ascii="宋体" w:eastAsia="宋体"/>
                <w:szCs w:val="21"/>
                <w:u w:val="single"/>
              </w:rPr>
            </w:pPr>
            <w:r>
              <w:rPr>
                <w:rFonts w:hint="eastAsia" w:ascii="宋体" w:eastAsia="宋体"/>
                <w:szCs w:val="21"/>
              </w:rPr>
              <w:t>联系电话：</w:t>
            </w:r>
            <w:r>
              <w:rPr>
                <w:rFonts w:ascii="宋体" w:eastAsia="宋体"/>
                <w:szCs w:val="21"/>
                <w:u w:val="single"/>
              </w:rPr>
              <w:t xml:space="preserve">                  </w:t>
            </w:r>
          </w:p>
          <w:p>
            <w:pPr>
              <w:pStyle w:val="2"/>
              <w:rPr>
                <w:rFonts w:ascii="宋体" w:eastAsia="宋体"/>
              </w:rPr>
            </w:pPr>
          </w:p>
        </w:tc>
      </w:tr>
    </w:tbl>
    <w:p>
      <w:pPr>
        <w:widowControl/>
        <w:jc w:val="left"/>
        <w:rPr>
          <w:b/>
          <w:sz w:val="32"/>
          <w:szCs w:val="32"/>
        </w:rPr>
      </w:pPr>
      <w:bookmarkStart w:id="50" w:name="_Toc82783896"/>
      <w:r>
        <w:rPr>
          <w:b/>
          <w:sz w:val="32"/>
          <w:szCs w:val="32"/>
        </w:rPr>
        <w:br w:type="page"/>
      </w:r>
    </w:p>
    <w:p>
      <w:pPr>
        <w:spacing w:before="312" w:beforeLines="100" w:after="312" w:afterLines="100" w:line="360" w:lineRule="auto"/>
        <w:jc w:val="center"/>
        <w:outlineLvl w:val="0"/>
        <w:rPr>
          <w:rFonts w:ascii="仿宋" w:hAnsi="仿宋" w:eastAsia="仿宋"/>
          <w:sz w:val="32"/>
          <w:szCs w:val="32"/>
        </w:rPr>
      </w:pPr>
      <w:r>
        <w:rPr>
          <w:rFonts w:hint="eastAsia"/>
          <w:b/>
          <w:sz w:val="32"/>
          <w:szCs w:val="32"/>
        </w:rPr>
        <w:t>第五部分：参考附件</w:t>
      </w:r>
      <w:bookmarkEnd w:id="50"/>
    </w:p>
    <w:p>
      <w:pPr>
        <w:spacing w:line="0" w:lineRule="atLeast"/>
        <w:outlineLvl w:val="1"/>
        <w:rPr>
          <w:rFonts w:ascii="宋体" w:hAnsi="宋体"/>
          <w:szCs w:val="21"/>
        </w:rPr>
      </w:pPr>
      <w:bookmarkStart w:id="51" w:name="_Toc82783897"/>
      <w:r>
        <w:rPr>
          <w:rFonts w:hint="eastAsia" w:ascii="宋体" w:hAnsi="宋体"/>
          <w:szCs w:val="21"/>
        </w:rPr>
        <w:t>附件1：投标函</w:t>
      </w:r>
      <w:bookmarkEnd w:id="51"/>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2" w:name="_Toc82783898"/>
      <w:r>
        <w:rPr>
          <w:rFonts w:hint="eastAsia" w:ascii="宋体" w:hAnsi="宋体"/>
          <w:szCs w:val="21"/>
        </w:rPr>
        <w:t>附件</w:t>
      </w:r>
      <w:r>
        <w:rPr>
          <w:rFonts w:ascii="宋体" w:hAnsi="宋体"/>
          <w:szCs w:val="21"/>
        </w:rPr>
        <w:t>2</w:t>
      </w:r>
      <w:r>
        <w:rPr>
          <w:rFonts w:hint="eastAsia" w:ascii="宋体" w:hAnsi="宋体"/>
          <w:szCs w:val="21"/>
        </w:rPr>
        <w:t>：投标一览表</w:t>
      </w:r>
      <w:bookmarkEnd w:id="52"/>
    </w:p>
    <w:tbl>
      <w:tblPr>
        <w:tblStyle w:val="21"/>
        <w:tblpPr w:leftFromText="180" w:rightFromText="180" w:vertAnchor="text" w:horzAnchor="margin" w:tblpY="1517"/>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93"/>
        <w:gridCol w:w="255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04" w:type="dxa"/>
            <w:vAlign w:val="center"/>
          </w:tcPr>
          <w:p>
            <w:pPr>
              <w:widowControl/>
              <w:jc w:val="center"/>
              <w:rPr>
                <w:rFonts w:ascii="宋体" w:hAnsi="宋体"/>
                <w:b/>
                <w:szCs w:val="21"/>
              </w:rPr>
            </w:pPr>
            <w:r>
              <w:rPr>
                <w:rFonts w:hint="eastAsia" w:ascii="宋体" w:hAnsi="宋体"/>
                <w:b/>
                <w:szCs w:val="21"/>
              </w:rPr>
              <w:t>序号</w:t>
            </w:r>
          </w:p>
        </w:tc>
        <w:tc>
          <w:tcPr>
            <w:tcW w:w="2693" w:type="dxa"/>
            <w:vAlign w:val="center"/>
          </w:tcPr>
          <w:p>
            <w:pPr>
              <w:widowControl/>
              <w:jc w:val="center"/>
              <w:rPr>
                <w:rFonts w:ascii="宋体" w:hAnsi="宋体"/>
                <w:b/>
                <w:szCs w:val="21"/>
              </w:rPr>
            </w:pPr>
            <w:r>
              <w:rPr>
                <w:rFonts w:hint="eastAsia" w:ascii="宋体" w:hAnsi="宋体"/>
                <w:b/>
                <w:szCs w:val="21"/>
              </w:rPr>
              <w:t>开标内容1</w:t>
            </w:r>
          </w:p>
          <w:p>
            <w:pPr>
              <w:widowControl/>
              <w:jc w:val="center"/>
              <w:rPr>
                <w:rFonts w:ascii="宋体" w:hAnsi="宋体"/>
                <w:b/>
                <w:szCs w:val="21"/>
              </w:rPr>
            </w:pPr>
            <w:r>
              <w:rPr>
                <w:rFonts w:hint="eastAsia" w:ascii="宋体" w:hAnsi="宋体"/>
                <w:b/>
                <w:szCs w:val="21"/>
              </w:rPr>
              <w:t>（招标人填写</w:t>
            </w:r>
            <w:r>
              <w:rPr>
                <w:rFonts w:ascii="宋体" w:hAnsi="宋体"/>
                <w:b/>
                <w:szCs w:val="21"/>
              </w:rPr>
              <w:t>）</w:t>
            </w:r>
          </w:p>
        </w:tc>
        <w:tc>
          <w:tcPr>
            <w:tcW w:w="2552" w:type="dxa"/>
            <w:vAlign w:val="center"/>
          </w:tcPr>
          <w:p>
            <w:pPr>
              <w:widowControl/>
              <w:jc w:val="center"/>
              <w:rPr>
                <w:rFonts w:ascii="宋体" w:hAnsi="宋体"/>
                <w:b/>
                <w:szCs w:val="21"/>
              </w:rPr>
            </w:pPr>
            <w:r>
              <w:rPr>
                <w:rFonts w:hint="eastAsia" w:ascii="宋体" w:hAnsi="宋体"/>
                <w:b/>
                <w:szCs w:val="21"/>
              </w:rPr>
              <w:t>开标内容1</w:t>
            </w:r>
          </w:p>
          <w:p>
            <w:pPr>
              <w:widowControl/>
              <w:jc w:val="center"/>
              <w:rPr>
                <w:rFonts w:ascii="宋体" w:hAnsi="宋体"/>
                <w:b/>
                <w:szCs w:val="21"/>
              </w:rPr>
            </w:pPr>
            <w:r>
              <w:rPr>
                <w:rFonts w:hint="eastAsia" w:ascii="宋体" w:hAnsi="宋体"/>
                <w:b/>
                <w:szCs w:val="21"/>
              </w:rPr>
              <w:t>（投标人填写</w:t>
            </w:r>
            <w:r>
              <w:rPr>
                <w:rFonts w:ascii="宋体" w:hAnsi="宋体"/>
                <w:b/>
                <w:szCs w:val="21"/>
              </w:rPr>
              <w:t>）</w:t>
            </w:r>
          </w:p>
        </w:tc>
        <w:tc>
          <w:tcPr>
            <w:tcW w:w="2268" w:type="dxa"/>
            <w:vAlign w:val="center"/>
          </w:tcPr>
          <w:p>
            <w:pPr>
              <w:widowControl/>
              <w:jc w:val="center"/>
              <w:rPr>
                <w:rFonts w:ascii="宋体" w:hAnsi="宋体"/>
                <w:b/>
                <w:szCs w:val="21"/>
              </w:rPr>
            </w:pPr>
            <w:r>
              <w:rPr>
                <w:rFonts w:hint="eastAsia" w:ascii="宋体" w:hAnsi="宋体"/>
                <w:b/>
                <w:szCs w:val="21"/>
              </w:rPr>
              <w:t>备注</w:t>
            </w:r>
          </w:p>
          <w:p>
            <w:pPr>
              <w:widowControl/>
              <w:jc w:val="center"/>
              <w:rPr>
                <w:rFonts w:ascii="宋体" w:hAnsi="宋体"/>
                <w:b/>
                <w:szCs w:val="21"/>
              </w:rPr>
            </w:pPr>
            <w:r>
              <w:rPr>
                <w:rFonts w:hint="eastAsia" w:ascii="宋体" w:hAnsi="宋体"/>
                <w:b/>
                <w:szCs w:val="21"/>
              </w:rPr>
              <w:t>（招标人填写</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04" w:type="dxa"/>
            <w:vAlign w:val="center"/>
          </w:tcPr>
          <w:p>
            <w:pPr>
              <w:pStyle w:val="27"/>
              <w:widowControl/>
              <w:numPr>
                <w:ilvl w:val="0"/>
                <w:numId w:val="33"/>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含税总报价（元</w:t>
            </w:r>
            <w:r>
              <w:rPr>
                <w:rFonts w:ascii="宋体" w:hAnsi="宋体"/>
                <w:szCs w:val="21"/>
              </w:rPr>
              <w:t>）</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27"/>
              <w:widowControl/>
              <w:numPr>
                <w:ilvl w:val="0"/>
                <w:numId w:val="33"/>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工期（自然日</w:t>
            </w:r>
            <w:r>
              <w:rPr>
                <w:rFonts w:ascii="宋体" w:hAnsi="宋体"/>
                <w:szCs w:val="21"/>
              </w:rPr>
              <w:t>）</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27"/>
              <w:widowControl/>
              <w:numPr>
                <w:ilvl w:val="0"/>
                <w:numId w:val="33"/>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项目负责人（资质证书</w:t>
            </w:r>
            <w:r>
              <w:rPr>
                <w:rFonts w:ascii="宋体" w:hAnsi="宋体"/>
                <w:szCs w:val="21"/>
              </w:rPr>
              <w:t>）</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27"/>
              <w:widowControl/>
              <w:numPr>
                <w:ilvl w:val="0"/>
                <w:numId w:val="33"/>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安全管理员（资质证书</w:t>
            </w:r>
            <w:r>
              <w:rPr>
                <w:rFonts w:ascii="宋体" w:hAnsi="宋体"/>
                <w:szCs w:val="21"/>
              </w:rPr>
              <w:t>）</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27"/>
              <w:widowControl/>
              <w:numPr>
                <w:ilvl w:val="0"/>
                <w:numId w:val="33"/>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投标人备注</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bl>
    <w:p>
      <w:pPr>
        <w:widowControl/>
        <w:jc w:val="center"/>
        <w:rPr>
          <w:rFonts w:ascii="仿宋" w:hAnsi="仿宋" w:eastAsia="仿宋"/>
          <w:sz w:val="28"/>
          <w:szCs w:val="28"/>
        </w:rPr>
      </w:pPr>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widowControl/>
        <w:jc w:val="left"/>
        <w:rPr>
          <w:rFonts w:ascii="仿宋" w:hAnsi="仿宋" w:eastAsia="仿宋"/>
          <w:szCs w:val="21"/>
        </w:rPr>
      </w:pPr>
      <w:r>
        <w:rPr>
          <w:rFonts w:hint="eastAsia" w:ascii="仿宋" w:hAnsi="仿宋" w:eastAsia="仿宋"/>
          <w:szCs w:val="21"/>
        </w:rPr>
        <w:t>说明：表中内容需根据具体项目调整</w:t>
      </w: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r>
        <w:rPr>
          <w:rFonts w:ascii="仿宋" w:hAnsi="仿宋" w:eastAsia="仿宋"/>
          <w:sz w:val="28"/>
          <w:szCs w:val="28"/>
        </w:rPr>
        <w:br w:type="page"/>
      </w:r>
    </w:p>
    <w:p>
      <w:pPr>
        <w:spacing w:line="0" w:lineRule="atLeast"/>
        <w:outlineLvl w:val="1"/>
        <w:rPr>
          <w:rFonts w:hint="eastAsia" w:ascii="宋体" w:hAnsi="宋体" w:eastAsia="宋体"/>
          <w:szCs w:val="21"/>
          <w:lang w:eastAsia="zh-CN"/>
        </w:rPr>
      </w:pPr>
      <w:bookmarkStart w:id="53" w:name="_Toc82783899"/>
      <w:r>
        <w:rPr>
          <w:rFonts w:hint="eastAsia" w:ascii="宋体" w:hAnsi="宋体"/>
          <w:szCs w:val="21"/>
        </w:rPr>
        <w:t>附件</w:t>
      </w:r>
      <w:r>
        <w:rPr>
          <w:rFonts w:ascii="宋体" w:hAnsi="宋体"/>
          <w:szCs w:val="21"/>
        </w:rPr>
        <w:t>3</w:t>
      </w:r>
      <w:r>
        <w:rPr>
          <w:rFonts w:hint="eastAsia" w:ascii="宋体" w:hAnsi="宋体"/>
          <w:szCs w:val="21"/>
        </w:rPr>
        <w:t>：考察证明</w:t>
      </w:r>
      <w:bookmarkEnd w:id="53"/>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rPr>
      </w:pPr>
      <w:r>
        <w:rPr>
          <w:rFonts w:hint="eastAsia" w:ascii="仿宋" w:hAnsi="仿宋" w:eastAsia="仿宋"/>
          <w:sz w:val="28"/>
          <w:szCs w:val="28"/>
        </w:rPr>
        <w:t xml:space="preserve">    已于</w:t>
      </w:r>
      <w:r>
        <w:rPr>
          <w:rFonts w:hint="eastAsia" w:ascii="仿宋" w:hAnsi="仿宋" w:eastAsia="仿宋"/>
          <w:b/>
          <w:sz w:val="28"/>
          <w:szCs w:val="28"/>
        </w:rPr>
        <w:t>202</w:t>
      </w:r>
      <w:r>
        <w:rPr>
          <w:rFonts w:hint="eastAsia" w:ascii="仿宋" w:hAnsi="仿宋" w:eastAsia="仿宋"/>
          <w:b/>
          <w:sz w:val="28"/>
          <w:szCs w:val="28"/>
          <w:lang w:val="en-US" w:eastAsia="zh-CN"/>
        </w:rPr>
        <w:t>2</w:t>
      </w:r>
      <w:r>
        <w:rPr>
          <w:rFonts w:hint="eastAsia" w:ascii="仿宋" w:hAnsi="仿宋" w:eastAsia="仿宋"/>
          <w:b/>
          <w:sz w:val="28"/>
          <w:szCs w:val="28"/>
        </w:rPr>
        <w:t>年*月*日</w:t>
      </w:r>
      <w:r>
        <w:rPr>
          <w:rFonts w:hint="eastAsia" w:ascii="仿宋" w:hAnsi="仿宋" w:eastAsia="仿宋"/>
          <w:sz w:val="28"/>
          <w:szCs w:val="28"/>
        </w:rPr>
        <w:t>参加了招标人（深圳会展中心管理有限责任公司）</w:t>
      </w:r>
      <w:r>
        <w:rPr>
          <w:rFonts w:hint="eastAsia" w:ascii="仿宋" w:hAnsi="仿宋" w:eastAsia="仿宋"/>
          <w:b/>
          <w:sz w:val="28"/>
          <w:szCs w:val="28"/>
        </w:rPr>
        <w:t>关于*项目的现场考察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54" w:name="_Toc82783900"/>
      <w:r>
        <w:rPr>
          <w:rFonts w:hint="eastAsia" w:ascii="宋体" w:hAnsi="宋体"/>
          <w:szCs w:val="21"/>
        </w:rPr>
        <w:t>附件</w:t>
      </w:r>
      <w:r>
        <w:rPr>
          <w:rFonts w:ascii="宋体" w:hAnsi="宋体"/>
          <w:szCs w:val="21"/>
        </w:rPr>
        <w:t>4</w:t>
      </w:r>
      <w:r>
        <w:rPr>
          <w:rFonts w:hint="eastAsia" w:ascii="宋体" w:hAnsi="宋体"/>
          <w:szCs w:val="21"/>
        </w:rPr>
        <w:t>：技术服务响应/偏离表</w:t>
      </w:r>
      <w:bookmarkEnd w:id="5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55" w:name="_Toc211248418"/>
      <w:r>
        <w:rPr>
          <w:rFonts w:hint="eastAsia" w:ascii="方正小标宋_GBK" w:hAnsi="方正小标宋_GBK" w:eastAsia="方正小标宋_GBK"/>
          <w:b/>
          <w:sz w:val="32"/>
          <w:szCs w:val="32"/>
        </w:rPr>
        <w:t>技术服务响应/偏离表</w:t>
      </w:r>
      <w:bookmarkEnd w:id="55"/>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21"/>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56"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56"/>
      <w:bookmarkStart w:id="57" w:name="_Toc236803114"/>
      <w:bookmarkStart w:id="58" w:name="_Toc246480945"/>
      <w:r>
        <w:rPr>
          <w:rFonts w:ascii="仿宋" w:hAnsi="仿宋" w:eastAsia="仿宋"/>
          <w:sz w:val="28"/>
          <w:szCs w:val="28"/>
        </w:rPr>
        <w:br w:type="page"/>
      </w:r>
    </w:p>
    <w:p>
      <w:pPr>
        <w:spacing w:line="0" w:lineRule="atLeast"/>
        <w:outlineLvl w:val="1"/>
        <w:rPr>
          <w:rFonts w:ascii="宋体" w:hAnsi="宋体"/>
          <w:szCs w:val="21"/>
        </w:rPr>
      </w:pPr>
      <w:bookmarkStart w:id="59" w:name="_Toc82783901"/>
      <w:r>
        <w:rPr>
          <w:rFonts w:hint="eastAsia" w:ascii="宋体" w:hAnsi="宋体"/>
          <w:szCs w:val="21"/>
        </w:rPr>
        <w:t>附件</w:t>
      </w:r>
      <w:r>
        <w:rPr>
          <w:rFonts w:ascii="宋体" w:hAnsi="宋体"/>
          <w:szCs w:val="21"/>
        </w:rPr>
        <w:t>5</w:t>
      </w:r>
      <w:r>
        <w:rPr>
          <w:rFonts w:hint="eastAsia" w:ascii="宋体" w:hAnsi="宋体"/>
          <w:szCs w:val="21"/>
        </w:rPr>
        <w:t>：商务条款响应/偏离表</w:t>
      </w:r>
      <w:bookmarkEnd w:id="57"/>
      <w:bookmarkEnd w:id="58"/>
      <w:bookmarkEnd w:id="5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0" w:name="_Toc211248420"/>
      <w:r>
        <w:rPr>
          <w:rFonts w:hint="eastAsia" w:ascii="方正小标宋_GBK" w:hAnsi="方正小标宋_GBK" w:eastAsia="方正小标宋_GBK"/>
          <w:b/>
          <w:sz w:val="32"/>
          <w:szCs w:val="32"/>
        </w:rPr>
        <w:t>商务条款响应/偏离表</w:t>
      </w:r>
      <w:bookmarkEnd w:id="60"/>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21"/>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1" w:name="_Toc236803111"/>
      <w:bookmarkStart w:id="62" w:name="_Toc395883088"/>
      <w:bookmarkStart w:id="63" w:name="_Toc478387764"/>
      <w:r>
        <w:rPr>
          <w:rFonts w:ascii="仿宋" w:hAnsi="仿宋" w:eastAsia="仿宋"/>
          <w:sz w:val="28"/>
          <w:szCs w:val="28"/>
        </w:rPr>
        <w:br w:type="page"/>
      </w:r>
    </w:p>
    <w:p>
      <w:pPr>
        <w:spacing w:line="0" w:lineRule="atLeast"/>
        <w:outlineLvl w:val="1"/>
        <w:rPr>
          <w:rFonts w:ascii="宋体" w:hAnsi="宋体"/>
          <w:szCs w:val="21"/>
        </w:rPr>
      </w:pPr>
      <w:bookmarkStart w:id="64" w:name="_Toc82783902"/>
      <w:r>
        <w:rPr>
          <w:rFonts w:hint="eastAsia" w:ascii="宋体" w:hAnsi="宋体"/>
          <w:szCs w:val="21"/>
        </w:rPr>
        <w:t>附件</w:t>
      </w:r>
      <w:r>
        <w:rPr>
          <w:rFonts w:ascii="宋体" w:hAnsi="宋体"/>
          <w:szCs w:val="21"/>
        </w:rPr>
        <w:t>6</w:t>
      </w:r>
      <w:r>
        <w:rPr>
          <w:rFonts w:hint="eastAsia" w:ascii="宋体" w:hAnsi="宋体"/>
          <w:szCs w:val="21"/>
        </w:rPr>
        <w:t>：报价一览表（货物）</w:t>
      </w:r>
      <w:r>
        <w:rPr>
          <w:rFonts w:hint="eastAsia" w:ascii="宋体" w:hAnsi="宋体"/>
          <w:color w:val="FF0000"/>
          <w:szCs w:val="21"/>
        </w:rPr>
        <w:t>（本项目不适用）</w:t>
      </w:r>
      <w:bookmarkEnd w:id="64"/>
    </w:p>
    <w:bookmarkEnd w:id="61"/>
    <w:bookmarkEnd w:id="62"/>
    <w:bookmarkEnd w:id="63"/>
    <w:p>
      <w:pPr>
        <w:spacing w:before="120" w:after="240"/>
        <w:jc w:val="center"/>
        <w:rPr>
          <w:rFonts w:ascii="宋体" w:hAnsi="宋体"/>
          <w:b/>
          <w:sz w:val="32"/>
          <w:szCs w:val="32"/>
        </w:rPr>
      </w:pPr>
      <w:bookmarkStart w:id="65" w:name="_Toc211248412"/>
      <w:r>
        <w:rPr>
          <w:rFonts w:hint="eastAsia" w:ascii="方正小标宋_GBK" w:hAnsi="方正小标宋_GBK" w:eastAsia="方正小标宋_GBK"/>
          <w:b/>
          <w:sz w:val="32"/>
          <w:szCs w:val="32"/>
        </w:rPr>
        <w:t>报价一览表</w:t>
      </w:r>
      <w:bookmarkEnd w:id="65"/>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21"/>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7"/>
        <w:numPr>
          <w:ilvl w:val="1"/>
          <w:numId w:val="36"/>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7"/>
        <w:numPr>
          <w:ilvl w:val="1"/>
          <w:numId w:val="36"/>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7"/>
        <w:numPr>
          <w:ilvl w:val="1"/>
          <w:numId w:val="36"/>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7"/>
        <w:numPr>
          <w:ilvl w:val="1"/>
          <w:numId w:val="36"/>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66" w:name="_Toc82095917"/>
      <w:bookmarkStart w:id="67" w:name="_Toc82359026"/>
      <w:r>
        <w:rPr>
          <w:rFonts w:hint="eastAsia" w:ascii="仿宋" w:hAnsi="仿宋" w:eastAsia="仿宋"/>
          <w:sz w:val="28"/>
          <w:szCs w:val="28"/>
        </w:rPr>
        <w:t>报价日期：_________年____月____日</w:t>
      </w:r>
      <w:r>
        <w:rPr>
          <w:rFonts w:ascii="仿宋" w:hAnsi="仿宋" w:eastAsia="仿宋"/>
          <w:sz w:val="28"/>
          <w:szCs w:val="28"/>
        </w:rPr>
        <w:br w:type="page"/>
      </w:r>
    </w:p>
    <w:bookmarkEnd w:id="66"/>
    <w:bookmarkEnd w:id="67"/>
    <w:p>
      <w:pPr>
        <w:spacing w:line="0" w:lineRule="atLeast"/>
        <w:outlineLvl w:val="1"/>
        <w:rPr>
          <w:rFonts w:ascii="宋体" w:hAnsi="宋体"/>
          <w:szCs w:val="21"/>
        </w:rPr>
      </w:pPr>
      <w:bookmarkStart w:id="68" w:name="_Toc82783903"/>
      <w:r>
        <w:rPr>
          <w:rFonts w:hint="eastAsia" w:ascii="宋体" w:hAnsi="宋体"/>
          <w:szCs w:val="21"/>
        </w:rPr>
        <w:t>附件</w:t>
      </w:r>
      <w:r>
        <w:rPr>
          <w:rFonts w:ascii="宋体" w:hAnsi="宋体"/>
          <w:szCs w:val="21"/>
        </w:rPr>
        <w:t>7</w:t>
      </w:r>
      <w:r>
        <w:rPr>
          <w:rFonts w:hint="eastAsia" w:ascii="宋体" w:hAnsi="宋体"/>
          <w:szCs w:val="21"/>
        </w:rPr>
        <w:t>：报价一览表（服务）</w:t>
      </w:r>
      <w:bookmarkEnd w:id="68"/>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21"/>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7"/>
        <w:numPr>
          <w:ilvl w:val="1"/>
          <w:numId w:val="37"/>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7"/>
        <w:numPr>
          <w:ilvl w:val="1"/>
          <w:numId w:val="37"/>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7"/>
        <w:numPr>
          <w:ilvl w:val="1"/>
          <w:numId w:val="37"/>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p>
    <w:p>
      <w:pPr>
        <w:spacing w:line="0" w:lineRule="atLeast"/>
        <w:outlineLvl w:val="1"/>
        <w:rPr>
          <w:rFonts w:ascii="宋体" w:hAnsi="宋体"/>
          <w:szCs w:val="21"/>
        </w:rPr>
      </w:pPr>
      <w:bookmarkStart w:id="69" w:name="_Toc82783904"/>
      <w:r>
        <w:rPr>
          <w:rFonts w:hint="eastAsia" w:ascii="宋体" w:hAnsi="宋体"/>
          <w:szCs w:val="21"/>
        </w:rPr>
        <w:t>附件</w:t>
      </w:r>
      <w:r>
        <w:rPr>
          <w:rFonts w:ascii="宋体" w:hAnsi="宋体"/>
          <w:szCs w:val="21"/>
        </w:rPr>
        <w:t>8</w:t>
      </w:r>
      <w:r>
        <w:rPr>
          <w:rFonts w:hint="eastAsia" w:ascii="宋体" w:hAnsi="宋体"/>
          <w:szCs w:val="21"/>
        </w:rPr>
        <w:t>：报价一览表（工程）</w:t>
      </w:r>
      <w:bookmarkEnd w:id="69"/>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21"/>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7"/>
        <w:numPr>
          <w:ilvl w:val="1"/>
          <w:numId w:val="38"/>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7"/>
        <w:numPr>
          <w:ilvl w:val="1"/>
          <w:numId w:val="38"/>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7"/>
        <w:numPr>
          <w:ilvl w:val="1"/>
          <w:numId w:val="38"/>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7"/>
        <w:numPr>
          <w:ilvl w:val="1"/>
          <w:numId w:val="38"/>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0" w:name="_Toc82783905"/>
      <w:r>
        <w:rPr>
          <w:rFonts w:hint="eastAsia" w:ascii="宋体" w:hAnsi="宋体"/>
          <w:szCs w:val="21"/>
        </w:rPr>
        <w:t>附件</w:t>
      </w:r>
      <w:r>
        <w:rPr>
          <w:rFonts w:ascii="宋体" w:hAnsi="宋体"/>
          <w:szCs w:val="21"/>
        </w:rPr>
        <w:t>9</w:t>
      </w:r>
      <w:r>
        <w:rPr>
          <w:rFonts w:hint="eastAsia" w:ascii="宋体" w:hAnsi="宋体"/>
          <w:szCs w:val="21"/>
        </w:rPr>
        <w:t>：法定代表人证明书</w:t>
      </w:r>
      <w:bookmarkEnd w:id="7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0" b="952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0" b="952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1" w:name="_Toc82783906"/>
      <w:r>
        <w:rPr>
          <w:rFonts w:hint="eastAsia" w:ascii="宋体" w:hAnsi="宋体"/>
          <w:szCs w:val="21"/>
        </w:rPr>
        <w:t>附件</w:t>
      </w:r>
      <w:r>
        <w:rPr>
          <w:rFonts w:ascii="宋体" w:hAnsi="宋体"/>
          <w:szCs w:val="21"/>
        </w:rPr>
        <w:t>10</w:t>
      </w:r>
      <w:r>
        <w:rPr>
          <w:rFonts w:hint="eastAsia" w:ascii="宋体" w:hAnsi="宋体"/>
          <w:szCs w:val="21"/>
        </w:rPr>
        <w:t>：法人授权委托证明书</w:t>
      </w:r>
      <w:bookmarkEnd w:id="71"/>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72" w:name="_Toc82783907"/>
      <w:r>
        <w:rPr>
          <w:rFonts w:hint="eastAsia" w:ascii="宋体" w:hAnsi="宋体"/>
          <w:szCs w:val="21"/>
        </w:rPr>
        <w:t>附件</w:t>
      </w:r>
      <w:r>
        <w:rPr>
          <w:rFonts w:ascii="宋体" w:hAnsi="宋体"/>
          <w:szCs w:val="21"/>
        </w:rPr>
        <w:t>11</w:t>
      </w:r>
      <w:r>
        <w:rPr>
          <w:rFonts w:hint="eastAsia" w:ascii="宋体" w:hAnsi="宋体"/>
          <w:szCs w:val="21"/>
        </w:rPr>
        <w:t>：经营业绩一览表</w:t>
      </w:r>
      <w:bookmarkEnd w:id="72"/>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21"/>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73" w:name="_Toc82783908"/>
      <w:r>
        <w:rPr>
          <w:rFonts w:hint="eastAsia" w:ascii="宋体" w:hAnsi="宋体"/>
          <w:szCs w:val="21"/>
        </w:rPr>
        <w:t>附件</w:t>
      </w:r>
      <w:r>
        <w:rPr>
          <w:rFonts w:ascii="宋体" w:hAnsi="宋体"/>
          <w:szCs w:val="21"/>
        </w:rPr>
        <w:t>12</w:t>
      </w:r>
      <w:r>
        <w:rPr>
          <w:rFonts w:hint="eastAsia" w:ascii="宋体" w:hAnsi="宋体"/>
          <w:szCs w:val="21"/>
        </w:rPr>
        <w:t>：售后服务承诺书</w:t>
      </w:r>
      <w:bookmarkEnd w:id="73"/>
      <w:r>
        <w:rPr>
          <w:rFonts w:hint="eastAsia" w:ascii="宋体" w:hAnsi="宋体"/>
          <w:szCs w:val="21"/>
        </w:rPr>
        <w:t>（</w:t>
      </w:r>
      <w:r>
        <w:rPr>
          <w:rFonts w:hint="eastAsia" w:ascii="宋体" w:hAnsi="宋体"/>
        </w:rPr>
        <w:t>质量保证服务承诺书</w:t>
      </w:r>
      <w:r>
        <w:rPr>
          <w:rFonts w:hint="eastAsia" w:ascii="宋体" w:hAnsi="宋体"/>
          <w:szCs w:val="21"/>
        </w:rPr>
        <w:t>）</w:t>
      </w:r>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74" w:name="_Toc32341"/>
      <w:r>
        <w:rPr>
          <w:rFonts w:ascii="仿宋" w:hAnsi="仿宋" w:eastAsia="仿宋"/>
          <w:sz w:val="28"/>
          <w:szCs w:val="28"/>
        </w:rPr>
        <w:br w:type="page"/>
      </w:r>
    </w:p>
    <w:p>
      <w:pPr>
        <w:spacing w:line="0" w:lineRule="atLeast"/>
        <w:outlineLvl w:val="1"/>
        <w:rPr>
          <w:rFonts w:ascii="宋体" w:hAnsi="宋体"/>
          <w:szCs w:val="21"/>
        </w:rPr>
      </w:pPr>
      <w:bookmarkStart w:id="75" w:name="_Toc82783909"/>
      <w:r>
        <w:rPr>
          <w:rFonts w:hint="eastAsia" w:ascii="宋体" w:hAnsi="宋体"/>
          <w:szCs w:val="21"/>
        </w:rPr>
        <w:t>附件</w:t>
      </w:r>
      <w:r>
        <w:rPr>
          <w:rFonts w:ascii="宋体" w:hAnsi="宋体"/>
          <w:szCs w:val="21"/>
        </w:rPr>
        <w:t>13</w:t>
      </w:r>
      <w:r>
        <w:rPr>
          <w:rFonts w:hint="eastAsia" w:ascii="宋体" w:hAnsi="宋体"/>
          <w:szCs w:val="21"/>
        </w:rPr>
        <w:t>：履约情况及社会信誉承诺书</w:t>
      </w:r>
      <w:bookmarkEnd w:id="74"/>
      <w:bookmarkEnd w:id="75"/>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sectPr>
      <w:footerReference r:id="rId6" w:type="default"/>
      <w:pgSz w:w="11906" w:h="16838"/>
      <w:pgMar w:top="1134" w:right="1800" w:bottom="993" w:left="1800" w:header="851" w:footer="409"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h w" w:date="2022-02-13T10:05:00Z" w:initials="bw">
    <w:p w14:paraId="69B42DE8">
      <w:pPr>
        <w:pStyle w:val="13"/>
      </w:pPr>
      <w:r>
        <w:rPr>
          <w:rFonts w:hint="eastAsia"/>
        </w:rPr>
        <w:t>已考虑写入新的合同当中，在本次的招标服务的办工会议中公司领导已提出要求，此招标模式已修改</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9B42D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16"/>
          <w:jc w:val="center"/>
        </w:pPr>
        <w:r>
          <w:fldChar w:fldCharType="begin"/>
        </w:r>
        <w:r>
          <w:instrText xml:space="preserve">PAGE   \* MERGEFORMAT</w:instrText>
        </w:r>
        <w:r>
          <w:fldChar w:fldCharType="separate"/>
        </w:r>
        <w:r>
          <w:rPr>
            <w:lang w:val="zh-CN"/>
          </w:rPr>
          <w:t>15</w:t>
        </w:r>
        <w:r>
          <w:rPr>
            <w:lang w:val="zh-CN"/>
          </w:rPr>
          <w:fldChar w:fldCharType="end"/>
        </w:r>
      </w:p>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30EFA"/>
    <w:multiLevelType w:val="singleLevel"/>
    <w:tmpl w:val="8E230EFA"/>
    <w:lvl w:ilvl="0" w:tentative="0">
      <w:start w:val="1"/>
      <w:numFmt w:val="decimal"/>
      <w:suff w:val="nothing"/>
      <w:lvlText w:val="%1、"/>
      <w:lvlJc w:val="left"/>
      <w:rPr>
        <w:rFonts w:hint="default"/>
        <w:color w:val="auto"/>
      </w:rPr>
    </w:lvl>
  </w:abstractNum>
  <w:abstractNum w:abstractNumId="1">
    <w:nsid w:val="932C039D"/>
    <w:multiLevelType w:val="singleLevel"/>
    <w:tmpl w:val="932C039D"/>
    <w:lvl w:ilvl="0" w:tentative="0">
      <w:start w:val="1"/>
      <w:numFmt w:val="decimal"/>
      <w:suff w:val="nothing"/>
      <w:lvlText w:val="%1．"/>
      <w:lvlJc w:val="left"/>
      <w:pPr>
        <w:ind w:left="0" w:firstLine="400"/>
      </w:pPr>
      <w:rPr>
        <w:rFonts w:hint="default"/>
      </w:rPr>
    </w:lvl>
  </w:abstractNum>
  <w:abstractNum w:abstractNumId="2">
    <w:nsid w:val="C39DBCEC"/>
    <w:multiLevelType w:val="singleLevel"/>
    <w:tmpl w:val="C39DBCEC"/>
    <w:lvl w:ilvl="0" w:tentative="0">
      <w:start w:val="1"/>
      <w:numFmt w:val="decimal"/>
      <w:suff w:val="nothing"/>
      <w:lvlText w:val="%1．"/>
      <w:lvlJc w:val="left"/>
      <w:pPr>
        <w:ind w:left="0" w:firstLine="400"/>
      </w:pPr>
      <w:rPr>
        <w:rFonts w:hint="default"/>
      </w:rPr>
    </w:lvl>
  </w:abstractNum>
  <w:abstractNum w:abstractNumId="3">
    <w:nsid w:val="CA690857"/>
    <w:multiLevelType w:val="singleLevel"/>
    <w:tmpl w:val="CA690857"/>
    <w:lvl w:ilvl="0" w:tentative="0">
      <w:start w:val="1"/>
      <w:numFmt w:val="decimal"/>
      <w:lvlText w:val="（%1）"/>
      <w:lvlJc w:val="left"/>
      <w:pPr>
        <w:ind w:left="420" w:hanging="420"/>
      </w:pPr>
      <w:rPr>
        <w:rFonts w:hint="eastAsia"/>
      </w:rPr>
    </w:lvl>
  </w:abstractNum>
  <w:abstractNum w:abstractNumId="4">
    <w:nsid w:val="D3051835"/>
    <w:multiLevelType w:val="singleLevel"/>
    <w:tmpl w:val="D3051835"/>
    <w:lvl w:ilvl="0" w:tentative="0">
      <w:start w:val="1"/>
      <w:numFmt w:val="decimal"/>
      <w:suff w:val="space"/>
      <w:lvlText w:val="%1."/>
      <w:lvlJc w:val="left"/>
    </w:lvl>
  </w:abstractNum>
  <w:abstractNum w:abstractNumId="5">
    <w:nsid w:val="EC5FB10F"/>
    <w:multiLevelType w:val="singleLevel"/>
    <w:tmpl w:val="EC5FB10F"/>
    <w:lvl w:ilvl="0" w:tentative="0">
      <w:start w:val="1"/>
      <w:numFmt w:val="decimal"/>
      <w:lvlText w:val="%1."/>
      <w:lvlJc w:val="left"/>
      <w:pPr>
        <w:ind w:left="425" w:hanging="425"/>
      </w:pPr>
      <w:rPr>
        <w:rFonts w:hint="default"/>
        <w:color w:val="auto"/>
      </w:rPr>
    </w:lvl>
  </w:abstractNum>
  <w:abstractNum w:abstractNumId="6">
    <w:nsid w:val="00000002"/>
    <w:multiLevelType w:val="singleLevel"/>
    <w:tmpl w:val="00000002"/>
    <w:lvl w:ilvl="0" w:tentative="0">
      <w:start w:val="1"/>
      <w:numFmt w:val="decimal"/>
      <w:lvlText w:val="%1、"/>
      <w:legacy w:legacy="1" w:legacySpace="0" w:legacyIndent="420"/>
      <w:lvlJc w:val="left"/>
      <w:pPr>
        <w:ind w:left="420" w:hanging="420"/>
      </w:pPr>
      <w:rPr>
        <w:rFonts w:hint="default" w:ascii="Times New Roman" w:hAnsi="Times New Roman"/>
        <w:b w:val="0"/>
        <w:i w:val="0"/>
        <w:sz w:val="24"/>
        <w:u w:val="none"/>
      </w:rPr>
    </w:lvl>
  </w:abstractNum>
  <w:abstractNum w:abstractNumId="7">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D"/>
    <w:multiLevelType w:val="multilevel"/>
    <w:tmpl w:val="0000000D"/>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2"/>
    <w:multiLevelType w:val="singleLevel"/>
    <w:tmpl w:val="00000012"/>
    <w:lvl w:ilvl="0" w:tentative="0">
      <w:start w:val="1"/>
      <w:numFmt w:val="decimal"/>
      <w:lvlText w:val="%1、"/>
      <w:legacy w:legacy="1" w:legacySpace="0" w:legacyIndent="420"/>
      <w:lvlJc w:val="left"/>
      <w:pPr>
        <w:ind w:left="420" w:hanging="420"/>
      </w:pPr>
      <w:rPr>
        <w:rFonts w:hint="default" w:ascii="Times New Roman" w:hAnsi="Times New Roman"/>
        <w:b w:val="0"/>
        <w:i w:val="0"/>
        <w:sz w:val="24"/>
        <w:u w:val="none"/>
      </w:rPr>
    </w:lvl>
  </w:abstractNum>
  <w:abstractNum w:abstractNumId="12">
    <w:nsid w:val="00000013"/>
    <w:multiLevelType w:val="singleLevel"/>
    <w:tmpl w:val="00000013"/>
    <w:lvl w:ilvl="0" w:tentative="0">
      <w:start w:val="1"/>
      <w:numFmt w:val="decimal"/>
      <w:lvlText w:val="%1."/>
      <w:lvlJc w:val="left"/>
      <w:pPr>
        <w:ind w:left="420" w:hanging="420"/>
      </w:pPr>
    </w:lvl>
  </w:abstractNum>
  <w:abstractNum w:abstractNumId="13">
    <w:nsid w:val="0000001F"/>
    <w:multiLevelType w:val="singleLevel"/>
    <w:tmpl w:val="0000001F"/>
    <w:lvl w:ilvl="0" w:tentative="0">
      <w:start w:val="1"/>
      <w:numFmt w:val="decimal"/>
      <w:lvlText w:val="%1、"/>
      <w:legacy w:legacy="1" w:legacySpace="0" w:legacyIndent="300"/>
      <w:lvlJc w:val="left"/>
      <w:pPr>
        <w:ind w:left="300" w:hanging="300"/>
      </w:pPr>
      <w:rPr>
        <w:rFonts w:hint="default" w:ascii="Times New Roman" w:hAnsi="Times New Roman"/>
        <w:b w:val="0"/>
        <w:i w:val="0"/>
        <w:sz w:val="24"/>
        <w:u w:val="none"/>
      </w:rPr>
    </w:lvl>
  </w:abstractNum>
  <w:abstractNum w:abstractNumId="14">
    <w:nsid w:val="00000022"/>
    <w:multiLevelType w:val="multilevel"/>
    <w:tmpl w:val="00000022"/>
    <w:lvl w:ilvl="0" w:tentative="0">
      <w:start w:val="1"/>
      <w:numFmt w:val="decimal"/>
      <w:lvlText w:val="%1、"/>
      <w:lvlJc w:val="left"/>
      <w:pPr>
        <w:tabs>
          <w:tab w:val="left" w:pos="465"/>
        </w:tabs>
        <w:ind w:left="465" w:hanging="360"/>
      </w:pPr>
      <w:rPr>
        <w:rFonts w:hint="eastAsia"/>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15">
    <w:nsid w:val="0000002E"/>
    <w:multiLevelType w:val="multilevel"/>
    <w:tmpl w:val="0000002E"/>
    <w:lvl w:ilvl="0" w:tentative="0">
      <w:start w:val="1"/>
      <w:numFmt w:val="chineseCountingThousand"/>
      <w:pStyle w:val="3"/>
      <w:suff w:val="nothing"/>
      <w:lvlText w:val="%1、"/>
      <w:lvlJc w:val="left"/>
      <w:pPr>
        <w:ind w:left="0" w:firstLine="0"/>
      </w:pPr>
      <w:rPr>
        <w:b/>
        <w:i w:val="0"/>
        <w:sz w:val="24"/>
      </w:rPr>
    </w:lvl>
    <w:lvl w:ilvl="1" w:tentative="0">
      <w:start w:val="1"/>
      <w:numFmt w:val="decimal"/>
      <w:pStyle w:val="4"/>
      <w:suff w:val="nothing"/>
      <w:lvlText w:val="%2. "/>
      <w:lvlJc w:val="left"/>
      <w:pPr>
        <w:ind w:left="0" w:firstLine="0"/>
      </w:pPr>
      <w:rPr>
        <w:b w:val="0"/>
        <w:i w:val="0"/>
        <w:sz w:val="24"/>
      </w:rPr>
    </w:lvl>
    <w:lvl w:ilvl="2" w:tentative="0">
      <w:start w:val="1"/>
      <w:numFmt w:val="none"/>
      <w:pStyle w:val="5"/>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pStyle w:val="8"/>
      <w:suff w:val="nothing"/>
      <w:lvlText w:val=""/>
      <w:lvlJc w:val="left"/>
      <w:pPr>
        <w:ind w:left="0" w:firstLine="0"/>
      </w:pPr>
    </w:lvl>
    <w:lvl w:ilvl="5" w:tentative="0">
      <w:start w:val="1"/>
      <w:numFmt w:val="none"/>
      <w:pStyle w:val="9"/>
      <w:suff w:val="nothing"/>
      <w:lvlText w:val=""/>
      <w:lvlJc w:val="left"/>
      <w:pPr>
        <w:ind w:left="0" w:firstLine="0"/>
      </w:pPr>
    </w:lvl>
    <w:lvl w:ilvl="6" w:tentative="0">
      <w:start w:val="1"/>
      <w:numFmt w:val="none"/>
      <w:pStyle w:val="10"/>
      <w:suff w:val="nothing"/>
      <w:lvlText w:val=""/>
      <w:lvlJc w:val="left"/>
      <w:pPr>
        <w:ind w:left="0" w:firstLine="0"/>
      </w:pPr>
    </w:lvl>
    <w:lvl w:ilvl="7" w:tentative="0">
      <w:start w:val="1"/>
      <w:numFmt w:val="none"/>
      <w:pStyle w:val="11"/>
      <w:suff w:val="nothing"/>
      <w:lvlText w:val=""/>
      <w:lvlJc w:val="left"/>
      <w:pPr>
        <w:ind w:left="0" w:firstLine="0"/>
      </w:pPr>
    </w:lvl>
    <w:lvl w:ilvl="8" w:tentative="0">
      <w:start w:val="1"/>
      <w:numFmt w:val="none"/>
      <w:pStyle w:val="12"/>
      <w:suff w:val="nothing"/>
      <w:lvlText w:val=""/>
      <w:lvlJc w:val="left"/>
      <w:pPr>
        <w:ind w:left="0" w:firstLine="0"/>
      </w:pPr>
    </w:lvl>
  </w:abstractNum>
  <w:abstractNum w:abstractNumId="16">
    <w:nsid w:val="13C2A6B9"/>
    <w:multiLevelType w:val="singleLevel"/>
    <w:tmpl w:val="13C2A6B9"/>
    <w:lvl w:ilvl="0" w:tentative="0">
      <w:start w:val="1"/>
      <w:numFmt w:val="decimal"/>
      <w:suff w:val="nothing"/>
      <w:lvlText w:val="%1．"/>
      <w:lvlJc w:val="left"/>
      <w:pPr>
        <w:ind w:left="0" w:firstLine="400"/>
      </w:pPr>
      <w:rPr>
        <w:rFonts w:hint="default"/>
      </w:rPr>
    </w:lvl>
  </w:abstractNum>
  <w:abstractNum w:abstractNumId="17">
    <w:nsid w:val="15D71C3A"/>
    <w:multiLevelType w:val="multilevel"/>
    <w:tmpl w:val="15D71C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EC384B"/>
    <w:multiLevelType w:val="multilevel"/>
    <w:tmpl w:val="1CEC384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53A26D2"/>
    <w:multiLevelType w:val="multilevel"/>
    <w:tmpl w:val="353A26D2"/>
    <w:lvl w:ilvl="0" w:tentative="0">
      <w:start w:val="1"/>
      <w:numFmt w:val="decimal"/>
      <w:lvlText w:val="%1."/>
      <w:lvlJc w:val="left"/>
      <w:pPr>
        <w:ind w:left="845"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9134E2E"/>
    <w:multiLevelType w:val="multilevel"/>
    <w:tmpl w:val="39134E2E"/>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6">
    <w:nsid w:val="3BBCFDAE"/>
    <w:multiLevelType w:val="singleLevel"/>
    <w:tmpl w:val="3BBCFDAE"/>
    <w:lvl w:ilvl="0" w:tentative="0">
      <w:start w:val="1"/>
      <w:numFmt w:val="decimal"/>
      <w:suff w:val="nothing"/>
      <w:lvlText w:val="%1．"/>
      <w:lvlJc w:val="left"/>
      <w:pPr>
        <w:ind w:left="0" w:firstLine="400"/>
      </w:pPr>
      <w:rPr>
        <w:rFonts w:hint="default"/>
        <w:color w:val="auto"/>
        <w:u w:val="none"/>
      </w:rPr>
    </w:lvl>
  </w:abstractNum>
  <w:abstractNum w:abstractNumId="27">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9">
    <w:nsid w:val="3FA00B7A"/>
    <w:multiLevelType w:val="multilevel"/>
    <w:tmpl w:val="3FA00B7A"/>
    <w:lvl w:ilvl="0" w:tentative="0">
      <w:start w:val="1"/>
      <w:numFmt w:val="decimal"/>
      <w:lvlText w:val="%1."/>
      <w:lvlJc w:val="left"/>
      <w:pPr>
        <w:ind w:left="987"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BEFD007"/>
    <w:multiLevelType w:val="singleLevel"/>
    <w:tmpl w:val="4BEFD007"/>
    <w:lvl w:ilvl="0" w:tentative="0">
      <w:start w:val="1"/>
      <w:numFmt w:val="decimal"/>
      <w:suff w:val="nothing"/>
      <w:lvlText w:val="（%1）"/>
      <w:lvlJc w:val="left"/>
    </w:lvl>
  </w:abstractNum>
  <w:abstractNum w:abstractNumId="31">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2">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3">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9252588"/>
    <w:multiLevelType w:val="multilevel"/>
    <w:tmpl w:val="592525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6">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7">
    <w:nsid w:val="739433F9"/>
    <w:multiLevelType w:val="singleLevel"/>
    <w:tmpl w:val="739433F9"/>
    <w:lvl w:ilvl="0" w:tentative="0">
      <w:start w:val="1"/>
      <w:numFmt w:val="decimal"/>
      <w:suff w:val="space"/>
      <w:lvlText w:val="%1."/>
      <w:lvlJc w:val="left"/>
    </w:lvl>
  </w:abstractNum>
  <w:abstractNum w:abstractNumId="38">
    <w:nsid w:val="76726B27"/>
    <w:multiLevelType w:val="singleLevel"/>
    <w:tmpl w:val="76726B27"/>
    <w:lvl w:ilvl="0" w:tentative="0">
      <w:start w:val="1"/>
      <w:numFmt w:val="decimal"/>
      <w:suff w:val="nothing"/>
      <w:lvlText w:val="%1．"/>
      <w:lvlJc w:val="left"/>
      <w:pPr>
        <w:ind w:left="0" w:firstLine="400"/>
      </w:pPr>
      <w:rPr>
        <w:rFonts w:hint="default"/>
      </w:rPr>
    </w:lvl>
  </w:abstractNum>
  <w:num w:numId="1">
    <w:abstractNumId w:val="15"/>
  </w:num>
  <w:num w:numId="2">
    <w:abstractNumId w:val="32"/>
  </w:num>
  <w:num w:numId="3">
    <w:abstractNumId w:val="36"/>
  </w:num>
  <w:num w:numId="4">
    <w:abstractNumId w:val="24"/>
  </w:num>
  <w:num w:numId="5">
    <w:abstractNumId w:val="3"/>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3"/>
  </w:num>
  <w:num w:numId="9">
    <w:abstractNumId w:val="27"/>
  </w:num>
  <w:num w:numId="10">
    <w:abstractNumId w:val="18"/>
  </w:num>
  <w:num w:numId="11">
    <w:abstractNumId w:val="17"/>
  </w:num>
  <w:num w:numId="12">
    <w:abstractNumId w:val="5"/>
  </w:num>
  <w:num w:numId="13">
    <w:abstractNumId w:val="26"/>
  </w:num>
  <w:num w:numId="14">
    <w:abstractNumId w:val="1"/>
  </w:num>
  <w:num w:numId="15">
    <w:abstractNumId w:val="20"/>
  </w:num>
  <w:num w:numId="16">
    <w:abstractNumId w:val="29"/>
  </w:num>
  <w:num w:numId="17">
    <w:abstractNumId w:val="2"/>
  </w:num>
  <w:num w:numId="18">
    <w:abstractNumId w:val="38"/>
  </w:num>
  <w:num w:numId="19">
    <w:abstractNumId w:val="16"/>
  </w:num>
  <w:num w:numId="20">
    <w:abstractNumId w:val="4"/>
  </w:num>
  <w:num w:numId="21">
    <w:abstractNumId w:val="9"/>
  </w:num>
  <w:num w:numId="22">
    <w:abstractNumId w:val="37"/>
  </w:num>
  <w:num w:numId="23">
    <w:abstractNumId w:val="19"/>
  </w:num>
  <w:num w:numId="24">
    <w:abstractNumId w:val="0"/>
  </w:num>
  <w:num w:numId="25">
    <w:abstractNumId w:val="30"/>
  </w:num>
  <w:num w:numId="26">
    <w:abstractNumId w:val="23"/>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6"/>
  </w:num>
  <w:num w:numId="30">
    <w:abstractNumId w:val="13"/>
  </w:num>
  <w:num w:numId="31">
    <w:abstractNumId w:val="10"/>
  </w:num>
  <w:num w:numId="32">
    <w:abstractNumId w:val="14"/>
  </w:num>
  <w:num w:numId="33">
    <w:abstractNumId w:val="34"/>
  </w:num>
  <w:num w:numId="34">
    <w:abstractNumId w:val="8"/>
  </w:num>
  <w:num w:numId="35">
    <w:abstractNumId w:val="7"/>
  </w:num>
  <w:num w:numId="36">
    <w:abstractNumId w:val="35"/>
  </w:num>
  <w:num w:numId="37">
    <w:abstractNumId w:val="28"/>
  </w:num>
  <w:num w:numId="38">
    <w:abstractNumId w:val="22"/>
  </w:num>
  <w:num w:numId="39">
    <w:abstractNumId w:val="12"/>
  </w:num>
  <w:num w:numId="40">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h w">
    <w15:presenceInfo w15:providerId="Windows Live" w15:userId="4457de939167b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B2"/>
    <w:rsid w:val="000071F5"/>
    <w:rsid w:val="000109CF"/>
    <w:rsid w:val="0001408F"/>
    <w:rsid w:val="00020D3D"/>
    <w:rsid w:val="0002431D"/>
    <w:rsid w:val="00042B55"/>
    <w:rsid w:val="000549F1"/>
    <w:rsid w:val="0006307A"/>
    <w:rsid w:val="000636E8"/>
    <w:rsid w:val="000667EA"/>
    <w:rsid w:val="00071803"/>
    <w:rsid w:val="00074891"/>
    <w:rsid w:val="00077160"/>
    <w:rsid w:val="00080360"/>
    <w:rsid w:val="00081A86"/>
    <w:rsid w:val="000874B8"/>
    <w:rsid w:val="00093F3A"/>
    <w:rsid w:val="000A2942"/>
    <w:rsid w:val="000B1F95"/>
    <w:rsid w:val="000B451D"/>
    <w:rsid w:val="000B5595"/>
    <w:rsid w:val="000B6E3A"/>
    <w:rsid w:val="000C0416"/>
    <w:rsid w:val="000C0AB1"/>
    <w:rsid w:val="000C2C2A"/>
    <w:rsid w:val="000C45B3"/>
    <w:rsid w:val="000C6BD3"/>
    <w:rsid w:val="000C7053"/>
    <w:rsid w:val="000D2478"/>
    <w:rsid w:val="000D2B6F"/>
    <w:rsid w:val="000E3E7C"/>
    <w:rsid w:val="000E569A"/>
    <w:rsid w:val="000F16F8"/>
    <w:rsid w:val="000F23B0"/>
    <w:rsid w:val="000F5BD4"/>
    <w:rsid w:val="001015FB"/>
    <w:rsid w:val="001052B4"/>
    <w:rsid w:val="00107E5C"/>
    <w:rsid w:val="001107A5"/>
    <w:rsid w:val="001238C4"/>
    <w:rsid w:val="0012732B"/>
    <w:rsid w:val="0013213B"/>
    <w:rsid w:val="0013663B"/>
    <w:rsid w:val="00137AB2"/>
    <w:rsid w:val="00141B72"/>
    <w:rsid w:val="001427DC"/>
    <w:rsid w:val="00162AA4"/>
    <w:rsid w:val="00165B65"/>
    <w:rsid w:val="001723D2"/>
    <w:rsid w:val="00173336"/>
    <w:rsid w:val="00174846"/>
    <w:rsid w:val="00180E0D"/>
    <w:rsid w:val="001959E5"/>
    <w:rsid w:val="001978B2"/>
    <w:rsid w:val="001A13FF"/>
    <w:rsid w:val="001A2237"/>
    <w:rsid w:val="001A2AA8"/>
    <w:rsid w:val="001A6C5B"/>
    <w:rsid w:val="001B5250"/>
    <w:rsid w:val="001B59A9"/>
    <w:rsid w:val="001C225F"/>
    <w:rsid w:val="001D3032"/>
    <w:rsid w:val="001D4D53"/>
    <w:rsid w:val="001E0560"/>
    <w:rsid w:val="001E44D2"/>
    <w:rsid w:val="001F14F2"/>
    <w:rsid w:val="001F2E70"/>
    <w:rsid w:val="002033B6"/>
    <w:rsid w:val="00203DAA"/>
    <w:rsid w:val="0020660B"/>
    <w:rsid w:val="00206999"/>
    <w:rsid w:val="00213D33"/>
    <w:rsid w:val="00222FD0"/>
    <w:rsid w:val="0022465E"/>
    <w:rsid w:val="00233E0E"/>
    <w:rsid w:val="00252697"/>
    <w:rsid w:val="002601DC"/>
    <w:rsid w:val="00265E3A"/>
    <w:rsid w:val="0028784C"/>
    <w:rsid w:val="00292E63"/>
    <w:rsid w:val="002963F2"/>
    <w:rsid w:val="002A18AF"/>
    <w:rsid w:val="002B743A"/>
    <w:rsid w:val="002C49F2"/>
    <w:rsid w:val="002F07C3"/>
    <w:rsid w:val="00311896"/>
    <w:rsid w:val="003158DE"/>
    <w:rsid w:val="00316046"/>
    <w:rsid w:val="00324B4F"/>
    <w:rsid w:val="003255E6"/>
    <w:rsid w:val="003300CC"/>
    <w:rsid w:val="00331BD2"/>
    <w:rsid w:val="00340667"/>
    <w:rsid w:val="003436BC"/>
    <w:rsid w:val="00344C24"/>
    <w:rsid w:val="00354484"/>
    <w:rsid w:val="003545D1"/>
    <w:rsid w:val="00356D30"/>
    <w:rsid w:val="00357649"/>
    <w:rsid w:val="00365A95"/>
    <w:rsid w:val="00366700"/>
    <w:rsid w:val="00376E34"/>
    <w:rsid w:val="003823A8"/>
    <w:rsid w:val="003846AA"/>
    <w:rsid w:val="00391F36"/>
    <w:rsid w:val="00395723"/>
    <w:rsid w:val="00397C1E"/>
    <w:rsid w:val="003A09E6"/>
    <w:rsid w:val="003B01FB"/>
    <w:rsid w:val="003C685C"/>
    <w:rsid w:val="003D0358"/>
    <w:rsid w:val="003D3EF6"/>
    <w:rsid w:val="003D6014"/>
    <w:rsid w:val="003E6092"/>
    <w:rsid w:val="003E66A3"/>
    <w:rsid w:val="003E7621"/>
    <w:rsid w:val="004235D9"/>
    <w:rsid w:val="0042762B"/>
    <w:rsid w:val="00427D5D"/>
    <w:rsid w:val="0043618E"/>
    <w:rsid w:val="00441F17"/>
    <w:rsid w:val="004707D2"/>
    <w:rsid w:val="00471ED2"/>
    <w:rsid w:val="0047430A"/>
    <w:rsid w:val="00476C96"/>
    <w:rsid w:val="004905B1"/>
    <w:rsid w:val="00492F1D"/>
    <w:rsid w:val="004A0594"/>
    <w:rsid w:val="004A7C1F"/>
    <w:rsid w:val="004B0D64"/>
    <w:rsid w:val="004B24F9"/>
    <w:rsid w:val="004C1420"/>
    <w:rsid w:val="004D40ED"/>
    <w:rsid w:val="004D58FC"/>
    <w:rsid w:val="004D6F70"/>
    <w:rsid w:val="004E3802"/>
    <w:rsid w:val="004E4541"/>
    <w:rsid w:val="004E7657"/>
    <w:rsid w:val="004F5108"/>
    <w:rsid w:val="004F63E5"/>
    <w:rsid w:val="00506B6D"/>
    <w:rsid w:val="005264EF"/>
    <w:rsid w:val="00526CFA"/>
    <w:rsid w:val="00534F2F"/>
    <w:rsid w:val="00544B6E"/>
    <w:rsid w:val="005513CC"/>
    <w:rsid w:val="005555F1"/>
    <w:rsid w:val="00565EDC"/>
    <w:rsid w:val="005815FC"/>
    <w:rsid w:val="005955E8"/>
    <w:rsid w:val="005A26F8"/>
    <w:rsid w:val="005A480E"/>
    <w:rsid w:val="005A57A4"/>
    <w:rsid w:val="005B03C2"/>
    <w:rsid w:val="005B1453"/>
    <w:rsid w:val="005B328D"/>
    <w:rsid w:val="005B6E4F"/>
    <w:rsid w:val="005C5034"/>
    <w:rsid w:val="005C5CA5"/>
    <w:rsid w:val="005D0BE8"/>
    <w:rsid w:val="005D123F"/>
    <w:rsid w:val="005E43D8"/>
    <w:rsid w:val="005F16B3"/>
    <w:rsid w:val="005F5D1D"/>
    <w:rsid w:val="00606010"/>
    <w:rsid w:val="00621681"/>
    <w:rsid w:val="006219F0"/>
    <w:rsid w:val="00623AD9"/>
    <w:rsid w:val="00630585"/>
    <w:rsid w:val="006311FC"/>
    <w:rsid w:val="00632039"/>
    <w:rsid w:val="006333BC"/>
    <w:rsid w:val="00637D1C"/>
    <w:rsid w:val="006402DF"/>
    <w:rsid w:val="00641F95"/>
    <w:rsid w:val="00664471"/>
    <w:rsid w:val="00681577"/>
    <w:rsid w:val="006815B1"/>
    <w:rsid w:val="00687753"/>
    <w:rsid w:val="00692D32"/>
    <w:rsid w:val="006942FF"/>
    <w:rsid w:val="006A4FED"/>
    <w:rsid w:val="006B1729"/>
    <w:rsid w:val="006B207E"/>
    <w:rsid w:val="006B3970"/>
    <w:rsid w:val="006B4923"/>
    <w:rsid w:val="006C069F"/>
    <w:rsid w:val="006C5101"/>
    <w:rsid w:val="006C659A"/>
    <w:rsid w:val="006C7266"/>
    <w:rsid w:val="006C7574"/>
    <w:rsid w:val="006D0B44"/>
    <w:rsid w:val="006D4776"/>
    <w:rsid w:val="006E0464"/>
    <w:rsid w:val="006E42A5"/>
    <w:rsid w:val="006E6721"/>
    <w:rsid w:val="006E6992"/>
    <w:rsid w:val="006F0E4A"/>
    <w:rsid w:val="006F3293"/>
    <w:rsid w:val="006F4E8E"/>
    <w:rsid w:val="0070433C"/>
    <w:rsid w:val="007115E1"/>
    <w:rsid w:val="00711A9D"/>
    <w:rsid w:val="00714F2D"/>
    <w:rsid w:val="00715AB4"/>
    <w:rsid w:val="00717132"/>
    <w:rsid w:val="00717FB9"/>
    <w:rsid w:val="00721A9A"/>
    <w:rsid w:val="0072246D"/>
    <w:rsid w:val="00724825"/>
    <w:rsid w:val="0072547A"/>
    <w:rsid w:val="00726740"/>
    <w:rsid w:val="00740D66"/>
    <w:rsid w:val="007420BC"/>
    <w:rsid w:val="007422F6"/>
    <w:rsid w:val="00750562"/>
    <w:rsid w:val="007542A8"/>
    <w:rsid w:val="007559E5"/>
    <w:rsid w:val="007561D8"/>
    <w:rsid w:val="007672EE"/>
    <w:rsid w:val="0076763C"/>
    <w:rsid w:val="0077621A"/>
    <w:rsid w:val="00781BBC"/>
    <w:rsid w:val="00781DFA"/>
    <w:rsid w:val="00782E08"/>
    <w:rsid w:val="00790A8A"/>
    <w:rsid w:val="007933D2"/>
    <w:rsid w:val="00794227"/>
    <w:rsid w:val="00797EE8"/>
    <w:rsid w:val="007A4102"/>
    <w:rsid w:val="007C02CE"/>
    <w:rsid w:val="007C1F66"/>
    <w:rsid w:val="007C50B2"/>
    <w:rsid w:val="007C6CF4"/>
    <w:rsid w:val="007E210C"/>
    <w:rsid w:val="007E4B44"/>
    <w:rsid w:val="007F6C3D"/>
    <w:rsid w:val="00803FA2"/>
    <w:rsid w:val="00820F22"/>
    <w:rsid w:val="0083237E"/>
    <w:rsid w:val="00836F16"/>
    <w:rsid w:val="0085685C"/>
    <w:rsid w:val="00857F72"/>
    <w:rsid w:val="00866C0E"/>
    <w:rsid w:val="00867C56"/>
    <w:rsid w:val="00870B22"/>
    <w:rsid w:val="00874BB5"/>
    <w:rsid w:val="00880724"/>
    <w:rsid w:val="00892B88"/>
    <w:rsid w:val="008A0193"/>
    <w:rsid w:val="008A48DA"/>
    <w:rsid w:val="008B16F7"/>
    <w:rsid w:val="008B2C67"/>
    <w:rsid w:val="008B68E6"/>
    <w:rsid w:val="008B69CB"/>
    <w:rsid w:val="008C44DE"/>
    <w:rsid w:val="008E05E5"/>
    <w:rsid w:val="0090721F"/>
    <w:rsid w:val="0091172E"/>
    <w:rsid w:val="00915EDD"/>
    <w:rsid w:val="00926702"/>
    <w:rsid w:val="00927979"/>
    <w:rsid w:val="00931A44"/>
    <w:rsid w:val="00937F12"/>
    <w:rsid w:val="0094097E"/>
    <w:rsid w:val="00940B50"/>
    <w:rsid w:val="00943245"/>
    <w:rsid w:val="0094528D"/>
    <w:rsid w:val="00946A79"/>
    <w:rsid w:val="009558AA"/>
    <w:rsid w:val="00960B05"/>
    <w:rsid w:val="00976465"/>
    <w:rsid w:val="0098029E"/>
    <w:rsid w:val="0098263B"/>
    <w:rsid w:val="00986149"/>
    <w:rsid w:val="00991233"/>
    <w:rsid w:val="009A699B"/>
    <w:rsid w:val="009A6EF3"/>
    <w:rsid w:val="009B6921"/>
    <w:rsid w:val="009B7189"/>
    <w:rsid w:val="009C0135"/>
    <w:rsid w:val="009D40DA"/>
    <w:rsid w:val="009E0D46"/>
    <w:rsid w:val="009E25C8"/>
    <w:rsid w:val="009E2781"/>
    <w:rsid w:val="009E3D67"/>
    <w:rsid w:val="009E4B62"/>
    <w:rsid w:val="009F4A12"/>
    <w:rsid w:val="00A0267F"/>
    <w:rsid w:val="00A23009"/>
    <w:rsid w:val="00A26CDD"/>
    <w:rsid w:val="00A30228"/>
    <w:rsid w:val="00A30A10"/>
    <w:rsid w:val="00A30C25"/>
    <w:rsid w:val="00A31A55"/>
    <w:rsid w:val="00A3315A"/>
    <w:rsid w:val="00A33EFF"/>
    <w:rsid w:val="00A3423A"/>
    <w:rsid w:val="00A35F31"/>
    <w:rsid w:val="00A401EE"/>
    <w:rsid w:val="00A4407E"/>
    <w:rsid w:val="00A46C1C"/>
    <w:rsid w:val="00A639F5"/>
    <w:rsid w:val="00A7343F"/>
    <w:rsid w:val="00A73DF4"/>
    <w:rsid w:val="00A761F1"/>
    <w:rsid w:val="00A8313A"/>
    <w:rsid w:val="00A835A2"/>
    <w:rsid w:val="00A83D8E"/>
    <w:rsid w:val="00A900CA"/>
    <w:rsid w:val="00AA01BF"/>
    <w:rsid w:val="00AA0F85"/>
    <w:rsid w:val="00AA320E"/>
    <w:rsid w:val="00AA38D8"/>
    <w:rsid w:val="00AA56F4"/>
    <w:rsid w:val="00AA6823"/>
    <w:rsid w:val="00AB0184"/>
    <w:rsid w:val="00AB0A23"/>
    <w:rsid w:val="00AB1185"/>
    <w:rsid w:val="00AB4FE9"/>
    <w:rsid w:val="00AC0606"/>
    <w:rsid w:val="00AC1082"/>
    <w:rsid w:val="00AC7FB5"/>
    <w:rsid w:val="00AD4959"/>
    <w:rsid w:val="00AE1E1D"/>
    <w:rsid w:val="00AF0A7F"/>
    <w:rsid w:val="00AF1254"/>
    <w:rsid w:val="00AF348F"/>
    <w:rsid w:val="00AF730B"/>
    <w:rsid w:val="00B02352"/>
    <w:rsid w:val="00B049D6"/>
    <w:rsid w:val="00B05E7C"/>
    <w:rsid w:val="00B076A6"/>
    <w:rsid w:val="00B1365B"/>
    <w:rsid w:val="00B20DFC"/>
    <w:rsid w:val="00B21864"/>
    <w:rsid w:val="00B31167"/>
    <w:rsid w:val="00B34877"/>
    <w:rsid w:val="00B37A2F"/>
    <w:rsid w:val="00B40167"/>
    <w:rsid w:val="00B40F3E"/>
    <w:rsid w:val="00B43E0C"/>
    <w:rsid w:val="00B44E4F"/>
    <w:rsid w:val="00B46BB0"/>
    <w:rsid w:val="00B50162"/>
    <w:rsid w:val="00B522B7"/>
    <w:rsid w:val="00B65C5E"/>
    <w:rsid w:val="00B76BC6"/>
    <w:rsid w:val="00B77AF1"/>
    <w:rsid w:val="00B9045F"/>
    <w:rsid w:val="00BA1222"/>
    <w:rsid w:val="00BB3941"/>
    <w:rsid w:val="00BC0C0B"/>
    <w:rsid w:val="00BC40BD"/>
    <w:rsid w:val="00BD120A"/>
    <w:rsid w:val="00BD666B"/>
    <w:rsid w:val="00BE1CDD"/>
    <w:rsid w:val="00BE37D4"/>
    <w:rsid w:val="00BF2289"/>
    <w:rsid w:val="00BF52E8"/>
    <w:rsid w:val="00C01654"/>
    <w:rsid w:val="00C215C0"/>
    <w:rsid w:val="00C30244"/>
    <w:rsid w:val="00C5180D"/>
    <w:rsid w:val="00C53AB0"/>
    <w:rsid w:val="00C53D1D"/>
    <w:rsid w:val="00C61FB2"/>
    <w:rsid w:val="00C6530D"/>
    <w:rsid w:val="00C72E08"/>
    <w:rsid w:val="00C76FD5"/>
    <w:rsid w:val="00C77687"/>
    <w:rsid w:val="00C81935"/>
    <w:rsid w:val="00C95195"/>
    <w:rsid w:val="00C96BC3"/>
    <w:rsid w:val="00CB0006"/>
    <w:rsid w:val="00CB1DEF"/>
    <w:rsid w:val="00CC5B81"/>
    <w:rsid w:val="00CC73DA"/>
    <w:rsid w:val="00CD4DCE"/>
    <w:rsid w:val="00CE34F4"/>
    <w:rsid w:val="00CE5796"/>
    <w:rsid w:val="00CE5BEC"/>
    <w:rsid w:val="00CE5F16"/>
    <w:rsid w:val="00CF1C81"/>
    <w:rsid w:val="00CF34D5"/>
    <w:rsid w:val="00CF3F58"/>
    <w:rsid w:val="00D1251D"/>
    <w:rsid w:val="00D13594"/>
    <w:rsid w:val="00D2110B"/>
    <w:rsid w:val="00D2411A"/>
    <w:rsid w:val="00D401DA"/>
    <w:rsid w:val="00D418DC"/>
    <w:rsid w:val="00D4224E"/>
    <w:rsid w:val="00D43550"/>
    <w:rsid w:val="00D440CF"/>
    <w:rsid w:val="00D51EEB"/>
    <w:rsid w:val="00D56EC6"/>
    <w:rsid w:val="00D61DAD"/>
    <w:rsid w:val="00D629CE"/>
    <w:rsid w:val="00D80701"/>
    <w:rsid w:val="00D83CA2"/>
    <w:rsid w:val="00D83CC0"/>
    <w:rsid w:val="00D84553"/>
    <w:rsid w:val="00D955EB"/>
    <w:rsid w:val="00DA40EB"/>
    <w:rsid w:val="00DB1C4E"/>
    <w:rsid w:val="00DC7602"/>
    <w:rsid w:val="00DD4E1E"/>
    <w:rsid w:val="00DD544D"/>
    <w:rsid w:val="00DE41E6"/>
    <w:rsid w:val="00DE4BAE"/>
    <w:rsid w:val="00DE4EEA"/>
    <w:rsid w:val="00DE5E4C"/>
    <w:rsid w:val="00DE7DDC"/>
    <w:rsid w:val="00E02189"/>
    <w:rsid w:val="00E043CB"/>
    <w:rsid w:val="00E0619A"/>
    <w:rsid w:val="00E107EC"/>
    <w:rsid w:val="00E11738"/>
    <w:rsid w:val="00E12957"/>
    <w:rsid w:val="00E27F91"/>
    <w:rsid w:val="00E31BD7"/>
    <w:rsid w:val="00E323E3"/>
    <w:rsid w:val="00E35829"/>
    <w:rsid w:val="00E412A0"/>
    <w:rsid w:val="00E4373A"/>
    <w:rsid w:val="00E45D07"/>
    <w:rsid w:val="00E63F18"/>
    <w:rsid w:val="00E677C6"/>
    <w:rsid w:val="00E703A3"/>
    <w:rsid w:val="00E70687"/>
    <w:rsid w:val="00E75726"/>
    <w:rsid w:val="00E928C6"/>
    <w:rsid w:val="00E9346B"/>
    <w:rsid w:val="00E956B8"/>
    <w:rsid w:val="00E95DA6"/>
    <w:rsid w:val="00EA0513"/>
    <w:rsid w:val="00EA6628"/>
    <w:rsid w:val="00EB24DE"/>
    <w:rsid w:val="00EB69E5"/>
    <w:rsid w:val="00EC57A0"/>
    <w:rsid w:val="00ED6D11"/>
    <w:rsid w:val="00EF7B06"/>
    <w:rsid w:val="00F00080"/>
    <w:rsid w:val="00F01837"/>
    <w:rsid w:val="00F01D21"/>
    <w:rsid w:val="00F03A68"/>
    <w:rsid w:val="00F04E6A"/>
    <w:rsid w:val="00F112C6"/>
    <w:rsid w:val="00F1499F"/>
    <w:rsid w:val="00F210DC"/>
    <w:rsid w:val="00F2136A"/>
    <w:rsid w:val="00F256B7"/>
    <w:rsid w:val="00F309E8"/>
    <w:rsid w:val="00F313E2"/>
    <w:rsid w:val="00F35D73"/>
    <w:rsid w:val="00F36975"/>
    <w:rsid w:val="00F47201"/>
    <w:rsid w:val="00F5070C"/>
    <w:rsid w:val="00F53D25"/>
    <w:rsid w:val="00F64816"/>
    <w:rsid w:val="00F65ECD"/>
    <w:rsid w:val="00F73354"/>
    <w:rsid w:val="00F755E5"/>
    <w:rsid w:val="00F80B8F"/>
    <w:rsid w:val="00F87128"/>
    <w:rsid w:val="00F90AD3"/>
    <w:rsid w:val="00FA092E"/>
    <w:rsid w:val="00FA2AEE"/>
    <w:rsid w:val="00FA63B5"/>
    <w:rsid w:val="00FA69DE"/>
    <w:rsid w:val="00FA6D58"/>
    <w:rsid w:val="00FC275C"/>
    <w:rsid w:val="00FD52D3"/>
    <w:rsid w:val="00FE72DF"/>
    <w:rsid w:val="00FE7480"/>
    <w:rsid w:val="00FF2F91"/>
    <w:rsid w:val="03293C1B"/>
    <w:rsid w:val="04FA6940"/>
    <w:rsid w:val="06ED4C2C"/>
    <w:rsid w:val="070A622E"/>
    <w:rsid w:val="08AB0AF7"/>
    <w:rsid w:val="15740DA4"/>
    <w:rsid w:val="1C364603"/>
    <w:rsid w:val="1FAB6CE1"/>
    <w:rsid w:val="1FAE0CEE"/>
    <w:rsid w:val="21C924A3"/>
    <w:rsid w:val="254A044C"/>
    <w:rsid w:val="27B5501A"/>
    <w:rsid w:val="29302968"/>
    <w:rsid w:val="2E914CC4"/>
    <w:rsid w:val="30722EEB"/>
    <w:rsid w:val="3B185990"/>
    <w:rsid w:val="3BF50B33"/>
    <w:rsid w:val="447267E8"/>
    <w:rsid w:val="44C768C7"/>
    <w:rsid w:val="46B21CDE"/>
    <w:rsid w:val="4E1D6945"/>
    <w:rsid w:val="4E4A7541"/>
    <w:rsid w:val="4E8E6602"/>
    <w:rsid w:val="50FA6A61"/>
    <w:rsid w:val="540F1FD2"/>
    <w:rsid w:val="5AA63109"/>
    <w:rsid w:val="5B675B66"/>
    <w:rsid w:val="5D2B2FEA"/>
    <w:rsid w:val="5E1C5304"/>
    <w:rsid w:val="5ECA35A7"/>
    <w:rsid w:val="5F6751BF"/>
    <w:rsid w:val="60234353"/>
    <w:rsid w:val="609D79A4"/>
    <w:rsid w:val="60A60070"/>
    <w:rsid w:val="640C25AF"/>
    <w:rsid w:val="661355AE"/>
    <w:rsid w:val="66A259F2"/>
    <w:rsid w:val="68E97B63"/>
    <w:rsid w:val="6B83145B"/>
    <w:rsid w:val="6BA42F25"/>
    <w:rsid w:val="70190A99"/>
    <w:rsid w:val="72DA4A88"/>
    <w:rsid w:val="74783A1C"/>
    <w:rsid w:val="74B05132"/>
    <w:rsid w:val="772A35DE"/>
    <w:rsid w:val="78F0668D"/>
    <w:rsid w:val="79BF662E"/>
    <w:rsid w:val="7B2952F2"/>
    <w:rsid w:val="7F3E6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0"/>
    <w:pPr>
      <w:keepNext/>
      <w:keepLines/>
      <w:numPr>
        <w:ilvl w:val="0"/>
        <w:numId w:val="1"/>
      </w:numPr>
      <w:spacing w:before="340" w:after="330" w:line="576" w:lineRule="auto"/>
      <w:outlineLvl w:val="0"/>
    </w:pPr>
    <w:rPr>
      <w:b/>
      <w:kern w:val="44"/>
      <w:sz w:val="44"/>
      <w:szCs w:val="20"/>
    </w:rPr>
  </w:style>
  <w:style w:type="paragraph" w:styleId="4">
    <w:name w:val="heading 2"/>
    <w:basedOn w:val="1"/>
    <w:next w:val="1"/>
    <w:link w:val="38"/>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link w:val="39"/>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6">
    <w:name w:val="heading 4"/>
    <w:basedOn w:val="1"/>
    <w:next w:val="7"/>
    <w:link w:val="40"/>
    <w:qFormat/>
    <w:uiPriority w:val="0"/>
    <w:pPr>
      <w:keepNext/>
      <w:keepLines/>
      <w:numPr>
        <w:ilvl w:val="3"/>
        <w:numId w:val="1"/>
      </w:numPr>
      <w:spacing w:before="280" w:after="290" w:line="374" w:lineRule="auto"/>
      <w:outlineLvl w:val="3"/>
    </w:pPr>
    <w:rPr>
      <w:rFonts w:ascii="Arial" w:hAnsi="Arial" w:eastAsia="黑体"/>
      <w:b/>
      <w:sz w:val="28"/>
      <w:szCs w:val="20"/>
    </w:rPr>
  </w:style>
  <w:style w:type="paragraph" w:styleId="8">
    <w:name w:val="heading 5"/>
    <w:basedOn w:val="1"/>
    <w:next w:val="7"/>
    <w:link w:val="41"/>
    <w:qFormat/>
    <w:uiPriority w:val="0"/>
    <w:pPr>
      <w:keepNext/>
      <w:keepLines/>
      <w:numPr>
        <w:ilvl w:val="4"/>
        <w:numId w:val="1"/>
      </w:numPr>
      <w:spacing w:before="280" w:after="290" w:line="374" w:lineRule="auto"/>
      <w:outlineLvl w:val="4"/>
    </w:pPr>
    <w:rPr>
      <w:b/>
      <w:sz w:val="28"/>
      <w:szCs w:val="20"/>
    </w:rPr>
  </w:style>
  <w:style w:type="paragraph" w:styleId="9">
    <w:name w:val="heading 6"/>
    <w:basedOn w:val="1"/>
    <w:next w:val="7"/>
    <w:link w:val="42"/>
    <w:qFormat/>
    <w:uiPriority w:val="0"/>
    <w:pPr>
      <w:keepNext/>
      <w:keepLines/>
      <w:numPr>
        <w:ilvl w:val="5"/>
        <w:numId w:val="1"/>
      </w:numPr>
      <w:spacing w:before="240" w:after="64" w:line="319" w:lineRule="auto"/>
      <w:outlineLvl w:val="5"/>
    </w:pPr>
    <w:rPr>
      <w:rFonts w:ascii="Arial" w:hAnsi="Arial" w:eastAsia="黑体"/>
      <w:b/>
      <w:sz w:val="24"/>
      <w:szCs w:val="20"/>
    </w:rPr>
  </w:style>
  <w:style w:type="paragraph" w:styleId="10">
    <w:name w:val="heading 7"/>
    <w:basedOn w:val="1"/>
    <w:next w:val="7"/>
    <w:link w:val="43"/>
    <w:qFormat/>
    <w:uiPriority w:val="0"/>
    <w:pPr>
      <w:keepNext/>
      <w:keepLines/>
      <w:numPr>
        <w:ilvl w:val="6"/>
        <w:numId w:val="1"/>
      </w:numPr>
      <w:spacing w:before="240" w:after="64" w:line="319" w:lineRule="auto"/>
      <w:outlineLvl w:val="6"/>
    </w:pPr>
    <w:rPr>
      <w:b/>
      <w:sz w:val="24"/>
      <w:szCs w:val="20"/>
    </w:rPr>
  </w:style>
  <w:style w:type="paragraph" w:styleId="11">
    <w:name w:val="heading 8"/>
    <w:basedOn w:val="1"/>
    <w:next w:val="7"/>
    <w:link w:val="44"/>
    <w:qFormat/>
    <w:uiPriority w:val="0"/>
    <w:pPr>
      <w:keepNext/>
      <w:keepLines/>
      <w:numPr>
        <w:ilvl w:val="7"/>
        <w:numId w:val="1"/>
      </w:numPr>
      <w:spacing w:before="240" w:after="64" w:line="319" w:lineRule="auto"/>
      <w:outlineLvl w:val="7"/>
    </w:pPr>
    <w:rPr>
      <w:rFonts w:ascii="Arial" w:hAnsi="Arial" w:eastAsia="黑体"/>
      <w:sz w:val="24"/>
      <w:szCs w:val="20"/>
    </w:rPr>
  </w:style>
  <w:style w:type="paragraph" w:styleId="12">
    <w:name w:val="heading 9"/>
    <w:basedOn w:val="1"/>
    <w:next w:val="7"/>
    <w:link w:val="45"/>
    <w:qFormat/>
    <w:uiPriority w:val="0"/>
    <w:pPr>
      <w:keepNext/>
      <w:keepLines/>
      <w:numPr>
        <w:ilvl w:val="8"/>
        <w:numId w:val="1"/>
      </w:numPr>
      <w:spacing w:before="240" w:after="64" w:line="319" w:lineRule="auto"/>
      <w:outlineLvl w:val="8"/>
    </w:pPr>
    <w:rPr>
      <w:rFonts w:ascii="Arial" w:hAnsi="Arial" w:eastAsia="黑体"/>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jc w:val="left"/>
    </w:pPr>
    <w:rPr>
      <w:rFonts w:ascii="仿宋_GB2312" w:hAnsi="宋体" w:eastAsia="仿宋_GB2312"/>
    </w:rPr>
  </w:style>
  <w:style w:type="paragraph" w:styleId="7">
    <w:name w:val="Normal Indent"/>
    <w:basedOn w:val="1"/>
    <w:semiHidden/>
    <w:unhideWhenUsed/>
    <w:qFormat/>
    <w:uiPriority w:val="99"/>
    <w:pPr>
      <w:ind w:firstLine="420" w:firstLineChars="200"/>
    </w:pPr>
  </w:style>
  <w:style w:type="paragraph" w:styleId="13">
    <w:name w:val="annotation text"/>
    <w:basedOn w:val="1"/>
    <w:link w:val="29"/>
    <w:unhideWhenUsed/>
    <w:qFormat/>
    <w:uiPriority w:val="99"/>
    <w:pPr>
      <w:jc w:val="left"/>
    </w:pPr>
  </w:style>
  <w:style w:type="paragraph" w:styleId="14">
    <w:name w:val="toc 3"/>
    <w:basedOn w:val="1"/>
    <w:next w:val="1"/>
    <w:unhideWhenUsed/>
    <w:qFormat/>
    <w:uiPriority w:val="39"/>
    <w:pPr>
      <w:ind w:left="840" w:leftChars="400"/>
    </w:pPr>
  </w:style>
  <w:style w:type="paragraph" w:styleId="15">
    <w:name w:val="Balloon Text"/>
    <w:basedOn w:val="1"/>
    <w:link w:val="31"/>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ind w:left="420" w:leftChars="200"/>
    </w:pPr>
  </w:style>
  <w:style w:type="paragraph" w:styleId="20">
    <w:name w:val="annotation subject"/>
    <w:basedOn w:val="13"/>
    <w:next w:val="13"/>
    <w:link w:val="35"/>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000FF"/>
      <w:u w:val="single"/>
    </w:rPr>
  </w:style>
  <w:style w:type="character" w:styleId="25">
    <w:name w:val="annotation reference"/>
    <w:unhideWhenUsed/>
    <w:qFormat/>
    <w:uiPriority w:val="99"/>
    <w:rPr>
      <w:sz w:val="21"/>
      <w:szCs w:val="21"/>
    </w:rPr>
  </w:style>
  <w:style w:type="character" w:customStyle="1" w:styleId="26">
    <w:name w:val="列表段落 字符"/>
    <w:link w:val="27"/>
    <w:qFormat/>
    <w:uiPriority w:val="34"/>
    <w:rPr>
      <w:rFonts w:ascii="Times New Roman" w:hAnsi="Times New Roman"/>
      <w:szCs w:val="24"/>
    </w:rPr>
  </w:style>
  <w:style w:type="paragraph" w:styleId="27">
    <w:name w:val="List Paragraph"/>
    <w:basedOn w:val="1"/>
    <w:link w:val="26"/>
    <w:qFormat/>
    <w:uiPriority w:val="99"/>
    <w:pPr>
      <w:ind w:firstLine="420" w:firstLineChars="200"/>
    </w:pPr>
    <w:rPr>
      <w:rFonts w:eastAsiaTheme="minorEastAsia" w:cstheme="minorBidi"/>
    </w:rPr>
  </w:style>
  <w:style w:type="character" w:customStyle="1" w:styleId="28">
    <w:name w:val="批注文字 字符"/>
    <w:basedOn w:val="23"/>
    <w:semiHidden/>
    <w:qFormat/>
    <w:uiPriority w:val="99"/>
    <w:rPr>
      <w:rFonts w:ascii="Times New Roman" w:hAnsi="Times New Roman" w:eastAsia="宋体" w:cs="Times New Roman"/>
      <w:szCs w:val="24"/>
    </w:rPr>
  </w:style>
  <w:style w:type="character" w:customStyle="1" w:styleId="29">
    <w:name w:val="批注文字 字符1"/>
    <w:link w:val="13"/>
    <w:qFormat/>
    <w:uiPriority w:val="99"/>
    <w:rPr>
      <w:rFonts w:ascii="Times New Roman" w:hAnsi="Times New Roman" w:eastAsia="宋体" w:cs="Times New Roman"/>
      <w:szCs w:val="24"/>
    </w:rPr>
  </w:style>
  <w:style w:type="paragraph" w:customStyle="1" w:styleId="3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1">
    <w:name w:val="批注框文本 字符"/>
    <w:basedOn w:val="23"/>
    <w:link w:val="15"/>
    <w:semiHidden/>
    <w:qFormat/>
    <w:uiPriority w:val="99"/>
    <w:rPr>
      <w:rFonts w:ascii="Times New Roman" w:hAnsi="Times New Roman" w:eastAsia="宋体" w:cs="Times New Roman"/>
      <w:sz w:val="18"/>
      <w:szCs w:val="18"/>
    </w:rPr>
  </w:style>
  <w:style w:type="character" w:customStyle="1" w:styleId="32">
    <w:name w:val="页眉 字符"/>
    <w:basedOn w:val="23"/>
    <w:link w:val="17"/>
    <w:qFormat/>
    <w:uiPriority w:val="99"/>
    <w:rPr>
      <w:rFonts w:ascii="Times New Roman" w:hAnsi="Times New Roman" w:eastAsia="宋体" w:cs="Times New Roman"/>
      <w:sz w:val="18"/>
      <w:szCs w:val="18"/>
    </w:rPr>
  </w:style>
  <w:style w:type="character" w:customStyle="1" w:styleId="33">
    <w:name w:val="页脚 字符"/>
    <w:basedOn w:val="23"/>
    <w:link w:val="16"/>
    <w:qFormat/>
    <w:uiPriority w:val="99"/>
    <w:rPr>
      <w:rFonts w:ascii="Times New Roman" w:hAnsi="Times New Roman" w:eastAsia="宋体" w:cs="Times New Roman"/>
      <w:sz w:val="18"/>
      <w:szCs w:val="18"/>
    </w:rPr>
  </w:style>
  <w:style w:type="character" w:customStyle="1" w:styleId="34">
    <w:name w:val="标题1"/>
    <w:basedOn w:val="23"/>
    <w:qFormat/>
    <w:uiPriority w:val="0"/>
  </w:style>
  <w:style w:type="character" w:customStyle="1" w:styleId="35">
    <w:name w:val="批注主题 字符"/>
    <w:basedOn w:val="29"/>
    <w:link w:val="20"/>
    <w:semiHidden/>
    <w:qFormat/>
    <w:uiPriority w:val="99"/>
    <w:rPr>
      <w:rFonts w:ascii="Times New Roman" w:hAnsi="Times New Roman" w:eastAsia="宋体" w:cs="Times New Roman"/>
      <w:b/>
      <w:bCs/>
      <w:szCs w:val="24"/>
    </w:rPr>
  </w:style>
  <w:style w:type="paragraph" w:customStyle="1" w:styleId="3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标题 1 字符"/>
    <w:basedOn w:val="23"/>
    <w:link w:val="3"/>
    <w:qFormat/>
    <w:uiPriority w:val="0"/>
    <w:rPr>
      <w:b/>
      <w:kern w:val="44"/>
      <w:sz w:val="44"/>
    </w:rPr>
  </w:style>
  <w:style w:type="character" w:customStyle="1" w:styleId="38">
    <w:name w:val="标题 2 字符"/>
    <w:basedOn w:val="23"/>
    <w:link w:val="4"/>
    <w:qFormat/>
    <w:uiPriority w:val="0"/>
    <w:rPr>
      <w:rFonts w:ascii="Arial" w:hAnsi="Arial" w:eastAsia="黑体"/>
      <w:b/>
      <w:sz w:val="32"/>
    </w:rPr>
  </w:style>
  <w:style w:type="character" w:customStyle="1" w:styleId="39">
    <w:name w:val="标题 3 字符"/>
    <w:basedOn w:val="23"/>
    <w:link w:val="5"/>
    <w:qFormat/>
    <w:uiPriority w:val="0"/>
    <w:rPr>
      <w:b/>
      <w:sz w:val="32"/>
    </w:rPr>
  </w:style>
  <w:style w:type="character" w:customStyle="1" w:styleId="40">
    <w:name w:val="标题 4 字符"/>
    <w:basedOn w:val="23"/>
    <w:link w:val="6"/>
    <w:qFormat/>
    <w:uiPriority w:val="0"/>
    <w:rPr>
      <w:rFonts w:ascii="Arial" w:hAnsi="Arial" w:eastAsia="黑体"/>
      <w:b/>
      <w:kern w:val="2"/>
      <w:sz w:val="28"/>
    </w:rPr>
  </w:style>
  <w:style w:type="character" w:customStyle="1" w:styleId="41">
    <w:name w:val="标题 5 字符"/>
    <w:basedOn w:val="23"/>
    <w:link w:val="8"/>
    <w:qFormat/>
    <w:uiPriority w:val="0"/>
    <w:rPr>
      <w:b/>
      <w:kern w:val="2"/>
      <w:sz w:val="28"/>
    </w:rPr>
  </w:style>
  <w:style w:type="character" w:customStyle="1" w:styleId="42">
    <w:name w:val="标题 6 字符"/>
    <w:basedOn w:val="23"/>
    <w:link w:val="9"/>
    <w:qFormat/>
    <w:uiPriority w:val="0"/>
    <w:rPr>
      <w:rFonts w:ascii="Arial" w:hAnsi="Arial" w:eastAsia="黑体"/>
      <w:b/>
      <w:kern w:val="2"/>
      <w:sz w:val="24"/>
    </w:rPr>
  </w:style>
  <w:style w:type="character" w:customStyle="1" w:styleId="43">
    <w:name w:val="标题 7 字符"/>
    <w:basedOn w:val="23"/>
    <w:link w:val="10"/>
    <w:qFormat/>
    <w:uiPriority w:val="0"/>
    <w:rPr>
      <w:b/>
      <w:kern w:val="2"/>
      <w:sz w:val="24"/>
    </w:rPr>
  </w:style>
  <w:style w:type="character" w:customStyle="1" w:styleId="44">
    <w:name w:val="标题 8 字符"/>
    <w:basedOn w:val="23"/>
    <w:link w:val="11"/>
    <w:qFormat/>
    <w:uiPriority w:val="0"/>
    <w:rPr>
      <w:rFonts w:ascii="Arial" w:hAnsi="Arial" w:eastAsia="黑体"/>
      <w:kern w:val="2"/>
      <w:sz w:val="24"/>
    </w:rPr>
  </w:style>
  <w:style w:type="character" w:customStyle="1" w:styleId="45">
    <w:name w:val="标题 9 字符"/>
    <w:basedOn w:val="23"/>
    <w:link w:val="12"/>
    <w:qFormat/>
    <w:uiPriority w:val="0"/>
    <w:rPr>
      <w:rFonts w:ascii="Arial" w:hAnsi="Arial" w:eastAsia="黑体"/>
      <w:kern w:val="2"/>
      <w:sz w:val="21"/>
    </w:rPr>
  </w:style>
  <w:style w:type="paragraph" w:customStyle="1" w:styleId="46">
    <w:name w:val="表1"/>
    <w:basedOn w:val="1"/>
    <w:qFormat/>
    <w:uiPriority w:val="0"/>
    <w:pPr>
      <w:spacing w:line="360" w:lineRule="auto"/>
      <w:jc w:val="center"/>
    </w:pPr>
    <w:rPr>
      <w:rFonts w:hAnsi="宋体"/>
      <w:b/>
      <w:bCs/>
      <w:sz w:val="24"/>
    </w:rPr>
  </w:style>
  <w:style w:type="paragraph" w:customStyle="1" w:styleId="4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48">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49">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F56B05-DD61-402E-988D-7FE0032C80F9}">
  <ds:schemaRefs/>
</ds:datastoreItem>
</file>

<file path=docProps/app.xml><?xml version="1.0" encoding="utf-8"?>
<Properties xmlns="http://schemas.openxmlformats.org/officeDocument/2006/extended-properties" xmlns:vt="http://schemas.openxmlformats.org/officeDocument/2006/docPropsVTypes">
  <Template>Normal</Template>
  <Pages>32</Pages>
  <Words>17355</Words>
  <Characters>17990</Characters>
  <Lines>166</Lines>
  <Paragraphs>46</Paragraphs>
  <TotalTime>0</TotalTime>
  <ScaleCrop>false</ScaleCrop>
  <LinksUpToDate>false</LinksUpToDate>
  <CharactersWithSpaces>20649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2022-03-08T06:29:00Z</dcterms:created>
  <dc:creator>Tony Young</dc:creator>
  <cp:lastModifiedBy>szcec</cp:lastModifiedBy>
  <dcterms:modified xsi:type="dcterms:W3CDTF">2022-04-02T04:59:46Z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FDCF027F1F4342A89F961AE01C68150E</vt:lpwstr>
  </property>
</Properties>
</file>