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8640"/>
        </w:tabs>
        <w:ind w:left="360" w:firstLine="0" w:firstLineChars="0"/>
        <w:rPr>
          <w:color w:val="000000" w:themeColor="text1"/>
          <w:sz w:val="30"/>
          <w:szCs w:val="30"/>
          <w:highlight w:val="yellow"/>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color w:val="000000" w:themeColor="text1"/>
          <w:sz w:val="32"/>
          <w:szCs w:val="32"/>
        </w:rPr>
        <w:t>深圳会展中心中压开关柜环网柜检修和耐压测试项目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color w:val="0C0C0C" w:themeColor="text1" w:themeTint="F2"/>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2年04月</w:t>
      </w:r>
      <w:r>
        <w:rPr>
          <w:rFonts w:ascii="方正小标宋_GBK" w:hAnsi="方正小标宋_GBK" w:eastAsia="方正小标宋_GBK" w:cs="方正小标宋_GBK"/>
          <w:b/>
          <w:sz w:val="32"/>
          <w:szCs w:val="32"/>
        </w:rPr>
        <w:br w:type="page"/>
      </w:r>
    </w:p>
    <w:p>
      <w:pPr>
        <w:pStyle w:val="8"/>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"_Toc90837879" </w:instrText>
      </w:r>
      <w:r>
        <w:fldChar w:fldCharType="separate"/>
      </w:r>
      <w:r>
        <w:rPr>
          <w:rStyle w:val="14"/>
          <w:rFonts w:ascii="方正小标宋_GBK" w:hAnsi="方正小标宋_GBK" w:eastAsia="方正小标宋_GBK"/>
          <w:b/>
        </w:rPr>
        <w:t>第一部分 项目要求</w:t>
      </w:r>
      <w:r>
        <w:tab/>
      </w:r>
      <w:r>
        <w:fldChar w:fldCharType="begin"/>
      </w:r>
      <w:r>
        <w:instrText xml:space="preserve"> PAGEREF _Toc90837879 \h </w:instrText>
      </w:r>
      <w:r>
        <w:fldChar w:fldCharType="separate"/>
      </w:r>
      <w:r>
        <w:t>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"_Toc90837880" </w:instrText>
      </w:r>
      <w:r>
        <w:fldChar w:fldCharType="separate"/>
      </w:r>
      <w:r>
        <w:rPr>
          <w:rStyle w:val="14"/>
          <w:rFonts w:ascii="宋体" w:hAnsi="宋体" w:cs="仿宋"/>
        </w:rPr>
        <w:t>一、</w:t>
      </w:r>
      <w:r>
        <w:rPr>
          <w:rStyle w:val="14"/>
          <w:rFonts w:ascii="宋体" w:hAnsi="宋体"/>
        </w:rPr>
        <w:t xml:space="preserve"> 投标人须知</w:t>
      </w:r>
      <w:r>
        <w:tab/>
      </w:r>
      <w:r>
        <w:fldChar w:fldCharType="begin"/>
      </w:r>
      <w:r>
        <w:instrText xml:space="preserve"> PAGEREF _Toc90837880 \h </w:instrText>
      </w:r>
      <w:r>
        <w:fldChar w:fldCharType="separate"/>
      </w:r>
      <w:r>
        <w:t>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"_Toc90837881" </w:instrText>
      </w:r>
      <w:r>
        <w:fldChar w:fldCharType="separate"/>
      </w:r>
      <w:r>
        <w:rPr>
          <w:rStyle w:val="14"/>
          <w:rFonts w:ascii="宋体" w:hAnsi="宋体" w:cs="仿宋"/>
        </w:rPr>
        <w:t>二、</w:t>
      </w:r>
      <w:r>
        <w:rPr>
          <w:rStyle w:val="14"/>
          <w:rFonts w:ascii="宋体" w:hAnsi="宋体"/>
        </w:rPr>
        <w:t xml:space="preserve"> 特别说明</w:t>
      </w:r>
      <w:r>
        <w:tab/>
      </w:r>
      <w:r>
        <w:fldChar w:fldCharType="begin"/>
      </w:r>
      <w:r>
        <w:instrText xml:space="preserve"> PAGEREF _Toc90837881 \h </w:instrText>
      </w:r>
      <w:r>
        <w:fldChar w:fldCharType="separate"/>
      </w:r>
      <w:r>
        <w:t>3</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"_Toc90837882" </w:instrText>
      </w:r>
      <w:r>
        <w:fldChar w:fldCharType="separate"/>
      </w:r>
      <w:r>
        <w:rPr>
          <w:rStyle w:val="14"/>
          <w:rFonts w:ascii="宋体" w:hAnsi="宋体" w:cs="仿宋"/>
        </w:rPr>
        <w:t>三、</w:t>
      </w:r>
      <w:r>
        <w:rPr>
          <w:rStyle w:val="14"/>
          <w:rFonts w:ascii="宋体" w:hAnsi="宋体"/>
        </w:rPr>
        <w:t xml:space="preserve"> 投标文件编制</w:t>
      </w:r>
      <w:r>
        <w:tab/>
      </w:r>
      <w:r>
        <w:fldChar w:fldCharType="begin"/>
      </w:r>
      <w:r>
        <w:instrText xml:space="preserve"> PAGEREF _Toc90837882 \h </w:instrText>
      </w:r>
      <w:r>
        <w:fldChar w:fldCharType="separate"/>
      </w:r>
      <w:r>
        <w:t>3</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"_Toc90837883" </w:instrText>
      </w:r>
      <w:r>
        <w:fldChar w:fldCharType="separate"/>
      </w:r>
      <w:r>
        <w:rPr>
          <w:rStyle w:val="14"/>
          <w:rFonts w:ascii="宋体" w:hAnsi="宋体" w:cs="仿宋"/>
        </w:rPr>
        <w:t>四、</w:t>
      </w:r>
      <w:r>
        <w:rPr>
          <w:rStyle w:val="14"/>
          <w:rFonts w:ascii="宋体" w:hAnsi="宋体"/>
        </w:rPr>
        <w:t xml:space="preserve"> 项目要求及数量</w:t>
      </w:r>
      <w:r>
        <w:tab/>
      </w:r>
      <w:r>
        <w:fldChar w:fldCharType="begin"/>
      </w:r>
      <w:r>
        <w:instrText xml:space="preserve"> PAGEREF _Toc90837883 \h </w:instrText>
      </w:r>
      <w:r>
        <w:fldChar w:fldCharType="separate"/>
      </w:r>
      <w:r>
        <w:t>4</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"_Toc90837884" </w:instrText>
      </w:r>
      <w:r>
        <w:fldChar w:fldCharType="separate"/>
      </w:r>
      <w:r>
        <w:rPr>
          <w:rStyle w:val="14"/>
          <w:rFonts w:ascii="宋体" w:hAnsi="宋体" w:cs="仿宋"/>
        </w:rPr>
        <w:t>五、</w:t>
      </w:r>
      <w:r>
        <w:rPr>
          <w:rStyle w:val="14"/>
          <w:rFonts w:ascii="宋体" w:hAnsi="宋体"/>
        </w:rPr>
        <w:t xml:space="preserve"> 其他项目说明资料</w:t>
      </w:r>
      <w:r>
        <w:tab/>
      </w:r>
      <w:r>
        <w:fldChar w:fldCharType="begin"/>
      </w:r>
      <w:r>
        <w:instrText xml:space="preserve"> PAGEREF _Toc90837884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"_Toc90837885" </w:instrText>
      </w:r>
      <w:r>
        <w:fldChar w:fldCharType="separate"/>
      </w:r>
      <w:r>
        <w:rPr>
          <w:rStyle w:val="14"/>
          <w:rFonts w:ascii="方正小标宋_GBK" w:hAnsi="方正小标宋_GBK" w:eastAsia="方正小标宋_GBK"/>
          <w:b/>
        </w:rPr>
        <w:t>第二部分：开标评标流程</w:t>
      </w:r>
      <w:r>
        <w:tab/>
      </w:r>
      <w:r>
        <w:fldChar w:fldCharType="begin"/>
      </w:r>
      <w:r>
        <w:instrText xml:space="preserve"> PAGEREF _Toc90837885 \h </w:instrText>
      </w:r>
      <w:r>
        <w:fldChar w:fldCharType="separate"/>
      </w:r>
      <w:r>
        <w:t>8</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"_Toc90837886" </w:instrText>
      </w:r>
      <w:r>
        <w:fldChar w:fldCharType="separate"/>
      </w:r>
      <w:r>
        <w:rPr>
          <w:rStyle w:val="14"/>
          <w:rFonts w:ascii="宋体" w:hAnsi="宋体" w:cs="仿宋"/>
        </w:rPr>
        <w:t>六、</w:t>
      </w:r>
      <w:r>
        <w:rPr>
          <w:rStyle w:val="14"/>
          <w:rFonts w:ascii="宋体" w:hAnsi="宋体"/>
        </w:rPr>
        <w:t xml:space="preserve"> 开标评标流程</w:t>
      </w:r>
      <w:r>
        <w:tab/>
      </w:r>
      <w:r>
        <w:fldChar w:fldCharType="begin"/>
      </w:r>
      <w:r>
        <w:instrText xml:space="preserve"> PAGEREF _Toc90837886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"_Toc90837887" </w:instrText>
      </w:r>
      <w:r>
        <w:fldChar w:fldCharType="separate"/>
      </w:r>
      <w:r>
        <w:rPr>
          <w:rStyle w:val="14"/>
          <w:rFonts w:ascii="方正小标宋_GBK" w:hAnsi="方正小标宋_GBK" w:eastAsia="方正小标宋_GBK"/>
          <w:b/>
        </w:rPr>
        <w:t>第三部分：评审办法</w:t>
      </w:r>
      <w:r>
        <w:tab/>
      </w:r>
      <w:r>
        <w:fldChar w:fldCharType="begin"/>
      </w:r>
      <w:r>
        <w:instrText xml:space="preserve"> PAGEREF _Toc90837887 \h </w:instrText>
      </w:r>
      <w:r>
        <w:fldChar w:fldCharType="separate"/>
      </w:r>
      <w:r>
        <w:t>9</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"_Toc90837888" </w:instrText>
      </w:r>
      <w:r>
        <w:fldChar w:fldCharType="separate"/>
      </w:r>
      <w:r>
        <w:rPr>
          <w:rStyle w:val="14"/>
          <w:rFonts w:ascii="宋体" w:hAnsi="宋体" w:cs="仿宋"/>
        </w:rPr>
        <w:t>七、</w:t>
      </w:r>
      <w:r>
        <w:rPr>
          <w:rStyle w:val="14"/>
          <w:rFonts w:ascii="宋体" w:hAnsi="宋体"/>
        </w:rPr>
        <w:t xml:space="preserve"> 评审办法</w:t>
      </w:r>
      <w:r>
        <w:tab/>
      </w:r>
      <w:r>
        <w:fldChar w:fldCharType="begin"/>
      </w:r>
      <w:r>
        <w:instrText xml:space="preserve"> PAGEREF _Toc90837888 \h </w:instrText>
      </w:r>
      <w:r>
        <w:fldChar w:fldCharType="separate"/>
      </w:r>
      <w:r>
        <w:t>9</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"_Toc90837889" </w:instrText>
      </w:r>
      <w:r>
        <w:fldChar w:fldCharType="separate"/>
      </w:r>
      <w:r>
        <w:rPr>
          <w:rStyle w:val="14"/>
          <w:rFonts w:ascii="宋体" w:hAnsi="宋体"/>
        </w:rPr>
        <w:t>（一）</w:t>
      </w:r>
      <w:r>
        <w:rPr>
          <w:rFonts w:asciiTheme="minorHAnsi" w:hAnsiTheme="minorHAnsi" w:eastAsiaTheme="minorEastAsia" w:cstheme="minorBidi"/>
          <w:szCs w:val="22"/>
        </w:rPr>
        <w:tab/>
      </w:r>
      <w:r>
        <w:rPr>
          <w:rStyle w:val="14"/>
          <w:rFonts w:ascii="宋体" w:hAnsi="宋体"/>
        </w:rPr>
        <w:t>符合性检查</w:t>
      </w:r>
      <w:r>
        <w:tab/>
      </w:r>
      <w:r>
        <w:fldChar w:fldCharType="begin"/>
      </w:r>
      <w:r>
        <w:instrText xml:space="preserve"> PAGEREF _Toc90837889 \h </w:instrText>
      </w:r>
      <w:r>
        <w:fldChar w:fldCharType="separate"/>
      </w:r>
      <w:r>
        <w:t>9</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"_Toc90837890" </w:instrText>
      </w:r>
      <w:r>
        <w:fldChar w:fldCharType="separate"/>
      </w:r>
      <w:r>
        <w:rPr>
          <w:rStyle w:val="14"/>
          <w:rFonts w:ascii="宋体" w:hAnsi="宋体"/>
        </w:rPr>
        <w:t>（二）</w:t>
      </w:r>
      <w:r>
        <w:rPr>
          <w:rFonts w:asciiTheme="minorHAnsi" w:hAnsiTheme="minorHAnsi" w:eastAsiaTheme="minorEastAsia" w:cstheme="minorBidi"/>
          <w:szCs w:val="22"/>
        </w:rPr>
        <w:tab/>
      </w:r>
      <w:r>
        <w:rPr>
          <w:rStyle w:val="14"/>
          <w:rFonts w:ascii="宋体" w:hAnsi="宋体"/>
        </w:rPr>
        <w:t>综合评议指标表</w:t>
      </w:r>
      <w:r>
        <w:tab/>
      </w:r>
      <w:r>
        <w:fldChar w:fldCharType="begin"/>
      </w:r>
      <w:r>
        <w:instrText xml:space="preserve"> PAGEREF _Toc90837890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"_Toc90837891" </w:instrText>
      </w:r>
      <w:r>
        <w:fldChar w:fldCharType="separate"/>
      </w:r>
      <w:r>
        <w:rPr>
          <w:rStyle w:val="14"/>
          <w:rFonts w:ascii="方正小标宋_GBK" w:hAnsi="方正小标宋_GBK" w:eastAsia="方正小标宋_GBK"/>
          <w:b/>
        </w:rPr>
        <w:t>第四部分：合同条款及格式</w:t>
      </w:r>
      <w:r>
        <w:tab/>
      </w:r>
      <w:r>
        <w:fldChar w:fldCharType="begin"/>
      </w:r>
      <w:r>
        <w:instrText xml:space="preserve"> PAGEREF _Toc90837891 \h </w:instrText>
      </w:r>
      <w:r>
        <w:fldChar w:fldCharType="separate"/>
      </w:r>
      <w:r>
        <w:t>11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"_Toc90837892" </w:instrText>
      </w:r>
      <w:r>
        <w:fldChar w:fldCharType="separate"/>
      </w:r>
      <w:r>
        <w:rPr>
          <w:rStyle w:val="14"/>
          <w:rFonts w:ascii="方正小标宋_GBK" w:hAnsi="方正小标宋_GBK" w:eastAsia="方正小标宋_GBK"/>
          <w:b/>
        </w:rPr>
        <w:t>第五部分：参考附件</w:t>
      </w:r>
      <w:r>
        <w:tab/>
      </w:r>
      <w:r>
        <w:fldChar w:fldCharType="begin"/>
      </w:r>
      <w:r>
        <w:instrText xml:space="preserve"> PAGEREF _Toc90837892 \h </w:instrText>
      </w:r>
      <w:r>
        <w:fldChar w:fldCharType="separate"/>
      </w:r>
      <w:r>
        <w:t>21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"_Toc90837893" </w:instrText>
      </w:r>
      <w:r>
        <w:fldChar w:fldCharType="separate"/>
      </w:r>
      <w:r>
        <w:rPr>
          <w:rStyle w:val="14"/>
          <w:rFonts w:ascii="宋体" w:hAnsi="宋体"/>
        </w:rPr>
        <w:t>附件1：投标函</w:t>
      </w:r>
      <w:r>
        <w:tab/>
      </w:r>
      <w:r>
        <w:fldChar w:fldCharType="begin"/>
      </w:r>
      <w:r>
        <w:instrText xml:space="preserve"> PAGEREF _Toc90837893 \h </w:instrText>
      </w:r>
      <w:r>
        <w:fldChar w:fldCharType="separate"/>
      </w:r>
      <w:r>
        <w:t>21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"_Toc90837894" </w:instrText>
      </w:r>
      <w:r>
        <w:fldChar w:fldCharType="separate"/>
      </w:r>
      <w:r>
        <w:rPr>
          <w:rStyle w:val="14"/>
          <w:rFonts w:ascii="宋体" w:hAnsi="宋体"/>
        </w:rPr>
        <w:t>附件2：投标一览表</w:t>
      </w:r>
      <w:r>
        <w:tab/>
      </w:r>
      <w:r>
        <w:fldChar w:fldCharType="begin"/>
      </w:r>
      <w:r>
        <w:instrText xml:space="preserve"> PAGEREF _Toc90837894 \h </w:instrText>
      </w:r>
      <w:r>
        <w:fldChar w:fldCharType="separate"/>
      </w:r>
      <w:r>
        <w:t>22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"_Toc90837895" </w:instrText>
      </w:r>
      <w:r>
        <w:fldChar w:fldCharType="separate"/>
      </w:r>
      <w:r>
        <w:rPr>
          <w:rStyle w:val="14"/>
          <w:rFonts w:ascii="宋体" w:hAnsi="宋体"/>
        </w:rPr>
        <w:t>附件3：考察证明</w:t>
      </w:r>
      <w:r>
        <w:tab/>
      </w:r>
      <w:r>
        <w:fldChar w:fldCharType="begin"/>
      </w:r>
      <w:r>
        <w:instrText xml:space="preserve"> PAGEREF _Toc90837895 \h </w:instrText>
      </w:r>
      <w:r>
        <w:fldChar w:fldCharType="separate"/>
      </w:r>
      <w:r>
        <w:t>23</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"_Toc90837896" </w:instrText>
      </w:r>
      <w:r>
        <w:fldChar w:fldCharType="separate"/>
      </w:r>
      <w:r>
        <w:rPr>
          <w:rStyle w:val="14"/>
          <w:rFonts w:ascii="宋体" w:hAnsi="宋体"/>
        </w:rPr>
        <w:t>附件4：技术服务响应/偏离表</w:t>
      </w:r>
      <w:r>
        <w:tab/>
      </w:r>
      <w:r>
        <w:fldChar w:fldCharType="begin"/>
      </w:r>
      <w:r>
        <w:instrText xml:space="preserve"> PAGEREF _Toc90837896 \h </w:instrText>
      </w:r>
      <w:r>
        <w:fldChar w:fldCharType="separate"/>
      </w:r>
      <w:r>
        <w:t>24</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"_Toc90837897" </w:instrText>
      </w:r>
      <w:r>
        <w:fldChar w:fldCharType="separate"/>
      </w:r>
      <w:r>
        <w:rPr>
          <w:rStyle w:val="14"/>
          <w:rFonts w:ascii="宋体" w:hAnsi="宋体"/>
        </w:rPr>
        <w:t>附件5：商务条款响应/偏离表</w:t>
      </w:r>
      <w:r>
        <w:tab/>
      </w:r>
      <w:r>
        <w:fldChar w:fldCharType="begin"/>
      </w:r>
      <w:r>
        <w:instrText xml:space="preserve"> PAGEREF _Toc90837897 \h </w:instrText>
      </w:r>
      <w:r>
        <w:fldChar w:fldCharType="separate"/>
      </w:r>
      <w:r>
        <w:t>25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"_Toc90837898" </w:instrText>
      </w:r>
      <w:r>
        <w:fldChar w:fldCharType="separate"/>
      </w:r>
      <w:r>
        <w:rPr>
          <w:rStyle w:val="14"/>
          <w:rFonts w:ascii="宋体" w:hAnsi="宋体"/>
        </w:rPr>
        <w:t>附件6：报价一览表（货物）（本项目不适用）</w:t>
      </w:r>
      <w:r>
        <w:tab/>
      </w:r>
      <w:r>
        <w:fldChar w:fldCharType="begin"/>
      </w:r>
      <w:r>
        <w:instrText xml:space="preserve"> PAGEREF _Toc90837899 \h </w:instrText>
      </w:r>
      <w:r>
        <w:fldChar w:fldCharType="separate"/>
      </w:r>
      <w:r>
        <w:t>26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"_Toc90837899" </w:instrText>
      </w:r>
      <w:r>
        <w:fldChar w:fldCharType="separate"/>
      </w:r>
      <w:r>
        <w:rPr>
          <w:rStyle w:val="14"/>
          <w:rFonts w:ascii="宋体" w:hAnsi="宋体"/>
        </w:rPr>
        <w:t>附件7：报价一览表（服务）（本项目不适用）</w:t>
      </w:r>
      <w:r>
        <w:tab/>
      </w:r>
      <w:r>
        <w:fldChar w:fldCharType="begin"/>
      </w:r>
      <w:r>
        <w:instrText xml:space="preserve"> PAGEREF _Toc90837899 \h </w:instrText>
      </w:r>
      <w:r>
        <w:fldChar w:fldCharType="separate"/>
      </w:r>
      <w:r>
        <w:t>2</w:t>
      </w:r>
      <w:r>
        <w:rPr>
          <w:rFonts w:hint="eastAsia"/>
          <w:lang w:val="en-US" w:eastAsia="zh-CN"/>
        </w:rP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"_Toc90837900" </w:instrText>
      </w:r>
      <w:r>
        <w:fldChar w:fldCharType="separate"/>
      </w:r>
      <w:r>
        <w:rPr>
          <w:rStyle w:val="14"/>
          <w:rFonts w:ascii="宋体" w:hAnsi="宋体"/>
        </w:rPr>
        <w:t>附件8：报价一览表（工程）</w:t>
      </w:r>
      <w:r>
        <w:tab/>
      </w:r>
      <w:r>
        <w:fldChar w:fldCharType="begin"/>
      </w:r>
      <w:r>
        <w:instrText xml:space="preserve"> PAGEREF _Toc90837899 \h </w:instrText>
      </w:r>
      <w:r>
        <w:fldChar w:fldCharType="separate"/>
      </w:r>
      <w:r>
        <w:t>2</w:t>
      </w:r>
      <w:r>
        <w:rPr>
          <w:rFonts w:hint="eastAsia"/>
          <w:lang w:val="en-US" w:eastAsia="zh-CN"/>
        </w:rPr>
        <w:t>8</w:t>
      </w:r>
      <w:r>
        <w:fldChar w:fldCharType="end"/>
      </w:r>
      <w:r>
        <w:fldChar w:fldCharType="end"/>
      </w:r>
    </w:p>
    <w:p>
      <w:pPr>
        <w:pStyle w:val="9"/>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"_Toc90837901" </w:instrText>
      </w:r>
      <w:r>
        <w:fldChar w:fldCharType="separate"/>
      </w:r>
      <w:r>
        <w:rPr>
          <w:rStyle w:val="14"/>
          <w:rFonts w:ascii="宋体" w:hAnsi="宋体"/>
        </w:rPr>
        <w:t>附件9：法定代表人证明书</w:t>
      </w:r>
      <w:r>
        <w:tab/>
      </w:r>
      <w:r>
        <w:rPr>
          <w:rFonts w:hint="eastAsia"/>
          <w:lang w:val="en-US" w:eastAsia="zh-CN"/>
        </w:rPr>
        <w:t>2</w:t>
      </w:r>
      <w:r>
        <w:fldChar w:fldCharType="end"/>
      </w:r>
      <w:r>
        <w:rPr>
          <w:rFonts w:hint="eastAsia"/>
          <w:lang w:val="en-US" w:eastAsia="zh-CN"/>
        </w:rPr>
        <w:t>9</w:t>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"_Toc90837902" </w:instrText>
      </w:r>
      <w:r>
        <w:fldChar w:fldCharType="separate"/>
      </w:r>
      <w:r>
        <w:rPr>
          <w:rStyle w:val="14"/>
          <w:rFonts w:ascii="宋体" w:hAnsi="宋体"/>
        </w:rPr>
        <w:t>附件10：法人授权委托证明书</w:t>
      </w:r>
      <w:r>
        <w:tab/>
      </w:r>
      <w:r>
        <w:fldChar w:fldCharType="begin"/>
      </w:r>
      <w:r>
        <w:instrText xml:space="preserve"> PAGEREF _Toc90837902 \h </w:instrText>
      </w:r>
      <w:r>
        <w:fldChar w:fldCharType="separate"/>
      </w:r>
      <w:r>
        <w:t>30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"_Toc90837903" </w:instrText>
      </w:r>
      <w:r>
        <w:fldChar w:fldCharType="separate"/>
      </w:r>
      <w:r>
        <w:rPr>
          <w:rStyle w:val="14"/>
          <w:rFonts w:ascii="宋体" w:hAnsi="宋体"/>
        </w:rPr>
        <w:t>附件11：经营业绩一览表</w:t>
      </w:r>
      <w:r>
        <w:tab/>
      </w:r>
      <w:r>
        <w:fldChar w:fldCharType="begin"/>
      </w:r>
      <w:r>
        <w:instrText xml:space="preserve"> PAGEREF _Toc90837903 \h </w:instrText>
      </w:r>
      <w:r>
        <w:fldChar w:fldCharType="separate"/>
      </w:r>
      <w:r>
        <w:t>31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"_Toc90837904" </w:instrText>
      </w:r>
      <w:r>
        <w:fldChar w:fldCharType="separate"/>
      </w:r>
      <w:r>
        <w:rPr>
          <w:rStyle w:val="14"/>
          <w:rFonts w:ascii="宋体" w:hAnsi="宋体"/>
        </w:rPr>
        <w:t>附件12：售后服务承诺书（质量保证服务承诺书）</w:t>
      </w:r>
      <w:r>
        <w:tab/>
      </w:r>
      <w:r>
        <w:fldChar w:fldCharType="begin"/>
      </w:r>
      <w:r>
        <w:instrText xml:space="preserve"> PAGEREF _Toc90837904 \h </w:instrText>
      </w:r>
      <w:r>
        <w:fldChar w:fldCharType="separate"/>
      </w:r>
      <w:r>
        <w:t>32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"_Toc90837905" </w:instrText>
      </w:r>
      <w:r>
        <w:fldChar w:fldCharType="separate"/>
      </w:r>
      <w:r>
        <w:rPr>
          <w:rStyle w:val="14"/>
          <w:rFonts w:ascii="宋体" w:hAnsi="宋体"/>
        </w:rPr>
        <w:t>附件13：履约情况及社会信誉承诺书</w:t>
      </w:r>
      <w:r>
        <w:tab/>
      </w:r>
      <w:r>
        <w:fldChar w:fldCharType="begin"/>
      </w:r>
      <w:r>
        <w:instrText xml:space="preserve"> PAGEREF _Toc90837905 \h </w:instrText>
      </w:r>
      <w:r>
        <w:fldChar w:fldCharType="separate"/>
      </w:r>
      <w:r>
        <w:t>33</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方正小标宋_GBK" w:hAnsi="方正小标宋_GBK" w:eastAsia="方正小标宋_GBK"/>
          <w:b/>
          <w:sz w:val="32"/>
          <w:szCs w:val="32"/>
        </w:rPr>
      </w:pPr>
      <w:bookmarkStart w:id="0" w:name="_Toc90837879"/>
      <w:r>
        <w:rPr>
          <w:rFonts w:hint="eastAsia" w:ascii="方正小标宋_GBK" w:hAnsi="方正小标宋_GBK" w:eastAsia="方正小标宋_GBK"/>
          <w:b/>
          <w:sz w:val="32"/>
          <w:szCs w:val="32"/>
        </w:rPr>
        <w:t>第一部分 项目要求</w:t>
      </w:r>
      <w:bookmarkEnd w:id="0"/>
    </w:p>
    <w:p>
      <w:pPr>
        <w:numPr>
          <w:ilvl w:val="0"/>
          <w:numId w:val="1"/>
        </w:numPr>
        <w:spacing w:beforeLines="50" w:line="360" w:lineRule="auto"/>
        <w:outlineLvl w:val="1"/>
        <w:rPr>
          <w:rFonts w:ascii="宋体" w:hAnsi="宋体"/>
          <w:b/>
          <w:szCs w:val="21"/>
        </w:rPr>
      </w:pPr>
      <w:bookmarkStart w:id="1" w:name="_Toc90837880"/>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1"/>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联系人：刘工</w:t>
            </w:r>
          </w:p>
          <w:p>
            <w:pPr>
              <w:wordWrap w:val="0"/>
              <w:autoSpaceDE w:val="0"/>
              <w:autoSpaceDN w:val="0"/>
              <w:adjustRightInd w:val="0"/>
              <w:snapToGrid w:val="0"/>
              <w:rPr>
                <w:rFonts w:ascii="宋体" w:hAnsi="宋体"/>
                <w:szCs w:val="21"/>
              </w:rPr>
            </w:pPr>
            <w:r>
              <w:rPr>
                <w:rFonts w:hint="eastAsia" w:ascii="宋体" w:hAnsi="宋体"/>
                <w:szCs w:val="21"/>
              </w:rPr>
              <w:t>电话：0755-82848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szCs w:val="21"/>
              </w:rPr>
            </w:pPr>
            <w:r>
              <w:rPr>
                <w:rFonts w:hint="eastAsia" w:ascii="宋体" w:hAnsi="宋体"/>
                <w:szCs w:val="21"/>
              </w:rPr>
              <w:t>传真：0755-82848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rPr>
              <w:fldChar w:fldCharType="begin"/>
            </w:r>
            <w:r>
              <w:instrText xml:space="preserve"> HYPERLINK "mailto:liuxh@chtf.com" </w:instrText>
            </w:r>
            <w:r>
              <w:rPr>
                <w:rFonts w:hint="eastAsia"/>
              </w:rPr>
              <w:fldChar w:fldCharType="separate"/>
            </w:r>
            <w:r>
              <w:rPr>
                <w:rStyle w:val="14"/>
                <w:rFonts w:hint="eastAsia" w:ascii="宋体" w:hAnsi="宋体"/>
              </w:rPr>
              <w:t>liuxh@chtf.com</w:t>
            </w:r>
            <w:r>
              <w:rPr>
                <w:rStyle w:val="14"/>
                <w:rFonts w:hint="eastAsia"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000000" w:themeColor="text1"/>
                <w:szCs w:val="21"/>
              </w:rPr>
            </w:pPr>
            <w:r>
              <w:rPr>
                <w:rFonts w:hint="eastAsia" w:ascii="宋体" w:hAnsi="宋体"/>
                <w:color w:val="000000" w:themeColor="text1"/>
                <w:szCs w:val="21"/>
              </w:rPr>
              <w:t>深圳会展中心中压开关柜环网柜检修和耐压测试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000000" w:themeColor="text1"/>
                <w:szCs w:val="21"/>
              </w:rPr>
            </w:pPr>
            <w:r>
              <w:rPr>
                <w:rFonts w:hint="eastAsia" w:ascii="宋体" w:hAnsi="宋体"/>
                <w:color w:val="000000" w:themeColor="text1"/>
                <w:szCs w:val="21"/>
              </w:rPr>
              <w:t>根据国家相关标准和规范要求，对80面高压开关柜和17面环网柜进行耐压测试，54台微机保护装置测试。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000000" w:themeColor="text1"/>
                <w:szCs w:val="21"/>
              </w:rPr>
            </w:pPr>
            <w:r>
              <w:rPr>
                <w:rFonts w:hint="eastAsia" w:ascii="宋体" w:hAnsi="宋体"/>
                <w:color w:val="000000" w:themeColor="text1"/>
                <w:szCs w:val="21"/>
              </w:rPr>
              <w:t>会展中心1.4配电室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rPr>
                <w:rFonts w:ascii="宋体" w:hAnsi="宋体"/>
                <w:color w:val="FF0000"/>
                <w:szCs w:val="21"/>
                <w:highlight w:val="yellow"/>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lang w:val="en-US" w:eastAsia="zh-CN"/>
              </w:rPr>
              <w:t>28</w:t>
            </w:r>
            <w:r>
              <w:rPr>
                <w:rFonts w:hint="eastAsia" w:ascii="宋体" w:hAnsi="宋体"/>
                <w:szCs w:val="21"/>
              </w:rPr>
              <w:t xml:space="preserve"> 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完整填写本项目报名回函（详见采购公告）并加盖公司公章后，按要求发送至https://cg.szcec.com/sharing/DurWEw2rl，文件上传密码202205</w:t>
            </w:r>
            <w:r>
              <w:rPr>
                <w:rFonts w:hint="eastAsia" w:ascii="宋体" w:hAnsi="宋体"/>
                <w:bCs/>
                <w:szCs w:val="21"/>
                <w:lang w:val="en-US" w:eastAsia="zh-CN"/>
              </w:rPr>
              <w:t>11</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rPr>
                <w:rFonts w:ascii="宋体" w:hAnsi="宋体"/>
                <w:color w:val="FF0000"/>
                <w:szCs w:val="21"/>
                <w:highlight w:val="yellow"/>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11</w:t>
            </w:r>
            <w:r>
              <w:rPr>
                <w:rFonts w:hint="eastAsia" w:ascii="宋体" w:hAnsi="宋体"/>
                <w:szCs w:val="21"/>
              </w:rPr>
              <w:t xml:space="preserve"> 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rPr>
                <w:rFonts w:ascii="宋体" w:hAnsi="宋体"/>
                <w:color w:val="FF0000"/>
                <w:szCs w:val="21"/>
                <w:highlight w:val="yellow"/>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11</w:t>
            </w:r>
            <w:r>
              <w:rPr>
                <w:rFonts w:hint="eastAsia" w:ascii="宋体" w:hAnsi="宋体"/>
                <w:szCs w:val="21"/>
              </w:rPr>
              <w:t xml:space="preserve"> 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rPr>
                <w:rFonts w:ascii="宋体" w:hAnsi="宋体"/>
                <w:color w:val="FF0000"/>
                <w:szCs w:val="21"/>
                <w:highlight w:val="yellow"/>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12</w:t>
            </w:r>
            <w:r>
              <w:rPr>
                <w:rFonts w:hint="eastAsia" w:ascii="宋体" w:hAnsi="宋体"/>
                <w:szCs w:val="21"/>
              </w:rPr>
              <w:t xml:space="preserve"> 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rPr>
                <w:rFonts w:ascii="宋体" w:hAnsi="宋体"/>
                <w:color w:val="FF0000"/>
                <w:szCs w:val="21"/>
                <w:highlight w:val="yellow"/>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13</w:t>
            </w:r>
            <w:r>
              <w:rPr>
                <w:rFonts w:hint="eastAsia" w:ascii="宋体" w:hAnsi="宋体"/>
                <w:szCs w:val="21"/>
              </w:rPr>
              <w:t xml:space="preserve"> 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加密形式发送至</w:t>
            </w:r>
            <w:r>
              <w:rPr>
                <w:rFonts w:hint="eastAsia"/>
              </w:rPr>
              <w:t>https://cg.szcec.com/sharing/raMOo9vGv</w:t>
            </w:r>
            <w:r>
              <w:rPr>
                <w:rFonts w:hint="eastAsia" w:ascii="宋体" w:hAnsi="宋体"/>
                <w:szCs w:val="21"/>
              </w:rPr>
              <w:t>，文件上传密码202205</w:t>
            </w:r>
            <w:r>
              <w:rPr>
                <w:rFonts w:hint="eastAsia" w:ascii="宋体" w:hAnsi="宋体"/>
                <w:szCs w:val="21"/>
                <w:lang w:val="en-US" w:eastAsia="zh-CN"/>
              </w:rPr>
              <w:t>13</w:t>
            </w:r>
            <w:r>
              <w:rPr>
                <w:rFonts w:hint="eastAsia" w:ascii="宋体" w:hAnsi="宋体"/>
                <w:szCs w:val="21"/>
              </w:rPr>
              <w:t>，并致电确认，</w:t>
            </w:r>
            <w:bookmarkStart w:id="2" w:name="_Toc478393187"/>
            <w:bookmarkStart w:id="3" w:name="_Toc478392822"/>
            <w:bookmarkStart w:id="4" w:name="_Toc478110532"/>
            <w:r>
              <w:rPr>
                <w:rFonts w:hint="eastAsia" w:ascii="宋体" w:hAnsi="宋体"/>
              </w:rPr>
              <w:t>注意事项：</w:t>
            </w:r>
          </w:p>
          <w:p>
            <w:pPr>
              <w:pStyle w:val="17"/>
              <w:numPr>
                <w:ilvl w:val="0"/>
                <w:numId w:val="3"/>
              </w:numPr>
              <w:spacing w:after="160" w:line="259" w:lineRule="auto"/>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szCs w:val="21"/>
              </w:rPr>
              <w:t>建议采用</w:t>
            </w:r>
            <w:r>
              <w:rPr>
                <w:rFonts w:hint="eastAsia" w:ascii="宋体" w:hAnsi="宋体" w:eastAsia="宋体"/>
                <w:szCs w:val="21"/>
              </w:rPr>
              <w:t>winRAR或winzip等常用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17"/>
              <w:numPr>
                <w:ilvl w:val="0"/>
                <w:numId w:val="3"/>
              </w:numPr>
              <w:spacing w:after="160" w:line="259" w:lineRule="auto"/>
              <w:ind w:left="541" w:hanging="541" w:firstLineChars="0"/>
              <w:rPr>
                <w:rFonts w:ascii="宋体" w:hAnsi="宋体" w:eastAsia="宋体"/>
                <w:szCs w:val="21"/>
              </w:rPr>
            </w:pPr>
            <w:r>
              <w:rPr>
                <w:rFonts w:hint="eastAsia" w:ascii="宋体" w:hAnsi="宋体" w:eastAsia="宋体"/>
                <w:szCs w:val="21"/>
              </w:rPr>
              <w:t>投标单位授权代表须熟记文件密码，并在开标时按照招标人现场指令</w:t>
            </w:r>
            <w:r>
              <w:rPr>
                <w:rFonts w:ascii="宋体" w:hAnsi="宋体" w:eastAsia="宋体"/>
                <w:szCs w:val="21"/>
              </w:rPr>
              <w:t>发送密码</w:t>
            </w:r>
            <w:r>
              <w:rPr>
                <w:rFonts w:hint="eastAsia" w:ascii="宋体" w:hAnsi="宋体" w:eastAsia="宋体"/>
                <w:szCs w:val="21"/>
              </w:rPr>
              <w:t>至</w:t>
            </w:r>
            <w:r>
              <w:rPr>
                <w:rStyle w:val="14"/>
                <w:rFonts w:hint="eastAsia" w:eastAsia="宋体" w:cs="Times New Roman"/>
              </w:rPr>
              <w:t>https://cg.szcec.com/sharing/hRcroNvGo</w:t>
            </w:r>
            <w:r>
              <w:rPr>
                <w:rFonts w:eastAsia="宋体" w:cs="Times New Roman"/>
              </w:rPr>
              <w:t>，</w:t>
            </w:r>
            <w:r>
              <w:rPr>
                <w:rFonts w:hint="eastAsia" w:eastAsia="宋体" w:cs="Times New Roman"/>
              </w:rPr>
              <w:t>文件上传密码2022051</w:t>
            </w:r>
            <w:r>
              <w:rPr>
                <w:rFonts w:hint="eastAsia" w:eastAsia="宋体" w:cs="Times New Roman"/>
                <w:lang w:val="en-US" w:eastAsia="zh-CN"/>
              </w:rPr>
              <w:t>6</w:t>
            </w:r>
            <w:r>
              <w:rPr>
                <w:rFonts w:hint="eastAsia" w:ascii="宋体" w:hAnsi="宋体"/>
                <w:szCs w:val="21"/>
              </w:rPr>
              <w:t>。</w:t>
            </w:r>
            <w:r>
              <w:rPr>
                <w:rFonts w:hint="eastAsia" w:ascii="宋体" w:hAnsi="宋体" w:eastAsia="宋体"/>
                <w:szCs w:val="21"/>
              </w:rPr>
              <w:t>（为确保开评标工作的保密性并兼顾效率，密码应在开标后15分钟内发送上述指定位置。密码早发、晚发的，均可能导致废标的不利后果）。</w:t>
            </w:r>
          </w:p>
          <w:p>
            <w:pPr>
              <w:pStyle w:val="17"/>
              <w:numPr>
                <w:ilvl w:val="0"/>
                <w:numId w:val="3"/>
              </w:numPr>
              <w:spacing w:after="160" w:line="259" w:lineRule="auto"/>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17"/>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color w:val="FF0000"/>
                <w:highlight w:val="yellow"/>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1</w:t>
            </w:r>
            <w:r>
              <w:rPr>
                <w:rFonts w:hint="eastAsia" w:ascii="宋体" w:hAnsi="宋体"/>
                <w:szCs w:val="21"/>
                <w:lang w:val="en-US" w:eastAsia="zh-CN"/>
              </w:rPr>
              <w:t>6</w:t>
            </w:r>
            <w:r>
              <w:rPr>
                <w:rFonts w:hint="eastAsia"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30（北京时间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深圳会展中心指定视频会议室，届时请各投标人按采购公告要求准时提交响应文件并参加在线开标。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不接受</w:t>
            </w:r>
          </w:p>
          <w:p>
            <w:pPr>
              <w:autoSpaceDE w:val="0"/>
              <w:autoSpaceDN w:val="0"/>
              <w:adjustRightInd w:val="0"/>
              <w:snapToGrid w:val="0"/>
              <w:rPr>
                <w:rFonts w:ascii="宋体" w:hAnsi="宋体"/>
                <w:kern w:val="0"/>
                <w:szCs w:val="21"/>
              </w:rPr>
            </w:pPr>
            <w:r>
              <w:rPr>
                <w:rFonts w:hint="eastAsia" w:ascii="宋体" w:hAnsi="宋体"/>
                <w:kern w:val="0"/>
                <w:szCs w:val="21"/>
              </w:rPr>
              <w:t>□接受，应满足下列要求：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hint="eastAsia" w:ascii="宋体" w:hAnsi="宋体"/>
                <w:color w:val="000000" w:themeColor="text1"/>
                <w:szCs w:val="21"/>
                <w:shd w:val="clear" w:color="auto" w:fill="FFFFFF"/>
              </w:rPr>
              <w:t>现场</w:t>
            </w:r>
          </w:p>
        </w:tc>
        <w:tc>
          <w:tcPr>
            <w:tcW w:w="7029" w:type="dxa"/>
            <w:vAlign w:val="center"/>
          </w:tcPr>
          <w:p>
            <w:pPr>
              <w:numPr>
                <w:ilvl w:val="0"/>
                <w:numId w:val="4"/>
              </w:numPr>
              <w:tabs>
                <w:tab w:val="left" w:pos="281"/>
                <w:tab w:val="left" w:pos="541"/>
              </w:tabs>
              <w:snapToGrid w:val="0"/>
              <w:spacing w:afterLines="50"/>
              <w:rPr>
                <w:rFonts w:ascii="宋体" w:hAnsi="宋体"/>
                <w:color w:val="000000" w:themeColor="text1"/>
                <w:kern w:val="0"/>
                <w:szCs w:val="21"/>
                <w:shd w:val="clear" w:color="auto" w:fill="FFFFFF"/>
              </w:rPr>
            </w:pPr>
            <w:r>
              <w:rPr>
                <w:rFonts w:hint="eastAsia" w:ascii="宋体" w:hAnsi="宋体" w:cs="Segoe UI Symbol"/>
                <w:color w:val="000000" w:themeColor="text1"/>
                <w:kern w:val="0"/>
                <w:szCs w:val="21"/>
              </w:rPr>
              <w:t>□</w:t>
            </w:r>
            <w:r>
              <w:rPr>
                <w:rFonts w:hint="eastAsia" w:ascii="宋体" w:hAnsi="宋体"/>
                <w:color w:val="000000" w:themeColor="text1"/>
                <w:kern w:val="0"/>
                <w:szCs w:val="21"/>
                <w:shd w:val="clear" w:color="auto" w:fill="FFFFFF"/>
              </w:rPr>
              <w:t>不组织。可在</w:t>
            </w:r>
            <w:r>
              <w:rPr>
                <w:rFonts w:hint="eastAsia" w:ascii="宋体" w:hAnsi="宋体"/>
                <w:color w:val="000000" w:themeColor="text1"/>
                <w:kern w:val="0"/>
                <w:szCs w:val="21"/>
                <w:u w:val="single"/>
                <w:shd w:val="clear" w:color="auto" w:fill="FFFFFF"/>
              </w:rPr>
              <w:t>公开招标开始后</w:t>
            </w:r>
            <w:r>
              <w:rPr>
                <w:rFonts w:hint="eastAsia" w:ascii="宋体" w:hAnsi="宋体"/>
                <w:color w:val="000000" w:themeColor="text1"/>
                <w:kern w:val="0"/>
                <w:szCs w:val="21"/>
                <w:shd w:val="clear" w:color="auto" w:fill="FFFFFF"/>
              </w:rPr>
              <w:t>至</w:t>
            </w:r>
            <w:r>
              <w:rPr>
                <w:rFonts w:hint="eastAsia" w:ascii="宋体" w:hAnsi="宋体"/>
                <w:color w:val="000000" w:themeColor="text1"/>
                <w:kern w:val="0"/>
                <w:szCs w:val="21"/>
                <w:u w:val="single"/>
                <w:shd w:val="clear" w:color="auto" w:fill="FFFFFF"/>
              </w:rPr>
              <w:t>公开招标结束前</w:t>
            </w:r>
            <w:r>
              <w:rPr>
                <w:rFonts w:hint="eastAsia" w:ascii="宋体" w:hAnsi="宋体"/>
                <w:color w:val="000000" w:themeColor="text1"/>
                <w:kern w:val="0"/>
                <w:szCs w:val="21"/>
                <w:shd w:val="clear" w:color="auto" w:fill="FFFFFF"/>
              </w:rPr>
              <w:t>自行踏勘。</w:t>
            </w:r>
          </w:p>
          <w:p>
            <w:pPr>
              <w:numPr>
                <w:ilvl w:val="0"/>
                <w:numId w:val="4"/>
              </w:numPr>
              <w:tabs>
                <w:tab w:val="left" w:pos="281"/>
                <w:tab w:val="left" w:pos="541"/>
              </w:tabs>
              <w:snapToGrid w:val="0"/>
              <w:spacing w:afterLines="50"/>
              <w:rPr>
                <w:rFonts w:ascii="宋体" w:hAnsi="宋体"/>
                <w:color w:val="000000" w:themeColor="text1"/>
                <w:kern w:val="0"/>
                <w:szCs w:val="21"/>
                <w:shd w:val="clear" w:color="auto" w:fill="FFFFFF"/>
              </w:rPr>
            </w:pPr>
            <w:r>
              <w:rPr>
                <w:rFonts w:hint="eastAsia" w:ascii="宋体" w:hAnsi="宋体" w:cs="Segoe UI Symbol"/>
                <w:color w:val="000000" w:themeColor="text1"/>
                <w:kern w:val="0"/>
                <w:szCs w:val="21"/>
              </w:rPr>
              <w:sym w:font="Wingdings 2" w:char="0052"/>
            </w:r>
            <w:r>
              <w:rPr>
                <w:rFonts w:hint="eastAsia" w:ascii="宋体" w:hAnsi="宋体"/>
                <w:color w:val="000000" w:themeColor="text1"/>
                <w:kern w:val="0"/>
                <w:szCs w:val="21"/>
                <w:shd w:val="clear" w:color="auto" w:fill="FFFFFF"/>
              </w:rPr>
              <w:t>组织，踏勘要求：</w:t>
            </w:r>
          </w:p>
          <w:p>
            <w:pPr>
              <w:pStyle w:val="17"/>
              <w:numPr>
                <w:ilvl w:val="0"/>
                <w:numId w:val="5"/>
              </w:numPr>
              <w:tabs>
                <w:tab w:val="left" w:pos="541"/>
              </w:tabs>
              <w:snapToGrid w:val="0"/>
              <w:ind w:left="805" w:hanging="227" w:firstLineChars="0"/>
              <w:rPr>
                <w:rFonts w:ascii="宋体" w:hAnsi="宋体" w:eastAsia="宋体"/>
                <w:color w:val="000000" w:themeColor="text1"/>
                <w:kern w:val="0"/>
                <w:sz w:val="20"/>
                <w:szCs w:val="21"/>
              </w:rPr>
            </w:pPr>
            <w:r>
              <w:rPr>
                <w:rFonts w:hint="eastAsia" w:ascii="宋体" w:hAnsi="宋体" w:eastAsia="宋体"/>
                <w:color w:val="000000" w:themeColor="text1"/>
                <w:szCs w:val="21"/>
              </w:rPr>
              <w:t>投标人是否必须参加：</w:t>
            </w:r>
          </w:p>
          <w:p>
            <w:pPr>
              <w:pStyle w:val="17"/>
              <w:tabs>
                <w:tab w:val="left" w:pos="541"/>
              </w:tabs>
              <w:snapToGrid w:val="0"/>
              <w:ind w:left="805" w:firstLine="8" w:firstLineChars="4"/>
              <w:rPr>
                <w:rFonts w:ascii="宋体" w:hAnsi="宋体" w:eastAsia="宋体"/>
                <w:color w:val="000000" w:themeColor="text1"/>
                <w:szCs w:val="21"/>
              </w:rPr>
            </w:pPr>
            <w:r>
              <w:rPr>
                <w:rFonts w:hint="eastAsia" w:ascii="宋体" w:hAnsi="宋体" w:cs="Segoe UI Symbol"/>
                <w:color w:val="000000" w:themeColor="text1"/>
                <w:kern w:val="0"/>
                <w:szCs w:val="21"/>
              </w:rPr>
              <w:sym w:font="Wingdings 2" w:char="0052"/>
            </w:r>
            <w:r>
              <w:rPr>
                <w:rFonts w:hint="eastAsia" w:ascii="宋体" w:hAnsi="宋体" w:eastAsia="宋体"/>
                <w:color w:val="000000" w:themeColor="text1"/>
                <w:szCs w:val="21"/>
              </w:rPr>
              <w:t>是（若不参加，将因投标文件不完整导致失去本项目投标资格）</w:t>
            </w:r>
          </w:p>
          <w:p>
            <w:pPr>
              <w:pStyle w:val="17"/>
              <w:tabs>
                <w:tab w:val="left" w:pos="541"/>
              </w:tabs>
              <w:snapToGrid w:val="0"/>
              <w:spacing w:afterLines="50"/>
              <w:ind w:left="805" w:firstLine="8" w:firstLineChars="4"/>
              <w:rPr>
                <w:rFonts w:ascii="宋体" w:hAnsi="宋体" w:eastAsia="宋体"/>
                <w:color w:val="000000" w:themeColor="text1"/>
                <w:szCs w:val="21"/>
              </w:rPr>
            </w:pPr>
            <w:r>
              <w:rPr>
                <w:rFonts w:hint="eastAsia" w:ascii="宋体" w:hAnsi="宋体" w:cs="Segoe UI Symbol"/>
                <w:color w:val="000000" w:themeColor="text1"/>
                <w:kern w:val="0"/>
                <w:szCs w:val="21"/>
              </w:rPr>
              <w:t>□</w:t>
            </w:r>
            <w:r>
              <w:rPr>
                <w:rFonts w:hint="eastAsia" w:ascii="宋体" w:hAnsi="宋体" w:eastAsia="宋体"/>
                <w:color w:val="000000" w:themeColor="text1"/>
                <w:szCs w:val="21"/>
              </w:rPr>
              <w:t>否（可选择不参加，不影响投标资格但可能会产生不利后果）</w:t>
            </w:r>
          </w:p>
          <w:p>
            <w:pPr>
              <w:pStyle w:val="17"/>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5</w:t>
            </w:r>
            <w:r>
              <w:rPr>
                <w:rFonts w:ascii="宋体" w:hAnsi="宋体"/>
                <w:szCs w:val="21"/>
              </w:rPr>
              <w:t>-</w:t>
            </w:r>
            <w:r>
              <w:rPr>
                <w:rFonts w:hint="eastAsia" w:ascii="宋体" w:hAnsi="宋体"/>
                <w:szCs w:val="21"/>
                <w:lang w:val="en-US" w:eastAsia="zh-CN"/>
              </w:rPr>
              <w:t>9</w:t>
            </w:r>
            <w:r>
              <w:rPr>
                <w:rFonts w:hint="eastAsia" w:ascii="宋体" w:hAnsi="宋体"/>
                <w:szCs w:val="21"/>
              </w:rPr>
              <w:t xml:space="preserve"> 1</w:t>
            </w:r>
            <w:r>
              <w:rPr>
                <w:rFonts w:hint="eastAsia" w:ascii="宋体" w:hAnsi="宋体"/>
                <w:szCs w:val="21"/>
                <w:lang w:val="en-US" w:eastAsia="zh-CN"/>
              </w:rPr>
              <w:t>5</w:t>
            </w:r>
            <w:r>
              <w:rPr>
                <w:rFonts w:ascii="宋体" w:hAnsi="宋体"/>
                <w:szCs w:val="21"/>
              </w:rPr>
              <w:t>:</w:t>
            </w:r>
            <w:r>
              <w:rPr>
                <w:rFonts w:hint="eastAsia" w:ascii="宋体" w:hAnsi="宋体"/>
                <w:szCs w:val="21"/>
              </w:rPr>
              <w:t xml:space="preserve"> 00（北京时间</w:t>
            </w:r>
            <w:r>
              <w:rPr>
                <w:rFonts w:ascii="宋体" w:hAnsi="宋体"/>
                <w:szCs w:val="21"/>
              </w:rPr>
              <w:t>）</w:t>
            </w:r>
            <w:r>
              <w:rPr>
                <w:rFonts w:hint="eastAsia" w:ascii="宋体" w:hAnsi="宋体" w:eastAsia="宋体"/>
                <w:kern w:val="0"/>
                <w:szCs w:val="21"/>
              </w:rPr>
              <w:t>邀请投标人人员察看现场并讲解项目需求；投标人应在谈判前指派符合疫情防控要求的人员参加由招标人组织的现场踏勘工作。</w:t>
            </w:r>
          </w:p>
          <w:p>
            <w:pPr>
              <w:pStyle w:val="17"/>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w:t>
            </w:r>
            <w:r>
              <w:rPr>
                <w:rFonts w:ascii="宋体" w:hAnsi="宋体" w:eastAsia="宋体"/>
                <w:kern w:val="0"/>
                <w:szCs w:val="21"/>
              </w:rPr>
              <w:t>附</w:t>
            </w:r>
            <w:r>
              <w:rPr>
                <w:rFonts w:hint="eastAsia" w:ascii="宋体" w:hAnsi="宋体" w:eastAsia="宋体"/>
                <w:kern w:val="0"/>
                <w:szCs w:val="21"/>
              </w:rPr>
              <w:t>于投标文件中。</w:t>
            </w:r>
          </w:p>
          <w:p>
            <w:pPr>
              <w:pStyle w:val="17"/>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hAnsi="宋体" w:eastAsia="宋体"/>
                <w:kern w:val="0"/>
                <w:szCs w:val="21"/>
              </w:rPr>
              <w:t>因此失去投标资格</w:t>
            </w:r>
            <w:r>
              <w:rPr>
                <w:rFonts w:hint="eastAsia" w:ascii="宋体" w:hAnsi="宋体" w:eastAsia="宋体"/>
                <w:kern w:val="0"/>
                <w:szCs w:val="21"/>
              </w:rPr>
              <w:t>的情形</w:t>
            </w:r>
            <w:r>
              <w:rPr>
                <w:rFonts w:ascii="宋体" w:hAnsi="宋体" w:eastAsia="宋体"/>
                <w:kern w:val="0"/>
                <w:szCs w:val="21"/>
              </w:rPr>
              <w:t>）</w:t>
            </w:r>
            <w:r>
              <w:rPr>
                <w:rFonts w:hint="eastAsia" w:ascii="宋体" w:hAnsi="宋体" w:eastAsia="宋体"/>
                <w:kern w:val="0"/>
                <w:szCs w:val="21"/>
              </w:rPr>
              <w:t>。</w:t>
            </w:r>
          </w:p>
          <w:p>
            <w:pPr>
              <w:pStyle w:val="17"/>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w:t>
            </w:r>
            <w:r>
              <w:rPr>
                <w:rFonts w:hint="eastAsia" w:ascii="宋体" w:hAnsi="宋体" w:eastAsia="宋体"/>
                <w:color w:val="FF0000"/>
                <w:kern w:val="0"/>
              </w:rPr>
              <w:t>24小时</w:t>
            </w:r>
            <w:r>
              <w:rPr>
                <w:rFonts w:hint="eastAsia" w:ascii="宋体" w:hAnsi="宋体" w:eastAsia="宋体"/>
                <w:kern w:val="0"/>
              </w:rPr>
              <w:t>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color w:val="FF0000"/>
                <w:kern w:val="0"/>
              </w:rPr>
              <w:t>（特别注意：各投标人不得指派属于封控区、管控区、防范区人员作为本项目的踏勘人员）</w:t>
            </w:r>
          </w:p>
          <w:p>
            <w:pPr>
              <w:pStyle w:val="17"/>
              <w:numPr>
                <w:ilvl w:val="0"/>
                <w:numId w:val="6"/>
              </w:numPr>
              <w:tabs>
                <w:tab w:val="left" w:pos="541"/>
              </w:tabs>
              <w:snapToGrid w:val="0"/>
              <w:ind w:left="805" w:hanging="224" w:firstLineChars="0"/>
              <w:rPr>
                <w:rFonts w:ascii="宋体" w:hAnsi="宋体" w:eastAsia="宋体"/>
                <w:color w:val="000000" w:themeColor="text1"/>
                <w:kern w:val="0"/>
                <w:szCs w:val="21"/>
              </w:rPr>
            </w:pPr>
            <w:r>
              <w:rPr>
                <w:rFonts w:hint="eastAsia" w:ascii="宋体" w:hAnsi="宋体" w:eastAsia="宋体"/>
                <w:kern w:val="0"/>
                <w:szCs w:val="21"/>
              </w:rPr>
              <w:t>踏勘联系人</w:t>
            </w:r>
            <w:r>
              <w:rPr>
                <w:rFonts w:hint="eastAsia" w:ascii="宋体" w:hAnsi="宋体" w:eastAsia="宋体"/>
                <w:color w:val="000000" w:themeColor="text1"/>
                <w:kern w:val="0"/>
                <w:szCs w:val="21"/>
              </w:rPr>
              <w:t>：</w:t>
            </w:r>
            <w:r>
              <w:rPr>
                <w:rFonts w:hint="eastAsia" w:ascii="宋体" w:hAnsi="宋体" w:eastAsia="宋体" w:cs="Times New Roman"/>
                <w:color w:val="000000" w:themeColor="text1"/>
                <w:szCs w:val="21"/>
              </w:rPr>
              <w:t>周生</w:t>
            </w:r>
          </w:p>
          <w:p>
            <w:pPr>
              <w:pStyle w:val="17"/>
              <w:tabs>
                <w:tab w:val="left" w:pos="541"/>
              </w:tabs>
              <w:snapToGrid w:val="0"/>
              <w:ind w:left="805" w:firstLine="0" w:firstLineChars="0"/>
              <w:rPr>
                <w:rFonts w:ascii="宋体" w:hAnsi="宋体" w:eastAsia="宋体"/>
                <w:color w:val="000000" w:themeColor="text1"/>
                <w:kern w:val="0"/>
                <w:szCs w:val="21"/>
              </w:rPr>
            </w:pPr>
            <w:r>
              <w:rPr>
                <w:rFonts w:hint="eastAsia" w:ascii="宋体" w:hAnsi="宋体" w:eastAsia="宋体"/>
                <w:color w:val="000000" w:themeColor="text1"/>
                <w:kern w:val="0"/>
                <w:szCs w:val="21"/>
              </w:rPr>
              <w:t>电话：0755-8284</w:t>
            </w:r>
            <w:r>
              <w:rPr>
                <w:rFonts w:hint="eastAsia" w:ascii="宋体" w:hAnsi="宋体" w:eastAsia="宋体" w:cs="Times New Roman"/>
                <w:color w:val="000000" w:themeColor="text1"/>
                <w:szCs w:val="21"/>
              </w:rPr>
              <w:t>8819</w:t>
            </w:r>
          </w:p>
          <w:p>
            <w:pPr>
              <w:pStyle w:val="17"/>
              <w:tabs>
                <w:tab w:val="left" w:pos="541"/>
              </w:tabs>
              <w:snapToGrid w:val="0"/>
              <w:ind w:left="805" w:firstLine="0" w:firstLineChars="0"/>
              <w:rPr>
                <w:rFonts w:ascii="宋体" w:hAnsi="宋体" w:eastAsia="宋体"/>
                <w:shd w:val="clear" w:color="auto" w:fill="FFFFFF"/>
              </w:rPr>
            </w:pPr>
            <w:r>
              <w:rPr>
                <w:rFonts w:hint="eastAsia" w:ascii="宋体" w:hAnsi="宋体" w:eastAsia="宋体"/>
                <w:color w:val="000000" w:themeColor="text1"/>
                <w:kern w:val="0"/>
                <w:szCs w:val="21"/>
              </w:rPr>
              <w:t>集合地点：</w:t>
            </w:r>
            <w:r>
              <w:rPr>
                <w:rFonts w:hint="eastAsia" w:ascii="宋体" w:hAnsi="宋体" w:eastAsia="宋体" w:cs="Times New Roman"/>
                <w:color w:val="000000" w:themeColor="text1"/>
                <w:szCs w:val="21"/>
              </w:rPr>
              <w:t>深圳会展中心北2门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000000" w:themeColor="text1"/>
                <w:kern w:val="0"/>
                <w:szCs w:val="21"/>
              </w:rPr>
            </w:pPr>
            <w:r>
              <w:rPr>
                <w:rFonts w:hint="eastAsia" w:ascii="宋体" w:hAnsi="宋体" w:cs="Segoe UI Symbol"/>
                <w:color w:val="000000" w:themeColor="text1"/>
                <w:kern w:val="0"/>
                <w:szCs w:val="21"/>
              </w:rPr>
              <w:t>是否要求递交履约保证金：</w:t>
            </w:r>
            <w:r>
              <w:rPr>
                <w:rFonts w:ascii="宋体" w:hAnsi="宋体" w:cs="Segoe UI Symbol"/>
                <w:color w:val="000000" w:themeColor="text1"/>
                <w:kern w:val="0"/>
                <w:szCs w:val="21"/>
              </w:rPr>
              <w:t xml:space="preserve"> </w:t>
            </w:r>
          </w:p>
          <w:p>
            <w:pPr>
              <w:pStyle w:val="17"/>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rPr>
            </w:pPr>
            <w:r>
              <w:rPr>
                <w:rFonts w:hint="eastAsia" w:ascii="宋体" w:hAnsi="宋体" w:eastAsia="宋体" w:cs="Segoe UI Symbol"/>
                <w:color w:val="000000" w:themeColor="text1"/>
                <w:kern w:val="0"/>
                <w:szCs w:val="21"/>
              </w:rPr>
              <w:sym w:font="Wingdings 2" w:char="0052"/>
            </w:r>
            <w:r>
              <w:rPr>
                <w:rFonts w:hint="eastAsia" w:ascii="宋体" w:hAnsi="宋体" w:eastAsia="宋体" w:cs="Segoe UI Symbol"/>
                <w:color w:val="000000" w:themeColor="text1"/>
                <w:kern w:val="0"/>
                <w:szCs w:val="21"/>
              </w:rPr>
              <w:t>不要求</w:t>
            </w:r>
          </w:p>
          <w:p>
            <w:pPr>
              <w:pStyle w:val="17"/>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rPr>
            </w:pPr>
            <w:r>
              <w:rPr>
                <w:rFonts w:hint="eastAsia" w:ascii="宋体" w:hAnsi="宋体" w:eastAsia="宋体" w:cs="Segoe UI Symbol"/>
                <w:color w:val="000000" w:themeColor="text1"/>
                <w:kern w:val="0"/>
                <w:szCs w:val="21"/>
              </w:rPr>
              <w:t>□要求</w:t>
            </w:r>
          </w:p>
          <w:p>
            <w:pPr>
              <w:pStyle w:val="17"/>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rPr>
            </w:pPr>
            <w:r>
              <w:rPr>
                <w:rFonts w:hint="eastAsia" w:ascii="宋体" w:hAnsi="宋体" w:eastAsia="宋体" w:cs="Segoe UI Symbol"/>
                <w:color w:val="000000" w:themeColor="text1"/>
                <w:kern w:val="0"/>
                <w:szCs w:val="21"/>
              </w:rPr>
              <w:t>履约保证金金额：人民币</w:t>
            </w:r>
            <w:r>
              <w:rPr>
                <w:rFonts w:hint="eastAsia" w:ascii="宋体" w:hAnsi="宋体" w:eastAsia="宋体" w:cs="Segoe UI Symbol"/>
                <w:color w:val="000000" w:themeColor="text1"/>
                <w:kern w:val="0"/>
                <w:szCs w:val="21"/>
                <w:u w:val="single"/>
              </w:rPr>
              <w:t xml:space="preserve"> </w:t>
            </w:r>
            <w:r>
              <w:rPr>
                <w:rFonts w:ascii="宋体" w:hAnsi="宋体" w:eastAsia="宋体" w:cs="Segoe UI Symbol"/>
                <w:color w:val="000000" w:themeColor="text1"/>
                <w:kern w:val="0"/>
                <w:szCs w:val="21"/>
                <w:u w:val="single"/>
              </w:rPr>
              <w:t>/</w:t>
            </w:r>
            <w:r>
              <w:rPr>
                <w:rFonts w:hint="eastAsia" w:ascii="宋体" w:hAnsi="宋体" w:eastAsia="宋体" w:cs="Segoe UI Symbol"/>
                <w:color w:val="000000" w:themeColor="text1"/>
                <w:kern w:val="0"/>
                <w:szCs w:val="21"/>
                <w:u w:val="single"/>
              </w:rPr>
              <w:t xml:space="preserve"> </w:t>
            </w:r>
            <w:r>
              <w:rPr>
                <w:rFonts w:hint="eastAsia" w:ascii="宋体" w:hAnsi="宋体" w:eastAsia="宋体" w:cs="Segoe UI Symbol"/>
                <w:color w:val="000000" w:themeColor="text1"/>
                <w:kern w:val="0"/>
                <w:szCs w:val="21"/>
              </w:rPr>
              <w:t>元</w:t>
            </w:r>
          </w:p>
          <w:p>
            <w:pPr>
              <w:pStyle w:val="17"/>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rPr>
            </w:pPr>
            <w:r>
              <w:rPr>
                <w:rFonts w:hint="eastAsia" w:ascii="宋体" w:hAnsi="宋体" w:eastAsia="宋体" w:cs="Segoe UI Symbol"/>
                <w:color w:val="000000" w:themeColor="text1"/>
                <w:kern w:val="0"/>
                <w:szCs w:val="21"/>
              </w:rPr>
              <w:t>履约保证金的</w:t>
            </w:r>
            <w:r>
              <w:rPr>
                <w:rFonts w:ascii="宋体" w:hAnsi="宋体" w:eastAsia="宋体" w:cs="Segoe UI Symbol"/>
                <w:color w:val="000000" w:themeColor="text1"/>
                <w:kern w:val="0"/>
                <w:szCs w:val="21"/>
              </w:rPr>
              <w:t>形式：</w:t>
            </w:r>
            <w:r>
              <w:rPr>
                <w:rFonts w:hint="eastAsia" w:ascii="宋体" w:hAnsi="宋体" w:eastAsia="宋体" w:cs="Segoe UI Symbol"/>
                <w:color w:val="000000" w:themeColor="text1"/>
                <w:kern w:val="0"/>
                <w:szCs w:val="21"/>
              </w:rPr>
              <w:t>□银行转账</w:t>
            </w:r>
            <w:r>
              <w:rPr>
                <w:rFonts w:ascii="宋体" w:hAnsi="宋体" w:eastAsia="宋体" w:cs="Segoe UI Symbol"/>
                <w:color w:val="000000" w:themeColor="text1"/>
                <w:kern w:val="0"/>
                <w:szCs w:val="21"/>
              </w:rPr>
              <w:t xml:space="preserve">  </w:t>
            </w:r>
            <w:r>
              <w:rPr>
                <w:rFonts w:hint="eastAsia" w:ascii="宋体" w:hAnsi="宋体" w:eastAsia="宋体" w:cs="Segoe UI Symbol"/>
                <w:color w:val="000000" w:themeColor="text1"/>
                <w:kern w:val="0"/>
                <w:szCs w:val="21"/>
              </w:rPr>
              <w:t>□现金</w:t>
            </w:r>
          </w:p>
          <w:p>
            <w:pPr>
              <w:pStyle w:val="17"/>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rPr>
            </w:pPr>
            <w:r>
              <w:rPr>
                <w:rFonts w:hint="eastAsia" w:ascii="宋体" w:hAnsi="宋体" w:eastAsia="宋体" w:cs="Segoe UI Symbol"/>
                <w:color w:val="000000" w:themeColor="text1"/>
                <w:kern w:val="0"/>
                <w:szCs w:val="21"/>
              </w:rPr>
              <w:t>投标人保证金</w:t>
            </w:r>
            <w:r>
              <w:rPr>
                <w:rFonts w:ascii="宋体" w:hAnsi="宋体" w:eastAsia="宋体" w:cs="Segoe UI Symbol"/>
                <w:color w:val="000000" w:themeColor="text1"/>
                <w:kern w:val="0"/>
                <w:szCs w:val="21"/>
              </w:rPr>
              <w:t>收款</w:t>
            </w:r>
            <w:r>
              <w:rPr>
                <w:rFonts w:hint="eastAsia" w:ascii="宋体" w:hAnsi="宋体" w:eastAsia="宋体" w:cs="Segoe UI Symbol"/>
                <w:color w:val="000000" w:themeColor="text1"/>
                <w:kern w:val="0"/>
                <w:szCs w:val="21"/>
              </w:rPr>
              <w:t>银行账户信息（选用“银行转账</w:t>
            </w:r>
            <w:r>
              <w:rPr>
                <w:rFonts w:ascii="宋体" w:hAnsi="宋体" w:eastAsia="宋体" w:cs="Segoe UI Symbol"/>
                <w:color w:val="000000" w:themeColor="text1"/>
                <w:kern w:val="0"/>
                <w:szCs w:val="21"/>
              </w:rPr>
              <w:t>”</w:t>
            </w:r>
            <w:r>
              <w:rPr>
                <w:rFonts w:hint="eastAsia" w:ascii="宋体" w:hAnsi="宋体" w:eastAsia="宋体" w:cs="Segoe UI Symbol"/>
                <w:color w:val="000000" w:themeColor="text1"/>
                <w:kern w:val="0"/>
                <w:szCs w:val="21"/>
              </w:rPr>
              <w:t>方式须填</w:t>
            </w:r>
            <w:r>
              <w:rPr>
                <w:rFonts w:ascii="宋体" w:hAnsi="宋体" w:eastAsia="宋体" w:cs="Segoe UI Symbol"/>
                <w:color w:val="000000" w:themeColor="text1"/>
                <w:kern w:val="0"/>
                <w:szCs w:val="21"/>
              </w:rPr>
              <w:t>）</w:t>
            </w:r>
          </w:p>
          <w:p>
            <w:pPr>
              <w:autoSpaceDE w:val="0"/>
              <w:autoSpaceDN w:val="0"/>
              <w:adjustRightInd w:val="0"/>
              <w:snapToGrid w:val="0"/>
              <w:ind w:left="819" w:leftChars="390" w:firstLine="1"/>
              <w:jc w:val="left"/>
              <w:rPr>
                <w:rFonts w:ascii="宋体" w:hAnsi="宋体" w:cs="Segoe UI Symbol"/>
                <w:color w:val="000000" w:themeColor="text1"/>
                <w:kern w:val="0"/>
                <w:szCs w:val="21"/>
              </w:rPr>
            </w:pPr>
            <w:r>
              <w:rPr>
                <w:rFonts w:ascii="宋体" w:hAnsi="宋体" w:cs="Segoe UI Symbol"/>
                <w:color w:val="000000" w:themeColor="text1"/>
                <w:kern w:val="0"/>
                <w:szCs w:val="21"/>
              </w:rPr>
              <w:t>收款单位：</w:t>
            </w:r>
            <w:r>
              <w:rPr>
                <w:rFonts w:hint="eastAsia" w:ascii="宋体" w:hAnsi="宋体" w:cs="Segoe UI Symbol"/>
                <w:color w:val="000000" w:themeColor="text1"/>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000000" w:themeColor="text1"/>
                <w:kern w:val="0"/>
                <w:szCs w:val="21"/>
              </w:rPr>
            </w:pPr>
            <w:r>
              <w:rPr>
                <w:rFonts w:ascii="宋体" w:hAnsi="宋体" w:cs="Segoe UI Symbol"/>
                <w:color w:val="000000" w:themeColor="text1"/>
                <w:kern w:val="0"/>
                <w:szCs w:val="21"/>
              </w:rPr>
              <w:t>开户银行：</w:t>
            </w:r>
            <w:r>
              <w:rPr>
                <w:rFonts w:ascii="宋体" w:hAnsi="宋体" w:cs="Segoe UI Symbol"/>
                <w:color w:val="000000" w:themeColor="text1"/>
                <w:kern w:val="0"/>
                <w:szCs w:val="21"/>
                <w:u w:val="single"/>
              </w:rPr>
              <w:t xml:space="preserve">     </w:t>
            </w:r>
            <w:r>
              <w:rPr>
                <w:rFonts w:hint="eastAsia" w:ascii="宋体" w:hAnsi="宋体" w:cs="Segoe UI Symbol"/>
                <w:color w:val="000000" w:themeColor="text1"/>
                <w:kern w:val="0"/>
                <w:szCs w:val="21"/>
                <w:u w:val="single"/>
              </w:rPr>
              <w:t>／</w:t>
            </w:r>
            <w:r>
              <w:rPr>
                <w:rFonts w:ascii="宋体" w:hAnsi="宋体" w:cs="Segoe UI Symbol"/>
                <w:color w:val="000000" w:themeColor="text1"/>
                <w:kern w:val="0"/>
                <w:szCs w:val="21"/>
                <w:u w:val="single"/>
              </w:rPr>
              <w:t xml:space="preserve">       </w:t>
            </w:r>
          </w:p>
          <w:p>
            <w:pPr>
              <w:autoSpaceDE w:val="0"/>
              <w:autoSpaceDN w:val="0"/>
              <w:adjustRightInd w:val="0"/>
              <w:snapToGrid w:val="0"/>
              <w:ind w:left="819" w:leftChars="390" w:firstLine="1"/>
              <w:jc w:val="left"/>
              <w:rPr>
                <w:rFonts w:ascii="宋体" w:hAnsi="宋体" w:cs="Segoe UI Symbol"/>
                <w:color w:val="000000" w:themeColor="text1"/>
                <w:kern w:val="0"/>
                <w:szCs w:val="21"/>
                <w:u w:val="single"/>
              </w:rPr>
            </w:pPr>
            <w:r>
              <w:rPr>
                <w:rFonts w:hint="eastAsia" w:ascii="宋体" w:hAnsi="宋体" w:cs="Segoe UI Symbol"/>
                <w:color w:val="000000" w:themeColor="text1"/>
                <w:kern w:val="0"/>
                <w:szCs w:val="21"/>
              </w:rPr>
              <w:t>银行账号</w:t>
            </w:r>
            <w:r>
              <w:rPr>
                <w:rFonts w:ascii="宋体" w:hAnsi="宋体" w:cs="Segoe UI Symbol"/>
                <w:color w:val="000000" w:themeColor="text1"/>
                <w:kern w:val="0"/>
                <w:szCs w:val="21"/>
              </w:rPr>
              <w:t>：</w:t>
            </w:r>
            <w:r>
              <w:rPr>
                <w:rFonts w:ascii="宋体" w:hAnsi="宋体" w:cs="Segoe UI Symbol"/>
                <w:color w:val="000000" w:themeColor="text1"/>
                <w:kern w:val="0"/>
                <w:szCs w:val="21"/>
                <w:u w:val="single"/>
              </w:rPr>
              <w:t xml:space="preserve">     </w:t>
            </w:r>
            <w:r>
              <w:rPr>
                <w:rFonts w:hint="eastAsia" w:ascii="宋体" w:hAnsi="宋体" w:cs="Segoe UI Symbol"/>
                <w:color w:val="000000" w:themeColor="text1"/>
                <w:kern w:val="0"/>
                <w:szCs w:val="21"/>
                <w:u w:val="single"/>
              </w:rPr>
              <w:t>／</w:t>
            </w:r>
            <w:r>
              <w:rPr>
                <w:rFonts w:ascii="宋体" w:hAnsi="宋体" w:cs="Segoe UI Symbol"/>
                <w:color w:val="000000" w:themeColor="text1"/>
                <w:kern w:val="0"/>
                <w:szCs w:val="21"/>
                <w:u w:val="single"/>
              </w:rPr>
              <w:t xml:space="preserve">       </w:t>
            </w:r>
          </w:p>
          <w:p>
            <w:pPr>
              <w:pStyle w:val="17"/>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rPr>
            </w:pPr>
            <w:r>
              <w:rPr>
                <w:rFonts w:hint="eastAsia" w:ascii="宋体" w:hAnsi="宋体" w:eastAsia="宋体" w:cs="Segoe UI Symbol"/>
                <w:color w:val="000000" w:themeColor="text1"/>
                <w:kern w:val="0"/>
                <w:szCs w:val="21"/>
              </w:rPr>
              <w:t>履约保证金的</w:t>
            </w:r>
            <w:r>
              <w:rPr>
                <w:rFonts w:ascii="宋体" w:hAnsi="宋体" w:eastAsia="宋体" w:cs="Segoe UI Symbol"/>
                <w:color w:val="000000" w:themeColor="text1"/>
                <w:kern w:val="0"/>
                <w:szCs w:val="21"/>
              </w:rPr>
              <w:t>形式</w:t>
            </w:r>
            <w:r>
              <w:rPr>
                <w:rFonts w:hint="eastAsia" w:ascii="宋体" w:hAnsi="宋体" w:eastAsia="宋体" w:cs="Segoe UI Symbol"/>
                <w:color w:val="000000" w:themeColor="text1"/>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000000" w:themeColor="text1"/>
                <w:szCs w:val="21"/>
              </w:rPr>
            </w:pPr>
            <w:r>
              <w:rPr>
                <w:rFonts w:ascii="Segoe UI Symbol" w:hAnsi="Segoe UI Symbol" w:cs="Segoe UI Symbol"/>
                <w:color w:val="000000" w:themeColor="text1"/>
                <w:kern w:val="0"/>
                <w:szCs w:val="21"/>
              </w:rPr>
              <w:t>☑</w:t>
            </w:r>
            <w:r>
              <w:rPr>
                <w:rFonts w:hint="eastAsia" w:ascii="宋体" w:hAnsi="宋体"/>
                <w:color w:val="000000" w:themeColor="text1"/>
                <w:szCs w:val="21"/>
              </w:rPr>
              <w:t>不要求递交投标样品</w:t>
            </w:r>
          </w:p>
          <w:p>
            <w:pPr>
              <w:autoSpaceDE w:val="0"/>
              <w:autoSpaceDN w:val="0"/>
              <w:adjustRightInd w:val="0"/>
              <w:snapToGrid w:val="0"/>
              <w:jc w:val="left"/>
              <w:rPr>
                <w:rFonts w:ascii="宋体" w:hAnsi="宋体"/>
                <w:color w:val="000000" w:themeColor="text1"/>
                <w:szCs w:val="21"/>
                <w:u w:val="single"/>
              </w:rPr>
            </w:pPr>
            <w:r>
              <w:rPr>
                <w:rFonts w:hint="eastAsia" w:ascii="宋体" w:hAnsi="宋体"/>
                <w:color w:val="000000" w:themeColor="text1"/>
                <w:szCs w:val="21"/>
              </w:rPr>
              <w:t>□递交投标样品，具体要求：</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000000" w:themeColor="text1"/>
                <w:kern w:val="0"/>
                <w:szCs w:val="21"/>
              </w:rPr>
            </w:pPr>
            <w:r>
              <w:rPr>
                <w:rFonts w:ascii="Segoe UI Symbol" w:hAnsi="Segoe UI Symbol" w:cs="Segoe UI Symbol"/>
                <w:color w:val="000000" w:themeColor="text1"/>
                <w:szCs w:val="21"/>
              </w:rPr>
              <w:t>☑</w:t>
            </w:r>
            <w:r>
              <w:rPr>
                <w:rFonts w:hint="eastAsia" w:ascii="宋体" w:hAnsi="宋体" w:cs="Segoe UI Symbol"/>
                <w:color w:val="000000" w:themeColor="text1"/>
                <w:kern w:val="0"/>
                <w:szCs w:val="21"/>
              </w:rPr>
              <w:t>综合评分法</w:t>
            </w:r>
          </w:p>
          <w:p>
            <w:pPr>
              <w:autoSpaceDE w:val="0"/>
              <w:autoSpaceDN w:val="0"/>
              <w:adjustRightInd w:val="0"/>
              <w:snapToGrid w:val="0"/>
              <w:rPr>
                <w:rFonts w:ascii="宋体" w:hAnsi="宋体" w:cs="Segoe UI Symbol"/>
                <w:color w:val="000000" w:themeColor="text1"/>
                <w:kern w:val="0"/>
                <w:szCs w:val="21"/>
              </w:rPr>
            </w:pPr>
            <w:r>
              <w:rPr>
                <w:rFonts w:hint="eastAsia" w:ascii="宋体" w:hAnsi="宋体" w:cs="Segoe UI Symbol"/>
                <w:color w:val="000000" w:themeColor="text1"/>
                <w:kern w:val="0"/>
                <w:szCs w:val="21"/>
              </w:rPr>
              <w:t>□最低价法</w:t>
            </w:r>
          </w:p>
          <w:p>
            <w:pPr>
              <w:autoSpaceDE w:val="0"/>
              <w:autoSpaceDN w:val="0"/>
              <w:adjustRightInd w:val="0"/>
              <w:snapToGrid w:val="0"/>
              <w:rPr>
                <w:rFonts w:ascii="宋体" w:hAnsi="宋体" w:cs="Segoe UI Symbol"/>
                <w:color w:val="000000" w:themeColor="text1"/>
                <w:kern w:val="0"/>
                <w:szCs w:val="21"/>
              </w:rPr>
            </w:pPr>
            <w:r>
              <w:rPr>
                <w:rFonts w:hint="eastAsia" w:ascii="宋体" w:hAnsi="宋体" w:cs="Segoe UI Symbol"/>
                <w:color w:val="000000" w:themeColor="text1"/>
                <w:kern w:val="0"/>
                <w:szCs w:val="21"/>
              </w:rPr>
              <w:t>□其他：</w:t>
            </w:r>
            <w:r>
              <w:rPr>
                <w:rFonts w:hint="eastAsia" w:ascii="宋体" w:hAnsi="宋体" w:cs="Segoe UI Symbol"/>
                <w:color w:val="000000" w:themeColor="text1"/>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000000" w:themeColor="text1"/>
                <w:szCs w:val="21"/>
              </w:rPr>
            </w:pPr>
            <w:r>
              <w:rPr>
                <w:rFonts w:ascii="Segoe UI Symbol" w:hAnsi="Segoe UI Symbol" w:cs="Segoe UI Symbol"/>
                <w:color w:val="000000" w:themeColor="text1"/>
                <w:szCs w:val="21"/>
              </w:rPr>
              <w:t>☑</w:t>
            </w:r>
            <w:r>
              <w:rPr>
                <w:rFonts w:hint="eastAsia" w:ascii="宋体" w:hAnsi="宋体" w:cs="Segoe UI Symbol"/>
                <w:color w:val="000000" w:themeColor="text1"/>
                <w:kern w:val="0"/>
                <w:szCs w:val="21"/>
              </w:rPr>
              <w:t>内部招标评标</w:t>
            </w:r>
            <w:r>
              <w:rPr>
                <w:rFonts w:ascii="宋体" w:hAnsi="宋体" w:cs="Segoe UI Symbol"/>
                <w:color w:val="000000" w:themeColor="text1"/>
                <w:kern w:val="0"/>
                <w:szCs w:val="21"/>
              </w:rPr>
              <w:t>小组推荐的中标候选人数</w:t>
            </w:r>
            <w:r>
              <w:rPr>
                <w:rFonts w:hint="eastAsia" w:ascii="宋体" w:hAnsi="宋体" w:cs="Segoe UI Symbol"/>
                <w:color w:val="000000" w:themeColor="text1"/>
                <w:kern w:val="0"/>
                <w:szCs w:val="21"/>
              </w:rPr>
              <w:t>：</w:t>
            </w:r>
            <w:r>
              <w:rPr>
                <w:rFonts w:hint="eastAsia" w:ascii="宋体" w:hAnsi="宋体" w:cs="Segoe UI Symbol"/>
                <w:color w:val="000000" w:themeColor="text1"/>
                <w:kern w:val="0"/>
                <w:szCs w:val="21"/>
                <w:u w:val="single"/>
              </w:rPr>
              <w:t xml:space="preserve">  1  个</w:t>
            </w:r>
            <w:r>
              <w:rPr>
                <w:rFonts w:hint="eastAsia" w:ascii="宋体" w:hAnsi="宋体" w:cs="Segoe UI Symbol"/>
                <w:color w:val="000000" w:themeColor="text1"/>
                <w:kern w:val="0"/>
                <w:szCs w:val="21"/>
              </w:rPr>
              <w:t>。</w:t>
            </w:r>
          </w:p>
          <w:p>
            <w:pPr>
              <w:autoSpaceDE w:val="0"/>
              <w:autoSpaceDN w:val="0"/>
              <w:adjustRightInd w:val="0"/>
              <w:snapToGrid w:val="0"/>
              <w:rPr>
                <w:rFonts w:ascii="宋体" w:hAnsi="宋体" w:cs="Segoe UI Symbol"/>
                <w:color w:val="000000" w:themeColor="text1"/>
                <w:kern w:val="0"/>
                <w:szCs w:val="21"/>
              </w:rPr>
            </w:pPr>
            <w:r>
              <w:rPr>
                <w:rFonts w:hint="eastAsia" w:ascii="宋体" w:hAnsi="宋体" w:cs="Segoe UI Symbol"/>
                <w:color w:val="000000" w:themeColor="text1"/>
                <w:kern w:val="0"/>
                <w:szCs w:val="21"/>
              </w:rPr>
              <w:t>（</w:t>
            </w:r>
            <w:r>
              <w:rPr>
                <w:rFonts w:hint="eastAsia" w:ascii="宋体" w:hAnsi="宋体" w:cs="宋体"/>
                <w:color w:val="000000" w:themeColor="text1"/>
                <w:szCs w:val="21"/>
              </w:rPr>
              <w:t>适用于采用</w:t>
            </w:r>
            <w:r>
              <w:rPr>
                <w:rFonts w:hint="eastAsia" w:ascii="宋体" w:hAnsi="宋体" w:cs="宋体"/>
                <w:b/>
                <w:bCs/>
                <w:color w:val="000000" w:themeColor="text1"/>
                <w:szCs w:val="21"/>
              </w:rPr>
              <w:t>综合评分法</w:t>
            </w:r>
            <w:r>
              <w:rPr>
                <w:rFonts w:hint="eastAsia" w:ascii="宋体" w:hAnsi="宋体" w:cs="宋体"/>
                <w:color w:val="000000" w:themeColor="text1"/>
                <w:szCs w:val="21"/>
              </w:rPr>
              <w:t>、</w:t>
            </w:r>
            <w:r>
              <w:rPr>
                <w:rFonts w:hint="eastAsia" w:ascii="宋体" w:hAnsi="宋体" w:cs="宋体"/>
                <w:b/>
                <w:bCs/>
                <w:color w:val="000000" w:themeColor="text1"/>
                <w:szCs w:val="21"/>
              </w:rPr>
              <w:t>最低价法</w:t>
            </w:r>
            <w:r>
              <w:rPr>
                <w:rFonts w:hint="eastAsia" w:ascii="宋体" w:hAnsi="宋体" w:cs="宋体"/>
                <w:bCs/>
                <w:color w:val="000000" w:themeColor="text1"/>
                <w:szCs w:val="21"/>
              </w:rPr>
              <w:t>）</w:t>
            </w:r>
          </w:p>
        </w:tc>
      </w:tr>
    </w:tbl>
    <w:p>
      <w:pPr>
        <w:numPr>
          <w:ilvl w:val="0"/>
          <w:numId w:val="1"/>
        </w:numPr>
        <w:spacing w:line="560" w:lineRule="exact"/>
        <w:outlineLvl w:val="1"/>
        <w:rPr>
          <w:rFonts w:ascii="宋体" w:hAnsi="宋体"/>
          <w:b/>
          <w:szCs w:val="21"/>
        </w:rPr>
      </w:pPr>
      <w:bookmarkStart w:id="6" w:name="_Toc82591925"/>
      <w:bookmarkEnd w:id="6"/>
      <w:bookmarkStart w:id="7" w:name="_Toc82684706"/>
      <w:bookmarkEnd w:id="7"/>
      <w:bookmarkStart w:id="8" w:name="_Toc82684588"/>
      <w:bookmarkEnd w:id="8"/>
      <w:bookmarkStart w:id="9" w:name="_Toc82684591"/>
      <w:bookmarkEnd w:id="9"/>
      <w:bookmarkStart w:id="10" w:name="_Toc82591928"/>
      <w:bookmarkEnd w:id="10"/>
      <w:bookmarkStart w:id="11" w:name="_Toc82684704"/>
      <w:bookmarkEnd w:id="11"/>
      <w:bookmarkStart w:id="12" w:name="_Toc82684590"/>
      <w:bookmarkEnd w:id="12"/>
      <w:bookmarkStart w:id="13" w:name="_Toc82591927"/>
      <w:bookmarkEnd w:id="13"/>
      <w:bookmarkStart w:id="14" w:name="_Toc82685543"/>
      <w:bookmarkEnd w:id="14"/>
      <w:bookmarkStart w:id="15" w:name="_Toc82591926"/>
      <w:bookmarkEnd w:id="15"/>
      <w:bookmarkStart w:id="16" w:name="_Toc82685542"/>
      <w:bookmarkEnd w:id="16"/>
      <w:bookmarkStart w:id="17" w:name="_Toc82685540"/>
      <w:bookmarkEnd w:id="17"/>
      <w:bookmarkStart w:id="18" w:name="_Toc82684703"/>
      <w:bookmarkEnd w:id="18"/>
      <w:bookmarkStart w:id="19" w:name="_Toc82685541"/>
      <w:bookmarkEnd w:id="19"/>
      <w:bookmarkStart w:id="20" w:name="_Toc82684705"/>
      <w:bookmarkEnd w:id="20"/>
      <w:bookmarkStart w:id="21" w:name="_Toc82684589"/>
      <w:bookmarkEnd w:id="21"/>
      <w:bookmarkStart w:id="22" w:name="_Toc90837881"/>
      <w:r>
        <w:rPr>
          <w:rFonts w:hint="eastAsia" w:ascii="宋体" w:hAnsi="宋体"/>
          <w:b/>
          <w:szCs w:val="21"/>
        </w:rPr>
        <w:t>特别说明</w:t>
      </w:r>
      <w:bookmarkEnd w:id="22"/>
    </w:p>
    <w:p>
      <w:pPr>
        <w:pStyle w:val="17"/>
        <w:numPr>
          <w:ilvl w:val="0"/>
          <w:numId w:val="9"/>
        </w:numPr>
        <w:spacing w:line="360" w:lineRule="auto"/>
        <w:ind w:left="0" w:firstLine="420" w:firstLineChars="0"/>
        <w:rPr>
          <w:rFonts w:ascii="宋体" w:hAnsi="宋体" w:eastAsia="宋体" w:cs="宋体"/>
          <w:szCs w:val="21"/>
        </w:rPr>
      </w:pPr>
      <w:bookmarkStart w:id="23" w:name="_Toc517278751"/>
      <w:bookmarkStart w:id="24" w:name="_Toc45028463"/>
      <w:bookmarkStart w:id="2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1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本项目涉及的所有往来资料文件均需通过招标人报名回函上指定的电子邮箱发送和接收，否则可能导致文件不被接受的不利后果。</w:t>
      </w:r>
    </w:p>
    <w:p>
      <w:pPr>
        <w:pStyle w:val="1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1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1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17"/>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591986"/>
      <w:bookmarkEnd w:id="26"/>
      <w:bookmarkStart w:id="27" w:name="_Toc82591988"/>
      <w:bookmarkEnd w:id="27"/>
      <w:bookmarkStart w:id="28" w:name="_Toc82591930"/>
      <w:bookmarkEnd w:id="28"/>
      <w:bookmarkStart w:id="29" w:name="_Toc82684708"/>
      <w:bookmarkEnd w:id="29"/>
      <w:bookmarkStart w:id="30" w:name="_Toc82591987"/>
      <w:bookmarkEnd w:id="30"/>
      <w:bookmarkStart w:id="31" w:name="_Toc82591989"/>
      <w:bookmarkEnd w:id="31"/>
      <w:bookmarkStart w:id="32" w:name="_Toc82685545"/>
      <w:bookmarkEnd w:id="32"/>
      <w:bookmarkStart w:id="33" w:name="_Toc82684593"/>
      <w:bookmarkEnd w:id="33"/>
      <w:bookmarkStart w:id="34" w:name="_Toc82591985"/>
      <w:bookmarkEnd w:id="34"/>
      <w:bookmarkStart w:id="35" w:name="_Toc90837882"/>
      <w:r>
        <w:rPr>
          <w:rFonts w:hint="eastAsia" w:ascii="宋体" w:hAnsi="宋体"/>
          <w:b/>
          <w:szCs w:val="21"/>
        </w:rPr>
        <w:t>投标文件编制</w:t>
      </w:r>
      <w:bookmarkEnd w:id="35"/>
    </w:p>
    <w:tbl>
      <w:tblPr>
        <w:tblStyle w:val="11"/>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投标报价一览表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90837883"/>
      <w:r>
        <w:rPr>
          <w:rFonts w:hint="eastAsia" w:ascii="宋体" w:hAnsi="宋体"/>
          <w:b/>
          <w:szCs w:val="21"/>
        </w:rPr>
        <w:t>项目要求及数量</w:t>
      </w:r>
      <w:bookmarkEnd w:id="36"/>
    </w:p>
    <w:tbl>
      <w:tblPr>
        <w:tblStyle w:val="11"/>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7"/>
              <w:numPr>
                <w:ilvl w:val="0"/>
                <w:numId w:val="10"/>
              </w:numPr>
              <w:ind w:firstLineChars="0"/>
              <w:jc w:val="center"/>
              <w:rPr>
                <w:rFonts w:ascii="宋体" w:hAnsi="宋体" w:eastAsia="宋体" w:cs="宋体"/>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535" w:hanging="535"/>
              <w:rPr>
                <w:rFonts w:ascii="宋体" w:hAnsi="宋体"/>
                <w:szCs w:val="21"/>
              </w:rPr>
            </w:pPr>
            <w:r>
              <w:rPr>
                <w:rFonts w:hint="eastAsia" w:ascii="宋体" w:hAnsi="宋体"/>
                <w:szCs w:val="21"/>
              </w:rPr>
              <w:t>投标人必须是在中华人民共和国境内注册且合法运作的企业，在法律和财务上独立。（提供企业营业执照扫描件，并加盖投标人公章。）</w:t>
            </w:r>
          </w:p>
          <w:p>
            <w:pPr>
              <w:numPr>
                <w:ilvl w:val="0"/>
                <w:numId w:val="11"/>
              </w:numPr>
              <w:tabs>
                <w:tab w:val="left" w:pos="531"/>
              </w:tabs>
              <w:snapToGrid w:val="0"/>
              <w:ind w:left="535" w:hanging="535"/>
              <w:rPr>
                <w:rFonts w:ascii="宋体" w:hAnsi="宋体"/>
                <w:szCs w:val="21"/>
              </w:rPr>
            </w:pPr>
            <w:r>
              <w:rPr>
                <w:rFonts w:hint="eastAsia" w:ascii="宋体" w:hAnsi="宋体"/>
                <w:szCs w:val="21"/>
              </w:rPr>
              <w:t>投标人必须无未改正的经营异常信息、无严重违法失信记录。</w:t>
            </w:r>
            <w:r>
              <w:rPr>
                <w:rFonts w:ascii="宋体" w:hAnsi="宋体"/>
                <w:szCs w:val="21"/>
              </w:rPr>
              <w:t>(</w:t>
            </w:r>
            <w:r>
              <w:rPr>
                <w:rFonts w:hint="eastAsia" w:ascii="宋体" w:hAnsi="宋体"/>
                <w:szCs w:val="21"/>
              </w:rPr>
              <w:t>提供国家企业信用信息公示系统（www.gsxt.gov.cn)公示的企业基础信息、经营异常信息、严重违法失信记录等信息查询页面打印件，并加盖投标人公章。）</w:t>
            </w:r>
          </w:p>
          <w:p>
            <w:pPr>
              <w:numPr>
                <w:ilvl w:val="0"/>
                <w:numId w:val="11"/>
              </w:numPr>
              <w:tabs>
                <w:tab w:val="left" w:pos="531"/>
              </w:tabs>
              <w:snapToGrid w:val="0"/>
              <w:ind w:left="535" w:hanging="535"/>
              <w:rPr>
                <w:rFonts w:ascii="宋体" w:hAnsi="宋体" w:cs="宋体"/>
                <w:szCs w:val="21"/>
              </w:rPr>
            </w:pPr>
            <w:bookmarkStart w:id="37" w:name="OLE_LINK3"/>
            <w:bookmarkStart w:id="38" w:name="OLE_LINK4"/>
            <w:r>
              <w:rPr>
                <w:rFonts w:hint="eastAsia" w:ascii="宋体" w:hAnsi="宋体"/>
                <w:szCs w:val="21"/>
              </w:rPr>
              <w:t>投标人必须具有有效的承装（修、试）电力设施许可证资质。（提供相应证明文件复印件</w:t>
            </w:r>
            <w:r>
              <w:rPr>
                <w:rFonts w:hint="eastAsia" w:ascii="仿宋" w:hAnsi="仿宋" w:eastAsia="仿宋"/>
                <w:szCs w:val="21"/>
              </w:rPr>
              <w:t>或扫描件</w:t>
            </w:r>
            <w:r>
              <w:rPr>
                <w:rFonts w:hint="eastAsia" w:ascii="宋体" w:hAnsi="宋体"/>
                <w:szCs w:val="21"/>
              </w:rPr>
              <w:t>并加盖投标人公章）</w:t>
            </w:r>
          </w:p>
          <w:bookmarkEnd w:id="37"/>
          <w:bookmarkEnd w:id="38"/>
          <w:p>
            <w:pPr>
              <w:numPr>
                <w:ilvl w:val="0"/>
                <w:numId w:val="11"/>
              </w:numPr>
              <w:tabs>
                <w:tab w:val="left" w:pos="531"/>
              </w:tabs>
              <w:snapToGrid w:val="0"/>
              <w:ind w:left="535" w:hanging="535"/>
              <w:rPr>
                <w:rFonts w:ascii="宋体" w:hAnsi="宋体"/>
                <w:szCs w:val="21"/>
              </w:rPr>
            </w:pPr>
            <w:r>
              <w:rPr>
                <w:rFonts w:hint="eastAsia" w:ascii="宋体" w:hAnsi="宋体"/>
                <w:szCs w:val="21"/>
              </w:rPr>
              <w:t>投标人代表必须是单位的法定代表人或持有法定代表人亲自签署的法人授权委托证明书的人员。（提供法定代表人证明书、法人授权委托证明书，如投标人法定代表人为本项目授权代表，则仅提供法定代表人证明书及身份证复印件，各证明书须加盖公章，身份证原件备查）</w:t>
            </w:r>
          </w:p>
          <w:p>
            <w:pPr>
              <w:numPr>
                <w:ilvl w:val="0"/>
                <w:numId w:val="11"/>
              </w:numPr>
              <w:tabs>
                <w:tab w:val="left" w:pos="531"/>
              </w:tabs>
              <w:snapToGrid w:val="0"/>
              <w:ind w:left="535" w:hanging="535"/>
            </w:pPr>
            <w:r>
              <w:rPr>
                <w:rFonts w:hint="eastAsia"/>
              </w:rPr>
              <w:t>本项目不接受联合体投标，不得转包或非法分包。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535" w:hanging="535"/>
              <w:rPr>
                <w:rFonts w:ascii="宋体" w:hAnsi="宋体"/>
                <w:szCs w:val="21"/>
              </w:rPr>
            </w:pPr>
            <w:r>
              <w:rPr>
                <w:rFonts w:hint="eastAsia" w:ascii="宋体" w:hAnsi="宋体"/>
                <w:szCs w:val="21"/>
              </w:rPr>
              <w:t>本项目采用总价包干的报价方式。报价以人民币作为结算币种，包括但不仅限于该项目所涉及到的材料费、施工费（拆卸及安装）、调试费、安全管理费、措施费及各项规费、垃圾清运、税金等完成本项目所需的一切费用。</w:t>
            </w:r>
          </w:p>
          <w:p>
            <w:pPr>
              <w:numPr>
                <w:ilvl w:val="0"/>
                <w:numId w:val="12"/>
              </w:numPr>
              <w:tabs>
                <w:tab w:val="left" w:pos="531"/>
              </w:tabs>
              <w:snapToGrid w:val="0"/>
              <w:ind w:left="535" w:hanging="535"/>
            </w:pPr>
            <w:r>
              <w:rPr>
                <w:rFonts w:hint="eastAsia" w:ascii="宋体" w:hAnsi="宋体"/>
                <w:szCs w:val="21"/>
              </w:rPr>
              <w:t>投标人应对整个招标范围进行投标报价，且须提供分项报价清单与总报价清单。</w:t>
            </w:r>
          </w:p>
          <w:p>
            <w:pPr>
              <w:numPr>
                <w:ilvl w:val="0"/>
                <w:numId w:val="12"/>
              </w:numPr>
              <w:tabs>
                <w:tab w:val="left" w:pos="531"/>
              </w:tabs>
              <w:snapToGrid w:val="0"/>
              <w:ind w:left="535" w:hanging="535"/>
            </w:pPr>
            <w:r>
              <w:rPr>
                <w:rFonts w:hint="eastAsia" w:ascii="宋体" w:hAnsi="宋体"/>
                <w:szCs w:val="21"/>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本项目招标控制金额为人民币48</w:t>
            </w:r>
            <w:r>
              <w:rPr>
                <w:rFonts w:hint="eastAsia" w:ascii="宋体" w:hAnsi="宋体"/>
                <w:szCs w:val="21"/>
              </w:rPr>
              <w:t>.77</w:t>
            </w:r>
            <w:r>
              <w:rPr>
                <w:rFonts w:ascii="宋体" w:hAnsi="宋体" w:cs="宋体"/>
                <w:szCs w:val="21"/>
              </w:rPr>
              <w:t>万元（含税）</w:t>
            </w:r>
            <w:r>
              <w:rPr>
                <w:rFonts w:hint="eastAsia" w:ascii="宋体" w:hAnsi="宋体" w:cs="宋体"/>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ind w:left="535" w:hanging="535"/>
              <w:rPr>
                <w:rFonts w:ascii="宋体" w:hAnsi="宋体"/>
                <w:szCs w:val="21"/>
              </w:rPr>
            </w:pPr>
            <w:r>
              <w:rPr>
                <w:rFonts w:hint="eastAsia" w:ascii="宋体" w:hAnsi="宋体"/>
                <w:szCs w:val="21"/>
              </w:rPr>
              <w:t>项目完工且全部验收合格后，采购人支付合同款总金额的97%，合同总金额的3%留作质量保证金。</w:t>
            </w:r>
          </w:p>
          <w:p>
            <w:pPr>
              <w:numPr>
                <w:ilvl w:val="0"/>
                <w:numId w:val="13"/>
              </w:numPr>
              <w:tabs>
                <w:tab w:val="left" w:pos="531"/>
              </w:tabs>
              <w:snapToGrid w:val="0"/>
              <w:ind w:left="535" w:hanging="535"/>
              <w:rPr>
                <w:rFonts w:ascii="宋体" w:hAnsi="宋体"/>
                <w:szCs w:val="21"/>
              </w:rPr>
            </w:pPr>
            <w:r>
              <w:rPr>
                <w:rFonts w:hint="eastAsia" w:ascii="宋体" w:hAnsi="宋体"/>
                <w:szCs w:val="21"/>
              </w:rPr>
              <w:t>质量保修期满后，完成违约责任清算后一次性支付剩余质量保证金（不计利息）。</w:t>
            </w:r>
          </w:p>
          <w:p>
            <w:pPr>
              <w:numPr>
                <w:ilvl w:val="0"/>
                <w:numId w:val="13"/>
              </w:numPr>
              <w:tabs>
                <w:tab w:val="left" w:pos="531"/>
              </w:tabs>
              <w:snapToGrid w:val="0"/>
              <w:ind w:left="535" w:hanging="535"/>
              <w:rPr>
                <w:rFonts w:ascii="宋体" w:hAnsi="宋体"/>
                <w:szCs w:val="21"/>
              </w:rPr>
            </w:pPr>
            <w:r>
              <w:rPr>
                <w:rFonts w:hint="eastAsia" w:ascii="宋体" w:hAnsi="宋体"/>
                <w:szCs w:val="21"/>
              </w:rPr>
              <w:t>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pStyle w:val="20"/>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工期要求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0"/>
              <w:keepNext w:val="0"/>
              <w:adjustRightInd/>
              <w:spacing w:before="0" w:after="0" w:line="240" w:lineRule="auto"/>
              <w:jc w:val="both"/>
              <w:rPr>
                <w:rFonts w:ascii="宋体" w:hAnsi="宋体" w:cs="宋体"/>
                <w:snapToGrid/>
                <w:spacing w:val="0"/>
                <w:kern w:val="2"/>
                <w:sz w:val="21"/>
                <w:szCs w:val="21"/>
              </w:rPr>
            </w:pPr>
            <w:r>
              <w:rPr>
                <w:rFonts w:hint="eastAsia" w:ascii="宋体" w:hAnsi="宋体" w:cs="宋体"/>
                <w:snapToGrid/>
                <w:spacing w:val="0"/>
                <w:kern w:val="2"/>
                <w:sz w:val="21"/>
                <w:szCs w:val="21"/>
              </w:rPr>
              <w:t>合同签订后，20个日历日完成竣工验收。如遇不可抗拒或因配合招标人经营造成的工期延误，经招标人书面签字确认后可顺延合同工期。否则，招标人将按2000元/天的标准直接从当期应付款项中扣除相应款项作为违约金。</w:t>
            </w:r>
          </w:p>
        </w:tc>
        <w:tc>
          <w:tcPr>
            <w:tcW w:w="784" w:type="dxa"/>
            <w:tcBorders>
              <w:top w:val="single" w:color="auto" w:sz="4" w:space="0"/>
              <w:left w:val="single" w:color="auto" w:sz="4" w:space="0"/>
              <w:bottom w:val="single" w:color="auto" w:sz="4" w:space="0"/>
              <w:right w:val="single" w:color="auto" w:sz="4" w:space="0"/>
            </w:tcBorders>
            <w:vAlign w:val="center"/>
          </w:tcPr>
          <w:p>
            <w:pPr>
              <w:pStyle w:val="20"/>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pStyle w:val="20"/>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验收标准</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rPr>
                <w:rFonts w:ascii="宋体" w:eastAsia="宋体" w:cs="宋体"/>
                <w:szCs w:val="21"/>
              </w:rPr>
            </w:pPr>
            <w:r>
              <w:rPr>
                <w:rFonts w:hint="eastAsia" w:ascii="宋体" w:eastAsia="宋体" w:cs="宋体"/>
                <w:szCs w:val="21"/>
              </w:rPr>
              <w:t>《电力设备预防性试验规程》DL/T 596-2021。</w:t>
            </w:r>
          </w:p>
          <w:p>
            <w:pPr>
              <w:pStyle w:val="2"/>
              <w:rPr>
                <w:rFonts w:ascii="宋体" w:eastAsia="宋体" w:cs="宋体"/>
                <w:szCs w:val="21"/>
              </w:rPr>
            </w:pPr>
            <w:r>
              <w:rPr>
                <w:rFonts w:hint="eastAsia" w:ascii="宋体" w:eastAsia="宋体" w:cs="宋体"/>
                <w:szCs w:val="21"/>
              </w:rPr>
              <w:t>《电气装置安装工程高压电器施工及验收规范》GB 50147-2010。</w:t>
            </w:r>
          </w:p>
          <w:p>
            <w:pPr>
              <w:pStyle w:val="2"/>
            </w:pPr>
            <w:r>
              <w:rPr>
                <w:rFonts w:hint="eastAsia" w:ascii="宋体" w:eastAsia="宋体" w:cs="宋体"/>
                <w:szCs w:val="21"/>
              </w:rPr>
              <w:t>《继电保护和安全自动装置技术规程》GB/T 14285-2006</w:t>
            </w:r>
          </w:p>
        </w:tc>
        <w:tc>
          <w:tcPr>
            <w:tcW w:w="784" w:type="dxa"/>
            <w:tcBorders>
              <w:top w:val="single" w:color="auto" w:sz="4" w:space="0"/>
              <w:left w:val="single" w:color="auto" w:sz="4" w:space="0"/>
              <w:bottom w:val="single" w:color="auto" w:sz="4" w:space="0"/>
              <w:right w:val="single" w:color="auto" w:sz="4" w:space="0"/>
            </w:tcBorders>
            <w:vAlign w:val="center"/>
          </w:tcPr>
          <w:p>
            <w:pPr>
              <w:pStyle w:val="20"/>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工程量清单</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5"/>
              </w:tabs>
              <w:snapToGrid w:val="0"/>
              <w:jc w:val="left"/>
              <w:rPr>
                <w:rFonts w:ascii="宋体" w:hAnsi="宋体" w:cs="宋体"/>
              </w:rPr>
            </w:pPr>
            <w:r>
              <w:rPr>
                <w:rFonts w:hint="eastAsia" w:ascii="宋体" w:hAnsi="宋体" w:cs="宋体"/>
              </w:rPr>
              <w:t>中压开关柜（80面）</w:t>
            </w:r>
          </w:p>
          <w:p>
            <w:pPr>
              <w:tabs>
                <w:tab w:val="left" w:pos="535"/>
              </w:tabs>
              <w:snapToGrid w:val="0"/>
              <w:ind w:firstLine="210" w:firstLineChars="100"/>
              <w:jc w:val="left"/>
              <w:rPr>
                <w:rFonts w:ascii="宋体" w:hAnsi="宋体" w:cs="宋体"/>
              </w:rPr>
            </w:pPr>
            <w:r>
              <w:rPr>
                <w:rFonts w:hint="eastAsia" w:ascii="宋体" w:hAnsi="宋体" w:cs="宋体"/>
              </w:rPr>
              <w:t>1)真空断路器</w:t>
            </w:r>
          </w:p>
          <w:p>
            <w:pPr>
              <w:tabs>
                <w:tab w:val="left" w:pos="535"/>
              </w:tabs>
              <w:snapToGrid w:val="0"/>
              <w:ind w:firstLine="420" w:firstLineChars="200"/>
              <w:jc w:val="left"/>
              <w:rPr>
                <w:rFonts w:ascii="宋体" w:hAnsi="宋体" w:cs="宋体"/>
              </w:rPr>
            </w:pPr>
            <w:r>
              <w:rPr>
                <w:rFonts w:hint="eastAsia" w:ascii="宋体" w:hAnsi="宋体" w:cs="宋体"/>
              </w:rPr>
              <w:t>A.测量绝缘电阻：整体绝缘电阻值测量，不低于制造厂规定；绝缘拉杆的绝缘电阻值，在常温下不应低于300兆欧。</w:t>
            </w:r>
          </w:p>
          <w:p>
            <w:pPr>
              <w:tabs>
                <w:tab w:val="left" w:pos="535"/>
              </w:tabs>
              <w:snapToGrid w:val="0"/>
              <w:ind w:firstLine="420" w:firstLineChars="200"/>
              <w:jc w:val="left"/>
              <w:rPr>
                <w:rFonts w:ascii="宋体" w:hAnsi="宋体" w:cs="宋体"/>
              </w:rPr>
            </w:pPr>
            <w:r>
              <w:rPr>
                <w:rFonts w:hint="eastAsia" w:ascii="宋体" w:hAnsi="宋体" w:cs="宋体"/>
              </w:rPr>
              <w:t>B.测量每相导电回路的直流电阻：用电流不小于100A的直流压降法测量，电阻值应不大于出厂值的120%。</w:t>
            </w:r>
          </w:p>
          <w:p>
            <w:pPr>
              <w:tabs>
                <w:tab w:val="left" w:pos="535"/>
              </w:tabs>
              <w:snapToGrid w:val="0"/>
              <w:ind w:firstLine="420" w:firstLineChars="200"/>
              <w:jc w:val="left"/>
              <w:rPr>
                <w:rFonts w:ascii="宋体" w:hAnsi="宋体" w:cs="宋体"/>
              </w:rPr>
            </w:pPr>
            <w:r>
              <w:rPr>
                <w:rFonts w:hint="eastAsia" w:ascii="宋体" w:hAnsi="宋体" w:cs="宋体"/>
              </w:rPr>
              <w:t>C.交流耐压试验：断路器的交流耐压试验应在分、合闸状态下分别进行，设备对地及相间的试验电压按照：a、断路器连接如互感器等绝缘水平较低设备，不能分离试验时，按最低耐压试验电压标准；b、进口开关设备其绝缘水平低于42KV，按28KV进行。试验标准为无闪络击穿，耐压前后测量绝缘电阻无明显变化。</w:t>
            </w:r>
          </w:p>
          <w:p>
            <w:pPr>
              <w:tabs>
                <w:tab w:val="left" w:pos="535"/>
              </w:tabs>
              <w:snapToGrid w:val="0"/>
              <w:ind w:firstLine="210" w:firstLineChars="100"/>
              <w:jc w:val="left"/>
              <w:rPr>
                <w:rFonts w:ascii="宋体" w:hAnsi="宋体" w:cs="宋体"/>
              </w:rPr>
            </w:pPr>
            <w:r>
              <w:rPr>
                <w:rFonts w:hint="eastAsia" w:ascii="宋体" w:hAnsi="宋体" w:cs="宋体"/>
              </w:rPr>
              <w:t>2)电流互感器</w:t>
            </w:r>
          </w:p>
          <w:p>
            <w:pPr>
              <w:tabs>
                <w:tab w:val="left" w:pos="535"/>
              </w:tabs>
              <w:snapToGrid w:val="0"/>
              <w:ind w:firstLine="420" w:firstLineChars="200"/>
              <w:jc w:val="left"/>
              <w:rPr>
                <w:rFonts w:ascii="宋体" w:hAnsi="宋体" w:cs="宋体"/>
              </w:rPr>
            </w:pPr>
            <w:r>
              <w:rPr>
                <w:rFonts w:hint="eastAsia" w:ascii="宋体" w:hAnsi="宋体" w:cs="宋体"/>
              </w:rPr>
              <w:t xml:space="preserve">测量绝缘电阻（测量高压对低压及对地的阻值）：分别测量一次绕组对二次绕组及对地、二次绕组对一次绕组及对地、二次绕组间绝缘电阻等阻值与出厂值有无明显变化，一般不低于1000兆欧（或不低于出厂值或初始值的70%）。 </w:t>
            </w:r>
          </w:p>
          <w:p>
            <w:pPr>
              <w:tabs>
                <w:tab w:val="left" w:pos="535"/>
              </w:tabs>
              <w:snapToGrid w:val="0"/>
              <w:ind w:firstLine="210" w:firstLineChars="100"/>
              <w:jc w:val="left"/>
              <w:rPr>
                <w:rFonts w:ascii="宋体" w:hAnsi="宋体" w:cs="宋体"/>
              </w:rPr>
            </w:pPr>
            <w:r>
              <w:rPr>
                <w:rFonts w:hint="eastAsia" w:ascii="宋体" w:hAnsi="宋体" w:cs="宋体"/>
              </w:rPr>
              <w:t>3)电压互感器</w:t>
            </w:r>
          </w:p>
          <w:p>
            <w:pPr>
              <w:tabs>
                <w:tab w:val="left" w:pos="535"/>
              </w:tabs>
              <w:snapToGrid w:val="0"/>
              <w:ind w:firstLine="420" w:firstLineChars="200"/>
              <w:jc w:val="left"/>
              <w:rPr>
                <w:rFonts w:ascii="宋体" w:hAnsi="宋体" w:cs="宋体"/>
              </w:rPr>
            </w:pPr>
            <w:r>
              <w:rPr>
                <w:rFonts w:hint="eastAsia" w:ascii="宋体" w:hAnsi="宋体" w:cs="宋体"/>
              </w:rPr>
              <w:t>A.交流耐压试验：试验电压按照38KV对地进行（只做装在移动小车上的互感器），试验标准为无闪络击穿。</w:t>
            </w:r>
          </w:p>
          <w:p>
            <w:pPr>
              <w:tabs>
                <w:tab w:val="left" w:pos="535"/>
              </w:tabs>
              <w:snapToGrid w:val="0"/>
              <w:ind w:firstLine="420" w:firstLineChars="200"/>
              <w:jc w:val="left"/>
              <w:rPr>
                <w:rFonts w:ascii="宋体" w:hAnsi="宋体" w:cs="宋体"/>
              </w:rPr>
            </w:pPr>
            <w:r>
              <w:rPr>
                <w:rFonts w:hint="eastAsia" w:ascii="宋体" w:hAnsi="宋体" w:cs="宋体"/>
              </w:rPr>
              <w:t>B.绝缘电阻：不低于出厂值或初始值的70%，只做装在小车上的互感器。</w:t>
            </w:r>
          </w:p>
          <w:p>
            <w:pPr>
              <w:tabs>
                <w:tab w:val="left" w:pos="535"/>
              </w:tabs>
              <w:snapToGrid w:val="0"/>
              <w:ind w:firstLine="210" w:firstLineChars="100"/>
              <w:jc w:val="left"/>
              <w:rPr>
                <w:rFonts w:ascii="宋体" w:hAnsi="宋体" w:cs="宋体"/>
              </w:rPr>
            </w:pPr>
            <w:r>
              <w:rPr>
                <w:rFonts w:hint="eastAsia" w:ascii="宋体" w:hAnsi="宋体" w:cs="宋体"/>
              </w:rPr>
              <w:t>4)氧化锌避雷器</w:t>
            </w:r>
          </w:p>
          <w:p>
            <w:pPr>
              <w:tabs>
                <w:tab w:val="left" w:pos="535"/>
              </w:tabs>
              <w:snapToGrid w:val="0"/>
              <w:ind w:firstLine="420" w:firstLineChars="200"/>
              <w:jc w:val="left"/>
              <w:rPr>
                <w:rFonts w:ascii="宋体" w:hAnsi="宋体" w:cs="宋体"/>
              </w:rPr>
            </w:pPr>
            <w:r>
              <w:rPr>
                <w:rFonts w:hint="eastAsia" w:ascii="宋体" w:hAnsi="宋体" w:cs="宋体"/>
              </w:rPr>
              <w:t>测量绝缘电阻：不小于1000兆欧。</w:t>
            </w:r>
          </w:p>
          <w:p>
            <w:pPr>
              <w:tabs>
                <w:tab w:val="left" w:pos="535"/>
              </w:tabs>
              <w:snapToGrid w:val="0"/>
              <w:ind w:firstLine="210" w:firstLineChars="100"/>
              <w:jc w:val="left"/>
              <w:rPr>
                <w:rFonts w:ascii="宋体" w:hAnsi="宋体" w:cs="宋体"/>
              </w:rPr>
            </w:pPr>
            <w:r>
              <w:rPr>
                <w:rFonts w:hint="eastAsia" w:ascii="宋体" w:hAnsi="宋体" w:cs="宋体"/>
              </w:rPr>
              <w:t>5)绝缘子</w:t>
            </w:r>
          </w:p>
          <w:p>
            <w:pPr>
              <w:tabs>
                <w:tab w:val="left" w:pos="535"/>
              </w:tabs>
              <w:snapToGrid w:val="0"/>
              <w:ind w:firstLine="420" w:firstLineChars="200"/>
              <w:jc w:val="left"/>
              <w:rPr>
                <w:rFonts w:ascii="宋体" w:hAnsi="宋体" w:cs="宋体"/>
              </w:rPr>
            </w:pPr>
            <w:r>
              <w:rPr>
                <w:rFonts w:hint="eastAsia" w:ascii="宋体" w:hAnsi="宋体" w:cs="宋体"/>
              </w:rPr>
              <w:t>运行在10KV电压的固体有机绝缘子按38KV进行，试验标准为无闪络击穿，耐压前后测量绝缘电阻无明显变化。</w:t>
            </w:r>
          </w:p>
          <w:p>
            <w:pPr>
              <w:numPr>
                <w:ilvl w:val="0"/>
                <w:numId w:val="15"/>
              </w:numPr>
              <w:tabs>
                <w:tab w:val="left" w:pos="535"/>
              </w:tabs>
              <w:snapToGrid w:val="0"/>
              <w:jc w:val="left"/>
              <w:rPr>
                <w:rFonts w:ascii="宋体" w:hAnsi="宋体" w:cs="宋体"/>
              </w:rPr>
            </w:pPr>
            <w:r>
              <w:rPr>
                <w:rFonts w:hint="eastAsia" w:ascii="宋体" w:hAnsi="宋体" w:cs="宋体"/>
              </w:rPr>
              <w:t>（环网柜（17面）</w:t>
            </w:r>
          </w:p>
          <w:p>
            <w:pPr>
              <w:tabs>
                <w:tab w:val="left" w:pos="535"/>
              </w:tabs>
              <w:snapToGrid w:val="0"/>
              <w:ind w:firstLine="210" w:firstLineChars="100"/>
              <w:jc w:val="left"/>
              <w:rPr>
                <w:rFonts w:ascii="宋体" w:hAnsi="宋体" w:cs="宋体"/>
              </w:rPr>
            </w:pPr>
            <w:r>
              <w:rPr>
                <w:rFonts w:hint="eastAsia" w:ascii="宋体" w:hAnsi="宋体" w:cs="宋体"/>
              </w:rPr>
              <w:t>1)测量绝缘电阻：绝缘拉杆的绝缘电阻值，在常温下不应低于300兆欧。</w:t>
            </w:r>
          </w:p>
          <w:p>
            <w:pPr>
              <w:tabs>
                <w:tab w:val="left" w:pos="535"/>
              </w:tabs>
              <w:snapToGrid w:val="0"/>
              <w:ind w:firstLine="210" w:firstLineChars="100"/>
              <w:jc w:val="left"/>
              <w:rPr>
                <w:rFonts w:ascii="宋体" w:hAnsi="宋体" w:cs="宋体"/>
              </w:rPr>
            </w:pPr>
            <w:r>
              <w:rPr>
                <w:rFonts w:hint="eastAsia" w:ascii="宋体" w:hAnsi="宋体" w:cs="宋体"/>
              </w:rPr>
              <w:t>2)交流耐压试验：断路器的交流耐压试验应在分、合闸状态下分别进行，设备对地及相间的试验电压按照：</w:t>
            </w:r>
          </w:p>
          <w:p>
            <w:pPr>
              <w:tabs>
                <w:tab w:val="left" w:pos="535"/>
              </w:tabs>
              <w:snapToGrid w:val="0"/>
              <w:ind w:firstLine="420" w:firstLineChars="200"/>
              <w:jc w:val="left"/>
              <w:rPr>
                <w:rFonts w:ascii="宋体" w:hAnsi="宋体" w:cs="宋体"/>
              </w:rPr>
            </w:pPr>
            <w:r>
              <w:rPr>
                <w:rFonts w:hint="eastAsia" w:ascii="宋体" w:hAnsi="宋体" w:cs="宋体"/>
              </w:rPr>
              <w:t>A.断路器连接如互感器等绝缘水平较低设备，不能分离试验时，按最低耐压试验电压标准；</w:t>
            </w:r>
          </w:p>
          <w:p>
            <w:pPr>
              <w:tabs>
                <w:tab w:val="left" w:pos="535"/>
              </w:tabs>
              <w:snapToGrid w:val="0"/>
              <w:ind w:firstLine="420" w:firstLineChars="200"/>
              <w:jc w:val="left"/>
              <w:rPr>
                <w:rFonts w:ascii="宋体" w:hAnsi="宋体" w:cs="宋体"/>
              </w:rPr>
            </w:pPr>
            <w:r>
              <w:rPr>
                <w:rFonts w:hint="eastAsia" w:ascii="宋体" w:hAnsi="宋体" w:cs="宋体"/>
              </w:rPr>
              <w:t>B.进口开关设备其绝缘水平低于42KV，按28KV进行。试验标准为无闪络击穿。</w:t>
            </w:r>
          </w:p>
          <w:p>
            <w:pPr>
              <w:numPr>
                <w:ilvl w:val="0"/>
                <w:numId w:val="15"/>
              </w:numPr>
              <w:tabs>
                <w:tab w:val="left" w:pos="535"/>
              </w:tabs>
              <w:snapToGrid w:val="0"/>
              <w:jc w:val="left"/>
              <w:rPr>
                <w:rFonts w:ascii="宋体" w:hAnsi="宋体" w:cs="宋体"/>
              </w:rPr>
            </w:pPr>
            <w:r>
              <w:rPr>
                <w:rFonts w:hint="eastAsia" w:ascii="宋体" w:hAnsi="宋体" w:cs="宋体"/>
              </w:rPr>
              <w:t>微机保护装置（54台）</w:t>
            </w:r>
          </w:p>
          <w:p>
            <w:pPr>
              <w:tabs>
                <w:tab w:val="left" w:pos="535"/>
              </w:tabs>
              <w:snapToGrid w:val="0"/>
              <w:ind w:firstLine="210" w:firstLineChars="100"/>
              <w:jc w:val="left"/>
              <w:rPr>
                <w:rFonts w:ascii="宋体" w:hAnsi="宋体" w:cs="宋体"/>
              </w:rPr>
            </w:pPr>
            <w:r>
              <w:rPr>
                <w:rFonts w:hint="eastAsia" w:ascii="宋体" w:hAnsi="宋体" w:cs="宋体"/>
              </w:rPr>
              <w:t>1)对设备的通讯链路进行测试。</w:t>
            </w:r>
          </w:p>
          <w:p>
            <w:pPr>
              <w:tabs>
                <w:tab w:val="left" w:pos="535"/>
              </w:tabs>
              <w:snapToGrid w:val="0"/>
              <w:jc w:val="left"/>
              <w:rPr>
                <w:rFonts w:ascii="宋体" w:hAnsi="宋体" w:cs="宋体"/>
              </w:rPr>
            </w:pPr>
            <w:r>
              <w:rPr>
                <w:rFonts w:hint="eastAsia" w:ascii="宋体" w:hAnsi="宋体" w:cs="宋体"/>
              </w:rPr>
              <w:t>测试保护功能：相过流保护， 接地故障/敏感接地故障，负荷不平衡、负序电流保护，断线监视，过压保护，低压保护，负序过压。各项保护参数核检，确保保护功能正常，通讯正常。</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安装调试和施工要求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5"/>
              </w:tabs>
              <w:snapToGrid w:val="0"/>
              <w:rPr>
                <w:rFonts w:ascii="宋体" w:hAnsi="宋体"/>
                <w:szCs w:val="21"/>
              </w:rPr>
            </w:pPr>
            <w:r>
              <w:rPr>
                <w:rFonts w:hint="eastAsia" w:ascii="宋体" w:hAnsi="宋体"/>
                <w:szCs w:val="21"/>
              </w:rPr>
              <w:t>投标人须根据施工现场的实际情况，制定并提交切实可行的施工组织方案和施工计划，以及针对紧急情况或意外事故的应急预案。</w:t>
            </w:r>
          </w:p>
          <w:p>
            <w:pPr>
              <w:numPr>
                <w:ilvl w:val="0"/>
                <w:numId w:val="16"/>
              </w:numPr>
              <w:tabs>
                <w:tab w:val="left" w:pos="535"/>
              </w:tabs>
              <w:snapToGrid w:val="0"/>
              <w:rPr>
                <w:rFonts w:ascii="宋体" w:hAnsi="宋体"/>
                <w:szCs w:val="21"/>
              </w:rPr>
            </w:pPr>
            <w:r>
              <w:rPr>
                <w:rFonts w:hint="eastAsia" w:ascii="宋体" w:hAnsi="宋体"/>
                <w:szCs w:val="21"/>
              </w:rPr>
              <w:t>施工前须对现场进行勘查，熟悉现场情况。</w:t>
            </w:r>
          </w:p>
          <w:p>
            <w:pPr>
              <w:numPr>
                <w:ilvl w:val="0"/>
                <w:numId w:val="16"/>
              </w:numPr>
              <w:tabs>
                <w:tab w:val="left" w:pos="535"/>
              </w:tabs>
              <w:snapToGrid w:val="0"/>
              <w:rPr>
                <w:rFonts w:ascii="宋体" w:hAnsi="宋体"/>
                <w:szCs w:val="21"/>
              </w:rPr>
            </w:pPr>
            <w:r>
              <w:rPr>
                <w:rFonts w:hint="eastAsia" w:ascii="宋体" w:hAnsi="宋体"/>
                <w:szCs w:val="21"/>
              </w:rPr>
              <w:t>投标人要熟悉中压开关柜所有技术参数与检测规范，具备处理各种应急事项的能力，发现设备缺陷必须及时向采购人报告。</w:t>
            </w:r>
          </w:p>
          <w:p>
            <w:pPr>
              <w:numPr>
                <w:ilvl w:val="0"/>
                <w:numId w:val="16"/>
              </w:numPr>
              <w:tabs>
                <w:tab w:val="left" w:pos="535"/>
              </w:tabs>
              <w:snapToGrid w:val="0"/>
              <w:rPr>
                <w:rFonts w:ascii="宋体" w:hAnsi="宋体"/>
                <w:szCs w:val="21"/>
              </w:rPr>
            </w:pPr>
            <w:r>
              <w:rPr>
                <w:rFonts w:hint="eastAsia" w:ascii="宋体" w:hAnsi="宋体"/>
                <w:szCs w:val="21"/>
              </w:rPr>
              <w:t>试验前后的高压停送电的开关倒闸操作，严格按照高压倒闸操作规程操作。操作技术人员必须具备相应的高压电工作业证或进网作业许可证。</w:t>
            </w:r>
          </w:p>
          <w:p>
            <w:pPr>
              <w:numPr>
                <w:ilvl w:val="0"/>
                <w:numId w:val="16"/>
              </w:numPr>
              <w:tabs>
                <w:tab w:val="left" w:pos="535"/>
              </w:tabs>
              <w:snapToGrid w:val="0"/>
              <w:rPr>
                <w:rFonts w:ascii="宋体" w:hAnsi="宋体"/>
                <w:szCs w:val="21"/>
              </w:rPr>
            </w:pPr>
            <w:r>
              <w:rPr>
                <w:rFonts w:hint="eastAsia" w:ascii="宋体" w:hAnsi="宋体"/>
                <w:szCs w:val="21"/>
              </w:rPr>
              <w:t>拆除本次试验的电缆线头，并保持所有的电缆线头与设备达到安全距离，测试完后再装回复原，同时各种螺丝的安装扭矩符合国标。</w:t>
            </w:r>
          </w:p>
          <w:p>
            <w:pPr>
              <w:numPr>
                <w:ilvl w:val="0"/>
                <w:numId w:val="16"/>
              </w:numPr>
              <w:tabs>
                <w:tab w:val="left" w:pos="535"/>
              </w:tabs>
              <w:snapToGrid w:val="0"/>
              <w:rPr>
                <w:rFonts w:ascii="宋体" w:hAnsi="宋体"/>
                <w:szCs w:val="21"/>
              </w:rPr>
            </w:pPr>
            <w:r>
              <w:rPr>
                <w:rFonts w:hint="eastAsia" w:ascii="宋体" w:hAnsi="宋体"/>
                <w:szCs w:val="21"/>
              </w:rPr>
              <w:t>送电后做好三相相序测定，相序与测试前保持一致。</w:t>
            </w:r>
          </w:p>
          <w:p>
            <w:pPr>
              <w:numPr>
                <w:ilvl w:val="0"/>
                <w:numId w:val="16"/>
              </w:numPr>
              <w:tabs>
                <w:tab w:val="left" w:pos="535"/>
              </w:tabs>
              <w:snapToGrid w:val="0"/>
              <w:rPr>
                <w:rFonts w:ascii="宋体" w:hAnsi="宋体"/>
                <w:szCs w:val="21"/>
              </w:rPr>
            </w:pPr>
            <w:r>
              <w:rPr>
                <w:rFonts w:hint="eastAsia" w:ascii="宋体" w:hAnsi="宋体"/>
                <w:szCs w:val="21"/>
              </w:rPr>
              <w:t>提供中压开关柜、环网柜检修和耐压测试检测报告和总结报告。</w:t>
            </w:r>
          </w:p>
          <w:p>
            <w:pPr>
              <w:numPr>
                <w:ilvl w:val="0"/>
                <w:numId w:val="16"/>
              </w:numPr>
              <w:tabs>
                <w:tab w:val="left" w:pos="535"/>
              </w:tabs>
              <w:snapToGrid w:val="0"/>
              <w:rPr>
                <w:rFonts w:ascii="宋体" w:hAnsi="宋体"/>
                <w:szCs w:val="21"/>
              </w:rPr>
            </w:pPr>
            <w:r>
              <w:rPr>
                <w:rFonts w:hint="eastAsia" w:ascii="宋体" w:hAnsi="宋体"/>
                <w:szCs w:val="21"/>
              </w:rPr>
              <w:t>对所有检测的设备清洁，对有问题的设备提供免费安装调试服务（采购方提供相关配件）。</w:t>
            </w:r>
          </w:p>
          <w:p>
            <w:pPr>
              <w:numPr>
                <w:ilvl w:val="0"/>
                <w:numId w:val="16"/>
              </w:numPr>
              <w:tabs>
                <w:tab w:val="left" w:pos="535"/>
              </w:tabs>
              <w:snapToGrid w:val="0"/>
              <w:rPr>
                <w:rFonts w:ascii="宋体" w:hAnsi="宋体"/>
                <w:szCs w:val="21"/>
              </w:rPr>
            </w:pPr>
            <w:r>
              <w:rPr>
                <w:rFonts w:hint="eastAsia" w:ascii="宋体" w:hAnsi="宋体"/>
                <w:szCs w:val="21"/>
              </w:rPr>
              <w:t>投标人应注重现场的文明施工，对施工区域的施工垃圾必须及时自行清除，不得乱堆乱放。</w:t>
            </w:r>
          </w:p>
          <w:p>
            <w:pPr>
              <w:numPr>
                <w:ilvl w:val="0"/>
                <w:numId w:val="16"/>
              </w:numPr>
              <w:tabs>
                <w:tab w:val="left" w:pos="535"/>
              </w:tabs>
              <w:snapToGrid w:val="0"/>
              <w:rPr>
                <w:rFonts w:ascii="宋体" w:hAnsi="宋体"/>
                <w:szCs w:val="21"/>
              </w:rPr>
            </w:pPr>
            <w:r>
              <w:rPr>
                <w:rFonts w:hint="eastAsia" w:ascii="宋体" w:hAnsi="宋体"/>
                <w:szCs w:val="21"/>
              </w:rPr>
              <w:t>投标人应对现场施工作业人员的安全负全部责任，采取切实有效的安全措施、设置安全可靠的防护设施，确保现场人员人身及采购人财产安全，并自觉杜绝所有违法违章违规及无防护措施的危险作业行为。如因中标单位管理不善、组织不力或监管缺失等造成安全责任事故及财产损失的由中标单位负全部责任。</w:t>
            </w:r>
          </w:p>
          <w:p>
            <w:pPr>
              <w:numPr>
                <w:ilvl w:val="0"/>
                <w:numId w:val="16"/>
              </w:numPr>
              <w:tabs>
                <w:tab w:val="left" w:pos="535"/>
              </w:tabs>
              <w:snapToGrid w:val="0"/>
              <w:rPr>
                <w:rFonts w:ascii="宋体" w:hAnsi="宋体"/>
                <w:szCs w:val="21"/>
              </w:rPr>
            </w:pPr>
            <w:r>
              <w:rPr>
                <w:rFonts w:hint="eastAsia" w:ascii="宋体" w:hAnsi="宋体"/>
                <w:szCs w:val="21"/>
              </w:rPr>
              <w:t>投标人承诺严格按照安全规程安排施工作业，采购人有权制止现场违规或存在安全隐患的作业现象。</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7"/>
              </w:numPr>
              <w:tabs>
                <w:tab w:val="left" w:pos="669"/>
              </w:tabs>
              <w:snapToGrid w:val="0"/>
              <w:ind w:left="535" w:hanging="535"/>
              <w:rPr>
                <w:rFonts w:ascii="宋体" w:hAnsi="宋体"/>
              </w:rPr>
            </w:pPr>
            <w:r>
              <w:rPr>
                <w:rFonts w:hint="eastAsia" w:ascii="宋体" w:hAnsi="宋体"/>
              </w:rPr>
              <w:t>投标人须指定项目负责人，负责人须持有有效的电气试验作业证，并提供该负责人姓名、电话、职务、身份证复印件或扫描件、职业或执业资格证书复印件或扫描件（以上复印件或扫描件加盖公章，原件备查）等信息，负责联络协调及跟进该项目具体实施。</w:t>
            </w:r>
          </w:p>
          <w:p>
            <w:pPr>
              <w:numPr>
                <w:ilvl w:val="0"/>
                <w:numId w:val="17"/>
              </w:numPr>
              <w:tabs>
                <w:tab w:val="left" w:pos="669"/>
              </w:tabs>
              <w:snapToGrid w:val="0"/>
              <w:ind w:left="535" w:hanging="535"/>
              <w:rPr>
                <w:rFonts w:ascii="宋体" w:hAnsi="宋体"/>
              </w:rPr>
            </w:pPr>
            <w:r>
              <w:rPr>
                <w:rFonts w:hint="eastAsia" w:ascii="宋体" w:hAnsi="宋体"/>
              </w:rPr>
              <w:t>投标人须设置具有有效安全员资格证书的专职安全员，须提交资格证书复印件或扫描件加盖公章。</w:t>
            </w:r>
          </w:p>
          <w:p>
            <w:pPr>
              <w:numPr>
                <w:ilvl w:val="0"/>
                <w:numId w:val="17"/>
              </w:numPr>
              <w:tabs>
                <w:tab w:val="left" w:pos="669"/>
              </w:tabs>
              <w:snapToGrid w:val="0"/>
              <w:ind w:left="535" w:hanging="535"/>
              <w:rPr>
                <w:rFonts w:ascii="宋体" w:hAnsi="宋体"/>
              </w:rPr>
            </w:pPr>
            <w:r>
              <w:rPr>
                <w:rFonts w:hint="eastAsia" w:ascii="宋体" w:hAnsi="宋体"/>
              </w:rPr>
              <w:t>投标人安排的现场施工人员须具备高压电工作业证，并提交拟安排人员资格证复印件或扫描件加盖公章（进场前须另行向采购人书面报备）。</w:t>
            </w:r>
          </w:p>
          <w:p>
            <w:pPr>
              <w:numPr>
                <w:ilvl w:val="0"/>
                <w:numId w:val="17"/>
              </w:numPr>
              <w:tabs>
                <w:tab w:val="left" w:pos="669"/>
              </w:tabs>
              <w:snapToGrid w:val="0"/>
              <w:ind w:left="535" w:hanging="535"/>
              <w:rPr>
                <w:rFonts w:ascii="宋体" w:hAnsi="宋体"/>
              </w:rPr>
            </w:pPr>
            <w:r>
              <w:rPr>
                <w:rFonts w:hint="eastAsia" w:ascii="宋体" w:hAnsi="宋体"/>
              </w:rPr>
              <w:t>未经招标人书面同意，拟投入本项目人员不得变动，进场前须另行向采购人书面报备。如实际进场人员确实需要变动，则变动后的实际进场人员的规模及资格等级不得低于投标文件中拟投入人员资格情况。</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8"/>
              </w:numPr>
              <w:tabs>
                <w:tab w:val="left" w:pos="669"/>
              </w:tabs>
              <w:snapToGrid w:val="0"/>
              <w:rPr>
                <w:rFonts w:ascii="宋体" w:hAnsi="宋体"/>
              </w:rPr>
            </w:pPr>
            <w:r>
              <w:rPr>
                <w:rFonts w:hint="eastAsia" w:ascii="宋体" w:hAnsi="宋体"/>
              </w:rPr>
              <w:t>本项目工程</w:t>
            </w:r>
            <w:r>
              <w:rPr>
                <w:rFonts w:hint="eastAsia" w:ascii="宋体" w:hAnsi="宋体"/>
                <w:szCs w:val="21"/>
              </w:rPr>
              <w:t>质量保证</w:t>
            </w:r>
            <w:r>
              <w:rPr>
                <w:rFonts w:hint="eastAsia" w:ascii="宋体" w:hAnsi="宋体"/>
              </w:rPr>
              <w:t>期至少</w:t>
            </w:r>
            <w:r>
              <w:rPr>
                <w:rFonts w:hint="eastAsia" w:ascii="宋体" w:hAnsi="宋体"/>
                <w:color w:val="auto"/>
              </w:rPr>
              <w:t>为6</w:t>
            </w:r>
            <w:r>
              <w:rPr>
                <w:rFonts w:hint="eastAsia" w:ascii="宋体" w:hAnsi="宋体"/>
              </w:rPr>
              <w:t>个月，最终</w:t>
            </w:r>
            <w:r>
              <w:rPr>
                <w:rFonts w:hint="eastAsia" w:ascii="宋体" w:hAnsi="宋体"/>
                <w:szCs w:val="21"/>
              </w:rPr>
              <w:t>质量保证</w:t>
            </w:r>
            <w:r>
              <w:rPr>
                <w:rFonts w:hint="eastAsia" w:ascii="宋体" w:hAnsi="宋体"/>
              </w:rPr>
              <w:t>期以《质量保证承诺书》上的免费保修年限承诺为准。</w:t>
            </w:r>
          </w:p>
          <w:p>
            <w:pPr>
              <w:numPr>
                <w:ilvl w:val="0"/>
                <w:numId w:val="18"/>
              </w:numPr>
              <w:tabs>
                <w:tab w:val="left" w:pos="669"/>
              </w:tabs>
              <w:snapToGrid w:val="0"/>
              <w:rPr>
                <w:rFonts w:ascii="宋体" w:hAnsi="宋体"/>
              </w:rPr>
            </w:pPr>
            <w:r>
              <w:rPr>
                <w:rFonts w:hint="eastAsia" w:ascii="宋体" w:hAnsi="宋体"/>
              </w:rPr>
              <w:t>投标人须提供《质量保证承诺书》，包括但不限于质保期内出现质量问题的保修承诺，提交免费保修年限承诺及保修电话、联系人、责任人等。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不可偏离</w:t>
            </w:r>
          </w:p>
        </w:tc>
      </w:tr>
    </w:tbl>
    <w:p>
      <w:pPr>
        <w:numPr>
          <w:ilvl w:val="0"/>
          <w:numId w:val="1"/>
        </w:numPr>
        <w:spacing w:beforeLines="100" w:line="480" w:lineRule="auto"/>
        <w:jc w:val="left"/>
        <w:outlineLvl w:val="1"/>
        <w:rPr>
          <w:rFonts w:ascii="宋体" w:hAnsi="宋体"/>
          <w:b/>
          <w:szCs w:val="21"/>
        </w:rPr>
      </w:pPr>
      <w:bookmarkStart w:id="39" w:name="_Toc82684600"/>
      <w:bookmarkEnd w:id="39"/>
      <w:bookmarkStart w:id="40" w:name="_Toc82591996"/>
      <w:bookmarkEnd w:id="40"/>
      <w:bookmarkStart w:id="41" w:name="_Toc82685552"/>
      <w:bookmarkEnd w:id="41"/>
      <w:bookmarkStart w:id="42" w:name="_Toc82684715"/>
      <w:bookmarkEnd w:id="42"/>
      <w:bookmarkStart w:id="43" w:name="_Toc90837884"/>
      <w:r>
        <w:rPr>
          <w:rFonts w:hint="eastAsia" w:ascii="宋体" w:hAnsi="宋体"/>
          <w:b/>
          <w:szCs w:val="21"/>
        </w:rPr>
        <w:t>其他项目说明资料</w:t>
      </w:r>
      <w:bookmarkEnd w:id="43"/>
    </w:p>
    <w:p>
      <w:pPr>
        <w:pStyle w:val="17"/>
        <w:tabs>
          <w:tab w:val="left" w:pos="720"/>
          <w:tab w:val="left" w:pos="851"/>
        </w:tabs>
        <w:spacing w:line="360" w:lineRule="auto"/>
        <w:ind w:leftChars="-547" w:hanging="1148" w:hangingChars="547"/>
        <w:jc w:val="center"/>
        <w:rPr>
          <w:rFonts w:ascii="宋体" w:hAnsi="宋体"/>
          <w:b/>
          <w:sz w:val="28"/>
          <w:szCs w:val="28"/>
        </w:rPr>
      </w:pPr>
      <w:r>
        <w:rPr>
          <w:rFonts w:hint="eastAsia" w:ascii="宋体" w:hAnsi="宋体"/>
          <w:szCs w:val="21"/>
        </w:rPr>
        <w:t>无</w:t>
      </w:r>
      <w:r>
        <w:rPr>
          <w:rFonts w:hint="eastAsia" w:ascii="宋体" w:hAnsi="宋体"/>
          <w:b/>
          <w:sz w:val="28"/>
          <w:szCs w:val="28"/>
        </w:rPr>
        <w:br w:type="page"/>
      </w:r>
    </w:p>
    <w:p>
      <w:pPr>
        <w:pStyle w:val="17"/>
        <w:tabs>
          <w:tab w:val="left" w:pos="720"/>
          <w:tab w:val="left" w:pos="851"/>
        </w:tabs>
        <w:spacing w:line="360" w:lineRule="auto"/>
        <w:ind w:left="383" w:leftChars="-547" w:hanging="1532" w:hangingChars="547"/>
        <w:jc w:val="center"/>
        <w:rPr>
          <w:rFonts w:ascii="宋体" w:hAnsi="宋体"/>
          <w:b/>
          <w:sz w:val="28"/>
          <w:szCs w:val="28"/>
        </w:rPr>
      </w:pPr>
    </w:p>
    <w:p>
      <w:pPr>
        <w:spacing w:line="360" w:lineRule="auto"/>
        <w:jc w:val="center"/>
        <w:outlineLvl w:val="0"/>
        <w:rPr>
          <w:rFonts w:ascii="方正小标宋_GBK" w:hAnsi="方正小标宋_GBK" w:eastAsia="方正小标宋_GBK"/>
          <w:b/>
          <w:sz w:val="32"/>
          <w:szCs w:val="32"/>
        </w:rPr>
      </w:pPr>
      <w:bookmarkStart w:id="44" w:name="_Toc90837885"/>
      <w:r>
        <w:rPr>
          <w:rFonts w:hint="eastAsia" w:ascii="方正小标宋_GBK" w:hAnsi="方正小标宋_GBK" w:eastAsia="方正小标宋_GBK"/>
          <w:b/>
          <w:sz w:val="32"/>
          <w:szCs w:val="32"/>
        </w:rPr>
        <w:t>第二部分：开标评标流程</w:t>
      </w:r>
      <w:bookmarkEnd w:id="44"/>
    </w:p>
    <w:p>
      <w:pPr>
        <w:numPr>
          <w:ilvl w:val="0"/>
          <w:numId w:val="1"/>
        </w:numPr>
        <w:spacing w:line="360" w:lineRule="auto"/>
        <w:outlineLvl w:val="1"/>
        <w:rPr>
          <w:rFonts w:ascii="宋体" w:hAnsi="宋体"/>
          <w:b/>
          <w:szCs w:val="21"/>
        </w:rPr>
      </w:pPr>
      <w:bookmarkStart w:id="45" w:name="_Toc90837886"/>
      <w:r>
        <w:rPr>
          <w:rFonts w:hint="eastAsia" w:ascii="宋体" w:hAnsi="宋体"/>
          <w:b/>
          <w:szCs w:val="21"/>
        </w:rPr>
        <w:t>开标评标流程</w:t>
      </w:r>
      <w:bookmarkEnd w:id="45"/>
    </w:p>
    <w:p>
      <w:pPr>
        <w:pStyle w:val="17"/>
        <w:numPr>
          <w:ilvl w:val="0"/>
          <w:numId w:val="19"/>
        </w:numPr>
        <w:tabs>
          <w:tab w:val="left" w:pos="720"/>
          <w:tab w:val="left" w:pos="851"/>
        </w:tabs>
        <w:spacing w:line="360" w:lineRule="auto"/>
        <w:ind w:left="720" w:firstLine="430" w:firstLineChars="205"/>
        <w:rPr>
          <w:rFonts w:ascii="宋体" w:hAnsi="宋体" w:eastAsia="宋体"/>
          <w:szCs w:val="21"/>
        </w:rPr>
      </w:pPr>
      <w:bookmarkStart w:id="46" w:name="_Hlk90836320"/>
      <w:r>
        <w:rPr>
          <w:rFonts w:hint="eastAsia" w:ascii="宋体" w:hAnsi="宋体" w:eastAsia="宋体"/>
          <w:szCs w:val="21"/>
        </w:rPr>
        <w:t>投标人按要求准时进入视频会议室；</w:t>
      </w:r>
    </w:p>
    <w:p>
      <w:pPr>
        <w:pStyle w:val="17"/>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宣布开标开始，投标人按要求发送文件密码至招标联系人邮箱；</w:t>
      </w:r>
    </w:p>
    <w:p>
      <w:pPr>
        <w:pStyle w:val="17"/>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招标人解密投标文件。</w:t>
      </w:r>
    </w:p>
    <w:p>
      <w:pPr>
        <w:pStyle w:val="17"/>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现场公开唱标。</w:t>
      </w:r>
    </w:p>
    <w:p>
      <w:pPr>
        <w:pStyle w:val="17"/>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投标人确认唱标结果后，退出会议室。</w:t>
      </w:r>
    </w:p>
    <w:p>
      <w:pPr>
        <w:pStyle w:val="17"/>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宣布开标开始，宣读评标注意事项。</w:t>
      </w:r>
    </w:p>
    <w:p>
      <w:pPr>
        <w:pStyle w:val="17"/>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招标评标小组推选组长主持评标。</w:t>
      </w:r>
    </w:p>
    <w:p>
      <w:pPr>
        <w:pStyle w:val="17"/>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响应文件的完整性检验和投标人基本情况的符合性审查；</w:t>
      </w:r>
    </w:p>
    <w:p>
      <w:pPr>
        <w:pStyle w:val="17"/>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商务及技术需求响应性评定；</w:t>
      </w:r>
    </w:p>
    <w:p>
      <w:pPr>
        <w:pStyle w:val="17"/>
        <w:numPr>
          <w:ilvl w:val="0"/>
          <w:numId w:val="19"/>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评标小组成员采用有记名方式按综合评议指标评分；</w:t>
      </w:r>
    </w:p>
    <w:p>
      <w:pPr>
        <w:pStyle w:val="17"/>
        <w:numPr>
          <w:ilvl w:val="0"/>
          <w:numId w:val="19"/>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综合评分的计算和排序；</w:t>
      </w:r>
    </w:p>
    <w:p>
      <w:pPr>
        <w:pStyle w:val="17"/>
        <w:numPr>
          <w:ilvl w:val="0"/>
          <w:numId w:val="19"/>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本项目招标第一候选供应商、备选供应商的确定及报告的出具。</w:t>
      </w:r>
    </w:p>
    <w:p>
      <w:pPr>
        <w:widowControl/>
        <w:jc w:val="left"/>
        <w:rPr>
          <w:rFonts w:ascii="宋体" w:hAnsi="宋体"/>
          <w:szCs w:val="21"/>
        </w:rPr>
      </w:pPr>
      <w:r>
        <w:rPr>
          <w:rFonts w:ascii="宋体" w:hAnsi="宋体"/>
          <w:szCs w:val="21"/>
        </w:rPr>
        <w:br w:type="page"/>
      </w:r>
    </w:p>
    <w:p>
      <w:pPr>
        <w:tabs>
          <w:tab w:val="left" w:pos="720"/>
          <w:tab w:val="left" w:pos="851"/>
          <w:tab w:val="left" w:pos="993"/>
        </w:tabs>
        <w:spacing w:line="360" w:lineRule="auto"/>
        <w:rPr>
          <w:rFonts w:ascii="宋体" w:hAnsi="宋体"/>
          <w:szCs w:val="21"/>
        </w:rPr>
      </w:pPr>
    </w:p>
    <w:bookmarkEnd w:id="46"/>
    <w:p>
      <w:pPr>
        <w:spacing w:line="360" w:lineRule="auto"/>
        <w:jc w:val="center"/>
        <w:outlineLvl w:val="0"/>
        <w:rPr>
          <w:rFonts w:ascii="方正小标宋_GBK" w:hAnsi="方正小标宋_GBK" w:eastAsia="方正小标宋_GBK"/>
          <w:b/>
          <w:sz w:val="32"/>
          <w:szCs w:val="32"/>
        </w:rPr>
      </w:pPr>
      <w:bookmarkStart w:id="47" w:name="_Toc90837887"/>
      <w:r>
        <w:rPr>
          <w:rFonts w:hint="eastAsia" w:ascii="方正小标宋_GBK" w:hAnsi="方正小标宋_GBK" w:eastAsia="方正小标宋_GBK"/>
          <w:b/>
          <w:sz w:val="32"/>
          <w:szCs w:val="32"/>
        </w:rPr>
        <w:t>第三部分：评审办法</w:t>
      </w:r>
      <w:bookmarkEnd w:id="47"/>
    </w:p>
    <w:p>
      <w:pPr>
        <w:numPr>
          <w:ilvl w:val="0"/>
          <w:numId w:val="1"/>
        </w:numPr>
        <w:spacing w:line="360" w:lineRule="auto"/>
        <w:outlineLvl w:val="1"/>
        <w:rPr>
          <w:rFonts w:ascii="宋体" w:hAnsi="宋体"/>
          <w:szCs w:val="21"/>
        </w:rPr>
      </w:pPr>
      <w:bookmarkStart w:id="48" w:name="_Toc90837888"/>
      <w:r>
        <w:rPr>
          <w:rFonts w:hint="eastAsia" w:ascii="宋体" w:hAnsi="宋体"/>
          <w:b/>
          <w:bCs/>
          <w:szCs w:val="21"/>
        </w:rPr>
        <w:t>评审办法</w:t>
      </w:r>
      <w:bookmarkEnd w:id="48"/>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p>
      <w:pPr>
        <w:numPr>
          <w:ilvl w:val="0"/>
          <w:numId w:val="20"/>
        </w:numPr>
        <w:spacing w:line="360" w:lineRule="auto"/>
        <w:jc w:val="left"/>
        <w:outlineLvl w:val="2"/>
        <w:rPr>
          <w:rStyle w:val="24"/>
          <w:rFonts w:ascii="宋体" w:hAnsi="宋体"/>
          <w:b/>
          <w:szCs w:val="21"/>
        </w:rPr>
      </w:pPr>
      <w:bookmarkStart w:id="49" w:name="_Toc90837889"/>
      <w:r>
        <w:rPr>
          <w:rStyle w:val="24"/>
          <w:rFonts w:hint="eastAsia" w:ascii="宋体" w:hAnsi="宋体"/>
          <w:b/>
          <w:bCs/>
          <w:szCs w:val="21"/>
        </w:rPr>
        <w:t>符合性检查</w:t>
      </w:r>
      <w:bookmarkEnd w:id="49"/>
    </w:p>
    <w:tbl>
      <w:tblPr>
        <w:tblStyle w:val="11"/>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bCs/>
                <w:szCs w:val="21"/>
              </w:rPr>
              <w:t>投标人提交的响应文件是否按要求编制目录、加密；投标文件的密码在按要求发送至招标人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r>
              <w:rPr>
                <w:rFonts w:ascii="宋体" w:hAnsi="宋体" w:cs="仿宋"/>
                <w:szCs w:val="21"/>
              </w:rPr>
              <w:t xml:space="preserve"> </w:t>
            </w:r>
          </w:p>
          <w:p>
            <w:pPr>
              <w:numPr>
                <w:ilvl w:val="0"/>
                <w:numId w:val="21"/>
              </w:numPr>
              <w:tabs>
                <w:tab w:val="left" w:pos="531"/>
              </w:tabs>
              <w:snapToGrid w:val="0"/>
              <w:ind w:left="420" w:hanging="420"/>
              <w:rPr>
                <w:rFonts w:ascii="宋体" w:hAnsi="宋体"/>
                <w:szCs w:val="21"/>
              </w:rPr>
            </w:pPr>
            <w:r>
              <w:rPr>
                <w:rFonts w:hint="eastAsia" w:ascii="宋体" w:hAnsi="宋体"/>
                <w:szCs w:val="21"/>
              </w:rPr>
              <w:t>投标人必须是在中华人民共和国境内注册且合法运作的企业，在法律和财务上独立。（提供企业营业执照扫描件，并加盖投标人公章。）</w:t>
            </w:r>
          </w:p>
          <w:p>
            <w:pPr>
              <w:numPr>
                <w:ilvl w:val="0"/>
                <w:numId w:val="21"/>
              </w:numPr>
              <w:tabs>
                <w:tab w:val="left" w:pos="531"/>
              </w:tabs>
              <w:snapToGrid w:val="0"/>
              <w:ind w:left="420" w:hanging="420"/>
              <w:rPr>
                <w:rFonts w:ascii="宋体" w:hAnsi="宋体"/>
                <w:szCs w:val="21"/>
              </w:rPr>
            </w:pPr>
            <w:r>
              <w:rPr>
                <w:rFonts w:hint="eastAsia" w:ascii="宋体" w:hAnsi="宋体"/>
                <w:szCs w:val="21"/>
              </w:rPr>
              <w:t>投标人必须无未改正的经营异常信息、无严重违法失信记录。</w:t>
            </w:r>
            <w:r>
              <w:rPr>
                <w:rFonts w:ascii="宋体" w:hAnsi="宋体"/>
                <w:szCs w:val="21"/>
              </w:rPr>
              <w:t>(</w:t>
            </w:r>
            <w:r>
              <w:rPr>
                <w:rFonts w:hint="eastAsia" w:ascii="宋体" w:hAnsi="宋体"/>
                <w:szCs w:val="21"/>
              </w:rPr>
              <w:t>提供国家企业信用信息公示系统（www.gsxt.gov.cn)公示的企业基础信息、经营异常信息、严重违法失信记录等信息查询页面打印件，并加盖投标人公章。）</w:t>
            </w:r>
          </w:p>
          <w:p>
            <w:pPr>
              <w:numPr>
                <w:ilvl w:val="0"/>
                <w:numId w:val="21"/>
              </w:numPr>
              <w:tabs>
                <w:tab w:val="left" w:pos="531"/>
              </w:tabs>
              <w:snapToGrid w:val="0"/>
              <w:ind w:left="420" w:hanging="420"/>
              <w:rPr>
                <w:rFonts w:ascii="宋体" w:hAnsi="宋体" w:cs="宋体"/>
                <w:szCs w:val="21"/>
              </w:rPr>
            </w:pPr>
            <w:r>
              <w:rPr>
                <w:rFonts w:hint="eastAsia" w:ascii="宋体" w:hAnsi="宋体"/>
                <w:szCs w:val="21"/>
              </w:rPr>
              <w:t>投标人是否具有有效的承装（修、试）电力设施许可证资质。（提供相应证明文件复印件或扫描件并加盖投标人公章）</w:t>
            </w:r>
          </w:p>
          <w:p>
            <w:pPr>
              <w:numPr>
                <w:ilvl w:val="0"/>
                <w:numId w:val="21"/>
              </w:numPr>
              <w:tabs>
                <w:tab w:val="left" w:pos="531"/>
              </w:tabs>
              <w:snapToGrid w:val="0"/>
              <w:spacing w:line="360" w:lineRule="auto"/>
            </w:pPr>
            <w:r>
              <w:rPr>
                <w:rFonts w:hint="eastAsia"/>
              </w:rPr>
              <w:t>是否联合体投标，是否转包或非法分包。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szCs w:val="21"/>
              </w:rPr>
              <w:t>48.77</w:t>
            </w:r>
            <w:r>
              <w:rPr>
                <w:rFonts w:ascii="宋体" w:hAnsi="宋体" w:cs="仿宋"/>
                <w:szCs w:val="21"/>
              </w:rPr>
              <w:t>万元（含税）</w:t>
            </w:r>
            <w:r>
              <w:rPr>
                <w:rFonts w:hint="eastAsia" w:ascii="宋体" w:hAnsi="宋体" w:cs="仿宋"/>
                <w:szCs w:val="21"/>
              </w:rPr>
              <w:t>，超过上述控制金额的视为无效报价。</w:t>
            </w:r>
          </w:p>
        </w:tc>
      </w:tr>
    </w:tbl>
    <w:p>
      <w:pPr>
        <w:numPr>
          <w:ilvl w:val="0"/>
          <w:numId w:val="20"/>
        </w:numPr>
        <w:spacing w:beforeLines="300" w:line="360" w:lineRule="auto"/>
        <w:jc w:val="left"/>
        <w:outlineLvl w:val="2"/>
        <w:rPr>
          <w:rStyle w:val="24"/>
          <w:rFonts w:ascii="宋体" w:hAnsi="宋体"/>
          <w:b/>
          <w:bCs/>
          <w:szCs w:val="21"/>
        </w:rPr>
      </w:pPr>
      <w:bookmarkStart w:id="50" w:name="_Toc90837890"/>
      <w:r>
        <w:rPr>
          <w:rStyle w:val="24"/>
          <w:rFonts w:hint="eastAsia" w:ascii="宋体" w:hAnsi="宋体"/>
          <w:b/>
          <w:bCs/>
          <w:szCs w:val="21"/>
        </w:rPr>
        <w:t>综合评议指标表</w:t>
      </w:r>
      <w:bookmarkEnd w:id="50"/>
    </w:p>
    <w:tbl>
      <w:tblPr>
        <w:tblStyle w:val="11"/>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04"/>
        <w:gridCol w:w="1134"/>
        <w:gridCol w:w="709"/>
        <w:gridCol w:w="680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blCellSpacing w:w="0" w:type="dxa"/>
          <w:jc w:val="center"/>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tcBorders>
              <w:left w:val="dotted" w:color="auto" w:sz="4" w:space="0"/>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351" w:type="dxa"/>
            <w:gridSpan w:val="4"/>
            <w:shd w:val="clear" w:color="auto" w:fill="EEEEEE"/>
          </w:tcPr>
          <w:p>
            <w:pPr>
              <w:spacing w:line="360" w:lineRule="auto"/>
              <w:jc w:val="center"/>
              <w:rPr>
                <w:rFonts w:ascii="宋体" w:hAnsi="宋体"/>
                <w:b/>
                <w:szCs w:val="21"/>
              </w:rPr>
            </w:pPr>
            <w:r>
              <w:rPr>
                <w:rFonts w:hint="eastAsia" w:ascii="宋体" w:hAnsi="宋体"/>
                <w:b/>
                <w:szCs w:val="21"/>
              </w:rPr>
              <w:t>商务评议项（3</w:t>
            </w:r>
            <w:r>
              <w:rPr>
                <w:rFonts w:hint="eastAsia" w:ascii="宋体" w:hAnsi="宋体"/>
                <w:szCs w:val="21"/>
              </w:rPr>
              <w:t>0</w:t>
            </w:r>
            <w:r>
              <w:rPr>
                <w:rFonts w:hint="eastAsia"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17"/>
              <w:numPr>
                <w:ilvl w:val="0"/>
                <w:numId w:val="22"/>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宋体" w:hAnsi="宋体"/>
                <w:szCs w:val="21"/>
              </w:rPr>
            </w:pPr>
            <w:r>
              <w:rPr>
                <w:rFonts w:hint="eastAsia"/>
              </w:rPr>
              <w:t>企业资质</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12分</w:t>
            </w:r>
          </w:p>
        </w:tc>
        <w:tc>
          <w:tcPr>
            <w:tcW w:w="6804" w:type="dxa"/>
            <w:tcMar>
              <w:top w:w="15" w:type="dxa"/>
              <w:left w:w="15" w:type="dxa"/>
              <w:bottom w:w="15" w:type="dxa"/>
              <w:right w:w="15" w:type="dxa"/>
            </w:tcMar>
            <w:vAlign w:val="center"/>
          </w:tcPr>
          <w:p>
            <w:pPr>
              <w:tabs>
                <w:tab w:val="left" w:pos="531"/>
              </w:tabs>
              <w:snapToGrid w:val="0"/>
              <w:rPr>
                <w:rFonts w:ascii="宋体" w:hAnsi="宋体" w:cs="宋体"/>
                <w:szCs w:val="21"/>
              </w:rPr>
            </w:pPr>
            <w:r>
              <w:rPr>
                <w:rFonts w:hint="eastAsia" w:ascii="宋体" w:hAnsi="宋体" w:cs="宋体"/>
                <w:szCs w:val="21"/>
              </w:rPr>
              <w:t>根据投标人提供承装（修、试）电力设施许可证资质一级得12分，二级得10分，三级得8分，四级得6分，五级得4分。</w:t>
            </w:r>
          </w:p>
          <w:p>
            <w:pPr>
              <w:tabs>
                <w:tab w:val="left" w:pos="531"/>
              </w:tabs>
              <w:snapToGrid w:val="0"/>
              <w:rPr>
                <w:rFonts w:ascii="宋体" w:hAnsi="宋体" w:cs="宋体"/>
              </w:rPr>
            </w:pPr>
            <w:r>
              <w:rPr>
                <w:rFonts w:hint="eastAsia" w:ascii="宋体" w:hAnsi="宋体" w:cs="宋体"/>
                <w:szCs w:val="21"/>
              </w:rPr>
              <w:t>证明文件：投标人提供以上证书复印件或扫描件，加盖投标人公章。资料无法辨识或不在有效期内不得分。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17"/>
              <w:numPr>
                <w:ilvl w:val="0"/>
                <w:numId w:val="22"/>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同类业绩</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8分</w:t>
            </w:r>
          </w:p>
        </w:tc>
        <w:tc>
          <w:tcPr>
            <w:tcW w:w="6804" w:type="dxa"/>
            <w:tcMar>
              <w:top w:w="15" w:type="dxa"/>
              <w:left w:w="15" w:type="dxa"/>
              <w:bottom w:w="15" w:type="dxa"/>
              <w:right w:w="15" w:type="dxa"/>
            </w:tcMar>
            <w:vAlign w:val="center"/>
          </w:tcPr>
          <w:p>
            <w:pPr>
              <w:tabs>
                <w:tab w:val="left" w:pos="531"/>
              </w:tabs>
              <w:snapToGrid w:val="0"/>
              <w:rPr>
                <w:rFonts w:ascii="宋体" w:hAnsi="宋体" w:cs="宋体"/>
                <w:szCs w:val="21"/>
              </w:rPr>
            </w:pPr>
            <w:r>
              <w:rPr>
                <w:rFonts w:hint="eastAsia" w:ascii="宋体" w:hAnsi="宋体" w:cs="宋体"/>
                <w:szCs w:val="21"/>
              </w:rPr>
              <w:t>根据投标人2019年1月1日至本项目招标公告发布日（以合同签订时间为准）所承接的电力设备（设施）安装施工类相关施工项目业绩评议:</w:t>
            </w:r>
          </w:p>
          <w:p>
            <w:pPr>
              <w:tabs>
                <w:tab w:val="left" w:pos="531"/>
              </w:tabs>
              <w:snapToGrid w:val="0"/>
              <w:rPr>
                <w:rFonts w:ascii="宋体" w:hAnsi="宋体" w:cs="宋体"/>
                <w:szCs w:val="21"/>
              </w:rPr>
            </w:pPr>
            <w:r>
              <w:rPr>
                <w:rFonts w:hint="eastAsia" w:ascii="宋体" w:hAnsi="宋体" w:cs="宋体"/>
                <w:szCs w:val="21"/>
              </w:rPr>
              <w:t>（1）累计合同额总额≥200万元，得8分；</w:t>
            </w:r>
          </w:p>
          <w:p>
            <w:pPr>
              <w:tabs>
                <w:tab w:val="left" w:pos="531"/>
              </w:tabs>
              <w:snapToGrid w:val="0"/>
              <w:rPr>
                <w:rFonts w:ascii="宋体" w:hAnsi="宋体" w:cs="宋体"/>
                <w:szCs w:val="21"/>
              </w:rPr>
            </w:pPr>
            <w:r>
              <w:rPr>
                <w:rFonts w:hint="eastAsia" w:ascii="宋体" w:hAnsi="宋体" w:cs="宋体"/>
                <w:szCs w:val="21"/>
              </w:rPr>
              <w:t>（2）150万元≤累计合同额总额＜200万元，得5分；</w:t>
            </w:r>
          </w:p>
          <w:p>
            <w:pPr>
              <w:tabs>
                <w:tab w:val="left" w:pos="531"/>
              </w:tabs>
              <w:snapToGrid w:val="0"/>
              <w:rPr>
                <w:rFonts w:ascii="宋体" w:hAnsi="宋体" w:cs="宋体"/>
                <w:szCs w:val="21"/>
              </w:rPr>
            </w:pPr>
            <w:r>
              <w:rPr>
                <w:rFonts w:hint="eastAsia" w:ascii="宋体" w:hAnsi="宋体" w:cs="宋体"/>
                <w:szCs w:val="21"/>
              </w:rPr>
              <w:t>（3）100≤累计合同额总额＜150万元，得3分；</w:t>
            </w:r>
          </w:p>
          <w:p>
            <w:pPr>
              <w:tabs>
                <w:tab w:val="left" w:pos="531"/>
              </w:tabs>
              <w:snapToGrid w:val="0"/>
              <w:rPr>
                <w:rFonts w:ascii="宋体" w:hAnsi="宋体" w:cs="宋体"/>
                <w:szCs w:val="21"/>
              </w:rPr>
            </w:pPr>
            <w:r>
              <w:rPr>
                <w:rFonts w:hint="eastAsia" w:ascii="宋体" w:hAnsi="宋体" w:cs="宋体"/>
                <w:szCs w:val="21"/>
              </w:rPr>
              <w:t>（4）50≤累计合同额总额＜100万元，得2分；</w:t>
            </w:r>
          </w:p>
          <w:p>
            <w:pPr>
              <w:tabs>
                <w:tab w:val="left" w:pos="531"/>
              </w:tabs>
              <w:snapToGrid w:val="0"/>
              <w:rPr>
                <w:rFonts w:ascii="宋体" w:hAnsi="宋体" w:cs="宋体"/>
                <w:szCs w:val="21"/>
              </w:rPr>
            </w:pPr>
            <w:r>
              <w:rPr>
                <w:rFonts w:hint="eastAsia" w:ascii="宋体" w:hAnsi="宋体" w:cs="宋体"/>
                <w:szCs w:val="21"/>
              </w:rPr>
              <w:t>（5）累计合同额总额＜50万元，得1分；</w:t>
            </w:r>
          </w:p>
          <w:p>
            <w:pPr>
              <w:tabs>
                <w:tab w:val="left" w:pos="531"/>
              </w:tabs>
              <w:snapToGrid w:val="0"/>
              <w:rPr>
                <w:rFonts w:ascii="宋体" w:hAnsi="宋体" w:cs="宋体"/>
                <w:szCs w:val="21"/>
              </w:rPr>
            </w:pPr>
            <w:r>
              <w:rPr>
                <w:rFonts w:hint="eastAsia" w:ascii="宋体" w:hAnsi="宋体" w:cs="宋体"/>
                <w:szCs w:val="21"/>
              </w:rPr>
              <w:t>证明文件：</w:t>
            </w:r>
          </w:p>
          <w:p>
            <w:pPr>
              <w:tabs>
                <w:tab w:val="left" w:pos="531"/>
              </w:tabs>
              <w:snapToGrid w:val="0"/>
              <w:rPr>
                <w:rFonts w:ascii="宋体" w:hAnsi="宋体" w:cs="宋体"/>
                <w:szCs w:val="21"/>
              </w:rPr>
            </w:pPr>
            <w:r>
              <w:rPr>
                <w:rFonts w:hint="eastAsia" w:ascii="宋体" w:hAnsi="宋体" w:cs="宋体"/>
                <w:szCs w:val="21"/>
              </w:rPr>
              <w:t>1.投标人自行汇总并计算各项业绩总金额并提供包含但不仅限于能体现上述评审要素（如合同标的、签订时间、合同金额等）的合同关键页复印件并加盖投标人公章。</w:t>
            </w:r>
          </w:p>
          <w:p>
            <w:pPr>
              <w:tabs>
                <w:tab w:val="left" w:pos="531"/>
              </w:tabs>
              <w:snapToGrid w:val="0"/>
              <w:rPr>
                <w:rFonts w:ascii="宋体" w:hAnsi="宋体" w:cs="宋体"/>
                <w:szCs w:val="21"/>
              </w:rPr>
            </w:pPr>
            <w:r>
              <w:rPr>
                <w:rFonts w:hint="eastAsia" w:ascii="宋体" w:hAnsi="宋体" w:cs="宋体"/>
                <w:szCs w:val="21"/>
              </w:rPr>
              <w:t>2.未提供或提供证明资料不清晰、不完整的，不得分。</w:t>
            </w:r>
          </w:p>
          <w:p>
            <w:pPr>
              <w:tabs>
                <w:tab w:val="left" w:pos="531"/>
              </w:tabs>
              <w:snapToGrid w:val="0"/>
              <w:rPr>
                <w:rFonts w:ascii="宋体" w:hAnsi="宋体" w:cs="宋体"/>
                <w:szCs w:val="21"/>
              </w:rPr>
            </w:pPr>
            <w:r>
              <w:rPr>
                <w:rFonts w:hint="eastAsia" w:ascii="宋体" w:hAnsi="宋体" w:cs="宋体"/>
                <w:szCs w:val="21"/>
              </w:rPr>
              <w:t>3.同一个合同不重复计分。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17"/>
              <w:numPr>
                <w:ilvl w:val="0"/>
                <w:numId w:val="22"/>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拟派人员</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10</w:t>
            </w:r>
          </w:p>
        </w:tc>
        <w:tc>
          <w:tcPr>
            <w:tcW w:w="6804" w:type="dxa"/>
            <w:tcMar>
              <w:top w:w="15" w:type="dxa"/>
              <w:left w:w="15" w:type="dxa"/>
              <w:bottom w:w="15" w:type="dxa"/>
              <w:right w:w="15" w:type="dxa"/>
            </w:tcMar>
            <w:vAlign w:val="center"/>
          </w:tcPr>
          <w:p>
            <w:pPr>
              <w:tabs>
                <w:tab w:val="left" w:pos="531"/>
              </w:tabs>
              <w:snapToGrid w:val="0"/>
              <w:rPr>
                <w:rFonts w:ascii="宋体" w:hAnsi="宋体"/>
                <w:szCs w:val="21"/>
              </w:rPr>
            </w:pPr>
            <w:r>
              <w:rPr>
                <w:rFonts w:hint="eastAsia" w:ascii="宋体" w:hAnsi="宋体"/>
                <w:szCs w:val="21"/>
              </w:rPr>
              <w:t>1、投标人拟派人员具高压电工作业证并同时持有1个电工二级及以上等级证加2分，同时持有1个电工三级等级加1分，同时持有1个电工四级等级加0.5分，本项最高5分</w:t>
            </w:r>
            <w:r>
              <w:rPr>
                <w:rFonts w:hint="eastAsia" w:ascii="宋体" w:hAnsi="宋体"/>
                <w:color w:val="auto"/>
                <w:szCs w:val="21"/>
              </w:rPr>
              <w:t>。非同时具有不得分。</w:t>
            </w:r>
          </w:p>
          <w:p>
            <w:pPr>
              <w:tabs>
                <w:tab w:val="left" w:pos="531"/>
              </w:tabs>
              <w:snapToGrid w:val="0"/>
              <w:rPr>
                <w:rFonts w:ascii="宋体" w:hAnsi="宋体"/>
                <w:szCs w:val="21"/>
              </w:rPr>
            </w:pPr>
            <w:r>
              <w:rPr>
                <w:rFonts w:hint="eastAsia" w:ascii="宋体" w:hAnsi="宋体"/>
                <w:szCs w:val="21"/>
              </w:rPr>
              <w:t>2、项目负责人具备电气类高级工程师职称得5分，项目负责人具备电气类工程师职称得3分；或项目负责人具备一级建造师（机电专业）得5分，二级建造师（机电专业）得3分，项目负责人无相关职称不得分。同时持有上述2种证件时以得分高的证件计算得分，不重复计分。</w:t>
            </w:r>
          </w:p>
          <w:p>
            <w:pPr>
              <w:tabs>
                <w:tab w:val="left" w:pos="531"/>
              </w:tabs>
              <w:snapToGrid w:val="0"/>
              <w:rPr>
                <w:rFonts w:ascii="宋体" w:hAnsi="宋体"/>
                <w:szCs w:val="21"/>
              </w:rPr>
            </w:pPr>
            <w:r>
              <w:rPr>
                <w:rFonts w:hint="eastAsia" w:ascii="宋体" w:hAnsi="宋体"/>
                <w:szCs w:val="21"/>
              </w:rPr>
              <w:t>3、同一个人证件取最高等级得分。</w:t>
            </w:r>
          </w:p>
          <w:p>
            <w:pPr>
              <w:tabs>
                <w:tab w:val="left" w:pos="531"/>
              </w:tabs>
              <w:snapToGrid w:val="0"/>
              <w:rPr>
                <w:rFonts w:ascii="宋体" w:hAnsi="宋体"/>
                <w:szCs w:val="21"/>
              </w:rPr>
            </w:pPr>
            <w:r>
              <w:rPr>
                <w:rFonts w:hint="eastAsia" w:ascii="宋体" w:hAnsi="宋体"/>
                <w:szCs w:val="21"/>
              </w:rPr>
              <w:t>证明文件及要求：提供以上人员资格证书复印件或扫描件和近三个月(2021年12月至2022年2月)社保清单证明，如开标日上一个月的社保材料因社保部门原因暂时无法取得，则可以往前顺推一个月，社保证明须同时加盖投标人公章。（未按要求提供或提供不清晰导致无法判断的不得分，原件备查）</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tcPr>
          <w:p>
            <w:pPr>
              <w:spacing w:line="360" w:lineRule="auto"/>
              <w:jc w:val="center"/>
              <w:rPr>
                <w:rFonts w:ascii="宋体" w:hAnsi="宋体"/>
                <w:b/>
                <w:szCs w:val="21"/>
              </w:rPr>
            </w:pPr>
          </w:p>
        </w:tc>
        <w:tc>
          <w:tcPr>
            <w:tcW w:w="8647" w:type="dxa"/>
            <w:gridSpan w:val="3"/>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w:t>
            </w:r>
            <w:r>
              <w:rPr>
                <w:rFonts w:hint="eastAsia" w:ascii="宋体" w:hAnsi="宋体"/>
                <w:szCs w:val="21"/>
              </w:rPr>
              <w:t>30</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17"/>
              <w:numPr>
                <w:ilvl w:val="0"/>
                <w:numId w:val="2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技术服务方案</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18分</w:t>
            </w:r>
          </w:p>
        </w:tc>
        <w:tc>
          <w:tcPr>
            <w:tcW w:w="6804" w:type="dxa"/>
            <w:tcMar>
              <w:top w:w="15" w:type="dxa"/>
              <w:left w:w="15" w:type="dxa"/>
              <w:bottom w:w="15" w:type="dxa"/>
              <w:right w:w="15" w:type="dxa"/>
            </w:tcMar>
            <w:vAlign w:val="center"/>
          </w:tcPr>
          <w:p>
            <w:pPr>
              <w:tabs>
                <w:tab w:val="left" w:pos="531"/>
              </w:tabs>
              <w:snapToGrid w:val="0"/>
              <w:rPr>
                <w:rFonts w:ascii="宋体" w:hAnsi="宋体"/>
                <w:szCs w:val="21"/>
              </w:rPr>
            </w:pPr>
            <w:r>
              <w:rPr>
                <w:rFonts w:hint="eastAsia" w:ascii="宋体" w:hAnsi="宋体"/>
                <w:szCs w:val="21"/>
              </w:rPr>
              <w:t>根据各投标人提交的施工方案综合比较评分，包括但不仅限于：材料的技术性能、安装工艺控制措施、安装服务组织方案、现场管理、主要技术组织措施、安全防护措施、环境保护方案、应急预案等进行横向比较评分。</w:t>
            </w:r>
          </w:p>
          <w:p>
            <w:pPr>
              <w:tabs>
                <w:tab w:val="left" w:pos="531"/>
              </w:tabs>
              <w:snapToGrid w:val="0"/>
              <w:rPr>
                <w:rFonts w:ascii="宋体" w:hAnsi="宋体"/>
                <w:szCs w:val="21"/>
              </w:rPr>
            </w:pPr>
            <w:r>
              <w:rPr>
                <w:rFonts w:hint="eastAsia" w:ascii="宋体" w:hAnsi="宋体"/>
                <w:szCs w:val="21"/>
              </w:rPr>
              <w:t>评审标准：优秀得18分；良好得12分；一般得6分。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91" w:hRule="atLeast"/>
          <w:tblCellSpacing w:w="0" w:type="dxa"/>
          <w:jc w:val="center"/>
        </w:trPr>
        <w:tc>
          <w:tcPr>
            <w:tcW w:w="704" w:type="dxa"/>
            <w:vAlign w:val="center"/>
          </w:tcPr>
          <w:p>
            <w:pPr>
              <w:pStyle w:val="17"/>
              <w:numPr>
                <w:ilvl w:val="0"/>
                <w:numId w:val="2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服务承诺</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12分</w:t>
            </w:r>
          </w:p>
        </w:tc>
        <w:tc>
          <w:tcPr>
            <w:tcW w:w="6804" w:type="dxa"/>
            <w:tcMar>
              <w:top w:w="15" w:type="dxa"/>
              <w:left w:w="15" w:type="dxa"/>
              <w:bottom w:w="15" w:type="dxa"/>
              <w:right w:w="15" w:type="dxa"/>
            </w:tcMar>
            <w:vAlign w:val="center"/>
          </w:tcPr>
          <w:p>
            <w:pPr>
              <w:tabs>
                <w:tab w:val="left" w:pos="531"/>
              </w:tabs>
              <w:snapToGrid w:val="0"/>
              <w:rPr>
                <w:rFonts w:ascii="宋体" w:hAnsi="宋体" w:cs="宋体"/>
                <w:kern w:val="0"/>
                <w:szCs w:val="21"/>
              </w:rPr>
            </w:pPr>
            <w:r>
              <w:rPr>
                <w:rFonts w:hint="eastAsia" w:ascii="宋体" w:hAnsi="宋体" w:cs="宋体"/>
                <w:kern w:val="0"/>
                <w:szCs w:val="21"/>
              </w:rPr>
              <w:t>1.根据各投标人提供的质量保修期，质量保修期在满足6个月的基础上，每增加1个月加2分，最多得8分。</w:t>
            </w:r>
          </w:p>
          <w:p>
            <w:pPr>
              <w:tabs>
                <w:tab w:val="left" w:pos="531"/>
              </w:tabs>
              <w:snapToGrid w:val="0"/>
              <w:rPr>
                <w:rFonts w:ascii="宋体" w:hAnsi="宋体" w:cs="宋体"/>
                <w:kern w:val="0"/>
                <w:szCs w:val="21"/>
              </w:rPr>
            </w:pPr>
            <w:r>
              <w:rPr>
                <w:rFonts w:hint="eastAsia" w:ascii="宋体" w:hAnsi="宋体" w:cs="宋体"/>
                <w:kern w:val="0"/>
                <w:szCs w:val="21"/>
              </w:rPr>
              <w:t>2.根据各投标人提供的质量保修服务方案进行综合比较，优得4分；良得2分；一般得1分。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40" w:hRule="atLeast"/>
          <w:tblCellSpacing w:w="0" w:type="dxa"/>
          <w:jc w:val="center"/>
        </w:trPr>
        <w:tc>
          <w:tcPr>
            <w:tcW w:w="9351" w:type="dxa"/>
            <w:gridSpan w:val="4"/>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w:t>
            </w:r>
            <w:r>
              <w:rPr>
                <w:rFonts w:hint="eastAsia" w:ascii="宋体" w:hAnsi="宋体"/>
                <w:szCs w:val="21"/>
              </w:rPr>
              <w:t>40</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restart"/>
            <w:vAlign w:val="center"/>
          </w:tcPr>
          <w:p>
            <w:pPr>
              <w:spacing w:line="360" w:lineRule="auto"/>
              <w:jc w:val="center"/>
              <w:rPr>
                <w:rFonts w:ascii="宋体" w:hAnsi="宋体"/>
                <w:szCs w:val="21"/>
              </w:rPr>
            </w:pPr>
            <w:r>
              <w:rPr>
                <w:rFonts w:hint="eastAsia" w:ascii="宋体" w:hAnsi="宋体"/>
                <w:szCs w:val="21"/>
              </w:rPr>
              <w:t>1</w:t>
            </w:r>
          </w:p>
        </w:tc>
        <w:tc>
          <w:tcPr>
            <w:tcW w:w="1134" w:type="dxa"/>
            <w:vMerge w:val="restart"/>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价格评议</w:t>
            </w:r>
          </w:p>
        </w:tc>
        <w:tc>
          <w:tcPr>
            <w:tcW w:w="709" w:type="dxa"/>
            <w:vMerge w:val="restart"/>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40</w:t>
            </w:r>
          </w:p>
        </w:tc>
        <w:tc>
          <w:tcPr>
            <w:tcW w:w="6804" w:type="dxa"/>
            <w:tcMar>
              <w:top w:w="15" w:type="dxa"/>
              <w:left w:w="15" w:type="dxa"/>
              <w:bottom w:w="15" w:type="dxa"/>
              <w:right w:w="15" w:type="dxa"/>
            </w:tcMar>
            <w:vAlign w:val="center"/>
          </w:tcPr>
          <w:p>
            <w:pPr>
              <w:spacing w:line="240" w:lineRule="atLeast"/>
              <w:jc w:val="left"/>
              <w:rPr>
                <w:rFonts w:ascii="宋体" w:hAnsi="宋体"/>
                <w:szCs w:val="21"/>
              </w:rPr>
            </w:pPr>
            <w:r>
              <w:rPr>
                <w:rFonts w:hint="eastAsia"/>
                <w:szCs w:val="21"/>
              </w:rPr>
              <w:t>评标基准价：</w:t>
            </w:r>
            <w:r>
              <w:rPr>
                <w:rFonts w:hint="eastAsia" w:ascii="宋体" w:hAnsi="宋体"/>
                <w:szCs w:val="21"/>
              </w:rPr>
              <w:t>当满足招标文件要求的投标人数量为3家及以上时，以所有满足招标文件要求投标人报价的算术平均值作为基准价。</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tcPr>
          <w:p>
            <w:pPr>
              <w:spacing w:line="360" w:lineRule="auto"/>
              <w:jc w:val="center"/>
              <w:rPr>
                <w:rFonts w:ascii="宋体" w:hAnsi="宋体"/>
                <w:szCs w:val="21"/>
              </w:rPr>
            </w:pPr>
          </w:p>
        </w:tc>
        <w:tc>
          <w:tcPr>
            <w:tcW w:w="709" w:type="dxa"/>
            <w:vMerge w:val="continue"/>
          </w:tcPr>
          <w:p>
            <w:pPr>
              <w:spacing w:line="360" w:lineRule="auto"/>
              <w:jc w:val="center"/>
              <w:rPr>
                <w:rFonts w:ascii="宋体" w:hAnsi="宋体"/>
                <w:szCs w:val="21"/>
              </w:rPr>
            </w:pPr>
          </w:p>
        </w:tc>
        <w:tc>
          <w:tcPr>
            <w:tcW w:w="6804" w:type="dxa"/>
            <w:vAlign w:val="center"/>
          </w:tcPr>
          <w:p>
            <w:pPr>
              <w:numPr>
                <w:ilvl w:val="255"/>
                <w:numId w:val="0"/>
              </w:numPr>
              <w:snapToGrid w:val="0"/>
              <w:jc w:val="left"/>
              <w:rPr>
                <w:rFonts w:ascii="宋体" w:hAnsi="宋体" w:cs="宋体"/>
                <w:kern w:val="0"/>
                <w:szCs w:val="21"/>
              </w:rPr>
            </w:pPr>
            <w:r>
              <w:rPr>
                <w:rFonts w:hint="eastAsia" w:ascii="宋体" w:hAnsi="宋体" w:cs="宋体"/>
                <w:kern w:val="0"/>
                <w:szCs w:val="21"/>
              </w:rPr>
              <w:t>价格分计算公式：</w:t>
            </w:r>
          </w:p>
          <w:p>
            <w:pPr>
              <w:spacing w:line="240" w:lineRule="atLeast"/>
              <w:jc w:val="center"/>
              <w:rPr>
                <w:rFonts w:ascii="宋体" w:hAnsi="宋体"/>
                <w:szCs w:val="21"/>
              </w:rPr>
            </w:pPr>
            <w:r>
              <w:rPr>
                <w:rFonts w:hint="eastAsia" w:ascii="宋体" w:hAnsi="宋体"/>
                <w:szCs w:val="21"/>
              </w:rPr>
              <w:t>价格得分=（1-︱投标报价-基准价︱÷基准价）×价格权重分</w:t>
            </w:r>
          </w:p>
          <w:p>
            <w:pPr>
              <w:spacing w:line="240" w:lineRule="atLeast"/>
              <w:jc w:val="left"/>
              <w:rPr>
                <w:rFonts w:ascii="宋体" w:hAnsi="宋体"/>
                <w:szCs w:val="21"/>
              </w:rPr>
            </w:pPr>
            <w:r>
              <w:rPr>
                <w:rFonts w:hint="eastAsia" w:ascii="宋体" w:cs="宋体"/>
                <w:kern w:val="0"/>
                <w:szCs w:val="21"/>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算术错误将按以下方法更正（次序排先者优先）：</w:t>
      </w:r>
    </w:p>
    <w:p>
      <w:pPr>
        <w:spacing w:line="360" w:lineRule="auto"/>
        <w:ind w:left="-4" w:leftChars="-2" w:firstLine="497" w:firstLineChars="237"/>
        <w:rPr>
          <w:rFonts w:ascii="宋体" w:hAnsi="宋体"/>
          <w:szCs w:val="21"/>
        </w:rPr>
      </w:pPr>
      <w:r>
        <w:rPr>
          <w:rFonts w:hint="eastAsia" w:ascii="宋体" w:hAnsi="宋体"/>
          <w:szCs w:val="21"/>
        </w:rPr>
        <w:t>1、若分项报价与总价不一致，以总价为准。</w:t>
      </w:r>
    </w:p>
    <w:p>
      <w:pPr>
        <w:spacing w:line="360" w:lineRule="auto"/>
        <w:ind w:left="-4" w:leftChars="-2" w:firstLine="497" w:firstLineChars="237"/>
        <w:rPr>
          <w:rFonts w:ascii="宋体" w:hAnsi="宋体"/>
          <w:szCs w:val="21"/>
        </w:rPr>
      </w:pPr>
      <w:r>
        <w:rPr>
          <w:rFonts w:hint="eastAsia" w:ascii="宋体" w:hAnsi="宋体"/>
          <w:szCs w:val="21"/>
        </w:rPr>
        <w:t>2、若用文字表示的数值与用数字表示的数值不一致，以文字表示的数值为准。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方正小标宋_GBK" w:hAnsi="方正小标宋_GBK" w:eastAsia="方正小标宋_GBK"/>
          <w:b/>
          <w:sz w:val="32"/>
          <w:szCs w:val="32"/>
        </w:rPr>
      </w:pPr>
      <w:bookmarkStart w:id="51" w:name="_Toc90837891"/>
      <w:r>
        <w:rPr>
          <w:rFonts w:hint="eastAsia" w:ascii="方正小标宋_GBK" w:hAnsi="方正小标宋_GBK" w:eastAsia="方正小标宋_GBK"/>
          <w:b/>
          <w:sz w:val="32"/>
          <w:szCs w:val="32"/>
        </w:rPr>
        <w:t>第四部分：合同条款及格式</w:t>
      </w:r>
      <w:bookmarkEnd w:id="51"/>
    </w:p>
    <w:p>
      <w:pPr>
        <w:jc w:val="center"/>
        <w:rPr>
          <w:rFonts w:ascii="方正小标宋简体" w:hAnsi="方正小标宋简体" w:eastAsia="方正小标宋简体" w:cs="方正小标宋简体"/>
          <w:bCs/>
          <w:kern w:val="0"/>
          <w:sz w:val="28"/>
          <w:szCs w:val="28"/>
        </w:rPr>
      </w:pPr>
    </w:p>
    <w:p>
      <w:pPr>
        <w:spacing w:afterLines="40"/>
        <w:ind w:firstLine="105"/>
        <w:jc w:val="center"/>
        <w:rPr>
          <w:rFonts w:ascii="宋体" w:hAnsi="宋体" w:cs="宋体"/>
          <w:b/>
          <w:szCs w:val="21"/>
        </w:rPr>
      </w:pPr>
      <w:r>
        <w:rPr>
          <w:rFonts w:hint="eastAsia" w:ascii="宋体" w:hAnsi="宋体" w:cs="宋体"/>
          <w:b/>
          <w:szCs w:val="21"/>
        </w:rPr>
        <w:t>深圳会展中心中压开关柜环网柜检修和耐压测试项目合同</w:t>
      </w:r>
    </w:p>
    <w:p>
      <w:pPr>
        <w:spacing w:afterLines="40"/>
        <w:ind w:firstLine="105"/>
        <w:jc w:val="center"/>
        <w:rPr>
          <w:rFonts w:ascii="宋体" w:hAnsi="宋体" w:cs="宋体"/>
          <w:b/>
          <w:szCs w:val="21"/>
        </w:rPr>
      </w:pPr>
      <w:r>
        <w:rPr>
          <w:rFonts w:hint="eastAsia" w:ascii="宋体" w:hAnsi="宋体" w:cs="宋体"/>
          <w:b/>
          <w:szCs w:val="21"/>
        </w:rPr>
        <w:t>（</w:t>
      </w:r>
      <w:r>
        <w:rPr>
          <w:rFonts w:hint="eastAsia" w:ascii="方正小标宋简体" w:hAnsi="方正小标宋简体" w:eastAsia="方正小标宋简体" w:cs="方正小标宋简体"/>
          <w:bCs/>
          <w:kern w:val="0"/>
          <w:sz w:val="28"/>
          <w:szCs w:val="28"/>
        </w:rPr>
        <w:t>仅供参考</w:t>
      </w:r>
      <w:r>
        <w:rPr>
          <w:rFonts w:hint="eastAsia" w:ascii="宋体" w:hAnsi="宋体" w:cs="宋体"/>
          <w:b/>
          <w:szCs w:val="21"/>
        </w:rPr>
        <w:t>）</w:t>
      </w:r>
    </w:p>
    <w:p>
      <w:pPr>
        <w:spacing w:afterLines="40"/>
        <w:ind w:firstLine="105"/>
        <w:rPr>
          <w:rFonts w:ascii="宋体" w:hAnsi="宋体" w:cs="宋体"/>
          <w:szCs w:val="21"/>
        </w:rPr>
      </w:pPr>
    </w:p>
    <w:tbl>
      <w:tblPr>
        <w:tblStyle w:val="11"/>
        <w:tblW w:w="0" w:type="auto"/>
        <w:jc w:val="center"/>
        <w:tblLayout w:type="autofit"/>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rPr>
          <w:jc w:val="center"/>
        </w:trPr>
        <w:tc>
          <w:tcPr>
            <w:tcW w:w="4148" w:type="dxa"/>
            <w:vAlign w:val="center"/>
          </w:tcPr>
          <w:p>
            <w:pPr>
              <w:rPr>
                <w:rFonts w:ascii="宋体" w:hAnsi="宋体" w:cs="宋体"/>
                <w:szCs w:val="21"/>
              </w:rPr>
            </w:pPr>
            <w:r>
              <w:rPr>
                <w:rFonts w:hint="eastAsia" w:ascii="宋体" w:hAnsi="宋体" w:cs="宋体"/>
                <w:szCs w:val="21"/>
              </w:rPr>
              <w:t>甲方：深圳会展中心管理有限责任公司</w:t>
            </w:r>
          </w:p>
          <w:p>
            <w:pPr>
              <w:rPr>
                <w:rFonts w:ascii="宋体" w:hAnsi="宋体" w:cs="宋体"/>
                <w:szCs w:val="21"/>
                <w:u w:val="single"/>
              </w:rPr>
            </w:pPr>
            <w:r>
              <w:rPr>
                <w:rFonts w:hint="eastAsia" w:ascii="宋体" w:hAnsi="宋体" w:cs="宋体"/>
                <w:szCs w:val="21"/>
              </w:rPr>
              <w:t>法人代表：</w:t>
            </w:r>
            <w:r>
              <w:rPr>
                <w:rFonts w:hint="eastAsia" w:ascii="宋体" w:hAnsi="宋体" w:cs="宋体"/>
                <w:szCs w:val="21"/>
                <w:u w:val="single"/>
              </w:rPr>
              <w:t xml:space="preserve">        </w:t>
            </w:r>
          </w:p>
          <w:p>
            <w:pPr>
              <w:rPr>
                <w:rFonts w:ascii="宋体" w:hAnsi="宋体" w:cs="宋体"/>
                <w:szCs w:val="21"/>
                <w:u w:val="single"/>
              </w:rPr>
            </w:pPr>
            <w:r>
              <w:rPr>
                <w:rFonts w:hint="eastAsia" w:ascii="宋体" w:hAnsi="宋体" w:cs="宋体"/>
                <w:szCs w:val="21"/>
                <w:u w:val="single"/>
              </w:rPr>
              <w:t>联系地址：福田区福华三路111号</w:t>
            </w:r>
          </w:p>
          <w:p>
            <w:pPr>
              <w:rPr>
                <w:rFonts w:ascii="宋体" w:hAnsi="宋体" w:cs="宋体"/>
                <w:szCs w:val="21"/>
              </w:rPr>
            </w:pPr>
            <w:r>
              <w:rPr>
                <w:rFonts w:hint="eastAsia" w:ascii="宋体" w:hAnsi="宋体" w:cs="宋体"/>
                <w:szCs w:val="21"/>
              </w:rPr>
              <w:t>联 系 人：</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tc>
        <w:tc>
          <w:tcPr>
            <w:tcW w:w="4148" w:type="dxa"/>
            <w:vAlign w:val="center"/>
          </w:tcPr>
          <w:p>
            <w:pPr>
              <w:spacing w:line="400" w:lineRule="exact"/>
              <w:rPr>
                <w:rFonts w:ascii="宋体" w:hAnsi="宋体" w:cs="宋体"/>
                <w:szCs w:val="21"/>
              </w:rPr>
            </w:pPr>
            <w:r>
              <w:rPr>
                <w:rFonts w:hint="eastAsia" w:ascii="宋体" w:hAnsi="宋体" w:cs="宋体"/>
                <w:szCs w:val="21"/>
              </w:rPr>
              <w:t>乙    方：</w:t>
            </w:r>
            <w:r>
              <w:rPr>
                <w:rFonts w:hint="eastAsia" w:ascii="宋体" w:hAnsi="宋体" w:cs="宋体"/>
                <w:szCs w:val="21"/>
                <w:u w:val="single"/>
              </w:rPr>
              <w:t xml:space="preserve"> </w:t>
            </w:r>
          </w:p>
          <w:p>
            <w:pPr>
              <w:rPr>
                <w:rFonts w:ascii="宋体" w:hAnsi="宋体" w:cs="宋体"/>
                <w:szCs w:val="21"/>
                <w:u w:val="single"/>
              </w:rPr>
            </w:pPr>
            <w:r>
              <w:rPr>
                <w:rFonts w:hint="eastAsia" w:ascii="宋体" w:hAnsi="宋体" w:cs="宋体"/>
                <w:szCs w:val="21"/>
              </w:rPr>
              <w:t>法人代表：</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联系地址：</w:t>
            </w:r>
          </w:p>
          <w:p>
            <w:pPr>
              <w:rPr>
                <w:rFonts w:ascii="宋体" w:hAnsi="宋体" w:cs="宋体"/>
                <w:szCs w:val="21"/>
              </w:rPr>
            </w:pPr>
            <w:r>
              <w:rPr>
                <w:rFonts w:hint="eastAsia" w:ascii="宋体" w:hAnsi="宋体" w:cs="宋体"/>
                <w:szCs w:val="21"/>
              </w:rPr>
              <w:t>联 系 人：</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p>
        </w:tc>
      </w:tr>
    </w:tbl>
    <w:p>
      <w:pPr>
        <w:spacing w:afterLines="40"/>
        <w:ind w:firstLine="105"/>
        <w:rPr>
          <w:rFonts w:ascii="宋体" w:hAnsi="宋体" w:cs="宋体"/>
          <w:szCs w:val="21"/>
        </w:rPr>
      </w:pPr>
    </w:p>
    <w:p>
      <w:pPr>
        <w:spacing w:afterLines="40"/>
        <w:ind w:firstLine="105"/>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中华人民共和国民法典》及其它有关法律、法规、标准规范和招标文件要求，甲、乙双方本着平等、自愿、公平和诚实信用原则，就甲方委托乙方深圳会展中心高压电缆线耐压和绝缘测试项目有关事宜，经协商达成一致，签订本合同。</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第1条  项目概况</w:t>
      </w:r>
    </w:p>
    <w:p>
      <w:pPr>
        <w:adjustRightInd w:val="0"/>
        <w:snapToGrid w:val="0"/>
        <w:spacing w:line="360" w:lineRule="auto"/>
        <w:ind w:left="991" w:leftChars="271" w:hanging="422" w:hangingChars="201"/>
        <w:rPr>
          <w:rFonts w:ascii="宋体" w:hAnsi="宋体" w:cs="宋体"/>
          <w:szCs w:val="21"/>
        </w:rPr>
      </w:pPr>
      <w:r>
        <w:rPr>
          <w:rFonts w:hint="eastAsia" w:ascii="宋体" w:hAnsi="宋体" w:cs="宋体"/>
          <w:szCs w:val="21"/>
        </w:rPr>
        <w:t xml:space="preserve">1.1 项目名称：深圳会展中心中压开关柜环网柜检修和耐压测试项目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 项目地点：</w:t>
      </w:r>
      <w:r>
        <w:rPr>
          <w:rFonts w:hint="eastAsia" w:ascii="宋体" w:hAnsi="宋体" w:cs="宋体"/>
          <w:szCs w:val="21"/>
          <w:u w:val="single"/>
        </w:rPr>
        <w:t xml:space="preserve">深圳会展中心（深圳市福田区）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1.3 项目内容：根据电力设备预防性试验规程的相关要求，对会展中心80面高压柜、17面环网柜、54台微机保护装置进行试验，工程量详见附件。</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1.4 工期：自合同签订起   个日历日。</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1.5 工程质量验收标准</w:t>
      </w:r>
      <w:r>
        <w:rPr>
          <w:rFonts w:hint="eastAsia" w:ascii="宋体" w:hAnsi="宋体" w:cs="宋体"/>
          <w:szCs w:val="21"/>
          <w:u w:val="single"/>
        </w:rPr>
        <w:t xml:space="preserve">：合格  </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1.6 合同价款（人民币大写） </w:t>
      </w:r>
      <w:r>
        <w:rPr>
          <w:rFonts w:hint="eastAsia" w:ascii="宋体" w:hAnsi="宋体" w:cs="宋体"/>
          <w:szCs w:val="21"/>
          <w:u w:val="single"/>
        </w:rPr>
        <w:t xml:space="preserve">       整</w:t>
      </w:r>
      <w:r>
        <w:rPr>
          <w:rFonts w:hint="eastAsia" w:ascii="宋体" w:hAnsi="宋体" w:cs="宋体"/>
          <w:szCs w:val="21"/>
        </w:rPr>
        <w:t>（人民币小写）：¥</w:t>
      </w:r>
      <w:r>
        <w:rPr>
          <w:rFonts w:hint="eastAsia" w:ascii="宋体" w:hAnsi="宋体" w:cs="宋体"/>
          <w:szCs w:val="21"/>
          <w:u w:val="single"/>
        </w:rPr>
        <w:t xml:space="preserve">      </w:t>
      </w:r>
      <w:r>
        <w:rPr>
          <w:rFonts w:hint="eastAsia" w:ascii="宋体" w:hAnsi="宋体" w:cs="宋体"/>
          <w:szCs w:val="21"/>
        </w:rPr>
        <w:t>（含一切费用及税费）。</w:t>
      </w:r>
    </w:p>
    <w:p>
      <w:pPr>
        <w:adjustRightInd w:val="0"/>
        <w:snapToGrid w:val="0"/>
        <w:spacing w:line="360" w:lineRule="auto"/>
        <w:ind w:firstLine="105"/>
        <w:jc w:val="center"/>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第2条  双方工作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  甲方工作</w:t>
      </w:r>
    </w:p>
    <w:p>
      <w:pPr>
        <w:spacing w:line="360" w:lineRule="auto"/>
        <w:ind w:right="-197" w:rightChars="-94" w:firstLine="420" w:firstLineChars="200"/>
        <w:rPr>
          <w:rFonts w:ascii="宋体" w:hAnsi="宋体" w:cs="宋体"/>
          <w:szCs w:val="21"/>
        </w:rPr>
      </w:pPr>
      <w:r>
        <w:rPr>
          <w:rFonts w:hint="eastAsia" w:ascii="宋体" w:hAnsi="宋体" w:cs="宋体"/>
          <w:szCs w:val="21"/>
        </w:rPr>
        <w:t>2.1.1 协助乙方办理</w:t>
      </w:r>
      <w:bookmarkStart w:id="52" w:name="_Hlk60728821"/>
      <w:r>
        <w:rPr>
          <w:rFonts w:hint="eastAsia" w:ascii="宋体" w:hAnsi="宋体" w:cs="宋体"/>
          <w:szCs w:val="21"/>
        </w:rPr>
        <w:t>检修</w:t>
      </w:r>
      <w:bookmarkEnd w:id="52"/>
      <w:r>
        <w:rPr>
          <w:rFonts w:hint="eastAsia" w:ascii="宋体" w:hAnsi="宋体" w:cs="宋体"/>
          <w:szCs w:val="21"/>
        </w:rPr>
        <w:t>所涉及的各种申请、批件等手续，协助乙方接驳检修所需的水、电，协调做好通道、电梯、消防设备的使用和保护。</w:t>
      </w:r>
    </w:p>
    <w:p>
      <w:pPr>
        <w:spacing w:line="360" w:lineRule="auto"/>
        <w:ind w:firstLine="420" w:firstLineChars="200"/>
        <w:rPr>
          <w:rFonts w:ascii="宋体" w:hAnsi="宋体" w:cs="宋体"/>
          <w:szCs w:val="21"/>
        </w:rPr>
      </w:pPr>
      <w:r>
        <w:rPr>
          <w:rFonts w:hint="eastAsia" w:ascii="宋体" w:hAnsi="宋体" w:cs="宋体"/>
          <w:szCs w:val="21"/>
        </w:rPr>
        <w:t>2.1.2 协助乙方熟悉检修所涉及的电气电路，配合乙方完成检修需要的停电和通电操作。</w:t>
      </w:r>
    </w:p>
    <w:p>
      <w:pPr>
        <w:spacing w:line="360" w:lineRule="auto"/>
        <w:ind w:firstLine="420" w:firstLineChars="200"/>
        <w:rPr>
          <w:rFonts w:ascii="宋体" w:hAnsi="宋体" w:cs="宋体"/>
          <w:szCs w:val="21"/>
        </w:rPr>
      </w:pPr>
      <w:r>
        <w:rPr>
          <w:rFonts w:hint="eastAsia" w:ascii="宋体" w:hAnsi="宋体" w:cs="宋体"/>
          <w:szCs w:val="21"/>
        </w:rPr>
        <w:t>2.1.3 指派</w:t>
      </w:r>
      <w:r>
        <w:rPr>
          <w:rFonts w:hint="eastAsia" w:ascii="宋体" w:hAnsi="宋体" w:cs="宋体"/>
          <w:szCs w:val="21"/>
          <w:u w:val="single"/>
        </w:rPr>
        <w:t xml:space="preserve"> 周芝俊 </w:t>
      </w:r>
      <w:r>
        <w:rPr>
          <w:rFonts w:hint="eastAsia" w:ascii="宋体" w:hAnsi="宋体" w:cs="宋体"/>
          <w:szCs w:val="21"/>
        </w:rPr>
        <w:t>为甲方代表，负责对项目质量、进度进行监督检查，办理验收、变更、登记手续和其他事宜。</w:t>
      </w:r>
    </w:p>
    <w:p>
      <w:pPr>
        <w:spacing w:line="360" w:lineRule="auto"/>
        <w:ind w:firstLine="105"/>
        <w:rPr>
          <w:rFonts w:ascii="宋体" w:hAnsi="宋体" w:cs="宋体"/>
          <w:szCs w:val="21"/>
        </w:rPr>
      </w:pPr>
      <w:r>
        <w:rPr>
          <w:rFonts w:hint="eastAsia" w:ascii="宋体" w:hAnsi="宋体" w:cs="宋体"/>
          <w:szCs w:val="21"/>
        </w:rPr>
        <w:t xml:space="preserve">   2.1.4 监督检修质量及进度计划执行情况。</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  乙方工作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2.2.1 收到中标通知书后，立即拟定检修方案和进度计划，交甲方审定，并着手开展检修准备工作。</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2.2.2 严格执行检修规范、室内环境污染控制规范、安全操作规程、防火安全规定、环境保护规定。严格按照图纸或作法说明进行检修，做好各项质量检查记录。</w:t>
      </w:r>
      <w:r>
        <w:rPr>
          <w:rFonts w:hint="eastAsia" w:ascii="宋体" w:hAnsi="宋体"/>
          <w:szCs w:val="21"/>
        </w:rPr>
        <w:t>乙方承诺具备真实合法有效的电气设备试验相关资质，按照国家和政府关于安全施工的有关规定以及国家的相关技术标准，进行标的物试验，并采取严格、科学的安全防护措施，确保试验安全和第三者的安全，自行承担由于自身安全措施防护不当造成事故的全部责任及损失赔偿，与甲方无关。乙方开始试验前应自行检查确认试验环境安全，安全防护措施到位。</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2.2.3 指派</w:t>
      </w:r>
      <w:r>
        <w:rPr>
          <w:rFonts w:hint="eastAsia" w:ascii="宋体" w:hAnsi="宋体" w:cs="宋体"/>
          <w:szCs w:val="21"/>
          <w:u w:val="single"/>
        </w:rPr>
        <w:t xml:space="preserve">       （联系方式：      ）</w:t>
      </w:r>
      <w:r>
        <w:rPr>
          <w:rFonts w:hint="eastAsia" w:ascii="宋体" w:hAnsi="宋体" w:cs="宋体"/>
          <w:szCs w:val="21"/>
        </w:rPr>
        <w:t xml:space="preserve">为乙方代表，负责履行合同，组织检修，按期保质保量完成任务，解决由乙方负责的各项事宜。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2.2.4 乙方有义务按甲方的要求办理相关的进场手续，遵守甲方相关管理规定，保证检测安全。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2.2.5 乙方有义务事先告知甲方未知的在本项目设计或甲方指令中存在的问题或缺陷，避免造成项目损失。</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2.2.6 检修中涉及需要拆改原建筑物结构或设备管线的，乙方应当向甲方提出意见。甲方未办理相关审批手续或未经甲方代表书面同意，乙方不得拆改原建筑物结构或设备管线，否则，由此造成的事故或发生的损失（包括罚款），由乙方负责并承担。</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2.2.7 乙方应当妥善保护好检修现场周围建筑物、设备管线等不受破坏，做好现场保卫和垃圾清运等工作。</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2.2.8 乙方在检修中应妥善保护场地内外的甲方项目成品。项目竣工之前，负责对检修现场的一切设施和工程成品进行保护。</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2.2.9 所有检修、材料进出等不得影响甲方正常经营生产。</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2.2.10 参加竣工验收。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2.2.11未经甲方书面同意，不得转包、分包。</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szCs w:val="21"/>
        </w:rPr>
      </w:pPr>
      <w:r>
        <w:rPr>
          <w:rFonts w:hint="eastAsia" w:ascii="宋体" w:hAnsi="宋体" w:cs="宋体"/>
          <w:b/>
          <w:szCs w:val="21"/>
        </w:rPr>
        <w:t>第3条  工期要求</w:t>
      </w:r>
    </w:p>
    <w:p>
      <w:pPr>
        <w:spacing w:line="360" w:lineRule="auto"/>
        <w:ind w:firstLine="420" w:firstLineChars="200"/>
        <w:rPr>
          <w:rFonts w:ascii="宋体" w:hAnsi="宋体" w:cs="宋体"/>
          <w:szCs w:val="21"/>
        </w:rPr>
      </w:pPr>
      <w:r>
        <w:rPr>
          <w:rFonts w:hint="eastAsia" w:ascii="宋体" w:hAnsi="宋体" w:cs="宋体"/>
          <w:szCs w:val="21"/>
        </w:rPr>
        <w:t>3.1 工期按本合同1.5执行。乙方应按照本合同约定的工期和招标文件要求、投标文件承诺按期完工。</w:t>
      </w:r>
    </w:p>
    <w:p>
      <w:pPr>
        <w:spacing w:line="360" w:lineRule="auto"/>
        <w:ind w:firstLine="105"/>
        <w:rPr>
          <w:rFonts w:ascii="宋体" w:hAnsi="宋体" w:cs="宋体"/>
          <w:szCs w:val="21"/>
        </w:rPr>
      </w:pPr>
      <w:r>
        <w:rPr>
          <w:rFonts w:hint="eastAsia" w:ascii="宋体" w:hAnsi="宋体" w:cs="宋体"/>
          <w:szCs w:val="21"/>
        </w:rPr>
        <w:t xml:space="preserve">   3.2 因乙方责任，不能按期开工或中途无故停工，影响工期，工期不顺延。</w:t>
      </w:r>
    </w:p>
    <w:p>
      <w:pPr>
        <w:spacing w:line="360" w:lineRule="auto"/>
        <w:ind w:firstLine="105"/>
        <w:rPr>
          <w:rFonts w:ascii="宋体" w:hAnsi="宋体" w:cs="宋体"/>
          <w:szCs w:val="21"/>
        </w:rPr>
      </w:pPr>
      <w:r>
        <w:rPr>
          <w:rFonts w:hint="eastAsia" w:ascii="宋体" w:hAnsi="宋体" w:cs="宋体"/>
          <w:szCs w:val="21"/>
        </w:rPr>
        <w:t xml:space="preserve">   3.3 由于项目质量原因返工，工期不顺延。</w:t>
      </w:r>
    </w:p>
    <w:p>
      <w:pPr>
        <w:spacing w:line="360" w:lineRule="auto"/>
        <w:ind w:firstLine="105"/>
        <w:rPr>
          <w:rFonts w:ascii="宋体" w:hAnsi="宋体" w:cs="宋体"/>
          <w:szCs w:val="21"/>
        </w:rPr>
      </w:pPr>
      <w:r>
        <w:rPr>
          <w:rFonts w:hint="eastAsia" w:ascii="宋体" w:hAnsi="宋体" w:cs="宋体"/>
          <w:szCs w:val="21"/>
        </w:rPr>
        <w:t xml:space="preserve">   3.4 因乙方预算少算、漏报所产生的增加项目，导致工期延误，工期不顺延。</w:t>
      </w:r>
    </w:p>
    <w:p>
      <w:pPr>
        <w:spacing w:line="360" w:lineRule="auto"/>
        <w:ind w:firstLine="420" w:firstLineChars="200"/>
        <w:rPr>
          <w:rFonts w:ascii="宋体" w:hAnsi="宋体" w:cs="宋体"/>
          <w:szCs w:val="21"/>
        </w:rPr>
      </w:pPr>
      <w:r>
        <w:rPr>
          <w:rFonts w:hint="eastAsia" w:ascii="宋体" w:hAnsi="宋体" w:cs="宋体"/>
          <w:szCs w:val="21"/>
        </w:rPr>
        <w:t>3.5 非乙方原因造成的停电、停水、停气及不可抗力等因素影响，导致停工8小时以上（一周内累计计算），工期相应顺延。</w:t>
      </w:r>
    </w:p>
    <w:p>
      <w:pPr>
        <w:spacing w:line="360" w:lineRule="auto"/>
        <w:ind w:firstLine="420" w:firstLineChars="200"/>
        <w:rPr>
          <w:rFonts w:ascii="宋体" w:hAnsi="宋体" w:cs="宋体"/>
          <w:szCs w:val="21"/>
        </w:rPr>
      </w:pPr>
      <w:r>
        <w:rPr>
          <w:rFonts w:hint="eastAsia" w:ascii="宋体" w:hAnsi="宋体" w:cs="宋体"/>
          <w:szCs w:val="21"/>
        </w:rPr>
        <w:t>3.6 乙方须充分考虑甲方正常经营生产可能对检修造成的影响，要调配足够的人力、物力，合理安排好检修作业时间，确保如期完工。</w:t>
      </w:r>
    </w:p>
    <w:p>
      <w:pPr>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第4条 材料设备的供应</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4.1 乙方供应的材料，经甲方验收后，由乙方负责保管，由于乙方保管不当或施工不当造成的损失，由乙方负责。</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4.2 材料、设备进场时，乙方应负责提供材料、设备的合格证明。若材料、设备不符合质量要求或规格出现差异，乙方应承担责任及由此发生的费用。</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4.3 乙方采购的材料均应当符合国家强制性文件要求。如乙方采购的材料不符要求，由乙方承担相应责任。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4.4 如由甲方供应的材料，乙方有义务事先告知甲方准确的材料用量。</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第5条  项目变更</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5.1 甲方变更设计，应在该项检修前7天向乙方发出书面通知。</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5.2 所有的设计变更和工程量增减，甲方应当办理签字确认手续，以作为费用调整依据，否则甲方有权拒付相关变更或增加费用。</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5.3 因甲方设计变更，造成乙方返工费用和相应损失均由甲方承担。</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5.4 由于设计变更，造成乙方材料积压，由双方协商处理。</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5.5 乙方按变更通知进行变更，并于7天内或双方认可的时间内向甲方提出变更价款的完整资料。甲方收到变更价款报告后7天内或双方认可的时间内予以签认或提出异议。</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 乙方接到变更通知后，可按下列方法提出变更价款，送甲方同意后调整合同价款：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5.6.1 合同附件的预算书中已有适用于变更项目单价的，按已有项目单价调整合同价款；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5.6.2 合同附件的预算书中只有类似于变更项目单价的，可以参照类似项目单价确定变更项目单价，调整合同价款；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5.6.3 合同附件的预算书中没有适用或类似变更项目单价的，按标底的编制方法同比例下浮后确定变更项目单价，调整合同价款。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5.7 乙方根据现场实际情况提出合理建议，涉及到变更设计和对原定材料的更换，以及增加工程量，必须经甲方同意，并签字确认。未经甲方签字，乙方擅自变更设计或对原定材料更换，或增加工程量，甲方不予认可，由此造成的损失由乙方承担。</w:t>
      </w:r>
    </w:p>
    <w:p>
      <w:pPr>
        <w:adjustRightInd w:val="0"/>
        <w:snapToGrid w:val="0"/>
        <w:spacing w:line="360" w:lineRule="auto"/>
        <w:ind w:firstLine="525" w:firstLineChars="250"/>
        <w:rPr>
          <w:rFonts w:ascii="宋体" w:hAnsi="宋体" w:cs="宋体"/>
          <w:szCs w:val="21"/>
        </w:rPr>
      </w:pPr>
      <w:r>
        <w:rPr>
          <w:rFonts w:hint="eastAsia" w:ascii="宋体" w:hAnsi="宋体" w:cs="宋体"/>
          <w:szCs w:val="21"/>
        </w:rPr>
        <w:t>5.8 对于甲方提出的不可行的设计变更，乙方有义务事先告知甲方将由此产生的质量问题及后果，否则造成的损失由乙方承担。若甲方仍坚持进行变更，造成项目质量问题及后果，由甲方承担。</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第6条  项目质量检验及验收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6.1本质量评定验收标准的依据：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6.1.1 项目相关的国家标准规范，包括不限于：</w:t>
      </w:r>
      <w:r>
        <w:rPr>
          <w:rFonts w:hint="eastAsia" w:ascii="宋体" w:cs="宋体"/>
          <w:szCs w:val="21"/>
        </w:rPr>
        <w:t>《电力设备预防性试验规程》DL/T 596-2021。《电气装置安装工程高压电器施工及验收规范》GB 50147-2010。《继电保护和安全自动装置技术规程》GB/T 14285-2006。</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6.1.2 施工图纸、作法说明、设计变更；</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6.1.3 本项目招标文件要求和乙方投标文件承诺。</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6.2 甲乙双方应及时办理隐蔽工程和中间工程的检查与验收手续。当项目具备覆盖、遮盖条件或达到中间验收标准（如水管及电线管的凿槽暗敷恢复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360" w:lineRule="auto"/>
        <w:ind w:firstLine="105"/>
        <w:rPr>
          <w:rFonts w:ascii="宋体" w:hAnsi="宋体" w:cs="宋体"/>
          <w:szCs w:val="21"/>
        </w:rPr>
      </w:pPr>
      <w:r>
        <w:rPr>
          <w:rFonts w:hint="eastAsia" w:ascii="宋体" w:hAnsi="宋体" w:cs="宋体"/>
          <w:szCs w:val="21"/>
        </w:rPr>
        <w:t xml:space="preserve">   6.3 因乙方提供的材料、设备质量不合格而影响项目质量，由此造成的全部损失由乙方承担；因乙方施工质量问题造成材料、设备的损坏，其全部损失由乙方承担。</w:t>
      </w:r>
    </w:p>
    <w:p>
      <w:pPr>
        <w:spacing w:line="360" w:lineRule="auto"/>
        <w:ind w:firstLine="105"/>
        <w:rPr>
          <w:rFonts w:ascii="宋体" w:hAnsi="宋体" w:cs="宋体"/>
          <w:szCs w:val="21"/>
        </w:rPr>
      </w:pPr>
      <w:r>
        <w:rPr>
          <w:rFonts w:hint="eastAsia" w:ascii="宋体" w:hAnsi="宋体" w:cs="宋体"/>
          <w:szCs w:val="21"/>
        </w:rPr>
        <w:t xml:space="preserve">   6.4 项目竣工后，乙方应通知甲方验收，甲方自接到验收通知</w:t>
      </w:r>
      <w:r>
        <w:rPr>
          <w:rFonts w:hint="eastAsia" w:ascii="宋体" w:hAnsi="宋体" w:cs="宋体"/>
          <w:szCs w:val="21"/>
          <w:u w:val="single"/>
        </w:rPr>
        <w:t xml:space="preserve"> 7 </w:t>
      </w:r>
      <w:r>
        <w:rPr>
          <w:rFonts w:hint="eastAsia" w:ascii="宋体" w:hAnsi="宋体" w:cs="宋体"/>
          <w:szCs w:val="21"/>
        </w:rPr>
        <w:t>日内组织验收，如甲方在规定时间内不能组织验收，需及时通知乙方，另定验收日期。</w:t>
      </w:r>
    </w:p>
    <w:p>
      <w:pPr>
        <w:spacing w:line="360" w:lineRule="auto"/>
        <w:ind w:firstLine="105"/>
        <w:rPr>
          <w:rFonts w:ascii="宋体" w:hAnsi="宋体" w:cs="宋体"/>
          <w:szCs w:val="21"/>
        </w:rPr>
      </w:pPr>
      <w:r>
        <w:rPr>
          <w:rFonts w:hint="eastAsia" w:ascii="宋体" w:hAnsi="宋体" w:cs="宋体"/>
          <w:szCs w:val="21"/>
        </w:rPr>
        <w:t xml:space="preserve">   6.5 项目质量验收不合格，经整改后，另行验收，整改费用由乙方承担。整改后仍不合格，甲方可要求乙方继续整改，整改费用由乙方承担，也可要求乙方离场并赔偿不合格项目的损失。</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6.6 在项目质量验收后，双方办理书面验收手续。</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第7条 合同价款及支付</w:t>
      </w:r>
    </w:p>
    <w:p>
      <w:pPr>
        <w:spacing w:line="360" w:lineRule="auto"/>
        <w:ind w:firstLine="105"/>
        <w:rPr>
          <w:rFonts w:ascii="宋体" w:hAnsi="宋体" w:cs="宋体"/>
          <w:szCs w:val="21"/>
        </w:rPr>
      </w:pPr>
      <w:r>
        <w:rPr>
          <w:rFonts w:hint="eastAsia" w:ascii="宋体" w:hAnsi="宋体" w:cs="宋体"/>
          <w:szCs w:val="21"/>
        </w:rPr>
        <w:t xml:space="preserve">   7.1 双方商定本合同价采用下列第</w:t>
      </w:r>
      <w:r>
        <w:rPr>
          <w:rFonts w:hint="eastAsia" w:ascii="宋体" w:hAnsi="宋体" w:cs="宋体"/>
          <w:szCs w:val="21"/>
          <w:u w:val="single"/>
        </w:rPr>
        <w:t xml:space="preserve">  7.1.1</w:t>
      </w:r>
      <w:r>
        <w:rPr>
          <w:rFonts w:hint="eastAsia" w:ascii="宋体" w:hAnsi="宋体" w:cs="宋体"/>
          <w:szCs w:val="21"/>
        </w:rPr>
        <w:t>种方式。</w:t>
      </w:r>
    </w:p>
    <w:p>
      <w:pPr>
        <w:spacing w:line="360" w:lineRule="auto"/>
        <w:ind w:firstLine="105"/>
        <w:rPr>
          <w:rFonts w:ascii="宋体" w:hAnsi="宋体" w:cs="宋体"/>
          <w:szCs w:val="21"/>
        </w:rPr>
      </w:pPr>
      <w:r>
        <w:rPr>
          <w:rFonts w:hint="eastAsia" w:ascii="宋体" w:hAnsi="宋体" w:cs="宋体"/>
          <w:szCs w:val="21"/>
        </w:rPr>
        <w:t xml:space="preserve">   7.1.1 固定总价合同，即承包范围内价格一次包死，结算时除变更项目外不做任何调整。变更工程价款的确定，参照本合同5.6条款的约定执行。</w:t>
      </w:r>
    </w:p>
    <w:p>
      <w:pPr>
        <w:spacing w:line="360" w:lineRule="auto"/>
        <w:ind w:firstLine="420" w:firstLineChars="200"/>
        <w:rPr>
          <w:rFonts w:ascii="宋体" w:hAnsi="宋体" w:cs="宋体"/>
          <w:szCs w:val="21"/>
        </w:rPr>
      </w:pPr>
      <w:r>
        <w:rPr>
          <w:rFonts w:hint="eastAsia" w:ascii="宋体" w:hAnsi="宋体" w:cs="宋体"/>
          <w:szCs w:val="21"/>
        </w:rPr>
        <w:t>7.1.2 固定单价合同，即项目结算时，工程量根据双方招标清单中确认的计量方式按实结算，承包范围内的项目单价按照中标价不作任何调整。变更项目价款的确定，参照本合同5.6条款的约定执行。</w:t>
      </w:r>
    </w:p>
    <w:p>
      <w:pPr>
        <w:spacing w:line="360" w:lineRule="auto"/>
        <w:ind w:firstLine="420" w:firstLineChars="200"/>
        <w:rPr>
          <w:rFonts w:ascii="宋体" w:hAnsi="宋体" w:cs="宋体"/>
          <w:szCs w:val="21"/>
        </w:rPr>
      </w:pPr>
      <w:r>
        <w:rPr>
          <w:rFonts w:hint="eastAsia" w:ascii="宋体" w:hAnsi="宋体" w:cs="宋体"/>
          <w:szCs w:val="21"/>
        </w:rPr>
        <w:t>7.1.3 可调单价合同，结算时按第三方造价咨询公司审核的价格为最终结算价。</w:t>
      </w:r>
    </w:p>
    <w:p>
      <w:pPr>
        <w:spacing w:line="360" w:lineRule="auto"/>
        <w:ind w:firstLine="420" w:firstLineChars="200"/>
        <w:rPr>
          <w:rFonts w:ascii="宋体" w:hAnsi="宋体" w:cs="宋体"/>
          <w:szCs w:val="21"/>
        </w:rPr>
      </w:pPr>
      <w:r>
        <w:rPr>
          <w:rFonts w:hint="eastAsia" w:ascii="宋体" w:hAnsi="宋体" w:cs="宋体"/>
          <w:szCs w:val="21"/>
        </w:rPr>
        <w:t>7.2 本项目合同价总额为乙方中标价，按本合同1.7执行。</w:t>
      </w:r>
    </w:p>
    <w:p>
      <w:pPr>
        <w:spacing w:line="360" w:lineRule="auto"/>
        <w:ind w:firstLine="420" w:firstLineChars="200"/>
        <w:rPr>
          <w:rFonts w:ascii="宋体" w:hAnsi="宋体" w:cs="宋体"/>
          <w:szCs w:val="21"/>
        </w:rPr>
      </w:pPr>
      <w:r>
        <w:rPr>
          <w:rFonts w:hint="eastAsia" w:ascii="宋体" w:hAnsi="宋体" w:cs="宋体"/>
          <w:szCs w:val="21"/>
        </w:rPr>
        <w:t>7.3双方约定，项目整体竣工经甲方书面验收合格后支付合同金额的100%，。</w:t>
      </w:r>
    </w:p>
    <w:p>
      <w:pPr>
        <w:spacing w:line="360" w:lineRule="auto"/>
        <w:ind w:firstLine="420" w:firstLineChars="200"/>
        <w:rPr>
          <w:rFonts w:ascii="宋体" w:hAnsi="宋体" w:cs="宋体"/>
          <w:szCs w:val="21"/>
        </w:rPr>
      </w:pPr>
      <w:r>
        <w:rPr>
          <w:rFonts w:hint="eastAsia" w:ascii="宋体" w:hAnsi="宋体" w:cs="宋体"/>
          <w:szCs w:val="21"/>
        </w:rPr>
        <w:t>7.4 甲方付款需要乙方按项目款全额向甲方开具真实合法有效的增值税发票。</w:t>
      </w:r>
    </w:p>
    <w:p>
      <w:pPr>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第8条  索赔</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8.1 甲方未按合同约定提供检修所需条件、支付工程款、顺延工期或其他非乙方原因造成乙方经济损失，乙方可依照合同有关条款进行索赔。</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8.2 乙方未按合同约定履行义务或未全面履行合同约定的全部义务而造成甲方损失，甲方可依照合同有关条款进行索赔，赔偿范围包括实际损失及诉讼费用、律师费、公证费、鉴定费等维权费用。</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8.3 索赔程序</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8.3.1 索赔方知晓索赔事件发生</w:t>
      </w:r>
      <w:r>
        <w:rPr>
          <w:rFonts w:hint="eastAsia" w:ascii="宋体" w:hAnsi="宋体" w:cs="宋体"/>
          <w:szCs w:val="21"/>
          <w:u w:val="single"/>
        </w:rPr>
        <w:t xml:space="preserve"> 7  </w:t>
      </w:r>
      <w:r>
        <w:rPr>
          <w:rFonts w:hint="eastAsia" w:ascii="宋体" w:hAnsi="宋体" w:cs="宋体"/>
          <w:szCs w:val="21"/>
        </w:rPr>
        <w:t>天内，索赔方向被索赔方发出要求索赔的通知书；</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8.3.2 索赔方在发出索赔意向通知书后</w:t>
      </w:r>
      <w:r>
        <w:rPr>
          <w:rFonts w:hint="eastAsia" w:ascii="宋体" w:hAnsi="宋体" w:cs="宋体"/>
          <w:szCs w:val="21"/>
          <w:u w:val="single"/>
        </w:rPr>
        <w:t xml:space="preserve">  7 </w:t>
      </w:r>
      <w:r>
        <w:rPr>
          <w:rFonts w:hint="eastAsia" w:ascii="宋体" w:hAnsi="宋体" w:cs="宋体"/>
          <w:szCs w:val="21"/>
        </w:rPr>
        <w:t>天内，向被索赔方提交全部和详细的索赔资料；</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第9条  安全和防火</w:t>
      </w:r>
    </w:p>
    <w:p>
      <w:pPr>
        <w:spacing w:line="360" w:lineRule="auto"/>
        <w:ind w:firstLine="105"/>
        <w:rPr>
          <w:rFonts w:ascii="宋体" w:hAnsi="宋体" w:cs="宋体"/>
          <w:szCs w:val="21"/>
        </w:rPr>
      </w:pPr>
      <w:r>
        <w:rPr>
          <w:rFonts w:hint="eastAsia" w:ascii="宋体" w:hAnsi="宋体" w:cs="宋体"/>
          <w:szCs w:val="21"/>
        </w:rPr>
        <w:t xml:space="preserve">   9.1 乙方提供的施工图纸或作法说明，应符合《中华人民共和国消防法》和有关防火设计规范。</w:t>
      </w:r>
    </w:p>
    <w:p>
      <w:pPr>
        <w:spacing w:line="360" w:lineRule="auto"/>
        <w:ind w:firstLine="420" w:firstLineChars="200"/>
        <w:rPr>
          <w:rFonts w:ascii="宋体" w:hAnsi="宋体" w:cs="宋体"/>
          <w:szCs w:val="21"/>
        </w:rPr>
      </w:pPr>
      <w:r>
        <w:rPr>
          <w:rFonts w:hint="eastAsia" w:ascii="宋体" w:hAnsi="宋体" w:cs="宋体"/>
          <w:szCs w:val="21"/>
        </w:rPr>
        <w:t>9.2 乙方在施工期间应严格遵守《建筑安装工程安全技术规程》、《建筑安装工程安全操作规程》、《中华人民共和国消防法》及其它相关的法规、规范，对施工区域做好安全围护或隔离。乙方在本项目检修过程中，自行承担一切因违反有关安全操作规程导致的安全责任和经济损失（包括因施工造成对第三方的伤害）。如有上述意外发生，均与甲方无关。甲方承担责任，有权向乙方追偿。</w:t>
      </w:r>
    </w:p>
    <w:p>
      <w:pPr>
        <w:spacing w:line="360" w:lineRule="auto"/>
        <w:ind w:firstLine="420" w:firstLineChars="200"/>
        <w:rPr>
          <w:rFonts w:ascii="宋体" w:hAnsi="宋体" w:cs="宋体"/>
          <w:szCs w:val="21"/>
        </w:rPr>
      </w:pPr>
      <w:r>
        <w:rPr>
          <w:rFonts w:hint="eastAsia" w:ascii="宋体" w:hAnsi="宋体" w:cs="宋体"/>
          <w:szCs w:val="21"/>
        </w:rPr>
        <w:t>9.3 乙方在施工期间应严格遵守深圳会展中心管理有限责任公司规定，因乙方在施工过程中违反有关安全操作规程和消防法，导致发生安全事故或火灾，乙方承担由此引发的一切责任和经济损失</w:t>
      </w:r>
      <w:bookmarkStart w:id="53" w:name="_Hlk85559569"/>
      <w:r>
        <w:rPr>
          <w:rFonts w:hint="eastAsia" w:ascii="宋体" w:hAnsi="宋体" w:cs="宋体"/>
          <w:szCs w:val="21"/>
        </w:rPr>
        <w:t>，造成甲方损失的应予赔偿（损失包括实际损失及诉讼费用、律师费、公证费、鉴定费等维权费用）</w:t>
      </w:r>
      <w:bookmarkEnd w:id="53"/>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9.4 乙方应确保乙方人员进场施工前已完成相关培训并取得相关资格证书，并应确保已为乙方人员购买相应保险。乙方在施工过程中应采取符合国家相关规定的安全保障措施，如施工过程中发生任何人员伤亡事故均与甲方无关。</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第10条  违约责任</w:t>
      </w:r>
    </w:p>
    <w:p>
      <w:pPr>
        <w:spacing w:line="360" w:lineRule="auto"/>
        <w:ind w:firstLine="105"/>
        <w:rPr>
          <w:rFonts w:ascii="宋体" w:hAnsi="宋体" w:cs="宋体"/>
          <w:szCs w:val="21"/>
        </w:rPr>
      </w:pPr>
      <w:r>
        <w:rPr>
          <w:rFonts w:hint="eastAsia" w:ascii="宋体" w:hAnsi="宋体" w:cs="宋体"/>
          <w:szCs w:val="21"/>
        </w:rPr>
        <w:t xml:space="preserve">   10.1 甲方或乙方未按本协议条款约定内容履行自己的各项义务致使合同无法履行，应承担相应的违约责任，包括支付违约金，赔偿因其违约给对方造成的损失赔偿范围包括实际损失及维权费用（包括但不仅限于律师费、诉讼费、公证费、鉴定费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10.2 由于乙方自身原因，导致延迟检修进度计划或逾期竣工，每延迟或逾期一天，乙方支付甲方人民币</w:t>
      </w:r>
      <w:r>
        <w:rPr>
          <w:rFonts w:hint="eastAsia" w:ascii="宋体" w:hAnsi="宋体" w:cs="宋体"/>
          <w:b/>
          <w:i/>
          <w:szCs w:val="21"/>
          <w:u w:val="single"/>
        </w:rPr>
        <w:t xml:space="preserve"> / </w:t>
      </w:r>
      <w:r>
        <w:rPr>
          <w:rFonts w:hint="eastAsia" w:ascii="宋体" w:hAnsi="宋体" w:cs="宋体"/>
          <w:szCs w:val="21"/>
        </w:rPr>
        <w:t>元作为违约金，延迟15天以上的，甲方有权解除合同，要求乙方无条件离场并无需支付乙方费用。</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第11条  保修条款</w:t>
      </w:r>
    </w:p>
    <w:p>
      <w:pPr>
        <w:spacing w:line="360" w:lineRule="auto"/>
        <w:ind w:firstLine="105"/>
        <w:rPr>
          <w:rFonts w:ascii="宋体" w:hAnsi="宋体" w:cs="宋体"/>
          <w:szCs w:val="21"/>
        </w:rPr>
      </w:pPr>
      <w:r>
        <w:rPr>
          <w:rFonts w:hint="eastAsia" w:ascii="宋体" w:hAnsi="宋体" w:cs="宋体"/>
          <w:szCs w:val="21"/>
        </w:rPr>
        <w:t xml:space="preserve">   11.1本工程保修责任期（质保期）自竣工验收合格之日起</w:t>
      </w:r>
      <w:r>
        <w:rPr>
          <w:rFonts w:hint="eastAsia" w:ascii="宋体" w:hAnsi="宋体" w:cs="宋体"/>
          <w:szCs w:val="21"/>
          <w:u w:val="single"/>
        </w:rPr>
        <w:t xml:space="preserve">     年</w:t>
      </w:r>
      <w:r>
        <w:rPr>
          <w:rFonts w:hint="eastAsia" w:ascii="宋体" w:hAnsi="宋体" w:cs="宋体"/>
          <w:szCs w:val="21"/>
        </w:rPr>
        <w:t>。</w:t>
      </w:r>
    </w:p>
    <w:p>
      <w:pPr>
        <w:spacing w:line="360" w:lineRule="auto"/>
        <w:ind w:firstLine="105"/>
        <w:rPr>
          <w:rFonts w:ascii="宋体" w:hAnsi="宋体" w:cs="宋体"/>
          <w:szCs w:val="21"/>
        </w:rPr>
      </w:pPr>
      <w:r>
        <w:rPr>
          <w:rFonts w:hint="eastAsia" w:ascii="宋体" w:hAnsi="宋体" w:cs="宋体"/>
          <w:szCs w:val="21"/>
        </w:rPr>
        <w:t xml:space="preserve">   11.2 质保期内乙方保修范围为乙方施工的工程项目。</w:t>
      </w:r>
    </w:p>
    <w:p>
      <w:pPr>
        <w:spacing w:line="360" w:lineRule="auto"/>
        <w:ind w:firstLine="105"/>
        <w:rPr>
          <w:rFonts w:ascii="宋体" w:hAnsi="宋体" w:cs="宋体"/>
          <w:szCs w:val="21"/>
        </w:rPr>
      </w:pPr>
      <w:r>
        <w:rPr>
          <w:rFonts w:hint="eastAsia" w:ascii="宋体" w:hAnsi="宋体" w:cs="宋体"/>
          <w:szCs w:val="21"/>
        </w:rPr>
        <w:t xml:space="preserve">   11.3 质保期内因施工质量问题和乙方提供材料原因造成的损坏，由乙方保修。</w:t>
      </w:r>
    </w:p>
    <w:p>
      <w:pPr>
        <w:spacing w:line="360" w:lineRule="auto"/>
        <w:ind w:firstLine="105"/>
        <w:rPr>
          <w:rFonts w:ascii="宋体" w:hAnsi="宋体" w:cs="宋体"/>
          <w:szCs w:val="21"/>
        </w:rPr>
      </w:pPr>
      <w:r>
        <w:rPr>
          <w:rFonts w:hint="eastAsia" w:ascii="宋体" w:hAnsi="宋体" w:cs="宋体"/>
          <w:szCs w:val="21"/>
        </w:rPr>
        <w:t xml:space="preserve">   11.4 由于甲方提供的材料质量问题、人为造成的损坏和不可避免因素造成的损坏，不在乙方保修范围内。</w:t>
      </w:r>
    </w:p>
    <w:p>
      <w:pPr>
        <w:spacing w:line="360" w:lineRule="auto"/>
        <w:ind w:firstLine="420" w:firstLineChars="200"/>
        <w:rPr>
          <w:rFonts w:ascii="宋体" w:hAnsi="宋体" w:cs="宋体"/>
          <w:szCs w:val="21"/>
        </w:rPr>
      </w:pPr>
      <w:r>
        <w:rPr>
          <w:rFonts w:hint="eastAsia" w:ascii="宋体" w:hAnsi="宋体" w:cs="宋体"/>
          <w:szCs w:val="21"/>
        </w:rPr>
        <w:t>11.5 在质保期内，乙方工程质量原因造成的其它财产损失，由乙方按当时市场价格全额赔偿。</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11.6 质保期内，乙方在每天8:00-18:00期间</w:t>
      </w:r>
      <w:r>
        <w:rPr>
          <w:rFonts w:hint="eastAsia" w:ascii="宋体" w:hAnsi="宋体" w:cs="宋体"/>
          <w:szCs w:val="21"/>
          <w:u w:val="single"/>
        </w:rPr>
        <w:t xml:space="preserve"> / </w:t>
      </w:r>
      <w:r>
        <w:rPr>
          <w:rFonts w:hint="eastAsia" w:ascii="宋体" w:hAnsi="宋体" w:cs="宋体"/>
          <w:szCs w:val="21"/>
        </w:rPr>
        <w:t>小时内做出响应，并在接到报障电话后，</w:t>
      </w:r>
      <w:r>
        <w:rPr>
          <w:rFonts w:hint="eastAsia" w:ascii="宋体" w:hAnsi="宋体" w:cs="宋体"/>
          <w:szCs w:val="21"/>
          <w:u w:val="single"/>
        </w:rPr>
        <w:t xml:space="preserve">  /  </w:t>
      </w:r>
      <w:r>
        <w:rPr>
          <w:rFonts w:hint="eastAsia" w:ascii="宋体" w:hAnsi="宋体" w:cs="宋体"/>
          <w:szCs w:val="21"/>
        </w:rPr>
        <w:t>小时之内到达现场进行服务。其余时间为</w:t>
      </w:r>
      <w:r>
        <w:rPr>
          <w:rFonts w:hint="eastAsia" w:ascii="宋体" w:hAnsi="宋体" w:cs="宋体"/>
          <w:szCs w:val="21"/>
          <w:u w:val="single"/>
        </w:rPr>
        <w:t xml:space="preserve">   / </w:t>
      </w:r>
      <w:r>
        <w:rPr>
          <w:rFonts w:hint="eastAsia" w:ascii="宋体" w:hAnsi="宋体" w:cs="宋体"/>
          <w:szCs w:val="21"/>
        </w:rPr>
        <w:t>小时到达现场。如故障非乙方原因，乙方仅收取材料成本费用，人工免费。如故障为乙方原因，乙方无偿更换或修理有问题的设备、零部件、材料，提供免费服务；保修期内发生非乙方原因引起的与设备、零部件、材料有关的问题时, 乙方在收到用户通知后4小时内派遣相关人员到达现场进行维修和必要的更换，乙方只向甲方收取零配件和人工等成本费。</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第12条  争议</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12.1 本合同在履行期间，双方发生争议时，在不影响工程进度的前提下，双方可采取协商解决。</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12.2 协商不成可通过</w:t>
      </w:r>
      <w:r>
        <w:rPr>
          <w:rFonts w:hint="eastAsia" w:ascii="宋体" w:hAnsi="宋体" w:cs="宋体"/>
          <w:szCs w:val="21"/>
          <w:u w:val="single"/>
        </w:rPr>
        <w:t>双方认可的部门或</w:t>
      </w:r>
      <w:r>
        <w:rPr>
          <w:rFonts w:hint="eastAsia" w:ascii="宋体" w:hAnsi="宋体" w:cs="宋体"/>
          <w:szCs w:val="21"/>
        </w:rPr>
        <w:t>机构调解。</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12.3 对项目质量或使用的原材料质量发生争议的，可以选择有资质的检测机构进行检测。</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12.4 当事人不愿意通过协商、调解解决或者协商调解不成时，双方可向工程所在地（深圳市福田区）人民法院提起诉讼。</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第13条  合同解除和终止</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 有下列情形之一的，可以解除合同：</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13.1.1 甲乙双方协商一致；</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13.1.2 因不可抗力致使合同无法履行；</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13.1.3 因一方违约致使合同无法履行。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13.2 甲乙双方履行完本合同全部义务，项目竣工结算、价款支付完毕，本合同即告终止。</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第14条  附则</w:t>
      </w:r>
    </w:p>
    <w:p>
      <w:pPr>
        <w:spacing w:line="360" w:lineRule="auto"/>
        <w:ind w:firstLine="420" w:firstLineChars="200"/>
        <w:rPr>
          <w:rFonts w:ascii="宋体" w:hAnsi="宋体" w:cs="宋体"/>
          <w:szCs w:val="21"/>
        </w:rPr>
      </w:pPr>
      <w:r>
        <w:rPr>
          <w:rFonts w:hint="eastAsia" w:ascii="宋体" w:hAnsi="宋体" w:cs="宋体"/>
          <w:szCs w:val="21"/>
        </w:rPr>
        <w:t>14.1合同一式捌份，甲方执</w:t>
      </w:r>
      <w:r>
        <w:rPr>
          <w:rFonts w:hint="eastAsia" w:ascii="宋体" w:hAnsi="宋体" w:cs="宋体"/>
          <w:szCs w:val="21"/>
          <w:u w:val="single"/>
        </w:rPr>
        <w:t xml:space="preserve"> 肆 </w:t>
      </w:r>
      <w:r>
        <w:rPr>
          <w:rFonts w:hint="eastAsia" w:ascii="宋体" w:hAnsi="宋体" w:cs="宋体"/>
          <w:szCs w:val="21"/>
        </w:rPr>
        <w:t>份，乙方执</w:t>
      </w:r>
      <w:r>
        <w:rPr>
          <w:rFonts w:hint="eastAsia" w:ascii="宋体" w:hAnsi="宋体" w:cs="宋体"/>
          <w:szCs w:val="21"/>
          <w:u w:val="single"/>
        </w:rPr>
        <w:t xml:space="preserve"> 肆 </w:t>
      </w:r>
      <w:r>
        <w:rPr>
          <w:rFonts w:hint="eastAsia" w:ascii="宋体" w:hAnsi="宋体" w:cs="宋体"/>
          <w:szCs w:val="21"/>
        </w:rPr>
        <w:t>份，均具同等法律效力，自双方代表签字并加盖公章之日起生效。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14.2 本项目招标清单或作法说明、招标文件、乙方投标文件、中标通知书属本合同的组成部分，甲乙双方需共同遵守。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14.3本合同载明的联系方式（包括地址、联系人、联系电话）为双方约定的联系方式，若有变动，应提前书面告知对方，否则该联系方式为双方法定的送达和联系方式，一经发送至上述地址即视为送达。</w:t>
      </w:r>
    </w:p>
    <w:p>
      <w:pPr>
        <w:spacing w:line="360" w:lineRule="auto"/>
        <w:ind w:firstLine="422" w:firstLineChars="200"/>
        <w:rPr>
          <w:rFonts w:ascii="宋体" w:hAnsi="宋体" w:cs="宋体"/>
          <w:b/>
          <w:szCs w:val="21"/>
        </w:rPr>
      </w:pPr>
      <w:r>
        <w:rPr>
          <w:rFonts w:hint="eastAsia" w:ascii="宋体" w:hAnsi="宋体" w:cs="宋体"/>
          <w:b/>
          <w:szCs w:val="21"/>
        </w:rPr>
        <w:t>第15条  补充条款</w:t>
      </w:r>
    </w:p>
    <w:p>
      <w:pPr>
        <w:rPr>
          <w:rFonts w:ascii="宋体" w:hAnsi="宋体" w:cs="宋体"/>
          <w:szCs w:val="21"/>
        </w:rPr>
      </w:pPr>
      <w:r>
        <w:rPr>
          <w:rFonts w:hint="eastAsia" w:ascii="宋体" w:hAnsi="宋体" w:cs="宋体"/>
          <w:szCs w:val="21"/>
        </w:rPr>
        <w:t>附件：《深圳会展中心与合作单位安全协议书》、设备试验要求及工程量作为本合同的组成部分。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（以下无正文，为合同签章页）</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rPr>
          <w:rFonts w:ascii="宋体" w:hAnsi="宋体" w:cs="宋体"/>
          <w:szCs w:val="21"/>
        </w:rPr>
      </w:pPr>
    </w:p>
    <w:tbl>
      <w:tblPr>
        <w:tblStyle w:val="11"/>
        <w:tblW w:w="0" w:type="auto"/>
        <w:tblInd w:w="0" w:type="dxa"/>
        <w:tblLayout w:type="autofit"/>
        <w:tblCellMar>
          <w:top w:w="0" w:type="dxa"/>
          <w:left w:w="108" w:type="dxa"/>
          <w:bottom w:w="0" w:type="dxa"/>
          <w:right w:w="108" w:type="dxa"/>
        </w:tblCellMar>
      </w:tblPr>
      <w:tblGrid>
        <w:gridCol w:w="4962"/>
        <w:gridCol w:w="3334"/>
      </w:tblGrid>
      <w:tr>
        <w:tc>
          <w:tcPr>
            <w:tcW w:w="4962" w:type="dxa"/>
          </w:tcPr>
          <w:p>
            <w:pPr>
              <w:ind w:firstLine="105"/>
              <w:jc w:val="left"/>
              <w:rPr>
                <w:rFonts w:ascii="宋体" w:hAnsi="宋体"/>
                <w:szCs w:val="21"/>
                <w:u w:val="single"/>
              </w:rPr>
            </w:pPr>
            <w:r>
              <w:rPr>
                <w:rFonts w:hint="eastAsia" w:ascii="宋体" w:hAnsi="宋体"/>
                <w:szCs w:val="21"/>
              </w:rPr>
              <w:t>甲方（公章）：</w:t>
            </w:r>
            <w:r>
              <w:rPr>
                <w:rFonts w:hint="eastAsia" w:ascii="宋体" w:hAnsi="宋体"/>
                <w:szCs w:val="21"/>
                <w:u w:val="single"/>
              </w:rPr>
              <w:t>深圳会展中心管理有限责任公司</w:t>
            </w:r>
          </w:p>
          <w:p>
            <w:pPr>
              <w:ind w:firstLine="105"/>
              <w:jc w:val="left"/>
              <w:rPr>
                <w:rFonts w:ascii="宋体" w:hAnsi="宋体"/>
                <w:szCs w:val="21"/>
              </w:rPr>
            </w:pPr>
          </w:p>
          <w:p>
            <w:pPr>
              <w:ind w:firstLine="105"/>
              <w:jc w:val="left"/>
              <w:rPr>
                <w:rFonts w:ascii="宋体" w:hAnsi="宋体"/>
                <w:szCs w:val="21"/>
                <w:u w:val="single"/>
              </w:rPr>
            </w:pPr>
            <w:r>
              <w:rPr>
                <w:rFonts w:hint="eastAsia" w:ascii="宋体" w:hAnsi="宋体"/>
                <w:szCs w:val="21"/>
              </w:rPr>
              <w:t>甲方代表：</w:t>
            </w:r>
            <w:r>
              <w:rPr>
                <w:rFonts w:ascii="宋体" w:hAnsi="宋体"/>
                <w:szCs w:val="21"/>
                <w:u w:val="single"/>
              </w:rPr>
              <w:t xml:space="preserve">                  </w:t>
            </w:r>
          </w:p>
          <w:p>
            <w:pPr>
              <w:ind w:firstLine="105"/>
              <w:jc w:val="left"/>
              <w:rPr>
                <w:rFonts w:ascii="宋体" w:hAnsi="宋体"/>
                <w:szCs w:val="21"/>
              </w:rPr>
            </w:pPr>
          </w:p>
          <w:p>
            <w:pPr>
              <w:ind w:firstLine="105"/>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ind w:firstLine="105"/>
              <w:jc w:val="left"/>
              <w:rPr>
                <w:rFonts w:ascii="宋体" w:hAnsi="宋体"/>
              </w:rPr>
            </w:pPr>
          </w:p>
          <w:p>
            <w:pPr>
              <w:ind w:firstLine="105"/>
              <w:jc w:val="left"/>
              <w:rPr>
                <w:rFonts w:ascii="宋体" w:hAnsi="宋体"/>
                <w:u w:val="single"/>
              </w:rPr>
            </w:pPr>
            <w:r>
              <w:rPr>
                <w:rFonts w:hint="eastAsia" w:ascii="宋体" w:hAnsi="宋体"/>
              </w:rPr>
              <w:t>签订日期：</w:t>
            </w:r>
            <w:r>
              <w:rPr>
                <w:rFonts w:hint="eastAsia" w:ascii="宋体" w:hAnsi="宋体"/>
                <w:u w:val="single"/>
              </w:rPr>
              <w:t xml:space="preserve">                  </w:t>
            </w:r>
          </w:p>
        </w:tc>
        <w:tc>
          <w:tcPr>
            <w:tcW w:w="3334" w:type="dxa"/>
          </w:tcPr>
          <w:p>
            <w:pPr>
              <w:ind w:left="1260" w:hanging="1260" w:hangingChars="600"/>
              <w:jc w:val="left"/>
              <w:rPr>
                <w:rFonts w:ascii="宋体" w:hAnsi="宋体"/>
                <w:szCs w:val="21"/>
                <w:u w:val="single"/>
              </w:rPr>
            </w:pPr>
            <w:r>
              <w:rPr>
                <w:rFonts w:hint="eastAsia" w:ascii="宋体" w:hAnsi="宋体"/>
                <w:szCs w:val="21"/>
              </w:rPr>
              <w:t>乙方（公章）：</w:t>
            </w:r>
            <w:r>
              <w:rPr>
                <w:rFonts w:hint="eastAsia" w:ascii="宋体" w:hAnsi="宋体"/>
                <w:szCs w:val="21"/>
                <w:u w:val="single"/>
              </w:rPr>
              <w:t xml:space="preserve"> </w:t>
            </w:r>
          </w:p>
          <w:p>
            <w:pPr>
              <w:ind w:left="1260" w:hanging="1260" w:hangingChars="600"/>
              <w:jc w:val="left"/>
              <w:rPr>
                <w:rFonts w:ascii="宋体" w:hAnsi="宋体"/>
                <w:szCs w:val="21"/>
                <w:u w:val="single"/>
              </w:rPr>
            </w:pPr>
          </w:p>
          <w:p>
            <w:pPr>
              <w:ind w:firstLine="105"/>
              <w:jc w:val="left"/>
              <w:rPr>
                <w:rFonts w:ascii="宋体" w:hAnsi="宋体"/>
                <w:szCs w:val="21"/>
                <w:u w:val="single"/>
              </w:rPr>
            </w:pPr>
            <w:r>
              <w:rPr>
                <w:rFonts w:hint="eastAsia" w:ascii="宋体" w:hAnsi="宋体"/>
                <w:szCs w:val="21"/>
              </w:rPr>
              <w:t>乙方代表：</w:t>
            </w:r>
            <w:r>
              <w:rPr>
                <w:rFonts w:ascii="宋体" w:hAnsi="宋体"/>
                <w:szCs w:val="21"/>
                <w:u w:val="single"/>
              </w:rPr>
              <w:t xml:space="preserve">                  </w:t>
            </w:r>
          </w:p>
          <w:p>
            <w:pPr>
              <w:ind w:firstLine="105"/>
              <w:jc w:val="left"/>
              <w:rPr>
                <w:rFonts w:ascii="宋体" w:hAnsi="宋体"/>
                <w:szCs w:val="21"/>
              </w:rPr>
            </w:pPr>
          </w:p>
          <w:p>
            <w:pPr>
              <w:ind w:firstLine="105"/>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ind w:firstLine="105"/>
              <w:jc w:val="left"/>
              <w:rPr>
                <w:rFonts w:ascii="宋体" w:hAnsi="宋体"/>
                <w:szCs w:val="21"/>
                <w:u w:val="single"/>
              </w:rPr>
            </w:pPr>
          </w:p>
          <w:p>
            <w:pPr>
              <w:ind w:firstLine="105"/>
              <w:jc w:val="left"/>
              <w:rPr>
                <w:rFonts w:ascii="宋体" w:hAnsi="宋体"/>
              </w:rPr>
            </w:pPr>
            <w:r>
              <w:rPr>
                <w:rFonts w:hint="eastAsia" w:ascii="宋体" w:hAnsi="宋体"/>
              </w:rPr>
              <w:t>签订日期：</w:t>
            </w:r>
            <w:r>
              <w:rPr>
                <w:rFonts w:hint="eastAsia" w:ascii="宋体" w:hAnsi="宋体"/>
                <w:u w:val="single"/>
              </w:rPr>
              <w:t xml:space="preserve">                  </w:t>
            </w:r>
          </w:p>
        </w:tc>
      </w:tr>
    </w:tbl>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spacing w:line="260" w:lineRule="exact"/>
        <w:rPr>
          <w:rFonts w:ascii="宋体" w:hAnsi="宋体" w:cs="宋体"/>
          <w:szCs w:val="21"/>
        </w:rPr>
      </w:pPr>
    </w:p>
    <w:p>
      <w:pPr>
        <w:spacing w:line="260" w:lineRule="exact"/>
        <w:rPr>
          <w:rFonts w:ascii="宋体" w:hAnsi="宋体" w:cs="宋体"/>
          <w:szCs w:val="21"/>
        </w:rPr>
      </w:pPr>
    </w:p>
    <w:p>
      <w:pPr>
        <w:spacing w:line="260" w:lineRule="exact"/>
        <w:ind w:firstLine="105"/>
        <w:rPr>
          <w:rFonts w:ascii="宋体" w:hAnsi="宋体" w:cs="宋体"/>
          <w:szCs w:val="21"/>
        </w:rPr>
      </w:pPr>
      <w:r>
        <w:rPr>
          <w:rFonts w:hint="eastAsia" w:ascii="宋体" w:hAnsi="宋体" w:cs="宋体"/>
          <w:szCs w:val="21"/>
        </w:rPr>
        <w:t>附件：</w:t>
      </w:r>
    </w:p>
    <w:p>
      <w:pPr>
        <w:jc w:val="center"/>
        <w:rPr>
          <w:rFonts w:ascii="宋体" w:hAnsi="宋体" w:cs="宋体"/>
          <w:b/>
          <w:szCs w:val="21"/>
        </w:rPr>
      </w:pPr>
      <w:r>
        <w:rPr>
          <w:rFonts w:hint="eastAsia" w:ascii="宋体" w:hAnsi="宋体" w:cs="宋体"/>
          <w:b/>
          <w:szCs w:val="21"/>
        </w:rPr>
        <w:t>深圳会展中心合作单位安全协议书</w:t>
      </w:r>
    </w:p>
    <w:p>
      <w:pPr>
        <w:jc w:val="center"/>
        <w:rPr>
          <w:rFonts w:ascii="宋体" w:hAnsi="宋体" w:cs="宋体"/>
          <w:b/>
          <w:szCs w:val="21"/>
        </w:rPr>
      </w:pPr>
    </w:p>
    <w:p>
      <w:pPr>
        <w:spacing w:line="360" w:lineRule="auto"/>
        <w:ind w:firstLine="630" w:firstLineChars="300"/>
        <w:rPr>
          <w:rFonts w:ascii="宋体" w:hAnsi="宋体" w:cs="宋体"/>
          <w:szCs w:val="21"/>
        </w:rPr>
      </w:pPr>
      <w:r>
        <w:rPr>
          <w:rFonts w:hint="eastAsia" w:ascii="宋体" w:hAnsi="宋体" w:cs="宋体"/>
          <w:szCs w:val="21"/>
          <w:u w:val="single"/>
        </w:rPr>
        <w:t xml:space="preserve">深圳会展中心中压开关柜环网柜检修和耐压测试 </w:t>
      </w:r>
      <w:r>
        <w:rPr>
          <w:rFonts w:hint="eastAsia" w:ascii="宋体" w:hAnsi="宋体" w:cs="宋体"/>
          <w:szCs w:val="21"/>
        </w:rPr>
        <w:t>项目合同的乙方:</w:t>
      </w:r>
      <w:r>
        <w:rPr>
          <w:rFonts w:hint="eastAsia" w:ascii="宋体" w:hAnsi="宋体" w:cs="宋体"/>
          <w:szCs w:val="21"/>
          <w:u w:val="single"/>
        </w:rPr>
        <w:t xml:space="preserve">               </w:t>
      </w:r>
      <w:r>
        <w:rPr>
          <w:rFonts w:hint="eastAsia" w:ascii="宋体" w:hAnsi="宋体" w:cs="宋体"/>
          <w:szCs w:val="21"/>
        </w:rPr>
        <w:t>作为合作单位,在深圳会展中心从事</w:t>
      </w:r>
      <w:r>
        <w:rPr>
          <w:rFonts w:hint="eastAsia" w:ascii="宋体" w:hAnsi="宋体" w:cs="宋体"/>
          <w:szCs w:val="21"/>
          <w:u w:val="single"/>
        </w:rPr>
        <w:t xml:space="preserve"> </w:t>
      </w:r>
      <w:r>
        <w:rPr>
          <w:rFonts w:hint="eastAsia" w:ascii="宋体" w:hAnsi="宋体" w:cs="宋体"/>
          <w:szCs w:val="21"/>
        </w:rPr>
        <w:t>项目的工程施工。</w:t>
      </w:r>
    </w:p>
    <w:p>
      <w:pPr>
        <w:spacing w:line="360" w:lineRule="auto"/>
        <w:ind w:firstLine="420" w:firstLineChars="200"/>
        <w:rPr>
          <w:rFonts w:ascii="宋体" w:hAnsi="宋体" w:cs="宋体"/>
          <w:szCs w:val="21"/>
        </w:rPr>
      </w:pPr>
      <w:r>
        <w:rPr>
          <w:rFonts w:hint="eastAsia" w:ascii="宋体" w:hAnsi="宋体" w:cs="宋体"/>
          <w:szCs w:val="21"/>
        </w:rPr>
        <w:t>为认真贯彻《中华人民共和国安全生产法》、《中华人民共和国消防法》、《公安部61号令》、《深圳经济特区消防条例》及《机关、团体、企业、事业单位消防安全管理规定》等法律、法规，进一步落实深圳会展中心与合作单位的安全责任，根据合作单位生产经营或活动的实际情况，深圳会展中心与</w:t>
      </w:r>
      <w:r>
        <w:rPr>
          <w:rFonts w:hint="eastAsia" w:ascii="宋体" w:hAnsi="宋体" w:cs="宋体"/>
          <w:szCs w:val="21"/>
          <w:u w:val="single"/>
        </w:rPr>
        <w:t xml:space="preserve">                    </w:t>
      </w:r>
      <w:r>
        <w:rPr>
          <w:rFonts w:hint="eastAsia" w:ascii="宋体" w:hAnsi="宋体" w:cs="宋体"/>
          <w:szCs w:val="21"/>
        </w:rPr>
        <w:t>合作单位界定双方的消防和安全生产责任如下：</w:t>
      </w:r>
    </w:p>
    <w:p>
      <w:pPr>
        <w:spacing w:line="360" w:lineRule="auto"/>
        <w:ind w:firstLine="422" w:firstLineChars="200"/>
        <w:rPr>
          <w:rFonts w:ascii="宋体" w:hAnsi="宋体" w:cs="宋体"/>
          <w:b/>
          <w:szCs w:val="21"/>
        </w:rPr>
      </w:pPr>
      <w:r>
        <w:rPr>
          <w:rFonts w:hint="eastAsia" w:ascii="宋体" w:hAnsi="宋体" w:cs="宋体"/>
          <w:b/>
          <w:szCs w:val="21"/>
        </w:rPr>
        <w:t>一、 通用条款：</w:t>
      </w:r>
    </w:p>
    <w:p>
      <w:pPr>
        <w:spacing w:line="360" w:lineRule="auto"/>
        <w:ind w:left="53" w:leftChars="25" w:firstLine="420" w:firstLineChars="200"/>
        <w:rPr>
          <w:rFonts w:ascii="宋体" w:hAnsi="宋体" w:cs="宋体"/>
          <w:szCs w:val="21"/>
        </w:rPr>
      </w:pPr>
      <w:r>
        <w:rPr>
          <w:rFonts w:hint="eastAsia" w:ascii="宋体" w:hAnsi="宋体" w:cs="宋体"/>
          <w:szCs w:val="21"/>
        </w:rPr>
        <w:t xml:space="preserve">1、根据“谁生产谁负责、谁实施谁负责”的原则，确定合作单位的法定代表人 </w:t>
      </w:r>
      <w:r>
        <w:rPr>
          <w:rFonts w:hint="eastAsia" w:ascii="宋体" w:hAnsi="宋体" w:cs="宋体"/>
          <w:szCs w:val="21"/>
          <w:u w:val="single"/>
        </w:rPr>
        <w:t xml:space="preserve">     （</w:t>
      </w:r>
      <w:r>
        <w:rPr>
          <w:rFonts w:hint="eastAsia" w:ascii="宋体" w:hAnsi="宋体" w:cs="宋体"/>
          <w:szCs w:val="21"/>
        </w:rPr>
        <w:t>先生\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pPr>
        <w:spacing w:line="360" w:lineRule="auto"/>
        <w:ind w:firstLine="420" w:firstLineChars="200"/>
        <w:rPr>
          <w:rFonts w:ascii="宋体" w:hAnsi="宋体" w:cs="宋体"/>
          <w:szCs w:val="21"/>
          <w:u w:val="single"/>
        </w:rPr>
      </w:pPr>
      <w:r>
        <w:rPr>
          <w:rFonts w:hint="eastAsia" w:ascii="宋体" w:hAnsi="宋体" w:cs="宋体"/>
          <w:szCs w:val="21"/>
        </w:rPr>
        <w:t>2、合作单位必须是经国家工商部门注册、拥有国家认可相关资质的企业，并保证在其业务允许范围内施工作业。</w:t>
      </w:r>
    </w:p>
    <w:p>
      <w:pPr>
        <w:spacing w:line="360" w:lineRule="auto"/>
        <w:ind w:firstLine="420" w:firstLineChars="200"/>
        <w:rPr>
          <w:rFonts w:ascii="宋体" w:hAnsi="宋体" w:cs="宋体"/>
          <w:szCs w:val="21"/>
        </w:rPr>
      </w:pPr>
      <w:r>
        <w:rPr>
          <w:rFonts w:hint="eastAsia" w:ascii="宋体" w:hAnsi="宋体" w:cs="宋体"/>
          <w:szCs w:val="21"/>
        </w:rPr>
        <w:t>3、合作单位应认真履行安全管理职责，监督其单位工作人员遵守国家及深圳市关于消防和安全生产的各项法律法规，确保所有工作人员不违反深圳会展中心关于消防安全和生产安全的各项规章制度。</w:t>
      </w:r>
    </w:p>
    <w:p>
      <w:pPr>
        <w:spacing w:line="360" w:lineRule="auto"/>
        <w:ind w:firstLine="420" w:firstLineChars="200"/>
        <w:rPr>
          <w:rFonts w:ascii="宋体" w:hAnsi="宋体" w:cs="宋体"/>
          <w:szCs w:val="21"/>
        </w:rPr>
      </w:pPr>
      <w:r>
        <w:rPr>
          <w:rFonts w:hint="eastAsia" w:ascii="宋体" w:hAnsi="宋体" w:cs="宋体"/>
          <w:szCs w:val="21"/>
        </w:rPr>
        <w:t>4、合作单位应逐级落实安全管理责任，确保生产经营或活动的安全开展。</w:t>
      </w:r>
    </w:p>
    <w:p>
      <w:pPr>
        <w:spacing w:line="360" w:lineRule="auto"/>
        <w:ind w:firstLine="420" w:firstLineChars="200"/>
        <w:rPr>
          <w:rFonts w:ascii="宋体" w:hAnsi="宋体" w:cs="宋体"/>
          <w:szCs w:val="21"/>
        </w:rPr>
      </w:pPr>
      <w:r>
        <w:rPr>
          <w:rFonts w:hint="eastAsia" w:ascii="宋体" w:hAnsi="宋体" w:cs="宋体"/>
          <w:szCs w:val="21"/>
        </w:rPr>
        <w:t>5、合作单位在生产经营或活动期间应设置专职安全管理人员，负责生产经营或活动期间的消防及安全生产监督工作，并定期组织安全检查。</w:t>
      </w:r>
    </w:p>
    <w:p>
      <w:pPr>
        <w:spacing w:line="360" w:lineRule="auto"/>
        <w:ind w:firstLine="420" w:firstLineChars="200"/>
        <w:rPr>
          <w:rFonts w:ascii="宋体" w:hAnsi="宋体" w:cs="宋体"/>
          <w:szCs w:val="21"/>
        </w:rPr>
      </w:pPr>
      <w:r>
        <w:rPr>
          <w:rFonts w:hint="eastAsia" w:ascii="宋体" w:hAnsi="宋体" w:cs="宋体"/>
          <w:szCs w:val="21"/>
        </w:rPr>
        <w:t>6、合作单位应制订安全应急预案，并在生产经营或活动前进行必要的演练。</w:t>
      </w:r>
    </w:p>
    <w:p>
      <w:pPr>
        <w:spacing w:line="360" w:lineRule="auto"/>
        <w:ind w:firstLine="420" w:firstLineChars="200"/>
        <w:rPr>
          <w:rFonts w:ascii="宋体" w:hAnsi="宋体" w:cs="宋体"/>
          <w:szCs w:val="21"/>
        </w:rPr>
      </w:pPr>
      <w:r>
        <w:rPr>
          <w:rFonts w:hint="eastAsia" w:ascii="宋体" w:hAnsi="宋体" w:cs="宋体"/>
          <w:szCs w:val="21"/>
        </w:rPr>
        <w:t>7、合作单位所使用的设备、工具必须达到安全要求，所有特种作业人员必须持证上岗。合作单位必须根据现场作业情况，做好各项安全的组织及技术措施并配备足够数量的合格的消防器材。</w:t>
      </w:r>
    </w:p>
    <w:p>
      <w:pPr>
        <w:spacing w:line="360" w:lineRule="auto"/>
        <w:ind w:firstLine="420" w:firstLineChars="200"/>
        <w:jc w:val="left"/>
        <w:rPr>
          <w:rFonts w:ascii="宋体" w:hAnsi="宋体" w:cs="宋体"/>
          <w:szCs w:val="21"/>
        </w:rPr>
      </w:pPr>
      <w:r>
        <w:rPr>
          <w:rFonts w:hint="eastAsia" w:ascii="宋体" w:hAnsi="宋体" w:cs="宋体"/>
          <w:szCs w:val="21"/>
        </w:rPr>
        <w:t>8、合作单位必须按照设计工艺及相关规范作业，其工作人员在作业中必须正确采取相应的安全防护措施，夜间作业时必须穿着反光衣，登高、吊装等危险作业时必须正确佩戴安全帽、安全带、安全绳和安全警示与围护等安全防护措施，保证作业人员及周围人员的人身安全。</w:t>
      </w:r>
    </w:p>
    <w:p>
      <w:pPr>
        <w:spacing w:line="360" w:lineRule="auto"/>
        <w:ind w:firstLine="420" w:firstLineChars="200"/>
        <w:rPr>
          <w:rFonts w:ascii="宋体" w:hAnsi="宋体" w:cs="宋体"/>
          <w:szCs w:val="21"/>
        </w:rPr>
      </w:pPr>
      <w:r>
        <w:rPr>
          <w:rFonts w:hint="eastAsia" w:ascii="宋体" w:hAnsi="宋体" w:cs="宋体"/>
          <w:szCs w:val="21"/>
        </w:rPr>
        <w:t>9、合作单位在作业过程中，所采用的材料必须符合展馆消防和结构安全要求。会展中心安全管理人员有权依照会展中心相关规定对不符合要求的材料进行处置（责令整改、禁用或清理出场等措施），并对所造成的后果不承担任何责任。</w:t>
      </w:r>
    </w:p>
    <w:p>
      <w:pPr>
        <w:spacing w:line="360" w:lineRule="auto"/>
        <w:ind w:firstLine="420" w:firstLineChars="200"/>
        <w:jc w:val="left"/>
        <w:rPr>
          <w:rFonts w:ascii="宋体" w:hAnsi="宋体" w:cs="宋体"/>
          <w:szCs w:val="21"/>
        </w:rPr>
      </w:pPr>
      <w:r>
        <w:rPr>
          <w:rFonts w:hint="eastAsia" w:ascii="宋体" w:hAnsi="宋体" w:cs="宋体"/>
          <w:szCs w:val="21"/>
        </w:rPr>
        <w:t>10、合作单位应为作业人员购买相关保险；如在作业期间出现各种消防、治安及其它意外事故，合作单位应在第一时间通知会展中心管理人员，并有义务先行采取必要的保护措施，控制事态进一步扩大。</w:t>
      </w:r>
    </w:p>
    <w:p>
      <w:pPr>
        <w:spacing w:line="360" w:lineRule="auto"/>
        <w:ind w:firstLine="420" w:firstLineChars="200"/>
        <w:rPr>
          <w:rFonts w:ascii="宋体" w:hAnsi="宋体" w:cs="宋体"/>
          <w:szCs w:val="21"/>
        </w:rPr>
      </w:pPr>
      <w:r>
        <w:rPr>
          <w:rFonts w:hint="eastAsia" w:ascii="宋体" w:hAnsi="宋体" w:cs="宋体"/>
          <w:szCs w:val="21"/>
        </w:rPr>
        <w:t>11、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pPr>
        <w:spacing w:line="360" w:lineRule="auto"/>
        <w:ind w:firstLine="420" w:firstLineChars="200"/>
        <w:rPr>
          <w:rFonts w:ascii="宋体" w:hAnsi="宋体" w:cs="宋体"/>
          <w:szCs w:val="21"/>
        </w:rPr>
      </w:pPr>
      <w:r>
        <w:rPr>
          <w:rFonts w:hint="eastAsia" w:ascii="宋体" w:hAnsi="宋体" w:cs="宋体"/>
          <w:szCs w:val="21"/>
        </w:rPr>
        <w:t>12、会展中心应保证展馆公共消防设备设施完好，并在火灾发生时积极组织人员启用展馆固定消防设施进行人员疏散和灭火。</w:t>
      </w:r>
    </w:p>
    <w:p>
      <w:pPr>
        <w:spacing w:line="360" w:lineRule="auto"/>
        <w:ind w:firstLine="420" w:firstLineChars="200"/>
        <w:rPr>
          <w:rFonts w:ascii="宋体" w:hAnsi="宋体" w:cs="宋体"/>
          <w:szCs w:val="21"/>
        </w:rPr>
      </w:pPr>
      <w:r>
        <w:rPr>
          <w:rFonts w:hint="eastAsia" w:ascii="宋体" w:hAnsi="宋体" w:cs="宋体"/>
          <w:szCs w:val="21"/>
        </w:rPr>
        <w:t>13、在责任事故发生后，会展中心应迅速组织人员进行救援，并采取必要的应急措施防止事故扩大。</w:t>
      </w:r>
    </w:p>
    <w:p>
      <w:pPr>
        <w:spacing w:line="360" w:lineRule="auto"/>
        <w:ind w:firstLine="420" w:firstLineChars="200"/>
        <w:rPr>
          <w:rFonts w:ascii="宋体" w:hAnsi="宋体" w:cs="宋体"/>
          <w:szCs w:val="21"/>
        </w:rPr>
      </w:pPr>
      <w:r>
        <w:rPr>
          <w:rFonts w:hint="eastAsia" w:ascii="宋体" w:hAnsi="宋体" w:cs="宋体"/>
          <w:szCs w:val="21"/>
        </w:rPr>
        <w:t>14、如任何一方对涉及到本责任书中所引用的国家消防法律、法规和有关规章制度有疑义，可详细查阅《中华人民共和国安全生产法》、《中华人民共和国消防法》、《公安部61号令》、《深圳经济特区消防条例》及《机关、团体、企业、事业单位消防安全管理规定》文件规定，或者直接向深圳市公安消防机关、深圳市安监局、市应急办等机构咨询。</w:t>
      </w:r>
    </w:p>
    <w:p>
      <w:pPr>
        <w:spacing w:line="360" w:lineRule="auto"/>
        <w:ind w:firstLine="422" w:firstLineChars="200"/>
        <w:rPr>
          <w:rFonts w:ascii="宋体" w:hAnsi="宋体" w:cs="宋体"/>
          <w:b/>
          <w:szCs w:val="21"/>
        </w:rPr>
      </w:pPr>
      <w:r>
        <w:rPr>
          <w:rFonts w:hint="eastAsia" w:ascii="宋体" w:hAnsi="宋体" w:cs="宋体"/>
          <w:b/>
          <w:szCs w:val="21"/>
        </w:rPr>
        <w:t>二、专用条款：</w:t>
      </w:r>
    </w:p>
    <w:p>
      <w:pPr>
        <w:spacing w:line="360" w:lineRule="auto"/>
        <w:ind w:firstLine="422" w:firstLineChars="200"/>
        <w:rPr>
          <w:rFonts w:ascii="宋体" w:hAnsi="宋体" w:cs="宋体"/>
          <w:b/>
          <w:szCs w:val="21"/>
        </w:rPr>
      </w:pPr>
      <w:r>
        <w:rPr>
          <w:rFonts w:hint="eastAsia" w:ascii="宋体" w:hAnsi="宋体" w:cs="宋体"/>
          <w:b/>
          <w:szCs w:val="21"/>
        </w:rPr>
        <w:t>1、约定期限：</w:t>
      </w:r>
    </w:p>
    <w:p>
      <w:pPr>
        <w:spacing w:line="360" w:lineRule="auto"/>
        <w:ind w:firstLine="420" w:firstLineChars="200"/>
        <w:rPr>
          <w:rFonts w:ascii="宋体" w:hAnsi="宋体" w:cs="宋体"/>
          <w:szCs w:val="21"/>
        </w:rPr>
      </w:pPr>
      <w:r>
        <w:rPr>
          <w:rFonts w:hint="eastAsia" w:ascii="宋体" w:hAnsi="宋体" w:cs="宋体"/>
          <w:szCs w:val="21"/>
        </w:rPr>
        <w:t xml:space="preserve">合同期限为    </w:t>
      </w:r>
      <w:r>
        <w:rPr>
          <w:rFonts w:hint="eastAsia" w:ascii="宋体" w:hAnsi="宋体" w:cs="宋体"/>
          <w:szCs w:val="21"/>
          <w:u w:val="single"/>
        </w:rPr>
        <w:t xml:space="preserve"> 个</w:t>
      </w:r>
      <w:r>
        <w:rPr>
          <w:rFonts w:hint="eastAsia" w:ascii="宋体" w:hAnsi="宋体" w:cs="宋体"/>
          <w:szCs w:val="21"/>
        </w:rPr>
        <w:t>日历日，与主合同的时间相同。</w:t>
      </w:r>
    </w:p>
    <w:p>
      <w:pPr>
        <w:numPr>
          <w:ilvl w:val="0"/>
          <w:numId w:val="24"/>
        </w:numPr>
        <w:spacing w:line="360" w:lineRule="auto"/>
        <w:ind w:firstLine="0"/>
        <w:rPr>
          <w:rFonts w:ascii="宋体" w:hAnsi="宋体" w:cs="宋体"/>
          <w:b/>
          <w:szCs w:val="21"/>
        </w:rPr>
      </w:pPr>
      <w:r>
        <w:rPr>
          <w:rFonts w:hint="eastAsia" w:ascii="宋体" w:hAnsi="宋体" w:cs="宋体"/>
          <w:b/>
          <w:szCs w:val="21"/>
        </w:rPr>
        <w:t>安全要求：</w:t>
      </w:r>
    </w:p>
    <w:p>
      <w:pPr>
        <w:spacing w:line="276" w:lineRule="auto"/>
        <w:ind w:firstLine="420" w:firstLineChars="200"/>
        <w:rPr>
          <w:rFonts w:ascii="宋体" w:hAnsi="宋体" w:cs="宋体"/>
          <w:szCs w:val="21"/>
        </w:rPr>
      </w:pPr>
      <w:r>
        <w:rPr>
          <w:rFonts w:hint="eastAsia" w:ascii="宋体" w:hAnsi="宋体" w:cs="宋体"/>
          <w:szCs w:val="21"/>
        </w:rPr>
        <w:t>2）合作单位工作地点限于会展中心1、4号配电室内施工区域，特殊情况须在区域范围外作业的，须由甲方指定和安排。</w:t>
      </w:r>
    </w:p>
    <w:p>
      <w:pPr>
        <w:spacing w:line="276" w:lineRule="auto"/>
        <w:ind w:firstLine="420" w:firstLineChars="200"/>
        <w:rPr>
          <w:rFonts w:ascii="宋体" w:hAnsi="宋体" w:cs="宋体"/>
          <w:szCs w:val="21"/>
        </w:rPr>
      </w:pPr>
      <w:r>
        <w:rPr>
          <w:rFonts w:hint="eastAsia" w:ascii="宋体" w:hAnsi="宋体" w:cs="宋体"/>
          <w:szCs w:val="21"/>
        </w:rPr>
        <w:t>3）合作单位如需要使用有动火作业时，须提前向甲方提出申请。由甲方认可并办理动火许可证，做好防火及隔离措施后方可动火施工。</w:t>
      </w:r>
    </w:p>
    <w:p>
      <w:pPr>
        <w:spacing w:line="276" w:lineRule="auto"/>
        <w:ind w:firstLine="420" w:firstLineChars="200"/>
        <w:rPr>
          <w:rFonts w:ascii="宋体" w:hAnsi="宋体" w:cs="宋体"/>
          <w:szCs w:val="21"/>
        </w:rPr>
      </w:pPr>
      <w:r>
        <w:rPr>
          <w:rFonts w:hint="eastAsia" w:ascii="宋体" w:hAnsi="宋体" w:cs="宋体"/>
          <w:szCs w:val="21"/>
        </w:rPr>
        <w:t xml:space="preserve">4）合作单位人员从事特殊工种作业时须提前向甲方提供名单及相关证件，如电工等特殊工种，需在深圳会展中心设备部备案，并按照各工种要求穿戴齐全个人防护用品。 </w:t>
      </w:r>
    </w:p>
    <w:p>
      <w:pPr>
        <w:spacing w:line="276" w:lineRule="auto"/>
        <w:ind w:firstLine="420" w:firstLineChars="200"/>
        <w:rPr>
          <w:rFonts w:ascii="宋体" w:hAnsi="宋体" w:cs="宋体"/>
          <w:szCs w:val="21"/>
        </w:rPr>
      </w:pPr>
      <w:r>
        <w:rPr>
          <w:rFonts w:hint="eastAsia" w:ascii="宋体" w:hAnsi="宋体" w:cs="宋体"/>
          <w:szCs w:val="21"/>
        </w:rPr>
        <w:t>5）合作单位施工人员须严格遵守国家各项法律法规，遵守甲方的工作流程、操作规程、劳动安全、管理规定等各项规章制度（包括但不限于《展馆管理规定》、《展馆服务指南》）。</w:t>
      </w:r>
    </w:p>
    <w:p>
      <w:pPr>
        <w:spacing w:line="360" w:lineRule="auto"/>
        <w:ind w:firstLine="420" w:firstLineChars="200"/>
        <w:rPr>
          <w:rFonts w:ascii="宋体" w:hAnsi="宋体" w:cs="宋体"/>
          <w:szCs w:val="21"/>
        </w:rPr>
      </w:pPr>
      <w:r>
        <w:rPr>
          <w:rFonts w:hint="eastAsia" w:ascii="宋体" w:hAnsi="宋体" w:cs="宋体"/>
          <w:szCs w:val="21"/>
        </w:rPr>
        <w:t>三、该责任书一式四份，双方各执二份，具有同等约束力，该责任书经双方法定代表人或法定代表人书面委托人签字并由双方盖章后在约定期限内有效。</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6300" w:hanging="6300" w:hangingChars="3000"/>
        <w:rPr>
          <w:rFonts w:ascii="宋体" w:hAnsi="宋体" w:cs="宋体"/>
          <w:szCs w:val="21"/>
        </w:rPr>
      </w:pPr>
      <w:r>
        <w:rPr>
          <w:rFonts w:hint="eastAsia" w:ascii="宋体" w:hAnsi="宋体" w:cs="宋体"/>
          <w:szCs w:val="21"/>
        </w:rPr>
        <w:t xml:space="preserve">深圳会展中心管理有限责任公司                    合作单位： </w:t>
      </w:r>
    </w:p>
    <w:p>
      <w:pPr>
        <w:spacing w:line="360" w:lineRule="auto"/>
        <w:ind w:left="6300" w:hanging="6300" w:hangingChars="3000"/>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法定代表人                                      合作单位法定代表人： </w:t>
      </w:r>
    </w:p>
    <w:p>
      <w:pPr>
        <w:tabs>
          <w:tab w:val="left" w:pos="-504"/>
        </w:tabs>
        <w:spacing w:line="360" w:lineRule="auto"/>
        <w:rPr>
          <w:rFonts w:ascii="宋体" w:hAnsi="宋体" w:cs="宋体"/>
          <w:szCs w:val="21"/>
        </w:rPr>
      </w:pPr>
      <w:r>
        <w:rPr>
          <w:rFonts w:hint="eastAsia" w:ascii="宋体" w:hAnsi="宋体" w:cs="宋体"/>
          <w:szCs w:val="21"/>
        </w:rPr>
        <w:t xml:space="preserve">（或委托代表人）：                              （或委托代表人）： </w:t>
      </w:r>
    </w:p>
    <w:p>
      <w:pPr>
        <w:spacing w:line="360" w:lineRule="auto"/>
        <w:rPr>
          <w:rFonts w:ascii="宋体" w:hAnsi="宋体" w:cs="宋体"/>
          <w:szCs w:val="21"/>
        </w:rPr>
      </w:pPr>
      <w:r>
        <w:rPr>
          <w:rFonts w:hint="eastAsia" w:ascii="宋体" w:hAnsi="宋体" w:cs="宋体"/>
          <w:szCs w:val="21"/>
        </w:rPr>
        <w:t xml:space="preserve">电  话：                                        电  话： </w:t>
      </w:r>
    </w:p>
    <w:p>
      <w:pPr>
        <w:spacing w:line="360" w:lineRule="auto"/>
        <w:rPr>
          <w:rFonts w:ascii="宋体" w:hAnsi="宋体" w:cs="宋体"/>
          <w:szCs w:val="21"/>
        </w:rPr>
      </w:pPr>
      <w:r>
        <w:rPr>
          <w:rFonts w:hint="eastAsia" w:ascii="宋体" w:hAnsi="宋体" w:cs="宋体"/>
          <w:szCs w:val="21"/>
        </w:rPr>
        <w:t>日  期：    年    月    日                      日  期：    年    月    日</w:t>
      </w:r>
    </w:p>
    <w:p>
      <w:pPr>
        <w:pStyle w:val="2"/>
        <w:rPr>
          <w:rFonts w:ascii="宋体" w:cs="宋体"/>
          <w:szCs w:val="21"/>
        </w:rPr>
      </w:pPr>
    </w:p>
    <w:p>
      <w:pPr>
        <w:pStyle w:val="2"/>
        <w:rPr>
          <w:rFonts w:ascii="宋体" w:cs="宋体"/>
          <w:szCs w:val="21"/>
        </w:rPr>
      </w:pPr>
    </w:p>
    <w:p>
      <w:pPr>
        <w:pStyle w:val="2"/>
      </w:pPr>
    </w:p>
    <w:p>
      <w:pPr>
        <w:jc w:val="center"/>
        <w:rPr>
          <w:rFonts w:ascii="宋体" w:hAnsi="宋体" w:cs="宋体"/>
          <w:szCs w:val="21"/>
        </w:rPr>
      </w:pPr>
      <w:r>
        <w:rPr>
          <w:rFonts w:hint="eastAsia" w:ascii="宋体" w:hAnsi="宋体" w:cs="宋体"/>
          <w:b/>
          <w:bCs/>
          <w:szCs w:val="21"/>
        </w:rPr>
        <w:t>设备试验要求及工程量</w:t>
      </w:r>
    </w:p>
    <w:p>
      <w:pPr>
        <w:jc w:val="center"/>
        <w:rPr>
          <w:rFonts w:ascii="宋体" w:hAnsi="宋体" w:cs="宋体"/>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60"/>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3"/>
          </w:tcPr>
          <w:p>
            <w:pPr>
              <w:jc w:val="center"/>
              <w:rPr>
                <w:rFonts w:ascii="宋体" w:hAnsi="宋体" w:cs="宋体"/>
                <w:szCs w:val="21"/>
              </w:rPr>
            </w:pPr>
            <w:r>
              <w:rPr>
                <w:rFonts w:hint="eastAsia" w:ascii="宋体" w:hAnsi="宋体" w:cs="宋体"/>
                <w:b/>
                <w:bCs/>
                <w:szCs w:val="21"/>
              </w:rPr>
              <w:t>中压开关柜（80面）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宋体" w:hAnsi="宋体" w:cs="宋体"/>
                <w:szCs w:val="21"/>
              </w:rPr>
            </w:pPr>
            <w:r>
              <w:rPr>
                <w:rFonts w:hint="eastAsia" w:ascii="宋体" w:hAnsi="宋体" w:cs="宋体"/>
                <w:szCs w:val="21"/>
              </w:rPr>
              <w:t>序号</w:t>
            </w:r>
          </w:p>
        </w:tc>
        <w:tc>
          <w:tcPr>
            <w:tcW w:w="1560" w:type="dxa"/>
          </w:tcPr>
          <w:p>
            <w:pPr>
              <w:jc w:val="center"/>
              <w:rPr>
                <w:rFonts w:ascii="宋体" w:hAnsi="宋体" w:cs="宋体"/>
                <w:szCs w:val="21"/>
              </w:rPr>
            </w:pPr>
            <w:r>
              <w:rPr>
                <w:rFonts w:hint="eastAsia" w:ascii="宋体" w:hAnsi="宋体" w:cs="宋体"/>
                <w:szCs w:val="21"/>
              </w:rPr>
              <w:t>测试项目名称</w:t>
            </w:r>
          </w:p>
        </w:tc>
        <w:tc>
          <w:tcPr>
            <w:tcW w:w="7166" w:type="dxa"/>
          </w:tcPr>
          <w:p>
            <w:pPr>
              <w:jc w:val="center"/>
              <w:rPr>
                <w:rFonts w:ascii="宋体" w:hAnsi="宋体" w:cs="宋体"/>
                <w:szCs w:val="21"/>
              </w:rPr>
            </w:pPr>
            <w:r>
              <w:rPr>
                <w:rFonts w:hint="eastAsia" w:ascii="宋体" w:hAnsi="宋体" w:cs="宋体"/>
                <w:szCs w:val="21"/>
              </w:rPr>
              <w:t>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宋体" w:hAnsi="宋体" w:cs="宋体"/>
                <w:szCs w:val="21"/>
              </w:rPr>
            </w:pPr>
            <w:r>
              <w:rPr>
                <w:rFonts w:hint="eastAsia" w:ascii="宋体" w:hAnsi="宋体" w:cs="宋体"/>
                <w:szCs w:val="21"/>
              </w:rPr>
              <w:t>1</w:t>
            </w:r>
          </w:p>
        </w:tc>
        <w:tc>
          <w:tcPr>
            <w:tcW w:w="1560" w:type="dxa"/>
            <w:vAlign w:val="center"/>
          </w:tcPr>
          <w:p>
            <w:pPr>
              <w:pStyle w:val="17"/>
              <w:tabs>
                <w:tab w:val="left" w:pos="531"/>
              </w:tabs>
              <w:spacing w:line="360" w:lineRule="auto"/>
              <w:ind w:firstLine="0" w:firstLineChars="0"/>
              <w:rPr>
                <w:rFonts w:ascii="宋体" w:hAnsi="宋体" w:eastAsia="宋体" w:cs="宋体"/>
                <w:szCs w:val="21"/>
              </w:rPr>
            </w:pPr>
            <w:r>
              <w:rPr>
                <w:rFonts w:hint="eastAsia" w:ascii="宋体" w:hAnsi="宋体" w:eastAsia="宋体" w:cs="宋体"/>
                <w:bCs/>
                <w:szCs w:val="21"/>
              </w:rPr>
              <w:t>真空断路器</w:t>
            </w:r>
          </w:p>
        </w:tc>
        <w:tc>
          <w:tcPr>
            <w:tcW w:w="7166" w:type="dxa"/>
          </w:tcPr>
          <w:p>
            <w:pPr>
              <w:pStyle w:val="17"/>
              <w:numPr>
                <w:ilvl w:val="0"/>
                <w:numId w:val="25"/>
              </w:numPr>
              <w:tabs>
                <w:tab w:val="left" w:pos="640"/>
              </w:tabs>
              <w:spacing w:line="360" w:lineRule="auto"/>
              <w:ind w:firstLine="0" w:firstLineChars="0"/>
              <w:rPr>
                <w:rFonts w:ascii="宋体" w:hAnsi="宋体" w:eastAsia="宋体" w:cs="宋体"/>
                <w:bCs/>
                <w:szCs w:val="21"/>
              </w:rPr>
            </w:pPr>
            <w:r>
              <w:rPr>
                <w:rFonts w:hint="eastAsia" w:ascii="宋体" w:hAnsi="宋体" w:eastAsia="宋体" w:cs="宋体"/>
                <w:bCs/>
                <w:szCs w:val="21"/>
              </w:rPr>
              <w:t>测量绝缘电阻：整体绝缘电阻值测量，不低于制造厂规定；绝缘拉杆的绝缘电阻值，在常温下不应低于300兆欧。</w:t>
            </w:r>
          </w:p>
          <w:p>
            <w:pPr>
              <w:pStyle w:val="17"/>
              <w:numPr>
                <w:ilvl w:val="0"/>
                <w:numId w:val="25"/>
              </w:numPr>
              <w:tabs>
                <w:tab w:val="left" w:pos="640"/>
              </w:tabs>
              <w:spacing w:line="360" w:lineRule="auto"/>
              <w:ind w:firstLine="0" w:firstLineChars="0"/>
              <w:rPr>
                <w:rFonts w:ascii="宋体" w:hAnsi="宋体" w:eastAsia="宋体" w:cs="宋体"/>
                <w:szCs w:val="21"/>
              </w:rPr>
            </w:pPr>
            <w:r>
              <w:rPr>
                <w:rFonts w:hint="eastAsia" w:ascii="宋体" w:hAnsi="宋体" w:eastAsia="宋体" w:cs="宋体"/>
                <w:bCs/>
                <w:szCs w:val="21"/>
              </w:rPr>
              <w:t>测量每相导电回路的直流电阻：用电流不小于100A的直流压降法测量，电阻值应不大于出厂值的120%。</w:t>
            </w:r>
          </w:p>
          <w:p>
            <w:pPr>
              <w:pStyle w:val="17"/>
              <w:numPr>
                <w:ilvl w:val="0"/>
                <w:numId w:val="25"/>
              </w:numPr>
              <w:tabs>
                <w:tab w:val="left" w:pos="640"/>
              </w:tabs>
              <w:spacing w:line="360" w:lineRule="auto"/>
              <w:ind w:firstLine="0" w:firstLineChars="0"/>
              <w:rPr>
                <w:rFonts w:ascii="宋体" w:hAnsi="宋体" w:eastAsia="宋体" w:cs="宋体"/>
                <w:szCs w:val="21"/>
              </w:rPr>
            </w:pPr>
            <w:r>
              <w:rPr>
                <w:rFonts w:hint="eastAsia" w:ascii="宋体" w:hAnsi="宋体" w:eastAsia="宋体" w:cs="宋体"/>
                <w:bCs/>
                <w:szCs w:val="21"/>
              </w:rPr>
              <w:t>交流耐压试验：断路器的交流耐压试验应在分、合闸状态下分别进行，设备对地及相间的试验电压按照：a、断路器连接如互感器等绝缘水平较低设备，不能分离试验时，按最低耐压试验电压标准；b、进口开关设备其绝缘水平低于42KV，按28KV进行。试验标准为无闪络击穿，耐压前后测量绝缘电阻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rPr>
                <w:rFonts w:ascii="宋体" w:hAnsi="宋体" w:cs="宋体"/>
                <w:szCs w:val="21"/>
              </w:rPr>
            </w:pPr>
            <w:r>
              <w:rPr>
                <w:rFonts w:hint="eastAsia" w:ascii="宋体" w:hAnsi="宋体" w:cs="宋体"/>
                <w:szCs w:val="21"/>
              </w:rPr>
              <w:t>2</w:t>
            </w:r>
          </w:p>
        </w:tc>
        <w:tc>
          <w:tcPr>
            <w:tcW w:w="1560" w:type="dxa"/>
            <w:vAlign w:val="center"/>
          </w:tcPr>
          <w:p>
            <w:pPr>
              <w:pStyle w:val="17"/>
              <w:numPr>
                <w:ilvl w:val="255"/>
                <w:numId w:val="0"/>
              </w:numPr>
              <w:tabs>
                <w:tab w:val="left" w:pos="531"/>
              </w:tabs>
              <w:spacing w:line="360" w:lineRule="auto"/>
              <w:rPr>
                <w:rFonts w:ascii="宋体" w:hAnsi="宋体" w:eastAsia="宋体" w:cs="宋体"/>
                <w:bCs/>
                <w:szCs w:val="21"/>
              </w:rPr>
            </w:pPr>
            <w:r>
              <w:rPr>
                <w:rFonts w:hint="eastAsia" w:ascii="宋体" w:hAnsi="宋体" w:eastAsia="宋体" w:cs="宋体"/>
                <w:bCs/>
                <w:szCs w:val="21"/>
              </w:rPr>
              <w:t>流互感器</w:t>
            </w:r>
          </w:p>
          <w:p>
            <w:pPr>
              <w:rPr>
                <w:rFonts w:ascii="宋体" w:hAnsi="宋体" w:cs="宋体"/>
                <w:szCs w:val="21"/>
              </w:rPr>
            </w:pPr>
          </w:p>
        </w:tc>
        <w:tc>
          <w:tcPr>
            <w:tcW w:w="7166" w:type="dxa"/>
          </w:tcPr>
          <w:p>
            <w:pPr>
              <w:jc w:val="left"/>
              <w:rPr>
                <w:rFonts w:ascii="宋体" w:hAnsi="宋体" w:cs="宋体"/>
                <w:szCs w:val="21"/>
              </w:rPr>
            </w:pPr>
            <w:r>
              <w:rPr>
                <w:rFonts w:hint="eastAsia" w:ascii="宋体" w:hAnsi="宋体" w:cs="宋体"/>
                <w:bCs/>
                <w:szCs w:val="21"/>
              </w:rPr>
              <w:t>测量绝缘电阻（测量高压对低压及对地的阻值）：分别测量一次绕组对二次绕组及对地、二次绕组对一次绕组及对地、二次绕组间绝缘电阻等阻值与出厂值有无明显变化，一般不低于1000兆欧（或不低于出厂值或初始值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4" w:type="dxa"/>
            <w:vAlign w:val="center"/>
          </w:tcPr>
          <w:p>
            <w:pPr>
              <w:rPr>
                <w:rFonts w:ascii="宋体" w:hAnsi="宋体" w:cs="宋体"/>
                <w:szCs w:val="21"/>
              </w:rPr>
            </w:pPr>
            <w:r>
              <w:rPr>
                <w:rFonts w:hint="eastAsia" w:ascii="宋体" w:hAnsi="宋体" w:cs="宋体"/>
                <w:szCs w:val="21"/>
              </w:rPr>
              <w:t>3</w:t>
            </w:r>
          </w:p>
        </w:tc>
        <w:tc>
          <w:tcPr>
            <w:tcW w:w="1560" w:type="dxa"/>
            <w:vAlign w:val="center"/>
          </w:tcPr>
          <w:p>
            <w:pPr>
              <w:pStyle w:val="17"/>
              <w:numPr>
                <w:ilvl w:val="255"/>
                <w:numId w:val="0"/>
              </w:numPr>
              <w:tabs>
                <w:tab w:val="left" w:pos="531"/>
              </w:tabs>
              <w:spacing w:line="360" w:lineRule="auto"/>
              <w:rPr>
                <w:rFonts w:ascii="宋体" w:hAnsi="宋体" w:eastAsia="宋体" w:cs="宋体"/>
                <w:bCs/>
                <w:szCs w:val="21"/>
              </w:rPr>
            </w:pPr>
            <w:r>
              <w:rPr>
                <w:rFonts w:hint="eastAsia" w:ascii="宋体" w:hAnsi="宋体" w:eastAsia="宋体" w:cs="宋体"/>
                <w:bCs/>
                <w:szCs w:val="21"/>
              </w:rPr>
              <w:t>电压互感器</w:t>
            </w:r>
          </w:p>
          <w:p>
            <w:pPr>
              <w:rPr>
                <w:rFonts w:ascii="宋体" w:hAnsi="宋体" w:cs="宋体"/>
                <w:szCs w:val="21"/>
              </w:rPr>
            </w:pPr>
          </w:p>
        </w:tc>
        <w:tc>
          <w:tcPr>
            <w:tcW w:w="7166" w:type="dxa"/>
          </w:tcPr>
          <w:p>
            <w:pPr>
              <w:pStyle w:val="17"/>
              <w:numPr>
                <w:ilvl w:val="0"/>
                <w:numId w:val="26"/>
              </w:numPr>
              <w:tabs>
                <w:tab w:val="left" w:pos="220"/>
                <w:tab w:val="clear" w:pos="312"/>
              </w:tabs>
              <w:spacing w:line="360" w:lineRule="auto"/>
              <w:ind w:firstLine="0" w:firstLineChars="0"/>
              <w:rPr>
                <w:rFonts w:ascii="宋体" w:hAnsi="宋体" w:eastAsia="宋体" w:cs="宋体"/>
                <w:szCs w:val="21"/>
              </w:rPr>
            </w:pPr>
            <w:r>
              <w:rPr>
                <w:rFonts w:hint="eastAsia" w:ascii="宋体" w:hAnsi="宋体" w:eastAsia="宋体" w:cs="宋体"/>
                <w:bCs/>
                <w:szCs w:val="21"/>
              </w:rPr>
              <w:t>交流耐压试验：试验电压按照38KV对地进行（只做装在移动小车上的互感器），试验标准为无闪络击穿。</w:t>
            </w:r>
          </w:p>
          <w:p>
            <w:pPr>
              <w:pStyle w:val="17"/>
              <w:numPr>
                <w:ilvl w:val="0"/>
                <w:numId w:val="26"/>
              </w:numPr>
              <w:tabs>
                <w:tab w:val="left" w:pos="220"/>
                <w:tab w:val="clear" w:pos="312"/>
              </w:tabs>
              <w:spacing w:line="360" w:lineRule="auto"/>
              <w:ind w:firstLine="0" w:firstLineChars="0"/>
              <w:rPr>
                <w:rFonts w:ascii="宋体" w:hAnsi="宋体" w:eastAsia="宋体" w:cs="宋体"/>
                <w:szCs w:val="21"/>
              </w:rPr>
            </w:pPr>
            <w:r>
              <w:rPr>
                <w:rFonts w:hint="eastAsia" w:ascii="宋体" w:hAnsi="宋体" w:eastAsia="宋体" w:cs="宋体"/>
                <w:bCs/>
                <w:szCs w:val="21"/>
              </w:rPr>
              <w:t>绝缘电阻：不低于出厂值或初始值的70%，只做装在小车上的互感器。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宋体" w:hAnsi="宋体" w:cs="宋体"/>
                <w:szCs w:val="21"/>
              </w:rPr>
            </w:pPr>
            <w:r>
              <w:rPr>
                <w:rFonts w:hint="eastAsia" w:ascii="宋体" w:hAnsi="宋体" w:cs="宋体"/>
                <w:szCs w:val="21"/>
              </w:rPr>
              <w:t>4</w:t>
            </w:r>
          </w:p>
        </w:tc>
        <w:tc>
          <w:tcPr>
            <w:tcW w:w="1560" w:type="dxa"/>
            <w:vAlign w:val="center"/>
          </w:tcPr>
          <w:p>
            <w:pPr>
              <w:rPr>
                <w:rFonts w:ascii="宋体" w:hAnsi="宋体" w:cs="宋体"/>
                <w:szCs w:val="21"/>
              </w:rPr>
            </w:pPr>
            <w:r>
              <w:rPr>
                <w:rFonts w:hint="eastAsia" w:ascii="宋体" w:hAnsi="宋体" w:cs="宋体"/>
                <w:bCs/>
                <w:szCs w:val="21"/>
              </w:rPr>
              <w:t>氧化锌避雷器</w:t>
            </w:r>
          </w:p>
        </w:tc>
        <w:tc>
          <w:tcPr>
            <w:tcW w:w="7166" w:type="dxa"/>
          </w:tcPr>
          <w:p>
            <w:pPr>
              <w:tabs>
                <w:tab w:val="left" w:pos="531"/>
              </w:tabs>
              <w:spacing w:line="360" w:lineRule="auto"/>
              <w:jc w:val="left"/>
              <w:rPr>
                <w:rFonts w:ascii="宋体" w:hAnsi="宋体" w:cs="宋体"/>
                <w:szCs w:val="21"/>
              </w:rPr>
            </w:pPr>
            <w:r>
              <w:rPr>
                <w:rFonts w:hint="eastAsia" w:ascii="宋体" w:hAnsi="宋体" w:cs="宋体"/>
                <w:bCs/>
                <w:szCs w:val="21"/>
              </w:rPr>
              <w:t>测量绝缘电阻：不小于1000兆欧。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宋体" w:hAnsi="宋体" w:cs="宋体"/>
                <w:szCs w:val="21"/>
              </w:rPr>
            </w:pPr>
            <w:r>
              <w:rPr>
                <w:rFonts w:hint="eastAsia" w:ascii="宋体" w:hAnsi="宋体" w:cs="宋体"/>
                <w:szCs w:val="21"/>
              </w:rPr>
              <w:t>5</w:t>
            </w:r>
          </w:p>
        </w:tc>
        <w:tc>
          <w:tcPr>
            <w:tcW w:w="1560" w:type="dxa"/>
            <w:vAlign w:val="center"/>
          </w:tcPr>
          <w:p>
            <w:pPr>
              <w:pStyle w:val="17"/>
              <w:tabs>
                <w:tab w:val="left" w:pos="531"/>
              </w:tabs>
              <w:spacing w:line="360" w:lineRule="auto"/>
              <w:ind w:firstLine="0" w:firstLineChars="0"/>
              <w:rPr>
                <w:rFonts w:ascii="宋体" w:hAnsi="宋体" w:cs="宋体"/>
                <w:szCs w:val="21"/>
              </w:rPr>
            </w:pPr>
            <w:r>
              <w:rPr>
                <w:rFonts w:hint="eastAsia" w:ascii="宋体" w:hAnsi="宋体" w:eastAsia="宋体" w:cs="宋体"/>
                <w:bCs/>
                <w:szCs w:val="21"/>
              </w:rPr>
              <w:t>绝缘子</w:t>
            </w:r>
          </w:p>
        </w:tc>
        <w:tc>
          <w:tcPr>
            <w:tcW w:w="7166" w:type="dxa"/>
          </w:tcPr>
          <w:p>
            <w:pPr>
              <w:tabs>
                <w:tab w:val="left" w:pos="420"/>
              </w:tabs>
              <w:spacing w:line="360" w:lineRule="auto"/>
              <w:jc w:val="left"/>
              <w:rPr>
                <w:rFonts w:ascii="宋体" w:hAnsi="宋体" w:cs="宋体"/>
                <w:szCs w:val="21"/>
              </w:rPr>
            </w:pPr>
            <w:r>
              <w:rPr>
                <w:rFonts w:hint="eastAsia" w:ascii="宋体" w:hAnsi="宋体" w:cs="宋体"/>
                <w:bCs/>
                <w:szCs w:val="21"/>
              </w:rPr>
              <w:t>运行在10KV电压的固体有机绝缘子按38KV进行，试验标准为无闪络击穿，耐压前后测量绝缘电阻无明显变化。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30" w:type="dxa"/>
            <w:gridSpan w:val="3"/>
          </w:tcPr>
          <w:p>
            <w:pPr>
              <w:tabs>
                <w:tab w:val="left" w:pos="531"/>
              </w:tabs>
              <w:snapToGrid w:val="0"/>
              <w:spacing w:line="360" w:lineRule="auto"/>
              <w:ind w:left="105" w:leftChars="50"/>
              <w:jc w:val="center"/>
              <w:rPr>
                <w:rFonts w:ascii="宋体" w:hAnsi="宋体" w:cs="宋体"/>
                <w:szCs w:val="21"/>
              </w:rPr>
            </w:pPr>
            <w:r>
              <w:rPr>
                <w:rFonts w:hint="eastAsia" w:ascii="宋体" w:hAnsi="宋体" w:cs="宋体"/>
                <w:b/>
                <w:bCs/>
                <w:szCs w:val="21"/>
              </w:rPr>
              <w:t>环网柜（17面）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宋体" w:hAnsi="宋体" w:cs="宋体"/>
                <w:szCs w:val="21"/>
              </w:rPr>
            </w:pPr>
            <w:r>
              <w:rPr>
                <w:rFonts w:hint="eastAsia" w:ascii="宋体" w:hAnsi="宋体" w:cs="宋体"/>
                <w:szCs w:val="21"/>
              </w:rPr>
              <w:t>1</w:t>
            </w:r>
          </w:p>
        </w:tc>
        <w:tc>
          <w:tcPr>
            <w:tcW w:w="1560" w:type="dxa"/>
            <w:vAlign w:val="center"/>
          </w:tcPr>
          <w:p>
            <w:pPr>
              <w:rPr>
                <w:rFonts w:ascii="宋体" w:hAnsi="宋体" w:cs="宋体"/>
                <w:szCs w:val="21"/>
              </w:rPr>
            </w:pPr>
            <w:r>
              <w:rPr>
                <w:rFonts w:hint="eastAsia" w:ascii="宋体" w:hAnsi="宋体" w:cs="宋体"/>
                <w:bCs/>
                <w:szCs w:val="21"/>
              </w:rPr>
              <w:t>测量绝缘电阻</w:t>
            </w:r>
          </w:p>
        </w:tc>
        <w:tc>
          <w:tcPr>
            <w:tcW w:w="7166" w:type="dxa"/>
          </w:tcPr>
          <w:p>
            <w:pPr>
              <w:jc w:val="left"/>
              <w:rPr>
                <w:rFonts w:ascii="宋体" w:hAnsi="宋体" w:cs="宋体"/>
                <w:szCs w:val="21"/>
              </w:rPr>
            </w:pPr>
            <w:r>
              <w:rPr>
                <w:rFonts w:hint="eastAsia" w:ascii="宋体" w:hAnsi="宋体" w:cs="宋体"/>
                <w:bCs/>
                <w:szCs w:val="21"/>
              </w:rPr>
              <w:t>绝缘拉杆的绝缘电阻值，在常温下不应低于300兆欧。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宋体" w:hAnsi="宋体" w:cs="宋体"/>
                <w:szCs w:val="21"/>
              </w:rPr>
            </w:pPr>
            <w:r>
              <w:rPr>
                <w:rFonts w:hint="eastAsia" w:ascii="宋体" w:hAnsi="宋体" w:cs="宋体"/>
                <w:szCs w:val="21"/>
              </w:rPr>
              <w:t>2</w:t>
            </w:r>
          </w:p>
        </w:tc>
        <w:tc>
          <w:tcPr>
            <w:tcW w:w="1560" w:type="dxa"/>
            <w:vAlign w:val="center"/>
          </w:tcPr>
          <w:p>
            <w:pPr>
              <w:rPr>
                <w:rFonts w:ascii="宋体" w:hAnsi="宋体" w:cs="宋体"/>
                <w:szCs w:val="21"/>
              </w:rPr>
            </w:pPr>
            <w:r>
              <w:rPr>
                <w:rFonts w:hint="eastAsia" w:ascii="宋体" w:hAnsi="宋体" w:cs="宋体"/>
                <w:bCs/>
                <w:szCs w:val="21"/>
              </w:rPr>
              <w:t>交流耐压试验</w:t>
            </w:r>
          </w:p>
        </w:tc>
        <w:tc>
          <w:tcPr>
            <w:tcW w:w="7166" w:type="dxa"/>
          </w:tcPr>
          <w:p>
            <w:pPr>
              <w:pStyle w:val="17"/>
              <w:numPr>
                <w:ilvl w:val="255"/>
                <w:numId w:val="0"/>
              </w:numPr>
              <w:tabs>
                <w:tab w:val="left" w:pos="531"/>
              </w:tabs>
              <w:spacing w:line="360" w:lineRule="auto"/>
              <w:rPr>
                <w:rFonts w:ascii="宋体" w:hAnsi="宋体" w:eastAsia="宋体" w:cs="宋体"/>
                <w:bCs/>
                <w:szCs w:val="21"/>
              </w:rPr>
            </w:pPr>
            <w:r>
              <w:rPr>
                <w:rFonts w:hint="eastAsia" w:ascii="宋体" w:hAnsi="宋体" w:eastAsia="宋体" w:cs="宋体"/>
                <w:bCs/>
                <w:szCs w:val="21"/>
              </w:rPr>
              <w:t>断路器的交流耐压试验应在分、合闸状态下分别进行，设备对地及相间的试验电压按照：</w:t>
            </w:r>
          </w:p>
          <w:p>
            <w:pPr>
              <w:pStyle w:val="17"/>
              <w:numPr>
                <w:ilvl w:val="0"/>
                <w:numId w:val="27"/>
              </w:numPr>
              <w:tabs>
                <w:tab w:val="left" w:pos="531"/>
                <w:tab w:val="clear" w:pos="312"/>
              </w:tabs>
              <w:spacing w:line="360" w:lineRule="auto"/>
              <w:ind w:firstLine="0" w:firstLineChars="0"/>
              <w:jc w:val="center"/>
              <w:rPr>
                <w:rFonts w:ascii="宋体" w:hAnsi="宋体" w:cs="宋体"/>
                <w:szCs w:val="21"/>
              </w:rPr>
            </w:pPr>
            <w:r>
              <w:rPr>
                <w:rFonts w:hint="eastAsia" w:ascii="宋体" w:hAnsi="宋体" w:eastAsia="宋体" w:cs="宋体"/>
                <w:bCs/>
                <w:szCs w:val="21"/>
              </w:rPr>
              <w:t>断路器连接如互感器等绝缘水平较低设备，不能分离试验时，按最低耐压试验电压标准；</w:t>
            </w:r>
          </w:p>
          <w:p>
            <w:pPr>
              <w:pStyle w:val="17"/>
              <w:numPr>
                <w:ilvl w:val="0"/>
                <w:numId w:val="27"/>
              </w:numPr>
              <w:tabs>
                <w:tab w:val="left" w:pos="531"/>
                <w:tab w:val="clear" w:pos="312"/>
              </w:tabs>
              <w:spacing w:line="360" w:lineRule="auto"/>
              <w:ind w:firstLine="0" w:firstLineChars="0"/>
              <w:jc w:val="center"/>
              <w:rPr>
                <w:rFonts w:ascii="宋体" w:hAnsi="宋体" w:cs="宋体"/>
                <w:szCs w:val="21"/>
              </w:rPr>
            </w:pPr>
            <w:r>
              <w:rPr>
                <w:rFonts w:hint="eastAsia" w:ascii="宋体" w:hAnsi="宋体" w:eastAsia="宋体" w:cs="宋体"/>
                <w:bCs/>
                <w:szCs w:val="21"/>
              </w:rPr>
              <w:t>进口开关设备其绝缘水平低于42KV，按28KV进行。试验标准为无闪络击穿。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3"/>
          </w:tcPr>
          <w:p>
            <w:pPr>
              <w:jc w:val="center"/>
              <w:rPr>
                <w:rFonts w:ascii="宋体" w:hAnsi="宋体" w:cs="宋体"/>
                <w:szCs w:val="21"/>
              </w:rPr>
            </w:pPr>
            <w:r>
              <w:rPr>
                <w:rFonts w:hint="eastAsia" w:ascii="宋体" w:hAnsi="宋体" w:cs="宋体"/>
                <w:b/>
                <w:bCs/>
                <w:szCs w:val="21"/>
              </w:rPr>
              <w:t>微机保护装置（54台）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宋体" w:hAnsi="宋体" w:cs="宋体"/>
                <w:szCs w:val="21"/>
              </w:rPr>
            </w:pPr>
            <w:r>
              <w:rPr>
                <w:rFonts w:hint="eastAsia" w:ascii="宋体" w:hAnsi="宋体" w:cs="宋体"/>
                <w:szCs w:val="21"/>
              </w:rPr>
              <w:t>1</w:t>
            </w:r>
          </w:p>
        </w:tc>
        <w:tc>
          <w:tcPr>
            <w:tcW w:w="1560" w:type="dxa"/>
            <w:vAlign w:val="center"/>
          </w:tcPr>
          <w:p>
            <w:pPr>
              <w:rPr>
                <w:rFonts w:ascii="宋体" w:hAnsi="宋体" w:cs="宋体"/>
                <w:szCs w:val="21"/>
              </w:rPr>
            </w:pPr>
            <w:r>
              <w:rPr>
                <w:rFonts w:hint="eastAsia" w:ascii="宋体" w:hAnsi="宋体" w:cs="宋体"/>
                <w:bCs/>
                <w:szCs w:val="21"/>
              </w:rPr>
              <w:t>通讯测试</w:t>
            </w:r>
          </w:p>
        </w:tc>
        <w:tc>
          <w:tcPr>
            <w:tcW w:w="7166" w:type="dxa"/>
          </w:tcPr>
          <w:p>
            <w:pPr>
              <w:pStyle w:val="17"/>
              <w:numPr>
                <w:ilvl w:val="255"/>
                <w:numId w:val="0"/>
              </w:numPr>
              <w:tabs>
                <w:tab w:val="left" w:pos="531"/>
              </w:tabs>
              <w:spacing w:line="360" w:lineRule="auto"/>
              <w:ind w:left="-53" w:leftChars="-25"/>
              <w:jc w:val="center"/>
              <w:rPr>
                <w:rFonts w:ascii="宋体" w:hAnsi="宋体" w:cs="宋体"/>
                <w:szCs w:val="21"/>
              </w:rPr>
            </w:pPr>
            <w:r>
              <w:rPr>
                <w:rFonts w:hint="eastAsia" w:ascii="宋体" w:hAnsi="宋体" w:eastAsia="宋体" w:cs="宋体"/>
                <w:bCs/>
                <w:szCs w:val="21"/>
              </w:rPr>
              <w:t>对设备的通讯链路进行测试。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宋体" w:hAnsi="宋体" w:cs="宋体"/>
                <w:szCs w:val="21"/>
              </w:rPr>
            </w:pPr>
            <w:r>
              <w:rPr>
                <w:rFonts w:hint="eastAsia" w:ascii="宋体" w:hAnsi="宋体" w:cs="宋体"/>
                <w:szCs w:val="21"/>
              </w:rPr>
              <w:t>2</w:t>
            </w:r>
          </w:p>
        </w:tc>
        <w:tc>
          <w:tcPr>
            <w:tcW w:w="1560" w:type="dxa"/>
            <w:vAlign w:val="center"/>
          </w:tcPr>
          <w:p>
            <w:pPr>
              <w:rPr>
                <w:rFonts w:ascii="宋体" w:hAnsi="宋体" w:cs="宋体"/>
                <w:szCs w:val="21"/>
              </w:rPr>
            </w:pPr>
            <w:r>
              <w:rPr>
                <w:rFonts w:hint="eastAsia" w:ascii="宋体" w:hAnsi="宋体" w:cs="宋体"/>
                <w:bCs/>
                <w:szCs w:val="21"/>
              </w:rPr>
              <w:t>保护功能测试</w:t>
            </w:r>
          </w:p>
        </w:tc>
        <w:tc>
          <w:tcPr>
            <w:tcW w:w="7166" w:type="dxa"/>
          </w:tcPr>
          <w:p>
            <w:pPr>
              <w:jc w:val="left"/>
              <w:rPr>
                <w:rFonts w:ascii="宋体" w:hAnsi="宋体" w:cs="宋体"/>
                <w:szCs w:val="21"/>
              </w:rPr>
            </w:pPr>
            <w:r>
              <w:rPr>
                <w:rFonts w:hint="eastAsia" w:ascii="宋体" w:hAnsi="宋体" w:cs="宋体"/>
                <w:bCs/>
                <w:szCs w:val="21"/>
              </w:rPr>
              <w:t>相过流保护， 接地故障/敏感接地故障，负荷不平衡、负序电流保护，断线监视，过压保护，低压保护，负序过压。各项保护参数核检，确保保护功能正常，通讯正常。</w:t>
            </w:r>
          </w:p>
        </w:tc>
      </w:tr>
    </w:tbl>
    <w:p>
      <w:pPr>
        <w:jc w:val="center"/>
        <w:rPr>
          <w:rFonts w:ascii="宋体" w:hAnsi="宋体" w:cs="宋体"/>
          <w:szCs w:val="21"/>
        </w:rPr>
      </w:pPr>
    </w:p>
    <w:p>
      <w:pPr>
        <w:jc w:val="center"/>
        <w:rPr>
          <w:rFonts w:ascii="宋体" w:hAnsi="宋体" w:cs="宋体"/>
          <w:szCs w:val="21"/>
        </w:rPr>
      </w:pPr>
    </w:p>
    <w:p>
      <w:pPr>
        <w:pStyle w:val="2"/>
      </w:pPr>
    </w:p>
    <w:p>
      <w:pPr>
        <w:spacing w:line="360" w:lineRule="auto"/>
        <w:jc w:val="center"/>
        <w:outlineLvl w:val="0"/>
        <w:rPr>
          <w:rFonts w:ascii="方正小标宋_GBK" w:hAnsi="方正小标宋_GBK" w:eastAsia="方正小标宋_GBK"/>
          <w:b/>
          <w:sz w:val="32"/>
          <w:szCs w:val="32"/>
        </w:rPr>
      </w:pPr>
      <w:bookmarkStart w:id="54" w:name="_Toc90837892"/>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spacing w:line="360" w:lineRule="auto"/>
        <w:jc w:val="center"/>
        <w:outlineLvl w:val="0"/>
        <w:rPr>
          <w:rFonts w:ascii="方正小标宋_GBK" w:hAnsi="方正小标宋_GBK" w:eastAsia="方正小标宋_GBK"/>
          <w:b/>
          <w:sz w:val="32"/>
          <w:szCs w:val="32"/>
        </w:rPr>
      </w:pPr>
    </w:p>
    <w:p>
      <w:pPr>
        <w:spacing w:line="360" w:lineRule="auto"/>
        <w:jc w:val="center"/>
        <w:outlineLvl w:val="0"/>
        <w:rPr>
          <w:rFonts w:ascii="方正小标宋_GBK" w:hAnsi="方正小标宋_GBK" w:eastAsia="方正小标宋_GBK"/>
          <w:b/>
          <w:sz w:val="32"/>
          <w:szCs w:val="32"/>
        </w:rPr>
      </w:pPr>
      <w:r>
        <w:rPr>
          <w:rFonts w:hint="eastAsia" w:ascii="方正小标宋_GBK" w:hAnsi="方正小标宋_GBK" w:eastAsia="方正小标宋_GBK"/>
          <w:b/>
          <w:sz w:val="32"/>
          <w:szCs w:val="32"/>
        </w:rPr>
        <w:t>第五部分：参考附件</w:t>
      </w:r>
      <w:bookmarkEnd w:id="54"/>
    </w:p>
    <w:p>
      <w:pPr>
        <w:spacing w:line="0" w:lineRule="atLeast"/>
        <w:outlineLvl w:val="1"/>
        <w:rPr>
          <w:rFonts w:ascii="宋体" w:hAnsi="宋体"/>
          <w:szCs w:val="21"/>
        </w:rPr>
      </w:pPr>
      <w:bookmarkStart w:id="55" w:name="_Toc90837893"/>
      <w:r>
        <w:rPr>
          <w:rFonts w:hint="eastAsia" w:ascii="宋体" w:hAnsi="宋体"/>
          <w:szCs w:val="21"/>
        </w:rPr>
        <w:t>附件1：投标函</w:t>
      </w:r>
      <w:bookmarkEnd w:id="55"/>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6" w:name="_Toc90837894"/>
      <w:r>
        <w:rPr>
          <w:rFonts w:hint="eastAsia" w:ascii="宋体" w:hAnsi="宋体"/>
          <w:szCs w:val="21"/>
        </w:rPr>
        <w:t>附件</w:t>
      </w:r>
      <w:r>
        <w:rPr>
          <w:rFonts w:ascii="宋体" w:hAnsi="宋体"/>
          <w:szCs w:val="21"/>
        </w:rPr>
        <w:t>2</w:t>
      </w:r>
      <w:r>
        <w:rPr>
          <w:rFonts w:hint="eastAsia" w:ascii="宋体" w:hAnsi="宋体"/>
          <w:szCs w:val="21"/>
        </w:rPr>
        <w:t>：投标一览表</w:t>
      </w:r>
      <w:bookmarkEnd w:id="56"/>
    </w:p>
    <w:tbl>
      <w:tblPr>
        <w:tblStyle w:val="11"/>
        <w:tblpPr w:leftFromText="180" w:rightFromText="180" w:vertAnchor="text" w:horzAnchor="margin" w:tblpY="15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4" w:type="dxa"/>
            <w:vAlign w:val="center"/>
          </w:tcPr>
          <w:p>
            <w:pPr>
              <w:widowControl/>
              <w:jc w:val="center"/>
              <w:rPr>
                <w:rFonts w:ascii="宋体" w:hAnsi="宋体"/>
                <w:b/>
                <w:szCs w:val="21"/>
              </w:rPr>
            </w:pPr>
            <w:r>
              <w:rPr>
                <w:rFonts w:hint="eastAsia" w:ascii="宋体" w:hAnsi="宋体"/>
                <w:b/>
                <w:szCs w:val="21"/>
              </w:rPr>
              <w:t>序号</w:t>
            </w:r>
          </w:p>
        </w:tc>
        <w:tc>
          <w:tcPr>
            <w:tcW w:w="2693"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c>
          <w:tcPr>
            <w:tcW w:w="2552"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（投标人填写</w:t>
            </w:r>
            <w:r>
              <w:rPr>
                <w:rFonts w:ascii="宋体" w:hAnsi="宋体"/>
                <w:b/>
                <w:szCs w:val="21"/>
              </w:rPr>
              <w:t>）</w:t>
            </w:r>
          </w:p>
        </w:tc>
        <w:tc>
          <w:tcPr>
            <w:tcW w:w="2268" w:type="dxa"/>
            <w:vAlign w:val="center"/>
          </w:tcPr>
          <w:p>
            <w:pPr>
              <w:widowControl/>
              <w:jc w:val="center"/>
              <w:rPr>
                <w:rFonts w:ascii="宋体" w:hAnsi="宋体"/>
                <w:b/>
                <w:szCs w:val="21"/>
              </w:rPr>
            </w:pPr>
            <w:r>
              <w:rPr>
                <w:rFonts w:hint="eastAsia" w:ascii="宋体" w:hAnsi="宋体"/>
                <w:b/>
                <w:szCs w:val="21"/>
              </w:rPr>
              <w:t>备注</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4" w:type="dxa"/>
            <w:vAlign w:val="center"/>
          </w:tcPr>
          <w:p>
            <w:pPr>
              <w:pStyle w:val="17"/>
              <w:widowControl/>
              <w:numPr>
                <w:ilvl w:val="0"/>
                <w:numId w:val="28"/>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含税总报价（元</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17"/>
              <w:widowControl/>
              <w:numPr>
                <w:ilvl w:val="0"/>
                <w:numId w:val="28"/>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工期（自然日</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17"/>
              <w:widowControl/>
              <w:numPr>
                <w:ilvl w:val="0"/>
                <w:numId w:val="28"/>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项目负责人（资质证书</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17"/>
              <w:widowControl/>
              <w:numPr>
                <w:ilvl w:val="0"/>
                <w:numId w:val="28"/>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安全管理员（资质证书</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17"/>
              <w:widowControl/>
              <w:numPr>
                <w:ilvl w:val="0"/>
                <w:numId w:val="28"/>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投标人备注</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bl>
    <w:p>
      <w:pPr>
        <w:widowControl/>
        <w:jc w:val="center"/>
        <w:rPr>
          <w:rFonts w:ascii="仿宋" w:hAnsi="仿宋" w:eastAsia="仿宋"/>
          <w:sz w:val="28"/>
          <w:szCs w:val="28"/>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r>
        <w:rPr>
          <w:rFonts w:hint="eastAsia" w:ascii="仿宋" w:hAnsi="仿宋" w:eastAsia="仿宋"/>
          <w:szCs w:val="21"/>
        </w:rPr>
        <w:t>说明：表中内容需根据具体项目调整</w:t>
      </w: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ascii="宋体" w:hAnsi="宋体"/>
          <w:szCs w:val="21"/>
        </w:rPr>
      </w:pPr>
      <w:bookmarkStart w:id="57" w:name="_Toc90837895"/>
      <w:r>
        <w:rPr>
          <w:rFonts w:hint="eastAsia" w:ascii="宋体" w:hAnsi="宋体"/>
          <w:szCs w:val="21"/>
        </w:rPr>
        <w:t>附件</w:t>
      </w:r>
      <w:r>
        <w:rPr>
          <w:rFonts w:ascii="宋体" w:hAnsi="宋体"/>
          <w:szCs w:val="21"/>
        </w:rPr>
        <w:t>3</w:t>
      </w:r>
      <w:r>
        <w:rPr>
          <w:rFonts w:hint="eastAsia" w:ascii="宋体" w:hAnsi="宋体"/>
          <w:szCs w:val="21"/>
        </w:rPr>
        <w:t>：考察证明</w:t>
      </w:r>
      <w:bookmarkEnd w:id="57"/>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cs="仿宋"/>
          <w:sz w:val="28"/>
          <w:szCs w:val="28"/>
        </w:rPr>
        <w:t>______________________（投标人名称）：</w:t>
      </w:r>
    </w:p>
    <w:p>
      <w:pPr>
        <w:pStyle w:val="2"/>
        <w:ind w:firstLine="570"/>
        <w:rPr>
          <w:rFonts w:ascii="仿宋" w:hAnsi="仿宋" w:eastAsia="仿宋"/>
          <w:sz w:val="28"/>
          <w:szCs w:val="28"/>
        </w:rPr>
      </w:pPr>
      <w:r>
        <w:rPr>
          <w:rFonts w:hint="eastAsia" w:ascii="仿宋" w:hAnsi="仿宋" w:eastAsia="仿宋" w:cs="仿宋"/>
          <w:sz w:val="28"/>
          <w:szCs w:val="28"/>
        </w:rPr>
        <w:t>你公司</w:t>
      </w:r>
      <w:r>
        <w:rPr>
          <w:rFonts w:hint="eastAsia" w:ascii="仿宋" w:hAnsi="仿宋" w:eastAsia="仿宋"/>
          <w:sz w:val="28"/>
          <w:szCs w:val="28"/>
        </w:rPr>
        <w:t>已于</w:t>
      </w:r>
      <w:r>
        <w:rPr>
          <w:rFonts w:hint="eastAsia" w:ascii="仿宋" w:hAnsi="仿宋" w:eastAsia="仿宋"/>
          <w:b/>
          <w:sz w:val="28"/>
          <w:szCs w:val="28"/>
        </w:rPr>
        <w:t>2022年__月__日</w:t>
      </w:r>
      <w:r>
        <w:rPr>
          <w:rFonts w:hint="eastAsia" w:ascii="仿宋" w:hAnsi="仿宋" w:eastAsia="仿宋"/>
          <w:sz w:val="28"/>
          <w:szCs w:val="28"/>
        </w:rPr>
        <w:t>参加了</w:t>
      </w:r>
      <w:r>
        <w:rPr>
          <w:rFonts w:hint="eastAsia" w:ascii="仿宋" w:hAnsi="仿宋" w:eastAsia="仿宋"/>
          <w:b/>
          <w:sz w:val="28"/>
          <w:szCs w:val="28"/>
        </w:rPr>
        <w:t>深圳会展中心中压开关柜环网柜检修和耐压测试</w:t>
      </w:r>
      <w:r>
        <w:rPr>
          <w:rFonts w:hint="eastAsia" w:ascii="仿宋" w:hAnsi="仿宋" w:eastAsia="仿宋"/>
          <w:b/>
          <w:sz w:val="28"/>
          <w:szCs w:val="28"/>
          <w:lang w:val="en-US" w:eastAsia="zh-CN"/>
        </w:rPr>
        <w:t>项目</w:t>
      </w:r>
      <w:r>
        <w:rPr>
          <w:rFonts w:hint="eastAsia" w:ascii="仿宋" w:hAnsi="仿宋" w:eastAsia="仿宋"/>
          <w:bCs/>
          <w:sz w:val="28"/>
          <w:szCs w:val="28"/>
        </w:rPr>
        <w:t>的现场考察</w:t>
      </w:r>
      <w:r>
        <w:rPr>
          <w:rFonts w:hint="eastAsia" w:ascii="仿宋" w:hAnsi="仿宋" w:eastAsia="仿宋"/>
          <w:sz w:val="28"/>
          <w:szCs w:val="28"/>
        </w:rPr>
        <w:t>，详细听取了采购人的讲解和要求，已经知晓采购人本次项目的所有内容以及技术要求等。</w:t>
      </w:r>
    </w:p>
    <w:p>
      <w:pPr>
        <w:pStyle w:val="2"/>
        <w:ind w:firstLine="570"/>
        <w:rPr>
          <w:rFonts w:ascii="仿宋" w:hAnsi="仿宋" w:eastAsia="仿宋" w:cs="仿宋"/>
          <w:sz w:val="28"/>
          <w:szCs w:val="28"/>
        </w:rPr>
      </w:pPr>
      <w:r>
        <w:rPr>
          <w:rFonts w:hint="eastAsia" w:ascii="仿宋" w:hAnsi="仿宋" w:eastAsia="仿宋" w:cs="仿宋"/>
          <w:sz w:val="28"/>
          <w:szCs w:val="28"/>
        </w:rPr>
        <w:t>特此证明。</w:t>
      </w:r>
    </w:p>
    <w:p>
      <w:pPr>
        <w:pStyle w:val="2"/>
        <w:ind w:firstLine="570"/>
        <w:rPr>
          <w:rFonts w:ascii="仿宋" w:hAnsi="仿宋" w:eastAsia="仿宋"/>
          <w:sz w:val="28"/>
          <w:szCs w:val="28"/>
        </w:rPr>
      </w:pPr>
      <w:r>
        <w:rPr>
          <w:rFonts w:hint="eastAsia" w:ascii="仿宋" w:hAnsi="仿宋" w:eastAsia="仿宋" w:cs="仿宋"/>
          <w:b/>
          <w:bCs/>
          <w:sz w:val="28"/>
          <w:szCs w:val="28"/>
        </w:rPr>
        <w:t>特别说明：</w:t>
      </w:r>
      <w:r>
        <w:rPr>
          <w:rFonts w:hint="eastAsia" w:ascii="仿宋" w:hAnsi="仿宋" w:eastAsia="仿宋" w:cs="仿宋"/>
          <w:sz w:val="28"/>
          <w:szCs w:val="28"/>
        </w:rPr>
        <w:t>若现场考察与</w:t>
      </w:r>
      <w:bookmarkStart w:id="58" w:name="_Hlk90204727"/>
      <w:r>
        <w:rPr>
          <w:rFonts w:hint="eastAsia" w:ascii="仿宋" w:hAnsi="仿宋" w:eastAsia="仿宋" w:cs="仿宋"/>
          <w:sz w:val="28"/>
          <w:szCs w:val="28"/>
        </w:rPr>
        <w:t>本项目</w:t>
      </w:r>
      <w:bookmarkEnd w:id="58"/>
      <w:r>
        <w:rPr>
          <w:rFonts w:hint="eastAsia" w:ascii="仿宋" w:hAnsi="仿宋" w:eastAsia="仿宋" w:cs="仿宋"/>
          <w:sz w:val="28"/>
          <w:szCs w:val="28"/>
        </w:rPr>
        <w:t>招标文件中载明的要求不一致时，以本项目招标文件中的要求为准。</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pStyle w:val="2"/>
        <w:ind w:firstLine="570"/>
        <w:jc w:val="right"/>
        <w:rPr>
          <w:rFonts w:ascii="仿宋" w:hAnsi="仿宋" w:eastAsia="仿宋" w:cs="仿宋"/>
          <w:sz w:val="28"/>
          <w:szCs w:val="28"/>
        </w:rPr>
      </w:pPr>
      <w:r>
        <w:rPr>
          <w:rFonts w:hint="eastAsia" w:ascii="仿宋" w:hAnsi="仿宋" w:eastAsia="仿宋" w:cs="仿宋"/>
          <w:sz w:val="28"/>
          <w:szCs w:val="28"/>
        </w:rPr>
        <w:t>采购人管理人员签字：________________</w:t>
      </w:r>
    </w:p>
    <w:p>
      <w:pPr>
        <w:pStyle w:val="2"/>
        <w:ind w:firstLine="570"/>
        <w:jc w:val="right"/>
        <w:rPr>
          <w:rFonts w:ascii="仿宋" w:hAnsi="仿宋" w:eastAsia="仿宋" w:cs="仿宋"/>
          <w:sz w:val="28"/>
          <w:szCs w:val="28"/>
        </w:rPr>
      </w:pPr>
      <w:r>
        <w:rPr>
          <w:rFonts w:hint="eastAsia" w:ascii="仿宋" w:hAnsi="仿宋" w:eastAsia="仿宋" w:cs="仿宋"/>
          <w:sz w:val="28"/>
          <w:szCs w:val="28"/>
        </w:rPr>
        <w:t xml:space="preserve">              日期：______年__月__日</w:t>
      </w: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9" w:name="_Toc90837896"/>
      <w:r>
        <w:rPr>
          <w:rFonts w:hint="eastAsia" w:ascii="宋体" w:hAnsi="宋体"/>
          <w:szCs w:val="21"/>
        </w:rPr>
        <w:t>附件</w:t>
      </w:r>
      <w:r>
        <w:rPr>
          <w:rFonts w:ascii="宋体" w:hAnsi="宋体"/>
          <w:szCs w:val="21"/>
        </w:rPr>
        <w:t>4</w:t>
      </w:r>
      <w:r>
        <w:rPr>
          <w:rFonts w:hint="eastAsia" w:ascii="宋体" w:hAnsi="宋体"/>
          <w:szCs w:val="21"/>
        </w:rPr>
        <w:t>：技术服务响应/偏离表</w:t>
      </w:r>
      <w:bookmarkEnd w:id="5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0" w:name="_Toc211248418"/>
      <w:r>
        <w:rPr>
          <w:rFonts w:hint="eastAsia" w:ascii="方正小标宋_GBK" w:hAnsi="方正小标宋_GBK" w:eastAsia="方正小标宋_GBK"/>
          <w:b/>
          <w:sz w:val="32"/>
          <w:szCs w:val="32"/>
        </w:rPr>
        <w:t>技术服务响应/偏离表</w:t>
      </w:r>
      <w:bookmarkEnd w:id="6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1"/>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1.本表中的《招标文件技术服务》来自于招标文件的《项目要求及数量》中的“技术服务要求”，投标人须逐条填写在本表中，并对《投标人响应》下的三栏要求做出响应。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w:t>
      </w:r>
      <w:r>
        <w:rPr>
          <w:rFonts w:hint="eastAsia" w:ascii="仿宋" w:hAnsi="仿宋" w:eastAsia="仿宋"/>
          <w:color w:val="FF0000"/>
          <w:sz w:val="28"/>
          <w:szCs w:val="28"/>
        </w:rPr>
        <w:t>做出</w:t>
      </w:r>
      <w:r>
        <w:rPr>
          <w:rFonts w:ascii="仿宋" w:hAnsi="仿宋" w:eastAsia="仿宋"/>
          <w:color w:val="FF0000"/>
          <w:sz w:val="28"/>
          <w:szCs w:val="28"/>
        </w:rPr>
        <w:t>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1"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1"/>
      <w:bookmarkStart w:id="62" w:name="_Toc246480945"/>
      <w:bookmarkStart w:id="63" w:name="_Toc236803114"/>
      <w:r>
        <w:rPr>
          <w:rFonts w:ascii="仿宋" w:hAnsi="仿宋" w:eastAsia="仿宋"/>
          <w:sz w:val="28"/>
          <w:szCs w:val="28"/>
        </w:rPr>
        <w:br w:type="page"/>
      </w:r>
    </w:p>
    <w:p>
      <w:pPr>
        <w:spacing w:line="0" w:lineRule="atLeast"/>
        <w:outlineLvl w:val="1"/>
        <w:rPr>
          <w:rFonts w:ascii="宋体" w:hAnsi="宋体"/>
          <w:szCs w:val="21"/>
        </w:rPr>
      </w:pPr>
      <w:bookmarkStart w:id="64" w:name="_Toc90837897"/>
      <w:r>
        <w:rPr>
          <w:rFonts w:hint="eastAsia" w:ascii="宋体" w:hAnsi="宋体"/>
          <w:szCs w:val="21"/>
        </w:rPr>
        <w:t>附件</w:t>
      </w:r>
      <w:r>
        <w:rPr>
          <w:rFonts w:ascii="宋体" w:hAnsi="宋体"/>
          <w:szCs w:val="21"/>
        </w:rPr>
        <w:t>5</w:t>
      </w:r>
      <w:r>
        <w:rPr>
          <w:rFonts w:hint="eastAsia" w:ascii="宋体" w:hAnsi="宋体"/>
          <w:szCs w:val="21"/>
        </w:rPr>
        <w:t>：商务条款响应/偏离表</w:t>
      </w:r>
      <w:bookmarkEnd w:id="62"/>
      <w:bookmarkEnd w:id="63"/>
      <w:bookmarkEnd w:id="6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5" w:name="_Toc211248420"/>
      <w:r>
        <w:rPr>
          <w:rFonts w:hint="eastAsia" w:ascii="方正小标宋_GBK" w:hAnsi="方正小标宋_GBK" w:eastAsia="方正小标宋_GBK"/>
          <w:b/>
          <w:sz w:val="32"/>
          <w:szCs w:val="32"/>
        </w:rPr>
        <w:t>商务条款响应/偏离表</w:t>
      </w:r>
      <w:bookmarkEnd w:id="6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1"/>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的《项目要求及数量》中的“商务要求”，投标人须逐条填写在本表中，并对《投标人响应》下的三栏要求做出响应。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w:t>
      </w:r>
      <w:r>
        <w:rPr>
          <w:rFonts w:hint="eastAsia" w:ascii="仿宋" w:hAnsi="仿宋" w:eastAsia="仿宋"/>
          <w:color w:val="FF0000"/>
          <w:sz w:val="28"/>
          <w:szCs w:val="28"/>
        </w:rPr>
        <w:t>做出</w:t>
      </w:r>
      <w:r>
        <w:rPr>
          <w:rFonts w:ascii="仿宋" w:hAnsi="仿宋" w:eastAsia="仿宋"/>
          <w:color w:val="FF0000"/>
          <w:sz w:val="28"/>
          <w:szCs w:val="28"/>
        </w:rPr>
        <w:t>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hint="eastAsia" w:ascii="仿宋" w:hAnsi="仿宋" w:eastAsia="仿宋"/>
          <w:sz w:val="28"/>
          <w:szCs w:val="28"/>
        </w:rPr>
      </w:pPr>
      <w:r>
        <w:rPr>
          <w:rFonts w:hint="eastAsia" w:ascii="仿宋" w:hAnsi="仿宋" w:eastAsia="仿宋"/>
          <w:sz w:val="28"/>
          <w:szCs w:val="28"/>
        </w:rPr>
        <w:t>日期：________年____月____日</w:t>
      </w:r>
      <w:bookmarkStart w:id="66" w:name="_Toc82095917"/>
      <w:bookmarkStart w:id="67" w:name="_Toc82359026"/>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ascii="仿宋" w:hAnsi="仿宋" w:eastAsia="仿宋"/>
          <w:sz w:val="28"/>
          <w:szCs w:val="28"/>
        </w:rPr>
      </w:pPr>
      <w:r>
        <w:rPr>
          <w:rFonts w:ascii="仿宋" w:hAnsi="仿宋" w:eastAsia="仿宋"/>
          <w:sz w:val="28"/>
          <w:szCs w:val="28"/>
        </w:rPr>
        <w:br w:type="page"/>
      </w:r>
    </w:p>
    <w:bookmarkEnd w:id="66"/>
    <w:bookmarkEnd w:id="67"/>
    <w:p>
      <w:pPr>
        <w:spacing w:line="0" w:lineRule="atLeast"/>
        <w:outlineLvl w:val="1"/>
        <w:rPr>
          <w:rFonts w:hint="eastAsia" w:ascii="宋体" w:hAnsi="宋体"/>
          <w:szCs w:val="21"/>
        </w:rPr>
      </w:pPr>
      <w:bookmarkStart w:id="68" w:name="_Toc100674989"/>
      <w:bookmarkStart w:id="69" w:name="_Toc90837899"/>
      <w:r>
        <w:rPr>
          <w:rFonts w:hint="eastAsia" w:ascii="宋体" w:hAnsi="宋体"/>
          <w:szCs w:val="21"/>
        </w:rPr>
        <w:t>附件6</w:t>
      </w:r>
      <w:r>
        <w:rPr>
          <w:rFonts w:hint="eastAsia" w:ascii="宋体" w:hAnsi="宋体"/>
          <w:szCs w:val="21"/>
        </w:rPr>
        <w:t>：报价一览表（货物）（本项目不适用）</w:t>
      </w:r>
      <w:bookmarkEnd w:id="68"/>
    </w:p>
    <w:p>
      <w:pPr>
        <w:spacing w:before="120" w:after="240"/>
        <w:jc w:val="center"/>
        <w:rPr>
          <w:rFonts w:ascii="宋体" w:hAnsi="宋体"/>
          <w:b/>
          <w:sz w:val="32"/>
          <w:szCs w:val="32"/>
        </w:rPr>
      </w:pPr>
      <w:bookmarkStart w:id="70" w:name="_Toc211248412"/>
      <w:r>
        <w:rPr>
          <w:rFonts w:hint="eastAsia" w:ascii="方正小标宋_GBK" w:hAnsi="方正小标宋_GBK" w:eastAsia="方正小标宋_GBK"/>
          <w:b/>
          <w:sz w:val="32"/>
          <w:szCs w:val="32"/>
        </w:rPr>
        <w:t>报价一览表</w:t>
      </w:r>
      <w:bookmarkEnd w:id="7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1"/>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4"/>
        </w:rPr>
      </w:pPr>
      <w:r>
        <w:rPr>
          <w:rFonts w:hint="eastAsia" w:ascii="仿宋" w:hAnsi="仿宋" w:eastAsia="仿宋"/>
          <w:sz w:val="24"/>
        </w:rPr>
        <w:t>注：</w:t>
      </w:r>
    </w:p>
    <w:p>
      <w:pPr>
        <w:pStyle w:val="17"/>
        <w:numPr>
          <w:ilvl w:val="1"/>
          <w:numId w:val="31"/>
        </w:numPr>
        <w:spacing w:line="400" w:lineRule="exact"/>
        <w:ind w:left="709" w:hanging="283" w:firstLineChars="0"/>
        <w:rPr>
          <w:rFonts w:ascii="仿宋" w:hAnsi="仿宋" w:eastAsia="仿宋"/>
          <w:sz w:val="24"/>
        </w:rPr>
      </w:pPr>
      <w:r>
        <w:rPr>
          <w:rFonts w:hint="eastAsia" w:ascii="仿宋" w:hAnsi="仿宋" w:eastAsia="仿宋"/>
          <w:sz w:val="24"/>
        </w:rPr>
        <w:t>投标人如果需要对报价或其它内容加以说明，可在备注一栏中填写。</w:t>
      </w:r>
    </w:p>
    <w:p>
      <w:pPr>
        <w:pStyle w:val="17"/>
        <w:numPr>
          <w:ilvl w:val="1"/>
          <w:numId w:val="31"/>
        </w:numPr>
        <w:spacing w:line="400" w:lineRule="exact"/>
        <w:ind w:left="709" w:hanging="283" w:firstLineChars="0"/>
        <w:rPr>
          <w:rFonts w:ascii="仿宋" w:hAnsi="仿宋" w:eastAsia="仿宋"/>
          <w:bCs/>
          <w:sz w:val="24"/>
        </w:rPr>
      </w:pPr>
      <w:r>
        <w:rPr>
          <w:rFonts w:hint="eastAsia" w:ascii="仿宋" w:hAnsi="仿宋" w:eastAsia="仿宋"/>
          <w:sz w:val="24"/>
        </w:rPr>
        <w:t>投标人</w:t>
      </w:r>
      <w:r>
        <w:rPr>
          <w:rFonts w:hint="eastAsia" w:ascii="仿宋" w:hAnsi="仿宋" w:eastAsia="仿宋"/>
          <w:bCs/>
          <w:sz w:val="24"/>
        </w:rPr>
        <w:t>使用本表或自由报价单格式报价均可，但应能清晰体现总报价及分项报价信息。</w:t>
      </w:r>
    </w:p>
    <w:p>
      <w:pPr>
        <w:pStyle w:val="17"/>
        <w:numPr>
          <w:ilvl w:val="1"/>
          <w:numId w:val="31"/>
        </w:numPr>
        <w:spacing w:line="400" w:lineRule="exact"/>
        <w:ind w:left="709" w:hanging="283" w:firstLineChars="0"/>
        <w:rPr>
          <w:rFonts w:ascii="仿宋" w:hAnsi="仿宋" w:eastAsia="仿宋"/>
          <w:bCs/>
          <w:sz w:val="24"/>
        </w:rPr>
      </w:pPr>
      <w:r>
        <w:rPr>
          <w:rFonts w:hint="eastAsia" w:ascii="仿宋" w:hAnsi="仿宋" w:eastAsia="仿宋"/>
          <w:bCs/>
          <w:sz w:val="24"/>
        </w:rPr>
        <w:t>如果分项报价与总价不一致，以总价为准。</w:t>
      </w:r>
    </w:p>
    <w:p>
      <w:pPr>
        <w:pStyle w:val="17"/>
        <w:numPr>
          <w:ilvl w:val="1"/>
          <w:numId w:val="31"/>
        </w:numPr>
        <w:spacing w:line="400" w:lineRule="exact"/>
        <w:ind w:left="709" w:hanging="283" w:firstLineChars="0"/>
        <w:rPr>
          <w:rFonts w:ascii="仿宋" w:hAnsi="仿宋" w:eastAsia="仿宋"/>
          <w:bCs/>
          <w:sz w:val="24"/>
        </w:rPr>
      </w:pPr>
      <w:r>
        <w:rPr>
          <w:rFonts w:hint="eastAsia" w:ascii="仿宋" w:hAnsi="仿宋" w:eastAsia="仿宋"/>
          <w:bCs/>
          <w:sz w:val="24"/>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pacing w:line="0" w:lineRule="atLeast"/>
        <w:outlineLvl w:val="1"/>
        <w:rPr>
          <w:rFonts w:hint="eastAsia" w:ascii="仿宋" w:hAnsi="仿宋" w:eastAsia="仿宋"/>
          <w:sz w:val="28"/>
          <w:szCs w:val="28"/>
        </w:rPr>
      </w:pPr>
      <w:r>
        <w:rPr>
          <w:rFonts w:hint="eastAsia" w:ascii="仿宋" w:hAnsi="仿宋" w:eastAsia="仿宋"/>
          <w:sz w:val="28"/>
          <w:szCs w:val="28"/>
        </w:rPr>
        <w:t>报价日期：_________年____月____日</w:t>
      </w:r>
    </w:p>
    <w:p>
      <w:pPr>
        <w:spacing w:line="0" w:lineRule="atLeast"/>
        <w:outlineLvl w:val="1"/>
        <w:rPr>
          <w:rFonts w:hint="eastAsia" w:ascii="仿宋" w:hAnsi="仿宋" w:eastAsia="仿宋"/>
          <w:sz w:val="28"/>
          <w:szCs w:val="28"/>
        </w:rPr>
      </w:pPr>
    </w:p>
    <w:p>
      <w:pPr>
        <w:spacing w:line="0" w:lineRule="atLeast"/>
        <w:outlineLvl w:val="1"/>
        <w:rPr>
          <w:rFonts w:hint="eastAsia" w:ascii="仿宋" w:hAnsi="仿宋" w:eastAsia="仿宋"/>
          <w:sz w:val="28"/>
          <w:szCs w:val="28"/>
        </w:rPr>
      </w:pPr>
    </w:p>
    <w:p>
      <w:pPr>
        <w:spacing w:line="0" w:lineRule="atLeast"/>
        <w:outlineLvl w:val="1"/>
        <w:rPr>
          <w:rFonts w:hint="eastAsia" w:ascii="仿宋" w:hAnsi="仿宋" w:eastAsia="仿宋"/>
          <w:sz w:val="28"/>
          <w:szCs w:val="28"/>
        </w:rPr>
      </w:pPr>
    </w:p>
    <w:p>
      <w:pPr>
        <w:spacing w:line="0" w:lineRule="atLeast"/>
        <w:outlineLvl w:val="1"/>
        <w:rPr>
          <w:rFonts w:hint="eastAsia" w:ascii="仿宋" w:hAnsi="仿宋" w:eastAsia="仿宋"/>
          <w:sz w:val="28"/>
          <w:szCs w:val="28"/>
        </w:rPr>
      </w:pPr>
    </w:p>
    <w:p>
      <w:pPr>
        <w:spacing w:line="0" w:lineRule="atLeast"/>
        <w:outlineLvl w:val="1"/>
        <w:rPr>
          <w:rFonts w:hint="eastAsia" w:ascii="仿宋" w:hAnsi="仿宋" w:eastAsia="仿宋"/>
          <w:sz w:val="28"/>
          <w:szCs w:val="28"/>
        </w:rPr>
      </w:pPr>
    </w:p>
    <w:p>
      <w:pPr>
        <w:spacing w:line="0" w:lineRule="atLeast"/>
        <w:outlineLvl w:val="1"/>
        <w:rPr>
          <w:rFonts w:hint="eastAsia" w:ascii="仿宋" w:hAnsi="仿宋" w:eastAsia="仿宋"/>
          <w:sz w:val="28"/>
          <w:szCs w:val="28"/>
        </w:rPr>
      </w:pPr>
    </w:p>
    <w:p>
      <w:pPr>
        <w:spacing w:line="0" w:lineRule="atLeast"/>
        <w:outlineLvl w:val="1"/>
        <w:rPr>
          <w:rFonts w:hint="eastAsia" w:ascii="仿宋" w:hAnsi="仿宋" w:eastAsia="仿宋"/>
          <w:sz w:val="28"/>
          <w:szCs w:val="28"/>
        </w:rPr>
      </w:pPr>
    </w:p>
    <w:p>
      <w:pPr>
        <w:spacing w:line="0" w:lineRule="atLeast"/>
        <w:outlineLvl w:val="1"/>
        <w:rPr>
          <w:rFonts w:hint="eastAsia" w:ascii="仿宋" w:hAnsi="仿宋" w:eastAsia="仿宋"/>
          <w:sz w:val="28"/>
          <w:szCs w:val="28"/>
        </w:rPr>
      </w:pPr>
    </w:p>
    <w:p>
      <w:pPr>
        <w:spacing w:line="0" w:lineRule="atLeast"/>
        <w:outlineLvl w:val="1"/>
        <w:rPr>
          <w:rFonts w:hint="eastAsia" w:ascii="仿宋" w:hAnsi="仿宋" w:eastAsia="仿宋"/>
          <w:sz w:val="28"/>
          <w:szCs w:val="28"/>
        </w:rPr>
      </w:pPr>
    </w:p>
    <w:p>
      <w:pPr>
        <w:spacing w:line="0" w:lineRule="atLeast"/>
        <w:outlineLvl w:val="1"/>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：报价一览表（服务）</w:t>
      </w:r>
      <w:bookmarkEnd w:id="69"/>
      <w:r>
        <w:rPr>
          <w:rFonts w:hint="eastAsia" w:ascii="宋体" w:hAnsi="宋体"/>
          <w:color w:val="FF0000"/>
          <w:szCs w:val="21"/>
        </w:rPr>
        <w:t>（本项目不适用）</w:t>
      </w:r>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1"/>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17"/>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17"/>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17"/>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1" w:name="_Toc100674992"/>
      <w:bookmarkStart w:id="72" w:name="_Toc90837901"/>
      <w:r>
        <w:rPr>
          <w:rFonts w:hint="eastAsia" w:ascii="宋体" w:hAnsi="宋体"/>
          <w:szCs w:val="21"/>
        </w:rPr>
        <w:t>附件</w:t>
      </w:r>
      <w:r>
        <w:rPr>
          <w:rFonts w:ascii="宋体" w:hAnsi="宋体"/>
          <w:szCs w:val="21"/>
        </w:rPr>
        <w:t>8</w:t>
      </w:r>
      <w:r>
        <w:rPr>
          <w:rFonts w:hint="eastAsia" w:ascii="宋体" w:hAnsi="宋体"/>
          <w:szCs w:val="21"/>
        </w:rPr>
        <w:t>：报价一览表（工程）</w:t>
      </w:r>
      <w:bookmarkEnd w:id="71"/>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17"/>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17"/>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17"/>
        <w:numPr>
          <w:ilvl w:val="1"/>
          <w:numId w:val="33"/>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17"/>
        <w:numPr>
          <w:ilvl w:val="1"/>
          <w:numId w:val="33"/>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0" w:lineRule="atLeast"/>
        <w:outlineLvl w:val="1"/>
        <w:rPr>
          <w:rFonts w:hint="eastAsia" w:ascii="宋体" w:hAnsi="宋体"/>
          <w:szCs w:val="21"/>
        </w:rPr>
      </w:pPr>
      <w:r>
        <w:rPr>
          <w:rFonts w:hint="eastAsia" w:ascii="仿宋" w:hAnsi="仿宋" w:eastAsia="仿宋"/>
          <w:sz w:val="28"/>
          <w:szCs w:val="28"/>
        </w:rPr>
        <w:t>报价日期：_______年____月____日</w:t>
      </w: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ascii="宋体" w:hAnsi="宋体"/>
          <w:szCs w:val="21"/>
        </w:rPr>
      </w:pPr>
      <w:r>
        <w:rPr>
          <w:rFonts w:hint="eastAsia" w:ascii="宋体" w:hAnsi="宋体"/>
          <w:szCs w:val="21"/>
        </w:rPr>
        <w:t>附件</w:t>
      </w:r>
      <w:r>
        <w:rPr>
          <w:rFonts w:ascii="宋体" w:hAnsi="宋体"/>
          <w:szCs w:val="21"/>
        </w:rPr>
        <w:t>9</w:t>
      </w:r>
      <w:r>
        <w:rPr>
          <w:rFonts w:hint="eastAsia" w:ascii="宋体" w:hAnsi="宋体"/>
          <w:szCs w:val="21"/>
        </w:rPr>
        <w:t>：法定代表人证明书</w:t>
      </w:r>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1026" o:spt="202" type="#_x0000_t202" style="position:absolute;left:0pt;margin-left:213pt;margin-top:20.1pt;height:126.75pt;width:198.25pt;z-index:251659264;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1027" o:spt="202" type="#_x0000_t202" style="position:absolute;left:0pt;margin-left:-7.5pt;margin-top:20.15pt;height:126.75pt;width:201.25pt;z-index:251660288;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73" w:name="_Toc90837902"/>
      <w:r>
        <w:rPr>
          <w:rFonts w:hint="eastAsia" w:ascii="宋体" w:hAnsi="宋体"/>
          <w:szCs w:val="21"/>
        </w:rPr>
        <w:t>附件</w:t>
      </w:r>
      <w:r>
        <w:rPr>
          <w:rFonts w:ascii="宋体" w:hAnsi="宋体"/>
          <w:szCs w:val="21"/>
        </w:rPr>
        <w:t>10</w:t>
      </w:r>
      <w:r>
        <w:rPr>
          <w:rFonts w:hint="eastAsia" w:ascii="宋体" w:hAnsi="宋体"/>
          <w:szCs w:val="21"/>
        </w:rPr>
        <w:t>：法人授权委托证明书</w:t>
      </w:r>
      <w:bookmarkEnd w:id="73"/>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4" w:name="_Toc90837903"/>
      <w:r>
        <w:rPr>
          <w:rFonts w:hint="eastAsia" w:ascii="宋体" w:hAnsi="宋体"/>
          <w:szCs w:val="21"/>
        </w:rPr>
        <w:t>附件</w:t>
      </w:r>
      <w:r>
        <w:rPr>
          <w:rFonts w:ascii="宋体" w:hAnsi="宋体"/>
          <w:szCs w:val="21"/>
        </w:rPr>
        <w:t>11</w:t>
      </w:r>
      <w:r>
        <w:rPr>
          <w:rFonts w:hint="eastAsia" w:ascii="宋体" w:hAnsi="宋体"/>
          <w:szCs w:val="21"/>
        </w:rPr>
        <w:t>：经营业绩一览表</w:t>
      </w:r>
      <w:bookmarkEnd w:id="74"/>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（招标人） </w:t>
      </w:r>
      <w:r>
        <w:rPr>
          <w:rFonts w:ascii="仿宋" w:hAnsi="仿宋" w:eastAsia="仿宋"/>
          <w:sz w:val="28"/>
          <w:szCs w:val="28"/>
          <w:u w:val="single"/>
        </w:rPr>
        <w:t xml:space="preserve">                    </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日至投标截止时间我司真实的业绩资料，证明合同及其关键页附后，清单如下：</w:t>
      </w:r>
    </w:p>
    <w:tbl>
      <w:tblPr>
        <w:tblStyle w:val="11"/>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5" w:name="_Toc90837904"/>
      <w:r>
        <w:rPr>
          <w:rFonts w:hint="eastAsia" w:ascii="宋体" w:hAnsi="宋体"/>
          <w:szCs w:val="21"/>
        </w:rPr>
        <w:t>附件</w:t>
      </w:r>
      <w:r>
        <w:rPr>
          <w:rFonts w:ascii="宋体" w:hAnsi="宋体"/>
          <w:szCs w:val="21"/>
        </w:rPr>
        <w:t>12</w:t>
      </w:r>
      <w:r>
        <w:rPr>
          <w:rFonts w:hint="eastAsia" w:ascii="宋体" w:hAnsi="宋体"/>
          <w:szCs w:val="21"/>
        </w:rPr>
        <w:t>：售后服务承诺书（</w:t>
      </w:r>
      <w:r>
        <w:rPr>
          <w:rFonts w:hint="eastAsia" w:ascii="宋体" w:hAnsi="宋体"/>
        </w:rPr>
        <w:t>质量保证服务承诺书</w:t>
      </w:r>
      <w:r>
        <w:rPr>
          <w:rFonts w:hint="eastAsia" w:ascii="宋体" w:hAnsi="宋体"/>
          <w:szCs w:val="21"/>
        </w:rPr>
        <w:t>）</w:t>
      </w:r>
      <w:bookmarkEnd w:id="75"/>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76" w:name="_Toc32341"/>
      <w:r>
        <w:rPr>
          <w:rFonts w:ascii="仿宋" w:hAnsi="仿宋" w:eastAsia="仿宋"/>
          <w:sz w:val="28"/>
          <w:szCs w:val="28"/>
        </w:rPr>
        <w:br w:type="page"/>
      </w:r>
    </w:p>
    <w:p>
      <w:pPr>
        <w:spacing w:line="0" w:lineRule="atLeast"/>
        <w:outlineLvl w:val="1"/>
        <w:rPr>
          <w:rFonts w:ascii="宋体" w:hAnsi="宋体"/>
          <w:szCs w:val="21"/>
        </w:rPr>
      </w:pPr>
      <w:bookmarkStart w:id="77" w:name="_Toc90837905"/>
      <w:r>
        <w:rPr>
          <w:rFonts w:hint="eastAsia" w:ascii="宋体" w:hAnsi="宋体"/>
          <w:szCs w:val="21"/>
        </w:rPr>
        <w:t>附件</w:t>
      </w:r>
      <w:r>
        <w:rPr>
          <w:rFonts w:ascii="宋体" w:hAnsi="宋体"/>
          <w:szCs w:val="21"/>
        </w:rPr>
        <w:t>13</w:t>
      </w:r>
      <w:r>
        <w:rPr>
          <w:rFonts w:hint="eastAsia" w:ascii="宋体" w:hAnsi="宋体"/>
          <w:szCs w:val="21"/>
        </w:rPr>
        <w:t>：履约情况及社会信誉承诺书</w:t>
      </w:r>
      <w:bookmarkEnd w:id="76"/>
      <w:bookmarkEnd w:id="77"/>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sectPr>
      <w:footerReference r:id="rId4" w:type="default"/>
      <w:pgSz w:w="11906" w:h="16838"/>
      <w:pgMar w:top="1134" w:right="1416" w:bottom="993" w:left="1276"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D0473C"/>
    <w:multiLevelType w:val="singleLevel"/>
    <w:tmpl w:val="97D0473C"/>
    <w:lvl w:ilvl="0" w:tentative="0">
      <w:start w:val="1"/>
      <w:numFmt w:val="decimal"/>
      <w:lvlText w:val="%1."/>
      <w:lvlJc w:val="left"/>
      <w:pPr>
        <w:tabs>
          <w:tab w:val="left" w:pos="312"/>
        </w:tabs>
      </w:pPr>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3051835"/>
    <w:multiLevelType w:val="singleLevel"/>
    <w:tmpl w:val="D3051835"/>
    <w:lvl w:ilvl="0" w:tentative="0">
      <w:start w:val="1"/>
      <w:numFmt w:val="decimal"/>
      <w:suff w:val="space"/>
      <w:lvlText w:val="%1."/>
      <w:lvlJc w:val="left"/>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singleLevel"/>
    <w:tmpl w:val="00000013"/>
    <w:lvl w:ilvl="0" w:tentative="0">
      <w:start w:val="1"/>
      <w:numFmt w:val="decimal"/>
      <w:lvlText w:val="%1."/>
      <w:lvlJc w:val="left"/>
      <w:pPr>
        <w:ind w:left="420" w:hanging="420"/>
      </w:pPr>
    </w:lvl>
  </w:abstractNum>
  <w:abstractNum w:abstractNumId="7">
    <w:nsid w:val="075D31DF"/>
    <w:multiLevelType w:val="singleLevel"/>
    <w:tmpl w:val="075D31DF"/>
    <w:lvl w:ilvl="0" w:tentative="0">
      <w:start w:val="1"/>
      <w:numFmt w:val="decimal"/>
      <w:lvlText w:val="（%1）"/>
      <w:lvlJc w:val="left"/>
      <w:pPr>
        <w:ind w:left="420" w:hanging="420"/>
      </w:pPr>
      <w:rPr>
        <w:rFonts w:hint="eastAsia"/>
      </w:rPr>
    </w:lvl>
  </w:abstractNum>
  <w:abstractNum w:abstractNumId="8">
    <w:nsid w:val="135517AC"/>
    <w:multiLevelType w:val="singleLevel"/>
    <w:tmpl w:val="135517AC"/>
    <w:lvl w:ilvl="0" w:tentative="0">
      <w:start w:val="1"/>
      <w:numFmt w:val="decimal"/>
      <w:lvlText w:val="(%1)"/>
      <w:lvlJc w:val="left"/>
      <w:pPr>
        <w:ind w:left="425" w:hanging="425"/>
      </w:pPr>
      <w:rPr>
        <w:rFonts w:hint="default"/>
      </w:rPr>
    </w:lvl>
  </w:abstractNum>
  <w:abstractNum w:abstractNumId="9">
    <w:nsid w:val="15D71C3A"/>
    <w:multiLevelType w:val="multilevel"/>
    <w:tmpl w:val="15D71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8">
    <w:nsid w:val="3FA00B7A"/>
    <w:multiLevelType w:val="multilevel"/>
    <w:tmpl w:val="3FA00B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FCAF1A4"/>
    <w:multiLevelType w:val="singleLevel"/>
    <w:tmpl w:val="3FCAF1A4"/>
    <w:lvl w:ilvl="0" w:tentative="0">
      <w:start w:val="1"/>
      <w:numFmt w:val="decimal"/>
      <w:suff w:val="nothing"/>
      <w:lvlText w:val="%1．"/>
      <w:lvlJc w:val="left"/>
      <w:pPr>
        <w:ind w:left="0" w:firstLine="400"/>
      </w:pPr>
      <w:rPr>
        <w:rFonts w:hint="default"/>
      </w:rPr>
    </w:lvl>
  </w:abstractNum>
  <w:abstractNum w:abstractNumId="20">
    <w:nsid w:val="470418B6"/>
    <w:multiLevelType w:val="singleLevel"/>
    <w:tmpl w:val="470418B6"/>
    <w:lvl w:ilvl="0" w:tentative="0">
      <w:start w:val="1"/>
      <w:numFmt w:val="decimal"/>
      <w:lvlText w:val="（%1）"/>
      <w:lvlJc w:val="left"/>
      <w:pPr>
        <w:ind w:left="420" w:hanging="420"/>
      </w:pPr>
      <w:rPr>
        <w:rFonts w:hint="eastAsia"/>
      </w:rPr>
    </w:lvl>
  </w:abstractNum>
  <w:abstractNum w:abstractNumId="21">
    <w:nsid w:val="51851586"/>
    <w:multiLevelType w:val="singleLevel"/>
    <w:tmpl w:val="51851586"/>
    <w:lvl w:ilvl="0" w:tentative="0">
      <w:start w:val="1"/>
      <w:numFmt w:val="decimal"/>
      <w:lvlText w:val="（%1）"/>
      <w:lvlJc w:val="left"/>
      <w:pPr>
        <w:ind w:left="420" w:hanging="420"/>
      </w:pPr>
      <w:rPr>
        <w:rFonts w:hint="eastAsia"/>
      </w:rPr>
    </w:lvl>
  </w:abstractNum>
  <w:abstractNum w:abstractNumId="22">
    <w:nsid w:val="54155AAB"/>
    <w:multiLevelType w:val="singleLevel"/>
    <w:tmpl w:val="54155AAB"/>
    <w:lvl w:ilvl="0" w:tentative="0">
      <w:start w:val="1"/>
      <w:numFmt w:val="decimal"/>
      <w:lvlText w:val="(%1)"/>
      <w:lvlJc w:val="left"/>
      <w:pPr>
        <w:ind w:left="425" w:hanging="425"/>
      </w:pPr>
      <w:rPr>
        <w:rFonts w:hint="default"/>
      </w:rPr>
    </w:lvl>
  </w:abstractNum>
  <w:abstractNum w:abstractNumId="2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9252588"/>
    <w:multiLevelType w:val="multilevel"/>
    <w:tmpl w:val="592525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7D40062"/>
    <w:multiLevelType w:val="multilevel"/>
    <w:tmpl w:val="67D40062"/>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68403F1C"/>
    <w:multiLevelType w:val="singleLevel"/>
    <w:tmpl w:val="68403F1C"/>
    <w:lvl w:ilvl="0" w:tentative="0">
      <w:start w:val="1"/>
      <w:numFmt w:val="decimal"/>
      <w:lvlText w:val="%1."/>
      <w:lvlJc w:val="left"/>
      <w:pPr>
        <w:tabs>
          <w:tab w:val="left" w:pos="312"/>
        </w:tabs>
      </w:pPr>
    </w:lvl>
  </w:abstractNum>
  <w:abstractNum w:abstractNumId="3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1">
    <w:nsid w:val="739433F9"/>
    <w:multiLevelType w:val="singleLevel"/>
    <w:tmpl w:val="739433F9"/>
    <w:lvl w:ilvl="0" w:tentative="0">
      <w:start w:val="1"/>
      <w:numFmt w:val="decimal"/>
      <w:suff w:val="space"/>
      <w:lvlText w:val="%1."/>
      <w:lvlJc w:val="left"/>
    </w:lvl>
  </w:abstractNum>
  <w:abstractNum w:abstractNumId="32">
    <w:nsid w:val="74CF667A"/>
    <w:multiLevelType w:val="singleLevel"/>
    <w:tmpl w:val="74CF667A"/>
    <w:lvl w:ilvl="0" w:tentative="0">
      <w:start w:val="1"/>
      <w:numFmt w:val="decimal"/>
      <w:lvlText w:val="(%1)"/>
      <w:lvlJc w:val="left"/>
      <w:pPr>
        <w:ind w:left="425" w:hanging="425"/>
      </w:pPr>
      <w:rPr>
        <w:rFonts w:hint="default"/>
      </w:rPr>
    </w:lvl>
  </w:abstractNum>
  <w:abstractNum w:abstractNumId="33">
    <w:nsid w:val="7B4A4E0C"/>
    <w:multiLevelType w:val="singleLevel"/>
    <w:tmpl w:val="7B4A4E0C"/>
    <w:lvl w:ilvl="0" w:tentative="0">
      <w:start w:val="1"/>
      <w:numFmt w:val="decimal"/>
      <w:lvlText w:val="（%1）"/>
      <w:lvlJc w:val="left"/>
      <w:pPr>
        <w:ind w:left="420" w:hanging="420"/>
      </w:pPr>
      <w:rPr>
        <w:rFonts w:hint="eastAsia"/>
      </w:rPr>
    </w:lvl>
  </w:abstractNum>
  <w:num w:numId="1">
    <w:abstractNumId w:val="24"/>
  </w:num>
  <w:num w:numId="2">
    <w:abstractNumId w:val="30"/>
  </w:num>
  <w:num w:numId="3">
    <w:abstractNumId w:val="15"/>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5"/>
  </w:num>
  <w:num w:numId="8">
    <w:abstractNumId w:val="16"/>
  </w:num>
  <w:num w:numId="9">
    <w:abstractNumId w:val="10"/>
  </w:num>
  <w:num w:numId="10">
    <w:abstractNumId w:val="9"/>
  </w:num>
  <w:num w:numId="11">
    <w:abstractNumId w:val="33"/>
  </w:num>
  <w:num w:numId="12">
    <w:abstractNumId w:val="20"/>
  </w:num>
  <w:num w:numId="13">
    <w:abstractNumId w:val="7"/>
  </w:num>
  <w:num w:numId="14">
    <w:abstractNumId w:val="18"/>
  </w:num>
  <w:num w:numId="15">
    <w:abstractNumId w:val="32"/>
  </w:num>
  <w:num w:numId="16">
    <w:abstractNumId w:val="22"/>
  </w:num>
  <w:num w:numId="17">
    <w:abstractNumId w:val="21"/>
  </w:num>
  <w:num w:numId="18">
    <w:abstractNumId w:val="8"/>
  </w:num>
  <w:num w:numId="19">
    <w:abstractNumId w:val="2"/>
  </w:num>
  <w:num w:numId="20">
    <w:abstractNumId w:val="5"/>
  </w:num>
  <w:num w:numId="21">
    <w:abstractNumId w:val="31"/>
  </w:num>
  <w:num w:numId="22">
    <w:abstractNumId w:val="11"/>
  </w:num>
  <w:num w:numId="23">
    <w:abstractNumId w:val="14"/>
  </w:num>
  <w:num w:numId="24">
    <w:abstractNumId w:val="27"/>
  </w:num>
  <w:num w:numId="25">
    <w:abstractNumId w:val="19"/>
  </w:num>
  <w:num w:numId="26">
    <w:abstractNumId w:val="0"/>
  </w:num>
  <w:num w:numId="27">
    <w:abstractNumId w:val="29"/>
  </w:num>
  <w:num w:numId="28">
    <w:abstractNumId w:val="26"/>
  </w:num>
  <w:num w:numId="29">
    <w:abstractNumId w:val="4"/>
  </w:num>
  <w:num w:numId="30">
    <w:abstractNumId w:val="3"/>
  </w:num>
  <w:num w:numId="31">
    <w:abstractNumId w:val="28"/>
  </w:num>
  <w:num w:numId="32">
    <w:abstractNumId w:val="17"/>
  </w:num>
  <w:num w:numId="33">
    <w:abstractNumId w:val="13"/>
  </w:num>
  <w:num w:numId="34">
    <w:abstractNumId w:val="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71F5"/>
    <w:rsid w:val="000109CF"/>
    <w:rsid w:val="0001408F"/>
    <w:rsid w:val="00020D3D"/>
    <w:rsid w:val="0002428A"/>
    <w:rsid w:val="0002431D"/>
    <w:rsid w:val="00042CC0"/>
    <w:rsid w:val="0006307A"/>
    <w:rsid w:val="00071803"/>
    <w:rsid w:val="00074891"/>
    <w:rsid w:val="00077160"/>
    <w:rsid w:val="00080360"/>
    <w:rsid w:val="00093F3A"/>
    <w:rsid w:val="000A2942"/>
    <w:rsid w:val="000C0416"/>
    <w:rsid w:val="000C41B8"/>
    <w:rsid w:val="000C45B3"/>
    <w:rsid w:val="000C7053"/>
    <w:rsid w:val="000D7946"/>
    <w:rsid w:val="000E3E7C"/>
    <w:rsid w:val="000F16F8"/>
    <w:rsid w:val="000F23B0"/>
    <w:rsid w:val="001052B4"/>
    <w:rsid w:val="001107A5"/>
    <w:rsid w:val="001238C4"/>
    <w:rsid w:val="0012732B"/>
    <w:rsid w:val="0013213B"/>
    <w:rsid w:val="0013663B"/>
    <w:rsid w:val="00137AB2"/>
    <w:rsid w:val="00141B72"/>
    <w:rsid w:val="001427DC"/>
    <w:rsid w:val="00162AA4"/>
    <w:rsid w:val="0017145D"/>
    <w:rsid w:val="001723D2"/>
    <w:rsid w:val="00172A27"/>
    <w:rsid w:val="00174846"/>
    <w:rsid w:val="00180E0D"/>
    <w:rsid w:val="001959E5"/>
    <w:rsid w:val="001978B2"/>
    <w:rsid w:val="001A6C5B"/>
    <w:rsid w:val="001E44D2"/>
    <w:rsid w:val="001F14F2"/>
    <w:rsid w:val="00206999"/>
    <w:rsid w:val="0022465E"/>
    <w:rsid w:val="00233E0E"/>
    <w:rsid w:val="00252697"/>
    <w:rsid w:val="00292E63"/>
    <w:rsid w:val="002963F2"/>
    <w:rsid w:val="002B743A"/>
    <w:rsid w:val="002C49F2"/>
    <w:rsid w:val="002D3AA7"/>
    <w:rsid w:val="003151B1"/>
    <w:rsid w:val="003158DE"/>
    <w:rsid w:val="003255E6"/>
    <w:rsid w:val="00326B88"/>
    <w:rsid w:val="003300CC"/>
    <w:rsid w:val="003436BC"/>
    <w:rsid w:val="00345C89"/>
    <w:rsid w:val="00354484"/>
    <w:rsid w:val="003545D1"/>
    <w:rsid w:val="003563FA"/>
    <w:rsid w:val="00371AC5"/>
    <w:rsid w:val="00381CA3"/>
    <w:rsid w:val="003823A8"/>
    <w:rsid w:val="00397C1E"/>
    <w:rsid w:val="003A09E6"/>
    <w:rsid w:val="003B01FB"/>
    <w:rsid w:val="003D0358"/>
    <w:rsid w:val="003E6092"/>
    <w:rsid w:val="003E66A3"/>
    <w:rsid w:val="003E7621"/>
    <w:rsid w:val="004235D9"/>
    <w:rsid w:val="00427D5D"/>
    <w:rsid w:val="00440B38"/>
    <w:rsid w:val="00441F17"/>
    <w:rsid w:val="00450F7E"/>
    <w:rsid w:val="00451C34"/>
    <w:rsid w:val="004707D2"/>
    <w:rsid w:val="00471ED2"/>
    <w:rsid w:val="00476C96"/>
    <w:rsid w:val="004825F8"/>
    <w:rsid w:val="00492F1D"/>
    <w:rsid w:val="00494516"/>
    <w:rsid w:val="004A0594"/>
    <w:rsid w:val="004A468F"/>
    <w:rsid w:val="004A7C1F"/>
    <w:rsid w:val="004B0D64"/>
    <w:rsid w:val="004B24F9"/>
    <w:rsid w:val="004D58FC"/>
    <w:rsid w:val="004D6F70"/>
    <w:rsid w:val="004E3802"/>
    <w:rsid w:val="004E4541"/>
    <w:rsid w:val="004E7657"/>
    <w:rsid w:val="004F3156"/>
    <w:rsid w:val="004F63E5"/>
    <w:rsid w:val="004F6E34"/>
    <w:rsid w:val="00502DD5"/>
    <w:rsid w:val="00506B6D"/>
    <w:rsid w:val="00544B6E"/>
    <w:rsid w:val="0056083C"/>
    <w:rsid w:val="00560907"/>
    <w:rsid w:val="00565EDC"/>
    <w:rsid w:val="005815FC"/>
    <w:rsid w:val="005A26F8"/>
    <w:rsid w:val="005A480E"/>
    <w:rsid w:val="005B03C2"/>
    <w:rsid w:val="005B106B"/>
    <w:rsid w:val="005B1453"/>
    <w:rsid w:val="005B328D"/>
    <w:rsid w:val="005C5034"/>
    <w:rsid w:val="005D123F"/>
    <w:rsid w:val="005E43D8"/>
    <w:rsid w:val="005F16B3"/>
    <w:rsid w:val="00606010"/>
    <w:rsid w:val="00621681"/>
    <w:rsid w:val="00625E6C"/>
    <w:rsid w:val="0063042F"/>
    <w:rsid w:val="00630585"/>
    <w:rsid w:val="006311FC"/>
    <w:rsid w:val="00632039"/>
    <w:rsid w:val="006333BC"/>
    <w:rsid w:val="00664471"/>
    <w:rsid w:val="00681577"/>
    <w:rsid w:val="006815B1"/>
    <w:rsid w:val="00687753"/>
    <w:rsid w:val="006942FF"/>
    <w:rsid w:val="00695B0C"/>
    <w:rsid w:val="006A4FED"/>
    <w:rsid w:val="006A5607"/>
    <w:rsid w:val="006B1729"/>
    <w:rsid w:val="006B3970"/>
    <w:rsid w:val="006B4923"/>
    <w:rsid w:val="006C659A"/>
    <w:rsid w:val="006C7266"/>
    <w:rsid w:val="006C7574"/>
    <w:rsid w:val="006E0464"/>
    <w:rsid w:val="006E42A5"/>
    <w:rsid w:val="006E6992"/>
    <w:rsid w:val="006F0E4A"/>
    <w:rsid w:val="006F3293"/>
    <w:rsid w:val="006F5C45"/>
    <w:rsid w:val="0070433C"/>
    <w:rsid w:val="007115E1"/>
    <w:rsid w:val="00714F2D"/>
    <w:rsid w:val="00715AB4"/>
    <w:rsid w:val="00717FB9"/>
    <w:rsid w:val="00737529"/>
    <w:rsid w:val="007415AC"/>
    <w:rsid w:val="00742BEA"/>
    <w:rsid w:val="007542A8"/>
    <w:rsid w:val="007559E5"/>
    <w:rsid w:val="007672EE"/>
    <w:rsid w:val="0076763C"/>
    <w:rsid w:val="0077621A"/>
    <w:rsid w:val="00781DFA"/>
    <w:rsid w:val="00782E08"/>
    <w:rsid w:val="00790A8A"/>
    <w:rsid w:val="007933D2"/>
    <w:rsid w:val="007C02CE"/>
    <w:rsid w:val="007C50B2"/>
    <w:rsid w:val="007E23AD"/>
    <w:rsid w:val="00800811"/>
    <w:rsid w:val="00803FA2"/>
    <w:rsid w:val="00804CB1"/>
    <w:rsid w:val="00857F72"/>
    <w:rsid w:val="00864305"/>
    <w:rsid w:val="0086606C"/>
    <w:rsid w:val="00866C0E"/>
    <w:rsid w:val="00867C56"/>
    <w:rsid w:val="00870B22"/>
    <w:rsid w:val="00874BB5"/>
    <w:rsid w:val="008A0193"/>
    <w:rsid w:val="008B2C67"/>
    <w:rsid w:val="008C44DE"/>
    <w:rsid w:val="008E05E5"/>
    <w:rsid w:val="0090721F"/>
    <w:rsid w:val="00926702"/>
    <w:rsid w:val="00927979"/>
    <w:rsid w:val="00937F12"/>
    <w:rsid w:val="00943245"/>
    <w:rsid w:val="0094528D"/>
    <w:rsid w:val="00960B05"/>
    <w:rsid w:val="009650B6"/>
    <w:rsid w:val="00976465"/>
    <w:rsid w:val="0098029E"/>
    <w:rsid w:val="0098263B"/>
    <w:rsid w:val="00991233"/>
    <w:rsid w:val="009A699B"/>
    <w:rsid w:val="009A6EF3"/>
    <w:rsid w:val="009A718F"/>
    <w:rsid w:val="009B4718"/>
    <w:rsid w:val="009B7189"/>
    <w:rsid w:val="009C0135"/>
    <w:rsid w:val="009D052A"/>
    <w:rsid w:val="009D268B"/>
    <w:rsid w:val="009D4494"/>
    <w:rsid w:val="009E18F1"/>
    <w:rsid w:val="009E25C8"/>
    <w:rsid w:val="009E2781"/>
    <w:rsid w:val="009E3D67"/>
    <w:rsid w:val="00A0267F"/>
    <w:rsid w:val="00A12E1B"/>
    <w:rsid w:val="00A30228"/>
    <w:rsid w:val="00A30908"/>
    <w:rsid w:val="00A31A55"/>
    <w:rsid w:val="00A3423A"/>
    <w:rsid w:val="00A35F31"/>
    <w:rsid w:val="00A4407E"/>
    <w:rsid w:val="00A46C1C"/>
    <w:rsid w:val="00A639F5"/>
    <w:rsid w:val="00A761F1"/>
    <w:rsid w:val="00A8313A"/>
    <w:rsid w:val="00AA01BF"/>
    <w:rsid w:val="00AA0F85"/>
    <w:rsid w:val="00AA320E"/>
    <w:rsid w:val="00AA38D8"/>
    <w:rsid w:val="00AA56F4"/>
    <w:rsid w:val="00AB0184"/>
    <w:rsid w:val="00AB0A23"/>
    <w:rsid w:val="00AC1082"/>
    <w:rsid w:val="00AC7FB5"/>
    <w:rsid w:val="00AE1E1D"/>
    <w:rsid w:val="00AF0A7F"/>
    <w:rsid w:val="00AF1254"/>
    <w:rsid w:val="00AF348F"/>
    <w:rsid w:val="00AF730B"/>
    <w:rsid w:val="00B049D6"/>
    <w:rsid w:val="00B1365B"/>
    <w:rsid w:val="00B21864"/>
    <w:rsid w:val="00B27499"/>
    <w:rsid w:val="00B37A2F"/>
    <w:rsid w:val="00B40F3E"/>
    <w:rsid w:val="00B44E4F"/>
    <w:rsid w:val="00B522B7"/>
    <w:rsid w:val="00B61751"/>
    <w:rsid w:val="00B65C5E"/>
    <w:rsid w:val="00B76BC6"/>
    <w:rsid w:val="00BC0C0B"/>
    <w:rsid w:val="00BC40BD"/>
    <w:rsid w:val="00BC525E"/>
    <w:rsid w:val="00BD120A"/>
    <w:rsid w:val="00BD666B"/>
    <w:rsid w:val="00BF52E8"/>
    <w:rsid w:val="00BF543F"/>
    <w:rsid w:val="00C01654"/>
    <w:rsid w:val="00C206BD"/>
    <w:rsid w:val="00C30244"/>
    <w:rsid w:val="00C5180D"/>
    <w:rsid w:val="00C53AB0"/>
    <w:rsid w:val="00C53D1D"/>
    <w:rsid w:val="00C61FB2"/>
    <w:rsid w:val="00C6530D"/>
    <w:rsid w:val="00C669D4"/>
    <w:rsid w:val="00C72E08"/>
    <w:rsid w:val="00C76AA6"/>
    <w:rsid w:val="00C76FD5"/>
    <w:rsid w:val="00C80927"/>
    <w:rsid w:val="00C90575"/>
    <w:rsid w:val="00C938CB"/>
    <w:rsid w:val="00C95195"/>
    <w:rsid w:val="00CB0006"/>
    <w:rsid w:val="00CB1DEF"/>
    <w:rsid w:val="00CC73DA"/>
    <w:rsid w:val="00CD036F"/>
    <w:rsid w:val="00CD4DCE"/>
    <w:rsid w:val="00CE1FD6"/>
    <w:rsid w:val="00CE34F4"/>
    <w:rsid w:val="00CE5F16"/>
    <w:rsid w:val="00CF3F58"/>
    <w:rsid w:val="00D13594"/>
    <w:rsid w:val="00D15BFB"/>
    <w:rsid w:val="00D2411A"/>
    <w:rsid w:val="00D4224E"/>
    <w:rsid w:val="00D43550"/>
    <w:rsid w:val="00D629CE"/>
    <w:rsid w:val="00D66C8A"/>
    <w:rsid w:val="00D77EA0"/>
    <w:rsid w:val="00D83CA2"/>
    <w:rsid w:val="00D83CC0"/>
    <w:rsid w:val="00D84553"/>
    <w:rsid w:val="00D955EB"/>
    <w:rsid w:val="00DB1C4E"/>
    <w:rsid w:val="00DD544D"/>
    <w:rsid w:val="00DE5E4C"/>
    <w:rsid w:val="00DE7DDC"/>
    <w:rsid w:val="00DF51CA"/>
    <w:rsid w:val="00E107EC"/>
    <w:rsid w:val="00E11738"/>
    <w:rsid w:val="00E12957"/>
    <w:rsid w:val="00E27F91"/>
    <w:rsid w:val="00E31BD7"/>
    <w:rsid w:val="00E4291B"/>
    <w:rsid w:val="00E45D07"/>
    <w:rsid w:val="00E677C6"/>
    <w:rsid w:val="00E70687"/>
    <w:rsid w:val="00E75726"/>
    <w:rsid w:val="00E80E6F"/>
    <w:rsid w:val="00E84F92"/>
    <w:rsid w:val="00E928C6"/>
    <w:rsid w:val="00EA0513"/>
    <w:rsid w:val="00EB766D"/>
    <w:rsid w:val="00EB7999"/>
    <w:rsid w:val="00EC3E56"/>
    <w:rsid w:val="00EC57A0"/>
    <w:rsid w:val="00ED6D11"/>
    <w:rsid w:val="00EF1642"/>
    <w:rsid w:val="00F00080"/>
    <w:rsid w:val="00F01837"/>
    <w:rsid w:val="00F01D21"/>
    <w:rsid w:val="00F03A68"/>
    <w:rsid w:val="00F04E6A"/>
    <w:rsid w:val="00F109A6"/>
    <w:rsid w:val="00F112C6"/>
    <w:rsid w:val="00F1499F"/>
    <w:rsid w:val="00F210DC"/>
    <w:rsid w:val="00F2136A"/>
    <w:rsid w:val="00F256B7"/>
    <w:rsid w:val="00F309E8"/>
    <w:rsid w:val="00F313E2"/>
    <w:rsid w:val="00F36975"/>
    <w:rsid w:val="00F47201"/>
    <w:rsid w:val="00F53D25"/>
    <w:rsid w:val="00F64816"/>
    <w:rsid w:val="00F6541E"/>
    <w:rsid w:val="00F73354"/>
    <w:rsid w:val="00F77A28"/>
    <w:rsid w:val="00FA092E"/>
    <w:rsid w:val="00FA63B5"/>
    <w:rsid w:val="00FA6D58"/>
    <w:rsid w:val="00FD52D3"/>
    <w:rsid w:val="00FE72DF"/>
    <w:rsid w:val="00FF2992"/>
    <w:rsid w:val="00FF2F91"/>
    <w:rsid w:val="025011C1"/>
    <w:rsid w:val="029B1C66"/>
    <w:rsid w:val="045C3BAF"/>
    <w:rsid w:val="065226DF"/>
    <w:rsid w:val="06B51F01"/>
    <w:rsid w:val="07922CF8"/>
    <w:rsid w:val="09005C22"/>
    <w:rsid w:val="0BB8606B"/>
    <w:rsid w:val="0D3F1412"/>
    <w:rsid w:val="0DC7226F"/>
    <w:rsid w:val="0E120851"/>
    <w:rsid w:val="0FBB2A9A"/>
    <w:rsid w:val="14523329"/>
    <w:rsid w:val="15740DA4"/>
    <w:rsid w:val="191C7215"/>
    <w:rsid w:val="19CA6206"/>
    <w:rsid w:val="1F420E4D"/>
    <w:rsid w:val="24D23B82"/>
    <w:rsid w:val="251C0E9B"/>
    <w:rsid w:val="25844DEA"/>
    <w:rsid w:val="26BA3492"/>
    <w:rsid w:val="2A662155"/>
    <w:rsid w:val="33A86DD1"/>
    <w:rsid w:val="3B4876F2"/>
    <w:rsid w:val="3F0813D7"/>
    <w:rsid w:val="447267E8"/>
    <w:rsid w:val="4625545E"/>
    <w:rsid w:val="462A5FBC"/>
    <w:rsid w:val="47AB3757"/>
    <w:rsid w:val="4A144F7E"/>
    <w:rsid w:val="4CE71316"/>
    <w:rsid w:val="4CEE3A63"/>
    <w:rsid w:val="4D624F56"/>
    <w:rsid w:val="50FA6A61"/>
    <w:rsid w:val="53C00D51"/>
    <w:rsid w:val="540F1FD2"/>
    <w:rsid w:val="550A2BAA"/>
    <w:rsid w:val="561D22BC"/>
    <w:rsid w:val="5A377410"/>
    <w:rsid w:val="640C25AF"/>
    <w:rsid w:val="64753C6A"/>
    <w:rsid w:val="68BA20DD"/>
    <w:rsid w:val="68E97B63"/>
    <w:rsid w:val="6F5228DD"/>
    <w:rsid w:val="6F7113B6"/>
    <w:rsid w:val="743A52F7"/>
    <w:rsid w:val="74783A1C"/>
    <w:rsid w:val="74B05132"/>
    <w:rsid w:val="763812E0"/>
    <w:rsid w:val="772A35DE"/>
    <w:rsid w:val="794B5631"/>
    <w:rsid w:val="79BF662E"/>
    <w:rsid w:val="7B29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annotation text"/>
    <w:basedOn w:val="1"/>
    <w:link w:val="19"/>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1"/>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u w:val="single"/>
    </w:rPr>
  </w:style>
  <w:style w:type="character" w:styleId="15">
    <w:name w:val="annotation reference"/>
    <w:unhideWhenUsed/>
    <w:qFormat/>
    <w:uiPriority w:val="99"/>
    <w:rPr>
      <w:sz w:val="21"/>
      <w:szCs w:val="21"/>
    </w:rPr>
  </w:style>
  <w:style w:type="character" w:customStyle="1" w:styleId="16">
    <w:name w:val="列出段落 Char"/>
    <w:link w:val="17"/>
    <w:qFormat/>
    <w:uiPriority w:val="34"/>
    <w:rPr>
      <w:rFonts w:ascii="Times New Roman" w:hAnsi="Times New Roman"/>
      <w:szCs w:val="24"/>
    </w:rPr>
  </w:style>
  <w:style w:type="paragraph" w:styleId="17">
    <w:name w:val="List Paragraph"/>
    <w:basedOn w:val="1"/>
    <w:link w:val="16"/>
    <w:qFormat/>
    <w:uiPriority w:val="34"/>
    <w:pPr>
      <w:ind w:firstLine="420" w:firstLineChars="200"/>
    </w:pPr>
    <w:rPr>
      <w:rFonts w:eastAsiaTheme="minorEastAsia" w:cstheme="minorBidi"/>
    </w:rPr>
  </w:style>
  <w:style w:type="character" w:customStyle="1" w:styleId="18">
    <w:name w:val="批注文字 字符"/>
    <w:basedOn w:val="13"/>
    <w:semiHidden/>
    <w:qFormat/>
    <w:uiPriority w:val="99"/>
    <w:rPr>
      <w:rFonts w:ascii="Times New Roman" w:hAnsi="Times New Roman" w:eastAsia="宋体" w:cs="Times New Roman"/>
      <w:szCs w:val="24"/>
    </w:rPr>
  </w:style>
  <w:style w:type="character" w:customStyle="1" w:styleId="19">
    <w:name w:val="批注文字 Char"/>
    <w:link w:val="3"/>
    <w:qFormat/>
    <w:uiPriority w:val="99"/>
    <w:rPr>
      <w:rFonts w:ascii="Times New Roman" w:hAnsi="Times New Roman" w:eastAsia="宋体" w:cs="Times New Roman"/>
      <w:szCs w:val="24"/>
    </w:rPr>
  </w:style>
  <w:style w:type="paragraph" w:customStyle="1" w:styleId="2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1">
    <w:name w:val="批注框文本 Char"/>
    <w:basedOn w:val="13"/>
    <w:link w:val="5"/>
    <w:semiHidden/>
    <w:qFormat/>
    <w:uiPriority w:val="99"/>
    <w:rPr>
      <w:rFonts w:ascii="Times New Roman" w:hAnsi="Times New Roman" w:eastAsia="宋体" w:cs="Times New Roman"/>
      <w:sz w:val="18"/>
      <w:szCs w:val="18"/>
    </w:rPr>
  </w:style>
  <w:style w:type="character" w:customStyle="1" w:styleId="22">
    <w:name w:val="页眉 Char"/>
    <w:basedOn w:val="13"/>
    <w:link w:val="7"/>
    <w:qFormat/>
    <w:uiPriority w:val="99"/>
    <w:rPr>
      <w:rFonts w:ascii="Times New Roman" w:hAnsi="Times New Roman" w:eastAsia="宋体" w:cs="Times New Roman"/>
      <w:sz w:val="18"/>
      <w:szCs w:val="18"/>
    </w:rPr>
  </w:style>
  <w:style w:type="character" w:customStyle="1" w:styleId="23">
    <w:name w:val="页脚 Char"/>
    <w:basedOn w:val="13"/>
    <w:link w:val="6"/>
    <w:qFormat/>
    <w:uiPriority w:val="99"/>
    <w:rPr>
      <w:rFonts w:ascii="Times New Roman" w:hAnsi="Times New Roman" w:eastAsia="宋体" w:cs="Times New Roman"/>
      <w:sz w:val="18"/>
      <w:szCs w:val="18"/>
    </w:rPr>
  </w:style>
  <w:style w:type="character" w:customStyle="1" w:styleId="24">
    <w:name w:val="标题1"/>
    <w:basedOn w:val="13"/>
    <w:qFormat/>
    <w:uiPriority w:val="0"/>
  </w:style>
  <w:style w:type="character" w:customStyle="1" w:styleId="25">
    <w:name w:val="批注主题 Char"/>
    <w:basedOn w:val="19"/>
    <w:link w:val="10"/>
    <w:semiHidden/>
    <w:qFormat/>
    <w:uiPriority w:val="99"/>
    <w:rPr>
      <w:rFonts w:ascii="Times New Roman" w:hAnsi="Times New Roman" w:eastAsia="宋体" w:cs="Times New Roman"/>
      <w:b/>
      <w:bCs/>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7">
    <w:name w:val="未处理的提及1"/>
    <w:basedOn w:val="13"/>
    <w:semiHidden/>
    <w:unhideWhenUsed/>
    <w:qFormat/>
    <w:uiPriority w:val="99"/>
    <w:rPr>
      <w:color w:val="605E5C"/>
      <w:shd w:val="clear" w:color="auto" w:fill="E1DFDD"/>
    </w:rPr>
  </w:style>
  <w:style w:type="paragraph" w:customStyle="1" w:styleId="28">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6D438-5642-4029-8CCA-2675E9D96B59}">
  <ds:schemaRefs/>
</ds:datastoreItem>
</file>

<file path=docProps/app.xml><?xml version="1.0" encoding="utf-8"?>
<Properties xmlns="http://schemas.openxmlformats.org/officeDocument/2006/extended-properties" xmlns:vt="http://schemas.openxmlformats.org/officeDocument/2006/docPropsVTypes">
  <Template>Normal</Template>
  <Pages>33</Pages>
  <Words>3776</Words>
  <Characters>21527</Characters>
  <Lines>179</Lines>
  <Paragraphs>50</Paragraphs>
  <TotalTime>13</TotalTime>
  <ScaleCrop>false</ScaleCrop>
  <LinksUpToDate>false</LinksUpToDate>
  <CharactersWithSpaces>25253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2021-12-16T02:31:00Z</dcterms:created>
  <dc:creator>Tony Young</dc:creator>
  <cp:lastModifiedBy>admin</cp:lastModifiedBy>
  <dcterms:modified xsi:type="dcterms:W3CDTF">2022-04-28T08:31:27Z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6826A7748E3340458A8D9D3E2F453C30</vt:lpwstr>
  </property>
</Properties>
</file>