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640"/>
        </w:tabs>
        <w:ind w:left="360" w:firstLine="0" w:firstLineChars="0"/>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ind w:left="1603" w:hanging="1604" w:hangingChars="501"/>
        <w:jc w:val="left"/>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项目名称：深圳会展中心第二十四届高交会环保与能源展</w:t>
      </w:r>
    </w:p>
    <w:p>
      <w:pPr>
        <w:spacing w:line="360" w:lineRule="auto"/>
        <w:ind w:left="1603" w:hanging="1604" w:hangingChars="501"/>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行业垂直媒体宣传采购项目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ascii="宋体" w:hAnsi="宋体"/>
          <w:b/>
          <w:color w:val="0C0C0C" w:themeColor="text1" w:themeTint="F2"/>
          <w:sz w:val="32"/>
          <w:szCs w:val="32"/>
        </w:rPr>
      </w:pPr>
    </w:p>
    <w:p>
      <w:pPr>
        <w:pStyle w:val="2"/>
      </w:pPr>
    </w:p>
    <w:p>
      <w:pPr>
        <w:pStyle w:val="2"/>
      </w:pPr>
    </w:p>
    <w:p>
      <w:pPr>
        <w:pStyle w:val="2"/>
      </w:pPr>
    </w:p>
    <w:p>
      <w:pPr>
        <w:pStyle w:val="2"/>
      </w:pPr>
    </w:p>
    <w:p>
      <w:pPr>
        <w:pStyle w:val="2"/>
      </w:pPr>
    </w:p>
    <w:p>
      <w:pPr>
        <w:pStyle w:val="2"/>
      </w:pPr>
    </w:p>
    <w:p>
      <w:pPr>
        <w:pStyle w:val="2"/>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2年5月</w:t>
      </w:r>
      <w:r>
        <w:rPr>
          <w:rFonts w:ascii="方正小标宋_GBK" w:hAnsi="方正小标宋_GBK" w:eastAsia="方正小标宋_GBK" w:cs="方正小标宋_GBK"/>
          <w:b/>
          <w:sz w:val="32"/>
          <w:szCs w:val="32"/>
        </w:rPr>
        <w:br w:type="page"/>
      </w:r>
    </w:p>
    <w:p>
      <w:pPr>
        <w:pStyle w:val="1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"_Toc15956" </w:instrText>
      </w:r>
      <w:r>
        <w:fldChar w:fldCharType="separate"/>
      </w:r>
      <w:r>
        <w:rPr>
          <w:rFonts w:hint="eastAsia" w:ascii="方正小标宋_GBK" w:hAnsi="方正小标宋_GBK" w:eastAsia="方正小标宋_GBK"/>
          <w:szCs w:val="32"/>
        </w:rPr>
        <w:t>第一部分 项目要求</w:t>
      </w:r>
      <w:r>
        <w:tab/>
      </w:r>
      <w:r>
        <w:fldChar w:fldCharType="begin"/>
      </w:r>
      <w:r>
        <w:instrText xml:space="preserve"> PAGEREF _Toc15956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"_Toc30375" </w:instrText>
      </w:r>
      <w:r>
        <w:fldChar w:fldCharType="separate"/>
      </w:r>
      <w:r>
        <w:rPr>
          <w:rFonts w:hint="eastAsia" w:ascii="宋体" w:hAnsi="宋体" w:cs="仿宋"/>
          <w:bCs/>
          <w:szCs w:val="21"/>
        </w:rPr>
        <w:t xml:space="preserve">一、 </w:t>
      </w:r>
      <w:r>
        <w:rPr>
          <w:rFonts w:hint="eastAsia" w:ascii="宋体" w:hAnsi="宋体"/>
          <w:szCs w:val="21"/>
        </w:rPr>
        <w:t>投标人须知</w:t>
      </w:r>
      <w:r>
        <w:tab/>
      </w:r>
      <w:r>
        <w:fldChar w:fldCharType="begin"/>
      </w:r>
      <w:r>
        <w:instrText xml:space="preserve"> PAGEREF _Toc30375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"_Toc14436" </w:instrText>
      </w:r>
      <w:r>
        <w:fldChar w:fldCharType="separate"/>
      </w:r>
      <w:r>
        <w:rPr>
          <w:rFonts w:hint="eastAsia" w:ascii="宋体" w:hAnsi="宋体" w:cs="仿宋"/>
          <w:bCs/>
          <w:szCs w:val="21"/>
        </w:rPr>
        <w:t xml:space="preserve">二、 </w:t>
      </w:r>
      <w:r>
        <w:rPr>
          <w:rFonts w:hint="eastAsia" w:ascii="宋体" w:hAnsi="宋体"/>
          <w:szCs w:val="21"/>
        </w:rPr>
        <w:t>特别说明</w:t>
      </w:r>
      <w:r>
        <w:tab/>
      </w:r>
      <w:r>
        <w:fldChar w:fldCharType="begin"/>
      </w:r>
      <w:r>
        <w:instrText xml:space="preserve"> PAGEREF _Toc14436 \h </w:instrText>
      </w:r>
      <w:r>
        <w:fldChar w:fldCharType="separate"/>
      </w:r>
      <w:r>
        <w:t>5</w:t>
      </w:r>
      <w:r>
        <w:fldChar w:fldCharType="end"/>
      </w:r>
      <w:r>
        <w:fldChar w:fldCharType="end"/>
      </w:r>
    </w:p>
    <w:p>
      <w:pPr>
        <w:pStyle w:val="20"/>
        <w:tabs>
          <w:tab w:val="right" w:leader="dot" w:pos="8306"/>
        </w:tabs>
      </w:pPr>
      <w:r>
        <w:fldChar w:fldCharType="begin"/>
      </w:r>
      <w:r>
        <w:instrText xml:space="preserve"> HYPERLINK \l "_Toc21562" </w:instrText>
      </w:r>
      <w:r>
        <w:fldChar w:fldCharType="separate"/>
      </w:r>
      <w:r>
        <w:rPr>
          <w:rFonts w:hint="eastAsia" w:ascii="宋体" w:hAnsi="宋体" w:cs="仿宋"/>
          <w:bCs/>
          <w:szCs w:val="21"/>
        </w:rPr>
        <w:t xml:space="preserve">三、 </w:t>
      </w:r>
      <w:r>
        <w:rPr>
          <w:rFonts w:hint="eastAsia" w:ascii="宋体" w:hAnsi="宋体"/>
          <w:szCs w:val="21"/>
        </w:rPr>
        <w:t>投标文件编制</w:t>
      </w:r>
      <w:r>
        <w:tab/>
      </w:r>
      <w:r>
        <w:fldChar w:fldCharType="begin"/>
      </w:r>
      <w:r>
        <w:instrText xml:space="preserve"> PAGEREF _Toc21562 \h </w:instrText>
      </w:r>
      <w:r>
        <w:fldChar w:fldCharType="separate"/>
      </w:r>
      <w:r>
        <w:t>6</w:t>
      </w:r>
      <w:r>
        <w:fldChar w:fldCharType="end"/>
      </w:r>
      <w:r>
        <w:fldChar w:fldCharType="end"/>
      </w:r>
    </w:p>
    <w:p>
      <w:pPr>
        <w:pStyle w:val="20"/>
        <w:tabs>
          <w:tab w:val="right" w:leader="dot" w:pos="8306"/>
        </w:tabs>
      </w:pPr>
      <w:r>
        <w:fldChar w:fldCharType="begin"/>
      </w:r>
      <w:r>
        <w:instrText xml:space="preserve"> HYPERLINK \l "_Toc14851" </w:instrText>
      </w:r>
      <w:r>
        <w:fldChar w:fldCharType="separate"/>
      </w:r>
      <w:r>
        <w:rPr>
          <w:rFonts w:hint="eastAsia" w:ascii="宋体" w:hAnsi="宋体" w:cs="仿宋"/>
          <w:bCs/>
          <w:szCs w:val="21"/>
        </w:rPr>
        <w:t xml:space="preserve">四、 </w:t>
      </w:r>
      <w:r>
        <w:rPr>
          <w:rFonts w:hint="eastAsia" w:ascii="宋体" w:hAnsi="宋体"/>
          <w:szCs w:val="21"/>
        </w:rPr>
        <w:t>项目要求及数量</w:t>
      </w:r>
      <w:r>
        <w:tab/>
      </w:r>
      <w:r>
        <w:fldChar w:fldCharType="begin"/>
      </w:r>
      <w:r>
        <w:instrText xml:space="preserve"> PAGEREF _Toc14851 \h </w:instrText>
      </w:r>
      <w:r>
        <w:fldChar w:fldCharType="separate"/>
      </w:r>
      <w:r>
        <w:t>6</w:t>
      </w:r>
      <w:r>
        <w:fldChar w:fldCharType="end"/>
      </w:r>
      <w:r>
        <w:fldChar w:fldCharType="end"/>
      </w:r>
    </w:p>
    <w:p>
      <w:pPr>
        <w:pStyle w:val="20"/>
        <w:tabs>
          <w:tab w:val="right" w:leader="dot" w:pos="8306"/>
        </w:tabs>
      </w:pPr>
      <w:r>
        <w:fldChar w:fldCharType="begin"/>
      </w:r>
      <w:r>
        <w:instrText xml:space="preserve"> HYPERLINK \l "_Toc1912" </w:instrText>
      </w:r>
      <w:r>
        <w:fldChar w:fldCharType="separate"/>
      </w:r>
      <w:r>
        <w:rPr>
          <w:rFonts w:hint="eastAsia" w:ascii="宋体" w:hAnsi="宋体" w:cs="仿宋"/>
          <w:bCs/>
          <w:szCs w:val="21"/>
        </w:rPr>
        <w:t xml:space="preserve">五、 </w:t>
      </w:r>
      <w:r>
        <w:rPr>
          <w:rFonts w:hint="eastAsia" w:ascii="宋体" w:hAnsi="宋体"/>
          <w:szCs w:val="21"/>
        </w:rPr>
        <w:t>其他项目说明资料</w:t>
      </w:r>
      <w:r>
        <w:tab/>
      </w:r>
      <w:r>
        <w:fldChar w:fldCharType="begin"/>
      </w:r>
      <w:r>
        <w:instrText xml:space="preserve"> PAGEREF _Toc1912 \h </w:instrText>
      </w:r>
      <w:r>
        <w:fldChar w:fldCharType="separate"/>
      </w:r>
      <w:r>
        <w:t>9</w:t>
      </w:r>
      <w:r>
        <w:fldChar w:fldCharType="end"/>
      </w:r>
      <w:r>
        <w:fldChar w:fldCharType="end"/>
      </w:r>
    </w:p>
    <w:p>
      <w:pPr>
        <w:pStyle w:val="19"/>
        <w:tabs>
          <w:tab w:val="right" w:leader="dot" w:pos="8306"/>
        </w:tabs>
      </w:pPr>
      <w:r>
        <w:fldChar w:fldCharType="begin"/>
      </w:r>
      <w:r>
        <w:instrText xml:space="preserve"> HYPERLINK \l "_Toc25242" </w:instrText>
      </w:r>
      <w:r>
        <w:fldChar w:fldCharType="separate"/>
      </w:r>
      <w:r>
        <w:rPr>
          <w:rFonts w:hint="eastAsia" w:ascii="方正小标宋_GBK" w:hAnsi="方正小标宋_GBK" w:eastAsia="方正小标宋_GBK"/>
          <w:szCs w:val="32"/>
        </w:rPr>
        <w:t>第二部分：开标流程</w:t>
      </w:r>
      <w:r>
        <w:tab/>
      </w:r>
      <w:r>
        <w:fldChar w:fldCharType="begin"/>
      </w:r>
      <w:r>
        <w:instrText xml:space="preserve"> PAGEREF _Toc25242 \h </w:instrText>
      </w:r>
      <w:r>
        <w:fldChar w:fldCharType="separate"/>
      </w:r>
      <w:r>
        <w:t>9</w:t>
      </w:r>
      <w:r>
        <w:fldChar w:fldCharType="end"/>
      </w:r>
      <w:r>
        <w:fldChar w:fldCharType="end"/>
      </w:r>
    </w:p>
    <w:p>
      <w:pPr>
        <w:pStyle w:val="20"/>
        <w:tabs>
          <w:tab w:val="right" w:leader="dot" w:pos="8306"/>
        </w:tabs>
      </w:pPr>
      <w:r>
        <w:fldChar w:fldCharType="begin"/>
      </w:r>
      <w:r>
        <w:instrText xml:space="preserve"> HYPERLINK \l "_Toc1758" </w:instrText>
      </w:r>
      <w:r>
        <w:fldChar w:fldCharType="separate"/>
      </w:r>
      <w:r>
        <w:rPr>
          <w:rFonts w:hint="eastAsia" w:ascii="宋体" w:hAnsi="宋体" w:cs="仿宋"/>
          <w:bCs/>
          <w:szCs w:val="21"/>
        </w:rPr>
        <w:t xml:space="preserve">六、 </w:t>
      </w:r>
      <w:r>
        <w:rPr>
          <w:rFonts w:hint="eastAsia" w:ascii="宋体" w:hAnsi="宋体"/>
          <w:szCs w:val="21"/>
        </w:rPr>
        <w:t>开标流程</w:t>
      </w:r>
      <w:r>
        <w:tab/>
      </w:r>
      <w:r>
        <w:fldChar w:fldCharType="begin"/>
      </w:r>
      <w:r>
        <w:instrText xml:space="preserve"> PAGEREF _Toc1758 \h </w:instrText>
      </w:r>
      <w:r>
        <w:fldChar w:fldCharType="separate"/>
      </w:r>
      <w:r>
        <w:t>9</w:t>
      </w:r>
      <w:r>
        <w:fldChar w:fldCharType="end"/>
      </w:r>
      <w:r>
        <w:fldChar w:fldCharType="end"/>
      </w:r>
    </w:p>
    <w:p>
      <w:pPr>
        <w:pStyle w:val="19"/>
        <w:tabs>
          <w:tab w:val="right" w:leader="dot" w:pos="8306"/>
        </w:tabs>
      </w:pPr>
      <w:r>
        <w:fldChar w:fldCharType="begin"/>
      </w:r>
      <w:r>
        <w:instrText xml:space="preserve"> HYPERLINK \l "_Toc14471" </w:instrText>
      </w:r>
      <w:r>
        <w:fldChar w:fldCharType="separate"/>
      </w:r>
      <w:r>
        <w:rPr>
          <w:rFonts w:hint="eastAsia" w:ascii="方正小标宋_GBK" w:hAnsi="方正小标宋_GBK" w:eastAsia="方正小标宋_GBK"/>
          <w:szCs w:val="32"/>
        </w:rPr>
        <w:t>第三部分：评审办法</w:t>
      </w:r>
      <w:r>
        <w:tab/>
      </w:r>
      <w:r>
        <w:fldChar w:fldCharType="begin"/>
      </w:r>
      <w:r>
        <w:instrText xml:space="preserve"> PAGEREF _Toc14471 \h </w:instrText>
      </w:r>
      <w:r>
        <w:fldChar w:fldCharType="separate"/>
      </w:r>
      <w:r>
        <w:t>11</w:t>
      </w:r>
      <w:r>
        <w:fldChar w:fldCharType="end"/>
      </w:r>
      <w:r>
        <w:fldChar w:fldCharType="end"/>
      </w:r>
    </w:p>
    <w:p>
      <w:pPr>
        <w:pStyle w:val="20"/>
        <w:tabs>
          <w:tab w:val="right" w:leader="dot" w:pos="8306"/>
        </w:tabs>
      </w:pPr>
      <w:r>
        <w:fldChar w:fldCharType="begin"/>
      </w:r>
      <w:r>
        <w:instrText xml:space="preserve"> HYPERLINK \l "_Toc18910" </w:instrText>
      </w:r>
      <w:r>
        <w:fldChar w:fldCharType="separate"/>
      </w:r>
      <w:r>
        <w:rPr>
          <w:rFonts w:hint="eastAsia" w:ascii="宋体" w:hAnsi="宋体" w:cs="仿宋"/>
          <w:bCs/>
          <w:szCs w:val="21"/>
        </w:rPr>
        <w:t xml:space="preserve">七、 </w:t>
      </w:r>
      <w:r>
        <w:rPr>
          <w:rFonts w:hint="eastAsia" w:ascii="宋体" w:hAnsi="宋体"/>
          <w:bCs/>
          <w:szCs w:val="21"/>
        </w:rPr>
        <w:t>评审办法</w:t>
      </w:r>
      <w:r>
        <w:tab/>
      </w:r>
      <w:r>
        <w:fldChar w:fldCharType="begin"/>
      </w:r>
      <w:r>
        <w:instrText xml:space="preserve"> PAGEREF _Toc18910 \h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"_Toc24020" </w:instrText>
      </w:r>
      <w:r>
        <w:fldChar w:fldCharType="separate"/>
      </w:r>
      <w:r>
        <w:rPr>
          <w:rFonts w:ascii="宋体" w:hAnsi="宋体"/>
          <w:szCs w:val="21"/>
        </w:rPr>
        <w:t xml:space="preserve">（一） </w:t>
      </w:r>
      <w:r>
        <w:rPr>
          <w:rFonts w:hint="eastAsia" w:ascii="宋体" w:hAnsi="宋体"/>
          <w:bCs/>
          <w:szCs w:val="21"/>
        </w:rPr>
        <w:t>符合性检查</w:t>
      </w:r>
      <w:r>
        <w:tab/>
      </w:r>
      <w:r>
        <w:fldChar w:fldCharType="begin"/>
      </w:r>
      <w:r>
        <w:instrText xml:space="preserve"> PAGEREF _Toc24020 \h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"_Toc22836" </w:instrText>
      </w:r>
      <w:r>
        <w:fldChar w:fldCharType="separate"/>
      </w:r>
      <w:r>
        <w:rPr>
          <w:rFonts w:ascii="宋体" w:hAnsi="宋体"/>
          <w:bCs/>
          <w:szCs w:val="21"/>
        </w:rPr>
        <w:t xml:space="preserve">（二） </w:t>
      </w:r>
      <w:r>
        <w:rPr>
          <w:rFonts w:hint="eastAsia" w:ascii="宋体" w:hAnsi="宋体"/>
          <w:bCs/>
          <w:szCs w:val="21"/>
        </w:rPr>
        <w:t>综合评议指标表</w:t>
      </w:r>
      <w:r>
        <w:tab/>
      </w:r>
      <w:r>
        <w:fldChar w:fldCharType="begin"/>
      </w:r>
      <w:r>
        <w:instrText xml:space="preserve"> PAGEREF _Toc22836 \h </w:instrText>
      </w:r>
      <w:r>
        <w:fldChar w:fldCharType="separate"/>
      </w:r>
      <w:r>
        <w:t>11</w:t>
      </w:r>
      <w:r>
        <w:fldChar w:fldCharType="end"/>
      </w:r>
      <w:r>
        <w:fldChar w:fldCharType="end"/>
      </w:r>
    </w:p>
    <w:p>
      <w:pPr>
        <w:pStyle w:val="19"/>
        <w:tabs>
          <w:tab w:val="right" w:leader="dot" w:pos="8306"/>
        </w:tabs>
      </w:pPr>
      <w:r>
        <w:fldChar w:fldCharType="begin"/>
      </w:r>
      <w:r>
        <w:instrText xml:space="preserve"> HYPERLINK \l "_Toc21437" </w:instrText>
      </w:r>
      <w:r>
        <w:fldChar w:fldCharType="separate"/>
      </w:r>
      <w:r>
        <w:rPr>
          <w:rFonts w:hint="eastAsia" w:ascii="方正小标宋_GBK" w:hAnsi="方正小标宋_GBK" w:eastAsia="方正小标宋_GBK"/>
          <w:szCs w:val="32"/>
        </w:rPr>
        <w:t>第四部分：合同条款及格式</w:t>
      </w:r>
      <w:r>
        <w:tab/>
      </w:r>
      <w:r>
        <w:fldChar w:fldCharType="begin"/>
      </w:r>
      <w:r>
        <w:instrText xml:space="preserve"> PAGEREF _Toc21437 \h </w:instrText>
      </w:r>
      <w:r>
        <w:fldChar w:fldCharType="separate"/>
      </w:r>
      <w:r>
        <w:t>13</w:t>
      </w:r>
      <w:r>
        <w:fldChar w:fldCharType="end"/>
      </w:r>
      <w:r>
        <w:fldChar w:fldCharType="end"/>
      </w:r>
    </w:p>
    <w:p>
      <w:pPr>
        <w:pStyle w:val="19"/>
        <w:tabs>
          <w:tab w:val="right" w:leader="dot" w:pos="8306"/>
        </w:tabs>
      </w:pPr>
      <w:r>
        <w:fldChar w:fldCharType="begin"/>
      </w:r>
      <w:r>
        <w:instrText xml:space="preserve"> HYPERLINK \l "_Toc9939" </w:instrText>
      </w:r>
      <w:r>
        <w:fldChar w:fldCharType="separate"/>
      </w:r>
      <w:r>
        <w:rPr>
          <w:rFonts w:hint="eastAsia" w:ascii="方正小标宋_GBK" w:hAnsi="方正小标宋_GBK" w:eastAsia="方正小标宋_GBK"/>
          <w:szCs w:val="32"/>
        </w:rPr>
        <w:t>第五部分：参考附件</w:t>
      </w:r>
      <w:r>
        <w:tab/>
      </w:r>
      <w:r>
        <w:rPr>
          <w:rFonts w:hint="eastAsia"/>
        </w:rPr>
        <w:t>2</w:t>
      </w:r>
      <w:r>
        <w:rPr>
          <w:rFonts w:hint="eastAsia"/>
        </w:rPr>
        <w:fldChar w:fldCharType="end"/>
      </w:r>
      <w:r>
        <w:rPr>
          <w:rFonts w:hint="eastAsia"/>
        </w:rPr>
        <w:t>2</w:t>
      </w:r>
    </w:p>
    <w:p>
      <w:pPr>
        <w:pStyle w:val="20"/>
        <w:tabs>
          <w:tab w:val="right" w:leader="dot" w:pos="8306"/>
        </w:tabs>
      </w:pPr>
      <w:r>
        <w:fldChar w:fldCharType="begin"/>
      </w:r>
      <w:r>
        <w:instrText xml:space="preserve"> HYPERLINK \l "_Toc2928" </w:instrText>
      </w:r>
      <w:r>
        <w:fldChar w:fldCharType="separate"/>
      </w:r>
      <w:r>
        <w:rPr>
          <w:rFonts w:hint="eastAsia" w:ascii="宋体" w:hAnsi="宋体"/>
          <w:szCs w:val="21"/>
        </w:rPr>
        <w:t>附件1：投标函</w:t>
      </w:r>
      <w:r>
        <w:tab/>
      </w:r>
      <w:r>
        <w:rPr>
          <w:rFonts w:hint="eastAsia"/>
        </w:rPr>
        <w:t>2</w:t>
      </w:r>
      <w:r>
        <w:rPr>
          <w:rFonts w:hint="eastAsia"/>
        </w:rPr>
        <w:fldChar w:fldCharType="end"/>
      </w:r>
      <w:r>
        <w:rPr>
          <w:rFonts w:hint="eastAsia"/>
        </w:rPr>
        <w:t>2</w:t>
      </w:r>
    </w:p>
    <w:p>
      <w:pPr>
        <w:pStyle w:val="20"/>
        <w:tabs>
          <w:tab w:val="right" w:leader="dot" w:pos="8306"/>
        </w:tabs>
      </w:pPr>
      <w:r>
        <w:fldChar w:fldCharType="begin"/>
      </w:r>
      <w:r>
        <w:instrText xml:space="preserve"> HYPERLINK \l "_Toc4654" </w:instrText>
      </w:r>
      <w:r>
        <w:fldChar w:fldCharType="separate"/>
      </w:r>
      <w:r>
        <w:rPr>
          <w:rFonts w:hint="eastAsia" w:ascii="宋体" w:hAnsi="宋体"/>
          <w:szCs w:val="21"/>
        </w:rPr>
        <w:t>附件</w:t>
      </w:r>
      <w:r>
        <w:rPr>
          <w:rFonts w:ascii="宋体" w:hAnsi="宋体"/>
          <w:szCs w:val="21"/>
        </w:rPr>
        <w:t>2</w:t>
      </w:r>
      <w:r>
        <w:rPr>
          <w:rFonts w:hint="eastAsia" w:ascii="宋体" w:hAnsi="宋体"/>
          <w:szCs w:val="21"/>
        </w:rPr>
        <w:t>：投标一览表</w:t>
      </w:r>
      <w:r>
        <w:tab/>
      </w:r>
      <w:r>
        <w:rPr>
          <w:rFonts w:hint="eastAsia"/>
        </w:rPr>
        <w:t>2</w:t>
      </w:r>
      <w:r>
        <w:rPr>
          <w:rFonts w:hint="eastAsia"/>
        </w:rPr>
        <w:fldChar w:fldCharType="end"/>
      </w:r>
      <w:r>
        <w:rPr>
          <w:rFonts w:hint="eastAsia"/>
        </w:rPr>
        <w:t>3</w:t>
      </w:r>
    </w:p>
    <w:p>
      <w:pPr>
        <w:pStyle w:val="20"/>
        <w:tabs>
          <w:tab w:val="right" w:leader="dot" w:pos="8306"/>
        </w:tabs>
      </w:pPr>
      <w:r>
        <w:fldChar w:fldCharType="begin"/>
      </w:r>
      <w:r>
        <w:instrText xml:space="preserve"> HYPERLINK \l "_Toc13729" </w:instrText>
      </w:r>
      <w:r>
        <w:fldChar w:fldCharType="separate"/>
      </w:r>
      <w:r>
        <w:rPr>
          <w:rFonts w:hint="eastAsia" w:ascii="宋体" w:hAnsi="宋体"/>
          <w:szCs w:val="21"/>
        </w:rPr>
        <w:t>附件</w:t>
      </w:r>
      <w:r>
        <w:rPr>
          <w:rFonts w:ascii="宋体" w:hAnsi="宋体"/>
          <w:szCs w:val="21"/>
        </w:rPr>
        <w:t>3</w:t>
      </w:r>
      <w:r>
        <w:rPr>
          <w:rFonts w:hint="eastAsia" w:ascii="宋体" w:hAnsi="宋体"/>
          <w:szCs w:val="21"/>
        </w:rPr>
        <w:t>：考察证明（本项目不适用）</w:t>
      </w:r>
      <w:r>
        <w:tab/>
      </w:r>
      <w:r>
        <w:rPr>
          <w:rFonts w:hint="eastAsia"/>
        </w:rPr>
        <w:t>2</w:t>
      </w:r>
      <w:r>
        <w:rPr>
          <w:rFonts w:hint="eastAsia"/>
        </w:rPr>
        <w:fldChar w:fldCharType="end"/>
      </w:r>
      <w:r>
        <w:rPr>
          <w:rFonts w:hint="eastAsia"/>
        </w:rPr>
        <w:t>4</w:t>
      </w:r>
    </w:p>
    <w:p>
      <w:pPr>
        <w:pStyle w:val="20"/>
        <w:tabs>
          <w:tab w:val="right" w:leader="dot" w:pos="8306"/>
        </w:tabs>
      </w:pPr>
      <w:r>
        <w:fldChar w:fldCharType="begin"/>
      </w:r>
      <w:r>
        <w:instrText xml:space="preserve"> HYPERLINK \l "_Toc25588" </w:instrText>
      </w:r>
      <w:r>
        <w:fldChar w:fldCharType="separate"/>
      </w:r>
      <w:r>
        <w:rPr>
          <w:rFonts w:hint="eastAsia" w:ascii="宋体" w:hAnsi="宋体"/>
          <w:szCs w:val="21"/>
        </w:rPr>
        <w:t>附件</w:t>
      </w:r>
      <w:r>
        <w:rPr>
          <w:rFonts w:ascii="宋体" w:hAnsi="宋体"/>
          <w:szCs w:val="21"/>
        </w:rPr>
        <w:t>4</w:t>
      </w:r>
      <w:r>
        <w:rPr>
          <w:rFonts w:hint="eastAsia" w:ascii="宋体" w:hAnsi="宋体"/>
          <w:szCs w:val="21"/>
        </w:rPr>
        <w:t>：技术服务响应/偏离表</w:t>
      </w:r>
      <w:r>
        <w:tab/>
      </w:r>
      <w:r>
        <w:rPr>
          <w:rFonts w:hint="eastAsia"/>
        </w:rPr>
        <w:t>2</w:t>
      </w:r>
      <w:r>
        <w:rPr>
          <w:rFonts w:hint="eastAsia"/>
        </w:rPr>
        <w:fldChar w:fldCharType="end"/>
      </w:r>
      <w:r>
        <w:rPr>
          <w:rFonts w:hint="eastAsia"/>
        </w:rPr>
        <w:t>5</w:t>
      </w:r>
    </w:p>
    <w:p>
      <w:pPr>
        <w:pStyle w:val="20"/>
        <w:tabs>
          <w:tab w:val="right" w:leader="dot" w:pos="8306"/>
        </w:tabs>
      </w:pPr>
      <w:r>
        <w:fldChar w:fldCharType="begin"/>
      </w:r>
      <w:r>
        <w:instrText xml:space="preserve"> HYPERLINK \l "_Toc4073" </w:instrText>
      </w:r>
      <w:r>
        <w:fldChar w:fldCharType="separate"/>
      </w:r>
      <w:r>
        <w:rPr>
          <w:rFonts w:hint="eastAsia" w:ascii="宋体" w:hAnsi="宋体"/>
          <w:szCs w:val="21"/>
        </w:rPr>
        <w:t>附件</w:t>
      </w:r>
      <w:r>
        <w:rPr>
          <w:rFonts w:ascii="宋体" w:hAnsi="宋体"/>
          <w:szCs w:val="21"/>
        </w:rPr>
        <w:t>5</w:t>
      </w:r>
      <w:r>
        <w:rPr>
          <w:rFonts w:hint="eastAsia" w:ascii="宋体" w:hAnsi="宋体"/>
          <w:szCs w:val="21"/>
        </w:rPr>
        <w:t>：商务条款响应/偏离表</w:t>
      </w:r>
      <w:r>
        <w:tab/>
      </w:r>
      <w:r>
        <w:rPr>
          <w:rFonts w:hint="eastAsia"/>
        </w:rPr>
        <w:t>2</w:t>
      </w:r>
      <w:r>
        <w:rPr>
          <w:rFonts w:hint="eastAsia"/>
        </w:rPr>
        <w:fldChar w:fldCharType="end"/>
      </w:r>
      <w:r>
        <w:rPr>
          <w:rFonts w:hint="eastAsia"/>
        </w:rPr>
        <w:t>6</w:t>
      </w:r>
    </w:p>
    <w:p>
      <w:pPr>
        <w:pStyle w:val="20"/>
        <w:tabs>
          <w:tab w:val="right" w:leader="dot" w:pos="8306"/>
        </w:tabs>
      </w:pPr>
      <w:r>
        <w:fldChar w:fldCharType="begin"/>
      </w:r>
      <w:r>
        <w:instrText xml:space="preserve"> HYPERLINK \l "_Toc9329" </w:instrText>
      </w:r>
      <w:r>
        <w:fldChar w:fldCharType="separate"/>
      </w:r>
      <w:r>
        <w:rPr>
          <w:rFonts w:hint="eastAsia" w:ascii="宋体" w:hAnsi="宋体"/>
          <w:szCs w:val="21"/>
        </w:rPr>
        <w:t>附件</w:t>
      </w:r>
      <w:r>
        <w:rPr>
          <w:rFonts w:ascii="宋体" w:hAnsi="宋体"/>
          <w:szCs w:val="21"/>
        </w:rPr>
        <w:t>6</w:t>
      </w:r>
      <w:r>
        <w:rPr>
          <w:rFonts w:hint="eastAsia" w:ascii="宋体" w:hAnsi="宋体"/>
          <w:szCs w:val="21"/>
        </w:rPr>
        <w:t>：报价一览表（货物）（本项目不适用）</w:t>
      </w:r>
      <w:r>
        <w:tab/>
      </w:r>
      <w:r>
        <w:rPr>
          <w:rFonts w:hint="eastAsia"/>
        </w:rPr>
        <w:t>2</w:t>
      </w:r>
      <w:r>
        <w:rPr>
          <w:rFonts w:hint="eastAsia"/>
        </w:rPr>
        <w:fldChar w:fldCharType="end"/>
      </w:r>
      <w:r>
        <w:rPr>
          <w:rFonts w:hint="eastAsia"/>
        </w:rPr>
        <w:t>7</w:t>
      </w:r>
    </w:p>
    <w:p>
      <w:pPr>
        <w:pStyle w:val="20"/>
        <w:tabs>
          <w:tab w:val="right" w:leader="dot" w:pos="8306"/>
        </w:tabs>
      </w:pPr>
      <w:r>
        <w:fldChar w:fldCharType="begin"/>
      </w:r>
      <w:r>
        <w:instrText xml:space="preserve"> HYPERLINK \l "_Toc9745" </w:instrText>
      </w:r>
      <w:r>
        <w:fldChar w:fldCharType="separate"/>
      </w:r>
      <w:r>
        <w:rPr>
          <w:rFonts w:hint="eastAsia" w:ascii="宋体" w:hAnsi="宋体"/>
          <w:szCs w:val="21"/>
        </w:rPr>
        <w:t>附件</w:t>
      </w:r>
      <w:r>
        <w:rPr>
          <w:rFonts w:ascii="宋体" w:hAnsi="宋体"/>
          <w:szCs w:val="21"/>
        </w:rPr>
        <w:t>7</w:t>
      </w:r>
      <w:r>
        <w:rPr>
          <w:rFonts w:hint="eastAsia" w:ascii="宋体" w:hAnsi="宋体"/>
          <w:szCs w:val="21"/>
        </w:rPr>
        <w:t>：报价一览表（服务）</w:t>
      </w:r>
      <w:r>
        <w:tab/>
      </w:r>
      <w:r>
        <w:rPr>
          <w:rFonts w:hint="eastAsia"/>
        </w:rPr>
        <w:t>32</w:t>
      </w:r>
      <w:r>
        <w:rPr>
          <w:rFonts w:hint="eastAsia"/>
        </w:rPr>
        <w:fldChar w:fldCharType="end"/>
      </w:r>
    </w:p>
    <w:p>
      <w:pPr>
        <w:pStyle w:val="20"/>
        <w:tabs>
          <w:tab w:val="right" w:leader="dot" w:pos="8306"/>
        </w:tabs>
      </w:pPr>
      <w:r>
        <w:fldChar w:fldCharType="begin"/>
      </w:r>
      <w:r>
        <w:instrText xml:space="preserve"> HYPERLINK \l "_Toc2613" </w:instrText>
      </w:r>
      <w:r>
        <w:fldChar w:fldCharType="separate"/>
      </w:r>
      <w:r>
        <w:rPr>
          <w:rFonts w:hint="eastAsia" w:ascii="宋体" w:hAnsi="宋体"/>
          <w:szCs w:val="21"/>
        </w:rPr>
        <w:t>附件</w:t>
      </w:r>
      <w:r>
        <w:rPr>
          <w:rFonts w:ascii="宋体" w:hAnsi="宋体"/>
          <w:szCs w:val="21"/>
        </w:rPr>
        <w:t>8</w:t>
      </w:r>
      <w:r>
        <w:rPr>
          <w:rFonts w:hint="eastAsia" w:ascii="宋体" w:hAnsi="宋体"/>
          <w:szCs w:val="21"/>
        </w:rPr>
        <w:t>：报价一览表（工程）（本项目不适用）</w:t>
      </w:r>
      <w:r>
        <w:tab/>
      </w:r>
      <w:r>
        <w:rPr>
          <w:rFonts w:hint="eastAsia"/>
        </w:rPr>
        <w:t>3</w:t>
      </w:r>
      <w:r>
        <w:rPr>
          <w:rFonts w:hint="eastAsia"/>
        </w:rPr>
        <w:fldChar w:fldCharType="end"/>
      </w:r>
      <w:r>
        <w:rPr>
          <w:rFonts w:hint="eastAsia"/>
        </w:rPr>
        <w:t>3</w:t>
      </w:r>
    </w:p>
    <w:p>
      <w:pPr>
        <w:pStyle w:val="20"/>
        <w:tabs>
          <w:tab w:val="right" w:leader="dot" w:pos="8306"/>
        </w:tabs>
      </w:pPr>
      <w:r>
        <w:fldChar w:fldCharType="begin"/>
      </w:r>
      <w:r>
        <w:instrText xml:space="preserve"> HYPERLINK \l "_Toc28339" </w:instrText>
      </w:r>
      <w:r>
        <w:fldChar w:fldCharType="separate"/>
      </w:r>
      <w:r>
        <w:rPr>
          <w:rFonts w:hint="eastAsia" w:ascii="宋体" w:hAnsi="宋体"/>
          <w:szCs w:val="21"/>
        </w:rPr>
        <w:t>附件</w:t>
      </w:r>
      <w:r>
        <w:rPr>
          <w:rFonts w:ascii="宋体" w:hAnsi="宋体"/>
          <w:szCs w:val="21"/>
        </w:rPr>
        <w:t>9</w:t>
      </w:r>
      <w:r>
        <w:rPr>
          <w:rFonts w:hint="eastAsia" w:ascii="宋体" w:hAnsi="宋体"/>
          <w:szCs w:val="21"/>
        </w:rPr>
        <w:t>：法定代表人证明书</w:t>
      </w:r>
      <w:r>
        <w:tab/>
      </w:r>
      <w:r>
        <w:rPr>
          <w:rFonts w:hint="eastAsia"/>
        </w:rPr>
        <w:t>3</w:t>
      </w:r>
      <w:r>
        <w:rPr>
          <w:rFonts w:hint="eastAsia"/>
        </w:rPr>
        <w:fldChar w:fldCharType="end"/>
      </w:r>
      <w:r>
        <w:rPr>
          <w:rFonts w:hint="eastAsia" w:ascii="宋体" w:hAnsi="宋体" w:cs="仿宋"/>
          <w:szCs w:val="21"/>
        </w:rPr>
        <w:t>4</w:t>
      </w:r>
    </w:p>
    <w:p>
      <w:pPr>
        <w:pStyle w:val="20"/>
        <w:tabs>
          <w:tab w:val="right" w:leader="dot" w:pos="8306"/>
        </w:tabs>
      </w:pPr>
      <w:r>
        <w:fldChar w:fldCharType="begin"/>
      </w:r>
      <w:r>
        <w:instrText xml:space="preserve"> HYPERLINK \l "_Toc27308" </w:instrText>
      </w:r>
      <w:r>
        <w:fldChar w:fldCharType="separate"/>
      </w:r>
      <w:r>
        <w:rPr>
          <w:rFonts w:hint="eastAsia" w:ascii="宋体" w:hAnsi="宋体"/>
          <w:szCs w:val="21"/>
        </w:rPr>
        <w:t>附件</w:t>
      </w:r>
      <w:r>
        <w:rPr>
          <w:rFonts w:ascii="宋体" w:hAnsi="宋体"/>
          <w:szCs w:val="21"/>
        </w:rPr>
        <w:t>10</w:t>
      </w:r>
      <w:r>
        <w:rPr>
          <w:rFonts w:hint="eastAsia" w:ascii="宋体" w:hAnsi="宋体"/>
          <w:szCs w:val="21"/>
        </w:rPr>
        <w:t>：法人授权委托证明书</w:t>
      </w:r>
      <w:r>
        <w:tab/>
      </w:r>
      <w:r>
        <w:rPr>
          <w:rFonts w:hint="eastAsia"/>
        </w:rPr>
        <w:t>3</w:t>
      </w:r>
      <w:r>
        <w:rPr>
          <w:rFonts w:hint="eastAsia"/>
        </w:rPr>
        <w:fldChar w:fldCharType="end"/>
      </w:r>
      <w:r>
        <w:rPr>
          <w:rFonts w:hint="eastAsia"/>
        </w:rPr>
        <w:t>5</w:t>
      </w:r>
    </w:p>
    <w:p>
      <w:pPr>
        <w:pStyle w:val="20"/>
        <w:tabs>
          <w:tab w:val="right" w:leader="dot" w:pos="8306"/>
        </w:tabs>
      </w:pPr>
      <w:r>
        <w:fldChar w:fldCharType="begin"/>
      </w:r>
      <w:r>
        <w:instrText xml:space="preserve"> HYPERLINK \l "_Toc9684" </w:instrText>
      </w:r>
      <w:r>
        <w:fldChar w:fldCharType="separate"/>
      </w:r>
      <w:r>
        <w:rPr>
          <w:rFonts w:hint="eastAsia" w:ascii="宋体" w:hAnsi="宋体"/>
          <w:szCs w:val="21"/>
        </w:rPr>
        <w:t>附件</w:t>
      </w:r>
      <w:r>
        <w:rPr>
          <w:rFonts w:ascii="宋体" w:hAnsi="宋体"/>
          <w:szCs w:val="21"/>
        </w:rPr>
        <w:t>11</w:t>
      </w:r>
      <w:r>
        <w:rPr>
          <w:rFonts w:hint="eastAsia" w:ascii="宋体" w:hAnsi="宋体"/>
          <w:szCs w:val="21"/>
        </w:rPr>
        <w:t>：经营业绩一览表</w:t>
      </w:r>
      <w:r>
        <w:tab/>
      </w:r>
      <w:r>
        <w:rPr>
          <w:rFonts w:hint="eastAsia"/>
        </w:rPr>
        <w:t>3</w:t>
      </w:r>
      <w:r>
        <w:rPr>
          <w:rFonts w:hint="eastAsia"/>
        </w:rPr>
        <w:fldChar w:fldCharType="end"/>
      </w:r>
      <w:r>
        <w:rPr>
          <w:rFonts w:hint="eastAsia"/>
        </w:rPr>
        <w:t>6</w:t>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"_Toc102052814" </w:instrText>
      </w:r>
      <w:r>
        <w:fldChar w:fldCharType="separate"/>
      </w:r>
      <w:r>
        <w:rPr>
          <w:rStyle w:val="27"/>
          <w:rFonts w:ascii="宋体" w:hAnsi="宋体"/>
        </w:rPr>
        <w:t>附件13：服务承诺书（质量保证服务承诺书）</w:t>
      </w:r>
      <w:r>
        <w:tab/>
      </w:r>
      <w:r>
        <w:fldChar w:fldCharType="begin"/>
      </w:r>
      <w:r>
        <w:instrText xml:space="preserve"> PAGEREF _Toc102052814 \h </w:instrText>
      </w:r>
      <w:r>
        <w:fldChar w:fldCharType="separate"/>
      </w:r>
      <w:r>
        <w:t>3</w:t>
      </w:r>
      <w:r>
        <w:rPr>
          <w:rFonts w:hint="eastAsia"/>
        </w:rPr>
        <w:t>7</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"_Toc102052815" </w:instrText>
      </w:r>
      <w:r>
        <w:fldChar w:fldCharType="separate"/>
      </w:r>
      <w:r>
        <w:rPr>
          <w:rStyle w:val="27"/>
          <w:rFonts w:ascii="宋体" w:hAnsi="宋体"/>
        </w:rPr>
        <w:t>附件14：履约情况及社会信誉承诺书</w:t>
      </w:r>
      <w:r>
        <w:tab/>
      </w:r>
      <w:r>
        <w:fldChar w:fldCharType="begin"/>
      </w:r>
      <w:r>
        <w:instrText xml:space="preserve"> PAGEREF _Toc102052815 \h </w:instrText>
      </w:r>
      <w:r>
        <w:fldChar w:fldCharType="separate"/>
      </w:r>
      <w:r>
        <w:t>3</w:t>
      </w:r>
      <w:r>
        <w:rPr>
          <w:rFonts w:hint="eastAsia"/>
        </w:rPr>
        <w:t>8</w:t>
      </w:r>
      <w:r>
        <w:fldChar w:fldCharType="end"/>
      </w:r>
      <w:r>
        <w:fldChar w:fldCharType="end"/>
      </w:r>
    </w:p>
    <w:p>
      <w:pPr>
        <w:pStyle w:val="20"/>
        <w:tabs>
          <w:tab w:val="right" w:leader="dot" w:pos="8306"/>
        </w:tabs>
      </w:pPr>
      <w:r>
        <w:fldChar w:fldCharType="begin"/>
      </w:r>
      <w:r>
        <w:instrText xml:space="preserve"> HYPERLINK \l "_Toc102052816" </w:instrText>
      </w:r>
      <w:r>
        <w:fldChar w:fldCharType="separate"/>
      </w:r>
      <w:r>
        <w:rPr>
          <w:rStyle w:val="27"/>
          <w:rFonts w:ascii="宋体" w:hAnsi="宋体"/>
        </w:rPr>
        <w:t>附件15：投标文件密码</w:t>
      </w:r>
      <w:r>
        <w:tab/>
      </w:r>
      <w:r>
        <w:fldChar w:fldCharType="begin"/>
      </w:r>
      <w:r>
        <w:instrText xml:space="preserve"> PAGEREF _Toc102052816 \h </w:instrText>
      </w:r>
      <w:r>
        <w:fldChar w:fldCharType="separate"/>
      </w:r>
      <w:r>
        <w:t>3</w:t>
      </w:r>
      <w:r>
        <w:rPr>
          <w:rFonts w:hint="eastAsia"/>
        </w:rPr>
        <w:t>9</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方正小标宋_GBK" w:hAnsi="方正小标宋_GBK" w:eastAsia="方正小标宋_GBK"/>
          <w:b/>
          <w:sz w:val="32"/>
          <w:szCs w:val="32"/>
        </w:rPr>
      </w:pPr>
      <w:bookmarkStart w:id="0" w:name="_Toc15956"/>
      <w:r>
        <w:rPr>
          <w:rFonts w:hint="eastAsia" w:ascii="方正小标宋_GBK" w:hAnsi="方正小标宋_GBK" w:eastAsia="方正小标宋_GBK"/>
          <w:b/>
          <w:sz w:val="32"/>
          <w:szCs w:val="32"/>
        </w:rPr>
        <w:t>第一部分 项目要求</w:t>
      </w:r>
      <w:bookmarkEnd w:id="0"/>
    </w:p>
    <w:p>
      <w:pPr>
        <w:numPr>
          <w:ilvl w:val="0"/>
          <w:numId w:val="2"/>
        </w:numPr>
        <w:spacing w:beforeLines="50" w:line="360" w:lineRule="auto"/>
        <w:outlineLvl w:val="1"/>
        <w:rPr>
          <w:rFonts w:ascii="宋体" w:hAnsi="宋体"/>
          <w:b/>
          <w:szCs w:val="21"/>
        </w:rPr>
      </w:pPr>
      <w:bookmarkStart w:id="1" w:name="_Toc3037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3"/>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2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0"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615"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6615"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联系人：徐工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深圳会展中心第二十四届高交会环保与能源展行业垂直媒体宣传采购项目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6615" w:type="dxa"/>
            <w:vAlign w:val="center"/>
          </w:tcPr>
          <w:p>
            <w:pPr>
              <w:autoSpaceDE w:val="0"/>
              <w:autoSpaceDN w:val="0"/>
              <w:adjustRightInd w:val="0"/>
              <w:snapToGrid w:val="0"/>
              <w:jc w:val="left"/>
              <w:rPr>
                <w:rFonts w:ascii="宋体" w:hAnsi="宋体"/>
                <w:szCs w:val="21"/>
              </w:rPr>
            </w:pPr>
            <w:r>
              <w:rPr>
                <w:rFonts w:hint="eastAsia" w:ascii="宋体" w:hAnsi="宋体"/>
                <w:szCs w:val="21"/>
              </w:rPr>
              <w:t>为配合做好第二十四届高交会环保与能源展的业内宣传，树立专业形象，促进环保与能源行业的招组展和专业观众邀请，</w:t>
            </w:r>
            <w:r>
              <w:rPr>
                <w:rFonts w:hAnsi="宋体" w:cstheme="minorBidi"/>
                <w:szCs w:val="21"/>
              </w:rPr>
              <w:t>拟</w:t>
            </w:r>
            <w:r>
              <w:rPr>
                <w:rFonts w:hint="eastAsia" w:hAnsi="宋体" w:cstheme="minorBidi"/>
                <w:szCs w:val="21"/>
              </w:rPr>
              <w:t>采购</w:t>
            </w:r>
            <w:r>
              <w:rPr>
                <w:rFonts w:hint="eastAsia" w:ascii="宋体" w:hAnsi="宋体"/>
                <w:szCs w:val="21"/>
              </w:rPr>
              <w:t>环保与能源展行业垂直媒体</w:t>
            </w:r>
            <w:r>
              <w:rPr>
                <w:rFonts w:hint="eastAsia" w:hAnsi="宋体" w:cstheme="minorBidi"/>
                <w:szCs w:val="21"/>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6615" w:type="dxa"/>
            <w:vAlign w:val="center"/>
          </w:tcPr>
          <w:p>
            <w:pPr>
              <w:autoSpaceDE w:val="0"/>
              <w:autoSpaceDN w:val="0"/>
              <w:adjustRightInd w:val="0"/>
              <w:snapToGrid w:val="0"/>
              <w:jc w:val="left"/>
              <w:rPr>
                <w:rFonts w:ascii="宋体" w:hAnsi="宋体"/>
                <w:i/>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服务地点</w:t>
            </w:r>
          </w:p>
        </w:tc>
        <w:tc>
          <w:tcPr>
            <w:tcW w:w="6615" w:type="dxa"/>
            <w:vAlign w:val="center"/>
          </w:tcPr>
          <w:p>
            <w:pPr>
              <w:autoSpaceDE w:val="0"/>
              <w:autoSpaceDN w:val="0"/>
              <w:adjustRightInd w:val="0"/>
              <w:snapToGrid w:val="0"/>
              <w:jc w:val="left"/>
              <w:rPr>
                <w:rFonts w:ascii="宋体" w:hAnsi="宋体"/>
                <w:szCs w:val="21"/>
              </w:rPr>
            </w:pPr>
            <w:r>
              <w:rPr>
                <w:rFonts w:hint="eastAsia" w:ascii="宋体" w:hAnsi="宋体"/>
                <w:szCs w:val="21"/>
              </w:rPr>
              <w:t>在相关媒体上投放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交付期</w:t>
            </w:r>
          </w:p>
        </w:tc>
        <w:tc>
          <w:tcPr>
            <w:tcW w:w="6615" w:type="dxa"/>
            <w:vAlign w:val="center"/>
          </w:tcPr>
          <w:p>
            <w:pPr>
              <w:autoSpaceDE w:val="0"/>
              <w:autoSpaceDN w:val="0"/>
              <w:adjustRightInd w:val="0"/>
              <w:snapToGrid w:val="0"/>
              <w:rPr>
                <w:rFonts w:ascii="宋体" w:hAnsi="宋体"/>
                <w:szCs w:val="21"/>
              </w:rPr>
            </w:pPr>
            <w:r>
              <w:rPr>
                <w:rFonts w:hint="eastAsia" w:ascii="宋体" w:hAnsi="宋体" w:cs="宋体"/>
                <w:szCs w:val="21"/>
              </w:rPr>
              <w:t>签订合同之日起至11月30日（暂定为6月1日-11月30日）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13</w:t>
            </w:r>
            <w:r>
              <w:rPr>
                <w:rFonts w:ascii="宋体" w:hAnsi="宋体"/>
                <w:szCs w:val="21"/>
              </w:rPr>
              <w:t xml:space="preserve"> </w:t>
            </w:r>
            <w:r>
              <w:rPr>
                <w:rFonts w:hint="eastAsia" w:ascii="宋体" w:hAnsi="宋体"/>
                <w:szCs w:val="21"/>
              </w:rPr>
              <w:t>9</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6615"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完整填写本项目报名回函（详见采购公告）并加盖公司公章后，按要求发送至https://cg.szcec.com/sharing/CS1Nzqand，文件上传密码20220519，并致电确认。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6615"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19</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19</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20</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23</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6615"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w:t>
            </w:r>
            <w:r>
              <w:rPr>
                <w:rFonts w:hint="eastAsia"/>
              </w:rPr>
              <w:t>https://cg.szcec.com/sharing/jNCMh3yrh</w:t>
            </w:r>
            <w:r>
              <w:rPr>
                <w:rFonts w:hint="eastAsia" w:ascii="宋体" w:hAnsi="宋体"/>
                <w:szCs w:val="21"/>
              </w:rPr>
              <w:t>，文件上传密码20220523，并致电确认，</w:t>
            </w:r>
            <w:bookmarkStart w:id="2" w:name="_Toc478393187"/>
            <w:bookmarkStart w:id="3" w:name="_Toc478110532"/>
            <w:bookmarkStart w:id="4" w:name="_Toc478392822"/>
            <w:r>
              <w:rPr>
                <w:rFonts w:hint="eastAsia" w:ascii="宋体" w:hAnsi="宋体"/>
              </w:rPr>
              <w:t>注意事项：</w:t>
            </w:r>
          </w:p>
          <w:p>
            <w:pPr>
              <w:pStyle w:val="30"/>
              <w:numPr>
                <w:ilvl w:val="0"/>
                <w:numId w:val="4"/>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30"/>
              <w:numPr>
                <w:ilvl w:val="0"/>
                <w:numId w:val="4"/>
              </w:numPr>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投标单位授权代表须熟记文件密码，并在开标时按照招标人现场指令</w:t>
            </w:r>
            <w:r>
              <w:rPr>
                <w:rFonts w:ascii="宋体" w:hAnsi="宋体" w:eastAsia="宋体"/>
                <w:szCs w:val="21"/>
              </w:rPr>
              <w:t>发送密码</w:t>
            </w:r>
            <w:r>
              <w:rPr>
                <w:rFonts w:hint="eastAsia" w:ascii="宋体" w:hAnsi="宋体" w:eastAsia="宋体"/>
                <w:szCs w:val="21"/>
              </w:rPr>
              <w:t>至</w:t>
            </w:r>
            <w:r>
              <w:rPr>
                <w:rStyle w:val="27"/>
                <w:rFonts w:hint="eastAsia" w:eastAsia="宋体" w:cs="Times New Roman"/>
              </w:rPr>
              <w:t>https://cg.szcec.com/sharing/QXjgM8kjk</w:t>
            </w:r>
            <w:r>
              <w:rPr>
                <w:rFonts w:eastAsia="宋体" w:cs="Times New Roman"/>
              </w:rPr>
              <w:t>，</w:t>
            </w:r>
            <w:r>
              <w:rPr>
                <w:rFonts w:hint="eastAsia" w:eastAsia="宋体" w:cs="Times New Roman"/>
              </w:rPr>
              <w:t>文件上传密码20220524</w:t>
            </w:r>
            <w:r>
              <w:rPr>
                <w:rFonts w:hint="eastAsia" w:ascii="宋体" w:hAnsi="宋体"/>
                <w:szCs w:val="21"/>
              </w:rPr>
              <w:t>。</w:t>
            </w:r>
            <w:r>
              <w:rPr>
                <w:rFonts w:hint="eastAsia" w:ascii="宋体" w:hAnsi="宋体" w:eastAsia="宋体"/>
                <w:szCs w:val="21"/>
              </w:rPr>
              <w:t>（为确保开评标工作的保密性并兼顾效率，密码应在开标后15分钟内发送上述指定位置。密码早发、晚发的，均可能导致废标的不利后果）。</w:t>
            </w:r>
          </w:p>
          <w:p>
            <w:pPr>
              <w:pStyle w:val="30"/>
              <w:numPr>
                <w:ilvl w:val="0"/>
                <w:numId w:val="4"/>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30"/>
              <w:numPr>
                <w:ilvl w:val="0"/>
                <w:numId w:val="4"/>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6615"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24</w:t>
            </w:r>
            <w:r>
              <w:rPr>
                <w:rFonts w:ascii="宋体" w:hAnsi="宋体"/>
                <w:szCs w:val="21"/>
              </w:rPr>
              <w:t xml:space="preserve"> </w:t>
            </w:r>
            <w:r>
              <w:rPr>
                <w:rFonts w:hint="eastAsia" w:ascii="宋体" w:hAnsi="宋体"/>
                <w:szCs w:val="21"/>
              </w:rPr>
              <w:t>1</w:t>
            </w:r>
            <w:r>
              <w:rPr>
                <w:rFonts w:ascii="宋体" w:hAnsi="宋体"/>
                <w:szCs w:val="21"/>
              </w:rPr>
              <w:t>4:30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6615"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6615" w:type="dxa"/>
            <w:vAlign w:val="center"/>
          </w:tcPr>
          <w:p>
            <w:pPr>
              <w:numPr>
                <w:ilvl w:val="0"/>
                <w:numId w:val="5"/>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sym w:font="Wingdings 2" w:char="0052"/>
            </w:r>
            <w:r>
              <w:rPr>
                <w:rFonts w:hint="eastAsia" w:ascii="宋体" w:hAnsi="宋体"/>
                <w:kern w:val="0"/>
                <w:szCs w:val="21"/>
                <w:shd w:val="clear" w:color="auto" w:fill="FFFFFF"/>
              </w:rPr>
              <w:t>不组织。可在公开招标开始后至公开招标结束前自行踏勘。</w:t>
            </w:r>
          </w:p>
          <w:p>
            <w:pPr>
              <w:numPr>
                <w:ilvl w:val="0"/>
                <w:numId w:val="5"/>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sym w:font="Wingdings 2" w:char="00A3"/>
            </w:r>
            <w:r>
              <w:rPr>
                <w:rFonts w:hint="eastAsia" w:ascii="宋体" w:hAnsi="宋体"/>
                <w:kern w:val="0"/>
                <w:szCs w:val="21"/>
                <w:shd w:val="clear" w:color="auto" w:fill="FFFFFF"/>
              </w:rPr>
              <w:t>组织，踏勘要求：</w:t>
            </w:r>
          </w:p>
          <w:p>
            <w:pPr>
              <w:pStyle w:val="30"/>
              <w:numPr>
                <w:ilvl w:val="0"/>
                <w:numId w:val="6"/>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30"/>
              <w:tabs>
                <w:tab w:val="left" w:pos="541"/>
              </w:tabs>
              <w:snapToGrid w:val="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是（若不参加，将因投标文件不完整导致失去本项目投标资格）</w:t>
            </w:r>
          </w:p>
          <w:p>
            <w:pPr>
              <w:pStyle w:val="30"/>
              <w:tabs>
                <w:tab w:val="left" w:pos="541"/>
              </w:tabs>
              <w:snapToGrid w:val="0"/>
              <w:spacing w:afterLines="5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 xml:space="preserve"> </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 xml:space="preserve"> ××</w:t>
            </w:r>
            <w:r>
              <w:rPr>
                <w:rFonts w:hint="eastAsia" w:ascii="宋体" w:hAnsi="宋体" w:eastAsia="宋体"/>
                <w:kern w:val="0"/>
                <w:szCs w:val="21"/>
              </w:rPr>
              <w:t>邀请投标人人员察看现场并讲解项目需求；投标人应在谈判前指派符合疫情防控要求的人员参加由招标人组织的现场踏勘工作。</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鉴于疫情防控要求，投标人须至少提前一天与踏勘联系人预约，并按要求备案本单位指定踏勘人员信息（</w:t>
            </w:r>
            <w:r>
              <w:rPr>
                <w:rFonts w:hint="eastAsia" w:ascii="宋体" w:hAnsi="宋体" w:eastAsia="宋体" w:cs="Times New Roman"/>
                <w:kern w:val="0"/>
                <w:szCs w:val="21"/>
              </w:rPr>
              <w:t>参加踏勘人员须出示24小时核酸检测阴性证明</w:t>
            </w:r>
            <w:r>
              <w:rPr>
                <w:rFonts w:hint="eastAsia" w:ascii="宋体" w:hAnsi="宋体" w:eastAsia="宋体"/>
                <w:kern w:val="0"/>
                <w:szCs w:val="21"/>
              </w:rPr>
              <w:t>）。否则，将可能导致投标人不能进入涉深圳会展中心管控区域的踏勘现场</w:t>
            </w:r>
            <w:r>
              <w:rPr>
                <w:rFonts w:ascii="宋体" w:hAnsi="宋体" w:eastAsia="宋体"/>
                <w:kern w:val="0"/>
                <w:szCs w:val="21"/>
              </w:rPr>
              <w:t>的</w:t>
            </w:r>
            <w:r>
              <w:rPr>
                <w:rFonts w:hint="eastAsia" w:ascii="宋体" w:hAnsi="宋体" w:eastAsia="宋体"/>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30"/>
              <w:numPr>
                <w:ilvl w:val="0"/>
                <w:numId w:val="7"/>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30"/>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 xml:space="preserve">电话： </w:t>
            </w:r>
          </w:p>
          <w:p>
            <w:pPr>
              <w:pStyle w:val="30"/>
              <w:tabs>
                <w:tab w:val="left" w:pos="541"/>
              </w:tabs>
              <w:snapToGrid w:val="0"/>
              <w:ind w:left="805" w:firstLine="0" w:firstLineChars="0"/>
              <w:rPr>
                <w:rFonts w:ascii="宋体" w:hAnsi="宋体" w:eastAsia="宋体"/>
                <w:shd w:val="clear" w:color="auto" w:fill="FFFFFF"/>
              </w:rPr>
            </w:pPr>
            <w:r>
              <w:rPr>
                <w:rFonts w:hint="eastAsia" w:ascii="宋体" w:hAnsi="宋体" w:eastAsia="宋体"/>
                <w:kern w:val="0"/>
                <w:szCs w:val="21"/>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6615"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30"/>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ascii="Segoe UI Symbol" w:hAnsi="Segoe UI Symbol" w:cs="Segoe UI Symbol"/>
                <w:kern w:val="0"/>
                <w:szCs w:val="21"/>
              </w:rPr>
              <w:t>☑</w:t>
            </w:r>
            <w:r>
              <w:rPr>
                <w:rFonts w:hint="eastAsia" w:ascii="宋体" w:hAnsi="宋体" w:eastAsia="宋体" w:cs="Segoe UI Symbol"/>
                <w:kern w:val="0"/>
                <w:szCs w:val="21"/>
              </w:rPr>
              <w:t>不要求</w:t>
            </w:r>
          </w:p>
          <w:p>
            <w:pPr>
              <w:pStyle w:val="30"/>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6615"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6615"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6615"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2"/>
        </w:numPr>
        <w:spacing w:line="560" w:lineRule="exact"/>
        <w:outlineLvl w:val="1"/>
        <w:rPr>
          <w:rFonts w:ascii="宋体" w:hAnsi="宋体"/>
          <w:b/>
          <w:szCs w:val="21"/>
        </w:rPr>
      </w:pPr>
      <w:bookmarkStart w:id="6" w:name="_Toc82684591"/>
      <w:bookmarkEnd w:id="6"/>
      <w:bookmarkStart w:id="7" w:name="_Toc82591928"/>
      <w:bookmarkEnd w:id="7"/>
      <w:bookmarkStart w:id="8" w:name="_Toc82684704"/>
      <w:bookmarkEnd w:id="8"/>
      <w:bookmarkStart w:id="9" w:name="_Toc82685542"/>
      <w:bookmarkEnd w:id="9"/>
      <w:bookmarkStart w:id="10" w:name="_Toc82591926"/>
      <w:bookmarkEnd w:id="10"/>
      <w:bookmarkStart w:id="11" w:name="_Toc82591927"/>
      <w:bookmarkEnd w:id="11"/>
      <w:bookmarkStart w:id="12" w:name="_Toc82684590"/>
      <w:bookmarkEnd w:id="12"/>
      <w:bookmarkStart w:id="13" w:name="_Toc82685541"/>
      <w:bookmarkEnd w:id="13"/>
      <w:bookmarkStart w:id="14" w:name="_Toc82684588"/>
      <w:bookmarkEnd w:id="14"/>
      <w:bookmarkStart w:id="15" w:name="_Toc82684589"/>
      <w:bookmarkEnd w:id="15"/>
      <w:bookmarkStart w:id="16" w:name="_Toc82591925"/>
      <w:bookmarkEnd w:id="16"/>
      <w:bookmarkStart w:id="17" w:name="_Toc82685543"/>
      <w:bookmarkEnd w:id="17"/>
      <w:bookmarkStart w:id="18" w:name="_Toc82684703"/>
      <w:bookmarkEnd w:id="18"/>
      <w:bookmarkStart w:id="19" w:name="_Toc82684705"/>
      <w:bookmarkEnd w:id="19"/>
      <w:bookmarkStart w:id="20" w:name="_Toc82684706"/>
      <w:bookmarkEnd w:id="20"/>
      <w:bookmarkStart w:id="21" w:name="_Toc82685540"/>
      <w:bookmarkEnd w:id="21"/>
      <w:bookmarkStart w:id="22" w:name="_Toc14436"/>
      <w:r>
        <w:rPr>
          <w:rFonts w:hint="eastAsia" w:ascii="宋体" w:hAnsi="宋体"/>
          <w:b/>
          <w:szCs w:val="21"/>
        </w:rPr>
        <w:t>特别说明</w:t>
      </w:r>
      <w:bookmarkEnd w:id="22"/>
    </w:p>
    <w:p>
      <w:pPr>
        <w:pStyle w:val="30"/>
        <w:numPr>
          <w:ilvl w:val="0"/>
          <w:numId w:val="10"/>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30"/>
        <w:spacing w:line="360" w:lineRule="auto"/>
        <w:ind w:left="420" w:firstLine="0" w:firstLineChars="0"/>
        <w:rPr>
          <w:rFonts w:ascii="宋体" w:hAnsi="宋体" w:eastAsia="宋体" w:cs="宋体"/>
          <w:szCs w:val="21"/>
        </w:rPr>
      </w:pPr>
    </w:p>
    <w:p>
      <w:pPr>
        <w:numPr>
          <w:ilvl w:val="0"/>
          <w:numId w:val="2"/>
        </w:numPr>
        <w:spacing w:line="560" w:lineRule="exact"/>
        <w:outlineLvl w:val="1"/>
        <w:rPr>
          <w:rFonts w:ascii="宋体" w:hAnsi="宋体"/>
          <w:b/>
          <w:szCs w:val="21"/>
        </w:rPr>
      </w:pPr>
      <w:bookmarkStart w:id="26" w:name="_Toc82591988"/>
      <w:bookmarkEnd w:id="26"/>
      <w:bookmarkStart w:id="27" w:name="_Toc82591985"/>
      <w:bookmarkEnd w:id="27"/>
      <w:bookmarkStart w:id="28" w:name="_Toc82684593"/>
      <w:bookmarkEnd w:id="28"/>
      <w:bookmarkStart w:id="29" w:name="_Toc82591986"/>
      <w:bookmarkEnd w:id="29"/>
      <w:bookmarkStart w:id="30" w:name="_Toc82591989"/>
      <w:bookmarkEnd w:id="30"/>
      <w:bookmarkStart w:id="31" w:name="_Toc82685545"/>
      <w:bookmarkEnd w:id="31"/>
      <w:bookmarkStart w:id="32" w:name="_Toc82591930"/>
      <w:bookmarkEnd w:id="32"/>
      <w:bookmarkStart w:id="33" w:name="_Toc82591987"/>
      <w:bookmarkEnd w:id="33"/>
      <w:bookmarkStart w:id="34" w:name="_Toc82684708"/>
      <w:bookmarkEnd w:id="34"/>
      <w:bookmarkStart w:id="35" w:name="_Toc21562"/>
      <w:r>
        <w:rPr>
          <w:rFonts w:hint="eastAsia" w:ascii="宋体" w:hAnsi="宋体"/>
          <w:b/>
          <w:szCs w:val="21"/>
        </w:rPr>
        <w:t>投标文件编制</w:t>
      </w:r>
      <w:bookmarkEnd w:id="35"/>
    </w:p>
    <w:tbl>
      <w:tblPr>
        <w:tblStyle w:val="2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pPr>
            <w:r>
              <w:rPr>
                <w:rFonts w:hint="eastAsia" w:ascii="Segoe UI Symbol" w:hAnsi="Segoe UI Symbol" w:cs="Segoe UI Symbol"/>
                <w:kern w:val="0"/>
                <w:szCs w:val="21"/>
              </w:rPr>
              <w:t>□公司及项目</w:t>
            </w:r>
            <w:r>
              <w:rPr>
                <w:rFonts w:hint="eastAsia" w:ascii="宋体" w:hAnsi="宋体" w:cs="Courier New"/>
                <w:kern w:val="0"/>
                <w:szCs w:val="21"/>
              </w:rPr>
              <w:t>获奖情况</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hint="eastAsia" w:ascii="宋体" w:hAnsi="宋体"/>
                <w:snapToGrid w:val="0"/>
                <w:kern w:val="0"/>
                <w:szCs w:val="21"/>
              </w:rPr>
              <w:sym w:font="Wingdings 2" w:char="00A3"/>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2"/>
        </w:numPr>
        <w:spacing w:line="560" w:lineRule="exact"/>
        <w:outlineLvl w:val="1"/>
        <w:rPr>
          <w:rFonts w:ascii="宋体" w:hAnsi="宋体"/>
          <w:b/>
          <w:szCs w:val="21"/>
        </w:rPr>
      </w:pPr>
      <w:bookmarkStart w:id="36" w:name="_Toc14851"/>
      <w:r>
        <w:rPr>
          <w:rFonts w:hint="eastAsia" w:ascii="宋体" w:hAnsi="宋体"/>
          <w:b/>
          <w:szCs w:val="21"/>
        </w:rPr>
        <w:t>项目要求及数量</w:t>
      </w:r>
      <w:bookmarkEnd w:id="36"/>
    </w:p>
    <w:tbl>
      <w:tblPr>
        <w:tblStyle w:val="2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90"/>
        <w:gridCol w:w="76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65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0"/>
              <w:numPr>
                <w:ilvl w:val="0"/>
                <w:numId w:val="11"/>
              </w:numPr>
              <w:ind w:firstLineChars="0"/>
              <w:jc w:val="center"/>
              <w:rPr>
                <w:rFonts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szCs w:val="21"/>
              </w:rPr>
            </w:pPr>
            <w:r>
              <w:rPr>
                <w:rFonts w:hint="eastAsia" w:ascii="宋体" w:hAnsi="宋体" w:cs="宋体"/>
                <w:szCs w:val="21"/>
              </w:rPr>
              <w:t xml:space="preserve"> 投标人必须为中华人民共和国境内注册且合法运作的企业。具有独立法人资格或具有独立承担民事责任能力的其它组织。（</w:t>
            </w:r>
            <w:r>
              <w:rPr>
                <w:rFonts w:hint="eastAsia" w:ascii="宋体" w:hAnsi="宋体" w:cs="宋体"/>
                <w:bCs/>
                <w:szCs w:val="21"/>
              </w:rPr>
              <w:t>提供企业营业执照或事业单位法人证等法人证明</w:t>
            </w:r>
            <w:r>
              <w:rPr>
                <w:rFonts w:hint="eastAsia" w:ascii="宋体" w:hAnsi="宋体" w:cs="宋体"/>
                <w:szCs w:val="21"/>
              </w:rPr>
              <w:t>并加盖投标人公章）</w:t>
            </w:r>
          </w:p>
          <w:p>
            <w:pPr>
              <w:numPr>
                <w:ilvl w:val="0"/>
                <w:numId w:val="12"/>
              </w:numPr>
              <w:tabs>
                <w:tab w:val="left" w:pos="531"/>
              </w:tabs>
              <w:snapToGrid w:val="0"/>
              <w:rPr>
                <w:rFonts w:ascii="宋体" w:hAnsi="宋体" w:cs="宋体"/>
                <w:szCs w:val="21"/>
              </w:rPr>
            </w:pPr>
            <w:r>
              <w:rPr>
                <w:rFonts w:hint="eastAsia" w:ascii="宋体" w:hAnsi="宋体" w:cs="宋体"/>
                <w:szCs w:val="21"/>
              </w:rPr>
              <w:t>投标人无尚在处罚期内的经营异常信息、无严重违法失信记录。（须提供国家企业信用信息公示系统</w:t>
            </w:r>
            <w:r>
              <w:rPr>
                <w:rFonts w:ascii="宋体" w:hAnsi="宋体" w:cs="宋体"/>
                <w:szCs w:val="21"/>
              </w:rPr>
              <w:t>www.gsxt.gov.cn公示的企业</w:t>
            </w:r>
            <w:r>
              <w:rPr>
                <w:rFonts w:hint="eastAsia" w:ascii="宋体" w:hAnsi="宋体" w:cs="宋体"/>
                <w:szCs w:val="21"/>
              </w:rPr>
              <w:t>基础信息及经营异常</w:t>
            </w:r>
            <w:r>
              <w:rPr>
                <w:rFonts w:ascii="宋体" w:hAnsi="宋体" w:cs="宋体"/>
                <w:szCs w:val="21"/>
              </w:rPr>
              <w:t>信息</w:t>
            </w:r>
            <w:r>
              <w:rPr>
                <w:rFonts w:hint="eastAsia" w:ascii="宋体" w:hAnsi="宋体" w:cs="宋体"/>
                <w:szCs w:val="21"/>
              </w:rPr>
              <w:t>、无严重违法失信记录查询结果页面</w:t>
            </w:r>
            <w:r>
              <w:rPr>
                <w:rFonts w:ascii="宋体" w:hAnsi="宋体" w:cs="宋体"/>
                <w:szCs w:val="21"/>
              </w:rPr>
              <w:t>打印件并加盖</w:t>
            </w:r>
            <w:r>
              <w:rPr>
                <w:rFonts w:hint="eastAsia" w:ascii="宋体" w:hAnsi="宋体" w:cs="宋体"/>
                <w:szCs w:val="21"/>
              </w:rPr>
              <w:t>投标人公章）。</w:t>
            </w:r>
          </w:p>
          <w:p>
            <w:pPr>
              <w:numPr>
                <w:ilvl w:val="0"/>
                <w:numId w:val="12"/>
              </w:numPr>
              <w:tabs>
                <w:tab w:val="left" w:pos="531"/>
              </w:tabs>
              <w:snapToGrid w:val="0"/>
              <w:rPr>
                <w:szCs w:val="21"/>
              </w:rPr>
            </w:pPr>
            <w:bookmarkStart w:id="37" w:name="OLE_LINK3"/>
            <w:bookmarkStart w:id="38" w:name="OLE_LINK4"/>
            <w:r>
              <w:rPr>
                <w:rFonts w:hint="eastAsia" w:ascii="宋体" w:hAnsi="宋体" w:cs="宋体"/>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p>
          <w:p>
            <w:pPr>
              <w:numPr>
                <w:ilvl w:val="255"/>
                <w:numId w:val="0"/>
              </w:numPr>
              <w:tabs>
                <w:tab w:val="left" w:pos="531"/>
              </w:tabs>
              <w:snapToGrid w:val="0"/>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0"/>
              <w:numPr>
                <w:ilvl w:val="0"/>
                <w:numId w:val="11"/>
              </w:numPr>
              <w:ind w:firstLineChars="0"/>
              <w:jc w:val="center"/>
              <w:rPr>
                <w:rFonts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投标人须提供近两年（2020年4月1日至招标公告发布之日，以合同签订时间为准）在专业展览、会议、场馆承接</w:t>
            </w:r>
            <w:r>
              <w:rPr>
                <w:rFonts w:hint="eastAsia" w:ascii="宋体" w:hAnsi="宋体" w:cs="宋体"/>
                <w:kern w:val="0"/>
                <w:szCs w:val="21"/>
              </w:rPr>
              <w:t>展会、会议宣传项目</w:t>
            </w:r>
            <w:r>
              <w:rPr>
                <w:rFonts w:hint="eastAsia" w:ascii="宋体" w:hAnsi="宋体" w:cs="宋体"/>
                <w:szCs w:val="21"/>
              </w:rPr>
              <w:t>服务的合作项目案例。（提供合同关键页复印件加盖公章,</w:t>
            </w:r>
            <w:r>
              <w:rPr>
                <w:rFonts w:hint="eastAsia"/>
              </w:rPr>
              <w:t xml:space="preserve"> </w:t>
            </w:r>
            <w:r>
              <w:rPr>
                <w:rFonts w:hint="eastAsia" w:ascii="宋体" w:hAnsi="宋体" w:cs="宋体"/>
                <w:szCs w:val="21"/>
              </w:rPr>
              <w:t>合同关键页包含但不限于项目名称、业主方名称、合同主要内容、签订时间、履约地点、甲乙双方盖章等信息）</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cs="宋体"/>
                <w:szCs w:val="21"/>
              </w:rPr>
            </w:pPr>
            <w:r>
              <w:rPr>
                <w:rFonts w:hint="eastAsia" w:ascii="宋体" w:hAnsi="宋体" w:cs="宋体"/>
                <w:szCs w:val="21"/>
              </w:rPr>
              <w:t>本项目报价以人民币为结算币种、含增值税，报价须包含完成本项目服务范围内所有服务内容所需的人工费、交通、住宿、餐费、差旅费及其它一切相关费用。</w:t>
            </w:r>
          </w:p>
          <w:p>
            <w:pPr>
              <w:pStyle w:val="2"/>
              <w:numPr>
                <w:ilvl w:val="0"/>
                <w:numId w:val="13"/>
              </w:numPr>
              <w:rPr>
                <w:rFonts w:ascii="宋体" w:eastAsia="宋体"/>
              </w:rPr>
            </w:pPr>
            <w:r>
              <w:rPr>
                <w:rFonts w:hint="eastAsia" w:ascii="宋体" w:eastAsia="宋体"/>
              </w:rPr>
              <w:t>投标人须提供本项目报价一览表（含详细分项报价表）。</w:t>
            </w:r>
          </w:p>
          <w:p>
            <w:pPr>
              <w:numPr>
                <w:ilvl w:val="0"/>
                <w:numId w:val="13"/>
              </w:numPr>
              <w:tabs>
                <w:tab w:val="left" w:pos="531"/>
              </w:tabs>
              <w:snapToGrid w:val="0"/>
              <w:rPr>
                <w:rFonts w:ascii="宋体" w:hAnsi="宋体"/>
                <w:szCs w:val="21"/>
              </w:rPr>
            </w:pPr>
            <w:r>
              <w:rPr>
                <w:rFonts w:hint="eastAsia" w:ascii="宋体" w:hAnsi="宋体" w:cs="宋体"/>
                <w:szCs w:val="21"/>
              </w:rPr>
              <w:t>招标人不再另行支付其他任何费用。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本项目招标控制金额为人民币12.5</w:t>
            </w:r>
            <w:r>
              <w:rPr>
                <w:rFonts w:ascii="宋体" w:hAnsi="宋体" w:cs="宋体"/>
                <w:szCs w:val="21"/>
              </w:rPr>
              <w:t>万元（含</w:t>
            </w:r>
            <w:r>
              <w:rPr>
                <w:rFonts w:hint="eastAsia" w:ascii="宋体" w:hAnsi="宋体" w:cs="宋体"/>
                <w:szCs w:val="21"/>
              </w:rPr>
              <w:t>值增</w:t>
            </w:r>
            <w:r>
              <w:rPr>
                <w:rFonts w:ascii="宋体" w:hAnsi="宋体" w:cs="宋体"/>
                <w:szCs w:val="21"/>
              </w:rPr>
              <w:t>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 w:val="24"/>
              </w:rPr>
              <w:t>验收要求</w:t>
            </w:r>
          </w:p>
        </w:tc>
        <w:tc>
          <w:tcPr>
            <w:tcW w:w="7650"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hint="eastAsia" w:ascii="宋体" w:hAnsi="宋体" w:cs="宋体"/>
                <w:szCs w:val="21"/>
              </w:rPr>
              <w:t>中标方提供《深圳会展中心第二十四届高交会环保与能源展行业垂直媒体投放服务计划及报价表》执行相关软文撰写工作，执行过程中，提供月报，数据/截屏/软文地址链接清单等的成果汇报，最终形成结案报告：</w:t>
            </w:r>
            <w:r>
              <w:rPr>
                <w:rFonts w:hint="eastAsia" w:ascii="宋体" w:hAnsi="宋体" w:cs="宋体"/>
                <w:szCs w:val="21"/>
              </w:rPr>
              <w:br w:type="textWrapping"/>
            </w:r>
            <w:r>
              <w:rPr>
                <w:rFonts w:hint="eastAsia" w:ascii="宋体" w:hAnsi="宋体" w:cs="宋体"/>
                <w:szCs w:val="21"/>
              </w:rPr>
              <w:t>（1）网站类媒体提供的广告投放证明及广告投放当日截屏（至少须提供投放开始日、中间日、结束日三天截屏）；</w:t>
            </w:r>
          </w:p>
          <w:p>
            <w:pPr>
              <w:tabs>
                <w:tab w:val="left" w:pos="531"/>
              </w:tabs>
              <w:snapToGrid w:val="0"/>
              <w:rPr>
                <w:rFonts w:ascii="宋体" w:hAnsi="宋体" w:cs="宋体"/>
                <w:szCs w:val="21"/>
              </w:rPr>
            </w:pPr>
            <w:r>
              <w:rPr>
                <w:rFonts w:hint="eastAsia" w:ascii="宋体" w:hAnsi="宋体" w:cs="宋体"/>
                <w:szCs w:val="21"/>
              </w:rPr>
              <w:t>（2）提供软文撰稿投放媒体链接地址清单。若投放媒体链接地址异常，须提供投放媒体软文网页截屏；</w:t>
            </w:r>
            <w:r>
              <w:rPr>
                <w:rFonts w:hint="eastAsia" w:ascii="宋体" w:hAnsi="宋体" w:cs="宋体"/>
                <w:szCs w:val="21"/>
              </w:rPr>
              <w:br w:type="textWrapping"/>
            </w:r>
            <w:r>
              <w:rPr>
                <w:rFonts w:hint="eastAsia" w:ascii="宋体" w:hAnsi="宋体" w:cs="宋体"/>
                <w:szCs w:val="21"/>
              </w:rPr>
              <w:t>（3）乙方须注重软文在专业网络媒体的发布效果，保证每篇软文应不少于9家媒体的软文链接能被百度或360搜索引擎收录，以截屏为准；</w:t>
            </w:r>
          </w:p>
          <w:p>
            <w:pPr>
              <w:tabs>
                <w:tab w:val="left" w:pos="531"/>
              </w:tabs>
              <w:snapToGrid w:val="0"/>
              <w:rPr>
                <w:rFonts w:ascii="宋体" w:hAnsi="宋体" w:cs="宋体"/>
                <w:szCs w:val="21"/>
              </w:rPr>
            </w:pPr>
            <w:r>
              <w:rPr>
                <w:rFonts w:hint="eastAsia" w:ascii="宋体" w:hAnsi="宋体" w:cs="宋体"/>
                <w:szCs w:val="21"/>
              </w:rPr>
              <w:t>（4） 乙方提供的行业社群推广，须向不少于50个相关行业社群分别至少推送一次招展或邀请观众的信息或资料（社群包括但不限于微信群、QQ群等，每个社群组员不得少于200人），以截屏为准；</w:t>
            </w:r>
          </w:p>
          <w:p>
            <w:pPr>
              <w:tabs>
                <w:tab w:val="left" w:pos="531"/>
              </w:tabs>
              <w:snapToGrid w:val="0"/>
              <w:rPr>
                <w:rFonts w:ascii="宋体" w:hAnsi="宋体" w:cs="宋体"/>
                <w:szCs w:val="21"/>
              </w:rPr>
            </w:pPr>
            <w:r>
              <w:rPr>
                <w:rFonts w:hint="eastAsia" w:ascii="宋体" w:hAnsi="宋体" w:cs="宋体"/>
                <w:szCs w:val="21"/>
              </w:rPr>
              <w:t>（5）提供增值服务、专业网络媒体上发布展会信息、专业网络媒体中的展会频道（或类似频道）中发布本展招展书、发布展会信息的媒体清单、发布截图、链接或执行现场照片等证明依据。</w:t>
            </w:r>
            <w:r>
              <w:rPr>
                <w:rFonts w:hint="eastAsia" w:ascii="宋体" w:hAnsi="宋体" w:cs="宋体"/>
                <w:szCs w:val="21"/>
              </w:rPr>
              <w:br w:type="textWrapping"/>
            </w:r>
            <w:r>
              <w:rPr>
                <w:rFonts w:hint="eastAsia" w:ascii="宋体" w:hAnsi="宋体" w:cs="宋体"/>
                <w:szCs w:val="21"/>
              </w:rPr>
              <w:t>（6）提供关于合作项目合作情况的总结。</w:t>
            </w:r>
          </w:p>
          <w:p>
            <w:pPr>
              <w:widowControl/>
              <w:numPr>
                <w:ilvl w:val="255"/>
                <w:numId w:val="0"/>
              </w:numPr>
              <w:tabs>
                <w:tab w:val="left" w:pos="531"/>
              </w:tabs>
              <w:snapToGrid w:val="0"/>
              <w:jc w:val="lef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rPr>
            </w:pPr>
            <w:r>
              <w:rPr>
                <w:rFonts w:hint="eastAsia" w:ascii="宋体" w:hAnsi="宋体" w:cs="宋体"/>
                <w:szCs w:val="21"/>
              </w:rPr>
              <w:t>本项目分二次支付合同款。本项目签订合同后，招标人支付50%项目合同款；中标单位按合同要求完成本项目所有内容并验收合格，招标人支付合同剩余50%款项。</w:t>
            </w:r>
          </w:p>
          <w:p>
            <w:pPr>
              <w:numPr>
                <w:ilvl w:val="0"/>
                <w:numId w:val="14"/>
              </w:numPr>
              <w:tabs>
                <w:tab w:val="left" w:pos="531"/>
              </w:tabs>
              <w:snapToGrid w:val="0"/>
              <w:rPr>
                <w:rFonts w:ascii="宋体" w:cs="宋体"/>
                <w:szCs w:val="21"/>
              </w:rPr>
            </w:pPr>
            <w:r>
              <w:rPr>
                <w:rFonts w:hint="eastAsia" w:ascii="宋体" w:cs="宋体"/>
                <w:szCs w:val="21"/>
              </w:rPr>
              <w:t>招标人支付合同款项前，中标单位需提供全额或相应金额有效增值税发票。</w:t>
            </w:r>
          </w:p>
          <w:p>
            <w:pPr>
              <w:numPr>
                <w:ilvl w:val="0"/>
                <w:numId w:val="14"/>
              </w:numPr>
              <w:tabs>
                <w:tab w:val="left" w:pos="531"/>
              </w:tabs>
              <w:snapToGrid w:val="0"/>
            </w:pPr>
            <w:r>
              <w:rPr>
                <w:rFonts w:hint="eastAsia" w:ascii="宋体" w:hAnsi="宋体" w:cs="宋体"/>
                <w:szCs w:val="21"/>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特别要求</w:t>
            </w:r>
          </w:p>
        </w:tc>
        <w:tc>
          <w:tcPr>
            <w:tcW w:w="7650" w:type="dxa"/>
            <w:tcBorders>
              <w:top w:val="single" w:color="auto" w:sz="4" w:space="0"/>
              <w:left w:val="single" w:color="auto" w:sz="4" w:space="0"/>
              <w:bottom w:val="single" w:color="auto" w:sz="4" w:space="0"/>
              <w:right w:val="single" w:color="auto" w:sz="4" w:space="0"/>
            </w:tcBorders>
            <w:vAlign w:val="center"/>
          </w:tcPr>
          <w:p>
            <w:pPr>
              <w:pStyle w:val="30"/>
              <w:numPr>
                <w:ilvl w:val="0"/>
                <w:numId w:val="15"/>
              </w:numPr>
              <w:tabs>
                <w:tab w:val="left" w:pos="531"/>
              </w:tabs>
              <w:snapToGrid w:val="0"/>
              <w:ind w:firstLineChars="0"/>
              <w:rPr>
                <w:rFonts w:ascii="宋体" w:hAnsi="宋体" w:eastAsia="宋体" w:cs="宋体"/>
                <w:szCs w:val="21"/>
              </w:rPr>
            </w:pPr>
            <w:r>
              <w:rPr>
                <w:rFonts w:hint="eastAsia" w:ascii="宋体" w:hAnsi="宋体" w:eastAsia="宋体" w:cs="宋体"/>
                <w:szCs w:val="21"/>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30"/>
              <w:numPr>
                <w:ilvl w:val="0"/>
                <w:numId w:val="15"/>
              </w:numPr>
              <w:tabs>
                <w:tab w:val="left" w:pos="531"/>
              </w:tabs>
              <w:snapToGrid w:val="0"/>
              <w:ind w:firstLineChars="0"/>
              <w:rPr>
                <w:rFonts w:ascii="宋体" w:hAnsi="宋体" w:eastAsia="宋体" w:cs="宋体"/>
                <w:szCs w:val="21"/>
              </w:rPr>
            </w:pPr>
            <w:r>
              <w:rPr>
                <w:rFonts w:hint="eastAsia" w:ascii="宋体" w:hAnsi="宋体" w:eastAsia="宋体" w:cs="宋体"/>
                <w:szCs w:val="21"/>
              </w:rPr>
              <w:t>如因不可抗力导致本届高交会会期或其它相关事项发生变动的，投标人须无条件配合调整相关服务（如增减服务内容、延期等），同时签订相应的补充协议。</w:t>
            </w:r>
          </w:p>
          <w:p>
            <w:pPr>
              <w:pStyle w:val="30"/>
              <w:numPr>
                <w:ilvl w:val="0"/>
                <w:numId w:val="15"/>
              </w:numPr>
              <w:tabs>
                <w:tab w:val="left" w:pos="531"/>
              </w:tabs>
              <w:snapToGrid w:val="0"/>
              <w:ind w:firstLineChars="0"/>
              <w:rPr>
                <w:rFonts w:ascii="宋体" w:hAnsi="宋体" w:cs="宋体"/>
                <w:szCs w:val="21"/>
              </w:rPr>
            </w:pPr>
            <w:r>
              <w:rPr>
                <w:rFonts w:hint="eastAsia" w:ascii="宋体" w:hAnsi="宋体" w:eastAsia="宋体" w:cs="宋体"/>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65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jc w:val="both"/>
              <w:rPr>
                <w:rFonts w:ascii="宋体" w:hAnsi="宋体" w:cs="宋体"/>
                <w:snapToGrid/>
                <w:spacing w:val="0"/>
                <w:kern w:val="2"/>
                <w:sz w:val="21"/>
                <w:szCs w:val="21"/>
              </w:rPr>
            </w:pPr>
            <w:r>
              <w:rPr>
                <w:rFonts w:hint="eastAsia" w:ascii="宋体" w:hAnsi="宋体" w:cs="宋体"/>
                <w:snapToGrid/>
                <w:spacing w:val="0"/>
                <w:kern w:val="2"/>
                <w:sz w:val="21"/>
                <w:szCs w:val="21"/>
              </w:rPr>
              <w:t>项目范围</w:t>
            </w:r>
          </w:p>
        </w:tc>
        <w:tc>
          <w:tcPr>
            <w:tcW w:w="7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rPr>
              <w:t>中标单位负责设计硬广、撰写软文、</w:t>
            </w:r>
            <w:r>
              <w:rPr>
                <w:rFonts w:ascii="宋体" w:hAnsi="宋体" w:cs="宋体"/>
              </w:rPr>
              <w:t>专业网络媒体上发布展会信息</w:t>
            </w:r>
            <w:r>
              <w:rPr>
                <w:rFonts w:hint="eastAsia" w:ascii="宋体" w:hAnsi="宋体" w:cs="宋体"/>
              </w:rPr>
              <w:t>、</w:t>
            </w:r>
            <w:r>
              <w:rPr>
                <w:rFonts w:ascii="宋体" w:hAnsi="宋体" w:cs="宋体"/>
              </w:rPr>
              <w:t>专业展会网站发布展会信息</w:t>
            </w:r>
            <w:r>
              <w:rPr>
                <w:rFonts w:hint="eastAsia" w:ascii="宋体" w:hAnsi="宋体" w:cs="宋体"/>
              </w:rPr>
              <w:t>、</w:t>
            </w:r>
            <w:r>
              <w:rPr>
                <w:rFonts w:ascii="宋体"/>
              </w:rPr>
              <w:t>社群推广</w:t>
            </w:r>
            <w:r>
              <w:rPr>
                <w:rFonts w:hint="eastAsia" w:ascii="宋体"/>
              </w:rPr>
              <w:t>等宣传服务的执行。</w:t>
            </w:r>
          </w:p>
        </w:tc>
        <w:tc>
          <w:tcPr>
            <w:tcW w:w="784"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项目要求</w:t>
            </w:r>
          </w:p>
        </w:tc>
        <w:tc>
          <w:tcPr>
            <w:tcW w:w="7650" w:type="dxa"/>
            <w:tcBorders>
              <w:top w:val="single" w:color="auto" w:sz="4" w:space="0"/>
              <w:left w:val="single" w:color="auto" w:sz="4" w:space="0"/>
              <w:bottom w:val="single" w:color="auto" w:sz="4" w:space="0"/>
              <w:right w:val="single" w:color="auto" w:sz="4" w:space="0"/>
            </w:tcBorders>
            <w:vAlign w:val="center"/>
          </w:tcPr>
          <w:p>
            <w:pPr>
              <w:pStyle w:val="30"/>
              <w:numPr>
                <w:ilvl w:val="255"/>
                <w:numId w:val="0"/>
              </w:numPr>
              <w:rPr>
                <w:rFonts w:ascii="宋体" w:hAnsi="宋体" w:eastAsia="宋体" w:cs="宋体"/>
              </w:rPr>
            </w:pPr>
            <w:r>
              <w:rPr>
                <w:rFonts w:ascii="宋体" w:hAnsi="宋体" w:eastAsia="宋体" w:cs="宋体"/>
              </w:rPr>
              <w:t>宣传服务方案要突出环保与能源行业的专业性，深入水治理、空气净化、水净化、垃圾处理、智慧环保、环保材料、核能、太阳能等新能源、储能、充电桩、智慧电力、节能应用等细分领域，通过相</w:t>
            </w:r>
            <w:bookmarkStart w:id="87" w:name="_GoBack"/>
            <w:bookmarkEnd w:id="87"/>
            <w:r>
              <w:rPr>
                <w:rFonts w:ascii="宋体" w:hAnsi="宋体" w:eastAsia="宋体" w:cs="宋体"/>
              </w:rPr>
              <w:t>关媒体或更多推广形式，面向相关企业、机构和专业观众</w:t>
            </w:r>
            <w:r>
              <w:rPr>
                <w:rFonts w:hint="eastAsia" w:ascii="宋体" w:hAnsi="宋体" w:eastAsia="宋体" w:cs="宋体"/>
              </w:rPr>
              <w:t>等</w:t>
            </w:r>
            <w:r>
              <w:rPr>
                <w:rFonts w:ascii="宋体" w:hAnsi="宋体" w:eastAsia="宋体" w:cs="宋体"/>
              </w:rPr>
              <w:t>开展宣传。</w:t>
            </w:r>
          </w:p>
          <w:p>
            <w:pPr>
              <w:pStyle w:val="30"/>
              <w:numPr>
                <w:ilvl w:val="255"/>
                <w:numId w:val="0"/>
              </w:numPr>
              <w:rPr>
                <w:rFonts w:ascii="宋体" w:hAnsi="宋体" w:eastAsia="宋体" w:cs="宋体"/>
              </w:rPr>
            </w:pPr>
            <w:r>
              <w:rPr>
                <w:rFonts w:hint="eastAsia" w:ascii="宋体" w:hAnsi="宋体" w:eastAsia="宋体" w:cs="宋体"/>
              </w:rPr>
              <w:t>（1）投放要求：</w:t>
            </w:r>
            <w:r>
              <w:rPr>
                <w:rFonts w:ascii="宋体" w:hAnsi="宋体" w:eastAsia="宋体" w:cs="宋体"/>
              </w:rPr>
              <w:t>撰写软文、设计广告、进行业内媒体投放，覆盖环保、能源行业专业网络媒体、新媒体总数详见下要求，形式须包括网络广告、软文、展会信息发布等。其中：</w:t>
            </w:r>
          </w:p>
          <w:p>
            <w:pPr>
              <w:pStyle w:val="30"/>
              <w:numPr>
                <w:ilvl w:val="255"/>
                <w:numId w:val="0"/>
              </w:numPr>
              <w:ind w:firstLine="420" w:firstLineChars="200"/>
              <w:rPr>
                <w:rFonts w:ascii="宋体" w:hAnsi="宋体" w:eastAsia="宋体" w:cs="宋体"/>
              </w:rPr>
            </w:pPr>
            <w:r>
              <w:rPr>
                <w:rFonts w:hint="eastAsia" w:ascii="宋体" w:hAnsi="宋体" w:eastAsia="宋体" w:cs="宋体"/>
              </w:rPr>
              <w:t>1）</w:t>
            </w:r>
            <w:r>
              <w:rPr>
                <w:rFonts w:ascii="宋体" w:hAnsi="宋体" w:eastAsia="宋体" w:cs="宋体"/>
              </w:rPr>
              <w:t xml:space="preserve">网络广告：在专业媒体网站和新媒体中选择至少2家媒体投放，时长3个月（计划在9月30日前完成）； </w:t>
            </w:r>
          </w:p>
          <w:p>
            <w:pPr>
              <w:pStyle w:val="30"/>
              <w:numPr>
                <w:ilvl w:val="255"/>
                <w:numId w:val="0"/>
              </w:numPr>
              <w:ind w:firstLine="420" w:firstLineChars="200"/>
              <w:rPr>
                <w:rFonts w:ascii="宋体" w:hAnsi="宋体" w:eastAsia="宋体" w:cs="宋体"/>
              </w:rPr>
            </w:pPr>
            <w:r>
              <w:rPr>
                <w:rFonts w:hint="eastAsia" w:ascii="宋体" w:hAnsi="宋体" w:eastAsia="宋体" w:cs="宋体"/>
              </w:rPr>
              <w:t>2）</w:t>
            </w:r>
            <w:r>
              <w:rPr>
                <w:rFonts w:ascii="宋体" w:hAnsi="宋体" w:eastAsia="宋体" w:cs="宋体"/>
              </w:rPr>
              <w:t>专业网络媒体软文：在环保与能源行业专业网络媒体投放</w:t>
            </w:r>
            <w:r>
              <w:rPr>
                <w:rFonts w:ascii="宋体" w:hAnsi="宋体" w:eastAsia="宋体" w:cs="宋体"/>
                <w:color w:val="auto"/>
              </w:rPr>
              <w:t>，并鼓励引入行业知名媒体以获得更好的宣传效果，比如可以选：“中国环保在线”“北极星</w:t>
            </w:r>
            <w:r>
              <w:rPr>
                <w:rFonts w:ascii="宋体" w:hAnsi="宋体" w:eastAsia="宋体" w:cs="宋体"/>
              </w:rPr>
              <w:t xml:space="preserve">电力网”等或同类知名行业媒体；撰写具有一定专业性的软文不少于12篇，每篇软文至少在18家专业网络媒体上发布（其中不少于9家媒体的软文链接能被百度或360搜索引擎收录），累计至少投放216篇次； </w:t>
            </w:r>
          </w:p>
          <w:p>
            <w:pPr>
              <w:pStyle w:val="30"/>
              <w:numPr>
                <w:ilvl w:val="255"/>
                <w:numId w:val="0"/>
              </w:numPr>
              <w:ind w:firstLine="420" w:firstLineChars="200"/>
              <w:rPr>
                <w:rFonts w:ascii="宋体" w:hAnsi="宋体" w:eastAsia="宋体" w:cs="宋体"/>
              </w:rPr>
            </w:pPr>
            <w:r>
              <w:rPr>
                <w:rFonts w:hint="eastAsia" w:ascii="宋体" w:hAnsi="宋体" w:eastAsia="宋体" w:cs="宋体"/>
              </w:rPr>
              <w:t>3）</w:t>
            </w:r>
            <w:r>
              <w:rPr>
                <w:rFonts w:ascii="宋体" w:hAnsi="宋体" w:eastAsia="宋体" w:cs="宋体"/>
              </w:rPr>
              <w:t xml:space="preserve">新媒体软文：在环保与能源行业新媒体投放，并鼓励引入行业知名媒体以获得更好的宣传效果，比如可以选：“OFweek环保网APP” 等或同类知名行业媒体；投放软文不少于12篇，每篇至少投放18家行业APP、公众号等新媒体，累计至少共投放216篇次； </w:t>
            </w:r>
          </w:p>
          <w:p>
            <w:pPr>
              <w:pStyle w:val="30"/>
              <w:numPr>
                <w:ilvl w:val="255"/>
                <w:numId w:val="0"/>
              </w:numPr>
              <w:ind w:firstLine="420" w:firstLineChars="200"/>
              <w:rPr>
                <w:rFonts w:ascii="宋体" w:hAnsi="宋体" w:eastAsia="宋体" w:cs="宋体"/>
              </w:rPr>
            </w:pPr>
            <w:r>
              <w:rPr>
                <w:rFonts w:hint="eastAsia" w:ascii="宋体" w:hAnsi="宋体" w:eastAsia="宋体" w:cs="宋体"/>
              </w:rPr>
              <w:t>4）</w:t>
            </w:r>
            <w:r>
              <w:rPr>
                <w:rFonts w:ascii="宋体" w:hAnsi="宋体" w:eastAsia="宋体" w:cs="宋体"/>
              </w:rPr>
              <w:t>在上述</w:t>
            </w:r>
            <w:r>
              <w:rPr>
                <w:rFonts w:hint="eastAsia" w:ascii="宋体" w:hAnsi="宋体" w:eastAsia="宋体" w:cs="宋体"/>
              </w:rPr>
              <w:t>2</w:t>
            </w:r>
            <w:r>
              <w:rPr>
                <w:rFonts w:ascii="宋体" w:hAnsi="宋体" w:eastAsia="宋体" w:cs="宋体"/>
              </w:rPr>
              <w:t>）中的专业网络媒体上发布展会信息：在上述</w:t>
            </w:r>
            <w:r>
              <w:rPr>
                <w:rFonts w:hint="eastAsia" w:ascii="宋体" w:hAnsi="宋体" w:eastAsia="宋体" w:cs="宋体"/>
              </w:rPr>
              <w:t>2</w:t>
            </w:r>
            <w:r>
              <w:rPr>
                <w:rFonts w:ascii="宋体" w:hAnsi="宋体" w:eastAsia="宋体" w:cs="宋体"/>
              </w:rPr>
              <w:t>）专业网络媒体中的展会频道（或类似频道）中发布本展招展书，发布展会信息的媒体不少于8家。</w:t>
            </w:r>
          </w:p>
          <w:p>
            <w:pPr>
              <w:pStyle w:val="30"/>
              <w:numPr>
                <w:ilvl w:val="255"/>
                <w:numId w:val="0"/>
              </w:numPr>
              <w:ind w:firstLine="420" w:firstLineChars="200"/>
              <w:rPr>
                <w:rFonts w:ascii="宋体" w:hAnsi="宋体" w:eastAsia="宋体" w:cs="宋体"/>
              </w:rPr>
            </w:pPr>
            <w:r>
              <w:rPr>
                <w:rFonts w:hint="eastAsia" w:ascii="宋体" w:hAnsi="宋体" w:eastAsia="宋体" w:cs="宋体"/>
              </w:rPr>
              <w:t xml:space="preserve">5） </w:t>
            </w:r>
            <w:r>
              <w:rPr>
                <w:rFonts w:ascii="宋体" w:hAnsi="宋体" w:eastAsia="宋体" w:cs="宋体"/>
              </w:rPr>
              <w:t>在专业展会网站发布展会信息：服务商需要在4家以上的专业展会网站同时发布本届高交会环保与能源展、建筑科技创新展的展会信息。专业展会网站以双方协商确认为准。</w:t>
            </w:r>
          </w:p>
          <w:p>
            <w:pPr>
              <w:pStyle w:val="2"/>
              <w:numPr>
                <w:ilvl w:val="255"/>
                <w:numId w:val="0"/>
              </w:numPr>
              <w:rPr>
                <w:rFonts w:ascii="宋体" w:eastAsia="宋体"/>
              </w:rPr>
            </w:pPr>
            <w:r>
              <w:rPr>
                <w:rFonts w:hint="eastAsia" w:ascii="宋体" w:eastAsia="宋体"/>
              </w:rPr>
              <w:t>（2）</w:t>
            </w:r>
            <w:r>
              <w:rPr>
                <w:rFonts w:ascii="宋体" w:eastAsia="宋体"/>
              </w:rPr>
              <w:t>社群推广：合作方根据自身资源，按照我司招展资料或H5宣传页，推送至少一次到相关行业社群50个，社群包括但不限于微信群、QQ群等，每个社群组员不得少于200人。</w:t>
            </w:r>
          </w:p>
          <w:p>
            <w:pPr>
              <w:pStyle w:val="2"/>
              <w:numPr>
                <w:ilvl w:val="255"/>
                <w:numId w:val="0"/>
              </w:numPr>
              <w:rPr>
                <w:rFonts w:ascii="宋体" w:eastAsia="宋体"/>
              </w:rPr>
            </w:pPr>
            <w:r>
              <w:rPr>
                <w:rFonts w:hint="eastAsia" w:ascii="宋体" w:eastAsia="宋体"/>
              </w:rPr>
              <w:t>（3）5月10日-8月31日招展为主，9月1日-11月15日邀请专业观众为主，11月16-20日展期宣传；</w:t>
            </w:r>
          </w:p>
          <w:p>
            <w:pPr>
              <w:pStyle w:val="2"/>
              <w:numPr>
                <w:ilvl w:val="255"/>
                <w:numId w:val="0"/>
              </w:numPr>
              <w:rPr>
                <w:rFonts w:ascii="宋体" w:eastAsia="宋体"/>
              </w:rPr>
            </w:pPr>
            <w:r>
              <w:rPr>
                <w:rFonts w:hint="eastAsia" w:ascii="宋体" w:eastAsia="宋体"/>
              </w:rPr>
              <w:t>（4）在本项目宣传内容上：以推介展会信息、本届亮点、重点展商和展品信息等为主。我方提供素材，合作方结合环保与能源行业的技术焦点、趋势、市场需求以及时事热点等进行设计、撰写、编辑，由我方审核定稿后投放。</w:t>
            </w:r>
          </w:p>
          <w:p>
            <w:pPr>
              <w:pStyle w:val="2"/>
              <w:numPr>
                <w:ilvl w:val="255"/>
                <w:numId w:val="0"/>
              </w:numPr>
            </w:pPr>
            <w:r>
              <w:rPr>
                <w:rFonts w:hint="eastAsia" w:ascii="宋体" w:eastAsia="宋体"/>
              </w:rPr>
              <w:t>（5）投标人需提供本项目宣传方案及详细的媒体投放计划安排表。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服务时间要求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rPr>
                <w:rFonts w:hint="eastAsia" w:ascii="宋体" w:hAnsi="宋体" w:cs="宋体"/>
              </w:rPr>
              <w:t>（1）项目实施时长：约6个月，计划从6月1日到11月30日；</w:t>
            </w:r>
          </w:p>
          <w:p>
            <w:pPr>
              <w:numPr>
                <w:ilvl w:val="255"/>
                <w:numId w:val="0"/>
              </w:numPr>
              <w:tabs>
                <w:tab w:val="left" w:pos="531"/>
              </w:tabs>
              <w:snapToGrid w:val="0"/>
            </w:pPr>
            <w:r>
              <w:rPr>
                <w:rFonts w:hint="eastAsia"/>
                <w:color w:val="0000FF"/>
              </w:rPr>
              <w:t>（2）</w:t>
            </w:r>
            <w:r>
              <w:rPr>
                <w:rFonts w:hint="eastAsia"/>
              </w:rPr>
              <w:t>中标单位的硬广设计方案需在合同签订后10个工作日内提交给采购人审核，经采购人确认后方可在媒体投放，且在9月30日前投放完成。</w:t>
            </w:r>
          </w:p>
          <w:p>
            <w:pPr>
              <w:numPr>
                <w:ilvl w:val="255"/>
                <w:numId w:val="0"/>
              </w:numPr>
            </w:pPr>
            <w:r>
              <w:rPr>
                <w:rFonts w:hint="eastAsia"/>
              </w:rPr>
              <w:t>（3）</w:t>
            </w:r>
            <w:r>
              <w:rPr>
                <w:rFonts w:hint="eastAsia" w:ascii="宋体" w:hAnsi="宋体" w:cs="宋体"/>
              </w:rPr>
              <w:t>投标人须在合同约定期限内（自签订合同之日起至</w:t>
            </w:r>
            <w:r>
              <w:rPr>
                <w:rFonts w:hint="eastAsia"/>
              </w:rPr>
              <w:t>11月30日）完成不少于12篇软文的撰写、编辑、投放，且经采购人确认方可投放。其中，前10篇软文按合同约定投放之日起陆续有计划投放，后2篇须在高交会展期投放，尽量平均投放。</w:t>
            </w:r>
          </w:p>
          <w:p>
            <w:pPr>
              <w:pStyle w:val="2"/>
              <w:rPr>
                <w:rFonts w:ascii="宋体" w:eastAsia="宋体" w:cs="宋体"/>
              </w:rPr>
            </w:pPr>
            <w:r>
              <w:rPr>
                <w:rFonts w:hint="eastAsia" w:ascii="宋体" w:eastAsia="宋体" w:cs="宋体"/>
                <w:szCs w:val="21"/>
              </w:rPr>
              <w:t>（4）8月</w:t>
            </w:r>
            <w:r>
              <w:rPr>
                <w:rFonts w:hint="eastAsia" w:ascii="宋体" w:eastAsia="宋体" w:cs="宋体"/>
              </w:rPr>
              <w:t>31日前软文内容，以环保与能源展目标展商为主；9月1日后软文内容以吸引专业观众为主。</w:t>
            </w:r>
          </w:p>
          <w:p>
            <w:pPr>
              <w:pStyle w:val="2"/>
              <w:rPr>
                <w:rFonts w:ascii="宋体" w:eastAsia="宋体" w:cs="宋体"/>
              </w:rPr>
            </w:pPr>
            <w:r>
              <w:rPr>
                <w:rFonts w:hint="eastAsia" w:ascii="宋体" w:eastAsia="宋体" w:cs="宋体"/>
              </w:rPr>
              <w:t>（5）11月30日前向采购人提供本项目结案报告。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48" w:type="dxa"/>
            <w:tcBorders>
              <w:top w:val="single" w:color="auto" w:sz="4" w:space="0"/>
              <w:left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项目团队成员要求</w:t>
            </w:r>
          </w:p>
        </w:tc>
        <w:tc>
          <w:tcPr>
            <w:tcW w:w="7650" w:type="dxa"/>
            <w:tcBorders>
              <w:top w:val="single" w:color="auto" w:sz="4" w:space="0"/>
              <w:left w:val="single" w:color="auto" w:sz="4" w:space="0"/>
              <w:right w:val="single" w:color="auto" w:sz="4" w:space="0"/>
            </w:tcBorders>
            <w:vAlign w:val="center"/>
          </w:tcPr>
          <w:p>
            <w:pPr>
              <w:pStyle w:val="30"/>
              <w:numPr>
                <w:ilvl w:val="0"/>
                <w:numId w:val="17"/>
              </w:numPr>
              <w:ind w:firstLineChars="0"/>
              <w:rPr>
                <w:rFonts w:ascii="宋体" w:hAnsi="宋体" w:eastAsia="宋体"/>
                <w:color w:val="auto"/>
              </w:rPr>
            </w:pPr>
            <w:r>
              <w:rPr>
                <w:rFonts w:hint="eastAsia" w:ascii="宋体" w:hAnsi="宋体" w:eastAsia="宋体"/>
              </w:rPr>
              <w:t>投标人须指定本项目负责人，需提供该负责人姓名、电话、职务、相关职称（如有）、工作经验、负责案例、获奖情况（如有）以及身份证复印件（加</w:t>
            </w:r>
            <w:r>
              <w:rPr>
                <w:rFonts w:hint="eastAsia" w:ascii="宋体" w:hAnsi="宋体" w:eastAsia="宋体"/>
                <w:color w:val="auto"/>
              </w:rPr>
              <w:t>盖公章，原件备查）等信息，负责联络、沟通、协调及跟进本项目具体实施。</w:t>
            </w:r>
          </w:p>
          <w:p>
            <w:pPr>
              <w:rPr>
                <w:rFonts w:ascii="宋体" w:cs="宋体"/>
                <w:color w:val="FF0000"/>
                <w:szCs w:val="21"/>
              </w:rPr>
            </w:pPr>
            <w:r>
              <w:rPr>
                <w:color w:val="auto"/>
              </w:rPr>
              <w:t>（2）项目团队成员人数不得少于4人（含项目负责人），提供拟派项目团队成员中近两年参与过在专业展览、会议、场馆承接展会、会议宣传项目的工作经历情况，提供拟投入人员简介以及由投标人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增值服务</w:t>
            </w:r>
          </w:p>
        </w:tc>
        <w:tc>
          <w:tcPr>
            <w:tcW w:w="7650" w:type="dxa"/>
            <w:tcBorders>
              <w:top w:val="single" w:color="auto" w:sz="4" w:space="0"/>
              <w:left w:val="single" w:color="auto" w:sz="4" w:space="0"/>
              <w:bottom w:val="single" w:color="auto" w:sz="4" w:space="0"/>
              <w:right w:val="single" w:color="auto" w:sz="4" w:space="0"/>
            </w:tcBorders>
            <w:vAlign w:val="center"/>
          </w:tcPr>
          <w:p>
            <w:r>
              <w:rPr>
                <w:rFonts w:ascii="宋体" w:hAnsi="宋体" w:cs="宋体"/>
              </w:rPr>
              <w:t>加大力度鼓励参选服务商结合自有资源，在广告、软文投放中优先选择新媒体，并提供在环保、能源行业内的宣传增值服务，拓展宣传内容和范围，提升宣传效果。形式、内容由服务商结合自有资源拟定，需突出环保、能源行业专业性和宣传的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服务承诺</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rPr>
            </w:pPr>
            <w:r>
              <w:rPr>
                <w:rFonts w:hint="eastAsia" w:ascii="宋体" w:hAnsi="宋体" w:cs="宋体"/>
                <w:szCs w:val="21"/>
              </w:rPr>
              <w:t>针对本宣传项目提出书面服务承诺，承诺内容包括但不限于项目的总体要求、质量、数量、完成时间等，同时指定项目负责人，严格遵照国家有关广告、互联网媒体、新媒体投放要求和规定，对采购人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知识产权</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s="宋体"/>
                <w:szCs w:val="21"/>
              </w:rPr>
            </w:pPr>
            <w:r>
              <w:rPr>
                <w:rFonts w:hint="eastAsia" w:ascii="宋体" w:hAnsi="宋体" w:cs="宋体"/>
                <w:szCs w:val="21"/>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保密要求</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s="宋体"/>
                <w:szCs w:val="21"/>
              </w:rPr>
            </w:pPr>
            <w:r>
              <w:rPr>
                <w:rFonts w:hint="eastAsia"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bl>
    <w:p>
      <w:pPr>
        <w:numPr>
          <w:ilvl w:val="0"/>
          <w:numId w:val="2"/>
        </w:numPr>
        <w:spacing w:beforeLines="100" w:line="480" w:lineRule="auto"/>
        <w:jc w:val="left"/>
        <w:outlineLvl w:val="1"/>
        <w:rPr>
          <w:rFonts w:ascii="宋体" w:hAnsi="宋体"/>
          <w:b/>
          <w:szCs w:val="21"/>
        </w:rPr>
      </w:pPr>
      <w:bookmarkStart w:id="39" w:name="_Toc82684600"/>
      <w:bookmarkEnd w:id="39"/>
      <w:bookmarkStart w:id="40" w:name="_Toc82591996"/>
      <w:bookmarkEnd w:id="40"/>
      <w:bookmarkStart w:id="41" w:name="_Toc82685552"/>
      <w:bookmarkEnd w:id="41"/>
      <w:bookmarkStart w:id="42" w:name="_Toc82684715"/>
      <w:bookmarkEnd w:id="42"/>
      <w:bookmarkStart w:id="43" w:name="_Toc1912"/>
      <w:r>
        <w:rPr>
          <w:rFonts w:hint="eastAsia" w:ascii="宋体" w:hAnsi="宋体"/>
          <w:b/>
          <w:szCs w:val="21"/>
        </w:rPr>
        <w:t>其他项目说明资料</w:t>
      </w:r>
      <w:bookmarkEnd w:id="43"/>
    </w:p>
    <w:p>
      <w:pPr>
        <w:autoSpaceDE w:val="0"/>
        <w:autoSpaceDN w:val="0"/>
        <w:adjustRightInd w:val="0"/>
        <w:snapToGrid w:val="0"/>
        <w:spacing w:line="360" w:lineRule="auto"/>
        <w:ind w:left="420"/>
        <w:rPr>
          <w:rFonts w:ascii="宋体" w:hAnsi="宋体"/>
          <w:szCs w:val="21"/>
        </w:rPr>
      </w:pPr>
      <w:r>
        <w:rPr>
          <w:rFonts w:hint="eastAsia" w:ascii="宋体" w:hAnsi="宋体"/>
          <w:szCs w:val="21"/>
        </w:rPr>
        <w:t>无</w:t>
      </w:r>
    </w:p>
    <w:p>
      <w:pPr>
        <w:widowControl/>
        <w:jc w:val="left"/>
        <w:rPr>
          <w:rFonts w:ascii="宋体" w:hAnsi="宋体"/>
          <w:szCs w:val="21"/>
        </w:rPr>
      </w:pPr>
    </w:p>
    <w:p>
      <w:pPr>
        <w:autoSpaceDE w:val="0"/>
        <w:autoSpaceDN w:val="0"/>
        <w:adjustRightInd w:val="0"/>
        <w:snapToGrid w:val="0"/>
        <w:spacing w:line="360" w:lineRule="auto"/>
        <w:ind w:left="420"/>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spacing w:line="360" w:lineRule="auto"/>
        <w:jc w:val="center"/>
        <w:outlineLvl w:val="0"/>
        <w:rPr>
          <w:rFonts w:ascii="方正小标宋_GBK" w:hAnsi="方正小标宋_GBK" w:eastAsia="方正小标宋_GBK"/>
          <w:b/>
          <w:sz w:val="32"/>
          <w:szCs w:val="32"/>
        </w:rPr>
      </w:pPr>
      <w:bookmarkStart w:id="44" w:name="_Toc25242"/>
      <w:r>
        <w:rPr>
          <w:rFonts w:hint="eastAsia" w:ascii="方正小标宋_GBK" w:hAnsi="方正小标宋_GBK" w:eastAsia="方正小标宋_GBK"/>
          <w:b/>
          <w:sz w:val="32"/>
          <w:szCs w:val="32"/>
        </w:rPr>
        <w:t>第二部分：开标流程</w:t>
      </w:r>
      <w:bookmarkEnd w:id="44"/>
    </w:p>
    <w:p>
      <w:pPr>
        <w:numPr>
          <w:ilvl w:val="0"/>
          <w:numId w:val="2"/>
        </w:numPr>
        <w:spacing w:line="360" w:lineRule="auto"/>
        <w:outlineLvl w:val="1"/>
        <w:rPr>
          <w:rFonts w:ascii="宋体" w:hAnsi="宋体"/>
          <w:b/>
          <w:szCs w:val="21"/>
        </w:rPr>
      </w:pPr>
      <w:bookmarkStart w:id="45" w:name="_Toc1758"/>
      <w:r>
        <w:rPr>
          <w:rFonts w:hint="eastAsia" w:ascii="宋体" w:hAnsi="宋体"/>
          <w:b/>
          <w:szCs w:val="21"/>
        </w:rPr>
        <w:t>开标流程</w:t>
      </w:r>
      <w:bookmarkEnd w:id="45"/>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投标人按要求准时进入视频会议室；</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投标人按时发送文件密码至招标联系人邮箱；</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宣布开标开始，宣读开标注意事项、流程；</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评标小组组长主持评标；</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招标人解密投标文件。</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现场公开唱标。</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投标文件及密码发送符合要求的投标人即可离开视频会议室；</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响应文件的完整性检验和投标人基本情况的符合性审查；</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商务及技术需求响应性评定；</w:t>
      </w:r>
    </w:p>
    <w:p>
      <w:pPr>
        <w:pStyle w:val="30"/>
        <w:numPr>
          <w:ilvl w:val="0"/>
          <w:numId w:val="18"/>
        </w:numPr>
        <w:tabs>
          <w:tab w:val="left" w:pos="851"/>
          <w:tab w:val="left" w:pos="993"/>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评标小组成员采用有记名方式按综合评议指标评分；</w:t>
      </w:r>
    </w:p>
    <w:p>
      <w:pPr>
        <w:pStyle w:val="30"/>
        <w:numPr>
          <w:ilvl w:val="0"/>
          <w:numId w:val="18"/>
        </w:numPr>
        <w:tabs>
          <w:tab w:val="left" w:pos="851"/>
          <w:tab w:val="left" w:pos="993"/>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综合评分的计算和排序；</w:t>
      </w:r>
    </w:p>
    <w:p>
      <w:pPr>
        <w:pStyle w:val="30"/>
        <w:numPr>
          <w:ilvl w:val="0"/>
          <w:numId w:val="18"/>
        </w:numPr>
        <w:tabs>
          <w:tab w:val="left" w:pos="851"/>
          <w:tab w:val="left" w:pos="993"/>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本项目招标第一候选供应商、备选供应商的确定及报告的出具。</w:t>
      </w:r>
    </w:p>
    <w:p>
      <w:pPr>
        <w:widowControl/>
        <w:jc w:val="left"/>
        <w:rPr>
          <w:rFonts w:ascii="宋体" w:hAnsi="宋体"/>
          <w:szCs w:val="21"/>
        </w:rPr>
      </w:pPr>
      <w:r>
        <w:rPr>
          <w:rFonts w:ascii="宋体" w:hAnsi="宋体"/>
          <w:szCs w:val="21"/>
        </w:rPr>
        <w:br w:type="page"/>
      </w:r>
    </w:p>
    <w:p>
      <w:pPr>
        <w:tabs>
          <w:tab w:val="left" w:pos="720"/>
          <w:tab w:val="left" w:pos="851"/>
          <w:tab w:val="left" w:pos="993"/>
        </w:tabs>
        <w:spacing w:line="360" w:lineRule="auto"/>
        <w:rPr>
          <w:rFonts w:ascii="宋体" w:hAnsi="宋体"/>
          <w:szCs w:val="21"/>
        </w:rPr>
      </w:pPr>
    </w:p>
    <w:p>
      <w:pPr>
        <w:spacing w:line="360" w:lineRule="auto"/>
        <w:jc w:val="center"/>
        <w:outlineLvl w:val="0"/>
        <w:rPr>
          <w:rFonts w:ascii="方正小标宋_GBK" w:hAnsi="方正小标宋_GBK" w:eastAsia="方正小标宋_GBK"/>
          <w:b/>
          <w:sz w:val="32"/>
          <w:szCs w:val="32"/>
        </w:rPr>
      </w:pPr>
      <w:bookmarkStart w:id="46" w:name="_Toc14471"/>
      <w:r>
        <w:rPr>
          <w:rFonts w:hint="eastAsia" w:ascii="方正小标宋_GBK" w:hAnsi="方正小标宋_GBK" w:eastAsia="方正小标宋_GBK"/>
          <w:b/>
          <w:sz w:val="32"/>
          <w:szCs w:val="32"/>
        </w:rPr>
        <w:t>第三部分：评审办法</w:t>
      </w:r>
      <w:bookmarkEnd w:id="46"/>
    </w:p>
    <w:p>
      <w:pPr>
        <w:numPr>
          <w:ilvl w:val="0"/>
          <w:numId w:val="2"/>
        </w:numPr>
        <w:spacing w:line="360" w:lineRule="auto"/>
        <w:outlineLvl w:val="1"/>
        <w:rPr>
          <w:rFonts w:ascii="宋体" w:hAnsi="宋体"/>
          <w:szCs w:val="21"/>
        </w:rPr>
      </w:pPr>
      <w:bookmarkStart w:id="47" w:name="_Toc18910"/>
      <w:r>
        <w:rPr>
          <w:rFonts w:hint="eastAsia" w:ascii="宋体" w:hAnsi="宋体"/>
          <w:b/>
          <w:bCs/>
          <w:szCs w:val="21"/>
        </w:rPr>
        <w:t>评审办法</w:t>
      </w:r>
      <w:bookmarkEnd w:id="47"/>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17" w:type="dxa"/>
            <w:gridSpan w:val="4"/>
            <w:shd w:val="clear" w:color="auto" w:fill="E7E6E6" w:themeFill="background2"/>
            <w:vAlign w:val="center"/>
          </w:tcPr>
          <w:p>
            <w:pPr>
              <w:autoSpaceDE w:val="0"/>
              <w:autoSpaceDN w:val="0"/>
              <w:adjustRightInd w:val="0"/>
              <w:snapToGrid w:val="0"/>
              <w:jc w:val="center"/>
              <w:rPr>
                <w:rFonts w:ascii="宋体" w:hAnsi="宋体"/>
                <w:b/>
                <w:sz w:val="32"/>
                <w:szCs w:val="32"/>
              </w:rP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58"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59"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662"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58" w:type="dxa"/>
            <w:vAlign w:val="center"/>
          </w:tcPr>
          <w:p>
            <w:pPr>
              <w:autoSpaceDE w:val="0"/>
              <w:autoSpaceDN w:val="0"/>
              <w:adjustRightInd w:val="0"/>
              <w:snapToGrid w:val="0"/>
              <w:jc w:val="center"/>
              <w:rPr>
                <w:rFonts w:ascii="宋体" w:hAnsi="宋体"/>
              </w:rPr>
            </w:pPr>
            <w:r>
              <w:rPr>
                <w:rFonts w:ascii="宋体" w:hAnsi="宋体"/>
                <w:szCs w:val="21"/>
              </w:rPr>
              <w:t>20</w:t>
            </w:r>
            <w:r>
              <w:rPr>
                <w:rFonts w:ascii="宋体" w:hAnsi="宋体"/>
              </w:rPr>
              <w:t>%</w:t>
            </w:r>
          </w:p>
        </w:tc>
        <w:tc>
          <w:tcPr>
            <w:tcW w:w="2159" w:type="dxa"/>
            <w:vAlign w:val="center"/>
          </w:tcPr>
          <w:p>
            <w:pPr>
              <w:autoSpaceDE w:val="0"/>
              <w:autoSpaceDN w:val="0"/>
              <w:adjustRightInd w:val="0"/>
              <w:snapToGrid w:val="0"/>
              <w:jc w:val="center"/>
              <w:rPr>
                <w:rFonts w:ascii="宋体" w:hAnsi="宋体"/>
              </w:rPr>
            </w:pPr>
            <w:r>
              <w:rPr>
                <w:rFonts w:ascii="宋体" w:hAnsi="宋体"/>
                <w:szCs w:val="21"/>
              </w:rPr>
              <w:t>50</w:t>
            </w:r>
            <w:r>
              <w:rPr>
                <w:rFonts w:hint="eastAsia" w:ascii="宋体" w:hAnsi="宋体"/>
              </w:rPr>
              <w:t>%</w:t>
            </w:r>
          </w:p>
        </w:tc>
        <w:tc>
          <w:tcPr>
            <w:tcW w:w="2662"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投标人综合得分</w:t>
            </w:r>
          </w:p>
        </w:tc>
        <w:tc>
          <w:tcPr>
            <w:tcW w:w="6979" w:type="dxa"/>
            <w:gridSpan w:val="3"/>
            <w:vAlign w:val="center"/>
          </w:tcPr>
          <w:p>
            <w:pPr>
              <w:autoSpaceDE w:val="0"/>
              <w:autoSpaceDN w:val="0"/>
              <w:adjustRightInd w:val="0"/>
              <w:snapToGrid w:val="0"/>
              <w:jc w:val="center"/>
              <w:rPr>
                <w:rFonts w:ascii="宋体" w:hAnsi="宋体"/>
              </w:rPr>
            </w:pPr>
            <w:r>
              <w:rPr>
                <w:rFonts w:hint="eastAsia" w:ascii="宋体" w:hAnsi="宋体"/>
              </w:rPr>
              <w:t>商务标得分+技术标得分+价格标得分=100</w:t>
            </w:r>
          </w:p>
        </w:tc>
      </w:tr>
    </w:tbl>
    <w:p>
      <w:pPr>
        <w:pStyle w:val="2"/>
        <w:rPr>
          <w:rFonts w:ascii="宋体"/>
          <w:szCs w:val="21"/>
        </w:rPr>
      </w:pPr>
    </w:p>
    <w:p>
      <w:pPr>
        <w:numPr>
          <w:ilvl w:val="0"/>
          <w:numId w:val="19"/>
        </w:numPr>
        <w:spacing w:line="360" w:lineRule="auto"/>
        <w:jc w:val="left"/>
        <w:outlineLvl w:val="2"/>
        <w:rPr>
          <w:rStyle w:val="37"/>
          <w:rFonts w:ascii="宋体" w:hAnsi="宋体"/>
          <w:b/>
          <w:szCs w:val="21"/>
        </w:rPr>
      </w:pPr>
      <w:bookmarkStart w:id="48" w:name="_Toc24020"/>
      <w:r>
        <w:rPr>
          <w:rStyle w:val="37"/>
          <w:rFonts w:hint="eastAsia" w:ascii="宋体" w:hAnsi="宋体"/>
          <w:b/>
          <w:bCs/>
          <w:szCs w:val="21"/>
        </w:rPr>
        <w:t>符合性检查</w:t>
      </w:r>
      <w:bookmarkEnd w:id="48"/>
    </w:p>
    <w:tbl>
      <w:tblPr>
        <w:tblStyle w:val="23"/>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宋体"/>
                <w:szCs w:val="21"/>
              </w:rPr>
            </w:pPr>
            <w:r>
              <w:rPr>
                <w:rFonts w:hint="eastAsia" w:ascii="宋体" w:hAnsi="宋体" w:cs="宋体"/>
                <w:szCs w:val="21"/>
              </w:rPr>
              <w:t>投标人提交的响应文件是否按要求编制目录、加密；投标文件的加密密码在按要求发送至招标人</w:t>
            </w:r>
            <w:r>
              <w:rPr>
                <w:rFonts w:ascii="宋体" w:hAnsi="宋体" w:cs="宋体"/>
                <w:szCs w:val="21"/>
              </w:rPr>
              <w:t>且</w:t>
            </w:r>
            <w:r>
              <w:rPr>
                <w:rFonts w:hint="eastAsia" w:ascii="宋体" w:hAnsi="宋体" w:cs="宋体"/>
                <w:szCs w:val="21"/>
              </w:rPr>
              <w:t>保证</w:t>
            </w:r>
            <w:r>
              <w:rPr>
                <w:rFonts w:ascii="宋体" w:hAnsi="宋体" w:cs="宋体"/>
                <w:szCs w:val="21"/>
              </w:rPr>
              <w:t>文件完整可正常打开；</w:t>
            </w:r>
            <w:r>
              <w:rPr>
                <w:rFonts w:hint="eastAsia" w:ascii="宋体" w:hAnsi="宋体" w:cs="宋体"/>
                <w:szCs w:val="21"/>
              </w:rPr>
              <w:t>投标人必须提供由法人代表或其书面授权人签署并加盖投标人公章的投标响应文件。</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宋体"/>
                <w:szCs w:val="21"/>
              </w:rPr>
            </w:pPr>
            <w:r>
              <w:rPr>
                <w:rFonts w:hint="eastAsia" w:ascii="宋体" w:hAnsi="宋体" w:cs="宋体"/>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pStyle w:val="30"/>
              <w:numPr>
                <w:ilvl w:val="255"/>
                <w:numId w:val="0"/>
              </w:numPr>
              <w:tabs>
                <w:tab w:val="left" w:pos="0"/>
                <w:tab w:val="left" w:pos="632"/>
              </w:tabs>
              <w:snapToGrid w:val="0"/>
              <w:rPr>
                <w:rFonts w:ascii="宋体" w:hAnsi="宋体" w:eastAsia="宋体" w:cs="宋体"/>
                <w:szCs w:val="21"/>
              </w:rPr>
            </w:pPr>
            <w:r>
              <w:rPr>
                <w:rFonts w:hint="eastAsia" w:ascii="宋体" w:hAnsi="宋体" w:eastAsia="宋体" w:cs="宋体"/>
                <w:szCs w:val="21"/>
              </w:rPr>
              <w:t>（1）投标人必须为中华人民共和国境内注册且合法运作的企业。（提供企业营业执照并加盖投标人公章）</w:t>
            </w:r>
          </w:p>
          <w:p>
            <w:pPr>
              <w:pStyle w:val="30"/>
              <w:numPr>
                <w:ilvl w:val="255"/>
                <w:numId w:val="0"/>
              </w:numPr>
              <w:tabs>
                <w:tab w:val="left" w:pos="0"/>
                <w:tab w:val="left" w:pos="632"/>
              </w:tabs>
              <w:snapToGrid w:val="0"/>
              <w:rPr>
                <w:rFonts w:ascii="宋体" w:hAnsi="宋体" w:eastAsia="宋体" w:cs="宋体"/>
                <w:szCs w:val="21"/>
              </w:rPr>
            </w:pPr>
            <w:r>
              <w:rPr>
                <w:rFonts w:hint="eastAsia" w:ascii="宋体" w:hAnsi="宋体" w:eastAsia="宋体" w:cs="宋体"/>
                <w:szCs w:val="21"/>
              </w:rPr>
              <w:t>（2）投标人无尚在处罚期内的经营异常信息、无严重违法失信记录。（须提供国家企业信用信息公示系统</w:t>
            </w:r>
            <w:r>
              <w:rPr>
                <w:rFonts w:ascii="宋体" w:hAnsi="宋体" w:eastAsia="宋体" w:cs="宋体"/>
                <w:szCs w:val="21"/>
              </w:rPr>
              <w:t>www.gsxt.gov.cn公示的企业</w:t>
            </w:r>
            <w:r>
              <w:rPr>
                <w:rFonts w:hint="eastAsia" w:ascii="宋体" w:hAnsi="宋体" w:eastAsia="宋体" w:cs="宋体"/>
                <w:szCs w:val="21"/>
              </w:rPr>
              <w:t>基础信息及经营异常信息、严重违法失信记录查询结果页面</w:t>
            </w:r>
            <w:r>
              <w:rPr>
                <w:rFonts w:ascii="宋体" w:hAnsi="宋体" w:eastAsia="宋体" w:cs="宋体"/>
                <w:szCs w:val="21"/>
              </w:rPr>
              <w:t>打印件并加盖</w:t>
            </w:r>
            <w:r>
              <w:rPr>
                <w:rFonts w:hint="eastAsia" w:ascii="宋体" w:hAnsi="宋体" w:eastAsia="宋体" w:cs="宋体"/>
                <w:szCs w:val="21"/>
              </w:rPr>
              <w:t xml:space="preserve">投标人公章）。 </w:t>
            </w:r>
          </w:p>
          <w:p>
            <w:pPr>
              <w:pStyle w:val="30"/>
              <w:numPr>
                <w:ilvl w:val="255"/>
                <w:numId w:val="0"/>
              </w:numPr>
              <w:tabs>
                <w:tab w:val="left" w:pos="0"/>
                <w:tab w:val="left" w:pos="632"/>
              </w:tabs>
              <w:snapToGrid w:val="0"/>
              <w:rPr>
                <w:rFonts w:ascii="宋体" w:hAnsi="宋体" w:eastAsia="宋体" w:cs="宋体"/>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宋体"/>
                <w:szCs w:val="21"/>
              </w:rPr>
            </w:pPr>
            <w:r>
              <w:rPr>
                <w:rFonts w:hint="eastAsia" w:ascii="宋体" w:hAnsi="宋体" w:cs="宋体"/>
                <w:szCs w:val="21"/>
              </w:rPr>
              <w:t>本项目报价不高于人民币</w:t>
            </w:r>
            <w:r>
              <w:rPr>
                <w:rFonts w:hint="eastAsia" w:ascii="宋体" w:hAnsi="宋体" w:cs="宋体"/>
                <w:color w:val="FF0000"/>
                <w:szCs w:val="21"/>
              </w:rPr>
              <w:t>12.5</w:t>
            </w:r>
            <w:r>
              <w:rPr>
                <w:rFonts w:ascii="宋体" w:hAnsi="宋体" w:cs="宋体"/>
                <w:color w:val="FF0000"/>
                <w:szCs w:val="21"/>
              </w:rPr>
              <w:t>万元</w:t>
            </w:r>
            <w:r>
              <w:rPr>
                <w:rFonts w:ascii="宋体" w:hAnsi="宋体" w:cs="宋体"/>
                <w:szCs w:val="21"/>
              </w:rPr>
              <w:t>（含税）</w:t>
            </w:r>
            <w:r>
              <w:rPr>
                <w:rFonts w:hint="eastAsia" w:ascii="宋体" w:hAnsi="宋体" w:cs="宋体"/>
                <w:szCs w:val="21"/>
              </w:rPr>
              <w:t>，报价超过上述控制金额的投标文件作废标处理。</w:t>
            </w:r>
          </w:p>
        </w:tc>
      </w:tr>
    </w:tbl>
    <w:p>
      <w:pPr>
        <w:numPr>
          <w:ilvl w:val="0"/>
          <w:numId w:val="19"/>
        </w:numPr>
        <w:spacing w:beforeLines="300" w:line="360" w:lineRule="auto"/>
        <w:jc w:val="left"/>
        <w:outlineLvl w:val="2"/>
        <w:rPr>
          <w:rStyle w:val="37"/>
          <w:rFonts w:ascii="宋体" w:hAnsi="宋体"/>
          <w:b/>
          <w:bCs/>
          <w:szCs w:val="21"/>
        </w:rPr>
      </w:pPr>
      <w:bookmarkStart w:id="49" w:name="_Toc22836"/>
      <w:r>
        <w:rPr>
          <w:rStyle w:val="37"/>
          <w:rFonts w:hint="eastAsia" w:ascii="宋体" w:hAnsi="宋体"/>
          <w:b/>
          <w:bCs/>
          <w:szCs w:val="21"/>
        </w:rPr>
        <w:t>综合评议指标表</w:t>
      </w:r>
      <w:bookmarkEnd w:id="49"/>
    </w:p>
    <w:tbl>
      <w:tblPr>
        <w:tblStyle w:val="23"/>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60"/>
        <w:gridCol w:w="666"/>
        <w:gridCol w:w="1321"/>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blCellSpacing w:w="0" w:type="dxa"/>
          <w:jc w:val="center"/>
        </w:trPr>
        <w:tc>
          <w:tcPr>
            <w:tcW w:w="560"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666"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321"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blCellSpacing w:w="0" w:type="dxa"/>
          <w:jc w:val="center"/>
        </w:trPr>
        <w:tc>
          <w:tcPr>
            <w:tcW w:w="9351" w:type="dxa"/>
            <w:gridSpan w:val="4"/>
            <w:shd w:val="clear" w:color="auto" w:fill="auto"/>
          </w:tcPr>
          <w:p>
            <w:pPr>
              <w:spacing w:line="360" w:lineRule="auto"/>
              <w:jc w:val="center"/>
              <w:rPr>
                <w:rFonts w:ascii="宋体" w:hAnsi="宋体"/>
                <w:b/>
                <w:szCs w:val="21"/>
              </w:rPr>
            </w:pPr>
            <w:r>
              <w:rPr>
                <w:rFonts w:hint="eastAsia" w:ascii="宋体" w:hAnsi="宋体"/>
                <w:b/>
                <w:szCs w:val="21"/>
              </w:rPr>
              <w:t>商务评议项（20分）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374" w:hRule="atLeast"/>
          <w:tblCellSpacing w:w="0" w:type="dxa"/>
          <w:jc w:val="center"/>
        </w:trPr>
        <w:tc>
          <w:tcPr>
            <w:tcW w:w="560" w:type="dxa"/>
            <w:vAlign w:val="center"/>
          </w:tcPr>
          <w:p>
            <w:pPr>
              <w:pStyle w:val="30"/>
              <w:numPr>
                <w:ilvl w:val="0"/>
                <w:numId w:val="20"/>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cs="宋体"/>
                <w:szCs w:val="21"/>
              </w:rPr>
              <w:t>业绩</w:t>
            </w:r>
          </w:p>
        </w:tc>
        <w:tc>
          <w:tcPr>
            <w:tcW w:w="1321"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cs="宋体"/>
                <w:szCs w:val="21"/>
              </w:rPr>
              <w:t>12</w:t>
            </w:r>
          </w:p>
        </w:tc>
        <w:tc>
          <w:tcPr>
            <w:tcW w:w="6804" w:type="dxa"/>
            <w:tcMar>
              <w:top w:w="15" w:type="dxa"/>
              <w:left w:w="15" w:type="dxa"/>
              <w:bottom w:w="15" w:type="dxa"/>
              <w:right w:w="15" w:type="dxa"/>
            </w:tcMar>
            <w:vAlign w:val="center"/>
          </w:tcPr>
          <w:p>
            <w:pPr>
              <w:numPr>
                <w:ilvl w:val="255"/>
                <w:numId w:val="0"/>
              </w:numPr>
              <w:rPr>
                <w:rFonts w:ascii="宋体" w:hAnsi="宋体" w:cs="宋体"/>
                <w:szCs w:val="21"/>
              </w:rPr>
            </w:pPr>
            <w:r>
              <w:rPr>
                <w:rFonts w:hint="eastAsia" w:ascii="宋体" w:hAnsi="宋体" w:cs="宋体"/>
                <w:kern w:val="0"/>
                <w:szCs w:val="21"/>
              </w:rPr>
              <w:t>投标人提交的</w:t>
            </w:r>
            <w:r>
              <w:rPr>
                <w:rFonts w:hint="eastAsia" w:ascii="宋体" w:hAnsi="宋体" w:cs="宋体"/>
                <w:szCs w:val="21"/>
              </w:rPr>
              <w:t>2020年4月1日至本项目采购公告发布之日期间（以合同签订日期为准）所承接的专业展览、会议、场馆承接</w:t>
            </w:r>
            <w:r>
              <w:rPr>
                <w:rFonts w:hint="eastAsia" w:ascii="宋体" w:hAnsi="宋体" w:cs="宋体"/>
                <w:kern w:val="0"/>
                <w:szCs w:val="21"/>
              </w:rPr>
              <w:t>展会、会议宣传项目业绩合同数量进行比较排名，排名越前，得分越高：</w:t>
            </w:r>
            <w:r>
              <w:rPr>
                <w:rFonts w:hint="eastAsia" w:ascii="宋体" w:hAnsi="宋体" w:cs="宋体"/>
                <w:szCs w:val="21"/>
              </w:rPr>
              <w:t>第一名得</w:t>
            </w:r>
            <w:r>
              <w:rPr>
                <w:rFonts w:ascii="宋体" w:hAnsi="宋体" w:cs="宋体"/>
                <w:szCs w:val="21"/>
              </w:rPr>
              <w:t>12</w:t>
            </w:r>
            <w:r>
              <w:rPr>
                <w:rFonts w:hint="eastAsia" w:ascii="宋体" w:hAnsi="宋体" w:cs="宋体"/>
                <w:szCs w:val="21"/>
              </w:rPr>
              <w:t>分，第二名得</w:t>
            </w:r>
            <w:r>
              <w:rPr>
                <w:rFonts w:ascii="宋体" w:hAnsi="宋体" w:cs="宋体"/>
                <w:szCs w:val="21"/>
              </w:rPr>
              <w:t>8</w:t>
            </w:r>
            <w:r>
              <w:rPr>
                <w:rFonts w:hint="eastAsia" w:ascii="宋体" w:hAnsi="宋体" w:cs="宋体"/>
                <w:szCs w:val="21"/>
              </w:rPr>
              <w:t>分，第三名得</w:t>
            </w:r>
            <w:r>
              <w:rPr>
                <w:rFonts w:ascii="宋体" w:hAnsi="宋体" w:cs="宋体"/>
                <w:szCs w:val="21"/>
              </w:rPr>
              <w:t>4</w:t>
            </w:r>
            <w:r>
              <w:rPr>
                <w:rFonts w:hint="eastAsia" w:ascii="宋体" w:hAnsi="宋体" w:cs="宋体"/>
                <w:szCs w:val="21"/>
              </w:rPr>
              <w:t>分，其他名次得1分。</w:t>
            </w:r>
          </w:p>
          <w:p>
            <w:pPr>
              <w:rPr>
                <w:rFonts w:ascii="宋体" w:hAnsi="宋体" w:cs="宋体"/>
                <w:szCs w:val="21"/>
              </w:rPr>
            </w:pPr>
            <w:r>
              <w:rPr>
                <w:rFonts w:hint="eastAsia" w:ascii="宋体" w:hAnsi="宋体" w:cs="宋体"/>
                <w:szCs w:val="21"/>
              </w:rPr>
              <w:t>说明：投标人须提供能体现上述评议所需信息（如合同双方名称、合同标的、签订时间）的相应合同的关键页并加盖投标人公章；未提供或提供的相关证明文件不清晰、不完整的，不得分。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560" w:type="dxa"/>
            <w:vAlign w:val="center"/>
          </w:tcPr>
          <w:p>
            <w:pPr>
              <w:pStyle w:val="30"/>
              <w:numPr>
                <w:ilvl w:val="0"/>
                <w:numId w:val="20"/>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综合实力</w:t>
            </w:r>
          </w:p>
        </w:tc>
        <w:tc>
          <w:tcPr>
            <w:tcW w:w="1321" w:type="dxa"/>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8</w:t>
            </w:r>
          </w:p>
        </w:tc>
        <w:tc>
          <w:tcPr>
            <w:tcW w:w="6804" w:type="dxa"/>
            <w:tcMar>
              <w:top w:w="15" w:type="dxa"/>
              <w:left w:w="15" w:type="dxa"/>
              <w:bottom w:w="15" w:type="dxa"/>
              <w:right w:w="15" w:type="dxa"/>
            </w:tcMar>
            <w:vAlign w:val="center"/>
          </w:tcPr>
          <w:p>
            <w:pPr>
              <w:pStyle w:val="12"/>
              <w:rPr>
                <w:rFonts w:ascii="宋体" w:hAnsi="宋体" w:cs="宋体"/>
                <w:kern w:val="0"/>
                <w:szCs w:val="21"/>
              </w:rPr>
            </w:pPr>
            <w:r>
              <w:rPr>
                <w:rFonts w:hint="eastAsia" w:ascii="宋体" w:hAnsi="宋体" w:cs="宋体"/>
                <w:kern w:val="0"/>
                <w:szCs w:val="21"/>
              </w:rPr>
              <w:t>根据投标人的注册资金、人员规模等进行综合比较：优秀得8分，良好得5分，一般得3分。</w:t>
            </w:r>
          </w:p>
          <w:p>
            <w:pPr>
              <w:pStyle w:val="2"/>
              <w:keepNext/>
              <w:keepLines/>
              <w:spacing w:before="260" w:after="260"/>
              <w:rPr>
                <w:rFonts w:ascii="宋体" w:eastAsia="宋体" w:cs="宋体"/>
                <w:kern w:val="0"/>
                <w:szCs w:val="21"/>
              </w:rPr>
            </w:pPr>
            <w:r>
              <w:rPr>
                <w:rFonts w:hint="eastAsia" w:ascii="宋体" w:eastAsia="宋体" w:cs="宋体"/>
                <w:kern w:val="0"/>
                <w:szCs w:val="21"/>
              </w:rPr>
              <w:t>备注：以各投标人所提供企业简介、国家信用信息公示系统等能体现投标人公司的规模等情况进行综合排名作为评审依据的资料（以上证明资料均需加盖投标人公章）。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9351" w:type="dxa"/>
            <w:gridSpan w:val="4"/>
          </w:tcPr>
          <w:p>
            <w:pPr>
              <w:spacing w:line="360" w:lineRule="auto"/>
              <w:jc w:val="center"/>
              <w:rPr>
                <w:rFonts w:ascii="宋体" w:hAnsi="宋体"/>
                <w:b/>
                <w:szCs w:val="21"/>
              </w:rPr>
            </w:pPr>
            <w:r>
              <w:rPr>
                <w:rFonts w:hint="eastAsia" w:ascii="宋体" w:hAnsi="宋体"/>
                <w:b/>
                <w:szCs w:val="21"/>
              </w:rPr>
              <w:t>技术服务评议项（50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560" w:type="dxa"/>
            <w:vAlign w:val="center"/>
          </w:tcPr>
          <w:p>
            <w:pPr>
              <w:pStyle w:val="30"/>
              <w:numPr>
                <w:ilvl w:val="0"/>
                <w:numId w:val="21"/>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pPr>
            <w:r>
              <w:rPr>
                <w:rFonts w:hint="eastAsia" w:ascii="宋体" w:hAnsi="宋体" w:cs="宋体"/>
                <w:kern w:val="0"/>
                <w:szCs w:val="21"/>
              </w:rPr>
              <w:t>投放媒体质量及排期合理性</w:t>
            </w:r>
          </w:p>
        </w:tc>
        <w:tc>
          <w:tcPr>
            <w:tcW w:w="1321" w:type="dxa"/>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25</w:t>
            </w:r>
          </w:p>
        </w:tc>
        <w:tc>
          <w:tcPr>
            <w:tcW w:w="6804" w:type="dxa"/>
            <w:tcMar>
              <w:top w:w="15" w:type="dxa"/>
              <w:left w:w="15" w:type="dxa"/>
              <w:bottom w:w="15" w:type="dxa"/>
              <w:right w:w="15" w:type="dxa"/>
            </w:tcMar>
            <w:vAlign w:val="center"/>
          </w:tcPr>
          <w:p>
            <w:pPr>
              <w:pStyle w:val="2"/>
              <w:rPr>
                <w:rFonts w:ascii="宋体" w:eastAsia="宋体" w:cs="宋体"/>
                <w:kern w:val="0"/>
                <w:szCs w:val="21"/>
              </w:rPr>
            </w:pPr>
            <w:r>
              <w:rPr>
                <w:rFonts w:hint="eastAsia" w:ascii="宋体" w:eastAsia="宋体" w:cs="宋体"/>
                <w:kern w:val="0"/>
                <w:szCs w:val="21"/>
              </w:rPr>
              <w:t>以下（1）+（2）+（2）合计为本项得分：</w:t>
            </w:r>
          </w:p>
          <w:p>
            <w:pPr>
              <w:pStyle w:val="2"/>
              <w:numPr>
                <w:ilvl w:val="0"/>
                <w:numId w:val="22"/>
              </w:numPr>
              <w:rPr>
                <w:rFonts w:ascii="宋体" w:eastAsia="宋体" w:cs="宋体"/>
                <w:szCs w:val="21"/>
              </w:rPr>
            </w:pPr>
            <w:r>
              <w:rPr>
                <w:rFonts w:hint="eastAsia" w:ascii="宋体" w:eastAsia="宋体" w:cs="宋体"/>
                <w:kern w:val="0"/>
                <w:szCs w:val="21"/>
              </w:rPr>
              <w:t>根据投标人所提交的本项目宣传方案投放媒体的品牌知名度进行综合比较。</w:t>
            </w:r>
            <w:r>
              <w:rPr>
                <w:rFonts w:hint="eastAsia" w:ascii="宋体" w:eastAsia="宋体" w:cs="宋体"/>
                <w:szCs w:val="21"/>
              </w:rPr>
              <w:t>优秀得</w:t>
            </w:r>
            <w:r>
              <w:rPr>
                <w:rFonts w:hint="eastAsia" w:ascii="宋体" w:cs="宋体"/>
                <w:szCs w:val="21"/>
              </w:rPr>
              <w:t>10</w:t>
            </w:r>
            <w:r>
              <w:rPr>
                <w:rFonts w:hint="eastAsia" w:ascii="宋体" w:eastAsia="宋体" w:cs="宋体"/>
                <w:szCs w:val="21"/>
              </w:rPr>
              <w:t>分，良好得</w:t>
            </w:r>
            <w:r>
              <w:rPr>
                <w:rFonts w:hint="eastAsia" w:ascii="宋体" w:cs="宋体"/>
                <w:szCs w:val="21"/>
              </w:rPr>
              <w:t>7</w:t>
            </w:r>
            <w:r>
              <w:rPr>
                <w:rFonts w:hint="eastAsia" w:ascii="宋体" w:eastAsia="宋体" w:cs="宋体"/>
                <w:szCs w:val="21"/>
              </w:rPr>
              <w:t>分，一般得4分。</w:t>
            </w:r>
          </w:p>
          <w:p>
            <w:pPr>
              <w:pStyle w:val="2"/>
              <w:numPr>
                <w:ilvl w:val="0"/>
                <w:numId w:val="22"/>
              </w:numPr>
              <w:rPr>
                <w:rFonts w:ascii="宋体" w:eastAsia="宋体" w:cs="宋体"/>
                <w:szCs w:val="21"/>
              </w:rPr>
            </w:pPr>
            <w:r>
              <w:rPr>
                <w:rFonts w:hint="eastAsia" w:ascii="宋体" w:eastAsia="宋体" w:cs="宋体"/>
                <w:kern w:val="0"/>
                <w:szCs w:val="21"/>
              </w:rPr>
              <w:t>根据投标人所提交的本项目宣传方案投放媒体的数量等方面进行综合比较。第一名得</w:t>
            </w:r>
            <w:r>
              <w:rPr>
                <w:rFonts w:hint="eastAsia" w:ascii="宋体" w:eastAsia="宋体" w:cs="宋体"/>
                <w:szCs w:val="21"/>
              </w:rPr>
              <w:t>10分，第二名得7分，第三名得4分，其他得1分。</w:t>
            </w:r>
          </w:p>
          <w:p>
            <w:pPr>
              <w:pStyle w:val="2"/>
              <w:rPr>
                <w:rFonts w:ascii="宋体" w:cs="宋体"/>
                <w:szCs w:val="21"/>
              </w:rPr>
            </w:pPr>
            <w:r>
              <w:rPr>
                <w:rFonts w:hint="eastAsia" w:ascii="宋体" w:eastAsia="宋体" w:cs="宋体"/>
                <w:kern w:val="0"/>
                <w:szCs w:val="21"/>
              </w:rPr>
              <w:t>（3）根据投标人所提交的本项目宣传方案进行综合比较。投放排期合理性越好、对本项目的阐述的越透彻得分越高排名越前。</w:t>
            </w:r>
            <w:r>
              <w:rPr>
                <w:rFonts w:hint="eastAsia" w:ascii="宋体" w:eastAsia="宋体" w:cs="宋体"/>
                <w:szCs w:val="21"/>
              </w:rPr>
              <w:t>优秀得5分，良好得3分，一般得1分。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560" w:type="dxa"/>
            <w:vAlign w:val="center"/>
          </w:tcPr>
          <w:p>
            <w:pPr>
              <w:pStyle w:val="30"/>
              <w:numPr>
                <w:ilvl w:val="0"/>
                <w:numId w:val="21"/>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Fonts w:ascii="宋体" w:hAnsi="宋体" w:cs="宋体"/>
                <w:kern w:val="0"/>
                <w:szCs w:val="21"/>
              </w:rPr>
            </w:pPr>
            <w:r>
              <w:rPr>
                <w:rFonts w:hint="eastAsia" w:ascii="宋体" w:hAnsi="宋体" w:cs="宋体"/>
                <w:szCs w:val="21"/>
              </w:rPr>
              <w:t>拟投入本项目人员</w:t>
            </w:r>
          </w:p>
        </w:tc>
        <w:tc>
          <w:tcPr>
            <w:tcW w:w="1321" w:type="dxa"/>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10</w:t>
            </w:r>
          </w:p>
        </w:tc>
        <w:tc>
          <w:tcPr>
            <w:tcW w:w="6804" w:type="dxa"/>
            <w:tcMar>
              <w:top w:w="15" w:type="dxa"/>
              <w:left w:w="15" w:type="dxa"/>
              <w:bottom w:w="15" w:type="dxa"/>
              <w:right w:w="15" w:type="dxa"/>
            </w:tcMar>
            <w:vAlign w:val="center"/>
          </w:tcPr>
          <w:p>
            <w:pPr>
              <w:pStyle w:val="30"/>
              <w:numPr>
                <w:ilvl w:val="255"/>
                <w:numId w:val="0"/>
              </w:numPr>
              <w:rPr>
                <w:rFonts w:ascii="宋体" w:hAnsi="宋体" w:eastAsia="宋体" w:cs="宋体"/>
                <w:kern w:val="0"/>
                <w:szCs w:val="21"/>
              </w:rPr>
            </w:pPr>
            <w:r>
              <w:rPr>
                <w:rFonts w:hint="eastAsia" w:ascii="宋体" w:hAnsi="宋体" w:eastAsia="宋体" w:cs="宋体"/>
                <w:kern w:val="0"/>
                <w:szCs w:val="21"/>
              </w:rPr>
              <w:t>根据投标人为本项目指定的项目负责人的职称、工作经验以及项目负责人管理过的典型项目案例、获奖情况等进行综合比较：优秀得10分，良好得7分，一般得4分。</w:t>
            </w:r>
          </w:p>
          <w:p>
            <w:pPr>
              <w:pStyle w:val="2"/>
              <w:rPr>
                <w:rFonts w:ascii="宋体" w:eastAsia="宋体" w:cs="宋体"/>
                <w:kern w:val="0"/>
                <w:szCs w:val="21"/>
              </w:rPr>
            </w:pPr>
            <w:r>
              <w:rPr>
                <w:rFonts w:hint="eastAsia" w:ascii="宋体" w:eastAsia="宋体" w:cs="宋体"/>
                <w:kern w:val="0"/>
                <w:szCs w:val="21"/>
              </w:rPr>
              <w:t>说明：投标人需提供所指定的本项目负责人的相关资格资历证明文件（包含但不仅限于姓名、职务、工作经验、资质资格证书持有情况等）</w:t>
            </w:r>
            <w:r>
              <w:rPr>
                <w:rStyle w:val="28"/>
                <w:rFonts w:hint="eastAsia"/>
              </w:rPr>
              <w:t>，</w:t>
            </w:r>
            <w:r>
              <w:rPr>
                <w:rFonts w:hint="eastAsia" w:ascii="宋体" w:eastAsia="宋体" w:cs="宋体"/>
                <w:kern w:val="0"/>
                <w:szCs w:val="21"/>
              </w:rPr>
              <w:t>未提供有效证明文件或证明文件不清晰无法辨识评审内容的不得分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560" w:type="dxa"/>
            <w:vAlign w:val="center"/>
          </w:tcPr>
          <w:p>
            <w:pPr>
              <w:pStyle w:val="30"/>
              <w:numPr>
                <w:ilvl w:val="0"/>
                <w:numId w:val="21"/>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Style w:val="28"/>
              </w:rPr>
            </w:pPr>
            <w:r>
              <w:rPr>
                <w:rStyle w:val="28"/>
                <w:rFonts w:hint="eastAsia"/>
              </w:rPr>
              <w:t>增值服务及服务承诺</w:t>
            </w:r>
          </w:p>
        </w:tc>
        <w:tc>
          <w:tcPr>
            <w:tcW w:w="1321" w:type="dxa"/>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15</w:t>
            </w:r>
          </w:p>
        </w:tc>
        <w:tc>
          <w:tcPr>
            <w:tcW w:w="6804" w:type="dxa"/>
            <w:tcMar>
              <w:top w:w="15" w:type="dxa"/>
              <w:left w:w="15" w:type="dxa"/>
              <w:bottom w:w="15" w:type="dxa"/>
              <w:right w:w="15" w:type="dxa"/>
            </w:tcMar>
            <w:vAlign w:val="center"/>
          </w:tcPr>
          <w:p>
            <w:pPr>
              <w:pStyle w:val="2"/>
              <w:rPr>
                <w:rFonts w:ascii="宋体" w:eastAsia="宋体" w:cs="宋体"/>
                <w:kern w:val="0"/>
                <w:szCs w:val="21"/>
              </w:rPr>
            </w:pPr>
            <w:r>
              <w:rPr>
                <w:rFonts w:hint="eastAsia" w:ascii="宋体" w:eastAsia="宋体" w:cs="宋体"/>
                <w:kern w:val="0"/>
                <w:szCs w:val="21"/>
              </w:rPr>
              <w:t>以下（1）+（2）合计为本项得分：</w:t>
            </w:r>
          </w:p>
          <w:p>
            <w:pPr>
              <w:numPr>
                <w:ilvl w:val="0"/>
                <w:numId w:val="23"/>
              </w:numPr>
            </w:pPr>
            <w:r>
              <w:rPr>
                <w:rFonts w:hint="eastAsia"/>
              </w:rPr>
              <w:t>根据投标人</w:t>
            </w:r>
            <w:r>
              <w:t>所承诺</w:t>
            </w:r>
            <w:r>
              <w:rPr>
                <w:rFonts w:hint="eastAsia"/>
              </w:rPr>
              <w:t>的增值服务内容、质量、宣传效果进行综合比较。</w:t>
            </w:r>
            <w:r>
              <w:rPr>
                <w:rFonts w:hint="eastAsia" w:ascii="宋体" w:hAnsi="宋体" w:cs="宋体"/>
                <w:szCs w:val="21"/>
              </w:rPr>
              <w:t>优秀得</w:t>
            </w:r>
            <w:r>
              <w:rPr>
                <w:rFonts w:hint="eastAsia" w:ascii="宋体" w:cs="宋体"/>
                <w:szCs w:val="21"/>
              </w:rPr>
              <w:t>10</w:t>
            </w:r>
            <w:r>
              <w:rPr>
                <w:rFonts w:hint="eastAsia" w:ascii="宋体" w:hAnsi="宋体" w:cs="宋体"/>
                <w:szCs w:val="21"/>
              </w:rPr>
              <w:t>分，良好得</w:t>
            </w:r>
            <w:r>
              <w:rPr>
                <w:rFonts w:hint="eastAsia" w:ascii="宋体" w:cs="宋体"/>
                <w:szCs w:val="21"/>
              </w:rPr>
              <w:t>7</w:t>
            </w:r>
            <w:r>
              <w:rPr>
                <w:rFonts w:hint="eastAsia" w:ascii="宋体" w:hAnsi="宋体" w:cs="宋体"/>
                <w:szCs w:val="21"/>
              </w:rPr>
              <w:t>分，一般得</w:t>
            </w:r>
            <w:r>
              <w:rPr>
                <w:rFonts w:hint="eastAsia" w:ascii="宋体" w:cs="宋体"/>
                <w:szCs w:val="21"/>
              </w:rPr>
              <w:t>4</w:t>
            </w:r>
            <w:r>
              <w:rPr>
                <w:rFonts w:hint="eastAsia" w:ascii="宋体" w:hAnsi="宋体" w:cs="宋体"/>
                <w:szCs w:val="21"/>
              </w:rPr>
              <w:t>分。</w:t>
            </w:r>
          </w:p>
          <w:p>
            <w:r>
              <w:rPr>
                <w:rFonts w:hint="eastAsia"/>
              </w:rPr>
              <w:t>（2）根据投标人对采购人承诺的服务（响应速度越快、承诺内容越全面等）进行综合比较。优秀得5分，良好得3分，一般得2分。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4"/>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480" w:hRule="atLeast"/>
          <w:tblCellSpacing w:w="0" w:type="dxa"/>
          <w:jc w:val="center"/>
        </w:trPr>
        <w:tc>
          <w:tcPr>
            <w:tcW w:w="560" w:type="dxa"/>
            <w:vMerge w:val="restart"/>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价格评议</w:t>
            </w:r>
          </w:p>
        </w:tc>
        <w:tc>
          <w:tcPr>
            <w:tcW w:w="8791" w:type="dxa"/>
            <w:gridSpan w:val="3"/>
            <w:vAlign w:val="center"/>
          </w:tcPr>
          <w:p>
            <w:pPr>
              <w:snapToGrid w:val="0"/>
              <w:spacing w:line="360" w:lineRule="auto"/>
              <w:jc w:val="center"/>
              <w:rPr>
                <w:rFonts w:ascii="宋体" w:hAnsi="宋体" w:cs="宋体"/>
                <w:kern w:val="0"/>
                <w:szCs w:val="21"/>
              </w:rPr>
            </w:pPr>
            <w:r>
              <w:rPr>
                <w:rFonts w:hint="eastAsia" w:ascii="宋体" w:hAnsi="宋体"/>
                <w:b/>
                <w:szCs w:val="21"/>
              </w:rPr>
              <w:t>基准价</w:t>
            </w:r>
            <w:r>
              <w:rPr>
                <w:rFonts w:ascii="宋体" w:hAnsi="宋体"/>
                <w:b/>
                <w:szCs w:val="21"/>
              </w:rPr>
              <w:t>和算法类型选择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2" w:hRule="atLeast"/>
          <w:tblCellSpacing w:w="0" w:type="dxa"/>
          <w:jc w:val="center"/>
        </w:trPr>
        <w:tc>
          <w:tcPr>
            <w:tcW w:w="560" w:type="dxa"/>
            <w:vMerge w:val="continue"/>
            <w:vAlign w:val="center"/>
          </w:tcPr>
          <w:p>
            <w:pPr>
              <w:pStyle w:val="30"/>
              <w:tabs>
                <w:tab w:val="left" w:pos="539"/>
              </w:tabs>
              <w:snapToGrid w:val="0"/>
              <w:ind w:firstLine="0" w:firstLineChars="0"/>
              <w:jc w:val="left"/>
            </w:pPr>
          </w:p>
        </w:tc>
        <w:tc>
          <w:tcPr>
            <w:tcW w:w="666" w:type="dxa"/>
            <w:vMerge w:val="restart"/>
            <w:vAlign w:val="center"/>
          </w:tcPr>
          <w:p>
            <w:pPr>
              <w:spacing w:line="360" w:lineRule="auto"/>
              <w:jc w:val="center"/>
            </w:pPr>
            <w:r>
              <w:rPr>
                <w:rFonts w:hint="eastAsia" w:ascii="宋体" w:hAnsi="宋体"/>
                <w:bCs/>
                <w:szCs w:val="21"/>
              </w:rPr>
              <w:t>基准价</w:t>
            </w:r>
          </w:p>
        </w:tc>
        <w:tc>
          <w:tcPr>
            <w:tcW w:w="8125" w:type="dxa"/>
            <w:gridSpan w:val="2"/>
            <w:tcMar>
              <w:top w:w="15" w:type="dxa"/>
              <w:left w:w="15" w:type="dxa"/>
              <w:bottom w:w="15" w:type="dxa"/>
              <w:right w:w="15" w:type="dxa"/>
            </w:tcMar>
            <w:vAlign w:val="center"/>
          </w:tcPr>
          <w:p>
            <w:pPr>
              <w:pStyle w:val="30"/>
              <w:tabs>
                <w:tab w:val="left" w:pos="539"/>
              </w:tabs>
              <w:snapToGrid w:val="0"/>
              <w:ind w:firstLine="0" w:firstLineChars="0"/>
              <w:jc w:val="left"/>
              <w:rPr>
                <w:rFonts w:ascii="宋体" w:hAnsi="宋体"/>
                <w:szCs w:val="21"/>
              </w:rPr>
            </w:pPr>
            <w:r>
              <w:rPr>
                <w:rFonts w:hint="eastAsia" w:ascii="宋体" w:hAnsi="宋体" w:eastAsia="宋体"/>
                <w:szCs w:val="21"/>
              </w:rPr>
              <w:t>□各有效</w:t>
            </w:r>
            <w:r>
              <w:rPr>
                <w:rFonts w:ascii="宋体" w:hAnsi="宋体" w:eastAsia="宋体"/>
                <w:szCs w:val="21"/>
              </w:rPr>
              <w:t>投</w:t>
            </w:r>
            <w:r>
              <w:rPr>
                <w:rFonts w:hint="eastAsia" w:ascii="宋体" w:hAnsi="宋体" w:eastAsia="宋体"/>
                <w:szCs w:val="21"/>
              </w:rPr>
              <w:t>标报价大于n家时，去掉一个最高和最低报价后的算术平均值乘以</w:t>
            </w:r>
            <w:r>
              <w:rPr>
                <w:rFonts w:ascii="宋体" w:hAnsi="宋体" w:eastAsia="宋体"/>
                <w:szCs w:val="21"/>
                <w:u w:val="single"/>
              </w:rPr>
              <w:t xml:space="preserve">    </w:t>
            </w:r>
            <w:r>
              <w:rPr>
                <w:rFonts w:hint="eastAsia" w:ascii="宋体" w:hAnsi="宋体" w:eastAsia="宋体"/>
                <w:szCs w:val="21"/>
              </w:rPr>
              <w:t>％。当有效投标报价少于n（含）家时，则以所有有效投标报价的算术平均值乘以</w:t>
            </w:r>
            <w:r>
              <w:rPr>
                <w:rFonts w:ascii="宋体" w:hAnsi="宋体" w:eastAsia="宋体"/>
                <w:szCs w:val="21"/>
                <w:u w:val="single"/>
              </w:rPr>
              <w:t xml:space="preserve">    </w:t>
            </w:r>
            <w:r>
              <w:rPr>
                <w:rFonts w:hint="eastAsia" w:ascii="宋体" w:hAnsi="宋体" w:eastAsia="宋体"/>
                <w:szCs w:val="21"/>
              </w:rPr>
              <w:t>％。n=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blCellSpacing w:w="0" w:type="dxa"/>
          <w:jc w:val="center"/>
        </w:trPr>
        <w:tc>
          <w:tcPr>
            <w:tcW w:w="560" w:type="dxa"/>
            <w:vMerge w:val="continue"/>
            <w:vAlign w:val="center"/>
          </w:tcPr>
          <w:p>
            <w:pPr>
              <w:pStyle w:val="30"/>
              <w:tabs>
                <w:tab w:val="left" w:pos="539"/>
              </w:tabs>
              <w:snapToGrid w:val="0"/>
              <w:ind w:firstLine="0" w:firstLineChars="0"/>
              <w:jc w:val="left"/>
              <w:rPr>
                <w:rFonts w:ascii="宋体" w:hAnsi="宋体"/>
                <w:szCs w:val="21"/>
              </w:rPr>
            </w:pPr>
          </w:p>
        </w:tc>
        <w:tc>
          <w:tcPr>
            <w:tcW w:w="666" w:type="dxa"/>
            <w:vMerge w:val="continue"/>
            <w:vAlign w:val="center"/>
          </w:tcPr>
          <w:p>
            <w:pPr>
              <w:spacing w:line="360" w:lineRule="auto"/>
              <w:jc w:val="center"/>
              <w:rPr>
                <w:rFonts w:ascii="宋体" w:hAnsi="宋体"/>
                <w:szCs w:val="21"/>
              </w:rPr>
            </w:pPr>
          </w:p>
        </w:tc>
        <w:tc>
          <w:tcPr>
            <w:tcW w:w="8125" w:type="dxa"/>
            <w:gridSpan w:val="2"/>
            <w:tcMar>
              <w:top w:w="15" w:type="dxa"/>
              <w:left w:w="15" w:type="dxa"/>
              <w:bottom w:w="15" w:type="dxa"/>
              <w:right w:w="15" w:type="dxa"/>
            </w:tcMar>
            <w:vAlign w:val="center"/>
          </w:tcPr>
          <w:p>
            <w:pPr>
              <w:tabs>
                <w:tab w:val="left" w:pos="539"/>
              </w:tabs>
              <w:snapToGrid w:val="0"/>
              <w:jc w:val="left"/>
              <w:rPr>
                <w:rFonts w:ascii="宋体" w:hAnsi="宋体"/>
                <w:szCs w:val="21"/>
              </w:rPr>
            </w:pPr>
            <w:r>
              <w:rPr>
                <w:rFonts w:hint="eastAsia" w:ascii="宋体" w:hAnsi="宋体" w:cs="Segoe UI Symbol"/>
                <w:kern w:val="0"/>
                <w:szCs w:val="21"/>
              </w:rPr>
              <w:sym w:font="Wingdings 2" w:char="0052"/>
            </w:r>
            <w:r>
              <w:rPr>
                <w:rFonts w:hint="eastAsia" w:ascii="宋体" w:hAnsi="宋体"/>
                <w:szCs w:val="21"/>
              </w:rPr>
              <w:t>取有效投标报价算术平均值。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blCellSpacing w:w="0" w:type="dxa"/>
          <w:jc w:val="center"/>
        </w:trPr>
        <w:tc>
          <w:tcPr>
            <w:tcW w:w="560" w:type="dxa"/>
            <w:vMerge w:val="continue"/>
            <w:vAlign w:val="center"/>
          </w:tcPr>
          <w:p>
            <w:pPr>
              <w:pStyle w:val="30"/>
              <w:tabs>
                <w:tab w:val="left" w:pos="539"/>
              </w:tabs>
              <w:snapToGrid w:val="0"/>
              <w:ind w:firstLine="0" w:firstLineChars="0"/>
              <w:jc w:val="left"/>
              <w:rPr>
                <w:rFonts w:ascii="宋体" w:hAnsi="宋体"/>
                <w:szCs w:val="21"/>
              </w:rPr>
            </w:pPr>
          </w:p>
        </w:tc>
        <w:tc>
          <w:tcPr>
            <w:tcW w:w="666" w:type="dxa"/>
            <w:vMerge w:val="continue"/>
            <w:vAlign w:val="center"/>
          </w:tcPr>
          <w:p>
            <w:pPr>
              <w:spacing w:line="360" w:lineRule="auto"/>
              <w:jc w:val="center"/>
              <w:rPr>
                <w:rFonts w:ascii="宋体" w:hAnsi="宋体"/>
                <w:szCs w:val="21"/>
              </w:rPr>
            </w:pPr>
          </w:p>
        </w:tc>
        <w:tc>
          <w:tcPr>
            <w:tcW w:w="8125" w:type="dxa"/>
            <w:gridSpan w:val="2"/>
            <w:tcMar>
              <w:top w:w="15" w:type="dxa"/>
              <w:left w:w="15" w:type="dxa"/>
              <w:bottom w:w="15" w:type="dxa"/>
              <w:right w:w="15" w:type="dxa"/>
            </w:tcMar>
            <w:vAlign w:val="center"/>
          </w:tcPr>
          <w:p>
            <w:pPr>
              <w:tabs>
                <w:tab w:val="left" w:pos="539"/>
              </w:tabs>
              <w:snapToGrid w:val="0"/>
              <w:jc w:val="left"/>
              <w:rPr>
                <w:rFonts w:ascii="宋体" w:hAnsi="宋体"/>
                <w:szCs w:val="21"/>
              </w:rPr>
            </w:pPr>
            <w:r>
              <w:rPr>
                <w:rFonts w:hint="eastAsia" w:ascii="宋体" w:hAnsi="宋体"/>
                <w:szCs w:val="21"/>
              </w:rPr>
              <w:t>□有效投标报价的最低价为基价。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4" w:hRule="atLeast"/>
          <w:tblCellSpacing w:w="0" w:type="dxa"/>
          <w:jc w:val="center"/>
        </w:trPr>
        <w:tc>
          <w:tcPr>
            <w:tcW w:w="560" w:type="dxa"/>
            <w:vMerge w:val="continue"/>
            <w:vAlign w:val="center"/>
          </w:tcPr>
          <w:p>
            <w:pPr>
              <w:spacing w:line="360" w:lineRule="auto"/>
              <w:jc w:val="center"/>
              <w:rPr>
                <w:rFonts w:ascii="宋体" w:hAnsi="宋体"/>
                <w:szCs w:val="21"/>
              </w:rPr>
            </w:pPr>
          </w:p>
        </w:tc>
        <w:tc>
          <w:tcPr>
            <w:tcW w:w="666" w:type="dxa"/>
            <w:vMerge w:val="restart"/>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321" w:type="dxa"/>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804" w:type="dxa"/>
            <w:tcMar>
              <w:top w:w="15" w:type="dxa"/>
              <w:left w:w="15" w:type="dxa"/>
              <w:bottom w:w="15" w:type="dxa"/>
              <w:right w:w="15" w:type="dxa"/>
            </w:tcMar>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tabs>
                <w:tab w:val="left" w:pos="539"/>
              </w:tabs>
              <w:snapToGrid w:val="0"/>
              <w:jc w:val="left"/>
              <w:rPr>
                <w:rFonts w:ascii="宋体" w:hAnsi="宋体" w:cs="宋体"/>
                <w:kern w:val="0"/>
                <w:szCs w:val="21"/>
              </w:rPr>
            </w:pPr>
            <w:r>
              <w:rPr>
                <w:rFonts w:hint="eastAsia" w:ascii="宋体" w:hAnsi="宋体"/>
                <w:szCs w:val="21"/>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4" w:hRule="atLeast"/>
          <w:tblCellSpacing w:w="0" w:type="dxa"/>
          <w:jc w:val="center"/>
        </w:trPr>
        <w:tc>
          <w:tcPr>
            <w:tcW w:w="560" w:type="dxa"/>
            <w:vMerge w:val="continue"/>
            <w:vAlign w:val="center"/>
          </w:tcPr>
          <w:p>
            <w:pPr>
              <w:pStyle w:val="30"/>
              <w:tabs>
                <w:tab w:val="left" w:pos="539"/>
              </w:tabs>
              <w:snapToGrid w:val="0"/>
              <w:ind w:firstLine="0" w:firstLineChars="0"/>
              <w:jc w:val="left"/>
            </w:pPr>
          </w:p>
        </w:tc>
        <w:tc>
          <w:tcPr>
            <w:tcW w:w="666" w:type="dxa"/>
            <w:vMerge w:val="continue"/>
            <w:tcMar>
              <w:top w:w="15" w:type="dxa"/>
              <w:left w:w="15" w:type="dxa"/>
              <w:bottom w:w="15" w:type="dxa"/>
              <w:right w:w="15" w:type="dxa"/>
            </w:tcMar>
            <w:vAlign w:val="center"/>
          </w:tcPr>
          <w:p>
            <w:pPr>
              <w:pStyle w:val="30"/>
              <w:tabs>
                <w:tab w:val="left" w:pos="539"/>
              </w:tabs>
              <w:snapToGrid w:val="0"/>
              <w:ind w:firstLine="0" w:firstLineChars="0"/>
              <w:jc w:val="left"/>
            </w:pPr>
          </w:p>
        </w:tc>
        <w:tc>
          <w:tcPr>
            <w:tcW w:w="1321" w:type="dxa"/>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szCs w:val="21"/>
              </w:rPr>
              <w:t>□固定乘积法</w:t>
            </w:r>
          </w:p>
        </w:tc>
        <w:tc>
          <w:tcPr>
            <w:tcW w:w="6804" w:type="dxa"/>
            <w:tcMar>
              <w:top w:w="15" w:type="dxa"/>
              <w:left w:w="15" w:type="dxa"/>
              <w:bottom w:w="15" w:type="dxa"/>
              <w:right w:w="15" w:type="dxa"/>
            </w:tcMar>
            <w:vAlign w:val="center"/>
          </w:tcPr>
          <w:p>
            <w:pPr>
              <w:autoSpaceDE w:val="0"/>
              <w:autoSpaceDN w:val="0"/>
              <w:adjustRightInd w:val="0"/>
              <w:snapToGrid w:val="0"/>
              <w:jc w:val="left"/>
              <w:rPr>
                <w:rStyle w:val="28"/>
                <w:rFonts w:ascii="宋体" w:hAnsi="宋体"/>
              </w:rPr>
            </w:pPr>
            <w:r>
              <w:rPr>
                <w:rStyle w:val="28"/>
                <w:rFonts w:hint="eastAsia" w:ascii="宋体" w:hAnsi="宋体"/>
              </w:rPr>
              <w:t>价格得分=（1-A×｜1-投标报价/Z｜）×M</w:t>
            </w:r>
          </w:p>
          <w:p>
            <w:pPr>
              <w:numPr>
                <w:ilvl w:val="0"/>
                <w:numId w:val="24"/>
              </w:numPr>
              <w:autoSpaceDE w:val="0"/>
              <w:autoSpaceDN w:val="0"/>
              <w:adjustRightInd w:val="0"/>
              <w:snapToGrid w:val="0"/>
              <w:jc w:val="left"/>
              <w:rPr>
                <w:rStyle w:val="28"/>
                <w:rFonts w:ascii="宋体" w:hAnsi="宋体"/>
              </w:rPr>
            </w:pPr>
            <w:r>
              <w:rPr>
                <w:rStyle w:val="28"/>
                <w:rFonts w:hint="eastAsia" w:ascii="宋体" w:hAnsi="宋体"/>
              </w:rPr>
              <w:t>M=</w:t>
            </w:r>
            <w:r>
              <w:rPr>
                <w:rFonts w:ascii="宋体" w:hAnsi="宋体"/>
                <w:szCs w:val="21"/>
                <w:u w:val="single"/>
              </w:rPr>
              <w:t xml:space="preserve">    </w:t>
            </w:r>
            <w:r>
              <w:rPr>
                <w:rStyle w:val="28"/>
                <w:rFonts w:hint="eastAsia" w:ascii="宋体" w:hAnsi="宋体"/>
              </w:rPr>
              <w:t>（价格评价分项满分值），Z为本次招标最佳报价（即基准价）；</w:t>
            </w:r>
          </w:p>
          <w:p>
            <w:pPr>
              <w:numPr>
                <w:ilvl w:val="0"/>
                <w:numId w:val="24"/>
              </w:numPr>
              <w:autoSpaceDE w:val="0"/>
              <w:autoSpaceDN w:val="0"/>
              <w:adjustRightInd w:val="0"/>
              <w:snapToGrid w:val="0"/>
              <w:jc w:val="left"/>
              <w:rPr>
                <w:rStyle w:val="28"/>
                <w:rFonts w:ascii="宋体" w:hAnsi="宋体"/>
              </w:rPr>
            </w:pPr>
            <w:r>
              <w:rPr>
                <w:rStyle w:val="28"/>
                <w:rFonts w:hint="eastAsia" w:ascii="宋体" w:hAnsi="宋体"/>
              </w:rPr>
              <w:t>A为价格调整系数，当投标报价低于本次招标最佳报价（即基准价）时，A=0.5；当投标报价高于次招标最佳报价时，取A=1；</w:t>
            </w:r>
          </w:p>
          <w:p>
            <w:pPr>
              <w:pStyle w:val="30"/>
              <w:tabs>
                <w:tab w:val="left" w:pos="539"/>
              </w:tabs>
              <w:snapToGrid w:val="0"/>
              <w:ind w:firstLine="0" w:firstLineChars="0"/>
              <w:jc w:val="left"/>
              <w:rPr>
                <w:rFonts w:ascii="宋体" w:hAnsi="宋体"/>
                <w:szCs w:val="21"/>
              </w:rPr>
            </w:pPr>
            <w:r>
              <w:rPr>
                <w:rStyle w:val="28"/>
                <w:rFonts w:hint="eastAsia" w:ascii="宋体" w:hAnsi="宋体"/>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4" w:hRule="atLeast"/>
          <w:tblCellSpacing w:w="0" w:type="dxa"/>
          <w:jc w:val="center"/>
        </w:trPr>
        <w:tc>
          <w:tcPr>
            <w:tcW w:w="560" w:type="dxa"/>
            <w:vMerge w:val="continue"/>
            <w:vAlign w:val="center"/>
          </w:tcPr>
          <w:p>
            <w:pPr>
              <w:pStyle w:val="30"/>
              <w:tabs>
                <w:tab w:val="left" w:pos="539"/>
              </w:tabs>
              <w:snapToGrid w:val="0"/>
              <w:ind w:firstLine="0" w:firstLineChars="0"/>
              <w:jc w:val="left"/>
              <w:rPr>
                <w:rFonts w:ascii="宋体" w:hAnsi="宋体"/>
                <w:szCs w:val="21"/>
              </w:rPr>
            </w:pPr>
          </w:p>
        </w:tc>
        <w:tc>
          <w:tcPr>
            <w:tcW w:w="666" w:type="dxa"/>
            <w:vMerge w:val="continue"/>
            <w:tcMar>
              <w:top w:w="15" w:type="dxa"/>
              <w:left w:w="15" w:type="dxa"/>
              <w:bottom w:w="15" w:type="dxa"/>
              <w:right w:w="15" w:type="dxa"/>
            </w:tcMar>
            <w:vAlign w:val="center"/>
          </w:tcPr>
          <w:p>
            <w:pPr>
              <w:pStyle w:val="30"/>
              <w:tabs>
                <w:tab w:val="left" w:pos="539"/>
              </w:tabs>
              <w:snapToGrid w:val="0"/>
              <w:ind w:firstLine="0" w:firstLineChars="0"/>
              <w:jc w:val="left"/>
              <w:rPr>
                <w:rFonts w:ascii="宋体" w:hAnsi="宋体"/>
                <w:szCs w:val="21"/>
              </w:rPr>
            </w:pPr>
          </w:p>
        </w:tc>
        <w:tc>
          <w:tcPr>
            <w:tcW w:w="1321" w:type="dxa"/>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cs="Segoe UI Symbol"/>
                <w:kern w:val="0"/>
                <w:szCs w:val="21"/>
              </w:rPr>
              <w:sym w:font="Wingdings 2" w:char="0052"/>
            </w:r>
            <w:r>
              <w:rPr>
                <w:rFonts w:hint="eastAsia" w:ascii="宋体" w:hAnsi="宋体"/>
                <w:szCs w:val="21"/>
              </w:rPr>
              <w:t>其他</w:t>
            </w:r>
            <w:r>
              <w:rPr>
                <w:rFonts w:ascii="宋体" w:hAnsi="宋体"/>
                <w:szCs w:val="21"/>
              </w:rPr>
              <w:t>方法</w:t>
            </w:r>
          </w:p>
        </w:tc>
        <w:tc>
          <w:tcPr>
            <w:tcW w:w="6804" w:type="dxa"/>
            <w:tcMar>
              <w:top w:w="15" w:type="dxa"/>
              <w:left w:w="15" w:type="dxa"/>
              <w:bottom w:w="15" w:type="dxa"/>
              <w:right w:w="15" w:type="dxa"/>
            </w:tcMar>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pStyle w:val="30"/>
              <w:tabs>
                <w:tab w:val="left" w:pos="539"/>
              </w:tabs>
              <w:snapToGrid w:val="0"/>
              <w:ind w:firstLine="0" w:firstLineChars="0"/>
              <w:jc w:val="left"/>
              <w:rPr>
                <w:rFonts w:ascii="宋体" w:hAnsi="宋体"/>
                <w:szCs w:val="21"/>
              </w:rPr>
            </w:pPr>
            <w:r>
              <w:rPr>
                <w:rFonts w:hint="eastAsia" w:ascii="宋体" w:hAnsi="宋体" w:eastAsia="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pStyle w:val="30"/>
        <w:numPr>
          <w:ilvl w:val="0"/>
          <w:numId w:val="25"/>
        </w:numPr>
        <w:spacing w:line="360" w:lineRule="auto"/>
        <w:ind w:firstLineChars="0"/>
        <w:rPr>
          <w:rFonts w:ascii="宋体" w:hAnsi="宋体" w:eastAsia="宋体"/>
          <w:szCs w:val="21"/>
        </w:rPr>
      </w:pPr>
      <w:r>
        <w:rPr>
          <w:rFonts w:hint="eastAsia" w:ascii="宋体" w:hAnsi="宋体" w:eastAsia="宋体"/>
          <w:szCs w:val="21"/>
        </w:rPr>
        <w:t>若分项报价与总价不一致，以总价为准。</w:t>
      </w:r>
    </w:p>
    <w:p>
      <w:pPr>
        <w:pStyle w:val="30"/>
        <w:numPr>
          <w:ilvl w:val="0"/>
          <w:numId w:val="25"/>
        </w:numPr>
        <w:spacing w:line="360" w:lineRule="auto"/>
        <w:ind w:firstLineChars="0"/>
        <w:rPr>
          <w:rFonts w:ascii="宋体" w:hAnsi="宋体" w:eastAsia="宋体"/>
          <w:szCs w:val="21"/>
        </w:rPr>
      </w:pPr>
      <w:r>
        <w:rPr>
          <w:rFonts w:hint="eastAsia" w:ascii="宋体" w:hAnsi="宋体" w:eastAsia="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pStyle w:val="2"/>
        <w:rPr>
          <w:rFonts w:ascii="宋体" w:eastAsia="宋体"/>
        </w:rPr>
      </w:pPr>
    </w:p>
    <w:p>
      <w:pPr>
        <w:widowControl/>
        <w:spacing w:line="360" w:lineRule="auto"/>
        <w:ind w:firstLine="422" w:firstLineChars="200"/>
        <w:jc w:val="left"/>
        <w:rPr>
          <w:rFonts w:ascii="宋体" w:hAnsi="宋体"/>
          <w:b/>
          <w:szCs w:val="21"/>
        </w:rPr>
      </w:pPr>
      <w:r>
        <w:rPr>
          <w:rFonts w:ascii="宋体" w:hAnsi="宋体"/>
          <w:b/>
          <w:szCs w:val="21"/>
        </w:rPr>
        <w:br w:type="page"/>
      </w:r>
    </w:p>
    <w:p>
      <w:pPr>
        <w:pStyle w:val="2"/>
        <w:rPr>
          <w:rFonts w:ascii="宋体"/>
          <w:b/>
          <w:sz w:val="32"/>
          <w:szCs w:val="32"/>
        </w:rPr>
      </w:pPr>
    </w:p>
    <w:p>
      <w:pPr>
        <w:spacing w:line="360" w:lineRule="auto"/>
        <w:jc w:val="center"/>
        <w:outlineLvl w:val="0"/>
        <w:rPr>
          <w:rFonts w:ascii="方正小标宋_GBK" w:hAnsi="方正小标宋_GBK" w:eastAsia="方正小标宋_GBK"/>
          <w:b/>
          <w:sz w:val="32"/>
          <w:szCs w:val="32"/>
        </w:rPr>
      </w:pPr>
      <w:bookmarkStart w:id="50" w:name="_Toc21437"/>
      <w:r>
        <w:rPr>
          <w:rFonts w:hint="eastAsia" w:ascii="方正小标宋_GBK" w:hAnsi="方正小标宋_GBK" w:eastAsia="方正小标宋_GBK"/>
          <w:b/>
          <w:sz w:val="32"/>
          <w:szCs w:val="32"/>
        </w:rPr>
        <w:t>第四部分：合同条款及格式</w:t>
      </w:r>
      <w:bookmarkEnd w:id="50"/>
    </w:p>
    <w:p>
      <w:pPr>
        <w:jc w:val="center"/>
        <w:rPr>
          <w:rFonts w:ascii="方正小标宋简体" w:hAnsi="方正小标宋简体" w:eastAsia="方正小标宋简体" w:cs="方正小标宋简体"/>
          <w:bCs/>
          <w:kern w:val="0"/>
          <w:sz w:val="28"/>
          <w:szCs w:val="28"/>
        </w:rPr>
      </w:pPr>
    </w:p>
    <w:p>
      <w:pPr>
        <w:jc w:val="center"/>
        <w:rPr>
          <w:rFonts w:ascii="宋体" w:hAnsi="宋体"/>
          <w:b/>
          <w:bCs/>
          <w:sz w:val="36"/>
          <w:szCs w:val="36"/>
        </w:rPr>
      </w:pPr>
      <w:r>
        <w:rPr>
          <w:rFonts w:hint="eastAsia" w:ascii="宋体" w:hAnsi="宋体"/>
          <w:b/>
          <w:bCs/>
          <w:sz w:val="36"/>
          <w:szCs w:val="36"/>
        </w:rPr>
        <w:t>深圳会展中心第二十四届高交会环保与能源展行业垂直媒体宣传采购项目合作协议</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pStyle w:val="15"/>
        <w:spacing w:beforeLines="30"/>
        <w:rPr>
          <w:rFonts w:hAnsi="宋体" w:cs="宋体"/>
          <w:sz w:val="21"/>
          <w:szCs w:val="21"/>
        </w:rPr>
      </w:pPr>
      <w:r>
        <w:rPr>
          <w:rFonts w:hint="eastAsia" w:hAnsi="宋体" w:cs="宋体"/>
          <w:sz w:val="21"/>
          <w:szCs w:val="21"/>
        </w:rPr>
        <w:t xml:space="preserve">甲方: 深圳会展中心管理有限责任公司      乙方: </w:t>
      </w:r>
    </w:p>
    <w:p>
      <w:pPr>
        <w:pStyle w:val="15"/>
        <w:tabs>
          <w:tab w:val="left" w:pos="4680"/>
          <w:tab w:val="left" w:pos="4860"/>
        </w:tabs>
        <w:spacing w:beforeLines="30"/>
        <w:ind w:left="5124" w:hanging="5124" w:hangingChars="2440"/>
        <w:rPr>
          <w:rFonts w:hAnsi="宋体" w:cs="宋体"/>
          <w:sz w:val="21"/>
          <w:szCs w:val="21"/>
        </w:rPr>
      </w:pPr>
      <w:r>
        <w:rPr>
          <w:rFonts w:hint="eastAsia" w:hAnsi="宋体" w:cs="宋体"/>
          <w:sz w:val="21"/>
          <w:szCs w:val="21"/>
        </w:rPr>
        <w:t xml:space="preserve">地址: 深圳市福田区福华三路111号        地址: </w:t>
      </w:r>
    </w:p>
    <w:p>
      <w:pPr>
        <w:pStyle w:val="15"/>
        <w:spacing w:beforeLines="30"/>
        <w:rPr>
          <w:rFonts w:hAnsi="宋体" w:cs="宋体"/>
          <w:sz w:val="21"/>
          <w:szCs w:val="21"/>
        </w:rPr>
      </w:pPr>
      <w:r>
        <w:rPr>
          <w:rFonts w:hint="eastAsia" w:hAnsi="宋体" w:cs="宋体"/>
          <w:sz w:val="21"/>
          <w:szCs w:val="21"/>
        </w:rPr>
        <w:t xml:space="preserve">电话:                邮编:              电话:                 邮编: </w:t>
      </w:r>
    </w:p>
    <w:p>
      <w:pPr>
        <w:pStyle w:val="15"/>
        <w:spacing w:beforeLines="30"/>
        <w:rPr>
          <w:rFonts w:hAnsi="宋体" w:cs="宋体"/>
          <w:sz w:val="21"/>
          <w:szCs w:val="21"/>
        </w:rPr>
      </w:pPr>
      <w:r>
        <w:rPr>
          <w:rFonts w:hint="eastAsia" w:hAnsi="宋体" w:cs="宋体"/>
          <w:sz w:val="21"/>
          <w:szCs w:val="21"/>
        </w:rPr>
        <w:t>传真:                联系人:            传真:                 联系人:</w:t>
      </w:r>
    </w:p>
    <w:p>
      <w:pPr>
        <w:pStyle w:val="15"/>
        <w:spacing w:beforeLines="30"/>
        <w:ind w:firstLine="44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w:t>
      </w:r>
    </w:p>
    <w:p>
      <w:pPr>
        <w:pStyle w:val="15"/>
        <w:spacing w:beforeLines="30"/>
        <w:ind w:firstLine="440"/>
      </w:pPr>
      <w:r>
        <w:rPr>
          <w:rFonts w:hint="eastAsia" w:ascii="仿宋" w:hAnsi="仿宋" w:eastAsia="仿宋" w:cs="仿宋"/>
          <w:sz w:val="22"/>
          <w:szCs w:val="22"/>
        </w:rPr>
        <w:t xml:space="preserve">     </w:t>
      </w:r>
    </w:p>
    <w:p>
      <w:pPr>
        <w:pStyle w:val="13"/>
        <w:spacing w:line="500" w:lineRule="exact"/>
        <w:ind w:left="0" w:leftChars="0" w:firstLine="420" w:firstLineChars="200"/>
        <w:rPr>
          <w:rFonts w:ascii="宋体" w:hAnsi="宋体" w:cs="仿宋"/>
          <w:szCs w:val="21"/>
        </w:rPr>
      </w:pPr>
      <w:r>
        <w:rPr>
          <w:rFonts w:hint="eastAsia" w:ascii="宋体" w:hAnsi="宋体" w:cs="仿宋"/>
          <w:szCs w:val="21"/>
        </w:rPr>
        <w:t>根据《中华人民共和国广告法》、《中华人民共和国民法典》及国家有关法律、法规的规定，甲、乙双方在平等、自愿、等价有偿、公平、诚实信用、合作、双赢的基础上，经友好协商，就甲方委托乙方承担</w:t>
      </w:r>
      <w:r>
        <w:rPr>
          <w:rFonts w:hint="eastAsia" w:ascii="宋体" w:hAnsi="宋体" w:cs="仿宋"/>
          <w:b/>
          <w:bCs/>
          <w:szCs w:val="21"/>
          <w:u w:val="single"/>
        </w:rPr>
        <w:t>深圳会展中心第二十四届高交会环保与能源展行业垂直媒体宣传采购项目</w:t>
      </w:r>
      <w:r>
        <w:rPr>
          <w:rFonts w:hint="eastAsia" w:ascii="宋体" w:hAnsi="宋体" w:cs="仿宋"/>
          <w:szCs w:val="21"/>
        </w:rPr>
        <w:t>合作事宜，达成一致意见，特签订本协议，以资信守。</w:t>
      </w:r>
    </w:p>
    <w:p>
      <w:pPr>
        <w:snapToGrid w:val="0"/>
        <w:spacing w:line="500" w:lineRule="exact"/>
        <w:rPr>
          <w:rFonts w:ascii="宋体" w:hAnsi="宋体" w:cs="仿宋"/>
          <w:b/>
          <w:bCs/>
          <w:szCs w:val="21"/>
        </w:rPr>
      </w:pPr>
      <w:r>
        <w:rPr>
          <w:rFonts w:hint="eastAsia" w:ascii="宋体" w:hAnsi="宋体" w:cs="仿宋"/>
          <w:b/>
          <w:bCs/>
          <w:szCs w:val="21"/>
        </w:rPr>
        <w:t>第一条 合作项目</w:t>
      </w:r>
    </w:p>
    <w:p>
      <w:pPr>
        <w:snapToGrid w:val="0"/>
        <w:spacing w:line="500" w:lineRule="exact"/>
        <w:ind w:firstLine="425"/>
        <w:rPr>
          <w:rFonts w:ascii="宋体" w:hAnsi="宋体" w:cs="仿宋"/>
          <w:szCs w:val="21"/>
        </w:rPr>
      </w:pPr>
      <w:r>
        <w:rPr>
          <w:rFonts w:hint="eastAsia" w:ascii="宋体" w:hAnsi="宋体" w:cs="仿宋"/>
          <w:szCs w:val="21"/>
        </w:rPr>
        <w:t>甲方委托乙方对第二十四届高交会环保与能源展行业垂直媒体宣传采购项目提出相关方案并开展后续合作，合作范围包含如下：</w:t>
      </w:r>
    </w:p>
    <w:p>
      <w:pPr>
        <w:snapToGrid w:val="0"/>
        <w:spacing w:line="500" w:lineRule="exact"/>
        <w:rPr>
          <w:rFonts w:ascii="宋体" w:hAnsi="宋体" w:cs="仿宋"/>
          <w:szCs w:val="21"/>
        </w:rPr>
      </w:pPr>
      <w:r>
        <w:rPr>
          <w:rFonts w:hint="eastAsia" w:ascii="宋体" w:hAnsi="宋体" w:cs="仿宋"/>
          <w:szCs w:val="21"/>
        </w:rPr>
        <w:t>1.1由乙方策划并制定第二十四届高交会环保与能源展行业垂直媒体广告投放排期表，并全程执行、采购、跟进及评估；</w:t>
      </w:r>
    </w:p>
    <w:p>
      <w:pPr>
        <w:snapToGrid w:val="0"/>
        <w:spacing w:line="500" w:lineRule="exact"/>
        <w:rPr>
          <w:rFonts w:ascii="宋体" w:hAnsi="宋体" w:cs="仿宋"/>
          <w:szCs w:val="21"/>
        </w:rPr>
      </w:pPr>
      <w:r>
        <w:rPr>
          <w:rFonts w:hint="eastAsia" w:ascii="宋体" w:hAnsi="宋体" w:cs="仿宋"/>
          <w:szCs w:val="21"/>
        </w:rPr>
        <w:t>1.2由乙方策划并制定第二十四届高交会环保与能源展行业垂直媒体广告，并根据高交会VI设计硬广告；</w:t>
      </w:r>
    </w:p>
    <w:p>
      <w:pPr>
        <w:snapToGrid w:val="0"/>
        <w:spacing w:line="500" w:lineRule="exact"/>
        <w:rPr>
          <w:rFonts w:ascii="宋体" w:hAnsi="宋体" w:cs="仿宋"/>
          <w:szCs w:val="21"/>
        </w:rPr>
      </w:pPr>
      <w:r>
        <w:rPr>
          <w:rFonts w:hint="eastAsia" w:ascii="宋体" w:hAnsi="宋体" w:cs="仿宋"/>
          <w:szCs w:val="21"/>
        </w:rPr>
        <w:t>1.3由乙方策划并制定第二十四届高交会环保与能源展软文计划排期表且负责完成方案中软文的采编、撰写，并将其软文发布于各媒体；</w:t>
      </w:r>
    </w:p>
    <w:p>
      <w:pPr>
        <w:snapToGrid w:val="0"/>
        <w:spacing w:line="500" w:lineRule="exact"/>
        <w:rPr>
          <w:rFonts w:ascii="宋体" w:hAnsi="宋体" w:cs="仿宋"/>
          <w:szCs w:val="21"/>
        </w:rPr>
      </w:pPr>
      <w:r>
        <w:rPr>
          <w:rFonts w:hint="eastAsia" w:ascii="宋体" w:hAnsi="宋体" w:cs="仿宋"/>
          <w:szCs w:val="21"/>
        </w:rPr>
        <w:t>1.4 上述所有宣传投放内容和设计须经甲方确认后实施。</w:t>
      </w:r>
    </w:p>
    <w:p>
      <w:pPr>
        <w:snapToGrid w:val="0"/>
        <w:spacing w:line="500" w:lineRule="exact"/>
        <w:rPr>
          <w:rFonts w:ascii="宋体" w:hAnsi="宋体" w:cs="仿宋"/>
          <w:b/>
          <w:bCs/>
          <w:szCs w:val="21"/>
        </w:rPr>
      </w:pPr>
      <w:r>
        <w:rPr>
          <w:rFonts w:hint="eastAsia" w:ascii="宋体" w:hAnsi="宋体" w:cs="仿宋"/>
          <w:b/>
          <w:bCs/>
          <w:szCs w:val="21"/>
        </w:rPr>
        <w:t>第二条 合作期限</w:t>
      </w:r>
    </w:p>
    <w:p>
      <w:pPr>
        <w:snapToGrid w:val="0"/>
        <w:spacing w:line="500" w:lineRule="exact"/>
        <w:ind w:firstLine="420" w:firstLineChars="200"/>
        <w:rPr>
          <w:rFonts w:ascii="宋体" w:hAnsi="宋体" w:cs="仿宋"/>
          <w:szCs w:val="21"/>
        </w:rPr>
      </w:pPr>
      <w:r>
        <w:rPr>
          <w:rFonts w:hint="eastAsia" w:ascii="宋体" w:hAnsi="宋体" w:cs="仿宋"/>
          <w:szCs w:val="21"/>
        </w:rPr>
        <w:t>合作期限从本协议签订生效之日起至202</w:t>
      </w:r>
      <w:r>
        <w:rPr>
          <w:rFonts w:ascii="宋体" w:hAnsi="宋体" w:cs="仿宋"/>
          <w:szCs w:val="21"/>
        </w:rPr>
        <w:t>2</w:t>
      </w:r>
      <w:r>
        <w:rPr>
          <w:rFonts w:hint="eastAsia" w:ascii="宋体" w:hAnsi="宋体" w:cs="仿宋"/>
          <w:szCs w:val="21"/>
        </w:rPr>
        <w:t>年11月</w:t>
      </w:r>
      <w:r>
        <w:rPr>
          <w:rFonts w:ascii="宋体" w:hAnsi="宋体" w:cs="仿宋"/>
          <w:szCs w:val="21"/>
        </w:rPr>
        <w:t>30</w:t>
      </w:r>
      <w:r>
        <w:rPr>
          <w:rFonts w:hint="eastAsia" w:ascii="宋体" w:hAnsi="宋体" w:cs="仿宋"/>
          <w:szCs w:val="21"/>
        </w:rPr>
        <w:t>日。合作期限内甲乙双方同意共同遵守广告投放相关法律、法规的规定。</w:t>
      </w:r>
    </w:p>
    <w:p>
      <w:pPr>
        <w:snapToGrid w:val="0"/>
        <w:spacing w:line="500" w:lineRule="exact"/>
        <w:rPr>
          <w:rFonts w:ascii="宋体" w:hAnsi="宋体" w:cs="仿宋"/>
          <w:b/>
          <w:bCs/>
          <w:szCs w:val="21"/>
        </w:rPr>
      </w:pPr>
      <w:r>
        <w:rPr>
          <w:rFonts w:hint="eastAsia" w:ascii="宋体" w:hAnsi="宋体" w:cs="仿宋"/>
          <w:b/>
          <w:bCs/>
          <w:szCs w:val="21"/>
        </w:rPr>
        <w:t>第三条 合作内容</w:t>
      </w:r>
    </w:p>
    <w:p>
      <w:pPr>
        <w:tabs>
          <w:tab w:val="left" w:pos="0"/>
          <w:tab w:val="left" w:pos="360"/>
        </w:tabs>
        <w:snapToGrid w:val="0"/>
        <w:spacing w:line="500" w:lineRule="exact"/>
        <w:ind w:firstLine="315" w:firstLineChars="150"/>
        <w:rPr>
          <w:rFonts w:ascii="宋体" w:hAnsi="宋体" w:cs="仿宋"/>
          <w:b/>
          <w:bCs/>
          <w:szCs w:val="21"/>
        </w:rPr>
      </w:pPr>
      <w:r>
        <w:rPr>
          <w:rFonts w:hint="eastAsia" w:ascii="宋体" w:hAnsi="宋体" w:cs="仿宋"/>
          <w:szCs w:val="21"/>
        </w:rPr>
        <w:t>乙方根据合同附件《深圳会展中心第二十四届高交会环保与能源展行业垂直媒体投放服务计划及报价表》为执行依据开展工作，甲方按照乙方工作完成情况与乙方结算，排期表时间按</w:t>
      </w:r>
      <w:r>
        <w:rPr>
          <w:rFonts w:hint="eastAsia" w:ascii="宋体" w:hAnsi="宋体"/>
          <w:szCs w:val="21"/>
        </w:rPr>
        <w:t>签订协议日期相应顺延。</w:t>
      </w:r>
    </w:p>
    <w:p>
      <w:pPr>
        <w:snapToGrid w:val="0"/>
        <w:spacing w:line="500" w:lineRule="exact"/>
        <w:rPr>
          <w:rFonts w:ascii="宋体" w:hAnsi="宋体" w:cs="仿宋"/>
          <w:b/>
          <w:bCs/>
          <w:szCs w:val="21"/>
        </w:rPr>
      </w:pPr>
      <w:r>
        <w:rPr>
          <w:rFonts w:hint="eastAsia" w:ascii="宋体" w:hAnsi="宋体" w:cs="仿宋"/>
          <w:b/>
          <w:bCs/>
          <w:szCs w:val="21"/>
        </w:rPr>
        <w:t>第四条 合同金额及付款方式</w:t>
      </w:r>
    </w:p>
    <w:p>
      <w:pPr>
        <w:spacing w:line="500" w:lineRule="exact"/>
        <w:rPr>
          <w:rFonts w:ascii="宋体" w:hAnsi="宋体" w:cs="仿宋"/>
          <w:spacing w:val="-2"/>
          <w:szCs w:val="21"/>
        </w:rPr>
      </w:pPr>
      <w:r>
        <w:rPr>
          <w:rFonts w:hint="eastAsia" w:ascii="宋体" w:hAnsi="宋体" w:cs="仿宋"/>
          <w:szCs w:val="21"/>
        </w:rPr>
        <w:t>4.1 合同金额为</w:t>
      </w:r>
      <w:r>
        <w:rPr>
          <w:rFonts w:hint="eastAsia" w:ascii="宋体" w:hAnsi="宋体" w:cs="仿宋"/>
          <w:spacing w:val="-2"/>
          <w:szCs w:val="21"/>
        </w:rPr>
        <w:t>人民币XX元（大写XX元整），实际按排期表结算的金额为准。</w:t>
      </w:r>
    </w:p>
    <w:p>
      <w:pPr>
        <w:spacing w:line="500" w:lineRule="exact"/>
        <w:rPr>
          <w:rFonts w:ascii="宋体" w:hAnsi="宋体" w:cs="仿宋"/>
          <w:spacing w:val="-2"/>
          <w:szCs w:val="21"/>
        </w:rPr>
      </w:pPr>
      <w:r>
        <w:rPr>
          <w:rFonts w:hint="eastAsia" w:ascii="宋体" w:hAnsi="宋体" w:cs="仿宋"/>
          <w:spacing w:val="-2"/>
          <w:szCs w:val="21"/>
        </w:rPr>
        <w:t>4.2 付款方式：</w:t>
      </w:r>
    </w:p>
    <w:p>
      <w:pPr>
        <w:spacing w:line="500" w:lineRule="exact"/>
        <w:ind w:firstLine="412" w:firstLineChars="200"/>
        <w:rPr>
          <w:rFonts w:ascii="宋体" w:hAnsi="宋体"/>
          <w:szCs w:val="21"/>
        </w:rPr>
      </w:pPr>
      <w:r>
        <w:rPr>
          <w:rFonts w:hint="eastAsia" w:ascii="宋体" w:hAnsi="宋体" w:cs="仿宋"/>
          <w:spacing w:val="-2"/>
          <w:szCs w:val="21"/>
        </w:rPr>
        <w:t>合同金额分两次付款：合同签订后甲方先支付50％的合同款给乙方，即人民币XX元（大写XX元整）；剩余合同款由</w:t>
      </w:r>
      <w:r>
        <w:rPr>
          <w:rFonts w:hint="eastAsia" w:ascii="宋体" w:hAnsi="宋体" w:cs="仿宋"/>
          <w:szCs w:val="21"/>
        </w:rPr>
        <w:t>甲方根据协议的执行情况及乙方提交的结案报告和有效的发票后支付给乙方，具体金额根据最终结算确定。</w:t>
      </w:r>
      <w:r>
        <w:rPr>
          <w:rFonts w:hint="eastAsia" w:ascii="宋体" w:hAnsi="宋体"/>
          <w:szCs w:val="21"/>
        </w:rPr>
        <w:t>乙方承诺完成</w:t>
      </w:r>
      <w:r>
        <w:rPr>
          <w:rFonts w:hint="eastAsia" w:ascii="宋体" w:hAnsi="宋体" w:cs="仿宋"/>
          <w:szCs w:val="21"/>
        </w:rPr>
        <w:t>《深圳会展中心第二十四届高交会环保与能源展行业垂直媒体投放服务计划及报价表》</w:t>
      </w:r>
      <w:r>
        <w:rPr>
          <w:rFonts w:hint="eastAsia" w:ascii="宋体" w:hAnsi="宋体"/>
          <w:szCs w:val="21"/>
        </w:rPr>
        <w:t>中必须完成的各项数据，未完成部分，甲方可相应扣减合同款项，并要求乙方按合同总金额10%支付违约金。</w:t>
      </w:r>
    </w:p>
    <w:p>
      <w:pPr>
        <w:spacing w:line="500" w:lineRule="exact"/>
        <w:rPr>
          <w:rFonts w:ascii="宋体" w:hAnsi="宋体"/>
          <w:szCs w:val="21"/>
        </w:rPr>
      </w:pPr>
      <w:r>
        <w:rPr>
          <w:rFonts w:hint="eastAsia" w:ascii="宋体" w:hAnsi="宋体"/>
          <w:szCs w:val="21"/>
        </w:rPr>
        <w:t>4.2甲方以银行转账的方式将应付款项付至乙方指定的以下帐户</w:t>
      </w:r>
    </w:p>
    <w:p>
      <w:pPr>
        <w:spacing w:line="500" w:lineRule="exact"/>
        <w:rPr>
          <w:rFonts w:ascii="宋体" w:hAnsi="宋体"/>
          <w:szCs w:val="21"/>
        </w:rPr>
      </w:pPr>
      <w:r>
        <w:rPr>
          <w:rFonts w:hint="eastAsia" w:ascii="宋体" w:hAnsi="宋体" w:cs="仿宋"/>
          <w:szCs w:val="21"/>
        </w:rPr>
        <w:t xml:space="preserve">   </w:t>
      </w:r>
      <w:r>
        <w:rPr>
          <w:rFonts w:hint="eastAsia" w:ascii="宋体" w:hAnsi="宋体"/>
          <w:szCs w:val="21"/>
        </w:rPr>
        <w:t>公司名称：</w:t>
      </w:r>
    </w:p>
    <w:p>
      <w:pPr>
        <w:spacing w:line="500" w:lineRule="exact"/>
        <w:ind w:firstLine="405"/>
        <w:rPr>
          <w:rFonts w:ascii="宋体" w:hAnsi="宋体"/>
          <w:szCs w:val="21"/>
        </w:rPr>
      </w:pPr>
      <w:r>
        <w:rPr>
          <w:rFonts w:hint="eastAsia" w:ascii="宋体" w:hAnsi="宋体"/>
          <w:szCs w:val="21"/>
        </w:rPr>
        <w:t>开户银行：</w:t>
      </w:r>
      <w:r>
        <w:rPr>
          <w:rFonts w:ascii="宋体" w:hAnsi="宋体"/>
          <w:szCs w:val="21"/>
        </w:rPr>
        <w:t xml:space="preserve"> </w:t>
      </w:r>
    </w:p>
    <w:p>
      <w:pPr>
        <w:spacing w:line="500" w:lineRule="exact"/>
        <w:ind w:firstLine="405"/>
        <w:rPr>
          <w:rFonts w:ascii="宋体" w:hAnsi="宋体"/>
          <w:szCs w:val="21"/>
        </w:rPr>
      </w:pPr>
      <w:r>
        <w:rPr>
          <w:rFonts w:hint="eastAsia" w:ascii="宋体" w:hAnsi="宋体"/>
          <w:szCs w:val="21"/>
        </w:rPr>
        <w:t>银行帐号：</w:t>
      </w:r>
    </w:p>
    <w:p>
      <w:pPr>
        <w:spacing w:line="500" w:lineRule="exact"/>
        <w:rPr>
          <w:rFonts w:ascii="宋体" w:hAnsi="宋体" w:cs="仿宋"/>
          <w:szCs w:val="21"/>
        </w:rPr>
      </w:pPr>
    </w:p>
    <w:p>
      <w:pPr>
        <w:spacing w:line="500" w:lineRule="exact"/>
        <w:rPr>
          <w:rFonts w:ascii="宋体" w:hAnsi="宋体" w:cs="仿宋"/>
          <w:b/>
          <w:szCs w:val="21"/>
        </w:rPr>
      </w:pPr>
      <w:r>
        <w:rPr>
          <w:rFonts w:hint="eastAsia" w:ascii="宋体" w:hAnsi="宋体" w:cs="仿宋"/>
          <w:b/>
          <w:szCs w:val="21"/>
        </w:rPr>
        <w:t>第五条：关于所有项目成果的解释</w:t>
      </w:r>
    </w:p>
    <w:p>
      <w:pPr>
        <w:spacing w:line="500" w:lineRule="exact"/>
        <w:rPr>
          <w:rFonts w:ascii="宋体" w:hAnsi="宋体" w:cs="仿宋"/>
          <w:szCs w:val="21"/>
        </w:rPr>
      </w:pPr>
      <w:r>
        <w:rPr>
          <w:rFonts w:hint="eastAsia" w:ascii="宋体" w:hAnsi="宋体" w:cs="仿宋"/>
          <w:szCs w:val="21"/>
        </w:rPr>
        <w:t>5.1乙方根据合同附件《深圳会展中心第二十四届高交会环保与能源展行业垂直媒体投放服务计划及报价表》执行相关广告及其他事项的合作，执行过程中，提供月报，数据/截屏/投放环境拍照的成果汇报，最终形成《深圳会展中心第二十四届高交会环保与能源展行业垂直媒体宣传采购项目结案报告》。</w:t>
      </w:r>
    </w:p>
    <w:p>
      <w:pPr>
        <w:spacing w:line="500" w:lineRule="exact"/>
        <w:rPr>
          <w:rFonts w:ascii="宋体" w:hAnsi="宋体" w:cs="仿宋"/>
          <w:szCs w:val="21"/>
        </w:rPr>
      </w:pPr>
      <w:r>
        <w:rPr>
          <w:rFonts w:hint="eastAsia" w:ascii="宋体" w:hAnsi="宋体" w:cs="仿宋"/>
          <w:szCs w:val="21"/>
        </w:rPr>
        <w:t>5.2《深圳会展中心第二十四届高交会环保与能源展行业垂直媒体宣传采购项目结案报告》需包含下列数据，才可直接通过确认：</w:t>
      </w:r>
    </w:p>
    <w:p>
      <w:pPr>
        <w:spacing w:line="500" w:lineRule="exact"/>
        <w:ind w:firstLine="465"/>
        <w:rPr>
          <w:rFonts w:ascii="宋体" w:hAnsi="宋体" w:cs="仿宋"/>
          <w:szCs w:val="21"/>
        </w:rPr>
      </w:pPr>
      <w:r>
        <w:rPr>
          <w:rFonts w:hint="eastAsia" w:ascii="宋体" w:hAnsi="宋体" w:cs="仿宋"/>
          <w:szCs w:val="21"/>
        </w:rPr>
        <w:t>（1）网站类媒体提供的广告投放证明及广告投放当日截屏（至少须提供投放开始日、中间日、结束日三天截屏）；</w:t>
      </w:r>
    </w:p>
    <w:p>
      <w:pPr>
        <w:spacing w:line="500" w:lineRule="exact"/>
        <w:ind w:firstLine="465"/>
        <w:rPr>
          <w:rFonts w:ascii="宋体" w:hAnsi="宋体" w:cs="仿宋"/>
          <w:szCs w:val="21"/>
        </w:rPr>
      </w:pPr>
      <w:r>
        <w:rPr>
          <w:rFonts w:hint="eastAsia" w:ascii="宋体" w:hAnsi="宋体" w:cs="仿宋"/>
          <w:szCs w:val="21"/>
        </w:rPr>
        <w:t>（2）提供软文撰稿投放媒体链接地址清单。若投放媒体链接地址异常，须提供投放媒体软文网页截屏；</w:t>
      </w:r>
    </w:p>
    <w:p>
      <w:pPr>
        <w:spacing w:line="500" w:lineRule="exact"/>
        <w:ind w:firstLine="465"/>
        <w:rPr>
          <w:rFonts w:ascii="宋体" w:hAnsi="宋体" w:cs="宋体"/>
          <w:szCs w:val="21"/>
        </w:rPr>
      </w:pPr>
      <w:r>
        <w:rPr>
          <w:rFonts w:hint="eastAsia" w:ascii="宋体" w:hAnsi="宋体" w:cs="仿宋"/>
          <w:szCs w:val="21"/>
        </w:rPr>
        <w:t>（3）</w:t>
      </w:r>
      <w:r>
        <w:rPr>
          <w:rFonts w:hint="eastAsia" w:ascii="宋体" w:hAnsi="宋体" w:cs="仿宋_GB2312"/>
          <w:szCs w:val="21"/>
        </w:rPr>
        <w:t>乙方须注重软文在专业网络媒体的发布效果，保证每篇软文应不少于9家媒体的软文链接能被百度或360搜索引擎收录，以截屏为准；</w:t>
      </w:r>
      <w:r>
        <w:rPr>
          <w:rFonts w:ascii="宋体" w:hAnsi="宋体" w:cs="宋体"/>
          <w:sz w:val="24"/>
        </w:rPr>
        <w:br w:type="textWrapping"/>
      </w:r>
      <w:r>
        <w:rPr>
          <w:rFonts w:hint="eastAsia" w:ascii="宋体" w:hAnsi="宋体" w:cs="宋体"/>
          <w:sz w:val="24"/>
        </w:rPr>
        <w:t xml:space="preserve"> </w:t>
      </w:r>
      <w:r>
        <w:rPr>
          <w:rFonts w:ascii="宋体" w:hAnsi="宋体" w:cs="宋体"/>
          <w:sz w:val="24"/>
        </w:rPr>
        <w:t xml:space="preserve">  </w:t>
      </w:r>
      <w:r>
        <w:rPr>
          <w:rFonts w:ascii="宋体" w:hAnsi="宋体" w:cs="宋体"/>
          <w:szCs w:val="21"/>
        </w:rPr>
        <w:t>（4）乙方提供的行业社群推广，须向不少于50个相关行业社群分别至少推送一次招展或邀请观众的信息或资料（社群包括但不限于微信群、QQ群等，每个社群组员不得少于200人），以截屏为准；</w:t>
      </w:r>
    </w:p>
    <w:p>
      <w:pPr>
        <w:spacing w:line="500" w:lineRule="exact"/>
        <w:ind w:firstLine="465"/>
        <w:rPr>
          <w:rFonts w:ascii="宋体" w:hAnsi="宋体" w:cs="仿宋"/>
          <w:szCs w:val="21"/>
        </w:rPr>
      </w:pPr>
      <w:r>
        <w:rPr>
          <w:rFonts w:hint="eastAsia" w:ascii="宋体" w:hAnsi="宋体" w:cs="仿宋"/>
          <w:szCs w:val="21"/>
        </w:rPr>
        <w:t>（5）提供增值服务、专业网络媒体上发布展会信息、专业网络媒体中的展会频道（或类似频道）中发布本展招展书、发布展会信息的媒体清单、发布截图、链接或执行现场照片等证明依据。</w:t>
      </w:r>
      <w:r>
        <w:rPr>
          <w:rFonts w:hint="eastAsia" w:ascii="宋体" w:hAnsi="宋体" w:cs="仿宋"/>
          <w:szCs w:val="21"/>
        </w:rPr>
        <w:br w:type="textWrapping"/>
      </w:r>
      <w:r>
        <w:rPr>
          <w:rFonts w:hint="eastAsia" w:ascii="宋体" w:hAnsi="宋体" w:cs="仿宋"/>
          <w:szCs w:val="21"/>
        </w:rPr>
        <w:t xml:space="preserve">     (6)提供关于合作项目合作情况的总结。</w:t>
      </w:r>
    </w:p>
    <w:p>
      <w:pPr>
        <w:tabs>
          <w:tab w:val="left" w:pos="0"/>
          <w:tab w:val="left" w:pos="360"/>
        </w:tabs>
        <w:snapToGrid w:val="0"/>
        <w:spacing w:line="500" w:lineRule="exact"/>
        <w:rPr>
          <w:rFonts w:ascii="宋体" w:hAnsi="宋体" w:cs="仿宋"/>
          <w:b/>
          <w:bCs/>
          <w:szCs w:val="21"/>
        </w:rPr>
      </w:pPr>
      <w:r>
        <w:rPr>
          <w:rFonts w:hint="eastAsia" w:ascii="宋体" w:hAnsi="宋体" w:cs="仿宋"/>
          <w:b/>
          <w:bCs/>
          <w:spacing w:val="8"/>
          <w:szCs w:val="21"/>
        </w:rPr>
        <w:t>第六条</w:t>
      </w:r>
      <w:r>
        <w:rPr>
          <w:rFonts w:hint="eastAsia" w:ascii="宋体" w:hAnsi="宋体" w:cs="仿宋"/>
          <w:b/>
          <w:bCs/>
          <w:szCs w:val="21"/>
        </w:rPr>
        <w:t>双方权利义务</w:t>
      </w:r>
    </w:p>
    <w:p>
      <w:pPr>
        <w:tabs>
          <w:tab w:val="left" w:pos="0"/>
          <w:tab w:val="left" w:pos="360"/>
        </w:tabs>
        <w:snapToGrid w:val="0"/>
        <w:spacing w:line="500" w:lineRule="exact"/>
        <w:rPr>
          <w:rFonts w:ascii="宋体" w:hAnsi="宋体" w:cs="仿宋"/>
          <w:b/>
          <w:bCs/>
          <w:szCs w:val="21"/>
        </w:rPr>
      </w:pPr>
      <w:r>
        <w:rPr>
          <w:rFonts w:ascii="宋体" w:hAnsi="宋体" w:cs="仿宋"/>
          <w:b/>
          <w:bCs/>
          <w:szCs w:val="21"/>
        </w:rPr>
        <w:t>6.1甲方权利义务</w:t>
      </w:r>
    </w:p>
    <w:p>
      <w:pPr>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1）甲方应积极配合乙方的工作，及时提供投放广告内容和软文撰稿所需的文件资料、</w:t>
      </w:r>
      <w:r>
        <w:rPr>
          <w:rFonts w:hint="eastAsia" w:ascii="宋体" w:hAnsi="宋体"/>
          <w:szCs w:val="21"/>
        </w:rPr>
        <w:t>素材及高交会</w:t>
      </w:r>
      <w:r>
        <w:rPr>
          <w:rFonts w:ascii="宋体" w:hAnsi="宋体"/>
          <w:szCs w:val="21"/>
        </w:rPr>
        <w:t>VI</w:t>
      </w:r>
      <w:r>
        <w:rPr>
          <w:rFonts w:hint="eastAsia" w:ascii="宋体" w:hAnsi="宋体" w:cs="仿宋"/>
          <w:szCs w:val="21"/>
        </w:rPr>
        <w:t>。在广告投放的有效期内，凡是由于甲方不能及时提供投放广告内容或软文撰稿所需的文件资料，乙方经过多次索要未果致使部分广告及软文未能及时撰写、投放或更新，乙方不承担责任；</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2）如甲方取消或更改广告投放计划，应在拟投放时间前十个工作日向乙方提出（书面形式）；</w:t>
      </w:r>
    </w:p>
    <w:p>
      <w:pPr>
        <w:spacing w:line="500" w:lineRule="exact"/>
        <w:ind w:firstLine="412" w:firstLineChars="200"/>
        <w:rPr>
          <w:rFonts w:ascii="宋体" w:hAnsi="宋体" w:cs="仿宋"/>
          <w:szCs w:val="21"/>
        </w:rPr>
      </w:pPr>
      <w:r>
        <w:rPr>
          <w:rFonts w:hint="eastAsia" w:ascii="宋体" w:hAnsi="宋体" w:cs="仿宋"/>
          <w:spacing w:val="-2"/>
          <w:szCs w:val="21"/>
        </w:rPr>
        <w:t>（</w:t>
      </w:r>
      <w:r>
        <w:rPr>
          <w:rFonts w:ascii="宋体" w:hAnsi="宋体" w:cs="仿宋"/>
          <w:spacing w:val="-2"/>
          <w:szCs w:val="21"/>
        </w:rPr>
        <w:t>3）本协议中涉及的宣传内容及设计，须经甲方审核确认方可对外投放（确认方式为QQ、</w:t>
      </w:r>
      <w:r>
        <w:rPr>
          <w:rFonts w:hint="eastAsia" w:ascii="宋体" w:hAnsi="宋体" w:cs="仿宋"/>
          <w:spacing w:val="-2"/>
          <w:szCs w:val="21"/>
        </w:rPr>
        <w:t>邮件等书面形式）。甲方对宣传内容及设计有修改的权利，乙方应积极配合落实。</w:t>
      </w:r>
      <w:r>
        <w:rPr>
          <w:rFonts w:hint="eastAsia" w:ascii="宋体" w:hAnsi="宋体" w:cs="仿宋"/>
          <w:szCs w:val="21"/>
        </w:rPr>
        <w:t>甲方有更换广告投放版本的权利，需提前</w:t>
      </w:r>
      <w:r>
        <w:rPr>
          <w:rFonts w:ascii="宋体" w:hAnsi="宋体" w:cs="仿宋"/>
          <w:szCs w:val="21"/>
        </w:rPr>
        <w:t>10个工作日通知乙方。广告设计稿由乙方设计，须符合媒体刊出规定，刊登版本为已经双方及媒体予以确认的版本，乙方未经甲方授权不得修改和更换；</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在合作期限内，甲方不再自行或委托乙方以外的任何机构在本合同规定的区域内发布广告，本合同签订前已签订的广告发布合同、有证据证明乙方不能履行本合同时除外；</w:t>
      </w:r>
    </w:p>
    <w:p>
      <w:pPr>
        <w:spacing w:line="500" w:lineRule="exact"/>
        <w:ind w:firstLine="420" w:firstLineChars="200"/>
        <w:rPr>
          <w:rFonts w:ascii="宋体" w:hAnsi="宋体"/>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w:t>
      </w:r>
      <w:r>
        <w:rPr>
          <w:rFonts w:hint="eastAsia" w:ascii="宋体" w:hAnsi="宋体"/>
          <w:szCs w:val="21"/>
        </w:rPr>
        <w:t>甲方有权对乙方为甲方提供的服务质量进行监督，如未达到甲方相关要求，甲方有权要求乙方进行整改；</w:t>
      </w:r>
    </w:p>
    <w:p>
      <w:pPr>
        <w:spacing w:line="5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）乙方按方案在相关媒体投放时，因特殊原因无法正常投放时，甲方有权要求乙方无条件置换等值品牌媒体进行投放，置换等值品牌媒体时须说明原因并经甲方书面认可。</w:t>
      </w:r>
    </w:p>
    <w:p>
      <w:pPr>
        <w:tabs>
          <w:tab w:val="left" w:pos="0"/>
          <w:tab w:val="left" w:pos="360"/>
        </w:tabs>
        <w:spacing w:line="500" w:lineRule="exact"/>
        <w:rPr>
          <w:rFonts w:ascii="宋体" w:hAnsi="宋体" w:cs="仿宋"/>
          <w:b/>
          <w:bCs/>
          <w:szCs w:val="21"/>
        </w:rPr>
      </w:pPr>
      <w:r>
        <w:rPr>
          <w:rFonts w:ascii="宋体" w:hAnsi="宋体" w:cs="仿宋"/>
          <w:b/>
          <w:bCs/>
          <w:szCs w:val="21"/>
        </w:rPr>
        <w:t>6.2乙方权利义务</w:t>
      </w:r>
    </w:p>
    <w:p>
      <w:pPr>
        <w:tabs>
          <w:tab w:val="left" w:pos="0"/>
          <w:tab w:val="left" w:pos="360"/>
        </w:tabs>
        <w:spacing w:line="500" w:lineRule="exact"/>
        <w:rPr>
          <w:rFonts w:ascii="宋体" w:hAnsi="宋体" w:cs="仿宋"/>
          <w:b/>
          <w:bCs/>
          <w:szCs w:val="21"/>
        </w:rPr>
      </w:pPr>
      <w:r>
        <w:rPr>
          <w:rFonts w:ascii="宋体" w:hAnsi="宋体" w:cs="仿宋"/>
          <w:b/>
          <w:bCs/>
          <w:szCs w:val="21"/>
        </w:rPr>
        <w:t>6.2.1硬广告投放</w:t>
      </w:r>
    </w:p>
    <w:p>
      <w:pPr>
        <w:tabs>
          <w:tab w:val="left" w:pos="0"/>
        </w:tabs>
        <w:snapToGrid w:val="0"/>
        <w:spacing w:line="500" w:lineRule="exact"/>
        <w:ind w:firstLine="315" w:firstLineChars="150"/>
        <w:rPr>
          <w:rFonts w:ascii="宋体" w:hAnsi="宋体"/>
          <w:szCs w:val="21"/>
        </w:rPr>
      </w:pPr>
      <w:r>
        <w:rPr>
          <w:rFonts w:hint="eastAsia" w:ascii="宋体" w:hAnsi="宋体"/>
          <w:szCs w:val="21"/>
        </w:rPr>
        <w:t>（</w:t>
      </w:r>
      <w:r>
        <w:rPr>
          <w:rFonts w:ascii="宋体" w:hAnsi="宋体"/>
          <w:szCs w:val="21"/>
        </w:rPr>
        <w:t>1）乙方根据甲方提供的素材，负责广告的设计，广告投放的内容须经甲方审核后方可发布；</w:t>
      </w:r>
    </w:p>
    <w:p>
      <w:pPr>
        <w:tabs>
          <w:tab w:val="left" w:pos="0"/>
        </w:tabs>
        <w:snapToGrid w:val="0"/>
        <w:spacing w:line="500" w:lineRule="exact"/>
        <w:ind w:firstLine="315" w:firstLineChars="150"/>
        <w:rPr>
          <w:rFonts w:ascii="宋体" w:hAnsi="宋体" w:cs="仿宋"/>
          <w:szCs w:val="21"/>
        </w:rPr>
      </w:pPr>
      <w:r>
        <w:rPr>
          <w:rFonts w:hint="eastAsia" w:ascii="宋体" w:hAnsi="宋体"/>
          <w:szCs w:val="21"/>
        </w:rPr>
        <w:t>（</w:t>
      </w:r>
      <w:r>
        <w:rPr>
          <w:rFonts w:ascii="宋体" w:hAnsi="宋体"/>
          <w:szCs w:val="21"/>
        </w:rPr>
        <w:t>2）</w:t>
      </w:r>
      <w:r>
        <w:rPr>
          <w:rFonts w:hint="eastAsia" w:ascii="宋体" w:hAnsi="宋体" w:cs="仿宋"/>
          <w:szCs w:val="21"/>
        </w:rPr>
        <w:t>乙方根据合同附件《深圳会展中心第二十四届高交会环保与能源展行业垂直媒体投放服务计划及报价表》，执行广告设计、采购投放，执行过程中，提供月报，数据</w:t>
      </w:r>
      <w:r>
        <w:rPr>
          <w:rFonts w:ascii="宋体" w:hAnsi="宋体" w:cs="仿宋"/>
          <w:szCs w:val="21"/>
        </w:rPr>
        <w:t>/截屏/投放环境拍照的成果汇报，最终形成结案报告；</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3）乙方委派团队与甲方进行定期与不定期的业务沟通与服务工作，若因甲方需求变化或投放媒体资源自身发生变动等，需对媒体广告投放进行调整时，应保证不低于原计划排期的媒体广告</w:t>
      </w:r>
      <w:r>
        <w:rPr>
          <w:rFonts w:hint="eastAsia" w:ascii="宋体" w:hAnsi="宋体" w:cs="仿宋"/>
          <w:szCs w:val="21"/>
        </w:rPr>
        <w:t>总刊例价，并以甲方书面确认为准；</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4）乙方应主动提前向甲方索要各类工作所需的相关资料，提早向甲方提供相关媒介的政策；</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5）凡出现错刊、</w:t>
      </w:r>
      <w:r>
        <w:rPr>
          <w:rFonts w:hint="eastAsia" w:ascii="宋体" w:hAnsi="宋体" w:cs="仿宋"/>
          <w:szCs w:val="21"/>
        </w:rPr>
        <w:t>漏刊等情况，经核查确定后，乙方积极主动与媒体协商弥补；</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6）乙方应及时向甲方提供媒体相关信息资料，并负责协助甲方理顺与广告发布媒体之间的关系，处理相关事宜；</w:t>
      </w:r>
    </w:p>
    <w:p>
      <w:pPr>
        <w:tabs>
          <w:tab w:val="left" w:pos="0"/>
        </w:tabs>
        <w:snapToGrid w:val="0"/>
        <w:spacing w:line="500" w:lineRule="exact"/>
        <w:ind w:firstLine="315" w:firstLineChars="150"/>
        <w:rPr>
          <w:rFonts w:ascii="宋体" w:hAnsi="宋体"/>
          <w:szCs w:val="21"/>
        </w:rPr>
      </w:pPr>
      <w:r>
        <w:rPr>
          <w:rFonts w:hint="eastAsia" w:ascii="宋体" w:hAnsi="宋体" w:cs="仿宋"/>
          <w:szCs w:val="21"/>
        </w:rPr>
        <w:t>（</w:t>
      </w:r>
      <w:r>
        <w:rPr>
          <w:rFonts w:ascii="宋体" w:hAnsi="宋体" w:cs="仿宋"/>
          <w:szCs w:val="21"/>
        </w:rPr>
        <w:t>7）</w:t>
      </w:r>
      <w:r>
        <w:rPr>
          <w:rFonts w:hint="eastAsia" w:ascii="宋体" w:hAnsi="宋体"/>
          <w:szCs w:val="21"/>
        </w:rPr>
        <w:t>乙方负责设计硬广及设计制作论坛等活动所需的易拉宝，且须经甲方审核后方可投放；</w:t>
      </w:r>
    </w:p>
    <w:p>
      <w:pPr>
        <w:tabs>
          <w:tab w:val="left" w:pos="0"/>
        </w:tabs>
        <w:snapToGrid w:val="0"/>
        <w:spacing w:line="500" w:lineRule="exact"/>
        <w:rPr>
          <w:rFonts w:ascii="宋体" w:hAnsi="宋体" w:cs="仿宋"/>
          <w:b/>
          <w:bCs/>
          <w:szCs w:val="21"/>
        </w:rPr>
      </w:pPr>
      <w:r>
        <w:rPr>
          <w:rFonts w:ascii="宋体" w:hAnsi="宋体" w:cs="仿宋"/>
          <w:b/>
          <w:bCs/>
          <w:szCs w:val="21"/>
        </w:rPr>
        <w:t>6.2.2</w:t>
      </w:r>
      <w:r>
        <w:rPr>
          <w:rFonts w:hint="eastAsia" w:ascii="宋体" w:hAnsi="宋体" w:cs="仿宋"/>
          <w:b/>
          <w:bCs/>
          <w:szCs w:val="21"/>
        </w:rPr>
        <w:t>软文撰稿</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1）乙方根据合同附件《深圳会展中心第二十四届高交会环保与能源展行业垂直媒体投放服务计划及报价表》执行</w:t>
      </w:r>
      <w:r>
        <w:rPr>
          <w:rFonts w:hint="eastAsia" w:ascii="宋体" w:hAnsi="宋体" w:cs="仿宋"/>
          <w:szCs w:val="21"/>
        </w:rPr>
        <w:t>相关软文撰写工作，执行过程中，提供月报，数据</w:t>
      </w:r>
      <w:r>
        <w:rPr>
          <w:rFonts w:ascii="宋体" w:hAnsi="宋体" w:cs="仿宋"/>
          <w:szCs w:val="21"/>
        </w:rPr>
        <w:t>/截屏/</w:t>
      </w:r>
      <w:r>
        <w:rPr>
          <w:rFonts w:hint="eastAsia" w:ascii="宋体" w:hAnsi="宋体" w:cs="仿宋"/>
          <w:szCs w:val="21"/>
        </w:rPr>
        <w:t>软文地址链接清单等的成果汇报，最终形成结案报告；</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2）乙方委派团队与甲方进行定期与不定期的业务沟通与服务工作，若因甲方需求变化或投放媒体资源自身发生变动等，需</w:t>
      </w:r>
      <w:r>
        <w:rPr>
          <w:rFonts w:hint="eastAsia" w:ascii="宋体" w:hAnsi="宋体" w:cs="仿宋"/>
          <w:szCs w:val="21"/>
        </w:rPr>
        <w:t>对软文投放进行调整时，应保证不低于原投放媒体的软文发布总刊例价，并以甲方书面确认为准；</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3）乙方策划组织与采编第二十四届高交会环保与能源</w:t>
      </w:r>
      <w:r>
        <w:rPr>
          <w:rFonts w:hint="eastAsia" w:ascii="宋体" w:hAnsi="宋体" w:cs="仿宋"/>
          <w:szCs w:val="21"/>
        </w:rPr>
        <w:t>展软文的主题、篇数和发布周期，以及可发布的媒体列表，最终以甲乙双方确认的媒体投放安排计划表为准；</w:t>
      </w:r>
    </w:p>
    <w:p>
      <w:pPr>
        <w:tabs>
          <w:tab w:val="left" w:pos="0"/>
        </w:tabs>
        <w:snapToGrid w:val="0"/>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4）乙方提供的每篇</w:t>
      </w:r>
      <w:r>
        <w:rPr>
          <w:rFonts w:hint="eastAsia" w:ascii="宋体" w:hAnsi="宋体" w:cs="仿宋"/>
          <w:szCs w:val="21"/>
        </w:rPr>
        <w:t>软文字数不能少于</w:t>
      </w:r>
      <w:r>
        <w:rPr>
          <w:rFonts w:ascii="宋体" w:hAnsi="宋体" w:cs="仿宋"/>
          <w:szCs w:val="21"/>
        </w:rPr>
        <w:t>400字。内容真实，不得抄袭、复制，且要突出行业热点、亮点；</w:t>
      </w:r>
    </w:p>
    <w:p>
      <w:pPr>
        <w:tabs>
          <w:tab w:val="left" w:pos="0"/>
        </w:tabs>
        <w:snapToGrid w:val="0"/>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5）乙方须注重媒体稿件质量，应安排专业、有经验媒体人撰写软文。本届高交会开展期间，乙方须派专业媒体人对大会环保与能源展进行采访和撰写稿件，并分别安排在最后2篇软文中投放；</w:t>
      </w:r>
    </w:p>
    <w:p>
      <w:pPr>
        <w:tabs>
          <w:tab w:val="left" w:pos="0"/>
        </w:tabs>
        <w:snapToGrid w:val="0"/>
        <w:spacing w:line="500" w:lineRule="exact"/>
        <w:ind w:firstLine="420" w:firstLineChars="200"/>
        <w:rPr>
          <w:rFonts w:ascii="宋体" w:hAnsi="宋体" w:cs="仿宋_GB2312"/>
          <w:szCs w:val="21"/>
        </w:rPr>
      </w:pPr>
      <w:r>
        <w:rPr>
          <w:rFonts w:hint="eastAsia" w:ascii="宋体" w:hAnsi="宋体" w:cs="仿宋"/>
          <w:szCs w:val="21"/>
        </w:rPr>
        <w:t>（</w:t>
      </w:r>
      <w:r>
        <w:rPr>
          <w:rFonts w:ascii="宋体" w:hAnsi="宋体" w:cs="仿宋"/>
          <w:szCs w:val="21"/>
        </w:rPr>
        <w:t>6）</w:t>
      </w:r>
      <w:r>
        <w:rPr>
          <w:rFonts w:hint="eastAsia" w:ascii="宋体" w:hAnsi="宋体" w:cs="仿宋_GB2312"/>
          <w:szCs w:val="21"/>
        </w:rPr>
        <w:t>乙方须注重软文在专业网络媒体的发布效果，保证每篇软文应不少于</w:t>
      </w:r>
      <w:r>
        <w:rPr>
          <w:rFonts w:ascii="宋体" w:hAnsi="宋体" w:cs="仿宋_GB2312"/>
          <w:szCs w:val="21"/>
        </w:rPr>
        <w:t>9家</w:t>
      </w:r>
      <w:r>
        <w:rPr>
          <w:rFonts w:hint="eastAsia" w:ascii="宋体" w:hAnsi="宋体" w:cs="仿宋_GB2312"/>
          <w:szCs w:val="21"/>
        </w:rPr>
        <w:t>媒体的软文链接能被百度或</w:t>
      </w:r>
      <w:r>
        <w:rPr>
          <w:rFonts w:ascii="宋体" w:hAnsi="宋体" w:cs="仿宋_GB2312"/>
          <w:szCs w:val="21"/>
        </w:rPr>
        <w:t>360搜索引擎收录，以截屏为准；当收录数量不足时，乙方可主动增加发布的专业网络媒体数量来提高收录数量，增加发布的专业</w:t>
      </w:r>
      <w:r>
        <w:rPr>
          <w:rFonts w:hint="eastAsia" w:ascii="宋体" w:hAnsi="宋体" w:cs="仿宋_GB2312"/>
          <w:szCs w:val="21"/>
        </w:rPr>
        <w:t>媒体须具备一定知名度并经甲方审核同意方可列入收录数量中。</w:t>
      </w:r>
    </w:p>
    <w:p>
      <w:pPr>
        <w:tabs>
          <w:tab w:val="left" w:pos="0"/>
        </w:tabs>
        <w:snapToGrid w:val="0"/>
        <w:spacing w:line="500" w:lineRule="exact"/>
        <w:ind w:left="210" w:hanging="210" w:hangingChars="100"/>
        <w:rPr>
          <w:rFonts w:ascii="宋体" w:hAnsi="宋体" w:cs="宋体"/>
          <w:szCs w:val="21"/>
        </w:rPr>
      </w:pPr>
      <w:r>
        <w:rPr>
          <w:rFonts w:ascii="宋体" w:hAnsi="宋体" w:cs="宋体"/>
          <w:szCs w:val="21"/>
        </w:rPr>
        <w:t>6.2.3社群推广</w:t>
      </w:r>
    </w:p>
    <w:p>
      <w:pPr>
        <w:tabs>
          <w:tab w:val="left" w:pos="0"/>
        </w:tabs>
        <w:snapToGrid w:val="0"/>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1）乙方根据合同附件《深圳会展中心第二十四届高交会环保与能源展行业垂直媒体投放服务计划及报价表》执行社群推广计划，在执行过程中，提供月报，提供包括但不限于数据/截屏/社群成员数量截图等的成果汇报，最终形成结案报告；</w:t>
      </w:r>
      <w:r>
        <w:rPr>
          <w:rFonts w:ascii="宋体" w:hAnsi="宋体" w:cs="仿宋"/>
          <w:szCs w:val="21"/>
        </w:rPr>
        <w:br w:type="textWrapping"/>
      </w:r>
      <w:r>
        <w:rPr>
          <w:rFonts w:ascii="宋体" w:hAnsi="宋体" w:cs="仿宋"/>
          <w:szCs w:val="21"/>
        </w:rPr>
        <w:t xml:space="preserve">    （2）乙方须保证将甲方招展和观众邀请信息或资料，向不少于50个相关行业社群分别至少推送一次，社群包括但不限于</w:t>
      </w:r>
      <w:r>
        <w:rPr>
          <w:rFonts w:hint="eastAsia" w:ascii="宋体" w:hAnsi="宋体" w:cs="仿宋"/>
          <w:szCs w:val="21"/>
        </w:rPr>
        <w:t>微信群、</w:t>
      </w:r>
      <w:r>
        <w:rPr>
          <w:rFonts w:ascii="宋体" w:hAnsi="宋体" w:cs="仿宋"/>
          <w:szCs w:val="21"/>
        </w:rPr>
        <w:t>QQ群等，每个社群组员不得少于200人。</w:t>
      </w:r>
      <w:r>
        <w:rPr>
          <w:rFonts w:ascii="宋体" w:hAnsi="宋体" w:cs="仿宋"/>
          <w:szCs w:val="21"/>
        </w:rPr>
        <w:br w:type="textWrapping"/>
      </w:r>
      <w:r>
        <w:rPr>
          <w:rFonts w:ascii="宋体" w:hAnsi="宋体" w:cs="仿宋"/>
          <w:szCs w:val="21"/>
        </w:rPr>
        <w:t xml:space="preserve">    （3）乙方须保证所进行推送的社群，是按照相关的法律下运行，不存在任何违法行为的社群。</w:t>
      </w:r>
      <w:r>
        <w:rPr>
          <w:rFonts w:ascii="宋体" w:hAnsi="宋体" w:cs="仿宋"/>
          <w:szCs w:val="21"/>
        </w:rPr>
        <w:br w:type="textWrapping"/>
      </w:r>
      <w:r>
        <w:rPr>
          <w:rFonts w:ascii="宋体" w:hAnsi="宋体" w:cs="仿宋"/>
          <w:szCs w:val="21"/>
        </w:rPr>
        <w:t xml:space="preserve">    （4）乙方须保证用于推送甲方招展和观众邀请资料信息的社群为环保与能源行业相关</w:t>
      </w:r>
      <w:r>
        <w:rPr>
          <w:rFonts w:hint="eastAsia" w:ascii="宋体" w:hAnsi="宋体" w:cs="仿宋"/>
          <w:szCs w:val="21"/>
        </w:rPr>
        <w:t>的社群，社群为活跃社群，不包括最近</w:t>
      </w:r>
      <w:r>
        <w:rPr>
          <w:rFonts w:ascii="宋体" w:hAnsi="宋体" w:cs="仿宋"/>
          <w:szCs w:val="21"/>
        </w:rPr>
        <w:t>2个月内无行业信息交流的社群。</w:t>
      </w:r>
    </w:p>
    <w:p>
      <w:pPr>
        <w:tabs>
          <w:tab w:val="left" w:pos="0"/>
        </w:tabs>
        <w:snapToGrid w:val="0"/>
        <w:spacing w:line="500" w:lineRule="exact"/>
        <w:rPr>
          <w:rFonts w:ascii="宋体" w:hAnsi="宋体" w:cs="仿宋"/>
          <w:szCs w:val="21"/>
        </w:rPr>
      </w:pPr>
      <w:r>
        <w:rPr>
          <w:rFonts w:ascii="宋体" w:hAnsi="宋体" w:cs="仿宋"/>
          <w:b/>
          <w:szCs w:val="21"/>
        </w:rPr>
        <w:t>6.3</w:t>
      </w:r>
      <w:r>
        <w:rPr>
          <w:rFonts w:hint="eastAsia" w:ascii="宋体" w:hAnsi="宋体" w:cs="仿宋"/>
          <w:szCs w:val="21"/>
        </w:rPr>
        <w:t>甲乙双方责任</w:t>
      </w:r>
    </w:p>
    <w:p>
      <w:pPr>
        <w:tabs>
          <w:tab w:val="left" w:pos="0"/>
        </w:tabs>
        <w:snapToGrid w:val="0"/>
        <w:spacing w:line="500" w:lineRule="exact"/>
        <w:ind w:firstLine="420" w:firstLineChars="200"/>
        <w:rPr>
          <w:rFonts w:ascii="宋体" w:hAnsi="宋体" w:cs="仿宋_GB2312"/>
          <w:szCs w:val="21"/>
        </w:rPr>
      </w:pPr>
      <w:r>
        <w:rPr>
          <w:rFonts w:hint="eastAsia" w:ascii="宋体" w:hAnsi="宋体" w:cs="仿宋_GB2312"/>
          <w:szCs w:val="21"/>
        </w:rPr>
        <w:t>由</w:t>
      </w:r>
      <w:r>
        <w:rPr>
          <w:rFonts w:hint="eastAsia" w:ascii="宋体" w:hAnsi="宋体" w:cs="仿宋_GB2312"/>
          <w:bCs/>
          <w:szCs w:val="21"/>
        </w:rPr>
        <w:t>于</w:t>
      </w:r>
      <w:r>
        <w:rPr>
          <w:rFonts w:ascii="宋体" w:hAnsi="宋体" w:cs="仿宋_GB2312"/>
          <w:bCs/>
          <w:szCs w:val="21"/>
        </w:rPr>
        <w:t>2022</w:t>
      </w:r>
      <w:r>
        <w:rPr>
          <w:rFonts w:hint="eastAsia" w:ascii="宋体" w:hAnsi="宋体" w:cs="仿宋_GB2312"/>
          <w:bCs/>
          <w:szCs w:val="21"/>
        </w:rPr>
        <w:t>年新冠疫情的发展存在不确定性，政府对疫情防控管理可能有新要求，甲乙双方一致同意，本届高交会的举办将遵照政府关于疫情防控的相关政策和要求进行执行落实，甲方将据以制定和调整高交会环保与能源展媒体宣传相关要求和规定，乙方应积极配合和实施。</w:t>
      </w:r>
    </w:p>
    <w:p>
      <w:pPr>
        <w:tabs>
          <w:tab w:val="left" w:pos="0"/>
        </w:tabs>
        <w:spacing w:line="500" w:lineRule="exact"/>
        <w:rPr>
          <w:rFonts w:ascii="宋体" w:hAnsi="宋体" w:cs="仿宋"/>
          <w:b/>
          <w:bCs/>
          <w:szCs w:val="21"/>
        </w:rPr>
      </w:pPr>
      <w:r>
        <w:rPr>
          <w:rFonts w:hint="eastAsia" w:ascii="宋体" w:hAnsi="宋体" w:cs="仿宋"/>
          <w:b/>
          <w:bCs/>
          <w:spacing w:val="8"/>
          <w:szCs w:val="21"/>
        </w:rPr>
        <w:t>第七条</w:t>
      </w:r>
      <w:r>
        <w:rPr>
          <w:rFonts w:hint="eastAsia" w:ascii="宋体" w:hAnsi="宋体" w:cs="仿宋"/>
          <w:b/>
          <w:bCs/>
          <w:szCs w:val="21"/>
        </w:rPr>
        <w:t>违约责任</w:t>
      </w:r>
    </w:p>
    <w:p>
      <w:pPr>
        <w:tabs>
          <w:tab w:val="left" w:pos="720"/>
        </w:tabs>
        <w:snapToGrid w:val="0"/>
        <w:spacing w:line="500" w:lineRule="exact"/>
        <w:ind w:firstLine="420" w:firstLineChars="200"/>
        <w:rPr>
          <w:rFonts w:ascii="宋体" w:hAnsi="宋体" w:cs="仿宋"/>
          <w:bCs/>
          <w:szCs w:val="21"/>
        </w:rPr>
      </w:pPr>
      <w:r>
        <w:rPr>
          <w:rFonts w:ascii="宋体" w:hAnsi="宋体" w:cs="仿宋"/>
          <w:bCs/>
          <w:szCs w:val="21"/>
        </w:rPr>
        <w:t>7.1甲方应严格按照第四条4.2付款时间支付乙方款项，如应甲方延迟付款导致乙方无法顺利履行协议，甲方承担全部责任及产生的一切费用；</w:t>
      </w:r>
    </w:p>
    <w:p>
      <w:pPr>
        <w:tabs>
          <w:tab w:val="left" w:pos="720"/>
        </w:tabs>
        <w:snapToGrid w:val="0"/>
        <w:spacing w:line="500" w:lineRule="exact"/>
        <w:ind w:firstLine="420" w:firstLineChars="200"/>
        <w:rPr>
          <w:rFonts w:ascii="宋体" w:hAnsi="宋体" w:cs="仿宋"/>
          <w:bCs/>
          <w:szCs w:val="21"/>
        </w:rPr>
      </w:pPr>
      <w:r>
        <w:rPr>
          <w:rFonts w:ascii="宋体" w:hAnsi="宋体" w:cs="仿宋"/>
          <w:bCs/>
          <w:szCs w:val="21"/>
        </w:rPr>
        <w:t>7.2乙方与媒体之间的任何纠纷与甲方无关，</w:t>
      </w:r>
      <w:bookmarkStart w:id="51" w:name="OLE_LINK1"/>
      <w:bookmarkStart w:id="52" w:name="OLE_LINK2"/>
      <w:r>
        <w:rPr>
          <w:rFonts w:hint="eastAsia" w:ascii="宋体" w:hAnsi="宋体" w:cs="仿宋"/>
          <w:szCs w:val="21"/>
        </w:rPr>
        <w:t>甲方已向乙方支付本合同项下全部费用而</w:t>
      </w:r>
      <w:r>
        <w:rPr>
          <w:rFonts w:hint="eastAsia" w:ascii="宋体" w:hAnsi="宋体" w:cs="仿宋"/>
          <w:bCs/>
          <w:szCs w:val="21"/>
        </w:rPr>
        <w:t>乙方未向媒体支付</w:t>
      </w:r>
      <w:bookmarkStart w:id="53" w:name="OLE_LINK6"/>
      <w:r>
        <w:rPr>
          <w:rFonts w:hint="eastAsia" w:ascii="宋体" w:hAnsi="宋体" w:cs="仿宋"/>
          <w:bCs/>
          <w:szCs w:val="21"/>
        </w:rPr>
        <w:t>广告发布、软文撰写投放费</w:t>
      </w:r>
      <w:bookmarkEnd w:id="53"/>
      <w:r>
        <w:rPr>
          <w:rFonts w:hint="eastAsia" w:ascii="宋体" w:hAnsi="宋体" w:cs="仿宋"/>
          <w:bCs/>
          <w:szCs w:val="21"/>
        </w:rPr>
        <w:t>用的，</w:t>
      </w:r>
      <w:bookmarkEnd w:id="51"/>
      <w:bookmarkEnd w:id="52"/>
      <w:r>
        <w:rPr>
          <w:rFonts w:hint="eastAsia" w:ascii="宋体" w:hAnsi="宋体" w:cs="仿宋"/>
          <w:bCs/>
          <w:szCs w:val="21"/>
        </w:rPr>
        <w:t>一切责任由乙方自行承担</w:t>
      </w:r>
      <w:bookmarkStart w:id="54" w:name="OLE_LINK7"/>
      <w:r>
        <w:rPr>
          <w:rFonts w:hint="eastAsia" w:ascii="宋体" w:hAnsi="宋体" w:cs="仿宋"/>
          <w:bCs/>
          <w:szCs w:val="21"/>
        </w:rPr>
        <w:t>，由此给甲方造成损失的，</w:t>
      </w:r>
      <w:bookmarkEnd w:id="54"/>
      <w:r>
        <w:rPr>
          <w:rFonts w:hint="eastAsia" w:ascii="宋体" w:hAnsi="宋体" w:cs="仿宋"/>
          <w:bCs/>
          <w:szCs w:val="21"/>
        </w:rPr>
        <w:t>乙方应予以赔偿；</w:t>
      </w:r>
    </w:p>
    <w:p>
      <w:pPr>
        <w:spacing w:line="500" w:lineRule="exact"/>
        <w:ind w:firstLine="420" w:firstLineChars="200"/>
        <w:rPr>
          <w:rFonts w:ascii="宋体" w:hAnsi="宋体" w:cs="仿宋"/>
          <w:szCs w:val="21"/>
        </w:rPr>
      </w:pPr>
      <w:r>
        <w:rPr>
          <w:rFonts w:ascii="宋体" w:hAnsi="宋体" w:cs="仿宋"/>
          <w:szCs w:val="21"/>
        </w:rPr>
        <w:t>7.3如因乙方配合不积极等原因致使甲方广告、</w:t>
      </w:r>
      <w:r>
        <w:rPr>
          <w:rFonts w:hint="eastAsia" w:ascii="宋体" w:hAnsi="宋体" w:cs="仿宋"/>
          <w:szCs w:val="21"/>
        </w:rPr>
        <w:t>软文不能按计划发布（包括但不限于出现错版、错时、错稿、错刊、漏刊等情况），甲方有权拒付乙方相关费用；未完成部分，甲方</w:t>
      </w:r>
      <w:r>
        <w:rPr>
          <w:rFonts w:hint="eastAsia" w:ascii="宋体" w:hAnsi="宋体" w:cs="仿宋"/>
          <w:bCs/>
          <w:szCs w:val="21"/>
        </w:rPr>
        <w:t>可扣除乙方未完成部分的相应费用</w:t>
      </w:r>
      <w:r>
        <w:rPr>
          <w:rFonts w:hint="eastAsia" w:ascii="宋体" w:hAnsi="宋体" w:cs="仿宋"/>
          <w:szCs w:val="21"/>
        </w:rPr>
        <w:t>。</w:t>
      </w:r>
      <w:r>
        <w:rPr>
          <w:rFonts w:hint="eastAsia" w:ascii="宋体" w:hAnsi="宋体" w:cs="宋体"/>
          <w:bCs/>
          <w:szCs w:val="21"/>
        </w:rPr>
        <w:t>如因此给甲方造成损失的，乙方还应予以赔偿</w:t>
      </w:r>
      <w:r>
        <w:rPr>
          <w:rFonts w:hint="eastAsia" w:ascii="宋体" w:hAnsi="宋体" w:cs="宋体"/>
          <w:szCs w:val="21"/>
        </w:rPr>
        <w:t>；</w:t>
      </w:r>
    </w:p>
    <w:p>
      <w:pPr>
        <w:spacing w:line="500" w:lineRule="exact"/>
        <w:ind w:firstLine="420" w:firstLineChars="200"/>
        <w:rPr>
          <w:rFonts w:ascii="宋体" w:hAnsi="宋体" w:cs="仿宋"/>
          <w:szCs w:val="21"/>
        </w:rPr>
      </w:pPr>
      <w:r>
        <w:rPr>
          <w:rFonts w:ascii="宋体" w:hAnsi="宋体" w:cs="仿宋"/>
          <w:szCs w:val="21"/>
        </w:rPr>
        <w:t>7.4甲乙双方除不可抗力因素外，应按合同约定之要求完成各自所应履行的责任和义务，否则视为违约，违约方应赔偿由此给守约方造成的损失。</w:t>
      </w:r>
    </w:p>
    <w:p>
      <w:pPr>
        <w:spacing w:line="500" w:lineRule="exact"/>
        <w:ind w:firstLine="420" w:firstLineChars="200"/>
        <w:rPr>
          <w:rFonts w:ascii="宋体" w:hAnsi="宋体" w:cs="仿宋"/>
          <w:szCs w:val="21"/>
        </w:rPr>
      </w:pPr>
    </w:p>
    <w:p>
      <w:pPr>
        <w:spacing w:line="500" w:lineRule="exact"/>
        <w:rPr>
          <w:rFonts w:ascii="宋体" w:hAnsi="宋体" w:cs="仿宋"/>
          <w:b/>
          <w:szCs w:val="21"/>
        </w:rPr>
      </w:pPr>
      <w:r>
        <w:rPr>
          <w:rFonts w:hint="eastAsia" w:ascii="宋体" w:hAnsi="宋体" w:cs="仿宋"/>
          <w:b/>
          <w:bCs/>
          <w:spacing w:val="8"/>
          <w:szCs w:val="21"/>
        </w:rPr>
        <w:t>第八条</w:t>
      </w:r>
      <w:r>
        <w:rPr>
          <w:rFonts w:hint="eastAsia" w:ascii="宋体" w:hAnsi="宋体" w:cs="仿宋"/>
          <w:b/>
          <w:szCs w:val="21"/>
        </w:rPr>
        <w:t>协议终止</w:t>
      </w:r>
    </w:p>
    <w:p>
      <w:pPr>
        <w:spacing w:line="500" w:lineRule="exact"/>
        <w:rPr>
          <w:rFonts w:ascii="宋体" w:hAnsi="宋体" w:cs="仿宋"/>
          <w:szCs w:val="21"/>
        </w:rPr>
      </w:pPr>
      <w:r>
        <w:rPr>
          <w:rFonts w:ascii="宋体" w:hAnsi="宋体" w:cs="仿宋"/>
          <w:szCs w:val="21"/>
        </w:rPr>
        <w:t>8.1因解除而终止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1）由于乙方违约造成本协议不能履行或不能完全履行，如果甲方认为本协议已无必要继续履行或乙方在收到甲方要求其纠正违约的通知后仍不纠正其违约行为，则甲方有权向乙方发出解除本协议的书面通知，该通知自送达乙方时生效，乙方应向甲方退还已经收取的费用并按协议约定承担违约责任。违约金不足以弥补甲方损失的，甲方可继续向乙方追偿；</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2）由于甲方违约造成本协议不能履行或不能完全履行，如果甲方在收到乙方要求其纠正违约的通知后仍不纠正其违约行为，则乙方有权向甲方发出解除本协议的书面通知，该通知自送达甲方时生效，甲方应向乙方支付双方确认已完成工作量的款项，并按本协议约定</w:t>
      </w:r>
      <w:r>
        <w:rPr>
          <w:rFonts w:hint="eastAsia" w:ascii="宋体" w:hAnsi="宋体" w:cs="仿宋"/>
          <w:szCs w:val="21"/>
        </w:rPr>
        <w:t>承担违约责任；</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3）协议一方依本协议约定行使解除权的，协议自解除通知送达之日起终止。违约方应当向守约方支付违约金或赔偿损失；</w:t>
      </w:r>
    </w:p>
    <w:p>
      <w:pPr>
        <w:spacing w:line="500" w:lineRule="exact"/>
        <w:ind w:firstLine="432" w:firstLineChars="206"/>
        <w:rPr>
          <w:rFonts w:ascii="宋体" w:hAnsi="宋体" w:cs="仿宋_GB2312"/>
          <w:szCs w:val="21"/>
        </w:rPr>
      </w:pPr>
      <w:r>
        <w:rPr>
          <w:rFonts w:hint="eastAsia" w:ascii="宋体" w:hAnsi="宋体" w:cs="仿宋_GB2312"/>
          <w:szCs w:val="21"/>
        </w:rPr>
        <w:t>（</w:t>
      </w:r>
      <w:r>
        <w:rPr>
          <w:rFonts w:ascii="宋体" w:hAnsi="宋体" w:cs="仿宋_GB2312"/>
          <w:szCs w:val="21"/>
        </w:rPr>
        <w:t>4）</w:t>
      </w:r>
      <w:r>
        <w:rPr>
          <w:rFonts w:hint="eastAsia" w:ascii="宋体" w:hAnsi="宋体" w:cs="仿宋_GB2312"/>
          <w:bCs/>
          <w:szCs w:val="21"/>
        </w:rPr>
        <w:t>如因</w:t>
      </w:r>
      <w:r>
        <w:rPr>
          <w:rFonts w:ascii="宋体" w:hAnsi="宋体" w:cs="仿宋_GB2312"/>
          <w:bCs/>
          <w:szCs w:val="21"/>
        </w:rPr>
        <w:t>2022</w:t>
      </w:r>
      <w:r>
        <w:rPr>
          <w:rFonts w:hint="eastAsia" w:ascii="宋体" w:hAnsi="宋体" w:cs="仿宋_GB2312"/>
          <w:bCs/>
          <w:szCs w:val="21"/>
        </w:rPr>
        <w:t>年新冠病毒疫情未能得到有效控制，当地政府</w:t>
      </w:r>
      <w:r>
        <w:rPr>
          <w:rFonts w:ascii="宋体" w:hAnsi="宋体" w:cs="仿宋_GB2312"/>
          <w:bCs/>
          <w:szCs w:val="21"/>
        </w:rPr>
        <w:t>/主办单位决定不举办本届高交会或延期举办时，按本协议相关约定处理。</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5）协议终止后，不妨碍守约方向违约方追究违约责任。</w:t>
      </w:r>
    </w:p>
    <w:p>
      <w:pPr>
        <w:spacing w:line="500" w:lineRule="exact"/>
        <w:rPr>
          <w:rFonts w:ascii="宋体" w:hAnsi="宋体" w:cs="仿宋"/>
          <w:szCs w:val="21"/>
        </w:rPr>
      </w:pPr>
      <w:r>
        <w:rPr>
          <w:rFonts w:ascii="宋体" w:hAnsi="宋体" w:cs="仿宋"/>
          <w:szCs w:val="21"/>
        </w:rPr>
        <w:t>8.2有下列情形之一的，协议权利义务终止：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1）本协议因已按约定履行完毕而自然终止；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2）本协议经各方协商一致而终止；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3）本协议因一方出现本条8.1项的违约情况（包括一方擅自转让本协议项下权利义务行为），另一方发出解除协议的通知；</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4）法律法规规定终止的其他情形。</w:t>
      </w:r>
    </w:p>
    <w:p>
      <w:pPr>
        <w:spacing w:line="500" w:lineRule="exact"/>
        <w:rPr>
          <w:rFonts w:ascii="宋体" w:hAnsi="宋体" w:cs="仿宋"/>
          <w:b/>
          <w:bCs/>
          <w:spacing w:val="8"/>
          <w:szCs w:val="21"/>
        </w:rPr>
      </w:pPr>
      <w:r>
        <w:rPr>
          <w:rFonts w:hint="eastAsia" w:ascii="宋体" w:hAnsi="宋体" w:cs="仿宋"/>
          <w:b/>
          <w:bCs/>
          <w:spacing w:val="8"/>
          <w:szCs w:val="21"/>
        </w:rPr>
        <w:t>第九条转让条款</w:t>
      </w:r>
    </w:p>
    <w:p>
      <w:pPr>
        <w:spacing w:line="500" w:lineRule="exact"/>
        <w:ind w:firstLine="470"/>
        <w:rPr>
          <w:rFonts w:ascii="宋体" w:hAnsi="宋体" w:cs="仿宋"/>
          <w:szCs w:val="21"/>
        </w:rPr>
      </w:pPr>
      <w:r>
        <w:rPr>
          <w:rFonts w:hint="eastAsia" w:ascii="宋体" w:hAnsi="宋体" w:cs="仿宋"/>
          <w:szCs w:val="21"/>
        </w:rPr>
        <w:t>未经甲方书面同意，乙方不得全部或部分转让其在本协议项下的权利和义务。否则甲方有权解除协议并按第八条执行。</w:t>
      </w:r>
    </w:p>
    <w:p>
      <w:pPr>
        <w:spacing w:line="500" w:lineRule="exact"/>
        <w:ind w:firstLine="470"/>
        <w:rPr>
          <w:rFonts w:ascii="宋体" w:hAnsi="宋体"/>
          <w:szCs w:val="21"/>
        </w:rPr>
      </w:pPr>
    </w:p>
    <w:p>
      <w:pPr>
        <w:spacing w:line="500" w:lineRule="exact"/>
        <w:rPr>
          <w:rFonts w:ascii="宋体" w:hAnsi="宋体" w:cs="仿宋"/>
          <w:b/>
          <w:szCs w:val="21"/>
        </w:rPr>
      </w:pPr>
      <w:r>
        <w:rPr>
          <w:rFonts w:hint="eastAsia" w:ascii="宋体" w:hAnsi="宋体" w:cs="仿宋"/>
          <w:b/>
          <w:szCs w:val="21"/>
        </w:rPr>
        <w:t>第十条保密条款</w:t>
      </w:r>
    </w:p>
    <w:p>
      <w:pPr>
        <w:spacing w:line="500" w:lineRule="exact"/>
        <w:rPr>
          <w:rFonts w:ascii="宋体" w:hAnsi="宋体" w:cs="仿宋"/>
          <w:szCs w:val="21"/>
        </w:rPr>
      </w:pPr>
      <w:r>
        <w:rPr>
          <w:rFonts w:ascii="宋体" w:hAnsi="宋体" w:cs="仿宋"/>
          <w:szCs w:val="21"/>
        </w:rPr>
        <w:t>10.1所有项目成果的版权归甲方所有；</w:t>
      </w:r>
    </w:p>
    <w:p>
      <w:pPr>
        <w:spacing w:line="500" w:lineRule="exact"/>
        <w:rPr>
          <w:rFonts w:ascii="宋体" w:hAnsi="宋体" w:cs="仿宋"/>
          <w:szCs w:val="21"/>
        </w:rPr>
      </w:pPr>
      <w:r>
        <w:rPr>
          <w:rFonts w:ascii="宋体" w:hAnsi="宋体" w:cs="仿宋"/>
          <w:szCs w:val="21"/>
        </w:rPr>
        <w:t>10.2</w:t>
      </w:r>
      <w:r>
        <w:rPr>
          <w:rFonts w:ascii="宋体" w:hAnsi="宋体" w:cs="仿宋"/>
          <w:szCs w:val="21"/>
        </w:rPr>
        <w:tab/>
      </w:r>
      <w:r>
        <w:rPr>
          <w:rFonts w:hint="eastAsia" w:ascii="宋体" w:hAnsi="宋体" w:cs="仿宋"/>
          <w:szCs w:val="21"/>
        </w:rPr>
        <w:t>乙方必须保证对媒体广告投放、软文撰稿、文案策划等方面的合法性，不得有欺骗、抄袭等侵权行为。若乙方因违法违规等行为所造成的法律责任与甲方无关，如果对甲方造成损失的，乙方应当赔偿甲方损失；</w:t>
      </w:r>
    </w:p>
    <w:p>
      <w:pPr>
        <w:spacing w:line="500" w:lineRule="exact"/>
        <w:rPr>
          <w:rFonts w:ascii="宋体" w:hAnsi="宋体" w:cs="仿宋"/>
          <w:szCs w:val="21"/>
        </w:rPr>
      </w:pPr>
      <w:r>
        <w:rPr>
          <w:rFonts w:ascii="宋体" w:hAnsi="宋体" w:cs="仿宋"/>
          <w:szCs w:val="21"/>
        </w:rPr>
        <w:t>10.3在本协议订立前、履行中及终止后，甲乙双方对本合同和相互提供的资料、信息（包括但不限于商业秘密、设计图片、媒体资料、投放数据等）负保密责任；</w:t>
      </w:r>
    </w:p>
    <w:p>
      <w:pPr>
        <w:spacing w:line="500" w:lineRule="exact"/>
        <w:rPr>
          <w:rFonts w:ascii="宋体" w:hAnsi="宋体" w:cs="仿宋"/>
          <w:szCs w:val="21"/>
        </w:rPr>
      </w:pPr>
      <w:r>
        <w:rPr>
          <w:rFonts w:ascii="宋体" w:hAnsi="宋体" w:cs="仿宋"/>
          <w:szCs w:val="21"/>
        </w:rPr>
        <w:t>10.4任何一方违反本协议约定的，</w:t>
      </w:r>
      <w:r>
        <w:rPr>
          <w:rFonts w:hint="eastAsia" w:ascii="宋体" w:hAnsi="宋体" w:cs="仿宋"/>
          <w:szCs w:val="21"/>
        </w:rPr>
        <w:t>责任方应按协议金额</w:t>
      </w:r>
      <w:r>
        <w:rPr>
          <w:rFonts w:ascii="宋体" w:hAnsi="宋体" w:cs="仿宋"/>
          <w:szCs w:val="21"/>
        </w:rPr>
        <w:t>10％向协议他方支付违</w:t>
      </w:r>
      <w:r>
        <w:rPr>
          <w:rFonts w:hint="eastAsia" w:ascii="宋体" w:hAnsi="宋体" w:cs="仿宋"/>
          <w:szCs w:val="21"/>
        </w:rPr>
        <w:t>约金，违约金不足以赔偿协议他方损失的，应按协议他方的实际损失给予赔偿；</w:t>
      </w:r>
    </w:p>
    <w:p>
      <w:pPr>
        <w:spacing w:line="500" w:lineRule="exact"/>
        <w:rPr>
          <w:rFonts w:ascii="宋体" w:hAnsi="宋体" w:cs="仿宋"/>
          <w:szCs w:val="21"/>
        </w:rPr>
      </w:pPr>
      <w:r>
        <w:rPr>
          <w:rFonts w:ascii="宋体" w:hAnsi="宋体" w:cs="仿宋"/>
          <w:szCs w:val="21"/>
        </w:rPr>
        <w:t>10.5保密条款具有独立性，不受本协议的终止或解除的影响。</w:t>
      </w:r>
    </w:p>
    <w:p>
      <w:pPr>
        <w:spacing w:line="500" w:lineRule="exact"/>
        <w:rPr>
          <w:rFonts w:ascii="宋体" w:hAnsi="宋体" w:cs="仿宋"/>
          <w:b/>
          <w:szCs w:val="21"/>
        </w:rPr>
      </w:pPr>
      <w:r>
        <w:rPr>
          <w:rFonts w:hint="eastAsia" w:ascii="宋体" w:hAnsi="宋体" w:cs="仿宋"/>
          <w:b/>
          <w:szCs w:val="21"/>
        </w:rPr>
        <w:t>第十一条不可抗力</w:t>
      </w:r>
    </w:p>
    <w:p>
      <w:pPr>
        <w:spacing w:line="500" w:lineRule="exact"/>
        <w:rPr>
          <w:rFonts w:ascii="宋体" w:hAnsi="宋体" w:cs="仿宋"/>
          <w:szCs w:val="21"/>
        </w:rPr>
      </w:pPr>
      <w:r>
        <w:rPr>
          <w:rFonts w:ascii="宋体" w:hAnsi="宋体" w:cs="仿宋"/>
          <w:szCs w:val="21"/>
        </w:rPr>
        <w:t xml:space="preserve"> 11.1如协议一方延迟履行或未能履行其本协议中列明之义务，但 该延迟履行或未能履行是因不可抗力而引起，且在该不可抗力排除后第一时间通知了对方,并提供有效证明，该方不被视为违反本协议；</w:t>
      </w:r>
    </w:p>
    <w:p>
      <w:pPr>
        <w:spacing w:line="500" w:lineRule="exact"/>
        <w:rPr>
          <w:rFonts w:ascii="宋体" w:hAnsi="宋体" w:cs="仿宋"/>
          <w:szCs w:val="21"/>
        </w:rPr>
      </w:pPr>
      <w:r>
        <w:rPr>
          <w:rFonts w:ascii="宋体" w:hAnsi="宋体" w:cs="仿宋"/>
          <w:szCs w:val="21"/>
        </w:rPr>
        <w:t xml:space="preserve"> 11.2如该不可抗力导致本次项目的实施被延迟，则该被延迟的项目将重新安排于甲方所决定的最早可能日期执行；</w:t>
      </w:r>
    </w:p>
    <w:p>
      <w:pPr>
        <w:spacing w:line="500" w:lineRule="exact"/>
        <w:rPr>
          <w:rFonts w:ascii="宋体" w:hAnsi="宋体" w:cs="仿宋"/>
          <w:szCs w:val="21"/>
        </w:rPr>
      </w:pPr>
      <w:r>
        <w:rPr>
          <w:rFonts w:ascii="宋体" w:hAnsi="宋体" w:cs="仿宋"/>
          <w:szCs w:val="21"/>
        </w:rPr>
        <w:t xml:space="preserve"> 11.3本协议项下的不可抗力是指：无法预见、无法避免且无法克服的客观事实，包括但不限于</w:t>
      </w:r>
      <w:r>
        <w:rPr>
          <w:rFonts w:hint="eastAsia" w:ascii="宋体" w:hAnsi="宋体"/>
          <w:bCs/>
          <w:szCs w:val="21"/>
        </w:rPr>
        <w:t>战争、罢工、倒闭、国内暴乱、疾病蔓延、敌对抵抗、戒严令、火灾、洪水、暴风雨、干旱、火山爆发、爆炸、核或化学事件或辐射、海啸、任何自然灾害</w:t>
      </w:r>
      <w:r>
        <w:rPr>
          <w:rFonts w:hint="eastAsia" w:ascii="宋体" w:hAnsi="宋体" w:cs="仿宋"/>
          <w:szCs w:val="21"/>
        </w:rPr>
        <w:t>等。</w:t>
      </w:r>
    </w:p>
    <w:p>
      <w:pPr>
        <w:spacing w:line="500" w:lineRule="exact"/>
        <w:rPr>
          <w:rFonts w:ascii="宋体" w:hAnsi="宋体" w:cs="仿宋"/>
          <w:b/>
          <w:szCs w:val="21"/>
        </w:rPr>
      </w:pPr>
      <w:r>
        <w:rPr>
          <w:rFonts w:hint="eastAsia" w:ascii="宋体" w:hAnsi="宋体" w:cs="仿宋"/>
          <w:b/>
          <w:szCs w:val="21"/>
        </w:rPr>
        <w:t>第十二条 特别说明：</w:t>
      </w:r>
    </w:p>
    <w:p>
      <w:pPr>
        <w:pStyle w:val="2"/>
        <w:numPr>
          <w:ilvl w:val="0"/>
          <w:numId w:val="26"/>
        </w:numPr>
        <w:rPr>
          <w:rFonts w:ascii="宋体" w:eastAsia="宋体" w:cs="宋体"/>
          <w:szCs w:val="21"/>
        </w:rPr>
      </w:pPr>
      <w:r>
        <w:rPr>
          <w:rFonts w:hint="eastAsia" w:ascii="宋体" w:eastAsia="宋体" w:cs="宋体"/>
          <w:szCs w:val="21"/>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
        <w:numPr>
          <w:ilvl w:val="0"/>
          <w:numId w:val="26"/>
        </w:numPr>
        <w:rPr>
          <w:rFonts w:ascii="宋体" w:eastAsia="宋体" w:cs="宋体"/>
          <w:szCs w:val="21"/>
        </w:rPr>
      </w:pPr>
      <w:r>
        <w:rPr>
          <w:rFonts w:hint="eastAsia" w:ascii="宋体" w:eastAsia="宋体" w:cs="宋体"/>
          <w:szCs w:val="21"/>
        </w:rPr>
        <w:t>如因不可抗力导致本届高交会会期或其它相关事项发生变动的，投标人须无条件配合调整相关服务（如增减服务内容、延期等），同时签订相应的补充协议。</w:t>
      </w:r>
    </w:p>
    <w:p>
      <w:pPr>
        <w:pStyle w:val="2"/>
        <w:numPr>
          <w:ilvl w:val="0"/>
          <w:numId w:val="26"/>
        </w:numPr>
      </w:pPr>
      <w:r>
        <w:rPr>
          <w:rFonts w:hint="eastAsia" w:ascii="宋体" w:eastAsia="宋体" w:cs="宋体"/>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pPr>
        <w:pStyle w:val="2"/>
        <w:numPr>
          <w:ilvl w:val="0"/>
          <w:numId w:val="26"/>
        </w:numPr>
      </w:pPr>
    </w:p>
    <w:p>
      <w:pPr>
        <w:spacing w:line="500" w:lineRule="exact"/>
        <w:rPr>
          <w:rFonts w:ascii="宋体" w:hAnsi="宋体" w:cs="仿宋"/>
          <w:b/>
          <w:szCs w:val="21"/>
        </w:rPr>
      </w:pPr>
      <w:r>
        <w:rPr>
          <w:rFonts w:hint="eastAsia" w:ascii="宋体" w:hAnsi="宋体" w:cs="仿宋"/>
          <w:b/>
          <w:szCs w:val="21"/>
        </w:rPr>
        <w:t>第十三条法律适用</w:t>
      </w:r>
    </w:p>
    <w:p>
      <w:pPr>
        <w:spacing w:line="500" w:lineRule="exact"/>
        <w:ind w:firstLine="432" w:firstLineChars="206"/>
        <w:rPr>
          <w:rFonts w:ascii="宋体" w:hAnsi="宋体" w:cs="仿宋"/>
          <w:szCs w:val="21"/>
        </w:rPr>
      </w:pPr>
      <w:r>
        <w:rPr>
          <w:rFonts w:hint="eastAsia" w:ascii="宋体" w:hAnsi="宋体" w:cs="仿宋"/>
          <w:szCs w:val="21"/>
        </w:rPr>
        <w:t>本协议的订立、效力、解释、履行和争议的解决均适用中华人民共和国法律法规。</w:t>
      </w:r>
    </w:p>
    <w:p>
      <w:pPr>
        <w:spacing w:line="500" w:lineRule="exact"/>
        <w:ind w:firstLine="432" w:firstLineChars="206"/>
        <w:rPr>
          <w:rFonts w:ascii="宋体" w:hAnsi="宋体" w:cs="仿宋"/>
          <w:szCs w:val="21"/>
        </w:rPr>
      </w:pPr>
    </w:p>
    <w:p>
      <w:pPr>
        <w:spacing w:line="500" w:lineRule="exact"/>
        <w:rPr>
          <w:rFonts w:ascii="宋体" w:hAnsi="宋体" w:cs="仿宋"/>
          <w:b/>
          <w:szCs w:val="21"/>
        </w:rPr>
      </w:pPr>
      <w:r>
        <w:rPr>
          <w:rFonts w:hint="eastAsia" w:ascii="宋体" w:hAnsi="宋体" w:cs="仿宋"/>
          <w:b/>
          <w:szCs w:val="21"/>
        </w:rPr>
        <w:t>第十四条争议的解决</w:t>
      </w:r>
    </w:p>
    <w:p>
      <w:pPr>
        <w:spacing w:line="500" w:lineRule="exact"/>
        <w:ind w:firstLine="432" w:firstLineChars="206"/>
        <w:rPr>
          <w:rFonts w:ascii="宋体" w:hAnsi="宋体" w:cs="仿宋"/>
          <w:szCs w:val="21"/>
        </w:rPr>
      </w:pPr>
      <w:r>
        <w:rPr>
          <w:rFonts w:hint="eastAsia" w:ascii="宋体" w:hAnsi="宋体" w:cs="仿宋"/>
          <w:szCs w:val="21"/>
        </w:rPr>
        <w:t>凡因执行本协议所发生的或与本协议有关的一切争议，协议各方应通过友好协商解决；如果协商不能解决，任何一方均可向甲方所在地的人民法院起诉。</w:t>
      </w:r>
    </w:p>
    <w:p>
      <w:pPr>
        <w:spacing w:line="500" w:lineRule="exact"/>
        <w:ind w:firstLine="432" w:firstLineChars="206"/>
        <w:rPr>
          <w:rFonts w:ascii="宋体" w:hAnsi="宋体" w:cs="仿宋"/>
          <w:szCs w:val="21"/>
        </w:rPr>
      </w:pPr>
    </w:p>
    <w:p>
      <w:pPr>
        <w:spacing w:line="500" w:lineRule="exact"/>
        <w:rPr>
          <w:rFonts w:ascii="宋体" w:hAnsi="宋体" w:cs="仿宋"/>
          <w:b/>
          <w:bCs/>
          <w:spacing w:val="8"/>
          <w:szCs w:val="21"/>
        </w:rPr>
      </w:pPr>
      <w:r>
        <w:rPr>
          <w:rFonts w:hint="eastAsia" w:ascii="宋体" w:hAnsi="宋体" w:cs="仿宋"/>
          <w:b/>
          <w:bCs/>
          <w:spacing w:val="8"/>
          <w:szCs w:val="21"/>
        </w:rPr>
        <w:t>第十五条其他</w:t>
      </w:r>
    </w:p>
    <w:p>
      <w:pPr>
        <w:spacing w:line="500" w:lineRule="exact"/>
        <w:rPr>
          <w:rFonts w:ascii="宋体" w:hAnsi="宋体" w:cs="仿宋"/>
          <w:szCs w:val="21"/>
        </w:rPr>
      </w:pPr>
      <w:r>
        <w:rPr>
          <w:rFonts w:ascii="宋体" w:hAnsi="宋体" w:cs="仿宋"/>
          <w:szCs w:val="21"/>
        </w:rPr>
        <w:t>14.1</w:t>
      </w:r>
      <w:r>
        <w:rPr>
          <w:rFonts w:hint="eastAsia" w:ascii="宋体" w:hAnsi="宋体" w:cs="仿宋"/>
          <w:spacing w:val="8"/>
          <w:szCs w:val="21"/>
        </w:rPr>
        <w:t>本</w:t>
      </w:r>
      <w:r>
        <w:rPr>
          <w:rFonts w:hint="eastAsia" w:ascii="宋体" w:hAnsi="宋体" w:cs="仿宋"/>
          <w:szCs w:val="21"/>
        </w:rPr>
        <w:t>合同如有未尽事宜，双方协商解决，并以合同补充条款的形式确立解决方案；</w:t>
      </w:r>
    </w:p>
    <w:p>
      <w:pPr>
        <w:spacing w:line="500" w:lineRule="exact"/>
        <w:rPr>
          <w:rFonts w:ascii="宋体" w:hAnsi="宋体" w:cs="仿宋"/>
          <w:szCs w:val="21"/>
        </w:rPr>
      </w:pPr>
      <w:r>
        <w:rPr>
          <w:rFonts w:ascii="宋体" w:hAnsi="宋体" w:cs="仿宋"/>
          <w:szCs w:val="21"/>
        </w:rPr>
        <w:t>14.2本合同一式肆份，甲方执叁份、乙方执壹份，每份均具同等法律效力；</w:t>
      </w:r>
    </w:p>
    <w:p>
      <w:pPr>
        <w:spacing w:line="500" w:lineRule="exact"/>
        <w:rPr>
          <w:rFonts w:ascii="宋体" w:hAnsi="宋体" w:cs="仿宋"/>
          <w:szCs w:val="21"/>
        </w:rPr>
      </w:pPr>
      <w:r>
        <w:rPr>
          <w:rFonts w:ascii="宋体" w:hAnsi="宋体" w:cs="仿宋"/>
          <w:szCs w:val="21"/>
        </w:rPr>
        <w:t>14.3本合同附件以及在执行本合同过程中的经双方确认的传真、邮件、书面证明等均与本合同具有同等法律效力；</w:t>
      </w:r>
    </w:p>
    <w:p>
      <w:pPr>
        <w:spacing w:line="500" w:lineRule="exact"/>
        <w:rPr>
          <w:rFonts w:ascii="宋体" w:hAnsi="宋体" w:cs="仿宋"/>
          <w:szCs w:val="21"/>
        </w:rPr>
      </w:pPr>
      <w:r>
        <w:rPr>
          <w:rFonts w:ascii="宋体" w:hAnsi="宋体" w:cs="仿宋"/>
          <w:szCs w:val="21"/>
        </w:rPr>
        <w:t>14.4本协议载明的联系方式（包括电话、地址、联系人）为双方约定的联系方式、若有变动，应书面告知对方，否则，</w:t>
      </w:r>
      <w:r>
        <w:rPr>
          <w:rFonts w:hint="eastAsia" w:ascii="宋体" w:hAnsi="宋体" w:cs="仿宋"/>
          <w:szCs w:val="21"/>
        </w:rPr>
        <w:t>该联系方式为双方法定的送达和联系方式。</w:t>
      </w:r>
    </w:p>
    <w:p>
      <w:pPr>
        <w:spacing w:line="500" w:lineRule="exact"/>
        <w:rPr>
          <w:rFonts w:ascii="宋体" w:hAnsi="宋体" w:cs="仿宋"/>
          <w:szCs w:val="21"/>
        </w:rPr>
      </w:pPr>
      <w:r>
        <w:rPr>
          <w:rFonts w:ascii="宋体" w:hAnsi="宋体" w:cs="仿宋"/>
          <w:szCs w:val="21"/>
        </w:rPr>
        <w:t xml:space="preserve">14.5 </w:t>
      </w:r>
      <w:r>
        <w:rPr>
          <w:rFonts w:hint="eastAsia" w:ascii="宋体" w:hAnsi="宋体" w:cs="仿宋"/>
          <w:szCs w:val="21"/>
        </w:rPr>
        <w:t>本合同自双方签字盖章之日起生效。</w:t>
      </w:r>
    </w:p>
    <w:p>
      <w:pPr>
        <w:spacing w:line="500" w:lineRule="exact"/>
        <w:ind w:firstLine="420" w:firstLineChars="200"/>
        <w:rPr>
          <w:rFonts w:ascii="宋体" w:hAnsi="宋体" w:cs="仿宋"/>
          <w:szCs w:val="21"/>
        </w:rPr>
      </w:pPr>
      <w:r>
        <w:rPr>
          <w:rFonts w:hint="eastAsia" w:ascii="宋体" w:hAnsi="宋体" w:cs="仿宋"/>
          <w:szCs w:val="21"/>
        </w:rPr>
        <w:t>合同附件：《深圳会展中心第二十四届高交会环保与能源展行业垂直媒体投放服务计划及报价表》</w:t>
      </w:r>
    </w:p>
    <w:p>
      <w:pPr>
        <w:spacing w:line="500" w:lineRule="exact"/>
        <w:rPr>
          <w:rFonts w:ascii="宋体" w:hAnsi="宋体" w:cs="仿宋"/>
          <w:bCs/>
          <w:szCs w:val="21"/>
        </w:rPr>
      </w:pPr>
      <w:r>
        <w:rPr>
          <w:rFonts w:hint="eastAsia" w:ascii="宋体" w:hAnsi="宋体" w:cs="仿宋"/>
          <w:bCs/>
          <w:szCs w:val="21"/>
        </w:rPr>
        <w:t>以下为签字页，无正文。</w:t>
      </w:r>
    </w:p>
    <w:p>
      <w:pPr>
        <w:spacing w:line="500" w:lineRule="exact"/>
        <w:rPr>
          <w:rFonts w:ascii="宋体" w:hAnsi="宋体" w:cs="仿宋"/>
          <w:bCs/>
          <w:szCs w:val="21"/>
        </w:rPr>
      </w:pPr>
    </w:p>
    <w:p>
      <w:pPr>
        <w:spacing w:line="500" w:lineRule="exact"/>
        <w:rPr>
          <w:rFonts w:ascii="宋体" w:hAnsi="宋体" w:cs="仿宋"/>
          <w:bCs/>
          <w:szCs w:val="21"/>
        </w:rPr>
      </w:pPr>
    </w:p>
    <w:p>
      <w:pPr>
        <w:spacing w:line="500" w:lineRule="exact"/>
        <w:ind w:firstLine="315" w:firstLineChars="150"/>
        <w:rPr>
          <w:rFonts w:ascii="宋体" w:hAnsi="宋体" w:cs="仿宋"/>
          <w:szCs w:val="21"/>
        </w:rPr>
      </w:pPr>
      <w:r>
        <w:rPr>
          <w:rFonts w:hint="eastAsia" w:ascii="宋体" w:hAnsi="宋体" w:cs="仿宋"/>
          <w:szCs w:val="21"/>
        </w:rPr>
        <w:t>甲方：</w:t>
      </w:r>
      <w:r>
        <w:rPr>
          <w:rFonts w:ascii="宋体" w:hAnsi="宋体" w:cs="仿宋"/>
          <w:szCs w:val="21"/>
        </w:rPr>
        <w:t xml:space="preserve">                              </w:t>
      </w:r>
      <w:r>
        <w:rPr>
          <w:rFonts w:hint="eastAsia" w:ascii="宋体" w:hAnsi="宋体" w:cs="仿宋"/>
          <w:szCs w:val="21"/>
        </w:rPr>
        <w:t>乙方：</w:t>
      </w:r>
    </w:p>
    <w:p>
      <w:pPr>
        <w:spacing w:line="500" w:lineRule="exact"/>
        <w:ind w:firstLine="315" w:firstLineChars="150"/>
        <w:rPr>
          <w:rFonts w:ascii="宋体" w:hAnsi="宋体" w:cs="仿宋"/>
          <w:szCs w:val="21"/>
        </w:rPr>
      </w:pPr>
      <w:r>
        <w:rPr>
          <w:rFonts w:hint="eastAsia" w:ascii="宋体" w:hAnsi="宋体" w:cs="仿宋"/>
          <w:szCs w:val="21"/>
        </w:rPr>
        <w:t>法定代表人</w:t>
      </w:r>
      <w:r>
        <w:rPr>
          <w:rFonts w:ascii="宋体" w:hAnsi="宋体" w:cs="仿宋"/>
          <w:szCs w:val="21"/>
        </w:rPr>
        <w:t xml:space="preserve">                          </w:t>
      </w:r>
      <w:r>
        <w:rPr>
          <w:rFonts w:hint="eastAsia" w:ascii="宋体" w:hAnsi="宋体" w:cs="仿宋"/>
          <w:szCs w:val="21"/>
        </w:rPr>
        <w:t>法定代表人</w:t>
      </w:r>
    </w:p>
    <w:p>
      <w:pPr>
        <w:spacing w:line="500" w:lineRule="exact"/>
        <w:ind w:firstLine="315" w:firstLineChars="150"/>
        <w:rPr>
          <w:rFonts w:ascii="宋体" w:hAnsi="宋体" w:cs="仿宋"/>
          <w:szCs w:val="21"/>
        </w:rPr>
      </w:pPr>
      <w:r>
        <w:rPr>
          <w:rFonts w:hint="eastAsia" w:ascii="宋体" w:hAnsi="宋体" w:cs="仿宋"/>
          <w:szCs w:val="21"/>
        </w:rPr>
        <w:t>（或授权签约人）：</w:t>
      </w:r>
      <w:r>
        <w:rPr>
          <w:rFonts w:ascii="宋体" w:hAnsi="宋体" w:cs="仿宋"/>
          <w:szCs w:val="21"/>
        </w:rPr>
        <w:t xml:space="preserve">                  </w:t>
      </w:r>
      <w:r>
        <w:rPr>
          <w:rFonts w:hint="eastAsia" w:ascii="宋体" w:hAnsi="宋体" w:cs="仿宋"/>
          <w:szCs w:val="21"/>
        </w:rPr>
        <w:t>（或授权签约人）：</w:t>
      </w:r>
    </w:p>
    <w:p>
      <w:pPr>
        <w:spacing w:line="500" w:lineRule="exact"/>
        <w:ind w:firstLine="315" w:firstLineChars="150"/>
        <w:rPr>
          <w:rFonts w:ascii="宋体" w:hAnsi="宋体" w:cs="仿宋"/>
          <w:szCs w:val="21"/>
        </w:rPr>
      </w:pPr>
      <w:r>
        <w:rPr>
          <w:rFonts w:hint="eastAsia" w:ascii="宋体" w:hAnsi="宋体" w:cs="仿宋"/>
          <w:szCs w:val="21"/>
        </w:rPr>
        <w:t>签约时间：</w:t>
      </w:r>
      <w:r>
        <w:rPr>
          <w:rFonts w:ascii="宋体" w:hAnsi="宋体" w:cs="仿宋"/>
          <w:szCs w:val="21"/>
        </w:rPr>
        <w:t xml:space="preserve">                          </w:t>
      </w:r>
      <w:r>
        <w:rPr>
          <w:rFonts w:hint="eastAsia" w:ascii="宋体" w:hAnsi="宋体" w:cs="仿宋"/>
          <w:szCs w:val="21"/>
        </w:rPr>
        <w:t>签约时间：</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color w:val="FF0000"/>
        </w:rPr>
        <w:sectPr>
          <w:footerReference r:id="rId4" w:type="default"/>
          <w:pgSz w:w="11906" w:h="16838"/>
          <w:pgMar w:top="1440" w:right="1800" w:bottom="1440" w:left="1800" w:header="851" w:footer="992" w:gutter="0"/>
          <w:cols w:space="720" w:num="1"/>
          <w:docGrid w:type="lines" w:linePitch="312" w:charSpace="0"/>
        </w:sectPr>
      </w:pPr>
      <w:r>
        <w:br w:type="page"/>
      </w:r>
    </w:p>
    <w:p>
      <w:pPr>
        <w:spacing w:line="360" w:lineRule="auto"/>
        <w:jc w:val="center"/>
        <w:outlineLvl w:val="0"/>
        <w:rPr>
          <w:rFonts w:ascii="方正小标宋_GBK" w:hAnsi="方正小标宋_GBK" w:eastAsia="方正小标宋_GBK"/>
          <w:b/>
          <w:sz w:val="32"/>
          <w:szCs w:val="32"/>
        </w:rPr>
      </w:pPr>
      <w:bookmarkStart w:id="55" w:name="_Toc9939"/>
      <w:r>
        <w:rPr>
          <w:rFonts w:hint="eastAsia" w:ascii="方正小标宋_GBK" w:hAnsi="方正小标宋_GBK" w:eastAsia="方正小标宋_GBK"/>
          <w:b/>
          <w:sz w:val="32"/>
          <w:szCs w:val="32"/>
        </w:rPr>
        <w:t>第五部分：参考附件</w:t>
      </w:r>
    </w:p>
    <w:p>
      <w:pPr>
        <w:spacing w:line="360" w:lineRule="auto"/>
        <w:jc w:val="center"/>
        <w:outlineLvl w:val="0"/>
        <w:rPr>
          <w:rFonts w:ascii="方正小标宋_GBK" w:hAnsi="方正小标宋_GBK" w:eastAsia="方正小标宋_GBK"/>
          <w:b/>
          <w:sz w:val="32"/>
          <w:szCs w:val="32"/>
        </w:rPr>
      </w:pPr>
    </w:p>
    <w:p>
      <w:pPr>
        <w:spacing w:line="0" w:lineRule="atLeast"/>
        <w:outlineLvl w:val="1"/>
        <w:rPr>
          <w:rFonts w:ascii="宋体" w:hAnsi="宋体"/>
        </w:rPr>
      </w:pPr>
      <w:bookmarkStart w:id="56" w:name="_Toc102052802"/>
      <w:bookmarkStart w:id="57" w:name="_Toc7610"/>
      <w:r>
        <w:rPr>
          <w:rFonts w:hint="eastAsia" w:ascii="宋体" w:hAnsi="宋体"/>
          <w:szCs w:val="21"/>
        </w:rPr>
        <w:t>附件1：</w:t>
      </w:r>
      <w:r>
        <w:rPr>
          <w:rFonts w:hint="eastAsia" w:ascii="宋体" w:hAnsi="宋体"/>
        </w:rPr>
        <w:t>报名回函</w:t>
      </w:r>
      <w:bookmarkEnd w:id="56"/>
      <w:bookmarkEnd w:id="57"/>
    </w:p>
    <w:p>
      <w:pPr>
        <w:pStyle w:val="2"/>
      </w:pPr>
    </w:p>
    <w:p>
      <w:pPr>
        <w:pStyle w:val="21"/>
        <w:jc w:val="center"/>
        <w:rPr>
          <w:rFonts w:ascii="仿宋" w:hAnsi="仿宋" w:eastAsia="仿宋" w:cs="仿宋"/>
          <w:sz w:val="32"/>
          <w:szCs w:val="32"/>
        </w:rPr>
      </w:pPr>
      <w:r>
        <w:rPr>
          <w:rStyle w:val="26"/>
          <w:rFonts w:hint="eastAsia" w:ascii="仿宋" w:hAnsi="仿宋" w:eastAsia="仿宋" w:cs="仿宋"/>
          <w:sz w:val="32"/>
          <w:szCs w:val="32"/>
        </w:rPr>
        <w:t>关于确认参加深圳会展中心第二十四届高交会环保与能源展行业垂直媒体宣传采购项目投标的回函</w:t>
      </w:r>
    </w:p>
    <w:p>
      <w:pPr>
        <w:pStyle w:val="21"/>
        <w:rPr>
          <w:rFonts w:ascii="微软雅黑" w:hAnsi="微软雅黑" w:eastAsia="微软雅黑"/>
          <w:sz w:val="18"/>
          <w:szCs w:val="18"/>
        </w:rPr>
      </w:pPr>
    </w:p>
    <w:p>
      <w:pPr>
        <w:pStyle w:val="21"/>
        <w:rPr>
          <w:rFonts w:ascii="微软雅黑" w:hAnsi="微软雅黑" w:eastAsia="微软雅黑"/>
          <w:sz w:val="18"/>
          <w:szCs w:val="18"/>
        </w:rPr>
      </w:pPr>
    </w:p>
    <w:p>
      <w:pPr>
        <w:pStyle w:val="21"/>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21"/>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我公司符合深圳会展中心第二十四届高交会环保与能源展行业垂直媒体宣传采购项目的资质条件及项目要求，确定按时、按要求提交本项目投标文件。</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21"/>
        <w:spacing w:after="240"/>
        <w:ind w:firstLine="616" w:firstLineChars="220"/>
        <w:rPr>
          <w:rFonts w:ascii="仿宋" w:hAnsi="仿宋" w:eastAsia="仿宋"/>
          <w:sz w:val="28"/>
          <w:szCs w:val="28"/>
        </w:rPr>
      </w:pPr>
    </w:p>
    <w:p>
      <w:pPr>
        <w:pStyle w:val="21"/>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rFonts w:ascii="宋体" w:hAnsi="宋体"/>
          <w:b/>
          <w:sz w:val="21"/>
          <w:szCs w:val="21"/>
        </w:rPr>
      </w:pPr>
    </w:p>
    <w:p>
      <w:pPr>
        <w:pStyle w:val="17"/>
        <w:rPr>
          <w:rFonts w:ascii="宋体" w:hAnsi="宋体"/>
          <w:b/>
          <w:sz w:val="21"/>
          <w:szCs w:val="21"/>
        </w:rPr>
      </w:pPr>
      <w:r>
        <w:rPr>
          <w:rFonts w:hint="eastAsia" w:ascii="宋体" w:hAnsi="宋体"/>
          <w:b/>
          <w:sz w:val="21"/>
          <w:szCs w:val="21"/>
        </w:rPr>
        <w:t>注：1.本件电子档及盖章后的扫描件按要求上传至指定地址；</w:t>
      </w:r>
    </w:p>
    <w:p>
      <w:pPr>
        <w:pStyle w:val="1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360" w:lineRule="auto"/>
        <w:outlineLvl w:val="0"/>
        <w:rPr>
          <w:rFonts w:ascii="方正小标宋_GBK" w:hAnsi="方正小标宋_GBK" w:eastAsia="方正小标宋_GBK"/>
          <w:b/>
          <w:sz w:val="32"/>
          <w:szCs w:val="32"/>
        </w:rPr>
      </w:pPr>
    </w:p>
    <w:bookmarkEnd w:id="55"/>
    <w:p>
      <w:pPr>
        <w:spacing w:line="0" w:lineRule="atLeast"/>
        <w:outlineLvl w:val="1"/>
        <w:rPr>
          <w:ins w:id="0" w:author="沈炯新" w:date="2022-05-05T16:00:00Z"/>
          <w:rFonts w:ascii="宋体" w:hAnsi="宋体"/>
          <w:szCs w:val="21"/>
        </w:rPr>
      </w:pPr>
      <w:bookmarkStart w:id="58" w:name="_Toc2928"/>
    </w:p>
    <w:p>
      <w:pPr>
        <w:spacing w:line="0" w:lineRule="atLeast"/>
        <w:outlineLvl w:val="1"/>
        <w:rPr>
          <w:ins w:id="1" w:author="沈炯新" w:date="2022-05-05T16:00:00Z"/>
          <w:rFonts w:ascii="宋体" w:hAnsi="宋体"/>
          <w:szCs w:val="21"/>
        </w:rPr>
      </w:pPr>
    </w:p>
    <w:p>
      <w:pPr>
        <w:spacing w:line="0" w:lineRule="atLeast"/>
        <w:outlineLvl w:val="1"/>
        <w:rPr>
          <w:rFonts w:ascii="宋体" w:hAnsi="宋体"/>
          <w:szCs w:val="21"/>
        </w:rPr>
      </w:pPr>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4654"/>
      <w:r>
        <w:rPr>
          <w:rFonts w:hint="eastAsia" w:ascii="宋体" w:hAnsi="宋体"/>
          <w:szCs w:val="21"/>
        </w:rPr>
        <w:t>附件3：投标一览表</w:t>
      </w:r>
      <w:bookmarkEnd w:id="59"/>
    </w:p>
    <w:tbl>
      <w:tblPr>
        <w:tblStyle w:val="23"/>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jc w:val="left"/>
              <w:rPr>
                <w:rFonts w:ascii="宋体" w:hAnsi="宋体"/>
                <w:szCs w:val="21"/>
              </w:rPr>
            </w:pPr>
            <w:r>
              <w:rPr>
                <w:rFonts w:hint="eastAsia" w:ascii="宋体" w:hAnsi="宋体"/>
                <w:szCs w:val="21"/>
              </w:rPr>
              <w:t>总报价（元</w:t>
            </w:r>
            <w:r>
              <w:rPr>
                <w:rFonts w:ascii="宋体" w:hAnsi="宋体"/>
                <w:szCs w:val="21"/>
              </w:rPr>
              <w:t>）</w:t>
            </w:r>
          </w:p>
          <w:p>
            <w:pPr>
              <w:widowControl/>
              <w:jc w:val="left"/>
              <w:rPr>
                <w:rFonts w:ascii="宋体" w:hAnsi="宋体"/>
                <w:szCs w:val="21"/>
              </w:rPr>
            </w:pPr>
            <w:r>
              <w:rPr>
                <w:rFonts w:hint="eastAsia" w:ascii="宋体" w:hAnsi="宋体"/>
                <w:szCs w:val="21"/>
              </w:rPr>
              <w:t>（含增值税）</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项目实施时长（天</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jc w:val="left"/>
              <w:rPr>
                <w:rFonts w:ascii="宋体" w:hAnsi="宋体"/>
                <w:szCs w:val="21"/>
              </w:rPr>
            </w:pPr>
            <w:r>
              <w:rPr>
                <w:rFonts w:hint="eastAsia" w:ascii="宋体" w:hAnsi="宋体"/>
                <w:szCs w:val="21"/>
              </w:rPr>
              <w:t>项目负责人及资质证书</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60" w:name="_Toc13729"/>
      <w:r>
        <w:rPr>
          <w:rFonts w:hint="eastAsia" w:ascii="宋体" w:hAnsi="宋体"/>
          <w:szCs w:val="21"/>
        </w:rPr>
        <w:t>附件4：考察证明</w:t>
      </w:r>
      <w:bookmarkEnd w:id="60"/>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______________________（投标人名称）：</w:t>
      </w:r>
    </w:p>
    <w:p>
      <w:pPr>
        <w:pStyle w:val="2"/>
        <w:ind w:firstLine="570"/>
        <w:rPr>
          <w:rFonts w:ascii="仿宋" w:hAnsi="仿宋" w:eastAsia="仿宋"/>
          <w:sz w:val="28"/>
          <w:szCs w:val="28"/>
        </w:rPr>
      </w:pPr>
      <w:r>
        <w:rPr>
          <w:rFonts w:hint="eastAsia" w:ascii="仿宋" w:hAnsi="仿宋" w:eastAsia="仿宋" w:cs="仿宋"/>
          <w:sz w:val="28"/>
          <w:szCs w:val="28"/>
        </w:rPr>
        <w:t>你公司</w:t>
      </w:r>
      <w:r>
        <w:rPr>
          <w:rFonts w:hint="eastAsia" w:ascii="仿宋" w:hAnsi="仿宋" w:eastAsia="仿宋"/>
          <w:sz w:val="28"/>
          <w:szCs w:val="28"/>
        </w:rPr>
        <w:t>已于</w:t>
      </w:r>
      <w:r>
        <w:rPr>
          <w:rFonts w:hint="eastAsia" w:ascii="仿宋" w:hAnsi="仿宋" w:eastAsia="仿宋"/>
          <w:b/>
          <w:sz w:val="28"/>
          <w:szCs w:val="28"/>
        </w:rPr>
        <w:t>2022年__月 __日</w:t>
      </w:r>
      <w:r>
        <w:rPr>
          <w:rFonts w:hint="eastAsia" w:ascii="仿宋" w:hAnsi="仿宋" w:eastAsia="仿宋"/>
          <w:sz w:val="28"/>
          <w:szCs w:val="28"/>
        </w:rPr>
        <w:t>参加了</w:t>
      </w:r>
      <w:r>
        <w:rPr>
          <w:rFonts w:hint="eastAsia" w:ascii="仿宋" w:hAnsi="仿宋" w:eastAsia="仿宋"/>
          <w:b/>
          <w:sz w:val="28"/>
          <w:szCs w:val="28"/>
          <w:u w:val="single"/>
        </w:rPr>
        <w:t>深圳会展中心高交会环保与能源展</w:t>
      </w:r>
      <w:r>
        <w:rPr>
          <w:rFonts w:ascii="仿宋" w:hAnsi="仿宋" w:eastAsia="仿宋"/>
          <w:b/>
          <w:sz w:val="28"/>
          <w:szCs w:val="28"/>
          <w:u w:val="single"/>
        </w:rPr>
        <w:t>XX</w:t>
      </w:r>
      <w:r>
        <w:rPr>
          <w:rFonts w:hint="eastAsia" w:ascii="仿宋" w:hAnsi="仿宋" w:eastAsia="仿宋"/>
          <w:b/>
          <w:sz w:val="28"/>
          <w:szCs w:val="28"/>
          <w:u w:val="single"/>
        </w:rPr>
        <w:t>项目</w:t>
      </w:r>
      <w:r>
        <w:rPr>
          <w:rFonts w:hint="eastAsia" w:ascii="仿宋" w:hAnsi="仿宋" w:eastAsia="仿宋"/>
          <w:bCs/>
          <w:sz w:val="28"/>
          <w:szCs w:val="28"/>
        </w:rPr>
        <w:t>的现场考察</w:t>
      </w:r>
      <w:r>
        <w:rPr>
          <w:rFonts w:hint="eastAsia" w:ascii="仿宋" w:hAnsi="仿宋" w:eastAsia="仿宋"/>
          <w:sz w:val="28"/>
          <w:szCs w:val="28"/>
        </w:rPr>
        <w:t>，详细听取了采购人的讲解和要求，已经知晓采购人本次项目的所有内容以及技术要求等。</w:t>
      </w:r>
    </w:p>
    <w:p>
      <w:pPr>
        <w:pStyle w:val="2"/>
        <w:ind w:firstLine="570"/>
        <w:rPr>
          <w:rFonts w:ascii="仿宋" w:hAnsi="仿宋" w:eastAsia="仿宋" w:cs="仿宋"/>
          <w:sz w:val="28"/>
          <w:szCs w:val="28"/>
        </w:rPr>
      </w:pPr>
      <w:r>
        <w:rPr>
          <w:rFonts w:hint="eastAsia" w:ascii="仿宋" w:hAnsi="仿宋" w:eastAsia="仿宋" w:cs="仿宋"/>
          <w:sz w:val="28"/>
          <w:szCs w:val="28"/>
        </w:rPr>
        <w:t>特此证明。</w:t>
      </w:r>
    </w:p>
    <w:p>
      <w:pPr>
        <w:pStyle w:val="2"/>
        <w:ind w:firstLine="570"/>
        <w:rPr>
          <w:rFonts w:ascii="仿宋" w:hAnsi="仿宋" w:eastAsia="仿宋"/>
          <w:sz w:val="28"/>
          <w:szCs w:val="28"/>
        </w:rPr>
      </w:pPr>
      <w:r>
        <w:rPr>
          <w:rFonts w:hint="eastAsia" w:ascii="仿宋" w:hAnsi="仿宋" w:eastAsia="仿宋" w:cs="仿宋"/>
          <w:b/>
          <w:bCs/>
          <w:sz w:val="28"/>
          <w:szCs w:val="28"/>
        </w:rPr>
        <w:t>特别说明：</w:t>
      </w:r>
      <w:r>
        <w:rPr>
          <w:rFonts w:hint="eastAsia" w:ascii="仿宋" w:hAnsi="仿宋" w:eastAsia="仿宋" w:cs="仿宋"/>
          <w:sz w:val="28"/>
          <w:szCs w:val="28"/>
        </w:rPr>
        <w:t>若现场考察与</w:t>
      </w:r>
      <w:bookmarkStart w:id="61" w:name="_Hlk90204727"/>
      <w:r>
        <w:rPr>
          <w:rFonts w:hint="eastAsia" w:ascii="仿宋" w:hAnsi="仿宋" w:eastAsia="仿宋" w:cs="仿宋"/>
          <w:sz w:val="28"/>
          <w:szCs w:val="28"/>
        </w:rPr>
        <w:t>本项目</w:t>
      </w:r>
      <w:bookmarkEnd w:id="61"/>
      <w:r>
        <w:rPr>
          <w:rFonts w:hint="eastAsia" w:ascii="仿宋" w:hAnsi="仿宋" w:eastAsia="仿宋" w:cs="仿宋"/>
          <w:sz w:val="28"/>
          <w:szCs w:val="28"/>
        </w:rPr>
        <w:t>招标文件中载明的要求不一致时，以本项目招标文件中的要求为准。</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pStyle w:val="2"/>
        <w:ind w:firstLine="570"/>
        <w:jc w:val="right"/>
        <w:rPr>
          <w:rFonts w:ascii="仿宋" w:hAnsi="仿宋" w:eastAsia="仿宋" w:cs="仿宋"/>
          <w:sz w:val="28"/>
          <w:szCs w:val="28"/>
        </w:rPr>
      </w:pPr>
      <w:r>
        <w:rPr>
          <w:rFonts w:hint="eastAsia" w:ascii="仿宋" w:hAnsi="仿宋" w:eastAsia="仿宋" w:cs="仿宋"/>
          <w:sz w:val="28"/>
          <w:szCs w:val="28"/>
        </w:rPr>
        <w:t>采购人管理人员签字：________________</w:t>
      </w:r>
    </w:p>
    <w:p>
      <w:pPr>
        <w:pStyle w:val="2"/>
        <w:ind w:firstLine="570"/>
        <w:jc w:val="right"/>
        <w:rPr>
          <w:rFonts w:ascii="仿宋" w:hAnsi="仿宋" w:eastAsia="仿宋" w:cs="仿宋"/>
          <w:sz w:val="28"/>
          <w:szCs w:val="28"/>
        </w:rPr>
      </w:pPr>
      <w:r>
        <w:rPr>
          <w:rFonts w:hint="eastAsia" w:ascii="仿宋" w:hAnsi="仿宋" w:eastAsia="仿宋" w:cs="仿宋"/>
          <w:sz w:val="28"/>
          <w:szCs w:val="28"/>
        </w:rPr>
        <w:t xml:space="preserve">              日期：______年__月__日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25588"/>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3"/>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1.本表中的《招标文件技术服务》来自于招标文件的《项目要求及数量》中的“技术服务要求”，投标人须逐条填写在本表中，并对《投标人响应》下的三栏要求做出响应。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w:t>
      </w:r>
      <w:r>
        <w:rPr>
          <w:rFonts w:hint="eastAsia" w:ascii="仿宋" w:hAnsi="仿宋" w:eastAsia="仿宋"/>
          <w:color w:val="FF0000"/>
          <w:sz w:val="28"/>
          <w:szCs w:val="28"/>
        </w:rPr>
        <w:t>做出</w:t>
      </w:r>
      <w:r>
        <w:rPr>
          <w:rFonts w:ascii="仿宋" w:hAnsi="仿宋" w:eastAsia="仿宋"/>
          <w:color w:val="FF0000"/>
          <w:sz w:val="28"/>
          <w:szCs w:val="28"/>
        </w:rPr>
        <w:t>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36803114"/>
      <w:bookmarkStart w:id="66" w:name="_Toc246480945"/>
      <w:r>
        <w:rPr>
          <w:rFonts w:ascii="仿宋" w:hAnsi="仿宋" w:eastAsia="仿宋"/>
          <w:sz w:val="28"/>
          <w:szCs w:val="28"/>
        </w:rPr>
        <w:br w:type="page"/>
      </w:r>
    </w:p>
    <w:p>
      <w:pPr>
        <w:spacing w:line="0" w:lineRule="atLeast"/>
        <w:outlineLvl w:val="1"/>
        <w:rPr>
          <w:rFonts w:ascii="宋体" w:hAnsi="宋体"/>
          <w:szCs w:val="21"/>
        </w:rPr>
      </w:pPr>
      <w:bookmarkStart w:id="67" w:name="_Toc4073"/>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3"/>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的《项目要求及数量》中的“商务要求”，投标人须逐条填写在本表中，并对《投标人响应》下的三栏要求做出响应。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w:t>
      </w:r>
      <w:r>
        <w:rPr>
          <w:rFonts w:hint="eastAsia" w:ascii="仿宋" w:hAnsi="仿宋" w:eastAsia="仿宋"/>
          <w:color w:val="FF0000"/>
          <w:sz w:val="28"/>
          <w:szCs w:val="28"/>
        </w:rPr>
        <w:t>做出</w:t>
      </w:r>
      <w:r>
        <w:rPr>
          <w:rFonts w:ascii="仿宋" w:hAnsi="仿宋" w:eastAsia="仿宋"/>
          <w:color w:val="FF0000"/>
          <w:sz w:val="28"/>
          <w:szCs w:val="28"/>
        </w:rPr>
        <w:t>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236803111"/>
      <w:bookmarkStart w:id="70" w:name="_Toc395883088"/>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9329"/>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3"/>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0"/>
        <w:numPr>
          <w:ilvl w:val="1"/>
          <w:numId w:val="3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3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sectPr>
          <w:pgSz w:w="11906" w:h="16838"/>
          <w:pgMar w:top="1134" w:right="1800" w:bottom="993" w:left="1800" w:header="851" w:footer="409" w:gutter="0"/>
          <w:cols w:space="425" w:num="1"/>
          <w:docGrid w:type="lines" w:linePitch="312" w:charSpace="0"/>
        </w:sectPr>
      </w:pPr>
      <w:bookmarkStart w:id="74" w:name="_Toc82095917"/>
      <w:bookmarkStart w:id="75" w:name="_Toc82359026"/>
      <w:r>
        <w:rPr>
          <w:rFonts w:hint="eastAsia" w:ascii="仿宋" w:hAnsi="仿宋" w:eastAsia="仿宋"/>
          <w:sz w:val="28"/>
          <w:szCs w:val="28"/>
        </w:rPr>
        <w:t>报价日期：_________年____月____日</w:t>
      </w:r>
    </w:p>
    <w:tbl>
      <w:tblPr>
        <w:tblStyle w:val="23"/>
        <w:tblW w:w="14635" w:type="dxa"/>
        <w:tblInd w:w="0" w:type="dxa"/>
        <w:tblLayout w:type="fixed"/>
        <w:tblCellMar>
          <w:top w:w="0" w:type="dxa"/>
          <w:left w:w="0" w:type="dxa"/>
          <w:bottom w:w="0" w:type="dxa"/>
          <w:right w:w="0" w:type="dxa"/>
        </w:tblCellMar>
      </w:tblPr>
      <w:tblGrid>
        <w:gridCol w:w="504"/>
        <w:gridCol w:w="2067"/>
        <w:gridCol w:w="1290"/>
        <w:gridCol w:w="1020"/>
        <w:gridCol w:w="240"/>
        <w:gridCol w:w="300"/>
        <w:gridCol w:w="305"/>
        <w:gridCol w:w="240"/>
        <w:gridCol w:w="175"/>
        <w:gridCol w:w="385"/>
        <w:gridCol w:w="558"/>
        <w:gridCol w:w="795"/>
        <w:gridCol w:w="1339"/>
        <w:gridCol w:w="1322"/>
        <w:gridCol w:w="1801"/>
        <w:gridCol w:w="1525"/>
        <w:gridCol w:w="769"/>
      </w:tblGrid>
      <w:tr>
        <w:tblPrEx>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b/>
                <w:szCs w:val="21"/>
              </w:rPr>
            </w:pPr>
            <w:r>
              <w:rPr>
                <w:rFonts w:hint="eastAsia" w:ascii="宋体" w:hAnsi="宋体" w:cs="宋体"/>
                <w:b/>
                <w:kern w:val="0"/>
                <w:szCs w:val="21"/>
              </w:rPr>
              <w:t>附件8：报价一览表（服务）</w:t>
            </w:r>
          </w:p>
        </w:tc>
      </w:tr>
      <w:tr>
        <w:tblPrEx>
          <w:tblCellMar>
            <w:top w:w="0" w:type="dxa"/>
            <w:left w:w="0" w:type="dxa"/>
            <w:bottom w:w="0" w:type="dxa"/>
            <w:right w:w="0" w:type="dxa"/>
          </w:tblCellMar>
        </w:tblPrEx>
        <w:trPr>
          <w:trHeight w:val="384"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报价一览表（服务）</w:t>
            </w:r>
          </w:p>
        </w:tc>
      </w:tr>
      <w:tr>
        <w:tblPrEx>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暨深圳会展中心第二十四届高交会环保与能源展行业垂直媒体投放服务计划及报价表</w:t>
            </w:r>
          </w:p>
        </w:tc>
      </w:tr>
      <w:tr>
        <w:tblPrEx>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项目名称：</w:t>
            </w:r>
            <w:r>
              <w:rPr>
                <w:rFonts w:hint="eastAsia" w:ascii="宋体" w:hAnsi="宋体" w:cs="宋体"/>
                <w:kern w:val="0"/>
                <w:szCs w:val="21"/>
                <w:u w:val="single"/>
              </w:rPr>
              <w:t xml:space="preserve">                                                 </w:t>
            </w:r>
          </w:p>
        </w:tc>
      </w:tr>
      <w:tr>
        <w:tblPrEx>
          <w:tblCellMar>
            <w:top w:w="0" w:type="dxa"/>
            <w:left w:w="0" w:type="dxa"/>
            <w:bottom w:w="0" w:type="dxa"/>
            <w:right w:w="0" w:type="dxa"/>
          </w:tblCellMar>
        </w:tblPrEx>
        <w:trPr>
          <w:trHeight w:val="36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rPr>
              <w:t>币种：人民币        税率：</w:t>
            </w:r>
            <w:r>
              <w:rPr>
                <w:rFonts w:hint="eastAsia" w:ascii="宋体" w:hAnsi="宋体" w:cs="宋体"/>
                <w:kern w:val="0"/>
                <w:szCs w:val="21"/>
                <w:u w:val="single"/>
              </w:rPr>
              <w:t xml:space="preserve">        </w:t>
            </w:r>
            <w:r>
              <w:rPr>
                <w:rFonts w:ascii="微软雅黑" w:hAnsi="微软雅黑" w:eastAsia="微软雅黑" w:cs="微软雅黑"/>
                <w:kern w:val="0"/>
                <w:szCs w:val="21"/>
              </w:rPr>
              <w:t>%     单位：元</w:t>
            </w:r>
          </w:p>
        </w:tc>
      </w:tr>
      <w:tr>
        <w:tblPrEx>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媒体名称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版面（网页位置、广告大小）</w:t>
            </w:r>
          </w:p>
        </w:tc>
        <w:tc>
          <w:tcPr>
            <w:tcW w:w="12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计划投放（发布）日期</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频次</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周期时长</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是否被百度、360搜索引擎收录</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单项刊</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小计刊</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单项</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小计</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备注</w:t>
            </w:r>
          </w:p>
        </w:tc>
      </w:tr>
      <w:tr>
        <w:tblPrEx>
          <w:tblCellMar>
            <w:top w:w="0" w:type="dxa"/>
            <w:left w:w="0" w:type="dxa"/>
            <w:bottom w:w="0" w:type="dxa"/>
            <w:right w:w="0"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2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例价（元）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例价（元）</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合作报价（元）</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合作报价（元）</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硬广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3个月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3个月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软文（专业网络媒体）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161" w:firstLineChars="100"/>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23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软文（新媒体）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24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357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5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r>
      <w:tr>
        <w:tblPrEx>
          <w:tblCellMar>
            <w:top w:w="0" w:type="dxa"/>
            <w:left w:w="0" w:type="dxa"/>
            <w:bottom w:w="0" w:type="dxa"/>
            <w:right w:w="0" w:type="dxa"/>
          </w:tblCellMar>
        </w:tblPrEx>
        <w:trPr>
          <w:trHeight w:val="45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b/>
                <w:sz w:val="16"/>
                <w:szCs w:val="16"/>
              </w:rPr>
            </w:pPr>
            <w:r>
              <w:rPr>
                <w:rFonts w:hint="eastAsia" w:ascii="宋体" w:hAnsi="宋体" w:cs="宋体"/>
                <w:b/>
                <w:kern w:val="0"/>
                <w:sz w:val="16"/>
                <w:szCs w:val="16"/>
              </w:rPr>
              <w:t>专业展会网站展会信息发布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社群推广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2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其他增值服务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sz w:val="16"/>
                <w:szCs w:val="16"/>
              </w:rPr>
            </w:pPr>
            <w:r>
              <w:rPr>
                <w:rFonts w:hint="eastAsia" w:ascii="宋体" w:hAnsi="宋体" w:cs="宋体"/>
                <w:b/>
                <w:kern w:val="0"/>
                <w:sz w:val="16"/>
                <w:szCs w:val="16"/>
              </w:rPr>
              <w:t>如XX活动推广</w:t>
            </w:r>
          </w:p>
        </w:tc>
        <w:tc>
          <w:tcPr>
            <w:tcW w:w="32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赠送</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赠送</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赠送</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27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658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总价合计（元）</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22"/>
                <w:szCs w:val="22"/>
              </w:rPr>
            </w:pPr>
          </w:p>
        </w:tc>
      </w:tr>
    </w:tbl>
    <w:p>
      <w:pPr>
        <w:adjustRightInd w:val="0"/>
        <w:snapToGrid w:val="0"/>
        <w:spacing w:before="217" w:after="217"/>
        <w:textAlignment w:val="center"/>
        <w:rPr>
          <w:rFonts w:ascii="宋体" w:hAnsi="宋体" w:cs="宋体"/>
          <w:b/>
          <w:color w:val="FF0000"/>
          <w:szCs w:val="21"/>
        </w:rPr>
      </w:pPr>
    </w:p>
    <w:p>
      <w:pPr>
        <w:pStyle w:val="2"/>
        <w:rPr>
          <w:rFonts w:ascii="宋体" w:eastAsia="宋体" w:cs="宋体"/>
          <w:szCs w:val="21"/>
        </w:rPr>
      </w:pPr>
      <w:r>
        <w:rPr>
          <w:rFonts w:hint="eastAsia" w:ascii="宋体" w:eastAsia="宋体" w:cs="宋体"/>
          <w:szCs w:val="21"/>
        </w:rPr>
        <w:t>注：</w:t>
      </w:r>
    </w:p>
    <w:p>
      <w:pPr>
        <w:pStyle w:val="2"/>
        <w:numPr>
          <w:ilvl w:val="0"/>
          <w:numId w:val="31"/>
        </w:numPr>
        <w:rPr>
          <w:rFonts w:ascii="宋体" w:eastAsia="宋体" w:cs="宋体"/>
          <w:bCs/>
          <w:szCs w:val="21"/>
        </w:rPr>
      </w:pPr>
      <w:r>
        <w:rPr>
          <w:rFonts w:hint="eastAsia" w:ascii="宋体" w:eastAsia="宋体" w:cs="宋体"/>
          <w:szCs w:val="21"/>
        </w:rPr>
        <w:t>投标人</w:t>
      </w:r>
      <w:r>
        <w:rPr>
          <w:rFonts w:hint="eastAsia" w:ascii="宋体" w:eastAsia="宋体" w:cs="宋体"/>
          <w:bCs/>
          <w:szCs w:val="21"/>
        </w:rPr>
        <w:t>如果需要对报价或其它内容加以说明，可在备注一栏中填写。</w:t>
      </w:r>
    </w:p>
    <w:p>
      <w:pPr>
        <w:pStyle w:val="2"/>
        <w:numPr>
          <w:ilvl w:val="0"/>
          <w:numId w:val="31"/>
        </w:numPr>
        <w:rPr>
          <w:rFonts w:ascii="宋体" w:eastAsia="宋体" w:cs="宋体"/>
          <w:bCs/>
          <w:szCs w:val="21"/>
        </w:rPr>
      </w:pPr>
      <w:r>
        <w:rPr>
          <w:rFonts w:hint="eastAsia" w:ascii="宋体" w:eastAsia="宋体" w:cs="宋体"/>
          <w:szCs w:val="21"/>
        </w:rPr>
        <w:t>投标人</w:t>
      </w:r>
      <w:r>
        <w:rPr>
          <w:rFonts w:hint="eastAsia" w:ascii="宋体" w:eastAsia="宋体" w:cs="宋体"/>
          <w:bCs/>
          <w:szCs w:val="21"/>
        </w:rPr>
        <w:t>使用本表或自由报价单格式报价均可，但应能清晰体现总报价及分项报价信息。</w:t>
      </w:r>
    </w:p>
    <w:p>
      <w:pPr>
        <w:pStyle w:val="2"/>
        <w:numPr>
          <w:ilvl w:val="0"/>
          <w:numId w:val="31"/>
        </w:numPr>
        <w:rPr>
          <w:rFonts w:ascii="宋体" w:eastAsia="宋体" w:cs="宋体"/>
          <w:bCs/>
          <w:szCs w:val="21"/>
        </w:rPr>
      </w:pPr>
      <w:r>
        <w:rPr>
          <w:rFonts w:hint="eastAsia" w:ascii="宋体" w:eastAsia="宋体" w:cs="宋体"/>
          <w:bCs/>
          <w:szCs w:val="21"/>
        </w:rPr>
        <w:t>如果分项报价与总价不一致，以总价为准。</w:t>
      </w:r>
    </w:p>
    <w:p>
      <w:pPr>
        <w:pStyle w:val="2"/>
        <w:rPr>
          <w:rFonts w:ascii="宋体" w:eastAsia="宋体" w:cs="宋体"/>
          <w:bCs/>
          <w:szCs w:val="21"/>
        </w:rPr>
      </w:pPr>
    </w:p>
    <w:p>
      <w:pPr>
        <w:pStyle w:val="2"/>
        <w:rPr>
          <w:rFonts w:ascii="宋体" w:eastAsia="宋体" w:cs="宋体"/>
          <w:bCs/>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pStyle w:val="2"/>
        <w:rPr>
          <w:rFonts w:ascii="仿宋" w:hAnsi="仿宋" w:eastAsia="仿宋"/>
          <w:sz w:val="28"/>
          <w:szCs w:val="28"/>
        </w:rPr>
        <w:sectPr>
          <w:pgSz w:w="16838" w:h="11906" w:orient="landscape"/>
          <w:pgMar w:top="567" w:right="1134" w:bottom="1800" w:left="993" w:header="851" w:footer="409" w:gutter="0"/>
          <w:cols w:space="425" w:num="1"/>
          <w:docGrid w:type="lines" w:linePitch="312" w:charSpace="0"/>
        </w:sectPr>
      </w:pPr>
      <w:r>
        <w:rPr>
          <w:rFonts w:hint="eastAsia" w:ascii="仿宋" w:hAnsi="仿宋" w:eastAsia="仿宋"/>
          <w:sz w:val="28"/>
          <w:szCs w:val="28"/>
        </w:rPr>
        <w:t>报价日期：_______年____月____日</w:t>
      </w:r>
    </w:p>
    <w:p>
      <w:pPr>
        <w:spacing w:line="0" w:lineRule="atLeast"/>
        <w:outlineLvl w:val="1"/>
        <w:rPr>
          <w:rFonts w:ascii="宋体" w:hAnsi="宋体"/>
          <w:szCs w:val="21"/>
        </w:rPr>
      </w:pPr>
      <w:bookmarkStart w:id="76" w:name="_Toc2613"/>
      <w:r>
        <w:rPr>
          <w:rFonts w:hint="eastAsia" w:ascii="宋体" w:hAnsi="宋体"/>
          <w:szCs w:val="21"/>
        </w:rPr>
        <w:t>附件9：报价一览表（工程）</w:t>
      </w:r>
      <w:r>
        <w:rPr>
          <w:rFonts w:hint="eastAsia" w:ascii="宋体" w:hAnsi="宋体"/>
          <w:color w:val="FF0000"/>
          <w:szCs w:val="21"/>
        </w:rPr>
        <w:t>（本项目不适用）</w:t>
      </w:r>
      <w:bookmarkEnd w:id="76"/>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0"/>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0"/>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30"/>
        <w:numPr>
          <w:ilvl w:val="1"/>
          <w:numId w:val="3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30"/>
        <w:numPr>
          <w:ilvl w:val="1"/>
          <w:numId w:val="3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rPr>
          <w:rFonts w:ascii="仿宋" w:hAnsi="仿宋" w:eastAsia="仿宋"/>
          <w:sz w:val="28"/>
          <w:szCs w:val="28"/>
        </w:rPr>
      </w:pPr>
      <w:r>
        <w:rPr>
          <w:rFonts w:hint="eastAsia" w:ascii="仿宋" w:hAnsi="仿宋" w:eastAsia="仿宋"/>
          <w:sz w:val="28"/>
          <w:szCs w:val="28"/>
        </w:rPr>
        <w:t>报价日期：_______年____月____日</w:t>
      </w:r>
    </w:p>
    <w:p>
      <w:pPr>
        <w:sectPr>
          <w:pgSz w:w="11906" w:h="16838"/>
          <w:pgMar w:top="1134" w:right="1800" w:bottom="993" w:left="1800" w:header="851" w:footer="409" w:gutter="0"/>
          <w:cols w:space="425" w:num="1"/>
          <w:docGrid w:type="lines" w:linePitch="312" w:charSpace="0"/>
        </w:sectPr>
      </w:pPr>
    </w:p>
    <w:bookmarkEnd w:id="74"/>
    <w:bookmarkEnd w:id="75"/>
    <w:p>
      <w:pPr>
        <w:jc w:val="left"/>
        <w:rPr>
          <w:rFonts w:ascii="仿宋" w:hAnsi="仿宋" w:eastAsia="仿宋"/>
          <w:sz w:val="28"/>
          <w:szCs w:val="28"/>
        </w:rPr>
      </w:pPr>
    </w:p>
    <w:p>
      <w:pPr>
        <w:spacing w:line="0" w:lineRule="atLeast"/>
        <w:outlineLvl w:val="1"/>
        <w:rPr>
          <w:rFonts w:ascii="宋体" w:hAnsi="宋体"/>
          <w:szCs w:val="21"/>
        </w:rPr>
      </w:pPr>
      <w:bookmarkStart w:id="77" w:name="_Toc28339"/>
      <w:r>
        <w:rPr>
          <w:rFonts w:hint="eastAsia" w:ascii="宋体" w:hAnsi="宋体"/>
          <w:szCs w:val="21"/>
        </w:rPr>
        <w:t>附件10：法定代表人证明书</w:t>
      </w:r>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7"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78" w:name="_Toc2730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9" w:name="_Toc9684"/>
      <w:r>
        <w:rPr>
          <w:rFonts w:hint="eastAsia" w:ascii="宋体" w:hAnsi="宋体"/>
          <w:szCs w:val="21"/>
        </w:rPr>
        <w:t>附件</w:t>
      </w:r>
      <w:r>
        <w:rPr>
          <w:rFonts w:ascii="宋体" w:hAnsi="宋体"/>
          <w:szCs w:val="21"/>
        </w:rPr>
        <w:t>1</w:t>
      </w:r>
      <w:r>
        <w:rPr>
          <w:rFonts w:hint="eastAsia" w:ascii="宋体" w:hAnsi="宋体"/>
          <w:szCs w:val="21"/>
        </w:rPr>
        <w:t>2：经营业绩一览表</w:t>
      </w:r>
      <w:bookmarkEnd w:id="7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致：（招标人）</w:t>
      </w:r>
      <w:r>
        <w:rPr>
          <w:rFonts w:hint="eastAsia" w:ascii="仿宋" w:hAnsi="仿宋" w:eastAsia="仿宋"/>
          <w:sz w:val="28"/>
          <w:szCs w:val="28"/>
          <w:u w:val="single"/>
        </w:rPr>
        <w:t xml:space="preserve">                                    </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23"/>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0" w:name="_Toc9427"/>
    </w:p>
    <w:p>
      <w:pPr>
        <w:spacing w:line="0" w:lineRule="atLeast"/>
        <w:outlineLvl w:val="1"/>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3：服务承诺书（</w:t>
      </w:r>
      <w:r>
        <w:rPr>
          <w:rFonts w:hint="eastAsia" w:ascii="宋体" w:hAnsi="宋体"/>
        </w:rPr>
        <w:t>质量保证服务承诺书</w:t>
      </w:r>
      <w:r>
        <w:rPr>
          <w:rFonts w:hint="eastAsia" w:ascii="宋体" w:hAnsi="宋体"/>
          <w:szCs w:val="21"/>
        </w:rPr>
        <w:t>）</w:t>
      </w:r>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bookmarkEnd w:id="80"/>
    <w:p>
      <w:pPr>
        <w:widowControl/>
        <w:jc w:val="left"/>
        <w:rPr>
          <w:rFonts w:ascii="仿宋" w:hAnsi="仿宋" w:eastAsia="仿宋"/>
          <w:sz w:val="28"/>
          <w:szCs w:val="28"/>
        </w:rPr>
      </w:pPr>
      <w:bookmarkStart w:id="81" w:name="_Toc32341"/>
    </w:p>
    <w:p>
      <w:pPr>
        <w:spacing w:line="0" w:lineRule="atLeast"/>
        <w:outlineLvl w:val="1"/>
        <w:rPr>
          <w:rFonts w:ascii="宋体" w:hAnsi="宋体"/>
          <w:szCs w:val="21"/>
        </w:rPr>
      </w:pPr>
      <w:bookmarkStart w:id="82" w:name="_Toc752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1"/>
      <w:bookmarkEnd w:id="8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2"/>
        <w:rPr>
          <w:rFonts w:ascii="仿宋" w:hAnsi="仿宋" w:eastAsia="仿宋"/>
          <w:sz w:val="28"/>
          <w:szCs w:val="28"/>
        </w:rPr>
      </w:pPr>
    </w:p>
    <w:p/>
    <w:p>
      <w:pPr>
        <w:pStyle w:val="2"/>
      </w:pPr>
    </w:p>
    <w:p>
      <w:pPr>
        <w:spacing w:line="0" w:lineRule="atLeast"/>
        <w:outlineLvl w:val="1"/>
        <w:rPr>
          <w:rFonts w:ascii="宋体" w:hAnsi="宋体"/>
        </w:rPr>
      </w:pPr>
      <w:bookmarkStart w:id="83" w:name="_Toc28341"/>
      <w:bookmarkStart w:id="84" w:name="_Toc102052816"/>
      <w:bookmarkStart w:id="85" w:name="_Toc100848654"/>
      <w:r>
        <w:rPr>
          <w:rFonts w:hint="eastAsia" w:ascii="宋体" w:hAnsi="宋体"/>
        </w:rPr>
        <w:t>附件1</w:t>
      </w:r>
      <w:r>
        <w:rPr>
          <w:rFonts w:ascii="宋体" w:hAnsi="宋体"/>
        </w:rPr>
        <w:t>5</w:t>
      </w:r>
      <w:r>
        <w:rPr>
          <w:rFonts w:hint="eastAsia" w:ascii="宋体" w:hAnsi="宋体"/>
        </w:rPr>
        <w:t>：投标文件密码</w:t>
      </w:r>
      <w:bookmarkEnd w:id="83"/>
      <w:bookmarkEnd w:id="84"/>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86"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86"/>
    </w:p>
    <w:p>
      <w:pPr>
        <w:jc w:val="center"/>
        <w:rPr>
          <w:rFonts w:ascii="宋体" w:hAnsi="宋体"/>
          <w:b/>
          <w:sz w:val="32"/>
          <w:szCs w:val="32"/>
        </w:rPr>
      </w:pPr>
      <w:r>
        <w:rPr>
          <w:rFonts w:hint="eastAsia" w:ascii="宋体" w:hAnsi="宋体"/>
          <w:b/>
          <w:sz w:val="32"/>
          <w:szCs w:val="32"/>
        </w:rPr>
        <w:t>投标文件密码</w:t>
      </w: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themeColor="text1"/>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pStyle w:val="2"/>
      </w:pPr>
    </w:p>
    <w:p>
      <w:pPr>
        <w:spacing w:line="0" w:lineRule="atLeast"/>
        <w:outlineLvl w:val="1"/>
      </w:pPr>
    </w:p>
    <w:p>
      <w:pPr>
        <w:pStyle w:val="2"/>
        <w:rPr>
          <w:rFonts w:ascii="仿宋" w:hAnsi="仿宋" w:eastAsia="仿宋"/>
          <w:sz w:val="28"/>
          <w:szCs w:val="28"/>
        </w:rPr>
      </w:pPr>
    </w:p>
    <w:p>
      <w:pPr>
        <w:spacing w:line="0" w:lineRule="atLeast"/>
        <w:outlineLvl w:val="1"/>
        <w:rPr>
          <w:rFonts w:ascii="仿宋" w:hAnsi="仿宋" w:eastAsia="仿宋"/>
          <w:sz w:val="28"/>
          <w:szCs w:val="28"/>
        </w:rPr>
      </w:pPr>
    </w:p>
    <w:p/>
    <w:sectPr>
      <w:type w:val="continuous"/>
      <w:pgSz w:w="11906" w:h="16838"/>
      <w:pgMar w:top="1134" w:right="1800" w:bottom="993" w:left="1800" w:header="851" w:footer="4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49" o:spid="_x0000_s2049"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NDeUTSAAAABAEAAA8AAAAAAAAAAQAgAAAAIgAA&#10;AGRycy9kb3ducmV2LnhtbFBLAQIUABQAAAAIAIdO4kAwDfYb1QEAAKIDAAAOAAAAAAAAAAEAIAAA&#10;ACEBAABkcnMvZTJvRG9jLnhtbFBLBQYAAAAABgAGAFkBAABoBQAAAAA=&#10;">
          <v:path/>
          <v:fill on="f" focussize="0,0"/>
          <v:stroke on="f" joinstyle="miter"/>
          <v:imagedata o:title=""/>
          <o:lock v:ext="edit"/>
          <v:textbox inset="0mm,0mm,0mm,0mm" style="mso-fit-shape-to-text:t;">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39</w:t>
                </w:r>
                <w:r>
                  <w:rPr>
                    <w:sz w:val="18"/>
                  </w:rPr>
                  <w:fldChar w:fldCharType="end"/>
                </w:r>
                <w:r>
                  <w:rPr>
                    <w:rFonts w:hint="eastAsia"/>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B6C70919"/>
    <w:multiLevelType w:val="singleLevel"/>
    <w:tmpl w:val="B6C70919"/>
    <w:lvl w:ilvl="0" w:tentative="0">
      <w:start w:val="1"/>
      <w:numFmt w:val="decimal"/>
      <w:lvlText w:val="(%1)"/>
      <w:lvlJc w:val="left"/>
      <w:pPr>
        <w:ind w:left="425" w:hanging="425"/>
      </w:pPr>
      <w:rPr>
        <w:rFonts w:hint="default"/>
      </w:rPr>
    </w:lvl>
  </w:abstractNum>
  <w:abstractNum w:abstractNumId="2">
    <w:nsid w:val="B7A102F5"/>
    <w:multiLevelType w:val="singleLevel"/>
    <w:tmpl w:val="B7A102F5"/>
    <w:lvl w:ilvl="0" w:tentative="0">
      <w:start w:val="1"/>
      <w:numFmt w:val="decimal"/>
      <w:lvlText w:val="%1."/>
      <w:lvlJc w:val="left"/>
      <w:pPr>
        <w:tabs>
          <w:tab w:val="left" w:pos="312"/>
        </w:tabs>
      </w:p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01346B"/>
    <w:multiLevelType w:val="multilevel"/>
    <w:tmpl w:val="0701346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1">
    <w:nsid w:val="1526E01E"/>
    <w:multiLevelType w:val="singleLevel"/>
    <w:tmpl w:val="1526E01E"/>
    <w:lvl w:ilvl="0" w:tentative="0">
      <w:start w:val="1"/>
      <w:numFmt w:val="decimal"/>
      <w:lvlText w:val="(%1)"/>
      <w:lvlJc w:val="left"/>
      <w:pPr>
        <w:ind w:left="425" w:hanging="425"/>
      </w:pPr>
      <w:rPr>
        <w:rFonts w:hint="default"/>
      </w:rPr>
    </w:lvl>
  </w:abstractNum>
  <w:abstractNum w:abstractNumId="12">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0198683"/>
    <w:multiLevelType w:val="singleLevel"/>
    <w:tmpl w:val="20198683"/>
    <w:lvl w:ilvl="0" w:tentative="0">
      <w:start w:val="1"/>
      <w:numFmt w:val="decimal"/>
      <w:lvlText w:val="(%1)"/>
      <w:lvlJc w:val="left"/>
      <w:pPr>
        <w:ind w:left="425" w:hanging="425"/>
      </w:pPr>
      <w:rPr>
        <w:rFonts w:hint="default"/>
      </w:r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ECEFD6A"/>
    <w:multiLevelType w:val="singleLevel"/>
    <w:tmpl w:val="2ECEFD6A"/>
    <w:lvl w:ilvl="0" w:tentative="0">
      <w:start w:val="1"/>
      <w:numFmt w:val="decimal"/>
      <w:lvlText w:val="(%1)"/>
      <w:lvlJc w:val="left"/>
      <w:pPr>
        <w:ind w:left="425" w:hanging="425"/>
      </w:pPr>
      <w:rPr>
        <w:rFonts w:hint="default"/>
      </w:rPr>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9F4FF8"/>
    <w:multiLevelType w:val="multilevel"/>
    <w:tmpl w:val="569F4F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0937B4"/>
    <w:multiLevelType w:val="multilevel"/>
    <w:tmpl w:val="570937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68A00CD"/>
    <w:multiLevelType w:val="multilevel"/>
    <w:tmpl w:val="668A00CD"/>
    <w:lvl w:ilvl="0" w:tentative="0">
      <w:start w:val="1"/>
      <w:numFmt w:val="decimal"/>
      <w:lvlText w:val="%1."/>
      <w:lvlJc w:val="left"/>
      <w:pPr>
        <w:ind w:left="914" w:hanging="420"/>
      </w:pPr>
      <w:rPr>
        <w:rFonts w:hint="default"/>
      </w:rPr>
    </w:lvl>
    <w:lvl w:ilvl="1" w:tentative="0">
      <w:start w:val="1"/>
      <w:numFmt w:val="bullet"/>
      <w:lvlText w:val=""/>
      <w:lvlJc w:val="left"/>
      <w:pPr>
        <w:ind w:left="1334" w:hanging="420"/>
      </w:pPr>
      <w:rPr>
        <w:rFonts w:hint="default" w:ascii="Wingdings" w:hAnsi="Wingdings"/>
      </w:rPr>
    </w:lvl>
    <w:lvl w:ilvl="2" w:tentative="0">
      <w:start w:val="1"/>
      <w:numFmt w:val="bullet"/>
      <w:lvlText w:val=""/>
      <w:lvlJc w:val="left"/>
      <w:pPr>
        <w:ind w:left="1754" w:hanging="420"/>
      </w:pPr>
      <w:rPr>
        <w:rFonts w:hint="default" w:ascii="Wingdings" w:hAnsi="Wingdings"/>
      </w:rPr>
    </w:lvl>
    <w:lvl w:ilvl="3" w:tentative="0">
      <w:start w:val="1"/>
      <w:numFmt w:val="bullet"/>
      <w:lvlText w:val=""/>
      <w:lvlJc w:val="left"/>
      <w:pPr>
        <w:ind w:left="2174" w:hanging="420"/>
      </w:pPr>
      <w:rPr>
        <w:rFonts w:hint="default" w:ascii="Wingdings" w:hAnsi="Wingdings"/>
      </w:rPr>
    </w:lvl>
    <w:lvl w:ilvl="4" w:tentative="0">
      <w:start w:val="1"/>
      <w:numFmt w:val="bullet"/>
      <w:lvlText w:val=""/>
      <w:lvlJc w:val="left"/>
      <w:pPr>
        <w:ind w:left="2594" w:hanging="420"/>
      </w:pPr>
      <w:rPr>
        <w:rFonts w:hint="default" w:ascii="Wingdings" w:hAnsi="Wingdings"/>
      </w:rPr>
    </w:lvl>
    <w:lvl w:ilvl="5" w:tentative="0">
      <w:start w:val="1"/>
      <w:numFmt w:val="bullet"/>
      <w:lvlText w:val=""/>
      <w:lvlJc w:val="left"/>
      <w:pPr>
        <w:ind w:left="3014" w:hanging="420"/>
      </w:pPr>
      <w:rPr>
        <w:rFonts w:hint="default" w:ascii="Wingdings" w:hAnsi="Wingdings"/>
      </w:rPr>
    </w:lvl>
    <w:lvl w:ilvl="6" w:tentative="0">
      <w:start w:val="1"/>
      <w:numFmt w:val="bullet"/>
      <w:lvlText w:val=""/>
      <w:lvlJc w:val="left"/>
      <w:pPr>
        <w:ind w:left="3434" w:hanging="420"/>
      </w:pPr>
      <w:rPr>
        <w:rFonts w:hint="default" w:ascii="Wingdings" w:hAnsi="Wingdings"/>
      </w:rPr>
    </w:lvl>
    <w:lvl w:ilvl="7" w:tentative="0">
      <w:start w:val="1"/>
      <w:numFmt w:val="bullet"/>
      <w:lvlText w:val=""/>
      <w:lvlJc w:val="left"/>
      <w:pPr>
        <w:ind w:left="3854" w:hanging="420"/>
      </w:pPr>
      <w:rPr>
        <w:rFonts w:hint="default" w:ascii="Wingdings" w:hAnsi="Wingdings"/>
      </w:rPr>
    </w:lvl>
    <w:lvl w:ilvl="8" w:tentative="0">
      <w:start w:val="1"/>
      <w:numFmt w:val="bullet"/>
      <w:lvlText w:val=""/>
      <w:lvlJc w:val="left"/>
      <w:pPr>
        <w:ind w:left="4274" w:hanging="420"/>
      </w:pPr>
      <w:rPr>
        <w:rFonts w:hint="default" w:ascii="Wingdings" w:hAnsi="Wingdings"/>
      </w:rPr>
    </w:lvl>
  </w:abstractNum>
  <w:abstractNum w:abstractNumId="3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2">
    <w:nsid w:val="6BC939AD"/>
    <w:multiLevelType w:val="singleLevel"/>
    <w:tmpl w:val="6BC939AD"/>
    <w:lvl w:ilvl="0" w:tentative="0">
      <w:start w:val="1"/>
      <w:numFmt w:val="decimal"/>
      <w:lvlText w:val="(%1)"/>
      <w:lvlJc w:val="left"/>
      <w:pPr>
        <w:ind w:left="425" w:hanging="425"/>
      </w:pPr>
      <w:rPr>
        <w:rFonts w:hint="default"/>
      </w:rPr>
    </w:lvl>
  </w:abstractNum>
  <w:num w:numId="1">
    <w:abstractNumId w:val="10"/>
  </w:num>
  <w:num w:numId="2">
    <w:abstractNumId w:val="24"/>
  </w:num>
  <w:num w:numId="3">
    <w:abstractNumId w:val="31"/>
  </w:num>
  <w:num w:numId="4">
    <w:abstractNumId w:val="20"/>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5"/>
  </w:num>
  <w:num w:numId="9">
    <w:abstractNumId w:val="21"/>
  </w:num>
  <w:num w:numId="10">
    <w:abstractNumId w:val="13"/>
  </w:num>
  <w:num w:numId="11">
    <w:abstractNumId w:val="12"/>
  </w:num>
  <w:num w:numId="12">
    <w:abstractNumId w:val="15"/>
  </w:num>
  <w:num w:numId="13">
    <w:abstractNumId w:val="11"/>
  </w:num>
  <w:num w:numId="14">
    <w:abstractNumId w:val="1"/>
  </w:num>
  <w:num w:numId="15">
    <w:abstractNumId w:val="9"/>
  </w:num>
  <w:num w:numId="16">
    <w:abstractNumId w:val="22"/>
  </w:num>
  <w:num w:numId="17">
    <w:abstractNumId w:val="27"/>
  </w:num>
  <w:num w:numId="18">
    <w:abstractNumId w:val="4"/>
  </w:num>
  <w:num w:numId="19">
    <w:abstractNumId w:val="7"/>
  </w:num>
  <w:num w:numId="20">
    <w:abstractNumId w:val="14"/>
  </w:num>
  <w:num w:numId="21">
    <w:abstractNumId w:val="19"/>
  </w:num>
  <w:num w:numId="22">
    <w:abstractNumId w:val="17"/>
  </w:num>
  <w:num w:numId="23">
    <w:abstractNumId w:val="32"/>
  </w:num>
  <w:num w:numId="24">
    <w:abstractNumId w:val="0"/>
  </w:num>
  <w:num w:numId="25">
    <w:abstractNumId w:val="29"/>
  </w:num>
  <w:num w:numId="26">
    <w:abstractNumId w:val="26"/>
  </w:num>
  <w:num w:numId="27">
    <w:abstractNumId w:val="28"/>
  </w:num>
  <w:num w:numId="28">
    <w:abstractNumId w:val="6"/>
  </w:num>
  <w:num w:numId="29">
    <w:abstractNumId w:val="5"/>
  </w:num>
  <w:num w:numId="30">
    <w:abstractNumId w:val="30"/>
  </w:num>
  <w:num w:numId="31">
    <w:abstractNumId w:val="2"/>
  </w:num>
  <w:num w:numId="32">
    <w:abstractNumId w:val="18"/>
  </w:num>
  <w:num w:numId="33">
    <w:abstractNumId w:val="8"/>
  </w:num>
  <w:num w:numId="3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炯新">
    <w15:presenceInfo w15:providerId="WPS Office" w15:userId="2954820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0ZDgyNzllMDZjOWU0NDNkZTcxMTg4Y2I4NzBiYTMifQ=="/>
  </w:docVars>
  <w:rsids>
    <w:rsidRoot w:val="007C50B2"/>
    <w:rsid w:val="000071F5"/>
    <w:rsid w:val="000109CF"/>
    <w:rsid w:val="0001408F"/>
    <w:rsid w:val="00014EFB"/>
    <w:rsid w:val="000157EF"/>
    <w:rsid w:val="00020D3D"/>
    <w:rsid w:val="00021AD3"/>
    <w:rsid w:val="0002431D"/>
    <w:rsid w:val="0006307A"/>
    <w:rsid w:val="00067CA8"/>
    <w:rsid w:val="00071803"/>
    <w:rsid w:val="00074891"/>
    <w:rsid w:val="00076129"/>
    <w:rsid w:val="00077160"/>
    <w:rsid w:val="00080360"/>
    <w:rsid w:val="00083A91"/>
    <w:rsid w:val="00093F3A"/>
    <w:rsid w:val="000A2942"/>
    <w:rsid w:val="000C0416"/>
    <w:rsid w:val="000C45B3"/>
    <w:rsid w:val="000C7053"/>
    <w:rsid w:val="000E3E7C"/>
    <w:rsid w:val="000F0656"/>
    <w:rsid w:val="000F16F8"/>
    <w:rsid w:val="000F23B0"/>
    <w:rsid w:val="00101DF6"/>
    <w:rsid w:val="0010499D"/>
    <w:rsid w:val="001052B4"/>
    <w:rsid w:val="001107A5"/>
    <w:rsid w:val="00117670"/>
    <w:rsid w:val="001238C4"/>
    <w:rsid w:val="0012732B"/>
    <w:rsid w:val="0013213B"/>
    <w:rsid w:val="0013663B"/>
    <w:rsid w:val="00137AB2"/>
    <w:rsid w:val="00141B72"/>
    <w:rsid w:val="001427DC"/>
    <w:rsid w:val="00160040"/>
    <w:rsid w:val="00162AA4"/>
    <w:rsid w:val="001723D2"/>
    <w:rsid w:val="00174846"/>
    <w:rsid w:val="00177BDF"/>
    <w:rsid w:val="00180E0D"/>
    <w:rsid w:val="001959E5"/>
    <w:rsid w:val="001978B2"/>
    <w:rsid w:val="001A6C5B"/>
    <w:rsid w:val="001D58CD"/>
    <w:rsid w:val="001E44D2"/>
    <w:rsid w:val="001F14F2"/>
    <w:rsid w:val="001F6EE8"/>
    <w:rsid w:val="00206999"/>
    <w:rsid w:val="002110DE"/>
    <w:rsid w:val="00212384"/>
    <w:rsid w:val="0022465E"/>
    <w:rsid w:val="00233E0E"/>
    <w:rsid w:val="00252697"/>
    <w:rsid w:val="002533D0"/>
    <w:rsid w:val="00256245"/>
    <w:rsid w:val="002666DA"/>
    <w:rsid w:val="00273DFA"/>
    <w:rsid w:val="00292E63"/>
    <w:rsid w:val="002963F2"/>
    <w:rsid w:val="002A3735"/>
    <w:rsid w:val="002B6671"/>
    <w:rsid w:val="002B68FF"/>
    <w:rsid w:val="002B743A"/>
    <w:rsid w:val="002C49F2"/>
    <w:rsid w:val="002D78DE"/>
    <w:rsid w:val="003158DE"/>
    <w:rsid w:val="003255E6"/>
    <w:rsid w:val="003300CC"/>
    <w:rsid w:val="00332A1D"/>
    <w:rsid w:val="003436BC"/>
    <w:rsid w:val="00354484"/>
    <w:rsid w:val="003545D1"/>
    <w:rsid w:val="00354776"/>
    <w:rsid w:val="00354897"/>
    <w:rsid w:val="003823A8"/>
    <w:rsid w:val="00397C1E"/>
    <w:rsid w:val="003A09E6"/>
    <w:rsid w:val="003B01FB"/>
    <w:rsid w:val="003D0358"/>
    <w:rsid w:val="003D189B"/>
    <w:rsid w:val="003E049A"/>
    <w:rsid w:val="003E6092"/>
    <w:rsid w:val="003E66A3"/>
    <w:rsid w:val="003E7621"/>
    <w:rsid w:val="00402F53"/>
    <w:rsid w:val="00410568"/>
    <w:rsid w:val="00413545"/>
    <w:rsid w:val="004235D9"/>
    <w:rsid w:val="00427D5D"/>
    <w:rsid w:val="004331BB"/>
    <w:rsid w:val="00441F17"/>
    <w:rsid w:val="004476E7"/>
    <w:rsid w:val="004707D2"/>
    <w:rsid w:val="004714CC"/>
    <w:rsid w:val="00471ED2"/>
    <w:rsid w:val="00476C96"/>
    <w:rsid w:val="00481641"/>
    <w:rsid w:val="00482411"/>
    <w:rsid w:val="00483A17"/>
    <w:rsid w:val="00492F1D"/>
    <w:rsid w:val="004A0594"/>
    <w:rsid w:val="004A2879"/>
    <w:rsid w:val="004A7C1F"/>
    <w:rsid w:val="004B0D64"/>
    <w:rsid w:val="004B24F9"/>
    <w:rsid w:val="004D58FC"/>
    <w:rsid w:val="004D6F70"/>
    <w:rsid w:val="004E0EA0"/>
    <w:rsid w:val="004E3802"/>
    <w:rsid w:val="004E4541"/>
    <w:rsid w:val="004E7657"/>
    <w:rsid w:val="004F63E5"/>
    <w:rsid w:val="004F6E3B"/>
    <w:rsid w:val="00506B6D"/>
    <w:rsid w:val="00523E2C"/>
    <w:rsid w:val="0054164C"/>
    <w:rsid w:val="00544B6E"/>
    <w:rsid w:val="00560907"/>
    <w:rsid w:val="00565EDC"/>
    <w:rsid w:val="00572834"/>
    <w:rsid w:val="005815FC"/>
    <w:rsid w:val="00596C0B"/>
    <w:rsid w:val="005A26F8"/>
    <w:rsid w:val="005A480E"/>
    <w:rsid w:val="005A725D"/>
    <w:rsid w:val="005B03C2"/>
    <w:rsid w:val="005B106B"/>
    <w:rsid w:val="005B1453"/>
    <w:rsid w:val="005B328D"/>
    <w:rsid w:val="005B53D2"/>
    <w:rsid w:val="005C5034"/>
    <w:rsid w:val="005D123F"/>
    <w:rsid w:val="005E43D8"/>
    <w:rsid w:val="005F16B3"/>
    <w:rsid w:val="00606010"/>
    <w:rsid w:val="00615A3F"/>
    <w:rsid w:val="00621681"/>
    <w:rsid w:val="00625E6C"/>
    <w:rsid w:val="00630585"/>
    <w:rsid w:val="006311FC"/>
    <w:rsid w:val="00632039"/>
    <w:rsid w:val="006333BC"/>
    <w:rsid w:val="00644D85"/>
    <w:rsid w:val="00664471"/>
    <w:rsid w:val="00670957"/>
    <w:rsid w:val="0067658D"/>
    <w:rsid w:val="00681577"/>
    <w:rsid w:val="006815B1"/>
    <w:rsid w:val="00687753"/>
    <w:rsid w:val="006942FF"/>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343BD"/>
    <w:rsid w:val="00753F54"/>
    <w:rsid w:val="007542A8"/>
    <w:rsid w:val="007559E5"/>
    <w:rsid w:val="007672EE"/>
    <w:rsid w:val="0076763C"/>
    <w:rsid w:val="0077621A"/>
    <w:rsid w:val="00780DA3"/>
    <w:rsid w:val="00781DFA"/>
    <w:rsid w:val="00782E08"/>
    <w:rsid w:val="00790A8A"/>
    <w:rsid w:val="00792C27"/>
    <w:rsid w:val="007933D2"/>
    <w:rsid w:val="007C02CE"/>
    <w:rsid w:val="007C20E1"/>
    <w:rsid w:val="007C50B2"/>
    <w:rsid w:val="007D3975"/>
    <w:rsid w:val="007D44CA"/>
    <w:rsid w:val="007D780A"/>
    <w:rsid w:val="007F5EB0"/>
    <w:rsid w:val="00803FA2"/>
    <w:rsid w:val="00813CA7"/>
    <w:rsid w:val="00821ED9"/>
    <w:rsid w:val="008532F5"/>
    <w:rsid w:val="00857F72"/>
    <w:rsid w:val="00866C0E"/>
    <w:rsid w:val="00867C56"/>
    <w:rsid w:val="00870B22"/>
    <w:rsid w:val="00872310"/>
    <w:rsid w:val="00874BB5"/>
    <w:rsid w:val="00877D79"/>
    <w:rsid w:val="008A0193"/>
    <w:rsid w:val="008B0735"/>
    <w:rsid w:val="008B2C67"/>
    <w:rsid w:val="008B3B57"/>
    <w:rsid w:val="008B3CA7"/>
    <w:rsid w:val="008C44DE"/>
    <w:rsid w:val="008E05E5"/>
    <w:rsid w:val="0090721F"/>
    <w:rsid w:val="009152DE"/>
    <w:rsid w:val="009250C7"/>
    <w:rsid w:val="00926702"/>
    <w:rsid w:val="00927979"/>
    <w:rsid w:val="00937F12"/>
    <w:rsid w:val="00943245"/>
    <w:rsid w:val="0094528D"/>
    <w:rsid w:val="0095206C"/>
    <w:rsid w:val="00960B05"/>
    <w:rsid w:val="00972F7B"/>
    <w:rsid w:val="00975851"/>
    <w:rsid w:val="00975E2A"/>
    <w:rsid w:val="00976465"/>
    <w:rsid w:val="0098029E"/>
    <w:rsid w:val="0098263B"/>
    <w:rsid w:val="00987094"/>
    <w:rsid w:val="00991233"/>
    <w:rsid w:val="009A699B"/>
    <w:rsid w:val="009A6EF3"/>
    <w:rsid w:val="009B2FAD"/>
    <w:rsid w:val="009B7189"/>
    <w:rsid w:val="009C0135"/>
    <w:rsid w:val="009D36AA"/>
    <w:rsid w:val="009E25C8"/>
    <w:rsid w:val="009E2781"/>
    <w:rsid w:val="009E3D67"/>
    <w:rsid w:val="00A0267F"/>
    <w:rsid w:val="00A17C6A"/>
    <w:rsid w:val="00A20D1F"/>
    <w:rsid w:val="00A30228"/>
    <w:rsid w:val="00A31A55"/>
    <w:rsid w:val="00A3423A"/>
    <w:rsid w:val="00A35F31"/>
    <w:rsid w:val="00A42F0C"/>
    <w:rsid w:val="00A4407E"/>
    <w:rsid w:val="00A46C1C"/>
    <w:rsid w:val="00A47D05"/>
    <w:rsid w:val="00A639F5"/>
    <w:rsid w:val="00A75867"/>
    <w:rsid w:val="00A761F1"/>
    <w:rsid w:val="00A8313A"/>
    <w:rsid w:val="00A8379A"/>
    <w:rsid w:val="00A94058"/>
    <w:rsid w:val="00AA01BF"/>
    <w:rsid w:val="00AA0F85"/>
    <w:rsid w:val="00AA320E"/>
    <w:rsid w:val="00AA38D8"/>
    <w:rsid w:val="00AA56F4"/>
    <w:rsid w:val="00AA6D7B"/>
    <w:rsid w:val="00AB0184"/>
    <w:rsid w:val="00AB0A23"/>
    <w:rsid w:val="00AC1082"/>
    <w:rsid w:val="00AC7FB5"/>
    <w:rsid w:val="00AE1E1D"/>
    <w:rsid w:val="00AE4154"/>
    <w:rsid w:val="00AF0A7F"/>
    <w:rsid w:val="00AF1254"/>
    <w:rsid w:val="00AF348F"/>
    <w:rsid w:val="00AF6E47"/>
    <w:rsid w:val="00AF730B"/>
    <w:rsid w:val="00B049D6"/>
    <w:rsid w:val="00B1365B"/>
    <w:rsid w:val="00B21864"/>
    <w:rsid w:val="00B3083D"/>
    <w:rsid w:val="00B37A2F"/>
    <w:rsid w:val="00B40F3E"/>
    <w:rsid w:val="00B44E4F"/>
    <w:rsid w:val="00B522B7"/>
    <w:rsid w:val="00B65C5E"/>
    <w:rsid w:val="00B76BC6"/>
    <w:rsid w:val="00B85BF8"/>
    <w:rsid w:val="00B90839"/>
    <w:rsid w:val="00BA5892"/>
    <w:rsid w:val="00BC0C0B"/>
    <w:rsid w:val="00BC40BD"/>
    <w:rsid w:val="00BD051D"/>
    <w:rsid w:val="00BD120A"/>
    <w:rsid w:val="00BD666B"/>
    <w:rsid w:val="00BE67D7"/>
    <w:rsid w:val="00BF25BF"/>
    <w:rsid w:val="00BF52E8"/>
    <w:rsid w:val="00C00E43"/>
    <w:rsid w:val="00C01654"/>
    <w:rsid w:val="00C05E5F"/>
    <w:rsid w:val="00C068DC"/>
    <w:rsid w:val="00C1073B"/>
    <w:rsid w:val="00C1188C"/>
    <w:rsid w:val="00C1447E"/>
    <w:rsid w:val="00C30244"/>
    <w:rsid w:val="00C5180D"/>
    <w:rsid w:val="00C53AB0"/>
    <w:rsid w:val="00C53D1D"/>
    <w:rsid w:val="00C61FB2"/>
    <w:rsid w:val="00C62549"/>
    <w:rsid w:val="00C6530D"/>
    <w:rsid w:val="00C71908"/>
    <w:rsid w:val="00C72E08"/>
    <w:rsid w:val="00C76FD5"/>
    <w:rsid w:val="00C9108D"/>
    <w:rsid w:val="00C95195"/>
    <w:rsid w:val="00CB0006"/>
    <w:rsid w:val="00CB1DEF"/>
    <w:rsid w:val="00CB6FBD"/>
    <w:rsid w:val="00CC138C"/>
    <w:rsid w:val="00CC73DA"/>
    <w:rsid w:val="00CD2768"/>
    <w:rsid w:val="00CD4DCE"/>
    <w:rsid w:val="00CE34F4"/>
    <w:rsid w:val="00CE5F16"/>
    <w:rsid w:val="00CE6847"/>
    <w:rsid w:val="00CF3F58"/>
    <w:rsid w:val="00D13594"/>
    <w:rsid w:val="00D2411A"/>
    <w:rsid w:val="00D33740"/>
    <w:rsid w:val="00D4224E"/>
    <w:rsid w:val="00D43550"/>
    <w:rsid w:val="00D629CE"/>
    <w:rsid w:val="00D803DB"/>
    <w:rsid w:val="00D816FD"/>
    <w:rsid w:val="00D83CA2"/>
    <w:rsid w:val="00D83CC0"/>
    <w:rsid w:val="00D84553"/>
    <w:rsid w:val="00D846D6"/>
    <w:rsid w:val="00D955EB"/>
    <w:rsid w:val="00D95FCC"/>
    <w:rsid w:val="00DB1C4E"/>
    <w:rsid w:val="00DD544D"/>
    <w:rsid w:val="00DE575D"/>
    <w:rsid w:val="00DE5E4C"/>
    <w:rsid w:val="00DE7DDC"/>
    <w:rsid w:val="00DF5863"/>
    <w:rsid w:val="00E107EC"/>
    <w:rsid w:val="00E11738"/>
    <w:rsid w:val="00E12957"/>
    <w:rsid w:val="00E27F91"/>
    <w:rsid w:val="00E3058B"/>
    <w:rsid w:val="00E31BD7"/>
    <w:rsid w:val="00E45D07"/>
    <w:rsid w:val="00E677C6"/>
    <w:rsid w:val="00E70687"/>
    <w:rsid w:val="00E75726"/>
    <w:rsid w:val="00E76EAC"/>
    <w:rsid w:val="00E915E2"/>
    <w:rsid w:val="00E928C6"/>
    <w:rsid w:val="00EA0487"/>
    <w:rsid w:val="00EA0513"/>
    <w:rsid w:val="00EB6490"/>
    <w:rsid w:val="00EC57A0"/>
    <w:rsid w:val="00EC6277"/>
    <w:rsid w:val="00ED6D11"/>
    <w:rsid w:val="00EE5201"/>
    <w:rsid w:val="00EE5F02"/>
    <w:rsid w:val="00EF1096"/>
    <w:rsid w:val="00F00080"/>
    <w:rsid w:val="00F01837"/>
    <w:rsid w:val="00F01D21"/>
    <w:rsid w:val="00F03A68"/>
    <w:rsid w:val="00F04E6A"/>
    <w:rsid w:val="00F112C6"/>
    <w:rsid w:val="00F1499F"/>
    <w:rsid w:val="00F210DC"/>
    <w:rsid w:val="00F2136A"/>
    <w:rsid w:val="00F22C46"/>
    <w:rsid w:val="00F256B7"/>
    <w:rsid w:val="00F309E8"/>
    <w:rsid w:val="00F313E2"/>
    <w:rsid w:val="00F341B0"/>
    <w:rsid w:val="00F36975"/>
    <w:rsid w:val="00F36FAE"/>
    <w:rsid w:val="00F374BB"/>
    <w:rsid w:val="00F47201"/>
    <w:rsid w:val="00F53D25"/>
    <w:rsid w:val="00F64816"/>
    <w:rsid w:val="00F73354"/>
    <w:rsid w:val="00FA092E"/>
    <w:rsid w:val="00FA63B5"/>
    <w:rsid w:val="00FA6D58"/>
    <w:rsid w:val="00FB4CA6"/>
    <w:rsid w:val="00FD1EBB"/>
    <w:rsid w:val="00FD52D3"/>
    <w:rsid w:val="00FE61CE"/>
    <w:rsid w:val="00FE72DF"/>
    <w:rsid w:val="00FF2F91"/>
    <w:rsid w:val="013D3609"/>
    <w:rsid w:val="01E231AE"/>
    <w:rsid w:val="029A0711"/>
    <w:rsid w:val="0726359D"/>
    <w:rsid w:val="07743D84"/>
    <w:rsid w:val="0935436E"/>
    <w:rsid w:val="09DD0CE8"/>
    <w:rsid w:val="09E13DDC"/>
    <w:rsid w:val="0B52309A"/>
    <w:rsid w:val="0BF73DB5"/>
    <w:rsid w:val="0D64352E"/>
    <w:rsid w:val="0D794E92"/>
    <w:rsid w:val="0DEB14A0"/>
    <w:rsid w:val="0DFC15D9"/>
    <w:rsid w:val="10B81F98"/>
    <w:rsid w:val="10C64F4F"/>
    <w:rsid w:val="110F45EA"/>
    <w:rsid w:val="120B2A82"/>
    <w:rsid w:val="127952CC"/>
    <w:rsid w:val="12D97F5D"/>
    <w:rsid w:val="13647429"/>
    <w:rsid w:val="14F910F5"/>
    <w:rsid w:val="15740DA4"/>
    <w:rsid w:val="15AA6BF3"/>
    <w:rsid w:val="16606BAF"/>
    <w:rsid w:val="16E15ABA"/>
    <w:rsid w:val="17143815"/>
    <w:rsid w:val="17315976"/>
    <w:rsid w:val="175131D2"/>
    <w:rsid w:val="188B08F5"/>
    <w:rsid w:val="18AA4AC8"/>
    <w:rsid w:val="1A0F5494"/>
    <w:rsid w:val="1A6960AA"/>
    <w:rsid w:val="1B030300"/>
    <w:rsid w:val="1B893F80"/>
    <w:rsid w:val="1B955DCD"/>
    <w:rsid w:val="1BA903E5"/>
    <w:rsid w:val="1BC321A9"/>
    <w:rsid w:val="1BD7284D"/>
    <w:rsid w:val="1C275D99"/>
    <w:rsid w:val="1CB756FE"/>
    <w:rsid w:val="1CD13F56"/>
    <w:rsid w:val="1CD22964"/>
    <w:rsid w:val="1D4069BD"/>
    <w:rsid w:val="1D5227F0"/>
    <w:rsid w:val="1D9F744D"/>
    <w:rsid w:val="1E411CDC"/>
    <w:rsid w:val="1F2B3DF2"/>
    <w:rsid w:val="1F646128"/>
    <w:rsid w:val="1F68743D"/>
    <w:rsid w:val="20F72252"/>
    <w:rsid w:val="21290C86"/>
    <w:rsid w:val="218A50CB"/>
    <w:rsid w:val="227B6E3E"/>
    <w:rsid w:val="22C13463"/>
    <w:rsid w:val="235B350D"/>
    <w:rsid w:val="23B24D6E"/>
    <w:rsid w:val="23C40371"/>
    <w:rsid w:val="23CB16FF"/>
    <w:rsid w:val="240173EA"/>
    <w:rsid w:val="2425485C"/>
    <w:rsid w:val="24C12F4B"/>
    <w:rsid w:val="254E4DDC"/>
    <w:rsid w:val="26461511"/>
    <w:rsid w:val="288D7AAA"/>
    <w:rsid w:val="28B341E3"/>
    <w:rsid w:val="29555AE8"/>
    <w:rsid w:val="29774F2E"/>
    <w:rsid w:val="29AA5E33"/>
    <w:rsid w:val="29EA6657"/>
    <w:rsid w:val="2A007F09"/>
    <w:rsid w:val="2BE81E7D"/>
    <w:rsid w:val="2CF91099"/>
    <w:rsid w:val="2D0C5933"/>
    <w:rsid w:val="2DBE4298"/>
    <w:rsid w:val="2DF94FDC"/>
    <w:rsid w:val="2F29290A"/>
    <w:rsid w:val="2F867809"/>
    <w:rsid w:val="2FCE0CDC"/>
    <w:rsid w:val="3112203B"/>
    <w:rsid w:val="31785FBF"/>
    <w:rsid w:val="3224724D"/>
    <w:rsid w:val="33C75933"/>
    <w:rsid w:val="34237336"/>
    <w:rsid w:val="34A66662"/>
    <w:rsid w:val="362829E1"/>
    <w:rsid w:val="390219F4"/>
    <w:rsid w:val="39220220"/>
    <w:rsid w:val="3ADA7E29"/>
    <w:rsid w:val="3AF9494C"/>
    <w:rsid w:val="3AFA71A5"/>
    <w:rsid w:val="3B2F3BD0"/>
    <w:rsid w:val="3B5509C2"/>
    <w:rsid w:val="3B97132F"/>
    <w:rsid w:val="3C942B33"/>
    <w:rsid w:val="3CBE7BFC"/>
    <w:rsid w:val="3D204412"/>
    <w:rsid w:val="3E1D6BA4"/>
    <w:rsid w:val="3F593C0C"/>
    <w:rsid w:val="40EB6318"/>
    <w:rsid w:val="42772D26"/>
    <w:rsid w:val="42C55247"/>
    <w:rsid w:val="43CA383A"/>
    <w:rsid w:val="442C4D4F"/>
    <w:rsid w:val="447267E8"/>
    <w:rsid w:val="44946AED"/>
    <w:rsid w:val="44FB2952"/>
    <w:rsid w:val="45154451"/>
    <w:rsid w:val="45A527DF"/>
    <w:rsid w:val="45C7649A"/>
    <w:rsid w:val="469043B7"/>
    <w:rsid w:val="47614A7E"/>
    <w:rsid w:val="47730121"/>
    <w:rsid w:val="488A3088"/>
    <w:rsid w:val="488B0570"/>
    <w:rsid w:val="48D74887"/>
    <w:rsid w:val="490F1C50"/>
    <w:rsid w:val="493C7942"/>
    <w:rsid w:val="49837E25"/>
    <w:rsid w:val="499B083E"/>
    <w:rsid w:val="49E657B2"/>
    <w:rsid w:val="4BB273C8"/>
    <w:rsid w:val="4BCD7A1F"/>
    <w:rsid w:val="4C0A0E89"/>
    <w:rsid w:val="4C2C4C9E"/>
    <w:rsid w:val="4C432BAB"/>
    <w:rsid w:val="4CE56506"/>
    <w:rsid w:val="4D664D96"/>
    <w:rsid w:val="4DDA54CB"/>
    <w:rsid w:val="4EB870F7"/>
    <w:rsid w:val="4EC12A33"/>
    <w:rsid w:val="4EF87DBE"/>
    <w:rsid w:val="50FA6A61"/>
    <w:rsid w:val="512464D1"/>
    <w:rsid w:val="512F2A1E"/>
    <w:rsid w:val="514F70B8"/>
    <w:rsid w:val="517F25BD"/>
    <w:rsid w:val="528D3474"/>
    <w:rsid w:val="52A82A88"/>
    <w:rsid w:val="53400F13"/>
    <w:rsid w:val="534826BD"/>
    <w:rsid w:val="53FA37B7"/>
    <w:rsid w:val="540F1FD2"/>
    <w:rsid w:val="545D3E4C"/>
    <w:rsid w:val="546D6012"/>
    <w:rsid w:val="54ED2B45"/>
    <w:rsid w:val="55CF4960"/>
    <w:rsid w:val="55E84AF4"/>
    <w:rsid w:val="56954136"/>
    <w:rsid w:val="57C60441"/>
    <w:rsid w:val="57EA3EA3"/>
    <w:rsid w:val="57F9164B"/>
    <w:rsid w:val="58181A79"/>
    <w:rsid w:val="59091E38"/>
    <w:rsid w:val="598A663C"/>
    <w:rsid w:val="5A024017"/>
    <w:rsid w:val="5CA1477F"/>
    <w:rsid w:val="5CC73578"/>
    <w:rsid w:val="5CEA112D"/>
    <w:rsid w:val="5D285E35"/>
    <w:rsid w:val="5DBF280D"/>
    <w:rsid w:val="5E0133D2"/>
    <w:rsid w:val="5F3E1C42"/>
    <w:rsid w:val="60103CB2"/>
    <w:rsid w:val="60597EF3"/>
    <w:rsid w:val="611C117A"/>
    <w:rsid w:val="6147677F"/>
    <w:rsid w:val="617A7CE6"/>
    <w:rsid w:val="61DC77A0"/>
    <w:rsid w:val="62456BE6"/>
    <w:rsid w:val="62A04406"/>
    <w:rsid w:val="63AB062A"/>
    <w:rsid w:val="63C0701F"/>
    <w:rsid w:val="640C25AF"/>
    <w:rsid w:val="645D644F"/>
    <w:rsid w:val="64FB68D7"/>
    <w:rsid w:val="658E4B66"/>
    <w:rsid w:val="659F741C"/>
    <w:rsid w:val="65DC0F6F"/>
    <w:rsid w:val="67AB023D"/>
    <w:rsid w:val="68C373AF"/>
    <w:rsid w:val="68E97B63"/>
    <w:rsid w:val="6A86594D"/>
    <w:rsid w:val="6B340F05"/>
    <w:rsid w:val="6B902BF8"/>
    <w:rsid w:val="6C947D90"/>
    <w:rsid w:val="6D61246F"/>
    <w:rsid w:val="6D65018B"/>
    <w:rsid w:val="6E491B48"/>
    <w:rsid w:val="6EDC1FE0"/>
    <w:rsid w:val="706D1F7F"/>
    <w:rsid w:val="70CD1811"/>
    <w:rsid w:val="715749C7"/>
    <w:rsid w:val="73BB43B0"/>
    <w:rsid w:val="744C08E6"/>
    <w:rsid w:val="746347B8"/>
    <w:rsid w:val="74783A1C"/>
    <w:rsid w:val="74B05132"/>
    <w:rsid w:val="74CD5280"/>
    <w:rsid w:val="75566ACF"/>
    <w:rsid w:val="75D05699"/>
    <w:rsid w:val="75D233CF"/>
    <w:rsid w:val="76094B09"/>
    <w:rsid w:val="762D1A0F"/>
    <w:rsid w:val="76A73B92"/>
    <w:rsid w:val="77025A40"/>
    <w:rsid w:val="772A35DE"/>
    <w:rsid w:val="77B57747"/>
    <w:rsid w:val="785544D1"/>
    <w:rsid w:val="786A41B8"/>
    <w:rsid w:val="786F42B8"/>
    <w:rsid w:val="79B0209F"/>
    <w:rsid w:val="79BF662E"/>
    <w:rsid w:val="79DD3C74"/>
    <w:rsid w:val="79EE0E19"/>
    <w:rsid w:val="7AC50274"/>
    <w:rsid w:val="7B2952F2"/>
    <w:rsid w:val="7B7754FE"/>
    <w:rsid w:val="7C073C80"/>
    <w:rsid w:val="7C6250BE"/>
    <w:rsid w:val="7D4B3585"/>
    <w:rsid w:val="7EDE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line="576" w:lineRule="auto"/>
      <w:outlineLvl w:val="0"/>
    </w:pPr>
    <w:rPr>
      <w:b/>
      <w:kern w:val="44"/>
      <w:sz w:val="44"/>
    </w:rPr>
  </w:style>
  <w:style w:type="paragraph" w:styleId="4">
    <w:name w:val="heading 2"/>
    <w:basedOn w:val="1"/>
    <w:next w:val="1"/>
    <w:semiHidden/>
    <w:unhideWhenUsed/>
    <w:qFormat/>
    <w:uiPriority w:val="9"/>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numPr>
        <w:ilvl w:val="2"/>
        <w:numId w:val="1"/>
      </w:numPr>
      <w:spacing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line="317" w:lineRule="auto"/>
      <w:outlineLvl w:val="8"/>
    </w:pPr>
    <w:rPr>
      <w:rFonts w:ascii="Arial" w:hAnsi="Arial" w:eastAsia="黑体"/>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12">
    <w:name w:val="annotation text"/>
    <w:basedOn w:val="1"/>
    <w:link w:val="32"/>
    <w:unhideWhenUsed/>
    <w:qFormat/>
    <w:uiPriority w:val="99"/>
    <w:pPr>
      <w:jc w:val="left"/>
    </w:pPr>
  </w:style>
  <w:style w:type="paragraph" w:styleId="13">
    <w:name w:val="Body Text Indent"/>
    <w:basedOn w:val="1"/>
    <w:link w:val="44"/>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Plain Text"/>
    <w:basedOn w:val="1"/>
    <w:link w:val="45"/>
    <w:qFormat/>
    <w:uiPriority w:val="99"/>
    <w:rPr>
      <w:rFonts w:ascii="宋体" w:hAnsi="Courier New"/>
      <w:kern w:val="0"/>
      <w:sz w:val="20"/>
      <w:szCs w:val="20"/>
    </w:rPr>
  </w:style>
  <w:style w:type="paragraph" w:styleId="16">
    <w:name w:val="Balloon Text"/>
    <w:basedOn w:val="1"/>
    <w:link w:val="34"/>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99"/>
    <w:pPr>
      <w:widowControl/>
      <w:jc w:val="left"/>
    </w:pPr>
    <w:rPr>
      <w:rFonts w:ascii="宋体" w:hAnsi="宋体" w:cs="宋体"/>
      <w:kern w:val="0"/>
      <w:sz w:val="24"/>
    </w:rPr>
  </w:style>
  <w:style w:type="paragraph" w:styleId="22">
    <w:name w:val="annotation subject"/>
    <w:basedOn w:val="12"/>
    <w:next w:val="12"/>
    <w:link w:val="3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列出段落 Char"/>
    <w:link w:val="30"/>
    <w:qFormat/>
    <w:uiPriority w:val="34"/>
    <w:rPr>
      <w:rFonts w:ascii="Times New Roman" w:hAnsi="Times New Roman"/>
      <w:szCs w:val="24"/>
    </w:rPr>
  </w:style>
  <w:style w:type="paragraph" w:styleId="30">
    <w:name w:val="List Paragraph"/>
    <w:basedOn w:val="1"/>
    <w:link w:val="29"/>
    <w:qFormat/>
    <w:uiPriority w:val="34"/>
    <w:pPr>
      <w:ind w:firstLine="420" w:firstLineChars="200"/>
    </w:pPr>
    <w:rPr>
      <w:rFonts w:eastAsiaTheme="minorEastAsia" w:cstheme="minorBidi"/>
    </w:rPr>
  </w:style>
  <w:style w:type="character" w:customStyle="1" w:styleId="31">
    <w:name w:val="批注文字 字符"/>
    <w:basedOn w:val="25"/>
    <w:semiHidden/>
    <w:qFormat/>
    <w:uiPriority w:val="99"/>
    <w:rPr>
      <w:rFonts w:ascii="Times New Roman" w:hAnsi="Times New Roman" w:eastAsia="宋体" w:cs="Times New Roman"/>
      <w:szCs w:val="24"/>
    </w:rPr>
  </w:style>
  <w:style w:type="character" w:customStyle="1" w:styleId="32">
    <w:name w:val="批注文字 Char"/>
    <w:link w:val="12"/>
    <w:qFormat/>
    <w:uiPriority w:val="99"/>
    <w:rPr>
      <w:rFonts w:ascii="Times New Roman" w:hAnsi="Times New Roman" w:eastAsia="宋体" w:cs="Times New Roman"/>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4">
    <w:name w:val="批注框文本 Char"/>
    <w:basedOn w:val="25"/>
    <w:link w:val="16"/>
    <w:semiHidden/>
    <w:qFormat/>
    <w:uiPriority w:val="99"/>
    <w:rPr>
      <w:rFonts w:ascii="Times New Roman" w:hAnsi="Times New Roman" w:eastAsia="宋体" w:cs="Times New Roman"/>
      <w:sz w:val="18"/>
      <w:szCs w:val="18"/>
    </w:rPr>
  </w:style>
  <w:style w:type="character" w:customStyle="1" w:styleId="35">
    <w:name w:val="页眉 Char"/>
    <w:basedOn w:val="25"/>
    <w:link w:val="18"/>
    <w:qFormat/>
    <w:uiPriority w:val="99"/>
    <w:rPr>
      <w:rFonts w:ascii="Times New Roman" w:hAnsi="Times New Roman" w:eastAsia="宋体" w:cs="Times New Roman"/>
      <w:sz w:val="18"/>
      <w:szCs w:val="18"/>
    </w:rPr>
  </w:style>
  <w:style w:type="character" w:customStyle="1" w:styleId="36">
    <w:name w:val="页脚 Char"/>
    <w:basedOn w:val="25"/>
    <w:link w:val="17"/>
    <w:qFormat/>
    <w:uiPriority w:val="99"/>
    <w:rPr>
      <w:rFonts w:ascii="Times New Roman" w:hAnsi="Times New Roman" w:eastAsia="宋体" w:cs="Times New Roman"/>
      <w:sz w:val="18"/>
      <w:szCs w:val="18"/>
    </w:rPr>
  </w:style>
  <w:style w:type="character" w:customStyle="1" w:styleId="37">
    <w:name w:val="标题1"/>
    <w:basedOn w:val="25"/>
    <w:qFormat/>
    <w:uiPriority w:val="0"/>
  </w:style>
  <w:style w:type="character" w:customStyle="1" w:styleId="38">
    <w:name w:val="批注主题 Char"/>
    <w:basedOn w:val="32"/>
    <w:link w:val="22"/>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5"/>
    <w:semiHidden/>
    <w:unhideWhenUsed/>
    <w:qFormat/>
    <w:uiPriority w:val="99"/>
    <w:rPr>
      <w:color w:val="605E5C"/>
      <w:shd w:val="clear" w:color="auto" w:fill="E1DFDD"/>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正文文本缩进 Char"/>
    <w:basedOn w:val="25"/>
    <w:link w:val="13"/>
    <w:semiHidden/>
    <w:qFormat/>
    <w:uiPriority w:val="99"/>
    <w:rPr>
      <w:kern w:val="2"/>
      <w:sz w:val="21"/>
      <w:szCs w:val="24"/>
    </w:rPr>
  </w:style>
  <w:style w:type="character" w:customStyle="1" w:styleId="45">
    <w:name w:val="纯文本 Char"/>
    <w:basedOn w:val="25"/>
    <w:link w:val="15"/>
    <w:qFormat/>
    <w:uiPriority w:val="99"/>
    <w:rPr>
      <w:rFonts w:ascii="宋体" w:hAnsi="Courier New"/>
    </w:rPr>
  </w:style>
  <w:style w:type="paragraph" w:customStyle="1" w:styleId="46">
    <w:name w:val="plain text"/>
    <w:basedOn w:val="1"/>
    <w:unhideWhenUsed/>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106BB-8E2C-4217-AA43-0FA7E6D09A3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19048</Words>
  <Characters>19956</Characters>
  <Lines>177</Lines>
  <Paragraphs>49</Paragraphs>
  <TotalTime>106</TotalTime>
  <ScaleCrop>false</ScaleCrop>
  <LinksUpToDate>false</LinksUpToDate>
  <CharactersWithSpaces>22195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2022-04-03T03:32:00Z</dcterms:created>
  <dc:creator>Tony Young</dc:creator>
  <cp:lastModifiedBy>szcec</cp:lastModifiedBy>
  <cp:lastPrinted>2022-04-24T03:20:00Z</cp:lastPrinted>
  <dcterms:modified xsi:type="dcterms:W3CDTF">2022-05-13T05:57:53Z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0E779A2035954E809A1EC6054FEECBCA</vt:lpwstr>
  </property>
</Properties>
</file>