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简体" w:hAnsi="方正小标宋_GBK" w:eastAsia="方正小标宋简体" w:cs="方正小标宋_GBK"/>
          <w:bCs/>
          <w:sz w:val="48"/>
          <w:szCs w:val="48"/>
        </w:rPr>
      </w:pPr>
      <w:r>
        <w:rPr>
          <w:rFonts w:hint="eastAsia" w:ascii="方正小标宋简体" w:hAnsi="方正小标宋_GBK" w:eastAsia="方正小标宋简体" w:cs="方正小标宋_GBK"/>
          <w:bCs/>
          <w:sz w:val="48"/>
          <w:szCs w:val="48"/>
        </w:rPr>
        <w:t>深圳会展中心管理有限责任公司</w:t>
      </w:r>
    </w:p>
    <w:p>
      <w:pPr>
        <w:spacing w:line="400" w:lineRule="exact"/>
        <w:jc w:val="distribute"/>
        <w:rPr>
          <w:rFonts w:ascii="宋体" w:hAnsi="宋体"/>
          <w:b/>
          <w:color w:val="000000"/>
          <w:w w:val="90"/>
          <w:sz w:val="52"/>
        </w:rPr>
      </w:pPr>
    </w:p>
    <w:p>
      <w:pPr>
        <w:tabs>
          <w:tab w:val="center" w:pos="4275"/>
          <w:tab w:val="left" w:pos="7755"/>
        </w:tabs>
        <w:adjustRightInd w:val="0"/>
        <w:snapToGrid w:val="0"/>
        <w:spacing w:line="480" w:lineRule="auto"/>
        <w:jc w:val="left"/>
        <w:rPr>
          <w:rFonts w:ascii="方正小标宋简体" w:hAnsi="方正小标宋_GBK" w:eastAsia="方正小标宋简体"/>
          <w:color w:val="000000"/>
          <w:spacing w:val="20"/>
          <w:sz w:val="72"/>
          <w:szCs w:val="72"/>
        </w:rPr>
      </w:pPr>
      <w:r>
        <w:rPr>
          <w:rFonts w:ascii="方正小标宋_GBK" w:hAnsi="方正小标宋_GBK" w:eastAsia="方正小标宋_GBK"/>
          <w:b/>
          <w:color w:val="000000"/>
          <w:spacing w:val="20"/>
          <w:sz w:val="72"/>
          <w:szCs w:val="72"/>
        </w:rPr>
        <w:tab/>
      </w:r>
      <w:r>
        <w:rPr>
          <w:rFonts w:hint="eastAsia" w:ascii="方正小标宋简体" w:hAnsi="方正小标宋_GBK" w:eastAsia="方正小标宋简体"/>
          <w:color w:val="000000"/>
          <w:spacing w:val="20"/>
          <w:sz w:val="72"/>
          <w:szCs w:val="72"/>
        </w:rPr>
        <w:t>采购谈判邀请函</w:t>
      </w:r>
    </w:p>
    <w:p>
      <w:pPr>
        <w:tabs>
          <w:tab w:val="left" w:pos="1985"/>
          <w:tab w:val="left" w:pos="2127"/>
        </w:tabs>
        <w:adjustRightInd w:val="0"/>
        <w:snapToGrid w:val="0"/>
        <w:spacing w:line="480" w:lineRule="auto"/>
        <w:jc w:val="center"/>
        <w:rPr>
          <w:rFonts w:ascii="方正小标宋简体" w:hAnsi="方正小标宋_GBK" w:eastAsia="方正小标宋简体"/>
          <w:sz w:val="32"/>
          <w:szCs w:val="32"/>
        </w:rPr>
      </w:pPr>
      <w:r>
        <w:rPr>
          <w:rFonts w:hint="eastAsia" w:ascii="方正小标宋简体" w:hAnsi="方正小标宋_GBK" w:eastAsia="方正小标宋简体"/>
          <w:sz w:val="32"/>
          <w:szCs w:val="32"/>
        </w:rPr>
        <w:t>项目名称</w:t>
      </w:r>
    </w:p>
    <w:p>
      <w:pPr>
        <w:tabs>
          <w:tab w:val="left" w:pos="1985"/>
          <w:tab w:val="left" w:pos="2127"/>
        </w:tabs>
        <w:adjustRightInd w:val="0"/>
        <w:snapToGrid w:val="0"/>
        <w:spacing w:line="480" w:lineRule="auto"/>
        <w:jc w:val="center"/>
        <w:rPr>
          <w:rFonts w:ascii="方正小标宋简体" w:hAnsi="方正小标宋_GBK" w:eastAsia="方正小标宋简体"/>
          <w:color w:val="auto"/>
          <w:sz w:val="32"/>
          <w:szCs w:val="32"/>
        </w:rPr>
      </w:pPr>
      <w:r>
        <w:rPr>
          <w:rFonts w:hint="eastAsia" w:ascii="方正小标宋简体" w:hAnsi="方正小标宋_GBK" w:eastAsia="方正小标宋简体" w:cs="方正小标宋_GBK"/>
          <w:color w:val="auto"/>
          <w:sz w:val="32"/>
          <w:szCs w:val="32"/>
        </w:rPr>
        <w:t>第二十四届高交会视觉识别系统规范手册设计项目</w:t>
      </w: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tabs>
          <w:tab w:val="left" w:pos="2127"/>
          <w:tab w:val="left" w:pos="2694"/>
        </w:tabs>
        <w:spacing w:line="360" w:lineRule="auto"/>
        <w:jc w:val="center"/>
        <w:rPr>
          <w:rFonts w:ascii="宋体" w:hAnsi="宋体"/>
          <w:b/>
          <w:sz w:val="32"/>
          <w:szCs w:val="32"/>
        </w:rPr>
      </w:pPr>
    </w:p>
    <w:p>
      <w:pPr>
        <w:jc w:val="center"/>
        <w:rPr>
          <w:rFonts w:ascii="方正小标宋简体" w:hAnsi="方正小标宋_GBK" w:eastAsia="方正小标宋简体" w:cs="方正小标宋_GBK"/>
          <w:sz w:val="32"/>
          <w:szCs w:val="32"/>
        </w:rPr>
      </w:pPr>
      <w:r>
        <w:rPr>
          <w:rFonts w:hint="eastAsia" w:ascii="方正小标宋简体" w:hAnsi="方正小标宋_GBK" w:eastAsia="方正小标宋简体" w:cs="方正小标宋_GBK"/>
          <w:sz w:val="32"/>
          <w:szCs w:val="32"/>
        </w:rPr>
        <w:t>深圳会展中心管理有限责任公司</w:t>
      </w:r>
    </w:p>
    <w:p>
      <w:pPr>
        <w:adjustRightInd w:val="0"/>
        <w:snapToGrid w:val="0"/>
        <w:spacing w:line="480" w:lineRule="auto"/>
        <w:jc w:val="center"/>
        <w:rPr>
          <w:rFonts w:ascii="黑体" w:hAnsi="黑体" w:eastAsia="黑体"/>
          <w:b/>
          <w:color w:val="000000"/>
          <w:sz w:val="32"/>
          <w:szCs w:val="32"/>
        </w:rPr>
      </w:pPr>
      <w:r>
        <w:rPr>
          <w:rFonts w:hint="eastAsia" w:ascii="方正小标宋简体" w:hAnsi="方正小标宋_GBK" w:eastAsia="方正小标宋简体" w:cs="方正小标宋_GBK"/>
          <w:sz w:val="32"/>
          <w:szCs w:val="32"/>
        </w:rPr>
        <w:t>2022年5月</w:t>
      </w:r>
      <w:r>
        <w:rPr>
          <w:rFonts w:ascii="黑体" w:hAnsi="黑体" w:eastAsia="黑体"/>
          <w:b/>
          <w:color w:val="000000"/>
          <w:sz w:val="32"/>
          <w:szCs w:val="32"/>
        </w:rPr>
        <w:br w:type="page"/>
      </w:r>
    </w:p>
    <w:p>
      <w:pPr>
        <w:adjustRightInd w:val="0"/>
        <w:snapToGrid w:val="0"/>
        <w:spacing w:before="360" w:line="400" w:lineRule="exact"/>
        <w:jc w:val="center"/>
        <w:rPr>
          <w:rFonts w:ascii="仿宋" w:hAnsi="仿宋" w:eastAsia="仿宋" w:cs="仿宋"/>
          <w:b/>
          <w:color w:val="000000"/>
          <w:spacing w:val="20"/>
          <w:sz w:val="24"/>
        </w:rPr>
      </w:pPr>
      <w:r>
        <w:rPr>
          <w:rFonts w:hint="eastAsia" w:ascii="仿宋" w:hAnsi="仿宋" w:eastAsia="仿宋" w:cs="仿宋"/>
          <w:b/>
          <w:color w:val="000000"/>
          <w:sz w:val="24"/>
        </w:rPr>
        <w:t>目     录</w:t>
      </w:r>
    </w:p>
    <w:p>
      <w:pPr>
        <w:adjustRightInd w:val="0"/>
        <w:snapToGrid w:val="0"/>
        <w:spacing w:line="480" w:lineRule="exact"/>
        <w:jc w:val="center"/>
        <w:rPr>
          <w:rFonts w:ascii="仿宋" w:hAnsi="仿宋" w:eastAsia="仿宋" w:cs="仿宋"/>
          <w:b/>
          <w:color w:val="000000"/>
          <w:sz w:val="24"/>
        </w:rPr>
      </w:pPr>
    </w:p>
    <w:sdt>
      <w:sdtPr>
        <w:rPr>
          <w:rFonts w:ascii="宋体" w:hAnsi="宋体"/>
        </w:rPr>
        <w:id w:val="147465915"/>
        <w:docPartObj>
          <w:docPartGallery w:val="Table of Contents"/>
          <w:docPartUnique/>
        </w:docPartObj>
      </w:sdtPr>
      <w:sdtEndPr>
        <w:rPr>
          <w:rFonts w:hint="eastAsia" w:ascii="仿宋" w:hAnsi="仿宋" w:eastAsia="仿宋" w:cs="仿宋"/>
          <w:color w:val="000000"/>
        </w:rPr>
      </w:sdtEndPr>
      <w:sdtContent>
        <w:p>
          <w:pPr>
            <w:jc w:val="center"/>
          </w:pPr>
          <w:bookmarkStart w:id="0" w:name="_Toc236803063"/>
          <w:r>
            <w:rPr>
              <w:rFonts w:ascii="宋体" w:hAnsi="宋体"/>
            </w:rPr>
            <w:t>目录</w:t>
          </w:r>
        </w:p>
        <w:p>
          <w:pPr>
            <w:pStyle w:val="26"/>
            <w:tabs>
              <w:tab w:val="right" w:leader="dot" w:pos="8930"/>
            </w:tabs>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TOC \o "1-3" \h \u </w:instrText>
          </w:r>
          <w:r>
            <w:rPr>
              <w:rFonts w:hint="eastAsia" w:ascii="仿宋" w:hAnsi="仿宋" w:eastAsia="仿宋" w:cs="仿宋"/>
              <w:color w:val="000000"/>
              <w:sz w:val="24"/>
            </w:rPr>
            <w:fldChar w:fldCharType="separate"/>
          </w:r>
          <w:r>
            <w:fldChar w:fldCharType="begin"/>
          </w:r>
          <w:r>
            <w:instrText xml:space="preserve"> HYPERLINK \l "_Toc7761" </w:instrText>
          </w:r>
          <w:r>
            <w:fldChar w:fldCharType="separate"/>
          </w:r>
          <w:r>
            <w:rPr>
              <w:rFonts w:hint="eastAsia" w:ascii="仿宋" w:hAnsi="仿宋" w:eastAsia="仿宋" w:cs="仿宋"/>
            </w:rPr>
            <w:t>第一部分： 采购谈判项目概况</w:t>
          </w:r>
          <w:r>
            <w:tab/>
          </w:r>
          <w:r>
            <w:fldChar w:fldCharType="begin"/>
          </w:r>
          <w:r>
            <w:instrText xml:space="preserve"> PAGEREF _Toc7761 \h </w:instrText>
          </w:r>
          <w:r>
            <w:fldChar w:fldCharType="separate"/>
          </w:r>
          <w:r>
            <w:t>1</w:t>
          </w:r>
          <w:r>
            <w:fldChar w:fldCharType="end"/>
          </w:r>
          <w:r>
            <w:fldChar w:fldCharType="end"/>
          </w:r>
        </w:p>
        <w:p>
          <w:pPr>
            <w:pStyle w:val="19"/>
            <w:tabs>
              <w:tab w:val="right" w:leader="dot" w:pos="8930"/>
              <w:tab w:val="clear" w:pos="8303"/>
            </w:tabs>
          </w:pPr>
          <w:r>
            <w:fldChar w:fldCharType="begin"/>
          </w:r>
          <w:r>
            <w:instrText xml:space="preserve"> HYPERLINK \l "_Toc16010" </w:instrText>
          </w:r>
          <w:r>
            <w:fldChar w:fldCharType="separate"/>
          </w:r>
          <w:r>
            <w:rPr>
              <w:rFonts w:hint="eastAsia" w:ascii="仿宋" w:hAnsi="仿宋" w:eastAsia="仿宋" w:cs="仿宋"/>
              <w:bCs/>
              <w:spacing w:val="-20"/>
            </w:rPr>
            <w:t xml:space="preserve">一、 </w:t>
          </w:r>
          <w:r>
            <w:rPr>
              <w:rFonts w:hint="eastAsia" w:ascii="仿宋" w:hAnsi="仿宋" w:eastAsia="仿宋" w:cs="仿宋"/>
            </w:rPr>
            <w:t>单位名称</w:t>
          </w:r>
          <w:r>
            <w:tab/>
          </w:r>
          <w:r>
            <w:fldChar w:fldCharType="begin"/>
          </w:r>
          <w:r>
            <w:instrText xml:space="preserve"> PAGEREF _Toc16010 \h </w:instrText>
          </w:r>
          <w:r>
            <w:fldChar w:fldCharType="separate"/>
          </w:r>
          <w:r>
            <w:t>1</w:t>
          </w:r>
          <w:r>
            <w:fldChar w:fldCharType="end"/>
          </w:r>
          <w:r>
            <w:fldChar w:fldCharType="end"/>
          </w:r>
        </w:p>
        <w:p>
          <w:pPr>
            <w:pStyle w:val="19"/>
            <w:tabs>
              <w:tab w:val="right" w:leader="dot" w:pos="8930"/>
              <w:tab w:val="clear" w:pos="8303"/>
            </w:tabs>
          </w:pPr>
          <w:r>
            <w:fldChar w:fldCharType="begin"/>
          </w:r>
          <w:r>
            <w:instrText xml:space="preserve"> HYPERLINK \l "_Toc6385" </w:instrText>
          </w:r>
          <w:r>
            <w:fldChar w:fldCharType="separate"/>
          </w:r>
          <w:r>
            <w:rPr>
              <w:rFonts w:hint="eastAsia" w:ascii="仿宋" w:hAnsi="仿宋" w:eastAsia="仿宋" w:cs="仿宋"/>
              <w:bCs/>
              <w:spacing w:val="-20"/>
            </w:rPr>
            <w:t xml:space="preserve">二、 </w:t>
          </w:r>
          <w:r>
            <w:rPr>
              <w:rFonts w:hint="eastAsia" w:ascii="仿宋" w:hAnsi="仿宋" w:eastAsia="仿宋" w:cs="仿宋"/>
            </w:rPr>
            <w:t>单位地址</w:t>
          </w:r>
          <w:r>
            <w:tab/>
          </w:r>
          <w:r>
            <w:fldChar w:fldCharType="begin"/>
          </w:r>
          <w:r>
            <w:instrText xml:space="preserve"> PAGEREF _Toc6385 \h </w:instrText>
          </w:r>
          <w:r>
            <w:fldChar w:fldCharType="separate"/>
          </w:r>
          <w:r>
            <w:t>1</w:t>
          </w:r>
          <w:r>
            <w:fldChar w:fldCharType="end"/>
          </w:r>
          <w:r>
            <w:fldChar w:fldCharType="end"/>
          </w:r>
        </w:p>
        <w:p>
          <w:pPr>
            <w:pStyle w:val="19"/>
            <w:tabs>
              <w:tab w:val="right" w:leader="dot" w:pos="8930"/>
              <w:tab w:val="clear" w:pos="8303"/>
            </w:tabs>
          </w:pPr>
          <w:r>
            <w:fldChar w:fldCharType="begin"/>
          </w:r>
          <w:r>
            <w:instrText xml:space="preserve"> HYPERLINK \l "_Toc15027" </w:instrText>
          </w:r>
          <w:r>
            <w:fldChar w:fldCharType="separate"/>
          </w:r>
          <w:r>
            <w:rPr>
              <w:rFonts w:hint="eastAsia" w:ascii="仿宋" w:hAnsi="仿宋" w:eastAsia="仿宋" w:cs="仿宋"/>
              <w:bCs/>
              <w:spacing w:val="-20"/>
            </w:rPr>
            <w:t xml:space="preserve">三、 </w:t>
          </w:r>
          <w:r>
            <w:rPr>
              <w:rFonts w:hint="eastAsia" w:ascii="仿宋" w:hAnsi="仿宋" w:eastAsia="仿宋" w:cs="仿宋"/>
            </w:rPr>
            <w:t>拟邀请供应商</w:t>
          </w:r>
          <w:r>
            <w:tab/>
          </w:r>
          <w:r>
            <w:fldChar w:fldCharType="begin"/>
          </w:r>
          <w:r>
            <w:instrText xml:space="preserve"> PAGEREF _Toc15027 \h </w:instrText>
          </w:r>
          <w:r>
            <w:fldChar w:fldCharType="separate"/>
          </w:r>
          <w:r>
            <w:t>1</w:t>
          </w:r>
          <w:r>
            <w:fldChar w:fldCharType="end"/>
          </w:r>
          <w:r>
            <w:fldChar w:fldCharType="end"/>
          </w:r>
        </w:p>
        <w:p>
          <w:pPr>
            <w:pStyle w:val="19"/>
            <w:tabs>
              <w:tab w:val="right" w:leader="dot" w:pos="8930"/>
              <w:tab w:val="clear" w:pos="8303"/>
            </w:tabs>
          </w:pPr>
          <w:r>
            <w:fldChar w:fldCharType="begin"/>
          </w:r>
          <w:r>
            <w:instrText xml:space="preserve"> HYPERLINK \l "_Toc23543" </w:instrText>
          </w:r>
          <w:r>
            <w:fldChar w:fldCharType="separate"/>
          </w:r>
          <w:r>
            <w:rPr>
              <w:rFonts w:hint="eastAsia" w:ascii="仿宋" w:hAnsi="仿宋" w:eastAsia="仿宋" w:cs="仿宋"/>
              <w:bCs/>
              <w:spacing w:val="-20"/>
            </w:rPr>
            <w:t xml:space="preserve">四、 </w:t>
          </w:r>
          <w:r>
            <w:rPr>
              <w:rFonts w:hint="eastAsia" w:ascii="仿宋" w:hAnsi="仿宋" w:eastAsia="仿宋" w:cs="仿宋"/>
            </w:rPr>
            <w:t>项目名称</w:t>
          </w:r>
          <w:r>
            <w:tab/>
          </w:r>
          <w:r>
            <w:fldChar w:fldCharType="begin"/>
          </w:r>
          <w:r>
            <w:instrText xml:space="preserve"> PAGEREF _Toc23543 \h </w:instrText>
          </w:r>
          <w:r>
            <w:fldChar w:fldCharType="separate"/>
          </w:r>
          <w:r>
            <w:t>1</w:t>
          </w:r>
          <w:r>
            <w:fldChar w:fldCharType="end"/>
          </w:r>
          <w:r>
            <w:fldChar w:fldCharType="end"/>
          </w:r>
        </w:p>
        <w:p>
          <w:pPr>
            <w:pStyle w:val="19"/>
            <w:tabs>
              <w:tab w:val="right" w:leader="dot" w:pos="8930"/>
              <w:tab w:val="clear" w:pos="8303"/>
            </w:tabs>
          </w:pPr>
          <w:r>
            <w:fldChar w:fldCharType="begin"/>
          </w:r>
          <w:r>
            <w:instrText xml:space="preserve"> HYPERLINK \l "_Toc22592" </w:instrText>
          </w:r>
          <w:r>
            <w:fldChar w:fldCharType="separate"/>
          </w:r>
          <w:r>
            <w:rPr>
              <w:rFonts w:hint="eastAsia" w:ascii="仿宋" w:hAnsi="仿宋" w:eastAsia="仿宋" w:cs="仿宋"/>
              <w:bCs/>
              <w:spacing w:val="-20"/>
            </w:rPr>
            <w:t xml:space="preserve">五、 </w:t>
          </w:r>
          <w:r>
            <w:rPr>
              <w:rFonts w:hint="eastAsia" w:ascii="仿宋" w:hAnsi="仿宋" w:eastAsia="仿宋" w:cs="仿宋"/>
            </w:rPr>
            <w:t>项目简介</w:t>
          </w:r>
          <w:r>
            <w:tab/>
          </w:r>
          <w:r>
            <w:fldChar w:fldCharType="begin"/>
          </w:r>
          <w:r>
            <w:instrText xml:space="preserve"> PAGEREF _Toc22592 \h </w:instrText>
          </w:r>
          <w:r>
            <w:fldChar w:fldCharType="separate"/>
          </w:r>
          <w:r>
            <w:t>1</w:t>
          </w:r>
          <w:r>
            <w:fldChar w:fldCharType="end"/>
          </w:r>
          <w:r>
            <w:fldChar w:fldCharType="end"/>
          </w:r>
        </w:p>
        <w:p>
          <w:pPr>
            <w:pStyle w:val="19"/>
            <w:tabs>
              <w:tab w:val="right" w:leader="dot" w:pos="8930"/>
              <w:tab w:val="clear" w:pos="8303"/>
            </w:tabs>
          </w:pPr>
          <w:r>
            <w:fldChar w:fldCharType="begin"/>
          </w:r>
          <w:r>
            <w:instrText xml:space="preserve"> HYPERLINK \l "_Toc10262" </w:instrText>
          </w:r>
          <w:r>
            <w:fldChar w:fldCharType="separate"/>
          </w:r>
          <w:r>
            <w:rPr>
              <w:rFonts w:hint="eastAsia" w:ascii="仿宋" w:hAnsi="仿宋" w:eastAsia="仿宋" w:cs="仿宋"/>
              <w:bCs/>
              <w:spacing w:val="-20"/>
            </w:rPr>
            <w:t xml:space="preserve">六、 </w:t>
          </w:r>
          <w:r>
            <w:rPr>
              <w:rFonts w:hint="eastAsia" w:ascii="仿宋" w:hAnsi="仿宋" w:eastAsia="仿宋" w:cs="仿宋"/>
            </w:rPr>
            <w:t>实施地点</w:t>
          </w:r>
          <w:r>
            <w:tab/>
          </w:r>
          <w:r>
            <w:fldChar w:fldCharType="begin"/>
          </w:r>
          <w:r>
            <w:instrText xml:space="preserve"> PAGEREF _Toc10262 \h </w:instrText>
          </w:r>
          <w:r>
            <w:fldChar w:fldCharType="separate"/>
          </w:r>
          <w:r>
            <w:t>1</w:t>
          </w:r>
          <w:r>
            <w:fldChar w:fldCharType="end"/>
          </w:r>
          <w:r>
            <w:fldChar w:fldCharType="end"/>
          </w:r>
        </w:p>
        <w:p>
          <w:pPr>
            <w:pStyle w:val="19"/>
            <w:tabs>
              <w:tab w:val="right" w:leader="dot" w:pos="8930"/>
              <w:tab w:val="clear" w:pos="8303"/>
            </w:tabs>
          </w:pPr>
          <w:r>
            <w:fldChar w:fldCharType="begin"/>
          </w:r>
          <w:r>
            <w:instrText xml:space="preserve"> HYPERLINK \l "_Toc31661" </w:instrText>
          </w:r>
          <w:r>
            <w:fldChar w:fldCharType="separate"/>
          </w:r>
          <w:r>
            <w:rPr>
              <w:rFonts w:hint="eastAsia" w:ascii="仿宋" w:hAnsi="仿宋" w:eastAsia="仿宋" w:cs="仿宋"/>
              <w:bCs/>
              <w:spacing w:val="-20"/>
            </w:rPr>
            <w:t xml:space="preserve">七、 </w:t>
          </w:r>
          <w:r>
            <w:rPr>
              <w:rFonts w:hint="eastAsia" w:ascii="仿宋" w:hAnsi="仿宋" w:eastAsia="仿宋" w:cs="仿宋"/>
            </w:rPr>
            <w:t>响应文件递交截止时间、编制形式、递交方式及注意事项</w:t>
          </w:r>
          <w:r>
            <w:tab/>
          </w:r>
          <w:r>
            <w:fldChar w:fldCharType="begin"/>
          </w:r>
          <w:r>
            <w:instrText xml:space="preserve"> PAGEREF _Toc31661 \h </w:instrText>
          </w:r>
          <w:r>
            <w:fldChar w:fldCharType="separate"/>
          </w:r>
          <w:r>
            <w:t>1</w:t>
          </w:r>
          <w:r>
            <w:fldChar w:fldCharType="end"/>
          </w:r>
          <w:r>
            <w:fldChar w:fldCharType="end"/>
          </w:r>
        </w:p>
        <w:p>
          <w:pPr>
            <w:pStyle w:val="19"/>
            <w:tabs>
              <w:tab w:val="right" w:leader="dot" w:pos="8930"/>
              <w:tab w:val="clear" w:pos="8303"/>
            </w:tabs>
          </w:pPr>
          <w:r>
            <w:fldChar w:fldCharType="begin"/>
          </w:r>
          <w:r>
            <w:instrText xml:space="preserve"> HYPERLINK \l "_Toc17423" </w:instrText>
          </w:r>
          <w:r>
            <w:fldChar w:fldCharType="separate"/>
          </w:r>
          <w:r>
            <w:rPr>
              <w:rFonts w:hint="eastAsia" w:ascii="仿宋" w:hAnsi="仿宋" w:eastAsia="仿宋" w:cs="仿宋"/>
              <w:bCs/>
              <w:spacing w:val="-20"/>
            </w:rPr>
            <w:t xml:space="preserve">八、 </w:t>
          </w:r>
          <w:r>
            <w:rPr>
              <w:rFonts w:hint="eastAsia" w:ascii="仿宋" w:hAnsi="仿宋" w:eastAsia="仿宋" w:cs="仿宋"/>
            </w:rPr>
            <w:t>谈判开始时间及地点</w:t>
          </w:r>
          <w:r>
            <w:tab/>
          </w:r>
          <w:r>
            <w:fldChar w:fldCharType="begin"/>
          </w:r>
          <w:r>
            <w:instrText xml:space="preserve"> PAGEREF _Toc17423 \h </w:instrText>
          </w:r>
          <w:r>
            <w:fldChar w:fldCharType="separate"/>
          </w:r>
          <w:r>
            <w:t>2</w:t>
          </w:r>
          <w:r>
            <w:fldChar w:fldCharType="end"/>
          </w:r>
          <w:r>
            <w:fldChar w:fldCharType="end"/>
          </w:r>
        </w:p>
        <w:p>
          <w:pPr>
            <w:pStyle w:val="19"/>
            <w:tabs>
              <w:tab w:val="right" w:leader="dot" w:pos="8930"/>
              <w:tab w:val="clear" w:pos="8303"/>
            </w:tabs>
          </w:pPr>
          <w:r>
            <w:fldChar w:fldCharType="begin"/>
          </w:r>
          <w:r>
            <w:instrText xml:space="preserve"> HYPERLINK \l "_Toc15396" </w:instrText>
          </w:r>
          <w:r>
            <w:fldChar w:fldCharType="separate"/>
          </w:r>
          <w:r>
            <w:rPr>
              <w:rFonts w:hint="eastAsia" w:ascii="仿宋" w:hAnsi="仿宋" w:eastAsia="仿宋" w:cs="仿宋"/>
              <w:bCs/>
              <w:spacing w:val="-20"/>
            </w:rPr>
            <w:t xml:space="preserve">九、 </w:t>
          </w:r>
          <w:r>
            <w:rPr>
              <w:rFonts w:hint="eastAsia" w:ascii="仿宋" w:hAnsi="仿宋" w:eastAsia="仿宋" w:cs="仿宋"/>
            </w:rPr>
            <w:t>联系方式</w:t>
          </w:r>
          <w:r>
            <w:tab/>
          </w:r>
          <w:r>
            <w:fldChar w:fldCharType="begin"/>
          </w:r>
          <w:r>
            <w:instrText xml:space="preserve"> PAGEREF _Toc15396 \h </w:instrText>
          </w:r>
          <w:r>
            <w:fldChar w:fldCharType="separate"/>
          </w:r>
          <w:r>
            <w:t>2</w:t>
          </w:r>
          <w:r>
            <w:fldChar w:fldCharType="end"/>
          </w:r>
          <w:r>
            <w:fldChar w:fldCharType="end"/>
          </w:r>
        </w:p>
        <w:p>
          <w:pPr>
            <w:pStyle w:val="19"/>
            <w:tabs>
              <w:tab w:val="right" w:leader="dot" w:pos="8930"/>
              <w:tab w:val="clear" w:pos="8303"/>
            </w:tabs>
          </w:pPr>
          <w:r>
            <w:fldChar w:fldCharType="begin"/>
          </w:r>
          <w:r>
            <w:instrText xml:space="preserve"> HYPERLINK \l "_Toc20517" </w:instrText>
          </w:r>
          <w:r>
            <w:fldChar w:fldCharType="separate"/>
          </w:r>
          <w:r>
            <w:rPr>
              <w:rFonts w:hint="eastAsia" w:ascii="仿宋" w:hAnsi="仿宋" w:eastAsia="仿宋" w:cs="仿宋"/>
              <w:bCs/>
              <w:spacing w:val="-20"/>
            </w:rPr>
            <w:t xml:space="preserve">十、 </w:t>
          </w:r>
          <w:r>
            <w:rPr>
              <w:rFonts w:hint="eastAsia" w:ascii="仿宋" w:hAnsi="仿宋" w:eastAsia="仿宋" w:cs="仿宋"/>
            </w:rPr>
            <w:t>谈判结果</w:t>
          </w:r>
          <w:r>
            <w:tab/>
          </w:r>
          <w:r>
            <w:fldChar w:fldCharType="begin"/>
          </w:r>
          <w:r>
            <w:instrText xml:space="preserve"> PAGEREF _Toc20517 \h </w:instrText>
          </w:r>
          <w:r>
            <w:fldChar w:fldCharType="separate"/>
          </w:r>
          <w:r>
            <w:t>2</w:t>
          </w:r>
          <w:r>
            <w:fldChar w:fldCharType="end"/>
          </w:r>
          <w:r>
            <w:fldChar w:fldCharType="end"/>
          </w:r>
        </w:p>
        <w:p>
          <w:pPr>
            <w:pStyle w:val="19"/>
            <w:tabs>
              <w:tab w:val="right" w:leader="dot" w:pos="8930"/>
              <w:tab w:val="clear" w:pos="8303"/>
            </w:tabs>
          </w:pPr>
          <w:r>
            <w:fldChar w:fldCharType="begin"/>
          </w:r>
          <w:r>
            <w:instrText xml:space="preserve"> HYPERLINK \l "_Toc3992" </w:instrText>
          </w:r>
          <w:r>
            <w:fldChar w:fldCharType="separate"/>
          </w:r>
          <w:r>
            <w:rPr>
              <w:rFonts w:hint="eastAsia" w:ascii="仿宋" w:hAnsi="仿宋" w:eastAsia="仿宋" w:cs="仿宋"/>
              <w:bCs/>
              <w:spacing w:val="-20"/>
            </w:rPr>
            <w:t xml:space="preserve">十一、 </w:t>
          </w:r>
          <w:r>
            <w:rPr>
              <w:rFonts w:hint="eastAsia" w:ascii="仿宋" w:hAnsi="仿宋" w:eastAsia="仿宋" w:cs="仿宋"/>
            </w:rPr>
            <w:t>特别说明</w:t>
          </w:r>
          <w:r>
            <w:tab/>
          </w:r>
          <w:r>
            <w:fldChar w:fldCharType="begin"/>
          </w:r>
          <w:r>
            <w:instrText xml:space="preserve"> PAGEREF _Toc3992 \h </w:instrText>
          </w:r>
          <w:r>
            <w:fldChar w:fldCharType="separate"/>
          </w:r>
          <w:r>
            <w:t>2</w:t>
          </w:r>
          <w:r>
            <w:fldChar w:fldCharType="end"/>
          </w:r>
          <w:r>
            <w:fldChar w:fldCharType="end"/>
          </w:r>
        </w:p>
        <w:p>
          <w:pPr>
            <w:pStyle w:val="26"/>
            <w:tabs>
              <w:tab w:val="right" w:leader="dot" w:pos="8930"/>
            </w:tabs>
          </w:pPr>
          <w:r>
            <w:fldChar w:fldCharType="begin"/>
          </w:r>
          <w:r>
            <w:instrText xml:space="preserve"> HYPERLINK \l "_Toc20048" </w:instrText>
          </w:r>
          <w:r>
            <w:fldChar w:fldCharType="separate"/>
          </w:r>
          <w:r>
            <w:rPr>
              <w:rFonts w:hint="eastAsia" w:ascii="仿宋" w:hAnsi="仿宋" w:eastAsia="仿宋" w:cs="仿宋"/>
            </w:rPr>
            <w:t>第二部分 采购谈判项目需求要览</w:t>
          </w:r>
          <w:r>
            <w:tab/>
          </w:r>
          <w:r>
            <w:fldChar w:fldCharType="begin"/>
          </w:r>
          <w:r>
            <w:instrText xml:space="preserve"> PAGEREF _Toc20048 \h </w:instrText>
          </w:r>
          <w:r>
            <w:fldChar w:fldCharType="separate"/>
          </w:r>
          <w:r>
            <w:t>4</w:t>
          </w:r>
          <w:r>
            <w:fldChar w:fldCharType="end"/>
          </w:r>
          <w:r>
            <w:fldChar w:fldCharType="end"/>
          </w:r>
        </w:p>
        <w:p>
          <w:pPr>
            <w:pStyle w:val="30"/>
            <w:tabs>
              <w:tab w:val="right" w:leader="dot" w:pos="8930"/>
            </w:tabs>
            <w:ind w:firstLine="420" w:firstLineChars="200"/>
          </w:pPr>
          <w:r>
            <w:fldChar w:fldCharType="begin"/>
          </w:r>
          <w:r>
            <w:instrText xml:space="preserve"> HYPERLINK \l "_Toc3237" </w:instrText>
          </w:r>
          <w:r>
            <w:fldChar w:fldCharType="separate"/>
          </w:r>
          <w:r>
            <w:rPr>
              <w:rFonts w:hint="eastAsia" w:ascii="仿宋" w:hAnsi="仿宋" w:eastAsia="仿宋" w:cs="仿宋"/>
            </w:rPr>
            <w:t>一、商务要求</w:t>
          </w:r>
          <w:r>
            <w:tab/>
          </w:r>
          <w:r>
            <w:fldChar w:fldCharType="begin"/>
          </w:r>
          <w:r>
            <w:instrText xml:space="preserve"> PAGEREF _Toc3237 \h </w:instrText>
          </w:r>
          <w:r>
            <w:fldChar w:fldCharType="separate"/>
          </w:r>
          <w:r>
            <w:t>4</w:t>
          </w:r>
          <w:r>
            <w:fldChar w:fldCharType="end"/>
          </w:r>
          <w:r>
            <w:fldChar w:fldCharType="end"/>
          </w:r>
        </w:p>
        <w:p>
          <w:pPr>
            <w:pStyle w:val="30"/>
            <w:tabs>
              <w:tab w:val="right" w:leader="dot" w:pos="8930"/>
            </w:tabs>
            <w:ind w:firstLine="420" w:firstLineChars="200"/>
          </w:pPr>
          <w:r>
            <w:fldChar w:fldCharType="begin"/>
          </w:r>
          <w:r>
            <w:instrText xml:space="preserve"> HYPERLINK \l "_Toc19739" </w:instrText>
          </w:r>
          <w:r>
            <w:fldChar w:fldCharType="separate"/>
          </w:r>
          <w:r>
            <w:rPr>
              <w:rFonts w:hint="eastAsia" w:ascii="仿宋" w:hAnsi="仿宋" w:eastAsia="仿宋" w:cs="仿宋"/>
            </w:rPr>
            <w:t>二、技术（服务）需求</w:t>
          </w:r>
          <w:r>
            <w:tab/>
          </w:r>
          <w:r>
            <w:fldChar w:fldCharType="begin"/>
          </w:r>
          <w:r>
            <w:instrText xml:space="preserve"> PAGEREF _Toc19739 \h </w:instrText>
          </w:r>
          <w:r>
            <w:fldChar w:fldCharType="separate"/>
          </w:r>
          <w:r>
            <w:t>5</w:t>
          </w:r>
          <w:r>
            <w:fldChar w:fldCharType="end"/>
          </w:r>
          <w:r>
            <w:fldChar w:fldCharType="end"/>
          </w:r>
        </w:p>
        <w:p>
          <w:pPr>
            <w:pStyle w:val="30"/>
            <w:tabs>
              <w:tab w:val="right" w:leader="dot" w:pos="8930"/>
            </w:tabs>
            <w:ind w:left="0"/>
          </w:pPr>
          <w:r>
            <w:fldChar w:fldCharType="begin"/>
          </w:r>
          <w:r>
            <w:instrText xml:space="preserve"> HYPERLINK \l "_Toc6279" </w:instrText>
          </w:r>
          <w:r>
            <w:fldChar w:fldCharType="separate"/>
          </w:r>
          <w:r>
            <w:rPr>
              <w:rFonts w:hint="eastAsia" w:ascii="仿宋" w:hAnsi="仿宋" w:eastAsia="仿宋" w:cs="仿宋"/>
            </w:rPr>
            <w:t>第三部分 谈判流程</w:t>
          </w:r>
          <w:r>
            <w:tab/>
          </w:r>
          <w:r>
            <w:fldChar w:fldCharType="begin"/>
          </w:r>
          <w:r>
            <w:instrText xml:space="preserve"> PAGEREF _Toc6279 \h </w:instrText>
          </w:r>
          <w:r>
            <w:fldChar w:fldCharType="separate"/>
          </w:r>
          <w:r>
            <w:t>5</w:t>
          </w:r>
          <w:r>
            <w:fldChar w:fldCharType="end"/>
          </w:r>
          <w:r>
            <w:fldChar w:fldCharType="end"/>
          </w:r>
        </w:p>
        <w:p>
          <w:pPr>
            <w:pStyle w:val="26"/>
            <w:tabs>
              <w:tab w:val="right" w:leader="dot" w:pos="8930"/>
            </w:tabs>
          </w:pPr>
          <w:r>
            <w:fldChar w:fldCharType="begin"/>
          </w:r>
          <w:r>
            <w:instrText xml:space="preserve"> HYPERLINK \l "_Toc21064" </w:instrText>
          </w:r>
          <w:r>
            <w:fldChar w:fldCharType="separate"/>
          </w:r>
          <w:r>
            <w:rPr>
              <w:rFonts w:hint="eastAsia" w:ascii="仿宋" w:hAnsi="仿宋" w:eastAsia="仿宋" w:cs="仿宋"/>
            </w:rPr>
            <w:t>第四部分 供方应递交的报价清单和响应文件</w:t>
          </w:r>
          <w:r>
            <w:tab/>
          </w:r>
          <w:r>
            <w:fldChar w:fldCharType="begin"/>
          </w:r>
          <w:r>
            <w:instrText xml:space="preserve"> PAGEREF _Toc21064 \h </w:instrText>
          </w:r>
          <w:r>
            <w:fldChar w:fldCharType="separate"/>
          </w:r>
          <w:r>
            <w:t>5</w:t>
          </w:r>
          <w:r>
            <w:fldChar w:fldCharType="end"/>
          </w:r>
          <w:r>
            <w:fldChar w:fldCharType="end"/>
          </w:r>
        </w:p>
        <w:p>
          <w:pPr>
            <w:pStyle w:val="26"/>
            <w:tabs>
              <w:tab w:val="right" w:leader="dot" w:pos="8930"/>
            </w:tabs>
            <w:rPr>
              <w:highlight w:val="none"/>
            </w:rPr>
          </w:pPr>
          <w:r>
            <w:rPr>
              <w:highlight w:val="none"/>
            </w:rPr>
            <w:fldChar w:fldCharType="begin"/>
          </w:r>
          <w:r>
            <w:rPr>
              <w:highlight w:val="none"/>
            </w:rPr>
            <w:instrText xml:space="preserve"> HYPERLINK \l "_Toc18851" </w:instrText>
          </w:r>
          <w:r>
            <w:rPr>
              <w:highlight w:val="none"/>
            </w:rPr>
            <w:fldChar w:fldCharType="separate"/>
          </w:r>
          <w:r>
            <w:rPr>
              <w:rFonts w:hint="eastAsia" w:ascii="仿宋" w:hAnsi="仿宋" w:eastAsia="仿宋" w:cs="仿宋"/>
              <w:highlight w:val="none"/>
            </w:rPr>
            <w:t>第五部分 文件格式范本</w:t>
          </w:r>
          <w:r>
            <w:rPr>
              <w:highlight w:val="none"/>
            </w:rPr>
            <w:tab/>
          </w:r>
          <w:r>
            <w:rPr>
              <w:highlight w:val="none"/>
            </w:rPr>
            <w:fldChar w:fldCharType="begin"/>
          </w:r>
          <w:r>
            <w:rPr>
              <w:highlight w:val="none"/>
            </w:rPr>
            <w:instrText xml:space="preserve"> PAGEREF _Toc18851 \h </w:instrText>
          </w:r>
          <w:r>
            <w:rPr>
              <w:highlight w:val="none"/>
            </w:rPr>
            <w:fldChar w:fldCharType="separate"/>
          </w:r>
          <w:r>
            <w:rPr>
              <w:highlight w:val="none"/>
            </w:rPr>
            <w:t>5</w:t>
          </w:r>
          <w:r>
            <w:rPr>
              <w:highlight w:val="none"/>
            </w:rPr>
            <w:fldChar w:fldCharType="end"/>
          </w:r>
          <w:r>
            <w:rPr>
              <w:highlight w:val="none"/>
            </w:rPr>
            <w:fldChar w:fldCharType="end"/>
          </w:r>
        </w:p>
        <w:p>
          <w:pPr>
            <w:pStyle w:val="30"/>
            <w:tabs>
              <w:tab w:val="right" w:leader="dot" w:pos="8930"/>
            </w:tabs>
            <w:ind w:firstLine="420" w:firstLineChars="200"/>
            <w:rPr>
              <w:highlight w:val="none"/>
            </w:rPr>
          </w:pPr>
          <w:r>
            <w:rPr>
              <w:highlight w:val="none"/>
            </w:rPr>
            <w:fldChar w:fldCharType="begin"/>
          </w:r>
          <w:r>
            <w:rPr>
              <w:highlight w:val="none"/>
            </w:rPr>
            <w:instrText xml:space="preserve"> HYPERLINK \l "_Toc19372" </w:instrText>
          </w:r>
          <w:r>
            <w:rPr>
              <w:highlight w:val="none"/>
            </w:rPr>
            <w:fldChar w:fldCharType="separate"/>
          </w:r>
          <w:r>
            <w:rPr>
              <w:rFonts w:hint="eastAsia" w:ascii="仿宋" w:hAnsi="仿宋" w:eastAsia="仿宋" w:cs="仿宋"/>
              <w:highlight w:val="none"/>
            </w:rPr>
            <w:t>附件1：报价一览表（货物）（本项目不适用）</w:t>
          </w:r>
          <w:r>
            <w:rPr>
              <w:highlight w:val="none"/>
            </w:rPr>
            <w:tab/>
          </w:r>
          <w:r>
            <w:rPr>
              <w:highlight w:val="none"/>
            </w:rPr>
            <w:fldChar w:fldCharType="begin"/>
          </w:r>
          <w:r>
            <w:rPr>
              <w:highlight w:val="none"/>
            </w:rPr>
            <w:instrText xml:space="preserve"> PAGEREF _Toc19372 \h </w:instrText>
          </w:r>
          <w:r>
            <w:rPr>
              <w:highlight w:val="none"/>
            </w:rPr>
            <w:fldChar w:fldCharType="separate"/>
          </w:r>
          <w:r>
            <w:rPr>
              <w:highlight w:val="none"/>
            </w:rPr>
            <w:t>5</w:t>
          </w:r>
          <w:r>
            <w:rPr>
              <w:highlight w:val="none"/>
            </w:rPr>
            <w:fldChar w:fldCharType="end"/>
          </w:r>
          <w:r>
            <w:rPr>
              <w:highlight w:val="none"/>
            </w:rPr>
            <w:fldChar w:fldCharType="end"/>
          </w:r>
        </w:p>
        <w:p>
          <w:pPr>
            <w:pStyle w:val="30"/>
            <w:tabs>
              <w:tab w:val="right" w:leader="dot" w:pos="8930"/>
            </w:tabs>
            <w:ind w:firstLine="420" w:firstLineChars="200"/>
            <w:rPr>
              <w:highlight w:val="none"/>
            </w:rPr>
          </w:pPr>
          <w:r>
            <w:rPr>
              <w:highlight w:val="none"/>
            </w:rPr>
            <w:fldChar w:fldCharType="begin"/>
          </w:r>
          <w:r>
            <w:rPr>
              <w:highlight w:val="none"/>
            </w:rPr>
            <w:instrText xml:space="preserve"> HYPERLINK \l "_Toc16360" </w:instrText>
          </w:r>
          <w:r>
            <w:rPr>
              <w:highlight w:val="none"/>
            </w:rPr>
            <w:fldChar w:fldCharType="separate"/>
          </w:r>
          <w:r>
            <w:rPr>
              <w:rFonts w:hint="eastAsia" w:ascii="仿宋" w:hAnsi="仿宋" w:eastAsia="仿宋" w:cs="仿宋"/>
              <w:highlight w:val="none"/>
            </w:rPr>
            <w:t>附件2：报价一览表（服务）</w:t>
          </w:r>
          <w:r>
            <w:rPr>
              <w:highlight w:val="none"/>
            </w:rPr>
            <w:tab/>
          </w:r>
          <w:r>
            <w:rPr>
              <w:highlight w:val="none"/>
            </w:rPr>
            <w:fldChar w:fldCharType="begin"/>
          </w:r>
          <w:r>
            <w:rPr>
              <w:highlight w:val="none"/>
            </w:rPr>
            <w:instrText xml:space="preserve"> PAGEREF _Toc16360 \h </w:instrText>
          </w:r>
          <w:r>
            <w:rPr>
              <w:highlight w:val="none"/>
            </w:rPr>
            <w:fldChar w:fldCharType="separate"/>
          </w:r>
          <w:r>
            <w:rPr>
              <w:highlight w:val="none"/>
            </w:rPr>
            <w:t>5</w:t>
          </w:r>
          <w:r>
            <w:rPr>
              <w:highlight w:val="none"/>
            </w:rPr>
            <w:fldChar w:fldCharType="end"/>
          </w:r>
          <w:r>
            <w:rPr>
              <w:highlight w:val="none"/>
            </w:rPr>
            <w:fldChar w:fldCharType="end"/>
          </w:r>
        </w:p>
        <w:p>
          <w:pPr>
            <w:pStyle w:val="30"/>
            <w:tabs>
              <w:tab w:val="right" w:leader="dot" w:pos="8930"/>
            </w:tabs>
            <w:ind w:firstLine="420" w:firstLineChars="200"/>
          </w:pPr>
          <w:r>
            <w:rPr>
              <w:highlight w:val="none"/>
            </w:rPr>
            <w:fldChar w:fldCharType="begin"/>
          </w:r>
          <w:r>
            <w:rPr>
              <w:highlight w:val="none"/>
            </w:rPr>
            <w:instrText xml:space="preserve"> HYPERLINK \l "_Toc14046" </w:instrText>
          </w:r>
          <w:r>
            <w:rPr>
              <w:highlight w:val="none"/>
            </w:rPr>
            <w:fldChar w:fldCharType="separate"/>
          </w:r>
          <w:r>
            <w:rPr>
              <w:rFonts w:hint="eastAsia" w:ascii="仿宋" w:hAnsi="仿宋" w:eastAsia="仿宋" w:cs="仿宋"/>
              <w:highlight w:val="none"/>
            </w:rPr>
            <w:t>附件3：报价一览表（工程）（本项目不适用）</w:t>
          </w:r>
          <w:r>
            <w:rPr>
              <w:highlight w:val="none"/>
            </w:rPr>
            <w:tab/>
          </w:r>
          <w:r>
            <w:rPr>
              <w:highlight w:val="none"/>
            </w:rPr>
            <w:fldChar w:fldCharType="begin"/>
          </w:r>
          <w:r>
            <w:rPr>
              <w:highlight w:val="none"/>
            </w:rPr>
            <w:instrText xml:space="preserve"> PAGEREF _Toc14046 \h </w:instrText>
          </w:r>
          <w:r>
            <w:rPr>
              <w:highlight w:val="none"/>
            </w:rPr>
            <w:fldChar w:fldCharType="separate"/>
          </w:r>
          <w:r>
            <w:rPr>
              <w:highlight w:val="none"/>
            </w:rPr>
            <w:t>5</w:t>
          </w:r>
          <w:r>
            <w:rPr>
              <w:highlight w:val="none"/>
            </w:rPr>
            <w:fldChar w:fldCharType="end"/>
          </w:r>
          <w:r>
            <w:rPr>
              <w:highlight w:val="none"/>
            </w:rPr>
            <w:fldChar w:fldCharType="end"/>
          </w:r>
        </w:p>
        <w:p>
          <w:pPr>
            <w:pStyle w:val="19"/>
            <w:tabs>
              <w:tab w:val="right" w:leader="dot" w:pos="8930"/>
              <w:tab w:val="clear" w:pos="8303"/>
            </w:tabs>
          </w:pPr>
          <w:r>
            <w:fldChar w:fldCharType="begin"/>
          </w:r>
          <w:r>
            <w:instrText xml:space="preserve"> HYPERLINK \l "_Toc1510" </w:instrText>
          </w:r>
          <w:r>
            <w:fldChar w:fldCharType="separate"/>
          </w:r>
          <w:r>
            <w:rPr>
              <w:rFonts w:hint="eastAsia" w:ascii="仿宋" w:hAnsi="仿宋" w:eastAsia="仿宋" w:cs="仿宋"/>
            </w:rPr>
            <w:t>附件4：商务条款响应/偏离表</w:t>
          </w:r>
          <w:r>
            <w:tab/>
          </w:r>
          <w:r>
            <w:fldChar w:fldCharType="begin"/>
          </w:r>
          <w:r>
            <w:instrText xml:space="preserve"> PAGEREF _Toc1510 \h </w:instrText>
          </w:r>
          <w:r>
            <w:fldChar w:fldCharType="separate"/>
          </w:r>
          <w:r>
            <w:t>5</w:t>
          </w:r>
          <w:r>
            <w:fldChar w:fldCharType="end"/>
          </w:r>
          <w:r>
            <w:fldChar w:fldCharType="end"/>
          </w:r>
        </w:p>
        <w:p>
          <w:pPr>
            <w:pStyle w:val="19"/>
            <w:tabs>
              <w:tab w:val="right" w:leader="dot" w:pos="8930"/>
              <w:tab w:val="clear" w:pos="8303"/>
            </w:tabs>
          </w:pPr>
          <w:r>
            <w:fldChar w:fldCharType="begin"/>
          </w:r>
          <w:r>
            <w:instrText xml:space="preserve"> HYPERLINK \l "_Toc10818" </w:instrText>
          </w:r>
          <w:r>
            <w:fldChar w:fldCharType="separate"/>
          </w:r>
          <w:r>
            <w:rPr>
              <w:rFonts w:hint="eastAsia" w:ascii="仿宋" w:hAnsi="仿宋" w:eastAsia="仿宋" w:cs="仿宋"/>
            </w:rPr>
            <w:t>附件5： 技术（服务）响应/偏离表</w:t>
          </w:r>
          <w:r>
            <w:tab/>
          </w:r>
          <w:r>
            <w:fldChar w:fldCharType="begin"/>
          </w:r>
          <w:r>
            <w:instrText xml:space="preserve"> PAGEREF _Toc10818 \h </w:instrText>
          </w:r>
          <w:r>
            <w:fldChar w:fldCharType="separate"/>
          </w:r>
          <w:r>
            <w:t>5</w:t>
          </w:r>
          <w:r>
            <w:fldChar w:fldCharType="end"/>
          </w:r>
          <w:r>
            <w:fldChar w:fldCharType="end"/>
          </w:r>
        </w:p>
        <w:p>
          <w:pPr>
            <w:pStyle w:val="19"/>
            <w:tabs>
              <w:tab w:val="right" w:leader="dot" w:pos="8930"/>
              <w:tab w:val="clear" w:pos="8303"/>
            </w:tabs>
          </w:pPr>
          <w:r>
            <w:fldChar w:fldCharType="begin"/>
          </w:r>
          <w:r>
            <w:instrText xml:space="preserve"> HYPERLINK \l "_Toc16707" </w:instrText>
          </w:r>
          <w:r>
            <w:fldChar w:fldCharType="separate"/>
          </w:r>
          <w:r>
            <w:rPr>
              <w:rFonts w:hint="eastAsia" w:ascii="仿宋" w:hAnsi="仿宋" w:eastAsia="仿宋"/>
              <w:szCs w:val="28"/>
            </w:rPr>
            <w:t>附件6： 法定代表人证明书</w:t>
          </w:r>
          <w:r>
            <w:tab/>
          </w:r>
          <w:r>
            <w:fldChar w:fldCharType="begin"/>
          </w:r>
          <w:r>
            <w:instrText xml:space="preserve"> PAGEREF _Toc16707 \h </w:instrText>
          </w:r>
          <w:r>
            <w:fldChar w:fldCharType="separate"/>
          </w:r>
          <w:r>
            <w:t>5</w:t>
          </w:r>
          <w:r>
            <w:fldChar w:fldCharType="end"/>
          </w:r>
          <w:r>
            <w:fldChar w:fldCharType="end"/>
          </w:r>
        </w:p>
        <w:p>
          <w:pPr>
            <w:pStyle w:val="19"/>
            <w:tabs>
              <w:tab w:val="right" w:leader="dot" w:pos="8930"/>
              <w:tab w:val="clear" w:pos="8303"/>
            </w:tabs>
          </w:pPr>
          <w:r>
            <w:fldChar w:fldCharType="begin"/>
          </w:r>
          <w:r>
            <w:instrText xml:space="preserve"> HYPERLINK \l "_Toc1711" </w:instrText>
          </w:r>
          <w:r>
            <w:fldChar w:fldCharType="separate"/>
          </w:r>
          <w:r>
            <w:rPr>
              <w:rFonts w:hint="eastAsia" w:ascii="仿宋" w:hAnsi="仿宋" w:eastAsia="仿宋"/>
              <w:szCs w:val="28"/>
            </w:rPr>
            <w:t>附件7：法定代表人授权书</w:t>
          </w:r>
          <w:r>
            <w:tab/>
          </w:r>
          <w:r>
            <w:fldChar w:fldCharType="begin"/>
          </w:r>
          <w:r>
            <w:instrText xml:space="preserve"> PAGEREF _Toc1711 \h </w:instrText>
          </w:r>
          <w:r>
            <w:fldChar w:fldCharType="separate"/>
          </w:r>
          <w:r>
            <w:t>5</w:t>
          </w:r>
          <w:r>
            <w:fldChar w:fldCharType="end"/>
          </w:r>
          <w:r>
            <w:fldChar w:fldCharType="end"/>
          </w:r>
        </w:p>
        <w:p>
          <w:pPr>
            <w:pStyle w:val="19"/>
            <w:tabs>
              <w:tab w:val="right" w:leader="dot" w:pos="8930"/>
              <w:tab w:val="clear" w:pos="8303"/>
            </w:tabs>
          </w:pPr>
          <w:r>
            <w:fldChar w:fldCharType="begin"/>
          </w:r>
          <w:r>
            <w:instrText xml:space="preserve"> HYPERLINK \l "_Toc4882" </w:instrText>
          </w:r>
          <w:r>
            <w:fldChar w:fldCharType="separate"/>
          </w:r>
          <w:r>
            <w:rPr>
              <w:rFonts w:hint="eastAsia" w:ascii="仿宋" w:hAnsi="仿宋" w:eastAsia="仿宋"/>
              <w:szCs w:val="28"/>
            </w:rPr>
            <w:t>附件8：经营业绩一览表</w:t>
          </w:r>
          <w:r>
            <w:tab/>
          </w:r>
          <w:r>
            <w:fldChar w:fldCharType="begin"/>
          </w:r>
          <w:r>
            <w:instrText xml:space="preserve"> PAGEREF _Toc4882 \h </w:instrText>
          </w:r>
          <w:r>
            <w:fldChar w:fldCharType="separate"/>
          </w:r>
          <w:r>
            <w:t>5</w:t>
          </w:r>
          <w:r>
            <w:fldChar w:fldCharType="end"/>
          </w:r>
          <w:r>
            <w:fldChar w:fldCharType="end"/>
          </w:r>
        </w:p>
        <w:p>
          <w:pPr>
            <w:pStyle w:val="19"/>
            <w:tabs>
              <w:tab w:val="right" w:leader="dot" w:pos="8930"/>
              <w:tab w:val="clear" w:pos="8303"/>
            </w:tabs>
          </w:pPr>
          <w:r>
            <w:fldChar w:fldCharType="begin"/>
          </w:r>
          <w:r>
            <w:instrText xml:space="preserve"> HYPERLINK \l "_Toc9257" </w:instrText>
          </w:r>
          <w:r>
            <w:fldChar w:fldCharType="separate"/>
          </w:r>
          <w:r>
            <w:rPr>
              <w:rFonts w:hint="eastAsia" w:ascii="仿宋" w:hAnsi="仿宋" w:eastAsia="仿宋"/>
              <w:szCs w:val="28"/>
            </w:rPr>
            <w:t>附件9：服务承诺书</w:t>
          </w:r>
          <w:r>
            <w:tab/>
          </w:r>
          <w:r>
            <w:fldChar w:fldCharType="begin"/>
          </w:r>
          <w:r>
            <w:instrText xml:space="preserve"> PAGEREF _Toc9257 \h </w:instrText>
          </w:r>
          <w:r>
            <w:fldChar w:fldCharType="separate"/>
          </w:r>
          <w:r>
            <w:t>5</w:t>
          </w:r>
          <w:r>
            <w:fldChar w:fldCharType="end"/>
          </w:r>
          <w:r>
            <w:fldChar w:fldCharType="end"/>
          </w:r>
        </w:p>
        <w:p>
          <w:pPr>
            <w:pStyle w:val="19"/>
            <w:tabs>
              <w:tab w:val="right" w:leader="dot" w:pos="8930"/>
              <w:tab w:val="clear" w:pos="8303"/>
            </w:tabs>
            <w:rPr>
              <w:rFonts w:ascii="仿宋" w:hAnsi="仿宋" w:eastAsia="仿宋" w:cs="仿宋"/>
              <w:color w:val="000000"/>
            </w:rPr>
          </w:pPr>
          <w:r>
            <w:fldChar w:fldCharType="begin"/>
          </w:r>
          <w:r>
            <w:instrText xml:space="preserve"> HYPERLINK \l "_Toc10643" </w:instrText>
          </w:r>
          <w:r>
            <w:fldChar w:fldCharType="separate"/>
          </w:r>
          <w:r>
            <w:rPr>
              <w:rFonts w:hint="eastAsia" w:ascii="仿宋" w:hAnsi="仿宋" w:eastAsia="仿宋"/>
              <w:szCs w:val="28"/>
            </w:rPr>
            <w:t>附件10： 履约情况及社会信誉承诺书</w:t>
          </w:r>
          <w:r>
            <w:tab/>
          </w:r>
          <w:r>
            <w:fldChar w:fldCharType="begin"/>
          </w:r>
          <w:r>
            <w:instrText xml:space="preserve"> PAGEREF _Toc10643 \h </w:instrText>
          </w:r>
          <w:r>
            <w:fldChar w:fldCharType="separate"/>
          </w:r>
          <w:r>
            <w:t>5</w:t>
          </w:r>
          <w:r>
            <w:fldChar w:fldCharType="end"/>
          </w:r>
          <w:r>
            <w:fldChar w:fldCharType="end"/>
          </w:r>
        </w:p>
        <w:p>
          <w:pPr>
            <w:rPr>
              <w:rFonts w:eastAsia="仿宋"/>
            </w:rPr>
          </w:pPr>
          <w:r>
            <w:rPr>
              <w:rFonts w:hint="eastAsia" w:ascii="仿宋" w:hAnsi="仿宋" w:eastAsia="仿宋" w:cs="仿宋"/>
              <w:color w:val="000000"/>
            </w:rPr>
            <w:t xml:space="preserve">        附件11:合同条款及格式.....................................................18</w:t>
          </w:r>
        </w:p>
        <w:p>
          <w:pPr>
            <w:adjustRightInd w:val="0"/>
            <w:snapToGrid w:val="0"/>
            <w:spacing w:before="120" w:line="480" w:lineRule="exact"/>
            <w:jc w:val="center"/>
            <w:outlineLvl w:val="0"/>
            <w:rPr>
              <w:rFonts w:ascii="仿宋" w:hAnsi="仿宋" w:eastAsia="仿宋" w:cs="仿宋"/>
              <w:color w:val="000000"/>
            </w:rPr>
            <w:sectPr>
              <w:footerReference r:id="rId3" w:type="default"/>
              <w:pgSz w:w="11907" w:h="16840"/>
              <w:pgMar w:top="1440" w:right="1559" w:bottom="1440" w:left="1418" w:header="851" w:footer="992" w:gutter="0"/>
              <w:pgNumType w:start="1"/>
              <w:cols w:space="720" w:num="1"/>
              <w:docGrid w:linePitch="462" w:charSpace="0"/>
            </w:sectPr>
          </w:pPr>
          <w:r>
            <w:rPr>
              <w:rFonts w:hint="eastAsia" w:ascii="仿宋" w:hAnsi="仿宋" w:eastAsia="仿宋" w:cs="仿宋"/>
              <w:color w:val="000000"/>
            </w:rPr>
            <w:fldChar w:fldCharType="end"/>
          </w:r>
        </w:p>
      </w:sdtContent>
    </w:sdt>
    <w:p>
      <w:pPr>
        <w:adjustRightInd w:val="0"/>
        <w:snapToGrid w:val="0"/>
        <w:spacing w:before="120" w:line="500" w:lineRule="exact"/>
        <w:jc w:val="center"/>
        <w:outlineLvl w:val="0"/>
        <w:rPr>
          <w:rFonts w:ascii="仿宋" w:hAnsi="仿宋" w:eastAsia="仿宋" w:cs="仿宋"/>
          <w:b/>
          <w:color w:val="000000"/>
          <w:sz w:val="24"/>
        </w:rPr>
      </w:pPr>
      <w:bookmarkStart w:id="1" w:name="_Toc85808680"/>
      <w:bookmarkStart w:id="2" w:name="_Toc7761"/>
      <w:r>
        <w:rPr>
          <w:rFonts w:hint="eastAsia" w:ascii="仿宋" w:hAnsi="仿宋" w:eastAsia="仿宋" w:cs="仿宋"/>
          <w:b/>
          <w:color w:val="000000"/>
          <w:sz w:val="24"/>
        </w:rPr>
        <w:t xml:space="preserve">第一部分： </w:t>
      </w:r>
      <w:bookmarkEnd w:id="0"/>
      <w:r>
        <w:rPr>
          <w:rFonts w:hint="eastAsia" w:ascii="仿宋" w:hAnsi="仿宋" w:eastAsia="仿宋" w:cs="仿宋"/>
          <w:b/>
          <w:color w:val="000000"/>
          <w:sz w:val="24"/>
        </w:rPr>
        <w:t>采购谈判项目概况</w:t>
      </w:r>
      <w:bookmarkEnd w:id="1"/>
      <w:bookmarkEnd w:id="2"/>
    </w:p>
    <w:p>
      <w:pPr>
        <w:pStyle w:val="5"/>
        <w:numPr>
          <w:ilvl w:val="0"/>
          <w:numId w:val="2"/>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3" w:name="_Toc16010"/>
      <w:bookmarkStart w:id="4" w:name="_Toc85808681"/>
      <w:r>
        <w:rPr>
          <w:rFonts w:hint="eastAsia" w:ascii="仿宋" w:hAnsi="仿宋" w:eastAsia="仿宋" w:cs="仿宋"/>
          <w:color w:val="000000"/>
          <w:sz w:val="24"/>
          <w:szCs w:val="24"/>
        </w:rPr>
        <w:t>单位名称</w:t>
      </w:r>
      <w:bookmarkEnd w:id="3"/>
      <w:bookmarkEnd w:id="4"/>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sz w:val="24"/>
        </w:rPr>
        <w:t>深圳会展中心管理有限责任公司（以下简称“采购人”）</w:t>
      </w:r>
    </w:p>
    <w:p>
      <w:pPr>
        <w:pStyle w:val="5"/>
        <w:numPr>
          <w:ilvl w:val="0"/>
          <w:numId w:val="2"/>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5" w:name="_Toc6385"/>
      <w:bookmarkStart w:id="6" w:name="_Toc85808682"/>
      <w:r>
        <w:rPr>
          <w:rFonts w:hint="eastAsia" w:ascii="仿宋" w:hAnsi="仿宋" w:eastAsia="仿宋" w:cs="仿宋"/>
          <w:color w:val="000000"/>
          <w:sz w:val="24"/>
          <w:szCs w:val="24"/>
        </w:rPr>
        <w:t>单位地址</w:t>
      </w:r>
      <w:bookmarkEnd w:id="5"/>
      <w:bookmarkEnd w:id="6"/>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sz w:val="24"/>
        </w:rPr>
        <w:t>深圳市福田区福华三路深圳会展中心</w:t>
      </w:r>
    </w:p>
    <w:p>
      <w:pPr>
        <w:pStyle w:val="5"/>
        <w:numPr>
          <w:ilvl w:val="0"/>
          <w:numId w:val="2"/>
        </w:numPr>
        <w:tabs>
          <w:tab w:val="left" w:pos="426"/>
          <w:tab w:val="left" w:pos="567"/>
        </w:tabs>
        <w:snapToGrid w:val="0"/>
        <w:spacing w:before="120" w:after="120" w:line="360" w:lineRule="auto"/>
        <w:jc w:val="left"/>
        <w:rPr>
          <w:rFonts w:ascii="仿宋" w:hAnsi="仿宋" w:eastAsia="仿宋" w:cs="仿宋"/>
          <w:sz w:val="24"/>
          <w:szCs w:val="24"/>
        </w:rPr>
      </w:pPr>
      <w:bookmarkStart w:id="7" w:name="_Toc85808683"/>
      <w:bookmarkStart w:id="8" w:name="_Toc15027"/>
      <w:r>
        <w:rPr>
          <w:rFonts w:hint="eastAsia" w:ascii="仿宋" w:hAnsi="仿宋" w:eastAsia="仿宋" w:cs="仿宋"/>
          <w:sz w:val="24"/>
          <w:szCs w:val="24"/>
        </w:rPr>
        <w:t>拟邀请供应商</w:t>
      </w:r>
      <w:bookmarkEnd w:id="7"/>
      <w:bookmarkEnd w:id="8"/>
    </w:p>
    <w:p>
      <w:pPr>
        <w:tabs>
          <w:tab w:val="left" w:pos="426"/>
          <w:tab w:val="left" w:pos="567"/>
        </w:tabs>
        <w:adjustRightInd w:val="0"/>
        <w:snapToGrid w:val="0"/>
        <w:spacing w:line="360" w:lineRule="auto"/>
        <w:ind w:firstLine="566" w:firstLineChars="236"/>
        <w:jc w:val="left"/>
        <w:rPr>
          <w:rFonts w:ascii="仿宋" w:hAnsi="仿宋" w:eastAsia="仿宋" w:cs="仿宋"/>
          <w:color w:val="auto"/>
          <w:sz w:val="24"/>
        </w:rPr>
      </w:pPr>
      <w:r>
        <w:rPr>
          <w:rFonts w:hint="eastAsia" w:ascii="仿宋" w:hAnsi="仿宋" w:eastAsia="仿宋" w:cs="仿宋"/>
          <w:color w:val="auto"/>
          <w:sz w:val="24"/>
        </w:rPr>
        <w:t>深圳市华思设计有限公司（以下简称“供方”）</w:t>
      </w:r>
    </w:p>
    <w:p>
      <w:pPr>
        <w:pStyle w:val="5"/>
        <w:numPr>
          <w:ilvl w:val="0"/>
          <w:numId w:val="2"/>
        </w:numPr>
        <w:tabs>
          <w:tab w:val="left" w:pos="426"/>
          <w:tab w:val="left" w:pos="567"/>
        </w:tabs>
        <w:snapToGrid w:val="0"/>
        <w:spacing w:before="120" w:after="120" w:line="360" w:lineRule="auto"/>
        <w:jc w:val="left"/>
        <w:rPr>
          <w:rFonts w:ascii="仿宋" w:hAnsi="仿宋" w:eastAsia="仿宋" w:cs="仿宋"/>
          <w:color w:val="auto"/>
          <w:sz w:val="24"/>
          <w:szCs w:val="24"/>
        </w:rPr>
      </w:pPr>
      <w:bookmarkStart w:id="9" w:name="_Toc436293490"/>
      <w:bookmarkStart w:id="10" w:name="_Toc23543"/>
      <w:bookmarkStart w:id="11" w:name="_Toc85808684"/>
      <w:r>
        <w:rPr>
          <w:rFonts w:hint="eastAsia" w:ascii="仿宋" w:hAnsi="仿宋" w:eastAsia="仿宋" w:cs="仿宋"/>
          <w:color w:val="auto"/>
          <w:sz w:val="24"/>
          <w:szCs w:val="24"/>
        </w:rPr>
        <w:t>项目名称</w:t>
      </w:r>
      <w:bookmarkEnd w:id="9"/>
      <w:bookmarkEnd w:id="10"/>
      <w:bookmarkEnd w:id="11"/>
      <w:r>
        <w:rPr>
          <w:rFonts w:hint="eastAsia" w:ascii="仿宋" w:hAnsi="仿宋" w:eastAsia="仿宋" w:cs="仿宋"/>
          <w:color w:val="auto"/>
          <w:sz w:val="24"/>
          <w:szCs w:val="24"/>
        </w:rPr>
        <w:t xml:space="preserve"> </w:t>
      </w:r>
    </w:p>
    <w:p>
      <w:pPr>
        <w:tabs>
          <w:tab w:val="left" w:pos="426"/>
          <w:tab w:val="left" w:pos="567"/>
        </w:tabs>
        <w:adjustRightInd w:val="0"/>
        <w:snapToGrid w:val="0"/>
        <w:spacing w:line="360" w:lineRule="auto"/>
        <w:ind w:firstLine="566" w:firstLineChars="236"/>
        <w:jc w:val="left"/>
        <w:rPr>
          <w:rFonts w:ascii="仿宋" w:hAnsi="仿宋" w:eastAsia="仿宋" w:cs="仿宋"/>
          <w:color w:val="auto"/>
          <w:sz w:val="24"/>
          <w:highlight w:val="yellow"/>
        </w:rPr>
      </w:pPr>
      <w:r>
        <w:rPr>
          <w:rFonts w:hint="eastAsia" w:ascii="仿宋" w:hAnsi="仿宋" w:eastAsia="仿宋" w:cs="仿宋"/>
          <w:bCs/>
          <w:color w:val="auto"/>
          <w:sz w:val="24"/>
        </w:rPr>
        <w:t>第二十四届高交会视觉识别系统规范手册设计项目</w:t>
      </w:r>
    </w:p>
    <w:p>
      <w:pPr>
        <w:pStyle w:val="5"/>
        <w:numPr>
          <w:ilvl w:val="0"/>
          <w:numId w:val="2"/>
        </w:numPr>
        <w:tabs>
          <w:tab w:val="left" w:pos="567"/>
        </w:tabs>
        <w:snapToGrid w:val="0"/>
        <w:spacing w:before="120" w:after="120" w:line="360" w:lineRule="auto"/>
        <w:jc w:val="left"/>
        <w:rPr>
          <w:rFonts w:ascii="仿宋" w:hAnsi="仿宋" w:eastAsia="仿宋" w:cs="仿宋"/>
          <w:color w:val="auto"/>
          <w:sz w:val="24"/>
          <w:szCs w:val="24"/>
        </w:rPr>
      </w:pPr>
      <w:bookmarkStart w:id="12" w:name="_Toc85808685"/>
      <w:bookmarkStart w:id="13" w:name="_Toc22592"/>
      <w:r>
        <w:rPr>
          <w:rFonts w:hint="eastAsia" w:ascii="仿宋" w:hAnsi="仿宋" w:eastAsia="仿宋" w:cs="仿宋"/>
          <w:color w:val="auto"/>
          <w:sz w:val="24"/>
          <w:szCs w:val="24"/>
        </w:rPr>
        <w:t>项目简介</w:t>
      </w:r>
      <w:bookmarkEnd w:id="12"/>
      <w:bookmarkEnd w:id="13"/>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第二十四届高交会视觉识别系统规范手册设计项目</w:t>
      </w:r>
      <w:r>
        <w:rPr>
          <w:rFonts w:hint="eastAsia" w:ascii="仿宋" w:hAnsi="仿宋" w:eastAsia="仿宋" w:cs="仿宋"/>
          <w:color w:val="000000" w:themeColor="text1"/>
          <w:sz w:val="24"/>
          <w14:textFill>
            <w14:solidFill>
              <w14:schemeClr w14:val="tx1"/>
            </w14:solidFill>
          </w14:textFill>
        </w:rPr>
        <w:t>具体内容及要求详见本邀请函第二部分“采购谈判项目需求要览”。</w:t>
      </w:r>
    </w:p>
    <w:p>
      <w:pPr>
        <w:pStyle w:val="5"/>
        <w:numPr>
          <w:ilvl w:val="0"/>
          <w:numId w:val="2"/>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14" w:name="_Toc10262"/>
      <w:bookmarkStart w:id="15" w:name="_Toc85808686"/>
      <w:r>
        <w:rPr>
          <w:rFonts w:hint="eastAsia" w:ascii="仿宋" w:hAnsi="仿宋" w:eastAsia="仿宋" w:cs="仿宋"/>
          <w:color w:val="000000"/>
          <w:sz w:val="24"/>
          <w:szCs w:val="24"/>
        </w:rPr>
        <w:t>实施地点</w:t>
      </w:r>
      <w:bookmarkEnd w:id="14"/>
      <w:bookmarkEnd w:id="15"/>
      <w:bookmarkStart w:id="87" w:name="_GoBack"/>
      <w:bookmarkEnd w:id="87"/>
    </w:p>
    <w:p>
      <w:pPr>
        <w:tabs>
          <w:tab w:val="left" w:pos="426"/>
          <w:tab w:val="left" w:pos="567"/>
        </w:tabs>
        <w:adjustRightInd w:val="0"/>
        <w:snapToGrid w:val="0"/>
        <w:spacing w:line="360" w:lineRule="auto"/>
        <w:ind w:firstLine="576" w:firstLineChars="240"/>
        <w:jc w:val="left"/>
        <w:rPr>
          <w:rFonts w:ascii="仿宋" w:hAnsi="仿宋" w:eastAsia="仿宋" w:cs="仿宋"/>
          <w:color w:val="000000"/>
          <w:sz w:val="24"/>
        </w:rPr>
      </w:pPr>
      <w:r>
        <w:rPr>
          <w:rFonts w:hint="eastAsia" w:ascii="仿宋" w:hAnsi="仿宋" w:eastAsia="仿宋" w:cs="仿宋"/>
          <w:color w:val="000000"/>
          <w:sz w:val="24"/>
        </w:rPr>
        <w:t>深圳市福田区福华三路深圳会展中心</w:t>
      </w:r>
    </w:p>
    <w:p>
      <w:pPr>
        <w:pStyle w:val="5"/>
        <w:numPr>
          <w:ilvl w:val="0"/>
          <w:numId w:val="2"/>
        </w:numPr>
        <w:tabs>
          <w:tab w:val="left" w:pos="426"/>
          <w:tab w:val="left" w:pos="567"/>
        </w:tabs>
        <w:spacing w:before="120" w:after="120" w:line="276" w:lineRule="auto"/>
        <w:jc w:val="left"/>
        <w:rPr>
          <w:rFonts w:ascii="仿宋" w:hAnsi="仿宋" w:eastAsia="仿宋" w:cs="仿宋"/>
          <w:color w:val="000000"/>
          <w:sz w:val="24"/>
          <w:szCs w:val="24"/>
        </w:rPr>
      </w:pPr>
      <w:bookmarkStart w:id="16" w:name="_Toc38533171"/>
      <w:bookmarkStart w:id="17" w:name="_Toc85808689"/>
      <w:bookmarkStart w:id="18" w:name="_Toc38534159"/>
      <w:bookmarkStart w:id="19" w:name="_Toc31661"/>
      <w:r>
        <w:rPr>
          <w:rFonts w:hint="eastAsia" w:ascii="仿宋" w:hAnsi="仿宋" w:eastAsia="仿宋" w:cs="仿宋"/>
          <w:color w:val="000000"/>
          <w:sz w:val="24"/>
          <w:szCs w:val="24"/>
        </w:rPr>
        <w:t>响应文件递交截止时间、编制形式、递交方式及注意事项</w:t>
      </w:r>
      <w:bookmarkEnd w:id="16"/>
      <w:bookmarkEnd w:id="17"/>
      <w:bookmarkEnd w:id="18"/>
      <w:bookmarkEnd w:id="19"/>
    </w:p>
    <w:p>
      <w:pPr>
        <w:widowControl/>
        <w:numPr>
          <w:ilvl w:val="0"/>
          <w:numId w:val="3"/>
        </w:numPr>
        <w:tabs>
          <w:tab w:val="left" w:pos="0"/>
          <w:tab w:val="left" w:pos="993"/>
        </w:tabs>
        <w:adjustRightInd w:val="0"/>
        <w:snapToGrid w:val="0"/>
        <w:spacing w:line="360" w:lineRule="auto"/>
        <w:ind w:firstLine="480" w:firstLineChars="200"/>
        <w:jc w:val="left"/>
        <w:rPr>
          <w:rFonts w:ascii="仿宋" w:hAnsi="仿宋" w:eastAsia="仿宋" w:cs="仿宋"/>
          <w:color w:val="FF0000"/>
          <w:sz w:val="24"/>
          <w:highlight w:val="yellow"/>
        </w:rPr>
      </w:pPr>
      <w:bookmarkStart w:id="20" w:name="_Toc85808690"/>
      <w:r>
        <w:rPr>
          <w:rFonts w:hint="eastAsia" w:ascii="仿宋" w:hAnsi="仿宋" w:eastAsia="仿宋" w:cs="仿宋"/>
          <w:color w:val="FF0000"/>
          <w:sz w:val="24"/>
          <w:highlight w:val="yellow"/>
        </w:rPr>
        <w:t>报名截止时间：2022年5月</w:t>
      </w:r>
      <w:r>
        <w:rPr>
          <w:rFonts w:hint="eastAsia" w:ascii="仿宋" w:hAnsi="仿宋" w:eastAsia="仿宋" w:cs="仿宋"/>
          <w:color w:val="FF0000"/>
          <w:sz w:val="24"/>
          <w:highlight w:val="yellow"/>
          <w:lang w:val="en-US" w:eastAsia="zh-CN"/>
        </w:rPr>
        <w:t>22</w:t>
      </w:r>
      <w:r>
        <w:rPr>
          <w:rFonts w:hint="eastAsia" w:ascii="仿宋" w:hAnsi="仿宋" w:eastAsia="仿宋" w:cs="仿宋"/>
          <w:color w:val="FF0000"/>
          <w:sz w:val="24"/>
          <w:highlight w:val="yellow"/>
        </w:rPr>
        <w:t>日17时整。</w:t>
      </w:r>
      <w:bookmarkStart w:id="21" w:name="_Hlk36021572"/>
      <w:r>
        <w:rPr>
          <w:rFonts w:hint="eastAsia" w:ascii="仿宋" w:hAnsi="仿宋" w:eastAsia="仿宋" w:cs="仿宋"/>
          <w:color w:val="FF0000"/>
          <w:sz w:val="24"/>
          <w:highlight w:val="yellow"/>
        </w:rPr>
        <w:t>供方须将完整填写报名回函并加盖单位公章后（或其扫描件）</w:t>
      </w:r>
      <w:bookmarkStart w:id="22" w:name="_Hlk36021526"/>
      <w:r>
        <w:rPr>
          <w:rFonts w:hint="eastAsia" w:ascii="仿宋" w:hAnsi="仿宋" w:eastAsia="仿宋" w:cs="仿宋"/>
          <w:color w:val="FF0000"/>
          <w:sz w:val="24"/>
          <w:highlight w:val="yellow"/>
        </w:rPr>
        <w:t>发送至https://cg.szcec.com/sharing/ljkYtUdBA(上传密码：</w:t>
      </w:r>
      <w:r>
        <w:rPr>
          <w:rFonts w:hint="eastAsia" w:ascii="仿宋" w:hAnsi="仿宋" w:eastAsia="仿宋" w:cs="仿宋"/>
          <w:color w:val="FF0000"/>
          <w:sz w:val="24"/>
          <w:highlight w:val="yellow"/>
          <w:lang w:val="en-US" w:eastAsia="zh-CN"/>
        </w:rPr>
        <w:t>GP113</w:t>
      </w:r>
      <w:r>
        <w:rPr>
          <w:rFonts w:hint="eastAsia" w:ascii="仿宋" w:hAnsi="仿宋" w:eastAsia="仿宋" w:cs="仿宋"/>
          <w:color w:val="FF0000"/>
          <w:sz w:val="24"/>
          <w:highlight w:val="yellow"/>
        </w:rPr>
        <w:t>)并致电确认。</w:t>
      </w:r>
      <w:bookmarkEnd w:id="21"/>
      <w:bookmarkEnd w:id="22"/>
      <w:r>
        <w:rPr>
          <w:rFonts w:hint="eastAsia" w:ascii="仿宋" w:hAnsi="仿宋" w:eastAsia="仿宋" w:cs="仿宋"/>
          <w:color w:val="FF0000"/>
          <w:sz w:val="24"/>
          <w:highlight w:val="yellow"/>
        </w:rPr>
        <w:t>逾期报名的（以报名函接收时间为准）将不予接受。</w:t>
      </w:r>
    </w:p>
    <w:p>
      <w:pPr>
        <w:widowControl/>
        <w:numPr>
          <w:ilvl w:val="0"/>
          <w:numId w:val="3"/>
        </w:numPr>
        <w:tabs>
          <w:tab w:val="left" w:pos="0"/>
          <w:tab w:val="left" w:pos="993"/>
        </w:tabs>
        <w:adjustRightInd w:val="0"/>
        <w:snapToGrid w:val="0"/>
        <w:spacing w:line="360" w:lineRule="auto"/>
        <w:ind w:firstLine="480" w:firstLineChars="200"/>
        <w:jc w:val="left"/>
        <w:rPr>
          <w:rFonts w:ascii="仿宋" w:hAnsi="仿宋" w:eastAsia="仿宋" w:cs="仿宋"/>
          <w:color w:val="FF0000"/>
          <w:sz w:val="24"/>
          <w:highlight w:val="yellow"/>
        </w:rPr>
      </w:pPr>
      <w:r>
        <w:rPr>
          <w:rFonts w:hint="eastAsia" w:ascii="仿宋" w:hAnsi="仿宋" w:eastAsia="仿宋" w:cs="仿宋"/>
          <w:color w:val="FF0000"/>
          <w:sz w:val="24"/>
          <w:highlight w:val="yellow"/>
        </w:rPr>
        <w:t>响应文件递交截止时间（投标截止时间）：2022年</w:t>
      </w:r>
      <w:r>
        <w:rPr>
          <w:rFonts w:hint="eastAsia" w:ascii="仿宋" w:hAnsi="仿宋" w:eastAsia="仿宋" w:cs="仿宋"/>
          <w:color w:val="FF0000"/>
          <w:sz w:val="24"/>
          <w:highlight w:val="yellow"/>
          <w:lang w:val="en-US" w:eastAsia="zh-CN"/>
        </w:rPr>
        <w:t>5</w:t>
      </w:r>
      <w:r>
        <w:rPr>
          <w:rFonts w:hint="eastAsia" w:ascii="仿宋" w:hAnsi="仿宋" w:eastAsia="仿宋" w:cs="仿宋"/>
          <w:color w:val="FF0000"/>
          <w:sz w:val="24"/>
          <w:highlight w:val="yellow"/>
        </w:rPr>
        <w:t>月</w:t>
      </w:r>
      <w:r>
        <w:rPr>
          <w:rFonts w:hint="eastAsia" w:ascii="仿宋" w:hAnsi="仿宋" w:eastAsia="仿宋" w:cs="仿宋"/>
          <w:color w:val="FF0000"/>
          <w:sz w:val="24"/>
          <w:highlight w:val="yellow"/>
          <w:lang w:val="en-US" w:eastAsia="zh-CN"/>
        </w:rPr>
        <w:t>26</w:t>
      </w:r>
      <w:r>
        <w:rPr>
          <w:rFonts w:hint="eastAsia" w:ascii="仿宋" w:hAnsi="仿宋" w:eastAsia="仿宋" w:cs="仿宋"/>
          <w:color w:val="FF0000"/>
          <w:sz w:val="24"/>
          <w:highlight w:val="yellow"/>
        </w:rPr>
        <w:t>日</w:t>
      </w:r>
      <w:r>
        <w:rPr>
          <w:rFonts w:hint="eastAsia" w:ascii="仿宋" w:hAnsi="仿宋" w:eastAsia="仿宋" w:cs="仿宋"/>
          <w:color w:val="FF0000"/>
          <w:sz w:val="24"/>
          <w:highlight w:val="yellow"/>
          <w:lang w:val="en-US" w:eastAsia="zh-CN"/>
        </w:rPr>
        <w:t>17</w:t>
      </w:r>
      <w:r>
        <w:rPr>
          <w:rFonts w:hint="eastAsia" w:ascii="仿宋" w:hAnsi="仿宋" w:eastAsia="仿宋" w:cs="仿宋"/>
          <w:color w:val="FF0000"/>
          <w:sz w:val="24"/>
          <w:highlight w:val="yellow"/>
        </w:rPr>
        <w:t>时整。</w:t>
      </w:r>
    </w:p>
    <w:p>
      <w:pPr>
        <w:widowControl/>
        <w:numPr>
          <w:ilvl w:val="0"/>
          <w:numId w:val="3"/>
        </w:numPr>
        <w:tabs>
          <w:tab w:val="left" w:pos="0"/>
          <w:tab w:val="left" w:pos="993"/>
        </w:tabs>
        <w:adjustRightInd w:val="0"/>
        <w:snapToGrid w:val="0"/>
        <w:spacing w:line="360" w:lineRule="auto"/>
        <w:ind w:firstLine="480" w:firstLineChars="200"/>
        <w:jc w:val="left"/>
        <w:rPr>
          <w:rFonts w:ascii="仿宋" w:hAnsi="仿宋" w:eastAsia="仿宋" w:cs="仿宋"/>
          <w:color w:val="FF0000"/>
          <w:sz w:val="24"/>
          <w:highlight w:val="yellow"/>
        </w:rPr>
      </w:pPr>
      <w:r>
        <w:rPr>
          <w:rFonts w:hint="eastAsia" w:ascii="仿宋" w:hAnsi="仿宋" w:eastAsia="仿宋" w:cs="仿宋"/>
          <w:color w:val="FF0000"/>
          <w:sz w:val="24"/>
          <w:highlight w:val="yellow"/>
        </w:rPr>
        <w:t>响应文件递交地址：https://cg.szcec.com/sharing/qIpYHgtbv(上传密码：</w:t>
      </w:r>
      <w:r>
        <w:rPr>
          <w:rFonts w:hint="eastAsia" w:ascii="仿宋" w:hAnsi="仿宋" w:eastAsia="仿宋" w:cs="仿宋"/>
          <w:color w:val="FF0000"/>
          <w:sz w:val="24"/>
          <w:highlight w:val="yellow"/>
          <w:lang w:val="en-US" w:eastAsia="zh-CN"/>
        </w:rPr>
        <w:t>RE965</w:t>
      </w:r>
      <w:r>
        <w:rPr>
          <w:rFonts w:hint="eastAsia" w:ascii="仿宋" w:hAnsi="仿宋" w:eastAsia="仿宋" w:cs="仿宋"/>
          <w:color w:val="FF0000"/>
          <w:sz w:val="24"/>
          <w:highlight w:val="yellow"/>
        </w:rPr>
        <w:t>)，请按上传页面提示信息递交响应文件。响应文件应分为扫描版（PDF版）及MS Word版文件两种形式发送至上述地址并致电确认，注意事项：</w:t>
      </w:r>
    </w:p>
    <w:p>
      <w:pPr>
        <w:pStyle w:val="51"/>
        <w:numPr>
          <w:ilvl w:val="0"/>
          <w:numId w:val="4"/>
        </w:numPr>
        <w:spacing w:line="360" w:lineRule="auto"/>
        <w:ind w:firstLineChars="0"/>
        <w:rPr>
          <w:rFonts w:ascii="仿宋" w:hAnsi="仿宋" w:eastAsia="仿宋" w:cs="仿宋"/>
          <w:sz w:val="24"/>
        </w:rPr>
      </w:pPr>
      <w:bookmarkStart w:id="23" w:name="_Hlk60498011"/>
      <w:r>
        <w:rPr>
          <w:rFonts w:hint="eastAsia" w:ascii="仿宋" w:hAnsi="仿宋" w:eastAsia="仿宋" w:cs="仿宋"/>
          <w:sz w:val="24"/>
        </w:rPr>
        <w:t>建议对响应文件进行加密。</w:t>
      </w:r>
    </w:p>
    <w:p>
      <w:pPr>
        <w:pStyle w:val="51"/>
        <w:numPr>
          <w:ilvl w:val="0"/>
          <w:numId w:val="4"/>
        </w:numPr>
        <w:spacing w:line="360" w:lineRule="auto"/>
        <w:ind w:firstLineChars="0"/>
        <w:rPr>
          <w:rFonts w:ascii="仿宋" w:hAnsi="仿宋" w:eastAsia="仿宋" w:cs="仿宋"/>
          <w:sz w:val="24"/>
        </w:rPr>
      </w:pPr>
      <w:r>
        <w:rPr>
          <w:rFonts w:hint="eastAsia" w:ascii="仿宋" w:hAnsi="仿宋" w:eastAsia="仿宋" w:cs="仿宋"/>
          <w:sz w:val="24"/>
        </w:rPr>
        <w:t>为便于开标时的解密操作，响应文件（PDF版及Word版）必须制作为一个压缩文件后再行加密，否则响应文件将被拒收。建议采用winRAR或winzip等常用压缩软件进行压缩和加密</w:t>
      </w:r>
      <w:bookmarkEnd w:id="23"/>
      <w:r>
        <w:rPr>
          <w:rFonts w:hint="eastAsia" w:ascii="仿宋" w:hAnsi="仿宋" w:eastAsia="仿宋" w:cs="仿宋"/>
          <w:sz w:val="24"/>
        </w:rPr>
        <w:t>。</w:t>
      </w:r>
    </w:p>
    <w:p>
      <w:pPr>
        <w:pStyle w:val="51"/>
        <w:numPr>
          <w:ilvl w:val="0"/>
          <w:numId w:val="4"/>
        </w:numPr>
        <w:spacing w:line="360" w:lineRule="auto"/>
        <w:ind w:firstLineChars="0"/>
        <w:rPr>
          <w:rFonts w:ascii="仿宋" w:hAnsi="仿宋" w:eastAsia="仿宋" w:cs="仿宋"/>
          <w:sz w:val="24"/>
        </w:rPr>
      </w:pPr>
      <w:r>
        <w:rPr>
          <w:rFonts w:hint="eastAsia" w:ascii="仿宋" w:hAnsi="仿宋" w:eastAsia="仿宋" w:cs="仿宋"/>
          <w:sz w:val="24"/>
        </w:rPr>
        <w:t>供方授权代表须熟记文件密码，并在开标时按时发送密码至采购人指定地址（为确保开评标工作的保密性并兼顾效率，密码早发、晚发的，均可能导致废标的不利后果）。</w:t>
      </w:r>
    </w:p>
    <w:p>
      <w:pPr>
        <w:pStyle w:val="51"/>
        <w:numPr>
          <w:ilvl w:val="0"/>
          <w:numId w:val="4"/>
        </w:numPr>
        <w:spacing w:line="360" w:lineRule="auto"/>
        <w:ind w:firstLineChars="0"/>
        <w:rPr>
          <w:rFonts w:ascii="仿宋" w:hAnsi="仿宋" w:eastAsia="仿宋" w:cs="仿宋"/>
          <w:sz w:val="24"/>
        </w:rPr>
      </w:pPr>
      <w:r>
        <w:rPr>
          <w:rFonts w:hint="eastAsia" w:ascii="仿宋" w:hAnsi="仿宋" w:eastAsia="仿宋" w:cs="仿宋"/>
          <w:sz w:val="24"/>
        </w:rPr>
        <w:t>所有需要加盖公章的页面均须加盖公章，要求签名之处须有相应授权代表的亲笔手写签名或法定有效的私章。</w:t>
      </w:r>
    </w:p>
    <w:p>
      <w:pPr>
        <w:pStyle w:val="51"/>
        <w:numPr>
          <w:ilvl w:val="0"/>
          <w:numId w:val="4"/>
        </w:numPr>
        <w:spacing w:line="360" w:lineRule="auto"/>
        <w:ind w:firstLineChars="0"/>
        <w:rPr>
          <w:rFonts w:ascii="仿宋" w:hAnsi="仿宋" w:eastAsia="仿宋" w:cs="仿宋"/>
          <w:sz w:val="24"/>
        </w:rPr>
      </w:pPr>
      <w:r>
        <w:rPr>
          <w:rFonts w:hint="eastAsia" w:ascii="仿宋" w:hAnsi="仿宋" w:eastAsia="仿宋" w:cs="仿宋"/>
          <w:sz w:val="24"/>
        </w:rPr>
        <w:t>本项目实质性响应内容以盖章扫描版（PDF版）文件为准，Word版文件仅供评标时搜索文件内容之用而不作为评审依据。</w:t>
      </w:r>
    </w:p>
    <w:p>
      <w:pPr>
        <w:pStyle w:val="51"/>
        <w:numPr>
          <w:ilvl w:val="0"/>
          <w:numId w:val="4"/>
        </w:numPr>
        <w:spacing w:line="360" w:lineRule="auto"/>
        <w:ind w:firstLineChars="0"/>
        <w:rPr>
          <w:rFonts w:ascii="仿宋" w:hAnsi="仿宋" w:eastAsia="仿宋" w:cs="仿宋"/>
          <w:sz w:val="24"/>
        </w:rPr>
      </w:pPr>
      <w:r>
        <w:rPr>
          <w:rFonts w:hint="eastAsia" w:ascii="仿宋" w:hAnsi="仿宋" w:eastAsia="仿宋" w:cs="仿宋"/>
          <w:sz w:val="24"/>
        </w:rPr>
        <w:t>逾期递交的或者未递交至指定地点的响应文件，采购人不予受理。</w:t>
      </w:r>
    </w:p>
    <w:p>
      <w:pPr>
        <w:widowControl/>
        <w:numPr>
          <w:ilvl w:val="0"/>
          <w:numId w:val="3"/>
        </w:numPr>
        <w:tabs>
          <w:tab w:val="left" w:pos="0"/>
          <w:tab w:val="left" w:pos="993"/>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响应文件密码上传要求：请在谈判前30分钟内将响应文件解密密码上传至下列指定地址：https://cg.szcec.com/sharing/U5nwsvUCE(上传密码：</w:t>
      </w:r>
      <w:r>
        <w:rPr>
          <w:rFonts w:hint="eastAsia" w:ascii="仿宋" w:hAnsi="仿宋" w:eastAsia="仿宋" w:cs="仿宋"/>
          <w:color w:val="auto"/>
          <w:sz w:val="24"/>
          <w:highlight w:val="none"/>
          <w:lang w:val="en-US" w:eastAsia="zh-CN"/>
        </w:rPr>
        <w:t>982GJ</w:t>
      </w:r>
      <w:r>
        <w:rPr>
          <w:rFonts w:hint="eastAsia" w:ascii="仿宋" w:hAnsi="仿宋" w:eastAsia="仿宋" w:cs="仿宋"/>
          <w:color w:val="auto"/>
          <w:sz w:val="24"/>
          <w:highlight w:val="none"/>
        </w:rPr>
        <w:t>),未按时上传响应文件解密密码将失去投标资格。</w:t>
      </w:r>
    </w:p>
    <w:p>
      <w:pPr>
        <w:pStyle w:val="5"/>
        <w:numPr>
          <w:ilvl w:val="0"/>
          <w:numId w:val="2"/>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4" w:name="_Toc17423"/>
      <w:r>
        <w:rPr>
          <w:rFonts w:hint="eastAsia" w:ascii="仿宋" w:hAnsi="仿宋" w:eastAsia="仿宋" w:cs="仿宋"/>
          <w:color w:val="000000"/>
          <w:sz w:val="24"/>
          <w:szCs w:val="24"/>
        </w:rPr>
        <w:t>谈判开始时间及地点</w:t>
      </w:r>
      <w:bookmarkEnd w:id="20"/>
      <w:bookmarkEnd w:id="24"/>
    </w:p>
    <w:p>
      <w:pPr>
        <w:spacing w:line="360" w:lineRule="auto"/>
        <w:ind w:firstLine="480" w:firstLineChars="200"/>
        <w:rPr>
          <w:rFonts w:ascii="仿宋" w:hAnsi="仿宋" w:eastAsia="仿宋" w:cs="仿宋"/>
          <w:sz w:val="24"/>
        </w:rPr>
      </w:pPr>
      <w:r>
        <w:rPr>
          <w:rFonts w:hint="eastAsia" w:ascii="仿宋" w:hAnsi="仿宋" w:eastAsia="仿宋" w:cs="仿宋"/>
          <w:sz w:val="24"/>
        </w:rPr>
        <w:t>2022年</w:t>
      </w:r>
      <w:r>
        <w:rPr>
          <w:rFonts w:hint="eastAsia" w:ascii="仿宋" w:hAnsi="仿宋" w:eastAsia="仿宋" w:cs="仿宋"/>
          <w:sz w:val="24"/>
          <w:lang w:val="en-US" w:eastAsia="zh-CN"/>
        </w:rPr>
        <w:t>5</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w:t>
      </w:r>
      <w:r>
        <w:rPr>
          <w:rFonts w:hint="eastAsia" w:ascii="仿宋" w:hAnsi="仿宋" w:eastAsia="仿宋" w:cs="仿宋"/>
          <w:sz w:val="24"/>
          <w:lang w:val="en-US" w:eastAsia="zh-CN"/>
        </w:rPr>
        <w:t>15</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分（北京时间）在7103及腾讯初步会议室（会议号：</w:t>
      </w:r>
      <w:r>
        <w:rPr>
          <w:rFonts w:hint="eastAsia" w:ascii="仿宋" w:hAnsi="仿宋" w:eastAsia="仿宋" w:cs="仿宋"/>
          <w:sz w:val="24"/>
          <w:lang w:val="en-US" w:eastAsia="zh-CN"/>
        </w:rPr>
        <w:t>998270705</w:t>
      </w:r>
      <w:r>
        <w:rPr>
          <w:rFonts w:hint="eastAsia" w:ascii="仿宋" w:hAnsi="仿宋" w:eastAsia="仿宋" w:cs="仿宋"/>
          <w:sz w:val="24"/>
        </w:rPr>
        <w:t>;会议密码：</w:t>
      </w:r>
      <w:r>
        <w:rPr>
          <w:rFonts w:hint="eastAsia" w:ascii="仿宋" w:hAnsi="仿宋" w:eastAsia="仿宋" w:cs="仿宋"/>
          <w:sz w:val="24"/>
          <w:lang w:val="en-US" w:eastAsia="zh-CN"/>
        </w:rPr>
        <w:t>882295</w:t>
      </w:r>
      <w:r>
        <w:rPr>
          <w:rFonts w:hint="eastAsia" w:ascii="仿宋" w:hAnsi="仿宋" w:eastAsia="仿宋" w:cs="仿宋"/>
          <w:sz w:val="24"/>
        </w:rPr>
        <w:t>）开展该项目谈判工作。</w:t>
      </w:r>
    </w:p>
    <w:p>
      <w:pPr>
        <w:pStyle w:val="5"/>
        <w:numPr>
          <w:ilvl w:val="0"/>
          <w:numId w:val="2"/>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5" w:name="_Toc15396"/>
      <w:bookmarkStart w:id="26" w:name="_Toc85808691"/>
      <w:r>
        <w:rPr>
          <w:rFonts w:hint="eastAsia" w:ascii="仿宋" w:hAnsi="仿宋" w:eastAsia="仿宋" w:cs="仿宋"/>
          <w:color w:val="000000"/>
          <w:sz w:val="24"/>
          <w:szCs w:val="24"/>
        </w:rPr>
        <w:t>联系方式</w:t>
      </w:r>
      <w:bookmarkEnd w:id="25"/>
      <w:bookmarkEnd w:id="26"/>
    </w:p>
    <w:p>
      <w:pPr>
        <w:tabs>
          <w:tab w:val="left" w:pos="0"/>
          <w:tab w:val="left" w:pos="993"/>
        </w:tabs>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联系人：黄先生</w:t>
      </w:r>
    </w:p>
    <w:p>
      <w:pPr>
        <w:tabs>
          <w:tab w:val="left" w:pos="0"/>
          <w:tab w:val="left" w:pos="993"/>
        </w:tabs>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电话：0755-82848822</w:t>
      </w:r>
    </w:p>
    <w:p>
      <w:pPr>
        <w:tabs>
          <w:tab w:val="left" w:pos="0"/>
          <w:tab w:val="left" w:pos="993"/>
        </w:tabs>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传真：0755-82848694</w:t>
      </w:r>
    </w:p>
    <w:p>
      <w:pPr>
        <w:spacing w:line="360" w:lineRule="auto"/>
        <w:ind w:firstLine="480" w:firstLineChars="200"/>
        <w:rPr>
          <w:rFonts w:ascii="仿宋" w:hAnsi="仿宋" w:eastAsia="仿宋" w:cs="仿宋"/>
          <w:sz w:val="24"/>
        </w:rPr>
      </w:pPr>
      <w:r>
        <w:rPr>
          <w:rFonts w:hint="eastAsia" w:ascii="仿宋" w:hAnsi="仿宋" w:eastAsia="仿宋" w:cs="仿宋"/>
          <w:sz w:val="24"/>
        </w:rPr>
        <w:t>电子邮箱</w:t>
      </w:r>
      <w:r>
        <w:rPr>
          <w:rFonts w:hint="eastAsia" w:ascii="仿宋" w:hAnsi="仿宋" w:eastAsia="仿宋" w:cs="仿宋"/>
          <w:color w:val="auto"/>
          <w:sz w:val="24"/>
          <w:highlight w:val="none"/>
        </w:rPr>
        <w:t>：cghyz@chtf.com</w:t>
      </w:r>
    </w:p>
    <w:p>
      <w:pPr>
        <w:pStyle w:val="5"/>
        <w:numPr>
          <w:ilvl w:val="0"/>
          <w:numId w:val="2"/>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7" w:name="_Toc20517"/>
      <w:bookmarkStart w:id="28" w:name="_Toc85808692"/>
      <w:r>
        <w:rPr>
          <w:rFonts w:hint="eastAsia" w:ascii="仿宋" w:hAnsi="仿宋" w:eastAsia="仿宋" w:cs="仿宋"/>
          <w:color w:val="000000"/>
          <w:sz w:val="24"/>
          <w:szCs w:val="24"/>
        </w:rPr>
        <w:t>谈判结果</w:t>
      </w:r>
      <w:bookmarkEnd w:id="27"/>
      <w:bookmarkEnd w:id="28"/>
    </w:p>
    <w:p>
      <w:pPr>
        <w:tabs>
          <w:tab w:val="left" w:pos="426"/>
          <w:tab w:val="left" w:pos="567"/>
        </w:tabs>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本项目采购谈判结果以采购人签发的“成交通知书”为准，并于深圳阳光采购平台（www.szygcgpt.com）同步公示。</w:t>
      </w:r>
    </w:p>
    <w:p>
      <w:pPr>
        <w:pStyle w:val="5"/>
        <w:numPr>
          <w:ilvl w:val="0"/>
          <w:numId w:val="2"/>
        </w:numPr>
        <w:tabs>
          <w:tab w:val="left" w:pos="426"/>
          <w:tab w:val="left" w:pos="567"/>
        </w:tabs>
        <w:spacing w:before="120" w:after="120" w:line="276" w:lineRule="auto"/>
        <w:jc w:val="left"/>
        <w:rPr>
          <w:rFonts w:ascii="仿宋" w:hAnsi="仿宋" w:eastAsia="仿宋" w:cs="仿宋"/>
          <w:color w:val="000000"/>
          <w:sz w:val="24"/>
          <w:szCs w:val="24"/>
        </w:rPr>
      </w:pPr>
      <w:bookmarkStart w:id="29" w:name="_Toc45028462"/>
      <w:bookmarkStart w:id="30" w:name="_Toc3992"/>
      <w:bookmarkStart w:id="31" w:name="_Toc85808693"/>
      <w:r>
        <w:rPr>
          <w:rFonts w:hint="eastAsia" w:ascii="仿宋" w:hAnsi="仿宋" w:eastAsia="仿宋" w:cs="仿宋"/>
          <w:color w:val="000000"/>
          <w:sz w:val="24"/>
          <w:szCs w:val="24"/>
        </w:rPr>
        <w:t>特别说明</w:t>
      </w:r>
      <w:bookmarkEnd w:id="29"/>
      <w:bookmarkEnd w:id="30"/>
      <w:bookmarkEnd w:id="31"/>
    </w:p>
    <w:p>
      <w:pPr>
        <w:pStyle w:val="51"/>
        <w:numPr>
          <w:ilvl w:val="0"/>
          <w:numId w:val="5"/>
        </w:numPr>
        <w:spacing w:line="360" w:lineRule="auto"/>
        <w:ind w:left="1127" w:hanging="497" w:firstLineChars="0"/>
        <w:rPr>
          <w:rFonts w:ascii="仿宋" w:hAnsi="仿宋" w:eastAsia="仿宋" w:cs="仿宋"/>
          <w:color w:val="000000"/>
          <w:sz w:val="24"/>
        </w:rPr>
      </w:pPr>
      <w:bookmarkStart w:id="32" w:name="_Toc45028463"/>
      <w:bookmarkStart w:id="33" w:name="_Toc478387747"/>
      <w:bookmarkStart w:id="34" w:name="_Toc517278751"/>
      <w:r>
        <w:rPr>
          <w:rFonts w:hint="eastAsia" w:ascii="仿宋" w:hAnsi="仿宋" w:eastAsia="仿宋" w:cs="仿宋"/>
          <w:color w:val="000000"/>
          <w:sz w:val="24"/>
        </w:rPr>
        <w:t>供方必须具备开展</w:t>
      </w:r>
      <w:r>
        <w:rPr>
          <w:rFonts w:hint="eastAsia" w:ascii="仿宋" w:hAnsi="仿宋" w:eastAsia="仿宋" w:cs="仿宋"/>
          <w:b/>
          <w:color w:val="000000"/>
          <w:sz w:val="24"/>
        </w:rPr>
        <w:t>腾讯视频会议</w:t>
      </w:r>
      <w:r>
        <w:rPr>
          <w:rFonts w:hint="eastAsia" w:ascii="仿宋" w:hAnsi="仿宋" w:eastAsia="仿宋" w:cs="仿宋"/>
          <w:color w:val="000000"/>
          <w:sz w:val="24"/>
        </w:rPr>
        <w:t>所需的基本网络设备及网络环境。供方应自行承担因不具备上述条件或网络环境不佳而导致的无法按要求正常参与本项目谈判工作的后果，亦不得因此对本项目谈判结果提出异议。</w:t>
      </w:r>
    </w:p>
    <w:bookmarkEnd w:id="32"/>
    <w:bookmarkEnd w:id="33"/>
    <w:bookmarkEnd w:id="34"/>
    <w:p>
      <w:pPr>
        <w:pStyle w:val="51"/>
        <w:numPr>
          <w:ilvl w:val="0"/>
          <w:numId w:val="5"/>
        </w:numPr>
        <w:spacing w:line="360" w:lineRule="auto"/>
        <w:ind w:left="1127" w:hanging="497" w:firstLineChars="0"/>
        <w:rPr>
          <w:rFonts w:ascii="仿宋" w:hAnsi="仿宋" w:eastAsia="仿宋" w:cs="仿宋"/>
          <w:color w:val="000000"/>
          <w:sz w:val="24"/>
        </w:rPr>
      </w:pPr>
      <w:bookmarkStart w:id="35" w:name="_Hlk80347232"/>
      <w:r>
        <w:rPr>
          <w:rFonts w:hint="eastAsia" w:ascii="仿宋" w:hAnsi="仿宋" w:eastAsia="仿宋" w:cs="仿宋"/>
          <w:color w:val="000000"/>
          <w:sz w:val="24"/>
        </w:rPr>
        <w:t>本通知书上载明的内容如有变动，以采购人公告或通知为准。</w:t>
      </w:r>
      <w:bookmarkEnd w:id="35"/>
    </w:p>
    <w:p>
      <w:pPr>
        <w:adjustRightInd w:val="0"/>
        <w:snapToGrid w:val="0"/>
        <w:spacing w:line="360" w:lineRule="auto"/>
        <w:ind w:left="266" w:firstLine="105" w:firstLineChars="44"/>
        <w:rPr>
          <w:rFonts w:ascii="仿宋" w:hAnsi="仿宋" w:eastAsia="仿宋" w:cs="仿宋"/>
          <w:color w:val="000000"/>
          <w:sz w:val="24"/>
        </w:rPr>
      </w:pPr>
    </w:p>
    <w:p>
      <w:pPr>
        <w:adjustRightInd w:val="0"/>
        <w:snapToGrid w:val="0"/>
        <w:spacing w:line="400" w:lineRule="exact"/>
        <w:ind w:left="266" w:firstLine="105" w:firstLineChars="44"/>
        <w:rPr>
          <w:rFonts w:ascii="仿宋" w:hAnsi="仿宋" w:eastAsia="仿宋" w:cs="仿宋"/>
          <w:b/>
          <w:color w:val="000000"/>
          <w:sz w:val="24"/>
        </w:rPr>
      </w:pPr>
      <w:r>
        <w:rPr>
          <w:rFonts w:hint="eastAsia" w:ascii="仿宋" w:hAnsi="仿宋" w:eastAsia="仿宋" w:cs="仿宋"/>
          <w:color w:val="000000"/>
          <w:sz w:val="24"/>
        </w:rPr>
        <w:br w:type="page"/>
      </w:r>
      <w:bookmarkStart w:id="36" w:name="_Toc236803064"/>
      <w:bookmarkStart w:id="37" w:name="_Toc85808694"/>
      <w:bookmarkStart w:id="38" w:name="_Toc20048"/>
      <w:r>
        <w:rPr>
          <w:rFonts w:hint="eastAsia" w:ascii="仿宋" w:hAnsi="仿宋" w:eastAsia="仿宋" w:cs="仿宋"/>
          <w:b/>
          <w:color w:val="000000"/>
          <w:sz w:val="24"/>
        </w:rPr>
        <w:t xml:space="preserve">第二部分 </w:t>
      </w:r>
      <w:bookmarkEnd w:id="36"/>
      <w:r>
        <w:rPr>
          <w:rFonts w:hint="eastAsia" w:ascii="仿宋" w:hAnsi="仿宋" w:eastAsia="仿宋" w:cs="仿宋"/>
          <w:b/>
          <w:color w:val="000000"/>
          <w:sz w:val="24"/>
        </w:rPr>
        <w:t>采购谈判项目需求要览</w:t>
      </w:r>
      <w:bookmarkEnd w:id="37"/>
      <w:bookmarkEnd w:id="38"/>
    </w:p>
    <w:p>
      <w:pPr>
        <w:adjustRightInd w:val="0"/>
        <w:snapToGrid w:val="0"/>
        <w:spacing w:before="60" w:after="240" w:line="360" w:lineRule="auto"/>
        <w:jc w:val="left"/>
        <w:outlineLvl w:val="1"/>
        <w:rPr>
          <w:rFonts w:ascii="仿宋" w:hAnsi="仿宋" w:eastAsia="仿宋" w:cs="仿宋"/>
          <w:b/>
          <w:sz w:val="24"/>
        </w:rPr>
      </w:pPr>
      <w:bookmarkStart w:id="39" w:name="_Toc302032842"/>
      <w:bookmarkStart w:id="40" w:name="_Toc203990439"/>
    </w:p>
    <w:p>
      <w:pPr>
        <w:adjustRightInd w:val="0"/>
        <w:snapToGrid w:val="0"/>
        <w:spacing w:before="60" w:after="240" w:line="360" w:lineRule="auto"/>
        <w:jc w:val="left"/>
        <w:outlineLvl w:val="1"/>
        <w:rPr>
          <w:rFonts w:ascii="仿宋" w:hAnsi="仿宋" w:eastAsia="仿宋" w:cs="仿宋"/>
          <w:b/>
          <w:sz w:val="24"/>
        </w:rPr>
      </w:pPr>
      <w:bookmarkStart w:id="41" w:name="_Toc85808695"/>
      <w:bookmarkStart w:id="42" w:name="_Toc3237"/>
      <w:r>
        <w:rPr>
          <w:rFonts w:hint="eastAsia" w:ascii="仿宋" w:hAnsi="仿宋" w:eastAsia="仿宋" w:cs="仿宋"/>
          <w:b/>
          <w:sz w:val="24"/>
        </w:rPr>
        <w:t>一、商务要求</w:t>
      </w:r>
      <w:bookmarkEnd w:id="39"/>
      <w:bookmarkEnd w:id="41"/>
      <w:bookmarkEnd w:id="42"/>
    </w:p>
    <w:tbl>
      <w:tblPr>
        <w:tblStyle w:val="35"/>
        <w:tblW w:w="9700"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649"/>
        <w:gridCol w:w="1437"/>
        <w:gridCol w:w="6946"/>
        <w:gridCol w:w="668"/>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blCellSpacing w:w="0" w:type="dxa"/>
          <w:jc w:val="center"/>
        </w:trPr>
        <w:tc>
          <w:tcPr>
            <w:tcW w:w="649" w:type="dxa"/>
            <w:tcBorders>
              <w:tl2br w:val="nil"/>
              <w:tr2bl w:val="nil"/>
            </w:tcBorders>
            <w:shd w:val="clear" w:color="auto" w:fill="EEEEEE"/>
            <w:vAlign w:val="center"/>
          </w:tcPr>
          <w:p>
            <w:pPr>
              <w:adjustRightInd w:val="0"/>
              <w:snapToGrid w:val="0"/>
              <w:spacing w:line="360" w:lineRule="auto"/>
              <w:jc w:val="center"/>
              <w:rPr>
                <w:rFonts w:ascii="仿宋_GB2312" w:hAnsi="仿宋" w:eastAsia="仿宋_GB2312" w:cs="仿宋"/>
                <w:b/>
                <w:bCs/>
                <w:sz w:val="24"/>
              </w:rPr>
            </w:pPr>
            <w:r>
              <w:rPr>
                <w:rFonts w:hint="eastAsia" w:ascii="仿宋_GB2312" w:hAnsi="仿宋" w:eastAsia="仿宋_GB2312" w:cs="仿宋"/>
                <w:b/>
                <w:bCs/>
                <w:sz w:val="24"/>
              </w:rPr>
              <w:t>序号</w:t>
            </w:r>
          </w:p>
        </w:tc>
        <w:tc>
          <w:tcPr>
            <w:tcW w:w="1437" w:type="dxa"/>
            <w:tcBorders>
              <w:tl2br w:val="nil"/>
              <w:tr2bl w:val="nil"/>
            </w:tcBorders>
            <w:shd w:val="clear" w:color="auto" w:fill="EEEEEE"/>
            <w:vAlign w:val="center"/>
          </w:tcPr>
          <w:p>
            <w:pPr>
              <w:adjustRightInd w:val="0"/>
              <w:snapToGrid w:val="0"/>
              <w:spacing w:line="360" w:lineRule="auto"/>
              <w:jc w:val="center"/>
              <w:rPr>
                <w:rFonts w:ascii="仿宋_GB2312" w:hAnsi="仿宋" w:eastAsia="仿宋_GB2312" w:cs="仿宋"/>
                <w:b/>
                <w:bCs/>
                <w:sz w:val="24"/>
              </w:rPr>
            </w:pPr>
            <w:r>
              <w:rPr>
                <w:rFonts w:hint="eastAsia" w:ascii="仿宋_GB2312" w:hAnsi="仿宋" w:eastAsia="仿宋_GB2312" w:cs="仿宋"/>
                <w:b/>
                <w:bCs/>
                <w:sz w:val="24"/>
              </w:rPr>
              <w:t>需求名称</w:t>
            </w:r>
          </w:p>
        </w:tc>
        <w:tc>
          <w:tcPr>
            <w:tcW w:w="6946" w:type="dxa"/>
            <w:tcBorders>
              <w:tl2br w:val="nil"/>
              <w:tr2bl w:val="nil"/>
            </w:tcBorders>
            <w:shd w:val="clear" w:color="auto" w:fill="EEEEEE"/>
            <w:vAlign w:val="center"/>
          </w:tcPr>
          <w:p>
            <w:pPr>
              <w:adjustRightInd w:val="0"/>
              <w:snapToGrid w:val="0"/>
              <w:spacing w:line="360" w:lineRule="auto"/>
              <w:jc w:val="center"/>
              <w:rPr>
                <w:rFonts w:ascii="仿宋_GB2312" w:hAnsi="仿宋" w:eastAsia="仿宋_GB2312" w:cs="仿宋"/>
                <w:b/>
                <w:bCs/>
                <w:sz w:val="24"/>
              </w:rPr>
            </w:pPr>
            <w:r>
              <w:rPr>
                <w:rFonts w:hint="eastAsia" w:ascii="仿宋_GB2312" w:hAnsi="仿宋" w:eastAsia="仿宋_GB2312" w:cs="仿宋"/>
                <w:b/>
                <w:bCs/>
                <w:sz w:val="24"/>
              </w:rPr>
              <w:t>需求说明</w:t>
            </w:r>
          </w:p>
        </w:tc>
        <w:tc>
          <w:tcPr>
            <w:tcW w:w="668" w:type="dxa"/>
            <w:tcBorders>
              <w:tl2br w:val="nil"/>
              <w:tr2bl w:val="nil"/>
            </w:tcBorders>
            <w:shd w:val="clear" w:color="auto" w:fill="EEEEEE"/>
            <w:vAlign w:val="center"/>
          </w:tcPr>
          <w:p>
            <w:pPr>
              <w:adjustRightInd w:val="0"/>
              <w:snapToGrid w:val="0"/>
              <w:spacing w:line="360" w:lineRule="auto"/>
              <w:jc w:val="center"/>
              <w:rPr>
                <w:rFonts w:ascii="仿宋_GB2312" w:hAnsi="仿宋" w:eastAsia="仿宋_GB2312" w:cs="仿宋"/>
                <w:b/>
                <w:bCs/>
                <w:sz w:val="24"/>
              </w:rPr>
            </w:pPr>
            <w:r>
              <w:rPr>
                <w:rFonts w:hint="eastAsia" w:ascii="仿宋_GB2312" w:hAnsi="仿宋" w:eastAsia="仿宋_GB2312" w:cs="仿宋"/>
                <w:b/>
                <w:bCs/>
                <w:sz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0" w:hRule="atLeast"/>
          <w:tblCellSpacing w:w="0" w:type="dxa"/>
          <w:jc w:val="center"/>
        </w:trPr>
        <w:tc>
          <w:tcPr>
            <w:tcW w:w="649"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1</w:t>
            </w:r>
          </w:p>
        </w:tc>
        <w:tc>
          <w:tcPr>
            <w:tcW w:w="1437"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资格要求</w:t>
            </w:r>
          </w:p>
        </w:tc>
        <w:tc>
          <w:tcPr>
            <w:tcW w:w="6946" w:type="dxa"/>
            <w:tcBorders>
              <w:tl2br w:val="nil"/>
              <w:tr2bl w:val="nil"/>
            </w:tcBorders>
            <w:vAlign w:val="center"/>
          </w:tcPr>
          <w:p>
            <w:pPr>
              <w:numPr>
                <w:ilvl w:val="0"/>
                <w:numId w:val="6"/>
              </w:numPr>
              <w:tabs>
                <w:tab w:val="left" w:pos="840"/>
              </w:tabs>
              <w:snapToGrid w:val="0"/>
              <w:spacing w:line="360" w:lineRule="auto"/>
              <w:ind w:left="840" w:hanging="840"/>
              <w:rPr>
                <w:rFonts w:ascii="仿宋_GB2312" w:hAnsi="仿宋" w:eastAsia="仿宋_GB2312" w:cs="仿宋"/>
                <w:sz w:val="24"/>
              </w:rPr>
            </w:pPr>
            <w:r>
              <w:rPr>
                <w:rFonts w:hint="eastAsia" w:ascii="仿宋_GB2312" w:hAnsi="仿宋" w:eastAsia="仿宋_GB2312" w:cs="仿宋"/>
                <w:sz w:val="24"/>
              </w:rPr>
              <w:t>供方必须为中华人民共和国境内注册且合法运作的企业。（须</w:t>
            </w:r>
            <w:r>
              <w:rPr>
                <w:rFonts w:hint="eastAsia" w:ascii="仿宋_GB2312" w:hAnsi="仿宋" w:eastAsia="仿宋_GB2312" w:cs="仿宋"/>
                <w:bCs/>
                <w:sz w:val="24"/>
              </w:rPr>
              <w:t>提供</w:t>
            </w:r>
            <w:r>
              <w:rPr>
                <w:rFonts w:hint="eastAsia" w:ascii="仿宋_GB2312" w:hAnsi="仿宋" w:eastAsia="仿宋_GB2312" w:cs="仿宋"/>
                <w:sz w:val="24"/>
              </w:rPr>
              <w:t>企业</w:t>
            </w:r>
            <w:r>
              <w:rPr>
                <w:rFonts w:hint="eastAsia" w:ascii="仿宋_GB2312" w:hAnsi="仿宋" w:eastAsia="仿宋_GB2312" w:cs="仿宋"/>
                <w:bCs/>
                <w:sz w:val="24"/>
              </w:rPr>
              <w:t>营业执照</w:t>
            </w:r>
            <w:r>
              <w:rPr>
                <w:rFonts w:hint="eastAsia" w:ascii="仿宋_GB2312" w:hAnsi="仿宋" w:eastAsia="仿宋_GB2312" w:cs="仿宋"/>
                <w:sz w:val="24"/>
              </w:rPr>
              <w:t>复印件加盖供方公章）</w:t>
            </w:r>
          </w:p>
          <w:p>
            <w:pPr>
              <w:numPr>
                <w:ilvl w:val="0"/>
                <w:numId w:val="6"/>
              </w:numPr>
              <w:tabs>
                <w:tab w:val="left" w:pos="840"/>
              </w:tabs>
              <w:snapToGrid w:val="0"/>
              <w:spacing w:line="360" w:lineRule="auto"/>
              <w:ind w:left="840" w:hanging="84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sz w:val="24"/>
              </w:rPr>
              <w:t>供方须提供国家企业信用信息公示系统（http://www.gsxt.gov.cn/）公示的企业信息打印件并加盖供方公章。企业公示信息应无未改正的经营异常信息、无严重</w:t>
            </w:r>
            <w:r>
              <w:rPr>
                <w:rFonts w:hint="eastAsia" w:ascii="仿宋_GB2312" w:hAnsi="仿宋" w:eastAsia="仿宋_GB2312" w:cs="仿宋"/>
                <w:color w:val="000000" w:themeColor="text1"/>
                <w:sz w:val="24"/>
                <w14:textFill>
                  <w14:solidFill>
                    <w14:schemeClr w14:val="tx1"/>
                  </w14:solidFill>
                </w14:textFill>
              </w:rPr>
              <w:t>违法失信记录。</w:t>
            </w:r>
          </w:p>
          <w:p>
            <w:pPr>
              <w:keepLines/>
              <w:numPr>
                <w:ilvl w:val="0"/>
                <w:numId w:val="6"/>
              </w:numPr>
              <w:adjustRightInd w:val="0"/>
              <w:snapToGrid w:val="0"/>
              <w:spacing w:line="360" w:lineRule="auto"/>
              <w:rPr>
                <w:rFonts w:ascii="仿宋_GB2312" w:hAnsi="仿宋" w:eastAsia="仿宋_GB2312" w:cs="仿宋"/>
                <w:sz w:val="24"/>
              </w:rPr>
            </w:pPr>
            <w:r>
              <w:rPr>
                <w:rFonts w:hint="eastAsia" w:ascii="仿宋_GB2312" w:hAnsi="仿宋" w:eastAsia="仿宋_GB2312" w:cs="仿宋"/>
                <w:color w:val="000000" w:themeColor="text1"/>
                <w:sz w:val="24"/>
                <w14:textFill>
                  <w14:solidFill>
                    <w14:schemeClr w14:val="tx1"/>
                  </w14:solidFill>
                </w14:textFill>
              </w:rPr>
              <w:t>供方须持有“</w:t>
            </w:r>
            <w:r>
              <w:rPr>
                <w:rFonts w:hint="eastAsia" w:ascii="仿宋_GB2312" w:hAnsi="宋体" w:eastAsia="仿宋_GB2312" w:cs="宋体"/>
                <w:color w:val="000000" w:themeColor="text1"/>
                <w:sz w:val="24"/>
                <w14:textFill>
                  <w14:solidFill>
                    <w14:schemeClr w14:val="tx1"/>
                  </w14:solidFill>
                </w14:textFill>
              </w:rPr>
              <w:t>高交会会徽标志委托作品创作说明”</w:t>
            </w:r>
            <w:r>
              <w:rPr>
                <w:rFonts w:hint="eastAsia" w:ascii="仿宋_GB2312" w:hAnsi="仿宋" w:eastAsia="仿宋_GB2312" w:cs="仿宋"/>
                <w:color w:val="000000" w:themeColor="text1"/>
                <w:sz w:val="24"/>
                <w14:textFill>
                  <w14:solidFill>
                    <w14:schemeClr w14:val="tx1"/>
                  </w14:solidFill>
                </w14:textFill>
              </w:rPr>
              <w:t>证书</w:t>
            </w:r>
            <w:r>
              <w:rPr>
                <w:rFonts w:hint="eastAsia" w:ascii="仿宋_GB2312" w:hAnsi="仿宋" w:eastAsia="仿宋_GB2312" w:cs="仿宋"/>
                <w:sz w:val="24"/>
              </w:rPr>
              <w:t>（提供证书复印件加盖供方公章）。</w:t>
            </w:r>
          </w:p>
          <w:p>
            <w:pPr>
              <w:numPr>
                <w:ilvl w:val="0"/>
                <w:numId w:val="6"/>
              </w:numPr>
              <w:tabs>
                <w:tab w:val="left" w:pos="531"/>
              </w:tabs>
              <w:snapToGrid w:val="0"/>
              <w:spacing w:line="360" w:lineRule="auto"/>
              <w:ind w:left="840" w:hanging="840"/>
              <w:rPr>
                <w:rFonts w:ascii="仿宋_GB2312" w:hAnsi="仿宋" w:eastAsia="仿宋_GB2312" w:cs="仿宋"/>
                <w:sz w:val="24"/>
              </w:rPr>
            </w:pPr>
            <w:bookmarkStart w:id="43" w:name="OLE_LINK4"/>
            <w:bookmarkStart w:id="44" w:name="OLE_LINK3"/>
            <w:r>
              <w:rPr>
                <w:rFonts w:hint="eastAsia" w:ascii="仿宋_GB2312" w:hAnsi="仿宋" w:eastAsia="仿宋_GB2312" w:cs="仿宋"/>
                <w:sz w:val="24"/>
              </w:rPr>
              <w:t>参加谈判的代表，必须是供方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43"/>
            <w:bookmarkEnd w:id="44"/>
          </w:p>
          <w:p>
            <w:pPr>
              <w:numPr>
                <w:ilvl w:val="0"/>
                <w:numId w:val="6"/>
              </w:numPr>
              <w:tabs>
                <w:tab w:val="left" w:pos="531"/>
              </w:tabs>
              <w:snapToGrid w:val="0"/>
              <w:spacing w:line="360" w:lineRule="auto"/>
              <w:rPr>
                <w:rFonts w:ascii="仿宋_GB2312" w:hAnsi="仿宋" w:eastAsia="仿宋_GB2312" w:cs="仿宋"/>
                <w:sz w:val="24"/>
              </w:rPr>
            </w:pPr>
            <w:r>
              <w:rPr>
                <w:rFonts w:hint="eastAsia" w:ascii="仿宋_GB2312" w:hAnsi="仿宋" w:eastAsia="仿宋_GB2312" w:cs="仿宋"/>
                <w:sz w:val="24"/>
              </w:rPr>
              <w:t>本项目不接受联合体投标，严禁转包或非法分包。</w:t>
            </w:r>
          </w:p>
        </w:tc>
        <w:tc>
          <w:tcPr>
            <w:tcW w:w="668"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178" w:hRule="atLeast"/>
          <w:tblCellSpacing w:w="0" w:type="dxa"/>
          <w:jc w:val="center"/>
        </w:trPr>
        <w:tc>
          <w:tcPr>
            <w:tcW w:w="649"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2</w:t>
            </w:r>
          </w:p>
        </w:tc>
        <w:tc>
          <w:tcPr>
            <w:tcW w:w="1437"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报价要求</w:t>
            </w:r>
          </w:p>
        </w:tc>
        <w:tc>
          <w:tcPr>
            <w:tcW w:w="6946" w:type="dxa"/>
            <w:tcBorders>
              <w:tl2br w:val="nil"/>
              <w:tr2bl w:val="nil"/>
            </w:tcBorders>
            <w:vAlign w:val="center"/>
          </w:tcPr>
          <w:p>
            <w:pPr>
              <w:numPr>
                <w:ilvl w:val="0"/>
                <w:numId w:val="7"/>
              </w:numPr>
              <w:tabs>
                <w:tab w:val="left" w:pos="531"/>
              </w:tabs>
              <w:snapToGrid w:val="0"/>
              <w:spacing w:line="360" w:lineRule="auto"/>
              <w:ind w:left="531" w:hanging="531"/>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本项目报价以人民币为结算币种，</w:t>
            </w:r>
            <w:r>
              <w:rPr>
                <w:rFonts w:hint="eastAsia" w:ascii="仿宋_GB2312" w:hAnsi="宋体" w:eastAsia="仿宋_GB2312" w:cs="宋体"/>
                <w:color w:val="000000" w:themeColor="text1"/>
                <w:sz w:val="24"/>
                <w14:textFill>
                  <w14:solidFill>
                    <w14:schemeClr w14:val="tx1"/>
                  </w14:solidFill>
                </w14:textFill>
              </w:rPr>
              <w:t>报价为打包总价。</w:t>
            </w:r>
          </w:p>
          <w:p>
            <w:pPr>
              <w:numPr>
                <w:ilvl w:val="0"/>
                <w:numId w:val="7"/>
              </w:numPr>
              <w:snapToGrid w:val="0"/>
              <w:spacing w:line="360" w:lineRule="auto"/>
              <w:ind w:left="831" w:hanging="831"/>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报价</w:t>
            </w:r>
            <w:r>
              <w:rPr>
                <w:rFonts w:hint="eastAsia" w:ascii="仿宋_GB2312" w:hAnsi="宋体" w:eastAsia="仿宋_GB2312" w:cs="宋体"/>
                <w:color w:val="000000" w:themeColor="text1"/>
                <w:sz w:val="24"/>
                <w14:textFill>
                  <w14:solidFill>
                    <w14:schemeClr w14:val="tx1"/>
                  </w14:solidFill>
                </w14:textFill>
              </w:rPr>
              <w:t>包括但不限于设计费、人工费、差旅费及增值税等，完成本项目所需的全部费用。</w:t>
            </w:r>
          </w:p>
        </w:tc>
        <w:tc>
          <w:tcPr>
            <w:tcW w:w="668"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90" w:hRule="atLeast"/>
          <w:tblCellSpacing w:w="0" w:type="dxa"/>
          <w:jc w:val="center"/>
        </w:trPr>
        <w:tc>
          <w:tcPr>
            <w:tcW w:w="649"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3</w:t>
            </w:r>
          </w:p>
        </w:tc>
        <w:tc>
          <w:tcPr>
            <w:tcW w:w="1437"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控制金额</w:t>
            </w:r>
          </w:p>
        </w:tc>
        <w:tc>
          <w:tcPr>
            <w:tcW w:w="6946" w:type="dxa"/>
            <w:tcBorders>
              <w:tl2br w:val="nil"/>
              <w:tr2bl w:val="nil"/>
            </w:tcBorders>
            <w:vAlign w:val="center"/>
          </w:tcPr>
          <w:p>
            <w:pPr>
              <w:adjustRightInd w:val="0"/>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本项目控制金额为人民币9.9万元（含税）。报价高于上述控制金额的，响应文件视同无效。</w:t>
            </w:r>
          </w:p>
        </w:tc>
        <w:tc>
          <w:tcPr>
            <w:tcW w:w="668"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10" w:hRule="atLeast"/>
          <w:tblCellSpacing w:w="0" w:type="dxa"/>
          <w:jc w:val="center"/>
        </w:trPr>
        <w:tc>
          <w:tcPr>
            <w:tcW w:w="649"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4</w:t>
            </w:r>
          </w:p>
        </w:tc>
        <w:tc>
          <w:tcPr>
            <w:tcW w:w="1437" w:type="dxa"/>
            <w:tcBorders>
              <w:tl2br w:val="nil"/>
              <w:tr2bl w:val="nil"/>
            </w:tcBorders>
            <w:vAlign w:val="center"/>
          </w:tcPr>
          <w:p>
            <w:pPr>
              <w:adjustRightInd w:val="0"/>
              <w:snapToGrid w:val="0"/>
              <w:spacing w:line="360" w:lineRule="auto"/>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付款要求</w:t>
            </w:r>
          </w:p>
        </w:tc>
        <w:tc>
          <w:tcPr>
            <w:tcW w:w="6946" w:type="dxa"/>
            <w:tcBorders>
              <w:tl2br w:val="nil"/>
              <w:tr2bl w:val="nil"/>
            </w:tcBorders>
            <w:vAlign w:val="center"/>
          </w:tcPr>
          <w:p>
            <w:pPr>
              <w:adjustRightInd w:val="0"/>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项目款项分二期支付：</w:t>
            </w:r>
          </w:p>
          <w:p>
            <w:pPr>
              <w:pStyle w:val="51"/>
              <w:numPr>
                <w:ilvl w:val="0"/>
                <w:numId w:val="8"/>
              </w:numPr>
              <w:adjustRightInd w:val="0"/>
              <w:snapToGrid w:val="0"/>
              <w:spacing w:line="360" w:lineRule="auto"/>
              <w:ind w:firstLineChars="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合同签订后，采购人支付本项目合同总金额的50%；</w:t>
            </w:r>
          </w:p>
          <w:p>
            <w:pPr>
              <w:pStyle w:val="51"/>
              <w:numPr>
                <w:ilvl w:val="0"/>
                <w:numId w:val="8"/>
              </w:numPr>
              <w:adjustRightInd w:val="0"/>
              <w:snapToGrid w:val="0"/>
              <w:spacing w:line="360" w:lineRule="auto"/>
              <w:ind w:firstLineChars="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供方完成本项目所有设计工作，交付设计成果并通过验收后，采购人一次性支付全部剩余合同款项。</w:t>
            </w:r>
          </w:p>
          <w:p>
            <w:pPr>
              <w:pStyle w:val="51"/>
              <w:numPr>
                <w:ilvl w:val="0"/>
                <w:numId w:val="8"/>
              </w:numPr>
              <w:adjustRightInd w:val="0"/>
              <w:snapToGrid w:val="0"/>
              <w:spacing w:line="360" w:lineRule="auto"/>
              <w:ind w:firstLineChars="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采购人办理付款手续前，供方须向采购人提供真实有效的等额增值税发票。</w:t>
            </w:r>
          </w:p>
        </w:tc>
        <w:tc>
          <w:tcPr>
            <w:tcW w:w="668"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689" w:hRule="atLeast"/>
          <w:tblCellSpacing w:w="0" w:type="dxa"/>
          <w:jc w:val="center"/>
        </w:trPr>
        <w:tc>
          <w:tcPr>
            <w:tcW w:w="649"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5</w:t>
            </w:r>
          </w:p>
        </w:tc>
        <w:tc>
          <w:tcPr>
            <w:tcW w:w="1437"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工期/服务期</w:t>
            </w:r>
          </w:p>
        </w:tc>
        <w:tc>
          <w:tcPr>
            <w:tcW w:w="6946" w:type="dxa"/>
            <w:tcBorders>
              <w:tl2br w:val="nil"/>
              <w:tr2bl w:val="nil"/>
            </w:tcBorders>
            <w:vAlign w:val="center"/>
          </w:tcPr>
          <w:p>
            <w:pPr>
              <w:pStyle w:val="51"/>
              <w:spacing w:line="0" w:lineRule="atLeast"/>
              <w:ind w:firstLine="120" w:firstLineChars="50"/>
              <w:rPr>
                <w:rFonts w:ascii="仿宋_GB2312" w:hAnsi="仿宋" w:eastAsia="仿宋_GB2312" w:cs="仿宋"/>
                <w:sz w:val="24"/>
              </w:rPr>
            </w:pPr>
            <w:r>
              <w:rPr>
                <w:rFonts w:hint="eastAsia" w:ascii="仿宋_GB2312" w:hAnsi="仿宋" w:eastAsia="仿宋_GB2312" w:cs="仿宋"/>
                <w:color w:val="auto"/>
                <w:sz w:val="24"/>
              </w:rPr>
              <w:t>2022年8月10日前完成所有设计项目。</w:t>
            </w:r>
          </w:p>
        </w:tc>
        <w:tc>
          <w:tcPr>
            <w:tcW w:w="668"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845" w:hRule="atLeast"/>
          <w:tblCellSpacing w:w="0" w:type="dxa"/>
          <w:jc w:val="center"/>
        </w:trPr>
        <w:tc>
          <w:tcPr>
            <w:tcW w:w="649" w:type="dxa"/>
            <w:tcBorders>
              <w:tl2br w:val="nil"/>
              <w:tr2bl w:val="nil"/>
            </w:tcBorders>
            <w:vAlign w:val="center"/>
          </w:tcPr>
          <w:p>
            <w:pPr>
              <w:pStyle w:val="58"/>
              <w:keepNext w:val="0"/>
              <w:adjustRightInd/>
              <w:spacing w:before="0" w:after="0" w:line="240" w:lineRule="auto"/>
              <w:rPr>
                <w:rFonts w:ascii="仿宋_GB2312" w:hAnsi="仿宋" w:eastAsia="仿宋_GB2312" w:cs="仿宋"/>
                <w:spacing w:val="0"/>
                <w:kern w:val="2"/>
                <w:szCs w:val="24"/>
              </w:rPr>
            </w:pPr>
            <w:r>
              <w:rPr>
                <w:rFonts w:hint="eastAsia" w:ascii="仿宋_GB2312" w:hAnsi="仿宋" w:eastAsia="仿宋_GB2312" w:cs="仿宋"/>
                <w:spacing w:val="0"/>
                <w:kern w:val="2"/>
                <w:szCs w:val="24"/>
              </w:rPr>
              <w:t>6</w:t>
            </w:r>
          </w:p>
        </w:tc>
        <w:tc>
          <w:tcPr>
            <w:tcW w:w="1437" w:type="dxa"/>
            <w:tcBorders>
              <w:tl2br w:val="nil"/>
              <w:tr2bl w:val="nil"/>
            </w:tcBorders>
            <w:vAlign w:val="center"/>
          </w:tcPr>
          <w:p>
            <w:pPr>
              <w:autoSpaceDE w:val="0"/>
              <w:autoSpaceDN w:val="0"/>
              <w:adjustRightInd w:val="0"/>
              <w:snapToGrid w:val="0"/>
              <w:jc w:val="center"/>
              <w:rPr>
                <w:rFonts w:ascii="仿宋_GB2312" w:hAnsi="仿宋" w:eastAsia="仿宋_GB2312" w:cs="仿宋"/>
                <w:kern w:val="0"/>
                <w:sz w:val="24"/>
              </w:rPr>
            </w:pPr>
            <w:r>
              <w:rPr>
                <w:rFonts w:hint="eastAsia" w:ascii="仿宋_GB2312" w:hAnsi="仿宋" w:eastAsia="仿宋_GB2312" w:cs="仿宋"/>
                <w:kern w:val="0"/>
                <w:sz w:val="24"/>
              </w:rPr>
              <w:t>是否接受</w:t>
            </w:r>
          </w:p>
          <w:p>
            <w:pPr>
              <w:jc w:val="center"/>
              <w:rPr>
                <w:rFonts w:ascii="仿宋_GB2312" w:hAnsi="仿宋" w:eastAsia="仿宋_GB2312" w:cs="仿宋"/>
                <w:color w:val="FF0000"/>
                <w:sz w:val="24"/>
                <w:highlight w:val="yellow"/>
              </w:rPr>
            </w:pPr>
            <w:r>
              <w:rPr>
                <w:rFonts w:hint="eastAsia" w:ascii="仿宋_GB2312" w:hAnsi="仿宋" w:eastAsia="仿宋_GB2312" w:cs="仿宋"/>
                <w:kern w:val="0"/>
                <w:sz w:val="24"/>
              </w:rPr>
              <w:t>联合体投标</w:t>
            </w:r>
          </w:p>
        </w:tc>
        <w:tc>
          <w:tcPr>
            <w:tcW w:w="6946" w:type="dxa"/>
            <w:tcBorders>
              <w:tl2br w:val="nil"/>
              <w:tr2bl w:val="nil"/>
            </w:tcBorders>
            <w:vAlign w:val="center"/>
          </w:tcPr>
          <w:p>
            <w:pPr>
              <w:autoSpaceDE w:val="0"/>
              <w:autoSpaceDN w:val="0"/>
              <w:adjustRightInd w:val="0"/>
              <w:snapToGrid w:val="0"/>
              <w:ind w:firstLine="120" w:firstLineChars="50"/>
              <w:rPr>
                <w:rFonts w:ascii="仿宋_GB2312" w:hAnsi="仿宋" w:eastAsia="仿宋_GB2312" w:cs="仿宋"/>
                <w:color w:val="000000" w:themeColor="text1"/>
                <w:sz w:val="24"/>
                <w:highlight w:val="yellow"/>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sym w:font="Wingdings 2" w:char="F052"/>
            </w:r>
            <w:r>
              <w:rPr>
                <w:rFonts w:hint="eastAsia" w:ascii="仿宋_GB2312" w:hAnsi="仿宋" w:eastAsia="仿宋_GB2312" w:cs="仿宋"/>
                <w:color w:val="000000" w:themeColor="text1"/>
                <w:kern w:val="0"/>
                <w:sz w:val="24"/>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不接受</w:t>
            </w:r>
          </w:p>
        </w:tc>
        <w:tc>
          <w:tcPr>
            <w:tcW w:w="668" w:type="dxa"/>
            <w:tcBorders>
              <w:tl2br w:val="nil"/>
              <w:tr2bl w:val="nil"/>
            </w:tcBorders>
            <w:vAlign w:val="center"/>
          </w:tcPr>
          <w:p>
            <w:pPr>
              <w:jc w:val="center"/>
              <w:rPr>
                <w:rFonts w:ascii="仿宋_GB2312" w:hAnsi="仿宋" w:eastAsia="仿宋_GB2312" w:cs="仿宋"/>
                <w:sz w:val="24"/>
              </w:rPr>
            </w:pPr>
            <w:r>
              <w:rPr>
                <w:rFonts w:hint="eastAsia" w:ascii="仿宋_GB2312" w:hAnsi="仿宋" w:eastAsia="仿宋_GB2312" w:cs="仿宋"/>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30" w:hRule="atLeast"/>
          <w:tblCellSpacing w:w="0" w:type="dxa"/>
          <w:jc w:val="center"/>
        </w:trPr>
        <w:tc>
          <w:tcPr>
            <w:tcW w:w="649" w:type="dxa"/>
            <w:tcBorders>
              <w:tl2br w:val="nil"/>
              <w:tr2bl w:val="nil"/>
            </w:tcBorders>
            <w:vAlign w:val="center"/>
          </w:tcPr>
          <w:p>
            <w:pPr>
              <w:jc w:val="center"/>
              <w:rPr>
                <w:rFonts w:ascii="仿宋_GB2312" w:hAnsi="仿宋" w:eastAsia="仿宋_GB2312" w:cs="仿宋"/>
                <w:sz w:val="24"/>
              </w:rPr>
            </w:pPr>
            <w:r>
              <w:rPr>
                <w:rFonts w:hint="eastAsia" w:ascii="仿宋_GB2312" w:hAnsi="仿宋" w:eastAsia="仿宋_GB2312" w:cs="仿宋"/>
                <w:sz w:val="24"/>
              </w:rPr>
              <w:t>7</w:t>
            </w:r>
          </w:p>
        </w:tc>
        <w:tc>
          <w:tcPr>
            <w:tcW w:w="1437" w:type="dxa"/>
            <w:tcBorders>
              <w:tl2br w:val="nil"/>
              <w:tr2bl w:val="nil"/>
            </w:tcBorders>
            <w:vAlign w:val="center"/>
          </w:tcPr>
          <w:p>
            <w:pPr>
              <w:jc w:val="center"/>
              <w:rPr>
                <w:rFonts w:ascii="仿宋_GB2312" w:hAnsi="仿宋" w:eastAsia="仿宋_GB2312" w:cs="仿宋"/>
                <w:sz w:val="24"/>
              </w:rPr>
            </w:pPr>
            <w:r>
              <w:rPr>
                <w:rFonts w:hint="eastAsia" w:ascii="仿宋_GB2312" w:hAnsi="仿宋" w:eastAsia="仿宋_GB2312" w:cs="仿宋"/>
                <w:sz w:val="24"/>
              </w:rPr>
              <w:t>现场踏勘</w:t>
            </w:r>
          </w:p>
        </w:tc>
        <w:tc>
          <w:tcPr>
            <w:tcW w:w="6946" w:type="dxa"/>
            <w:tcBorders>
              <w:tl2br w:val="nil"/>
              <w:tr2bl w:val="nil"/>
            </w:tcBorders>
            <w:vAlign w:val="center"/>
          </w:tcPr>
          <w:p>
            <w:pPr>
              <w:adjustRightInd w:val="0"/>
              <w:snapToGrid w:val="0"/>
              <w:spacing w:line="360" w:lineRule="auto"/>
              <w:ind w:firstLine="120" w:firstLineChars="50"/>
              <w:rPr>
                <w:rFonts w:ascii="仿宋_GB2312" w:hAnsi="仿宋" w:eastAsia="仿宋_GB2312" w:cs="仿宋"/>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sym w:font="Wingdings 2" w:char="0052"/>
            </w:r>
            <w:r>
              <w:rPr>
                <w:rFonts w:hint="eastAsia" w:ascii="仿宋_GB2312" w:hAnsi="仿宋" w:eastAsia="仿宋_GB2312" w:cs="仿宋"/>
                <w:color w:val="000000" w:themeColor="text1"/>
                <w:sz w:val="24"/>
                <w14:textFill>
                  <w14:solidFill>
                    <w14:schemeClr w14:val="tx1"/>
                  </w14:solidFill>
                </w14:textFill>
              </w:rPr>
              <w:t>不组织。可自行踏勘。</w:t>
            </w:r>
          </w:p>
        </w:tc>
        <w:tc>
          <w:tcPr>
            <w:tcW w:w="668" w:type="dxa"/>
            <w:tcBorders>
              <w:tl2br w:val="nil"/>
              <w:tr2bl w:val="nil"/>
            </w:tcBorders>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不可偏离</w:t>
            </w:r>
          </w:p>
        </w:tc>
      </w:tr>
      <w:bookmarkEnd w:id="40"/>
    </w:tbl>
    <w:p>
      <w:pPr>
        <w:adjustRightInd w:val="0"/>
        <w:snapToGrid w:val="0"/>
        <w:spacing w:before="60" w:after="240" w:line="360" w:lineRule="auto"/>
        <w:jc w:val="left"/>
        <w:outlineLvl w:val="1"/>
        <w:rPr>
          <w:rFonts w:ascii="仿宋_GB2312" w:hAnsi="仿宋" w:eastAsia="仿宋_GB2312" w:cs="仿宋"/>
          <w:b/>
          <w:sz w:val="24"/>
        </w:rPr>
      </w:pPr>
    </w:p>
    <w:p>
      <w:pPr>
        <w:adjustRightInd w:val="0"/>
        <w:snapToGrid w:val="0"/>
        <w:spacing w:before="60" w:after="240" w:line="360" w:lineRule="auto"/>
        <w:jc w:val="left"/>
        <w:outlineLvl w:val="1"/>
        <w:rPr>
          <w:rFonts w:ascii="仿宋_GB2312" w:hAnsi="仿宋" w:eastAsia="仿宋_GB2312" w:cs="仿宋"/>
          <w:b/>
          <w:sz w:val="24"/>
        </w:rPr>
      </w:pPr>
      <w:bookmarkStart w:id="45" w:name="_Toc85808696"/>
      <w:bookmarkStart w:id="46" w:name="_Toc19739"/>
      <w:r>
        <w:rPr>
          <w:rFonts w:hint="eastAsia" w:ascii="仿宋_GB2312" w:hAnsi="仿宋" w:eastAsia="仿宋_GB2312" w:cs="仿宋"/>
          <w:b/>
          <w:sz w:val="24"/>
        </w:rPr>
        <w:t>二、技术（服务）需求</w:t>
      </w:r>
      <w:bookmarkEnd w:id="45"/>
      <w:bookmarkEnd w:id="46"/>
    </w:p>
    <w:tbl>
      <w:tblPr>
        <w:tblStyle w:val="35"/>
        <w:tblW w:w="9700"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628"/>
        <w:gridCol w:w="1432"/>
        <w:gridCol w:w="6946"/>
        <w:gridCol w:w="694"/>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759" w:hRule="atLeast"/>
          <w:tblCellSpacing w:w="0" w:type="dxa"/>
          <w:jc w:val="center"/>
        </w:trPr>
        <w:tc>
          <w:tcPr>
            <w:tcW w:w="628" w:type="dxa"/>
            <w:tcBorders>
              <w:tl2br w:val="nil"/>
              <w:tr2bl w:val="nil"/>
            </w:tcBorders>
            <w:shd w:val="clear" w:color="auto" w:fill="EEEEEE"/>
            <w:vAlign w:val="center"/>
          </w:tcPr>
          <w:p>
            <w:pPr>
              <w:adjustRightInd w:val="0"/>
              <w:snapToGrid w:val="0"/>
              <w:spacing w:line="360" w:lineRule="auto"/>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序号</w:t>
            </w:r>
          </w:p>
        </w:tc>
        <w:tc>
          <w:tcPr>
            <w:tcW w:w="1432" w:type="dxa"/>
            <w:tcBorders>
              <w:tl2br w:val="nil"/>
              <w:tr2bl w:val="nil"/>
            </w:tcBorders>
            <w:shd w:val="clear" w:color="auto" w:fill="EEEEEE"/>
            <w:vAlign w:val="center"/>
          </w:tcPr>
          <w:p>
            <w:pPr>
              <w:adjustRightInd w:val="0"/>
              <w:snapToGrid w:val="0"/>
              <w:spacing w:line="360" w:lineRule="auto"/>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需求名称</w:t>
            </w:r>
          </w:p>
        </w:tc>
        <w:tc>
          <w:tcPr>
            <w:tcW w:w="6946" w:type="dxa"/>
            <w:tcBorders>
              <w:tl2br w:val="nil"/>
              <w:tr2bl w:val="nil"/>
            </w:tcBorders>
            <w:shd w:val="clear" w:color="auto" w:fill="EEEEEE"/>
            <w:vAlign w:val="center"/>
          </w:tcPr>
          <w:p>
            <w:pPr>
              <w:adjustRightInd w:val="0"/>
              <w:snapToGrid w:val="0"/>
              <w:spacing w:line="360" w:lineRule="auto"/>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需求说明</w:t>
            </w:r>
          </w:p>
        </w:tc>
        <w:tc>
          <w:tcPr>
            <w:tcW w:w="694" w:type="dxa"/>
            <w:tcBorders>
              <w:tl2br w:val="nil"/>
              <w:tr2bl w:val="nil"/>
            </w:tcBorders>
            <w:shd w:val="clear" w:color="auto" w:fill="EEEEEE"/>
            <w:vAlign w:val="center"/>
          </w:tcPr>
          <w:p>
            <w:pPr>
              <w:adjustRightInd w:val="0"/>
              <w:snapToGrid w:val="0"/>
              <w:spacing w:line="360" w:lineRule="auto"/>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828" w:hRule="atLeast"/>
          <w:tblCellSpacing w:w="0" w:type="dxa"/>
          <w:jc w:val="center"/>
        </w:trPr>
        <w:tc>
          <w:tcPr>
            <w:tcW w:w="628"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1</w:t>
            </w:r>
          </w:p>
        </w:tc>
        <w:tc>
          <w:tcPr>
            <w:tcW w:w="1432"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设计要求</w:t>
            </w:r>
          </w:p>
        </w:tc>
        <w:tc>
          <w:tcPr>
            <w:tcW w:w="6946" w:type="dxa"/>
            <w:tcBorders>
              <w:tl2br w:val="nil"/>
              <w:tr2bl w:val="nil"/>
            </w:tcBorders>
            <w:vAlign w:val="center"/>
          </w:tcPr>
          <w:p>
            <w:pPr>
              <w:pStyle w:val="51"/>
              <w:numPr>
                <w:ilvl w:val="0"/>
                <w:numId w:val="9"/>
              </w:numPr>
              <w:ind w:firstLineChars="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所有设计项目不可偏离《高交会视觉识别系统（2021版）》的规范与风格；</w:t>
            </w:r>
          </w:p>
          <w:p>
            <w:pPr>
              <w:pStyle w:val="51"/>
              <w:numPr>
                <w:ilvl w:val="0"/>
                <w:numId w:val="9"/>
              </w:numPr>
              <w:ind w:firstLineChars="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按第二十四届高交会的要求及特点进行设计；</w:t>
            </w:r>
          </w:p>
          <w:p>
            <w:pPr>
              <w:pStyle w:val="51"/>
              <w:numPr>
                <w:ilvl w:val="0"/>
                <w:numId w:val="9"/>
              </w:numPr>
              <w:ind w:firstLineChars="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设计避免雷同，不得抄袭，其应用设计部分要充分考虑材料可替换性的同时，结合第二十四届高交会展览场地现场，做到以人为本，规范清晰、应用合理、引人注目，给参会者获得耳目一新的感觉。</w:t>
            </w:r>
          </w:p>
        </w:tc>
        <w:tc>
          <w:tcPr>
            <w:tcW w:w="694"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713" w:hRule="atLeast"/>
          <w:tblCellSpacing w:w="0" w:type="dxa"/>
          <w:jc w:val="center"/>
        </w:trPr>
        <w:tc>
          <w:tcPr>
            <w:tcW w:w="628"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2</w:t>
            </w:r>
          </w:p>
        </w:tc>
        <w:tc>
          <w:tcPr>
            <w:tcW w:w="1432"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设计内容</w:t>
            </w:r>
          </w:p>
        </w:tc>
        <w:tc>
          <w:tcPr>
            <w:tcW w:w="6946" w:type="dxa"/>
            <w:tcBorders>
              <w:tl2br w:val="nil"/>
              <w:tr2bl w:val="nil"/>
            </w:tcBorders>
            <w:vAlign w:val="center"/>
          </w:tcPr>
          <w:p>
            <w:pPr>
              <w:pStyle w:val="51"/>
              <w:widowControl/>
              <w:numPr>
                <w:ilvl w:val="0"/>
                <w:numId w:val="10"/>
              </w:numPr>
              <w:ind w:firstLineChars="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设计第二十四届高交会展会辅助图形（当届高交会展览形象主视觉），并详细规范延展应用设计标准；</w:t>
            </w:r>
          </w:p>
          <w:p>
            <w:pPr>
              <w:pStyle w:val="51"/>
              <w:widowControl/>
              <w:numPr>
                <w:ilvl w:val="0"/>
                <w:numId w:val="10"/>
              </w:numPr>
              <w:ind w:firstLineChars="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设计展会现场的展览形象、标识指示等延展应用设计示例，编制完成《第二十四届高交会视觉识别系统规范手册》，设计内容详见附件。</w:t>
            </w:r>
          </w:p>
        </w:tc>
        <w:tc>
          <w:tcPr>
            <w:tcW w:w="694" w:type="dxa"/>
            <w:tcBorders>
              <w:tl2br w:val="nil"/>
              <w:tr2bl w:val="nil"/>
            </w:tcBorders>
            <w:vAlign w:val="center"/>
          </w:tcPr>
          <w:p>
            <w:pPr>
              <w:widowControl/>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998" w:hRule="atLeast"/>
          <w:tblCellSpacing w:w="0" w:type="dxa"/>
          <w:jc w:val="center"/>
        </w:trPr>
        <w:tc>
          <w:tcPr>
            <w:tcW w:w="628"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3</w:t>
            </w:r>
          </w:p>
        </w:tc>
        <w:tc>
          <w:tcPr>
            <w:tcW w:w="1432"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时间要求</w:t>
            </w:r>
          </w:p>
        </w:tc>
        <w:tc>
          <w:tcPr>
            <w:tcW w:w="6946" w:type="dxa"/>
            <w:tcBorders>
              <w:tl2br w:val="nil"/>
              <w:tr2bl w:val="nil"/>
            </w:tcBorders>
            <w:vAlign w:val="center"/>
          </w:tcPr>
          <w:p>
            <w:pPr>
              <w:pStyle w:val="51"/>
              <w:widowControl/>
              <w:numPr>
                <w:ilvl w:val="0"/>
                <w:numId w:val="11"/>
              </w:numPr>
              <w:ind w:firstLineChars="0"/>
              <w:jc w:val="left"/>
              <w:rPr>
                <w:rFonts w:hint="eastAsia"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供方需在签署合同后5个工作日内提交第二十四届高交会展会辅助图形（当届高交会展览形象主视觉）的设计方案由采购人审定；</w:t>
            </w:r>
          </w:p>
          <w:p>
            <w:pPr>
              <w:pStyle w:val="51"/>
              <w:widowControl/>
              <w:numPr>
                <w:ilvl w:val="0"/>
                <w:numId w:val="11"/>
              </w:numPr>
              <w:ind w:firstLineChars="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签署合同后20个工作日内提交《第二十四届高交会视觉识别系统规范手册》的设计初稿文件；</w:t>
            </w:r>
          </w:p>
          <w:p>
            <w:pPr>
              <w:pStyle w:val="51"/>
              <w:widowControl/>
              <w:numPr>
                <w:ilvl w:val="0"/>
                <w:numId w:val="11"/>
              </w:numPr>
              <w:ind w:firstLineChars="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本项目所有设计项目最终完成时间为</w:t>
            </w:r>
            <w:r>
              <w:rPr>
                <w:rFonts w:hint="eastAsia" w:ascii="仿宋_GB2312" w:hAnsi="仿宋" w:eastAsia="仿宋_GB2312" w:cs="仿宋"/>
                <w:color w:val="auto"/>
                <w:sz w:val="24"/>
              </w:rPr>
              <w:t>2022年8月10日前</w:t>
            </w:r>
            <w:r>
              <w:rPr>
                <w:rFonts w:hint="eastAsia" w:ascii="仿宋_GB2312" w:hAnsi="仿宋" w:eastAsia="仿宋_GB2312" w:cs="仿宋"/>
                <w:color w:val="000000" w:themeColor="text1"/>
                <w:sz w:val="24"/>
                <w14:textFill>
                  <w14:solidFill>
                    <w14:schemeClr w14:val="tx1"/>
                  </w14:solidFill>
                </w14:textFill>
              </w:rPr>
              <w:t>。</w:t>
            </w:r>
          </w:p>
        </w:tc>
        <w:tc>
          <w:tcPr>
            <w:tcW w:w="694" w:type="dxa"/>
            <w:tcBorders>
              <w:tl2br w:val="nil"/>
              <w:tr2bl w:val="nil"/>
            </w:tcBorders>
            <w:vAlign w:val="center"/>
          </w:tcPr>
          <w:p>
            <w:pPr>
              <w:widowControl/>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910" w:hRule="atLeast"/>
          <w:tblCellSpacing w:w="0" w:type="dxa"/>
          <w:jc w:val="center"/>
        </w:trPr>
        <w:tc>
          <w:tcPr>
            <w:tcW w:w="628"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4</w:t>
            </w:r>
          </w:p>
        </w:tc>
        <w:tc>
          <w:tcPr>
            <w:tcW w:w="1432" w:type="dxa"/>
            <w:tcBorders>
              <w:tl2br w:val="nil"/>
              <w:tr2bl w:val="nil"/>
            </w:tcBorders>
            <w:vAlign w:val="center"/>
          </w:tcPr>
          <w:p>
            <w:pPr>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项目交付</w:t>
            </w:r>
          </w:p>
        </w:tc>
        <w:tc>
          <w:tcPr>
            <w:tcW w:w="6946" w:type="dxa"/>
            <w:tcBorders>
              <w:tl2br w:val="nil"/>
              <w:tr2bl w:val="nil"/>
            </w:tcBorders>
            <w:vAlign w:val="center"/>
          </w:tcPr>
          <w:p>
            <w:pPr>
              <w:pStyle w:val="51"/>
              <w:widowControl/>
              <w:numPr>
                <w:ilvl w:val="0"/>
                <w:numId w:val="12"/>
              </w:numPr>
              <w:ind w:firstLineChars="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供方须以原始矢量设计电子文档（CDR或AI格式）和PDF格式提交终稿手册文件；</w:t>
            </w:r>
          </w:p>
          <w:p>
            <w:pPr>
              <w:pStyle w:val="51"/>
              <w:widowControl/>
              <w:numPr>
                <w:ilvl w:val="0"/>
                <w:numId w:val="12"/>
              </w:numPr>
              <w:ind w:firstLineChars="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终稿手册须提交5份印刷成品资料。</w:t>
            </w:r>
          </w:p>
        </w:tc>
        <w:tc>
          <w:tcPr>
            <w:tcW w:w="694" w:type="dxa"/>
            <w:tcBorders>
              <w:tl2br w:val="nil"/>
              <w:tr2bl w:val="nil"/>
            </w:tcBorders>
            <w:vAlign w:val="center"/>
          </w:tcPr>
          <w:p>
            <w:pPr>
              <w:widowControl/>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721" w:hRule="atLeast"/>
          <w:tblCellSpacing w:w="0" w:type="dxa"/>
          <w:jc w:val="center"/>
        </w:trPr>
        <w:tc>
          <w:tcPr>
            <w:tcW w:w="628" w:type="dxa"/>
            <w:tcBorders>
              <w:tl2br w:val="nil"/>
              <w:tr2bl w:val="nil"/>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432" w:type="dxa"/>
            <w:tcBorders>
              <w:tl2br w:val="nil"/>
              <w:tr2bl w:val="nil"/>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版权归属</w:t>
            </w:r>
          </w:p>
        </w:tc>
        <w:tc>
          <w:tcPr>
            <w:tcW w:w="6946" w:type="dxa"/>
            <w:tcBorders>
              <w:tl2br w:val="nil"/>
              <w:tr2bl w:val="nil"/>
            </w:tcBorders>
            <w:vAlign w:val="center"/>
          </w:tcPr>
          <w:p>
            <w:pPr>
              <w:pStyle w:val="51"/>
              <w:widowControl/>
              <w:numPr>
                <w:ilvl w:val="0"/>
                <w:numId w:val="13"/>
              </w:numPr>
              <w:ind w:firstLineChars="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本项目的设计成果版权归深圳会展中心管理有限责任公司所有；</w:t>
            </w:r>
          </w:p>
          <w:p>
            <w:pPr>
              <w:pStyle w:val="51"/>
              <w:widowControl/>
              <w:numPr>
                <w:ilvl w:val="0"/>
                <w:numId w:val="13"/>
              </w:numPr>
              <w:ind w:firstLineChars="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供方必须对设计成果拥有原创性，不得有模仿、抄袭等侵权行为，如果因此所带来的法律责任和造成的损失均由供方承担，与采购人无关。因此给采购人造成损失的，由供方全部承担并赔偿采购人损失。</w:t>
            </w:r>
          </w:p>
        </w:tc>
        <w:tc>
          <w:tcPr>
            <w:tcW w:w="694" w:type="dxa"/>
            <w:tcBorders>
              <w:tl2br w:val="nil"/>
              <w:tr2bl w:val="nil"/>
            </w:tcBorders>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不可偏离</w:t>
            </w:r>
          </w:p>
        </w:tc>
      </w:tr>
    </w:tbl>
    <w:p>
      <w:pPr>
        <w:adjustRightInd w:val="0"/>
        <w:snapToGrid w:val="0"/>
        <w:spacing w:before="60" w:after="240" w:line="400" w:lineRule="exact"/>
        <w:jc w:val="center"/>
        <w:outlineLvl w:val="1"/>
        <w:rPr>
          <w:rFonts w:ascii="仿宋" w:hAnsi="仿宋" w:eastAsia="仿宋" w:cs="仿宋"/>
          <w:b/>
          <w:color w:val="000000"/>
          <w:sz w:val="24"/>
        </w:rPr>
      </w:pPr>
      <w:r>
        <w:rPr>
          <w:rFonts w:hint="eastAsia" w:ascii="仿宋" w:hAnsi="仿宋" w:eastAsia="仿宋" w:cs="仿宋"/>
          <w:b/>
          <w:sz w:val="24"/>
        </w:rPr>
        <w:br w:type="page"/>
      </w:r>
      <w:bookmarkStart w:id="47" w:name="_Toc85808697"/>
      <w:bookmarkStart w:id="48" w:name="_Toc236803065"/>
      <w:bookmarkStart w:id="49" w:name="_Toc6279"/>
      <w:r>
        <w:rPr>
          <w:rFonts w:hint="eastAsia" w:ascii="仿宋" w:hAnsi="仿宋" w:eastAsia="仿宋" w:cs="仿宋"/>
          <w:b/>
          <w:color w:val="000000"/>
          <w:sz w:val="24"/>
        </w:rPr>
        <w:t>第三部分 谈判流程</w:t>
      </w:r>
      <w:bookmarkEnd w:id="47"/>
      <w:bookmarkEnd w:id="48"/>
      <w:bookmarkEnd w:id="49"/>
    </w:p>
    <w:p>
      <w:pPr>
        <w:pStyle w:val="51"/>
        <w:numPr>
          <w:ilvl w:val="0"/>
          <w:numId w:val="14"/>
        </w:numPr>
        <w:tabs>
          <w:tab w:val="left" w:pos="851"/>
        </w:tabs>
        <w:spacing w:line="360" w:lineRule="auto"/>
        <w:ind w:left="851" w:hanging="709" w:firstLineChars="0"/>
        <w:rPr>
          <w:rFonts w:ascii="仿宋" w:hAnsi="仿宋" w:eastAsia="仿宋" w:cs="仿宋"/>
          <w:b/>
          <w:bCs/>
          <w:sz w:val="24"/>
        </w:rPr>
      </w:pPr>
      <w:bookmarkStart w:id="50" w:name="_Toc463511306"/>
      <w:bookmarkStart w:id="51" w:name="_Toc463511219"/>
      <w:bookmarkStart w:id="52" w:name="_Toc463511446"/>
      <w:bookmarkStart w:id="53" w:name="_Toc236803108"/>
      <w:bookmarkStart w:id="54" w:name="_Toc211243313"/>
      <w:r>
        <w:rPr>
          <w:rFonts w:hint="eastAsia" w:ascii="仿宋" w:hAnsi="仿宋" w:eastAsia="仿宋" w:cs="仿宋"/>
          <w:b/>
          <w:bCs/>
          <w:sz w:val="24"/>
        </w:rPr>
        <w:t>供方按要求准时进入视频会议室；</w:t>
      </w:r>
    </w:p>
    <w:p>
      <w:pPr>
        <w:pStyle w:val="51"/>
        <w:numPr>
          <w:ilvl w:val="0"/>
          <w:numId w:val="14"/>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供方按时发送响应文件密码至指定地址；</w:t>
      </w:r>
    </w:p>
    <w:p>
      <w:pPr>
        <w:pStyle w:val="51"/>
        <w:numPr>
          <w:ilvl w:val="0"/>
          <w:numId w:val="14"/>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宣布采购谈判开始，宣读谈判注意事项、流程；</w:t>
      </w:r>
    </w:p>
    <w:p>
      <w:pPr>
        <w:pStyle w:val="51"/>
        <w:numPr>
          <w:ilvl w:val="0"/>
          <w:numId w:val="14"/>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谈判小组推选组长主持谈判；</w:t>
      </w:r>
    </w:p>
    <w:p>
      <w:pPr>
        <w:pStyle w:val="51"/>
        <w:numPr>
          <w:ilvl w:val="0"/>
          <w:numId w:val="14"/>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采购联系人对供方响应文件解密。响应文件解密成功供方进入等待状态（请勿擅离会议视频可视范围）；</w:t>
      </w:r>
    </w:p>
    <w:p>
      <w:pPr>
        <w:pStyle w:val="51"/>
        <w:numPr>
          <w:ilvl w:val="0"/>
          <w:numId w:val="14"/>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响应文件的完整性检验和供方基本情况的符合性审查；</w:t>
      </w:r>
    </w:p>
    <w:p>
      <w:pPr>
        <w:pStyle w:val="51"/>
        <w:numPr>
          <w:ilvl w:val="0"/>
          <w:numId w:val="14"/>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商务及技术需求响应性评定；</w:t>
      </w:r>
    </w:p>
    <w:p>
      <w:pPr>
        <w:pStyle w:val="51"/>
        <w:numPr>
          <w:ilvl w:val="0"/>
          <w:numId w:val="14"/>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供方作项目的讲解和演示，以及现场回答谈判小组成员的提问；</w:t>
      </w:r>
    </w:p>
    <w:p>
      <w:pPr>
        <w:pStyle w:val="51"/>
        <w:numPr>
          <w:ilvl w:val="0"/>
          <w:numId w:val="14"/>
        </w:numPr>
        <w:tabs>
          <w:tab w:val="left" w:pos="851"/>
          <w:tab w:val="left" w:pos="993"/>
        </w:tabs>
        <w:spacing w:line="360" w:lineRule="auto"/>
        <w:ind w:left="851" w:hanging="709" w:firstLineChars="0"/>
        <w:rPr>
          <w:rFonts w:ascii="仿宋" w:hAnsi="仿宋" w:eastAsia="仿宋" w:cs="仿宋"/>
          <w:sz w:val="24"/>
        </w:rPr>
      </w:pPr>
      <w:r>
        <w:rPr>
          <w:rFonts w:hint="eastAsia" w:ascii="仿宋" w:hAnsi="仿宋" w:eastAsia="仿宋" w:cs="仿宋"/>
          <w:sz w:val="24"/>
        </w:rPr>
        <w:t>供方提供现场承诺书（含最终报价），</w:t>
      </w:r>
      <w:bookmarkStart w:id="55" w:name="_Hlk45697410"/>
      <w:r>
        <w:rPr>
          <w:rFonts w:hint="eastAsia" w:ascii="仿宋" w:hAnsi="仿宋" w:eastAsia="仿宋" w:cs="仿宋"/>
          <w:b/>
          <w:bCs/>
          <w:sz w:val="24"/>
        </w:rPr>
        <w:t>并按要求签名或盖章后将扫描件上传至采购人</w:t>
      </w:r>
      <w:bookmarkEnd w:id="55"/>
      <w:r>
        <w:rPr>
          <w:rFonts w:hint="eastAsia" w:ascii="仿宋" w:hAnsi="仿宋" w:eastAsia="仿宋" w:cs="仿宋"/>
          <w:b/>
          <w:bCs/>
          <w:sz w:val="24"/>
        </w:rPr>
        <w:t>指定地址</w:t>
      </w:r>
      <w:r>
        <w:rPr>
          <w:rFonts w:hint="eastAsia" w:ascii="仿宋" w:hAnsi="仿宋" w:eastAsia="仿宋" w:cs="仿宋"/>
          <w:sz w:val="24"/>
        </w:rPr>
        <w:t>；</w:t>
      </w:r>
    </w:p>
    <w:p>
      <w:pPr>
        <w:pStyle w:val="51"/>
        <w:numPr>
          <w:ilvl w:val="0"/>
          <w:numId w:val="14"/>
        </w:numPr>
        <w:tabs>
          <w:tab w:val="left" w:pos="851"/>
          <w:tab w:val="left" w:pos="993"/>
        </w:tabs>
        <w:spacing w:line="360" w:lineRule="auto"/>
        <w:ind w:left="851" w:hanging="709" w:firstLineChars="0"/>
        <w:rPr>
          <w:rFonts w:ascii="仿宋" w:hAnsi="仿宋" w:eastAsia="仿宋" w:cs="仿宋"/>
          <w:sz w:val="24"/>
        </w:rPr>
      </w:pPr>
      <w:r>
        <w:rPr>
          <w:rFonts w:hint="eastAsia" w:ascii="仿宋" w:hAnsi="仿宋" w:eastAsia="仿宋" w:cs="仿宋"/>
          <w:sz w:val="24"/>
        </w:rPr>
        <w:t>双方就相关内容商谈并确认；</w:t>
      </w:r>
    </w:p>
    <w:p>
      <w:pPr>
        <w:pStyle w:val="51"/>
        <w:numPr>
          <w:ilvl w:val="0"/>
          <w:numId w:val="14"/>
        </w:numPr>
        <w:tabs>
          <w:tab w:val="left" w:pos="851"/>
          <w:tab w:val="left" w:pos="993"/>
        </w:tabs>
        <w:spacing w:line="360" w:lineRule="auto"/>
        <w:ind w:left="851" w:hanging="709" w:firstLineChars="0"/>
        <w:rPr>
          <w:rFonts w:ascii="仿宋" w:hAnsi="仿宋" w:eastAsia="仿宋" w:cs="仿宋"/>
          <w:b/>
          <w:color w:val="000000"/>
          <w:sz w:val="24"/>
        </w:rPr>
      </w:pPr>
      <w:r>
        <w:rPr>
          <w:rFonts w:hint="eastAsia" w:ascii="仿宋" w:hAnsi="仿宋" w:eastAsia="仿宋" w:cs="仿宋"/>
          <w:sz w:val="24"/>
        </w:rPr>
        <w:t>本项目“谈判报告”的出具。</w:t>
      </w:r>
      <w:bookmarkEnd w:id="50"/>
      <w:bookmarkEnd w:id="51"/>
      <w:bookmarkEnd w:id="52"/>
    </w:p>
    <w:p>
      <w:pPr>
        <w:pStyle w:val="33"/>
        <w:adjustRightInd w:val="0"/>
        <w:snapToGrid w:val="0"/>
        <w:spacing w:before="120" w:after="240" w:line="400" w:lineRule="exact"/>
        <w:rPr>
          <w:rFonts w:ascii="仿宋" w:hAnsi="仿宋" w:eastAsia="仿宋" w:cs="仿宋"/>
          <w:color w:val="000000"/>
          <w:sz w:val="24"/>
          <w:szCs w:val="24"/>
        </w:rPr>
      </w:pPr>
    </w:p>
    <w:p>
      <w:pPr>
        <w:pStyle w:val="33"/>
        <w:adjustRightInd w:val="0"/>
        <w:snapToGrid w:val="0"/>
        <w:spacing w:before="120" w:after="240" w:line="400" w:lineRule="exact"/>
        <w:rPr>
          <w:rFonts w:ascii="仿宋" w:hAnsi="仿宋" w:eastAsia="仿宋" w:cs="仿宋"/>
          <w:color w:val="000000"/>
          <w:sz w:val="24"/>
          <w:szCs w:val="24"/>
        </w:rPr>
      </w:pPr>
    </w:p>
    <w:p>
      <w:pPr>
        <w:pStyle w:val="33"/>
        <w:adjustRightInd w:val="0"/>
        <w:snapToGrid w:val="0"/>
        <w:spacing w:before="120" w:after="240" w:line="400" w:lineRule="exact"/>
        <w:rPr>
          <w:rFonts w:ascii="仿宋" w:hAnsi="仿宋" w:eastAsia="仿宋" w:cs="仿宋"/>
          <w:color w:val="000000"/>
          <w:sz w:val="24"/>
          <w:szCs w:val="24"/>
        </w:rPr>
      </w:pPr>
    </w:p>
    <w:p>
      <w:pPr>
        <w:widowControl/>
        <w:jc w:val="left"/>
        <w:rPr>
          <w:rFonts w:ascii="仿宋" w:hAnsi="仿宋" w:eastAsia="仿宋" w:cs="仿宋"/>
          <w:b/>
          <w:bCs/>
          <w:color w:val="000000"/>
          <w:sz w:val="24"/>
        </w:rPr>
      </w:pPr>
      <w:r>
        <w:rPr>
          <w:rFonts w:hint="eastAsia" w:ascii="仿宋" w:hAnsi="仿宋" w:eastAsia="仿宋" w:cs="仿宋"/>
          <w:color w:val="000000"/>
          <w:sz w:val="24"/>
        </w:rPr>
        <w:br w:type="page"/>
      </w:r>
    </w:p>
    <w:p>
      <w:pPr>
        <w:pStyle w:val="33"/>
        <w:adjustRightInd w:val="0"/>
        <w:snapToGrid w:val="0"/>
        <w:spacing w:before="120" w:after="240" w:line="400" w:lineRule="exact"/>
        <w:rPr>
          <w:rFonts w:ascii="仿宋" w:hAnsi="仿宋" w:eastAsia="仿宋" w:cs="仿宋"/>
          <w:color w:val="000000"/>
          <w:sz w:val="24"/>
          <w:szCs w:val="24"/>
        </w:rPr>
      </w:pPr>
      <w:bookmarkStart w:id="56" w:name="_Toc21064"/>
      <w:bookmarkStart w:id="57" w:name="_Toc85808698"/>
      <w:r>
        <w:rPr>
          <w:rFonts w:hint="eastAsia" w:ascii="仿宋" w:hAnsi="仿宋" w:eastAsia="仿宋" w:cs="仿宋"/>
          <w:color w:val="000000"/>
          <w:sz w:val="24"/>
          <w:szCs w:val="24"/>
        </w:rPr>
        <w:t xml:space="preserve">第四部分 </w:t>
      </w:r>
      <w:bookmarkEnd w:id="53"/>
      <w:bookmarkEnd w:id="54"/>
      <w:r>
        <w:rPr>
          <w:rFonts w:hint="eastAsia" w:ascii="仿宋" w:hAnsi="仿宋" w:eastAsia="仿宋" w:cs="仿宋"/>
          <w:color w:val="000000"/>
          <w:sz w:val="24"/>
          <w:szCs w:val="24"/>
        </w:rPr>
        <w:t>供方应递交的报价清单和响应文件</w:t>
      </w:r>
      <w:bookmarkEnd w:id="56"/>
      <w:bookmarkEnd w:id="57"/>
    </w:p>
    <w:p>
      <w:pPr>
        <w:spacing w:beforeLines="50" w:line="360" w:lineRule="auto"/>
        <w:ind w:firstLine="480" w:firstLineChars="200"/>
        <w:rPr>
          <w:rFonts w:ascii="仿宋" w:hAnsi="仿宋" w:eastAsia="仿宋" w:cs="仿宋"/>
          <w:sz w:val="24"/>
        </w:rPr>
      </w:pPr>
      <w:r>
        <w:rPr>
          <w:rFonts w:hint="eastAsia" w:ascii="仿宋" w:hAnsi="仿宋" w:eastAsia="仿宋" w:cs="仿宋"/>
          <w:sz w:val="24"/>
        </w:rPr>
        <w:t>按第二部分要求提供的相应文件（</w:t>
      </w:r>
      <w:r>
        <w:rPr>
          <w:rFonts w:hint="eastAsia" w:ascii="仿宋" w:hAnsi="仿宋" w:eastAsia="仿宋" w:cs="仿宋"/>
          <w:bCs/>
          <w:sz w:val="24"/>
        </w:rPr>
        <w:t>包含但不仅限于</w:t>
      </w:r>
      <w:r>
        <w:rPr>
          <w:rFonts w:hint="eastAsia" w:ascii="仿宋" w:hAnsi="仿宋" w:eastAsia="仿宋" w:cs="仿宋"/>
          <w:sz w:val="24"/>
        </w:rPr>
        <w:t>商务、技术（服务）条款响应/偏离表，报价清单等），响应文件必须编制目录，一式两份（</w:t>
      </w:r>
      <w:r>
        <w:rPr>
          <w:rFonts w:hint="eastAsia" w:ascii="仿宋" w:hAnsi="仿宋" w:eastAsia="仿宋" w:cs="仿宋"/>
          <w:bCs/>
          <w:sz w:val="24"/>
        </w:rPr>
        <w:t>即一份为盖章扫描版、一份为可供搜索用的MS WORD电子版，两份内容需保持一致)</w:t>
      </w:r>
      <w:r>
        <w:rPr>
          <w:rFonts w:hint="eastAsia" w:ascii="仿宋" w:hAnsi="仿宋" w:eastAsia="仿宋" w:cs="仿宋"/>
          <w:sz w:val="24"/>
        </w:rPr>
        <w:t xml:space="preserve">。 </w:t>
      </w:r>
    </w:p>
    <w:p>
      <w:pPr>
        <w:spacing w:beforeLines="50" w:line="360" w:lineRule="auto"/>
        <w:ind w:firstLine="480" w:firstLineChars="200"/>
        <w:rPr>
          <w:rFonts w:ascii="仿宋" w:hAnsi="仿宋" w:eastAsia="仿宋" w:cs="仿宋"/>
          <w:sz w:val="24"/>
        </w:rPr>
      </w:pPr>
      <w:r>
        <w:rPr>
          <w:rFonts w:hint="eastAsia" w:ascii="仿宋" w:hAnsi="仿宋" w:eastAsia="仿宋" w:cs="仿宋"/>
          <w:bCs/>
          <w:sz w:val="24"/>
        </w:rPr>
        <w:t>响应文件参考清单（</w:t>
      </w:r>
      <w:r>
        <w:rPr>
          <w:rFonts w:hint="eastAsia" w:ascii="仿宋" w:hAnsi="仿宋" w:eastAsia="仿宋" w:cs="仿宋"/>
          <w:sz w:val="24"/>
        </w:rPr>
        <w:t>相关资料应包含但不仅限于以下内容</w:t>
      </w:r>
      <w:r>
        <w:rPr>
          <w:rFonts w:hint="eastAsia" w:ascii="仿宋" w:hAnsi="仿宋" w:eastAsia="仿宋" w:cs="仿宋"/>
          <w:bCs/>
          <w:sz w:val="24"/>
        </w:rPr>
        <w:t>，具体以项目要求为准，以下清单仅供参考</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bCs/>
          <w:sz w:val="24"/>
        </w:rPr>
        <w:t>主要谈判响应文件参考清单</w:t>
      </w:r>
      <w:r>
        <w:rPr>
          <w:rFonts w:hint="eastAsia" w:ascii="仿宋" w:hAnsi="仿宋" w:eastAsia="仿宋" w:cs="仿宋"/>
          <w:sz w:val="24"/>
        </w:rPr>
        <w:t xml:space="preserve">： </w:t>
      </w:r>
    </w:p>
    <w:p>
      <w:pPr>
        <w:numPr>
          <w:ilvl w:val="1"/>
          <w:numId w:val="15"/>
        </w:numPr>
        <w:spacing w:line="360" w:lineRule="auto"/>
        <w:ind w:left="397" w:firstLine="23"/>
        <w:rPr>
          <w:rFonts w:ascii="仿宋" w:hAnsi="仿宋" w:eastAsia="仿宋" w:cs="仿宋"/>
          <w:sz w:val="24"/>
        </w:rPr>
      </w:pPr>
      <w:r>
        <w:rPr>
          <w:rFonts w:hint="eastAsia" w:ascii="仿宋" w:hAnsi="仿宋" w:eastAsia="仿宋" w:cs="仿宋"/>
          <w:sz w:val="24"/>
        </w:rPr>
        <w:t>公司情况一览表；</w:t>
      </w:r>
    </w:p>
    <w:p>
      <w:pPr>
        <w:numPr>
          <w:ilvl w:val="1"/>
          <w:numId w:val="15"/>
        </w:numPr>
        <w:spacing w:line="360" w:lineRule="auto"/>
        <w:ind w:left="397" w:firstLine="23"/>
        <w:rPr>
          <w:rFonts w:ascii="仿宋" w:hAnsi="仿宋" w:eastAsia="仿宋" w:cs="仿宋"/>
          <w:sz w:val="24"/>
        </w:rPr>
      </w:pPr>
      <w:r>
        <w:rPr>
          <w:rFonts w:hint="eastAsia" w:ascii="仿宋" w:hAnsi="仿宋" w:eastAsia="仿宋" w:cs="仿宋"/>
          <w:sz w:val="24"/>
        </w:rPr>
        <w:t>提供企业营业执照（复印件加盖供方公章）；</w:t>
      </w:r>
    </w:p>
    <w:p>
      <w:pPr>
        <w:numPr>
          <w:ilvl w:val="1"/>
          <w:numId w:val="15"/>
        </w:numPr>
        <w:spacing w:line="360" w:lineRule="auto"/>
        <w:ind w:left="397" w:firstLine="23"/>
        <w:rPr>
          <w:rFonts w:ascii="仿宋" w:hAnsi="仿宋" w:eastAsia="仿宋" w:cs="仿宋"/>
          <w:sz w:val="24"/>
        </w:rPr>
      </w:pPr>
      <w:r>
        <w:rPr>
          <w:rFonts w:hint="eastAsia" w:ascii="仿宋" w:hAnsi="仿宋" w:eastAsia="仿宋" w:cs="仿宋"/>
          <w:sz w:val="24"/>
        </w:rPr>
        <w:t>国家企业信用信息公示系统（http://www.gsxt.gov.cn/）公示的企业信息打印件并加盖供方公章。；</w:t>
      </w:r>
    </w:p>
    <w:p>
      <w:pPr>
        <w:numPr>
          <w:ilvl w:val="1"/>
          <w:numId w:val="15"/>
        </w:numPr>
        <w:spacing w:line="360" w:lineRule="auto"/>
        <w:ind w:left="397" w:firstLine="23"/>
        <w:rPr>
          <w:rFonts w:ascii="仿宋" w:hAnsi="仿宋" w:eastAsia="仿宋" w:cs="仿宋"/>
          <w:sz w:val="24"/>
        </w:rPr>
      </w:pPr>
      <w:r>
        <w:rPr>
          <w:rFonts w:hint="eastAsia" w:ascii="仿宋" w:hAnsi="仿宋" w:eastAsia="仿宋" w:cs="仿宋"/>
          <w:sz w:val="24"/>
        </w:rPr>
        <w:t>法定代表人证明书（加盖公章）；</w:t>
      </w:r>
    </w:p>
    <w:p>
      <w:pPr>
        <w:numPr>
          <w:ilvl w:val="1"/>
          <w:numId w:val="15"/>
        </w:numPr>
        <w:spacing w:line="360" w:lineRule="auto"/>
        <w:ind w:left="397" w:firstLine="23"/>
        <w:rPr>
          <w:rFonts w:ascii="仿宋" w:hAnsi="仿宋" w:eastAsia="仿宋" w:cs="仿宋"/>
          <w:sz w:val="24"/>
        </w:rPr>
      </w:pPr>
      <w:r>
        <w:rPr>
          <w:rFonts w:hint="eastAsia" w:ascii="仿宋" w:hAnsi="仿宋" w:eastAsia="仿宋" w:cs="仿宋"/>
          <w:sz w:val="24"/>
        </w:rPr>
        <w:t>法人授权委托证明书（加盖公章）（如单位法定代表人为本项目授权代表，则仅提供法定代表人证明书及身份证复印件，身份证原件备查）；</w:t>
      </w:r>
    </w:p>
    <w:p>
      <w:pPr>
        <w:numPr>
          <w:ilvl w:val="1"/>
          <w:numId w:val="15"/>
        </w:numPr>
        <w:spacing w:line="360" w:lineRule="auto"/>
        <w:ind w:left="397" w:firstLine="23"/>
        <w:rPr>
          <w:rFonts w:ascii="仿宋" w:hAnsi="仿宋" w:eastAsia="仿宋" w:cs="仿宋"/>
          <w:sz w:val="24"/>
        </w:rPr>
      </w:pPr>
      <w:r>
        <w:rPr>
          <w:rFonts w:hint="eastAsia" w:ascii="仿宋" w:hAnsi="仿宋" w:eastAsia="仿宋" w:cs="仿宋"/>
          <w:sz w:val="24"/>
        </w:rPr>
        <w:t>商务条款响应/偏离表；</w:t>
      </w:r>
    </w:p>
    <w:p>
      <w:pPr>
        <w:numPr>
          <w:ilvl w:val="1"/>
          <w:numId w:val="15"/>
        </w:numPr>
        <w:spacing w:line="360" w:lineRule="auto"/>
        <w:ind w:left="397" w:firstLine="23"/>
        <w:rPr>
          <w:rFonts w:ascii="仿宋" w:hAnsi="仿宋" w:eastAsia="仿宋" w:cs="仿宋"/>
          <w:sz w:val="24"/>
        </w:rPr>
      </w:pPr>
      <w:r>
        <w:rPr>
          <w:rFonts w:hint="eastAsia" w:ascii="仿宋" w:hAnsi="仿宋" w:eastAsia="仿宋" w:cs="仿宋"/>
          <w:sz w:val="24"/>
        </w:rPr>
        <w:t>技术（服务）条款响应/偏离表；</w:t>
      </w:r>
    </w:p>
    <w:p>
      <w:pPr>
        <w:numPr>
          <w:ilvl w:val="1"/>
          <w:numId w:val="15"/>
        </w:numPr>
        <w:spacing w:line="360" w:lineRule="auto"/>
        <w:ind w:left="397" w:firstLine="23"/>
        <w:rPr>
          <w:rFonts w:ascii="仿宋" w:hAnsi="仿宋" w:eastAsia="仿宋" w:cs="仿宋"/>
          <w:sz w:val="24"/>
        </w:rPr>
      </w:pPr>
      <w:r>
        <w:rPr>
          <w:rFonts w:hint="eastAsia" w:ascii="仿宋" w:hAnsi="仿宋" w:eastAsia="仿宋" w:cs="仿宋"/>
          <w:sz w:val="24"/>
        </w:rPr>
        <w:t>项目报价一览表（加盖公章）；</w:t>
      </w:r>
    </w:p>
    <w:p>
      <w:pPr>
        <w:numPr>
          <w:ilvl w:val="1"/>
          <w:numId w:val="15"/>
        </w:numPr>
        <w:spacing w:line="360" w:lineRule="auto"/>
        <w:ind w:left="397" w:firstLine="23"/>
        <w:rPr>
          <w:rFonts w:ascii="仿宋" w:hAnsi="仿宋" w:eastAsia="仿宋" w:cs="仿宋"/>
          <w:sz w:val="24"/>
        </w:rPr>
      </w:pPr>
      <w:r>
        <w:rPr>
          <w:rFonts w:hint="eastAsia" w:ascii="仿宋" w:hAnsi="仿宋" w:eastAsia="仿宋" w:cs="仿宋"/>
          <w:sz w:val="24"/>
        </w:rPr>
        <w:t>业绩一览表及合同关键页复印件（加盖公章）（根据项目需求提供）；</w:t>
      </w:r>
    </w:p>
    <w:p>
      <w:pPr>
        <w:numPr>
          <w:ilvl w:val="1"/>
          <w:numId w:val="15"/>
        </w:numPr>
        <w:tabs>
          <w:tab w:val="left" w:pos="851"/>
        </w:tabs>
        <w:spacing w:line="360" w:lineRule="auto"/>
        <w:ind w:left="397" w:firstLine="23"/>
        <w:rPr>
          <w:rFonts w:ascii="仿宋" w:hAnsi="仿宋" w:eastAsia="仿宋" w:cs="仿宋"/>
          <w:sz w:val="24"/>
        </w:rPr>
      </w:pPr>
      <w:r>
        <w:rPr>
          <w:rFonts w:hint="eastAsia" w:ascii="仿宋" w:hAnsi="仿宋" w:eastAsia="仿宋" w:cs="仿宋"/>
          <w:sz w:val="24"/>
        </w:rPr>
        <w:t>项目/施工方案（根据项目需求提供）；</w:t>
      </w:r>
    </w:p>
    <w:p>
      <w:pPr>
        <w:numPr>
          <w:ilvl w:val="1"/>
          <w:numId w:val="15"/>
        </w:numPr>
        <w:tabs>
          <w:tab w:val="left" w:pos="851"/>
        </w:tabs>
        <w:spacing w:line="360" w:lineRule="auto"/>
        <w:ind w:left="397" w:firstLine="23"/>
        <w:rPr>
          <w:rFonts w:ascii="仿宋" w:hAnsi="仿宋" w:eastAsia="仿宋" w:cs="仿宋"/>
          <w:sz w:val="24"/>
        </w:rPr>
      </w:pPr>
      <w:r>
        <w:rPr>
          <w:rFonts w:hint="eastAsia" w:ascii="仿宋" w:hAnsi="仿宋" w:eastAsia="仿宋" w:cs="仿宋"/>
          <w:sz w:val="24"/>
        </w:rPr>
        <w:t>资质证明文件（加盖公章）（根据项目需求提供）；</w:t>
      </w:r>
    </w:p>
    <w:p>
      <w:pPr>
        <w:numPr>
          <w:ilvl w:val="1"/>
          <w:numId w:val="15"/>
        </w:numPr>
        <w:tabs>
          <w:tab w:val="left" w:pos="851"/>
        </w:tabs>
        <w:spacing w:line="360" w:lineRule="auto"/>
        <w:ind w:left="397" w:firstLine="23"/>
        <w:rPr>
          <w:rFonts w:ascii="仿宋" w:hAnsi="仿宋" w:eastAsia="仿宋" w:cs="仿宋"/>
          <w:sz w:val="24"/>
        </w:rPr>
      </w:pPr>
      <w:r>
        <w:rPr>
          <w:rFonts w:hint="eastAsia" w:ascii="仿宋" w:hAnsi="仿宋" w:eastAsia="仿宋" w:cs="仿宋"/>
          <w:sz w:val="24"/>
        </w:rPr>
        <w:t>售后服务承诺书（根据项目需求提供）；</w:t>
      </w:r>
    </w:p>
    <w:p>
      <w:pPr>
        <w:numPr>
          <w:ilvl w:val="1"/>
          <w:numId w:val="15"/>
        </w:numPr>
        <w:tabs>
          <w:tab w:val="left" w:pos="851"/>
        </w:tabs>
        <w:spacing w:line="360" w:lineRule="auto"/>
        <w:ind w:left="397" w:firstLine="23"/>
        <w:rPr>
          <w:rFonts w:ascii="仿宋" w:hAnsi="仿宋" w:eastAsia="仿宋" w:cs="仿宋"/>
          <w:sz w:val="24"/>
        </w:rPr>
      </w:pPr>
      <w:r>
        <w:rPr>
          <w:rFonts w:hint="eastAsia" w:ascii="仿宋" w:hAnsi="仿宋" w:eastAsia="仿宋" w:cs="仿宋"/>
          <w:sz w:val="24"/>
        </w:rPr>
        <w:t>现场考察证明（根据项目需求提供）；</w:t>
      </w:r>
    </w:p>
    <w:p>
      <w:pPr>
        <w:numPr>
          <w:ilvl w:val="1"/>
          <w:numId w:val="15"/>
        </w:numPr>
        <w:tabs>
          <w:tab w:val="left" w:pos="851"/>
        </w:tabs>
        <w:spacing w:line="360" w:lineRule="auto"/>
        <w:ind w:left="397" w:firstLine="23"/>
        <w:rPr>
          <w:rFonts w:ascii="仿宋" w:hAnsi="仿宋" w:eastAsia="仿宋" w:cs="仿宋"/>
          <w:sz w:val="24"/>
        </w:rPr>
      </w:pPr>
      <w:r>
        <w:rPr>
          <w:rFonts w:hint="eastAsia" w:ascii="仿宋" w:hAnsi="仿宋" w:eastAsia="仿宋" w:cs="仿宋"/>
          <w:sz w:val="24"/>
        </w:rPr>
        <w:t>项目团队成员简介及认证资格证书复印件（加盖公章）（根据项目需求提供）；</w:t>
      </w:r>
    </w:p>
    <w:p>
      <w:pPr>
        <w:numPr>
          <w:ilvl w:val="1"/>
          <w:numId w:val="15"/>
        </w:numPr>
        <w:tabs>
          <w:tab w:val="left" w:pos="851"/>
        </w:tabs>
        <w:spacing w:line="360" w:lineRule="auto"/>
        <w:ind w:left="397" w:firstLine="23"/>
        <w:rPr>
          <w:rFonts w:ascii="仿宋" w:hAnsi="仿宋" w:eastAsia="仿宋" w:cs="仿宋"/>
          <w:sz w:val="24"/>
        </w:rPr>
      </w:pPr>
      <w:r>
        <w:rPr>
          <w:rFonts w:hint="eastAsia" w:ascii="仿宋" w:hAnsi="仿宋" w:eastAsia="仿宋" w:cs="仿宋"/>
          <w:sz w:val="24"/>
        </w:rPr>
        <w:t>企业员工社保证明资料（加盖公章）（根据项目需求提供）。</w:t>
      </w:r>
    </w:p>
    <w:p>
      <w:pPr>
        <w:adjustRightInd w:val="0"/>
        <w:snapToGrid w:val="0"/>
        <w:spacing w:line="400" w:lineRule="exact"/>
        <w:rPr>
          <w:rFonts w:ascii="宋体" w:hAnsi="宋体"/>
          <w:sz w:val="24"/>
          <w:szCs w:val="28"/>
        </w:rPr>
        <w:sectPr>
          <w:footerReference r:id="rId4" w:type="default"/>
          <w:pgSz w:w="11907" w:h="16840"/>
          <w:pgMar w:top="1440" w:right="1559" w:bottom="1276" w:left="1418" w:header="851" w:footer="857" w:gutter="0"/>
          <w:pgNumType w:start="1"/>
          <w:cols w:space="720" w:num="1"/>
          <w:docGrid w:linePitch="462" w:charSpace="0"/>
        </w:sectPr>
      </w:pPr>
    </w:p>
    <w:p>
      <w:pPr>
        <w:adjustRightInd w:val="0"/>
        <w:snapToGrid w:val="0"/>
        <w:spacing w:line="400" w:lineRule="exact"/>
        <w:jc w:val="left"/>
        <w:rPr>
          <w:rFonts w:hAnsi="宋体"/>
          <w:b/>
          <w:color w:val="000000"/>
          <w:sz w:val="10"/>
          <w:szCs w:val="10"/>
        </w:rPr>
      </w:pPr>
    </w:p>
    <w:p>
      <w:pPr>
        <w:pStyle w:val="33"/>
        <w:adjustRightInd w:val="0"/>
        <w:snapToGrid w:val="0"/>
        <w:spacing w:before="0" w:after="240" w:line="400" w:lineRule="exact"/>
        <w:rPr>
          <w:rFonts w:ascii="仿宋" w:hAnsi="仿宋" w:eastAsia="仿宋" w:cs="仿宋"/>
          <w:color w:val="000000"/>
          <w:sz w:val="24"/>
          <w:szCs w:val="24"/>
        </w:rPr>
      </w:pPr>
      <w:bookmarkStart w:id="58" w:name="_Toc211243314"/>
      <w:bookmarkStart w:id="59" w:name="_Toc236803109"/>
      <w:bookmarkStart w:id="60" w:name="_Toc18851"/>
      <w:bookmarkStart w:id="61" w:name="_Toc85808699"/>
      <w:r>
        <w:rPr>
          <w:rFonts w:hint="eastAsia" w:ascii="仿宋" w:hAnsi="仿宋" w:eastAsia="仿宋" w:cs="仿宋"/>
          <w:color w:val="000000"/>
          <w:sz w:val="24"/>
          <w:szCs w:val="24"/>
        </w:rPr>
        <w:t>第五</w:t>
      </w:r>
      <w:bookmarkEnd w:id="58"/>
      <w:bookmarkEnd w:id="59"/>
      <w:r>
        <w:rPr>
          <w:rFonts w:hint="eastAsia" w:ascii="仿宋" w:hAnsi="仿宋" w:eastAsia="仿宋" w:cs="仿宋"/>
          <w:color w:val="000000"/>
          <w:sz w:val="24"/>
          <w:szCs w:val="24"/>
        </w:rPr>
        <w:t>部分</w:t>
      </w:r>
      <w:r>
        <w:rPr>
          <w:rFonts w:hint="eastAsia" w:ascii="仿宋" w:hAnsi="仿宋" w:eastAsia="仿宋" w:cs="仿宋"/>
          <w:sz w:val="24"/>
          <w:szCs w:val="24"/>
        </w:rPr>
        <w:t xml:space="preserve"> </w:t>
      </w:r>
      <w:r>
        <w:rPr>
          <w:rFonts w:hint="eastAsia" w:ascii="仿宋" w:hAnsi="仿宋" w:eastAsia="仿宋" w:cs="仿宋"/>
          <w:color w:val="000000"/>
          <w:sz w:val="24"/>
          <w:szCs w:val="24"/>
        </w:rPr>
        <w:t>文件格式范本</w:t>
      </w:r>
      <w:bookmarkEnd w:id="60"/>
      <w:bookmarkEnd w:id="61"/>
    </w:p>
    <w:p>
      <w:pPr>
        <w:adjustRightInd w:val="0"/>
        <w:snapToGrid w:val="0"/>
        <w:spacing w:line="400" w:lineRule="exact"/>
        <w:rPr>
          <w:rFonts w:ascii="仿宋" w:hAnsi="仿宋" w:eastAsia="仿宋" w:cs="仿宋"/>
          <w:sz w:val="24"/>
        </w:rPr>
      </w:pPr>
    </w:p>
    <w:p>
      <w:pPr>
        <w:spacing w:line="0" w:lineRule="atLeast"/>
        <w:outlineLvl w:val="1"/>
        <w:rPr>
          <w:rFonts w:ascii="仿宋" w:hAnsi="仿宋" w:eastAsia="仿宋" w:cs="仿宋"/>
          <w:sz w:val="24"/>
        </w:rPr>
      </w:pPr>
      <w:bookmarkStart w:id="62" w:name="_Toc19372"/>
      <w:r>
        <w:rPr>
          <w:rFonts w:hint="eastAsia" w:ascii="仿宋" w:hAnsi="仿宋" w:eastAsia="仿宋" w:cs="仿宋"/>
          <w:sz w:val="24"/>
        </w:rPr>
        <w:t>附件1：报价一览表（货物）</w:t>
      </w:r>
      <w:r>
        <w:rPr>
          <w:rFonts w:hint="eastAsia" w:ascii="仿宋" w:hAnsi="仿宋" w:eastAsia="仿宋" w:cs="仿宋"/>
          <w:color w:val="auto"/>
          <w:sz w:val="24"/>
          <w:highlight w:val="none"/>
        </w:rPr>
        <w:t>（本项目不适用）</w:t>
      </w:r>
      <w:bookmarkEnd w:id="62"/>
    </w:p>
    <w:p>
      <w:pPr>
        <w:spacing w:before="120" w:after="240"/>
        <w:jc w:val="center"/>
        <w:rPr>
          <w:rFonts w:ascii="仿宋" w:hAnsi="仿宋" w:eastAsia="仿宋" w:cs="仿宋"/>
          <w:b/>
          <w:sz w:val="24"/>
        </w:rPr>
      </w:pPr>
      <w:r>
        <w:rPr>
          <w:rFonts w:hint="eastAsia" w:ascii="仿宋" w:hAnsi="仿宋" w:eastAsia="仿宋" w:cs="仿宋"/>
          <w:b/>
          <w:sz w:val="24"/>
        </w:rPr>
        <w:t>报价一览表（货物）</w:t>
      </w:r>
    </w:p>
    <w:p>
      <w:pPr>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4"/>
        </w:rPr>
      </w:pPr>
      <w:r>
        <w:rPr>
          <w:rFonts w:hint="eastAsia" w:ascii="仿宋" w:hAnsi="仿宋" w:eastAsia="仿宋" w:cs="仿宋"/>
          <w:sz w:val="24"/>
        </w:rPr>
        <w:t>交货地点：</w:t>
      </w:r>
      <w:r>
        <w:rPr>
          <w:rFonts w:hint="eastAsia" w:ascii="仿宋" w:hAnsi="仿宋" w:eastAsia="仿宋" w:cs="仿宋"/>
          <w:sz w:val="24"/>
          <w:u w:val="single"/>
        </w:rPr>
        <w:t xml:space="preserve">                       </w:t>
      </w:r>
      <w:r>
        <w:rPr>
          <w:rFonts w:hint="eastAsia" w:ascii="仿宋" w:hAnsi="仿宋" w:eastAsia="仿宋" w:cs="仿宋"/>
          <w:sz w:val="24"/>
        </w:rPr>
        <w:t xml:space="preserve">  交货期：</w:t>
      </w:r>
      <w:r>
        <w:rPr>
          <w:rFonts w:hint="eastAsia" w:ascii="仿宋" w:hAnsi="仿宋" w:eastAsia="仿宋" w:cs="仿宋"/>
          <w:sz w:val="24"/>
          <w:u w:val="single"/>
        </w:rPr>
        <w:t xml:space="preserve">             </w:t>
      </w:r>
    </w:p>
    <w:p>
      <w:pPr>
        <w:spacing w:after="80" w:line="360" w:lineRule="auto"/>
        <w:rPr>
          <w:rFonts w:ascii="仿宋" w:hAnsi="仿宋" w:eastAsia="仿宋" w:cs="仿宋"/>
          <w:sz w:val="24"/>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xml:space="preserve">%           单位：元 </w:t>
      </w:r>
    </w:p>
    <w:tbl>
      <w:tblPr>
        <w:tblStyle w:val="3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序号</w:t>
            </w:r>
          </w:p>
        </w:tc>
        <w:tc>
          <w:tcPr>
            <w:tcW w:w="2332"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名称</w:t>
            </w:r>
          </w:p>
        </w:tc>
        <w:tc>
          <w:tcPr>
            <w:tcW w:w="156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制造商</w:t>
            </w:r>
          </w:p>
        </w:tc>
        <w:tc>
          <w:tcPr>
            <w:tcW w:w="85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产地</w:t>
            </w:r>
          </w:p>
        </w:tc>
        <w:tc>
          <w:tcPr>
            <w:tcW w:w="634"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单位</w:t>
            </w:r>
          </w:p>
        </w:tc>
        <w:tc>
          <w:tcPr>
            <w:tcW w:w="1209"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数量</w:t>
            </w:r>
          </w:p>
        </w:tc>
        <w:tc>
          <w:tcPr>
            <w:tcW w:w="85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单价</w:t>
            </w:r>
          </w:p>
        </w:tc>
        <w:tc>
          <w:tcPr>
            <w:tcW w:w="851"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4"/>
              </w:rPr>
            </w:pPr>
            <w:r>
              <w:rPr>
                <w:rFonts w:hint="eastAsia" w:ascii="仿宋" w:hAnsi="仿宋" w:eastAsia="仿宋" w:cs="仿宋"/>
                <w:sz w:val="24"/>
              </w:rPr>
              <w:t>合计金额：</w:t>
            </w:r>
          </w:p>
        </w:tc>
        <w:tc>
          <w:tcPr>
            <w:tcW w:w="851" w:type="dxa"/>
            <w:vAlign w:val="center"/>
          </w:tcPr>
          <w:p>
            <w:pPr>
              <w:autoSpaceDE w:val="0"/>
              <w:autoSpaceDN w:val="0"/>
              <w:adjustRightInd w:val="0"/>
              <w:jc w:val="right"/>
              <w:rPr>
                <w:rFonts w:ascii="仿宋" w:hAnsi="仿宋" w:eastAsia="仿宋" w:cs="仿宋"/>
                <w:sz w:val="24"/>
              </w:rPr>
            </w:pPr>
          </w:p>
        </w:tc>
      </w:tr>
    </w:tbl>
    <w:p>
      <w:pPr>
        <w:spacing w:line="400" w:lineRule="exact"/>
        <w:rPr>
          <w:rFonts w:ascii="仿宋" w:hAnsi="仿宋" w:eastAsia="仿宋" w:cs="仿宋"/>
          <w:sz w:val="24"/>
        </w:rPr>
      </w:pPr>
      <w:r>
        <w:rPr>
          <w:rFonts w:hint="eastAsia" w:ascii="仿宋" w:hAnsi="仿宋" w:eastAsia="仿宋" w:cs="仿宋"/>
          <w:sz w:val="24"/>
        </w:rPr>
        <w:t>注：</w:t>
      </w:r>
    </w:p>
    <w:p>
      <w:pPr>
        <w:pStyle w:val="51"/>
        <w:numPr>
          <w:ilvl w:val="1"/>
          <w:numId w:val="16"/>
        </w:numPr>
        <w:spacing w:line="400" w:lineRule="exact"/>
        <w:ind w:left="709" w:hanging="283" w:firstLineChars="0"/>
        <w:rPr>
          <w:rFonts w:ascii="仿宋" w:hAnsi="仿宋" w:eastAsia="仿宋" w:cs="仿宋"/>
          <w:sz w:val="24"/>
        </w:rPr>
      </w:pPr>
      <w:r>
        <w:rPr>
          <w:rFonts w:hint="eastAsia" w:ascii="仿宋" w:hAnsi="仿宋" w:eastAsia="仿宋" w:cs="仿宋"/>
          <w:sz w:val="24"/>
        </w:rPr>
        <w:t>参加单位如果需要对报价或其它内容加以说明，可在备注一栏中填写。</w:t>
      </w:r>
    </w:p>
    <w:p>
      <w:pPr>
        <w:pStyle w:val="51"/>
        <w:numPr>
          <w:ilvl w:val="1"/>
          <w:numId w:val="16"/>
        </w:numPr>
        <w:spacing w:line="400" w:lineRule="exact"/>
        <w:ind w:left="709" w:hanging="283" w:firstLineChars="0"/>
        <w:rPr>
          <w:rFonts w:ascii="仿宋" w:hAnsi="仿宋" w:eastAsia="仿宋" w:cs="仿宋"/>
          <w:bCs/>
          <w:sz w:val="24"/>
        </w:rPr>
      </w:pPr>
      <w:r>
        <w:rPr>
          <w:rFonts w:hint="eastAsia" w:ascii="仿宋" w:hAnsi="仿宋" w:eastAsia="仿宋" w:cs="仿宋"/>
          <w:sz w:val="24"/>
        </w:rPr>
        <w:t>参加单位</w:t>
      </w:r>
      <w:r>
        <w:rPr>
          <w:rFonts w:hint="eastAsia" w:ascii="仿宋" w:hAnsi="仿宋" w:eastAsia="仿宋" w:cs="仿宋"/>
          <w:bCs/>
          <w:sz w:val="24"/>
        </w:rPr>
        <w:t>使用本表或自由报价单格式报价均可，但应能清晰体现总报价及分项报价信息。</w:t>
      </w:r>
    </w:p>
    <w:p>
      <w:pPr>
        <w:pStyle w:val="51"/>
        <w:numPr>
          <w:ilvl w:val="1"/>
          <w:numId w:val="16"/>
        </w:numPr>
        <w:spacing w:line="400" w:lineRule="exact"/>
        <w:ind w:left="709" w:hanging="283" w:firstLineChars="0"/>
        <w:rPr>
          <w:rFonts w:ascii="仿宋" w:hAnsi="仿宋" w:eastAsia="仿宋" w:cs="仿宋"/>
          <w:bCs/>
          <w:sz w:val="24"/>
        </w:rPr>
      </w:pPr>
      <w:r>
        <w:rPr>
          <w:rFonts w:hint="eastAsia" w:ascii="仿宋" w:hAnsi="仿宋" w:eastAsia="仿宋" w:cs="仿宋"/>
          <w:bCs/>
          <w:sz w:val="24"/>
        </w:rPr>
        <w:t>如果分项报价与总价不一致，以总价为准。</w:t>
      </w:r>
    </w:p>
    <w:p>
      <w:pPr>
        <w:pStyle w:val="51"/>
        <w:numPr>
          <w:ilvl w:val="1"/>
          <w:numId w:val="16"/>
        </w:numPr>
        <w:spacing w:line="400" w:lineRule="exact"/>
        <w:ind w:left="709" w:hanging="283" w:firstLineChars="0"/>
        <w:rPr>
          <w:rFonts w:ascii="仿宋" w:hAnsi="仿宋" w:eastAsia="仿宋" w:cs="仿宋"/>
          <w:bCs/>
          <w:sz w:val="24"/>
        </w:rPr>
      </w:pPr>
      <w:r>
        <w:rPr>
          <w:rFonts w:hint="eastAsia" w:ascii="仿宋" w:hAnsi="仿宋" w:eastAsia="仿宋" w:cs="仿宋"/>
          <w:bCs/>
          <w:sz w:val="24"/>
        </w:rPr>
        <w:t>表中“名称”为构成总价的各分项名称，如分项名称不涉及制造商、型号及产地信息等可打“—”。</w:t>
      </w:r>
    </w:p>
    <w:p>
      <w:pPr>
        <w:spacing w:line="0" w:lineRule="atLeast"/>
        <w:rPr>
          <w:rFonts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rPr>
      </w:pPr>
      <w:r>
        <w:rPr>
          <w:rFonts w:hint="eastAsia" w:ascii="仿宋" w:hAnsi="仿宋" w:eastAsia="仿宋" w:cs="仿宋"/>
          <w:sz w:val="24"/>
        </w:rPr>
        <w:t>法定代表人或委托授权人（签字或盖章）：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参加单位名称及盖章：</w:t>
      </w:r>
      <w:r>
        <w:rPr>
          <w:rFonts w:hint="eastAsia" w:ascii="仿宋" w:hAnsi="仿宋" w:eastAsia="仿宋" w:cs="仿宋"/>
          <w:sz w:val="24"/>
          <w:u w:val="single"/>
        </w:rPr>
        <w:t xml:space="preserve">                        </w:t>
      </w:r>
    </w:p>
    <w:p>
      <w:pPr>
        <w:spacing w:line="0" w:lineRule="atLeast"/>
        <w:outlineLvl w:val="1"/>
        <w:rPr>
          <w:rFonts w:ascii="仿宋" w:hAnsi="仿宋" w:eastAsia="仿宋" w:cs="仿宋"/>
          <w:sz w:val="24"/>
        </w:rPr>
      </w:pPr>
      <w:bookmarkStart w:id="63" w:name="_Toc19315"/>
      <w:r>
        <w:rPr>
          <w:rFonts w:hint="eastAsia" w:ascii="仿宋" w:hAnsi="仿宋" w:eastAsia="仿宋" w:cs="仿宋"/>
          <w:sz w:val="24"/>
        </w:rPr>
        <w:t>报价日期：_________年____月____日</w:t>
      </w:r>
      <w:bookmarkEnd w:id="63"/>
    </w:p>
    <w:p>
      <w:pPr>
        <w:spacing w:line="0" w:lineRule="atLeast"/>
        <w:outlineLvl w:val="1"/>
        <w:rPr>
          <w:rFonts w:ascii="仿宋" w:hAnsi="仿宋" w:eastAsia="仿宋" w:cs="仿宋"/>
          <w:sz w:val="24"/>
        </w:rPr>
      </w:pPr>
    </w:p>
    <w:p>
      <w:pPr>
        <w:spacing w:line="0" w:lineRule="atLeast"/>
        <w:outlineLvl w:val="1"/>
        <w:rPr>
          <w:rFonts w:ascii="仿宋" w:hAnsi="仿宋" w:eastAsia="仿宋" w:cs="仿宋"/>
          <w:sz w:val="24"/>
        </w:rPr>
      </w:pPr>
    </w:p>
    <w:p>
      <w:pPr>
        <w:spacing w:line="0" w:lineRule="atLeast"/>
        <w:outlineLvl w:val="1"/>
        <w:rPr>
          <w:rFonts w:ascii="仿宋" w:hAnsi="仿宋" w:eastAsia="仿宋" w:cs="仿宋"/>
          <w:sz w:val="24"/>
        </w:rPr>
      </w:pPr>
    </w:p>
    <w:p>
      <w:pPr>
        <w:spacing w:line="0" w:lineRule="atLeast"/>
        <w:outlineLvl w:val="1"/>
        <w:rPr>
          <w:rFonts w:ascii="仿宋" w:hAnsi="仿宋" w:eastAsia="仿宋" w:cs="仿宋"/>
          <w:sz w:val="24"/>
        </w:rPr>
      </w:pPr>
    </w:p>
    <w:p>
      <w:pPr>
        <w:spacing w:line="0" w:lineRule="atLeast"/>
        <w:outlineLvl w:val="1"/>
        <w:rPr>
          <w:rFonts w:ascii="仿宋" w:hAnsi="仿宋" w:eastAsia="仿宋" w:cs="仿宋"/>
          <w:sz w:val="24"/>
        </w:rPr>
      </w:pPr>
    </w:p>
    <w:p>
      <w:pPr>
        <w:spacing w:line="0" w:lineRule="atLeast"/>
        <w:outlineLvl w:val="1"/>
        <w:rPr>
          <w:rFonts w:ascii="仿宋" w:hAnsi="仿宋" w:eastAsia="仿宋" w:cs="仿宋"/>
          <w:sz w:val="24"/>
        </w:rPr>
      </w:pPr>
      <w:bookmarkStart w:id="64" w:name="_Toc16360"/>
      <w:r>
        <w:rPr>
          <w:rFonts w:hint="eastAsia" w:ascii="仿宋" w:hAnsi="仿宋" w:eastAsia="仿宋" w:cs="仿宋"/>
          <w:sz w:val="24"/>
        </w:rPr>
        <w:t>附件2：报价一览表（服务）</w:t>
      </w:r>
      <w:bookmarkEnd w:id="64"/>
    </w:p>
    <w:p>
      <w:pPr>
        <w:spacing w:after="80"/>
        <w:rPr>
          <w:rFonts w:ascii="仿宋" w:hAnsi="仿宋" w:eastAsia="仿宋" w:cs="仿宋"/>
          <w:sz w:val="24"/>
        </w:rPr>
      </w:pPr>
    </w:p>
    <w:p>
      <w:pPr>
        <w:spacing w:before="120" w:after="240"/>
        <w:jc w:val="center"/>
        <w:rPr>
          <w:rFonts w:ascii="仿宋" w:hAnsi="仿宋" w:eastAsia="仿宋" w:cs="仿宋"/>
          <w:b/>
          <w:sz w:val="24"/>
        </w:rPr>
      </w:pPr>
      <w:r>
        <w:rPr>
          <w:rFonts w:hint="eastAsia" w:ascii="仿宋" w:hAnsi="仿宋" w:eastAsia="仿宋" w:cs="仿宋"/>
          <w:b/>
          <w:sz w:val="24"/>
        </w:rPr>
        <w:t>报价一览表（服务）</w:t>
      </w:r>
    </w:p>
    <w:p>
      <w:pPr>
        <w:spacing w:after="8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spacing w:after="80" w:line="360" w:lineRule="auto"/>
        <w:rPr>
          <w:rFonts w:ascii="仿宋" w:hAnsi="仿宋" w:eastAsia="仿宋" w:cs="仿宋"/>
          <w:sz w:val="24"/>
          <w:u w:val="single"/>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xml:space="preserve">%          单位：元 </w:t>
      </w:r>
    </w:p>
    <w:tbl>
      <w:tblPr>
        <w:tblStyle w:val="35"/>
        <w:tblpPr w:leftFromText="180" w:rightFromText="180" w:vertAnchor="text" w:horzAnchor="margin" w:tblpXSpec="center" w:tblpY="367"/>
        <w:tblW w:w="9655" w:type="dxa"/>
        <w:tblInd w:w="-399"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4"/>
              </w:rPr>
            </w:pPr>
            <w:r>
              <w:rPr>
                <w:rFonts w:hint="eastAsia" w:ascii="仿宋" w:hAnsi="仿宋" w:eastAsia="仿宋" w:cs="仿宋"/>
                <w:sz w:val="24"/>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4"/>
              </w:rPr>
            </w:pPr>
            <w:r>
              <w:rPr>
                <w:rFonts w:hint="eastAsia" w:ascii="仿宋" w:hAnsi="仿宋" w:eastAsia="仿宋" w:cs="仿宋"/>
                <w:sz w:val="24"/>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r>
    </w:tbl>
    <w:p>
      <w:pPr>
        <w:spacing w:line="400" w:lineRule="exact"/>
        <w:rPr>
          <w:rFonts w:ascii="仿宋" w:hAnsi="仿宋" w:eastAsia="仿宋" w:cs="仿宋"/>
          <w:bCs/>
          <w:sz w:val="24"/>
          <w:u w:val="single"/>
        </w:rPr>
      </w:pPr>
      <w:r>
        <w:rPr>
          <w:rFonts w:hint="eastAsia" w:ascii="仿宋" w:hAnsi="仿宋" w:eastAsia="仿宋" w:cs="仿宋"/>
          <w:sz w:val="24"/>
        </w:rPr>
        <w:t>注：</w:t>
      </w:r>
    </w:p>
    <w:p>
      <w:pPr>
        <w:pStyle w:val="51"/>
        <w:numPr>
          <w:ilvl w:val="1"/>
          <w:numId w:val="17"/>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参加单位如果需要对报价或其它内容加以说明，可在备注一栏中填写。</w:t>
      </w:r>
    </w:p>
    <w:p>
      <w:pPr>
        <w:pStyle w:val="51"/>
        <w:numPr>
          <w:ilvl w:val="1"/>
          <w:numId w:val="17"/>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参加单位使用本表或自由报价单格式报价均可，但应能清晰体现总报价及分项报价信息。</w:t>
      </w:r>
    </w:p>
    <w:p>
      <w:pPr>
        <w:pStyle w:val="51"/>
        <w:numPr>
          <w:ilvl w:val="1"/>
          <w:numId w:val="17"/>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如果分项报价与总价不一致，以总价为准。</w:t>
      </w:r>
    </w:p>
    <w:p>
      <w:pPr>
        <w:spacing w:line="400" w:lineRule="exact"/>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rPr>
      </w:pPr>
      <w:r>
        <w:rPr>
          <w:rFonts w:hint="eastAsia" w:ascii="仿宋" w:hAnsi="仿宋" w:eastAsia="仿宋" w:cs="仿宋"/>
          <w:sz w:val="24"/>
        </w:rPr>
        <w:t>法定代表人或委托授权人（签字或盖章）：: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参加单位名称及盖章：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报价日期：______________________________</w:t>
      </w:r>
    </w:p>
    <w:p>
      <w:pPr>
        <w:spacing w:line="0" w:lineRule="atLeast"/>
        <w:outlineLvl w:val="1"/>
        <w:rPr>
          <w:rFonts w:ascii="仿宋" w:hAnsi="仿宋" w:eastAsia="仿宋" w:cs="仿宋"/>
          <w:sz w:val="24"/>
        </w:rPr>
      </w:pPr>
      <w:bookmarkStart w:id="65" w:name="_Toc211248412"/>
      <w:r>
        <w:rPr>
          <w:rFonts w:hint="eastAsia" w:ascii="仿宋" w:hAnsi="仿宋" w:eastAsia="仿宋" w:cs="仿宋"/>
          <w:sz w:val="24"/>
        </w:rPr>
        <w:br w:type="page"/>
      </w:r>
      <w:bookmarkEnd w:id="65"/>
      <w:bookmarkStart w:id="66" w:name="_Toc14046"/>
      <w:r>
        <w:rPr>
          <w:rFonts w:hint="eastAsia" w:ascii="仿宋" w:hAnsi="仿宋" w:eastAsia="仿宋" w:cs="仿宋"/>
          <w:sz w:val="24"/>
        </w:rPr>
        <w:t>附件3：报价一览表（工</w:t>
      </w:r>
      <w:r>
        <w:rPr>
          <w:rFonts w:hint="eastAsia" w:ascii="仿宋" w:hAnsi="仿宋" w:eastAsia="仿宋" w:cs="仿宋"/>
          <w:color w:val="auto"/>
          <w:sz w:val="24"/>
          <w:highlight w:val="none"/>
        </w:rPr>
        <w:t>程）（本项目不适用）</w:t>
      </w:r>
      <w:bookmarkEnd w:id="66"/>
    </w:p>
    <w:p>
      <w:pPr>
        <w:jc w:val="center"/>
        <w:rPr>
          <w:rFonts w:ascii="仿宋" w:hAnsi="仿宋" w:eastAsia="仿宋" w:cs="仿宋"/>
          <w:b/>
          <w:sz w:val="24"/>
        </w:rPr>
      </w:pPr>
    </w:p>
    <w:p>
      <w:pPr>
        <w:spacing w:before="120" w:after="240"/>
        <w:jc w:val="center"/>
        <w:rPr>
          <w:rFonts w:ascii="仿宋" w:hAnsi="仿宋" w:eastAsia="仿宋" w:cs="仿宋"/>
          <w:b/>
          <w:sz w:val="24"/>
        </w:rPr>
      </w:pPr>
      <w:r>
        <w:rPr>
          <w:rFonts w:hint="eastAsia" w:ascii="仿宋" w:hAnsi="仿宋" w:eastAsia="仿宋" w:cs="仿宋"/>
          <w:b/>
          <w:sz w:val="24"/>
        </w:rPr>
        <w:t>报价一览表（工程）</w:t>
      </w:r>
    </w:p>
    <w:p>
      <w:pPr>
        <w:rPr>
          <w:rFonts w:ascii="仿宋" w:hAnsi="仿宋" w:eastAsia="仿宋" w:cs="仿宋"/>
          <w:sz w:val="24"/>
          <w:u w:val="single"/>
        </w:rPr>
      </w:pPr>
      <w:r>
        <w:rPr>
          <w:rFonts w:hint="eastAsia" w:ascii="仿宋" w:hAnsi="仿宋" w:eastAsia="仿宋" w:cs="仿宋"/>
          <w:sz w:val="24"/>
        </w:rPr>
        <w:t>工程名称：</w:t>
      </w:r>
      <w:r>
        <w:rPr>
          <w:rFonts w:hint="eastAsia" w:ascii="仿宋" w:hAnsi="仿宋" w:eastAsia="仿宋" w:cs="仿宋"/>
          <w:sz w:val="24"/>
          <w:u w:val="single"/>
        </w:rPr>
        <w:t xml:space="preserve">                     ____________________   __</w:t>
      </w:r>
    </w:p>
    <w:p>
      <w:pPr>
        <w:rPr>
          <w:rFonts w:ascii="仿宋" w:hAnsi="仿宋" w:eastAsia="仿宋" w:cs="仿宋"/>
          <w:sz w:val="24"/>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单位：元</w:t>
      </w:r>
    </w:p>
    <w:tbl>
      <w:tblPr>
        <w:tblStyle w:val="3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4"/>
              </w:rPr>
            </w:pPr>
            <w:r>
              <w:rPr>
                <w:rFonts w:hint="eastAsia" w:ascii="仿宋" w:hAnsi="仿宋" w:eastAsia="仿宋" w:cs="仿宋"/>
                <w:bCs/>
                <w:sz w:val="24"/>
              </w:rPr>
              <w:t>序号</w:t>
            </w:r>
          </w:p>
        </w:tc>
        <w:tc>
          <w:tcPr>
            <w:tcW w:w="152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分项项目名称</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工期</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计量单位</w:t>
            </w:r>
          </w:p>
        </w:tc>
        <w:tc>
          <w:tcPr>
            <w:tcW w:w="1276" w:type="dxa"/>
            <w:vAlign w:val="center"/>
          </w:tcPr>
          <w:p>
            <w:pPr>
              <w:spacing w:line="400" w:lineRule="exact"/>
              <w:rPr>
                <w:rFonts w:ascii="仿宋" w:hAnsi="仿宋" w:eastAsia="仿宋" w:cs="仿宋"/>
                <w:bCs/>
                <w:sz w:val="24"/>
              </w:rPr>
            </w:pPr>
            <w:r>
              <w:rPr>
                <w:rFonts w:hint="eastAsia" w:ascii="仿宋" w:hAnsi="仿宋" w:eastAsia="仿宋" w:cs="仿宋"/>
                <w:bCs/>
                <w:sz w:val="24"/>
              </w:rPr>
              <w:t>工程量</w:t>
            </w:r>
          </w:p>
        </w:tc>
        <w:tc>
          <w:tcPr>
            <w:tcW w:w="917"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综合单价</w:t>
            </w:r>
          </w:p>
        </w:tc>
        <w:tc>
          <w:tcPr>
            <w:tcW w:w="95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小计金额</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4"/>
              </w:rPr>
            </w:pPr>
            <w:r>
              <w:rPr>
                <w:rFonts w:hint="eastAsia" w:ascii="仿宋" w:hAnsi="仿宋" w:eastAsia="仿宋" w:cs="仿宋"/>
                <w:sz w:val="24"/>
              </w:rPr>
              <w:t>合计金额：</w:t>
            </w: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bl>
    <w:p>
      <w:pPr>
        <w:spacing w:line="400" w:lineRule="exact"/>
        <w:ind w:left="794" w:hanging="794" w:hangingChars="331"/>
        <w:rPr>
          <w:rFonts w:ascii="仿宋" w:hAnsi="仿宋" w:eastAsia="仿宋" w:cs="仿宋"/>
          <w:bCs/>
          <w:sz w:val="24"/>
        </w:rPr>
      </w:pPr>
      <w:r>
        <w:rPr>
          <w:rFonts w:hint="eastAsia" w:ascii="仿宋" w:hAnsi="仿宋" w:eastAsia="仿宋" w:cs="仿宋"/>
          <w:bCs/>
          <w:sz w:val="24"/>
        </w:rPr>
        <w:t>注：</w:t>
      </w:r>
    </w:p>
    <w:p>
      <w:pPr>
        <w:pStyle w:val="51"/>
        <w:numPr>
          <w:ilvl w:val="1"/>
          <w:numId w:val="18"/>
        </w:numPr>
        <w:spacing w:line="400" w:lineRule="exact"/>
        <w:ind w:firstLineChars="0"/>
        <w:rPr>
          <w:rFonts w:ascii="仿宋" w:hAnsi="仿宋" w:eastAsia="仿宋" w:cs="仿宋"/>
          <w:sz w:val="24"/>
        </w:rPr>
      </w:pPr>
      <w:r>
        <w:rPr>
          <w:rFonts w:hint="eastAsia" w:ascii="仿宋" w:hAnsi="仿宋" w:eastAsia="仿宋" w:cs="仿宋"/>
          <w:sz w:val="24"/>
        </w:rPr>
        <w:t>参加单位如果需要对报价或其它内容加以说明，可在备注一栏中填写。</w:t>
      </w:r>
    </w:p>
    <w:p>
      <w:pPr>
        <w:pStyle w:val="51"/>
        <w:numPr>
          <w:ilvl w:val="1"/>
          <w:numId w:val="18"/>
        </w:numPr>
        <w:spacing w:line="400" w:lineRule="exact"/>
        <w:ind w:firstLineChars="0"/>
        <w:rPr>
          <w:rFonts w:ascii="仿宋" w:hAnsi="仿宋" w:eastAsia="仿宋" w:cs="仿宋"/>
          <w:color w:val="auto"/>
          <w:sz w:val="24"/>
        </w:rPr>
      </w:pPr>
      <w:r>
        <w:rPr>
          <w:rFonts w:hint="eastAsia" w:ascii="仿宋" w:hAnsi="仿宋" w:eastAsia="仿宋" w:cs="仿宋"/>
          <w:sz w:val="24"/>
        </w:rPr>
        <w:t>参加单位使用本表或自由报价单格式报价均可，但应能清晰体现总报价</w:t>
      </w:r>
      <w:r>
        <w:rPr>
          <w:rFonts w:hint="eastAsia" w:ascii="仿宋" w:hAnsi="仿宋" w:eastAsia="仿宋" w:cs="仿宋"/>
          <w:color w:val="auto"/>
          <w:sz w:val="24"/>
        </w:rPr>
        <w:t>及分项报价信息。</w:t>
      </w:r>
    </w:p>
    <w:p>
      <w:pPr>
        <w:pStyle w:val="51"/>
        <w:numPr>
          <w:ilvl w:val="1"/>
          <w:numId w:val="18"/>
        </w:numPr>
        <w:spacing w:line="400" w:lineRule="exact"/>
        <w:ind w:firstLineChars="0"/>
        <w:rPr>
          <w:rFonts w:ascii="仿宋" w:hAnsi="仿宋" w:eastAsia="仿宋" w:cs="仿宋"/>
          <w:color w:val="auto"/>
          <w:sz w:val="24"/>
        </w:rPr>
      </w:pPr>
      <w:r>
        <w:rPr>
          <w:rFonts w:hint="eastAsia" w:ascii="仿宋" w:hAnsi="仿宋" w:eastAsia="仿宋" w:cs="仿宋"/>
          <w:color w:val="auto"/>
          <w:sz w:val="24"/>
        </w:rPr>
        <w:t>如果分项报价与总价不一致，以总价为准。</w:t>
      </w:r>
    </w:p>
    <w:p>
      <w:pPr>
        <w:pStyle w:val="51"/>
        <w:numPr>
          <w:ilvl w:val="1"/>
          <w:numId w:val="18"/>
        </w:numPr>
        <w:spacing w:line="400" w:lineRule="exact"/>
        <w:ind w:firstLineChars="0"/>
        <w:rPr>
          <w:rFonts w:ascii="仿宋" w:hAnsi="仿宋" w:eastAsia="仿宋" w:cs="仿宋"/>
          <w:color w:val="auto"/>
          <w:sz w:val="24"/>
        </w:rPr>
      </w:pPr>
      <w:r>
        <w:rPr>
          <w:rFonts w:hint="eastAsia" w:ascii="仿宋" w:hAnsi="仿宋" w:eastAsia="仿宋" w:cs="仿宋"/>
          <w:color w:val="auto"/>
          <w:sz w:val="24"/>
        </w:rPr>
        <w:t>请注意正确填写“工期”，以确保报价单工期与工期响应文件的一致性。</w:t>
      </w: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sz w:val="24"/>
        </w:rPr>
        <w:t>法定代表人或委托授权人（签字或盖章）：</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参加单位（盖章）：</w:t>
      </w:r>
      <w:r>
        <w:rPr>
          <w:rFonts w:hint="eastAsia" w:ascii="仿宋" w:hAnsi="仿宋" w:eastAsia="仿宋" w:cs="仿宋"/>
          <w:sz w:val="24"/>
          <w:u w:val="single"/>
        </w:rPr>
        <w:t xml:space="preserve">                        </w:t>
      </w:r>
    </w:p>
    <w:p>
      <w:pPr>
        <w:widowControl/>
        <w:jc w:val="left"/>
        <w:rPr>
          <w:rFonts w:ascii="仿宋" w:hAnsi="仿宋" w:eastAsia="仿宋" w:cs="仿宋"/>
          <w:sz w:val="24"/>
        </w:rPr>
      </w:pPr>
      <w:r>
        <w:rPr>
          <w:rFonts w:hint="eastAsia" w:ascii="仿宋" w:hAnsi="仿宋" w:eastAsia="仿宋" w:cs="仿宋"/>
          <w:sz w:val="24"/>
        </w:rPr>
        <w:t>报价日期：_______年____月____日</w:t>
      </w:r>
    </w:p>
    <w:p>
      <w:pPr>
        <w:pStyle w:val="5"/>
        <w:keepNext w:val="0"/>
        <w:keepLines w:val="0"/>
        <w:snapToGrid w:val="0"/>
        <w:spacing w:before="0" w:after="0" w:line="400" w:lineRule="exact"/>
        <w:rPr>
          <w:rFonts w:ascii="仿宋" w:hAnsi="仿宋" w:eastAsia="仿宋" w:cs="仿宋"/>
          <w:b w:val="0"/>
          <w:sz w:val="24"/>
          <w:szCs w:val="24"/>
        </w:rPr>
      </w:pPr>
    </w:p>
    <w:p>
      <w:pPr>
        <w:adjustRightInd w:val="0"/>
        <w:snapToGrid w:val="0"/>
        <w:spacing w:after="50" w:line="400" w:lineRule="exact"/>
        <w:jc w:val="center"/>
        <w:rPr>
          <w:rFonts w:ascii="仿宋" w:hAnsi="仿宋" w:eastAsia="仿宋" w:cs="仿宋"/>
          <w:b/>
          <w:sz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2"/>
        <w:rPr>
          <w:rFonts w:ascii="仿宋" w:hAnsi="仿宋" w:eastAsia="仿宋" w:cs="仿宋"/>
          <w:color w:val="000000"/>
          <w:sz w:val="24"/>
        </w:rPr>
      </w:pPr>
      <w:bookmarkStart w:id="67" w:name="_Toc85808701"/>
      <w:bookmarkStart w:id="68" w:name="_Toc1510"/>
      <w:bookmarkStart w:id="69" w:name="_Toc211243317"/>
      <w:r>
        <w:rPr>
          <w:rFonts w:hint="eastAsia" w:ascii="仿宋" w:hAnsi="仿宋" w:eastAsia="仿宋" w:cs="仿宋"/>
          <w:color w:val="000000"/>
          <w:sz w:val="24"/>
        </w:rPr>
        <w:t>附件4：商务条款响应/偏离表</w:t>
      </w:r>
      <w:bookmarkEnd w:id="67"/>
      <w:bookmarkEnd w:id="68"/>
      <w:bookmarkEnd w:id="69"/>
    </w:p>
    <w:p>
      <w:pPr>
        <w:adjustRightInd w:val="0"/>
        <w:snapToGrid w:val="0"/>
        <w:spacing w:before="240" w:after="240" w:line="400" w:lineRule="exact"/>
        <w:jc w:val="center"/>
        <w:rPr>
          <w:rFonts w:ascii="仿宋" w:hAnsi="仿宋" w:eastAsia="仿宋" w:cs="仿宋"/>
          <w:color w:val="000000"/>
          <w:sz w:val="24"/>
        </w:rPr>
      </w:pPr>
      <w:bookmarkStart w:id="70" w:name="_Toc211248414"/>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商务条款响应/偏离表</w:t>
      </w:r>
    </w:p>
    <w:tbl>
      <w:tblPr>
        <w:tblStyle w:val="3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谈判文件商务要求</w:t>
            </w:r>
          </w:p>
        </w:tc>
        <w:tc>
          <w:tcPr>
            <w:tcW w:w="3224"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3836"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商务要求明细</w:t>
            </w:r>
          </w:p>
        </w:tc>
        <w:tc>
          <w:tcPr>
            <w:tcW w:w="1559"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3836" w:type="dxa"/>
          </w:tcPr>
          <w:p>
            <w:pPr>
              <w:adjustRightInd w:val="0"/>
              <w:snapToGrid w:val="0"/>
              <w:spacing w:line="400" w:lineRule="exact"/>
              <w:jc w:val="left"/>
              <w:rPr>
                <w:rFonts w:ascii="仿宋" w:hAnsi="仿宋" w:eastAsia="仿宋" w:cs="仿宋"/>
                <w:bCs/>
                <w:color w:val="000000"/>
                <w:sz w:val="24"/>
              </w:rPr>
            </w:pPr>
            <w:r>
              <w:rPr>
                <w:rFonts w:hint="eastAsia" w:ascii="仿宋" w:hAnsi="仿宋" w:eastAsia="仿宋" w:cs="仿宋"/>
                <w:bCs/>
                <w:color w:val="000000"/>
                <w:sz w:val="24"/>
              </w:rPr>
              <w:t>……</w:t>
            </w: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bCs/>
          <w:color w:val="000000"/>
          <w:sz w:val="24"/>
        </w:rPr>
      </w:pPr>
    </w:p>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1.本表中的《谈判文件商务要求》来自于谈判文件第二部分第一节“商务要求”，投标人须逐条填写在本表中，并对《投标人响应》下的三栏要求作出响应。</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ascii="仿宋" w:hAnsi="仿宋" w:eastAsia="仿宋" w:cs="仿宋"/>
          <w:b/>
          <w:color w:val="000000"/>
          <w:sz w:val="24"/>
        </w:rPr>
      </w:pPr>
      <w:r>
        <w:rPr>
          <w:rFonts w:hint="eastAsia" w:ascii="仿宋" w:hAnsi="仿宋" w:eastAsia="仿宋" w:cs="仿宋"/>
          <w:color w:val="000000"/>
          <w:sz w:val="24"/>
        </w:rPr>
        <w:t>3.《有/无偏离》栏只需填“有”或“</w:t>
      </w:r>
      <w:r>
        <w:rPr>
          <w:rFonts w:hint="eastAsia" w:ascii="仿宋" w:hAnsi="仿宋" w:eastAsia="仿宋" w:cs="仿宋"/>
          <w:color w:val="auto"/>
          <w:sz w:val="24"/>
        </w:rPr>
        <w:t>无”。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ascii="仿宋" w:hAnsi="仿宋" w:eastAsia="仿宋" w:cs="仿宋"/>
          <w:color w:val="000000"/>
          <w:sz w:val="24"/>
        </w:rPr>
      </w:pPr>
    </w:p>
    <w:p>
      <w:pPr>
        <w:adjustRightInd w:val="0"/>
        <w:snapToGrid w:val="0"/>
        <w:spacing w:line="400" w:lineRule="exact"/>
        <w:rPr>
          <w:rFonts w:ascii="仿宋" w:hAnsi="仿宋" w:eastAsia="仿宋" w:cs="仿宋"/>
          <w:color w:val="000000"/>
          <w:sz w:val="24"/>
          <w:u w:val="single"/>
        </w:rPr>
      </w:pPr>
      <w:r>
        <w:rPr>
          <w:rFonts w:hint="eastAsia" w:ascii="仿宋" w:hAnsi="仿宋" w:eastAsia="仿宋" w:cs="仿宋"/>
          <w:color w:val="000000"/>
          <w:sz w:val="24"/>
        </w:rPr>
        <w:t>谈判代表签字:</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bookmarkEnd w:id="70"/>
    </w:p>
    <w:p>
      <w:pPr>
        <w:spacing w:line="360" w:lineRule="auto"/>
        <w:rPr>
          <w:rFonts w:ascii="仿宋" w:hAnsi="仿宋" w:eastAsia="仿宋" w:cs="仿宋"/>
          <w:sz w:val="24"/>
          <w:u w:val="single"/>
        </w:rPr>
      </w:pPr>
      <w:r>
        <w:rPr>
          <w:rFonts w:hint="eastAsia" w:ascii="仿宋" w:hAnsi="仿宋" w:eastAsia="仿宋" w:cs="仿宋"/>
          <w:sz w:val="24"/>
        </w:rPr>
        <w:t>日期：______________________________</w:t>
      </w:r>
    </w:p>
    <w:p>
      <w:pPr>
        <w:pageBreakBefore/>
        <w:adjustRightInd w:val="0"/>
        <w:snapToGrid w:val="0"/>
        <w:spacing w:line="400" w:lineRule="exact"/>
        <w:outlineLvl w:val="2"/>
        <w:rPr>
          <w:rFonts w:ascii="仿宋" w:hAnsi="仿宋" w:eastAsia="仿宋" w:cs="仿宋"/>
          <w:color w:val="000000"/>
          <w:sz w:val="24"/>
        </w:rPr>
      </w:pPr>
      <w:bookmarkStart w:id="71" w:name="_Toc85808702"/>
      <w:bookmarkStart w:id="72" w:name="_Toc236803114"/>
      <w:bookmarkStart w:id="73" w:name="_Toc10818"/>
      <w:bookmarkStart w:id="74" w:name="_Toc211243319"/>
      <w:bookmarkStart w:id="75" w:name="_Toc236803113"/>
      <w:r>
        <w:rPr>
          <w:rFonts w:hint="eastAsia" w:ascii="仿宋" w:hAnsi="仿宋" w:eastAsia="仿宋" w:cs="仿宋"/>
          <w:color w:val="000000"/>
          <w:sz w:val="24"/>
        </w:rPr>
        <w:t>附件5： 技术（服务）响应/偏离表</w:t>
      </w:r>
      <w:bookmarkEnd w:id="71"/>
      <w:bookmarkEnd w:id="72"/>
      <w:bookmarkEnd w:id="73"/>
    </w:p>
    <w:p>
      <w:pPr>
        <w:adjustRightInd w:val="0"/>
        <w:snapToGrid w:val="0"/>
        <w:spacing w:before="240" w:after="240" w:line="400" w:lineRule="exact"/>
        <w:jc w:val="center"/>
        <w:rPr>
          <w:rFonts w:ascii="仿宋" w:hAnsi="仿宋" w:eastAsia="仿宋" w:cs="仿宋"/>
          <w:color w:val="000000"/>
          <w:sz w:val="24"/>
        </w:rPr>
      </w:pPr>
      <w:bookmarkStart w:id="76" w:name="_Toc211248420"/>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技术（服务）响应/偏离表</w:t>
      </w:r>
    </w:p>
    <w:tbl>
      <w:tblPr>
        <w:tblStyle w:val="3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谈判文件技术（服务）内容</w:t>
            </w:r>
          </w:p>
        </w:tc>
        <w:tc>
          <w:tcPr>
            <w:tcW w:w="2239"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5443" w:type="dxa"/>
            <w:vAlign w:val="center"/>
          </w:tcPr>
          <w:p>
            <w:pPr>
              <w:adjustRightInd w:val="0"/>
              <w:snapToGrid w:val="0"/>
              <w:spacing w:line="400" w:lineRule="exact"/>
              <w:ind w:left="55" w:leftChars="-183" w:hanging="439" w:hangingChars="183"/>
              <w:jc w:val="center"/>
              <w:rPr>
                <w:rFonts w:ascii="仿宋" w:hAnsi="仿宋" w:eastAsia="仿宋" w:cs="仿宋"/>
                <w:color w:val="000000"/>
                <w:sz w:val="24"/>
              </w:rPr>
            </w:pPr>
            <w:r>
              <w:rPr>
                <w:rFonts w:hint="eastAsia" w:ascii="仿宋" w:hAnsi="仿宋" w:eastAsia="仿宋" w:cs="仿宋"/>
                <w:color w:val="000000"/>
                <w:sz w:val="24"/>
              </w:rPr>
              <w:t>技术（服务）明细</w:t>
            </w:r>
          </w:p>
        </w:tc>
        <w:tc>
          <w:tcPr>
            <w:tcW w:w="998"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ind w:firstLine="470" w:firstLineChars="196"/>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0"/>
              </w:numPr>
              <w:adjustRightInd w:val="0"/>
              <w:snapToGrid w:val="0"/>
              <w:spacing w:line="400" w:lineRule="exact"/>
              <w:jc w:val="center"/>
              <w:rPr>
                <w:rFonts w:ascii="仿宋" w:hAnsi="仿宋" w:eastAsia="仿宋" w:cs="仿宋"/>
                <w:color w:val="000000"/>
                <w:sz w:val="24"/>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1.本表中的《谈判文件技术（服务）内容》来自于谈判文件第二部分第二节“</w:t>
      </w:r>
      <w:r>
        <w:rPr>
          <w:rFonts w:hint="eastAsia" w:ascii="仿宋" w:hAnsi="仿宋" w:eastAsia="仿宋" w:cs="仿宋"/>
          <w:bCs/>
          <w:color w:val="000000"/>
          <w:kern w:val="0"/>
          <w:sz w:val="24"/>
          <w:lang w:val="zh-CN"/>
        </w:rPr>
        <w:t>技术要求</w:t>
      </w:r>
      <w:r>
        <w:rPr>
          <w:rFonts w:hint="eastAsia" w:ascii="仿宋" w:hAnsi="仿宋" w:eastAsia="仿宋" w:cs="仿宋"/>
          <w:color w:val="000000"/>
          <w:sz w:val="24"/>
        </w:rPr>
        <w:t>”，投标人须逐条填写在本表中，并对《投标人响应》下的三栏要求作出响应。</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不能通过符合性检查。</w:t>
      </w:r>
    </w:p>
    <w:p>
      <w:pPr>
        <w:adjustRightInd w:val="0"/>
        <w:snapToGrid w:val="0"/>
        <w:spacing w:line="400" w:lineRule="exact"/>
        <w:ind w:left="636" w:leftChars="200" w:hanging="216" w:hangingChars="90"/>
        <w:rPr>
          <w:rFonts w:ascii="仿宋" w:hAnsi="仿宋" w:eastAsia="仿宋" w:cs="仿宋"/>
          <w:color w:val="auto"/>
          <w:sz w:val="24"/>
        </w:rPr>
      </w:pPr>
      <w:r>
        <w:rPr>
          <w:rFonts w:hint="eastAsia" w:ascii="仿宋" w:hAnsi="仿宋" w:eastAsia="仿宋" w:cs="仿宋"/>
          <w:color w:val="000000"/>
          <w:sz w:val="24"/>
        </w:rPr>
        <w:t>3.《有/无偏离》栏只需填“有”或“无”。</w:t>
      </w:r>
      <w:r>
        <w:rPr>
          <w:rFonts w:hint="eastAsia" w:ascii="仿宋" w:hAnsi="仿宋" w:eastAsia="仿宋" w:cs="仿宋"/>
          <w:color w:val="auto"/>
          <w:sz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ascii="仿宋" w:hAnsi="仿宋" w:eastAsia="仿宋" w:cs="仿宋"/>
          <w:color w:val="000000"/>
          <w:sz w:val="24"/>
        </w:rPr>
      </w:pPr>
    </w:p>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谈判代表签字: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bookmarkEnd w:id="76"/>
    </w:p>
    <w:p>
      <w:pPr>
        <w:spacing w:line="360" w:lineRule="auto"/>
        <w:rPr>
          <w:rFonts w:ascii="仿宋" w:hAnsi="仿宋" w:eastAsia="仿宋" w:cs="仿宋"/>
          <w:sz w:val="24"/>
          <w:u w:val="single"/>
        </w:rPr>
      </w:pPr>
      <w:r>
        <w:rPr>
          <w:rFonts w:hint="eastAsia" w:ascii="仿宋" w:hAnsi="仿宋" w:eastAsia="仿宋" w:cs="仿宋"/>
          <w:sz w:val="24"/>
        </w:rPr>
        <w:t>日期：______________________________</w:t>
      </w:r>
    </w:p>
    <w:p>
      <w:pPr>
        <w:adjustRightInd w:val="0"/>
        <w:snapToGrid w:val="0"/>
        <w:spacing w:line="400" w:lineRule="exact"/>
        <w:jc w:val="left"/>
        <w:rPr>
          <w:rFonts w:ascii="仿宋" w:hAnsi="仿宋" w:eastAsia="仿宋"/>
          <w:color w:val="000000"/>
          <w:sz w:val="28"/>
          <w:szCs w:val="28"/>
          <w:u w:val="single"/>
        </w:rPr>
      </w:pPr>
    </w:p>
    <w:bookmarkEnd w:id="74"/>
    <w:p>
      <w:pPr>
        <w:pStyle w:val="5"/>
        <w:keepNext w:val="0"/>
        <w:keepLines w:val="0"/>
        <w:pageBreakBefore/>
        <w:snapToGrid w:val="0"/>
        <w:spacing w:before="0" w:after="0" w:line="400" w:lineRule="exact"/>
        <w:rPr>
          <w:rFonts w:ascii="仿宋" w:hAnsi="仿宋" w:eastAsia="仿宋"/>
          <w:b w:val="0"/>
          <w:color w:val="000000"/>
          <w:sz w:val="28"/>
          <w:szCs w:val="28"/>
        </w:rPr>
      </w:pPr>
      <w:bookmarkStart w:id="77" w:name="_Toc16707"/>
      <w:bookmarkStart w:id="78" w:name="_Toc85808703"/>
      <w:r>
        <w:rPr>
          <w:rFonts w:hint="eastAsia" w:ascii="仿宋" w:hAnsi="仿宋" w:eastAsia="仿宋"/>
          <w:b w:val="0"/>
          <w:color w:val="000000"/>
          <w:sz w:val="28"/>
          <w:szCs w:val="28"/>
        </w:rPr>
        <w:t>附件6： 法定代表人证明书</w:t>
      </w:r>
      <w:bookmarkEnd w:id="77"/>
      <w:bookmarkEnd w:id="78"/>
    </w:p>
    <w:p>
      <w:pPr>
        <w:adjustRightInd w:val="0"/>
        <w:snapToGrid w:val="0"/>
        <w:spacing w:line="400" w:lineRule="exact"/>
        <w:jc w:val="center"/>
        <w:rPr>
          <w:rFonts w:ascii="仿宋" w:hAnsi="仿宋" w:eastAsia="仿宋"/>
          <w:bCs/>
          <w:color w:val="000000"/>
          <w:sz w:val="28"/>
          <w:szCs w:val="28"/>
        </w:rPr>
      </w:pPr>
    </w:p>
    <w:p>
      <w:pPr>
        <w:adjustRightInd w:val="0"/>
        <w:snapToGrid w:val="0"/>
        <w:spacing w:line="400" w:lineRule="exact"/>
        <w:jc w:val="center"/>
        <w:rPr>
          <w:rFonts w:ascii="仿宋" w:hAnsi="仿宋" w:eastAsia="仿宋"/>
          <w:bCs/>
          <w:color w:val="000000"/>
          <w:sz w:val="28"/>
          <w:szCs w:val="28"/>
        </w:rPr>
      </w:pPr>
    </w:p>
    <w:p>
      <w:pPr>
        <w:adjustRightInd w:val="0"/>
        <w:snapToGrid w:val="0"/>
        <w:jc w:val="center"/>
        <w:rPr>
          <w:rFonts w:ascii="宋体" w:hAnsi="宋体"/>
          <w:b/>
          <w:color w:val="000000"/>
          <w:sz w:val="32"/>
          <w:szCs w:val="32"/>
        </w:rPr>
      </w:pPr>
      <w:r>
        <w:rPr>
          <w:rFonts w:hint="eastAsia" w:ascii="方正小标宋_GBK" w:hAnsi="方正小标宋_GBK" w:eastAsia="方正小标宋_GBK"/>
          <w:b/>
          <w:color w:val="000000"/>
          <w:sz w:val="32"/>
          <w:szCs w:val="32"/>
        </w:rPr>
        <w:t>法定代表人证明书</w:t>
      </w:r>
    </w:p>
    <w:p>
      <w:pPr>
        <w:adjustRightInd w:val="0"/>
        <w:snapToGrid w:val="0"/>
        <w:spacing w:line="400" w:lineRule="exact"/>
        <w:rPr>
          <w:rFonts w:ascii="仿宋" w:hAnsi="仿宋" w:eastAsia="仿宋"/>
          <w:color w:val="000000"/>
          <w:sz w:val="28"/>
          <w:szCs w:val="28"/>
          <w:u w:val="single"/>
        </w:rPr>
      </w:pP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adjustRightInd w:val="0"/>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特此证明</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说明：1.法定代表人为企业事业单位、国家机关、社会团体的主要行政负责人。</w:t>
      </w: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 xml:space="preserve">      2.内容必须填写真实、清楚，涂改无效，不得转让、买卖。</w:t>
      </w:r>
    </w:p>
    <w:p>
      <w:pPr>
        <w:adjustRightInd w:val="0"/>
        <w:snapToGrid w:val="0"/>
        <w:spacing w:line="400" w:lineRule="exact"/>
        <w:ind w:firstLine="840" w:firstLineChars="300"/>
        <w:rPr>
          <w:rFonts w:ascii="仿宋" w:hAnsi="仿宋" w:eastAsia="仿宋"/>
          <w:color w:val="000000"/>
          <w:sz w:val="28"/>
          <w:szCs w:val="28"/>
        </w:rPr>
      </w:pPr>
      <w:r>
        <w:rPr>
          <w:rFonts w:ascii="仿宋" w:hAnsi="仿宋" w:eastAsia="仿宋"/>
          <w:color w:val="000000"/>
          <w:sz w:val="28"/>
          <w:szCs w:val="28"/>
        </w:rPr>
        <w:t>3.将此证明书提交对方作为合同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64770</wp:posOffset>
                </wp:positionV>
                <wp:extent cx="2994025" cy="2095500"/>
                <wp:effectExtent l="4445" t="4445" r="11430" b="14605"/>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4.15pt;margin-top:5.1pt;height:165pt;width:235.75pt;z-index:251660288;mso-width-relative:page;mso-height-relative:page;" fillcolor="#FFFFFF" filled="t" stroked="t" coordsize="21600,21600" o:gfxdata="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I1w3bYAAAACgEA&#10;AA8AAAAAAAAAAQAgAAAAIgAAAGRycy9kb3ducmV2LnhtbFBLAQIUABQAAAAIAIdO4kCyZybKGgIA&#10;AEcEAAAOAAAAAAAAAAEAIAAAACc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-189230</wp:posOffset>
                </wp:positionV>
                <wp:extent cx="2994025" cy="2095500"/>
                <wp:effectExtent l="4445" t="4445" r="11430" b="1460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8.85pt;margin-top:-14.9pt;height:165pt;width:235.75pt;z-index:251659264;mso-width-relative:page;mso-height-relative:page;" fillcolor="#FFFFFF" filled="t" stroked="t" coordsize="21600,21600" o:gfxdata="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MNTtDZAAAACwEA&#10;AA8AAAAAAAAAAQAgAAAAIgAAAGRycy9kb3ducmV2LnhtbFBLAQIUABQAAAAIAIdO4kBAKg6B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bookmarkEnd w:id="75"/>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79" w:name="_Toc1711"/>
      <w:bookmarkStart w:id="80" w:name="_Toc85808704"/>
      <w:r>
        <w:rPr>
          <w:rFonts w:hint="eastAsia" w:ascii="仿宋" w:hAnsi="仿宋" w:eastAsia="仿宋"/>
          <w:b w:val="0"/>
          <w:color w:val="000000"/>
          <w:sz w:val="28"/>
          <w:szCs w:val="28"/>
        </w:rPr>
        <w:t>附件7：法定代表人授权书</w:t>
      </w:r>
      <w:bookmarkEnd w:id="79"/>
      <w:bookmarkEnd w:id="80"/>
    </w:p>
    <w:p>
      <w:pPr>
        <w:adjustRightInd w:val="0"/>
        <w:snapToGrid w:val="0"/>
        <w:spacing w:line="400" w:lineRule="exact"/>
        <w:jc w:val="center"/>
        <w:rPr>
          <w:rFonts w:ascii="仿宋" w:hAnsi="仿宋" w:eastAsia="仿宋"/>
          <w:bCs/>
          <w:color w:val="000000"/>
          <w:sz w:val="28"/>
          <w:szCs w:val="28"/>
        </w:rPr>
      </w:pPr>
    </w:p>
    <w:p>
      <w:pPr>
        <w:adjustRightInd w:val="0"/>
        <w:snapToGrid w:val="0"/>
        <w:jc w:val="center"/>
        <w:rPr>
          <w:rFonts w:ascii="仿宋" w:hAnsi="仿宋" w:eastAsia="仿宋"/>
          <w:color w:val="000000"/>
          <w:sz w:val="28"/>
          <w:szCs w:val="28"/>
        </w:rPr>
      </w:pPr>
      <w:r>
        <w:rPr>
          <w:rFonts w:hint="eastAsia" w:ascii="方正小标宋_GBK" w:hAnsi="方正小标宋_GBK" w:eastAsia="方正小标宋_GBK"/>
          <w:b/>
          <w:color w:val="000000"/>
          <w:sz w:val="32"/>
          <w:szCs w:val="32"/>
        </w:rPr>
        <w:t>法定代表人授权书</w:t>
      </w:r>
    </w:p>
    <w:p>
      <w:pPr>
        <w:adjustRightInd w:val="0"/>
        <w:snapToGrid w:val="0"/>
        <w:spacing w:line="400" w:lineRule="exact"/>
        <w:rPr>
          <w:rFonts w:ascii="仿宋" w:hAnsi="仿宋" w:eastAsia="仿宋"/>
          <w:color w:val="000000"/>
          <w:sz w:val="28"/>
          <w:szCs w:val="28"/>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单一来源采购谈判的法定代表人的授权委托代理人，代理人全权代表我所签署的本项目已递交的单一来源采购谈判响应文件内容我均承认，并全权代表我参与本项目所有单一来源采购谈判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年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月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tabs>
          <w:tab w:val="left" w:pos="882"/>
        </w:tabs>
        <w:adjustRightInd w:val="0"/>
        <w:snapToGrid w:val="0"/>
        <w:spacing w:line="400" w:lineRule="exact"/>
        <w:rPr>
          <w:rFonts w:ascii="仿宋" w:hAnsi="仿宋" w:eastAsia="仿宋"/>
          <w:color w:val="000000"/>
          <w:sz w:val="28"/>
          <w:szCs w:val="28"/>
        </w:rPr>
      </w:pP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1" w:name="_Toc85808705"/>
      <w:bookmarkStart w:id="82" w:name="_Toc4882"/>
      <w:r>
        <w:rPr>
          <w:rFonts w:hint="eastAsia" w:ascii="仿宋" w:hAnsi="仿宋" w:eastAsia="仿宋"/>
          <w:b w:val="0"/>
          <w:color w:val="000000"/>
          <w:sz w:val="28"/>
          <w:szCs w:val="28"/>
        </w:rPr>
        <w:t>附件8：经营业绩一览表</w:t>
      </w:r>
      <w:bookmarkEnd w:id="81"/>
      <w:bookmarkEnd w:id="82"/>
    </w:p>
    <w:p>
      <w:pPr>
        <w:spacing w:line="360" w:lineRule="auto"/>
        <w:jc w:val="center"/>
        <w:rPr>
          <w:rFonts w:ascii="仿宋" w:hAnsi="仿宋" w:eastAsia="仿宋"/>
          <w:b/>
          <w:sz w:val="28"/>
          <w:szCs w:val="28"/>
        </w:rPr>
      </w:pPr>
    </w:p>
    <w:p>
      <w:pPr>
        <w:adjustRightInd w:val="0"/>
        <w:snapToGrid w:val="0"/>
        <w:spacing w:before="120" w:after="240" w:line="400" w:lineRule="exact"/>
        <w:jc w:val="center"/>
        <w:rPr>
          <w:rFonts w:ascii="方正小标宋_GBK" w:hAnsi="方正小标宋_GBK" w:eastAsia="方正小标宋_GBK"/>
          <w:b/>
          <w:bCs/>
          <w:color w:val="000000"/>
          <w:sz w:val="28"/>
          <w:szCs w:val="28"/>
        </w:rPr>
      </w:pPr>
      <w:r>
        <w:rPr>
          <w:rFonts w:hint="eastAsia" w:ascii="方正小标宋_GBK" w:hAnsi="方正小标宋_GBK" w:eastAsia="方正小标宋_GBK"/>
          <w:b/>
          <w:color w:val="000000"/>
          <w:sz w:val="32"/>
          <w:szCs w:val="32"/>
        </w:rPr>
        <w:t>经营业绩一览表</w:t>
      </w:r>
    </w:p>
    <w:p>
      <w:pPr>
        <w:rPr>
          <w:rFonts w:ascii="仿宋" w:hAnsi="仿宋" w:eastAsia="仿宋"/>
          <w:color w:val="000000"/>
          <w:sz w:val="28"/>
          <w:szCs w:val="28"/>
        </w:rPr>
      </w:pPr>
    </w:p>
    <w:tbl>
      <w:tblPr>
        <w:tblStyle w:val="3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（注：此表格式如不合适，供方可自行调整。）</w:t>
      </w: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napToGrid w:val="0"/>
        <w:spacing w:line="400" w:lineRule="exact"/>
        <w:rPr>
          <w:rFonts w:ascii="仿宋" w:hAnsi="仿宋" w:eastAsia="仿宋"/>
          <w:sz w:val="28"/>
          <w:szCs w:val="28"/>
          <w:u w:val="single"/>
        </w:rPr>
      </w:pPr>
      <w:r>
        <w:rPr>
          <w:rFonts w:hint="eastAsia" w:ascii="仿宋" w:hAnsi="仿宋" w:eastAsia="仿宋"/>
          <w:sz w:val="28"/>
          <w:szCs w:val="28"/>
        </w:rPr>
        <w:t>供方名称及盖章：</w:t>
      </w:r>
      <w:r>
        <w:rPr>
          <w:rFonts w:hint="eastAsia" w:ascii="仿宋" w:hAnsi="仿宋" w:eastAsia="仿宋"/>
          <w:sz w:val="28"/>
          <w:szCs w:val="28"/>
          <w:u w:val="single"/>
        </w:rPr>
        <w:t xml:space="preserve">                        </w:t>
      </w:r>
    </w:p>
    <w:p>
      <w:pPr>
        <w:adjustRightInd w:val="0"/>
        <w:snapToGrid w:val="0"/>
        <w:spacing w:line="400" w:lineRule="exact"/>
        <w:ind w:firstLine="840" w:firstLineChars="300"/>
        <w:rPr>
          <w:rFonts w:ascii="仿宋" w:hAnsi="仿宋" w:eastAsia="仿宋"/>
          <w:color w:val="000000"/>
          <w:sz w:val="28"/>
          <w:szCs w:val="28"/>
          <w:u w:val="single"/>
        </w:rPr>
      </w:pPr>
    </w:p>
    <w:p>
      <w:pPr>
        <w:adjustRightInd w:val="0"/>
        <w:snapToGrid w:val="0"/>
        <w:spacing w:line="400" w:lineRule="exact"/>
        <w:ind w:firstLine="840" w:firstLineChars="300"/>
        <w:rPr>
          <w:rFonts w:ascii="仿宋" w:hAnsi="仿宋" w:eastAsia="仿宋"/>
          <w:color w:val="000000"/>
          <w:sz w:val="28"/>
          <w:szCs w:val="28"/>
          <w:u w:val="single"/>
        </w:rPr>
      </w:pP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3" w:name="_Toc9257"/>
      <w:bookmarkStart w:id="84" w:name="_Toc85808706"/>
      <w:r>
        <w:rPr>
          <w:rFonts w:hint="eastAsia" w:ascii="仿宋" w:hAnsi="仿宋" w:eastAsia="仿宋"/>
          <w:b w:val="0"/>
          <w:color w:val="000000"/>
          <w:sz w:val="28"/>
          <w:szCs w:val="28"/>
        </w:rPr>
        <w:t>附件9：服务承诺书</w:t>
      </w:r>
      <w:bookmarkEnd w:id="83"/>
      <w:bookmarkEnd w:id="84"/>
    </w:p>
    <w:p>
      <w:pPr>
        <w:adjustRightInd w:val="0"/>
        <w:snapToGrid w:val="0"/>
        <w:spacing w:line="400" w:lineRule="exact"/>
        <w:rPr>
          <w:rFonts w:ascii="仿宋" w:hAnsi="仿宋" w:eastAsia="仿宋"/>
          <w:color w:val="000000"/>
          <w:sz w:val="28"/>
          <w:szCs w:val="28"/>
          <w:u w:val="single"/>
        </w:rPr>
      </w:pPr>
    </w:p>
    <w:p>
      <w:pPr>
        <w:jc w:val="center"/>
        <w:rPr>
          <w:rFonts w:ascii="方正小标宋_GBK" w:hAnsi="方正小标宋_GBK" w:eastAsia="方正小标宋_GBK"/>
          <w:b/>
          <w:color w:val="000000"/>
          <w:sz w:val="32"/>
          <w:szCs w:val="32"/>
        </w:rPr>
      </w:pPr>
      <w:r>
        <w:rPr>
          <w:rFonts w:hint="eastAsia" w:ascii="方正小标宋_GBK" w:hAnsi="方正小标宋_GBK" w:eastAsia="方正小标宋_GBK"/>
          <w:b/>
          <w:color w:val="000000"/>
          <w:sz w:val="32"/>
          <w:szCs w:val="32"/>
        </w:rPr>
        <w:t>服务承诺书</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主要内容应包括但不仅限于以下内容：</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（注：供方可根据项目需求及承诺书具体内容自行调整相关格式）</w:t>
      </w:r>
    </w:p>
    <w:p>
      <w:pPr>
        <w:numPr>
          <w:ilvl w:val="0"/>
          <w:numId w:val="21"/>
        </w:numPr>
        <w:spacing w:before="240" w:line="360" w:lineRule="auto"/>
        <w:rPr>
          <w:rFonts w:ascii="仿宋" w:hAnsi="仿宋" w:eastAsia="仿宋"/>
          <w:sz w:val="28"/>
          <w:szCs w:val="28"/>
        </w:rPr>
      </w:pPr>
      <w:r>
        <w:rPr>
          <w:rFonts w:hint="eastAsia" w:ascii="仿宋" w:hAnsi="仿宋" w:eastAsia="仿宋"/>
          <w:sz w:val="28"/>
          <w:szCs w:val="28"/>
        </w:rPr>
        <w:t>服务内容及范围；</w:t>
      </w:r>
    </w:p>
    <w:p>
      <w:pPr>
        <w:numPr>
          <w:ilvl w:val="0"/>
          <w:numId w:val="21"/>
        </w:numPr>
        <w:spacing w:before="240" w:line="360" w:lineRule="auto"/>
        <w:rPr>
          <w:rFonts w:ascii="仿宋" w:hAnsi="仿宋" w:eastAsia="仿宋"/>
          <w:sz w:val="28"/>
          <w:szCs w:val="28"/>
        </w:rPr>
      </w:pPr>
      <w:r>
        <w:rPr>
          <w:rFonts w:hint="eastAsia" w:ascii="仿宋" w:hAnsi="仿宋" w:eastAsia="仿宋"/>
          <w:sz w:val="28"/>
          <w:szCs w:val="28"/>
        </w:rPr>
        <w:t>服务人员安排及联系方式；</w:t>
      </w:r>
    </w:p>
    <w:p>
      <w:pPr>
        <w:numPr>
          <w:ilvl w:val="0"/>
          <w:numId w:val="21"/>
        </w:numPr>
        <w:spacing w:before="240" w:line="360" w:lineRule="auto"/>
        <w:rPr>
          <w:rFonts w:ascii="仿宋" w:hAnsi="仿宋" w:eastAsia="仿宋"/>
          <w:sz w:val="28"/>
          <w:szCs w:val="28"/>
        </w:rPr>
      </w:pPr>
      <w:r>
        <w:rPr>
          <w:rFonts w:hint="eastAsia" w:ascii="仿宋" w:hAnsi="仿宋" w:eastAsia="仿宋"/>
          <w:sz w:val="28"/>
          <w:szCs w:val="28"/>
        </w:rPr>
        <w:t>应急响应时间安排；</w:t>
      </w:r>
    </w:p>
    <w:p>
      <w:pPr>
        <w:numPr>
          <w:ilvl w:val="0"/>
          <w:numId w:val="21"/>
        </w:numPr>
        <w:spacing w:before="240" w:line="360" w:lineRule="auto"/>
        <w:rPr>
          <w:rFonts w:ascii="仿宋" w:hAnsi="仿宋" w:eastAsia="仿宋"/>
          <w:sz w:val="28"/>
          <w:szCs w:val="28"/>
        </w:rPr>
      </w:pPr>
      <w:r>
        <w:rPr>
          <w:rFonts w:hint="eastAsia" w:ascii="仿宋" w:hAnsi="仿宋" w:eastAsia="仿宋"/>
          <w:sz w:val="28"/>
          <w:szCs w:val="28"/>
        </w:rPr>
        <w:t>服务收费标准；</w:t>
      </w:r>
    </w:p>
    <w:p>
      <w:pPr>
        <w:numPr>
          <w:ilvl w:val="0"/>
          <w:numId w:val="21"/>
        </w:numPr>
        <w:spacing w:before="240" w:line="360" w:lineRule="auto"/>
        <w:rPr>
          <w:rFonts w:ascii="仿宋" w:hAnsi="仿宋" w:eastAsia="仿宋"/>
          <w:sz w:val="28"/>
          <w:szCs w:val="28"/>
        </w:rPr>
      </w:pPr>
      <w:r>
        <w:rPr>
          <w:rFonts w:hint="eastAsia" w:ascii="仿宋" w:hAnsi="仿宋" w:eastAsia="仿宋"/>
          <w:sz w:val="28"/>
          <w:szCs w:val="28"/>
        </w:rPr>
        <w:t>其它服务承诺。</w:t>
      </w:r>
    </w:p>
    <w:p>
      <w:pPr>
        <w:widowControl/>
        <w:jc w:val="left"/>
        <w:rPr>
          <w:rFonts w:ascii="仿宋" w:hAnsi="仿宋" w:eastAsia="仿宋"/>
          <w:color w:val="000000"/>
          <w:sz w:val="28"/>
          <w:szCs w:val="28"/>
        </w:rPr>
      </w:pPr>
      <w:r>
        <w:rPr>
          <w:rFonts w:ascii="仿宋" w:hAnsi="仿宋" w:eastAsia="仿宋"/>
          <w:color w:val="000000"/>
          <w:sz w:val="28"/>
          <w:szCs w:val="28"/>
        </w:rPr>
        <w:br w:type="page"/>
      </w: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5" w:name="_Toc10643"/>
      <w:bookmarkStart w:id="86" w:name="_Toc85808707"/>
      <w:r>
        <w:rPr>
          <w:rFonts w:hint="eastAsia" w:ascii="仿宋" w:hAnsi="仿宋" w:eastAsia="仿宋"/>
          <w:b w:val="0"/>
          <w:color w:val="000000"/>
          <w:sz w:val="28"/>
          <w:szCs w:val="28"/>
        </w:rPr>
        <w:t>附件10：</w:t>
      </w:r>
      <w:r>
        <w:rPr>
          <w:rFonts w:hint="eastAsia" w:ascii="仿宋" w:hAnsi="仿宋" w:eastAsia="仿宋"/>
          <w:sz w:val="28"/>
          <w:szCs w:val="28"/>
        </w:rPr>
        <w:t xml:space="preserve"> </w:t>
      </w:r>
      <w:r>
        <w:rPr>
          <w:rFonts w:hint="eastAsia" w:ascii="仿宋" w:hAnsi="仿宋" w:eastAsia="仿宋"/>
          <w:b w:val="0"/>
          <w:color w:val="000000"/>
          <w:sz w:val="28"/>
          <w:szCs w:val="28"/>
        </w:rPr>
        <w:t>履约情况及社会信誉承诺书</w:t>
      </w:r>
      <w:bookmarkEnd w:id="85"/>
      <w:bookmarkEnd w:id="86"/>
    </w:p>
    <w:p>
      <w:pPr>
        <w:adjustRightInd w:val="0"/>
        <w:snapToGrid w:val="0"/>
        <w:jc w:val="center"/>
        <w:rPr>
          <w:rFonts w:ascii="方正小标宋_GBK" w:hAnsi="方正小标宋_GBK" w:eastAsia="方正小标宋_GBK"/>
          <w:b/>
          <w:bCs/>
          <w:sz w:val="36"/>
          <w:szCs w:val="36"/>
        </w:rPr>
      </w:pPr>
    </w:p>
    <w:p>
      <w:pPr>
        <w:adjustRightInd w:val="0"/>
        <w:snapToGrid w:val="0"/>
        <w:jc w:val="center"/>
        <w:rPr>
          <w:rFonts w:ascii="方正小标宋_GBK" w:hAnsi="方正小标宋_GBK" w:eastAsia="方正小标宋_GBK"/>
          <w:b/>
          <w:color w:val="000000"/>
          <w:sz w:val="32"/>
          <w:szCs w:val="32"/>
        </w:rPr>
      </w:pPr>
      <w:r>
        <w:rPr>
          <w:rFonts w:hint="eastAsia" w:ascii="方正小标宋_GBK" w:hAnsi="方正小标宋_GBK" w:eastAsia="方正小标宋_GBK"/>
          <w:b/>
          <w:color w:val="000000"/>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color w:val="000000"/>
          <w:sz w:val="28"/>
          <w:szCs w:val="28"/>
          <w:u w:val="single"/>
        </w:rPr>
        <w:t xml:space="preserve">                        </w:t>
      </w:r>
      <w:r>
        <w:rPr>
          <w:rFonts w:hint="eastAsia" w:ascii="仿宋" w:hAnsi="仿宋" w:eastAsia="仿宋"/>
          <w:sz w:val="28"/>
          <w:szCs w:val="28"/>
        </w:rPr>
        <w:t xml:space="preserve">（采购人）  </w:t>
      </w:r>
    </w:p>
    <w:p>
      <w:pPr>
        <w:tabs>
          <w:tab w:val="left" w:pos="654"/>
          <w:tab w:val="left" w:pos="1734"/>
          <w:tab w:val="left" w:pos="2814"/>
          <w:tab w:val="left" w:pos="3894"/>
          <w:tab w:val="left" w:pos="5334"/>
          <w:tab w:val="left" w:pos="6414"/>
          <w:tab w:val="left" w:pos="7254"/>
          <w:tab w:val="left" w:pos="8574"/>
          <w:tab w:val="left" w:pos="9654"/>
        </w:tabs>
        <w:spacing w:line="360" w:lineRule="auto"/>
        <w:ind w:left="630" w:leftChars="300"/>
        <w:jc w:val="left"/>
        <w:rPr>
          <w:rFonts w:ascii="仿宋" w:hAnsi="仿宋" w:eastAsia="仿宋"/>
          <w:sz w:val="28"/>
          <w:szCs w:val="28"/>
        </w:rPr>
      </w:pPr>
      <w:r>
        <w:rPr>
          <w:rFonts w:hint="eastAsia" w:ascii="仿宋" w:hAnsi="仿宋" w:eastAsia="仿宋"/>
          <w:sz w:val="28"/>
          <w:szCs w:val="28"/>
        </w:rPr>
        <w:t>我司郑重承诺：</w:t>
      </w:r>
    </w:p>
    <w:p>
      <w:pPr>
        <w:numPr>
          <w:ilvl w:val="0"/>
          <w:numId w:val="22"/>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sz w:val="28"/>
          <w:szCs w:val="28"/>
        </w:rPr>
      </w:pPr>
      <w:r>
        <w:rPr>
          <w:rFonts w:hint="eastAsia" w:ascii="仿宋" w:hAnsi="仿宋" w:eastAsia="仿宋"/>
          <w:color w:val="000000"/>
          <w:sz w:val="28"/>
          <w:szCs w:val="28"/>
          <w:u w:val="single"/>
        </w:rPr>
        <w:t xml:space="preserve">                     </w:t>
      </w:r>
      <w:r>
        <w:rPr>
          <w:rFonts w:hint="eastAsia" w:ascii="仿宋" w:hAnsi="仿宋" w:eastAsia="仿宋"/>
          <w:sz w:val="28"/>
          <w:szCs w:val="28"/>
        </w:rPr>
        <w:t>（供方名称）在最近三年内（</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2"/>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（供方名称）及法定代表人在最近三年内（      年   月   日至报名截止时间）没有行贿犯罪记录。</w:t>
      </w:r>
    </w:p>
    <w:p>
      <w:pPr>
        <w:numPr>
          <w:ilvl w:val="0"/>
          <w:numId w:val="22"/>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（供方名称）自      年   月   日至报名截止时间，提供的服务在中国大陆地区项目中无重大安全事故。</w:t>
      </w:r>
    </w:p>
    <w:p>
      <w:p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供方（盖章）：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法定代表人或其授权代理人（签字或盖章）：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spacing w:line="0" w:lineRule="atLeast"/>
        <w:outlineLvl w:val="1"/>
        <w:rPr>
          <w:rFonts w:ascii="仿宋" w:hAnsi="仿宋" w:eastAsia="仿宋"/>
          <w:color w:val="000000"/>
          <w:sz w:val="28"/>
          <w:szCs w:val="28"/>
        </w:rPr>
      </w:pPr>
    </w:p>
    <w:p>
      <w:pPr>
        <w:snapToGrid w:val="0"/>
        <w:spacing w:line="360" w:lineRule="auto"/>
        <w:jc w:val="left"/>
        <w:rPr>
          <w:rFonts w:ascii="宋体" w:hAnsi="宋体"/>
          <w:color w:val="000000"/>
          <w:sz w:val="28"/>
          <w:szCs w:val="28"/>
        </w:rPr>
      </w:pPr>
    </w:p>
    <w:p>
      <w:pPr>
        <w:tabs>
          <w:tab w:val="left" w:pos="7620"/>
        </w:tabs>
        <w:rPr>
          <w:szCs w:val="21"/>
        </w:rPr>
      </w:pPr>
      <w:r>
        <w:rPr>
          <w:szCs w:val="21"/>
        </w:rPr>
        <w:tab/>
      </w:r>
    </w:p>
    <w:p>
      <w:pPr>
        <w:pStyle w:val="2"/>
        <w:rPr>
          <w:rFonts w:hint="default"/>
          <w:szCs w:val="21"/>
        </w:rPr>
      </w:pPr>
    </w:p>
    <w:p>
      <w:pPr>
        <w:pStyle w:val="2"/>
        <w:rPr>
          <w:rFonts w:hint="default"/>
          <w:szCs w:val="21"/>
        </w:rPr>
      </w:pPr>
    </w:p>
    <w:p>
      <w:pPr>
        <w:pStyle w:val="2"/>
        <w:rPr>
          <w:rFonts w:hint="default"/>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r>
        <w:rPr>
          <w:rFonts w:hint="eastAsia" w:ascii="仿宋" w:hAnsi="仿宋" w:eastAsia="仿宋"/>
          <w:color w:val="000000"/>
          <w:sz w:val="28"/>
          <w:szCs w:val="28"/>
        </w:rPr>
        <w:t>附件11：</w:t>
      </w:r>
      <w:r>
        <w:rPr>
          <w:rFonts w:hint="eastAsia" w:ascii="宋体" w:hAnsi="宋体" w:cs="宋体"/>
          <w:sz w:val="28"/>
          <w:szCs w:val="28"/>
        </w:rPr>
        <w:t>合同条款及格式</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第二十四届高交会视觉识别系统规范手册</w:t>
      </w:r>
    </w:p>
    <w:p>
      <w:pPr>
        <w:jc w:val="center"/>
        <w:rPr>
          <w:rFonts w:ascii="方正小标宋简体" w:eastAsia="方正小标宋简体"/>
          <w:sz w:val="44"/>
          <w:szCs w:val="44"/>
        </w:rPr>
      </w:pPr>
      <w:r>
        <w:rPr>
          <w:rFonts w:hint="eastAsia" w:ascii="方正小标宋简体" w:hAnsi="宋体" w:eastAsia="方正小标宋简体"/>
          <w:sz w:val="44"/>
          <w:szCs w:val="44"/>
        </w:rPr>
        <w:t>设计项目合同书</w:t>
      </w:r>
    </w:p>
    <w:p>
      <w:pPr>
        <w:jc w:val="center"/>
        <w:rPr>
          <w:rFonts w:ascii="宋体"/>
          <w:sz w:val="36"/>
          <w:szCs w:val="36"/>
        </w:rPr>
      </w:pPr>
      <w:r>
        <w:rPr>
          <w:rFonts w:hint="eastAsia" w:ascii="宋体"/>
          <w:sz w:val="36"/>
          <w:szCs w:val="36"/>
        </w:rPr>
        <w:t>（仅供参考）</w:t>
      </w:r>
    </w:p>
    <w:p>
      <w:pPr>
        <w:pStyle w:val="2"/>
        <w:rPr>
          <w:rFonts w:hint="default"/>
        </w:rPr>
      </w:pP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甲方（采购方）：深圳会展中心管理有限责任公司 </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地址：深圳市福田区福华三路111号深圳会展中心</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法定代表人：岳启伟</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项目联系人：黄奕璋</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联系电话：0755-82848</w:t>
      </w:r>
      <w:r>
        <w:rPr>
          <w:rFonts w:ascii="仿宋" w:hAnsi="仿宋" w:eastAsia="仿宋" w:cs="仿宋"/>
          <w:color w:val="000000" w:themeColor="text1"/>
          <w:sz w:val="28"/>
          <w:szCs w:val="28"/>
          <w14:textFill>
            <w14:solidFill>
              <w14:schemeClr w14:val="tx1"/>
            </w14:solidFill>
          </w14:textFill>
        </w:rPr>
        <w:t>822</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乙方：深圳市华思设计有限公司</w:t>
      </w:r>
    </w:p>
    <w:p>
      <w:pPr>
        <w:rPr>
          <w:rFonts w:ascii="仿宋" w:hAnsi="仿宋" w:eastAsia="仿宋" w:cs="仿宋"/>
          <w:sz w:val="28"/>
          <w:szCs w:val="28"/>
        </w:rPr>
      </w:pPr>
      <w:r>
        <w:rPr>
          <w:rFonts w:hint="eastAsia" w:ascii="仿宋" w:hAnsi="仿宋" w:eastAsia="仿宋" w:cs="仿宋"/>
          <w:sz w:val="28"/>
          <w:szCs w:val="28"/>
        </w:rPr>
        <w:t>地址：深圳市福田区深南大道</w:t>
      </w:r>
      <w:r>
        <w:rPr>
          <w:rFonts w:ascii="仿宋" w:hAnsi="仿宋" w:eastAsia="仿宋" w:cs="仿宋"/>
          <w:sz w:val="28"/>
          <w:szCs w:val="28"/>
        </w:rPr>
        <w:t>2008号中国凤凰大厦2栋28H</w:t>
      </w:r>
    </w:p>
    <w:p>
      <w:pPr>
        <w:rPr>
          <w:rFonts w:ascii="仿宋" w:hAnsi="仿宋" w:eastAsia="仿宋" w:cs="仿宋"/>
          <w:sz w:val="28"/>
          <w:szCs w:val="28"/>
        </w:rPr>
      </w:pPr>
      <w:r>
        <w:rPr>
          <w:rFonts w:hint="eastAsia" w:ascii="仿宋" w:hAnsi="仿宋" w:eastAsia="仿宋" w:cs="仿宋"/>
          <w:sz w:val="28"/>
          <w:szCs w:val="28"/>
        </w:rPr>
        <w:t>法定代表人：陈瑞媛</w:t>
      </w:r>
    </w:p>
    <w:p>
      <w:pPr>
        <w:rPr>
          <w:rFonts w:ascii="仿宋" w:hAnsi="仿宋" w:eastAsia="仿宋" w:cs="仿宋"/>
          <w:sz w:val="28"/>
          <w:szCs w:val="28"/>
        </w:rPr>
      </w:pPr>
      <w:r>
        <w:rPr>
          <w:rFonts w:hint="eastAsia" w:ascii="仿宋" w:hAnsi="仿宋" w:eastAsia="仿宋" w:cs="仿宋"/>
          <w:sz w:val="28"/>
          <w:szCs w:val="28"/>
        </w:rPr>
        <w:t>项目联系人：朱珊珊</w:t>
      </w:r>
    </w:p>
    <w:p>
      <w:pPr>
        <w:rPr>
          <w:rFonts w:ascii="仿宋" w:hAnsi="仿宋" w:eastAsia="仿宋" w:cs="仿宋"/>
          <w:sz w:val="28"/>
          <w:szCs w:val="28"/>
        </w:rPr>
      </w:pPr>
      <w:r>
        <w:rPr>
          <w:rFonts w:hint="eastAsia" w:ascii="仿宋" w:hAnsi="仿宋" w:eastAsia="仿宋" w:cs="仿宋"/>
          <w:sz w:val="28"/>
          <w:szCs w:val="28"/>
        </w:rPr>
        <w:t>电话：</w:t>
      </w:r>
      <w:r>
        <w:rPr>
          <w:rFonts w:ascii="仿宋" w:hAnsi="仿宋" w:eastAsia="仿宋" w:cs="仿宋"/>
          <w:sz w:val="28"/>
          <w:szCs w:val="28"/>
        </w:rPr>
        <w:t>0755-82869505，13590272433</w:t>
      </w:r>
    </w:p>
    <w:p>
      <w:pP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依据《中华人民共和国民法典》及有关法律、法规的规定，甲乙双方就甲方委托乙方设计第二十四届中国国际高新技术成果交易会（以下简称“第二十四届高交会”）视觉识别系统规范手册事宜，在平等互利、协商一致的基础上，签订本合同。</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一、委托设计内容</w:t>
      </w:r>
    </w:p>
    <w:p>
      <w:pPr>
        <w:ind w:firstLine="560" w:firstLineChars="200"/>
        <w:rPr>
          <w:rFonts w:ascii="仿宋" w:hAnsi="仿宋" w:eastAsia="仿宋" w:cs="仿宋"/>
          <w:sz w:val="28"/>
          <w:szCs w:val="28"/>
        </w:rPr>
      </w:pPr>
      <w:r>
        <w:rPr>
          <w:rFonts w:hint="eastAsia" w:ascii="仿宋" w:hAnsi="仿宋" w:eastAsia="仿宋" w:cs="仿宋"/>
          <w:sz w:val="28"/>
          <w:szCs w:val="28"/>
        </w:rPr>
        <w:t>根据《高交会视觉识别系统（</w:t>
      </w:r>
      <w:r>
        <w:rPr>
          <w:rFonts w:ascii="仿宋" w:hAnsi="仿宋" w:eastAsia="仿宋" w:cs="仿宋"/>
          <w:sz w:val="28"/>
          <w:szCs w:val="28"/>
        </w:rPr>
        <w:t>2021版）》和第二十四届高交会的要求及特点，由乙方设计第二十四届高交会展会辅助图形（当届高交会展览形象主视觉），并详细规范延展应用设计标准，以及展会现场的展览形象、标识指示等延展应用设计示例，编制完成《第二十四届高交会视觉识别系统规范手册》，设计内容详见附件。</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二、委托设计要求</w:t>
      </w:r>
    </w:p>
    <w:p>
      <w:pPr>
        <w:ind w:firstLine="560" w:firstLineChars="200"/>
        <w:rPr>
          <w:rFonts w:ascii="仿宋" w:hAnsi="仿宋" w:eastAsia="仿宋" w:cs="仿宋"/>
          <w:sz w:val="28"/>
          <w:szCs w:val="28"/>
        </w:rPr>
      </w:pPr>
      <w:r>
        <w:rPr>
          <w:rFonts w:ascii="仿宋" w:hAnsi="仿宋" w:eastAsia="仿宋" w:cs="仿宋"/>
          <w:sz w:val="28"/>
          <w:szCs w:val="28"/>
        </w:rPr>
        <w:t>1、所有设计项目不可偏离原有高交会视觉识别系统的规范与风格。</w:t>
      </w:r>
    </w:p>
    <w:p>
      <w:pPr>
        <w:ind w:firstLine="560" w:firstLineChars="200"/>
        <w:rPr>
          <w:rFonts w:ascii="仿宋" w:hAnsi="仿宋" w:eastAsia="仿宋" w:cs="仿宋"/>
          <w:sz w:val="28"/>
          <w:szCs w:val="28"/>
        </w:rPr>
      </w:pPr>
      <w:r>
        <w:rPr>
          <w:rFonts w:ascii="仿宋" w:hAnsi="仿宋" w:eastAsia="仿宋" w:cs="仿宋"/>
          <w:sz w:val="28"/>
          <w:szCs w:val="28"/>
        </w:rPr>
        <w:t>2、设计避免雷同，不得抄袭，其应用设计部分要充分考虑材料可替换性的同时，结合第二十四届高交会展览场地现场，做到以人为本，规范清晰、应用合理、引人注目，给参会者获得耳目一新的感觉。</w:t>
      </w:r>
    </w:p>
    <w:p>
      <w:pPr>
        <w:ind w:firstLine="560" w:firstLineChars="200"/>
        <w:rPr>
          <w:rFonts w:ascii="仿宋" w:hAnsi="仿宋" w:eastAsia="仿宋" w:cs="仿宋"/>
          <w:sz w:val="28"/>
          <w:szCs w:val="28"/>
        </w:rPr>
      </w:pPr>
      <w:r>
        <w:rPr>
          <w:rFonts w:hint="eastAsia" w:ascii="仿宋" w:hAnsi="仿宋" w:eastAsia="仿宋" w:cs="仿宋"/>
          <w:sz w:val="28"/>
          <w:szCs w:val="28"/>
        </w:rPr>
        <w:t>三、委托设计费用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本合同设计费用总计金额为人民币XXXX整（¥XXX元）。该费用包设计费、人工费、差旅费及增值税等完成本合同项下工作的全部费用。</w:t>
      </w:r>
    </w:p>
    <w:p>
      <w:pPr>
        <w:ind w:firstLine="560" w:firstLineChars="200"/>
        <w:rPr>
          <w:rFonts w:ascii="仿宋" w:hAnsi="仿宋" w:eastAsia="仿宋" w:cs="仿宋"/>
          <w:sz w:val="28"/>
          <w:szCs w:val="28"/>
        </w:rPr>
      </w:pPr>
      <w:r>
        <w:rPr>
          <w:rFonts w:hint="eastAsia" w:ascii="仿宋" w:hAnsi="仿宋" w:eastAsia="仿宋" w:cs="仿宋"/>
          <w:sz w:val="28"/>
          <w:szCs w:val="28"/>
        </w:rPr>
        <w:t>四、付款方式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1、本合同签署后，甲方在20个工作日内向乙方支付合同总金额的50%，即人民币XXX整（¥XXX元）。</w:t>
      </w:r>
    </w:p>
    <w:p>
      <w:pPr>
        <w:ind w:firstLine="560" w:firstLineChars="200"/>
        <w:rPr>
          <w:rFonts w:ascii="仿宋" w:hAnsi="仿宋" w:eastAsia="仿宋" w:cs="仿宋"/>
          <w:sz w:val="28"/>
          <w:szCs w:val="28"/>
        </w:rPr>
      </w:pPr>
      <w:r>
        <w:rPr>
          <w:rFonts w:hint="eastAsia" w:ascii="仿宋" w:hAnsi="仿宋" w:eastAsia="仿宋" w:cs="仿宋"/>
          <w:sz w:val="28"/>
          <w:szCs w:val="28"/>
        </w:rPr>
        <w:t>2、乙方按本合同完成所有设计工作，交付本合同项目设计成果且验收通过后，甲方在20个工作日内支付本合同尾额，即人民币XXX整（¥</w:t>
      </w:r>
      <w:r>
        <w:rPr>
          <w:rFonts w:ascii="仿宋" w:hAnsi="仿宋" w:eastAsia="仿宋" w:cs="仿宋"/>
          <w:sz w:val="28"/>
          <w:szCs w:val="28"/>
        </w:rPr>
        <w:t>XXX</w:t>
      </w:r>
      <w:r>
        <w:rPr>
          <w:rFonts w:hint="eastAsia" w:ascii="仿宋" w:hAnsi="仿宋" w:eastAsia="仿宋" w:cs="仿宋"/>
          <w:sz w:val="28"/>
          <w:szCs w:val="28"/>
        </w:rPr>
        <w:t>元）。</w:t>
      </w:r>
    </w:p>
    <w:p>
      <w:pPr>
        <w:pStyle w:val="2"/>
        <w:rPr>
          <w:rFonts w:hint="default" w:ascii="仿宋" w:hAnsi="仿宋" w:eastAsia="仿宋" w:cs="仿宋"/>
          <w:szCs w:val="28"/>
        </w:rPr>
      </w:pPr>
      <w:r>
        <w:rPr>
          <w:rFonts w:ascii="仿宋" w:hAnsi="仿宋" w:eastAsia="仿宋" w:cs="仿宋"/>
          <w:szCs w:val="28"/>
        </w:rPr>
        <w:t xml:space="preserve">    3、甲方办理付款手续前，乙方须向甲方提供真实有效的等额增值税发票。</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五、项目完成时间及交付方式</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需在双方签署合同后5个工作日内提交第二十四届高交会展会辅助图形（当届高交会展览形象主视觉）的设计方案由采购人审定，20个工作日内提交《第二十四届高交会视觉识别系统规范手册》的设计初稿文件。在2022年8月10日前</w:t>
      </w:r>
      <w:r>
        <w:rPr>
          <w:rFonts w:hint="eastAsia" w:ascii="仿宋" w:hAnsi="仿宋" w:eastAsia="仿宋" w:cs="仿宋"/>
          <w:sz w:val="28"/>
          <w:szCs w:val="28"/>
        </w:rPr>
        <w:t>交</w:t>
      </w:r>
      <w:r>
        <w:rPr>
          <w:rFonts w:hint="eastAsia" w:ascii="仿宋" w:hAnsi="仿宋" w:eastAsia="仿宋" w:cs="仿宋"/>
          <w:color w:val="000000" w:themeColor="text1"/>
          <w:sz w:val="28"/>
          <w:szCs w:val="28"/>
          <w14:textFill>
            <w14:solidFill>
              <w14:schemeClr w14:val="tx1"/>
            </w14:solidFill>
          </w14:textFill>
        </w:rPr>
        <w:t>付经甲方确认无误的最终正稿文件。因甲方反复提出修改意见导致乙方工作不能按时完成时，可延期执行，延期时间由双方协商确定。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2、乙方将</w:t>
      </w:r>
      <w:r>
        <w:rPr>
          <w:rFonts w:hint="eastAsia" w:ascii="仿宋" w:hAnsi="仿宋" w:eastAsia="仿宋" w:cs="仿宋"/>
          <w:color w:val="000000" w:themeColor="text1"/>
          <w:sz w:val="28"/>
          <w:szCs w:val="28"/>
          <w14:textFill>
            <w14:solidFill>
              <w14:schemeClr w14:val="tx1"/>
            </w14:solidFill>
          </w14:textFill>
        </w:rPr>
        <w:t>最终正稿文件</w:t>
      </w:r>
      <w:r>
        <w:rPr>
          <w:rFonts w:hint="eastAsia" w:ascii="仿宋" w:hAnsi="仿宋" w:eastAsia="仿宋" w:cs="仿宋"/>
          <w:sz w:val="28"/>
          <w:szCs w:val="28"/>
        </w:rPr>
        <w:t>《第二十四届高交会视觉别系统规范手册》以原始矢量设计电子文件（CDR或AI）和PDF以及成册印制5份提交给甲方。</w:t>
      </w:r>
    </w:p>
    <w:p>
      <w:pPr>
        <w:ind w:firstLine="560" w:firstLineChars="200"/>
        <w:rPr>
          <w:rFonts w:ascii="仿宋" w:hAnsi="仿宋" w:eastAsia="仿宋" w:cs="仿宋"/>
          <w:sz w:val="28"/>
          <w:szCs w:val="28"/>
        </w:rPr>
      </w:pPr>
      <w:r>
        <w:rPr>
          <w:rFonts w:hint="eastAsia" w:ascii="仿宋" w:hAnsi="仿宋" w:eastAsia="仿宋" w:cs="仿宋"/>
          <w:sz w:val="28"/>
          <w:szCs w:val="28"/>
        </w:rPr>
        <w:t>六、版权归属</w:t>
      </w:r>
    </w:p>
    <w:p>
      <w:pPr>
        <w:ind w:firstLine="560" w:firstLineChars="200"/>
        <w:rPr>
          <w:rFonts w:ascii="仿宋" w:hAnsi="仿宋" w:eastAsia="仿宋" w:cs="仿宋"/>
          <w:sz w:val="28"/>
          <w:szCs w:val="28"/>
        </w:rPr>
      </w:pPr>
      <w:r>
        <w:rPr>
          <w:rFonts w:ascii="仿宋" w:hAnsi="仿宋" w:eastAsia="仿宋" w:cs="仿宋"/>
          <w:sz w:val="28"/>
          <w:szCs w:val="28"/>
        </w:rPr>
        <w:t>1、本项目的设计成果版权归深圳会展中心管理有限责任公司所有。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2、乙方必须对设计成果拥有原创性，不得有模仿、抄袭等侵权行为，如果因此所带来的法律责任和造成的损失均由乙方承担，与甲方无关。因此给甲方造成损失的，由乙方全部承担并赔偿甲方损失。</w:t>
      </w:r>
    </w:p>
    <w:p>
      <w:pPr>
        <w:ind w:firstLine="562" w:firstLineChars="200"/>
        <w:rPr>
          <w:rFonts w:ascii="仿宋" w:hAnsi="仿宋" w:eastAsia="仿宋" w:cs="仿宋"/>
          <w:b/>
          <w:sz w:val="28"/>
          <w:szCs w:val="28"/>
        </w:rPr>
      </w:pPr>
      <w:r>
        <w:rPr>
          <w:rFonts w:hint="eastAsia" w:ascii="仿宋" w:hAnsi="仿宋" w:eastAsia="仿宋" w:cs="仿宋"/>
          <w:b/>
          <w:sz w:val="28"/>
          <w:szCs w:val="28"/>
        </w:rPr>
        <w:t>七、双方的权利义务</w:t>
      </w:r>
    </w:p>
    <w:p>
      <w:pPr>
        <w:ind w:firstLine="560" w:firstLineChars="200"/>
        <w:rPr>
          <w:rFonts w:ascii="仿宋" w:hAnsi="仿宋" w:eastAsia="仿宋" w:cs="仿宋"/>
          <w:sz w:val="28"/>
          <w:szCs w:val="28"/>
        </w:rPr>
      </w:pPr>
      <w:r>
        <w:rPr>
          <w:rFonts w:hint="eastAsia" w:ascii="仿宋" w:hAnsi="仿宋" w:eastAsia="仿宋" w:cs="仿宋"/>
          <w:sz w:val="28"/>
          <w:szCs w:val="28"/>
        </w:rPr>
        <w:t>（一）甲方权利和义务</w:t>
      </w:r>
    </w:p>
    <w:p>
      <w:pPr>
        <w:ind w:firstLine="560" w:firstLineChars="200"/>
        <w:rPr>
          <w:rFonts w:ascii="仿宋" w:hAnsi="仿宋" w:eastAsia="仿宋" w:cs="仿宋"/>
          <w:sz w:val="28"/>
          <w:szCs w:val="28"/>
        </w:rPr>
      </w:pPr>
      <w:r>
        <w:rPr>
          <w:rFonts w:ascii="仿宋" w:hAnsi="仿宋" w:eastAsia="仿宋" w:cs="仿宋"/>
          <w:sz w:val="28"/>
          <w:szCs w:val="28"/>
        </w:rPr>
        <w:t>1、甲方可根据自己的需求向乙方提出设计的要求及规定设计的风格和色调，甲方有权对乙方所设计的作品提出合理的修改意见、建议和思路，以使乙方设计的作品更符合甲方企业文化内涵和本届高交会展会现场应用的需要。</w:t>
      </w:r>
    </w:p>
    <w:p>
      <w:pPr>
        <w:ind w:firstLine="560" w:firstLineChars="200"/>
        <w:rPr>
          <w:rFonts w:ascii="仿宋" w:hAnsi="仿宋" w:eastAsia="仿宋" w:cs="仿宋"/>
          <w:sz w:val="28"/>
          <w:szCs w:val="28"/>
        </w:rPr>
      </w:pPr>
      <w:r>
        <w:rPr>
          <w:rFonts w:ascii="仿宋" w:hAnsi="仿宋" w:eastAsia="仿宋" w:cs="仿宋"/>
          <w:sz w:val="28"/>
          <w:szCs w:val="28"/>
        </w:rPr>
        <w:t>2、甲方有义务按照合同约定支付相关费用。</w:t>
      </w:r>
    </w:p>
    <w:p>
      <w:pPr>
        <w:ind w:firstLine="560" w:firstLineChars="200"/>
        <w:rPr>
          <w:rFonts w:ascii="仿宋" w:hAnsi="仿宋" w:eastAsia="仿宋" w:cs="仿宋"/>
          <w:sz w:val="28"/>
          <w:szCs w:val="28"/>
        </w:rPr>
      </w:pPr>
      <w:r>
        <w:rPr>
          <w:rFonts w:ascii="仿宋" w:hAnsi="仿宋" w:eastAsia="仿宋" w:cs="仿宋"/>
          <w:sz w:val="28"/>
          <w:szCs w:val="28"/>
        </w:rPr>
        <w:t>2、甲方有义务提供有关第二十四届高交会的相关资料给乙方，配合乙方进行调研、设计工作。</w:t>
      </w:r>
    </w:p>
    <w:p>
      <w:pPr>
        <w:ind w:firstLine="560" w:firstLineChars="200"/>
        <w:rPr>
          <w:rFonts w:ascii="仿宋" w:hAnsi="仿宋" w:eastAsia="仿宋" w:cs="仿宋"/>
          <w:sz w:val="28"/>
          <w:szCs w:val="28"/>
        </w:rPr>
      </w:pPr>
      <w:r>
        <w:rPr>
          <w:rFonts w:hint="eastAsia" w:ascii="仿宋" w:hAnsi="仿宋" w:eastAsia="仿宋" w:cs="仿宋"/>
          <w:sz w:val="28"/>
          <w:szCs w:val="28"/>
        </w:rPr>
        <w:t>（二）乙方权利和义务</w:t>
      </w:r>
    </w:p>
    <w:p>
      <w:pPr>
        <w:ind w:firstLine="560" w:firstLineChars="200"/>
        <w:rPr>
          <w:rFonts w:ascii="仿宋" w:hAnsi="仿宋" w:eastAsia="仿宋" w:cs="仿宋"/>
          <w:sz w:val="28"/>
          <w:szCs w:val="28"/>
        </w:rPr>
      </w:pPr>
      <w:r>
        <w:rPr>
          <w:rFonts w:ascii="仿宋" w:hAnsi="仿宋" w:eastAsia="仿宋" w:cs="仿宋"/>
          <w:sz w:val="28"/>
          <w:szCs w:val="28"/>
        </w:rPr>
        <w:t>1、乙方按照甲方的要求进行作品设计时，发挥特长，在合理范围内与甲方协商修正设计内容，以使乙方设计的作品在符合审美原则的基础上同时符合甲方的需求。</w:t>
      </w:r>
    </w:p>
    <w:p>
      <w:pPr>
        <w:ind w:firstLine="560" w:firstLineChars="200"/>
        <w:rPr>
          <w:rFonts w:ascii="仿宋" w:hAnsi="仿宋" w:eastAsia="仿宋" w:cs="仿宋"/>
          <w:sz w:val="28"/>
          <w:szCs w:val="28"/>
        </w:rPr>
      </w:pPr>
      <w:r>
        <w:rPr>
          <w:rFonts w:ascii="仿宋" w:hAnsi="仿宋" w:eastAsia="仿宋" w:cs="仿宋"/>
          <w:sz w:val="28"/>
          <w:szCs w:val="28"/>
        </w:rPr>
        <w:t>2、乙方需按照合同约定按时交付设计作品。</w:t>
      </w:r>
    </w:p>
    <w:p>
      <w:pPr>
        <w:ind w:firstLine="560" w:firstLineChars="200"/>
        <w:rPr>
          <w:rFonts w:ascii="仿宋" w:hAnsi="仿宋" w:eastAsia="仿宋" w:cs="仿宋"/>
          <w:color w:val="000000"/>
          <w:sz w:val="28"/>
          <w:szCs w:val="28"/>
        </w:rPr>
      </w:pPr>
      <w:r>
        <w:rPr>
          <w:rFonts w:ascii="仿宋" w:hAnsi="仿宋" w:eastAsia="仿宋" w:cs="仿宋"/>
          <w:sz w:val="28"/>
          <w:szCs w:val="28"/>
        </w:rPr>
        <w:t>3、乙方承诺以刘永清为首的设计团队完成本项目所有设计工作和及时按照甲方意见修改设计</w:t>
      </w:r>
      <w:r>
        <w:rPr>
          <w:rFonts w:hint="eastAsia" w:ascii="仿宋" w:hAnsi="仿宋" w:eastAsia="仿宋" w:cs="仿宋"/>
          <w:color w:val="000000"/>
          <w:sz w:val="28"/>
          <w:szCs w:val="28"/>
        </w:rPr>
        <w:t>。</w:t>
      </w:r>
    </w:p>
    <w:p>
      <w:pPr>
        <w:numPr>
          <w:ilvl w:val="255"/>
          <w:numId w:val="0"/>
        </w:numPr>
        <w:snapToGrid w:val="0"/>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八、保密条款</w:t>
      </w:r>
    </w:p>
    <w:p>
      <w:pPr>
        <w:numPr>
          <w:ilvl w:val="255"/>
          <w:numId w:val="0"/>
        </w:num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1、在本合同订立前、履行中及终止后，甲乙双方对本合同和相互提供的资料、信息（包括但不限于商业秘密、设计手稿、设计图片、媒体资料等）负保密责任。</w:t>
      </w:r>
    </w:p>
    <w:p>
      <w:pPr>
        <w:numPr>
          <w:ilvl w:val="255"/>
          <w:numId w:val="0"/>
        </w:num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2、凡未经双方书面同意而直接、间接、口头或者书面的形式，向第三方提供涉及保密内容的行为，均属泄密。</w:t>
      </w:r>
    </w:p>
    <w:p>
      <w:pPr>
        <w:numPr>
          <w:ilvl w:val="255"/>
          <w:numId w:val="0"/>
        </w:num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3、任何一方违反本条保密条款上述约定的，</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责任方应按合同金额</w:t>
      </w:r>
      <w:r>
        <w:rPr>
          <w:rFonts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％向合同另一方支付违约金，违约金不足以赔偿合同他方损失的，应按合同另一方的实际损失给予赔偿。</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4、保密条款具有独立性，本合同的终止、解除、无效不应影响本条款约定的效力。</w:t>
      </w:r>
    </w:p>
    <w:p>
      <w:pPr>
        <w:numPr>
          <w:ilvl w:val="255"/>
          <w:numId w:val="0"/>
        </w:numPr>
        <w:snapToGrid w:val="0"/>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九、不可抗力</w:t>
      </w:r>
    </w:p>
    <w:p>
      <w:pPr>
        <w:numPr>
          <w:ilvl w:val="255"/>
          <w:numId w:val="0"/>
        </w:num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1、如一方延迟履行或未能履行其本合同中列明之义务，但该延迟履行或未能履行是因不可抗力而引起，且在该不可抗力排除后第一时间通知了对方</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并提供有效证明，该方不被视为违反本合同。</w:t>
      </w:r>
    </w:p>
    <w:p>
      <w:pPr>
        <w:ind w:firstLine="560" w:firstLineChars="200"/>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2、本合同项下的不可抗力是指：无法预见、无法避免且无法克服的客观事实，包括但不限于天灾、洪水、地震、疫情、战争和军事行动（无论是否宣战）、恐怖袭击、蓄意的破坏活动、政府行为、政府或相关部门疫情防控要求等。</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十、违约责任</w:t>
      </w:r>
    </w:p>
    <w:p>
      <w:pPr>
        <w:ind w:firstLine="560" w:firstLineChars="200"/>
        <w:rPr>
          <w:rFonts w:ascii="仿宋" w:hAnsi="仿宋" w:eastAsia="仿宋" w:cs="仿宋"/>
          <w:sz w:val="28"/>
          <w:szCs w:val="28"/>
        </w:rPr>
      </w:pPr>
      <w:r>
        <w:rPr>
          <w:rFonts w:ascii="仿宋" w:hAnsi="仿宋" w:eastAsia="仿宋" w:cs="仿宋"/>
          <w:sz w:val="28"/>
          <w:szCs w:val="28"/>
        </w:rPr>
        <w:t>1、乙方不得无理由终止合同，如终止合同，所收取的费用应全部退回给甲方，并承担甲方因此所造成的全部损失。</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2、甲方不得随意终止合同，如终止合同，则应结清乙方已完成设计工作的款项，并承担乙方因此所产生的全部损失。</w:t>
      </w:r>
    </w:p>
    <w:p>
      <w:pPr>
        <w:ind w:firstLine="560" w:firstLineChars="200"/>
        <w:rPr>
          <w:rFonts w:ascii="仿宋" w:hAnsi="仿宋" w:eastAsia="仿宋" w:cs="仿宋"/>
          <w:sz w:val="28"/>
          <w:szCs w:val="28"/>
        </w:rPr>
      </w:pPr>
      <w:r>
        <w:rPr>
          <w:rFonts w:ascii="仿宋" w:hAnsi="仿宋" w:eastAsia="仿宋" w:cs="仿宋"/>
          <w:sz w:val="28"/>
          <w:szCs w:val="28"/>
        </w:rPr>
        <w:t>3、乙方不得将本合同项目相关内容委托、外包、转让给第三方设计，否则，甲方将责令停止，并保留解除本合同、要求退回全部已付款项等权利。</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十一、其他</w:t>
      </w:r>
    </w:p>
    <w:p>
      <w:pPr>
        <w:ind w:firstLine="560" w:firstLineChars="200"/>
        <w:rPr>
          <w:rFonts w:ascii="仿宋" w:hAnsi="仿宋" w:eastAsia="仿宋" w:cs="仿宋"/>
          <w:sz w:val="28"/>
          <w:szCs w:val="28"/>
        </w:rPr>
      </w:pPr>
      <w:r>
        <w:rPr>
          <w:rFonts w:hint="eastAsia" w:ascii="仿宋" w:hAnsi="仿宋" w:eastAsia="仿宋" w:cs="仿宋"/>
          <w:sz w:val="28"/>
          <w:szCs w:val="28"/>
        </w:rPr>
        <w:t>1、本合同壹式捌份，甲乙双方各执肆份，具有同等法律效力，经甲乙双方签字盖章后生效。末尽事宜，双方应本着友好合作的精神共同协商解决。</w:t>
      </w:r>
    </w:p>
    <w:p>
      <w:pPr>
        <w:ind w:firstLine="560"/>
        <w:rPr>
          <w:rFonts w:ascii="仿宋" w:hAnsi="仿宋" w:eastAsia="仿宋" w:cs="仿宋"/>
          <w:sz w:val="28"/>
          <w:szCs w:val="28"/>
        </w:rPr>
      </w:pPr>
      <w:r>
        <w:rPr>
          <w:rFonts w:hint="eastAsia" w:ascii="仿宋" w:hAnsi="仿宋" w:eastAsia="仿宋" w:cs="仿宋"/>
          <w:sz w:val="28"/>
          <w:szCs w:val="28"/>
        </w:rPr>
        <w:t>2、附件“《第二十四届高交会</w:t>
      </w:r>
      <w:r>
        <w:rPr>
          <w:rFonts w:ascii="仿宋" w:hAnsi="仿宋" w:eastAsia="仿宋" w:cs="仿宋"/>
          <w:sz w:val="28"/>
          <w:szCs w:val="28"/>
        </w:rPr>
        <w:t>VI规范手册》设计内容”为本合同组成部分，具有与本合同同等效力。</w:t>
      </w:r>
    </w:p>
    <w:p>
      <w:pPr>
        <w:pStyle w:val="71"/>
        <w:numPr>
          <w:ilvl w:val="255"/>
          <w:numId w:val="0"/>
        </w:numPr>
        <w:tabs>
          <w:tab w:val="left" w:pos="420"/>
        </w:tabs>
        <w:snapToGrid w:val="0"/>
        <w:spacing w:after="0" w:line="360" w:lineRule="auto"/>
        <w:ind w:firstLine="560" w:firstLineChars="200"/>
        <w:rPr>
          <w:rFonts w:ascii="仿宋" w:hAnsi="仿宋" w:eastAsia="仿宋" w:cs="仿宋"/>
          <w:szCs w:val="28"/>
        </w:rPr>
      </w:pPr>
      <w:r>
        <w:rPr>
          <w:rFonts w:hint="eastAsia" w:ascii="仿宋" w:hAnsi="仿宋" w:eastAsia="仿宋" w:cs="仿宋"/>
          <w:szCs w:val="28"/>
        </w:rPr>
        <w:t>3、本合同载明的联系方式（包括联系地址、联系人、联系电话）为双方约定的联系方式，若有变动，应提前书面告知对方，否则该联系方式为双方法定的送达和联系方式，一经发送至上述地址即视为送达。</w:t>
      </w:r>
    </w:p>
    <w:p>
      <w:pPr>
        <w:snapToGrid w:val="0"/>
        <w:spacing w:line="360" w:lineRule="auto"/>
        <w:ind w:firstLine="420"/>
        <w:rPr>
          <w:rFonts w:ascii="仿宋" w:hAnsi="仿宋" w:eastAsia="仿宋" w:cs="仿宋"/>
          <w:sz w:val="28"/>
          <w:szCs w:val="28"/>
        </w:rPr>
      </w:pPr>
      <w:r>
        <w:rPr>
          <w:rFonts w:hint="eastAsia" w:ascii="仿宋" w:hAnsi="仿宋" w:eastAsia="仿宋" w:cs="仿宋"/>
          <w:sz w:val="28"/>
          <w:szCs w:val="28"/>
        </w:rPr>
        <w:t>（以下无正文）</w:t>
      </w:r>
    </w:p>
    <w:p>
      <w:pPr>
        <w:ind w:firstLine="560"/>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甲方：（单位公章）</w:t>
      </w:r>
      <w:r>
        <w:rPr>
          <w:rFonts w:ascii="仿宋" w:hAnsi="仿宋" w:eastAsia="仿宋" w:cs="仿宋"/>
          <w:sz w:val="28"/>
          <w:szCs w:val="28"/>
        </w:rPr>
        <w:t xml:space="preserve">              </w:t>
      </w:r>
      <w:r>
        <w:rPr>
          <w:rFonts w:hint="eastAsia" w:ascii="仿宋" w:hAnsi="仿宋" w:eastAsia="仿宋" w:cs="仿宋"/>
          <w:sz w:val="28"/>
          <w:szCs w:val="28"/>
        </w:rPr>
        <w:t>乙方：（单位公章）</w:t>
      </w:r>
    </w:p>
    <w:p>
      <w:pPr>
        <w:rPr>
          <w:rFonts w:ascii="仿宋" w:hAnsi="仿宋" w:eastAsia="仿宋" w:cs="仿宋"/>
          <w:sz w:val="28"/>
          <w:szCs w:val="28"/>
        </w:rPr>
      </w:pPr>
      <w:r>
        <w:rPr>
          <w:rFonts w:hint="eastAsia" w:ascii="仿宋" w:hAnsi="仿宋" w:eastAsia="仿宋" w:cs="仿宋"/>
          <w:sz w:val="28"/>
          <w:szCs w:val="28"/>
        </w:rPr>
        <w:t>深圳会展中心管理有限责任公司</w:t>
      </w:r>
      <w:r>
        <w:rPr>
          <w:rFonts w:ascii="仿宋" w:hAnsi="仿宋" w:eastAsia="仿宋" w:cs="仿宋"/>
          <w:sz w:val="28"/>
          <w:szCs w:val="28"/>
        </w:rPr>
        <w:t xml:space="preserve">   </w:t>
      </w:r>
      <w:r>
        <w:rPr>
          <w:rFonts w:hint="eastAsia" w:ascii="仿宋" w:hAnsi="仿宋" w:eastAsia="仿宋" w:cs="仿宋"/>
          <w:sz w:val="28"/>
          <w:szCs w:val="28"/>
        </w:rPr>
        <w:t>深圳市华思设计有限公司</w:t>
      </w:r>
    </w:p>
    <w:p>
      <w:pPr>
        <w:rPr>
          <w:rFonts w:ascii="仿宋" w:hAnsi="仿宋" w:eastAsia="仿宋" w:cs="仿宋"/>
          <w:sz w:val="28"/>
          <w:szCs w:val="28"/>
        </w:rPr>
      </w:pPr>
      <w:r>
        <w:rPr>
          <w:rFonts w:hint="eastAsia" w:ascii="仿宋" w:hAnsi="仿宋" w:eastAsia="仿宋" w:cs="仿宋"/>
          <w:sz w:val="28"/>
          <w:szCs w:val="28"/>
        </w:rPr>
        <w:t>授权代表签名：</w:t>
      </w:r>
      <w:r>
        <w:rPr>
          <w:rFonts w:ascii="仿宋" w:hAnsi="仿宋" w:eastAsia="仿宋" w:cs="仿宋"/>
          <w:sz w:val="28"/>
          <w:szCs w:val="28"/>
        </w:rPr>
        <w:t xml:space="preserve">                 授权代表签名： </w:t>
      </w:r>
    </w:p>
    <w:p>
      <w:pPr>
        <w:rPr>
          <w:rFonts w:ascii="仿宋" w:hAnsi="仿宋" w:eastAsia="仿宋" w:cs="仿宋"/>
          <w:sz w:val="28"/>
          <w:szCs w:val="28"/>
        </w:rPr>
      </w:pPr>
      <w:r>
        <w:rPr>
          <w:rFonts w:hint="eastAsia" w:ascii="仿宋" w:hAnsi="仿宋" w:eastAsia="仿宋" w:cs="仿宋"/>
          <w:sz w:val="28"/>
          <w:szCs w:val="28"/>
        </w:rPr>
        <w:t>签约时间：</w:t>
      </w:r>
      <w:r>
        <w:rPr>
          <w:rFonts w:ascii="仿宋" w:hAnsi="仿宋" w:eastAsia="仿宋" w:cs="仿宋"/>
          <w:sz w:val="28"/>
          <w:szCs w:val="28"/>
        </w:rPr>
        <w:t xml:space="preserve">                     </w:t>
      </w:r>
      <w:r>
        <w:rPr>
          <w:rFonts w:hint="eastAsia" w:ascii="仿宋" w:hAnsi="仿宋" w:eastAsia="仿宋" w:cs="仿宋"/>
          <w:sz w:val="28"/>
          <w:szCs w:val="28"/>
        </w:rPr>
        <w:t>签约时间：</w:t>
      </w:r>
    </w:p>
    <w:p>
      <w:pPr>
        <w:widowControl/>
        <w:jc w:val="left"/>
        <w:rPr>
          <w:rFonts w:ascii="仿宋" w:hAnsi="仿宋" w:eastAsia="仿宋" w:cs="仿宋"/>
          <w:sz w:val="28"/>
          <w:szCs w:val="28"/>
        </w:rPr>
      </w:pPr>
      <w:r>
        <w:rPr>
          <w:rFonts w:ascii="仿宋" w:hAnsi="仿宋" w:eastAsia="仿宋" w:cs="仿宋"/>
          <w:sz w:val="28"/>
          <w:szCs w:val="28"/>
        </w:rPr>
        <w:br w:type="page"/>
      </w:r>
    </w:p>
    <w:p>
      <w:pPr>
        <w:widowControl/>
        <w:jc w:val="left"/>
        <w:rPr>
          <w:rFonts w:ascii="仿宋_GB2312" w:eastAsia="仿宋_GB2312"/>
          <w:szCs w:val="21"/>
        </w:rPr>
      </w:pPr>
      <w:r>
        <w:rPr>
          <w:rFonts w:hint="eastAsia" w:ascii="仿宋_GB2312" w:eastAsia="仿宋_GB2312"/>
          <w:szCs w:val="21"/>
        </w:rPr>
        <w:t>附件：</w:t>
      </w:r>
    </w:p>
    <w:p>
      <w:pPr>
        <w:jc w:val="center"/>
        <w:rPr>
          <w:rFonts w:hint="eastAsia" w:ascii="仿宋" w:hAnsi="仿宋" w:eastAsia="仿宋" w:cs="仿宋"/>
          <w:b/>
          <w:sz w:val="28"/>
          <w:szCs w:val="28"/>
        </w:rPr>
      </w:pPr>
      <w:r>
        <w:rPr>
          <w:rFonts w:hint="eastAsia" w:ascii="仿宋" w:hAnsi="仿宋" w:eastAsia="仿宋" w:cs="仿宋"/>
          <w:b/>
          <w:sz w:val="28"/>
          <w:szCs w:val="28"/>
        </w:rPr>
        <w:t>《第二十四届高交会VI规范手册》设计内容</w:t>
      </w:r>
    </w:p>
    <w:p>
      <w:pPr>
        <w:jc w:val="center"/>
        <w:rPr>
          <w:rFonts w:hint="eastAsia" w:ascii="仿宋" w:hAnsi="仿宋" w:eastAsia="仿宋" w:cs="仿宋"/>
          <w:sz w:val="28"/>
          <w:szCs w:val="28"/>
        </w:rPr>
      </w:pP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832"/>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97"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类别</w:t>
            </w:r>
          </w:p>
        </w:tc>
        <w:tc>
          <w:tcPr>
            <w:tcW w:w="61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97" w:type="dxa"/>
            <w:gridSpan w:val="2"/>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基本元素</w:t>
            </w: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当届展会全称（各种应用形式）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297" w:type="dxa"/>
            <w:gridSpan w:val="2"/>
            <w:vMerge w:val="continue"/>
            <w:vAlign w:val="center"/>
          </w:tcPr>
          <w:p>
            <w:pPr>
              <w:jc w:val="center"/>
              <w:rPr>
                <w:rFonts w:hint="eastAsia" w:ascii="仿宋" w:hAnsi="仿宋" w:eastAsia="仿宋" w:cs="仿宋"/>
                <w:sz w:val="28"/>
                <w:szCs w:val="28"/>
              </w:rPr>
            </w:pP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高交会标志（已有）</w:t>
            </w:r>
          </w:p>
          <w:p>
            <w:pPr>
              <w:jc w:val="left"/>
              <w:rPr>
                <w:rFonts w:hint="eastAsia" w:ascii="仿宋" w:hAnsi="仿宋" w:eastAsia="仿宋" w:cs="仿宋"/>
                <w:sz w:val="28"/>
                <w:szCs w:val="28"/>
              </w:rPr>
            </w:pPr>
            <w:r>
              <w:rPr>
                <w:rFonts w:hint="eastAsia" w:ascii="仿宋" w:hAnsi="仿宋" w:eastAsia="仿宋" w:cs="仿宋"/>
                <w:sz w:val="28"/>
                <w:szCs w:val="28"/>
              </w:rPr>
              <w:t>当届二级标志</w:t>
            </w:r>
          </w:p>
          <w:p>
            <w:pPr>
              <w:jc w:val="left"/>
              <w:rPr>
                <w:rFonts w:hint="eastAsia" w:ascii="仿宋" w:hAnsi="仿宋" w:eastAsia="仿宋" w:cs="仿宋"/>
                <w:color w:val="FF0000"/>
                <w:sz w:val="28"/>
                <w:szCs w:val="28"/>
              </w:rPr>
            </w:pPr>
            <w:r>
              <w:rPr>
                <w:rFonts w:hint="eastAsia" w:ascii="仿宋" w:hAnsi="仿宋" w:eastAsia="仿宋" w:cs="仿宋"/>
                <w:sz w:val="28"/>
                <w:szCs w:val="28"/>
              </w:rPr>
              <w:t>当届三级标志（各展、专馆、展区）</w:t>
            </w:r>
          </w:p>
          <w:p>
            <w:pPr>
              <w:jc w:val="left"/>
              <w:rPr>
                <w:rFonts w:hint="eastAsia" w:ascii="仿宋" w:hAnsi="仿宋" w:eastAsia="仿宋" w:cs="仿宋"/>
                <w:sz w:val="28"/>
                <w:szCs w:val="28"/>
              </w:rPr>
            </w:pPr>
            <w:r>
              <w:rPr>
                <w:rFonts w:hint="eastAsia" w:ascii="仿宋" w:hAnsi="仿宋" w:eastAsia="仿宋" w:cs="仿宋"/>
                <w:sz w:val="28"/>
                <w:szCs w:val="28"/>
              </w:rPr>
              <w:t>各馆、各展区标准色值（已有）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97" w:type="dxa"/>
            <w:gridSpan w:val="2"/>
            <w:vMerge w:val="continue"/>
            <w:vAlign w:val="center"/>
          </w:tcPr>
          <w:p>
            <w:pPr>
              <w:jc w:val="center"/>
              <w:rPr>
                <w:rFonts w:hint="eastAsia" w:ascii="仿宋" w:hAnsi="仿宋" w:eastAsia="仿宋" w:cs="仿宋"/>
                <w:sz w:val="28"/>
                <w:szCs w:val="28"/>
              </w:rPr>
            </w:pP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中文标准字应用</w:t>
            </w:r>
          </w:p>
          <w:p>
            <w:pPr>
              <w:jc w:val="left"/>
              <w:rPr>
                <w:rFonts w:hint="eastAsia" w:ascii="仿宋" w:hAnsi="仿宋" w:eastAsia="仿宋" w:cs="仿宋"/>
                <w:sz w:val="28"/>
                <w:szCs w:val="28"/>
              </w:rPr>
            </w:pPr>
            <w:r>
              <w:rPr>
                <w:rFonts w:hint="eastAsia" w:ascii="仿宋" w:hAnsi="仿宋" w:eastAsia="仿宋" w:cs="仿宋"/>
                <w:sz w:val="28"/>
                <w:szCs w:val="28"/>
              </w:rPr>
              <w:t>英文标准字应用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297"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当届展会形象</w:t>
            </w:r>
          </w:p>
          <w:p>
            <w:pPr>
              <w:jc w:val="center"/>
              <w:rPr>
                <w:rFonts w:hint="eastAsia" w:ascii="仿宋" w:hAnsi="仿宋" w:eastAsia="仿宋" w:cs="仿宋"/>
                <w:sz w:val="28"/>
                <w:szCs w:val="28"/>
              </w:rPr>
            </w:pPr>
            <w:r>
              <w:rPr>
                <w:rFonts w:hint="eastAsia" w:ascii="仿宋" w:hAnsi="仿宋" w:eastAsia="仿宋" w:cs="仿宋"/>
                <w:sz w:val="28"/>
                <w:szCs w:val="28"/>
              </w:rPr>
              <w:t>（辅助图形）</w:t>
            </w: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当届大会形象辅助图形（元素）</w:t>
            </w:r>
          </w:p>
          <w:p>
            <w:pPr>
              <w:jc w:val="left"/>
              <w:rPr>
                <w:rFonts w:hint="eastAsia" w:ascii="仿宋" w:hAnsi="仿宋" w:eastAsia="仿宋" w:cs="仿宋"/>
                <w:sz w:val="28"/>
                <w:szCs w:val="28"/>
              </w:rPr>
            </w:pPr>
            <w:r>
              <w:rPr>
                <w:rFonts w:hint="eastAsia" w:ascii="仿宋" w:hAnsi="仿宋" w:eastAsia="仿宋" w:cs="仿宋"/>
                <w:sz w:val="28"/>
                <w:szCs w:val="28"/>
              </w:rPr>
              <w:t>当届大会形象辅助图形延展应用详解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2297" w:type="dxa"/>
            <w:gridSpan w:val="2"/>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形象宣传类</w:t>
            </w: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北广场二楼主形象幕墙（3930x1180mm/格，总34x13格）</w:t>
            </w:r>
          </w:p>
          <w:p>
            <w:pPr>
              <w:jc w:val="left"/>
              <w:rPr>
                <w:rFonts w:hint="eastAsia" w:ascii="仿宋" w:hAnsi="仿宋" w:eastAsia="仿宋" w:cs="仿宋"/>
                <w:sz w:val="28"/>
                <w:szCs w:val="28"/>
              </w:rPr>
            </w:pPr>
            <w:r>
              <w:rPr>
                <w:rFonts w:hint="eastAsia" w:ascii="仿宋" w:hAnsi="仿宋" w:eastAsia="仿宋" w:cs="仿宋"/>
                <w:sz w:val="28"/>
                <w:szCs w:val="28"/>
              </w:rPr>
              <w:t>北广场天桥内侧宣传设计</w:t>
            </w:r>
          </w:p>
          <w:p>
            <w:pPr>
              <w:jc w:val="left"/>
              <w:rPr>
                <w:rFonts w:hint="eastAsia" w:ascii="仿宋" w:hAnsi="仿宋" w:eastAsia="仿宋" w:cs="仿宋"/>
                <w:sz w:val="28"/>
                <w:szCs w:val="28"/>
              </w:rPr>
            </w:pPr>
            <w:r>
              <w:rPr>
                <w:rFonts w:hint="eastAsia" w:ascii="仿宋" w:hAnsi="仿宋" w:eastAsia="仿宋" w:cs="仿宋"/>
                <w:sz w:val="28"/>
                <w:szCs w:val="28"/>
              </w:rPr>
              <w:t>大会形象旗（刀旗）（1.5x6m）</w:t>
            </w:r>
          </w:p>
          <w:p>
            <w:pPr>
              <w:jc w:val="left"/>
              <w:rPr>
                <w:rFonts w:hint="eastAsia" w:ascii="仿宋" w:hAnsi="仿宋" w:eastAsia="仿宋" w:cs="仿宋"/>
                <w:color w:val="FF0000"/>
                <w:sz w:val="28"/>
                <w:szCs w:val="28"/>
              </w:rPr>
            </w:pPr>
            <w:r>
              <w:rPr>
                <w:rFonts w:hint="eastAsia" w:ascii="仿宋" w:hAnsi="仿宋" w:eastAsia="仿宋" w:cs="仿宋"/>
                <w:sz w:val="28"/>
                <w:szCs w:val="28"/>
              </w:rPr>
              <w:t>欢迎、欢送横幅（32.23X2.36m，25.5X2.8m）</w:t>
            </w:r>
          </w:p>
          <w:p>
            <w:pPr>
              <w:jc w:val="left"/>
              <w:rPr>
                <w:rFonts w:hint="eastAsia" w:ascii="仿宋" w:hAnsi="仿宋" w:eastAsia="仿宋" w:cs="仿宋"/>
                <w:sz w:val="28"/>
                <w:szCs w:val="28"/>
              </w:rPr>
            </w:pPr>
            <w:r>
              <w:rPr>
                <w:rFonts w:hint="eastAsia" w:ascii="仿宋" w:hAnsi="仿宋" w:eastAsia="仿宋" w:cs="仿宋"/>
                <w:sz w:val="28"/>
                <w:szCs w:val="28"/>
              </w:rPr>
              <w:t>宣传广告类延展设计应用（横向、竖向）</w:t>
            </w:r>
          </w:p>
          <w:p>
            <w:pPr>
              <w:jc w:val="left"/>
              <w:rPr>
                <w:rFonts w:hint="eastAsia" w:ascii="仿宋" w:hAnsi="仿宋" w:eastAsia="仿宋" w:cs="仿宋"/>
                <w:sz w:val="28"/>
                <w:szCs w:val="28"/>
              </w:rPr>
            </w:pPr>
            <w:r>
              <w:rPr>
                <w:rFonts w:hint="eastAsia" w:ascii="仿宋" w:hAnsi="仿宋" w:eastAsia="仿宋" w:cs="仿宋"/>
                <w:sz w:val="28"/>
                <w:szCs w:val="28"/>
              </w:rPr>
              <w:t>二楼序厅中间多国欢迎词竖幅（4x14m）</w:t>
            </w:r>
          </w:p>
          <w:p>
            <w:pPr>
              <w:jc w:val="left"/>
              <w:rPr>
                <w:rFonts w:hint="eastAsia" w:ascii="仿宋" w:hAnsi="仿宋" w:eastAsia="仿宋" w:cs="仿宋"/>
                <w:sz w:val="28"/>
                <w:szCs w:val="28"/>
              </w:rPr>
            </w:pPr>
            <w:r>
              <w:rPr>
                <w:rFonts w:hint="eastAsia" w:ascii="仿宋" w:hAnsi="仿宋" w:eastAsia="仿宋" w:cs="仿宋"/>
                <w:sz w:val="28"/>
                <w:szCs w:val="28"/>
              </w:rPr>
              <w:t>北广场大会主背景板（开幕牌）（26X7m）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297" w:type="dxa"/>
            <w:gridSpan w:val="2"/>
            <w:vMerge w:val="continue"/>
            <w:vAlign w:val="center"/>
          </w:tcPr>
          <w:p>
            <w:pPr>
              <w:jc w:val="center"/>
              <w:rPr>
                <w:rFonts w:hint="eastAsia" w:ascii="仿宋" w:hAnsi="仿宋" w:eastAsia="仿宋" w:cs="仿宋"/>
                <w:sz w:val="28"/>
                <w:szCs w:val="28"/>
              </w:rPr>
            </w:pP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留影形象墙（6x3m）</w:t>
            </w:r>
          </w:p>
          <w:p>
            <w:pPr>
              <w:jc w:val="left"/>
              <w:rPr>
                <w:rFonts w:hint="eastAsia" w:ascii="仿宋" w:hAnsi="仿宋" w:eastAsia="仿宋" w:cs="仿宋"/>
                <w:sz w:val="28"/>
                <w:szCs w:val="28"/>
              </w:rPr>
            </w:pPr>
            <w:r>
              <w:rPr>
                <w:rFonts w:hint="eastAsia" w:ascii="仿宋" w:hAnsi="仿宋" w:eastAsia="仿宋" w:cs="仿宋"/>
                <w:sz w:val="28"/>
                <w:szCs w:val="28"/>
              </w:rPr>
              <w:t>采访背景板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297"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功能服务类</w:t>
            </w: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服装（现场服务人员）</w:t>
            </w:r>
          </w:p>
          <w:p>
            <w:pPr>
              <w:jc w:val="left"/>
              <w:rPr>
                <w:rFonts w:hint="eastAsia" w:ascii="仿宋" w:hAnsi="仿宋" w:eastAsia="仿宋" w:cs="仿宋"/>
                <w:sz w:val="28"/>
                <w:szCs w:val="28"/>
              </w:rPr>
            </w:pPr>
            <w:r>
              <w:rPr>
                <w:rFonts w:hint="eastAsia" w:ascii="仿宋" w:hAnsi="仿宋" w:eastAsia="仿宋" w:cs="仿宋"/>
                <w:sz w:val="28"/>
                <w:szCs w:val="28"/>
              </w:rPr>
              <w:t>标准展位楣板x3种（2950x220mm，1800x950mm）</w:t>
            </w:r>
          </w:p>
          <w:p>
            <w:pPr>
              <w:jc w:val="left"/>
              <w:rPr>
                <w:rFonts w:hint="eastAsia" w:ascii="仿宋" w:hAnsi="仿宋" w:eastAsia="仿宋" w:cs="仿宋"/>
                <w:sz w:val="28"/>
                <w:szCs w:val="28"/>
              </w:rPr>
            </w:pPr>
            <w:r>
              <w:rPr>
                <w:rFonts w:hint="eastAsia" w:ascii="仿宋" w:hAnsi="仿宋" w:eastAsia="仿宋" w:cs="仿宋"/>
                <w:sz w:val="28"/>
                <w:szCs w:val="28"/>
              </w:rPr>
              <w:t>论坛会议背景板（6X3m）</w:t>
            </w:r>
          </w:p>
          <w:p>
            <w:pPr>
              <w:jc w:val="left"/>
              <w:rPr>
                <w:rFonts w:hint="eastAsia" w:ascii="仿宋" w:hAnsi="仿宋" w:eastAsia="仿宋" w:cs="仿宋"/>
                <w:sz w:val="28"/>
                <w:szCs w:val="28"/>
              </w:rPr>
            </w:pPr>
            <w:r>
              <w:rPr>
                <w:rFonts w:hint="eastAsia" w:ascii="仿宋" w:hAnsi="仿宋" w:eastAsia="仿宋" w:cs="仿宋"/>
                <w:sz w:val="28"/>
                <w:szCs w:val="28"/>
              </w:rPr>
              <w:t>招待酒会背景板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2297"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导向指示类</w:t>
            </w: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指示符号标准规范、图例</w:t>
            </w:r>
          </w:p>
          <w:p>
            <w:pPr>
              <w:jc w:val="left"/>
              <w:rPr>
                <w:rFonts w:hint="eastAsia" w:ascii="仿宋" w:hAnsi="仿宋" w:eastAsia="仿宋" w:cs="仿宋"/>
                <w:sz w:val="28"/>
                <w:szCs w:val="28"/>
              </w:rPr>
            </w:pPr>
            <w:r>
              <w:rPr>
                <w:rFonts w:hint="eastAsia" w:ascii="仿宋" w:hAnsi="仿宋" w:eastAsia="仿宋" w:cs="仿宋"/>
                <w:sz w:val="28"/>
                <w:szCs w:val="28"/>
              </w:rPr>
              <w:t>导向类指示牌（横形）：展厅入口、出口横形指示贴</w:t>
            </w:r>
          </w:p>
          <w:p>
            <w:pPr>
              <w:jc w:val="left"/>
              <w:rPr>
                <w:rFonts w:hint="eastAsia" w:ascii="仿宋" w:hAnsi="仿宋" w:eastAsia="仿宋" w:cs="仿宋"/>
                <w:sz w:val="28"/>
                <w:szCs w:val="28"/>
              </w:rPr>
            </w:pPr>
            <w:r>
              <w:rPr>
                <w:rFonts w:hint="eastAsia" w:ascii="仿宋" w:hAnsi="仿宋" w:eastAsia="仿宋" w:cs="仿宋"/>
                <w:sz w:val="28"/>
                <w:szCs w:val="28"/>
              </w:rPr>
              <w:t>导向类指示牌（竖形）：指引指示牌、提示告示牌</w:t>
            </w:r>
          </w:p>
          <w:p>
            <w:pPr>
              <w:jc w:val="left"/>
              <w:rPr>
                <w:rFonts w:hint="eastAsia" w:ascii="仿宋" w:hAnsi="仿宋" w:eastAsia="仿宋" w:cs="仿宋"/>
                <w:sz w:val="28"/>
                <w:szCs w:val="28"/>
              </w:rPr>
            </w:pPr>
            <w:r>
              <w:rPr>
                <w:rFonts w:hint="eastAsia" w:ascii="仿宋" w:hAnsi="仿宋" w:eastAsia="仿宋" w:cs="仿宋"/>
                <w:sz w:val="28"/>
                <w:szCs w:val="28"/>
              </w:rPr>
              <w:t>吊旗：展区形象吊旗、团组吊旗、指示吊旗</w:t>
            </w:r>
          </w:p>
          <w:p>
            <w:pPr>
              <w:jc w:val="left"/>
              <w:rPr>
                <w:rFonts w:hint="eastAsia" w:ascii="仿宋" w:hAnsi="仿宋" w:eastAsia="仿宋" w:cs="仿宋"/>
                <w:sz w:val="28"/>
                <w:szCs w:val="28"/>
              </w:rPr>
            </w:pPr>
            <w:r>
              <w:rPr>
                <w:rFonts w:hint="eastAsia" w:ascii="仿宋" w:hAnsi="仿宋" w:eastAsia="仿宋" w:cs="仿宋"/>
                <w:sz w:val="28"/>
                <w:szCs w:val="28"/>
              </w:rPr>
              <w:t>门楼（H≤3.8m）</w:t>
            </w:r>
          </w:p>
          <w:p>
            <w:pPr>
              <w:jc w:val="left"/>
              <w:rPr>
                <w:rFonts w:hint="eastAsia" w:ascii="仿宋" w:hAnsi="仿宋" w:eastAsia="仿宋" w:cs="仿宋"/>
                <w:sz w:val="28"/>
                <w:szCs w:val="28"/>
              </w:rPr>
            </w:pPr>
            <w:r>
              <w:rPr>
                <w:rFonts w:hint="eastAsia" w:ascii="仿宋" w:hAnsi="仿宋" w:eastAsia="仿宋" w:cs="仿宋"/>
                <w:sz w:val="28"/>
                <w:szCs w:val="28"/>
              </w:rPr>
              <w:t>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56" w:type="dxa"/>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印刷品类</w:t>
            </w:r>
          </w:p>
        </w:tc>
        <w:tc>
          <w:tcPr>
            <w:tcW w:w="184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票</w:t>
            </w:r>
          </w:p>
          <w:p>
            <w:pPr>
              <w:jc w:val="center"/>
              <w:rPr>
                <w:rFonts w:hint="eastAsia" w:ascii="仿宋" w:hAnsi="仿宋" w:eastAsia="仿宋" w:cs="仿宋"/>
                <w:sz w:val="28"/>
                <w:szCs w:val="28"/>
              </w:rPr>
            </w:pPr>
            <w:r>
              <w:rPr>
                <w:rFonts w:hint="eastAsia" w:ascii="仿宋" w:hAnsi="仿宋" w:eastAsia="仿宋" w:cs="仿宋"/>
                <w:sz w:val="28"/>
                <w:szCs w:val="28"/>
              </w:rPr>
              <w:t>证</w:t>
            </w: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门票：售票、赠票（140x50mm）</w:t>
            </w:r>
          </w:p>
          <w:p>
            <w:pPr>
              <w:jc w:val="left"/>
              <w:rPr>
                <w:rFonts w:hint="eastAsia" w:ascii="仿宋" w:hAnsi="仿宋" w:eastAsia="仿宋" w:cs="仿宋"/>
                <w:sz w:val="28"/>
                <w:szCs w:val="28"/>
              </w:rPr>
            </w:pPr>
            <w:r>
              <w:rPr>
                <w:rFonts w:hint="eastAsia" w:ascii="仿宋" w:hAnsi="仿宋" w:eastAsia="仿宋" w:cs="仿宋"/>
                <w:sz w:val="28"/>
                <w:szCs w:val="28"/>
              </w:rPr>
              <w:t>证件：红色工作证、红色贵宾证（100x65mm）</w:t>
            </w:r>
          </w:p>
          <w:p>
            <w:pPr>
              <w:ind w:firstLine="840" w:firstLineChars="300"/>
              <w:jc w:val="left"/>
              <w:rPr>
                <w:rFonts w:hint="eastAsia" w:ascii="仿宋" w:hAnsi="仿宋" w:eastAsia="仿宋" w:cs="仿宋"/>
                <w:sz w:val="28"/>
                <w:szCs w:val="28"/>
              </w:rPr>
            </w:pPr>
            <w:r>
              <w:rPr>
                <w:rFonts w:hint="eastAsia" w:ascii="仿宋" w:hAnsi="仿宋" w:eastAsia="仿宋" w:cs="仿宋"/>
                <w:sz w:val="28"/>
                <w:szCs w:val="28"/>
              </w:rPr>
              <w:t>参展商证、嘉宾证、特邀买家证、记者证X2、媒体参观证、安全保卫证、会务证、后勤服务证（125X90mm）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56" w:type="dxa"/>
            <w:vMerge w:val="continue"/>
            <w:vAlign w:val="center"/>
          </w:tcPr>
          <w:p>
            <w:pPr>
              <w:jc w:val="center"/>
              <w:rPr>
                <w:rFonts w:hint="eastAsia" w:ascii="仿宋" w:hAnsi="仿宋" w:eastAsia="仿宋" w:cs="仿宋"/>
                <w:sz w:val="28"/>
                <w:szCs w:val="28"/>
              </w:rPr>
            </w:pPr>
          </w:p>
        </w:tc>
        <w:tc>
          <w:tcPr>
            <w:tcW w:w="184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券</w:t>
            </w: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VIP贵宾礼券（160x50mm）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56" w:type="dxa"/>
            <w:vMerge w:val="continue"/>
            <w:vAlign w:val="center"/>
          </w:tcPr>
          <w:p>
            <w:pPr>
              <w:jc w:val="center"/>
              <w:rPr>
                <w:rFonts w:hint="eastAsia" w:ascii="仿宋" w:hAnsi="仿宋" w:eastAsia="仿宋" w:cs="仿宋"/>
                <w:sz w:val="28"/>
                <w:szCs w:val="28"/>
              </w:rPr>
            </w:pPr>
          </w:p>
        </w:tc>
        <w:tc>
          <w:tcPr>
            <w:tcW w:w="184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宣传画册</w:t>
            </w:r>
          </w:p>
        </w:tc>
        <w:tc>
          <w:tcPr>
            <w:tcW w:w="61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会刊（封面、封底，215x117mm）</w:t>
            </w:r>
          </w:p>
          <w:p>
            <w:pPr>
              <w:jc w:val="left"/>
              <w:rPr>
                <w:rFonts w:hint="eastAsia" w:ascii="仿宋" w:hAnsi="仿宋" w:eastAsia="仿宋" w:cs="仿宋"/>
                <w:sz w:val="28"/>
                <w:szCs w:val="28"/>
              </w:rPr>
            </w:pPr>
            <w:r>
              <w:rPr>
                <w:rFonts w:hint="eastAsia" w:ascii="仿宋" w:hAnsi="仿宋" w:eastAsia="仿宋" w:cs="仿宋"/>
                <w:sz w:val="28"/>
                <w:szCs w:val="28"/>
              </w:rPr>
              <w:t>论坛手册（封面、封底）</w:t>
            </w:r>
          </w:p>
          <w:p>
            <w:pPr>
              <w:jc w:val="left"/>
              <w:rPr>
                <w:rFonts w:hint="eastAsia" w:ascii="仿宋" w:hAnsi="仿宋" w:eastAsia="仿宋" w:cs="仿宋"/>
                <w:sz w:val="28"/>
                <w:szCs w:val="28"/>
              </w:rPr>
            </w:pPr>
            <w:r>
              <w:rPr>
                <w:rFonts w:hint="eastAsia" w:ascii="仿宋" w:hAnsi="仿宋" w:eastAsia="仿宋" w:cs="仿宋"/>
                <w:sz w:val="28"/>
                <w:szCs w:val="28"/>
              </w:rPr>
              <w:t>记者手册（封面、封底）</w:t>
            </w:r>
          </w:p>
        </w:tc>
      </w:tr>
    </w:tbl>
    <w:p>
      <w:pPr>
        <w:pStyle w:val="2"/>
        <w:rPr>
          <w:rFonts w:hint="eastAsia" w:ascii="仿宋" w:hAnsi="仿宋" w:eastAsia="仿宋" w:cs="仿宋"/>
          <w:szCs w:val="28"/>
        </w:rPr>
      </w:pPr>
    </w:p>
    <w:sectPr>
      <w:footerReference r:id="rId7" w:type="first"/>
      <w:headerReference r:id="rId5" w:type="default"/>
      <w:footerReference r:id="rId6" w:type="even"/>
      <w:pgSz w:w="11907" w:h="16840"/>
      <w:pgMar w:top="1440" w:right="1797" w:bottom="1440" w:left="1797"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437602"/>
    </w:sdtPr>
    <w:sdtEndPr>
      <w:rPr>
        <w:rFonts w:ascii="Arial" w:hAnsi="Arial" w:cs="Arial"/>
        <w:sz w:val="21"/>
        <w:szCs w:val="21"/>
      </w:rPr>
    </w:sdtEndPr>
    <w:sdtContent>
      <w:p>
        <w:pPr>
          <w:pStyle w:val="24"/>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19</w:t>
        </w:r>
        <w:r>
          <w:rPr>
            <w:rFonts w:ascii="Arial" w:hAnsi="Arial" w:cs="Arial"/>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end"/>
    </w:r>
  </w:p>
  <w:p>
    <w:pPr>
      <w:pStyle w:val="2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32</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jc w:val="both"/>
    </w:pPr>
    <w:r>
      <w:rPr>
        <w:rFonts w:hint="eastAsia"/>
      </w:rPr>
      <w:t>深圳会展中心管理有限责任公司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06848"/>
    <w:multiLevelType w:val="singleLevel"/>
    <w:tmpl w:val="BD006848"/>
    <w:lvl w:ilvl="0" w:tentative="0">
      <w:start w:val="1"/>
      <w:numFmt w:val="decimal"/>
      <w:suff w:val="space"/>
      <w:lvlText w:val="%1."/>
      <w:lvlJc w:val="left"/>
      <w:rPr>
        <w:rFonts w:hint="default"/>
        <w:color w:val="auto"/>
      </w:rPr>
    </w:lvl>
  </w:abstractNum>
  <w:abstractNum w:abstractNumId="1">
    <w:nsid w:val="E5D82BDA"/>
    <w:multiLevelType w:val="singleLevel"/>
    <w:tmpl w:val="E5D82BDA"/>
    <w:lvl w:ilvl="0" w:tentative="0">
      <w:start w:val="1"/>
      <w:numFmt w:val="decimal"/>
      <w:lvlText w:val="(%1)"/>
      <w:lvlJc w:val="left"/>
      <w:pPr>
        <w:tabs>
          <w:tab w:val="left" w:pos="420"/>
        </w:tabs>
        <w:ind w:left="845" w:hanging="425"/>
      </w:pPr>
      <w:rPr>
        <w:rFonts w:hint="default"/>
      </w:rPr>
    </w:lvl>
  </w:abstractNum>
  <w:abstractNum w:abstractNumId="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singleLevel"/>
    <w:tmpl w:val="00000013"/>
    <w:lvl w:ilvl="0" w:tentative="0">
      <w:start w:val="1"/>
      <w:numFmt w:val="decimal"/>
      <w:lvlText w:val="%1."/>
      <w:lvlJc w:val="left"/>
      <w:pPr>
        <w:ind w:left="420" w:hanging="420"/>
      </w:pPr>
    </w:lvl>
  </w:abstractNum>
  <w:abstractNum w:abstractNumId="5">
    <w:nsid w:val="0C251E37"/>
    <w:multiLevelType w:val="multilevel"/>
    <w:tmpl w:val="0C251E3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994FD5"/>
    <w:multiLevelType w:val="multilevel"/>
    <w:tmpl w:val="11994FD5"/>
    <w:lvl w:ilvl="0" w:tentative="0">
      <w:start w:val="1"/>
      <w:numFmt w:val="decimal"/>
      <w:lvlText w:val="（%1）"/>
      <w:lvlJc w:val="left"/>
      <w:pPr>
        <w:ind w:left="420" w:hanging="420"/>
      </w:pPr>
      <w:rPr>
        <w:rFonts w:hint="default" w:ascii="仿宋" w:hAnsi="仿宋" w:eastAsia="仿宋"/>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5771E0F"/>
    <w:multiLevelType w:val="multilevel"/>
    <w:tmpl w:val="15771E0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03288B"/>
    <w:multiLevelType w:val="multilevel"/>
    <w:tmpl w:val="1D03288B"/>
    <w:lvl w:ilvl="0" w:tentative="0">
      <w:start w:val="1"/>
      <w:numFmt w:val="decimal"/>
      <w:lvlText w:val="%1."/>
      <w:lvlJc w:val="left"/>
      <w:pPr>
        <w:ind w:left="1549" w:hanging="420"/>
      </w:pPr>
      <w:rPr>
        <w:b w:val="0"/>
        <w:bCs/>
      </w:rPr>
    </w:lvl>
    <w:lvl w:ilvl="1" w:tentative="0">
      <w:start w:val="1"/>
      <w:numFmt w:val="lowerLetter"/>
      <w:lvlText w:val="%2)"/>
      <w:lvlJc w:val="left"/>
      <w:pPr>
        <w:ind w:left="1906" w:hanging="420"/>
      </w:pPr>
    </w:lvl>
    <w:lvl w:ilvl="2" w:tentative="0">
      <w:start w:val="1"/>
      <w:numFmt w:val="lowerRoman"/>
      <w:lvlText w:val="%3."/>
      <w:lvlJc w:val="right"/>
      <w:pPr>
        <w:ind w:left="2326" w:hanging="420"/>
      </w:pPr>
    </w:lvl>
    <w:lvl w:ilvl="3" w:tentative="0">
      <w:start w:val="1"/>
      <w:numFmt w:val="decimal"/>
      <w:lvlText w:val="%4."/>
      <w:lvlJc w:val="left"/>
      <w:pPr>
        <w:ind w:left="2746" w:hanging="420"/>
      </w:pPr>
    </w:lvl>
    <w:lvl w:ilvl="4" w:tentative="0">
      <w:start w:val="1"/>
      <w:numFmt w:val="lowerLetter"/>
      <w:lvlText w:val="%5)"/>
      <w:lvlJc w:val="left"/>
      <w:pPr>
        <w:ind w:left="3166" w:hanging="420"/>
      </w:pPr>
    </w:lvl>
    <w:lvl w:ilvl="5" w:tentative="0">
      <w:start w:val="1"/>
      <w:numFmt w:val="lowerRoman"/>
      <w:lvlText w:val="%6."/>
      <w:lvlJc w:val="right"/>
      <w:pPr>
        <w:ind w:left="3586" w:hanging="420"/>
      </w:pPr>
    </w:lvl>
    <w:lvl w:ilvl="6" w:tentative="0">
      <w:start w:val="1"/>
      <w:numFmt w:val="decimal"/>
      <w:lvlText w:val="%7."/>
      <w:lvlJc w:val="left"/>
      <w:pPr>
        <w:ind w:left="4006" w:hanging="420"/>
      </w:pPr>
    </w:lvl>
    <w:lvl w:ilvl="7" w:tentative="0">
      <w:start w:val="1"/>
      <w:numFmt w:val="lowerLetter"/>
      <w:lvlText w:val="%8)"/>
      <w:lvlJc w:val="left"/>
      <w:pPr>
        <w:ind w:left="4426" w:hanging="420"/>
      </w:pPr>
    </w:lvl>
    <w:lvl w:ilvl="8" w:tentative="0">
      <w:start w:val="1"/>
      <w:numFmt w:val="lowerRoman"/>
      <w:lvlText w:val="%9."/>
      <w:lvlJc w:val="right"/>
      <w:pPr>
        <w:ind w:left="4846" w:hanging="420"/>
      </w:pPr>
    </w:lvl>
  </w:abstractNum>
  <w:abstractNum w:abstractNumId="9">
    <w:nsid w:val="25143A5C"/>
    <w:multiLevelType w:val="multilevel"/>
    <w:tmpl w:val="25143A5C"/>
    <w:lvl w:ilvl="0" w:tentative="0">
      <w:start w:val="1"/>
      <w:numFmt w:val="chineseCountingThousand"/>
      <w:lvlText w:val="%1、"/>
      <w:lvlJc w:val="left"/>
      <w:pPr>
        <w:tabs>
          <w:tab w:val="left" w:pos="720"/>
        </w:tabs>
        <w:ind w:left="0" w:firstLine="0"/>
      </w:pPr>
    </w:lvl>
    <w:lvl w:ilvl="1" w:tentative="0">
      <w:start w:val="1"/>
      <w:numFmt w:val="decimal"/>
      <w:pStyle w:val="71"/>
      <w:lvlText w:val="%2、"/>
      <w:lvlJc w:val="left"/>
      <w:pPr>
        <w:tabs>
          <w:tab w:val="left" w:pos="1140"/>
        </w:tabs>
        <w:ind w:left="420" w:firstLine="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2662442"/>
    <w:multiLevelType w:val="multilevel"/>
    <w:tmpl w:val="32662442"/>
    <w:lvl w:ilvl="0" w:tentative="0">
      <w:start w:val="1"/>
      <w:numFmt w:val="japaneseCounting"/>
      <w:lvlText w:val="%1、"/>
      <w:lvlJc w:val="left"/>
      <w:pPr>
        <w:ind w:left="480" w:hanging="480"/>
      </w:pPr>
      <w:rPr>
        <w:rFonts w:hint="eastAsia" w:ascii="仿宋" w:hAnsi="仿宋" w:eastAsia="仿宋" w:cs="仿宋"/>
        <w:b/>
        <w:bCs/>
        <w:spacing w:val="-2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267104"/>
    <w:multiLevelType w:val="multilevel"/>
    <w:tmpl w:val="33267104"/>
    <w:lvl w:ilvl="0" w:tentative="0">
      <w:start w:val="1"/>
      <w:numFmt w:val="chineseCountingThousand"/>
      <w:lvlText w:val="%1、"/>
      <w:lvlJc w:val="left"/>
      <w:pPr>
        <w:ind w:left="420" w:hanging="420"/>
      </w:pPr>
      <w:rPr>
        <w:color w:val="auto"/>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D2E475E"/>
    <w:multiLevelType w:val="multilevel"/>
    <w:tmpl w:val="3D2E47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5">
    <w:nsid w:val="45080434"/>
    <w:multiLevelType w:val="multilevel"/>
    <w:tmpl w:val="45080434"/>
    <w:lvl w:ilvl="0" w:tentative="0">
      <w:start w:val="1"/>
      <w:numFmt w:val="decimal"/>
      <w:lvlText w:val="（%1）"/>
      <w:lvlJc w:val="left"/>
      <w:pPr>
        <w:ind w:left="420" w:hanging="420"/>
      </w:pPr>
      <w:rPr>
        <w:rFonts w:hint="default" w:ascii="仿宋" w:hAnsi="仿宋" w:eastAsia="仿宋"/>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9410F21"/>
    <w:multiLevelType w:val="multilevel"/>
    <w:tmpl w:val="49410F21"/>
    <w:lvl w:ilvl="0" w:tentative="0">
      <w:start w:val="1"/>
      <w:numFmt w:val="chineseCountingThousand"/>
      <w:lvlText w:val="%1、"/>
      <w:lvlJc w:val="left"/>
      <w:pPr>
        <w:ind w:left="420" w:hanging="420"/>
      </w:pPr>
      <w:rPr>
        <w:rFonts w:hint="eastAsia"/>
        <w:b w:val="0"/>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794A3F"/>
    <w:multiLevelType w:val="multilevel"/>
    <w:tmpl w:val="55794A3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9">
    <w:nsid w:val="615E1F01"/>
    <w:multiLevelType w:val="multilevel"/>
    <w:tmpl w:val="615E1F0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79562666"/>
    <w:multiLevelType w:val="multilevel"/>
    <w:tmpl w:val="7956266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
  </w:num>
  <w:num w:numId="5">
    <w:abstractNumId w:val="8"/>
  </w:num>
  <w:num w:numId="6">
    <w:abstractNumId w:val="15"/>
  </w:num>
  <w:num w:numId="7">
    <w:abstractNumId w:val="6"/>
  </w:num>
  <w:num w:numId="8">
    <w:abstractNumId w:val="19"/>
  </w:num>
  <w:num w:numId="9">
    <w:abstractNumId w:val="7"/>
  </w:num>
  <w:num w:numId="10">
    <w:abstractNumId w:val="21"/>
  </w:num>
  <w:num w:numId="11">
    <w:abstractNumId w:val="17"/>
  </w:num>
  <w:num w:numId="12">
    <w:abstractNumId w:val="5"/>
  </w:num>
  <w:num w:numId="13">
    <w:abstractNumId w:val="13"/>
  </w:num>
  <w:num w:numId="14">
    <w:abstractNumId w:val="16"/>
  </w:num>
  <w:num w:numId="15">
    <w:abstractNumId w:val="11"/>
  </w:num>
  <w:num w:numId="16">
    <w:abstractNumId w:val="20"/>
  </w:num>
  <w:num w:numId="17">
    <w:abstractNumId w:val="14"/>
  </w:num>
  <w:num w:numId="18">
    <w:abstractNumId w:val="12"/>
  </w:num>
  <w:num w:numId="19">
    <w:abstractNumId w:val="2"/>
  </w:num>
  <w:num w:numId="20">
    <w:abstractNumId w:val="3"/>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Yzc4MDc5YWY4ZTgzOWFhM2I2MmZlMjhhNGMyMjYifQ=="/>
  </w:docVars>
  <w:rsids>
    <w:rsidRoot w:val="00172A27"/>
    <w:rsid w:val="000001BF"/>
    <w:rsid w:val="00001735"/>
    <w:rsid w:val="00003827"/>
    <w:rsid w:val="00004590"/>
    <w:rsid w:val="00004C27"/>
    <w:rsid w:val="00006C1D"/>
    <w:rsid w:val="00012B8E"/>
    <w:rsid w:val="000141EC"/>
    <w:rsid w:val="00024E54"/>
    <w:rsid w:val="00026048"/>
    <w:rsid w:val="00030675"/>
    <w:rsid w:val="00030799"/>
    <w:rsid w:val="00031D13"/>
    <w:rsid w:val="00034566"/>
    <w:rsid w:val="00034BBF"/>
    <w:rsid w:val="00042EE0"/>
    <w:rsid w:val="00051AB0"/>
    <w:rsid w:val="00051B16"/>
    <w:rsid w:val="000555F5"/>
    <w:rsid w:val="00055E36"/>
    <w:rsid w:val="00061F2E"/>
    <w:rsid w:val="00062B90"/>
    <w:rsid w:val="00063C52"/>
    <w:rsid w:val="000643E2"/>
    <w:rsid w:val="0006766D"/>
    <w:rsid w:val="00071353"/>
    <w:rsid w:val="00071430"/>
    <w:rsid w:val="00074D59"/>
    <w:rsid w:val="00083A62"/>
    <w:rsid w:val="00084CFA"/>
    <w:rsid w:val="00086EF3"/>
    <w:rsid w:val="00094143"/>
    <w:rsid w:val="000956E2"/>
    <w:rsid w:val="00096B1F"/>
    <w:rsid w:val="000A14CF"/>
    <w:rsid w:val="000A427B"/>
    <w:rsid w:val="000B562E"/>
    <w:rsid w:val="000B67FA"/>
    <w:rsid w:val="000B71BF"/>
    <w:rsid w:val="000C1126"/>
    <w:rsid w:val="000C4626"/>
    <w:rsid w:val="000C6DDA"/>
    <w:rsid w:val="000D43E4"/>
    <w:rsid w:val="000E16D1"/>
    <w:rsid w:val="000E4412"/>
    <w:rsid w:val="000E47CB"/>
    <w:rsid w:val="000E6C9C"/>
    <w:rsid w:val="000F0477"/>
    <w:rsid w:val="000F3C20"/>
    <w:rsid w:val="000F6CE7"/>
    <w:rsid w:val="000F6D5A"/>
    <w:rsid w:val="000F7657"/>
    <w:rsid w:val="001006D5"/>
    <w:rsid w:val="0010207B"/>
    <w:rsid w:val="00107038"/>
    <w:rsid w:val="00114771"/>
    <w:rsid w:val="00116889"/>
    <w:rsid w:val="00117A04"/>
    <w:rsid w:val="001210CF"/>
    <w:rsid w:val="001333E6"/>
    <w:rsid w:val="001426C3"/>
    <w:rsid w:val="00147C0B"/>
    <w:rsid w:val="00151491"/>
    <w:rsid w:val="001629F6"/>
    <w:rsid w:val="0016304B"/>
    <w:rsid w:val="00163AA8"/>
    <w:rsid w:val="00165283"/>
    <w:rsid w:val="0016561A"/>
    <w:rsid w:val="0016595D"/>
    <w:rsid w:val="001667CB"/>
    <w:rsid w:val="00167006"/>
    <w:rsid w:val="00172058"/>
    <w:rsid w:val="00172A27"/>
    <w:rsid w:val="00180793"/>
    <w:rsid w:val="00186001"/>
    <w:rsid w:val="001937EF"/>
    <w:rsid w:val="00193FBC"/>
    <w:rsid w:val="001944E4"/>
    <w:rsid w:val="001952A7"/>
    <w:rsid w:val="001960F1"/>
    <w:rsid w:val="001A168E"/>
    <w:rsid w:val="001A5404"/>
    <w:rsid w:val="001A6F9C"/>
    <w:rsid w:val="001B082A"/>
    <w:rsid w:val="001B1658"/>
    <w:rsid w:val="001B5CC6"/>
    <w:rsid w:val="001B7FCB"/>
    <w:rsid w:val="001C067A"/>
    <w:rsid w:val="001C1424"/>
    <w:rsid w:val="001C1847"/>
    <w:rsid w:val="001C2A30"/>
    <w:rsid w:val="001C3E94"/>
    <w:rsid w:val="001C5EB0"/>
    <w:rsid w:val="001C6E8E"/>
    <w:rsid w:val="001D220C"/>
    <w:rsid w:val="001D38FC"/>
    <w:rsid w:val="001D3C32"/>
    <w:rsid w:val="001D529B"/>
    <w:rsid w:val="001D7404"/>
    <w:rsid w:val="001E06EC"/>
    <w:rsid w:val="001E397F"/>
    <w:rsid w:val="001E61DE"/>
    <w:rsid w:val="001F297C"/>
    <w:rsid w:val="001F2C1C"/>
    <w:rsid w:val="001F3138"/>
    <w:rsid w:val="001F4EEF"/>
    <w:rsid w:val="001F7329"/>
    <w:rsid w:val="00205879"/>
    <w:rsid w:val="00211C69"/>
    <w:rsid w:val="00213E23"/>
    <w:rsid w:val="00214218"/>
    <w:rsid w:val="00221628"/>
    <w:rsid w:val="00232416"/>
    <w:rsid w:val="00232425"/>
    <w:rsid w:val="0023385F"/>
    <w:rsid w:val="002351FF"/>
    <w:rsid w:val="002410B7"/>
    <w:rsid w:val="002418C1"/>
    <w:rsid w:val="002543A2"/>
    <w:rsid w:val="00254505"/>
    <w:rsid w:val="00262413"/>
    <w:rsid w:val="00262621"/>
    <w:rsid w:val="00264485"/>
    <w:rsid w:val="00272004"/>
    <w:rsid w:val="0027601D"/>
    <w:rsid w:val="002760C2"/>
    <w:rsid w:val="00277162"/>
    <w:rsid w:val="00282C59"/>
    <w:rsid w:val="00285E8A"/>
    <w:rsid w:val="002865D2"/>
    <w:rsid w:val="00290DEA"/>
    <w:rsid w:val="0029468A"/>
    <w:rsid w:val="00294877"/>
    <w:rsid w:val="00294E2C"/>
    <w:rsid w:val="00297DC5"/>
    <w:rsid w:val="002A15DE"/>
    <w:rsid w:val="002A2DC1"/>
    <w:rsid w:val="002A5419"/>
    <w:rsid w:val="002A64C3"/>
    <w:rsid w:val="002A7FDE"/>
    <w:rsid w:val="002B0E1B"/>
    <w:rsid w:val="002B2B80"/>
    <w:rsid w:val="002B46D9"/>
    <w:rsid w:val="002B6789"/>
    <w:rsid w:val="002B7EEB"/>
    <w:rsid w:val="002C0EA3"/>
    <w:rsid w:val="002C1BD3"/>
    <w:rsid w:val="002C365A"/>
    <w:rsid w:val="002C4685"/>
    <w:rsid w:val="002D0C68"/>
    <w:rsid w:val="002D3E2A"/>
    <w:rsid w:val="002D40FC"/>
    <w:rsid w:val="002D4AB3"/>
    <w:rsid w:val="002D682F"/>
    <w:rsid w:val="002E053E"/>
    <w:rsid w:val="002E0DCA"/>
    <w:rsid w:val="002E7DFB"/>
    <w:rsid w:val="002F3F61"/>
    <w:rsid w:val="002F7F7F"/>
    <w:rsid w:val="003005A8"/>
    <w:rsid w:val="00304CC8"/>
    <w:rsid w:val="00305D58"/>
    <w:rsid w:val="00307C08"/>
    <w:rsid w:val="00312E0E"/>
    <w:rsid w:val="00321978"/>
    <w:rsid w:val="00321DA7"/>
    <w:rsid w:val="003316C5"/>
    <w:rsid w:val="00335486"/>
    <w:rsid w:val="00341566"/>
    <w:rsid w:val="003427B5"/>
    <w:rsid w:val="00346610"/>
    <w:rsid w:val="0035192B"/>
    <w:rsid w:val="00352562"/>
    <w:rsid w:val="00355005"/>
    <w:rsid w:val="003604EF"/>
    <w:rsid w:val="0036193C"/>
    <w:rsid w:val="00361C5D"/>
    <w:rsid w:val="00363F88"/>
    <w:rsid w:val="003645B8"/>
    <w:rsid w:val="00376062"/>
    <w:rsid w:val="0038307B"/>
    <w:rsid w:val="00387CC7"/>
    <w:rsid w:val="00393ABA"/>
    <w:rsid w:val="00396844"/>
    <w:rsid w:val="003A0296"/>
    <w:rsid w:val="003A4869"/>
    <w:rsid w:val="003A5CEC"/>
    <w:rsid w:val="003B17BA"/>
    <w:rsid w:val="003B3B0B"/>
    <w:rsid w:val="003B7CA4"/>
    <w:rsid w:val="003C2093"/>
    <w:rsid w:val="003C5B56"/>
    <w:rsid w:val="003C73BF"/>
    <w:rsid w:val="003D3FE3"/>
    <w:rsid w:val="003D42BA"/>
    <w:rsid w:val="003E3FA9"/>
    <w:rsid w:val="003E497F"/>
    <w:rsid w:val="003E7164"/>
    <w:rsid w:val="003F051D"/>
    <w:rsid w:val="003F1C95"/>
    <w:rsid w:val="003F445D"/>
    <w:rsid w:val="003F5896"/>
    <w:rsid w:val="003F6CD4"/>
    <w:rsid w:val="0040068B"/>
    <w:rsid w:val="004016E4"/>
    <w:rsid w:val="00403652"/>
    <w:rsid w:val="004036B5"/>
    <w:rsid w:val="00407372"/>
    <w:rsid w:val="00410408"/>
    <w:rsid w:val="00412828"/>
    <w:rsid w:val="00421111"/>
    <w:rsid w:val="00426DCC"/>
    <w:rsid w:val="004339EE"/>
    <w:rsid w:val="004464AE"/>
    <w:rsid w:val="00446777"/>
    <w:rsid w:val="004502A1"/>
    <w:rsid w:val="004502D1"/>
    <w:rsid w:val="00450ABD"/>
    <w:rsid w:val="00467E7E"/>
    <w:rsid w:val="00483E81"/>
    <w:rsid w:val="00484BB7"/>
    <w:rsid w:val="00486DA9"/>
    <w:rsid w:val="0048729E"/>
    <w:rsid w:val="0048736E"/>
    <w:rsid w:val="0049038E"/>
    <w:rsid w:val="00491296"/>
    <w:rsid w:val="00492A26"/>
    <w:rsid w:val="00492F52"/>
    <w:rsid w:val="00496CEC"/>
    <w:rsid w:val="004A084B"/>
    <w:rsid w:val="004A1E78"/>
    <w:rsid w:val="004A27C7"/>
    <w:rsid w:val="004A6D85"/>
    <w:rsid w:val="004B096C"/>
    <w:rsid w:val="004B28DF"/>
    <w:rsid w:val="004B5516"/>
    <w:rsid w:val="004C419A"/>
    <w:rsid w:val="004C7EDE"/>
    <w:rsid w:val="004D0EA5"/>
    <w:rsid w:val="004D78EF"/>
    <w:rsid w:val="004E26A1"/>
    <w:rsid w:val="004E2D2F"/>
    <w:rsid w:val="004E594B"/>
    <w:rsid w:val="004F0A9F"/>
    <w:rsid w:val="005038DA"/>
    <w:rsid w:val="00504F87"/>
    <w:rsid w:val="00506A95"/>
    <w:rsid w:val="00513BE3"/>
    <w:rsid w:val="00516312"/>
    <w:rsid w:val="00520294"/>
    <w:rsid w:val="00521243"/>
    <w:rsid w:val="0052146F"/>
    <w:rsid w:val="005256B2"/>
    <w:rsid w:val="005321B8"/>
    <w:rsid w:val="0054111A"/>
    <w:rsid w:val="005456A9"/>
    <w:rsid w:val="005503C3"/>
    <w:rsid w:val="00560357"/>
    <w:rsid w:val="005619F6"/>
    <w:rsid w:val="00567647"/>
    <w:rsid w:val="00567F20"/>
    <w:rsid w:val="00571567"/>
    <w:rsid w:val="005750DE"/>
    <w:rsid w:val="005762D4"/>
    <w:rsid w:val="00581B35"/>
    <w:rsid w:val="005861E0"/>
    <w:rsid w:val="0058783D"/>
    <w:rsid w:val="00587AA0"/>
    <w:rsid w:val="0059789F"/>
    <w:rsid w:val="005A7172"/>
    <w:rsid w:val="005A752F"/>
    <w:rsid w:val="005B4834"/>
    <w:rsid w:val="005B4F02"/>
    <w:rsid w:val="005B5591"/>
    <w:rsid w:val="005C2D28"/>
    <w:rsid w:val="005C2DC6"/>
    <w:rsid w:val="005C4277"/>
    <w:rsid w:val="005C7475"/>
    <w:rsid w:val="005D3C10"/>
    <w:rsid w:val="005D633B"/>
    <w:rsid w:val="005E4E74"/>
    <w:rsid w:val="005E5D6F"/>
    <w:rsid w:val="00600BEA"/>
    <w:rsid w:val="0060144D"/>
    <w:rsid w:val="00604399"/>
    <w:rsid w:val="00606830"/>
    <w:rsid w:val="00612A90"/>
    <w:rsid w:val="00612DD5"/>
    <w:rsid w:val="00614C0D"/>
    <w:rsid w:val="0062014C"/>
    <w:rsid w:val="00622291"/>
    <w:rsid w:val="00622A09"/>
    <w:rsid w:val="0064571E"/>
    <w:rsid w:val="00652D71"/>
    <w:rsid w:val="0065612C"/>
    <w:rsid w:val="00666A2F"/>
    <w:rsid w:val="00670568"/>
    <w:rsid w:val="00674BDE"/>
    <w:rsid w:val="00676BA6"/>
    <w:rsid w:val="0068444E"/>
    <w:rsid w:val="00685584"/>
    <w:rsid w:val="00690D52"/>
    <w:rsid w:val="00695425"/>
    <w:rsid w:val="00696DBE"/>
    <w:rsid w:val="006A5685"/>
    <w:rsid w:val="006B1E0A"/>
    <w:rsid w:val="006C06CE"/>
    <w:rsid w:val="006C39C3"/>
    <w:rsid w:val="006C6BAD"/>
    <w:rsid w:val="006D083B"/>
    <w:rsid w:val="006D218D"/>
    <w:rsid w:val="006D226E"/>
    <w:rsid w:val="006D3AE0"/>
    <w:rsid w:val="006D7848"/>
    <w:rsid w:val="006E0918"/>
    <w:rsid w:val="006E3141"/>
    <w:rsid w:val="006E767A"/>
    <w:rsid w:val="006F2BF1"/>
    <w:rsid w:val="007044A5"/>
    <w:rsid w:val="00706764"/>
    <w:rsid w:val="00711A51"/>
    <w:rsid w:val="0071249C"/>
    <w:rsid w:val="0071279E"/>
    <w:rsid w:val="0071368B"/>
    <w:rsid w:val="00722FAB"/>
    <w:rsid w:val="00726878"/>
    <w:rsid w:val="007305BD"/>
    <w:rsid w:val="007357CE"/>
    <w:rsid w:val="00735E8E"/>
    <w:rsid w:val="0073714B"/>
    <w:rsid w:val="007374E7"/>
    <w:rsid w:val="00741C3A"/>
    <w:rsid w:val="0074227B"/>
    <w:rsid w:val="00742AE0"/>
    <w:rsid w:val="00745835"/>
    <w:rsid w:val="00751BAA"/>
    <w:rsid w:val="007528EE"/>
    <w:rsid w:val="00754383"/>
    <w:rsid w:val="00755EA3"/>
    <w:rsid w:val="00762D51"/>
    <w:rsid w:val="0076375F"/>
    <w:rsid w:val="00765785"/>
    <w:rsid w:val="00770BA7"/>
    <w:rsid w:val="00775F12"/>
    <w:rsid w:val="00776198"/>
    <w:rsid w:val="00776336"/>
    <w:rsid w:val="007765B2"/>
    <w:rsid w:val="007837FC"/>
    <w:rsid w:val="00783C87"/>
    <w:rsid w:val="0078473F"/>
    <w:rsid w:val="00792E17"/>
    <w:rsid w:val="00793217"/>
    <w:rsid w:val="00795292"/>
    <w:rsid w:val="00796E4A"/>
    <w:rsid w:val="007A058D"/>
    <w:rsid w:val="007B11E7"/>
    <w:rsid w:val="007B5EAB"/>
    <w:rsid w:val="007B799E"/>
    <w:rsid w:val="007C017E"/>
    <w:rsid w:val="007C220E"/>
    <w:rsid w:val="007C5673"/>
    <w:rsid w:val="007C6955"/>
    <w:rsid w:val="007C7B6C"/>
    <w:rsid w:val="007D2384"/>
    <w:rsid w:val="007D28C0"/>
    <w:rsid w:val="007E40CB"/>
    <w:rsid w:val="007F445E"/>
    <w:rsid w:val="007F6722"/>
    <w:rsid w:val="007F7085"/>
    <w:rsid w:val="007F7C2C"/>
    <w:rsid w:val="0080067B"/>
    <w:rsid w:val="00802F5E"/>
    <w:rsid w:val="00803109"/>
    <w:rsid w:val="00803165"/>
    <w:rsid w:val="0080705E"/>
    <w:rsid w:val="00810C74"/>
    <w:rsid w:val="00813870"/>
    <w:rsid w:val="0081442E"/>
    <w:rsid w:val="008171B0"/>
    <w:rsid w:val="0082429B"/>
    <w:rsid w:val="008245AE"/>
    <w:rsid w:val="00831FE5"/>
    <w:rsid w:val="00833202"/>
    <w:rsid w:val="00840558"/>
    <w:rsid w:val="00841246"/>
    <w:rsid w:val="008451B5"/>
    <w:rsid w:val="008464E7"/>
    <w:rsid w:val="00846EE8"/>
    <w:rsid w:val="0085039F"/>
    <w:rsid w:val="00851ADC"/>
    <w:rsid w:val="00854B08"/>
    <w:rsid w:val="00855A7D"/>
    <w:rsid w:val="00865D1F"/>
    <w:rsid w:val="00866DA0"/>
    <w:rsid w:val="00867475"/>
    <w:rsid w:val="00870844"/>
    <w:rsid w:val="00870985"/>
    <w:rsid w:val="00873C33"/>
    <w:rsid w:val="00875807"/>
    <w:rsid w:val="008822CC"/>
    <w:rsid w:val="0088467E"/>
    <w:rsid w:val="008909A5"/>
    <w:rsid w:val="008917C1"/>
    <w:rsid w:val="008A12CA"/>
    <w:rsid w:val="008A492C"/>
    <w:rsid w:val="008A7120"/>
    <w:rsid w:val="008B394D"/>
    <w:rsid w:val="008C4F65"/>
    <w:rsid w:val="008C760F"/>
    <w:rsid w:val="008C7F71"/>
    <w:rsid w:val="008E2BC1"/>
    <w:rsid w:val="008E4555"/>
    <w:rsid w:val="008E47F0"/>
    <w:rsid w:val="008E480F"/>
    <w:rsid w:val="008E555B"/>
    <w:rsid w:val="008F2934"/>
    <w:rsid w:val="00900A1D"/>
    <w:rsid w:val="00901C75"/>
    <w:rsid w:val="00903109"/>
    <w:rsid w:val="009056EC"/>
    <w:rsid w:val="00915739"/>
    <w:rsid w:val="00917AC0"/>
    <w:rsid w:val="009210D3"/>
    <w:rsid w:val="0092261E"/>
    <w:rsid w:val="00926312"/>
    <w:rsid w:val="00934E00"/>
    <w:rsid w:val="0094049B"/>
    <w:rsid w:val="0094123A"/>
    <w:rsid w:val="00942BD4"/>
    <w:rsid w:val="00943101"/>
    <w:rsid w:val="00945AA8"/>
    <w:rsid w:val="0094644A"/>
    <w:rsid w:val="00947274"/>
    <w:rsid w:val="00954320"/>
    <w:rsid w:val="0096564F"/>
    <w:rsid w:val="00976E63"/>
    <w:rsid w:val="00985F66"/>
    <w:rsid w:val="00987244"/>
    <w:rsid w:val="009947B1"/>
    <w:rsid w:val="00996302"/>
    <w:rsid w:val="009A0272"/>
    <w:rsid w:val="009A1389"/>
    <w:rsid w:val="009A3E48"/>
    <w:rsid w:val="009B1DF7"/>
    <w:rsid w:val="009B2560"/>
    <w:rsid w:val="009B3F96"/>
    <w:rsid w:val="009B44B6"/>
    <w:rsid w:val="009B7BE8"/>
    <w:rsid w:val="009C2A8F"/>
    <w:rsid w:val="009C2C1A"/>
    <w:rsid w:val="009C740C"/>
    <w:rsid w:val="009D2653"/>
    <w:rsid w:val="009D3CEA"/>
    <w:rsid w:val="009D5036"/>
    <w:rsid w:val="009E0101"/>
    <w:rsid w:val="009E3002"/>
    <w:rsid w:val="009E3A61"/>
    <w:rsid w:val="009E5603"/>
    <w:rsid w:val="009E6370"/>
    <w:rsid w:val="00A032F3"/>
    <w:rsid w:val="00A1277F"/>
    <w:rsid w:val="00A17171"/>
    <w:rsid w:val="00A174A3"/>
    <w:rsid w:val="00A21051"/>
    <w:rsid w:val="00A238C1"/>
    <w:rsid w:val="00A3459F"/>
    <w:rsid w:val="00A4121C"/>
    <w:rsid w:val="00A41C20"/>
    <w:rsid w:val="00A47C5F"/>
    <w:rsid w:val="00A52CDA"/>
    <w:rsid w:val="00A53901"/>
    <w:rsid w:val="00A72048"/>
    <w:rsid w:val="00A76486"/>
    <w:rsid w:val="00A766DF"/>
    <w:rsid w:val="00A805A4"/>
    <w:rsid w:val="00A9138E"/>
    <w:rsid w:val="00A976C3"/>
    <w:rsid w:val="00AA0C40"/>
    <w:rsid w:val="00AA1DD3"/>
    <w:rsid w:val="00AA67E8"/>
    <w:rsid w:val="00AA71FE"/>
    <w:rsid w:val="00AB3468"/>
    <w:rsid w:val="00AB5025"/>
    <w:rsid w:val="00AB7AB6"/>
    <w:rsid w:val="00AC5F52"/>
    <w:rsid w:val="00AC74FE"/>
    <w:rsid w:val="00AD3EAC"/>
    <w:rsid w:val="00AD5E02"/>
    <w:rsid w:val="00AD6648"/>
    <w:rsid w:val="00AF2AA9"/>
    <w:rsid w:val="00AF389D"/>
    <w:rsid w:val="00AF4749"/>
    <w:rsid w:val="00AF615E"/>
    <w:rsid w:val="00AF69BB"/>
    <w:rsid w:val="00AF7D4A"/>
    <w:rsid w:val="00B00AA3"/>
    <w:rsid w:val="00B010B6"/>
    <w:rsid w:val="00B027AE"/>
    <w:rsid w:val="00B1375B"/>
    <w:rsid w:val="00B16199"/>
    <w:rsid w:val="00B165E1"/>
    <w:rsid w:val="00B23427"/>
    <w:rsid w:val="00B30074"/>
    <w:rsid w:val="00B3765F"/>
    <w:rsid w:val="00B43EE6"/>
    <w:rsid w:val="00B50C46"/>
    <w:rsid w:val="00B50DBB"/>
    <w:rsid w:val="00B55ABA"/>
    <w:rsid w:val="00B56548"/>
    <w:rsid w:val="00B631EC"/>
    <w:rsid w:val="00B71BF9"/>
    <w:rsid w:val="00B727C4"/>
    <w:rsid w:val="00B730C5"/>
    <w:rsid w:val="00B760A9"/>
    <w:rsid w:val="00B862DC"/>
    <w:rsid w:val="00B905B1"/>
    <w:rsid w:val="00B92519"/>
    <w:rsid w:val="00B95E11"/>
    <w:rsid w:val="00BA1C60"/>
    <w:rsid w:val="00BB13AE"/>
    <w:rsid w:val="00BB4E60"/>
    <w:rsid w:val="00BB5744"/>
    <w:rsid w:val="00BB6B8D"/>
    <w:rsid w:val="00BB6FB4"/>
    <w:rsid w:val="00BC0A94"/>
    <w:rsid w:val="00BC193E"/>
    <w:rsid w:val="00BC1D7D"/>
    <w:rsid w:val="00BC7389"/>
    <w:rsid w:val="00BD0D3F"/>
    <w:rsid w:val="00BD2662"/>
    <w:rsid w:val="00BD45A5"/>
    <w:rsid w:val="00BD5F31"/>
    <w:rsid w:val="00BD6845"/>
    <w:rsid w:val="00BE38A9"/>
    <w:rsid w:val="00BF0C25"/>
    <w:rsid w:val="00BF1F0C"/>
    <w:rsid w:val="00BF3EE1"/>
    <w:rsid w:val="00BF4B92"/>
    <w:rsid w:val="00C0236E"/>
    <w:rsid w:val="00C02BB6"/>
    <w:rsid w:val="00C10F5D"/>
    <w:rsid w:val="00C1628A"/>
    <w:rsid w:val="00C16869"/>
    <w:rsid w:val="00C216CD"/>
    <w:rsid w:val="00C25D66"/>
    <w:rsid w:val="00C315C2"/>
    <w:rsid w:val="00C37F3F"/>
    <w:rsid w:val="00C41F17"/>
    <w:rsid w:val="00C450F1"/>
    <w:rsid w:val="00C50FA0"/>
    <w:rsid w:val="00C53743"/>
    <w:rsid w:val="00C54351"/>
    <w:rsid w:val="00C5497F"/>
    <w:rsid w:val="00C54BF0"/>
    <w:rsid w:val="00C63C57"/>
    <w:rsid w:val="00C650AF"/>
    <w:rsid w:val="00C65CC4"/>
    <w:rsid w:val="00C66768"/>
    <w:rsid w:val="00C66A7A"/>
    <w:rsid w:val="00C676D4"/>
    <w:rsid w:val="00C76F9D"/>
    <w:rsid w:val="00C80BE7"/>
    <w:rsid w:val="00C87069"/>
    <w:rsid w:val="00C936EC"/>
    <w:rsid w:val="00C9620A"/>
    <w:rsid w:val="00C97F19"/>
    <w:rsid w:val="00C97F84"/>
    <w:rsid w:val="00CA1C3E"/>
    <w:rsid w:val="00CA3A9A"/>
    <w:rsid w:val="00CA3B95"/>
    <w:rsid w:val="00CB0ED5"/>
    <w:rsid w:val="00CC0831"/>
    <w:rsid w:val="00CC2239"/>
    <w:rsid w:val="00CC244D"/>
    <w:rsid w:val="00CD2BEA"/>
    <w:rsid w:val="00CD6C09"/>
    <w:rsid w:val="00CE1D63"/>
    <w:rsid w:val="00CF134F"/>
    <w:rsid w:val="00CF43D4"/>
    <w:rsid w:val="00CF63D5"/>
    <w:rsid w:val="00D051BC"/>
    <w:rsid w:val="00D14DB3"/>
    <w:rsid w:val="00D154C6"/>
    <w:rsid w:val="00D1573C"/>
    <w:rsid w:val="00D26358"/>
    <w:rsid w:val="00D31670"/>
    <w:rsid w:val="00D3516D"/>
    <w:rsid w:val="00D35445"/>
    <w:rsid w:val="00D36B61"/>
    <w:rsid w:val="00D40143"/>
    <w:rsid w:val="00D44895"/>
    <w:rsid w:val="00D55242"/>
    <w:rsid w:val="00D60A37"/>
    <w:rsid w:val="00D63B6E"/>
    <w:rsid w:val="00D6657C"/>
    <w:rsid w:val="00D666B2"/>
    <w:rsid w:val="00D714A2"/>
    <w:rsid w:val="00D7690F"/>
    <w:rsid w:val="00D770BE"/>
    <w:rsid w:val="00D83972"/>
    <w:rsid w:val="00D91747"/>
    <w:rsid w:val="00D91E50"/>
    <w:rsid w:val="00DA4E5A"/>
    <w:rsid w:val="00DA5CBC"/>
    <w:rsid w:val="00DA6F4F"/>
    <w:rsid w:val="00DB1705"/>
    <w:rsid w:val="00DB40AA"/>
    <w:rsid w:val="00DB4952"/>
    <w:rsid w:val="00DB6C35"/>
    <w:rsid w:val="00DC214F"/>
    <w:rsid w:val="00DC3C58"/>
    <w:rsid w:val="00DC3E5D"/>
    <w:rsid w:val="00DC5213"/>
    <w:rsid w:val="00DD06AC"/>
    <w:rsid w:val="00DD4F9C"/>
    <w:rsid w:val="00DE2769"/>
    <w:rsid w:val="00DE7DBC"/>
    <w:rsid w:val="00DF053E"/>
    <w:rsid w:val="00DF134F"/>
    <w:rsid w:val="00DF321D"/>
    <w:rsid w:val="00E11B9A"/>
    <w:rsid w:val="00E15B07"/>
    <w:rsid w:val="00E16CB7"/>
    <w:rsid w:val="00E231CF"/>
    <w:rsid w:val="00E2688B"/>
    <w:rsid w:val="00E27F48"/>
    <w:rsid w:val="00E32254"/>
    <w:rsid w:val="00E32DC5"/>
    <w:rsid w:val="00E33EB3"/>
    <w:rsid w:val="00E3519E"/>
    <w:rsid w:val="00E3539C"/>
    <w:rsid w:val="00E40236"/>
    <w:rsid w:val="00E40B02"/>
    <w:rsid w:val="00E41299"/>
    <w:rsid w:val="00E4175D"/>
    <w:rsid w:val="00E43EA6"/>
    <w:rsid w:val="00E501DF"/>
    <w:rsid w:val="00E52C11"/>
    <w:rsid w:val="00E6538F"/>
    <w:rsid w:val="00E6559B"/>
    <w:rsid w:val="00E670AE"/>
    <w:rsid w:val="00E670DA"/>
    <w:rsid w:val="00E7119D"/>
    <w:rsid w:val="00E71B3E"/>
    <w:rsid w:val="00E721A8"/>
    <w:rsid w:val="00E74F8A"/>
    <w:rsid w:val="00E8151C"/>
    <w:rsid w:val="00E83350"/>
    <w:rsid w:val="00E906C7"/>
    <w:rsid w:val="00E94CEA"/>
    <w:rsid w:val="00E97392"/>
    <w:rsid w:val="00EA1897"/>
    <w:rsid w:val="00EA4524"/>
    <w:rsid w:val="00EA49B2"/>
    <w:rsid w:val="00EA51FA"/>
    <w:rsid w:val="00EB6DE1"/>
    <w:rsid w:val="00EC0A3C"/>
    <w:rsid w:val="00EC0C0A"/>
    <w:rsid w:val="00EC16C1"/>
    <w:rsid w:val="00EC6136"/>
    <w:rsid w:val="00EC672C"/>
    <w:rsid w:val="00ED32C5"/>
    <w:rsid w:val="00ED3844"/>
    <w:rsid w:val="00ED3FDE"/>
    <w:rsid w:val="00EE05CE"/>
    <w:rsid w:val="00EE2749"/>
    <w:rsid w:val="00EF41BA"/>
    <w:rsid w:val="00F05059"/>
    <w:rsid w:val="00F1359D"/>
    <w:rsid w:val="00F15ED6"/>
    <w:rsid w:val="00F17879"/>
    <w:rsid w:val="00F30B4B"/>
    <w:rsid w:val="00F4147D"/>
    <w:rsid w:val="00F41682"/>
    <w:rsid w:val="00F521E2"/>
    <w:rsid w:val="00F5596E"/>
    <w:rsid w:val="00F56CB0"/>
    <w:rsid w:val="00F57E97"/>
    <w:rsid w:val="00F6539E"/>
    <w:rsid w:val="00F71D91"/>
    <w:rsid w:val="00F727CC"/>
    <w:rsid w:val="00F748FC"/>
    <w:rsid w:val="00F766DA"/>
    <w:rsid w:val="00F76C52"/>
    <w:rsid w:val="00F77340"/>
    <w:rsid w:val="00F83DD5"/>
    <w:rsid w:val="00F85E96"/>
    <w:rsid w:val="00F95E0F"/>
    <w:rsid w:val="00F96C87"/>
    <w:rsid w:val="00FA2BCC"/>
    <w:rsid w:val="00FA3948"/>
    <w:rsid w:val="00FA39A5"/>
    <w:rsid w:val="00FA3C5C"/>
    <w:rsid w:val="00FA599B"/>
    <w:rsid w:val="00FA7C09"/>
    <w:rsid w:val="00FB5CA5"/>
    <w:rsid w:val="00FB6B78"/>
    <w:rsid w:val="00FC3B8E"/>
    <w:rsid w:val="00FD0F81"/>
    <w:rsid w:val="00FD177E"/>
    <w:rsid w:val="00FD1C4D"/>
    <w:rsid w:val="00FD363E"/>
    <w:rsid w:val="00FE08EE"/>
    <w:rsid w:val="00FE421D"/>
    <w:rsid w:val="00FE7B5C"/>
    <w:rsid w:val="00FF245B"/>
    <w:rsid w:val="00FF2A60"/>
    <w:rsid w:val="00FF2A64"/>
    <w:rsid w:val="00FF3C22"/>
    <w:rsid w:val="00FF4CD6"/>
    <w:rsid w:val="05927D24"/>
    <w:rsid w:val="071A633D"/>
    <w:rsid w:val="0823202C"/>
    <w:rsid w:val="08791823"/>
    <w:rsid w:val="0B9C7121"/>
    <w:rsid w:val="0DC90901"/>
    <w:rsid w:val="0F222277"/>
    <w:rsid w:val="15A6300E"/>
    <w:rsid w:val="16FE4A2C"/>
    <w:rsid w:val="1ABB152A"/>
    <w:rsid w:val="1CE56E24"/>
    <w:rsid w:val="1DB861E7"/>
    <w:rsid w:val="209956F8"/>
    <w:rsid w:val="224347D0"/>
    <w:rsid w:val="232343B3"/>
    <w:rsid w:val="23A53ED7"/>
    <w:rsid w:val="291D2BDF"/>
    <w:rsid w:val="29B10959"/>
    <w:rsid w:val="2B2E025C"/>
    <w:rsid w:val="2C794D40"/>
    <w:rsid w:val="2CC47A11"/>
    <w:rsid w:val="2D5D03E1"/>
    <w:rsid w:val="2F091546"/>
    <w:rsid w:val="37372D50"/>
    <w:rsid w:val="38361BA7"/>
    <w:rsid w:val="399E1C98"/>
    <w:rsid w:val="41B408F0"/>
    <w:rsid w:val="42291D35"/>
    <w:rsid w:val="42597BC0"/>
    <w:rsid w:val="43FD1C82"/>
    <w:rsid w:val="46104CEE"/>
    <w:rsid w:val="466900F1"/>
    <w:rsid w:val="4B23325A"/>
    <w:rsid w:val="4F7639C0"/>
    <w:rsid w:val="503C23ED"/>
    <w:rsid w:val="50E10F8B"/>
    <w:rsid w:val="52CA6EA2"/>
    <w:rsid w:val="57BE52C8"/>
    <w:rsid w:val="592B204C"/>
    <w:rsid w:val="5AE37A10"/>
    <w:rsid w:val="5B6B0017"/>
    <w:rsid w:val="5DF7710C"/>
    <w:rsid w:val="682401BA"/>
    <w:rsid w:val="691F4825"/>
    <w:rsid w:val="6974326C"/>
    <w:rsid w:val="6C5F0C3D"/>
    <w:rsid w:val="6F0830DB"/>
    <w:rsid w:val="712E14CF"/>
    <w:rsid w:val="716D0E4B"/>
    <w:rsid w:val="740027C2"/>
    <w:rsid w:val="74F260F7"/>
    <w:rsid w:val="76210BD4"/>
    <w:rsid w:val="78DC1397"/>
    <w:rsid w:val="7A6D3404"/>
    <w:rsid w:val="7ED4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7"/>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7"/>
    <w:qFormat/>
    <w:uiPriority w:val="0"/>
    <w:pPr>
      <w:keepNext/>
      <w:keepLines/>
      <w:spacing w:before="280" w:after="290" w:line="372" w:lineRule="auto"/>
      <w:outlineLvl w:val="4"/>
    </w:pPr>
    <w:rPr>
      <w:b/>
      <w:sz w:val="28"/>
      <w:szCs w:val="20"/>
    </w:rPr>
  </w:style>
  <w:style w:type="paragraph" w:styleId="9">
    <w:name w:val="heading 6"/>
    <w:basedOn w:val="1"/>
    <w:next w:val="7"/>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7"/>
    <w:qFormat/>
    <w:uiPriority w:val="0"/>
    <w:pPr>
      <w:keepNext/>
      <w:keepLines/>
      <w:spacing w:before="240" w:after="64" w:line="317" w:lineRule="auto"/>
      <w:outlineLvl w:val="6"/>
    </w:pPr>
    <w:rPr>
      <w:b/>
      <w:sz w:val="24"/>
      <w:szCs w:val="20"/>
    </w:rPr>
  </w:style>
  <w:style w:type="paragraph" w:styleId="11">
    <w:name w:val="heading 8"/>
    <w:basedOn w:val="1"/>
    <w:next w:val="7"/>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7"/>
    <w:qFormat/>
    <w:uiPriority w:val="0"/>
    <w:pPr>
      <w:keepNext/>
      <w:keepLines/>
      <w:spacing w:before="240" w:after="64" w:line="317"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autoSpaceDE w:val="0"/>
      <w:autoSpaceDN w:val="0"/>
      <w:adjustRightInd w:val="0"/>
    </w:pPr>
    <w:rPr>
      <w:rFonts w:hint="eastAsia" w:ascii="宋体"/>
      <w:kern w:val="0"/>
      <w:sz w:val="28"/>
      <w:szCs w:val="20"/>
    </w:rPr>
  </w:style>
  <w:style w:type="paragraph" w:styleId="7">
    <w:name w:val="Normal Indent"/>
    <w:basedOn w:val="1"/>
    <w:qFormat/>
    <w:uiPriority w:val="0"/>
    <w:pPr>
      <w:ind w:firstLine="420"/>
    </w:pPr>
    <w:rPr>
      <w:szCs w:val="20"/>
    </w:rPr>
  </w:style>
  <w:style w:type="paragraph" w:styleId="13">
    <w:name w:val="toc 7"/>
    <w:basedOn w:val="1"/>
    <w:next w:val="1"/>
    <w:qFormat/>
    <w:uiPriority w:val="0"/>
    <w:pPr>
      <w:ind w:left="2520"/>
    </w:pPr>
  </w:style>
  <w:style w:type="paragraph" w:styleId="14">
    <w:name w:val="Document Map"/>
    <w:basedOn w:val="1"/>
    <w:qFormat/>
    <w:uiPriority w:val="0"/>
    <w:pPr>
      <w:shd w:val="clear" w:color="auto" w:fill="000080"/>
    </w:pPr>
  </w:style>
  <w:style w:type="paragraph" w:styleId="15">
    <w:name w:val="annotation text"/>
    <w:basedOn w:val="1"/>
    <w:link w:val="42"/>
    <w:qFormat/>
    <w:uiPriority w:val="0"/>
    <w:pPr>
      <w:jc w:val="left"/>
    </w:pPr>
  </w:style>
  <w:style w:type="paragraph" w:styleId="16">
    <w:name w:val="Body Text"/>
    <w:basedOn w:val="1"/>
    <w:qFormat/>
    <w:uiPriority w:val="0"/>
    <w:pPr>
      <w:autoSpaceDE w:val="0"/>
      <w:autoSpaceDN w:val="0"/>
      <w:adjustRightInd w:val="0"/>
      <w:jc w:val="left"/>
    </w:pPr>
    <w:rPr>
      <w:rFonts w:hint="eastAsia" w:ascii="宋体"/>
      <w:kern w:val="0"/>
      <w:sz w:val="28"/>
      <w:szCs w:val="20"/>
    </w:rPr>
  </w:style>
  <w:style w:type="paragraph" w:styleId="17">
    <w:name w:val="Body Text Indent"/>
    <w:basedOn w:val="1"/>
    <w:qFormat/>
    <w:uiPriority w:val="0"/>
    <w:pPr>
      <w:ind w:firstLine="900"/>
    </w:pPr>
    <w:rPr>
      <w:sz w:val="28"/>
      <w:szCs w:val="20"/>
    </w:rPr>
  </w:style>
  <w:style w:type="paragraph" w:styleId="18">
    <w:name w:val="toc 5"/>
    <w:basedOn w:val="1"/>
    <w:next w:val="1"/>
    <w:qFormat/>
    <w:uiPriority w:val="0"/>
    <w:pPr>
      <w:ind w:left="1680"/>
    </w:pPr>
  </w:style>
  <w:style w:type="paragraph" w:styleId="19">
    <w:name w:val="toc 3"/>
    <w:basedOn w:val="1"/>
    <w:next w:val="1"/>
    <w:qFormat/>
    <w:uiPriority w:val="39"/>
    <w:pPr>
      <w:tabs>
        <w:tab w:val="right" w:leader="dot" w:pos="8303"/>
      </w:tabs>
      <w:spacing w:line="360" w:lineRule="auto"/>
      <w:ind w:left="839"/>
    </w:pPr>
    <w:rPr>
      <w:rFonts w:hAnsi="宋体"/>
    </w:rPr>
  </w:style>
  <w:style w:type="paragraph" w:styleId="20">
    <w:name w:val="toc 8"/>
    <w:basedOn w:val="1"/>
    <w:next w:val="1"/>
    <w:qFormat/>
    <w:uiPriority w:val="0"/>
    <w:pPr>
      <w:ind w:left="2940"/>
    </w:pPr>
  </w:style>
  <w:style w:type="paragraph" w:styleId="21">
    <w:name w:val="Date"/>
    <w:basedOn w:val="1"/>
    <w:next w:val="1"/>
    <w:qFormat/>
    <w:uiPriority w:val="0"/>
    <w:pPr>
      <w:autoSpaceDE w:val="0"/>
      <w:autoSpaceDN w:val="0"/>
      <w:adjustRightInd w:val="0"/>
    </w:pPr>
    <w:rPr>
      <w:rFonts w:hint="eastAsia" w:ascii="宋体"/>
      <w:kern w:val="0"/>
      <w:sz w:val="28"/>
      <w:szCs w:val="20"/>
    </w:rPr>
  </w:style>
  <w:style w:type="paragraph" w:styleId="22">
    <w:name w:val="Body Text Indent 2"/>
    <w:basedOn w:val="1"/>
    <w:qFormat/>
    <w:uiPriority w:val="0"/>
    <w:pPr>
      <w:spacing w:line="360" w:lineRule="auto"/>
      <w:ind w:firstLine="720"/>
    </w:pPr>
    <w:rPr>
      <w:rFonts w:hint="eastAsia" w:ascii="宋体"/>
      <w:sz w:val="28"/>
      <w:szCs w:val="20"/>
    </w:rPr>
  </w:style>
  <w:style w:type="paragraph" w:styleId="23">
    <w:name w:val="Balloon Text"/>
    <w:basedOn w:val="1"/>
    <w:link w:val="61"/>
    <w:qFormat/>
    <w:uiPriority w:val="99"/>
    <w:rPr>
      <w:sz w:val="18"/>
      <w:szCs w:val="18"/>
    </w:rPr>
  </w:style>
  <w:style w:type="paragraph" w:styleId="24">
    <w:name w:val="footer"/>
    <w:basedOn w:val="1"/>
    <w:link w:val="64"/>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5">
    <w:name w:val="header"/>
    <w:basedOn w:val="1"/>
    <w:link w:val="59"/>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6">
    <w:name w:val="toc 1"/>
    <w:basedOn w:val="1"/>
    <w:next w:val="1"/>
    <w:qFormat/>
    <w:uiPriority w:val="39"/>
    <w:pPr>
      <w:spacing w:line="360" w:lineRule="auto"/>
    </w:pPr>
  </w:style>
  <w:style w:type="paragraph" w:styleId="27">
    <w:name w:val="toc 4"/>
    <w:basedOn w:val="1"/>
    <w:next w:val="1"/>
    <w:qFormat/>
    <w:uiPriority w:val="0"/>
    <w:pPr>
      <w:ind w:left="1260"/>
    </w:pPr>
  </w:style>
  <w:style w:type="paragraph" w:styleId="28">
    <w:name w:val="toc 6"/>
    <w:basedOn w:val="1"/>
    <w:next w:val="1"/>
    <w:qFormat/>
    <w:uiPriority w:val="0"/>
    <w:pPr>
      <w:ind w:left="2100"/>
    </w:pPr>
  </w:style>
  <w:style w:type="paragraph" w:styleId="29">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30">
    <w:name w:val="toc 2"/>
    <w:basedOn w:val="1"/>
    <w:next w:val="1"/>
    <w:qFormat/>
    <w:uiPriority w:val="39"/>
    <w:pPr>
      <w:spacing w:line="360" w:lineRule="auto"/>
      <w:ind w:left="420"/>
    </w:pPr>
  </w:style>
  <w:style w:type="paragraph" w:styleId="31">
    <w:name w:val="toc 9"/>
    <w:basedOn w:val="1"/>
    <w:next w:val="1"/>
    <w:qFormat/>
    <w:uiPriority w:val="0"/>
    <w:pPr>
      <w:ind w:left="3360"/>
    </w:pPr>
  </w:style>
  <w:style w:type="paragraph" w:styleId="32">
    <w:name w:val="index 1"/>
    <w:basedOn w:val="1"/>
    <w:next w:val="1"/>
    <w:qFormat/>
    <w:uiPriority w:val="0"/>
    <w:pPr>
      <w:spacing w:line="360" w:lineRule="auto"/>
    </w:pPr>
    <w:rPr>
      <w:szCs w:val="20"/>
    </w:rPr>
  </w:style>
  <w:style w:type="paragraph" w:styleId="33">
    <w:name w:val="Title"/>
    <w:basedOn w:val="1"/>
    <w:next w:val="1"/>
    <w:link w:val="43"/>
    <w:qFormat/>
    <w:uiPriority w:val="0"/>
    <w:pPr>
      <w:spacing w:before="240" w:after="60"/>
      <w:jc w:val="center"/>
      <w:outlineLvl w:val="0"/>
    </w:pPr>
    <w:rPr>
      <w:rFonts w:ascii="Cambria" w:hAnsi="Cambria"/>
      <w:b/>
      <w:bCs/>
      <w:sz w:val="32"/>
      <w:szCs w:val="32"/>
    </w:rPr>
  </w:style>
  <w:style w:type="paragraph" w:styleId="34">
    <w:name w:val="annotation subject"/>
    <w:basedOn w:val="15"/>
    <w:next w:val="15"/>
    <w:link w:val="48"/>
    <w:qFormat/>
    <w:uiPriority w:val="0"/>
    <w:rPr>
      <w:b/>
      <w:bCs/>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font10pt"/>
    <w:basedOn w:val="37"/>
    <w:qFormat/>
    <w:uiPriority w:val="0"/>
  </w:style>
  <w:style w:type="character" w:customStyle="1" w:styleId="42">
    <w:name w:val="批注文字 Char"/>
    <w:link w:val="15"/>
    <w:qFormat/>
    <w:uiPriority w:val="0"/>
    <w:rPr>
      <w:kern w:val="2"/>
      <w:sz w:val="21"/>
      <w:szCs w:val="24"/>
    </w:rPr>
  </w:style>
  <w:style w:type="character" w:customStyle="1" w:styleId="43">
    <w:name w:val="标题 Char"/>
    <w:link w:val="33"/>
    <w:qFormat/>
    <w:uiPriority w:val="0"/>
    <w:rPr>
      <w:rFonts w:ascii="Cambria" w:hAnsi="Cambria" w:cs="Times New Roman"/>
      <w:b/>
      <w:bCs/>
      <w:kern w:val="2"/>
      <w:sz w:val="32"/>
      <w:szCs w:val="32"/>
    </w:rPr>
  </w:style>
  <w:style w:type="character" w:customStyle="1" w:styleId="44">
    <w:name w:val="表格 Char Char"/>
    <w:link w:val="45"/>
    <w:qFormat/>
    <w:uiPriority w:val="0"/>
    <w:rPr>
      <w:rFonts w:ascii="宋体" w:hAnsi="宋体"/>
    </w:rPr>
  </w:style>
  <w:style w:type="paragraph" w:customStyle="1" w:styleId="45">
    <w:name w:val="表格"/>
    <w:basedOn w:val="1"/>
    <w:link w:val="44"/>
    <w:qFormat/>
    <w:uiPriority w:val="0"/>
    <w:pPr>
      <w:snapToGrid w:val="0"/>
      <w:ind w:firstLine="42" w:firstLineChars="21"/>
    </w:pPr>
    <w:rPr>
      <w:rFonts w:ascii="宋体" w:hAnsi="宋体"/>
      <w:kern w:val="0"/>
      <w:sz w:val="20"/>
      <w:szCs w:val="20"/>
    </w:rPr>
  </w:style>
  <w:style w:type="character" w:customStyle="1" w:styleId="46">
    <w:name w:val="标题1"/>
    <w:basedOn w:val="37"/>
    <w:qFormat/>
    <w:uiPriority w:val="0"/>
  </w:style>
  <w:style w:type="character" w:customStyle="1" w:styleId="47">
    <w:name w:val="apple-style-span"/>
    <w:basedOn w:val="37"/>
    <w:qFormat/>
    <w:uiPriority w:val="0"/>
  </w:style>
  <w:style w:type="character" w:customStyle="1" w:styleId="48">
    <w:name w:val="批注主题 Char"/>
    <w:link w:val="34"/>
    <w:qFormat/>
    <w:uiPriority w:val="0"/>
    <w:rPr>
      <w:b/>
      <w:bCs/>
      <w:kern w:val="2"/>
      <w:sz w:val="21"/>
      <w:szCs w:val="24"/>
    </w:rPr>
  </w:style>
  <w:style w:type="paragraph" w:customStyle="1" w:styleId="49">
    <w:name w:val="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0">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styleId="51">
    <w:name w:val="List Paragraph"/>
    <w:basedOn w:val="1"/>
    <w:link w:val="66"/>
    <w:qFormat/>
    <w:uiPriority w:val="34"/>
    <w:pPr>
      <w:ind w:firstLine="420" w:firstLineChars="200"/>
    </w:pPr>
  </w:style>
  <w:style w:type="paragraph" w:customStyle="1" w:styleId="52">
    <w:name w:val="列表内容"/>
    <w:basedOn w:val="1"/>
    <w:next w:val="1"/>
    <w:qFormat/>
    <w:uiPriority w:val="0"/>
    <w:pPr>
      <w:widowControl/>
      <w:tabs>
        <w:tab w:val="left" w:pos="840"/>
      </w:tabs>
      <w:jc w:val="left"/>
    </w:pPr>
    <w:rPr>
      <w:kern w:val="0"/>
      <w:sz w:val="18"/>
    </w:rPr>
  </w:style>
  <w:style w:type="paragraph" w:customStyle="1" w:styleId="53">
    <w:name w:val="Char Char Char 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4">
    <w:name w:val="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5">
    <w:name w:val="Char Char Char 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6">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
    <w:name w:val="1册标题3"/>
    <w:basedOn w:val="1"/>
    <w:next w:val="1"/>
    <w:qFormat/>
    <w:uiPriority w:val="0"/>
    <w:pPr>
      <w:keepNext/>
      <w:keepLines/>
      <w:adjustRightInd w:val="0"/>
      <w:spacing w:beforeLines="50" w:afterLines="50"/>
      <w:jc w:val="center"/>
      <w:textAlignment w:val="baseline"/>
      <w:outlineLvl w:val="2"/>
    </w:pPr>
    <w:rPr>
      <w:rFonts w:ascii="楷体_GB2312" w:hAnsi="宋体" w:eastAsia="楷体_GB2312"/>
      <w:b/>
      <w:kern w:val="0"/>
      <w:sz w:val="24"/>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59">
    <w:name w:val="页眉 Char"/>
    <w:basedOn w:val="37"/>
    <w:link w:val="25"/>
    <w:qFormat/>
    <w:uiPriority w:val="0"/>
    <w:rPr>
      <w:rFonts w:ascii="宋体"/>
      <w:sz w:val="18"/>
    </w:rPr>
  </w:style>
  <w:style w:type="paragraph" w:customStyle="1" w:styleId="60">
    <w:name w:val="正文1"/>
    <w:basedOn w:val="1"/>
    <w:qFormat/>
    <w:uiPriority w:val="0"/>
    <w:pPr>
      <w:tabs>
        <w:tab w:val="left" w:pos="1260"/>
        <w:tab w:val="left" w:pos="1620"/>
        <w:tab w:val="left" w:pos="1980"/>
        <w:tab w:val="left" w:pos="2160"/>
      </w:tabs>
      <w:adjustRightInd w:val="0"/>
      <w:snapToGrid w:val="0"/>
      <w:spacing w:line="360" w:lineRule="auto"/>
      <w:ind w:firstLine="480" w:firstLineChars="200"/>
    </w:pPr>
    <w:rPr>
      <w:rFonts w:ascii="宋体" w:hAnsi="宋体"/>
      <w:bCs/>
      <w:sz w:val="24"/>
    </w:rPr>
  </w:style>
  <w:style w:type="character" w:customStyle="1" w:styleId="61">
    <w:name w:val="批注框文本 Char"/>
    <w:basedOn w:val="37"/>
    <w:link w:val="23"/>
    <w:qFormat/>
    <w:uiPriority w:val="99"/>
    <w:rPr>
      <w:kern w:val="2"/>
      <w:sz w:val="18"/>
      <w:szCs w:val="18"/>
    </w:rPr>
  </w:style>
  <w:style w:type="paragraph" w:styleId="62">
    <w:name w:val="Quote"/>
    <w:basedOn w:val="1"/>
    <w:next w:val="1"/>
    <w:link w:val="63"/>
    <w:qFormat/>
    <w:uiPriority w:val="29"/>
    <w:rPr>
      <w:i/>
      <w:iCs/>
      <w:color w:val="000000"/>
    </w:rPr>
  </w:style>
  <w:style w:type="character" w:customStyle="1" w:styleId="63">
    <w:name w:val="引用 Char"/>
    <w:basedOn w:val="37"/>
    <w:link w:val="62"/>
    <w:qFormat/>
    <w:uiPriority w:val="29"/>
    <w:rPr>
      <w:i/>
      <w:iCs/>
      <w:color w:val="000000"/>
      <w:kern w:val="2"/>
      <w:sz w:val="21"/>
      <w:szCs w:val="24"/>
    </w:rPr>
  </w:style>
  <w:style w:type="character" w:customStyle="1" w:styleId="64">
    <w:name w:val="页脚 Char"/>
    <w:basedOn w:val="37"/>
    <w:link w:val="24"/>
    <w:qFormat/>
    <w:uiPriority w:val="99"/>
    <w:rPr>
      <w:rFonts w:ascii="宋体"/>
      <w:sz w:val="18"/>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6">
    <w:name w:val="列出段落 Char"/>
    <w:link w:val="51"/>
    <w:qFormat/>
    <w:uiPriority w:val="34"/>
    <w:rPr>
      <w:kern w:val="2"/>
      <w:sz w:val="21"/>
      <w:szCs w:val="24"/>
    </w:rPr>
  </w:style>
  <w:style w:type="paragraph" w:customStyle="1" w:styleId="67">
    <w:name w:val="Table Paragraph"/>
    <w:basedOn w:val="1"/>
    <w:qFormat/>
    <w:uiPriority w:val="1"/>
    <w:rPr>
      <w:rFonts w:ascii="宋体" w:hAnsi="宋体" w:cs="宋体"/>
      <w:lang w:val="zh-CN" w:bidi="zh-CN"/>
    </w:rPr>
  </w:style>
  <w:style w:type="paragraph" w:customStyle="1" w:styleId="68">
    <w:name w:val="列出段落1"/>
    <w:basedOn w:val="1"/>
    <w:qFormat/>
    <w:uiPriority w:val="34"/>
    <w:pPr>
      <w:ind w:firstLine="420" w:firstLineChars="200"/>
    </w:pPr>
  </w:style>
  <w:style w:type="paragraph" w:customStyle="1" w:styleId="6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一、"/>
    <w:basedOn w:val="1"/>
    <w:qFormat/>
    <w:uiPriority w:val="0"/>
    <w:pPr>
      <w:numPr>
        <w:ilvl w:val="1"/>
        <w:numId w:val="1"/>
      </w:numPr>
      <w:tabs>
        <w:tab w:val="left" w:pos="720"/>
      </w:tabs>
      <w:spacing w:after="160" w:line="740" w:lineRule="exact"/>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78486-A664-4671-AF5A-506BB69C5E6E}">
  <ds:schemaRefs/>
</ds:datastoreItem>
</file>

<file path=docProps/app.xml><?xml version="1.0" encoding="utf-8"?>
<Properties xmlns="http://schemas.openxmlformats.org/officeDocument/2006/extended-properties" xmlns:vt="http://schemas.openxmlformats.org/officeDocument/2006/docPropsVTypes">
  <Template>Normal</Template>
  <Company>szitc</Company>
  <Pages>24</Pages>
  <Words>8816</Words>
  <Characters>9521</Characters>
  <Lines>95</Lines>
  <Paragraphs>26</Paragraphs>
  <TotalTime>237</TotalTime>
  <ScaleCrop>false</ScaleCrop>
  <LinksUpToDate>false</LinksUpToDate>
  <CharactersWithSpaces>11037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2022-04-20T03:07:00Z</dcterms:created>
  <dc:creator>szitc</dc:creator>
  <cp:lastModifiedBy>AAAA农民工‍微信專屬會員</cp:lastModifiedBy>
  <cp:lastPrinted>2016-09-22T01:40:00Z</cp:lastPrinted>
  <dcterms:modified xsi:type="dcterms:W3CDTF">2022-05-17T00:11:18Z</dcterms:modified>
  <dc:title>国内货物采购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B95BB8AFA1D84EAFA4D213B56668EC03</vt:lpwstr>
  </property>
  <property fmtid="{D5CDD505-2E9C-101B-9397-08002B2CF9AE}" pid="4" name="commondata">
    <vt:lpwstr>eyJoZGlkIjoiYjM0Nzc4NTgxMTg1M2VmMTJlY2Y2ZjYwMjllOTg2ZDUifQ==</vt:lpwstr>
  </property>
</Properties>
</file>