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8640"/>
        </w:tabs>
        <w:ind w:left="360" w:firstLine="0" w:firstLineChars="0"/>
        <w:rPr>
          <w:color w:val="000000" w:themeColor="text1"/>
          <w:sz w:val="30"/>
          <w:szCs w:val="30"/>
          <w:highlight w:val="yellow"/>
          <w14:textFill>
            <w14:solidFill>
              <w14:schemeClr w14:val="tx1"/>
            </w14:solidFill>
          </w14:textFill>
        </w:rPr>
      </w:pPr>
    </w:p>
    <w:p>
      <w:pPr>
        <w:spacing w:line="0" w:lineRule="atLeast"/>
        <w:jc w:val="center"/>
        <w:rPr>
          <w:rFonts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深圳会展中心管理有限责任公司</w:t>
      </w:r>
    </w:p>
    <w:p>
      <w:pPr>
        <w:spacing w:line="0" w:lineRule="atLeast"/>
        <w:jc w:val="center"/>
        <w:rPr>
          <w:rFonts w:ascii="方正小标宋_GBK" w:hAnsi="方正小标宋_GBK" w:eastAsia="方正小标宋_GBK" w:cs="方正小标宋_GBK"/>
          <w:b/>
          <w:bCs/>
          <w:sz w:val="48"/>
          <w:szCs w:val="48"/>
        </w:rPr>
      </w:pPr>
    </w:p>
    <w:p>
      <w:pPr>
        <w:spacing w:line="0" w:lineRule="atLeast"/>
        <w:jc w:val="center"/>
        <w:rPr>
          <w:rFonts w:ascii="宋体" w:hAnsi="宋体"/>
          <w:b/>
          <w:sz w:val="72"/>
          <w:szCs w:val="72"/>
        </w:rPr>
      </w:pPr>
      <w:r>
        <w:rPr>
          <w:rFonts w:hint="eastAsia" w:ascii="方正小标宋_GBK" w:hAnsi="方正小标宋_GBK" w:eastAsia="方正小标宋_GBK" w:cs="方正小标宋_GBK"/>
          <w:b/>
          <w:bCs/>
          <w:sz w:val="72"/>
          <w:szCs w:val="72"/>
        </w:rPr>
        <w:t>招标文件</w:t>
      </w:r>
    </w:p>
    <w:p>
      <w:pPr>
        <w:jc w:val="center"/>
        <w:rPr>
          <w:b/>
          <w:sz w:val="72"/>
        </w:rPr>
      </w:pPr>
    </w:p>
    <w:p>
      <w:pPr>
        <w:spacing w:line="360" w:lineRule="auto"/>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项目名称：高交会子展发展成自办展可行性研究项目</w:t>
      </w:r>
    </w:p>
    <w:p>
      <w:pPr>
        <w:spacing w:line="360" w:lineRule="auto"/>
        <w:jc w:val="center"/>
        <w:rPr>
          <w:rFonts w:ascii="方正小标宋_GBK" w:hAnsi="方正小标宋_GBK" w:eastAsia="方正小标宋_GBK" w:cs="方正小标宋_GBK"/>
          <w:b/>
          <w:sz w:val="32"/>
          <w:szCs w:val="32"/>
        </w:rPr>
      </w:pP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pStyle w:val="2"/>
        <w:rPr>
          <w:rFonts w:ascii="宋体"/>
          <w:b/>
          <w:sz w:val="32"/>
          <w:szCs w:val="32"/>
        </w:rPr>
      </w:pPr>
    </w:p>
    <w:p>
      <w:pPr>
        <w:pStyle w:val="2"/>
        <w:rPr>
          <w:rFonts w:ascii="宋体"/>
          <w:b/>
          <w:sz w:val="32"/>
          <w:szCs w:val="32"/>
        </w:rPr>
      </w:pPr>
    </w:p>
    <w:p>
      <w:pPr>
        <w:pStyle w:val="2"/>
        <w:rPr>
          <w:rFonts w:ascii="宋体"/>
          <w:b/>
          <w:sz w:val="32"/>
          <w:szCs w:val="32"/>
        </w:rPr>
      </w:pPr>
    </w:p>
    <w:p>
      <w:pPr>
        <w:pStyle w:val="2"/>
        <w:rPr>
          <w:rFonts w:ascii="宋体"/>
          <w:b/>
          <w:sz w:val="32"/>
          <w:szCs w:val="32"/>
        </w:rPr>
      </w:pPr>
    </w:p>
    <w:p>
      <w:pPr>
        <w:pStyle w:val="2"/>
        <w:rPr>
          <w:rFonts w:ascii="宋体"/>
          <w:b/>
          <w:sz w:val="32"/>
          <w:szCs w:val="32"/>
        </w:rPr>
      </w:pP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深圳会展中心管理有限责任公司</w:t>
      </w:r>
    </w:p>
    <w:p>
      <w:pPr>
        <w:widowControl/>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2</w:t>
      </w:r>
      <w:r>
        <w:rPr>
          <w:rFonts w:ascii="方正小标宋_GBK" w:hAnsi="方正小标宋_GBK" w:eastAsia="方正小标宋_GBK" w:cs="方正小标宋_GBK"/>
          <w:b/>
          <w:sz w:val="32"/>
          <w:szCs w:val="32"/>
        </w:rPr>
        <w:t>02</w:t>
      </w:r>
      <w:r>
        <w:rPr>
          <w:rFonts w:hint="eastAsia" w:ascii="方正小标宋_GBK" w:hAnsi="方正小标宋_GBK" w:eastAsia="方正小标宋_GBK" w:cs="方正小标宋_GBK"/>
          <w:b/>
          <w:sz w:val="32"/>
          <w:szCs w:val="32"/>
        </w:rPr>
        <w:t>2年6月</w:t>
      </w:r>
      <w:r>
        <w:rPr>
          <w:rFonts w:ascii="方正小标宋_GBK" w:hAnsi="方正小标宋_GBK" w:eastAsia="方正小标宋_GBK" w:cs="方正小标宋_GBK"/>
          <w:b/>
          <w:sz w:val="32"/>
          <w:szCs w:val="32"/>
        </w:rPr>
        <w:br w:type="page"/>
      </w:r>
    </w:p>
    <w:p>
      <w:pPr>
        <w:pStyle w:val="9"/>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9"/>
        <w:tabs>
          <w:tab w:val="right" w:leader="dot" w:pos="8306"/>
        </w:tabs>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"_Toc24962" </w:instrText>
      </w:r>
      <w:r>
        <w:fldChar w:fldCharType="separate"/>
      </w:r>
      <w:r>
        <w:rPr>
          <w:rFonts w:hint="eastAsia" w:ascii="宋体" w:hAnsi="宋体"/>
          <w:szCs w:val="32"/>
        </w:rPr>
        <w:t>第一部分 项目要求</w:t>
      </w:r>
      <w:r>
        <w:tab/>
      </w:r>
      <w:r>
        <w:fldChar w:fldCharType="begin"/>
      </w:r>
      <w:r>
        <w:instrText xml:space="preserve"> PAGEREF _Toc24962 \h </w:instrText>
      </w:r>
      <w:r>
        <w:fldChar w:fldCharType="separate"/>
      </w:r>
      <w:r>
        <w:t>1</w:t>
      </w:r>
      <w:r>
        <w:fldChar w:fldCharType="end"/>
      </w:r>
      <w:r>
        <w:fldChar w:fldCharType="end"/>
      </w:r>
    </w:p>
    <w:p>
      <w:pPr>
        <w:pStyle w:val="10"/>
        <w:tabs>
          <w:tab w:val="right" w:leader="dot" w:pos="8306"/>
        </w:tabs>
      </w:pPr>
      <w:r>
        <w:fldChar w:fldCharType="begin"/>
      </w:r>
      <w:r>
        <w:instrText xml:space="preserve"> HYPERLINK \l "_Toc648" </w:instrText>
      </w:r>
      <w:r>
        <w:fldChar w:fldCharType="separate"/>
      </w:r>
      <w:r>
        <w:rPr>
          <w:rFonts w:hint="eastAsia" w:ascii="宋体" w:hAnsi="宋体" w:cs="仿宋"/>
          <w:bCs/>
          <w:szCs w:val="21"/>
        </w:rPr>
        <w:t xml:space="preserve">一、 </w:t>
      </w:r>
      <w:r>
        <w:rPr>
          <w:rFonts w:hint="eastAsia" w:ascii="宋体" w:hAnsi="宋体"/>
          <w:szCs w:val="21"/>
        </w:rPr>
        <w:t>投标人须知</w:t>
      </w:r>
      <w:r>
        <w:tab/>
      </w:r>
      <w:r>
        <w:fldChar w:fldCharType="begin"/>
      </w:r>
      <w:r>
        <w:instrText xml:space="preserve"> PAGEREF _Toc648 \h </w:instrText>
      </w:r>
      <w:r>
        <w:fldChar w:fldCharType="separate"/>
      </w:r>
      <w:r>
        <w:t>1</w:t>
      </w:r>
      <w:r>
        <w:fldChar w:fldCharType="end"/>
      </w:r>
      <w:r>
        <w:fldChar w:fldCharType="end"/>
      </w:r>
    </w:p>
    <w:p>
      <w:pPr>
        <w:pStyle w:val="10"/>
        <w:tabs>
          <w:tab w:val="right" w:leader="dot" w:pos="8306"/>
        </w:tabs>
      </w:pPr>
      <w:r>
        <w:fldChar w:fldCharType="begin"/>
      </w:r>
      <w:r>
        <w:instrText xml:space="preserve"> HYPERLINK \l "_Toc32401" </w:instrText>
      </w:r>
      <w:r>
        <w:fldChar w:fldCharType="separate"/>
      </w:r>
      <w:r>
        <w:rPr>
          <w:rFonts w:hint="eastAsia" w:ascii="宋体" w:hAnsi="宋体" w:cs="仿宋"/>
          <w:bCs/>
          <w:szCs w:val="21"/>
        </w:rPr>
        <w:t xml:space="preserve">二、 </w:t>
      </w:r>
      <w:r>
        <w:rPr>
          <w:rFonts w:hint="eastAsia" w:ascii="宋体" w:hAnsi="宋体"/>
          <w:szCs w:val="21"/>
        </w:rPr>
        <w:t>特别说明</w:t>
      </w:r>
      <w:r>
        <w:tab/>
      </w:r>
      <w:r>
        <w:fldChar w:fldCharType="begin"/>
      </w:r>
      <w:r>
        <w:instrText xml:space="preserve"> PAGEREF _Toc32401 \h </w:instrText>
      </w:r>
      <w:r>
        <w:fldChar w:fldCharType="separate"/>
      </w:r>
      <w:r>
        <w:t>3</w:t>
      </w:r>
      <w:r>
        <w:fldChar w:fldCharType="end"/>
      </w:r>
      <w:r>
        <w:fldChar w:fldCharType="end"/>
      </w:r>
    </w:p>
    <w:p>
      <w:pPr>
        <w:pStyle w:val="10"/>
        <w:tabs>
          <w:tab w:val="right" w:leader="dot" w:pos="8306"/>
        </w:tabs>
      </w:pPr>
      <w:r>
        <w:fldChar w:fldCharType="begin"/>
      </w:r>
      <w:r>
        <w:instrText xml:space="preserve"> HYPERLINK \l "_Toc9754" </w:instrText>
      </w:r>
      <w:r>
        <w:fldChar w:fldCharType="separate"/>
      </w:r>
      <w:r>
        <w:rPr>
          <w:rFonts w:hint="eastAsia" w:ascii="宋体" w:hAnsi="宋体" w:cs="仿宋"/>
          <w:bCs/>
          <w:szCs w:val="21"/>
        </w:rPr>
        <w:t xml:space="preserve">三、 </w:t>
      </w:r>
      <w:r>
        <w:rPr>
          <w:rFonts w:hint="eastAsia" w:ascii="宋体" w:hAnsi="宋体"/>
          <w:szCs w:val="21"/>
        </w:rPr>
        <w:t>投标文件编制</w:t>
      </w:r>
      <w:r>
        <w:tab/>
      </w:r>
      <w:r>
        <w:fldChar w:fldCharType="begin"/>
      </w:r>
      <w:r>
        <w:instrText xml:space="preserve"> PAGEREF _Toc9754 \h </w:instrText>
      </w:r>
      <w:r>
        <w:fldChar w:fldCharType="separate"/>
      </w:r>
      <w:r>
        <w:t>3</w:t>
      </w:r>
      <w:r>
        <w:fldChar w:fldCharType="end"/>
      </w:r>
      <w:r>
        <w:fldChar w:fldCharType="end"/>
      </w:r>
    </w:p>
    <w:p>
      <w:pPr>
        <w:pStyle w:val="10"/>
        <w:tabs>
          <w:tab w:val="right" w:leader="dot" w:pos="8306"/>
        </w:tabs>
      </w:pPr>
      <w:r>
        <w:fldChar w:fldCharType="begin"/>
      </w:r>
      <w:r>
        <w:instrText xml:space="preserve"> HYPERLINK \l "_Toc29123" </w:instrText>
      </w:r>
      <w:r>
        <w:fldChar w:fldCharType="separate"/>
      </w:r>
      <w:r>
        <w:rPr>
          <w:rFonts w:hint="eastAsia" w:ascii="宋体" w:hAnsi="宋体" w:cs="仿宋"/>
          <w:bCs/>
          <w:szCs w:val="21"/>
        </w:rPr>
        <w:t xml:space="preserve">四、 </w:t>
      </w:r>
      <w:r>
        <w:rPr>
          <w:rFonts w:hint="eastAsia" w:ascii="宋体" w:hAnsi="宋体"/>
          <w:szCs w:val="21"/>
        </w:rPr>
        <w:t>项目要求及数量</w:t>
      </w:r>
      <w:r>
        <w:tab/>
      </w:r>
      <w:r>
        <w:fldChar w:fldCharType="begin"/>
      </w:r>
      <w:r>
        <w:instrText xml:space="preserve"> PAGEREF _Toc29123 \h </w:instrText>
      </w:r>
      <w:r>
        <w:fldChar w:fldCharType="separate"/>
      </w:r>
      <w:r>
        <w:t>4</w:t>
      </w:r>
      <w:r>
        <w:fldChar w:fldCharType="end"/>
      </w:r>
      <w:r>
        <w:fldChar w:fldCharType="end"/>
      </w:r>
    </w:p>
    <w:p>
      <w:pPr>
        <w:pStyle w:val="10"/>
        <w:tabs>
          <w:tab w:val="right" w:leader="dot" w:pos="8306"/>
        </w:tabs>
      </w:pPr>
      <w:r>
        <w:fldChar w:fldCharType="begin"/>
      </w:r>
      <w:r>
        <w:instrText xml:space="preserve"> HYPERLINK \l "_Toc18538" </w:instrText>
      </w:r>
      <w:r>
        <w:fldChar w:fldCharType="separate"/>
      </w:r>
      <w:r>
        <w:rPr>
          <w:rFonts w:hint="eastAsia" w:ascii="宋体" w:hAnsi="宋体" w:cs="仿宋"/>
          <w:bCs/>
          <w:szCs w:val="21"/>
        </w:rPr>
        <w:t xml:space="preserve">五、 </w:t>
      </w:r>
      <w:r>
        <w:rPr>
          <w:rFonts w:hint="eastAsia" w:ascii="宋体" w:hAnsi="宋体"/>
          <w:szCs w:val="21"/>
        </w:rPr>
        <w:t>其他项目说明资料</w:t>
      </w:r>
      <w:r>
        <w:tab/>
      </w:r>
      <w:r>
        <w:fldChar w:fldCharType="begin"/>
      </w:r>
      <w:r>
        <w:instrText xml:space="preserve"> PAGEREF _Toc18538 \h </w:instrText>
      </w:r>
      <w:r>
        <w:fldChar w:fldCharType="separate"/>
      </w:r>
      <w:r>
        <w:t>6</w:t>
      </w:r>
      <w:r>
        <w:fldChar w:fldCharType="end"/>
      </w:r>
      <w:r>
        <w:fldChar w:fldCharType="end"/>
      </w:r>
    </w:p>
    <w:p>
      <w:pPr>
        <w:pStyle w:val="9"/>
        <w:tabs>
          <w:tab w:val="right" w:leader="dot" w:pos="8306"/>
        </w:tabs>
      </w:pPr>
      <w:r>
        <w:fldChar w:fldCharType="begin"/>
      </w:r>
      <w:r>
        <w:instrText xml:space="preserve"> HYPERLINK \l "_Toc22084" </w:instrText>
      </w:r>
      <w:r>
        <w:fldChar w:fldCharType="separate"/>
      </w:r>
      <w:r>
        <w:rPr>
          <w:rFonts w:hint="eastAsia" w:ascii="宋体" w:hAnsi="宋体"/>
          <w:szCs w:val="32"/>
        </w:rPr>
        <w:t>第二部分：开标流程</w:t>
      </w:r>
      <w:r>
        <w:tab/>
      </w:r>
      <w:r>
        <w:fldChar w:fldCharType="begin"/>
      </w:r>
      <w:r>
        <w:instrText xml:space="preserve"> PAGEREF _Toc22084 \h </w:instrText>
      </w:r>
      <w:r>
        <w:fldChar w:fldCharType="separate"/>
      </w:r>
      <w:r>
        <w:t>6</w:t>
      </w:r>
      <w:r>
        <w:fldChar w:fldCharType="end"/>
      </w:r>
      <w:r>
        <w:fldChar w:fldCharType="end"/>
      </w:r>
    </w:p>
    <w:p>
      <w:pPr>
        <w:pStyle w:val="10"/>
        <w:tabs>
          <w:tab w:val="right" w:leader="dot" w:pos="8306"/>
        </w:tabs>
      </w:pPr>
      <w:r>
        <w:fldChar w:fldCharType="begin"/>
      </w:r>
      <w:r>
        <w:instrText xml:space="preserve"> HYPERLINK \l "_Toc31541" </w:instrText>
      </w:r>
      <w:r>
        <w:fldChar w:fldCharType="separate"/>
      </w:r>
      <w:r>
        <w:rPr>
          <w:rFonts w:hint="eastAsia" w:ascii="宋体" w:hAnsi="宋体" w:cs="仿宋"/>
          <w:bCs/>
          <w:szCs w:val="21"/>
        </w:rPr>
        <w:t xml:space="preserve">六、 </w:t>
      </w:r>
      <w:r>
        <w:rPr>
          <w:rFonts w:hint="eastAsia" w:ascii="宋体" w:hAnsi="宋体"/>
          <w:szCs w:val="21"/>
        </w:rPr>
        <w:t>开标流程</w:t>
      </w:r>
      <w:r>
        <w:tab/>
      </w:r>
      <w:r>
        <w:fldChar w:fldCharType="begin"/>
      </w:r>
      <w:r>
        <w:instrText xml:space="preserve"> PAGEREF _Toc31541 \h </w:instrText>
      </w:r>
      <w:r>
        <w:fldChar w:fldCharType="separate"/>
      </w:r>
      <w:r>
        <w:t>7</w:t>
      </w:r>
      <w:r>
        <w:fldChar w:fldCharType="end"/>
      </w:r>
      <w:r>
        <w:fldChar w:fldCharType="end"/>
      </w:r>
    </w:p>
    <w:p>
      <w:pPr>
        <w:pStyle w:val="9"/>
        <w:tabs>
          <w:tab w:val="right" w:leader="dot" w:pos="8306"/>
        </w:tabs>
      </w:pPr>
      <w:r>
        <w:fldChar w:fldCharType="begin"/>
      </w:r>
      <w:r>
        <w:instrText xml:space="preserve"> HYPERLINK \l "_Toc21780" </w:instrText>
      </w:r>
      <w:r>
        <w:fldChar w:fldCharType="separate"/>
      </w:r>
      <w:r>
        <w:rPr>
          <w:rFonts w:hint="eastAsia" w:ascii="宋体" w:hAnsi="宋体"/>
          <w:szCs w:val="32"/>
        </w:rPr>
        <w:t>第三部分：评审办法</w:t>
      </w:r>
      <w:r>
        <w:tab/>
      </w:r>
      <w:r>
        <w:fldChar w:fldCharType="begin"/>
      </w:r>
      <w:r>
        <w:instrText xml:space="preserve"> PAGEREF _Toc21780 \h </w:instrText>
      </w:r>
      <w:r>
        <w:fldChar w:fldCharType="separate"/>
      </w:r>
      <w:r>
        <w:t>8</w:t>
      </w:r>
      <w:r>
        <w:fldChar w:fldCharType="end"/>
      </w:r>
      <w:r>
        <w:fldChar w:fldCharType="end"/>
      </w:r>
    </w:p>
    <w:p>
      <w:pPr>
        <w:pStyle w:val="10"/>
        <w:tabs>
          <w:tab w:val="right" w:leader="dot" w:pos="8306"/>
        </w:tabs>
      </w:pPr>
      <w:r>
        <w:fldChar w:fldCharType="begin"/>
      </w:r>
      <w:r>
        <w:instrText xml:space="preserve"> HYPERLINK \l "_Toc4304" </w:instrText>
      </w:r>
      <w:r>
        <w:fldChar w:fldCharType="separate"/>
      </w:r>
      <w:r>
        <w:rPr>
          <w:rFonts w:hint="eastAsia" w:ascii="宋体" w:hAnsi="宋体" w:cs="仿宋"/>
          <w:bCs/>
          <w:szCs w:val="21"/>
        </w:rPr>
        <w:t xml:space="preserve">七、 </w:t>
      </w:r>
      <w:r>
        <w:rPr>
          <w:rFonts w:hint="eastAsia" w:ascii="宋体" w:hAnsi="宋体"/>
          <w:bCs/>
          <w:szCs w:val="21"/>
        </w:rPr>
        <w:t>评审办法</w:t>
      </w:r>
      <w:r>
        <w:tab/>
      </w:r>
      <w:r>
        <w:fldChar w:fldCharType="begin"/>
      </w:r>
      <w:r>
        <w:instrText xml:space="preserve"> PAGEREF _Toc4304 \h </w:instrText>
      </w:r>
      <w:r>
        <w:fldChar w:fldCharType="separate"/>
      </w:r>
      <w:r>
        <w:t>8</w:t>
      </w:r>
      <w:r>
        <w:fldChar w:fldCharType="end"/>
      </w:r>
      <w:r>
        <w:fldChar w:fldCharType="end"/>
      </w:r>
    </w:p>
    <w:p>
      <w:pPr>
        <w:pStyle w:val="5"/>
        <w:tabs>
          <w:tab w:val="right" w:leader="dot" w:pos="8306"/>
        </w:tabs>
      </w:pPr>
      <w:r>
        <w:fldChar w:fldCharType="begin"/>
      </w:r>
      <w:r>
        <w:instrText xml:space="preserve"> HYPERLINK \l "_Toc22336" </w:instrText>
      </w:r>
      <w:r>
        <w:fldChar w:fldCharType="separate"/>
      </w:r>
      <w:r>
        <w:rPr>
          <w:rFonts w:ascii="宋体" w:hAnsi="宋体"/>
          <w:szCs w:val="21"/>
        </w:rPr>
        <w:t xml:space="preserve">（一） </w:t>
      </w:r>
      <w:r>
        <w:rPr>
          <w:rFonts w:hint="eastAsia" w:ascii="宋体" w:hAnsi="宋体"/>
          <w:bCs/>
          <w:szCs w:val="21"/>
        </w:rPr>
        <w:t>符合性检查</w:t>
      </w:r>
      <w:r>
        <w:tab/>
      </w:r>
      <w:r>
        <w:fldChar w:fldCharType="begin"/>
      </w:r>
      <w:r>
        <w:instrText xml:space="preserve"> PAGEREF _Toc22336 \h </w:instrText>
      </w:r>
      <w:r>
        <w:fldChar w:fldCharType="separate"/>
      </w:r>
      <w:r>
        <w:t>8</w:t>
      </w:r>
      <w:r>
        <w:fldChar w:fldCharType="end"/>
      </w:r>
      <w:r>
        <w:fldChar w:fldCharType="end"/>
      </w:r>
    </w:p>
    <w:p>
      <w:pPr>
        <w:pStyle w:val="5"/>
        <w:tabs>
          <w:tab w:val="right" w:leader="dot" w:pos="8306"/>
        </w:tabs>
      </w:pPr>
      <w:r>
        <w:fldChar w:fldCharType="begin"/>
      </w:r>
      <w:r>
        <w:instrText xml:space="preserve"> HYPERLINK \l "_Toc22007" </w:instrText>
      </w:r>
      <w:r>
        <w:fldChar w:fldCharType="separate"/>
      </w:r>
      <w:r>
        <w:rPr>
          <w:rFonts w:ascii="宋体" w:hAnsi="宋体"/>
          <w:bCs/>
          <w:szCs w:val="21"/>
        </w:rPr>
        <w:t xml:space="preserve">（二） </w:t>
      </w:r>
      <w:r>
        <w:rPr>
          <w:rFonts w:hint="eastAsia" w:ascii="宋体" w:hAnsi="宋体"/>
          <w:bCs/>
          <w:szCs w:val="21"/>
        </w:rPr>
        <w:t>综合评议指标表</w:t>
      </w:r>
      <w:r>
        <w:tab/>
      </w:r>
      <w:r>
        <w:fldChar w:fldCharType="begin"/>
      </w:r>
      <w:r>
        <w:instrText xml:space="preserve"> PAGEREF _Toc22007 \h </w:instrText>
      </w:r>
      <w:r>
        <w:fldChar w:fldCharType="separate"/>
      </w:r>
      <w:r>
        <w:t>8</w:t>
      </w:r>
      <w:r>
        <w:fldChar w:fldCharType="end"/>
      </w:r>
      <w:r>
        <w:fldChar w:fldCharType="end"/>
      </w:r>
    </w:p>
    <w:p>
      <w:pPr>
        <w:pStyle w:val="9"/>
        <w:tabs>
          <w:tab w:val="right" w:leader="dot" w:pos="8306"/>
        </w:tabs>
      </w:pPr>
      <w:r>
        <w:fldChar w:fldCharType="begin"/>
      </w:r>
      <w:r>
        <w:instrText xml:space="preserve"> HYPERLINK \l "_Toc26348" </w:instrText>
      </w:r>
      <w:r>
        <w:fldChar w:fldCharType="separate"/>
      </w:r>
      <w:r>
        <w:rPr>
          <w:rFonts w:hint="eastAsia" w:ascii="宋体" w:hAnsi="宋体"/>
          <w:szCs w:val="32"/>
        </w:rPr>
        <w:t>第四部分：合同条款及格式</w:t>
      </w:r>
      <w:r>
        <w:tab/>
      </w:r>
      <w:r>
        <w:fldChar w:fldCharType="begin"/>
      </w:r>
      <w:r>
        <w:instrText xml:space="preserve"> PAGEREF _Toc26348 \h </w:instrText>
      </w:r>
      <w:r>
        <w:fldChar w:fldCharType="separate"/>
      </w:r>
      <w:r>
        <w:t>11</w:t>
      </w:r>
      <w:r>
        <w:fldChar w:fldCharType="end"/>
      </w:r>
      <w:r>
        <w:fldChar w:fldCharType="end"/>
      </w:r>
    </w:p>
    <w:p>
      <w:pPr>
        <w:pStyle w:val="9"/>
        <w:tabs>
          <w:tab w:val="right" w:leader="dot" w:pos="8306"/>
        </w:tabs>
      </w:pPr>
      <w:r>
        <w:fldChar w:fldCharType="begin"/>
      </w:r>
      <w:r>
        <w:instrText xml:space="preserve"> HYPERLINK \l "_Toc17198" </w:instrText>
      </w:r>
      <w:r>
        <w:fldChar w:fldCharType="separate"/>
      </w:r>
      <w:r>
        <w:rPr>
          <w:rFonts w:hint="eastAsia"/>
          <w:szCs w:val="32"/>
        </w:rPr>
        <w:t>第五部分：参考附件</w:t>
      </w:r>
      <w:r>
        <w:tab/>
      </w:r>
      <w:r>
        <w:fldChar w:fldCharType="begin"/>
      </w:r>
      <w:r>
        <w:instrText xml:space="preserve"> PAGEREF _Toc17198 \h </w:instrText>
      </w:r>
      <w:r>
        <w:fldChar w:fldCharType="separate"/>
      </w:r>
      <w:r>
        <w:t>12</w:t>
      </w:r>
      <w:r>
        <w:fldChar w:fldCharType="end"/>
      </w:r>
      <w:r>
        <w:fldChar w:fldCharType="end"/>
      </w:r>
    </w:p>
    <w:p>
      <w:pPr>
        <w:pStyle w:val="10"/>
        <w:tabs>
          <w:tab w:val="right" w:leader="dot" w:pos="8306"/>
        </w:tabs>
      </w:pPr>
      <w:r>
        <w:fldChar w:fldCharType="begin"/>
      </w:r>
      <w:r>
        <w:instrText xml:space="preserve"> HYPERLINK \l "_Toc7610" </w:instrText>
      </w:r>
      <w:r>
        <w:fldChar w:fldCharType="separate"/>
      </w:r>
      <w:r>
        <w:rPr>
          <w:rFonts w:hint="eastAsia" w:ascii="宋体" w:hAnsi="宋体"/>
          <w:szCs w:val="21"/>
        </w:rPr>
        <w:t>附件1：</w:t>
      </w:r>
      <w:r>
        <w:rPr>
          <w:rFonts w:hint="eastAsia" w:ascii="宋体" w:hAnsi="宋体"/>
        </w:rPr>
        <w:t>报名回函</w:t>
      </w:r>
      <w:r>
        <w:tab/>
      </w:r>
      <w:r>
        <w:fldChar w:fldCharType="begin"/>
      </w:r>
      <w:r>
        <w:instrText xml:space="preserve"> PAGEREF _Toc7610 \h </w:instrText>
      </w:r>
      <w:r>
        <w:fldChar w:fldCharType="separate"/>
      </w:r>
      <w:r>
        <w:t>12</w:t>
      </w:r>
      <w:r>
        <w:fldChar w:fldCharType="end"/>
      </w:r>
      <w:r>
        <w:fldChar w:fldCharType="end"/>
      </w:r>
    </w:p>
    <w:p>
      <w:pPr>
        <w:pStyle w:val="10"/>
        <w:tabs>
          <w:tab w:val="right" w:leader="dot" w:pos="8306"/>
        </w:tabs>
      </w:pPr>
      <w:r>
        <w:fldChar w:fldCharType="begin"/>
      </w:r>
      <w:r>
        <w:instrText xml:space="preserve"> HYPERLINK \l "_Toc10768" </w:instrText>
      </w:r>
      <w:r>
        <w:fldChar w:fldCharType="separate"/>
      </w:r>
      <w:r>
        <w:rPr>
          <w:rFonts w:hint="eastAsia" w:ascii="宋体" w:hAnsi="宋体"/>
          <w:szCs w:val="21"/>
        </w:rPr>
        <w:t>附件2：投标函</w:t>
      </w:r>
      <w:r>
        <w:tab/>
      </w:r>
      <w:r>
        <w:fldChar w:fldCharType="begin"/>
      </w:r>
      <w:r>
        <w:instrText xml:space="preserve"> PAGEREF _Toc10768 \h </w:instrText>
      </w:r>
      <w:r>
        <w:fldChar w:fldCharType="separate"/>
      </w:r>
      <w:r>
        <w:t>13</w:t>
      </w:r>
      <w:r>
        <w:fldChar w:fldCharType="end"/>
      </w:r>
      <w:r>
        <w:fldChar w:fldCharType="end"/>
      </w:r>
    </w:p>
    <w:p>
      <w:pPr>
        <w:pStyle w:val="10"/>
        <w:tabs>
          <w:tab w:val="right" w:leader="dot" w:pos="8306"/>
        </w:tabs>
      </w:pPr>
      <w:r>
        <w:fldChar w:fldCharType="begin"/>
      </w:r>
      <w:r>
        <w:instrText xml:space="preserve"> HYPERLINK \l "_Toc13134" </w:instrText>
      </w:r>
      <w:r>
        <w:fldChar w:fldCharType="separate"/>
      </w:r>
      <w:r>
        <w:rPr>
          <w:rFonts w:hint="eastAsia" w:ascii="宋体" w:hAnsi="宋体"/>
          <w:szCs w:val="21"/>
        </w:rPr>
        <w:t>附件3：投标一览表</w:t>
      </w:r>
      <w:r>
        <w:tab/>
      </w:r>
      <w:r>
        <w:fldChar w:fldCharType="begin"/>
      </w:r>
      <w:r>
        <w:instrText xml:space="preserve"> PAGEREF _Toc13134 \h </w:instrText>
      </w:r>
      <w:r>
        <w:fldChar w:fldCharType="separate"/>
      </w:r>
      <w:r>
        <w:t>14</w:t>
      </w:r>
      <w:r>
        <w:fldChar w:fldCharType="end"/>
      </w:r>
      <w:r>
        <w:fldChar w:fldCharType="end"/>
      </w:r>
    </w:p>
    <w:p>
      <w:pPr>
        <w:pStyle w:val="10"/>
        <w:tabs>
          <w:tab w:val="right" w:leader="dot" w:pos="8306"/>
        </w:tabs>
      </w:pPr>
      <w:r>
        <w:fldChar w:fldCharType="begin"/>
      </w:r>
      <w:r>
        <w:instrText xml:space="preserve"> HYPERLINK \l "_Toc17990" </w:instrText>
      </w:r>
      <w:r>
        <w:fldChar w:fldCharType="separate"/>
      </w:r>
      <w:r>
        <w:rPr>
          <w:rFonts w:hint="eastAsia" w:ascii="宋体" w:hAnsi="宋体"/>
          <w:szCs w:val="21"/>
        </w:rPr>
        <w:t>附件4：考察证明</w:t>
      </w:r>
      <w:r>
        <w:tab/>
      </w:r>
      <w:r>
        <w:fldChar w:fldCharType="begin"/>
      </w:r>
      <w:r>
        <w:instrText xml:space="preserve"> PAGEREF _Toc17990 \h </w:instrText>
      </w:r>
      <w:r>
        <w:fldChar w:fldCharType="separate"/>
      </w:r>
      <w:r>
        <w:t>15</w:t>
      </w:r>
      <w:r>
        <w:fldChar w:fldCharType="end"/>
      </w:r>
      <w:r>
        <w:fldChar w:fldCharType="end"/>
      </w:r>
    </w:p>
    <w:p>
      <w:pPr>
        <w:pStyle w:val="10"/>
        <w:tabs>
          <w:tab w:val="right" w:leader="dot" w:pos="8306"/>
        </w:tabs>
      </w:pPr>
      <w:r>
        <w:fldChar w:fldCharType="begin"/>
      </w:r>
      <w:r>
        <w:instrText xml:space="preserve"> HYPERLINK \l "_Toc5370" </w:instrText>
      </w:r>
      <w:r>
        <w:fldChar w:fldCharType="separate"/>
      </w:r>
      <w:r>
        <w:rPr>
          <w:rFonts w:hint="eastAsia" w:ascii="宋体" w:hAnsi="宋体"/>
          <w:szCs w:val="21"/>
        </w:rPr>
        <w:t>附件5：技术服务响应/偏离表</w:t>
      </w:r>
      <w:r>
        <w:tab/>
      </w:r>
      <w:r>
        <w:fldChar w:fldCharType="begin"/>
      </w:r>
      <w:r>
        <w:instrText xml:space="preserve"> PAGEREF _Toc5370 \h </w:instrText>
      </w:r>
      <w:r>
        <w:fldChar w:fldCharType="separate"/>
      </w:r>
      <w:r>
        <w:t>16</w:t>
      </w:r>
      <w:r>
        <w:fldChar w:fldCharType="end"/>
      </w:r>
      <w:r>
        <w:fldChar w:fldCharType="end"/>
      </w:r>
    </w:p>
    <w:p>
      <w:pPr>
        <w:pStyle w:val="10"/>
        <w:tabs>
          <w:tab w:val="right" w:leader="dot" w:pos="8306"/>
        </w:tabs>
      </w:pPr>
      <w:r>
        <w:fldChar w:fldCharType="begin"/>
      </w:r>
      <w:r>
        <w:instrText xml:space="preserve"> HYPERLINK \l "_Toc5879" </w:instrText>
      </w:r>
      <w:r>
        <w:fldChar w:fldCharType="separate"/>
      </w:r>
      <w:r>
        <w:rPr>
          <w:rFonts w:hint="eastAsia" w:ascii="宋体" w:hAnsi="宋体"/>
          <w:szCs w:val="21"/>
        </w:rPr>
        <w:t>附件6：商务条款响应/偏离表</w:t>
      </w:r>
      <w:r>
        <w:tab/>
      </w:r>
      <w:r>
        <w:fldChar w:fldCharType="begin"/>
      </w:r>
      <w:r>
        <w:instrText xml:space="preserve"> PAGEREF _Toc5879 \h </w:instrText>
      </w:r>
      <w:r>
        <w:fldChar w:fldCharType="separate"/>
      </w:r>
      <w:r>
        <w:t>17</w:t>
      </w:r>
      <w:r>
        <w:fldChar w:fldCharType="end"/>
      </w:r>
      <w:r>
        <w:fldChar w:fldCharType="end"/>
      </w:r>
    </w:p>
    <w:p>
      <w:pPr>
        <w:pStyle w:val="10"/>
        <w:tabs>
          <w:tab w:val="right" w:leader="dot" w:pos="8306"/>
        </w:tabs>
      </w:pPr>
      <w:r>
        <w:fldChar w:fldCharType="begin"/>
      </w:r>
      <w:r>
        <w:instrText xml:space="preserve"> HYPERLINK \l "_Toc30690" </w:instrText>
      </w:r>
      <w:r>
        <w:fldChar w:fldCharType="separate"/>
      </w:r>
      <w:r>
        <w:rPr>
          <w:rFonts w:hint="eastAsia" w:ascii="宋体" w:hAnsi="宋体"/>
          <w:szCs w:val="21"/>
        </w:rPr>
        <w:t>附件7：报价一览表（货物）（本项目不适用）</w:t>
      </w:r>
      <w:r>
        <w:tab/>
      </w:r>
      <w:r>
        <w:fldChar w:fldCharType="begin"/>
      </w:r>
      <w:r>
        <w:instrText xml:space="preserve"> PAGEREF _Toc30690 \h </w:instrText>
      </w:r>
      <w:r>
        <w:fldChar w:fldCharType="separate"/>
      </w:r>
      <w:r>
        <w:t>18</w:t>
      </w:r>
      <w:r>
        <w:fldChar w:fldCharType="end"/>
      </w:r>
      <w:r>
        <w:fldChar w:fldCharType="end"/>
      </w:r>
    </w:p>
    <w:p>
      <w:pPr>
        <w:pStyle w:val="10"/>
        <w:tabs>
          <w:tab w:val="right" w:leader="dot" w:pos="8306"/>
        </w:tabs>
      </w:pPr>
      <w:r>
        <w:fldChar w:fldCharType="begin"/>
      </w:r>
      <w:r>
        <w:instrText xml:space="preserve"> HYPERLINK \l "_Toc19694" </w:instrText>
      </w:r>
      <w:r>
        <w:fldChar w:fldCharType="separate"/>
      </w:r>
      <w:r>
        <w:rPr>
          <w:rFonts w:hint="eastAsia" w:ascii="宋体" w:hAnsi="宋体"/>
          <w:szCs w:val="21"/>
        </w:rPr>
        <w:t>附件8：报价一览表（服务）</w:t>
      </w:r>
      <w:r>
        <w:tab/>
      </w:r>
      <w:r>
        <w:fldChar w:fldCharType="begin"/>
      </w:r>
      <w:r>
        <w:instrText xml:space="preserve"> PAGEREF _Toc19694 \h </w:instrText>
      </w:r>
      <w:r>
        <w:fldChar w:fldCharType="separate"/>
      </w:r>
      <w:r>
        <w:t>19</w:t>
      </w:r>
      <w:r>
        <w:fldChar w:fldCharType="end"/>
      </w:r>
      <w:r>
        <w:fldChar w:fldCharType="end"/>
      </w:r>
    </w:p>
    <w:p>
      <w:pPr>
        <w:pStyle w:val="10"/>
        <w:tabs>
          <w:tab w:val="right" w:leader="dot" w:pos="8306"/>
        </w:tabs>
      </w:pPr>
      <w:r>
        <w:fldChar w:fldCharType="begin"/>
      </w:r>
      <w:r>
        <w:instrText xml:space="preserve"> HYPERLINK \l "_Toc8463" </w:instrText>
      </w:r>
      <w:r>
        <w:fldChar w:fldCharType="separate"/>
      </w:r>
      <w:r>
        <w:rPr>
          <w:rFonts w:hint="eastAsia" w:ascii="宋体" w:hAnsi="宋体"/>
          <w:szCs w:val="21"/>
        </w:rPr>
        <w:t>附件9：报价一览表（工程）（本项目不适用）</w:t>
      </w:r>
      <w:r>
        <w:tab/>
      </w:r>
      <w:r>
        <w:fldChar w:fldCharType="begin"/>
      </w:r>
      <w:r>
        <w:instrText xml:space="preserve"> PAGEREF _Toc8463 \h </w:instrText>
      </w:r>
      <w:r>
        <w:fldChar w:fldCharType="separate"/>
      </w:r>
      <w:r>
        <w:t>20</w:t>
      </w:r>
      <w:r>
        <w:fldChar w:fldCharType="end"/>
      </w:r>
      <w:r>
        <w:fldChar w:fldCharType="end"/>
      </w:r>
    </w:p>
    <w:p>
      <w:pPr>
        <w:pStyle w:val="10"/>
        <w:tabs>
          <w:tab w:val="right" w:leader="dot" w:pos="8306"/>
        </w:tabs>
      </w:pPr>
      <w:r>
        <w:fldChar w:fldCharType="begin"/>
      </w:r>
      <w:r>
        <w:instrText xml:space="preserve"> HYPERLINK \l "_Toc15056" </w:instrText>
      </w:r>
      <w:r>
        <w:fldChar w:fldCharType="separate"/>
      </w:r>
      <w:r>
        <w:rPr>
          <w:rFonts w:hint="eastAsia" w:ascii="宋体" w:hAnsi="宋体"/>
          <w:szCs w:val="21"/>
        </w:rPr>
        <w:t>附件10：法定代表人证明书</w:t>
      </w:r>
      <w:r>
        <w:tab/>
      </w:r>
      <w:r>
        <w:fldChar w:fldCharType="begin"/>
      </w:r>
      <w:r>
        <w:instrText xml:space="preserve"> PAGEREF _Toc15056 \h </w:instrText>
      </w:r>
      <w:r>
        <w:fldChar w:fldCharType="separate"/>
      </w:r>
      <w:r>
        <w:t>21</w:t>
      </w:r>
      <w:r>
        <w:fldChar w:fldCharType="end"/>
      </w:r>
      <w:r>
        <w:fldChar w:fldCharType="end"/>
      </w:r>
    </w:p>
    <w:p>
      <w:pPr>
        <w:pStyle w:val="10"/>
        <w:tabs>
          <w:tab w:val="right" w:leader="dot" w:pos="8306"/>
        </w:tabs>
      </w:pPr>
      <w:r>
        <w:fldChar w:fldCharType="begin"/>
      </w:r>
      <w:r>
        <w:instrText xml:space="preserve"> HYPERLINK \l "_Toc15179" </w:instrText>
      </w:r>
      <w:r>
        <w:fldChar w:fldCharType="separate"/>
      </w:r>
      <w:r>
        <w:rPr>
          <w:rFonts w:hint="eastAsia" w:ascii="宋体" w:hAnsi="宋体"/>
          <w:szCs w:val="21"/>
        </w:rPr>
        <w:t>附件</w:t>
      </w:r>
      <w:r>
        <w:rPr>
          <w:rFonts w:ascii="宋体" w:hAnsi="宋体"/>
          <w:szCs w:val="21"/>
        </w:rPr>
        <w:t>1</w:t>
      </w:r>
      <w:r>
        <w:rPr>
          <w:rFonts w:hint="eastAsia" w:ascii="宋体" w:hAnsi="宋体"/>
          <w:szCs w:val="21"/>
        </w:rPr>
        <w:t>1：法人授权委托证明书</w:t>
      </w:r>
      <w:r>
        <w:tab/>
      </w:r>
      <w:r>
        <w:fldChar w:fldCharType="begin"/>
      </w:r>
      <w:r>
        <w:instrText xml:space="preserve"> PAGEREF _Toc15179 \h </w:instrText>
      </w:r>
      <w:r>
        <w:fldChar w:fldCharType="separate"/>
      </w:r>
      <w:r>
        <w:t>22</w:t>
      </w:r>
      <w:r>
        <w:fldChar w:fldCharType="end"/>
      </w:r>
      <w:r>
        <w:fldChar w:fldCharType="end"/>
      </w:r>
    </w:p>
    <w:p>
      <w:pPr>
        <w:pStyle w:val="10"/>
        <w:tabs>
          <w:tab w:val="right" w:leader="dot" w:pos="8306"/>
        </w:tabs>
      </w:pPr>
      <w:r>
        <w:fldChar w:fldCharType="begin"/>
      </w:r>
      <w:r>
        <w:instrText xml:space="preserve"> HYPERLINK \l "_Toc24595" </w:instrText>
      </w:r>
      <w:r>
        <w:fldChar w:fldCharType="separate"/>
      </w:r>
      <w:r>
        <w:rPr>
          <w:rFonts w:hint="eastAsia" w:ascii="宋体" w:hAnsi="宋体"/>
          <w:szCs w:val="21"/>
        </w:rPr>
        <w:t>附件</w:t>
      </w:r>
      <w:r>
        <w:rPr>
          <w:rFonts w:ascii="宋体" w:hAnsi="宋体"/>
          <w:szCs w:val="21"/>
        </w:rPr>
        <w:t>1</w:t>
      </w:r>
      <w:r>
        <w:rPr>
          <w:rFonts w:hint="eastAsia" w:ascii="宋体" w:hAnsi="宋体"/>
          <w:szCs w:val="21"/>
        </w:rPr>
        <w:t>2：经营业绩一览表</w:t>
      </w:r>
      <w:r>
        <w:tab/>
      </w:r>
      <w:r>
        <w:fldChar w:fldCharType="begin"/>
      </w:r>
      <w:r>
        <w:instrText xml:space="preserve"> PAGEREF _Toc24595 \h </w:instrText>
      </w:r>
      <w:r>
        <w:fldChar w:fldCharType="separate"/>
      </w:r>
      <w:r>
        <w:t>23</w:t>
      </w:r>
      <w:r>
        <w:fldChar w:fldCharType="end"/>
      </w:r>
      <w:r>
        <w:fldChar w:fldCharType="end"/>
      </w:r>
    </w:p>
    <w:p>
      <w:pPr>
        <w:pStyle w:val="10"/>
        <w:tabs>
          <w:tab w:val="right" w:leader="dot" w:pos="8306"/>
        </w:tabs>
      </w:pPr>
      <w:r>
        <w:fldChar w:fldCharType="begin"/>
      </w:r>
      <w:r>
        <w:instrText xml:space="preserve"> HYPERLINK \l "_Toc4290" </w:instrText>
      </w:r>
      <w:r>
        <w:fldChar w:fldCharType="separate"/>
      </w:r>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r>
        <w:tab/>
      </w:r>
      <w:r>
        <w:fldChar w:fldCharType="begin"/>
      </w:r>
      <w:r>
        <w:instrText xml:space="preserve"> PAGEREF _Toc4290 \h </w:instrText>
      </w:r>
      <w:r>
        <w:fldChar w:fldCharType="separate"/>
      </w:r>
      <w:r>
        <w:t>24</w:t>
      </w:r>
      <w:r>
        <w:fldChar w:fldCharType="end"/>
      </w:r>
      <w:r>
        <w:fldChar w:fldCharType="end"/>
      </w:r>
    </w:p>
    <w:p>
      <w:pPr>
        <w:pStyle w:val="10"/>
        <w:tabs>
          <w:tab w:val="right" w:leader="dot" w:pos="8306"/>
        </w:tabs>
      </w:pPr>
      <w:r>
        <w:fldChar w:fldCharType="begin"/>
      </w:r>
      <w:r>
        <w:instrText xml:space="preserve"> HYPERLINK \l "_Toc11411" </w:instrText>
      </w:r>
      <w:r>
        <w:fldChar w:fldCharType="separate"/>
      </w:r>
      <w:r>
        <w:rPr>
          <w:rFonts w:hint="eastAsia" w:ascii="宋体" w:hAnsi="宋体"/>
          <w:szCs w:val="21"/>
        </w:rPr>
        <w:t>附件</w:t>
      </w:r>
      <w:r>
        <w:rPr>
          <w:rFonts w:ascii="宋体" w:hAnsi="宋体"/>
          <w:szCs w:val="21"/>
        </w:rPr>
        <w:t>1</w:t>
      </w:r>
      <w:r>
        <w:rPr>
          <w:rFonts w:hint="eastAsia" w:ascii="宋体" w:hAnsi="宋体"/>
          <w:szCs w:val="21"/>
        </w:rPr>
        <w:t>4：履约情况及社会信誉承诺书</w:t>
      </w:r>
      <w:r>
        <w:tab/>
      </w:r>
      <w:r>
        <w:fldChar w:fldCharType="begin"/>
      </w:r>
      <w:r>
        <w:instrText xml:space="preserve"> PAGEREF _Toc11411 \h </w:instrText>
      </w:r>
      <w:r>
        <w:fldChar w:fldCharType="separate"/>
      </w:r>
      <w:r>
        <w:t>25</w:t>
      </w:r>
      <w:r>
        <w:fldChar w:fldCharType="end"/>
      </w:r>
      <w:r>
        <w:fldChar w:fldCharType="end"/>
      </w:r>
    </w:p>
    <w:p>
      <w:pPr>
        <w:pStyle w:val="10"/>
        <w:tabs>
          <w:tab w:val="right" w:leader="dot" w:pos="8306"/>
        </w:tabs>
      </w:pPr>
      <w:r>
        <w:fldChar w:fldCharType="begin"/>
      </w:r>
      <w:r>
        <w:instrText xml:space="preserve"> HYPERLINK \l "_Toc28341" </w:instrText>
      </w:r>
      <w:r>
        <w:fldChar w:fldCharType="separate"/>
      </w:r>
      <w:r>
        <w:rPr>
          <w:rFonts w:hint="eastAsia" w:ascii="宋体" w:hAnsi="宋体"/>
        </w:rPr>
        <w:t>附件1</w:t>
      </w:r>
      <w:r>
        <w:rPr>
          <w:rFonts w:ascii="宋体" w:hAnsi="宋体"/>
        </w:rPr>
        <w:t>5</w:t>
      </w:r>
      <w:r>
        <w:rPr>
          <w:rFonts w:hint="eastAsia" w:ascii="宋体" w:hAnsi="宋体"/>
        </w:rPr>
        <w:t>：投标文件密码</w:t>
      </w:r>
      <w:r>
        <w:tab/>
      </w:r>
      <w:r>
        <w:fldChar w:fldCharType="begin"/>
      </w:r>
      <w:r>
        <w:instrText xml:space="preserve"> PAGEREF _Toc28341 \h </w:instrText>
      </w:r>
      <w:r>
        <w:fldChar w:fldCharType="separate"/>
      </w:r>
      <w:r>
        <w:t>26</w:t>
      </w:r>
      <w:r>
        <w:fldChar w:fldCharType="end"/>
      </w:r>
      <w:r>
        <w:fldChar w:fldCharType="end"/>
      </w:r>
    </w:p>
    <w:p>
      <w:pPr>
        <w:spacing w:line="400" w:lineRule="exact"/>
        <w:rPr>
          <w:rFonts w:ascii="宋体" w:hAnsi="宋体" w:cs="仿宋"/>
          <w:szCs w:val="21"/>
        </w:rPr>
        <w:sectPr>
          <w:footerReference r:id="rId3"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24962"/>
      <w:r>
        <w:rPr>
          <w:rFonts w:hint="eastAsia" w:ascii="宋体" w:hAnsi="宋体"/>
          <w:b/>
          <w:sz w:val="32"/>
          <w:szCs w:val="32"/>
        </w:rPr>
        <w:t>第一部分 项目要求</w:t>
      </w:r>
      <w:bookmarkEnd w:id="0"/>
    </w:p>
    <w:p>
      <w:pPr>
        <w:numPr>
          <w:ilvl w:val="0"/>
          <w:numId w:val="1"/>
        </w:numPr>
        <w:spacing w:before="156" w:beforeLines="50" w:line="360" w:lineRule="auto"/>
        <w:outlineLvl w:val="1"/>
        <w:rPr>
          <w:rFonts w:ascii="宋体" w:hAnsi="宋体"/>
          <w:b/>
          <w:szCs w:val="21"/>
        </w:rPr>
      </w:pPr>
      <w:bookmarkStart w:id="1" w:name="_Toc648"/>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3"/>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联系人：刘女士</w:t>
            </w:r>
          </w:p>
          <w:p>
            <w:pPr>
              <w:wordWrap w:val="0"/>
              <w:autoSpaceDE w:val="0"/>
              <w:autoSpaceDN w:val="0"/>
              <w:adjustRightInd w:val="0"/>
              <w:snapToGrid w:val="0"/>
              <w:rPr>
                <w:rFonts w:ascii="宋体" w:hAnsi="宋体"/>
                <w:szCs w:val="21"/>
              </w:rPr>
            </w:pPr>
            <w:r>
              <w:rPr>
                <w:rFonts w:hint="eastAsia" w:ascii="宋体" w:hAnsi="宋体"/>
                <w:szCs w:val="21"/>
              </w:rPr>
              <w:t>电话：0755-82848826</w:t>
            </w:r>
          </w:p>
          <w:p>
            <w:pPr>
              <w:wordWrap w:val="0"/>
              <w:autoSpaceDE w:val="0"/>
              <w:autoSpaceDN w:val="0"/>
              <w:adjustRightInd w:val="0"/>
              <w:snapToGrid w:val="0"/>
              <w:rPr>
                <w:rFonts w:ascii="宋体" w:hAnsi="宋体"/>
                <w:szCs w:val="21"/>
              </w:rPr>
            </w:pPr>
            <w:r>
              <w:rPr>
                <w:rFonts w:hint="eastAsia" w:ascii="宋体" w:hAnsi="宋体"/>
                <w:szCs w:val="21"/>
              </w:rPr>
              <w:t>传真：0755-82848694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邮箱：liuxh@chtf.com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wordWrap w:val="0"/>
              <w:autoSpaceDE w:val="0"/>
              <w:autoSpaceDN w:val="0"/>
              <w:adjustRightInd w:val="0"/>
              <w:snapToGrid w:val="0"/>
              <w:rPr>
                <w:rFonts w:ascii="宋体" w:hAnsi="宋体"/>
                <w:szCs w:val="21"/>
              </w:rPr>
            </w:pPr>
            <w:r>
              <w:rPr>
                <w:rFonts w:hint="eastAsia" w:ascii="宋体" w:hAnsi="宋体"/>
                <w:szCs w:val="21"/>
              </w:rPr>
              <w:t>项目名称</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高交会子展发展成自办展可行性研究项目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wordWrap w:val="0"/>
              <w:autoSpaceDE w:val="0"/>
              <w:autoSpaceDN w:val="0"/>
              <w:adjustRightInd w:val="0"/>
              <w:snapToGrid w:val="0"/>
              <w:rPr>
                <w:rFonts w:ascii="宋体" w:hAnsi="宋体"/>
                <w:szCs w:val="21"/>
              </w:rPr>
            </w:pPr>
            <w:r>
              <w:rPr>
                <w:rFonts w:hint="eastAsia" w:ascii="宋体" w:hAnsi="宋体"/>
                <w:szCs w:val="21"/>
              </w:rPr>
              <w:t>项目类别</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wordWrap w:val="0"/>
              <w:autoSpaceDE w:val="0"/>
              <w:autoSpaceDN w:val="0"/>
              <w:adjustRightInd w:val="0"/>
              <w:snapToGrid w:val="0"/>
              <w:rPr>
                <w:rFonts w:ascii="宋体" w:hAnsi="宋体"/>
                <w:szCs w:val="21"/>
              </w:rPr>
            </w:pPr>
            <w:r>
              <w:rPr>
                <w:rFonts w:hint="eastAsia" w:ascii="宋体" w:hAnsi="宋体"/>
                <w:szCs w:val="21"/>
              </w:rPr>
              <w:t>项目介绍</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为发挥高交会“展会孵化器”的功能，推进专业子展做大、做深、做细、做强，招标人拟与专业服务机构合作，重点围绕高交会现有专业子展，客观研究高交会子展独立成展的利弊，分析目前市场环境下子展发展为自办专业展的可行性，以及独立成展需具备的必要条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wordWrap w:val="0"/>
              <w:autoSpaceDE w:val="0"/>
              <w:autoSpaceDN w:val="0"/>
              <w:adjustRightInd w:val="0"/>
              <w:snapToGrid w:val="0"/>
              <w:rPr>
                <w:rFonts w:ascii="宋体" w:hAnsi="宋体"/>
                <w:szCs w:val="21"/>
              </w:rPr>
            </w:pPr>
            <w:r>
              <w:rPr>
                <w:rFonts w:hint="eastAsia" w:ascii="宋体" w:hAnsi="宋体"/>
                <w:szCs w:val="21"/>
              </w:rPr>
              <w:t>实施地点</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6</w:t>
            </w:r>
            <w:r>
              <w:rPr>
                <w:rFonts w:ascii="宋体" w:hAnsi="宋体"/>
                <w:szCs w:val="21"/>
              </w:rPr>
              <w:t>-</w:t>
            </w:r>
            <w:r>
              <w:rPr>
                <w:rFonts w:hint="eastAsia" w:ascii="宋体" w:hAnsi="宋体"/>
                <w:szCs w:val="21"/>
                <w:lang w:val="en-US" w:eastAsia="zh-CN"/>
              </w:rPr>
              <w:t>16</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highlight w:val="none"/>
              </w:rPr>
            </w:pPr>
            <w:r>
              <w:rPr>
                <w:rFonts w:hint="eastAsia" w:ascii="宋体" w:hAnsi="宋体"/>
                <w:kern w:val="0"/>
                <w:szCs w:val="21"/>
                <w:highlight w:val="none"/>
              </w:rPr>
              <w:t>报名方式</w:t>
            </w:r>
          </w:p>
        </w:tc>
        <w:tc>
          <w:tcPr>
            <w:tcW w:w="7029" w:type="dxa"/>
            <w:vAlign w:val="center"/>
          </w:tcPr>
          <w:p>
            <w:pPr>
              <w:autoSpaceDE w:val="0"/>
              <w:autoSpaceDN w:val="0"/>
              <w:adjustRightInd w:val="0"/>
              <w:snapToGrid w:val="0"/>
              <w:rPr>
                <w:rFonts w:ascii="宋体" w:hAnsi="宋体"/>
                <w:szCs w:val="21"/>
                <w:highlight w:val="none"/>
              </w:rPr>
            </w:pPr>
            <w:r>
              <w:rPr>
                <w:rFonts w:hint="eastAsia" w:ascii="宋体" w:hAnsi="宋体"/>
                <w:bCs/>
                <w:szCs w:val="21"/>
                <w:highlight w:val="none"/>
              </w:rPr>
              <w:t>完整填写本项目报名回函（详见采购公告）并加盖公司公章后，按要求</w:t>
            </w:r>
            <w:r>
              <w:rPr>
                <w:rFonts w:hint="eastAsia" w:ascii="宋体" w:hAnsi="宋体"/>
                <w:bCs/>
                <w:highlight w:val="none"/>
              </w:rPr>
              <w:t>上传至</w:t>
            </w:r>
            <w:r>
              <w:rPr>
                <w:rFonts w:hint="eastAsia" w:ascii="宋体" w:hAnsi="宋体"/>
                <w:bCs/>
                <w:color w:val="auto"/>
                <w:highlight w:val="none"/>
              </w:rPr>
              <w:t>https://cg.szcec.com/sharing/dcUrP7CTh，</w:t>
            </w:r>
            <w:r>
              <w:rPr>
                <w:rFonts w:hint="eastAsia" w:ascii="宋体" w:hAnsi="宋体"/>
                <w:bCs/>
                <w:color w:val="auto"/>
                <w:highlight w:val="none"/>
                <w:lang w:val="en-US" w:eastAsia="zh-CN"/>
              </w:rPr>
              <w:t>上传文件密码：20220622，</w:t>
            </w:r>
            <w:r>
              <w:rPr>
                <w:rFonts w:hint="eastAsia" w:ascii="宋体" w:hAnsi="宋体"/>
                <w:bCs/>
                <w:szCs w:val="21"/>
                <w:highlight w:val="none"/>
              </w:rPr>
              <w:t>并致电确认。</w:t>
            </w:r>
            <w:r>
              <w:rPr>
                <w:rFonts w:hint="eastAsia" w:ascii="宋体" w:hAnsi="宋体"/>
                <w:szCs w:val="21"/>
                <w:highlight w:val="none"/>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深圳会展中心官网（www.szcec.com）下载。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6</w:t>
            </w:r>
            <w:r>
              <w:rPr>
                <w:rFonts w:ascii="宋体" w:hAnsi="宋体"/>
                <w:szCs w:val="21"/>
              </w:rPr>
              <w:t>-</w:t>
            </w:r>
            <w:r>
              <w:rPr>
                <w:rFonts w:hint="eastAsia" w:ascii="宋体" w:hAnsi="宋体"/>
                <w:szCs w:val="21"/>
                <w:lang w:val="en-US" w:eastAsia="zh-CN"/>
              </w:rPr>
              <w:t>22</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6</w:t>
            </w:r>
            <w:r>
              <w:rPr>
                <w:rFonts w:ascii="宋体" w:hAnsi="宋体"/>
                <w:szCs w:val="21"/>
              </w:rPr>
              <w:t>-</w:t>
            </w:r>
            <w:r>
              <w:rPr>
                <w:rFonts w:hint="eastAsia" w:ascii="宋体" w:hAnsi="宋体"/>
                <w:szCs w:val="21"/>
                <w:lang w:val="en-US" w:eastAsia="zh-CN"/>
              </w:rPr>
              <w:t>22</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6</w:t>
            </w:r>
            <w:r>
              <w:rPr>
                <w:rFonts w:ascii="宋体" w:hAnsi="宋体"/>
                <w:szCs w:val="21"/>
              </w:rPr>
              <w:t>-</w:t>
            </w:r>
            <w:r>
              <w:rPr>
                <w:rFonts w:hint="eastAsia" w:ascii="宋体" w:hAnsi="宋体"/>
                <w:szCs w:val="21"/>
                <w:lang w:val="en-US" w:eastAsia="zh-CN"/>
              </w:rPr>
              <w:t>23</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6</w:t>
            </w:r>
            <w:r>
              <w:rPr>
                <w:rFonts w:ascii="宋体" w:hAnsi="宋体"/>
                <w:szCs w:val="21"/>
              </w:rPr>
              <w:t>-</w:t>
            </w:r>
            <w:r>
              <w:rPr>
                <w:rFonts w:hint="eastAsia" w:ascii="宋体" w:hAnsi="宋体"/>
                <w:szCs w:val="21"/>
                <w:lang w:val="en-US" w:eastAsia="zh-CN"/>
              </w:rPr>
              <w:t>24</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w:t>
            </w:r>
            <w:r>
              <w:rPr>
                <w:rFonts w:ascii="宋体" w:hAnsi="宋体"/>
                <w:szCs w:val="21"/>
              </w:rPr>
              <w:t>MS Word</w:t>
            </w:r>
            <w:r>
              <w:rPr>
                <w:rFonts w:hint="eastAsia" w:ascii="宋体" w:hAnsi="宋体"/>
                <w:szCs w:val="21"/>
              </w:rPr>
              <w:t>版</w:t>
            </w:r>
            <w:r>
              <w:rPr>
                <w:rFonts w:ascii="宋体" w:hAnsi="宋体"/>
                <w:szCs w:val="21"/>
              </w:rPr>
              <w:t>文件</w:t>
            </w:r>
            <w:r>
              <w:rPr>
                <w:rFonts w:hint="eastAsia" w:ascii="宋体" w:hAnsi="宋体"/>
                <w:szCs w:val="21"/>
              </w:rPr>
              <w:t>加密形式上传至</w:t>
            </w:r>
            <w:r>
              <w:rPr>
                <w:rFonts w:hint="eastAsia" w:ascii="宋体" w:hAnsi="宋体"/>
                <w:bCs/>
                <w:color w:val="auto"/>
                <w:highlight w:val="none"/>
              </w:rPr>
              <w:t>https://cg.szcec.com/sharing/6txaO4UkN</w:t>
            </w:r>
            <w:r>
              <w:rPr>
                <w:rFonts w:hint="eastAsia" w:ascii="宋体" w:hAnsi="宋体"/>
                <w:bCs/>
                <w:color w:val="auto"/>
                <w:highlight w:val="none"/>
                <w:lang w:eastAsia="zh-CN"/>
              </w:rPr>
              <w:t>，</w:t>
            </w:r>
            <w:r>
              <w:rPr>
                <w:rFonts w:hint="eastAsia" w:ascii="宋体" w:hAnsi="宋体"/>
                <w:bCs/>
                <w:color w:val="auto"/>
                <w:highlight w:val="none"/>
                <w:lang w:val="en-US" w:eastAsia="zh-CN"/>
              </w:rPr>
              <w:t>上传文件密码：20220624，</w:t>
            </w:r>
            <w:r>
              <w:rPr>
                <w:rFonts w:hint="eastAsia" w:ascii="宋体" w:hAnsi="宋体"/>
                <w:szCs w:val="21"/>
              </w:rPr>
              <w:t>并致电确认，</w:t>
            </w:r>
            <w:bookmarkStart w:id="2" w:name="_Toc478110532"/>
            <w:bookmarkStart w:id="3" w:name="_Toc478393187"/>
            <w:bookmarkStart w:id="4" w:name="_Toc478392822"/>
            <w:r>
              <w:rPr>
                <w:rFonts w:hint="eastAsia" w:ascii="宋体" w:hAnsi="宋体"/>
              </w:rPr>
              <w:t>注意事项：</w:t>
            </w:r>
          </w:p>
          <w:p>
            <w:pPr>
              <w:pStyle w:val="20"/>
              <w:numPr>
                <w:ilvl w:val="0"/>
                <w:numId w:val="3"/>
              </w:numPr>
              <w:ind w:left="541" w:hanging="541" w:firstLineChars="0"/>
              <w:rPr>
                <w:rFonts w:ascii="宋体" w:hAnsi="宋体" w:eastAsia="宋体"/>
                <w:szCs w:val="21"/>
              </w:rPr>
            </w:pPr>
            <w:bookmarkStart w:id="5" w:name="_Hlk60498011"/>
            <w:r>
              <w:rPr>
                <w:rFonts w:hint="eastAsia" w:ascii="宋体" w:hAnsi="宋体" w:eastAsia="宋体"/>
                <w:szCs w:val="21"/>
              </w:rPr>
              <w:t>为便于开标时的解密操作，响应文件（</w:t>
            </w:r>
            <w:r>
              <w:rPr>
                <w:rFonts w:ascii="宋体" w:hAnsi="宋体" w:eastAsia="宋体"/>
                <w:szCs w:val="21"/>
              </w:rPr>
              <w:t>PDF</w:t>
            </w:r>
            <w:r>
              <w:rPr>
                <w:rFonts w:hint="eastAsia" w:ascii="宋体" w:hAnsi="宋体" w:eastAsia="宋体"/>
                <w:szCs w:val="21"/>
              </w:rPr>
              <w:t>版及Word版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szCs w:val="21"/>
              </w:rPr>
              <w:t>建议采用</w:t>
            </w:r>
            <w:r>
              <w:rPr>
                <w:rFonts w:hint="eastAsia" w:ascii="宋体" w:hAnsi="宋体" w:eastAsia="宋体"/>
                <w:szCs w:val="21"/>
              </w:rPr>
              <w:t>winRAR</w:t>
            </w:r>
            <w:bookmarkStart w:id="79" w:name="_GoBack"/>
            <w:bookmarkEnd w:id="79"/>
            <w:r>
              <w:rPr>
                <w:rFonts w:hint="eastAsia" w:ascii="宋体" w:hAnsi="宋体" w:eastAsia="宋体"/>
                <w:szCs w:val="21"/>
              </w:rPr>
              <w:t>或winzip等常用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20"/>
              <w:numPr>
                <w:ilvl w:val="0"/>
                <w:numId w:val="3"/>
              </w:numPr>
              <w:ind w:left="541" w:hanging="541" w:firstLineChars="0"/>
              <w:rPr>
                <w:rFonts w:ascii="宋体" w:hAnsi="宋体" w:eastAsia="宋体"/>
                <w:szCs w:val="21"/>
              </w:rPr>
            </w:pPr>
            <w:r>
              <w:rPr>
                <w:rFonts w:hint="eastAsia" w:ascii="宋体" w:hAnsi="宋体" w:eastAsia="宋体"/>
                <w:szCs w:val="21"/>
              </w:rPr>
              <w:t>投</w:t>
            </w:r>
            <w:r>
              <w:rPr>
                <w:rFonts w:hint="eastAsia" w:ascii="宋体" w:hAnsi="宋体" w:eastAsia="宋体"/>
                <w:color w:val="auto"/>
                <w:szCs w:val="21"/>
                <w:highlight w:val="none"/>
              </w:rPr>
              <w:t>标单位授权代表须熟记文件密码，并在开标时按照招标人现场指令</w:t>
            </w:r>
            <w:r>
              <w:rPr>
                <w:rFonts w:hint="eastAsia" w:ascii="宋体" w:hAnsi="宋体" w:eastAsia="宋体"/>
                <w:color w:val="auto"/>
                <w:highlight w:val="none"/>
              </w:rPr>
              <w:t>将签到表及投标文件解密密码（详见附件1</w:t>
            </w:r>
            <w:r>
              <w:rPr>
                <w:rFonts w:ascii="宋体" w:hAnsi="宋体" w:eastAsia="宋体"/>
                <w:color w:val="auto"/>
                <w:highlight w:val="none"/>
              </w:rPr>
              <w:t>5</w:t>
            </w:r>
            <w:r>
              <w:rPr>
                <w:rFonts w:hint="eastAsia" w:ascii="宋体" w:hAnsi="宋体" w:eastAsia="宋体"/>
                <w:color w:val="auto"/>
                <w:highlight w:val="none"/>
              </w:rPr>
              <w:t>）上传至</w:t>
            </w:r>
            <w:r>
              <w:rPr>
                <w:rFonts w:hint="eastAsia" w:ascii="宋体" w:hAnsi="宋体"/>
                <w:bCs/>
                <w:color w:val="auto"/>
                <w:highlight w:val="none"/>
              </w:rPr>
              <w:t>https://cg.szcec.com/sharing/Qqz20QDhT</w:t>
            </w:r>
            <w:r>
              <w:rPr>
                <w:rFonts w:hint="eastAsia" w:ascii="宋体" w:hAnsi="宋体"/>
                <w:bCs/>
                <w:color w:val="auto"/>
                <w:highlight w:val="none"/>
                <w:lang w:eastAsia="zh-CN"/>
              </w:rPr>
              <w:t>，</w:t>
            </w:r>
            <w:r>
              <w:rPr>
                <w:rFonts w:hint="eastAsia" w:ascii="宋体" w:hAnsi="宋体"/>
                <w:bCs/>
                <w:color w:val="auto"/>
                <w:highlight w:val="none"/>
                <w:lang w:val="en-US" w:eastAsia="zh-CN"/>
              </w:rPr>
              <w:t>上传文件密码：20220627，</w:t>
            </w:r>
            <w:r>
              <w:rPr>
                <w:rFonts w:hint="eastAsia" w:ascii="宋体" w:hAnsi="宋体" w:eastAsia="宋体"/>
                <w:color w:val="auto"/>
                <w:szCs w:val="21"/>
                <w:highlight w:val="none"/>
              </w:rPr>
              <w:t>（为确保开评标</w:t>
            </w:r>
            <w:r>
              <w:rPr>
                <w:rFonts w:hint="eastAsia" w:ascii="宋体" w:hAnsi="宋体" w:eastAsia="宋体"/>
                <w:szCs w:val="21"/>
              </w:rPr>
              <w:t>工作的保密性并兼顾效率，密码早发、晚发的，均可能导致废标的不利后果）。</w:t>
            </w:r>
          </w:p>
          <w:p>
            <w:pPr>
              <w:pStyle w:val="20"/>
              <w:numPr>
                <w:ilvl w:val="0"/>
                <w:numId w:val="3"/>
              </w:numPr>
              <w:ind w:left="541" w:hanging="541"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0"/>
              <w:numPr>
                <w:ilvl w:val="0"/>
                <w:numId w:val="3"/>
              </w:numPr>
              <w:ind w:left="541" w:hanging="541"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版）文件为准，W</w:t>
            </w:r>
            <w:r>
              <w:rPr>
                <w:rFonts w:ascii="宋体" w:hAnsi="宋体" w:eastAsia="宋体"/>
                <w:szCs w:val="21"/>
              </w:rPr>
              <w:t>ord</w:t>
            </w:r>
            <w:r>
              <w:rPr>
                <w:rFonts w:hint="eastAsia" w:ascii="宋体" w:hAnsi="宋体" w:eastAsia="宋体"/>
                <w:szCs w:val="21"/>
              </w:rPr>
              <w:t>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6</w:t>
            </w:r>
            <w:r>
              <w:rPr>
                <w:rFonts w:ascii="宋体" w:hAnsi="宋体"/>
                <w:szCs w:val="21"/>
              </w:rPr>
              <w:t>-</w:t>
            </w:r>
            <w:r>
              <w:rPr>
                <w:rFonts w:hint="eastAsia" w:ascii="宋体" w:hAnsi="宋体"/>
                <w:szCs w:val="21"/>
                <w:lang w:val="en-US" w:eastAsia="zh-CN"/>
              </w:rPr>
              <w:t>27</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30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深圳会展中心指定视频会议室，届时请各投标人按采购公告要求准时提交响应文件并参加在线开标。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szCs w:val="21"/>
              </w:rPr>
            </w:pPr>
            <w:r>
              <w:rPr>
                <w:rFonts w:hint="eastAsia" w:ascii="宋体" w:hAnsi="宋体"/>
                <w:kern w:val="0"/>
                <w:szCs w:val="21"/>
              </w:rPr>
              <w:sym w:font="Wingdings 2" w:char="0052"/>
            </w:r>
            <w:r>
              <w:rPr>
                <w:rFonts w:hint="eastAsia" w:ascii="宋体" w:hAnsi="宋体" w:cstheme="minorBidi"/>
                <w:szCs w:val="21"/>
              </w:rPr>
              <w:t>不接受</w:t>
            </w:r>
          </w:p>
          <w:p>
            <w:pPr>
              <w:autoSpaceDE w:val="0"/>
              <w:autoSpaceDN w:val="0"/>
              <w:adjustRightInd w:val="0"/>
              <w:snapToGrid w:val="0"/>
              <w:rPr>
                <w:rFonts w:ascii="宋体" w:hAnsi="宋体"/>
                <w:kern w:val="0"/>
                <w:szCs w:val="21"/>
              </w:rPr>
            </w:pPr>
            <w:r>
              <w:rPr>
                <w:rFonts w:hint="eastAsia" w:ascii="宋体" w:hAnsi="宋体" w:cstheme="minorBidi"/>
                <w:szCs w:val="21"/>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spacing w:after="156" w:afterLines="50"/>
              <w:rPr>
                <w:rFonts w:ascii="宋体" w:hAnsi="宋体" w:cstheme="minorBidi"/>
                <w:kern w:val="0"/>
                <w:szCs w:val="21"/>
              </w:rPr>
            </w:pPr>
            <w:r>
              <w:rPr>
                <w:rFonts w:ascii="宋体" w:hAnsi="宋体" w:cstheme="minorBidi"/>
                <w:kern w:val="0"/>
                <w:szCs w:val="21"/>
              </w:rPr>
              <w:sym w:font="Wingdings 2" w:char="0052"/>
            </w:r>
            <w:r>
              <w:rPr>
                <w:rFonts w:hint="eastAsia" w:ascii="宋体" w:hAnsi="宋体" w:cstheme="minorBidi"/>
                <w:kern w:val="0"/>
                <w:szCs w:val="21"/>
              </w:rPr>
              <w:t>不组织。可在公开招标开始后至公开招标结束前自行踏勘。</w:t>
            </w:r>
          </w:p>
          <w:p>
            <w:pPr>
              <w:numPr>
                <w:ilvl w:val="0"/>
                <w:numId w:val="4"/>
              </w:numPr>
              <w:tabs>
                <w:tab w:val="left" w:pos="281"/>
                <w:tab w:val="left" w:pos="541"/>
              </w:tabs>
              <w:snapToGrid w:val="0"/>
              <w:spacing w:after="156" w:afterLines="50"/>
              <w:rPr>
                <w:rFonts w:ascii="宋体" w:hAnsi="宋体" w:cstheme="minorBidi"/>
                <w:kern w:val="0"/>
                <w:szCs w:val="21"/>
              </w:rPr>
            </w:pPr>
            <w:r>
              <w:rPr>
                <w:rFonts w:hint="eastAsia" w:ascii="宋体" w:hAnsi="宋体" w:cstheme="minorBidi"/>
                <w:kern w:val="0"/>
                <w:szCs w:val="21"/>
              </w:rPr>
              <w:t>□组织，踏勘要求：</w:t>
            </w:r>
          </w:p>
          <w:p>
            <w:pPr>
              <w:pStyle w:val="20"/>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0"/>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0"/>
              <w:tabs>
                <w:tab w:val="left" w:pos="541"/>
              </w:tabs>
              <w:snapToGrid w:val="0"/>
              <w:spacing w:after="156" w:afterLines="5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0"/>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招标人定于202×-××-×× ××: ××邀请投标人人员察看现场并讲解项目需求；投标人应指派完全符合疫情防控要求的人员参加本项目的现场踏勘。</w:t>
            </w:r>
          </w:p>
          <w:p>
            <w:pPr>
              <w:pStyle w:val="20"/>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0"/>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0"/>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鉴</w:t>
            </w:r>
            <w:r>
              <w:rPr>
                <w:rFonts w:hint="eastAsia" w:ascii="宋体" w:hAnsi="宋体" w:eastAsia="宋体"/>
                <w:kern w:val="0"/>
              </w:rPr>
              <w:t>于疫情防控要求，所有入场人员需持</w:t>
            </w:r>
            <w:r>
              <w:rPr>
                <w:rFonts w:hint="eastAsia" w:ascii="宋体" w:hAnsi="宋体" w:eastAsia="宋体"/>
                <w:color w:val="FF0000"/>
                <w:kern w:val="0"/>
              </w:rPr>
              <w:t>24小时</w:t>
            </w:r>
            <w:r>
              <w:rPr>
                <w:rFonts w:hint="eastAsia" w:ascii="宋体" w:hAnsi="宋体" w:eastAsia="宋体"/>
                <w:kern w:val="0"/>
              </w:rPr>
              <w:t>核酸检测阴性结果，投标人须至少提前一天与踏勘联系人预约。否则，将可能导致投标人不能进入踏勘现场的不利后果。投标人必须保证所安排的踏勘人员完全符合政府主管部门及招标人疫情防控要求，否则由此带来的一切责任和风险均由投标人负责。且招标人有权拒绝未预约备案人员参加本项目踏勘活动。</w:t>
            </w:r>
            <w:r>
              <w:rPr>
                <w:rFonts w:hint="eastAsia" w:ascii="宋体" w:hAnsi="宋体" w:eastAsia="宋体"/>
                <w:b/>
                <w:color w:val="FF0000"/>
                <w:kern w:val="0"/>
              </w:rPr>
              <w:t>（特别注意：各投标人不得指派属于封控区、管控区、防范区人员作为本项目的踏勘人员）</w:t>
            </w:r>
          </w:p>
          <w:p>
            <w:pPr>
              <w:pStyle w:val="20"/>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20"/>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w:t>
            </w:r>
          </w:p>
          <w:p>
            <w:pPr>
              <w:pStyle w:val="20"/>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pPr>
              <w:pStyle w:val="20"/>
              <w:tabs>
                <w:tab w:val="left" w:pos="541"/>
              </w:tabs>
              <w:snapToGrid w:val="0"/>
              <w:ind w:firstLine="0"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r>
              <w:rPr>
                <w:rFonts w:ascii="宋体" w:hAnsi="宋体" w:cs="Segoe UI Symbol"/>
                <w:kern w:val="0"/>
                <w:szCs w:val="21"/>
              </w:rPr>
              <w:t xml:space="preserve"> </w:t>
            </w:r>
          </w:p>
          <w:p>
            <w:pPr>
              <w:pStyle w:val="20"/>
              <w:numPr>
                <w:ilvl w:val="0"/>
                <w:numId w:val="7"/>
              </w:numPr>
              <w:autoSpaceDE w:val="0"/>
              <w:autoSpaceDN w:val="0"/>
              <w:adjustRightInd w:val="0"/>
              <w:snapToGrid w:val="0"/>
              <w:ind w:left="536" w:hanging="536" w:firstLineChars="0"/>
              <w:rPr>
                <w:rFonts w:ascii="宋体" w:hAnsi="宋体" w:eastAsia="宋体" w:cs="Segoe UI Symbol"/>
                <w:kern w:val="0"/>
                <w:szCs w:val="21"/>
              </w:rPr>
            </w:pPr>
            <w:r>
              <w:rPr>
                <w:rFonts w:hint="eastAsia" w:ascii="宋体" w:hAnsi="宋体" w:eastAsia="宋体" w:cs="Segoe UI Symbol"/>
                <w:kern w:val="0"/>
                <w:szCs w:val="21"/>
              </w:rPr>
              <w:sym w:font="Wingdings 2" w:char="0052"/>
            </w:r>
            <w:r>
              <w:rPr>
                <w:rFonts w:hint="eastAsia" w:ascii="宋体" w:hAnsi="宋体" w:eastAsia="宋体" w:cs="Segoe UI Symbol"/>
                <w:kern w:val="0"/>
                <w:szCs w:val="21"/>
              </w:rPr>
              <w:t>不要求</w:t>
            </w:r>
          </w:p>
          <w:p>
            <w:pPr>
              <w:pStyle w:val="20"/>
              <w:numPr>
                <w:ilvl w:val="0"/>
                <w:numId w:val="7"/>
              </w:numPr>
              <w:autoSpaceDE w:val="0"/>
              <w:autoSpaceDN w:val="0"/>
              <w:adjustRightInd w:val="0"/>
              <w:snapToGrid w:val="0"/>
              <w:ind w:left="536" w:hanging="536" w:firstLineChars="0"/>
              <w:rPr>
                <w:rFonts w:ascii="宋体" w:hAnsi="宋体" w:eastAsia="宋体" w:cs="Segoe UI Symbol"/>
                <w:kern w:val="0"/>
                <w:szCs w:val="21"/>
              </w:rPr>
            </w:pPr>
            <w:r>
              <w:rPr>
                <w:rFonts w:hint="eastAsia" w:ascii="宋体" w:hAnsi="宋体" w:eastAsia="宋体" w:cs="Segoe UI Symbol"/>
                <w:kern w:val="0"/>
                <w:szCs w:val="21"/>
              </w:rPr>
              <w:t>□要求</w:t>
            </w:r>
          </w:p>
          <w:p>
            <w:pPr>
              <w:pStyle w:val="20"/>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履约保证金金额：人民币</w:t>
            </w:r>
            <w:r>
              <w:rPr>
                <w:rFonts w:hint="eastAsia" w:ascii="宋体" w:hAnsi="宋体" w:eastAsia="宋体" w:cs="Segoe UI Symbol"/>
                <w:kern w:val="0"/>
                <w:szCs w:val="21"/>
                <w:u w:val="single"/>
              </w:rPr>
              <w:t xml:space="preserve"> </w:t>
            </w:r>
            <w:r>
              <w:rPr>
                <w:rFonts w:ascii="宋体" w:hAnsi="宋体" w:eastAsia="宋体" w:cs="Segoe UI Symbol"/>
                <w:kern w:val="0"/>
                <w:szCs w:val="21"/>
                <w:u w:val="single"/>
              </w:rPr>
              <w:t>/</w:t>
            </w:r>
            <w:r>
              <w:rPr>
                <w:rFonts w:hint="eastAsia" w:ascii="宋体" w:hAnsi="宋体" w:eastAsia="宋体" w:cs="Segoe UI Symbol"/>
                <w:kern w:val="0"/>
                <w:szCs w:val="21"/>
                <w:u w:val="single"/>
              </w:rPr>
              <w:t xml:space="preserve"> </w:t>
            </w:r>
            <w:r>
              <w:rPr>
                <w:rFonts w:hint="eastAsia" w:ascii="宋体" w:hAnsi="宋体" w:eastAsia="宋体" w:cs="Segoe UI Symbol"/>
                <w:kern w:val="0"/>
                <w:szCs w:val="21"/>
              </w:rPr>
              <w:t>元</w:t>
            </w:r>
          </w:p>
          <w:p>
            <w:pPr>
              <w:pStyle w:val="20"/>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□银行转账</w:t>
            </w:r>
            <w:r>
              <w:rPr>
                <w:rFonts w:ascii="宋体" w:hAnsi="宋体" w:eastAsia="宋体" w:cs="Segoe UI Symbol"/>
                <w:kern w:val="0"/>
                <w:szCs w:val="21"/>
              </w:rPr>
              <w:t xml:space="preserve">  </w:t>
            </w:r>
            <w:r>
              <w:rPr>
                <w:rFonts w:hint="eastAsia" w:ascii="宋体" w:hAnsi="宋体" w:eastAsia="宋体" w:cs="Segoe UI Symbol"/>
                <w:kern w:val="0"/>
                <w:szCs w:val="21"/>
              </w:rPr>
              <w:t>□现金</w:t>
            </w:r>
          </w:p>
          <w:p>
            <w:pPr>
              <w:pStyle w:val="20"/>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投标人保证金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深圳深圳会展中心管理有限责任公司</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pStyle w:val="20"/>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szCs w:val="21"/>
              </w:rPr>
            </w:pPr>
            <w:r>
              <w:rPr>
                <w:rFonts w:hint="eastAsia" w:ascii="Segoe UI Symbol" w:hAnsi="Segoe UI Symbol" w:cs="Segoe UI Symbol"/>
                <w:kern w:val="0"/>
                <w:szCs w:val="21"/>
              </w:rPr>
              <w:t>☑</w:t>
            </w:r>
            <w:r>
              <w:rPr>
                <w:rFonts w:hint="eastAsia" w:ascii="宋体" w:hAnsi="宋体"/>
                <w:szCs w:val="21"/>
              </w:rPr>
              <w:t>不要求递交投标样品</w:t>
            </w:r>
          </w:p>
          <w:p>
            <w:pPr>
              <w:autoSpaceDE w:val="0"/>
              <w:autoSpaceDN w:val="0"/>
              <w:adjustRightInd w:val="0"/>
              <w:snapToGrid w:val="0"/>
              <w:jc w:val="left"/>
              <w:rPr>
                <w:rFonts w:ascii="宋体" w:hAnsi="宋体"/>
                <w:szCs w:val="21"/>
                <w:u w:val="single"/>
              </w:rPr>
            </w:pPr>
            <w:r>
              <w:rPr>
                <w:rFonts w:hint="eastAsia" w:ascii="宋体" w:hAnsi="宋体"/>
                <w:szCs w:val="21"/>
              </w:rPr>
              <w:t>□递交投标样品，具体要求：</w:t>
            </w:r>
            <w:r>
              <w:rPr>
                <w:rFonts w:hint="eastAsia" w:ascii="宋体" w:hAnsi="宋体"/>
                <w:szCs w:val="21"/>
                <w:u w:val="single"/>
              </w:rPr>
              <w:t xml:space="preserve"> </w:t>
            </w:r>
            <w:r>
              <w:rPr>
                <w:rFonts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kern w:val="0"/>
                <w:szCs w:val="21"/>
              </w:rPr>
            </w:pPr>
            <w:r>
              <w:rPr>
                <w:rFonts w:ascii="Segoe UI Symbol" w:hAnsi="Segoe UI Symbol" w:cs="Segoe UI Symbol"/>
                <w:szCs w:val="21"/>
              </w:rPr>
              <w:t>☑</w:t>
            </w:r>
            <w:r>
              <w:rPr>
                <w:rFonts w:hint="eastAsia" w:ascii="宋体" w:hAnsi="宋体" w:cs="Segoe UI Symbol"/>
                <w:kern w:val="0"/>
                <w:szCs w:val="21"/>
              </w:rPr>
              <w:t>综合评分法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□最低价法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□其他：</w:t>
            </w:r>
            <w:r>
              <w:rPr>
                <w:rFonts w:hint="eastAsia" w:ascii="宋体" w:hAnsi="宋体" w:cs="Segoe UI Symbol"/>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szCs w:val="21"/>
              </w:rPr>
            </w:pPr>
            <w:r>
              <w:rPr>
                <w:rFonts w:ascii="Segoe UI Symbol" w:hAnsi="Segoe UI Symbol" w:cs="Segoe UI Symbol"/>
                <w:szCs w:val="21"/>
              </w:rPr>
              <w:t>☑</w:t>
            </w:r>
            <w:r>
              <w:rPr>
                <w:rFonts w:hint="eastAsia" w:ascii="宋体" w:hAnsi="宋体" w:cs="Segoe UI Symbol"/>
                <w:kern w:val="0"/>
                <w:szCs w:val="21"/>
              </w:rPr>
              <w:t>内部招标评标</w:t>
            </w:r>
            <w:r>
              <w:rPr>
                <w:rFonts w:ascii="宋体" w:hAnsi="宋体" w:cs="Segoe UI Symbol"/>
                <w:kern w:val="0"/>
                <w:szCs w:val="21"/>
              </w:rPr>
              <w:t>小组推荐的中标候选人数</w:t>
            </w:r>
            <w:r>
              <w:rPr>
                <w:rFonts w:hint="eastAsia" w:ascii="宋体" w:hAnsi="宋体" w:cs="Segoe UI Symbol"/>
                <w:kern w:val="0"/>
                <w:szCs w:val="21"/>
              </w:rPr>
              <w:t>：</w:t>
            </w:r>
            <w:r>
              <w:rPr>
                <w:rFonts w:hint="eastAsia" w:ascii="宋体" w:hAnsi="宋体" w:cs="Segoe UI Symbol"/>
                <w:kern w:val="0"/>
                <w:szCs w:val="21"/>
                <w:u w:val="single"/>
              </w:rPr>
              <w:t xml:space="preserve">  1  个</w:t>
            </w:r>
            <w:r>
              <w:rPr>
                <w:rFonts w:hint="eastAsia" w:ascii="宋体" w:hAnsi="宋体" w:cs="Segoe UI Symbol"/>
                <w:kern w:val="0"/>
                <w:szCs w:val="21"/>
              </w:rPr>
              <w:t>。</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w:t>
            </w:r>
            <w:r>
              <w:rPr>
                <w:rFonts w:hint="eastAsia" w:ascii="宋体" w:hAnsi="宋体" w:cs="宋体"/>
                <w:szCs w:val="21"/>
              </w:rPr>
              <w:t>适用于采用</w:t>
            </w:r>
            <w:r>
              <w:rPr>
                <w:rFonts w:hint="eastAsia" w:ascii="宋体" w:hAnsi="宋体" w:cs="宋体"/>
                <w:b/>
                <w:bCs/>
                <w:szCs w:val="21"/>
              </w:rPr>
              <w:t>综合评分法</w:t>
            </w:r>
            <w:r>
              <w:rPr>
                <w:rFonts w:hint="eastAsia" w:ascii="宋体" w:hAnsi="宋体" w:cs="宋体"/>
                <w:szCs w:val="21"/>
              </w:rPr>
              <w:t>、</w:t>
            </w:r>
            <w:r>
              <w:rPr>
                <w:rFonts w:hint="eastAsia" w:ascii="宋体" w:hAnsi="宋体" w:cs="宋体"/>
                <w:b/>
                <w:bCs/>
                <w:szCs w:val="21"/>
              </w:rPr>
              <w:t>最低价法</w:t>
            </w:r>
            <w:r>
              <w:rPr>
                <w:rFonts w:hint="eastAsia" w:ascii="宋体" w:hAnsi="宋体" w:cs="宋体"/>
                <w:bCs/>
                <w:szCs w:val="21"/>
              </w:rPr>
              <w:t>）</w:t>
            </w:r>
          </w:p>
        </w:tc>
      </w:tr>
    </w:tbl>
    <w:p>
      <w:pPr>
        <w:numPr>
          <w:ilvl w:val="0"/>
          <w:numId w:val="1"/>
        </w:numPr>
        <w:spacing w:line="560" w:lineRule="exact"/>
        <w:outlineLvl w:val="1"/>
        <w:rPr>
          <w:rFonts w:ascii="宋体" w:hAnsi="宋体"/>
          <w:b/>
          <w:szCs w:val="21"/>
        </w:rPr>
      </w:pPr>
      <w:bookmarkStart w:id="6" w:name="_Toc82591927"/>
      <w:bookmarkEnd w:id="6"/>
      <w:bookmarkStart w:id="7" w:name="_Toc82685542"/>
      <w:bookmarkEnd w:id="7"/>
      <w:bookmarkStart w:id="8" w:name="_Toc82684590"/>
      <w:bookmarkEnd w:id="8"/>
      <w:bookmarkStart w:id="9" w:name="_Toc82684706"/>
      <w:bookmarkEnd w:id="9"/>
      <w:bookmarkStart w:id="10" w:name="_Toc82684588"/>
      <w:bookmarkEnd w:id="10"/>
      <w:bookmarkStart w:id="11" w:name="_Toc82685540"/>
      <w:bookmarkEnd w:id="11"/>
      <w:bookmarkStart w:id="12" w:name="_Toc82684589"/>
      <w:bookmarkEnd w:id="12"/>
      <w:bookmarkStart w:id="13" w:name="_Toc82684705"/>
      <w:bookmarkEnd w:id="13"/>
      <w:bookmarkStart w:id="14" w:name="_Toc82591925"/>
      <w:bookmarkEnd w:id="14"/>
      <w:bookmarkStart w:id="15" w:name="_Toc82684591"/>
      <w:bookmarkEnd w:id="15"/>
      <w:bookmarkStart w:id="16" w:name="_Toc82591926"/>
      <w:bookmarkEnd w:id="16"/>
      <w:bookmarkStart w:id="17" w:name="_Toc82685541"/>
      <w:bookmarkEnd w:id="17"/>
      <w:bookmarkStart w:id="18" w:name="_Toc82684703"/>
      <w:bookmarkEnd w:id="18"/>
      <w:bookmarkStart w:id="19" w:name="_Toc82685543"/>
      <w:bookmarkEnd w:id="19"/>
      <w:bookmarkStart w:id="20" w:name="_Toc82591928"/>
      <w:bookmarkEnd w:id="20"/>
      <w:bookmarkStart w:id="21" w:name="_Toc82684704"/>
      <w:bookmarkEnd w:id="21"/>
      <w:bookmarkStart w:id="22" w:name="_Toc32401"/>
      <w:r>
        <w:rPr>
          <w:rFonts w:hint="eastAsia" w:ascii="宋体" w:hAnsi="宋体"/>
          <w:b/>
          <w:szCs w:val="21"/>
        </w:rPr>
        <w:t>特别说明</w:t>
      </w:r>
      <w:bookmarkEnd w:id="22"/>
    </w:p>
    <w:p>
      <w:pPr>
        <w:pStyle w:val="20"/>
        <w:numPr>
          <w:ilvl w:val="0"/>
          <w:numId w:val="9"/>
        </w:numPr>
        <w:spacing w:line="360" w:lineRule="auto"/>
        <w:ind w:left="0" w:firstLine="420" w:firstLineChars="0"/>
        <w:rPr>
          <w:rFonts w:ascii="宋体" w:hAnsi="宋体" w:eastAsia="宋体" w:cs="宋体"/>
          <w:szCs w:val="21"/>
        </w:rPr>
      </w:pPr>
      <w:bookmarkStart w:id="23" w:name="_Toc45028463"/>
      <w:bookmarkStart w:id="24" w:name="_Toc517278751"/>
      <w:bookmarkStart w:id="25" w:name="_Toc478387747"/>
      <w:r>
        <w:rPr>
          <w:rFonts w:hint="eastAsia" w:ascii="宋体" w:hAnsi="宋体" w:eastAsia="宋体" w:cs="宋体"/>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pPr>
        <w:pStyle w:val="20"/>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本项目涉及的所有往来资料文件均需通过招标人报名回函上指定的电子邮箱发送和接收，否则可能导致文件不被接受的不利后果。</w:t>
      </w:r>
    </w:p>
    <w:p>
      <w:pPr>
        <w:pStyle w:val="20"/>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0"/>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0"/>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bookmarkEnd w:id="23"/>
    <w:bookmarkEnd w:id="24"/>
    <w:bookmarkEnd w:id="25"/>
    <w:p>
      <w:pPr>
        <w:pStyle w:val="20"/>
        <w:spacing w:line="360" w:lineRule="auto"/>
        <w:ind w:left="420" w:firstLine="0" w:firstLineChars="0"/>
        <w:rPr>
          <w:rFonts w:ascii="宋体" w:hAnsi="宋体" w:eastAsia="宋体" w:cs="宋体"/>
          <w:szCs w:val="21"/>
        </w:rPr>
      </w:pPr>
    </w:p>
    <w:p>
      <w:pPr>
        <w:numPr>
          <w:ilvl w:val="0"/>
          <w:numId w:val="1"/>
        </w:numPr>
        <w:spacing w:line="560" w:lineRule="exact"/>
        <w:outlineLvl w:val="1"/>
        <w:rPr>
          <w:rFonts w:ascii="宋体" w:hAnsi="宋体"/>
          <w:b/>
          <w:szCs w:val="21"/>
        </w:rPr>
      </w:pPr>
      <w:bookmarkStart w:id="26" w:name="_Toc82684708"/>
      <w:bookmarkEnd w:id="26"/>
      <w:bookmarkStart w:id="27" w:name="_Toc82591986"/>
      <w:bookmarkEnd w:id="27"/>
      <w:bookmarkStart w:id="28" w:name="_Toc82591930"/>
      <w:bookmarkEnd w:id="28"/>
      <w:bookmarkStart w:id="29" w:name="_Toc82591989"/>
      <w:bookmarkEnd w:id="29"/>
      <w:bookmarkStart w:id="30" w:name="_Toc82591987"/>
      <w:bookmarkEnd w:id="30"/>
      <w:bookmarkStart w:id="31" w:name="_Toc82591988"/>
      <w:bookmarkEnd w:id="31"/>
      <w:bookmarkStart w:id="32" w:name="_Toc82591985"/>
      <w:bookmarkEnd w:id="32"/>
      <w:bookmarkStart w:id="33" w:name="_Toc82684593"/>
      <w:bookmarkEnd w:id="33"/>
      <w:bookmarkStart w:id="34" w:name="_Toc82685545"/>
      <w:bookmarkEnd w:id="34"/>
      <w:bookmarkStart w:id="35" w:name="_Toc9754"/>
      <w:r>
        <w:rPr>
          <w:rFonts w:hint="eastAsia" w:ascii="宋体" w:hAnsi="宋体"/>
          <w:b/>
          <w:szCs w:val="21"/>
        </w:rPr>
        <w:t>投标文件编制</w:t>
      </w:r>
      <w:bookmarkEnd w:id="35"/>
    </w:p>
    <w:tbl>
      <w:tblPr>
        <w:tblStyle w:val="13"/>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资格审查文件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国家企业信用信息公示系统（www.gsxt.gov.cn）公示的企业信息打印件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法定代表人授权委托书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bCs/>
                <w:snapToGrid w:val="0"/>
                <w:kern w:val="0"/>
                <w:szCs w:val="21"/>
              </w:rPr>
            </w:pPr>
            <w:r>
              <w:rPr>
                <w:rFonts w:hint="eastAsia" w:ascii="宋体" w:hAnsi="宋体"/>
                <w:bCs/>
                <w:snapToGrid w:val="0"/>
                <w:kern w:val="0"/>
                <w:szCs w:val="21"/>
              </w:rPr>
              <w:t>编制内容：</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投标报价一览表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投标分项报价表</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6" w:name="_Toc29123"/>
      <w:r>
        <w:rPr>
          <w:rFonts w:hint="eastAsia" w:ascii="宋体" w:hAnsi="宋体"/>
          <w:b/>
          <w:szCs w:val="21"/>
        </w:rPr>
        <w:t>项目要求及数量</w:t>
      </w:r>
      <w:bookmarkEnd w:id="36"/>
    </w:p>
    <w:tbl>
      <w:tblPr>
        <w:tblStyle w:val="13"/>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0"/>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0" w:firstLine="0"/>
              <w:rPr>
                <w:rFonts w:ascii="宋体" w:hAnsi="宋体" w:cs="宋体"/>
                <w:szCs w:val="21"/>
              </w:rPr>
            </w:pPr>
            <w:r>
              <w:rPr>
                <w:rFonts w:hint="eastAsia" w:ascii="宋体"/>
              </w:rPr>
              <w:t>投标人必须是在中华人民共和国境内注册且合法运作的企业，在法律和财务上独立。</w:t>
            </w:r>
            <w:r>
              <w:rPr>
                <w:rFonts w:hint="eastAsia" w:ascii="宋体" w:hAnsi="宋体"/>
                <w:szCs w:val="21"/>
              </w:rPr>
              <w:t>（提供企业营业执照扫描件，并加盖投标人公章。）</w:t>
            </w:r>
          </w:p>
          <w:p>
            <w:pPr>
              <w:numPr>
                <w:ilvl w:val="0"/>
                <w:numId w:val="10"/>
              </w:numPr>
              <w:tabs>
                <w:tab w:val="left" w:pos="531"/>
              </w:tabs>
              <w:snapToGrid w:val="0"/>
              <w:ind w:left="0" w:firstLine="0"/>
              <w:rPr>
                <w:rFonts w:ascii="宋体" w:hAnsi="宋体" w:cs="宋体"/>
                <w:szCs w:val="21"/>
              </w:rPr>
            </w:pPr>
            <w:r>
              <w:rPr>
                <w:rFonts w:hint="eastAsia" w:ascii="宋体"/>
              </w:rPr>
              <w:t>投标人必须无未改正的经营异常信息、无严重违法失信记录。</w:t>
            </w:r>
            <w:r>
              <w:rPr>
                <w:rFonts w:ascii="宋体"/>
              </w:rPr>
              <w:t>(</w:t>
            </w:r>
            <w:r>
              <w:rPr>
                <w:rFonts w:hint="eastAsia" w:ascii="宋体"/>
              </w:rPr>
              <w:t>提供国家企业信用信息公示系统（www.gsxt.gov.cn)公示的企业基础信息、经营异常信息、严重违法失信记录等信息查询页面打印件，并加盖投标人公章。）</w:t>
            </w:r>
          </w:p>
          <w:p>
            <w:pPr>
              <w:numPr>
                <w:ilvl w:val="0"/>
                <w:numId w:val="10"/>
              </w:numPr>
              <w:tabs>
                <w:tab w:val="left" w:pos="531"/>
              </w:tabs>
              <w:snapToGrid w:val="0"/>
              <w:ind w:left="0" w:firstLine="0"/>
              <w:rPr>
                <w:rFonts w:ascii="宋体" w:hAnsi="宋体" w:cs="宋体"/>
              </w:rPr>
            </w:pPr>
            <w:r>
              <w:rPr>
                <w:rFonts w:hint="eastAsia" w:ascii="宋体" w:hAnsi="宋体" w:cs="宋体"/>
                <w:szCs w:val="21"/>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3"/>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0" w:firstLine="0"/>
              <w:rPr>
                <w:rFonts w:ascii="宋体" w:hAnsi="宋体"/>
                <w:szCs w:val="21"/>
              </w:rPr>
            </w:pPr>
            <w:r>
              <w:rPr>
                <w:rFonts w:hint="eastAsia" w:ascii="宋体" w:hAnsi="宋体" w:cs="仿宋_GB2312"/>
                <w:szCs w:val="21"/>
              </w:rPr>
              <w:t>报价以人民币为结算币种，</w:t>
            </w:r>
            <w:r>
              <w:rPr>
                <w:rFonts w:hint="eastAsia" w:ascii="宋体" w:hAnsi="宋体"/>
                <w:szCs w:val="21"/>
              </w:rPr>
              <w:t>报价应包含单价和总价。</w:t>
            </w:r>
          </w:p>
          <w:p>
            <w:pPr>
              <w:numPr>
                <w:ilvl w:val="0"/>
                <w:numId w:val="11"/>
              </w:numPr>
              <w:tabs>
                <w:tab w:val="left" w:pos="531"/>
              </w:tabs>
              <w:snapToGrid w:val="0"/>
              <w:ind w:left="0" w:firstLine="0"/>
              <w:rPr>
                <w:rFonts w:ascii="宋体" w:hAnsi="宋体" w:cs="仿宋_GB2312"/>
                <w:szCs w:val="21"/>
              </w:rPr>
            </w:pPr>
            <w:r>
              <w:rPr>
                <w:rFonts w:hint="eastAsia" w:ascii="宋体" w:hAnsi="宋体" w:cs="仿宋_GB2312"/>
                <w:szCs w:val="21"/>
              </w:rPr>
              <w:t>投标报价不得出现可选择性的报价,含有备选方案的报价将导致废标。</w:t>
            </w:r>
          </w:p>
          <w:p>
            <w:pPr>
              <w:numPr>
                <w:ilvl w:val="0"/>
                <w:numId w:val="11"/>
              </w:numPr>
              <w:tabs>
                <w:tab w:val="left" w:pos="531"/>
              </w:tabs>
              <w:snapToGrid w:val="0"/>
              <w:ind w:left="0" w:firstLine="0"/>
              <w:rPr>
                <w:rFonts w:ascii="宋体" w:hAnsi="宋体"/>
                <w:szCs w:val="21"/>
              </w:rPr>
            </w:pPr>
            <w:r>
              <w:rPr>
                <w:rFonts w:hint="eastAsia" w:ascii="宋体" w:hAnsi="宋体"/>
                <w:szCs w:val="21"/>
              </w:rPr>
              <w:t>本项目为总价包干合同，</w:t>
            </w:r>
            <w:r>
              <w:rPr>
                <w:rFonts w:hint="eastAsia" w:ascii="宋体" w:hAnsi="宋体" w:cs="仿宋_GB2312"/>
                <w:szCs w:val="21"/>
              </w:rPr>
              <w:t>投标报价包括但不限于人工</w:t>
            </w:r>
            <w:r>
              <w:rPr>
                <w:rFonts w:hint="eastAsia" w:ascii="宋体" w:hAnsi="宋体"/>
                <w:szCs w:val="21"/>
              </w:rPr>
              <w:t>费、管理费、差旅费、设施设备费、增值税费等</w:t>
            </w:r>
            <w:r>
              <w:rPr>
                <w:rFonts w:hint="eastAsia" w:ascii="宋体" w:hAnsi="宋体" w:cs="仿宋_GB2312"/>
                <w:szCs w:val="21"/>
              </w:rPr>
              <w:t>完成本项目实施要求及验收标准所需的全部费用。</w:t>
            </w:r>
          </w:p>
          <w:p>
            <w:pPr>
              <w:numPr>
                <w:ilvl w:val="0"/>
                <w:numId w:val="11"/>
              </w:numPr>
              <w:tabs>
                <w:tab w:val="left" w:pos="531"/>
              </w:tabs>
              <w:snapToGrid w:val="0"/>
            </w:pPr>
            <w:r>
              <w:rPr>
                <w:rFonts w:hint="eastAsia" w:ascii="宋体" w:hAnsi="宋体"/>
                <w:szCs w:val="21"/>
              </w:rPr>
              <w:t>本次投标的费用由投标人自理。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3"/>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szCs w:val="21"/>
              </w:rPr>
            </w:pPr>
            <w:r>
              <w:rPr>
                <w:rFonts w:hint="eastAsia" w:ascii="宋体" w:hAnsi="宋体" w:cs="宋体"/>
                <w:szCs w:val="21"/>
              </w:rPr>
              <w:t>本项目采购控制金额为人民币</w:t>
            </w:r>
            <w:r>
              <w:rPr>
                <w:rFonts w:hint="eastAsia" w:ascii="宋体" w:hAnsi="宋体"/>
                <w:szCs w:val="21"/>
              </w:rPr>
              <w:t>2</w:t>
            </w:r>
            <w:r>
              <w:rPr>
                <w:rFonts w:ascii="宋体" w:hAnsi="宋体"/>
                <w:szCs w:val="21"/>
              </w:rPr>
              <w:t>0</w:t>
            </w:r>
            <w:r>
              <w:rPr>
                <w:rFonts w:ascii="宋体" w:hAnsi="宋体" w:cs="宋体"/>
                <w:szCs w:val="21"/>
              </w:rPr>
              <w:t>万元（含税）</w:t>
            </w:r>
            <w:r>
              <w:rPr>
                <w:rFonts w:hint="eastAsia" w:ascii="宋体" w:hAnsi="宋体" w:cs="宋体"/>
                <w:szCs w:val="21"/>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3"/>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531"/>
              </w:tabs>
              <w:snapToGrid w:val="0"/>
              <w:rPr>
                <w:rFonts w:ascii="宋体" w:hAnsi="宋体" w:cs="宋体"/>
              </w:rPr>
            </w:pPr>
            <w:r>
              <w:rPr>
                <w:rFonts w:hint="eastAsia" w:ascii="宋体" w:hAnsi="宋体" w:cs="宋体"/>
              </w:rPr>
              <w:t>本项目合同签署后，招标人向中标人支付合同总金额的</w:t>
            </w:r>
            <w:r>
              <w:rPr>
                <w:rFonts w:ascii="宋体" w:hAnsi="宋体" w:cs="宋体"/>
              </w:rPr>
              <w:t>50</w:t>
            </w:r>
            <w:r>
              <w:rPr>
                <w:rFonts w:hint="eastAsia" w:ascii="宋体" w:hAnsi="宋体" w:cs="宋体"/>
              </w:rPr>
              <w:t>%。</w:t>
            </w:r>
          </w:p>
          <w:p>
            <w:pPr>
              <w:numPr>
                <w:ilvl w:val="0"/>
                <w:numId w:val="12"/>
              </w:numPr>
              <w:tabs>
                <w:tab w:val="left" w:pos="531"/>
              </w:tabs>
              <w:snapToGrid w:val="0"/>
              <w:rPr>
                <w:rFonts w:ascii="宋体" w:hAnsi="宋体" w:cs="宋体"/>
              </w:rPr>
            </w:pPr>
            <w:r>
              <w:rPr>
                <w:rFonts w:hint="eastAsia" w:ascii="宋体" w:hAnsi="宋体" w:cs="宋体"/>
              </w:rPr>
              <w:t>项目验收完成后，招标人向中标人支付合同总金额的</w:t>
            </w:r>
            <w:r>
              <w:rPr>
                <w:rFonts w:ascii="宋体" w:hAnsi="宋体" w:cs="宋体"/>
              </w:rPr>
              <w:t>50</w:t>
            </w:r>
            <w:r>
              <w:rPr>
                <w:rFonts w:hint="eastAsia" w:ascii="宋体" w:hAnsi="宋体" w:cs="宋体"/>
              </w:rPr>
              <w:t>%。</w:t>
            </w:r>
          </w:p>
          <w:p>
            <w:pPr>
              <w:numPr>
                <w:ilvl w:val="0"/>
                <w:numId w:val="12"/>
              </w:numPr>
              <w:tabs>
                <w:tab w:val="left" w:pos="531"/>
              </w:tabs>
              <w:snapToGrid w:val="0"/>
              <w:rPr>
                <w:rFonts w:ascii="宋体" w:hAnsi="宋体" w:cs="宋体"/>
              </w:rPr>
            </w:pPr>
            <w:r>
              <w:rPr>
                <w:rFonts w:hint="eastAsia" w:ascii="宋体" w:hAnsi="宋体" w:cs="宋体"/>
              </w:rPr>
              <w:t>招标人在办理合</w:t>
            </w:r>
            <w:r>
              <w:rPr>
                <w:rFonts w:hint="eastAsia" w:ascii="宋体" w:hAnsi="宋体" w:cs="宋体"/>
                <w:color w:val="auto"/>
              </w:rPr>
              <w:t>同款项时，中</w:t>
            </w:r>
            <w:r>
              <w:rPr>
                <w:rFonts w:hint="eastAsia" w:ascii="宋体" w:hAnsi="宋体" w:cs="宋体"/>
              </w:rPr>
              <w:t>标人须向招标人提供支付金额等值的真实有效的增值税发票。</w:t>
            </w:r>
          </w:p>
          <w:p>
            <w:pPr>
              <w:numPr>
                <w:ilvl w:val="0"/>
                <w:numId w:val="12"/>
              </w:numPr>
              <w:tabs>
                <w:tab w:val="left" w:pos="531"/>
              </w:tabs>
              <w:snapToGrid w:val="0"/>
              <w:ind w:left="0" w:firstLine="0"/>
              <w:rPr>
                <w:rFonts w:ascii="宋体" w:hAnsi="宋体" w:cs="宋体"/>
              </w:rPr>
            </w:pPr>
            <w:r>
              <w:rPr>
                <w:rFonts w:hint="eastAsia" w:ascii="宋体" w:hAnsi="宋体" w:cs="宋体"/>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3"/>
              <w:keepNext w:val="0"/>
              <w:adjustRightInd/>
              <w:spacing w:before="0" w:after="0" w:line="36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知识产权保护及保密要求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3"/>
              </w:numPr>
              <w:tabs>
                <w:tab w:val="left" w:pos="531"/>
              </w:tabs>
              <w:snapToGrid w:val="0"/>
              <w:spacing w:line="360" w:lineRule="auto"/>
              <w:rPr>
                <w:rFonts w:ascii="宋体" w:hAnsi="宋体" w:cs="宋体"/>
                <w:szCs w:val="21"/>
              </w:rPr>
            </w:pPr>
            <w:r>
              <w:rPr>
                <w:rFonts w:hint="eastAsia" w:ascii="宋体" w:hAnsi="宋体" w:cs="宋体"/>
                <w:szCs w:val="21"/>
              </w:rPr>
              <w:t>项目所有成果版权归招标人所有。</w:t>
            </w:r>
          </w:p>
          <w:p>
            <w:pPr>
              <w:numPr>
                <w:ilvl w:val="0"/>
                <w:numId w:val="13"/>
              </w:numPr>
              <w:tabs>
                <w:tab w:val="left" w:pos="531"/>
              </w:tabs>
              <w:snapToGrid w:val="0"/>
              <w:spacing w:line="360" w:lineRule="auto"/>
              <w:rPr>
                <w:rFonts w:ascii="宋体" w:hAnsi="宋体" w:cs="宋体"/>
                <w:szCs w:val="21"/>
              </w:rPr>
            </w:pPr>
            <w:r>
              <w:rPr>
                <w:rFonts w:hint="eastAsia" w:ascii="宋体" w:hAnsi="宋体" w:cs="宋体"/>
                <w:szCs w:val="21"/>
              </w:rPr>
              <w:t>投标人必须对编制内容拥有原创知识产权，不得有模仿、抄袭等侵权行为。招标人在使用项目成果的任何一部分时，免受第三方提出的涉及侵犯其知识产权的起诉；由此所带来的任何法律和经济赔偿责任全部由投标人承担，与招标人无关。</w:t>
            </w:r>
          </w:p>
          <w:p>
            <w:pPr>
              <w:numPr>
                <w:ilvl w:val="0"/>
                <w:numId w:val="13"/>
              </w:numPr>
              <w:tabs>
                <w:tab w:val="left" w:pos="531"/>
              </w:tabs>
              <w:snapToGrid w:val="0"/>
              <w:spacing w:line="360" w:lineRule="auto"/>
              <w:rPr>
                <w:rFonts w:ascii="宋体" w:hAnsi="宋体" w:cs="宋体"/>
                <w:szCs w:val="21"/>
              </w:rPr>
            </w:pPr>
            <w:r>
              <w:rPr>
                <w:rFonts w:hint="eastAsia" w:ascii="宋体" w:hAnsi="宋体" w:cs="宋体"/>
                <w:szCs w:val="21"/>
              </w:rPr>
              <w:t>招标人及中标人双方都有责任对对方提供的技术情报、资料数据及商业秘密保密。未经对方同意，任何一方不得以任何形式向第三方泄露本项目资料或在项目中接触到的资料，不得将其用于履行本合同之外的其他用途。中标人违反本条约定，给招标人造成损失的，应当赔偿造成的全部损失。本条约定的保密义务不因本合同的变更、解除、终止而受影响。</w:t>
            </w:r>
          </w:p>
        </w:tc>
        <w:tc>
          <w:tcPr>
            <w:tcW w:w="784" w:type="dxa"/>
            <w:tcBorders>
              <w:top w:val="single" w:color="auto" w:sz="4" w:space="0"/>
              <w:left w:val="single" w:color="auto" w:sz="4" w:space="0"/>
              <w:bottom w:val="single" w:color="auto" w:sz="4" w:space="0"/>
              <w:right w:val="single" w:color="auto" w:sz="4" w:space="0"/>
            </w:tcBorders>
          </w:tcPr>
          <w:p>
            <w:pPr>
              <w:spacing w:before="156" w:beforeLines="50" w:after="156" w:afterLines="50" w:line="360" w:lineRule="auto"/>
              <w:jc w:val="center"/>
              <w:rPr>
                <w:rFonts w:ascii="宋体" w:hAnsi="宋体"/>
                <w:sz w:val="24"/>
              </w:rPr>
            </w:pPr>
            <w:r>
              <w:rPr>
                <w:rFonts w:hint="eastAsia" w:ascii="宋体" w:hAnsi="宋体"/>
                <w:sz w:val="24"/>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3"/>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项目实施</w:t>
            </w:r>
          </w:p>
          <w:p>
            <w:pPr>
              <w:jc w:val="center"/>
              <w:rPr>
                <w:rFonts w:ascii="宋体" w:hAnsi="宋体" w:cs="宋体"/>
                <w:szCs w:val="21"/>
              </w:rPr>
            </w:pPr>
            <w:r>
              <w:rPr>
                <w:rFonts w:hint="eastAsia" w:ascii="宋体" w:hAnsi="宋体" w:cs="宋体"/>
                <w:szCs w:val="21"/>
              </w:rPr>
              <w:t>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4"/>
              </w:numPr>
              <w:tabs>
                <w:tab w:val="left" w:pos="531"/>
              </w:tabs>
              <w:snapToGrid w:val="0"/>
            </w:pPr>
            <w:r>
              <w:rPr>
                <w:rFonts w:hint="eastAsia"/>
              </w:rPr>
              <w:t>项目实施时间为合同签订日至2</w:t>
            </w:r>
            <w:r>
              <w:t>022</w:t>
            </w:r>
            <w:r>
              <w:rPr>
                <w:rFonts w:hint="eastAsia"/>
              </w:rPr>
              <w:t>年9月3</w:t>
            </w:r>
            <w:r>
              <w:t>0</w:t>
            </w:r>
            <w:r>
              <w:rPr>
                <w:rFonts w:hint="eastAsia"/>
              </w:rPr>
              <w:t>日。如因不可抗力因素（如疫情导致停工等）导致项目推迟验收，则项目实施时间自动顺延至完成验收。</w:t>
            </w:r>
          </w:p>
          <w:p>
            <w:pPr>
              <w:pStyle w:val="20"/>
              <w:numPr>
                <w:ilvl w:val="0"/>
                <w:numId w:val="14"/>
              </w:numPr>
              <w:tabs>
                <w:tab w:val="left" w:pos="531"/>
              </w:tabs>
              <w:snapToGrid w:val="0"/>
              <w:ind w:firstLineChars="0"/>
              <w:rPr>
                <w:rFonts w:ascii="宋体" w:hAnsi="宋体" w:eastAsia="宋体"/>
                <w:color w:val="auto"/>
              </w:rPr>
            </w:pPr>
            <w:r>
              <w:rPr>
                <w:rFonts w:hint="eastAsia" w:ascii="宋体" w:hAnsi="宋体" w:eastAsia="宋体"/>
                <w:color w:val="auto"/>
              </w:rPr>
              <w:t>项目时间初步安排如下：</w:t>
            </w:r>
          </w:p>
          <w:p>
            <w:pPr>
              <w:pStyle w:val="20"/>
              <w:tabs>
                <w:tab w:val="left" w:pos="531"/>
              </w:tabs>
              <w:snapToGrid w:val="0"/>
              <w:ind w:left="420" w:firstLine="0" w:firstLineChars="0"/>
              <w:rPr>
                <w:rFonts w:ascii="宋体" w:hAnsi="宋体" w:eastAsia="宋体"/>
                <w:color w:val="auto"/>
              </w:rPr>
            </w:pPr>
            <w:r>
              <w:rPr>
                <w:rFonts w:hint="eastAsia" w:ascii="宋体" w:hAnsi="宋体" w:eastAsia="宋体"/>
                <w:color w:val="auto"/>
              </w:rPr>
              <w:t>中标一周内，</w:t>
            </w:r>
            <w:r>
              <w:rPr>
                <w:rFonts w:hint="eastAsia" w:ascii="宋体" w:hAnsi="宋体" w:eastAsia="宋体" w:cs="Times New Roman"/>
                <w:color w:val="auto"/>
                <w:szCs w:val="21"/>
              </w:rPr>
              <w:t>向招标人提供详细的项目</w:t>
            </w:r>
            <w:r>
              <w:rPr>
                <w:rFonts w:hint="eastAsia" w:ascii="宋体" w:hAnsi="宋体" w:eastAsia="宋体"/>
                <w:color w:val="auto"/>
                <w:szCs w:val="21"/>
              </w:rPr>
              <w:t>日程安排表，</w:t>
            </w:r>
            <w:r>
              <w:rPr>
                <w:rFonts w:hint="eastAsia" w:ascii="宋体" w:hAnsi="宋体" w:eastAsia="宋体"/>
                <w:color w:val="auto"/>
              </w:rPr>
              <w:t>完成展会资料收集整理</w:t>
            </w:r>
            <w:r>
              <w:rPr>
                <w:rFonts w:hint="eastAsia" w:ascii="宋体" w:hAnsi="宋体" w:eastAsia="宋体"/>
                <w:color w:val="auto"/>
                <w:szCs w:val="21"/>
              </w:rPr>
              <w:t>；</w:t>
            </w:r>
            <w:r>
              <w:rPr>
                <w:rFonts w:hint="eastAsia" w:ascii="宋体" w:hAnsi="宋体" w:eastAsia="宋体"/>
                <w:color w:val="auto"/>
              </w:rPr>
              <w:t>（以招标人确认为准）</w:t>
            </w:r>
          </w:p>
          <w:p>
            <w:pPr>
              <w:pStyle w:val="20"/>
              <w:tabs>
                <w:tab w:val="left" w:pos="531"/>
              </w:tabs>
              <w:snapToGrid w:val="0"/>
              <w:ind w:left="420" w:firstLine="0" w:firstLineChars="0"/>
              <w:rPr>
                <w:rFonts w:ascii="宋体" w:hAnsi="宋体" w:eastAsia="宋体"/>
              </w:rPr>
            </w:pPr>
            <w:r>
              <w:rPr>
                <w:rFonts w:hint="eastAsia" w:ascii="宋体" w:hAnsi="宋体" w:eastAsia="宋体"/>
              </w:rPr>
              <w:t>2022年9月1日前，根据调研分析，完成报告初稿；（以招标人确认为准）</w:t>
            </w:r>
          </w:p>
          <w:p>
            <w:pPr>
              <w:pStyle w:val="20"/>
              <w:tabs>
                <w:tab w:val="left" w:pos="531"/>
              </w:tabs>
              <w:snapToGrid w:val="0"/>
              <w:ind w:left="420" w:firstLine="0" w:firstLineChars="0"/>
              <w:rPr>
                <w:rFonts w:ascii="宋体" w:hAnsi="宋体" w:eastAsia="宋体"/>
              </w:rPr>
            </w:pPr>
            <w:r>
              <w:rPr>
                <w:rFonts w:hint="eastAsia" w:ascii="宋体" w:hAnsi="宋体" w:eastAsia="宋体"/>
              </w:rPr>
              <w:t>2022年9月30日前，完成最终报审稿并通过招标人验收。（以招标人验收确认为准）</w:t>
            </w:r>
          </w:p>
          <w:p>
            <w:pPr>
              <w:pStyle w:val="20"/>
              <w:numPr>
                <w:ilvl w:val="0"/>
                <w:numId w:val="14"/>
              </w:numPr>
              <w:tabs>
                <w:tab w:val="left" w:pos="531"/>
              </w:tabs>
              <w:snapToGrid w:val="0"/>
              <w:ind w:firstLineChars="0"/>
              <w:rPr>
                <w:rFonts w:ascii="宋体" w:hAnsi="宋体" w:eastAsia="宋体"/>
              </w:rPr>
            </w:pPr>
            <w:r>
              <w:rPr>
                <w:rFonts w:hint="eastAsia" w:ascii="宋体" w:hAnsi="宋体" w:eastAsia="宋体"/>
              </w:rPr>
              <w:t>按照项目日程安排表的约定，投标人需按时提交需经招标人确认的文件。招标人有权检查和监督工作流程及进展。</w:t>
            </w:r>
          </w:p>
          <w:p>
            <w:pPr>
              <w:numPr>
                <w:ilvl w:val="0"/>
                <w:numId w:val="14"/>
              </w:numPr>
              <w:tabs>
                <w:tab w:val="left" w:pos="531"/>
              </w:tabs>
              <w:snapToGrid w:val="0"/>
              <w:rPr>
                <w:rFonts w:ascii="宋体" w:hAnsi="宋体"/>
                <w:szCs w:val="21"/>
              </w:rPr>
            </w:pPr>
            <w:r>
              <w:rPr>
                <w:rFonts w:hint="eastAsia" w:ascii="宋体" w:hAnsi="宋体"/>
                <w:szCs w:val="21"/>
              </w:rPr>
              <w:t>调研方式须采用多元化手段。</w:t>
            </w:r>
          </w:p>
          <w:p>
            <w:pPr>
              <w:pStyle w:val="20"/>
              <w:numPr>
                <w:ilvl w:val="0"/>
                <w:numId w:val="14"/>
              </w:numPr>
              <w:tabs>
                <w:tab w:val="left" w:pos="531"/>
              </w:tabs>
              <w:snapToGrid w:val="0"/>
              <w:ind w:firstLineChars="0"/>
              <w:rPr>
                <w:rFonts w:ascii="宋体" w:hAnsi="宋体" w:eastAsia="宋体"/>
              </w:rPr>
            </w:pPr>
            <w:r>
              <w:rPr>
                <w:rFonts w:hint="eastAsia" w:ascii="宋体" w:eastAsia="宋体"/>
                <w:szCs w:val="21"/>
              </w:rPr>
              <w:t>招标人在报告最终版本确认前，可以对报告提出修正意见直至完全符合招标人要求。</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3"/>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项目内容</w:t>
            </w:r>
          </w:p>
        </w:tc>
        <w:tc>
          <w:tcPr>
            <w:tcW w:w="7438"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hAnsi="宋体" w:cs="仿宋_GB2312"/>
                <w:szCs w:val="22"/>
              </w:rPr>
            </w:pPr>
            <w:r>
              <w:rPr>
                <w:rFonts w:hint="eastAsia" w:ascii="宋体" w:hAnsi="宋体" w:cs="仿宋_GB2312"/>
                <w:szCs w:val="22"/>
              </w:rPr>
              <w:t>项目交付成果为《高交会子展发展成自办展可行性研究》报告电子版，正文为word版本，如需向招标人做专项汇报时，投标人则需制作专项汇报P</w:t>
            </w:r>
            <w:r>
              <w:rPr>
                <w:rFonts w:ascii="宋体" w:hAnsi="宋体" w:cs="仿宋_GB2312"/>
                <w:szCs w:val="22"/>
              </w:rPr>
              <w:t>PT</w:t>
            </w:r>
            <w:r>
              <w:rPr>
                <w:rFonts w:hint="eastAsia" w:ascii="宋体" w:hAnsi="宋体" w:cs="仿宋_GB2312"/>
                <w:szCs w:val="22"/>
              </w:rPr>
              <w:t>。</w:t>
            </w:r>
          </w:p>
          <w:p>
            <w:pPr>
              <w:spacing w:line="240" w:lineRule="atLeast"/>
              <w:jc w:val="left"/>
              <w:rPr>
                <w:rFonts w:ascii="宋体" w:hAnsi="宋体" w:cs="仿宋_GB2312"/>
                <w:szCs w:val="22"/>
              </w:rPr>
            </w:pPr>
            <w:r>
              <w:rPr>
                <w:rFonts w:hint="eastAsia" w:ascii="宋体" w:hAnsi="宋体" w:cs="仿宋_GB2312"/>
                <w:szCs w:val="22"/>
              </w:rPr>
              <w:t>研究报告须包含但不仅限于以下内容：</w:t>
            </w:r>
          </w:p>
          <w:p>
            <w:pPr>
              <w:spacing w:line="240" w:lineRule="atLeast"/>
              <w:jc w:val="left"/>
              <w:rPr>
                <w:rFonts w:ascii="宋体" w:hAnsi="宋体" w:cs="仿宋_GB2312"/>
                <w:szCs w:val="22"/>
              </w:rPr>
            </w:pPr>
            <w:r>
              <w:rPr>
                <w:rFonts w:hint="eastAsia" w:ascii="宋体" w:hAnsi="宋体" w:cs="仿宋_GB2312"/>
                <w:szCs w:val="22"/>
              </w:rPr>
              <w:t>（1）项目背景。</w:t>
            </w:r>
          </w:p>
          <w:p>
            <w:pPr>
              <w:spacing w:line="240" w:lineRule="atLeast"/>
              <w:jc w:val="left"/>
              <w:rPr>
                <w:rFonts w:ascii="宋体" w:hAnsi="宋体" w:cs="仿宋_GB2312"/>
                <w:szCs w:val="22"/>
              </w:rPr>
            </w:pPr>
            <w:r>
              <w:rPr>
                <w:rFonts w:hint="eastAsia" w:ascii="宋体" w:hAnsi="宋体" w:cs="仿宋_GB2312"/>
                <w:szCs w:val="22"/>
              </w:rPr>
              <w:t>（2）高交会专业展现状。</w:t>
            </w:r>
          </w:p>
          <w:p>
            <w:pPr>
              <w:spacing w:line="240" w:lineRule="atLeast"/>
              <w:jc w:val="left"/>
              <w:rPr>
                <w:rFonts w:ascii="宋体" w:hAnsi="宋体" w:cs="仿宋_GB2312"/>
                <w:szCs w:val="22"/>
              </w:rPr>
            </w:pPr>
            <w:r>
              <w:rPr>
                <w:rFonts w:hint="eastAsia" w:ascii="宋体" w:hAnsi="宋体" w:cs="仿宋_GB2312"/>
                <w:szCs w:val="22"/>
              </w:rPr>
              <w:t>（3）高交会专业展独立成展的可行性分析。（包括政策分析、产业分析、行业分析、竞争格局分析、市场现状、必要性分析、可行性分析、必要的访谈等）</w:t>
            </w:r>
          </w:p>
          <w:p>
            <w:pPr>
              <w:spacing w:line="240" w:lineRule="atLeast"/>
              <w:jc w:val="left"/>
              <w:rPr>
                <w:rFonts w:ascii="宋体" w:hAnsi="宋体" w:cs="仿宋_GB2312"/>
                <w:szCs w:val="22"/>
              </w:rPr>
            </w:pPr>
            <w:r>
              <w:rPr>
                <w:rFonts w:hint="eastAsia" w:ascii="宋体" w:hAnsi="宋体" w:cs="仿宋_GB2312"/>
                <w:szCs w:val="22"/>
              </w:rPr>
              <w:t>（4）高交会专业展独立成展的必要条件。</w:t>
            </w:r>
          </w:p>
          <w:p>
            <w:pPr>
              <w:spacing w:line="240" w:lineRule="atLeast"/>
              <w:jc w:val="left"/>
              <w:rPr>
                <w:rFonts w:ascii="宋体" w:hAnsi="宋体" w:cs="仿宋_GB2312"/>
                <w:szCs w:val="22"/>
              </w:rPr>
            </w:pPr>
            <w:r>
              <w:rPr>
                <w:rFonts w:hint="eastAsia" w:ascii="宋体" w:hAnsi="宋体" w:cs="仿宋_GB2312"/>
                <w:szCs w:val="22"/>
              </w:rPr>
              <w:t>（5）发展专业子展的路径分析。</w:t>
            </w:r>
          </w:p>
          <w:p>
            <w:pPr>
              <w:tabs>
                <w:tab w:val="left" w:pos="531"/>
              </w:tabs>
              <w:snapToGrid w:val="0"/>
            </w:pPr>
            <w:r>
              <w:rPr>
                <w:rFonts w:hint="eastAsia" w:ascii="宋体" w:hAnsi="宋体" w:cs="仿宋_GB2312"/>
                <w:szCs w:val="22"/>
              </w:rPr>
              <w:t>（6）招标人要求研究的其他相关内容。</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3"/>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人员要求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
              <w:rPr>
                <w:rFonts w:ascii="宋体" w:eastAsia="宋体"/>
                <w:szCs w:val="21"/>
              </w:rPr>
            </w:pPr>
            <w:r>
              <w:rPr>
                <w:rFonts w:hint="eastAsia" w:ascii="宋体" w:eastAsia="宋体"/>
                <w:szCs w:val="21"/>
              </w:rPr>
              <w:t>投标人须指定项目负责人，并提供该负责人姓名、电话、职务及身份证复印件（加盖公章，原件备查）等信息，负责联络协调及跟进该项目具体实施。项目负责人及拟投入本项目人员一经确定，不得随意更换，除非招标人提出更换。如中标人确需更换，需取得招标人同意。</w:t>
            </w:r>
            <w:r>
              <w:rPr>
                <w:rFonts w:ascii="宋体" w:eastAsia="宋体"/>
                <w:szCs w:val="21"/>
              </w:rPr>
              <w:t>请提供拟派人员清单（</w:t>
            </w:r>
            <w:r>
              <w:rPr>
                <w:rFonts w:hint="eastAsia" w:ascii="宋体" w:eastAsia="宋体"/>
                <w:szCs w:val="21"/>
              </w:rPr>
              <w:t>清单内容包括但不限于</w:t>
            </w:r>
            <w:r>
              <w:rPr>
                <w:rFonts w:ascii="宋体" w:eastAsia="宋体"/>
                <w:szCs w:val="21"/>
              </w:rPr>
              <w:t>姓名，学历，证书，职称等级）</w:t>
            </w:r>
            <w:r>
              <w:rPr>
                <w:rFonts w:hint="eastAsia" w:ascii="宋体" w:eastAsia="宋体"/>
                <w:szCs w:val="21"/>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3"/>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验收要求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5"/>
              </w:numPr>
              <w:tabs>
                <w:tab w:val="left" w:pos="531"/>
              </w:tabs>
              <w:snapToGrid w:val="0"/>
              <w:rPr>
                <w:rFonts w:ascii="宋体" w:hAnsi="宋体"/>
                <w:szCs w:val="22"/>
              </w:rPr>
            </w:pPr>
            <w:r>
              <w:rPr>
                <w:rFonts w:hint="eastAsia" w:ascii="宋体" w:hAnsi="宋体"/>
                <w:szCs w:val="22"/>
              </w:rPr>
              <w:t>中标人应依据合同要求在本合同规定的时限内完成报告，按时提交项目报告，并及时通知招标人进行成果验收。中标人提交的项目报告应符合以下标准：</w:t>
            </w:r>
          </w:p>
          <w:p>
            <w:pPr>
              <w:tabs>
                <w:tab w:val="left" w:pos="531"/>
              </w:tabs>
              <w:snapToGrid w:val="0"/>
              <w:ind w:left="420"/>
              <w:rPr>
                <w:rFonts w:ascii="宋体" w:hAnsi="宋体"/>
                <w:szCs w:val="22"/>
              </w:rPr>
            </w:pPr>
            <w:r>
              <w:rPr>
                <w:rFonts w:hint="eastAsia" w:ascii="宋体" w:hAnsi="宋体"/>
                <w:szCs w:val="22"/>
              </w:rPr>
              <w:t>a)</w:t>
            </w:r>
            <w:r>
              <w:rPr>
                <w:rFonts w:hint="eastAsia" w:ascii="宋体" w:hAnsi="宋体"/>
                <w:szCs w:val="22"/>
              </w:rPr>
              <w:tab/>
            </w:r>
            <w:r>
              <w:rPr>
                <w:rFonts w:hint="eastAsia" w:ascii="宋体" w:hAnsi="宋体"/>
                <w:szCs w:val="22"/>
              </w:rPr>
              <w:t>内容详实，信息数据可靠，报告应确保所作意见清晰，分析详细、充分。</w:t>
            </w:r>
          </w:p>
          <w:p>
            <w:pPr>
              <w:tabs>
                <w:tab w:val="left" w:pos="531"/>
              </w:tabs>
              <w:snapToGrid w:val="0"/>
              <w:ind w:left="420"/>
              <w:rPr>
                <w:rFonts w:ascii="宋体" w:hAnsi="宋体"/>
                <w:szCs w:val="22"/>
              </w:rPr>
            </w:pPr>
            <w:r>
              <w:rPr>
                <w:rFonts w:hint="eastAsia" w:ascii="宋体" w:hAnsi="宋体"/>
                <w:szCs w:val="22"/>
              </w:rPr>
              <w:t>b)</w:t>
            </w:r>
            <w:r>
              <w:rPr>
                <w:rFonts w:hint="eastAsia" w:ascii="宋体" w:hAnsi="宋体"/>
                <w:szCs w:val="22"/>
              </w:rPr>
              <w:tab/>
            </w:r>
            <w:r>
              <w:rPr>
                <w:rFonts w:hint="eastAsia" w:ascii="宋体" w:hAnsi="宋体"/>
                <w:szCs w:val="22"/>
              </w:rPr>
              <w:t>符合双方签署的协议内容的要求及双方确定的细节内容。</w:t>
            </w:r>
          </w:p>
          <w:p>
            <w:pPr>
              <w:tabs>
                <w:tab w:val="left" w:pos="531"/>
              </w:tabs>
              <w:snapToGrid w:val="0"/>
              <w:ind w:left="420"/>
              <w:rPr>
                <w:rFonts w:ascii="宋体" w:hAnsi="宋体"/>
                <w:szCs w:val="22"/>
              </w:rPr>
            </w:pPr>
            <w:r>
              <w:rPr>
                <w:rFonts w:hint="eastAsia" w:ascii="宋体" w:hAnsi="宋体"/>
                <w:szCs w:val="22"/>
              </w:rPr>
              <w:t>c)</w:t>
            </w:r>
            <w:r>
              <w:rPr>
                <w:rFonts w:hint="eastAsia" w:ascii="宋体" w:hAnsi="宋体"/>
                <w:szCs w:val="22"/>
              </w:rPr>
              <w:tab/>
            </w:r>
            <w:r>
              <w:rPr>
                <w:rFonts w:hint="eastAsia" w:ascii="宋体" w:hAnsi="宋体"/>
                <w:szCs w:val="22"/>
              </w:rPr>
              <w:t>中标人提交的项目报告不应侵犯任何第三方的知识产权。</w:t>
            </w:r>
          </w:p>
          <w:p>
            <w:pPr>
              <w:numPr>
                <w:ilvl w:val="0"/>
                <w:numId w:val="15"/>
              </w:numPr>
              <w:tabs>
                <w:tab w:val="left" w:pos="531"/>
              </w:tabs>
              <w:snapToGrid w:val="0"/>
              <w:rPr>
                <w:rFonts w:ascii="宋体"/>
              </w:rPr>
            </w:pPr>
            <w:r>
              <w:rPr>
                <w:rFonts w:hint="eastAsia" w:ascii="宋体"/>
              </w:rPr>
              <w:t>中标人以电子版提交研究分析报告，除了最终的研究分析报告，项目过程中的参考资料汇编、访谈记录、汇报P</w:t>
            </w:r>
            <w:r>
              <w:rPr>
                <w:rFonts w:ascii="宋体"/>
              </w:rPr>
              <w:t>PT</w:t>
            </w:r>
            <w:r>
              <w:rPr>
                <w:rFonts w:hint="eastAsia" w:ascii="宋体"/>
              </w:rPr>
              <w:t>等，也应一并提交。</w:t>
            </w:r>
          </w:p>
          <w:p>
            <w:pPr>
              <w:numPr>
                <w:ilvl w:val="255"/>
                <w:numId w:val="0"/>
              </w:numPr>
              <w:tabs>
                <w:tab w:val="left" w:pos="531"/>
              </w:tabs>
              <w:snapToGrid w:val="0"/>
              <w:rPr>
                <w:rFonts w:ascii="宋体"/>
              </w:rPr>
            </w:pP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3"/>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售后服务</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rPr>
                <w:rFonts w:ascii="宋体" w:hAnsi="宋体"/>
              </w:rPr>
            </w:pPr>
            <w:r>
              <w:rPr>
                <w:rFonts w:hint="eastAsia" w:ascii="宋体" w:hAnsi="宋体"/>
                <w:szCs w:val="22"/>
              </w:rPr>
              <w:t>中标人须免费提供后期的数据分析、技术支持、项目说明以及与本项目内容有关的策略咨询。</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3"/>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服务承诺</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6"/>
              </w:numPr>
              <w:tabs>
                <w:tab w:val="left" w:pos="531"/>
              </w:tabs>
              <w:snapToGrid w:val="0"/>
              <w:rPr>
                <w:rFonts w:ascii="宋体" w:hAnsi="宋体"/>
              </w:rPr>
            </w:pPr>
            <w:r>
              <w:rPr>
                <w:rFonts w:hint="eastAsia" w:ascii="宋体" w:hAnsi="宋体"/>
                <w:szCs w:val="22"/>
              </w:rPr>
              <w:t>中标人若因自己或第三者的原因致使调查未能按时完成，则每延迟一天中标人应向招标人支付合同金额百分之一的违约金。</w:t>
            </w:r>
          </w:p>
          <w:p>
            <w:pPr>
              <w:numPr>
                <w:ilvl w:val="0"/>
                <w:numId w:val="16"/>
              </w:numPr>
              <w:tabs>
                <w:tab w:val="left" w:pos="531"/>
              </w:tabs>
              <w:snapToGrid w:val="0"/>
              <w:rPr>
                <w:rFonts w:ascii="宋体" w:hAnsi="宋体"/>
              </w:rPr>
            </w:pPr>
            <w:r>
              <w:rPr>
                <w:rFonts w:hint="eastAsia" w:ascii="宋体" w:hAnsi="宋体"/>
                <w:szCs w:val="22"/>
              </w:rPr>
              <w:t>若基于不可抗拒的原因（如因疫情停工、上级单位无暇审核等）致使项目延期，则合同有效期自动延续至成果验收完成。</w:t>
            </w:r>
          </w:p>
          <w:p>
            <w:pPr>
              <w:pStyle w:val="20"/>
              <w:widowControl/>
              <w:numPr>
                <w:ilvl w:val="0"/>
                <w:numId w:val="16"/>
              </w:numPr>
              <w:tabs>
                <w:tab w:val="left" w:pos="533"/>
              </w:tabs>
              <w:snapToGrid w:val="0"/>
              <w:ind w:firstLineChars="0"/>
              <w:jc w:val="left"/>
              <w:rPr>
                <w:rFonts w:ascii="宋体" w:hAnsi="宋体"/>
              </w:rPr>
            </w:pPr>
            <w:r>
              <w:rPr>
                <w:rFonts w:hint="eastAsia" w:ascii="宋体" w:hAnsi="宋体" w:eastAsia="宋体" w:cs="Times New Roman"/>
                <w:szCs w:val="21"/>
              </w:rPr>
              <w:t>中标人若未使用事先约定的方法执行项目，则视为违约，中标人按合同中金额的50%进行赔偿；如违反保密协议，则以本项目合同金额进行赔偿，若因此给招标人造成经济、名誉等损害，保留进一步追究的权利。</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szCs w:val="21"/>
              </w:rPr>
              <w:t>不可偏离</w:t>
            </w:r>
          </w:p>
        </w:tc>
      </w:tr>
    </w:tbl>
    <w:p>
      <w:pPr>
        <w:numPr>
          <w:ilvl w:val="0"/>
          <w:numId w:val="1"/>
        </w:numPr>
        <w:spacing w:before="312" w:beforeLines="100" w:line="480" w:lineRule="auto"/>
        <w:outlineLvl w:val="1"/>
        <w:rPr>
          <w:rFonts w:ascii="宋体" w:hAnsi="宋体" w:eastAsia="仿宋_GB2312"/>
          <w:b/>
          <w:szCs w:val="21"/>
        </w:rPr>
      </w:pPr>
      <w:bookmarkStart w:id="37" w:name="_Toc82685552"/>
      <w:bookmarkEnd w:id="37"/>
      <w:bookmarkStart w:id="38" w:name="_Toc82591996"/>
      <w:bookmarkEnd w:id="38"/>
      <w:bookmarkStart w:id="39" w:name="_Toc82684715"/>
      <w:bookmarkEnd w:id="39"/>
      <w:bookmarkStart w:id="40" w:name="_Toc82684600"/>
      <w:bookmarkEnd w:id="40"/>
      <w:bookmarkStart w:id="41" w:name="_Toc18538"/>
      <w:r>
        <w:rPr>
          <w:rFonts w:hint="eastAsia" w:ascii="宋体" w:hAnsi="宋体"/>
          <w:b/>
          <w:szCs w:val="21"/>
        </w:rPr>
        <w:t>其他项目说明资料</w:t>
      </w:r>
      <w:bookmarkEnd w:id="41"/>
    </w:p>
    <w:p>
      <w:pPr>
        <w:pStyle w:val="2"/>
        <w:rPr>
          <w:rFonts w:ascii="宋体"/>
          <w:b/>
          <w:szCs w:val="21"/>
        </w:rPr>
      </w:pPr>
    </w:p>
    <w:p>
      <w:pPr>
        <w:pStyle w:val="2"/>
        <w:rPr>
          <w:rFonts w:ascii="宋体"/>
          <w:b/>
          <w:szCs w:val="21"/>
        </w:rPr>
      </w:pPr>
    </w:p>
    <w:p>
      <w:pPr>
        <w:spacing w:line="400" w:lineRule="exact"/>
        <w:jc w:val="center"/>
        <w:outlineLvl w:val="0"/>
        <w:rPr>
          <w:color w:val="FF0000"/>
        </w:rPr>
      </w:pPr>
      <w:bookmarkStart w:id="42" w:name="_Toc22084"/>
      <w:r>
        <w:rPr>
          <w:rFonts w:hint="eastAsia"/>
        </w:rPr>
        <w:t>无</w:t>
      </w:r>
    </w:p>
    <w:p>
      <w:pPr>
        <w:pStyle w:val="2"/>
        <w:rPr>
          <w:color w:val="FF0000"/>
        </w:rPr>
      </w:pPr>
    </w:p>
    <w:p>
      <w:pPr>
        <w:pStyle w:val="2"/>
        <w:rPr>
          <w:color w:val="FF0000"/>
        </w:rPr>
      </w:pPr>
    </w:p>
    <w:p>
      <w:pPr>
        <w:spacing w:line="400" w:lineRule="exact"/>
        <w:outlineLvl w:val="0"/>
        <w:rPr>
          <w:rFonts w:ascii="宋体" w:hAnsi="宋体"/>
          <w:b/>
          <w:sz w:val="32"/>
          <w:szCs w:val="32"/>
        </w:rPr>
      </w:pPr>
    </w:p>
    <w:p>
      <w:pPr>
        <w:spacing w:line="400" w:lineRule="exact"/>
        <w:jc w:val="center"/>
        <w:outlineLvl w:val="0"/>
        <w:rPr>
          <w:rFonts w:ascii="宋体" w:hAnsi="宋体"/>
          <w:b/>
          <w:sz w:val="32"/>
          <w:szCs w:val="32"/>
        </w:rPr>
      </w:pPr>
    </w:p>
    <w:p>
      <w:pPr>
        <w:spacing w:line="400" w:lineRule="exact"/>
        <w:jc w:val="center"/>
        <w:outlineLvl w:val="0"/>
        <w:rPr>
          <w:rFonts w:ascii="宋体" w:hAnsi="宋体"/>
          <w:b/>
          <w:sz w:val="32"/>
          <w:szCs w:val="32"/>
        </w:rPr>
      </w:pPr>
    </w:p>
    <w:p>
      <w:pPr>
        <w:spacing w:line="400" w:lineRule="exact"/>
        <w:jc w:val="center"/>
        <w:outlineLvl w:val="0"/>
        <w:rPr>
          <w:rFonts w:ascii="宋体" w:hAnsi="宋体"/>
          <w:b/>
          <w:sz w:val="32"/>
          <w:szCs w:val="32"/>
        </w:rPr>
      </w:pPr>
    </w:p>
    <w:p>
      <w:pPr>
        <w:spacing w:line="400" w:lineRule="exact"/>
        <w:jc w:val="center"/>
        <w:outlineLvl w:val="0"/>
        <w:rPr>
          <w:rFonts w:ascii="宋体" w:hAnsi="宋体"/>
          <w:b/>
          <w:sz w:val="32"/>
          <w:szCs w:val="32"/>
        </w:rPr>
      </w:pPr>
    </w:p>
    <w:p>
      <w:pPr>
        <w:spacing w:line="400" w:lineRule="exact"/>
        <w:jc w:val="center"/>
        <w:outlineLvl w:val="0"/>
        <w:rPr>
          <w:rFonts w:ascii="宋体" w:hAnsi="宋体"/>
          <w:b/>
          <w:sz w:val="32"/>
          <w:szCs w:val="32"/>
        </w:rPr>
      </w:pPr>
    </w:p>
    <w:p>
      <w:pPr>
        <w:spacing w:line="400" w:lineRule="exact"/>
        <w:jc w:val="center"/>
        <w:outlineLvl w:val="0"/>
        <w:rPr>
          <w:rFonts w:ascii="宋体" w:hAnsi="宋体"/>
          <w:b/>
          <w:sz w:val="32"/>
          <w:szCs w:val="32"/>
        </w:rPr>
      </w:pPr>
    </w:p>
    <w:p>
      <w:pPr>
        <w:spacing w:line="400" w:lineRule="exact"/>
        <w:jc w:val="center"/>
        <w:outlineLvl w:val="0"/>
        <w:rPr>
          <w:rFonts w:ascii="宋体" w:hAnsi="宋体"/>
          <w:b/>
          <w:sz w:val="32"/>
          <w:szCs w:val="32"/>
        </w:rPr>
      </w:pPr>
    </w:p>
    <w:p>
      <w:pPr>
        <w:spacing w:line="400" w:lineRule="exact"/>
        <w:jc w:val="center"/>
        <w:outlineLvl w:val="0"/>
        <w:rPr>
          <w:rFonts w:ascii="宋体" w:hAnsi="宋体"/>
          <w:b/>
          <w:sz w:val="32"/>
          <w:szCs w:val="32"/>
        </w:rPr>
      </w:pPr>
    </w:p>
    <w:p>
      <w:pPr>
        <w:spacing w:line="400" w:lineRule="exact"/>
        <w:jc w:val="center"/>
        <w:outlineLvl w:val="0"/>
        <w:rPr>
          <w:rFonts w:ascii="宋体" w:hAnsi="宋体"/>
          <w:b/>
          <w:sz w:val="32"/>
          <w:szCs w:val="32"/>
        </w:rPr>
      </w:pPr>
    </w:p>
    <w:p>
      <w:pPr>
        <w:spacing w:line="400" w:lineRule="exact"/>
        <w:jc w:val="center"/>
        <w:outlineLvl w:val="0"/>
        <w:rPr>
          <w:rFonts w:ascii="宋体" w:hAnsi="宋体"/>
          <w:b/>
          <w:sz w:val="32"/>
          <w:szCs w:val="32"/>
        </w:rPr>
      </w:pPr>
      <w:r>
        <w:rPr>
          <w:rFonts w:hint="eastAsia" w:ascii="宋体" w:hAnsi="宋体"/>
          <w:b/>
          <w:sz w:val="32"/>
          <w:szCs w:val="32"/>
        </w:rPr>
        <w:t>第二部分：开标流程</w:t>
      </w:r>
      <w:bookmarkEnd w:id="42"/>
    </w:p>
    <w:p>
      <w:pPr>
        <w:numPr>
          <w:ilvl w:val="0"/>
          <w:numId w:val="1"/>
        </w:numPr>
        <w:spacing w:line="360" w:lineRule="auto"/>
        <w:outlineLvl w:val="1"/>
        <w:rPr>
          <w:rFonts w:ascii="宋体" w:hAnsi="宋体"/>
          <w:b/>
          <w:szCs w:val="21"/>
        </w:rPr>
      </w:pPr>
      <w:bookmarkStart w:id="43" w:name="_Toc31541"/>
      <w:r>
        <w:rPr>
          <w:rFonts w:hint="eastAsia" w:ascii="宋体" w:hAnsi="宋体"/>
          <w:b/>
          <w:szCs w:val="21"/>
        </w:rPr>
        <w:t>开标流程</w:t>
      </w:r>
      <w:bookmarkEnd w:id="43"/>
    </w:p>
    <w:p>
      <w:pPr>
        <w:pStyle w:val="20"/>
        <w:numPr>
          <w:ilvl w:val="0"/>
          <w:numId w:val="17"/>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投标人按要求准时进入视频会议室；</w:t>
      </w:r>
    </w:p>
    <w:p>
      <w:pPr>
        <w:pStyle w:val="20"/>
        <w:numPr>
          <w:ilvl w:val="0"/>
          <w:numId w:val="17"/>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投标人按时发送文件密码至招标联系人邮箱；</w:t>
      </w:r>
    </w:p>
    <w:p>
      <w:pPr>
        <w:pStyle w:val="20"/>
        <w:numPr>
          <w:ilvl w:val="0"/>
          <w:numId w:val="17"/>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宣布开标开始，宣读开标注意事项、流程；</w:t>
      </w:r>
    </w:p>
    <w:p>
      <w:pPr>
        <w:pStyle w:val="20"/>
        <w:numPr>
          <w:ilvl w:val="0"/>
          <w:numId w:val="17"/>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评标小组组长主持评标；</w:t>
      </w:r>
    </w:p>
    <w:p>
      <w:pPr>
        <w:pStyle w:val="20"/>
        <w:numPr>
          <w:ilvl w:val="0"/>
          <w:numId w:val="17"/>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招标人解密投标文件。</w:t>
      </w:r>
    </w:p>
    <w:p>
      <w:pPr>
        <w:pStyle w:val="20"/>
        <w:numPr>
          <w:ilvl w:val="0"/>
          <w:numId w:val="17"/>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现场公开唱标。</w:t>
      </w:r>
    </w:p>
    <w:p>
      <w:pPr>
        <w:pStyle w:val="20"/>
        <w:numPr>
          <w:ilvl w:val="0"/>
          <w:numId w:val="17"/>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投标文件及密码发送符合要求的投标人即可离开视频会议室；</w:t>
      </w:r>
    </w:p>
    <w:p>
      <w:pPr>
        <w:pStyle w:val="20"/>
        <w:numPr>
          <w:ilvl w:val="0"/>
          <w:numId w:val="17"/>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响应文件的完整性检验和投标人基本情况的符合性审查；</w:t>
      </w:r>
    </w:p>
    <w:p>
      <w:pPr>
        <w:pStyle w:val="20"/>
        <w:numPr>
          <w:ilvl w:val="0"/>
          <w:numId w:val="17"/>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商务及技术需求响应性评定；</w:t>
      </w:r>
    </w:p>
    <w:p>
      <w:pPr>
        <w:pStyle w:val="20"/>
        <w:numPr>
          <w:ilvl w:val="0"/>
          <w:numId w:val="17"/>
        </w:numPr>
        <w:tabs>
          <w:tab w:val="left" w:pos="720"/>
          <w:tab w:val="left" w:pos="851"/>
          <w:tab w:val="left" w:pos="993"/>
        </w:tabs>
        <w:spacing w:line="360" w:lineRule="auto"/>
        <w:ind w:left="720" w:firstLine="430" w:firstLineChars="205"/>
        <w:rPr>
          <w:rFonts w:ascii="宋体" w:hAnsi="宋体" w:eastAsia="宋体"/>
          <w:szCs w:val="21"/>
        </w:rPr>
      </w:pPr>
      <w:r>
        <w:rPr>
          <w:rFonts w:hint="eastAsia" w:ascii="宋体" w:hAnsi="宋体" w:eastAsia="宋体"/>
          <w:szCs w:val="21"/>
        </w:rPr>
        <w:t>评标小组成员采用有记名方式按综合评议指标评分；</w:t>
      </w:r>
    </w:p>
    <w:p>
      <w:pPr>
        <w:pStyle w:val="20"/>
        <w:numPr>
          <w:ilvl w:val="0"/>
          <w:numId w:val="17"/>
        </w:numPr>
        <w:tabs>
          <w:tab w:val="left" w:pos="720"/>
          <w:tab w:val="left" w:pos="851"/>
          <w:tab w:val="left" w:pos="993"/>
        </w:tabs>
        <w:spacing w:line="360" w:lineRule="auto"/>
        <w:ind w:left="720" w:firstLine="430" w:firstLineChars="205"/>
        <w:rPr>
          <w:rFonts w:ascii="宋体" w:hAnsi="宋体" w:eastAsia="宋体"/>
          <w:szCs w:val="21"/>
        </w:rPr>
      </w:pPr>
      <w:r>
        <w:rPr>
          <w:rFonts w:hint="eastAsia" w:ascii="宋体" w:hAnsi="宋体" w:eastAsia="宋体"/>
          <w:szCs w:val="21"/>
        </w:rPr>
        <w:t>综合评分的计算和排序；</w:t>
      </w:r>
    </w:p>
    <w:p>
      <w:pPr>
        <w:pStyle w:val="20"/>
        <w:numPr>
          <w:ilvl w:val="0"/>
          <w:numId w:val="17"/>
        </w:numPr>
        <w:tabs>
          <w:tab w:val="left" w:pos="720"/>
          <w:tab w:val="left" w:pos="851"/>
          <w:tab w:val="left" w:pos="993"/>
        </w:tabs>
        <w:spacing w:line="360" w:lineRule="auto"/>
        <w:ind w:left="720" w:firstLine="430" w:firstLineChars="205"/>
        <w:rPr>
          <w:rFonts w:ascii="宋体" w:hAnsi="宋体" w:eastAsia="宋体"/>
          <w:szCs w:val="21"/>
        </w:rPr>
      </w:pPr>
      <w:r>
        <w:rPr>
          <w:rFonts w:hint="eastAsia" w:ascii="宋体" w:hAnsi="宋体" w:eastAsia="宋体"/>
          <w:szCs w:val="21"/>
        </w:rPr>
        <w:t>本项目招标第一候选供应商、备选供应商的确定及报告的出具。</w:t>
      </w:r>
    </w:p>
    <w:p>
      <w:pPr>
        <w:spacing w:line="360" w:lineRule="auto"/>
        <w:jc w:val="center"/>
        <w:outlineLvl w:val="0"/>
        <w:rPr>
          <w:rFonts w:ascii="宋体" w:hAnsi="宋体"/>
          <w:b/>
          <w:sz w:val="32"/>
          <w:szCs w:val="32"/>
        </w:rPr>
      </w:pPr>
      <w:r>
        <w:rPr>
          <w:rFonts w:ascii="宋体" w:hAnsi="宋体"/>
          <w:b/>
          <w:sz w:val="28"/>
        </w:rPr>
        <w:br w:type="page"/>
      </w:r>
      <w:bookmarkStart w:id="44" w:name="_Toc21780"/>
      <w:r>
        <w:rPr>
          <w:rFonts w:hint="eastAsia" w:ascii="宋体" w:hAnsi="宋体"/>
          <w:b/>
          <w:sz w:val="32"/>
          <w:szCs w:val="32"/>
        </w:rPr>
        <w:t>第三部分：评审办法</w:t>
      </w:r>
      <w:bookmarkEnd w:id="44"/>
    </w:p>
    <w:p>
      <w:pPr>
        <w:numPr>
          <w:ilvl w:val="0"/>
          <w:numId w:val="1"/>
        </w:numPr>
        <w:spacing w:line="360" w:lineRule="auto"/>
        <w:outlineLvl w:val="1"/>
        <w:rPr>
          <w:rFonts w:ascii="宋体" w:hAnsi="宋体"/>
          <w:szCs w:val="21"/>
        </w:rPr>
      </w:pPr>
      <w:bookmarkStart w:id="45" w:name="_Toc4304"/>
      <w:r>
        <w:rPr>
          <w:rFonts w:hint="eastAsia" w:ascii="宋体" w:hAnsi="宋体"/>
          <w:b/>
          <w:bCs/>
          <w:szCs w:val="21"/>
        </w:rPr>
        <w:t>评审办法</w:t>
      </w:r>
      <w:bookmarkEnd w:id="45"/>
    </w:p>
    <w:p>
      <w:pPr>
        <w:spacing w:line="360" w:lineRule="auto"/>
        <w:ind w:firstLine="420" w:firstLineChars="200"/>
        <w:rPr>
          <w:rFonts w:ascii="宋体" w:hAnsi="宋体"/>
          <w:szCs w:val="21"/>
        </w:rPr>
      </w:pPr>
      <w:r>
        <w:rPr>
          <w:rFonts w:hint="eastAsia" w:ascii="宋体" w:hAnsi="宋体"/>
          <w:szCs w:val="21"/>
        </w:rPr>
        <w:t>首先对各投标人进行符合性审查。对通过符合性审查的投标人，采用</w:t>
      </w:r>
      <w:r>
        <w:rPr>
          <w:rFonts w:hint="eastAsia" w:ascii="宋体" w:hAnsi="宋体"/>
          <w:b/>
          <w:szCs w:val="21"/>
        </w:rPr>
        <w:t>100分制综合评分法</w:t>
      </w:r>
      <w:r>
        <w:rPr>
          <w:rFonts w:hint="eastAsia" w:ascii="宋体" w:hAnsi="宋体"/>
          <w:szCs w:val="21"/>
        </w:rPr>
        <w:t>进行评分。</w:t>
      </w:r>
    </w:p>
    <w:tbl>
      <w:tblPr>
        <w:tblStyle w:val="13"/>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8"/>
        <w:gridCol w:w="2158"/>
        <w:gridCol w:w="2159"/>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517" w:type="dxa"/>
            <w:gridSpan w:val="4"/>
            <w:shd w:val="clear" w:color="auto" w:fill="E7E6E6" w:themeFill="background2"/>
            <w:vAlign w:val="center"/>
          </w:tcPr>
          <w:p>
            <w:pPr>
              <w:autoSpaceDE w:val="0"/>
              <w:autoSpaceDN w:val="0"/>
              <w:adjustRightInd w:val="0"/>
              <w:snapToGrid w:val="0"/>
              <w:jc w:val="center"/>
              <w:rPr>
                <w:rFonts w:ascii="宋体" w:hAnsi="宋体"/>
                <w:b/>
                <w:sz w:val="32"/>
                <w:szCs w:val="32"/>
              </w:rPr>
            </w:pPr>
            <w:r>
              <w:rPr>
                <w:rFonts w:hint="eastAsia" w:ascii="宋体" w:hAnsi="宋体" w:cs="仿宋"/>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38" w:type="dxa"/>
            <w:vAlign w:val="center"/>
          </w:tcPr>
          <w:p>
            <w:pPr>
              <w:autoSpaceDE w:val="0"/>
              <w:autoSpaceDN w:val="0"/>
              <w:adjustRightInd w:val="0"/>
              <w:snapToGrid w:val="0"/>
              <w:jc w:val="center"/>
              <w:rPr>
                <w:rFonts w:ascii="宋体" w:hAnsi="宋体"/>
                <w:b/>
              </w:rPr>
            </w:pPr>
            <w:r>
              <w:rPr>
                <w:rFonts w:hint="eastAsia" w:ascii="宋体" w:hAnsi="宋体"/>
                <w:b/>
              </w:rPr>
              <w:t>权重名称</w:t>
            </w:r>
          </w:p>
        </w:tc>
        <w:tc>
          <w:tcPr>
            <w:tcW w:w="2158" w:type="dxa"/>
            <w:vAlign w:val="center"/>
          </w:tcPr>
          <w:p>
            <w:pPr>
              <w:autoSpaceDE w:val="0"/>
              <w:autoSpaceDN w:val="0"/>
              <w:adjustRightInd w:val="0"/>
              <w:snapToGrid w:val="0"/>
              <w:jc w:val="center"/>
              <w:rPr>
                <w:rFonts w:ascii="宋体" w:hAnsi="宋体"/>
                <w:b/>
              </w:rPr>
            </w:pPr>
            <w:r>
              <w:rPr>
                <w:rFonts w:hint="eastAsia" w:ascii="宋体" w:hAnsi="宋体"/>
                <w:b/>
              </w:rPr>
              <w:t>商务标权重</w:t>
            </w:r>
          </w:p>
        </w:tc>
        <w:tc>
          <w:tcPr>
            <w:tcW w:w="2159" w:type="dxa"/>
            <w:vAlign w:val="center"/>
          </w:tcPr>
          <w:p>
            <w:pPr>
              <w:autoSpaceDE w:val="0"/>
              <w:autoSpaceDN w:val="0"/>
              <w:adjustRightInd w:val="0"/>
              <w:snapToGrid w:val="0"/>
              <w:jc w:val="center"/>
              <w:rPr>
                <w:rFonts w:ascii="宋体" w:hAnsi="宋体"/>
                <w:b/>
              </w:rPr>
            </w:pPr>
            <w:r>
              <w:rPr>
                <w:rFonts w:hint="eastAsia" w:ascii="宋体" w:hAnsi="宋体"/>
                <w:b/>
              </w:rPr>
              <w:t>技术标权重</w:t>
            </w:r>
          </w:p>
        </w:tc>
        <w:tc>
          <w:tcPr>
            <w:tcW w:w="2662" w:type="dxa"/>
            <w:vAlign w:val="center"/>
          </w:tcPr>
          <w:p>
            <w:pPr>
              <w:autoSpaceDE w:val="0"/>
              <w:autoSpaceDN w:val="0"/>
              <w:adjustRightInd w:val="0"/>
              <w:snapToGrid w:val="0"/>
              <w:jc w:val="center"/>
              <w:rPr>
                <w:rFonts w:ascii="宋体" w:hAnsi="宋体"/>
                <w:b/>
              </w:rPr>
            </w:pPr>
            <w:r>
              <w:rPr>
                <w:rFonts w:hint="eastAsia" w:ascii="宋体" w:hAnsi="宋体"/>
                <w:b/>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38" w:type="dxa"/>
            <w:vAlign w:val="center"/>
          </w:tcPr>
          <w:p>
            <w:pPr>
              <w:autoSpaceDE w:val="0"/>
              <w:autoSpaceDN w:val="0"/>
              <w:adjustRightInd w:val="0"/>
              <w:snapToGrid w:val="0"/>
              <w:jc w:val="center"/>
              <w:rPr>
                <w:rFonts w:ascii="宋体" w:hAnsi="宋体"/>
              </w:rPr>
            </w:pPr>
            <w:r>
              <w:rPr>
                <w:rFonts w:hint="eastAsia" w:ascii="宋体" w:hAnsi="宋体"/>
              </w:rPr>
              <w:t>权重</w:t>
            </w:r>
          </w:p>
        </w:tc>
        <w:tc>
          <w:tcPr>
            <w:tcW w:w="2158" w:type="dxa"/>
            <w:vAlign w:val="center"/>
          </w:tcPr>
          <w:p>
            <w:pPr>
              <w:autoSpaceDE w:val="0"/>
              <w:autoSpaceDN w:val="0"/>
              <w:adjustRightInd w:val="0"/>
              <w:snapToGrid w:val="0"/>
              <w:jc w:val="center"/>
              <w:rPr>
                <w:rFonts w:ascii="宋体" w:hAnsi="宋体"/>
                <w:color w:val="auto"/>
              </w:rPr>
            </w:pPr>
            <w:r>
              <w:rPr>
                <w:rFonts w:hint="eastAsia" w:ascii="宋体" w:hAnsi="宋体"/>
                <w:color w:val="auto"/>
                <w:szCs w:val="21"/>
              </w:rPr>
              <w:t>20</w:t>
            </w:r>
            <w:r>
              <w:rPr>
                <w:rFonts w:hint="eastAsia" w:ascii="宋体" w:hAnsi="宋体"/>
                <w:color w:val="auto"/>
              </w:rPr>
              <w:t>%</w:t>
            </w:r>
          </w:p>
        </w:tc>
        <w:tc>
          <w:tcPr>
            <w:tcW w:w="2159" w:type="dxa"/>
            <w:vAlign w:val="center"/>
          </w:tcPr>
          <w:p>
            <w:pPr>
              <w:autoSpaceDE w:val="0"/>
              <w:autoSpaceDN w:val="0"/>
              <w:adjustRightInd w:val="0"/>
              <w:snapToGrid w:val="0"/>
              <w:jc w:val="center"/>
              <w:rPr>
                <w:rFonts w:ascii="宋体" w:hAnsi="宋体"/>
                <w:color w:val="auto"/>
              </w:rPr>
            </w:pPr>
            <w:r>
              <w:rPr>
                <w:rFonts w:hint="eastAsia" w:ascii="宋体" w:hAnsi="宋体"/>
                <w:color w:val="auto"/>
                <w:szCs w:val="21"/>
              </w:rPr>
              <w:t>5</w:t>
            </w:r>
            <w:r>
              <w:rPr>
                <w:rFonts w:ascii="宋体" w:hAnsi="宋体"/>
                <w:color w:val="auto"/>
                <w:szCs w:val="21"/>
              </w:rPr>
              <w:t>0</w:t>
            </w:r>
            <w:r>
              <w:rPr>
                <w:rFonts w:hint="eastAsia" w:ascii="宋体" w:hAnsi="宋体"/>
                <w:color w:val="auto"/>
              </w:rPr>
              <w:t>%</w:t>
            </w:r>
          </w:p>
        </w:tc>
        <w:tc>
          <w:tcPr>
            <w:tcW w:w="2662" w:type="dxa"/>
            <w:vAlign w:val="center"/>
          </w:tcPr>
          <w:p>
            <w:pPr>
              <w:autoSpaceDE w:val="0"/>
              <w:autoSpaceDN w:val="0"/>
              <w:adjustRightInd w:val="0"/>
              <w:snapToGrid w:val="0"/>
              <w:jc w:val="center"/>
              <w:rPr>
                <w:rFonts w:ascii="宋体" w:hAnsi="宋体"/>
                <w:color w:val="auto"/>
              </w:rPr>
            </w:pPr>
            <w:r>
              <w:rPr>
                <w:rFonts w:hint="eastAsia" w:ascii="宋体" w:hAnsi="宋体"/>
                <w:color w:val="auto"/>
                <w:szCs w:val="21"/>
              </w:rPr>
              <w:t>30</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38" w:type="dxa"/>
            <w:vAlign w:val="center"/>
          </w:tcPr>
          <w:p>
            <w:pPr>
              <w:autoSpaceDE w:val="0"/>
              <w:autoSpaceDN w:val="0"/>
              <w:adjustRightInd w:val="0"/>
              <w:snapToGrid w:val="0"/>
              <w:jc w:val="center"/>
              <w:rPr>
                <w:rFonts w:ascii="宋体" w:hAnsi="宋体"/>
              </w:rPr>
            </w:pPr>
            <w:r>
              <w:rPr>
                <w:rFonts w:hint="eastAsia" w:ascii="宋体" w:hAnsi="宋体"/>
              </w:rPr>
              <w:t>投标人综合得分</w:t>
            </w:r>
          </w:p>
        </w:tc>
        <w:tc>
          <w:tcPr>
            <w:tcW w:w="6979" w:type="dxa"/>
            <w:gridSpan w:val="3"/>
            <w:vAlign w:val="center"/>
          </w:tcPr>
          <w:p>
            <w:pPr>
              <w:autoSpaceDE w:val="0"/>
              <w:autoSpaceDN w:val="0"/>
              <w:adjustRightInd w:val="0"/>
              <w:snapToGrid w:val="0"/>
              <w:jc w:val="center"/>
              <w:rPr>
                <w:rFonts w:ascii="宋体" w:hAnsi="宋体"/>
              </w:rPr>
            </w:pPr>
            <w:r>
              <w:rPr>
                <w:rFonts w:hint="eastAsia" w:ascii="宋体" w:hAnsi="宋体"/>
              </w:rPr>
              <w:t>商务标得分+技术标得分+价格标得分=100</w:t>
            </w:r>
          </w:p>
        </w:tc>
      </w:tr>
    </w:tbl>
    <w:p>
      <w:pPr>
        <w:pStyle w:val="2"/>
      </w:pPr>
    </w:p>
    <w:p>
      <w:pPr>
        <w:numPr>
          <w:ilvl w:val="0"/>
          <w:numId w:val="18"/>
        </w:numPr>
        <w:spacing w:line="360" w:lineRule="auto"/>
        <w:jc w:val="left"/>
        <w:outlineLvl w:val="2"/>
        <w:rPr>
          <w:rStyle w:val="27"/>
          <w:rFonts w:ascii="宋体" w:hAnsi="宋体"/>
          <w:b/>
          <w:szCs w:val="21"/>
        </w:rPr>
      </w:pPr>
      <w:bookmarkStart w:id="46" w:name="_Toc22336"/>
      <w:r>
        <w:rPr>
          <w:rStyle w:val="27"/>
          <w:rFonts w:hint="eastAsia" w:ascii="宋体" w:hAnsi="宋体"/>
          <w:b/>
          <w:bCs/>
          <w:szCs w:val="21"/>
        </w:rPr>
        <w:t>符合性检查</w:t>
      </w:r>
      <w:bookmarkEnd w:id="46"/>
    </w:p>
    <w:tbl>
      <w:tblPr>
        <w:tblStyle w:val="13"/>
        <w:tblW w:w="9516"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881"/>
        <w:gridCol w:w="7635"/>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jc w:val="center"/>
        </w:trPr>
        <w:tc>
          <w:tcPr>
            <w:tcW w:w="1881"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宋体" w:hAnsi="宋体" w:cs="仿宋"/>
                <w:szCs w:val="21"/>
              </w:rPr>
            </w:pPr>
            <w:r>
              <w:rPr>
                <w:rFonts w:hint="eastAsia" w:ascii="宋体" w:hAnsi="宋体" w:cs="仿宋"/>
                <w:szCs w:val="21"/>
              </w:rPr>
              <w:t>响应文件</w:t>
            </w:r>
          </w:p>
        </w:tc>
        <w:tc>
          <w:tcPr>
            <w:tcW w:w="7635"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宋体" w:hAnsi="宋体" w:cs="仿宋"/>
                <w:szCs w:val="21"/>
              </w:rPr>
            </w:pPr>
            <w:r>
              <w:rPr>
                <w:rFonts w:hint="eastAsia" w:ascii="宋体" w:hAnsi="宋体" w:cs="仿宋"/>
                <w:bCs/>
                <w:szCs w:val="21"/>
              </w:rPr>
              <w:t>投标人提交的响应文件是否按要求编制目录、加密；投标文件的加密密码在按要求发送至招标人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宋体" w:hAnsi="宋体" w:cs="仿宋"/>
                <w:szCs w:val="21"/>
              </w:rPr>
            </w:pPr>
            <w:r>
              <w:rPr>
                <w:rFonts w:hint="eastAsia" w:ascii="宋体" w:hAnsi="宋体" w:cs="仿宋"/>
                <w:szCs w:val="21"/>
              </w:rPr>
              <w:t>投标人是否提供以下证明文件：</w:t>
            </w:r>
          </w:p>
          <w:p>
            <w:pPr>
              <w:numPr>
                <w:ilvl w:val="0"/>
                <w:numId w:val="19"/>
              </w:numPr>
              <w:tabs>
                <w:tab w:val="left" w:pos="531"/>
              </w:tabs>
              <w:snapToGrid w:val="0"/>
              <w:ind w:left="0" w:firstLine="0"/>
              <w:rPr>
                <w:rFonts w:ascii="宋体" w:hAnsi="宋体" w:cs="宋体"/>
                <w:szCs w:val="21"/>
              </w:rPr>
            </w:pPr>
            <w:r>
              <w:rPr>
                <w:rFonts w:hint="eastAsia" w:ascii="宋体"/>
              </w:rPr>
              <w:t>投标人必须是在中华人民共和国境内注册且合法运作的企业，在法律和财务上独立。</w:t>
            </w:r>
            <w:r>
              <w:rPr>
                <w:rFonts w:hint="eastAsia" w:ascii="宋体" w:hAnsi="宋体"/>
                <w:szCs w:val="21"/>
              </w:rPr>
              <w:t>（提供企业营业执照扫描件，并加盖投标人公章。）</w:t>
            </w:r>
          </w:p>
          <w:p>
            <w:pPr>
              <w:numPr>
                <w:ilvl w:val="0"/>
                <w:numId w:val="19"/>
              </w:numPr>
              <w:tabs>
                <w:tab w:val="left" w:pos="531"/>
              </w:tabs>
              <w:snapToGrid w:val="0"/>
              <w:ind w:left="0" w:firstLine="0"/>
              <w:rPr>
                <w:rFonts w:ascii="宋体" w:hAnsi="宋体" w:cs="宋体"/>
                <w:szCs w:val="21"/>
              </w:rPr>
            </w:pPr>
            <w:r>
              <w:rPr>
                <w:rFonts w:hint="eastAsia" w:ascii="宋体"/>
              </w:rPr>
              <w:t>投标人必须无未改正的经营异常信息、无严重违法失信记录。</w:t>
            </w:r>
            <w:r>
              <w:rPr>
                <w:rFonts w:ascii="宋体"/>
              </w:rPr>
              <w:t>(</w:t>
            </w:r>
            <w:r>
              <w:rPr>
                <w:rFonts w:hint="eastAsia" w:ascii="宋体"/>
              </w:rPr>
              <w:t>提供国家企业信用信息公示系统（www.gsxt.gov.cn)公示的企业基础信息、经营异常信息、严重违法失信记录等信息查询页面打印件，并加盖投标人公章。）</w:t>
            </w:r>
          </w:p>
          <w:p>
            <w:pPr>
              <w:numPr>
                <w:ilvl w:val="0"/>
                <w:numId w:val="19"/>
              </w:numPr>
              <w:tabs>
                <w:tab w:val="left" w:pos="531"/>
              </w:tabs>
              <w:snapToGrid w:val="0"/>
              <w:ind w:left="0" w:firstLine="0"/>
              <w:rPr>
                <w:rFonts w:ascii="宋体"/>
              </w:rPr>
            </w:pPr>
            <w:r>
              <w:rPr>
                <w:rFonts w:hint="eastAsia" w:ascii="宋体"/>
              </w:rPr>
              <w:t>本项目不接受联合体投标，严禁转包或非法分包。</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52" w:hRule="atLeast"/>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宋体" w:hAnsi="宋体" w:cs="仿宋"/>
                <w:szCs w:val="21"/>
              </w:rPr>
            </w:pPr>
            <w:r>
              <w:rPr>
                <w:rFonts w:hint="eastAsia" w:ascii="宋体" w:hAnsi="宋体" w:cs="仿宋"/>
                <w:szCs w:val="21"/>
              </w:rPr>
              <w:t>本项目报价是否高于</w:t>
            </w:r>
            <w:r>
              <w:rPr>
                <w:rFonts w:hint="eastAsia" w:ascii="宋体" w:hAnsi="宋体"/>
                <w:szCs w:val="21"/>
              </w:rPr>
              <w:t>2</w:t>
            </w:r>
            <w:r>
              <w:rPr>
                <w:rFonts w:ascii="宋体" w:hAnsi="宋体"/>
                <w:szCs w:val="21"/>
              </w:rPr>
              <w:t>0</w:t>
            </w:r>
            <w:r>
              <w:rPr>
                <w:rFonts w:ascii="宋体" w:hAnsi="宋体" w:cs="仿宋"/>
                <w:szCs w:val="21"/>
              </w:rPr>
              <w:t>万元（含税）</w:t>
            </w:r>
            <w:r>
              <w:rPr>
                <w:rFonts w:hint="eastAsia" w:ascii="宋体" w:hAnsi="宋体" w:cs="仿宋"/>
                <w:szCs w:val="21"/>
              </w:rPr>
              <w:t>，超过上述控制金额的视为无效报价。</w:t>
            </w:r>
          </w:p>
        </w:tc>
      </w:tr>
    </w:tbl>
    <w:p>
      <w:pPr>
        <w:numPr>
          <w:ilvl w:val="0"/>
          <w:numId w:val="18"/>
        </w:numPr>
        <w:spacing w:before="936" w:beforeLines="300" w:line="360" w:lineRule="auto"/>
        <w:jc w:val="left"/>
        <w:outlineLvl w:val="2"/>
        <w:rPr>
          <w:rStyle w:val="27"/>
          <w:rFonts w:ascii="宋体" w:hAnsi="宋体"/>
          <w:b/>
          <w:bCs/>
          <w:szCs w:val="21"/>
        </w:rPr>
      </w:pPr>
      <w:bookmarkStart w:id="47" w:name="_Toc22007"/>
      <w:r>
        <w:rPr>
          <w:rStyle w:val="27"/>
          <w:rFonts w:hint="eastAsia" w:ascii="宋体" w:hAnsi="宋体"/>
          <w:b/>
          <w:bCs/>
          <w:szCs w:val="21"/>
        </w:rPr>
        <w:t>综合评议指标表</w:t>
      </w:r>
      <w:bookmarkEnd w:id="47"/>
    </w:p>
    <w:tbl>
      <w:tblPr>
        <w:tblStyle w:val="13"/>
        <w:tblW w:w="9351" w:type="dxa"/>
        <w:jc w:val="center"/>
        <w:tblCellSpacing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blCellSpacing w:w="0" w:type="dxa"/>
          <w:jc w:val="center"/>
        </w:trPr>
        <w:tc>
          <w:tcPr>
            <w:tcW w:w="704" w:type="dxa"/>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right w:val="dotted" w:color="auto" w:sz="4" w:space="0"/>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gridSpan w:val="2"/>
            <w:tcBorders>
              <w:left w:val="dotted" w:color="auto" w:sz="4" w:space="0"/>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blCellSpacing w:w="0" w:type="dxa"/>
          <w:jc w:val="center"/>
        </w:trPr>
        <w:tc>
          <w:tcPr>
            <w:tcW w:w="9351" w:type="dxa"/>
            <w:gridSpan w:val="5"/>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szCs w:val="21"/>
              </w:rPr>
              <w:t>20</w:t>
            </w:r>
            <w:r>
              <w:rPr>
                <w:rFonts w:hint="eastAsia" w:ascii="宋体" w:hAnsi="宋体"/>
                <w:b/>
                <w:szCs w:val="21"/>
              </w:rPr>
              <w:t>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704" w:type="dxa"/>
            <w:vAlign w:val="center"/>
          </w:tcPr>
          <w:p>
            <w:pPr>
              <w:pStyle w:val="20"/>
              <w:numPr>
                <w:ilvl w:val="0"/>
                <w:numId w:val="20"/>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spacing w:line="320" w:lineRule="exact"/>
              <w:jc w:val="center"/>
              <w:rPr>
                <w:rFonts w:ascii="宋体" w:hAnsi="宋体"/>
                <w:szCs w:val="21"/>
              </w:rPr>
            </w:pPr>
            <w:r>
              <w:rPr>
                <w:rFonts w:hint="eastAsia" w:ascii="宋体" w:hAnsi="宋体"/>
                <w:szCs w:val="21"/>
              </w:rPr>
              <w:t>综合实力</w:t>
            </w:r>
          </w:p>
        </w:tc>
        <w:tc>
          <w:tcPr>
            <w:tcW w:w="709" w:type="dxa"/>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分</w:t>
            </w:r>
          </w:p>
        </w:tc>
        <w:tc>
          <w:tcPr>
            <w:tcW w:w="6804" w:type="dxa"/>
            <w:gridSpan w:val="2"/>
            <w:tcMar>
              <w:top w:w="15" w:type="dxa"/>
              <w:left w:w="15" w:type="dxa"/>
              <w:bottom w:w="15" w:type="dxa"/>
              <w:right w:w="15" w:type="dxa"/>
            </w:tcMar>
            <w:vAlign w:val="center"/>
          </w:tcPr>
          <w:p>
            <w:pPr>
              <w:rPr>
                <w:rFonts w:ascii="宋体" w:hAnsi="宋体"/>
                <w:color w:val="auto"/>
                <w:szCs w:val="21"/>
              </w:rPr>
            </w:pPr>
          </w:p>
          <w:p>
            <w:pPr>
              <w:pStyle w:val="2"/>
              <w:rPr>
                <w:rFonts w:ascii="宋体"/>
                <w:color w:val="auto"/>
              </w:rPr>
            </w:pPr>
            <w:r>
              <w:rPr>
                <w:rFonts w:hint="eastAsia" w:ascii="宋体" w:eastAsia="宋体"/>
                <w:color w:val="auto"/>
              </w:rPr>
              <w:t>（</w:t>
            </w:r>
            <w:r>
              <w:rPr>
                <w:rFonts w:ascii="宋体" w:eastAsia="宋体"/>
                <w:color w:val="auto"/>
              </w:rPr>
              <w:t>1</w:t>
            </w:r>
            <w:r>
              <w:rPr>
                <w:rFonts w:hint="eastAsia" w:ascii="宋体" w:eastAsia="宋体"/>
                <w:color w:val="auto"/>
              </w:rPr>
              <w:t>）对投标人缴纳社保的人数横向比较，最高得3分，一般得2分，最低得1分。</w:t>
            </w:r>
          </w:p>
          <w:p>
            <w:pPr>
              <w:pStyle w:val="2"/>
              <w:rPr>
                <w:rFonts w:ascii="宋体"/>
                <w:color w:val="auto"/>
              </w:rPr>
            </w:pPr>
            <w:r>
              <w:rPr>
                <w:rFonts w:hint="eastAsia"/>
                <w:color w:val="auto"/>
              </w:rPr>
              <w:t>（</w:t>
            </w:r>
            <w:r>
              <w:rPr>
                <w:rFonts w:ascii="宋体" w:eastAsia="宋体"/>
                <w:color w:val="auto"/>
              </w:rPr>
              <w:t>2</w:t>
            </w:r>
            <w:r>
              <w:rPr>
                <w:rFonts w:hint="eastAsia" w:ascii="宋体" w:eastAsia="宋体"/>
                <w:color w:val="auto"/>
              </w:rPr>
              <w:t>）对投标人的成立年限横向比较，最高得</w:t>
            </w:r>
            <w:r>
              <w:rPr>
                <w:rFonts w:ascii="宋体" w:eastAsia="宋体"/>
                <w:color w:val="auto"/>
              </w:rPr>
              <w:t>3</w:t>
            </w:r>
            <w:r>
              <w:rPr>
                <w:rFonts w:hint="eastAsia" w:ascii="宋体" w:eastAsia="宋体"/>
                <w:color w:val="auto"/>
              </w:rPr>
              <w:t>分，一般得2分，最低得1分。</w:t>
            </w:r>
          </w:p>
          <w:p>
            <w:pPr>
              <w:pStyle w:val="2"/>
              <w:rPr>
                <w:rFonts w:ascii="宋体"/>
                <w:color w:val="auto"/>
                <w:szCs w:val="21"/>
              </w:rPr>
            </w:pPr>
            <w:r>
              <w:rPr>
                <w:rFonts w:hint="eastAsia" w:ascii="宋体" w:eastAsia="宋体"/>
                <w:color w:val="auto"/>
              </w:rPr>
              <w:t>（3）根据投标人获奖情况打分，获国家级单位或协会奖项得</w:t>
            </w:r>
            <w:r>
              <w:rPr>
                <w:rFonts w:ascii="宋体" w:eastAsia="宋体"/>
                <w:color w:val="auto"/>
              </w:rPr>
              <w:t>4</w:t>
            </w:r>
            <w:r>
              <w:rPr>
                <w:rFonts w:hint="eastAsia" w:ascii="宋体" w:eastAsia="宋体"/>
                <w:color w:val="auto"/>
              </w:rPr>
              <w:t>分，获省级单位或协会颁发奖项得</w:t>
            </w:r>
            <w:r>
              <w:rPr>
                <w:rFonts w:ascii="宋体" w:eastAsia="宋体"/>
                <w:color w:val="auto"/>
              </w:rPr>
              <w:t>3</w:t>
            </w:r>
            <w:r>
              <w:rPr>
                <w:rFonts w:hint="eastAsia" w:ascii="宋体" w:eastAsia="宋体"/>
                <w:color w:val="auto"/>
              </w:rPr>
              <w:t>分，获市级单位或协会颁发奖项得</w:t>
            </w:r>
            <w:r>
              <w:rPr>
                <w:rFonts w:ascii="宋体" w:eastAsia="宋体"/>
                <w:color w:val="auto"/>
              </w:rPr>
              <w:t>2</w:t>
            </w:r>
            <w:r>
              <w:rPr>
                <w:rFonts w:hint="eastAsia" w:ascii="宋体" w:eastAsia="宋体"/>
                <w:color w:val="auto"/>
              </w:rPr>
              <w:t>分，没有奖项得0分。该评议项各获奖情况不累加，以最高奖项为准，只给1次分。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704" w:type="dxa"/>
            <w:vAlign w:val="center"/>
          </w:tcPr>
          <w:p>
            <w:pPr>
              <w:pStyle w:val="20"/>
              <w:numPr>
                <w:ilvl w:val="0"/>
                <w:numId w:val="20"/>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spacing w:line="320" w:lineRule="exact"/>
              <w:jc w:val="center"/>
            </w:pPr>
            <w:r>
              <w:rPr>
                <w:rFonts w:hint="eastAsia"/>
              </w:rPr>
              <w:t>团队实力</w:t>
            </w:r>
          </w:p>
        </w:tc>
        <w:tc>
          <w:tcPr>
            <w:tcW w:w="709" w:type="dxa"/>
            <w:tcMar>
              <w:top w:w="15" w:type="dxa"/>
              <w:left w:w="15" w:type="dxa"/>
              <w:bottom w:w="15" w:type="dxa"/>
              <w:right w:w="15" w:type="dxa"/>
            </w:tcMar>
            <w:vAlign w:val="center"/>
          </w:tcPr>
          <w:p>
            <w:pPr>
              <w:spacing w:line="360" w:lineRule="auto"/>
              <w:jc w:val="center"/>
              <w:rPr>
                <w:rFonts w:ascii="宋体" w:hAnsi="宋体"/>
                <w:szCs w:val="21"/>
              </w:rPr>
            </w:pPr>
            <w:r>
              <w:rPr>
                <w:rFonts w:ascii="宋体" w:hAnsi="宋体"/>
                <w:szCs w:val="21"/>
              </w:rPr>
              <w:t>10</w:t>
            </w:r>
            <w:r>
              <w:rPr>
                <w:rFonts w:hint="eastAsia" w:ascii="宋体" w:hAnsi="宋体"/>
                <w:szCs w:val="21"/>
              </w:rPr>
              <w:t>分</w:t>
            </w:r>
          </w:p>
        </w:tc>
        <w:tc>
          <w:tcPr>
            <w:tcW w:w="6804" w:type="dxa"/>
            <w:gridSpan w:val="2"/>
            <w:tcMar>
              <w:top w:w="15" w:type="dxa"/>
              <w:left w:w="15" w:type="dxa"/>
              <w:bottom w:w="15" w:type="dxa"/>
              <w:right w:w="15" w:type="dxa"/>
            </w:tcMar>
            <w:vAlign w:val="center"/>
          </w:tcPr>
          <w:p>
            <w:pPr>
              <w:pStyle w:val="2"/>
              <w:rPr>
                <w:rFonts w:ascii="宋体" w:eastAsia="宋体"/>
                <w:color w:val="auto"/>
              </w:rPr>
            </w:pPr>
            <w:r>
              <w:rPr>
                <w:rFonts w:hint="eastAsia" w:ascii="宋体" w:eastAsia="宋体"/>
                <w:color w:val="auto"/>
              </w:rPr>
              <w:t>（1）考察项目负责人的综合实力，对展会类/可行性研究项目过往案例、咨询行业从业年限、学历、荣誉证书等横向比较，最高得</w:t>
            </w:r>
            <w:r>
              <w:rPr>
                <w:rFonts w:ascii="宋体" w:eastAsia="宋体"/>
                <w:color w:val="auto"/>
              </w:rPr>
              <w:t>5</w:t>
            </w:r>
            <w:r>
              <w:rPr>
                <w:rFonts w:hint="eastAsia" w:ascii="宋体" w:eastAsia="宋体"/>
                <w:color w:val="auto"/>
              </w:rPr>
              <w:t>分，一般得3分，最低得1分。</w:t>
            </w:r>
          </w:p>
          <w:p>
            <w:pPr>
              <w:pStyle w:val="2"/>
              <w:rPr>
                <w:color w:val="auto"/>
              </w:rPr>
            </w:pPr>
            <w:r>
              <w:rPr>
                <w:rFonts w:hint="eastAsia" w:ascii="宋体" w:eastAsia="宋体"/>
                <w:color w:val="auto"/>
              </w:rPr>
              <w:t>（2）考察团组综合实力，对投入人数、项目成员项目经验、咨询行业从业年限、学历等横向比较，最高得5分，一般得3分，最低得1分。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704" w:type="dxa"/>
          </w:tcPr>
          <w:p>
            <w:pPr>
              <w:spacing w:line="360" w:lineRule="auto"/>
              <w:jc w:val="center"/>
              <w:rPr>
                <w:rFonts w:ascii="宋体" w:hAnsi="宋体"/>
                <w:b/>
                <w:szCs w:val="21"/>
              </w:rPr>
            </w:pPr>
          </w:p>
        </w:tc>
        <w:tc>
          <w:tcPr>
            <w:tcW w:w="8647" w:type="dxa"/>
            <w:gridSpan w:val="4"/>
            <w:tcMar>
              <w:top w:w="15" w:type="dxa"/>
              <w:left w:w="15" w:type="dxa"/>
              <w:bottom w:w="15" w:type="dxa"/>
              <w:right w:w="15" w:type="dxa"/>
            </w:tcMar>
            <w:vAlign w:val="center"/>
          </w:tcPr>
          <w:p>
            <w:pPr>
              <w:spacing w:line="360" w:lineRule="auto"/>
              <w:jc w:val="center"/>
              <w:rPr>
                <w:rFonts w:ascii="宋体" w:hAnsi="宋体"/>
                <w:b/>
                <w:color w:val="auto"/>
                <w:szCs w:val="21"/>
              </w:rPr>
            </w:pPr>
            <w:r>
              <w:rPr>
                <w:rFonts w:hint="eastAsia" w:ascii="宋体" w:hAnsi="宋体"/>
                <w:b/>
                <w:color w:val="auto"/>
                <w:szCs w:val="21"/>
              </w:rPr>
              <w:t>技术服务评议项（50</w:t>
            </w:r>
            <w:r>
              <w:rPr>
                <w:rFonts w:ascii="宋体" w:hAnsi="宋体"/>
                <w:b/>
                <w:color w:val="auto"/>
                <w:szCs w:val="21"/>
              </w:rPr>
              <w:t>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3" w:hRule="atLeast"/>
          <w:tblCellSpacing w:w="0" w:type="dxa"/>
          <w:jc w:val="center"/>
        </w:trPr>
        <w:tc>
          <w:tcPr>
            <w:tcW w:w="704" w:type="dxa"/>
            <w:vAlign w:val="center"/>
          </w:tcPr>
          <w:p>
            <w:pPr>
              <w:pStyle w:val="20"/>
              <w:numPr>
                <w:ilvl w:val="0"/>
                <w:numId w:val="21"/>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spacing w:line="320" w:lineRule="exact"/>
              <w:jc w:val="center"/>
            </w:pPr>
            <w:r>
              <w:rPr>
                <w:rFonts w:hint="eastAsia"/>
              </w:rPr>
              <w:t>过往案例</w:t>
            </w:r>
          </w:p>
        </w:tc>
        <w:tc>
          <w:tcPr>
            <w:tcW w:w="709" w:type="dxa"/>
            <w:tcMar>
              <w:top w:w="15" w:type="dxa"/>
              <w:left w:w="15" w:type="dxa"/>
              <w:bottom w:w="15" w:type="dxa"/>
              <w:right w:w="15" w:type="dxa"/>
            </w:tcMar>
            <w:vAlign w:val="center"/>
          </w:tcPr>
          <w:p>
            <w:pPr>
              <w:spacing w:line="360" w:lineRule="auto"/>
              <w:jc w:val="center"/>
              <w:rPr>
                <w:rFonts w:ascii="宋体" w:hAnsi="宋体"/>
                <w:szCs w:val="21"/>
              </w:rPr>
            </w:pPr>
            <w:r>
              <w:rPr>
                <w:rFonts w:ascii="宋体" w:hAnsi="宋体"/>
                <w:szCs w:val="21"/>
              </w:rPr>
              <w:t>30</w:t>
            </w:r>
            <w:r>
              <w:rPr>
                <w:rFonts w:hint="eastAsia" w:ascii="宋体" w:hAnsi="宋体"/>
                <w:szCs w:val="21"/>
              </w:rPr>
              <w:t>分</w:t>
            </w:r>
          </w:p>
        </w:tc>
        <w:tc>
          <w:tcPr>
            <w:tcW w:w="6804" w:type="dxa"/>
            <w:gridSpan w:val="2"/>
            <w:tcMar>
              <w:top w:w="15" w:type="dxa"/>
              <w:left w:w="15" w:type="dxa"/>
              <w:bottom w:w="15" w:type="dxa"/>
              <w:right w:w="15" w:type="dxa"/>
            </w:tcMar>
            <w:vAlign w:val="center"/>
          </w:tcPr>
          <w:p>
            <w:pPr>
              <w:numPr>
                <w:ilvl w:val="0"/>
                <w:numId w:val="22"/>
              </w:numPr>
              <w:tabs>
                <w:tab w:val="left" w:pos="531"/>
              </w:tabs>
              <w:snapToGrid w:val="0"/>
              <w:rPr>
                <w:color w:val="auto"/>
              </w:rPr>
            </w:pPr>
            <w:r>
              <w:rPr>
                <w:rFonts w:hint="eastAsia"/>
                <w:color w:val="auto"/>
              </w:rPr>
              <w:t>自2</w:t>
            </w:r>
            <w:r>
              <w:rPr>
                <w:color w:val="auto"/>
              </w:rPr>
              <w:t>018</w:t>
            </w:r>
            <w:r>
              <w:rPr>
                <w:rFonts w:hint="eastAsia"/>
                <w:color w:val="auto"/>
              </w:rPr>
              <w:t>年1月1日起至招标公告发布之日（以合同签订时间为准），承担过可行性研究项目</w:t>
            </w:r>
            <w:r>
              <w:rPr>
                <w:rFonts w:hint="eastAsia"/>
                <w:color w:val="auto"/>
                <w:lang w:val="en-US" w:eastAsia="zh-CN"/>
              </w:rPr>
              <w:t>且单个项目合同金额大于30万元人民币</w:t>
            </w:r>
            <w:r>
              <w:rPr>
                <w:rFonts w:hint="eastAsia"/>
                <w:color w:val="auto"/>
              </w:rPr>
              <w:t>，每项合同</w:t>
            </w:r>
            <w:r>
              <w:rPr>
                <w:color w:val="auto"/>
              </w:rPr>
              <w:t>3</w:t>
            </w:r>
            <w:r>
              <w:rPr>
                <w:rFonts w:hint="eastAsia"/>
                <w:color w:val="auto"/>
              </w:rPr>
              <w:t>分，最高</w:t>
            </w:r>
            <w:r>
              <w:rPr>
                <w:color w:val="auto"/>
              </w:rPr>
              <w:t>12</w:t>
            </w:r>
            <w:r>
              <w:rPr>
                <w:rFonts w:hint="eastAsia"/>
                <w:color w:val="auto"/>
              </w:rPr>
              <w:t>分</w:t>
            </w:r>
            <w:r>
              <w:rPr>
                <w:rFonts w:hint="eastAsia"/>
                <w:color w:val="auto"/>
                <w:lang w:eastAsia="zh-CN"/>
              </w:rPr>
              <w:t>。</w:t>
            </w:r>
          </w:p>
          <w:p>
            <w:pPr>
              <w:numPr>
                <w:ilvl w:val="0"/>
                <w:numId w:val="22"/>
              </w:numPr>
              <w:tabs>
                <w:tab w:val="left" w:pos="531"/>
              </w:tabs>
              <w:snapToGrid w:val="0"/>
              <w:rPr>
                <w:color w:val="auto"/>
              </w:rPr>
            </w:pPr>
            <w:r>
              <w:rPr>
                <w:rFonts w:hint="eastAsia"/>
                <w:color w:val="auto"/>
              </w:rPr>
              <w:t>自20</w:t>
            </w:r>
            <w:r>
              <w:rPr>
                <w:color w:val="auto"/>
              </w:rPr>
              <w:t>18</w:t>
            </w:r>
            <w:r>
              <w:rPr>
                <w:rFonts w:hint="eastAsia"/>
                <w:color w:val="auto"/>
              </w:rPr>
              <w:t>年1月1日起至招标公告发布之日（以合同签订时间为准），承担过大型展会（展会总面积≥1</w:t>
            </w:r>
            <w:r>
              <w:rPr>
                <w:color w:val="auto"/>
              </w:rPr>
              <w:t>0</w:t>
            </w:r>
            <w:r>
              <w:rPr>
                <w:rFonts w:hint="eastAsia"/>
                <w:color w:val="auto"/>
              </w:rPr>
              <w:t>万平方米）研究项目，每项合同</w:t>
            </w:r>
            <w:r>
              <w:rPr>
                <w:color w:val="auto"/>
              </w:rPr>
              <w:t>3</w:t>
            </w:r>
            <w:r>
              <w:rPr>
                <w:rFonts w:hint="eastAsia"/>
                <w:color w:val="auto"/>
              </w:rPr>
              <w:t>分，最高</w:t>
            </w:r>
            <w:r>
              <w:rPr>
                <w:color w:val="auto"/>
              </w:rPr>
              <w:t>18</w:t>
            </w:r>
            <w:r>
              <w:rPr>
                <w:rFonts w:hint="eastAsia"/>
                <w:color w:val="auto"/>
              </w:rPr>
              <w:t>分。（备注：此条项目可与上一条的项目重复；投标人需提供展会展览面积的有效证明材料，所提供材料无法证明展会面积的业绩不得分。</w:t>
            </w:r>
          </w:p>
          <w:p>
            <w:pPr>
              <w:pStyle w:val="2"/>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备注：</w:t>
            </w:r>
          </w:p>
          <w:p>
            <w:pPr>
              <w:numPr>
                <w:ilvl w:val="0"/>
                <w:numId w:val="23"/>
              </w:numPr>
              <w:tabs>
                <w:tab w:val="left" w:pos="531"/>
              </w:tabs>
              <w:snapToGrid w:val="0"/>
              <w:rPr>
                <w:rFonts w:hint="eastAsia"/>
                <w:color w:val="auto"/>
                <w:lang w:val="en-US" w:eastAsia="zh-CN"/>
              </w:rPr>
            </w:pPr>
            <w:r>
              <w:rPr>
                <w:rFonts w:hint="eastAsia"/>
                <w:color w:val="auto"/>
                <w:lang w:val="en-US" w:eastAsia="zh-CN"/>
              </w:rPr>
              <w:t>投标人需编制业绩清单，清单内容包括但不限于业主方名称、项目名称、合同金额、所涉及展会面积（如需）、合同签订时间等信息。</w:t>
            </w:r>
          </w:p>
          <w:p>
            <w:pPr>
              <w:numPr>
                <w:ilvl w:val="0"/>
                <w:numId w:val="23"/>
              </w:numPr>
              <w:tabs>
                <w:tab w:val="left" w:pos="531"/>
              </w:tabs>
              <w:snapToGrid w:val="0"/>
              <w:rPr>
                <w:rFonts w:hint="eastAsia" w:eastAsia="仿宋_GB2312"/>
                <w:color w:val="auto"/>
                <w:lang w:val="en-US" w:eastAsia="zh-CN"/>
              </w:rPr>
            </w:pPr>
            <w:r>
              <w:rPr>
                <w:rFonts w:hint="eastAsia"/>
                <w:color w:val="auto"/>
                <w:lang w:val="en-US" w:eastAsia="zh-CN"/>
              </w:rPr>
              <w:t>投标人须提供体现上述信息的相应合同的关键页。合同关键页包含但不限于项目名称、业主方名称、合同主要内容、合同金额、签订时间、履约地点、甲乙双方盖章等信息，未按要求提供相应资料者或资料不清晰无法辨识者，不计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3" w:hRule="atLeast"/>
          <w:tblCellSpacing w:w="0" w:type="dxa"/>
          <w:jc w:val="center"/>
        </w:trPr>
        <w:tc>
          <w:tcPr>
            <w:tcW w:w="704" w:type="dxa"/>
            <w:vAlign w:val="center"/>
          </w:tcPr>
          <w:p>
            <w:pPr>
              <w:pStyle w:val="20"/>
              <w:numPr>
                <w:ilvl w:val="0"/>
                <w:numId w:val="21"/>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spacing w:line="320" w:lineRule="exact"/>
              <w:jc w:val="center"/>
            </w:pPr>
            <w:r>
              <w:rPr>
                <w:rFonts w:hint="eastAsia"/>
              </w:rPr>
              <w:t>服务方案</w:t>
            </w:r>
          </w:p>
        </w:tc>
        <w:tc>
          <w:tcPr>
            <w:tcW w:w="709" w:type="dxa"/>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2</w:t>
            </w:r>
            <w:r>
              <w:rPr>
                <w:rFonts w:ascii="宋体" w:hAnsi="宋体"/>
                <w:szCs w:val="21"/>
              </w:rPr>
              <w:t>0</w:t>
            </w:r>
            <w:r>
              <w:rPr>
                <w:rFonts w:hint="eastAsia" w:ascii="宋体" w:hAnsi="宋体"/>
                <w:szCs w:val="21"/>
              </w:rPr>
              <w:t>分</w:t>
            </w:r>
          </w:p>
        </w:tc>
        <w:tc>
          <w:tcPr>
            <w:tcW w:w="6804" w:type="dxa"/>
            <w:gridSpan w:val="2"/>
            <w:tcMar>
              <w:top w:w="15" w:type="dxa"/>
              <w:left w:w="15" w:type="dxa"/>
              <w:bottom w:w="15" w:type="dxa"/>
              <w:right w:w="15" w:type="dxa"/>
            </w:tcMar>
            <w:vAlign w:val="center"/>
          </w:tcPr>
          <w:p>
            <w:pPr>
              <w:numPr>
                <w:ilvl w:val="0"/>
                <w:numId w:val="24"/>
              </w:numPr>
              <w:tabs>
                <w:tab w:val="left" w:pos="531"/>
              </w:tabs>
              <w:snapToGrid w:val="0"/>
              <w:rPr>
                <w:rFonts w:ascii="宋体" w:hAnsi="宋体"/>
              </w:rPr>
            </w:pPr>
            <w:r>
              <w:rPr>
                <w:rFonts w:hint="eastAsia" w:ascii="宋体" w:hAnsi="宋体"/>
              </w:rPr>
              <w:t>对服务方案和项目需求符合度进行比对，服务方案越满足项目内容要求，得分越高，本项</w:t>
            </w:r>
            <w:r>
              <w:rPr>
                <w:rFonts w:hint="eastAsia"/>
              </w:rPr>
              <w:t>优秀得</w:t>
            </w:r>
            <w:r>
              <w:t>7</w:t>
            </w:r>
            <w:r>
              <w:rPr>
                <w:rFonts w:hint="eastAsia"/>
              </w:rPr>
              <w:t>分，良好得</w:t>
            </w:r>
            <w:r>
              <w:t>5</w:t>
            </w:r>
            <w:r>
              <w:rPr>
                <w:rFonts w:hint="eastAsia"/>
              </w:rPr>
              <w:t>分，一般得</w:t>
            </w:r>
            <w:r>
              <w:t>3</w:t>
            </w:r>
            <w:r>
              <w:rPr>
                <w:rFonts w:hint="eastAsia"/>
              </w:rPr>
              <w:t>分。</w:t>
            </w:r>
            <w:r>
              <w:rPr>
                <w:rFonts w:hint="eastAsia" w:ascii="宋体" w:hAnsi="宋体"/>
              </w:rPr>
              <w:t>不满足不得分。</w:t>
            </w:r>
          </w:p>
          <w:p>
            <w:pPr>
              <w:numPr>
                <w:ilvl w:val="0"/>
                <w:numId w:val="24"/>
              </w:numPr>
              <w:tabs>
                <w:tab w:val="left" w:pos="531"/>
              </w:tabs>
              <w:snapToGrid w:val="0"/>
              <w:rPr>
                <w:rFonts w:ascii="宋体" w:hAnsi="宋体"/>
              </w:rPr>
            </w:pPr>
            <w:r>
              <w:rPr>
                <w:rFonts w:hint="eastAsia" w:ascii="宋体" w:hAnsi="宋体"/>
              </w:rPr>
              <w:t>服务方案需采用合适和多维度的方法理论，考察服务方案的科学性。本项</w:t>
            </w:r>
            <w:r>
              <w:rPr>
                <w:rFonts w:hint="eastAsia"/>
              </w:rPr>
              <w:t>优秀得</w:t>
            </w:r>
            <w:r>
              <w:t>6</w:t>
            </w:r>
            <w:r>
              <w:rPr>
                <w:rFonts w:hint="eastAsia"/>
              </w:rPr>
              <w:t>分，良好得</w:t>
            </w:r>
            <w:r>
              <w:t>4</w:t>
            </w:r>
            <w:r>
              <w:rPr>
                <w:rFonts w:hint="eastAsia"/>
              </w:rPr>
              <w:t>分，一般得</w:t>
            </w:r>
            <w:r>
              <w:t>2</w:t>
            </w:r>
            <w:r>
              <w:rPr>
                <w:rFonts w:hint="eastAsia"/>
              </w:rPr>
              <w:t>分</w:t>
            </w:r>
            <w:r>
              <w:rPr>
                <w:rFonts w:hint="eastAsia" w:ascii="宋体" w:hAnsi="宋体"/>
              </w:rPr>
              <w:t>。</w:t>
            </w:r>
          </w:p>
          <w:p>
            <w:pPr>
              <w:numPr>
                <w:ilvl w:val="0"/>
                <w:numId w:val="24"/>
              </w:numPr>
              <w:tabs>
                <w:tab w:val="left" w:pos="531"/>
              </w:tabs>
              <w:snapToGrid w:val="0"/>
              <w:rPr>
                <w:rFonts w:ascii="宋体" w:hAnsi="宋体"/>
              </w:rPr>
            </w:pPr>
            <w:r>
              <w:rPr>
                <w:rFonts w:hint="eastAsia" w:ascii="宋体" w:hAnsi="宋体"/>
              </w:rPr>
              <w:t>服务方案提供的输出建议需要具有针对性和实用性，确保方案输出具有切实的参考性和可执行性。本项</w:t>
            </w:r>
            <w:r>
              <w:rPr>
                <w:rFonts w:hint="eastAsia"/>
              </w:rPr>
              <w:t>优秀得</w:t>
            </w:r>
            <w:r>
              <w:t>7</w:t>
            </w:r>
            <w:r>
              <w:rPr>
                <w:rFonts w:hint="eastAsia"/>
              </w:rPr>
              <w:t>分，良好得</w:t>
            </w:r>
            <w:r>
              <w:t>5</w:t>
            </w:r>
            <w:r>
              <w:rPr>
                <w:rFonts w:hint="eastAsia"/>
              </w:rPr>
              <w:t>分，一般得</w:t>
            </w:r>
            <w:r>
              <w:t>3</w:t>
            </w:r>
            <w:r>
              <w:rPr>
                <w:rFonts w:hint="eastAsia"/>
              </w:rPr>
              <w:t>分</w:t>
            </w:r>
            <w:r>
              <w:rPr>
                <w:rFonts w:hint="eastAsia" w:ascii="宋体" w:hAnsi="宋体"/>
              </w:rPr>
              <w:t>。</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9351" w:type="dxa"/>
            <w:gridSpan w:val="5"/>
          </w:tcPr>
          <w:p>
            <w:pPr>
              <w:spacing w:before="100" w:beforeAutospacing="1" w:after="100" w:afterAutospacing="1" w:line="360" w:lineRule="auto"/>
              <w:ind w:left="247" w:hanging="247" w:hangingChars="117"/>
              <w:jc w:val="center"/>
              <w:rPr>
                <w:rFonts w:ascii="宋体" w:hAnsi="宋体"/>
                <w:b/>
                <w:szCs w:val="21"/>
              </w:rPr>
            </w:pPr>
            <w:r>
              <w:rPr>
                <w:rFonts w:hint="eastAsia" w:ascii="宋体" w:hAnsi="宋体"/>
                <w:b/>
                <w:szCs w:val="21"/>
              </w:rPr>
              <w:t>价格评议项（30</w:t>
            </w:r>
            <w:r>
              <w:rPr>
                <w:rFonts w:ascii="宋体" w:hAnsi="宋体"/>
                <w:b/>
                <w:szCs w:val="21"/>
              </w:rPr>
              <w:t>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704" w:type="dxa"/>
            <w:vMerge w:val="restart"/>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4"/>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704" w:type="dxa"/>
            <w:vMerge w:val="continue"/>
          </w:tcPr>
          <w:p>
            <w:pPr>
              <w:spacing w:line="360" w:lineRule="auto"/>
              <w:jc w:val="center"/>
              <w:rPr>
                <w:rFonts w:ascii="宋体" w:hAnsi="宋体"/>
                <w:szCs w:val="21"/>
              </w:rPr>
            </w:pPr>
          </w:p>
        </w:tc>
        <w:tc>
          <w:tcPr>
            <w:tcW w:w="1134" w:type="dxa"/>
            <w:vMerge w:val="restart"/>
            <w:vAlign w:val="center"/>
          </w:tcPr>
          <w:p>
            <w:pPr>
              <w:spacing w:line="360" w:lineRule="auto"/>
              <w:jc w:val="center"/>
              <w:rPr>
                <w:rFonts w:ascii="宋体" w:hAnsi="宋体"/>
                <w:szCs w:val="21"/>
              </w:rPr>
            </w:pPr>
            <w:r>
              <w:rPr>
                <w:rFonts w:hint="eastAsia" w:ascii="宋体" w:hAnsi="宋体"/>
                <w:bCs/>
                <w:szCs w:val="21"/>
              </w:rPr>
              <w:t>基准价</w:t>
            </w:r>
          </w:p>
        </w:tc>
        <w:tc>
          <w:tcPr>
            <w:tcW w:w="7513" w:type="dxa"/>
            <w:gridSpan w:val="3"/>
            <w:vAlign w:val="center"/>
          </w:tcPr>
          <w:p>
            <w:pPr>
              <w:autoSpaceDE w:val="0"/>
              <w:autoSpaceDN w:val="0"/>
              <w:adjustRightInd w:val="0"/>
              <w:snapToGrid w:val="0"/>
              <w:jc w:val="left"/>
              <w:rPr>
                <w:rFonts w:ascii="宋体" w:hAnsi="宋体"/>
                <w:szCs w:val="21"/>
              </w:rPr>
            </w:pPr>
            <w:r>
              <w:rPr>
                <w:rFonts w:hint="eastAsia" w:ascii="宋体" w:hAnsi="宋体"/>
                <w:szCs w:val="21"/>
              </w:rPr>
              <w:t>□各有效</w:t>
            </w:r>
            <w:r>
              <w:rPr>
                <w:rFonts w:ascii="宋体" w:hAnsi="宋体"/>
                <w:szCs w:val="21"/>
              </w:rPr>
              <w:t>投</w:t>
            </w:r>
            <w:r>
              <w:rPr>
                <w:rFonts w:hint="eastAsia" w:ascii="宋体" w:hAnsi="宋体"/>
                <w:szCs w:val="21"/>
              </w:rPr>
              <w:t>标报价大于n家时，去掉一个最高和最低报价后的算术平均值乘以</w:t>
            </w:r>
            <w:r>
              <w:rPr>
                <w:rFonts w:ascii="宋体" w:hAnsi="宋体"/>
                <w:szCs w:val="21"/>
                <w:u w:val="single"/>
              </w:rPr>
              <w:t xml:space="preserve">    </w:t>
            </w:r>
            <w:r>
              <w:rPr>
                <w:rFonts w:hint="eastAsia" w:ascii="宋体" w:hAnsi="宋体"/>
                <w:szCs w:val="21"/>
              </w:rPr>
              <w:t>％。当有效投标报价少于n（含）家时，则以所有有效投标报价的算术平均值乘以</w:t>
            </w:r>
            <w:r>
              <w:rPr>
                <w:rFonts w:ascii="宋体" w:hAnsi="宋体"/>
                <w:szCs w:val="21"/>
                <w:u w:val="single"/>
              </w:rPr>
              <w:t xml:space="preserve">    </w:t>
            </w:r>
            <w:r>
              <w:rPr>
                <w:rFonts w:hint="eastAsia" w:ascii="宋体" w:hAnsi="宋体"/>
                <w:szCs w:val="21"/>
              </w:rPr>
              <w:t>％。n=</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rPr>
            </w:pPr>
          </w:p>
        </w:tc>
        <w:tc>
          <w:tcPr>
            <w:tcW w:w="7513" w:type="dxa"/>
            <w:gridSpan w:val="3"/>
            <w:vAlign w:val="center"/>
          </w:tcPr>
          <w:p>
            <w:pPr>
              <w:spacing w:line="240" w:lineRule="atLeast"/>
              <w:jc w:val="left"/>
              <w:rPr>
                <w:rFonts w:ascii="宋体" w:hAnsi="宋体"/>
                <w:szCs w:val="21"/>
              </w:rPr>
            </w:pPr>
            <w:r>
              <w:rPr>
                <w:rFonts w:hint="eastAsia" w:ascii="宋体" w:hAnsi="宋体"/>
                <w:szCs w:val="21"/>
              </w:rPr>
              <w:sym w:font="Wingdings 2" w:char="0052"/>
            </w:r>
            <w:r>
              <w:rPr>
                <w:rFonts w:hint="eastAsia" w:ascii="宋体" w:hAnsi="宋体"/>
                <w:szCs w:val="21"/>
              </w:rPr>
              <w:t>取有效投标报价算术平均值。</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rPr>
            </w:pPr>
          </w:p>
        </w:tc>
        <w:tc>
          <w:tcPr>
            <w:tcW w:w="7513" w:type="dxa"/>
            <w:gridSpan w:val="3"/>
            <w:vAlign w:val="center"/>
          </w:tcPr>
          <w:p>
            <w:pPr>
              <w:spacing w:line="240" w:lineRule="atLeast"/>
              <w:jc w:val="left"/>
              <w:rPr>
                <w:rFonts w:ascii="宋体" w:hAnsi="宋体"/>
                <w:szCs w:val="21"/>
              </w:rPr>
            </w:pPr>
            <w:r>
              <w:rPr>
                <w:rFonts w:hint="eastAsia" w:ascii="宋体" w:hAnsi="宋体"/>
                <w:szCs w:val="21"/>
              </w:rPr>
              <w:t>□有效投标报价的最低价为基价。</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704" w:type="dxa"/>
            <w:vMerge w:val="continue"/>
          </w:tcPr>
          <w:p>
            <w:pPr>
              <w:spacing w:line="360" w:lineRule="auto"/>
              <w:jc w:val="center"/>
              <w:rPr>
                <w:rFonts w:ascii="宋体" w:hAnsi="宋体"/>
                <w:szCs w:val="21"/>
              </w:rPr>
            </w:pPr>
          </w:p>
        </w:tc>
        <w:tc>
          <w:tcPr>
            <w:tcW w:w="1134" w:type="dxa"/>
            <w:vMerge w:val="restart"/>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563" w:type="dxa"/>
            <w:gridSpan w:val="2"/>
            <w:vAlign w:val="center"/>
          </w:tcPr>
          <w:p>
            <w:pPr>
              <w:spacing w:line="240" w:lineRule="atLeast"/>
              <w:jc w:val="center"/>
              <w:rPr>
                <w:rFonts w:ascii="宋体" w:cs="宋体"/>
                <w:kern w:val="0"/>
                <w:szCs w:val="21"/>
              </w:rPr>
            </w:pPr>
            <w:r>
              <w:rPr>
                <w:rFonts w:hint="eastAsia" w:ascii="宋体" w:hAnsi="宋体"/>
                <w:szCs w:val="21"/>
              </w:rPr>
              <w:t>□固定</w:t>
            </w:r>
            <w:r>
              <w:rPr>
                <w:rFonts w:ascii="宋体" w:hAnsi="宋体"/>
                <w:szCs w:val="21"/>
              </w:rPr>
              <w:t>比例</w:t>
            </w:r>
            <w:r>
              <w:rPr>
                <w:rFonts w:hint="eastAsia" w:ascii="宋体" w:hAnsi="宋体"/>
                <w:szCs w:val="21"/>
              </w:rPr>
              <w:t>法</w:t>
            </w:r>
          </w:p>
        </w:tc>
        <w:tc>
          <w:tcPr>
            <w:tcW w:w="5950" w:type="dxa"/>
            <w:vAlign w:val="center"/>
          </w:tcPr>
          <w:p>
            <w:pPr>
              <w:autoSpaceDE w:val="0"/>
              <w:autoSpaceDN w:val="0"/>
              <w:adjustRightInd w:val="0"/>
              <w:snapToGrid w:val="0"/>
              <w:jc w:val="left"/>
              <w:rPr>
                <w:rFonts w:ascii="宋体" w:hAnsi="宋体"/>
                <w:szCs w:val="21"/>
              </w:rPr>
            </w:pPr>
            <w:r>
              <w:rPr>
                <w:rFonts w:hint="eastAsia" w:ascii="宋体" w:hAnsi="宋体"/>
                <w:szCs w:val="21"/>
              </w:rPr>
              <w:t>价格得分=M-[（｜投标价格-基准价｜/基准价）*100/</w:t>
            </w:r>
            <w:r>
              <w:rPr>
                <w:rFonts w:ascii="宋体" w:hAnsi="宋体"/>
                <w:szCs w:val="21"/>
              </w:rPr>
              <w:t>N]*</w:t>
            </w:r>
            <w:r>
              <w:rPr>
                <w:rFonts w:hint="eastAsia" w:ascii="宋体" w:hAnsi="宋体"/>
                <w:szCs w:val="21"/>
              </w:rPr>
              <w:t>扣分值</w:t>
            </w:r>
          </w:p>
          <w:p>
            <w:pPr>
              <w:autoSpaceDE w:val="0"/>
              <w:autoSpaceDN w:val="0"/>
              <w:adjustRightInd w:val="0"/>
              <w:snapToGrid w:val="0"/>
              <w:jc w:val="left"/>
              <w:rPr>
                <w:rFonts w:ascii="宋体" w:hAnsi="宋体"/>
                <w:szCs w:val="21"/>
              </w:rPr>
            </w:pPr>
            <w:r>
              <w:rPr>
                <w:rFonts w:hint="eastAsia" w:ascii="宋体" w:hAnsi="宋体"/>
                <w:szCs w:val="21"/>
              </w:rPr>
              <w:t>M=</w:t>
            </w:r>
            <w:r>
              <w:rPr>
                <w:rFonts w:ascii="宋体" w:hAnsi="宋体"/>
                <w:szCs w:val="21"/>
                <w:u w:val="single"/>
              </w:rPr>
              <w:t xml:space="preserve">    </w:t>
            </w:r>
            <w:r>
              <w:rPr>
                <w:rFonts w:hint="eastAsia" w:ascii="宋体" w:hAnsi="宋体"/>
                <w:szCs w:val="21"/>
              </w:rPr>
              <w:t>（价格评价分项满分值），N=</w:t>
            </w:r>
            <w:r>
              <w:rPr>
                <w:rFonts w:ascii="宋体" w:hAnsi="宋体"/>
                <w:szCs w:val="21"/>
                <w:u w:val="single"/>
              </w:rPr>
              <w:t xml:space="preserve">    </w:t>
            </w:r>
            <w:r>
              <w:rPr>
                <w:rFonts w:hint="eastAsia" w:ascii="宋体" w:hAnsi="宋体"/>
                <w:szCs w:val="21"/>
              </w:rPr>
              <w:t>，投标价格每高于N％时，扣</w:t>
            </w:r>
            <w:r>
              <w:rPr>
                <w:rFonts w:ascii="宋体" w:hAnsi="宋体"/>
                <w:szCs w:val="21"/>
                <w:u w:val="single"/>
              </w:rPr>
              <w:t xml:space="preserve">    </w:t>
            </w:r>
            <w:r>
              <w:rPr>
                <w:rFonts w:hint="eastAsia" w:ascii="宋体" w:hAnsi="宋体"/>
                <w:szCs w:val="21"/>
              </w:rPr>
              <w:t>分；每低于N％时，扣</w:t>
            </w:r>
            <w:r>
              <w:rPr>
                <w:rFonts w:ascii="宋体" w:hAnsi="宋体"/>
                <w:szCs w:val="21"/>
                <w:u w:val="single"/>
              </w:rPr>
              <w:t xml:space="preserve">    </w:t>
            </w:r>
            <w:r>
              <w:rPr>
                <w:rFonts w:hint="eastAsia" w:ascii="宋体" w:hAnsi="宋体"/>
                <w:szCs w:val="21"/>
              </w:rPr>
              <w:t>分；</w:t>
            </w:r>
          </w:p>
          <w:p>
            <w:pPr>
              <w:spacing w:line="240" w:lineRule="atLeast"/>
              <w:jc w:val="left"/>
              <w:rPr>
                <w:rFonts w:ascii="宋体" w:cs="宋体"/>
                <w:kern w:val="0"/>
                <w:szCs w:val="21"/>
              </w:rPr>
            </w:pPr>
            <w:r>
              <w:rPr>
                <w:rFonts w:hint="eastAsia" w:ascii="宋体" w:hAnsi="宋体"/>
                <w:szCs w:val="21"/>
              </w:rPr>
              <w:t>最低得0分。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rPr>
            </w:pPr>
          </w:p>
        </w:tc>
        <w:tc>
          <w:tcPr>
            <w:tcW w:w="1563" w:type="dxa"/>
            <w:gridSpan w:val="2"/>
            <w:vAlign w:val="center"/>
          </w:tcPr>
          <w:p>
            <w:pPr>
              <w:spacing w:line="240" w:lineRule="atLeast"/>
              <w:jc w:val="center"/>
              <w:rPr>
                <w:rFonts w:ascii="宋体" w:cs="宋体"/>
                <w:kern w:val="0"/>
                <w:szCs w:val="21"/>
              </w:rPr>
            </w:pPr>
            <w:r>
              <w:rPr>
                <w:rFonts w:hint="eastAsia" w:ascii="宋体" w:hAnsi="宋体"/>
                <w:szCs w:val="21"/>
              </w:rPr>
              <w:t>□固定乘积法</w:t>
            </w:r>
          </w:p>
        </w:tc>
        <w:tc>
          <w:tcPr>
            <w:tcW w:w="5950" w:type="dxa"/>
            <w:vAlign w:val="center"/>
          </w:tcPr>
          <w:p>
            <w:pPr>
              <w:autoSpaceDE w:val="0"/>
              <w:autoSpaceDN w:val="0"/>
              <w:adjustRightInd w:val="0"/>
              <w:snapToGrid w:val="0"/>
              <w:jc w:val="left"/>
              <w:rPr>
                <w:rStyle w:val="18"/>
                <w:rFonts w:ascii="宋体" w:hAnsi="宋体"/>
              </w:rPr>
            </w:pPr>
            <w:r>
              <w:rPr>
                <w:rStyle w:val="18"/>
                <w:rFonts w:hint="eastAsia" w:ascii="宋体" w:hAnsi="宋体"/>
              </w:rPr>
              <w:t>价格得分=（1-A×｜1-投标报价/Z｜）×M</w:t>
            </w:r>
          </w:p>
          <w:p>
            <w:pPr>
              <w:numPr>
                <w:ilvl w:val="0"/>
                <w:numId w:val="25"/>
              </w:numPr>
              <w:autoSpaceDE w:val="0"/>
              <w:autoSpaceDN w:val="0"/>
              <w:adjustRightInd w:val="0"/>
              <w:snapToGrid w:val="0"/>
              <w:jc w:val="left"/>
              <w:rPr>
                <w:rStyle w:val="18"/>
                <w:rFonts w:ascii="宋体" w:hAnsi="宋体"/>
              </w:rPr>
            </w:pPr>
            <w:r>
              <w:rPr>
                <w:rStyle w:val="18"/>
                <w:rFonts w:hint="eastAsia" w:ascii="宋体" w:hAnsi="宋体"/>
              </w:rPr>
              <w:t xml:space="preserve">M= </w:t>
            </w:r>
            <w:r>
              <w:rPr>
                <w:rFonts w:ascii="宋体" w:hAnsi="宋体"/>
                <w:szCs w:val="21"/>
              </w:rPr>
              <w:t>××</w:t>
            </w:r>
            <w:r>
              <w:rPr>
                <w:rStyle w:val="18"/>
                <w:rFonts w:hint="eastAsia" w:ascii="宋体" w:hAnsi="宋体"/>
              </w:rPr>
              <w:t xml:space="preserve"> （价格评价分项满分值），Z为本次招标最佳报价（即基准价）；</w:t>
            </w:r>
          </w:p>
          <w:p>
            <w:pPr>
              <w:numPr>
                <w:ilvl w:val="0"/>
                <w:numId w:val="25"/>
              </w:numPr>
              <w:autoSpaceDE w:val="0"/>
              <w:autoSpaceDN w:val="0"/>
              <w:adjustRightInd w:val="0"/>
              <w:snapToGrid w:val="0"/>
              <w:jc w:val="left"/>
              <w:rPr>
                <w:rStyle w:val="18"/>
                <w:rFonts w:ascii="宋体" w:hAnsi="宋体"/>
              </w:rPr>
            </w:pPr>
            <w:r>
              <w:rPr>
                <w:rStyle w:val="18"/>
                <w:rFonts w:hint="eastAsia" w:ascii="宋体" w:hAnsi="宋体"/>
              </w:rPr>
              <w:t>A为价格调整系数，当投标报价低于本次招标最佳报价（即基准价）时，A=0.5；当投标报价高于次招标最佳报价时，取A=1；</w:t>
            </w:r>
          </w:p>
          <w:p>
            <w:pPr>
              <w:numPr>
                <w:ilvl w:val="0"/>
                <w:numId w:val="25"/>
              </w:numPr>
              <w:jc w:val="left"/>
              <w:rPr>
                <w:rFonts w:ascii="宋体" w:cs="宋体"/>
                <w:kern w:val="0"/>
                <w:szCs w:val="21"/>
              </w:rPr>
            </w:pPr>
            <w:r>
              <w:rPr>
                <w:rStyle w:val="18"/>
                <w:rFonts w:hint="eastAsia" w:ascii="宋体" w:hAnsi="宋体"/>
              </w:rPr>
              <w:t>计算分数时四舍五入取小数点后两位，当价格分＜0时，取0。</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rPr>
            </w:pPr>
          </w:p>
        </w:tc>
        <w:tc>
          <w:tcPr>
            <w:tcW w:w="1563" w:type="dxa"/>
            <w:gridSpan w:val="2"/>
            <w:vAlign w:val="center"/>
          </w:tcPr>
          <w:p>
            <w:pPr>
              <w:spacing w:line="240" w:lineRule="atLeast"/>
              <w:jc w:val="center"/>
              <w:rPr>
                <w:rFonts w:ascii="宋体" w:hAnsi="宋体"/>
                <w:szCs w:val="21"/>
              </w:rPr>
            </w:pPr>
            <w:r>
              <w:rPr>
                <w:rFonts w:hint="eastAsia" w:ascii="宋体" w:hAnsi="宋体"/>
                <w:szCs w:val="21"/>
              </w:rPr>
              <w:sym w:font="Wingdings 2" w:char="0052"/>
            </w:r>
            <w:r>
              <w:rPr>
                <w:rFonts w:hint="eastAsia" w:ascii="宋体" w:hAnsi="宋体"/>
                <w:szCs w:val="21"/>
              </w:rPr>
              <w:t>其他</w:t>
            </w:r>
            <w:r>
              <w:rPr>
                <w:rFonts w:ascii="宋体" w:hAnsi="宋体"/>
                <w:szCs w:val="21"/>
              </w:rPr>
              <w:t>方法</w:t>
            </w:r>
          </w:p>
        </w:tc>
        <w:tc>
          <w:tcPr>
            <w:tcW w:w="5950" w:type="dxa"/>
            <w:vAlign w:val="center"/>
          </w:tcPr>
          <w:p>
            <w:pPr>
              <w:numPr>
                <w:ilvl w:val="255"/>
                <w:numId w:val="0"/>
              </w:numPr>
              <w:tabs>
                <w:tab w:val="left" w:pos="3780"/>
              </w:tabs>
              <w:snapToGrid w:val="0"/>
              <w:jc w:val="left"/>
              <w:rPr>
                <w:rFonts w:ascii="宋体" w:hAnsi="宋体" w:cs="宋体"/>
                <w:kern w:val="0"/>
                <w:szCs w:val="21"/>
              </w:rPr>
            </w:pPr>
            <w:r>
              <w:rPr>
                <w:rFonts w:hint="eastAsia" w:ascii="宋体" w:hAnsi="宋体"/>
                <w:szCs w:val="21"/>
              </w:rPr>
              <w:t>价格得分=（1</w:t>
            </w:r>
            <w:r>
              <w:rPr>
                <w:rFonts w:ascii="宋体" w:hAnsi="宋体"/>
                <w:szCs w:val="21"/>
              </w:rPr>
              <w:t>-</w:t>
            </w:r>
            <w:r>
              <w:rPr>
                <w:rFonts w:hint="eastAsia" w:ascii="宋体" w:hAnsi="宋体" w:cs="宋体"/>
                <w:kern w:val="0"/>
                <w:szCs w:val="21"/>
              </w:rPr>
              <w:t>|投标报价-基准价|÷基准价）×价格权重分</w:t>
            </w:r>
          </w:p>
          <w:p>
            <w:pPr>
              <w:spacing w:line="240" w:lineRule="atLeast"/>
              <w:jc w:val="left"/>
              <w:rPr>
                <w:rFonts w:ascii="宋体" w:cs="宋体"/>
                <w:kern w:val="0"/>
                <w:szCs w:val="21"/>
              </w:rPr>
            </w:pPr>
            <w:r>
              <w:rPr>
                <w:rFonts w:hint="eastAsia" w:ascii="宋体" w:hAnsi="宋体" w:cs="宋体"/>
                <w:kern w:val="0"/>
                <w:szCs w:val="21"/>
              </w:rPr>
              <w:t>说明：报价最接近基准价的投标人价格分最高，价格分保留至小数点后两位。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6"/>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6"/>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48" w:name="_Toc26348"/>
      <w:r>
        <w:rPr>
          <w:rFonts w:hint="eastAsia" w:ascii="宋体" w:hAnsi="宋体"/>
          <w:b/>
          <w:sz w:val="32"/>
          <w:szCs w:val="32"/>
        </w:rPr>
        <w:t>第四部分：合同条款及格式</w:t>
      </w:r>
      <w:bookmarkEnd w:id="48"/>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r>
        <w:rPr>
          <w:rFonts w:hint="eastAsia" w:ascii="宋体" w:hAnsi="宋体"/>
          <w:szCs w:val="21"/>
        </w:rPr>
        <w:t>深圳会展中心将高交会子展发展成为自办展可行性研究项目委托</w:t>
      </w:r>
      <w:r>
        <w:rPr>
          <w:rFonts w:hint="eastAsia" w:ascii="方正小标宋简体" w:hAnsi="方正小标宋简体" w:eastAsia="方正小标宋简体" w:cs="方正小标宋简体"/>
          <w:bCs/>
          <w:kern w:val="0"/>
          <w:sz w:val="28"/>
          <w:szCs w:val="28"/>
        </w:rPr>
        <w:t>合同</w:t>
      </w:r>
    </w:p>
    <w:p>
      <w:pPr>
        <w:jc w:val="center"/>
        <w:rPr>
          <w:rFonts w:ascii="宋体" w:hAnsi="宋体"/>
          <w:szCs w:val="21"/>
        </w:rPr>
      </w:pPr>
      <w:r>
        <w:rPr>
          <w:rFonts w:hint="eastAsia" w:ascii="方正小标宋简体" w:hAnsi="方正小标宋简体" w:eastAsia="方正小标宋简体" w:cs="方正小标宋简体"/>
          <w:bCs/>
          <w:kern w:val="0"/>
          <w:sz w:val="28"/>
          <w:szCs w:val="28"/>
        </w:rPr>
        <w:t>（仅供参考）</w:t>
      </w:r>
    </w:p>
    <w:tbl>
      <w:tblPr>
        <w:tblStyle w:val="1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48" w:type="dxa"/>
            <w:vAlign w:val="center"/>
          </w:tcPr>
          <w:p>
            <w:pPr>
              <w:rPr>
                <w:rFonts w:ascii="宋体" w:hAnsi="宋体"/>
                <w:szCs w:val="21"/>
              </w:rPr>
            </w:pPr>
            <w:r>
              <w:rPr>
                <w:rFonts w:hint="eastAsia" w:ascii="宋体" w:hAnsi="宋体"/>
                <w:szCs w:val="21"/>
              </w:rPr>
              <w:t>甲方：深圳会展中心管理有限责任公司</w:t>
            </w:r>
          </w:p>
          <w:p>
            <w:pPr>
              <w:rPr>
                <w:rFonts w:ascii="宋体" w:hAnsi="宋体"/>
                <w:szCs w:val="21"/>
                <w:u w:val="single"/>
              </w:rPr>
            </w:pPr>
            <w:r>
              <w:rPr>
                <w:rFonts w:hint="eastAsia" w:ascii="宋体" w:hAnsi="宋体"/>
                <w:szCs w:val="21"/>
              </w:rPr>
              <w:t>法人代表：</w:t>
            </w:r>
            <w:r>
              <w:rPr>
                <w:rFonts w:ascii="宋体" w:hAnsi="宋体"/>
                <w:szCs w:val="21"/>
                <w:u w:val="single"/>
              </w:rPr>
              <w:t xml:space="preserve">                  </w:t>
            </w:r>
          </w:p>
          <w:p>
            <w:pPr>
              <w:rPr>
                <w:rFonts w:ascii="宋体" w:hAnsi="宋体"/>
                <w:szCs w:val="21"/>
              </w:rPr>
            </w:pPr>
            <w:r>
              <w:rPr>
                <w:rFonts w:hint="eastAsia" w:ascii="宋体" w:hAnsi="宋体"/>
                <w:szCs w:val="21"/>
              </w:rPr>
              <w:t>联 系 人：</w:t>
            </w:r>
            <w:r>
              <w:rPr>
                <w:rFonts w:ascii="宋体" w:hAnsi="宋体"/>
                <w:szCs w:val="21"/>
                <w:u w:val="single"/>
              </w:rPr>
              <w:t xml:space="preserve">                  </w:t>
            </w:r>
          </w:p>
          <w:p>
            <w:pPr>
              <w:rPr>
                <w:rFonts w:ascii="宋体" w:hAnsi="宋体"/>
                <w:szCs w:val="21"/>
              </w:rPr>
            </w:pPr>
            <w:r>
              <w:rPr>
                <w:rFonts w:hint="eastAsia" w:ascii="宋体" w:hAnsi="宋体"/>
                <w:szCs w:val="21"/>
              </w:rPr>
              <w:t>联系电话：</w:t>
            </w:r>
            <w:r>
              <w:rPr>
                <w:rFonts w:ascii="宋体" w:hAnsi="宋体"/>
                <w:szCs w:val="21"/>
                <w:u w:val="single"/>
              </w:rPr>
              <w:t xml:space="preserve">                  </w:t>
            </w:r>
          </w:p>
          <w:p>
            <w:pPr>
              <w:rPr>
                <w:rFonts w:ascii="宋体" w:hAnsi="宋体"/>
                <w:szCs w:val="21"/>
              </w:rPr>
            </w:pPr>
            <w:r>
              <w:rPr>
                <w:rFonts w:hint="eastAsia" w:ascii="宋体" w:hAnsi="宋体"/>
                <w:szCs w:val="21"/>
              </w:rPr>
              <w:t>开户银行：</w:t>
            </w:r>
            <w:r>
              <w:rPr>
                <w:rFonts w:ascii="宋体" w:hAnsi="宋体"/>
                <w:szCs w:val="21"/>
                <w:u w:val="single"/>
              </w:rPr>
              <w:t xml:space="preserve">                  </w:t>
            </w:r>
          </w:p>
          <w:p>
            <w:pPr>
              <w:rPr>
                <w:rFonts w:ascii="宋体" w:hAnsi="宋体"/>
                <w:szCs w:val="21"/>
              </w:rPr>
            </w:pPr>
            <w:r>
              <w:rPr>
                <w:rFonts w:hint="eastAsia" w:ascii="宋体" w:hAnsi="宋体"/>
                <w:szCs w:val="21"/>
              </w:rPr>
              <w:t>银行账号：</w:t>
            </w:r>
            <w:r>
              <w:rPr>
                <w:rFonts w:ascii="宋体" w:hAnsi="宋体"/>
                <w:szCs w:val="21"/>
                <w:u w:val="single"/>
              </w:rPr>
              <w:t xml:space="preserve">                  </w:t>
            </w:r>
          </w:p>
        </w:tc>
        <w:tc>
          <w:tcPr>
            <w:tcW w:w="4148" w:type="dxa"/>
            <w:vAlign w:val="center"/>
          </w:tcPr>
          <w:p>
            <w:pPr>
              <w:spacing w:line="400" w:lineRule="exact"/>
              <w:rPr>
                <w:rFonts w:ascii="宋体" w:hAnsi="宋体"/>
                <w:szCs w:val="21"/>
              </w:rPr>
            </w:pPr>
            <w:r>
              <w:rPr>
                <w:rFonts w:hint="eastAsia" w:ascii="宋体" w:hAnsi="宋体"/>
                <w:szCs w:val="21"/>
              </w:rPr>
              <w:t>乙    方：</w:t>
            </w:r>
            <w:r>
              <w:rPr>
                <w:rFonts w:ascii="宋体" w:hAnsi="宋体"/>
                <w:szCs w:val="21"/>
                <w:u w:val="single"/>
              </w:rPr>
              <w:t xml:space="preserve">                  </w:t>
            </w:r>
          </w:p>
          <w:p>
            <w:pPr>
              <w:rPr>
                <w:rFonts w:ascii="宋体" w:hAnsi="宋体"/>
                <w:szCs w:val="21"/>
              </w:rPr>
            </w:pPr>
            <w:r>
              <w:rPr>
                <w:rFonts w:hint="eastAsia" w:ascii="宋体" w:hAnsi="宋体"/>
                <w:szCs w:val="21"/>
              </w:rPr>
              <w:t>法人代表：</w:t>
            </w:r>
            <w:r>
              <w:rPr>
                <w:rFonts w:ascii="宋体" w:hAnsi="宋体"/>
                <w:szCs w:val="21"/>
                <w:u w:val="single"/>
              </w:rPr>
              <w:t xml:space="preserve">                  </w:t>
            </w:r>
          </w:p>
          <w:p>
            <w:pPr>
              <w:rPr>
                <w:rFonts w:ascii="宋体" w:hAnsi="宋体"/>
                <w:szCs w:val="21"/>
              </w:rPr>
            </w:pPr>
            <w:r>
              <w:rPr>
                <w:rFonts w:hint="eastAsia" w:ascii="宋体" w:hAnsi="宋体"/>
                <w:szCs w:val="21"/>
              </w:rPr>
              <w:t>联 系 人：</w:t>
            </w:r>
            <w:r>
              <w:rPr>
                <w:rFonts w:ascii="宋体" w:hAnsi="宋体"/>
                <w:szCs w:val="21"/>
                <w:u w:val="single"/>
              </w:rPr>
              <w:t xml:space="preserve">                  </w:t>
            </w:r>
          </w:p>
          <w:p>
            <w:pPr>
              <w:rPr>
                <w:rFonts w:ascii="宋体" w:hAnsi="宋体"/>
                <w:szCs w:val="21"/>
              </w:rPr>
            </w:pPr>
            <w:r>
              <w:rPr>
                <w:rFonts w:hint="eastAsia" w:ascii="宋体" w:hAnsi="宋体"/>
                <w:szCs w:val="21"/>
              </w:rPr>
              <w:t>联系电话：</w:t>
            </w:r>
            <w:r>
              <w:rPr>
                <w:rFonts w:ascii="宋体" w:hAnsi="宋体"/>
                <w:szCs w:val="21"/>
                <w:u w:val="single"/>
              </w:rPr>
              <w:t xml:space="preserve">                  </w:t>
            </w:r>
          </w:p>
          <w:p>
            <w:pPr>
              <w:rPr>
                <w:rFonts w:ascii="宋体" w:hAnsi="宋体"/>
                <w:szCs w:val="21"/>
              </w:rPr>
            </w:pPr>
            <w:r>
              <w:rPr>
                <w:rFonts w:hint="eastAsia" w:ascii="宋体" w:hAnsi="宋体"/>
                <w:szCs w:val="21"/>
              </w:rPr>
              <w:t>开户银行：</w:t>
            </w:r>
            <w:r>
              <w:rPr>
                <w:rFonts w:ascii="宋体" w:hAnsi="宋体"/>
                <w:szCs w:val="21"/>
                <w:u w:val="single"/>
              </w:rPr>
              <w:t xml:space="preserve">                  </w:t>
            </w:r>
          </w:p>
          <w:p>
            <w:pPr>
              <w:rPr>
                <w:rFonts w:ascii="宋体" w:hAnsi="宋体"/>
                <w:szCs w:val="21"/>
              </w:rPr>
            </w:pPr>
            <w:r>
              <w:rPr>
                <w:rFonts w:hint="eastAsia" w:ascii="宋体" w:hAnsi="宋体"/>
                <w:szCs w:val="21"/>
              </w:rPr>
              <w:t>银行账号：</w:t>
            </w:r>
            <w:r>
              <w:rPr>
                <w:rFonts w:ascii="宋体" w:hAnsi="宋体"/>
                <w:szCs w:val="21"/>
                <w:u w:val="single"/>
              </w:rPr>
              <w:t xml:space="preserve">                  </w:t>
            </w:r>
          </w:p>
        </w:tc>
      </w:tr>
    </w:tbl>
    <w:p>
      <w:pPr>
        <w:ind w:firstLine="420" w:firstLineChars="200"/>
        <w:jc w:val="left"/>
        <w:rPr>
          <w:rFonts w:ascii="宋体" w:hAnsi="宋体"/>
          <w:szCs w:val="21"/>
        </w:rPr>
      </w:pPr>
    </w:p>
    <w:p>
      <w:pPr>
        <w:spacing w:line="440" w:lineRule="exact"/>
        <w:rPr>
          <w:rFonts w:ascii="宋体" w:hAnsi="宋体"/>
          <w:b/>
          <w:szCs w:val="21"/>
        </w:rPr>
      </w:pPr>
      <w:r>
        <w:rPr>
          <w:rFonts w:hint="eastAsia" w:ascii="宋体" w:hAnsi="宋体"/>
          <w:b/>
          <w:szCs w:val="21"/>
        </w:rPr>
        <w:t>第一条  服务内容</w:t>
      </w:r>
    </w:p>
    <w:p>
      <w:pPr>
        <w:spacing w:line="440" w:lineRule="exact"/>
        <w:rPr>
          <w:rFonts w:ascii="宋体" w:hAnsi="宋体"/>
          <w:szCs w:val="21"/>
        </w:rPr>
      </w:pPr>
      <w:r>
        <w:rPr>
          <w:rFonts w:hint="eastAsia" w:ascii="宋体" w:hAnsi="宋体"/>
          <w:szCs w:val="21"/>
        </w:rPr>
        <w:t>1、由乙方对将高交会子展发展成为自办展进行可行性研究。</w:t>
      </w:r>
    </w:p>
    <w:p>
      <w:pPr>
        <w:spacing w:line="440" w:lineRule="exact"/>
        <w:rPr>
          <w:rFonts w:ascii="宋体" w:hAnsi="宋体"/>
          <w:b/>
          <w:szCs w:val="21"/>
        </w:rPr>
      </w:pPr>
      <w:r>
        <w:rPr>
          <w:rFonts w:hint="eastAsia" w:ascii="宋体" w:hAnsi="宋体"/>
          <w:b/>
          <w:szCs w:val="21"/>
        </w:rPr>
        <w:t>第二条  完成期限、工作方式及报告提交</w:t>
      </w:r>
    </w:p>
    <w:p>
      <w:pPr>
        <w:spacing w:line="440" w:lineRule="exact"/>
        <w:rPr>
          <w:rFonts w:ascii="宋体" w:hAnsi="宋体"/>
          <w:szCs w:val="21"/>
        </w:rPr>
      </w:pPr>
      <w:r>
        <w:rPr>
          <w:rFonts w:hint="eastAsia" w:ascii="宋体" w:hAnsi="宋体"/>
          <w:szCs w:val="21"/>
        </w:rPr>
        <w:t xml:space="preserve">1、进度安排：乙方自本合同签订之日起正式启动，最终项目时间将于2022年9月30日前提交成果并完成验收。 </w:t>
      </w:r>
    </w:p>
    <w:p>
      <w:pPr>
        <w:spacing w:line="440" w:lineRule="exact"/>
        <w:rPr>
          <w:rFonts w:ascii="宋体" w:hAnsi="宋体"/>
          <w:szCs w:val="21"/>
        </w:rPr>
      </w:pPr>
      <w:r>
        <w:rPr>
          <w:rFonts w:hint="eastAsia" w:ascii="宋体" w:hAnsi="宋体"/>
          <w:szCs w:val="21"/>
        </w:rPr>
        <w:t>2、乙方工作时间表暂定如下，甲乙双方可根据实际需求情况进行调整：</w:t>
      </w:r>
    </w:p>
    <w:p>
      <w:pPr>
        <w:spacing w:line="440" w:lineRule="exact"/>
        <w:rPr>
          <w:rFonts w:ascii="宋体" w:hAnsi="宋体"/>
          <w:szCs w:val="21"/>
        </w:rPr>
      </w:pPr>
      <w:r>
        <w:rPr>
          <w:rFonts w:hint="eastAsia" w:ascii="宋体" w:hAnsi="宋体"/>
          <w:szCs w:val="21"/>
        </w:rPr>
        <w:t>•</w:t>
      </w:r>
      <w:r>
        <w:rPr>
          <w:rFonts w:hint="eastAsia" w:ascii="宋体" w:hAnsi="宋体"/>
          <w:szCs w:val="21"/>
        </w:rPr>
        <w:tab/>
      </w:r>
      <w:r>
        <w:rPr>
          <w:rFonts w:hint="eastAsia" w:ascii="宋体" w:hAnsi="宋体"/>
          <w:szCs w:val="21"/>
        </w:rPr>
        <w:t>中标一周内，乙方提供详细的项目日程安排表，完成展会资料收集整理；</w:t>
      </w:r>
    </w:p>
    <w:p>
      <w:pPr>
        <w:spacing w:line="440" w:lineRule="exact"/>
        <w:rPr>
          <w:rFonts w:ascii="宋体" w:hAnsi="宋体"/>
          <w:szCs w:val="21"/>
        </w:rPr>
      </w:pPr>
      <w:r>
        <w:rPr>
          <w:rFonts w:hint="eastAsia" w:ascii="宋体" w:hAnsi="宋体"/>
          <w:szCs w:val="21"/>
        </w:rPr>
        <w:t>•</w:t>
      </w:r>
      <w:r>
        <w:rPr>
          <w:rFonts w:hint="eastAsia" w:ascii="宋体" w:hAnsi="宋体"/>
          <w:szCs w:val="21"/>
        </w:rPr>
        <w:tab/>
      </w:r>
      <w:r>
        <w:rPr>
          <w:rFonts w:hint="eastAsia" w:ascii="宋体" w:hAnsi="宋体"/>
          <w:szCs w:val="21"/>
        </w:rPr>
        <w:t>2022年9月1日前，乙方根据调研分析，完成报告初稿；</w:t>
      </w:r>
    </w:p>
    <w:p>
      <w:pPr>
        <w:spacing w:line="440" w:lineRule="exact"/>
        <w:rPr>
          <w:rFonts w:ascii="宋体" w:hAnsi="宋体"/>
          <w:szCs w:val="21"/>
        </w:rPr>
      </w:pPr>
      <w:r>
        <w:rPr>
          <w:rFonts w:hint="eastAsia" w:ascii="宋体" w:hAnsi="宋体"/>
          <w:szCs w:val="21"/>
        </w:rPr>
        <w:t>•</w:t>
      </w:r>
      <w:r>
        <w:rPr>
          <w:rFonts w:hint="eastAsia" w:ascii="宋体" w:hAnsi="宋体"/>
          <w:szCs w:val="21"/>
        </w:rPr>
        <w:tab/>
      </w:r>
      <w:r>
        <w:rPr>
          <w:rFonts w:hint="eastAsia" w:ascii="宋体" w:hAnsi="宋体"/>
          <w:szCs w:val="21"/>
        </w:rPr>
        <w:t>2022年9月30日前，乙方完成最终报审稿并由甲方验收完成。</w:t>
      </w:r>
    </w:p>
    <w:p>
      <w:pPr>
        <w:spacing w:line="440" w:lineRule="exact"/>
        <w:rPr>
          <w:rFonts w:ascii="宋体" w:hAnsi="宋体"/>
          <w:szCs w:val="21"/>
        </w:rPr>
      </w:pPr>
      <w:r>
        <w:rPr>
          <w:rFonts w:hint="eastAsia" w:ascii="宋体" w:hAnsi="宋体"/>
          <w:szCs w:val="21"/>
        </w:rPr>
        <w:t>3、乙方提交研究分析报告的方式：电子版，以MS office文档方式(Word或power Point两种形式)。</w:t>
      </w:r>
    </w:p>
    <w:p>
      <w:pPr>
        <w:spacing w:line="440" w:lineRule="exact"/>
        <w:rPr>
          <w:rFonts w:ascii="宋体" w:hAnsi="宋体"/>
          <w:szCs w:val="21"/>
        </w:rPr>
      </w:pPr>
      <w:r>
        <w:rPr>
          <w:rFonts w:hint="eastAsia" w:ascii="宋体" w:hAnsi="宋体"/>
          <w:szCs w:val="21"/>
        </w:rPr>
        <w:t>4、若基于不可抗拒的原因（如因疫情停工等）致使项目延期，则合同有效期自动延续至成果验收完成。</w:t>
      </w:r>
    </w:p>
    <w:p>
      <w:pPr>
        <w:spacing w:line="440" w:lineRule="exact"/>
        <w:rPr>
          <w:rFonts w:ascii="宋体" w:hAnsi="宋体"/>
          <w:b/>
          <w:szCs w:val="21"/>
        </w:rPr>
      </w:pPr>
      <w:r>
        <w:rPr>
          <w:rFonts w:hint="eastAsia" w:ascii="宋体" w:hAnsi="宋体"/>
          <w:b/>
          <w:szCs w:val="21"/>
        </w:rPr>
        <w:t>第三条  合同有效期、金额、支付时间及方式</w:t>
      </w:r>
    </w:p>
    <w:p>
      <w:pPr>
        <w:spacing w:line="440" w:lineRule="exact"/>
        <w:rPr>
          <w:rFonts w:ascii="宋体" w:hAnsi="宋体"/>
          <w:szCs w:val="21"/>
        </w:rPr>
      </w:pPr>
      <w:r>
        <w:rPr>
          <w:rFonts w:hint="eastAsia" w:ascii="宋体" w:hAnsi="宋体"/>
          <w:szCs w:val="21"/>
        </w:rPr>
        <w:t xml:space="preserve">1、合同有效期为合同签订生效时起至甲方验收乙方提交的研究成果及完成合同款项支付时终止。 </w:t>
      </w:r>
    </w:p>
    <w:p>
      <w:pPr>
        <w:spacing w:line="440" w:lineRule="exact"/>
        <w:rPr>
          <w:rFonts w:ascii="宋体" w:hAnsi="宋体"/>
          <w:szCs w:val="21"/>
        </w:rPr>
      </w:pPr>
      <w:r>
        <w:rPr>
          <w:rFonts w:hint="eastAsia" w:ascii="宋体" w:hAnsi="宋体"/>
          <w:szCs w:val="21"/>
        </w:rPr>
        <w:t>2、合同总金额共计：  。</w:t>
      </w:r>
    </w:p>
    <w:p>
      <w:pPr>
        <w:spacing w:line="440" w:lineRule="exact"/>
        <w:rPr>
          <w:rFonts w:ascii="宋体" w:hAnsi="宋体"/>
          <w:szCs w:val="21"/>
        </w:rPr>
      </w:pPr>
      <w:r>
        <w:rPr>
          <w:rFonts w:hint="eastAsia" w:ascii="宋体" w:hAnsi="宋体"/>
          <w:szCs w:val="21"/>
        </w:rPr>
        <w:t>3、甲方选择第（3）种方式按以下时间安排支付合同金额：（1）现金；（2）支票；（3）转账。</w:t>
      </w:r>
    </w:p>
    <w:p>
      <w:pPr>
        <w:spacing w:line="440" w:lineRule="exact"/>
        <w:rPr>
          <w:rFonts w:ascii="宋体" w:hAnsi="宋体"/>
          <w:szCs w:val="21"/>
        </w:rPr>
      </w:pPr>
      <w:r>
        <w:rPr>
          <w:rFonts w:hint="eastAsia" w:ascii="宋体" w:hAnsi="宋体"/>
          <w:szCs w:val="21"/>
        </w:rPr>
        <w:t>4、本合同签署生效且甲方收到乙方开具的支付金额可抵扣的增值税专用发票后，甲方向乙方支付预付款人民币  元。甲方对乙方提交的研究报告验收完成后，且收到乙方开具的支付金额可抵扣的增值税专用发票后向乙方支付合同剩余款项人民币  元。</w:t>
      </w:r>
    </w:p>
    <w:p>
      <w:pPr>
        <w:spacing w:line="440" w:lineRule="exact"/>
        <w:rPr>
          <w:rFonts w:ascii="宋体" w:hAnsi="宋体"/>
          <w:szCs w:val="21"/>
        </w:rPr>
      </w:pPr>
      <w:r>
        <w:rPr>
          <w:rFonts w:hint="eastAsia" w:ascii="宋体" w:hAnsi="宋体"/>
          <w:szCs w:val="21"/>
        </w:rPr>
        <w:t>5、乙方应该于甲方付款前提供正规增值税专用发票，通过挂号信/EMS寄给甲方。因乙方未按时提供合法有效的发票导致付款延期的，与甲方无关。</w:t>
      </w:r>
    </w:p>
    <w:p>
      <w:pPr>
        <w:spacing w:line="440" w:lineRule="exact"/>
        <w:rPr>
          <w:rFonts w:ascii="宋体" w:hAnsi="宋体"/>
          <w:szCs w:val="21"/>
        </w:rPr>
      </w:pPr>
      <w:r>
        <w:rPr>
          <w:rFonts w:hint="eastAsia" w:ascii="宋体" w:hAnsi="宋体"/>
          <w:szCs w:val="21"/>
        </w:rPr>
        <w:t>乙方接受汇款账号如下：</w:t>
      </w:r>
    </w:p>
    <w:p>
      <w:pPr>
        <w:spacing w:line="440" w:lineRule="exact"/>
        <w:rPr>
          <w:rFonts w:ascii="宋体" w:hAnsi="宋体"/>
          <w:szCs w:val="21"/>
        </w:rPr>
      </w:pPr>
      <w:r>
        <w:rPr>
          <w:rFonts w:hint="eastAsia" w:ascii="宋体" w:hAnsi="宋体"/>
          <w:szCs w:val="21"/>
        </w:rPr>
        <w:t>开户名称：</w:t>
      </w:r>
    </w:p>
    <w:p>
      <w:pPr>
        <w:spacing w:line="440" w:lineRule="exact"/>
        <w:rPr>
          <w:rFonts w:ascii="宋体" w:hAnsi="宋体"/>
          <w:szCs w:val="21"/>
        </w:rPr>
      </w:pPr>
      <w:r>
        <w:rPr>
          <w:rFonts w:hint="eastAsia" w:ascii="宋体" w:hAnsi="宋体"/>
          <w:szCs w:val="21"/>
        </w:rPr>
        <w:t xml:space="preserve">开户行：  </w:t>
      </w:r>
    </w:p>
    <w:p>
      <w:pPr>
        <w:spacing w:line="440" w:lineRule="exact"/>
        <w:rPr>
          <w:rFonts w:ascii="宋体" w:hAnsi="宋体"/>
          <w:szCs w:val="21"/>
        </w:rPr>
      </w:pPr>
      <w:r>
        <w:rPr>
          <w:rFonts w:hint="eastAsia" w:ascii="宋体" w:hAnsi="宋体"/>
          <w:szCs w:val="21"/>
        </w:rPr>
        <w:t>银行帐户：</w:t>
      </w:r>
    </w:p>
    <w:p>
      <w:pPr>
        <w:spacing w:line="440" w:lineRule="exact"/>
        <w:rPr>
          <w:rFonts w:ascii="宋体" w:hAnsi="宋体"/>
          <w:b/>
          <w:szCs w:val="21"/>
        </w:rPr>
      </w:pPr>
      <w:r>
        <w:rPr>
          <w:rFonts w:hint="eastAsia" w:ascii="宋体" w:hAnsi="宋体"/>
          <w:b/>
          <w:szCs w:val="21"/>
        </w:rPr>
        <w:t>第四条 验收</w:t>
      </w:r>
    </w:p>
    <w:p>
      <w:pPr>
        <w:spacing w:line="440" w:lineRule="exact"/>
        <w:rPr>
          <w:rFonts w:ascii="宋体" w:hAnsi="宋体"/>
          <w:szCs w:val="21"/>
        </w:rPr>
      </w:pPr>
      <w:r>
        <w:rPr>
          <w:rFonts w:hint="eastAsia" w:ascii="宋体" w:hAnsi="宋体"/>
          <w:szCs w:val="21"/>
        </w:rPr>
        <w:t>乙方应依据合同要求在本合同规定的时限内完成报告，按时提交项目报告，并及时通知甲方进行成果验收。乙方提交的项目报告的应符合以下标准：</w:t>
      </w:r>
    </w:p>
    <w:p>
      <w:pPr>
        <w:spacing w:line="440" w:lineRule="exact"/>
        <w:rPr>
          <w:rFonts w:ascii="宋体" w:hAnsi="宋体"/>
          <w:szCs w:val="21"/>
        </w:rPr>
      </w:pPr>
      <w:r>
        <w:rPr>
          <w:rFonts w:hint="eastAsia" w:ascii="宋体" w:hAnsi="宋体"/>
          <w:szCs w:val="21"/>
        </w:rPr>
        <w:t>a)</w:t>
      </w:r>
      <w:r>
        <w:rPr>
          <w:rFonts w:hint="eastAsia" w:ascii="宋体" w:hAnsi="宋体"/>
          <w:szCs w:val="21"/>
        </w:rPr>
        <w:tab/>
      </w:r>
      <w:r>
        <w:rPr>
          <w:rFonts w:hint="eastAsia" w:ascii="宋体" w:hAnsi="宋体"/>
          <w:szCs w:val="21"/>
        </w:rPr>
        <w:t>内容详实，信息数据可靠，报告应确保所作意见清晰，分析详细、充分。</w:t>
      </w:r>
    </w:p>
    <w:p>
      <w:pPr>
        <w:spacing w:line="440" w:lineRule="exact"/>
        <w:rPr>
          <w:rFonts w:ascii="宋体" w:hAnsi="宋体"/>
          <w:szCs w:val="21"/>
        </w:rPr>
      </w:pPr>
      <w:r>
        <w:rPr>
          <w:rFonts w:hint="eastAsia" w:ascii="宋体" w:hAnsi="宋体"/>
          <w:szCs w:val="21"/>
        </w:rPr>
        <w:t>b)</w:t>
      </w:r>
      <w:r>
        <w:rPr>
          <w:rFonts w:hint="eastAsia" w:ascii="宋体" w:hAnsi="宋体"/>
          <w:szCs w:val="21"/>
        </w:rPr>
        <w:tab/>
      </w:r>
      <w:r>
        <w:rPr>
          <w:rFonts w:hint="eastAsia" w:ascii="宋体" w:hAnsi="宋体"/>
          <w:szCs w:val="21"/>
        </w:rPr>
        <w:t>符合双方签署的协议内容的要求及双方确定的细节内容。</w:t>
      </w:r>
    </w:p>
    <w:p>
      <w:pPr>
        <w:spacing w:line="440" w:lineRule="exact"/>
        <w:rPr>
          <w:rFonts w:ascii="宋体" w:hAnsi="宋体"/>
          <w:szCs w:val="21"/>
        </w:rPr>
      </w:pPr>
      <w:r>
        <w:rPr>
          <w:rFonts w:hint="eastAsia" w:ascii="宋体" w:hAnsi="宋体"/>
          <w:szCs w:val="21"/>
        </w:rPr>
        <w:t>c)</w:t>
      </w:r>
      <w:r>
        <w:rPr>
          <w:rFonts w:hint="eastAsia" w:ascii="宋体" w:hAnsi="宋体"/>
          <w:szCs w:val="21"/>
        </w:rPr>
        <w:tab/>
      </w:r>
      <w:r>
        <w:rPr>
          <w:rFonts w:hint="eastAsia" w:ascii="宋体" w:hAnsi="宋体"/>
          <w:szCs w:val="21"/>
        </w:rPr>
        <w:t>乙方提交的项目报告不应侵犯任何第三方的知识产权。</w:t>
      </w:r>
    </w:p>
    <w:p>
      <w:pPr>
        <w:spacing w:line="440" w:lineRule="exact"/>
        <w:rPr>
          <w:rFonts w:ascii="宋体" w:hAnsi="宋体"/>
          <w:b/>
          <w:szCs w:val="21"/>
        </w:rPr>
      </w:pPr>
      <w:r>
        <w:rPr>
          <w:rFonts w:hint="eastAsia" w:ascii="宋体" w:hAnsi="宋体"/>
          <w:b/>
          <w:szCs w:val="21"/>
        </w:rPr>
        <w:t>第五条   知识产权</w:t>
      </w:r>
    </w:p>
    <w:p>
      <w:pPr>
        <w:spacing w:line="440" w:lineRule="exact"/>
        <w:rPr>
          <w:rFonts w:ascii="宋体" w:hAnsi="宋体"/>
          <w:szCs w:val="21"/>
        </w:rPr>
      </w:pPr>
      <w:r>
        <w:rPr>
          <w:rFonts w:hint="eastAsia" w:ascii="宋体" w:hAnsi="宋体"/>
          <w:szCs w:val="21"/>
        </w:rPr>
        <w:t>报告成果及相关市场调研资料的知识产权归甲方所有。乙方保证向甲方提供的报告及相关市场调研资料不侵犯他人知识产权或类似权利。</w:t>
      </w:r>
    </w:p>
    <w:p>
      <w:pPr>
        <w:spacing w:line="440" w:lineRule="exact"/>
        <w:rPr>
          <w:rFonts w:ascii="宋体" w:hAnsi="宋体"/>
          <w:b/>
          <w:szCs w:val="21"/>
        </w:rPr>
      </w:pPr>
      <w:r>
        <w:rPr>
          <w:rFonts w:hint="eastAsia" w:ascii="宋体" w:hAnsi="宋体"/>
          <w:b/>
          <w:szCs w:val="21"/>
        </w:rPr>
        <w:t>第六条  保密条款</w:t>
      </w:r>
    </w:p>
    <w:p>
      <w:pPr>
        <w:spacing w:line="440" w:lineRule="exact"/>
        <w:rPr>
          <w:rFonts w:ascii="宋体" w:hAnsi="宋体"/>
          <w:szCs w:val="21"/>
        </w:rPr>
      </w:pPr>
      <w:r>
        <w:rPr>
          <w:rFonts w:hint="eastAsia" w:ascii="宋体" w:hAnsi="宋体"/>
          <w:szCs w:val="21"/>
        </w:rPr>
        <w:t>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5年。</w:t>
      </w:r>
    </w:p>
    <w:p>
      <w:pPr>
        <w:spacing w:line="440" w:lineRule="exact"/>
        <w:rPr>
          <w:rFonts w:ascii="宋体" w:hAnsi="宋体"/>
          <w:b/>
          <w:szCs w:val="21"/>
        </w:rPr>
      </w:pPr>
      <w:r>
        <w:rPr>
          <w:rFonts w:hint="eastAsia" w:ascii="宋体" w:hAnsi="宋体"/>
          <w:b/>
          <w:szCs w:val="21"/>
        </w:rPr>
        <w:t>第七条  不可抗力</w:t>
      </w:r>
    </w:p>
    <w:p>
      <w:pPr>
        <w:spacing w:line="440" w:lineRule="exact"/>
        <w:rPr>
          <w:rFonts w:ascii="宋体" w:hAnsi="宋体"/>
          <w:szCs w:val="21"/>
        </w:rPr>
      </w:pPr>
      <w:r>
        <w:rPr>
          <w:rFonts w:hint="eastAsia" w:ascii="宋体" w:hAnsi="宋体"/>
          <w:szCs w:val="21"/>
        </w:rPr>
        <w:t>因不能预见、不能避免并不能克服的客观情况（“不可抗力”）引起一方未能或迟延履约，该方不需承担违约责任，但应积极采取补救措施。不可抗力持续30日以上的，任何一方可以解除本合同，但乙方在返还服务费用时有权扣除已向甲方提供的成本费用。</w:t>
      </w:r>
    </w:p>
    <w:p>
      <w:pPr>
        <w:spacing w:line="440" w:lineRule="exact"/>
        <w:rPr>
          <w:rFonts w:ascii="宋体" w:hAnsi="宋体"/>
          <w:b/>
          <w:szCs w:val="21"/>
        </w:rPr>
      </w:pPr>
      <w:r>
        <w:rPr>
          <w:rFonts w:hint="eastAsia" w:ascii="宋体" w:hAnsi="宋体"/>
          <w:b/>
          <w:szCs w:val="21"/>
        </w:rPr>
        <w:t>第八条  违约责任</w:t>
      </w:r>
    </w:p>
    <w:p>
      <w:pPr>
        <w:spacing w:line="440" w:lineRule="exact"/>
        <w:rPr>
          <w:rFonts w:ascii="宋体" w:hAnsi="宋体"/>
          <w:szCs w:val="21"/>
        </w:rPr>
      </w:pPr>
      <w:r>
        <w:rPr>
          <w:rFonts w:hint="eastAsia" w:ascii="宋体" w:hAnsi="宋体"/>
          <w:szCs w:val="21"/>
        </w:rPr>
        <w:t>1、甲乙双方应本着诚实信用原则履行本合同相关内容，任何一方违反本合同任何条款，都构成违约；违约方应赔偿因其违约行为而给守约方造成的一切经济损失。</w:t>
      </w:r>
    </w:p>
    <w:p>
      <w:pPr>
        <w:spacing w:line="440" w:lineRule="exact"/>
        <w:rPr>
          <w:rFonts w:ascii="宋体" w:hAnsi="宋体"/>
          <w:szCs w:val="21"/>
        </w:rPr>
      </w:pPr>
      <w:r>
        <w:rPr>
          <w:rFonts w:hint="eastAsia" w:ascii="宋体" w:hAnsi="宋体"/>
          <w:szCs w:val="21"/>
        </w:rPr>
        <w:t>2、若因乙方原因没有按期向甲方交付报告，按实际延误的期限，甲方有权以每日合同总价款的1‰向乙方扣取违约金。</w:t>
      </w:r>
    </w:p>
    <w:p>
      <w:pPr>
        <w:spacing w:line="440" w:lineRule="exact"/>
        <w:rPr>
          <w:rFonts w:ascii="宋体" w:hAnsi="宋体"/>
          <w:szCs w:val="21"/>
        </w:rPr>
      </w:pPr>
      <w:r>
        <w:rPr>
          <w:rFonts w:hint="eastAsia" w:ascii="宋体" w:hAnsi="宋体"/>
          <w:szCs w:val="21"/>
        </w:rPr>
        <w:t>3、若因甲方原因没有按期向乙方支付相关费用，按实际延误的期限，乙方有权以每日合同总价款的1‰向甲方收取违约金。</w:t>
      </w:r>
    </w:p>
    <w:p>
      <w:pPr>
        <w:spacing w:line="440" w:lineRule="exact"/>
        <w:rPr>
          <w:rFonts w:ascii="宋体" w:hAnsi="宋体"/>
          <w:szCs w:val="21"/>
        </w:rPr>
      </w:pPr>
      <w:r>
        <w:rPr>
          <w:rFonts w:hint="eastAsia" w:ascii="宋体" w:hAnsi="宋体"/>
          <w:szCs w:val="21"/>
        </w:rPr>
        <w:t xml:space="preserve">4、甲方不得擅自终止合同。除本合同明确约定外，如果甲方需要终止合同，需要提前30天以书面方式通知乙方并征得乙方的同意，并支付乙方已经发生的费用，并支付本合同价款30%的违约金，否则甲方无权单独终止合同。 </w:t>
      </w:r>
    </w:p>
    <w:p>
      <w:pPr>
        <w:spacing w:line="440" w:lineRule="exact"/>
        <w:rPr>
          <w:rFonts w:ascii="宋体" w:hAnsi="宋体"/>
          <w:szCs w:val="21"/>
        </w:rPr>
      </w:pPr>
      <w:r>
        <w:rPr>
          <w:rFonts w:hint="eastAsia" w:ascii="宋体" w:hAnsi="宋体"/>
          <w:szCs w:val="21"/>
        </w:rPr>
        <w:t xml:space="preserve">5、乙方不得擅自终止合同。除本合同明确约定外，如果乙方需要终止合同，需要提前30天以书面形式通知甲方并征得甲方同意，并退还甲方已支付的相关费用，并支付本合同价款30%的违约金，否则乙方无权单独终止合同。 </w:t>
      </w:r>
    </w:p>
    <w:p>
      <w:pPr>
        <w:spacing w:line="440" w:lineRule="exact"/>
        <w:rPr>
          <w:rFonts w:ascii="宋体" w:hAnsi="宋体"/>
          <w:b/>
          <w:szCs w:val="21"/>
        </w:rPr>
      </w:pPr>
      <w:r>
        <w:rPr>
          <w:rFonts w:hint="eastAsia" w:ascii="宋体" w:hAnsi="宋体"/>
          <w:b/>
          <w:szCs w:val="21"/>
        </w:rPr>
        <w:t>第九条  适用法律和争议解决</w:t>
      </w:r>
    </w:p>
    <w:p>
      <w:pPr>
        <w:spacing w:line="440" w:lineRule="exact"/>
        <w:rPr>
          <w:rFonts w:ascii="宋体" w:hAnsi="宋体"/>
          <w:szCs w:val="21"/>
        </w:rPr>
      </w:pPr>
      <w:r>
        <w:rPr>
          <w:rFonts w:hint="eastAsia" w:ascii="宋体" w:hAnsi="宋体"/>
          <w:szCs w:val="21"/>
        </w:rPr>
        <w:t>1、本合同的成立、有效性、解释、履行、签署、修订和终止以及争议的解决均应适用中华人民共和国法律。</w:t>
      </w:r>
    </w:p>
    <w:p>
      <w:pPr>
        <w:spacing w:line="440" w:lineRule="exact"/>
        <w:rPr>
          <w:rFonts w:ascii="宋体" w:hAnsi="宋体"/>
          <w:szCs w:val="21"/>
        </w:rPr>
      </w:pPr>
      <w:r>
        <w:rPr>
          <w:rFonts w:hint="eastAsia" w:ascii="宋体" w:hAnsi="宋体"/>
          <w:szCs w:val="21"/>
        </w:rPr>
        <w:t>2、甲乙双方在本合同的范围内发生纠纷，应友好协商解决，协商不成的，甲乙双方同意将该争议提交至深圳仲裁委员会，该会依据其现行有效的仲裁规则在当地进行仲裁。</w:t>
      </w:r>
    </w:p>
    <w:p>
      <w:pPr>
        <w:spacing w:line="440" w:lineRule="exact"/>
        <w:rPr>
          <w:rFonts w:ascii="宋体" w:hAnsi="宋体"/>
          <w:szCs w:val="21"/>
        </w:rPr>
      </w:pPr>
      <w:r>
        <w:rPr>
          <w:rFonts w:hint="eastAsia" w:ascii="宋体" w:hAnsi="宋体"/>
          <w:szCs w:val="21"/>
        </w:rPr>
        <w:t xml:space="preserve">3、本合同项下的任何仲裁裁决是终局的，并对双方具有约束力。 </w:t>
      </w:r>
    </w:p>
    <w:p>
      <w:pPr>
        <w:spacing w:line="440" w:lineRule="exact"/>
        <w:rPr>
          <w:rFonts w:ascii="宋体" w:hAnsi="宋体"/>
          <w:b/>
          <w:szCs w:val="21"/>
        </w:rPr>
      </w:pPr>
      <w:r>
        <w:rPr>
          <w:rFonts w:hint="eastAsia" w:ascii="宋体" w:hAnsi="宋体"/>
          <w:b/>
          <w:szCs w:val="21"/>
        </w:rPr>
        <w:t>第十条  其他</w:t>
      </w:r>
    </w:p>
    <w:p>
      <w:pPr>
        <w:spacing w:line="440" w:lineRule="exact"/>
        <w:rPr>
          <w:rFonts w:ascii="宋体" w:hAnsi="宋体"/>
          <w:szCs w:val="21"/>
        </w:rPr>
      </w:pPr>
      <w:r>
        <w:rPr>
          <w:rFonts w:hint="eastAsia" w:ascii="宋体" w:hAnsi="宋体"/>
          <w:szCs w:val="21"/>
        </w:rPr>
        <w:t>1、未经合同另一方书面同意，一方不得转让本合同项下任何权利义务。</w:t>
      </w:r>
    </w:p>
    <w:p>
      <w:pPr>
        <w:spacing w:line="440" w:lineRule="exact"/>
        <w:rPr>
          <w:rFonts w:ascii="宋体" w:hAnsi="宋体"/>
          <w:szCs w:val="21"/>
        </w:rPr>
      </w:pPr>
      <w:r>
        <w:rPr>
          <w:rFonts w:hint="eastAsia" w:ascii="宋体" w:hAnsi="宋体"/>
          <w:szCs w:val="21"/>
        </w:rPr>
        <w:t>2、本合同未尽事宜，双方另行协商后签订补充协议，补充协议与本合同具有同等法律效力。</w:t>
      </w:r>
    </w:p>
    <w:p>
      <w:pPr>
        <w:spacing w:line="440" w:lineRule="exact"/>
        <w:rPr>
          <w:rFonts w:ascii="宋体" w:hAnsi="宋体"/>
          <w:szCs w:val="21"/>
        </w:rPr>
      </w:pPr>
      <w:r>
        <w:rPr>
          <w:rFonts w:hint="eastAsia" w:ascii="宋体" w:hAnsi="宋体"/>
          <w:szCs w:val="21"/>
        </w:rPr>
        <w:t>3、合同将保持其效力直至各方已完全履行合同项下的所有义务并且各方之间的所有付款和索赔已结清。</w:t>
      </w:r>
    </w:p>
    <w:p>
      <w:pPr>
        <w:spacing w:line="440" w:lineRule="exact"/>
        <w:rPr>
          <w:rFonts w:ascii="宋体" w:hAnsi="宋体"/>
          <w:szCs w:val="21"/>
        </w:rPr>
      </w:pPr>
      <w:r>
        <w:rPr>
          <w:rFonts w:hint="eastAsia" w:ascii="宋体" w:hAnsi="宋体"/>
          <w:szCs w:val="21"/>
        </w:rPr>
        <w:t>4、合同附件为本合同的组成部分，与本合同正文具有同等法律效力。若合同附件与合同正文有任何冲突，以合同正文为准。</w:t>
      </w:r>
    </w:p>
    <w:p>
      <w:pPr>
        <w:spacing w:line="440" w:lineRule="exact"/>
        <w:rPr>
          <w:rFonts w:ascii="宋体" w:hAnsi="宋体"/>
          <w:szCs w:val="21"/>
        </w:rPr>
      </w:pPr>
      <w:r>
        <w:rPr>
          <w:rFonts w:hint="eastAsia" w:ascii="宋体" w:hAnsi="宋体"/>
          <w:szCs w:val="21"/>
        </w:rPr>
        <w:t>5、本合同一式两份，甲乙双方各执一份，自双方签字盖章之日起生效。</w:t>
      </w:r>
    </w:p>
    <w:p>
      <w:pPr>
        <w:pStyle w:val="2"/>
      </w:pPr>
    </w:p>
    <w:p>
      <w:pPr>
        <w:pStyle w:val="2"/>
      </w:pPr>
    </w:p>
    <w:p>
      <w:pPr>
        <w:pStyle w:val="2"/>
      </w:pPr>
    </w:p>
    <w:p>
      <w:pPr>
        <w:pStyle w:val="2"/>
      </w:pPr>
    </w:p>
    <w:p>
      <w:pPr>
        <w:pStyle w:val="2"/>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2"/>
        <w:gridCol w:w="33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2" w:type="dxa"/>
          </w:tcPr>
          <w:p>
            <w:pPr>
              <w:pStyle w:val="2"/>
              <w:rPr>
                <w:rFonts w:ascii="宋体" w:eastAsia="宋体"/>
                <w:szCs w:val="21"/>
              </w:rPr>
            </w:pPr>
            <w:r>
              <w:rPr>
                <w:rFonts w:hint="eastAsia" w:ascii="宋体" w:eastAsia="宋体"/>
                <w:szCs w:val="21"/>
              </w:rPr>
              <w:t>甲方（公章）：深圳会展中心管理有限责任公司</w:t>
            </w:r>
          </w:p>
          <w:p>
            <w:pPr>
              <w:pStyle w:val="2"/>
              <w:rPr>
                <w:rFonts w:ascii="宋体" w:eastAsia="宋体"/>
                <w:szCs w:val="21"/>
                <w:u w:val="single"/>
              </w:rPr>
            </w:pPr>
            <w:r>
              <w:rPr>
                <w:rFonts w:hint="eastAsia" w:ascii="宋体" w:eastAsia="宋体"/>
                <w:szCs w:val="21"/>
              </w:rPr>
              <w:t>甲方代表：</w:t>
            </w:r>
            <w:r>
              <w:rPr>
                <w:rFonts w:ascii="宋体" w:eastAsia="宋体"/>
                <w:szCs w:val="21"/>
                <w:u w:val="single"/>
              </w:rPr>
              <w:t xml:space="preserve">                  </w:t>
            </w:r>
          </w:p>
          <w:p>
            <w:pPr>
              <w:pStyle w:val="2"/>
              <w:rPr>
                <w:rFonts w:ascii="宋体" w:eastAsia="宋体"/>
                <w:szCs w:val="21"/>
                <w:u w:val="single"/>
              </w:rPr>
            </w:pPr>
            <w:r>
              <w:rPr>
                <w:rFonts w:hint="eastAsia" w:ascii="宋体" w:eastAsia="宋体"/>
                <w:szCs w:val="21"/>
              </w:rPr>
              <w:t>联系电话：</w:t>
            </w:r>
            <w:r>
              <w:rPr>
                <w:rFonts w:ascii="宋体" w:eastAsia="宋体"/>
                <w:szCs w:val="21"/>
                <w:u w:val="single"/>
              </w:rPr>
              <w:t xml:space="preserve">                  </w:t>
            </w:r>
          </w:p>
          <w:p>
            <w:pPr>
              <w:pStyle w:val="2"/>
              <w:rPr>
                <w:rFonts w:ascii="宋体" w:eastAsia="宋体"/>
              </w:rPr>
            </w:pPr>
          </w:p>
        </w:tc>
        <w:tc>
          <w:tcPr>
            <w:tcW w:w="3334" w:type="dxa"/>
          </w:tcPr>
          <w:p>
            <w:pPr>
              <w:pStyle w:val="2"/>
              <w:rPr>
                <w:rFonts w:ascii="宋体" w:eastAsia="宋体"/>
                <w:szCs w:val="21"/>
                <w:u w:val="single"/>
              </w:rPr>
            </w:pPr>
            <w:r>
              <w:rPr>
                <w:rFonts w:hint="eastAsia" w:ascii="宋体" w:eastAsia="宋体"/>
                <w:szCs w:val="21"/>
              </w:rPr>
              <w:t>乙方（公章）：</w:t>
            </w:r>
            <w:r>
              <w:rPr>
                <w:rFonts w:ascii="宋体" w:eastAsia="宋体"/>
                <w:szCs w:val="21"/>
                <w:u w:val="single"/>
              </w:rPr>
              <w:t xml:space="preserve">         </w:t>
            </w:r>
            <w:r>
              <w:rPr>
                <w:rFonts w:hint="eastAsia" w:ascii="宋体" w:eastAsia="宋体"/>
                <w:szCs w:val="21"/>
                <w:u w:val="single"/>
              </w:rPr>
              <w:t xml:space="preserve">    </w:t>
            </w:r>
            <w:r>
              <w:rPr>
                <w:rFonts w:ascii="宋体" w:eastAsia="宋体"/>
                <w:szCs w:val="21"/>
                <w:u w:val="single"/>
              </w:rPr>
              <w:t xml:space="preserve">         </w:t>
            </w:r>
          </w:p>
          <w:p>
            <w:pPr>
              <w:pStyle w:val="2"/>
              <w:rPr>
                <w:rFonts w:ascii="宋体" w:eastAsia="宋体"/>
                <w:szCs w:val="21"/>
                <w:u w:val="single"/>
              </w:rPr>
            </w:pPr>
            <w:r>
              <w:rPr>
                <w:rFonts w:hint="eastAsia" w:ascii="宋体" w:eastAsia="宋体"/>
                <w:szCs w:val="21"/>
              </w:rPr>
              <w:t>乙方代表：</w:t>
            </w:r>
            <w:r>
              <w:rPr>
                <w:rFonts w:ascii="宋体" w:eastAsia="宋体"/>
                <w:szCs w:val="21"/>
                <w:u w:val="single"/>
              </w:rPr>
              <w:t xml:space="preserve">                  </w:t>
            </w:r>
          </w:p>
          <w:p>
            <w:pPr>
              <w:pStyle w:val="2"/>
              <w:rPr>
                <w:rFonts w:ascii="宋体" w:eastAsia="宋体"/>
                <w:szCs w:val="21"/>
                <w:u w:val="single"/>
              </w:rPr>
            </w:pPr>
            <w:r>
              <w:rPr>
                <w:rFonts w:hint="eastAsia" w:ascii="宋体" w:eastAsia="宋体"/>
                <w:szCs w:val="21"/>
              </w:rPr>
              <w:t>联系电话：</w:t>
            </w:r>
            <w:r>
              <w:rPr>
                <w:rFonts w:ascii="宋体" w:eastAsia="宋体"/>
                <w:szCs w:val="21"/>
                <w:u w:val="single"/>
              </w:rPr>
              <w:t xml:space="preserve">                  </w:t>
            </w:r>
          </w:p>
          <w:p>
            <w:pPr>
              <w:pStyle w:val="2"/>
              <w:rPr>
                <w:rFonts w:ascii="宋体" w:eastAsia="宋体"/>
              </w:rPr>
            </w:pPr>
          </w:p>
        </w:tc>
      </w:tr>
    </w:tbl>
    <w:p>
      <w:pPr>
        <w:widowControl/>
        <w:jc w:val="left"/>
        <w:rPr>
          <w:b/>
          <w:sz w:val="32"/>
          <w:szCs w:val="32"/>
        </w:rPr>
      </w:pPr>
      <w:r>
        <w:rPr>
          <w:b/>
          <w:sz w:val="32"/>
          <w:szCs w:val="32"/>
        </w:rPr>
        <w:br w:type="page"/>
      </w:r>
    </w:p>
    <w:p>
      <w:pPr>
        <w:spacing w:before="312" w:beforeLines="100" w:after="312" w:afterLines="100" w:line="360" w:lineRule="auto"/>
        <w:jc w:val="center"/>
        <w:outlineLvl w:val="0"/>
        <w:rPr>
          <w:rFonts w:ascii="仿宋" w:hAnsi="仿宋" w:eastAsia="仿宋"/>
          <w:sz w:val="32"/>
          <w:szCs w:val="32"/>
        </w:rPr>
      </w:pPr>
      <w:bookmarkStart w:id="49" w:name="_Toc17198"/>
      <w:r>
        <w:rPr>
          <w:rFonts w:hint="eastAsia"/>
          <w:b/>
          <w:sz w:val="32"/>
          <w:szCs w:val="32"/>
        </w:rPr>
        <w:t>第五部分：参考附件</w:t>
      </w:r>
      <w:bookmarkEnd w:id="49"/>
    </w:p>
    <w:p>
      <w:pPr>
        <w:spacing w:line="0" w:lineRule="atLeast"/>
        <w:outlineLvl w:val="1"/>
        <w:rPr>
          <w:rFonts w:ascii="宋体" w:hAnsi="宋体"/>
        </w:rPr>
      </w:pPr>
      <w:bookmarkStart w:id="50" w:name="_Toc7610"/>
      <w:r>
        <w:rPr>
          <w:rFonts w:hint="eastAsia" w:ascii="宋体" w:hAnsi="宋体"/>
          <w:szCs w:val="21"/>
        </w:rPr>
        <w:t>附件1：</w:t>
      </w:r>
      <w:r>
        <w:rPr>
          <w:rFonts w:hint="eastAsia" w:ascii="宋体" w:hAnsi="宋体"/>
        </w:rPr>
        <w:t>报名回函</w:t>
      </w:r>
      <w:bookmarkEnd w:id="50"/>
    </w:p>
    <w:p>
      <w:pPr>
        <w:pStyle w:val="2"/>
      </w:pPr>
    </w:p>
    <w:p>
      <w:pPr>
        <w:pStyle w:val="11"/>
        <w:jc w:val="center"/>
        <w:rPr>
          <w:rFonts w:ascii="方正小标宋简体" w:hAnsi="方正小标宋_GBK" w:eastAsia="方正小标宋简体"/>
          <w:sz w:val="32"/>
          <w:szCs w:val="32"/>
        </w:rPr>
      </w:pPr>
      <w:r>
        <w:rPr>
          <w:rStyle w:val="16"/>
          <w:rFonts w:hint="eastAsia" w:ascii="方正小标宋简体" w:hAnsi="方正小标宋_GBK" w:eastAsia="方正小标宋简体"/>
          <w:sz w:val="32"/>
          <w:szCs w:val="32"/>
        </w:rPr>
        <w:t>关于确认参加_________________项目投标的回函</w:t>
      </w:r>
    </w:p>
    <w:p>
      <w:pPr>
        <w:pStyle w:val="11"/>
        <w:rPr>
          <w:rFonts w:ascii="微软雅黑" w:hAnsi="微软雅黑" w:eastAsia="微软雅黑"/>
          <w:sz w:val="18"/>
          <w:szCs w:val="18"/>
        </w:rPr>
      </w:pPr>
    </w:p>
    <w:p>
      <w:pPr>
        <w:pStyle w:val="11"/>
        <w:rPr>
          <w:rFonts w:ascii="微软雅黑" w:hAnsi="微软雅黑" w:eastAsia="微软雅黑"/>
          <w:sz w:val="18"/>
          <w:szCs w:val="18"/>
        </w:rPr>
      </w:pPr>
    </w:p>
    <w:p>
      <w:pPr>
        <w:pStyle w:val="11"/>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1"/>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1"/>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1"/>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1"/>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1"/>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1"/>
        <w:spacing w:after="240"/>
        <w:ind w:firstLine="616" w:firstLineChars="220"/>
        <w:rPr>
          <w:rFonts w:ascii="仿宋" w:hAnsi="仿宋" w:eastAsia="仿宋"/>
          <w:sz w:val="28"/>
          <w:szCs w:val="28"/>
        </w:rPr>
      </w:pPr>
    </w:p>
    <w:p>
      <w:pPr>
        <w:pStyle w:val="11"/>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bookmarkStart w:id="51" w:name="_Toc10768"/>
      <w:r>
        <w:rPr>
          <w:rFonts w:hint="eastAsia" w:ascii="宋体" w:hAnsi="宋体"/>
          <w:szCs w:val="21"/>
        </w:rPr>
        <w:t>附件2：投标函</w:t>
      </w:r>
      <w:bookmarkEnd w:id="51"/>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法定代表人或其授权代理人（签字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52" w:name="_Toc13134"/>
      <w:r>
        <w:rPr>
          <w:rFonts w:hint="eastAsia" w:ascii="宋体" w:hAnsi="宋体"/>
          <w:szCs w:val="21"/>
        </w:rPr>
        <w:t>附件3：投标一览表</w:t>
      </w:r>
      <w:bookmarkEnd w:id="52"/>
    </w:p>
    <w:tbl>
      <w:tblPr>
        <w:tblStyle w:val="13"/>
        <w:tblpPr w:leftFromText="180" w:rightFromText="180" w:vertAnchor="text" w:horzAnchor="margin" w:tblpY="1517"/>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693"/>
        <w:gridCol w:w="255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04" w:type="dxa"/>
            <w:vAlign w:val="center"/>
          </w:tcPr>
          <w:p>
            <w:pPr>
              <w:widowControl/>
              <w:jc w:val="center"/>
              <w:rPr>
                <w:rFonts w:ascii="宋体" w:hAnsi="宋体"/>
                <w:b/>
                <w:szCs w:val="21"/>
              </w:rPr>
            </w:pPr>
            <w:r>
              <w:rPr>
                <w:rFonts w:hint="eastAsia" w:ascii="宋体" w:hAnsi="宋体"/>
                <w:b/>
                <w:szCs w:val="21"/>
              </w:rPr>
              <w:t>序号</w:t>
            </w:r>
          </w:p>
        </w:tc>
        <w:tc>
          <w:tcPr>
            <w:tcW w:w="2693" w:type="dxa"/>
            <w:vAlign w:val="center"/>
          </w:tcPr>
          <w:p>
            <w:pPr>
              <w:widowControl/>
              <w:jc w:val="center"/>
              <w:rPr>
                <w:rFonts w:ascii="宋体" w:hAnsi="宋体"/>
                <w:b/>
                <w:szCs w:val="21"/>
              </w:rPr>
            </w:pPr>
            <w:r>
              <w:rPr>
                <w:rFonts w:hint="eastAsia" w:ascii="宋体" w:hAnsi="宋体"/>
                <w:b/>
                <w:szCs w:val="21"/>
              </w:rPr>
              <w:t>开标内容1</w:t>
            </w:r>
          </w:p>
          <w:p>
            <w:pPr>
              <w:widowControl/>
              <w:jc w:val="center"/>
              <w:rPr>
                <w:rFonts w:ascii="宋体" w:hAnsi="宋体"/>
                <w:b/>
                <w:szCs w:val="21"/>
              </w:rPr>
            </w:pPr>
            <w:r>
              <w:rPr>
                <w:rFonts w:hint="eastAsia" w:ascii="宋体" w:hAnsi="宋体"/>
                <w:b/>
                <w:szCs w:val="21"/>
              </w:rPr>
              <w:t>（招标人填写</w:t>
            </w:r>
            <w:r>
              <w:rPr>
                <w:rFonts w:ascii="宋体" w:hAnsi="宋体"/>
                <w:b/>
                <w:szCs w:val="21"/>
              </w:rPr>
              <w:t>）</w:t>
            </w:r>
          </w:p>
        </w:tc>
        <w:tc>
          <w:tcPr>
            <w:tcW w:w="2552" w:type="dxa"/>
            <w:vAlign w:val="center"/>
          </w:tcPr>
          <w:p>
            <w:pPr>
              <w:widowControl/>
              <w:jc w:val="center"/>
              <w:rPr>
                <w:rFonts w:ascii="宋体" w:hAnsi="宋体"/>
                <w:b/>
                <w:szCs w:val="21"/>
              </w:rPr>
            </w:pPr>
            <w:r>
              <w:rPr>
                <w:rFonts w:hint="eastAsia" w:ascii="宋体" w:hAnsi="宋体"/>
                <w:b/>
                <w:szCs w:val="21"/>
              </w:rPr>
              <w:t>开标内容1</w:t>
            </w:r>
          </w:p>
          <w:p>
            <w:pPr>
              <w:widowControl/>
              <w:jc w:val="center"/>
              <w:rPr>
                <w:rFonts w:ascii="宋体" w:hAnsi="宋体"/>
                <w:b/>
                <w:szCs w:val="21"/>
              </w:rPr>
            </w:pPr>
            <w:r>
              <w:rPr>
                <w:rFonts w:hint="eastAsia" w:ascii="宋体" w:hAnsi="宋体"/>
                <w:b/>
                <w:szCs w:val="21"/>
              </w:rPr>
              <w:t>（投标人填写</w:t>
            </w:r>
            <w:r>
              <w:rPr>
                <w:rFonts w:ascii="宋体" w:hAnsi="宋体"/>
                <w:b/>
                <w:szCs w:val="21"/>
              </w:rPr>
              <w:t>）</w:t>
            </w:r>
          </w:p>
        </w:tc>
        <w:tc>
          <w:tcPr>
            <w:tcW w:w="2268" w:type="dxa"/>
            <w:vAlign w:val="center"/>
          </w:tcPr>
          <w:p>
            <w:pPr>
              <w:widowControl/>
              <w:jc w:val="center"/>
              <w:rPr>
                <w:rFonts w:ascii="宋体" w:hAnsi="宋体"/>
                <w:b/>
                <w:szCs w:val="21"/>
              </w:rPr>
            </w:pPr>
            <w:r>
              <w:rPr>
                <w:rFonts w:hint="eastAsia" w:ascii="宋体" w:hAnsi="宋体"/>
                <w:b/>
                <w:szCs w:val="21"/>
              </w:rPr>
              <w:t>备注</w:t>
            </w:r>
          </w:p>
          <w:p>
            <w:pPr>
              <w:widowControl/>
              <w:jc w:val="center"/>
              <w:rPr>
                <w:rFonts w:ascii="宋体" w:hAnsi="宋体"/>
                <w:b/>
                <w:szCs w:val="21"/>
              </w:rPr>
            </w:pPr>
            <w:r>
              <w:rPr>
                <w:rFonts w:hint="eastAsia" w:ascii="宋体" w:hAnsi="宋体"/>
                <w:b/>
                <w:szCs w:val="21"/>
              </w:rPr>
              <w:t>（招标人填写</w:t>
            </w:r>
            <w:r>
              <w:rPr>
                <w:rFonts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04" w:type="dxa"/>
            <w:vAlign w:val="center"/>
          </w:tcPr>
          <w:p>
            <w:pPr>
              <w:pStyle w:val="20"/>
              <w:widowControl/>
              <w:numPr>
                <w:ilvl w:val="0"/>
                <w:numId w:val="27"/>
              </w:numPr>
              <w:ind w:firstLineChars="0"/>
              <w:jc w:val="center"/>
              <w:rPr>
                <w:rFonts w:ascii="宋体" w:hAnsi="宋体" w:eastAsia="宋体"/>
                <w:szCs w:val="21"/>
              </w:rPr>
            </w:pPr>
          </w:p>
        </w:tc>
        <w:tc>
          <w:tcPr>
            <w:tcW w:w="2693" w:type="dxa"/>
            <w:vAlign w:val="center"/>
          </w:tcPr>
          <w:p>
            <w:pPr>
              <w:widowControl/>
              <w:rPr>
                <w:rFonts w:ascii="宋体" w:hAnsi="宋体"/>
                <w:szCs w:val="21"/>
              </w:rPr>
            </w:pPr>
            <w:r>
              <w:rPr>
                <w:rFonts w:hint="eastAsia" w:ascii="宋体" w:hAnsi="宋体"/>
                <w:szCs w:val="21"/>
              </w:rPr>
              <w:t>含税总报价（元</w:t>
            </w:r>
            <w:r>
              <w:rPr>
                <w:rFonts w:ascii="宋体" w:hAnsi="宋体"/>
                <w:szCs w:val="21"/>
              </w:rPr>
              <w:t>）</w:t>
            </w:r>
          </w:p>
        </w:tc>
        <w:tc>
          <w:tcPr>
            <w:tcW w:w="2552" w:type="dxa"/>
            <w:vAlign w:val="center"/>
          </w:tcPr>
          <w:p>
            <w:pPr>
              <w:widowControl/>
              <w:rPr>
                <w:rFonts w:ascii="宋体" w:hAnsi="宋体"/>
                <w:szCs w:val="21"/>
              </w:rPr>
            </w:pPr>
          </w:p>
        </w:tc>
        <w:tc>
          <w:tcPr>
            <w:tcW w:w="2268" w:type="dxa"/>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4" w:type="dxa"/>
            <w:vAlign w:val="center"/>
          </w:tcPr>
          <w:p>
            <w:pPr>
              <w:pStyle w:val="20"/>
              <w:widowControl/>
              <w:numPr>
                <w:ilvl w:val="0"/>
                <w:numId w:val="27"/>
              </w:numPr>
              <w:ind w:firstLineChars="0"/>
              <w:jc w:val="center"/>
              <w:rPr>
                <w:rFonts w:ascii="宋体" w:hAnsi="宋体" w:eastAsia="宋体"/>
                <w:szCs w:val="21"/>
              </w:rPr>
            </w:pPr>
          </w:p>
        </w:tc>
        <w:tc>
          <w:tcPr>
            <w:tcW w:w="2693" w:type="dxa"/>
            <w:vAlign w:val="center"/>
          </w:tcPr>
          <w:p>
            <w:pPr>
              <w:widowControl/>
              <w:rPr>
                <w:rFonts w:ascii="宋体" w:hAnsi="宋体"/>
                <w:szCs w:val="21"/>
              </w:rPr>
            </w:pPr>
            <w:r>
              <w:rPr>
                <w:rFonts w:hint="eastAsia" w:ascii="宋体" w:hAnsi="宋体"/>
                <w:szCs w:val="21"/>
              </w:rPr>
              <w:t>服务期（自然日</w:t>
            </w:r>
            <w:r>
              <w:rPr>
                <w:rFonts w:ascii="宋体" w:hAnsi="宋体"/>
                <w:szCs w:val="21"/>
              </w:rPr>
              <w:t>）</w:t>
            </w:r>
          </w:p>
        </w:tc>
        <w:tc>
          <w:tcPr>
            <w:tcW w:w="2552" w:type="dxa"/>
            <w:vAlign w:val="center"/>
          </w:tcPr>
          <w:p>
            <w:pPr>
              <w:widowControl/>
              <w:rPr>
                <w:rFonts w:ascii="宋体" w:hAnsi="宋体"/>
                <w:szCs w:val="21"/>
              </w:rPr>
            </w:pPr>
          </w:p>
        </w:tc>
        <w:tc>
          <w:tcPr>
            <w:tcW w:w="2268" w:type="dxa"/>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4" w:type="dxa"/>
            <w:vAlign w:val="center"/>
          </w:tcPr>
          <w:p>
            <w:pPr>
              <w:pStyle w:val="20"/>
              <w:widowControl/>
              <w:numPr>
                <w:ilvl w:val="0"/>
                <w:numId w:val="27"/>
              </w:numPr>
              <w:ind w:firstLineChars="0"/>
              <w:jc w:val="center"/>
              <w:rPr>
                <w:rFonts w:ascii="宋体" w:hAnsi="宋体" w:eastAsia="宋体"/>
                <w:szCs w:val="21"/>
              </w:rPr>
            </w:pPr>
          </w:p>
        </w:tc>
        <w:tc>
          <w:tcPr>
            <w:tcW w:w="2693" w:type="dxa"/>
            <w:vAlign w:val="center"/>
          </w:tcPr>
          <w:p>
            <w:pPr>
              <w:widowControl/>
              <w:rPr>
                <w:rFonts w:ascii="宋体" w:hAnsi="宋体"/>
                <w:szCs w:val="21"/>
              </w:rPr>
            </w:pPr>
            <w:r>
              <w:rPr>
                <w:rFonts w:hint="eastAsia" w:ascii="宋体" w:hAnsi="宋体"/>
                <w:szCs w:val="21"/>
              </w:rPr>
              <w:t>项目负责人（资质证书</w:t>
            </w:r>
            <w:r>
              <w:rPr>
                <w:rFonts w:ascii="宋体" w:hAnsi="宋体"/>
                <w:szCs w:val="21"/>
              </w:rPr>
              <w:t>）</w:t>
            </w:r>
          </w:p>
        </w:tc>
        <w:tc>
          <w:tcPr>
            <w:tcW w:w="2552" w:type="dxa"/>
            <w:vAlign w:val="center"/>
          </w:tcPr>
          <w:p>
            <w:pPr>
              <w:widowControl/>
              <w:rPr>
                <w:rFonts w:ascii="宋体" w:hAnsi="宋体"/>
                <w:szCs w:val="21"/>
              </w:rPr>
            </w:pPr>
          </w:p>
        </w:tc>
        <w:tc>
          <w:tcPr>
            <w:tcW w:w="2268" w:type="dxa"/>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4" w:type="dxa"/>
            <w:vAlign w:val="center"/>
          </w:tcPr>
          <w:p>
            <w:pPr>
              <w:pStyle w:val="20"/>
              <w:widowControl/>
              <w:numPr>
                <w:ilvl w:val="0"/>
                <w:numId w:val="27"/>
              </w:numPr>
              <w:ind w:firstLineChars="0"/>
              <w:jc w:val="center"/>
              <w:rPr>
                <w:rFonts w:ascii="宋体" w:hAnsi="宋体" w:eastAsia="宋体"/>
                <w:szCs w:val="21"/>
              </w:rPr>
            </w:pPr>
          </w:p>
        </w:tc>
        <w:tc>
          <w:tcPr>
            <w:tcW w:w="2693" w:type="dxa"/>
            <w:vAlign w:val="center"/>
          </w:tcPr>
          <w:p>
            <w:pPr>
              <w:widowControl/>
              <w:rPr>
                <w:rFonts w:ascii="宋体" w:hAnsi="宋体"/>
                <w:szCs w:val="21"/>
              </w:rPr>
            </w:pPr>
            <w:r>
              <w:rPr>
                <w:rFonts w:hint="eastAsia" w:ascii="宋体" w:hAnsi="宋体"/>
                <w:szCs w:val="21"/>
              </w:rPr>
              <w:t>投标人备注</w:t>
            </w:r>
          </w:p>
        </w:tc>
        <w:tc>
          <w:tcPr>
            <w:tcW w:w="2552" w:type="dxa"/>
            <w:vAlign w:val="center"/>
          </w:tcPr>
          <w:p>
            <w:pPr>
              <w:widowControl/>
              <w:rPr>
                <w:rFonts w:ascii="宋体" w:hAnsi="宋体"/>
                <w:szCs w:val="21"/>
              </w:rPr>
            </w:pPr>
          </w:p>
        </w:tc>
        <w:tc>
          <w:tcPr>
            <w:tcW w:w="2268" w:type="dxa"/>
            <w:vAlign w:val="center"/>
          </w:tcPr>
          <w:p>
            <w:pPr>
              <w:widowControl/>
              <w:rPr>
                <w:rFonts w:ascii="宋体" w:hAnsi="宋体"/>
                <w:szCs w:val="21"/>
              </w:rPr>
            </w:pPr>
          </w:p>
        </w:tc>
      </w:tr>
    </w:tbl>
    <w:p>
      <w:pPr>
        <w:widowControl/>
        <w:jc w:val="center"/>
        <w:rPr>
          <w:rFonts w:ascii="仿宋" w:hAnsi="仿宋" w:eastAsia="仿宋"/>
          <w:sz w:val="28"/>
          <w:szCs w:val="28"/>
        </w:rPr>
      </w:pPr>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widowControl/>
        <w:jc w:val="left"/>
        <w:rPr>
          <w:rFonts w:ascii="仿宋" w:hAnsi="仿宋" w:eastAsia="仿宋"/>
          <w:szCs w:val="21"/>
        </w:rPr>
      </w:pPr>
      <w:r>
        <w:rPr>
          <w:rFonts w:hint="eastAsia" w:ascii="仿宋" w:hAnsi="仿宋" w:eastAsia="仿宋"/>
          <w:szCs w:val="21"/>
        </w:rPr>
        <w:t>说明：表中内容需根据具体项目调整</w:t>
      </w:r>
    </w:p>
    <w:p>
      <w:pPr>
        <w:spacing w:line="360" w:lineRule="auto"/>
        <w:rPr>
          <w:rFonts w:ascii="宋体" w:hAnsi="宋体"/>
          <w:szCs w:val="21"/>
        </w:rPr>
      </w:pPr>
      <w:r>
        <w:rPr>
          <w:rFonts w:hint="eastAsia" w:ascii="宋体" w:hAnsi="宋体"/>
          <w:szCs w:val="21"/>
        </w:rPr>
        <w:t>投标人代表签字：</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r>
        <w:rPr>
          <w:rFonts w:ascii="仿宋" w:hAnsi="仿宋" w:eastAsia="仿宋"/>
          <w:sz w:val="28"/>
          <w:szCs w:val="28"/>
        </w:rPr>
        <w:br w:type="page"/>
      </w:r>
    </w:p>
    <w:p>
      <w:pPr>
        <w:spacing w:line="0" w:lineRule="atLeast"/>
        <w:outlineLvl w:val="1"/>
        <w:rPr>
          <w:rFonts w:ascii="宋体" w:hAnsi="宋体"/>
          <w:szCs w:val="21"/>
        </w:rPr>
      </w:pPr>
      <w:bookmarkStart w:id="53" w:name="_Toc17990"/>
      <w:r>
        <w:rPr>
          <w:rFonts w:hint="eastAsia" w:ascii="宋体" w:hAnsi="宋体"/>
          <w:szCs w:val="21"/>
        </w:rPr>
        <w:t>附件4：考察证明</w:t>
      </w:r>
      <w:bookmarkEnd w:id="53"/>
      <w:r>
        <w:rPr>
          <w:rFonts w:hint="eastAsia" w:ascii="宋体" w:hAnsi="宋体"/>
          <w:szCs w:val="21"/>
        </w:rPr>
        <w:t>（本项目不适用）</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jc w:val="left"/>
        <w:rPr>
          <w:rFonts w:ascii="仿宋" w:hAnsi="仿宋" w:eastAsia="仿宋"/>
          <w:sz w:val="28"/>
          <w:szCs w:val="28"/>
        </w:rPr>
      </w:pPr>
      <w:r>
        <w:rPr>
          <w:rFonts w:hint="eastAsia" w:ascii="仿宋" w:hAnsi="仿宋" w:eastAsia="仿宋"/>
          <w:sz w:val="28"/>
          <w:szCs w:val="28"/>
        </w:rPr>
        <w:t xml:space="preserve">    已于</w:t>
      </w:r>
      <w:r>
        <w:rPr>
          <w:rFonts w:hint="eastAsia" w:ascii="仿宋" w:hAnsi="仿宋" w:eastAsia="仿宋"/>
          <w:b/>
          <w:sz w:val="28"/>
          <w:szCs w:val="28"/>
        </w:rPr>
        <w:t>202</w:t>
      </w:r>
      <w:r>
        <w:rPr>
          <w:rFonts w:hint="eastAsia" w:ascii="仿宋" w:hAnsi="仿宋" w:eastAsia="仿宋"/>
          <w:b/>
          <w:sz w:val="28"/>
          <w:szCs w:val="28"/>
          <w:lang w:val="en-US" w:eastAsia="zh-CN"/>
        </w:rPr>
        <w:t>2</w:t>
      </w:r>
      <w:r>
        <w:rPr>
          <w:rFonts w:hint="eastAsia" w:ascii="仿宋" w:hAnsi="仿宋" w:eastAsia="仿宋"/>
          <w:b/>
          <w:sz w:val="28"/>
          <w:szCs w:val="28"/>
        </w:rPr>
        <w:t>年*月21日</w:t>
      </w:r>
      <w:r>
        <w:rPr>
          <w:rFonts w:hint="eastAsia" w:ascii="仿宋" w:hAnsi="仿宋" w:eastAsia="仿宋"/>
          <w:sz w:val="28"/>
          <w:szCs w:val="28"/>
        </w:rPr>
        <w:t>参加了招标人（深圳会展中心管理有限责任公司）</w:t>
      </w:r>
      <w:r>
        <w:rPr>
          <w:rFonts w:hint="eastAsia" w:ascii="仿宋" w:hAnsi="仿宋" w:eastAsia="仿宋"/>
          <w:b/>
          <w:sz w:val="28"/>
          <w:szCs w:val="28"/>
        </w:rPr>
        <w:t>关于*项目的现场考察</w:t>
      </w:r>
      <w:r>
        <w:rPr>
          <w:rFonts w:hint="eastAsia" w:ascii="仿宋" w:hAnsi="仿宋" w:eastAsia="仿宋"/>
          <w:sz w:val="28"/>
          <w:szCs w:val="28"/>
        </w:rPr>
        <w:t>，详细听取了招标人的讲解和要求，已经知晓招标人本次项目的所有内容以及技术要求等。</w:t>
      </w: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招标人现场踏勘联系人签字：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54" w:name="_Toc5370"/>
      <w:r>
        <w:rPr>
          <w:rFonts w:hint="eastAsia" w:ascii="宋体" w:hAnsi="宋体"/>
          <w:szCs w:val="21"/>
        </w:rPr>
        <w:t>附件5：技术服务响应/偏离表</w:t>
      </w:r>
      <w:bookmarkEnd w:id="54"/>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55" w:name="_Toc211248418"/>
      <w:r>
        <w:rPr>
          <w:rFonts w:hint="eastAsia" w:ascii="方正小标宋_GBK" w:hAnsi="方正小标宋_GBK" w:eastAsia="方正小标宋_GBK"/>
          <w:b/>
          <w:sz w:val="32"/>
          <w:szCs w:val="32"/>
        </w:rPr>
        <w:t>技术服务响应/偏离表</w:t>
      </w:r>
      <w:bookmarkEnd w:id="55"/>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3"/>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8"/>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8"/>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8"/>
              </w:numPr>
              <w:spacing w:line="0" w:lineRule="atLeast"/>
              <w:jc w:val="center"/>
              <w:rPr>
                <w:rFonts w:ascii="仿宋" w:hAnsi="仿宋" w:eastAsia="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8"/>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3.《有/无偏离》栏只需填“有”或“无”。</w:t>
      </w:r>
      <w:r>
        <w:rPr>
          <w:rFonts w:ascii="仿宋" w:hAnsi="仿宋" w:eastAsia="仿宋"/>
          <w:color w:val="FF0000"/>
          <w:sz w:val="28"/>
          <w:szCs w:val="28"/>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文件不能通过符合性检查。</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56" w:name="_Toc211243320"/>
      <w:r>
        <w:rPr>
          <w:rFonts w:hint="eastAsia" w:ascii="仿宋" w:hAnsi="仿宋" w:eastAsia="仿宋"/>
          <w:sz w:val="28"/>
          <w:szCs w:val="28"/>
        </w:rPr>
        <w:t>投标人代表签字</w:t>
      </w:r>
      <w:r>
        <w:rPr>
          <w:rFonts w:hint="eastAsia" w:ascii="仿宋" w:hAnsi="仿宋" w:eastAsia="仿宋"/>
          <w:sz w:val="30"/>
          <w:szCs w:val="30"/>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56"/>
      <w:bookmarkStart w:id="57" w:name="_Toc246480945"/>
      <w:bookmarkStart w:id="58" w:name="_Toc236803114"/>
      <w:r>
        <w:rPr>
          <w:rFonts w:ascii="仿宋" w:hAnsi="仿宋" w:eastAsia="仿宋"/>
          <w:sz w:val="28"/>
          <w:szCs w:val="28"/>
        </w:rPr>
        <w:br w:type="page"/>
      </w:r>
    </w:p>
    <w:p>
      <w:pPr>
        <w:spacing w:line="0" w:lineRule="atLeast"/>
        <w:outlineLvl w:val="1"/>
        <w:rPr>
          <w:rFonts w:ascii="宋体" w:hAnsi="宋体"/>
          <w:szCs w:val="21"/>
        </w:rPr>
      </w:pPr>
      <w:bookmarkStart w:id="59" w:name="_Toc5879"/>
      <w:r>
        <w:rPr>
          <w:rFonts w:hint="eastAsia" w:ascii="宋体" w:hAnsi="宋体"/>
          <w:szCs w:val="21"/>
        </w:rPr>
        <w:t>附件6：商务条款响应/偏离表</w:t>
      </w:r>
      <w:bookmarkEnd w:id="57"/>
      <w:bookmarkEnd w:id="58"/>
      <w:bookmarkEnd w:id="59"/>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0" w:name="_Toc211248420"/>
      <w:r>
        <w:rPr>
          <w:rFonts w:hint="eastAsia" w:ascii="方正小标宋_GBK" w:hAnsi="方正小标宋_GBK" w:eastAsia="方正小标宋_GBK"/>
          <w:b/>
          <w:sz w:val="32"/>
          <w:szCs w:val="32"/>
        </w:rPr>
        <w:t>商务条款响应/偏离表</w:t>
      </w:r>
      <w:bookmarkEnd w:id="60"/>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3"/>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3.《有/无偏离》栏只需填“有”或“无”，</w:t>
      </w:r>
      <w:r>
        <w:rPr>
          <w:rFonts w:ascii="仿宋" w:hAnsi="仿宋" w:eastAsia="仿宋"/>
          <w:color w:val="FF0000"/>
          <w:sz w:val="28"/>
          <w:szCs w:val="28"/>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文件不能通过符合性检查。</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代表签字：</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61" w:name="_Toc478387764"/>
      <w:bookmarkStart w:id="62" w:name="_Toc395883088"/>
      <w:bookmarkStart w:id="63" w:name="_Toc236803111"/>
      <w:r>
        <w:rPr>
          <w:rFonts w:ascii="仿宋" w:hAnsi="仿宋" w:eastAsia="仿宋"/>
          <w:sz w:val="28"/>
          <w:szCs w:val="28"/>
        </w:rPr>
        <w:br w:type="page"/>
      </w:r>
    </w:p>
    <w:p>
      <w:pPr>
        <w:spacing w:line="0" w:lineRule="atLeast"/>
        <w:outlineLvl w:val="1"/>
        <w:rPr>
          <w:rFonts w:ascii="宋体" w:hAnsi="宋体"/>
          <w:szCs w:val="21"/>
        </w:rPr>
      </w:pPr>
      <w:bookmarkStart w:id="64" w:name="_Toc30690"/>
      <w:r>
        <w:rPr>
          <w:rFonts w:hint="eastAsia" w:ascii="宋体" w:hAnsi="宋体"/>
          <w:szCs w:val="21"/>
        </w:rPr>
        <w:t>附件7：报价一览表（货物）</w:t>
      </w:r>
      <w:r>
        <w:rPr>
          <w:rFonts w:hint="eastAsia" w:ascii="宋体" w:hAnsi="宋体"/>
          <w:color w:val="FF0000"/>
          <w:szCs w:val="21"/>
        </w:rPr>
        <w:t>（本项目不适用）</w:t>
      </w:r>
      <w:bookmarkEnd w:id="64"/>
    </w:p>
    <w:bookmarkEnd w:id="61"/>
    <w:bookmarkEnd w:id="62"/>
    <w:bookmarkEnd w:id="63"/>
    <w:p>
      <w:pPr>
        <w:spacing w:before="120" w:after="240"/>
        <w:jc w:val="center"/>
        <w:rPr>
          <w:rFonts w:ascii="宋体" w:hAnsi="宋体"/>
          <w:b/>
          <w:sz w:val="32"/>
          <w:szCs w:val="32"/>
        </w:rPr>
      </w:pPr>
      <w:bookmarkStart w:id="65" w:name="_Toc211248412"/>
      <w:r>
        <w:rPr>
          <w:rFonts w:hint="eastAsia" w:ascii="方正小标宋_GBK" w:hAnsi="方正小标宋_GBK" w:eastAsia="方正小标宋_GBK"/>
          <w:b/>
          <w:sz w:val="32"/>
          <w:szCs w:val="32"/>
        </w:rPr>
        <w:t>报价一览表</w:t>
      </w:r>
      <w:bookmarkEnd w:id="65"/>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3"/>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0"/>
        <w:numPr>
          <w:ilvl w:val="1"/>
          <w:numId w:val="30"/>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0"/>
        <w:numPr>
          <w:ilvl w:val="1"/>
          <w:numId w:val="30"/>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0"/>
        <w:numPr>
          <w:ilvl w:val="1"/>
          <w:numId w:val="30"/>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0"/>
        <w:numPr>
          <w:ilvl w:val="1"/>
          <w:numId w:val="30"/>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66" w:name="_Toc82095917"/>
      <w:bookmarkStart w:id="67" w:name="_Toc82359026"/>
      <w:r>
        <w:rPr>
          <w:rFonts w:hint="eastAsia" w:ascii="仿宋" w:hAnsi="仿宋" w:eastAsia="仿宋"/>
          <w:sz w:val="28"/>
          <w:szCs w:val="28"/>
        </w:rPr>
        <w:t>报价日期：_________年____月____日</w:t>
      </w:r>
      <w:r>
        <w:rPr>
          <w:rFonts w:ascii="仿宋" w:hAnsi="仿宋" w:eastAsia="仿宋"/>
          <w:sz w:val="28"/>
          <w:szCs w:val="28"/>
        </w:rPr>
        <w:br w:type="page"/>
      </w:r>
    </w:p>
    <w:bookmarkEnd w:id="66"/>
    <w:bookmarkEnd w:id="67"/>
    <w:p>
      <w:pPr>
        <w:spacing w:line="0" w:lineRule="atLeast"/>
        <w:outlineLvl w:val="1"/>
        <w:rPr>
          <w:rFonts w:ascii="宋体" w:hAnsi="宋体"/>
          <w:szCs w:val="21"/>
        </w:rPr>
      </w:pPr>
      <w:bookmarkStart w:id="68" w:name="_Toc19694"/>
      <w:r>
        <w:rPr>
          <w:rFonts w:hint="eastAsia" w:ascii="宋体" w:hAnsi="宋体"/>
          <w:szCs w:val="21"/>
        </w:rPr>
        <w:t>附件8：报价一览表（服务）</w:t>
      </w:r>
      <w:bookmarkEnd w:id="68"/>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3"/>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0"/>
        <w:numPr>
          <w:ilvl w:val="1"/>
          <w:numId w:val="31"/>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0"/>
        <w:numPr>
          <w:ilvl w:val="1"/>
          <w:numId w:val="31"/>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0"/>
        <w:numPr>
          <w:ilvl w:val="1"/>
          <w:numId w:val="31"/>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法定代表人或委托授权人（签字或盖章）：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报价日期：_______年____月____日</w:t>
      </w:r>
      <w:r>
        <w:rPr>
          <w:rFonts w:ascii="仿宋" w:hAnsi="仿宋" w:eastAsia="仿宋"/>
          <w:sz w:val="30"/>
          <w:szCs w:val="30"/>
        </w:rPr>
        <w:br w:type="page"/>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p>
    <w:p>
      <w:pPr>
        <w:spacing w:line="0" w:lineRule="atLeast"/>
        <w:outlineLvl w:val="1"/>
        <w:rPr>
          <w:rFonts w:ascii="宋体" w:hAnsi="宋体"/>
          <w:szCs w:val="21"/>
        </w:rPr>
      </w:pPr>
      <w:bookmarkStart w:id="69" w:name="_Toc8463"/>
      <w:r>
        <w:rPr>
          <w:rFonts w:hint="eastAsia" w:ascii="宋体" w:hAnsi="宋体"/>
          <w:szCs w:val="21"/>
        </w:rPr>
        <w:t>附件9：报价一览表（工程）</w:t>
      </w:r>
      <w:bookmarkEnd w:id="69"/>
      <w:r>
        <w:rPr>
          <w:rFonts w:hint="eastAsia" w:ascii="宋体" w:hAnsi="宋体"/>
          <w:color w:val="FF0000"/>
          <w:szCs w:val="21"/>
        </w:rPr>
        <w:t>（本项目不适用）</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3"/>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0"/>
        <w:numPr>
          <w:ilvl w:val="1"/>
          <w:numId w:val="32"/>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0"/>
        <w:numPr>
          <w:ilvl w:val="1"/>
          <w:numId w:val="32"/>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0"/>
        <w:numPr>
          <w:ilvl w:val="1"/>
          <w:numId w:val="32"/>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0"/>
        <w:numPr>
          <w:ilvl w:val="1"/>
          <w:numId w:val="32"/>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报价日期：_______年____月____日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70" w:name="_Toc15056"/>
      <w:r>
        <w:rPr>
          <w:rFonts w:hint="eastAsia" w:ascii="宋体" w:hAnsi="宋体"/>
          <w:szCs w:val="21"/>
        </w:rPr>
        <w:t>附件10：法定代表人证明书</w:t>
      </w:r>
      <w:bookmarkEnd w:id="70"/>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360" w:lineRule="auto"/>
        <w:ind w:left="-358" w:leftChars="-171" w:hanging="1"/>
        <w:rPr>
          <w:rFonts w:ascii="仿宋" w:hAnsi="仿宋" w:eastAsia="仿宋"/>
          <w:sz w:val="28"/>
          <w:szCs w:val="28"/>
        </w:rPr>
      </w:pPr>
      <w:r>
        <w:rPr>
          <w:rFonts w:hint="eastAsia" w:ascii="仿宋" w:hAnsi="仿宋" w:eastAsia="仿宋"/>
          <w:sz w:val="28"/>
          <w:szCs w:val="28"/>
        </w:rPr>
        <w:t>说明：</w:t>
      </w:r>
    </w:p>
    <w:p>
      <w:pPr>
        <w:spacing w:line="360" w:lineRule="auto"/>
        <w:ind w:left="799" w:leftChars="230" w:hanging="316" w:hangingChars="113"/>
        <w:rPr>
          <w:rFonts w:ascii="仿宋" w:hAnsi="仿宋" w:eastAsia="仿宋"/>
          <w:sz w:val="28"/>
          <w:szCs w:val="28"/>
        </w:rPr>
      </w:pPr>
      <w:r>
        <w:rPr>
          <w:rFonts w:hint="eastAsia" w:ascii="仿宋" w:hAnsi="仿宋" w:eastAsia="仿宋"/>
          <w:sz w:val="28"/>
          <w:szCs w:val="28"/>
        </w:rPr>
        <w:t>1.法定代表人为企业事业单位、国家机关、社会团体的主要行政负责人。</w:t>
      </w:r>
    </w:p>
    <w:p>
      <w:pPr>
        <w:spacing w:line="360" w:lineRule="auto"/>
        <w:ind w:left="-358" w:leftChars="-171" w:hanging="1"/>
        <w:rPr>
          <w:rFonts w:ascii="仿宋" w:hAnsi="仿宋" w:eastAsia="仿宋"/>
          <w:sz w:val="28"/>
          <w:szCs w:val="28"/>
        </w:rPr>
      </w:pPr>
      <w:r>
        <w:rPr>
          <w:rFonts w:hint="eastAsia" w:ascii="仿宋" w:hAnsi="仿宋" w:eastAsia="仿宋"/>
          <w:sz w:val="28"/>
          <w:szCs w:val="28"/>
        </w:rPr>
        <w:t xml:space="preserve">      2.内容必须填写真实、清楚，涂改无效，不得转让、买卖。</w:t>
      </w:r>
    </w:p>
    <w:p>
      <w:pPr>
        <w:spacing w:line="360" w:lineRule="auto"/>
        <w:ind w:left="-359" w:leftChars="-171" w:firstLine="840" w:firstLineChars="300"/>
        <w:rPr>
          <w:rFonts w:ascii="仿宋" w:hAnsi="仿宋" w:eastAsia="仿宋"/>
          <w:sz w:val="28"/>
          <w:szCs w:val="28"/>
        </w:rPr>
      </w:pPr>
      <w:r>
        <w:rPr>
          <w:rFonts w:hint="eastAsia" w:ascii="仿宋" w:hAnsi="仿宋" w:eastAsia="仿宋"/>
          <w:sz w:val="28"/>
          <w:szCs w:val="28"/>
        </w:rPr>
        <w:t>3.将此证明书提交对方作为合同附件。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71" w:name="_Toc15179"/>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71"/>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ascii="仿宋" w:hAnsi="仿宋" w:eastAsia="仿宋"/>
          <w:color w:val="000000"/>
          <w:sz w:val="28"/>
          <w:szCs w:val="28"/>
        </w:rPr>
        <w:t>2.委托书不得转让、买卖。</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将此委托书提交对方作为合同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pPr>
        <w:widowControl/>
        <w:jc w:val="left"/>
        <w:rPr>
          <w:rFonts w:ascii="仿宋_GB2312" w:hAnsi="宋体" w:eastAsia="仿宋_GB2312"/>
          <w:color w:val="000000"/>
        </w:rPr>
      </w:pPr>
      <w:r>
        <w:rPr>
          <w:rFonts w:ascii="仿宋_GB2312" w:hAnsi="宋体" w:eastAsia="仿宋_GB2312"/>
          <w:color w:val="000000"/>
        </w:rPr>
        <w:br w:type="page"/>
      </w:r>
    </w:p>
    <w:p>
      <w:pPr>
        <w:spacing w:line="0" w:lineRule="atLeast"/>
        <w:outlineLvl w:val="1"/>
        <w:rPr>
          <w:rFonts w:ascii="宋体" w:hAnsi="宋体"/>
          <w:szCs w:val="21"/>
        </w:rPr>
      </w:pPr>
      <w:bookmarkStart w:id="72" w:name="_Toc24595"/>
      <w:r>
        <w:rPr>
          <w:rFonts w:hint="eastAsia" w:ascii="宋体" w:hAnsi="宋体"/>
          <w:szCs w:val="21"/>
        </w:rPr>
        <w:t>附件</w:t>
      </w:r>
      <w:r>
        <w:rPr>
          <w:rFonts w:ascii="宋体" w:hAnsi="宋体"/>
          <w:szCs w:val="21"/>
        </w:rPr>
        <w:t>1</w:t>
      </w:r>
      <w:r>
        <w:rPr>
          <w:rFonts w:hint="eastAsia" w:ascii="宋体" w:hAnsi="宋体"/>
          <w:szCs w:val="21"/>
        </w:rPr>
        <w:t>2：经营业绩一览表</w:t>
      </w:r>
      <w:bookmarkEnd w:id="72"/>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3"/>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rPr>
          <w:rFonts w:ascii="仿宋" w:hAnsi="仿宋" w:eastAsia="仿宋"/>
          <w:sz w:val="28"/>
          <w:szCs w:val="28"/>
        </w:rPr>
      </w:pPr>
      <w:r>
        <w:rPr>
          <w:rFonts w:hint="eastAsia" w:ascii="仿宋" w:hAnsi="仿宋" w:eastAsia="仿宋"/>
          <w:sz w:val="28"/>
          <w:szCs w:val="28"/>
        </w:rPr>
        <w:t>1.此表格式如不合适，投标人可自行调整。</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2.投标人根据招标文件业绩部分资格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3.上述业绩必须为真实有效，如发现业绩不符，将取消相应资格；</w:t>
      </w:r>
    </w:p>
    <w:p>
      <w:pPr>
        <w:autoSpaceDE w:val="0"/>
        <w:autoSpaceDN w:val="0"/>
        <w:adjustRightInd w:val="0"/>
        <w:snapToGrid w:val="0"/>
        <w:jc w:val="left"/>
        <w:rPr>
          <w:rFonts w:ascii="仿宋" w:hAnsi="仿宋" w:eastAsia="仿宋"/>
          <w:sz w:val="28"/>
          <w:szCs w:val="28"/>
        </w:rPr>
      </w:pPr>
      <w:r>
        <w:rPr>
          <w:rFonts w:hint="eastAsia" w:ascii="仿宋" w:hAnsi="仿宋" w:eastAsia="仿宋"/>
          <w:sz w:val="28"/>
          <w:szCs w:val="28"/>
        </w:rPr>
        <w:t>4.证明材料须附在本表后即可。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73" w:name="_Toc4290"/>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73"/>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3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3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3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3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3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3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74" w:name="_Toc32341"/>
      <w:r>
        <w:rPr>
          <w:rFonts w:ascii="仿宋" w:hAnsi="仿宋" w:eastAsia="仿宋"/>
          <w:sz w:val="28"/>
          <w:szCs w:val="28"/>
        </w:rPr>
        <w:br w:type="page"/>
      </w:r>
    </w:p>
    <w:p>
      <w:pPr>
        <w:spacing w:line="0" w:lineRule="atLeast"/>
        <w:outlineLvl w:val="1"/>
        <w:rPr>
          <w:rFonts w:ascii="宋体" w:hAnsi="宋体"/>
          <w:szCs w:val="21"/>
        </w:rPr>
      </w:pPr>
      <w:bookmarkStart w:id="75" w:name="_Toc11411"/>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74"/>
      <w:bookmarkEnd w:id="75"/>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3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3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3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法定代表人或其授权代理人（签字或盖章）：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2"/>
      </w:pPr>
    </w:p>
    <w:p>
      <w:pPr>
        <w:spacing w:line="0" w:lineRule="atLeast"/>
        <w:outlineLvl w:val="1"/>
        <w:rPr>
          <w:rFonts w:ascii="宋体" w:hAnsi="宋体"/>
        </w:rPr>
      </w:pPr>
      <w:bookmarkStart w:id="76" w:name="_Toc28341"/>
      <w:bookmarkStart w:id="77" w:name="_Toc100848654"/>
      <w:r>
        <w:rPr>
          <w:rFonts w:hint="eastAsia" w:ascii="宋体" w:hAnsi="宋体"/>
        </w:rPr>
        <w:t>附件1</w:t>
      </w:r>
      <w:r>
        <w:rPr>
          <w:rFonts w:ascii="宋体" w:hAnsi="宋体"/>
        </w:rPr>
        <w:t>5</w:t>
      </w:r>
      <w:r>
        <w:rPr>
          <w:rFonts w:hint="eastAsia" w:ascii="宋体" w:hAnsi="宋体"/>
        </w:rPr>
        <w:t>：投标文件密码</w:t>
      </w:r>
      <w:bookmarkEnd w:id="76"/>
      <w:bookmarkEnd w:id="77"/>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78"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78"/>
    </w:p>
    <w:p>
      <w:pPr>
        <w:jc w:val="center"/>
        <w:rPr>
          <w:rFonts w:ascii="宋体" w:hAnsi="宋体"/>
          <w:b/>
          <w:sz w:val="32"/>
          <w:szCs w:val="32"/>
        </w:rPr>
      </w:pPr>
      <w:r>
        <w:rPr>
          <w:rFonts w:hint="eastAsia" w:ascii="宋体" w:hAnsi="宋体"/>
          <w:b/>
          <w:sz w:val="32"/>
          <w:szCs w:val="32"/>
        </w:rPr>
        <w:t>（一）投标文件密码</w:t>
      </w:r>
    </w:p>
    <w:p>
      <w:pPr>
        <w:pStyle w:val="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2"/>
        <w:rPr>
          <w:rFonts w:ascii="仿宋" w:hAnsi="仿宋" w:eastAsia="仿宋"/>
          <w:b/>
          <w:sz w:val="24"/>
        </w:rPr>
      </w:pPr>
      <w:r>
        <w:rPr>
          <w:rFonts w:hint="eastAsia" w:ascii="仿宋" w:hAnsi="仿宋" w:eastAsia="仿宋"/>
          <w:b/>
          <w:color w:val="FF0000"/>
          <w:sz w:val="24"/>
        </w:rPr>
        <w:t>【特别注意】</w:t>
      </w:r>
      <w:r>
        <w:rPr>
          <w:rFonts w:hint="eastAsia" w:ascii="仿宋" w:hAnsi="仿宋" w:eastAsia="仿宋"/>
          <w:b/>
          <w:color w:val="000000" w:themeColor="text1"/>
          <w:sz w:val="24"/>
          <w14:textFill>
            <w14:solidFill>
              <w14:schemeClr w14:val="tx1"/>
            </w14:solidFill>
          </w14:textFill>
        </w:rPr>
        <w:t>密码</w:t>
      </w:r>
      <w:r>
        <w:rPr>
          <w:rFonts w:hint="eastAsia" w:ascii="仿宋" w:hAnsi="仿宋" w:eastAsia="仿宋"/>
          <w:b/>
          <w:sz w:val="24"/>
        </w:rPr>
        <w:t>区分大小写，且不得使用易与数字混淆的</w:t>
      </w:r>
      <w:r>
        <w:rPr>
          <w:rFonts w:ascii="仿宋" w:hAnsi="仿宋" w:eastAsia="仿宋"/>
          <w:b/>
          <w:sz w:val="24"/>
        </w:rPr>
        <w:t>I</w:t>
      </w:r>
      <w:r>
        <w:rPr>
          <w:rFonts w:hint="eastAsia" w:ascii="仿宋" w:hAnsi="仿宋" w:eastAsia="仿宋"/>
          <w:b/>
          <w:sz w:val="24"/>
        </w:rPr>
        <w:t>、l、O（或</w:t>
      </w:r>
      <w:r>
        <w:rPr>
          <w:rFonts w:ascii="仿宋" w:hAnsi="仿宋" w:eastAsia="仿宋"/>
          <w:b/>
          <w:sz w:val="24"/>
        </w:rPr>
        <w:t>o</w:t>
      </w:r>
      <w:r>
        <w:rPr>
          <w:rFonts w:hint="eastAsia" w:ascii="仿宋" w:hAnsi="仿宋" w:eastAsia="仿宋"/>
          <w:b/>
          <w:sz w:val="24"/>
        </w:rPr>
        <w:t>）等字母。</w:t>
      </w:r>
    </w:p>
    <w:p>
      <w:pPr>
        <w:pStyle w:val="2"/>
      </w:pPr>
    </w:p>
    <w:sectPr>
      <w:footerReference r:id="rId4"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CEC60A"/>
    <w:multiLevelType w:val="singleLevel"/>
    <w:tmpl w:val="93CEC60A"/>
    <w:lvl w:ilvl="0" w:tentative="0">
      <w:start w:val="1"/>
      <w:numFmt w:val="decimal"/>
      <w:lvlText w:val="（%1）"/>
      <w:lvlJc w:val="left"/>
      <w:pPr>
        <w:ind w:left="420" w:hanging="420"/>
      </w:pPr>
      <w:rPr>
        <w:rFonts w:hint="eastAsia"/>
      </w:rPr>
    </w:lvl>
  </w:abstractNum>
  <w:abstractNum w:abstractNumId="1">
    <w:nsid w:val="A2281775"/>
    <w:multiLevelType w:val="singleLevel"/>
    <w:tmpl w:val="A2281775"/>
    <w:lvl w:ilvl="0" w:tentative="0">
      <w:start w:val="1"/>
      <w:numFmt w:val="decimal"/>
      <w:suff w:val="space"/>
      <w:lvlText w:val="%1."/>
      <w:lvlJc w:val="left"/>
    </w:lvl>
  </w:abstractNum>
  <w:abstractNum w:abstractNumId="2">
    <w:nsid w:val="CA690857"/>
    <w:multiLevelType w:val="singleLevel"/>
    <w:tmpl w:val="CA690857"/>
    <w:lvl w:ilvl="0" w:tentative="0">
      <w:start w:val="1"/>
      <w:numFmt w:val="decimal"/>
      <w:lvlText w:val="（%1）"/>
      <w:lvlJc w:val="left"/>
      <w:pPr>
        <w:ind w:left="420" w:hanging="420"/>
      </w:pPr>
      <w:rPr>
        <w:rFonts w:hint="eastAsia"/>
      </w:rPr>
    </w:lvl>
  </w:abstractNum>
  <w:abstractNum w:abstractNumId="3">
    <w:nsid w:val="D3051835"/>
    <w:multiLevelType w:val="singleLevel"/>
    <w:tmpl w:val="D3051835"/>
    <w:lvl w:ilvl="0" w:tentative="0">
      <w:start w:val="1"/>
      <w:numFmt w:val="decimal"/>
      <w:suff w:val="space"/>
      <w:lvlText w:val="%1."/>
      <w:lvlJc w:val="left"/>
    </w:lvl>
  </w:abstractNum>
  <w:abstractNum w:abstractNumId="4">
    <w:nsid w:val="DAA5A57F"/>
    <w:multiLevelType w:val="singleLevel"/>
    <w:tmpl w:val="DAA5A57F"/>
    <w:lvl w:ilvl="0" w:tentative="0">
      <w:start w:val="1"/>
      <w:numFmt w:val="decimal"/>
      <w:suff w:val="space"/>
      <w:lvlText w:val="%1."/>
      <w:lvlJc w:val="left"/>
    </w:lvl>
  </w:abstractNum>
  <w:abstractNum w:abstractNumId="5">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3"/>
    <w:multiLevelType w:val="singleLevel"/>
    <w:tmpl w:val="00000013"/>
    <w:lvl w:ilvl="0" w:tentative="0">
      <w:start w:val="1"/>
      <w:numFmt w:val="decimal"/>
      <w:lvlText w:val="%1."/>
      <w:lvlJc w:val="left"/>
      <w:pPr>
        <w:ind w:left="420" w:hanging="420"/>
      </w:pPr>
    </w:lvl>
  </w:abstractNum>
  <w:abstractNum w:abstractNumId="9">
    <w:nsid w:val="0BAB60FD"/>
    <w:multiLevelType w:val="multilevel"/>
    <w:tmpl w:val="0BAB60FD"/>
    <w:lvl w:ilvl="0" w:tentative="0">
      <w:start w:val="1"/>
      <w:numFmt w:val="decimal"/>
      <w:lvlText w:val="（%1）"/>
      <w:lvlJc w:val="center"/>
      <w:pPr>
        <w:ind w:left="562" w:hanging="420"/>
      </w:pPr>
      <w:rPr>
        <w:rFonts w:hint="default"/>
        <w:sz w:val="21"/>
        <w:szCs w:val="21"/>
      </w:rPr>
    </w:lvl>
    <w:lvl w:ilvl="1" w:tentative="0">
      <w:start w:val="1"/>
      <w:numFmt w:val="lowerLetter"/>
      <w:lvlText w:val="%2)"/>
      <w:lvlJc w:val="left"/>
      <w:pPr>
        <w:ind w:left="-294" w:hanging="420"/>
      </w:pPr>
    </w:lvl>
    <w:lvl w:ilvl="2" w:tentative="0">
      <w:start w:val="1"/>
      <w:numFmt w:val="lowerRoman"/>
      <w:lvlText w:val="%3."/>
      <w:lvlJc w:val="right"/>
      <w:pPr>
        <w:ind w:left="126" w:hanging="420"/>
      </w:pPr>
    </w:lvl>
    <w:lvl w:ilvl="3" w:tentative="0">
      <w:start w:val="1"/>
      <w:numFmt w:val="decimal"/>
      <w:lvlText w:val="%4."/>
      <w:lvlJc w:val="left"/>
      <w:pPr>
        <w:ind w:left="546" w:hanging="420"/>
      </w:pPr>
    </w:lvl>
    <w:lvl w:ilvl="4" w:tentative="0">
      <w:start w:val="1"/>
      <w:numFmt w:val="lowerLetter"/>
      <w:lvlText w:val="%5)"/>
      <w:lvlJc w:val="left"/>
      <w:pPr>
        <w:ind w:left="966" w:hanging="420"/>
      </w:pPr>
    </w:lvl>
    <w:lvl w:ilvl="5" w:tentative="0">
      <w:start w:val="1"/>
      <w:numFmt w:val="lowerRoman"/>
      <w:lvlText w:val="%6."/>
      <w:lvlJc w:val="right"/>
      <w:pPr>
        <w:ind w:left="1386" w:hanging="420"/>
      </w:pPr>
    </w:lvl>
    <w:lvl w:ilvl="6" w:tentative="0">
      <w:start w:val="1"/>
      <w:numFmt w:val="decimal"/>
      <w:lvlText w:val="%7."/>
      <w:lvlJc w:val="left"/>
      <w:pPr>
        <w:ind w:left="1806" w:hanging="420"/>
      </w:pPr>
    </w:lvl>
    <w:lvl w:ilvl="7" w:tentative="0">
      <w:start w:val="1"/>
      <w:numFmt w:val="lowerLetter"/>
      <w:lvlText w:val="%8)"/>
      <w:lvlJc w:val="left"/>
      <w:pPr>
        <w:ind w:left="2226" w:hanging="420"/>
      </w:pPr>
    </w:lvl>
    <w:lvl w:ilvl="8" w:tentative="0">
      <w:start w:val="1"/>
      <w:numFmt w:val="lowerRoman"/>
      <w:lvlText w:val="%9."/>
      <w:lvlJc w:val="right"/>
      <w:pPr>
        <w:ind w:left="2646" w:hanging="420"/>
      </w:pPr>
    </w:lvl>
  </w:abstractNum>
  <w:abstractNum w:abstractNumId="10">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1305886"/>
    <w:multiLevelType w:val="singleLevel"/>
    <w:tmpl w:val="21305886"/>
    <w:lvl w:ilvl="0" w:tentative="0">
      <w:start w:val="1"/>
      <w:numFmt w:val="decimal"/>
      <w:lvlText w:val="（%1）"/>
      <w:lvlJc w:val="left"/>
      <w:pPr>
        <w:ind w:left="420" w:hanging="420"/>
      </w:pPr>
      <w:rPr>
        <w:rFonts w:hint="eastAsia"/>
      </w:rPr>
    </w:lvl>
  </w:abstractNum>
  <w:abstractNum w:abstractNumId="13">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EDA289A"/>
    <w:multiLevelType w:val="singleLevel"/>
    <w:tmpl w:val="2EDA289A"/>
    <w:lvl w:ilvl="0" w:tentative="0">
      <w:start w:val="1"/>
      <w:numFmt w:val="decimal"/>
      <w:lvlText w:val="（%1）"/>
      <w:lvlJc w:val="left"/>
      <w:pPr>
        <w:ind w:left="420" w:hanging="420"/>
      </w:pPr>
      <w:rPr>
        <w:rFonts w:hint="eastAsia"/>
      </w:rPr>
    </w:lvl>
  </w:abstractNum>
  <w:abstractNum w:abstractNumId="15">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D66B715"/>
    <w:multiLevelType w:val="singleLevel"/>
    <w:tmpl w:val="3D66B715"/>
    <w:lvl w:ilvl="0" w:tentative="0">
      <w:start w:val="1"/>
      <w:numFmt w:val="decimal"/>
      <w:lvlText w:val="（%1）"/>
      <w:lvlJc w:val="left"/>
      <w:pPr>
        <w:ind w:left="420" w:hanging="420"/>
      </w:pPr>
      <w:rPr>
        <w:rFonts w:hint="eastAsia"/>
      </w:rPr>
    </w:lvl>
  </w:abstractNum>
  <w:abstractNum w:abstractNumId="20">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1">
    <w:nsid w:val="53B178C8"/>
    <w:multiLevelType w:val="singleLevel"/>
    <w:tmpl w:val="53B178C8"/>
    <w:lvl w:ilvl="0" w:tentative="0">
      <w:start w:val="1"/>
      <w:numFmt w:val="decimal"/>
      <w:lvlText w:val="（%1）"/>
      <w:lvlJc w:val="left"/>
      <w:pPr>
        <w:ind w:left="420" w:hanging="420"/>
      </w:pPr>
      <w:rPr>
        <w:rFonts w:hint="eastAsia"/>
      </w:rPr>
    </w:lvl>
  </w:abstractNum>
  <w:abstractNum w:abstractNumId="22">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3">
    <w:nsid w:val="562460B2"/>
    <w:multiLevelType w:val="singleLevel"/>
    <w:tmpl w:val="562460B2"/>
    <w:lvl w:ilvl="0" w:tentative="0">
      <w:start w:val="1"/>
      <w:numFmt w:val="chineseCounting"/>
      <w:suff w:val="nothing"/>
      <w:lvlText w:val="%1、"/>
      <w:lvlJc w:val="left"/>
      <w:rPr>
        <w:rFonts w:hint="eastAsia" w:ascii="宋体" w:hAnsi="宋体" w:eastAsia="宋体" w:cs="仿宋"/>
        <w:b/>
        <w:bCs/>
        <w:color w:val="auto"/>
      </w:rPr>
    </w:lvl>
  </w:abstractNum>
  <w:abstractNum w:abstractNumId="24">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9252588"/>
    <w:multiLevelType w:val="multilevel"/>
    <w:tmpl w:val="5925258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29A768B"/>
    <w:multiLevelType w:val="singleLevel"/>
    <w:tmpl w:val="629A768B"/>
    <w:lvl w:ilvl="0" w:tentative="0">
      <w:start w:val="1"/>
      <w:numFmt w:val="decimal"/>
      <w:lvlText w:val="（%1）"/>
      <w:lvlJc w:val="left"/>
      <w:pPr>
        <w:ind w:left="420" w:hanging="420"/>
      </w:pPr>
      <w:rPr>
        <w:rFonts w:hint="eastAsia"/>
      </w:rPr>
    </w:lvl>
  </w:abstractNum>
  <w:abstractNum w:abstractNumId="27">
    <w:nsid w:val="635B71CE"/>
    <w:multiLevelType w:val="singleLevel"/>
    <w:tmpl w:val="635B71CE"/>
    <w:lvl w:ilvl="0" w:tentative="0">
      <w:start w:val="1"/>
      <w:numFmt w:val="decimal"/>
      <w:lvlText w:val="（%1）"/>
      <w:lvlJc w:val="left"/>
      <w:pPr>
        <w:ind w:left="420" w:hanging="420"/>
      </w:pPr>
      <w:rPr>
        <w:rFonts w:hint="eastAsia"/>
      </w:rPr>
    </w:lvl>
  </w:abstractNum>
  <w:abstractNum w:abstractNumId="28">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9">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30">
    <w:nsid w:val="750E760B"/>
    <w:multiLevelType w:val="singleLevel"/>
    <w:tmpl w:val="750E760B"/>
    <w:lvl w:ilvl="0" w:tentative="0">
      <w:start w:val="1"/>
      <w:numFmt w:val="decimal"/>
      <w:lvlText w:val="（%1）"/>
      <w:lvlJc w:val="left"/>
      <w:pPr>
        <w:ind w:left="420" w:hanging="420"/>
      </w:pPr>
      <w:rPr>
        <w:rFonts w:hint="eastAsia"/>
      </w:rPr>
    </w:lvl>
  </w:abstractNum>
  <w:abstractNum w:abstractNumId="31">
    <w:nsid w:val="7B4A4E0C"/>
    <w:multiLevelType w:val="singleLevel"/>
    <w:tmpl w:val="7B4A4E0C"/>
    <w:lvl w:ilvl="0" w:tentative="0">
      <w:start w:val="1"/>
      <w:numFmt w:val="decimal"/>
      <w:lvlText w:val="（%1）"/>
      <w:lvlJc w:val="left"/>
      <w:pPr>
        <w:ind w:left="420" w:hanging="420"/>
      </w:pPr>
      <w:rPr>
        <w:rFonts w:hint="eastAsia"/>
      </w:rPr>
    </w:lvl>
  </w:abstractNum>
  <w:abstractNum w:abstractNumId="32">
    <w:nsid w:val="7ED17433"/>
    <w:multiLevelType w:val="singleLevel"/>
    <w:tmpl w:val="7ED17433"/>
    <w:lvl w:ilvl="0" w:tentative="0">
      <w:start w:val="1"/>
      <w:numFmt w:val="decimal"/>
      <w:lvlText w:val="（%1）"/>
      <w:lvlJc w:val="left"/>
      <w:pPr>
        <w:ind w:left="420" w:hanging="420"/>
      </w:pPr>
      <w:rPr>
        <w:rFonts w:hint="eastAsia"/>
      </w:rPr>
    </w:lvl>
  </w:abstractNum>
  <w:num w:numId="1">
    <w:abstractNumId w:val="23"/>
  </w:num>
  <w:num w:numId="2">
    <w:abstractNumId w:val="29"/>
  </w:num>
  <w:num w:numId="3">
    <w:abstractNumId w:val="17"/>
  </w:num>
  <w:num w:numId="4">
    <w:abstractNumId w:val="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4"/>
  </w:num>
  <w:num w:numId="8">
    <w:abstractNumId w:val="18"/>
  </w:num>
  <w:num w:numId="9">
    <w:abstractNumId w:val="10"/>
  </w:num>
  <w:num w:numId="10">
    <w:abstractNumId w:val="31"/>
  </w:num>
  <w:num w:numId="11">
    <w:abstractNumId w:val="32"/>
  </w:num>
  <w:num w:numId="12">
    <w:abstractNumId w:val="12"/>
  </w:num>
  <w:num w:numId="13">
    <w:abstractNumId w:val="9"/>
  </w:num>
  <w:num w:numId="14">
    <w:abstractNumId w:val="30"/>
  </w:num>
  <w:num w:numId="15">
    <w:abstractNumId w:val="27"/>
  </w:num>
  <w:num w:numId="16">
    <w:abstractNumId w:val="26"/>
  </w:num>
  <w:num w:numId="17">
    <w:abstractNumId w:val="3"/>
  </w:num>
  <w:num w:numId="18">
    <w:abstractNumId w:val="7"/>
  </w:num>
  <w:num w:numId="19">
    <w:abstractNumId w:val="19"/>
  </w:num>
  <w:num w:numId="20">
    <w:abstractNumId w:val="11"/>
  </w:num>
  <w:num w:numId="21">
    <w:abstractNumId w:val="16"/>
  </w:num>
  <w:num w:numId="22">
    <w:abstractNumId w:val="14"/>
  </w:num>
  <w:num w:numId="23">
    <w:abstractNumId w:val="0"/>
  </w:num>
  <w:num w:numId="24">
    <w:abstractNumId w:val="21"/>
  </w:num>
  <w:num w:numId="25">
    <w:abstractNumId w:val="1"/>
  </w:num>
  <w:num w:numId="26">
    <w:abstractNumId w:val="4"/>
  </w:num>
  <w:num w:numId="27">
    <w:abstractNumId w:val="25"/>
  </w:num>
  <w:num w:numId="28">
    <w:abstractNumId w:val="6"/>
  </w:num>
  <w:num w:numId="29">
    <w:abstractNumId w:val="5"/>
  </w:num>
  <w:num w:numId="30">
    <w:abstractNumId w:val="28"/>
  </w:num>
  <w:num w:numId="31">
    <w:abstractNumId w:val="20"/>
  </w:num>
  <w:num w:numId="32">
    <w:abstractNumId w:val="15"/>
  </w:num>
  <w:num w:numId="33">
    <w:abstractNumId w:val="8"/>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7C50B2"/>
    <w:rsid w:val="00000451"/>
    <w:rsid w:val="000071F5"/>
    <w:rsid w:val="000109CF"/>
    <w:rsid w:val="0001408F"/>
    <w:rsid w:val="00020D3D"/>
    <w:rsid w:val="0002431D"/>
    <w:rsid w:val="00044F84"/>
    <w:rsid w:val="0006307A"/>
    <w:rsid w:val="00071803"/>
    <w:rsid w:val="00072D6C"/>
    <w:rsid w:val="00074891"/>
    <w:rsid w:val="00077160"/>
    <w:rsid w:val="00080360"/>
    <w:rsid w:val="000851E8"/>
    <w:rsid w:val="00093F3A"/>
    <w:rsid w:val="000A2543"/>
    <w:rsid w:val="000A2942"/>
    <w:rsid w:val="000C0416"/>
    <w:rsid w:val="000C45B3"/>
    <w:rsid w:val="000C7053"/>
    <w:rsid w:val="000E3E7C"/>
    <w:rsid w:val="000F16F8"/>
    <w:rsid w:val="000F23B0"/>
    <w:rsid w:val="001052B4"/>
    <w:rsid w:val="001107A5"/>
    <w:rsid w:val="001238C4"/>
    <w:rsid w:val="0012732B"/>
    <w:rsid w:val="0013213B"/>
    <w:rsid w:val="0013663B"/>
    <w:rsid w:val="00137AB2"/>
    <w:rsid w:val="00141B72"/>
    <w:rsid w:val="001427DC"/>
    <w:rsid w:val="00155197"/>
    <w:rsid w:val="00162AA4"/>
    <w:rsid w:val="00162DEA"/>
    <w:rsid w:val="001723D2"/>
    <w:rsid w:val="00174846"/>
    <w:rsid w:val="00180E0D"/>
    <w:rsid w:val="001959E5"/>
    <w:rsid w:val="001978B2"/>
    <w:rsid w:val="001A6C5B"/>
    <w:rsid w:val="001C384A"/>
    <w:rsid w:val="001D7472"/>
    <w:rsid w:val="001E1442"/>
    <w:rsid w:val="001E44D2"/>
    <w:rsid w:val="001F14F2"/>
    <w:rsid w:val="00206999"/>
    <w:rsid w:val="0022465E"/>
    <w:rsid w:val="00233E0E"/>
    <w:rsid w:val="00240553"/>
    <w:rsid w:val="00252697"/>
    <w:rsid w:val="00276F8C"/>
    <w:rsid w:val="00292E63"/>
    <w:rsid w:val="002963F2"/>
    <w:rsid w:val="002B743A"/>
    <w:rsid w:val="002C49F2"/>
    <w:rsid w:val="002F4050"/>
    <w:rsid w:val="003158DE"/>
    <w:rsid w:val="003255E6"/>
    <w:rsid w:val="003300CC"/>
    <w:rsid w:val="003436BC"/>
    <w:rsid w:val="00354484"/>
    <w:rsid w:val="003545D1"/>
    <w:rsid w:val="003823A8"/>
    <w:rsid w:val="00397C1E"/>
    <w:rsid w:val="003A09E6"/>
    <w:rsid w:val="003B01FB"/>
    <w:rsid w:val="003B0D06"/>
    <w:rsid w:val="003C5291"/>
    <w:rsid w:val="003C7571"/>
    <w:rsid w:val="003D0358"/>
    <w:rsid w:val="003D144A"/>
    <w:rsid w:val="003E6092"/>
    <w:rsid w:val="003E66A3"/>
    <w:rsid w:val="003E7621"/>
    <w:rsid w:val="00413B58"/>
    <w:rsid w:val="004235D9"/>
    <w:rsid w:val="00424D49"/>
    <w:rsid w:val="00427D5D"/>
    <w:rsid w:val="00441F17"/>
    <w:rsid w:val="004707D2"/>
    <w:rsid w:val="00471ED2"/>
    <w:rsid w:val="00476C96"/>
    <w:rsid w:val="00492F1D"/>
    <w:rsid w:val="00497E17"/>
    <w:rsid w:val="004A0594"/>
    <w:rsid w:val="004A7C1F"/>
    <w:rsid w:val="004B0D64"/>
    <w:rsid w:val="004B24F9"/>
    <w:rsid w:val="004C188A"/>
    <w:rsid w:val="004D45BF"/>
    <w:rsid w:val="004D58FC"/>
    <w:rsid w:val="004D6F70"/>
    <w:rsid w:val="004E3802"/>
    <w:rsid w:val="004E4541"/>
    <w:rsid w:val="004E7657"/>
    <w:rsid w:val="004F63E5"/>
    <w:rsid w:val="00506B6D"/>
    <w:rsid w:val="00520E0E"/>
    <w:rsid w:val="00533F6D"/>
    <w:rsid w:val="00544B6E"/>
    <w:rsid w:val="00565EDC"/>
    <w:rsid w:val="005815FC"/>
    <w:rsid w:val="005A26F8"/>
    <w:rsid w:val="005A480E"/>
    <w:rsid w:val="005B03C2"/>
    <w:rsid w:val="005B1453"/>
    <w:rsid w:val="005B328D"/>
    <w:rsid w:val="005C5034"/>
    <w:rsid w:val="005D123F"/>
    <w:rsid w:val="005E43D8"/>
    <w:rsid w:val="005F16B3"/>
    <w:rsid w:val="00606010"/>
    <w:rsid w:val="0061751F"/>
    <w:rsid w:val="00621681"/>
    <w:rsid w:val="00626482"/>
    <w:rsid w:val="00630585"/>
    <w:rsid w:val="006311FC"/>
    <w:rsid w:val="00632039"/>
    <w:rsid w:val="006333BC"/>
    <w:rsid w:val="00664471"/>
    <w:rsid w:val="00681577"/>
    <w:rsid w:val="006815B1"/>
    <w:rsid w:val="00687753"/>
    <w:rsid w:val="006942FF"/>
    <w:rsid w:val="006A4FED"/>
    <w:rsid w:val="006B1729"/>
    <w:rsid w:val="006B3970"/>
    <w:rsid w:val="006B4923"/>
    <w:rsid w:val="006B7341"/>
    <w:rsid w:val="006C659A"/>
    <w:rsid w:val="006C7266"/>
    <w:rsid w:val="006C7574"/>
    <w:rsid w:val="006D61F7"/>
    <w:rsid w:val="006E0464"/>
    <w:rsid w:val="006E42A5"/>
    <w:rsid w:val="006E6992"/>
    <w:rsid w:val="006F0E4A"/>
    <w:rsid w:val="006F3293"/>
    <w:rsid w:val="0070433C"/>
    <w:rsid w:val="007111D7"/>
    <w:rsid w:val="007115E1"/>
    <w:rsid w:val="00714F2D"/>
    <w:rsid w:val="00715AB4"/>
    <w:rsid w:val="00717FB9"/>
    <w:rsid w:val="00753FCA"/>
    <w:rsid w:val="007542A8"/>
    <w:rsid w:val="007559E5"/>
    <w:rsid w:val="007672EE"/>
    <w:rsid w:val="0076763C"/>
    <w:rsid w:val="00772A20"/>
    <w:rsid w:val="0077621A"/>
    <w:rsid w:val="00781DFA"/>
    <w:rsid w:val="00782E08"/>
    <w:rsid w:val="00790A8A"/>
    <w:rsid w:val="007933D2"/>
    <w:rsid w:val="007C02CE"/>
    <w:rsid w:val="007C50B2"/>
    <w:rsid w:val="007F431D"/>
    <w:rsid w:val="007F4FF0"/>
    <w:rsid w:val="00803FA2"/>
    <w:rsid w:val="00847CD0"/>
    <w:rsid w:val="00857F72"/>
    <w:rsid w:val="00866C0E"/>
    <w:rsid w:val="00867C56"/>
    <w:rsid w:val="00870B22"/>
    <w:rsid w:val="00874BB5"/>
    <w:rsid w:val="008A0193"/>
    <w:rsid w:val="008A09EE"/>
    <w:rsid w:val="008B2C67"/>
    <w:rsid w:val="008C0866"/>
    <w:rsid w:val="008C44DE"/>
    <w:rsid w:val="008E05E5"/>
    <w:rsid w:val="008E0ED6"/>
    <w:rsid w:val="00904052"/>
    <w:rsid w:val="0090721F"/>
    <w:rsid w:val="00913B21"/>
    <w:rsid w:val="00917141"/>
    <w:rsid w:val="00926702"/>
    <w:rsid w:val="00927979"/>
    <w:rsid w:val="00937F12"/>
    <w:rsid w:val="00943245"/>
    <w:rsid w:val="0094528D"/>
    <w:rsid w:val="00960B05"/>
    <w:rsid w:val="00976465"/>
    <w:rsid w:val="0098029E"/>
    <w:rsid w:val="0098263B"/>
    <w:rsid w:val="00984FF0"/>
    <w:rsid w:val="009877DA"/>
    <w:rsid w:val="00991233"/>
    <w:rsid w:val="009A699B"/>
    <w:rsid w:val="009A6EF3"/>
    <w:rsid w:val="009B686E"/>
    <w:rsid w:val="009B7189"/>
    <w:rsid w:val="009C0135"/>
    <w:rsid w:val="009E25C8"/>
    <w:rsid w:val="009E2781"/>
    <w:rsid w:val="009E3D67"/>
    <w:rsid w:val="009E7618"/>
    <w:rsid w:val="00A0267F"/>
    <w:rsid w:val="00A04E45"/>
    <w:rsid w:val="00A30228"/>
    <w:rsid w:val="00A31A55"/>
    <w:rsid w:val="00A3423A"/>
    <w:rsid w:val="00A35F31"/>
    <w:rsid w:val="00A40832"/>
    <w:rsid w:val="00A4302B"/>
    <w:rsid w:val="00A4407E"/>
    <w:rsid w:val="00A46C1C"/>
    <w:rsid w:val="00A639F5"/>
    <w:rsid w:val="00A761F1"/>
    <w:rsid w:val="00A8313A"/>
    <w:rsid w:val="00AA01BF"/>
    <w:rsid w:val="00AA0F85"/>
    <w:rsid w:val="00AA320E"/>
    <w:rsid w:val="00AA38D8"/>
    <w:rsid w:val="00AA56F4"/>
    <w:rsid w:val="00AB0184"/>
    <w:rsid w:val="00AB0A23"/>
    <w:rsid w:val="00AB1728"/>
    <w:rsid w:val="00AB4760"/>
    <w:rsid w:val="00AC1082"/>
    <w:rsid w:val="00AC14C8"/>
    <w:rsid w:val="00AC7FB5"/>
    <w:rsid w:val="00AE1E1D"/>
    <w:rsid w:val="00AE2F4A"/>
    <w:rsid w:val="00AF0A7F"/>
    <w:rsid w:val="00AF1254"/>
    <w:rsid w:val="00AF348F"/>
    <w:rsid w:val="00AF730B"/>
    <w:rsid w:val="00B049D6"/>
    <w:rsid w:val="00B04D53"/>
    <w:rsid w:val="00B1365B"/>
    <w:rsid w:val="00B13B0F"/>
    <w:rsid w:val="00B21864"/>
    <w:rsid w:val="00B32AC4"/>
    <w:rsid w:val="00B37A2F"/>
    <w:rsid w:val="00B40F3E"/>
    <w:rsid w:val="00B42C64"/>
    <w:rsid w:val="00B44E4F"/>
    <w:rsid w:val="00B522B7"/>
    <w:rsid w:val="00B65C5E"/>
    <w:rsid w:val="00B76BC6"/>
    <w:rsid w:val="00BB3740"/>
    <w:rsid w:val="00BC0C0B"/>
    <w:rsid w:val="00BC1256"/>
    <w:rsid w:val="00BC193D"/>
    <w:rsid w:val="00BC40BD"/>
    <w:rsid w:val="00BD120A"/>
    <w:rsid w:val="00BD666B"/>
    <w:rsid w:val="00BF23C3"/>
    <w:rsid w:val="00BF52E8"/>
    <w:rsid w:val="00C01654"/>
    <w:rsid w:val="00C20607"/>
    <w:rsid w:val="00C30244"/>
    <w:rsid w:val="00C5180D"/>
    <w:rsid w:val="00C53AB0"/>
    <w:rsid w:val="00C53D1D"/>
    <w:rsid w:val="00C57965"/>
    <w:rsid w:val="00C61FB2"/>
    <w:rsid w:val="00C6530D"/>
    <w:rsid w:val="00C72E08"/>
    <w:rsid w:val="00C76FD5"/>
    <w:rsid w:val="00C80E00"/>
    <w:rsid w:val="00C816A1"/>
    <w:rsid w:val="00C85D92"/>
    <w:rsid w:val="00C95195"/>
    <w:rsid w:val="00CB0006"/>
    <w:rsid w:val="00CB1DEF"/>
    <w:rsid w:val="00CC73DA"/>
    <w:rsid w:val="00CD4DCE"/>
    <w:rsid w:val="00CE34F4"/>
    <w:rsid w:val="00CE5F16"/>
    <w:rsid w:val="00CF3F58"/>
    <w:rsid w:val="00D058CC"/>
    <w:rsid w:val="00D13594"/>
    <w:rsid w:val="00D2411A"/>
    <w:rsid w:val="00D4224E"/>
    <w:rsid w:val="00D43550"/>
    <w:rsid w:val="00D5736B"/>
    <w:rsid w:val="00D629CE"/>
    <w:rsid w:val="00D83CA2"/>
    <w:rsid w:val="00D83CC0"/>
    <w:rsid w:val="00D84553"/>
    <w:rsid w:val="00D85339"/>
    <w:rsid w:val="00D85ED1"/>
    <w:rsid w:val="00D955EB"/>
    <w:rsid w:val="00DB1C4E"/>
    <w:rsid w:val="00DD544D"/>
    <w:rsid w:val="00DE5E4C"/>
    <w:rsid w:val="00DE7DDC"/>
    <w:rsid w:val="00DF0624"/>
    <w:rsid w:val="00E107EC"/>
    <w:rsid w:val="00E11738"/>
    <w:rsid w:val="00E12957"/>
    <w:rsid w:val="00E20BC0"/>
    <w:rsid w:val="00E22C99"/>
    <w:rsid w:val="00E27F91"/>
    <w:rsid w:val="00E31BD7"/>
    <w:rsid w:val="00E45D07"/>
    <w:rsid w:val="00E500F4"/>
    <w:rsid w:val="00E61351"/>
    <w:rsid w:val="00E677C6"/>
    <w:rsid w:val="00E70687"/>
    <w:rsid w:val="00E75726"/>
    <w:rsid w:val="00E91252"/>
    <w:rsid w:val="00E928C6"/>
    <w:rsid w:val="00E977B3"/>
    <w:rsid w:val="00EA0513"/>
    <w:rsid w:val="00EC57A0"/>
    <w:rsid w:val="00ED6D11"/>
    <w:rsid w:val="00ED776B"/>
    <w:rsid w:val="00F00080"/>
    <w:rsid w:val="00F01837"/>
    <w:rsid w:val="00F01D21"/>
    <w:rsid w:val="00F03A68"/>
    <w:rsid w:val="00F04E6A"/>
    <w:rsid w:val="00F112C6"/>
    <w:rsid w:val="00F131EF"/>
    <w:rsid w:val="00F1499F"/>
    <w:rsid w:val="00F210DC"/>
    <w:rsid w:val="00F2136A"/>
    <w:rsid w:val="00F21836"/>
    <w:rsid w:val="00F256B7"/>
    <w:rsid w:val="00F309E8"/>
    <w:rsid w:val="00F313E2"/>
    <w:rsid w:val="00F36975"/>
    <w:rsid w:val="00F47201"/>
    <w:rsid w:val="00F53D25"/>
    <w:rsid w:val="00F64816"/>
    <w:rsid w:val="00F73354"/>
    <w:rsid w:val="00F809B4"/>
    <w:rsid w:val="00FA092E"/>
    <w:rsid w:val="00FA63B5"/>
    <w:rsid w:val="00FA6D58"/>
    <w:rsid w:val="00FB4941"/>
    <w:rsid w:val="00FD52D3"/>
    <w:rsid w:val="00FE1E32"/>
    <w:rsid w:val="00FE72DF"/>
    <w:rsid w:val="00FF2F91"/>
    <w:rsid w:val="02B47C4D"/>
    <w:rsid w:val="04D46768"/>
    <w:rsid w:val="052C5EB4"/>
    <w:rsid w:val="053A1CC8"/>
    <w:rsid w:val="0601510B"/>
    <w:rsid w:val="063F6102"/>
    <w:rsid w:val="077B4608"/>
    <w:rsid w:val="086E4EC9"/>
    <w:rsid w:val="08DE198C"/>
    <w:rsid w:val="0AE71611"/>
    <w:rsid w:val="0AFE379A"/>
    <w:rsid w:val="0B734A64"/>
    <w:rsid w:val="0D1913DC"/>
    <w:rsid w:val="0F4526B6"/>
    <w:rsid w:val="0F9A0348"/>
    <w:rsid w:val="0FAF07AF"/>
    <w:rsid w:val="10D96644"/>
    <w:rsid w:val="112C0CAD"/>
    <w:rsid w:val="13EF419A"/>
    <w:rsid w:val="15740DA4"/>
    <w:rsid w:val="17266130"/>
    <w:rsid w:val="175E530A"/>
    <w:rsid w:val="195A6BC0"/>
    <w:rsid w:val="1B706417"/>
    <w:rsid w:val="1E1E5989"/>
    <w:rsid w:val="215353E4"/>
    <w:rsid w:val="227A4EED"/>
    <w:rsid w:val="228D0750"/>
    <w:rsid w:val="25A70712"/>
    <w:rsid w:val="25D85A3C"/>
    <w:rsid w:val="26870869"/>
    <w:rsid w:val="2AA030B9"/>
    <w:rsid w:val="2BFA4386"/>
    <w:rsid w:val="2C362493"/>
    <w:rsid w:val="2CD73EA3"/>
    <w:rsid w:val="2D845ED0"/>
    <w:rsid w:val="30381F4F"/>
    <w:rsid w:val="335D1EDA"/>
    <w:rsid w:val="33C9220D"/>
    <w:rsid w:val="33CA29D7"/>
    <w:rsid w:val="34A05B77"/>
    <w:rsid w:val="38396C1B"/>
    <w:rsid w:val="38AC36F6"/>
    <w:rsid w:val="3993382C"/>
    <w:rsid w:val="39E8256E"/>
    <w:rsid w:val="3CE57F9F"/>
    <w:rsid w:val="3D3679ED"/>
    <w:rsid w:val="3D6B4A16"/>
    <w:rsid w:val="408D7227"/>
    <w:rsid w:val="416718EC"/>
    <w:rsid w:val="41812770"/>
    <w:rsid w:val="41FA6547"/>
    <w:rsid w:val="439D7A21"/>
    <w:rsid w:val="447267E8"/>
    <w:rsid w:val="492A4A83"/>
    <w:rsid w:val="495C1F5C"/>
    <w:rsid w:val="4B8B03E4"/>
    <w:rsid w:val="4C880F4D"/>
    <w:rsid w:val="4EE12BFB"/>
    <w:rsid w:val="50FA6A61"/>
    <w:rsid w:val="5157075B"/>
    <w:rsid w:val="51794BC1"/>
    <w:rsid w:val="52C970BE"/>
    <w:rsid w:val="540F1FD2"/>
    <w:rsid w:val="54452516"/>
    <w:rsid w:val="56937192"/>
    <w:rsid w:val="57594B93"/>
    <w:rsid w:val="594A6990"/>
    <w:rsid w:val="5EBA216E"/>
    <w:rsid w:val="5FC04447"/>
    <w:rsid w:val="60A60070"/>
    <w:rsid w:val="62FC5B50"/>
    <w:rsid w:val="640C25AF"/>
    <w:rsid w:val="64CD4380"/>
    <w:rsid w:val="64F20D44"/>
    <w:rsid w:val="683A303D"/>
    <w:rsid w:val="68E97B63"/>
    <w:rsid w:val="69CA26E0"/>
    <w:rsid w:val="6B1E605C"/>
    <w:rsid w:val="6E3F209B"/>
    <w:rsid w:val="6F0B3467"/>
    <w:rsid w:val="7055217B"/>
    <w:rsid w:val="728E370F"/>
    <w:rsid w:val="730F241B"/>
    <w:rsid w:val="74783A1C"/>
    <w:rsid w:val="74AB354D"/>
    <w:rsid w:val="74B05132"/>
    <w:rsid w:val="76C52AAF"/>
    <w:rsid w:val="772A35DE"/>
    <w:rsid w:val="798425C1"/>
    <w:rsid w:val="79BF662E"/>
    <w:rsid w:val="7A5A3D66"/>
    <w:rsid w:val="7A7E563F"/>
    <w:rsid w:val="7B2952F2"/>
    <w:rsid w:val="7BE811C2"/>
    <w:rsid w:val="7C1629E0"/>
    <w:rsid w:val="7C721BA3"/>
    <w:rsid w:val="7CC72585"/>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jc w:val="left"/>
    </w:pPr>
    <w:rPr>
      <w:rFonts w:ascii="仿宋_GB2312" w:hAnsi="宋体" w:eastAsia="仿宋_GB2312"/>
    </w:rPr>
  </w:style>
  <w:style w:type="paragraph" w:styleId="3">
    <w:name w:val="annotation text"/>
    <w:basedOn w:val="1"/>
    <w:link w:val="22"/>
    <w:unhideWhenUsed/>
    <w:qFormat/>
    <w:uiPriority w:val="99"/>
    <w:pPr>
      <w:jc w:val="left"/>
    </w:pPr>
  </w:style>
  <w:style w:type="paragraph" w:styleId="4">
    <w:name w:val="Body Text"/>
    <w:basedOn w:val="1"/>
    <w:qFormat/>
    <w:uiPriority w:val="0"/>
    <w:pPr>
      <w:widowControl/>
      <w:spacing w:after="220" w:line="180" w:lineRule="atLeast"/>
      <w:ind w:left="835"/>
    </w:pPr>
    <w:rPr>
      <w:rFonts w:ascii="Arial" w:hAnsi="Arial"/>
      <w:spacing w:val="-5"/>
      <w:kern w:val="0"/>
      <w:sz w:val="20"/>
    </w:rPr>
  </w:style>
  <w:style w:type="paragraph" w:styleId="5">
    <w:name w:val="toc 3"/>
    <w:basedOn w:val="1"/>
    <w:next w:val="1"/>
    <w:unhideWhenUsed/>
    <w:qFormat/>
    <w:uiPriority w:val="39"/>
    <w:pPr>
      <w:ind w:left="840" w:leftChars="400"/>
    </w:pPr>
  </w:style>
  <w:style w:type="paragraph" w:styleId="6">
    <w:name w:val="Balloon Text"/>
    <w:basedOn w:val="1"/>
    <w:link w:val="24"/>
    <w:semiHidden/>
    <w:unhideWhenUsed/>
    <w:qFormat/>
    <w:uiPriority w:val="99"/>
    <w:rPr>
      <w:sz w:val="18"/>
      <w:szCs w:val="18"/>
    </w:rPr>
  </w:style>
  <w:style w:type="paragraph" w:styleId="7">
    <w:name w:val="footer"/>
    <w:basedOn w:val="1"/>
    <w:link w:val="26"/>
    <w:unhideWhenUsed/>
    <w:qFormat/>
    <w:uiPriority w:val="99"/>
    <w:pPr>
      <w:tabs>
        <w:tab w:val="center" w:pos="4153"/>
        <w:tab w:val="right" w:pos="8306"/>
      </w:tabs>
      <w:snapToGrid w:val="0"/>
      <w:jc w:val="left"/>
    </w:pPr>
    <w:rPr>
      <w:sz w:val="18"/>
      <w:szCs w:val="18"/>
    </w:rPr>
  </w:style>
  <w:style w:type="paragraph" w:styleId="8">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Normal (Web)"/>
    <w:basedOn w:val="1"/>
    <w:unhideWhenUsed/>
    <w:qFormat/>
    <w:uiPriority w:val="99"/>
    <w:pPr>
      <w:widowControl/>
      <w:jc w:val="left"/>
    </w:pPr>
    <w:rPr>
      <w:rFonts w:ascii="宋体" w:hAnsi="宋体" w:cs="宋体"/>
      <w:kern w:val="0"/>
      <w:sz w:val="24"/>
    </w:rPr>
  </w:style>
  <w:style w:type="paragraph" w:styleId="12">
    <w:name w:val="annotation subject"/>
    <w:basedOn w:val="3"/>
    <w:next w:val="3"/>
    <w:link w:val="28"/>
    <w:semiHidden/>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Hyperlink"/>
    <w:basedOn w:val="15"/>
    <w:unhideWhenUsed/>
    <w:qFormat/>
    <w:uiPriority w:val="99"/>
    <w:rPr>
      <w:color w:val="0000FF"/>
      <w:u w:val="single"/>
    </w:rPr>
  </w:style>
  <w:style w:type="character" w:styleId="18">
    <w:name w:val="annotation reference"/>
    <w:basedOn w:val="15"/>
    <w:unhideWhenUsed/>
    <w:qFormat/>
    <w:uiPriority w:val="99"/>
    <w:rPr>
      <w:sz w:val="21"/>
      <w:szCs w:val="21"/>
    </w:rPr>
  </w:style>
  <w:style w:type="character" w:customStyle="1" w:styleId="19">
    <w:name w:val="列出段落 字符"/>
    <w:link w:val="20"/>
    <w:qFormat/>
    <w:uiPriority w:val="34"/>
    <w:rPr>
      <w:rFonts w:ascii="Times New Roman" w:hAnsi="Times New Roman"/>
      <w:szCs w:val="24"/>
    </w:rPr>
  </w:style>
  <w:style w:type="paragraph" w:styleId="20">
    <w:name w:val="List Paragraph"/>
    <w:basedOn w:val="1"/>
    <w:link w:val="19"/>
    <w:qFormat/>
    <w:uiPriority w:val="34"/>
    <w:pPr>
      <w:ind w:firstLine="420" w:firstLineChars="200"/>
    </w:pPr>
    <w:rPr>
      <w:rFonts w:eastAsiaTheme="minorEastAsia" w:cstheme="minorBidi"/>
    </w:rPr>
  </w:style>
  <w:style w:type="character" w:customStyle="1" w:styleId="21">
    <w:name w:val="批注文字 字符"/>
    <w:basedOn w:val="15"/>
    <w:qFormat/>
    <w:uiPriority w:val="99"/>
    <w:rPr>
      <w:rFonts w:ascii="Times New Roman" w:hAnsi="Times New Roman" w:eastAsia="宋体" w:cs="Times New Roman"/>
      <w:szCs w:val="24"/>
    </w:rPr>
  </w:style>
  <w:style w:type="character" w:customStyle="1" w:styleId="22">
    <w:name w:val="批注文字 字符1"/>
    <w:link w:val="3"/>
    <w:qFormat/>
    <w:uiPriority w:val="99"/>
    <w:rPr>
      <w:rFonts w:ascii="Times New Roman" w:hAnsi="Times New Roman" w:eastAsia="宋体" w:cs="Times New Roman"/>
      <w:szCs w:val="24"/>
    </w:rPr>
  </w:style>
  <w:style w:type="paragraph" w:customStyle="1" w:styleId="2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4">
    <w:name w:val="批注框文本 字符"/>
    <w:basedOn w:val="15"/>
    <w:link w:val="6"/>
    <w:semiHidden/>
    <w:qFormat/>
    <w:uiPriority w:val="99"/>
    <w:rPr>
      <w:rFonts w:ascii="Times New Roman" w:hAnsi="Times New Roman" w:eastAsia="宋体" w:cs="Times New Roman"/>
      <w:sz w:val="18"/>
      <w:szCs w:val="18"/>
    </w:rPr>
  </w:style>
  <w:style w:type="character" w:customStyle="1" w:styleId="25">
    <w:name w:val="页眉 字符"/>
    <w:basedOn w:val="15"/>
    <w:link w:val="8"/>
    <w:qFormat/>
    <w:uiPriority w:val="99"/>
    <w:rPr>
      <w:rFonts w:ascii="Times New Roman" w:hAnsi="Times New Roman" w:eastAsia="宋体" w:cs="Times New Roman"/>
      <w:sz w:val="18"/>
      <w:szCs w:val="18"/>
    </w:rPr>
  </w:style>
  <w:style w:type="character" w:customStyle="1" w:styleId="26">
    <w:name w:val="页脚 字符"/>
    <w:basedOn w:val="15"/>
    <w:link w:val="7"/>
    <w:qFormat/>
    <w:uiPriority w:val="99"/>
    <w:rPr>
      <w:rFonts w:ascii="Times New Roman" w:hAnsi="Times New Roman" w:eastAsia="宋体" w:cs="Times New Roman"/>
      <w:sz w:val="18"/>
      <w:szCs w:val="18"/>
    </w:rPr>
  </w:style>
  <w:style w:type="character" w:customStyle="1" w:styleId="27">
    <w:name w:val="标题1"/>
    <w:basedOn w:val="15"/>
    <w:qFormat/>
    <w:uiPriority w:val="0"/>
  </w:style>
  <w:style w:type="character" w:customStyle="1" w:styleId="28">
    <w:name w:val="批注主题 字符"/>
    <w:basedOn w:val="22"/>
    <w:link w:val="12"/>
    <w:semiHidden/>
    <w:qFormat/>
    <w:uiPriority w:val="99"/>
    <w:rPr>
      <w:rFonts w:ascii="Times New Roman" w:hAnsi="Times New Roman" w:eastAsia="宋体" w:cs="Times New Roman"/>
      <w:b/>
      <w:bCs/>
      <w:szCs w:val="24"/>
    </w:rPr>
  </w:style>
  <w:style w:type="paragraph" w:customStyle="1" w:styleId="29">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FF27D5-1FF4-4B90-922C-ABDA53A80A0B}">
  <ds:schemaRefs/>
</ds:datastoreItem>
</file>

<file path=docProps/app.xml><?xml version="1.0" encoding="utf-8"?>
<Properties xmlns="http://schemas.openxmlformats.org/officeDocument/2006/extended-properties" xmlns:vt="http://schemas.openxmlformats.org/officeDocument/2006/docPropsVTypes">
  <Template>Normal</Template>
  <Pages>1</Pages>
  <Words>2917</Words>
  <Characters>16628</Characters>
  <Lines>138</Lines>
  <Paragraphs>39</Paragraphs>
  <TotalTime>37</TotalTime>
  <ScaleCrop>false</ScaleCrop>
  <LinksUpToDate>false</LinksUpToDate>
  <CharactersWithSpaces>19506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2021-10-11T02:56:00Z</dcterms:created>
  <dc:creator>Tony Young</dc:creator>
  <cp:lastModifiedBy>admin</cp:lastModifiedBy>
  <dcterms:modified xsi:type="dcterms:W3CDTF">2022-06-16T03:40:24Z</dcterms:modified>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DAB8F11735E34EAABE814D7963C17167</vt:lpwstr>
  </property>
</Properties>
</file>