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  <w:t>第二十四届高交会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</w:rPr>
        <w:t>深圳特区报新闻稿发布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第二十四届高交会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深圳特区报新闻稿发布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0CE611E"/>
    <w:rsid w:val="163B2078"/>
    <w:rsid w:val="341C6238"/>
    <w:rsid w:val="3D24519B"/>
    <w:rsid w:val="467D3ADD"/>
    <w:rsid w:val="56B400A2"/>
    <w:rsid w:val="5D2E3E0D"/>
    <w:rsid w:val="703F4687"/>
    <w:rsid w:val="78B55516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2022-07-05T08:23:54Z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