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w:t>
      </w:r>
      <w:r>
        <w:rPr>
          <w:rFonts w:hint="eastAsia" w:ascii="方正小标宋_GBK" w:hAnsi="方正小标宋_GBK" w:eastAsia="方正小标宋_GBK" w:cs="方正小标宋_GBK"/>
          <w:b/>
          <w:color w:val="auto"/>
          <w:sz w:val="32"/>
          <w:szCs w:val="32"/>
          <w:highlight w:val="none"/>
          <w:lang w:val="en-US" w:eastAsia="zh-CN"/>
        </w:rPr>
        <w:t>深圳会展中心高交会英文网站、英文微信公众号运维管理和专题宣传服务采购项目</w:t>
      </w:r>
    </w:p>
    <w:p>
      <w:pPr>
        <w:tabs>
          <w:tab w:val="left" w:pos="2127"/>
          <w:tab w:val="left" w:pos="2694"/>
        </w:tabs>
        <w:spacing w:line="360" w:lineRule="auto"/>
        <w:ind w:firstLine="2030" w:firstLineChars="632"/>
        <w:rPr>
          <w:rFonts w:ascii="宋体" w:hAnsi="宋体"/>
          <w:b/>
          <w:sz w:val="32"/>
          <w:szCs w:val="32"/>
        </w:rPr>
      </w:pPr>
    </w:p>
    <w:p>
      <w:pPr>
        <w:pStyle w:val="4"/>
        <w:rPr>
          <w:rFonts w:ascii="宋体" w:hAnsi="宋体"/>
          <w:b/>
          <w:sz w:val="32"/>
          <w:szCs w:val="32"/>
        </w:rPr>
      </w:pPr>
    </w:p>
    <w:p>
      <w:pPr>
        <w:pStyle w:val="4"/>
        <w:rPr>
          <w:rFonts w:ascii="宋体" w:hAnsi="宋体"/>
          <w:b/>
          <w:sz w:val="32"/>
          <w:szCs w:val="32"/>
        </w:rPr>
      </w:pPr>
    </w:p>
    <w:p>
      <w:pPr>
        <w:pStyle w:val="4"/>
        <w:rPr>
          <w:rFonts w:ascii="宋体" w:hAnsi="宋体"/>
          <w:b/>
          <w:sz w:val="32"/>
          <w:szCs w:val="32"/>
        </w:rPr>
      </w:pPr>
    </w:p>
    <w:p>
      <w:pPr>
        <w:pStyle w:val="4"/>
        <w:rPr>
          <w:rFonts w:ascii="宋体" w:hAnsi="宋体"/>
          <w:b/>
          <w:sz w:val="32"/>
          <w:szCs w:val="32"/>
        </w:rPr>
      </w:pPr>
    </w:p>
    <w:p>
      <w:pPr>
        <w:pStyle w:val="4"/>
        <w:rPr>
          <w:rFonts w:ascii="宋体" w:hAnsi="宋体"/>
          <w:b/>
          <w:sz w:val="32"/>
          <w:szCs w:val="32"/>
        </w:rPr>
      </w:pPr>
    </w:p>
    <w:p>
      <w:pPr>
        <w:pStyle w:val="4"/>
        <w:rPr>
          <w:rFonts w:ascii="宋体" w:hAnsi="宋体"/>
          <w:b/>
          <w:sz w:val="32"/>
          <w:szCs w:val="32"/>
        </w:rPr>
      </w:pPr>
    </w:p>
    <w:p>
      <w:pPr>
        <w:pStyle w:val="4"/>
        <w:rPr>
          <w:rFonts w:ascii="宋体" w:hAnsi="宋体"/>
          <w:b/>
          <w:sz w:val="32"/>
          <w:szCs w:val="32"/>
        </w:rPr>
      </w:pPr>
    </w:p>
    <w:p>
      <w:pPr>
        <w:pStyle w:val="4"/>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lang w:val="en-US" w:eastAsia="zh-CN"/>
        </w:rPr>
        <w:t>2</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7</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"_Toc106791252" </w:instrText>
      </w:r>
      <w:r>
        <w:fldChar w:fldCharType="separate"/>
      </w:r>
      <w:r>
        <w:rPr>
          <w:rStyle w:val="18"/>
          <w:rFonts w:ascii="宋体" w:hAnsi="宋体"/>
          <w:b/>
        </w:rPr>
        <w:t>第一部分 项目要求</w:t>
      </w:r>
      <w:r>
        <w:tab/>
      </w:r>
      <w:r>
        <w:fldChar w:fldCharType="begin"/>
      </w:r>
      <w:r>
        <w:instrText xml:space="preserve"> PAGEREF _Toc106791252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"_Toc106791253" </w:instrText>
      </w:r>
      <w:r>
        <w:fldChar w:fldCharType="separate"/>
      </w:r>
      <w:r>
        <w:rPr>
          <w:rStyle w:val="18"/>
          <w:rFonts w:ascii="宋体" w:hAnsi="宋体" w:cs="仿宋"/>
          <w:bCs/>
        </w:rPr>
        <w:t>一、</w:t>
      </w:r>
      <w:r>
        <w:rPr>
          <w:rStyle w:val="18"/>
          <w:rFonts w:ascii="宋体" w:hAnsi="宋体"/>
        </w:rPr>
        <w:t>投标人须知</w:t>
      </w:r>
      <w:r>
        <w:tab/>
      </w:r>
      <w:r>
        <w:fldChar w:fldCharType="begin"/>
      </w:r>
      <w:r>
        <w:instrText xml:space="preserve"> PAGEREF _Toc106791253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"_Toc106791254" </w:instrText>
      </w:r>
      <w:r>
        <w:fldChar w:fldCharType="separate"/>
      </w:r>
      <w:r>
        <w:rPr>
          <w:rStyle w:val="18"/>
          <w:rFonts w:ascii="宋体" w:hAnsi="宋体" w:cs="仿宋"/>
          <w:bCs/>
        </w:rPr>
        <w:t>二、</w:t>
      </w:r>
      <w:r>
        <w:rPr>
          <w:rStyle w:val="18"/>
          <w:rFonts w:ascii="宋体" w:hAnsi="宋体"/>
        </w:rPr>
        <w:t>特别说明</w:t>
      </w:r>
      <w:r>
        <w:tab/>
      </w:r>
      <w:r>
        <w:fldChar w:fldCharType="begin"/>
      </w:r>
      <w:r>
        <w:instrText xml:space="preserve"> PAGEREF _Toc106791254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"_Toc106791255" </w:instrText>
      </w:r>
      <w:r>
        <w:fldChar w:fldCharType="separate"/>
      </w:r>
      <w:r>
        <w:rPr>
          <w:rStyle w:val="18"/>
          <w:rFonts w:ascii="宋体" w:hAnsi="宋体" w:cs="仿宋"/>
          <w:bCs/>
        </w:rPr>
        <w:t>三、</w:t>
      </w:r>
      <w:r>
        <w:rPr>
          <w:rStyle w:val="18"/>
          <w:rFonts w:ascii="宋体" w:hAnsi="宋体"/>
        </w:rPr>
        <w:t>投标文件编制</w:t>
      </w:r>
      <w:r>
        <w:tab/>
      </w:r>
      <w:r>
        <w:fldChar w:fldCharType="begin"/>
      </w:r>
      <w:r>
        <w:instrText xml:space="preserve"> PAGEREF _Toc106791255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"_Toc106791256" </w:instrText>
      </w:r>
      <w:r>
        <w:fldChar w:fldCharType="separate"/>
      </w:r>
      <w:r>
        <w:rPr>
          <w:rStyle w:val="18"/>
          <w:rFonts w:ascii="宋体" w:hAnsi="宋体" w:cs="仿宋"/>
          <w:bCs/>
        </w:rPr>
        <w:t>四、</w:t>
      </w:r>
      <w:r>
        <w:rPr>
          <w:rStyle w:val="18"/>
          <w:rFonts w:ascii="宋体" w:hAnsi="宋体"/>
        </w:rPr>
        <w:t>项目要求及数量</w:t>
      </w:r>
      <w:r>
        <w:tab/>
      </w:r>
      <w:r>
        <w:fldChar w:fldCharType="begin"/>
      </w:r>
      <w:r>
        <w:instrText xml:space="preserve"> PAGEREF _Toc106791256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"_Toc106791257" </w:instrText>
      </w:r>
      <w:r>
        <w:fldChar w:fldCharType="separate"/>
      </w:r>
      <w:r>
        <w:rPr>
          <w:rStyle w:val="18"/>
          <w:rFonts w:ascii="宋体" w:hAnsi="宋体" w:cs="仿宋"/>
          <w:bCs/>
        </w:rPr>
        <w:t>五、</w:t>
      </w:r>
      <w:r>
        <w:rPr>
          <w:rStyle w:val="18"/>
          <w:rFonts w:ascii="宋体" w:hAnsi="宋体"/>
        </w:rPr>
        <w:t>其他项目说明资料</w:t>
      </w:r>
      <w:r>
        <w:tab/>
      </w:r>
      <w:r>
        <w:fldChar w:fldCharType="begin"/>
      </w:r>
      <w:r>
        <w:instrText xml:space="preserve"> PAGEREF _Toc106791257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"_Toc106791258" </w:instrText>
      </w:r>
      <w:r>
        <w:fldChar w:fldCharType="separate"/>
      </w:r>
      <w:r>
        <w:rPr>
          <w:rStyle w:val="18"/>
          <w:rFonts w:ascii="宋体" w:hAnsi="宋体"/>
          <w:b/>
        </w:rPr>
        <w:t>第二部分：开标评标流程</w:t>
      </w:r>
      <w:r>
        <w:tab/>
      </w:r>
      <w:r>
        <w:fldChar w:fldCharType="begin"/>
      </w:r>
      <w:r>
        <w:instrText xml:space="preserve"> PAGEREF _Toc106791258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"_Toc106791260" </w:instrText>
      </w:r>
      <w:r>
        <w:fldChar w:fldCharType="separate"/>
      </w:r>
      <w:r>
        <w:rPr>
          <w:rStyle w:val="18"/>
          <w:rFonts w:ascii="宋体" w:hAnsi="宋体" w:cs="仿宋"/>
          <w:bCs/>
        </w:rPr>
        <w:t>六、</w:t>
      </w:r>
      <w:r>
        <w:rPr>
          <w:rStyle w:val="18"/>
        </w:rPr>
        <w:t>开标阶段</w:t>
      </w:r>
      <w:r>
        <w:tab/>
      </w:r>
      <w:r>
        <w:fldChar w:fldCharType="begin"/>
      </w:r>
      <w:r>
        <w:instrText xml:space="preserve"> PAGEREF _Toc106791260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"_Toc106791261" </w:instrText>
      </w:r>
      <w:r>
        <w:fldChar w:fldCharType="separate"/>
      </w:r>
      <w:r>
        <w:rPr>
          <w:rStyle w:val="18"/>
          <w:rFonts w:ascii="宋体" w:hAnsi="宋体" w:cs="仿宋"/>
          <w:bCs/>
        </w:rPr>
        <w:t>七、</w:t>
      </w:r>
      <w:r>
        <w:rPr>
          <w:rStyle w:val="18"/>
        </w:rPr>
        <w:t>评标阶段</w:t>
      </w:r>
      <w:r>
        <w:tab/>
      </w:r>
      <w:r>
        <w:fldChar w:fldCharType="begin"/>
      </w:r>
      <w:r>
        <w:instrText xml:space="preserve"> PAGEREF _Toc106791261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"_Toc106791262" </w:instrText>
      </w:r>
      <w:r>
        <w:fldChar w:fldCharType="separate"/>
      </w:r>
      <w:r>
        <w:rPr>
          <w:rStyle w:val="18"/>
          <w:rFonts w:ascii="宋体" w:hAnsi="宋体"/>
          <w:b/>
        </w:rPr>
        <w:t>第三部分：评审办法</w:t>
      </w:r>
      <w:r>
        <w:tab/>
      </w:r>
      <w:r>
        <w:fldChar w:fldCharType="begin"/>
      </w:r>
      <w:r>
        <w:instrText xml:space="preserve"> PAGEREF _Toc106791262 \h </w:instrText>
      </w:r>
      <w:r>
        <w:fldChar w:fldCharType="separate"/>
      </w:r>
      <w:r>
        <w:t>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"_Toc106791263"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_Toc106791263 \h </w:instrText>
      </w:r>
      <w:r>
        <w:fldChar w:fldCharType="separate"/>
      </w:r>
      <w:r>
        <w:t>8</w:t>
      </w:r>
      <w:r>
        <w:fldChar w:fldCharType="end"/>
      </w:r>
      <w:r>
        <w:fldChar w:fldCharType="end"/>
      </w:r>
    </w:p>
    <w:p>
      <w:pPr>
        <w:pStyle w:val="5"/>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"_Toc106791264" </w:instrText>
      </w:r>
      <w:r>
        <w:fldChar w:fldCharType="separate"/>
      </w:r>
      <w:r>
        <w:rPr>
          <w:rStyle w:val="18"/>
          <w:rFonts w:ascii="宋体" w:hAnsi="宋体"/>
        </w:rPr>
        <w:t>（一）</w:t>
      </w:r>
      <w:r>
        <w:rPr>
          <w:rStyle w:val="18"/>
          <w:rFonts w:ascii="宋体" w:hAnsi="宋体"/>
          <w:bCs/>
        </w:rPr>
        <w:t>符合性检查</w:t>
      </w:r>
      <w:r>
        <w:tab/>
      </w:r>
      <w:r>
        <w:fldChar w:fldCharType="begin"/>
      </w:r>
      <w:r>
        <w:instrText xml:space="preserve"> PAGEREF _Toc106791264 \h </w:instrText>
      </w:r>
      <w:r>
        <w:fldChar w:fldCharType="separate"/>
      </w:r>
      <w:r>
        <w:t>8</w:t>
      </w:r>
      <w:r>
        <w:fldChar w:fldCharType="end"/>
      </w:r>
      <w:r>
        <w:fldChar w:fldCharType="end"/>
      </w:r>
    </w:p>
    <w:p>
      <w:pPr>
        <w:pStyle w:val="5"/>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"_Toc106791265" </w:instrText>
      </w:r>
      <w:r>
        <w:fldChar w:fldCharType="separate"/>
      </w:r>
      <w:r>
        <w:rPr>
          <w:rStyle w:val="18"/>
          <w:rFonts w:ascii="宋体" w:hAnsi="宋体"/>
          <w:bCs/>
        </w:rPr>
        <w:t>（二）综合评议指标表</w:t>
      </w:r>
      <w:r>
        <w:tab/>
      </w:r>
      <w:r>
        <w:fldChar w:fldCharType="begin"/>
      </w:r>
      <w:r>
        <w:instrText xml:space="preserve"> PAGEREF _Toc106791265 \h </w:instrText>
      </w:r>
      <w:r>
        <w:fldChar w:fldCharType="separate"/>
      </w:r>
      <w:r>
        <w:t>10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"_Toc106791266" </w:instrText>
      </w:r>
      <w:r>
        <w:fldChar w:fldCharType="separate"/>
      </w:r>
      <w:r>
        <w:rPr>
          <w:rStyle w:val="18"/>
          <w:rFonts w:ascii="宋体" w:hAnsi="宋体"/>
          <w:b/>
        </w:rPr>
        <w:t>第四部分：合同条款及格式</w:t>
      </w:r>
      <w:r>
        <w:tab/>
      </w:r>
      <w:r>
        <w:fldChar w:fldCharType="begin"/>
      </w:r>
      <w:r>
        <w:instrText xml:space="preserve"> PAGEREF _Toc106791266 \h </w:instrText>
      </w:r>
      <w:r>
        <w:fldChar w:fldCharType="separate"/>
      </w:r>
      <w:r>
        <w:t>11</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"_Toc106791267" </w:instrText>
      </w:r>
      <w:r>
        <w:fldChar w:fldCharType="separate"/>
      </w:r>
      <w:r>
        <w:rPr>
          <w:rStyle w:val="18"/>
          <w:b/>
        </w:rPr>
        <w:t>第五部分：参考附件</w:t>
      </w:r>
      <w:r>
        <w:tab/>
      </w:r>
      <w:r>
        <w:fldChar w:fldCharType="begin"/>
      </w:r>
      <w:r>
        <w:instrText xml:space="preserve"> PAGEREF _Toc106791267 \h </w:instrText>
      </w:r>
      <w:r>
        <w:fldChar w:fldCharType="separate"/>
      </w:r>
      <w:r>
        <w:t>12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"_Toc106791268" </w:instrText>
      </w:r>
      <w:r>
        <w:fldChar w:fldCharType="separate"/>
      </w:r>
      <w:r>
        <w:rPr>
          <w:rStyle w:val="18"/>
          <w:rFonts w:ascii="宋体" w:hAnsi="宋体"/>
        </w:rPr>
        <w:t>附件1：报名回函</w:t>
      </w:r>
      <w:r>
        <w:tab/>
      </w:r>
      <w:r>
        <w:fldChar w:fldCharType="begin"/>
      </w:r>
      <w:r>
        <w:instrText xml:space="preserve"> PAGEREF _Toc106791268 \h </w:instrText>
      </w:r>
      <w:r>
        <w:fldChar w:fldCharType="separate"/>
      </w:r>
      <w:r>
        <w:t>12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"_Toc106791269" </w:instrText>
      </w:r>
      <w:r>
        <w:fldChar w:fldCharType="separate"/>
      </w:r>
      <w:r>
        <w:rPr>
          <w:rStyle w:val="18"/>
          <w:rFonts w:ascii="宋体" w:hAnsi="宋体"/>
        </w:rPr>
        <w:t>附件2：投标函</w:t>
      </w:r>
      <w:r>
        <w:tab/>
      </w:r>
      <w:r>
        <w:fldChar w:fldCharType="begin"/>
      </w:r>
      <w:r>
        <w:instrText xml:space="preserve"> PAGEREF _Toc106791269 \h </w:instrText>
      </w:r>
      <w:r>
        <w:fldChar w:fldCharType="separate"/>
      </w:r>
      <w:r>
        <w:t>13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"_Toc106791270" </w:instrText>
      </w:r>
      <w:r>
        <w:fldChar w:fldCharType="separate"/>
      </w:r>
      <w:r>
        <w:rPr>
          <w:rStyle w:val="18"/>
          <w:rFonts w:ascii="宋体" w:hAnsi="宋体"/>
        </w:rPr>
        <w:t>附件3：投标一览表</w:t>
      </w:r>
      <w:r>
        <w:tab/>
      </w:r>
      <w:r>
        <w:fldChar w:fldCharType="begin"/>
      </w:r>
      <w:r>
        <w:instrText xml:space="preserve"> PAGEREF _Toc106791270 \h </w:instrText>
      </w:r>
      <w:r>
        <w:fldChar w:fldCharType="separate"/>
      </w:r>
      <w:r>
        <w:t>14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"_Toc106791271" </w:instrText>
      </w:r>
      <w:r>
        <w:fldChar w:fldCharType="separate"/>
      </w:r>
      <w:r>
        <w:rPr>
          <w:rStyle w:val="18"/>
          <w:rFonts w:ascii="宋体" w:hAnsi="宋体"/>
        </w:rPr>
        <w:t>附件4：考察证明</w:t>
      </w:r>
      <w:r>
        <w:tab/>
      </w:r>
      <w:r>
        <w:fldChar w:fldCharType="begin"/>
      </w:r>
      <w:r>
        <w:instrText xml:space="preserve"> PAGEREF _Toc106791271 \h </w:instrText>
      </w:r>
      <w:r>
        <w:fldChar w:fldCharType="separate"/>
      </w:r>
      <w:r>
        <w:t>15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"_Toc106791272" </w:instrText>
      </w:r>
      <w:r>
        <w:fldChar w:fldCharType="separate"/>
      </w:r>
      <w:r>
        <w:rPr>
          <w:rStyle w:val="18"/>
          <w:rFonts w:ascii="宋体" w:hAnsi="宋体"/>
        </w:rPr>
        <w:t>附件5：技术服务响应/偏离表</w:t>
      </w:r>
      <w:r>
        <w:tab/>
      </w:r>
      <w:r>
        <w:fldChar w:fldCharType="begin"/>
      </w:r>
      <w:r>
        <w:instrText xml:space="preserve"> PAGEREF _Toc106791272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"_Toc106791273" </w:instrText>
      </w:r>
      <w:r>
        <w:fldChar w:fldCharType="separate"/>
      </w:r>
      <w:r>
        <w:rPr>
          <w:rStyle w:val="18"/>
          <w:rFonts w:ascii="宋体" w:hAnsi="宋体"/>
        </w:rPr>
        <w:t>附件6：商务条款响应/偏离表</w:t>
      </w:r>
      <w:r>
        <w:tab/>
      </w:r>
      <w:r>
        <w:fldChar w:fldCharType="begin"/>
      </w:r>
      <w:r>
        <w:instrText xml:space="preserve"> PAGEREF _Toc106791273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"_Toc106791274" </w:instrText>
      </w:r>
      <w:r>
        <w:fldChar w:fldCharType="separate"/>
      </w:r>
      <w:r>
        <w:rPr>
          <w:rStyle w:val="18"/>
          <w:rFonts w:ascii="宋体" w:hAnsi="宋体"/>
        </w:rPr>
        <w:t>附件7：报价一览表（货物）</w:t>
      </w:r>
      <w:r>
        <w:tab/>
      </w:r>
      <w:r>
        <w:fldChar w:fldCharType="begin"/>
      </w:r>
      <w:r>
        <w:instrText xml:space="preserve"> PAGEREF _Toc106791274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"_Toc106791275" </w:instrText>
      </w:r>
      <w:r>
        <w:fldChar w:fldCharType="separate"/>
      </w:r>
      <w:r>
        <w:rPr>
          <w:rStyle w:val="18"/>
          <w:rFonts w:ascii="宋体" w:hAnsi="宋体"/>
        </w:rPr>
        <w:t>附件8：报价一览表（服务）（本项目不适用）</w:t>
      </w:r>
      <w:r>
        <w:tab/>
      </w:r>
      <w:r>
        <w:fldChar w:fldCharType="begin"/>
      </w:r>
      <w:r>
        <w:instrText xml:space="preserve"> PAGEREF _Toc106791275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"_Toc106791276" </w:instrText>
      </w:r>
      <w:r>
        <w:fldChar w:fldCharType="separate"/>
      </w:r>
      <w:r>
        <w:rPr>
          <w:rStyle w:val="18"/>
          <w:rFonts w:ascii="宋体" w:hAnsi="宋体"/>
        </w:rPr>
        <w:t>附件9：报价一览表（工程）</w:t>
      </w:r>
      <w:r>
        <w:tab/>
      </w:r>
      <w:r>
        <w:fldChar w:fldCharType="begin"/>
      </w:r>
      <w:r>
        <w:instrText xml:space="preserve"> PAGEREF _Toc106791276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"_Toc106791277" </w:instrText>
      </w:r>
      <w:r>
        <w:fldChar w:fldCharType="separate"/>
      </w:r>
      <w:r>
        <w:rPr>
          <w:rStyle w:val="18"/>
          <w:rFonts w:ascii="宋体" w:hAnsi="宋体"/>
        </w:rPr>
        <w:t>附件10：法定代表人证明书</w:t>
      </w:r>
      <w:r>
        <w:tab/>
      </w:r>
      <w:r>
        <w:fldChar w:fldCharType="begin"/>
      </w:r>
      <w:r>
        <w:instrText xml:space="preserve"> PAGEREF _Toc106791277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"_Toc106791278" </w:instrText>
      </w:r>
      <w:r>
        <w:fldChar w:fldCharType="separate"/>
      </w:r>
      <w:r>
        <w:rPr>
          <w:rStyle w:val="18"/>
          <w:rFonts w:ascii="宋体" w:hAnsi="宋体"/>
        </w:rPr>
        <w:t>附件11：法人授权委托证明书</w:t>
      </w:r>
      <w:r>
        <w:tab/>
      </w:r>
      <w:r>
        <w:fldChar w:fldCharType="begin"/>
      </w:r>
      <w:r>
        <w:instrText xml:space="preserve"> PAGEREF _Toc106791278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"_Toc106791279" </w:instrText>
      </w:r>
      <w:r>
        <w:fldChar w:fldCharType="separate"/>
      </w:r>
      <w:r>
        <w:rPr>
          <w:rStyle w:val="18"/>
          <w:rFonts w:ascii="宋体" w:hAnsi="宋体"/>
        </w:rPr>
        <w:t>附件12：经营业绩一览表</w:t>
      </w:r>
      <w:r>
        <w:tab/>
      </w:r>
      <w:r>
        <w:fldChar w:fldCharType="begin"/>
      </w:r>
      <w:r>
        <w:instrText xml:space="preserve"> PAGEREF _Toc106791279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"_Toc106791280" </w:instrText>
      </w:r>
      <w:r>
        <w:fldChar w:fldCharType="separate"/>
      </w:r>
      <w:r>
        <w:rPr>
          <w:rStyle w:val="18"/>
          <w:rFonts w:ascii="宋体" w:hAnsi="宋体"/>
        </w:rPr>
        <w:t>附件13：售后服务承诺书（质量保证服务承诺书）</w:t>
      </w:r>
      <w:r>
        <w:tab/>
      </w:r>
      <w:r>
        <w:fldChar w:fldCharType="begin"/>
      </w:r>
      <w:r>
        <w:instrText xml:space="preserve"> PAGEREF _Toc106791280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"_Toc106791281" </w:instrText>
      </w:r>
      <w:r>
        <w:fldChar w:fldCharType="separate"/>
      </w:r>
      <w:r>
        <w:rPr>
          <w:rStyle w:val="18"/>
          <w:rFonts w:ascii="宋体" w:hAnsi="宋体"/>
        </w:rPr>
        <w:t>附件14：履约情况及社会信誉承诺书</w:t>
      </w:r>
      <w:r>
        <w:tab/>
      </w:r>
      <w:r>
        <w:fldChar w:fldCharType="begin"/>
      </w:r>
      <w:r>
        <w:instrText xml:space="preserve"> PAGEREF _Toc106791281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"_Toc106791282" </w:instrText>
      </w:r>
      <w:r>
        <w:fldChar w:fldCharType="separate"/>
      </w:r>
      <w:r>
        <w:rPr>
          <w:rStyle w:val="18"/>
          <w:rFonts w:ascii="宋体" w:hAnsi="宋体"/>
        </w:rPr>
        <w:t>附件15：投标文件密码单</w:t>
      </w:r>
      <w:r>
        <w:tab/>
      </w:r>
      <w:r>
        <w:fldChar w:fldCharType="begin"/>
      </w:r>
      <w:r>
        <w:instrText xml:space="preserve"> PAGEREF _Toc106791282 \h </w:instrText>
      </w:r>
      <w:r>
        <w:fldChar w:fldCharType="separate"/>
      </w:r>
      <w:r>
        <w:t>26</w:t>
      </w:r>
      <w:r>
        <w:fldChar w:fldCharType="end"/>
      </w:r>
      <w: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06791252"/>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06791253"/>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刘女士</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8826</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hint="eastAsia"/>
              </w:rPr>
              <w:fldChar w:fldCharType="begin"/>
            </w:r>
            <w:r>
              <w:instrText xml:space="preserve"> HYPERLINK "mailto:*@qq.com" </w:instrText>
            </w:r>
            <w:r>
              <w:rPr>
                <w:rFonts w:hint="eastAsia"/>
              </w:rPr>
              <w:fldChar w:fldCharType="separate"/>
            </w:r>
            <w:r>
              <w:rPr>
                <w:rFonts w:hint="eastAsia" w:ascii="宋体" w:hAnsi="宋体"/>
                <w:szCs w:val="21"/>
                <w:lang w:val="en-US" w:eastAsia="zh-CN"/>
              </w:rPr>
              <w:t>liuxh</w:t>
            </w:r>
            <w:r>
              <w:rPr>
                <w:rFonts w:hint="eastAsia" w:ascii="宋体" w:hAnsi="宋体"/>
                <w:szCs w:val="21"/>
              </w:rPr>
              <w:t>@</w:t>
            </w:r>
            <w:r>
              <w:rPr>
                <w:rFonts w:hint="eastAsia" w:ascii="宋体" w:hAnsi="宋体"/>
                <w:szCs w:val="21"/>
                <w:lang w:val="en-US" w:eastAsia="zh-CN"/>
              </w:rPr>
              <w:t>c</w:t>
            </w:r>
            <w:r>
              <w:rPr>
                <w:rFonts w:hint="eastAsia" w:ascii="宋体" w:hAnsi="宋体"/>
                <w:szCs w:val="21"/>
              </w:rPr>
              <w:fldChar w:fldCharType="end"/>
            </w:r>
            <w:r>
              <w:rPr>
                <w:rFonts w:hint="eastAsia" w:ascii="宋体" w:hAnsi="宋体"/>
                <w:szCs w:val="21"/>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eastAsia="宋体" w:cs="宋体"/>
                <w:b w:val="0"/>
                <w:bCs/>
                <w:color w:val="auto"/>
                <w:sz w:val="21"/>
                <w:szCs w:val="21"/>
                <w:highlight w:val="none"/>
                <w:lang w:val="en-US" w:eastAsia="zh-CN"/>
              </w:rPr>
              <w:t>深圳会展中心高交会英文网站、英文微信公众号运维管理和专题宣传服务采购项目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auto"/>
                <w:szCs w:val="21"/>
                <w:lang w:val="en-US" w:eastAsia="zh-CN"/>
              </w:rPr>
              <w:t>服务</w:t>
            </w:r>
            <w:r>
              <w:rPr>
                <w:rFonts w:hint="eastAsia" w:ascii="宋体" w:hAnsi="宋体"/>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本项目旨在通过及时更新高交会英文官网、英文版微信公众号及</w:t>
            </w:r>
            <w:r>
              <w:rPr>
                <w:rFonts w:hint="eastAsia" w:ascii="宋体" w:hAnsi="宋体" w:eastAsia="宋体" w:cs="宋体"/>
                <w:color w:val="auto"/>
                <w:sz w:val="21"/>
                <w:szCs w:val="21"/>
                <w:highlight w:val="none"/>
                <w:lang w:val="en-US" w:eastAsia="zh-CN"/>
              </w:rPr>
              <w:t>专题宣传内容投放</w:t>
            </w:r>
            <w:r>
              <w:rPr>
                <w:rFonts w:hint="eastAsia" w:ascii="宋体" w:hAnsi="宋体" w:eastAsia="宋体" w:cs="宋体"/>
                <w:color w:val="auto"/>
                <w:sz w:val="21"/>
                <w:szCs w:val="21"/>
                <w:highlight w:val="none"/>
              </w:rPr>
              <w:t>，推送高交会最新消息，努力打造多渠道、多层面的国际宣传布局，提升国际传播能力，扩大高交会国际影响力</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深圳市福田区福华三路深圳会展中心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合同签订之日起至2023年7月31日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完整填写本项目报名回函（详见采购公告）并加盖公司公章后，按要求上传至https://cg.szcec.com/sharing/T5VZ7D5qz，并致电确认。逾期报名的（以报名回函送达时间为准）将不予接受。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深圳会展中心官网采购公告栏目（</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"https://www.szcec.com/News/index/id/256.html"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https://www.szcec.com/News/index/id/256.html</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4</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加密形式上传至https://cg.szcec.com/sharing/t6dq509J4</w:t>
            </w:r>
            <w:r>
              <w:rPr>
                <w:rFonts w:hint="eastAsia" w:ascii="宋体" w:hAnsi="宋体"/>
                <w:szCs w:val="21"/>
                <w:lang w:eastAsia="zh-CN"/>
              </w:rPr>
              <w:t>，</w:t>
            </w:r>
            <w:r>
              <w:rPr>
                <w:rFonts w:hint="eastAsia" w:ascii="宋体" w:hAnsi="宋体"/>
                <w:szCs w:val="21"/>
              </w:rPr>
              <w:t>并致电确认</w:t>
            </w:r>
            <w:bookmarkStart w:id="2" w:name="_Toc478110532"/>
            <w:bookmarkStart w:id="3" w:name="_Toc478392822"/>
            <w:bookmarkStart w:id="4" w:name="_Toc478393187"/>
            <w:r>
              <w:rPr>
                <w:rFonts w:hint="eastAsia" w:ascii="宋体" w:hAnsi="宋体"/>
                <w:szCs w:val="21"/>
              </w:rPr>
              <w:t>。</w:t>
            </w:r>
            <w:r>
              <w:rPr>
                <w:rFonts w:hint="eastAsia" w:ascii="宋体" w:hAnsi="宋体"/>
              </w:rPr>
              <w:t>注意事项如下：</w:t>
            </w:r>
          </w:p>
          <w:p>
            <w:pPr>
              <w:pStyle w:val="22"/>
              <w:numPr>
                <w:ilvl w:val="0"/>
                <w:numId w:val="3"/>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2"/>
              <w:numPr>
                <w:ilvl w:val="0"/>
                <w:numId w:val="3"/>
              </w:numPr>
              <w:ind w:left="541" w:hanging="541" w:firstLineChars="0"/>
              <w:rPr>
                <w:rFonts w:ascii="宋体" w:hAnsi="宋体" w:eastAsia="宋体"/>
                <w:szCs w:val="21"/>
              </w:rPr>
            </w:pPr>
            <w:r>
              <w:rPr>
                <w:rFonts w:hint="eastAsia" w:ascii="宋体" w:hAnsi="宋体" w:eastAsia="宋体"/>
                <w:szCs w:val="21"/>
              </w:rPr>
              <w:t>投标单位授权代表须熟记文件密码，否则做废标处理。投标文件递交时间截止后，不再接受任何理由的撤回或重新提交文件请求。</w:t>
            </w:r>
          </w:p>
          <w:p>
            <w:pPr>
              <w:pStyle w:val="22"/>
              <w:numPr>
                <w:ilvl w:val="0"/>
                <w:numId w:val="3"/>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lang w:val="en-US" w:eastAsia="zh-CN"/>
              </w:rPr>
              <w:t>708895466</w:t>
            </w:r>
            <w:r>
              <w:rPr>
                <w:rFonts w:hint="eastAsia" w:ascii="宋体" w:hAnsi="宋体"/>
                <w:szCs w:val="21"/>
              </w:rPr>
              <w:t>（免密），届时请各投标人按采购公告要求准时提交投标文件及密码并参加在线开标。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rPr>
              <w:t>https://cg.szcec.com/sharing/nD3tKqdqS</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hint="eastAsia" w:ascii="宋体" w:hAnsi="宋体"/>
                <w:szCs w:val="21"/>
              </w:rPr>
            </w:pPr>
            <w:r>
              <w:rPr>
                <w:rFonts w:hint="eastAsia" w:ascii="宋体" w:hAnsi="宋体"/>
                <w:szCs w:val="21"/>
              </w:rPr>
              <w:sym w:font="Wingdings 2" w:char="0052"/>
            </w:r>
            <w:r>
              <w:rPr>
                <w:rFonts w:hint="eastAsia" w:ascii="宋体" w:hAnsi="宋体"/>
                <w:szCs w:val="21"/>
              </w:rPr>
              <w:t>不接受</w:t>
            </w:r>
          </w:p>
          <w:p>
            <w:pPr>
              <w:autoSpaceDE w:val="0"/>
              <w:autoSpaceDN w:val="0"/>
              <w:adjustRightInd w:val="0"/>
              <w:snapToGrid w:val="0"/>
              <w:rPr>
                <w:rFonts w:ascii="宋体" w:hAnsi="宋体"/>
                <w:kern w:val="0"/>
                <w:szCs w:val="21"/>
              </w:rPr>
            </w:pPr>
            <w:r>
              <w:rPr>
                <w:rFonts w:hint="eastAsia" w:ascii="宋体" w:hAnsi="宋体"/>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Segoe UI Symbol"/>
                <w:kern w:val="0"/>
                <w:szCs w:val="21"/>
              </w:rPr>
              <w:sym w:font="Wingdings 2" w:char="0052"/>
            </w:r>
            <w:r>
              <w:rPr>
                <w:rFonts w:hint="eastAsia" w:ascii="宋体" w:hAnsi="宋体" w:cstheme="minorBidi"/>
                <w:kern w:val="0"/>
                <w:szCs w:val="21"/>
              </w:rPr>
              <w:t>不组织。可在公开招标开始后至公开招标结束前自行踏勘。</w:t>
            </w:r>
          </w:p>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t>□组织，踏勘要求：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2"/>
              <w:tabs>
                <w:tab w:val="left" w:pos="541"/>
              </w:tabs>
              <w:snapToGrid w:val="0"/>
              <w:spacing w:after="156"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××邀请投标人人员察看现场并讲解项目需求；投标人应指派完全符合疫情防控要求的人员参加本项目的现场踏勘。</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鉴</w:t>
            </w:r>
            <w:r>
              <w:rPr>
                <w:rFonts w:hint="eastAsia" w:ascii="宋体" w:hAnsi="宋体" w:eastAsia="宋体"/>
                <w:kern w:val="0"/>
              </w:rPr>
              <w:t>于疫情防控要求，所有入场人员需持</w:t>
            </w:r>
            <w:r>
              <w:rPr>
                <w:rFonts w:hint="eastAsia" w:ascii="宋体" w:hAnsi="宋体" w:eastAsia="宋体"/>
                <w:color w:val="FF0000"/>
                <w:kern w:val="0"/>
                <w:highlight w:val="yellow"/>
              </w:rPr>
              <w:t>24小时</w:t>
            </w:r>
            <w:r>
              <w:rPr>
                <w:rFonts w:hint="eastAsia" w:ascii="宋体" w:hAnsi="宋体" w:eastAsia="宋体"/>
                <w:kern w:val="0"/>
              </w:rPr>
              <w:t>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宋体" w:hAnsi="宋体" w:eastAsia="宋体"/>
                <w:b/>
                <w:color w:val="FF0000"/>
                <w:kern w:val="0"/>
              </w:rPr>
              <w:t>（特别注意：各投标人不得指派属于封控区、管控区、防范区人员作为本项目的踏勘人员）</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是否要求递交履约保证金： </w:t>
            </w:r>
          </w:p>
          <w:p>
            <w:pPr>
              <w:pStyle w:val="22"/>
              <w:numPr>
                <w:ilvl w:val="0"/>
                <w:numId w:val="7"/>
              </w:numPr>
              <w:autoSpaceDE w:val="0"/>
              <w:autoSpaceDN w:val="0"/>
              <w:adjustRightInd w:val="0"/>
              <w:snapToGrid w:val="0"/>
              <w:ind w:left="536" w:hanging="536"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sym w:font="Wingdings 2" w:char="0052"/>
            </w:r>
            <w:r>
              <w:rPr>
                <w:rFonts w:hint="eastAsia" w:ascii="宋体" w:hAnsi="宋体" w:eastAsia="宋体" w:cs="宋体"/>
                <w:kern w:val="2"/>
                <w:sz w:val="21"/>
                <w:szCs w:val="21"/>
                <w:lang w:val="en-US" w:eastAsia="zh-CN" w:bidi="ar-SA"/>
              </w:rPr>
              <w:t>不要求</w:t>
            </w:r>
          </w:p>
          <w:p>
            <w:pPr>
              <w:pStyle w:val="22"/>
              <w:numPr>
                <w:ilvl w:val="0"/>
                <w:numId w:val="7"/>
              </w:numPr>
              <w:autoSpaceDE w:val="0"/>
              <w:autoSpaceDN w:val="0"/>
              <w:adjustRightInd w:val="0"/>
              <w:snapToGrid w:val="0"/>
              <w:ind w:left="536" w:hanging="536"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□要求</w:t>
            </w:r>
          </w:p>
          <w:p>
            <w:pPr>
              <w:pStyle w:val="22"/>
              <w:numPr>
                <w:ilvl w:val="0"/>
                <w:numId w:val="8"/>
              </w:numPr>
              <w:autoSpaceDE w:val="0"/>
              <w:autoSpaceDN w:val="0"/>
              <w:adjustRightInd w:val="0"/>
              <w:snapToGrid w:val="0"/>
              <w:ind w:left="818" w:leftChars="254" w:hanging="285" w:hangingChars="136"/>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履约保证金金额：人民币 / 元</w:t>
            </w:r>
          </w:p>
          <w:p>
            <w:pPr>
              <w:pStyle w:val="22"/>
              <w:numPr>
                <w:ilvl w:val="0"/>
                <w:numId w:val="8"/>
              </w:numPr>
              <w:autoSpaceDE w:val="0"/>
              <w:autoSpaceDN w:val="0"/>
              <w:adjustRightInd w:val="0"/>
              <w:snapToGrid w:val="0"/>
              <w:ind w:left="818" w:leftChars="254" w:hanging="285" w:hangingChars="136"/>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履约保证金的形式：□银行转账  □现金</w:t>
            </w:r>
          </w:p>
          <w:p>
            <w:pPr>
              <w:pStyle w:val="22"/>
              <w:numPr>
                <w:ilvl w:val="0"/>
                <w:numId w:val="8"/>
              </w:numPr>
              <w:autoSpaceDE w:val="0"/>
              <w:autoSpaceDN w:val="0"/>
              <w:adjustRightInd w:val="0"/>
              <w:snapToGrid w:val="0"/>
              <w:ind w:left="818" w:leftChars="254" w:hanging="285" w:hangingChars="136"/>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投标人保证金收款银行账户信息（选用“银行转账”方式须填）</w:t>
            </w:r>
          </w:p>
          <w:p>
            <w:pPr>
              <w:autoSpaceDE w:val="0"/>
              <w:autoSpaceDN w:val="0"/>
              <w:adjustRightInd w:val="0"/>
              <w:snapToGrid w:val="0"/>
              <w:ind w:left="819" w:leftChars="390" w:firstLine="1"/>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收款单位：深圳深圳会展中心管理有限责任公司</w:t>
            </w:r>
          </w:p>
          <w:p>
            <w:pPr>
              <w:autoSpaceDE w:val="0"/>
              <w:autoSpaceDN w:val="0"/>
              <w:adjustRightInd w:val="0"/>
              <w:snapToGrid w:val="0"/>
              <w:ind w:left="819" w:leftChars="390" w:firstLine="1"/>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开户银行：     ／       </w:t>
            </w:r>
          </w:p>
          <w:p>
            <w:pPr>
              <w:autoSpaceDE w:val="0"/>
              <w:autoSpaceDN w:val="0"/>
              <w:adjustRightInd w:val="0"/>
              <w:snapToGrid w:val="0"/>
              <w:ind w:left="819" w:leftChars="390" w:firstLine="1"/>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银行账号：     ／       </w:t>
            </w:r>
          </w:p>
          <w:p>
            <w:pPr>
              <w:pStyle w:val="22"/>
              <w:numPr>
                <w:ilvl w:val="0"/>
                <w:numId w:val="8"/>
              </w:numPr>
              <w:autoSpaceDE w:val="0"/>
              <w:autoSpaceDN w:val="0"/>
              <w:adjustRightInd w:val="0"/>
              <w:snapToGrid w:val="0"/>
              <w:ind w:left="818" w:leftChars="254" w:hanging="285" w:hangingChars="136"/>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履约保证金的形式为银行转账的，需在转账时注明项目名称，保证金应从投标人公司账户中转出。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sym w:font="Wingdings 2" w:char="0052"/>
            </w:r>
            <w:r>
              <w:rPr>
                <w:rFonts w:hint="eastAsia" w:ascii="宋体" w:hAnsi="宋体" w:eastAsia="宋体" w:cs="宋体"/>
                <w:kern w:val="2"/>
                <w:sz w:val="21"/>
                <w:szCs w:val="21"/>
                <w:lang w:val="en-US" w:eastAsia="zh-CN" w:bidi="ar-SA"/>
              </w:rPr>
              <w:t>不要求递交投标样品</w:t>
            </w:r>
          </w:p>
          <w:p>
            <w:pPr>
              <w:autoSpaceDE w:val="0"/>
              <w:autoSpaceDN w:val="0"/>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□递交投标样品，具体要求：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sym w:font="Wingdings 2" w:char="0052"/>
            </w:r>
            <w:r>
              <w:rPr>
                <w:rFonts w:hint="eastAsia" w:ascii="宋体" w:hAnsi="宋体" w:eastAsia="宋体" w:cs="宋体"/>
                <w:kern w:val="2"/>
                <w:sz w:val="21"/>
                <w:szCs w:val="21"/>
                <w:lang w:val="en-US" w:eastAsia="zh-CN" w:bidi="ar-SA"/>
              </w:rPr>
              <w:t>综合评分法</w:t>
            </w:r>
          </w:p>
          <w:p>
            <w:pPr>
              <w:autoSpaceDE w:val="0"/>
              <w:autoSpaceDN w:val="0"/>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□最低价法</w:t>
            </w:r>
          </w:p>
          <w:p>
            <w:pPr>
              <w:autoSpaceDE w:val="0"/>
              <w:autoSpaceDN w:val="0"/>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sym w:font="Wingdings 2" w:char="0052"/>
            </w:r>
            <w:r>
              <w:rPr>
                <w:rFonts w:hint="eastAsia" w:ascii="宋体" w:hAnsi="宋体" w:eastAsia="宋体" w:cs="宋体"/>
                <w:kern w:val="2"/>
                <w:sz w:val="21"/>
                <w:szCs w:val="21"/>
                <w:lang w:val="en-US" w:eastAsia="zh-CN" w:bidi="ar-SA"/>
              </w:rPr>
              <w:t>内部招标评标小组推荐的中标候选人数：  1  个。</w:t>
            </w:r>
          </w:p>
          <w:p>
            <w:pPr>
              <w:autoSpaceDE w:val="0"/>
              <w:autoSpaceDN w:val="0"/>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（适用于采用综合评分法、最低价法）</w:t>
            </w:r>
          </w:p>
        </w:tc>
      </w:tr>
    </w:tbl>
    <w:p>
      <w:pPr>
        <w:numPr>
          <w:ilvl w:val="0"/>
          <w:numId w:val="1"/>
        </w:numPr>
        <w:spacing w:line="560" w:lineRule="exact"/>
        <w:outlineLvl w:val="1"/>
        <w:rPr>
          <w:rFonts w:ascii="宋体" w:hAnsi="宋体"/>
          <w:b/>
          <w:szCs w:val="21"/>
        </w:rPr>
      </w:pPr>
      <w:bookmarkStart w:id="6" w:name="_Toc82684589"/>
      <w:bookmarkEnd w:id="6"/>
      <w:bookmarkStart w:id="7" w:name="_Toc82591926"/>
      <w:bookmarkEnd w:id="7"/>
      <w:bookmarkStart w:id="8" w:name="_Toc82685543"/>
      <w:bookmarkEnd w:id="8"/>
      <w:bookmarkStart w:id="9" w:name="_Toc82685540"/>
      <w:bookmarkEnd w:id="9"/>
      <w:bookmarkStart w:id="10" w:name="_Toc82684590"/>
      <w:bookmarkEnd w:id="10"/>
      <w:bookmarkStart w:id="11" w:name="_Toc82684706"/>
      <w:bookmarkEnd w:id="11"/>
      <w:bookmarkStart w:id="12" w:name="_Toc82684704"/>
      <w:bookmarkEnd w:id="12"/>
      <w:bookmarkStart w:id="13" w:name="_Toc82684703"/>
      <w:bookmarkEnd w:id="13"/>
      <w:bookmarkStart w:id="14" w:name="_Toc82684591"/>
      <w:bookmarkEnd w:id="14"/>
      <w:bookmarkStart w:id="15" w:name="_Toc82591925"/>
      <w:bookmarkEnd w:id="15"/>
      <w:bookmarkStart w:id="16" w:name="_Toc82684588"/>
      <w:bookmarkEnd w:id="16"/>
      <w:bookmarkStart w:id="17" w:name="_Toc82591927"/>
      <w:bookmarkEnd w:id="17"/>
      <w:bookmarkStart w:id="18" w:name="_Toc82591928"/>
      <w:bookmarkEnd w:id="18"/>
      <w:bookmarkStart w:id="19" w:name="_Toc82685542"/>
      <w:bookmarkEnd w:id="19"/>
      <w:bookmarkStart w:id="20" w:name="_Toc82684705"/>
      <w:bookmarkEnd w:id="20"/>
      <w:bookmarkStart w:id="21" w:name="_Toc82685541"/>
      <w:bookmarkEnd w:id="21"/>
      <w:bookmarkStart w:id="22" w:name="_Toc106791254"/>
      <w:r>
        <w:rPr>
          <w:rFonts w:hint="eastAsia" w:ascii="宋体" w:hAnsi="宋体"/>
          <w:b/>
          <w:szCs w:val="21"/>
        </w:rPr>
        <w:t>特别说明</w:t>
      </w:r>
      <w:bookmarkEnd w:id="22"/>
    </w:p>
    <w:p>
      <w:pPr>
        <w:pStyle w:val="22"/>
        <w:numPr>
          <w:ilvl w:val="0"/>
          <w:numId w:val="9"/>
        </w:numPr>
        <w:spacing w:line="360" w:lineRule="auto"/>
        <w:ind w:left="0" w:firstLine="420" w:firstLineChars="0"/>
        <w:rPr>
          <w:rFonts w:ascii="宋体" w:hAnsi="宋体" w:eastAsia="宋体" w:cs="宋体"/>
          <w:szCs w:val="21"/>
        </w:rPr>
      </w:pPr>
      <w:bookmarkStart w:id="23" w:name="_Toc45028463"/>
      <w:bookmarkStart w:id="24" w:name="_Toc478387747"/>
      <w:bookmarkStart w:id="25" w:name="_Toc517278751"/>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w:t>
      </w:r>
      <w:r>
        <w:rPr>
          <w:rFonts w:hint="eastAsia" w:ascii="宋体" w:hAnsi="宋体" w:eastAsia="宋体" w:cs="宋体"/>
          <w:szCs w:val="21"/>
          <w:highlight w:val="none"/>
        </w:rPr>
        <w:t>均需通过招标人报名回函上指定的地址发送和接</w:t>
      </w:r>
      <w:r>
        <w:rPr>
          <w:rFonts w:hint="eastAsia" w:ascii="宋体" w:hAnsi="宋体" w:eastAsia="宋体" w:cs="宋体"/>
          <w:szCs w:val="21"/>
        </w:rPr>
        <w:t>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22"/>
        <w:spacing w:line="360" w:lineRule="auto"/>
        <w:ind w:left="420" w:firstLine="0" w:firstLineChars="0"/>
        <w:rPr>
          <w:rFonts w:ascii="宋体" w:hAnsi="宋体" w:eastAsia="宋体" w:cs="宋体"/>
          <w:szCs w:val="21"/>
        </w:rPr>
      </w:pPr>
    </w:p>
    <w:p>
      <w:pPr>
        <w:numPr>
          <w:ilvl w:val="0"/>
          <w:numId w:val="1"/>
        </w:numPr>
        <w:spacing w:line="560" w:lineRule="exact"/>
        <w:outlineLvl w:val="1"/>
        <w:rPr>
          <w:rFonts w:ascii="宋体" w:hAnsi="宋体"/>
          <w:b/>
          <w:szCs w:val="21"/>
        </w:rPr>
      </w:pPr>
      <w:bookmarkStart w:id="26" w:name="_Toc82591988"/>
      <w:bookmarkEnd w:id="26"/>
      <w:bookmarkStart w:id="27" w:name="_Toc82684593"/>
      <w:bookmarkEnd w:id="27"/>
      <w:bookmarkStart w:id="28" w:name="_Toc82591986"/>
      <w:bookmarkEnd w:id="28"/>
      <w:bookmarkStart w:id="29" w:name="_Toc82685545"/>
      <w:bookmarkEnd w:id="29"/>
      <w:bookmarkStart w:id="30" w:name="_Toc82591989"/>
      <w:bookmarkEnd w:id="30"/>
      <w:bookmarkStart w:id="31" w:name="_Toc82684708"/>
      <w:bookmarkEnd w:id="31"/>
      <w:bookmarkStart w:id="32" w:name="_Toc82591985"/>
      <w:bookmarkEnd w:id="32"/>
      <w:bookmarkStart w:id="33" w:name="_Toc82591987"/>
      <w:bookmarkEnd w:id="33"/>
      <w:bookmarkStart w:id="34" w:name="_Toc82591930"/>
      <w:bookmarkEnd w:id="34"/>
      <w:bookmarkStart w:id="35" w:name="_Toc106791255"/>
      <w:r>
        <w:rPr>
          <w:rFonts w:hint="eastAsia" w:ascii="宋体" w:hAnsi="宋体"/>
          <w:b/>
          <w:szCs w:val="21"/>
        </w:rPr>
        <w:t>投标文件编制</w:t>
      </w:r>
      <w:bookmarkEnd w:id="35"/>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国家企业信用信息公示系统（www.gsxt.gov.cn）公示的企业信息打印件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投标报价一览表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06791256"/>
      <w:r>
        <w:rPr>
          <w:rFonts w:hint="eastAsia" w:ascii="宋体" w:hAnsi="宋体"/>
          <w:b/>
          <w:szCs w:val="21"/>
        </w:rPr>
        <w:t>项目要求及数量</w:t>
      </w:r>
      <w:bookmarkEnd w:id="36"/>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4"/>
              <w:numPr>
                <w:ilvl w:val="0"/>
                <w:numId w:val="10"/>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投标人必须是在中华人民共和国境内注册且合法运作的企业，在法律和财务上独立。（提供企业营业执照扫描件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并加盖投标人公章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Style w:val="34"/>
              <w:numPr>
                <w:ilvl w:val="0"/>
                <w:numId w:val="10"/>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必</w:t>
            </w:r>
            <w:r>
              <w:rPr>
                <w:rFonts w:hint="eastAsia" w:ascii="宋体" w:hAnsi="宋体" w:eastAsia="宋体" w:cs="宋体"/>
                <w:color w:val="auto"/>
                <w:sz w:val="21"/>
                <w:szCs w:val="21"/>
                <w:highlight w:val="none"/>
              </w:rPr>
              <w:t>须无未改正的经营异常信息、无严重违法失信记录</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提供国家企业信用信息公示系统（www.gsxt.gov.cn)公示的企业基础信息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经营异常信息、严重违法失信记录等信息查询</w:t>
            </w:r>
            <w:r>
              <w:rPr>
                <w:rFonts w:hint="eastAsia" w:ascii="宋体" w:hAnsi="宋体" w:eastAsia="宋体" w:cs="宋体"/>
                <w:color w:val="auto"/>
                <w:sz w:val="21"/>
                <w:szCs w:val="21"/>
                <w:highlight w:val="none"/>
              </w:rPr>
              <w:t>页面打印件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并加盖投标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公章。）</w:t>
            </w:r>
          </w:p>
          <w:p>
            <w:pPr>
              <w:pStyle w:val="34"/>
              <w:numPr>
                <w:ilvl w:val="0"/>
                <w:numId w:val="10"/>
              </w:numPr>
              <w:snapToGrid w:val="0"/>
              <w:spacing w:line="360" w:lineRule="auto"/>
              <w:ind w:left="425" w:leftChars="0" w:hanging="425" w:firstLineChars="0"/>
              <w:jc w:val="left"/>
              <w:rPr>
                <w:rFonts w:ascii="宋体" w:hAnsi="宋体" w:cs="宋体"/>
                <w:color w:val="auto"/>
                <w:highlight w:val="none"/>
              </w:rPr>
            </w:pPr>
            <w:r>
              <w:rPr>
                <w:rFonts w:hint="eastAsia" w:ascii="宋体" w:hAnsi="宋体" w:eastAsia="宋体" w:cs="宋体"/>
                <w:color w:val="auto"/>
                <w:sz w:val="21"/>
                <w:szCs w:val="21"/>
                <w:highlight w:val="none"/>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pStyle w:val="34"/>
              <w:numPr>
                <w:ilvl w:val="0"/>
                <w:numId w:val="10"/>
              </w:numPr>
              <w:snapToGrid w:val="0"/>
              <w:spacing w:line="360" w:lineRule="auto"/>
              <w:ind w:left="425" w:leftChars="0" w:hanging="425" w:firstLineChars="0"/>
              <w:jc w:val="left"/>
              <w:rPr>
                <w:rFonts w:ascii="宋体" w:hAnsi="宋体" w:cs="宋体"/>
                <w:color w:val="FF0000"/>
                <w:highlight w:val="none"/>
              </w:rPr>
            </w:pPr>
            <w:r>
              <w:rPr>
                <w:rFonts w:hint="eastAsia" w:ascii="宋体" w:hAnsi="宋体" w:eastAsia="宋体" w:cs="宋体"/>
                <w:color w:val="auto"/>
                <w:sz w:val="21"/>
                <w:szCs w:val="21"/>
                <w:highlight w:val="none"/>
                <w:lang w:val="en-US" w:eastAsia="zh-CN"/>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ascii="宋体" w:hAnsi="宋体" w:cs="宋体"/>
                <w:szCs w:val="21"/>
                <w:highlight w:val="none"/>
              </w:rPr>
              <w:t>不可偏离</w:t>
            </w:r>
            <w:bookmarkStart w:id="84" w:name="_GoBack"/>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auto"/>
                <w:szCs w:val="21"/>
                <w:highlight w:val="none"/>
                <w:lang w:val="en-US" w:eastAsia="zh-CN"/>
              </w:rPr>
              <w:t>业绩要求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4"/>
              <w:numPr>
                <w:ilvl w:val="0"/>
                <w:numId w:val="0"/>
              </w:numPr>
              <w:snapToGrid w:val="0"/>
              <w:spacing w:line="360" w:lineRule="auto"/>
              <w:ind w:left="0" w:leftChars="0" w:firstLine="0" w:firstLineChars="0"/>
              <w:jc w:val="left"/>
              <w:rPr>
                <w:color w:val="FF0000"/>
                <w:highlight w:val="yellow"/>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必须提供20</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年1月1日</w:t>
            </w:r>
            <w:r>
              <w:rPr>
                <w:rFonts w:hint="eastAsia" w:ascii="宋体" w:hAnsi="宋体" w:cs="宋体"/>
                <w:color w:val="auto"/>
                <w:sz w:val="21"/>
                <w:szCs w:val="21"/>
                <w:highlight w:val="none"/>
                <w:lang w:val="en-US" w:eastAsia="zh-CN"/>
              </w:rPr>
              <w:t>至采购公告发布之日（以合同签订时间为准），英文网站项目运营案例1个、英文社交媒体账号项目运营案例1个。需</w:t>
            </w:r>
            <w:r>
              <w:rPr>
                <w:rFonts w:hint="eastAsia" w:ascii="宋体" w:hAnsi="宋体" w:eastAsia="宋体" w:cs="宋体"/>
                <w:color w:val="auto"/>
                <w:sz w:val="21"/>
                <w:szCs w:val="21"/>
                <w:highlight w:val="none"/>
              </w:rPr>
              <w:t>提供合同关键页复印件（合同关键页包含但不限于项目名称、业主方名称、签订时间、甲乙双方盖章等信息）。以上证明资料加盖</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单位公章</w:t>
            </w:r>
            <w:r>
              <w:rPr>
                <w:rFonts w:hint="eastAsia" w:ascii="宋体" w:hAnsi="宋体" w:eastAsia="宋体" w:cs="宋体"/>
                <w:color w:val="auto"/>
                <w:sz w:val="21"/>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4"/>
              <w:numPr>
                <w:ilvl w:val="0"/>
                <w:numId w:val="11"/>
              </w:numPr>
              <w:snapToGrid w:val="0"/>
              <w:spacing w:line="360" w:lineRule="auto"/>
              <w:ind w:left="425" w:hanging="425"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本项目应对高交会英文网站、英文微信公众号运维管理及中国日报专题宣传服务内容进行报价，报价包函完成以上内容的全部费用，招标人不再另行支付其他任何费用。报价单格式参考</w:t>
            </w:r>
            <w:r>
              <w:rPr>
                <w:rFonts w:hint="eastAsia" w:ascii="宋体" w:hAnsi="宋体" w:cs="宋体"/>
                <w:color w:val="auto"/>
                <w:sz w:val="21"/>
                <w:szCs w:val="21"/>
                <w:highlight w:val="none"/>
              </w:rPr>
              <w:t>附件8：报价一览表（服务）</w:t>
            </w:r>
            <w:r>
              <w:rPr>
                <w:rFonts w:hint="eastAsia" w:ascii="宋体" w:hAnsi="宋体" w:cs="宋体"/>
                <w:color w:val="auto"/>
                <w:sz w:val="21"/>
                <w:szCs w:val="21"/>
                <w:highlight w:val="none"/>
                <w:lang w:eastAsia="zh-CN"/>
              </w:rPr>
              <w:t>。</w:t>
            </w:r>
          </w:p>
          <w:p>
            <w:pPr>
              <w:pStyle w:val="34"/>
              <w:numPr>
                <w:ilvl w:val="0"/>
                <w:numId w:val="11"/>
              </w:numPr>
              <w:snapToGrid w:val="0"/>
              <w:spacing w:line="360" w:lineRule="auto"/>
              <w:ind w:left="425" w:leftChars="0" w:hanging="425" w:firstLineChars="0"/>
              <w:jc w:val="left"/>
              <w:rPr>
                <w:rFonts w:hint="eastAsia"/>
                <w:color w:val="auto"/>
                <w:highlight w:val="none"/>
              </w:rPr>
            </w:pPr>
            <w:r>
              <w:rPr>
                <w:rFonts w:hint="eastAsia" w:ascii="宋体" w:hAnsi="宋体" w:eastAsia="宋体" w:cs="宋体"/>
                <w:color w:val="auto"/>
                <w:sz w:val="21"/>
                <w:szCs w:val="21"/>
                <w:highlight w:val="none"/>
              </w:rPr>
              <w:t>报价以人民币为结算币种，报价</w:t>
            </w:r>
            <w:r>
              <w:rPr>
                <w:rFonts w:hint="eastAsia" w:ascii="宋体" w:hAnsi="宋体" w:cs="宋体"/>
                <w:color w:val="auto"/>
                <w:sz w:val="21"/>
                <w:szCs w:val="21"/>
                <w:highlight w:val="none"/>
                <w:lang w:val="en-US" w:eastAsia="zh-CN"/>
              </w:rPr>
              <w:t>含增值税，报价应报各项</w:t>
            </w:r>
            <w:r>
              <w:rPr>
                <w:rFonts w:hint="eastAsia" w:ascii="宋体" w:hAnsi="宋体" w:eastAsia="宋体" w:cs="宋体"/>
                <w:color w:val="auto"/>
                <w:sz w:val="21"/>
                <w:szCs w:val="21"/>
                <w:highlight w:val="none"/>
              </w:rPr>
              <w:t>单价和总价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含未税价和含税价</w:t>
            </w:r>
            <w:r>
              <w:rPr>
                <w:rFonts w:hint="eastAsia" w:ascii="宋体" w:hAnsi="宋体" w:cs="宋体"/>
                <w:color w:val="auto"/>
                <w:sz w:val="21"/>
                <w:szCs w:val="21"/>
                <w:highlight w:val="none"/>
                <w:lang w:eastAsia="zh-CN"/>
              </w:rPr>
              <w:t>）；</w:t>
            </w:r>
          </w:p>
          <w:p>
            <w:pPr>
              <w:pStyle w:val="34"/>
              <w:numPr>
                <w:ilvl w:val="0"/>
                <w:numId w:val="11"/>
              </w:numPr>
              <w:snapToGrid w:val="0"/>
              <w:spacing w:line="360" w:lineRule="auto"/>
              <w:ind w:left="425" w:leftChars="0" w:hanging="425" w:firstLineChars="0"/>
              <w:jc w:val="left"/>
              <w:rPr>
                <w:rFonts w:ascii="宋体" w:hAnsi="宋体" w:cs="宋体"/>
                <w:color w:val="auto"/>
                <w:szCs w:val="21"/>
                <w:highlight w:val="none"/>
              </w:rPr>
            </w:pPr>
            <w:r>
              <w:rPr>
                <w:rFonts w:hint="eastAsia" w:ascii="宋体" w:hAnsi="宋体" w:eastAsia="宋体" w:cs="宋体"/>
                <w:color w:val="auto"/>
                <w:sz w:val="21"/>
                <w:szCs w:val="21"/>
                <w:highlight w:val="none"/>
              </w:rPr>
              <w:t>投标报价不得出现可选择性的报价,含有备选方案的报价将导致废标</w:t>
            </w:r>
            <w:r>
              <w:rPr>
                <w:rFonts w:hint="eastAsia" w:ascii="宋体" w:hAnsi="宋体" w:eastAsia="宋体" w:cs="宋体"/>
                <w:color w:val="auto"/>
                <w:sz w:val="21"/>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left="0" w:leftChars="0" w:right="28" w:rightChars="0" w:firstLine="0" w:firstLineChars="0"/>
              <w:jc w:val="left"/>
              <w:rPr>
                <w:color w:val="FF0000"/>
                <w:highlight w:val="none"/>
              </w:rPr>
            </w:pPr>
            <w:r>
              <w:rPr>
                <w:rFonts w:hint="eastAsia" w:ascii="宋体" w:hAnsi="宋体" w:cs="宋体"/>
                <w:color w:val="auto"/>
                <w:szCs w:val="21"/>
                <w:highlight w:val="none"/>
              </w:rPr>
              <w:t>本项目采购控制金额为人民币</w:t>
            </w:r>
            <w:r>
              <w:rPr>
                <w:rFonts w:hint="eastAsia" w:ascii="宋体" w:hAnsi="宋体"/>
                <w:color w:val="auto"/>
                <w:szCs w:val="21"/>
                <w:highlight w:val="none"/>
                <w:lang w:val="en-US" w:eastAsia="zh-CN"/>
              </w:rPr>
              <w:t>32</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eastAsia="宋体" w:cs="宋体"/>
                <w:color w:val="auto"/>
                <w:sz w:val="21"/>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4"/>
              <w:numPr>
                <w:ilvl w:val="0"/>
                <w:numId w:val="12"/>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项目合同签署后，</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将支付合同</w:t>
            </w:r>
            <w:r>
              <w:rPr>
                <w:rFonts w:hint="eastAsia" w:ascii="宋体" w:hAnsi="宋体" w:cs="宋体"/>
                <w:color w:val="auto"/>
                <w:sz w:val="21"/>
                <w:szCs w:val="21"/>
                <w:highlight w:val="none"/>
                <w:lang w:val="en-US" w:eastAsia="zh-CN"/>
              </w:rPr>
              <w:t>中高交会英文网站、高交会英文微信公众号运维管理服务费用</w:t>
            </w:r>
            <w:r>
              <w:rPr>
                <w:rFonts w:hint="eastAsia" w:ascii="宋体" w:hAnsi="宋体" w:eastAsia="宋体" w:cs="宋体"/>
                <w:color w:val="auto"/>
                <w:sz w:val="21"/>
                <w:szCs w:val="21"/>
                <w:highlight w:val="none"/>
              </w:rPr>
              <w:t>总金额的</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%作为先期运维款项</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项目合同结束后，</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将对</w:t>
            </w:r>
            <w:r>
              <w:rPr>
                <w:rFonts w:hint="eastAsia" w:ascii="宋体" w:hAnsi="宋体" w:cs="宋体"/>
                <w:color w:val="auto"/>
                <w:sz w:val="21"/>
                <w:szCs w:val="21"/>
                <w:highlight w:val="none"/>
                <w:lang w:val="en-US" w:eastAsia="zh-CN"/>
              </w:rPr>
              <w:t>高交会英文网站、高交会英文微信公众号运维管理</w:t>
            </w:r>
            <w:r>
              <w:rPr>
                <w:rFonts w:hint="eastAsia" w:ascii="宋体" w:hAnsi="宋体" w:eastAsia="宋体" w:cs="宋体"/>
                <w:color w:val="auto"/>
                <w:sz w:val="21"/>
                <w:szCs w:val="21"/>
                <w:highlight w:val="none"/>
              </w:rPr>
              <w:t>项目整体进行验收，根据</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提供的运维报告，确认各项数据指标均达到合同规定服务要求后，</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支付尾款合同总金额的</w:t>
            </w: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如验收不达标，</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有权要求</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就相应服务进行整改，</w:t>
            </w:r>
            <w:r>
              <w:rPr>
                <w:rFonts w:hint="eastAsia" w:ascii="宋体" w:hAnsi="宋体" w:cs="宋体"/>
                <w:color w:val="auto"/>
                <w:sz w:val="21"/>
                <w:szCs w:val="21"/>
                <w:highlight w:val="none"/>
                <w:lang w:val="en-US" w:eastAsia="zh-CN"/>
              </w:rPr>
              <w:t>直至完全通过验收，如整改后仍无法达到合同约定要求的，应扣除对应未达验收标准部分后支付剩余合同款</w:t>
            </w:r>
            <w:r>
              <w:rPr>
                <w:rFonts w:hint="eastAsia" w:ascii="宋体" w:hAnsi="宋体" w:eastAsia="宋体" w:cs="宋体"/>
                <w:color w:val="auto"/>
                <w:sz w:val="21"/>
                <w:szCs w:val="21"/>
                <w:highlight w:val="none"/>
              </w:rPr>
              <w:t>。</w:t>
            </w:r>
          </w:p>
          <w:p>
            <w:pPr>
              <w:pStyle w:val="34"/>
              <w:numPr>
                <w:ilvl w:val="0"/>
                <w:numId w:val="12"/>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合同中高交会中国日报专题宣传服务费用将在该服务结束后，由招标人根据投标人提供的发布报告，确认各项数据指标均达到合同约定要求后，一次性支付。</w:t>
            </w:r>
            <w:r>
              <w:rPr>
                <w:rFonts w:hint="eastAsia" w:ascii="宋体" w:hAnsi="宋体" w:eastAsia="宋体" w:cs="宋体"/>
                <w:color w:val="auto"/>
                <w:sz w:val="21"/>
                <w:szCs w:val="21"/>
                <w:highlight w:val="none"/>
              </w:rPr>
              <w:t>如验收不达标，</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有权要求</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就相应服务进行整改，</w:t>
            </w:r>
            <w:r>
              <w:rPr>
                <w:rFonts w:hint="eastAsia" w:ascii="宋体" w:hAnsi="宋体" w:cs="宋体"/>
                <w:color w:val="auto"/>
                <w:sz w:val="21"/>
                <w:szCs w:val="21"/>
                <w:highlight w:val="none"/>
                <w:lang w:val="en-US" w:eastAsia="zh-CN"/>
              </w:rPr>
              <w:t>直至完全通过验收，如整改后仍无法达到合同约定要求的，应扣除对应未达验收标准部分后支付剩余合同款。</w:t>
            </w:r>
          </w:p>
          <w:p>
            <w:pPr>
              <w:pStyle w:val="34"/>
              <w:numPr>
                <w:ilvl w:val="0"/>
                <w:numId w:val="12"/>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招标人支付款项前，投标人应提供等额的合法真实有效的增值税发票。</w:t>
            </w:r>
          </w:p>
          <w:p>
            <w:pPr>
              <w:pStyle w:val="34"/>
              <w:numPr>
                <w:ilvl w:val="0"/>
                <w:numId w:val="12"/>
              </w:numPr>
              <w:snapToGrid w:val="0"/>
              <w:spacing w:line="360" w:lineRule="auto"/>
              <w:ind w:left="425" w:leftChars="0" w:hanging="425" w:firstLineChars="0"/>
              <w:jc w:val="left"/>
              <w:rPr>
                <w:rFonts w:ascii="宋体" w:eastAsia="宋体" w:cs="宋体"/>
                <w:color w:val="auto"/>
                <w:highlight w:val="none"/>
              </w:rPr>
            </w:pPr>
            <w:r>
              <w:rPr>
                <w:rFonts w:hint="eastAsia" w:ascii="宋体" w:hAnsi="宋体" w:eastAsia="宋体" w:cs="宋体"/>
                <w:color w:val="auto"/>
                <w:sz w:val="21"/>
                <w:szCs w:val="21"/>
                <w:highlight w:val="none"/>
                <w:lang w:val="en-US" w:eastAsia="zh-CN"/>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服务期限</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olor w:val="auto"/>
                <w:highlight w:val="none"/>
              </w:rPr>
            </w:pPr>
            <w:r>
              <w:rPr>
                <w:rFonts w:hint="eastAsia" w:ascii="宋体" w:eastAsia="宋体" w:cs="宋体"/>
                <w:color w:val="auto"/>
                <w:sz w:val="21"/>
                <w:szCs w:val="21"/>
                <w:highlight w:val="none"/>
                <w:lang w:val="en-US" w:eastAsia="zh-CN"/>
              </w:rPr>
              <w:t>合同签订之日起</w:t>
            </w:r>
            <w:r>
              <w:rPr>
                <w:rFonts w:hint="eastAsia" w:ascii="宋体" w:hAnsi="宋体" w:eastAsia="宋体" w:cs="宋体"/>
                <w:color w:val="auto"/>
                <w:sz w:val="21"/>
                <w:szCs w:val="21"/>
                <w:highlight w:val="none"/>
                <w:lang w:val="en-US" w:eastAsia="zh-CN"/>
              </w:rPr>
              <w:t>至2023年7月31日（</w:t>
            </w:r>
            <w:r>
              <w:rPr>
                <w:rFonts w:hint="eastAsia" w:ascii="宋体" w:hAnsi="宋体" w:eastAsia="宋体" w:cs="宋体"/>
                <w:color w:val="auto"/>
                <w:szCs w:val="21"/>
                <w:highlight w:val="none"/>
              </w:rPr>
              <w:t>如高交会开展时间有所调整，中标人需无条件根据高交会实际开展时间对以上所有时间节点进行调整。</w:t>
            </w:r>
            <w:r>
              <w:rPr>
                <w:rFonts w:hint="eastAsia" w:ascii="宋体" w:hAnsi="宋体" w:eastAsia="宋体" w:cs="宋体"/>
                <w:color w:val="auto"/>
                <w:sz w:val="21"/>
                <w:szCs w:val="21"/>
                <w:highlight w:val="none"/>
                <w:lang w:val="en-US"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eastAsia="宋体" w:cs="宋体"/>
                <w:color w:val="auto"/>
                <w:sz w:val="21"/>
                <w:szCs w:val="21"/>
                <w:highlight w:val="none"/>
              </w:rPr>
              <w:t>知识产权保护</w:t>
            </w:r>
          </w:p>
        </w:tc>
        <w:tc>
          <w:tcPr>
            <w:tcW w:w="7438" w:type="dxa"/>
            <w:tcBorders>
              <w:top w:val="single" w:color="auto" w:sz="4" w:space="0"/>
              <w:left w:val="single" w:color="auto" w:sz="4" w:space="0"/>
              <w:bottom w:val="single" w:color="auto" w:sz="4" w:space="0"/>
              <w:right w:val="single" w:color="auto" w:sz="4" w:space="0"/>
            </w:tcBorders>
            <w:vAlign w:val="center"/>
          </w:tcPr>
          <w:p>
            <w:pPr>
              <w:pStyle w:val="34"/>
              <w:numPr>
                <w:ilvl w:val="0"/>
                <w:numId w:val="13"/>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本项目成果所有权归</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eastAsia="zh-CN"/>
              </w:rPr>
              <w:t>。</w:t>
            </w:r>
          </w:p>
          <w:p>
            <w:pPr>
              <w:pStyle w:val="34"/>
              <w:numPr>
                <w:ilvl w:val="0"/>
                <w:numId w:val="13"/>
              </w:numPr>
              <w:snapToGrid w:val="0"/>
              <w:spacing w:line="360" w:lineRule="auto"/>
              <w:ind w:left="425" w:leftChars="0" w:hanging="425" w:firstLineChars="0"/>
              <w:jc w:val="left"/>
              <w:rPr>
                <w:rFonts w:ascii="宋体" w:hAnsi="宋体"/>
                <w:color w:val="auto"/>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必须对编写成果拥有著作版权，在整个项目的实施过程中，</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不得有模仿、抄袭等侵犯第三方知识产权的情节或行为。若因</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侵权带来的经济和法律责任，均由</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自行承担；若给</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造成损失的，</w:t>
            </w:r>
            <w:r>
              <w:rPr>
                <w:rFonts w:hint="eastAsia" w:ascii="宋体" w:hAnsi="宋体" w:cs="宋体"/>
                <w:color w:val="auto"/>
                <w:sz w:val="21"/>
                <w:szCs w:val="21"/>
                <w:highlight w:val="none"/>
                <w:lang w:val="en-US" w:eastAsia="zh-CN"/>
              </w:rPr>
              <w:t>投标人应承担相关损失，</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保留进一步追偿的权利</w:t>
            </w:r>
            <w:r>
              <w:rPr>
                <w:rFonts w:hint="eastAsia" w:ascii="宋体" w:hAnsi="宋体" w:eastAsia="宋体" w:cs="宋体"/>
                <w:color w:val="auto"/>
                <w:sz w:val="21"/>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rPr>
            </w:pPr>
            <w:r>
              <w:rPr>
                <w:rFonts w:hint="eastAsia" w:ascii="宋体" w:hAnsi="宋体" w:cs="宋体"/>
                <w:snapToGrid/>
                <w:color w:val="auto"/>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auto"/>
              <w:ind w:left="0" w:leftChars="0" w:firstLine="0" w:firstLineChars="0"/>
              <w:jc w:val="center"/>
              <w:rPr>
                <w:rFonts w:ascii="宋体" w:hAnsi="宋体" w:cs="宋体"/>
                <w:color w:val="auto"/>
                <w:szCs w:val="21"/>
              </w:rPr>
            </w:pPr>
            <w:r>
              <w:rPr>
                <w:rFonts w:hint="eastAsia" w:ascii="宋体" w:hAnsi="宋体" w:eastAsia="宋体" w:cs="宋体"/>
                <w:color w:val="auto"/>
                <w:sz w:val="21"/>
                <w:szCs w:val="21"/>
                <w:highlight w:val="none"/>
              </w:rPr>
              <w:t>保密承诺</w:t>
            </w:r>
          </w:p>
        </w:tc>
        <w:tc>
          <w:tcPr>
            <w:tcW w:w="7438" w:type="dxa"/>
            <w:tcBorders>
              <w:top w:val="single" w:color="auto" w:sz="4" w:space="0"/>
              <w:left w:val="single" w:color="auto" w:sz="4" w:space="0"/>
              <w:bottom w:val="single" w:color="auto" w:sz="4" w:space="0"/>
              <w:right w:val="single" w:color="auto" w:sz="4" w:space="0"/>
            </w:tcBorders>
            <w:vAlign w:val="center"/>
          </w:tcPr>
          <w:p>
            <w:pPr>
              <w:pStyle w:val="34"/>
              <w:numPr>
                <w:ilvl w:val="0"/>
                <w:numId w:val="14"/>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承诺绝不私自截留或外泄项目运行过程中产生或接触到的信息及数据等机密资料。</w:t>
            </w:r>
          </w:p>
          <w:p>
            <w:pPr>
              <w:pStyle w:val="34"/>
              <w:numPr>
                <w:ilvl w:val="0"/>
                <w:numId w:val="14"/>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必须保证在运行、管理等过程中严格遵守国家和地方相关（特别是信息安全方面）的法律法规，确保</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使用权以及公民个人信息不受侵犯。</w:t>
            </w:r>
          </w:p>
          <w:p>
            <w:pPr>
              <w:pStyle w:val="34"/>
              <w:numPr>
                <w:ilvl w:val="0"/>
                <w:numId w:val="14"/>
              </w:numPr>
              <w:snapToGrid w:val="0"/>
              <w:spacing w:line="360" w:lineRule="auto"/>
              <w:ind w:left="425" w:leftChars="0" w:hanging="425" w:firstLineChars="0"/>
              <w:jc w:val="left"/>
              <w:rPr>
                <w:rFonts w:ascii="宋体" w:hAnsi="宋体"/>
                <w:color w:val="auto"/>
              </w:rPr>
            </w:pPr>
            <w:r>
              <w:rPr>
                <w:rFonts w:hint="eastAsia" w:ascii="宋体" w:hAnsi="宋体" w:eastAsia="宋体" w:cs="宋体"/>
                <w:color w:val="auto"/>
                <w:sz w:val="21"/>
                <w:szCs w:val="21"/>
                <w:highlight w:val="none"/>
              </w:rPr>
              <w:t>如</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存在违规、侵权或泄密等行为的，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须赔偿因此</w:t>
            </w:r>
            <w:r>
              <w:rPr>
                <w:rFonts w:hint="eastAsia" w:ascii="宋体" w:hAnsi="宋体" w:cs="宋体"/>
                <w:color w:val="auto"/>
                <w:sz w:val="21"/>
                <w:szCs w:val="21"/>
                <w:highlight w:val="none"/>
                <w:lang w:val="en-US" w:eastAsia="zh-CN"/>
              </w:rPr>
              <w:t>造成的全部各方</w:t>
            </w:r>
            <w:r>
              <w:rPr>
                <w:rFonts w:hint="eastAsia" w:ascii="宋体" w:hAnsi="宋体" w:eastAsia="宋体" w:cs="宋体"/>
                <w:color w:val="auto"/>
                <w:sz w:val="21"/>
                <w:szCs w:val="21"/>
                <w:highlight w:val="none"/>
              </w:rPr>
              <w:t>经济损失，并承担相应的法律责任。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（二）技术</w:t>
            </w:r>
            <w:r>
              <w:rPr>
                <w:rFonts w:ascii="宋体" w:hAnsi="宋体" w:cs="宋体"/>
                <w:b/>
                <w:color w:val="auto"/>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auto"/>
              <w:ind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实施</w:t>
            </w:r>
          </w:p>
          <w:p>
            <w:pPr>
              <w:numPr>
                <w:ilvl w:val="0"/>
                <w:numId w:val="0"/>
              </w:numPr>
              <w:adjustRightInd w:val="0"/>
              <w:snapToGrid w:val="0"/>
              <w:spacing w:line="360" w:lineRule="auto"/>
              <w:ind w:left="0" w:leftChars="0" w:firstLine="0" w:firstLineChars="0"/>
              <w:jc w:val="center"/>
              <w:rPr>
                <w:rFonts w:ascii="宋体" w:hAnsi="宋体" w:cs="宋体"/>
                <w:color w:val="FF0000"/>
                <w:szCs w:val="21"/>
              </w:rPr>
            </w:pPr>
            <w:r>
              <w:rPr>
                <w:rFonts w:hint="eastAsia" w:ascii="宋体" w:hAnsi="宋体" w:eastAsia="宋体" w:cs="宋体"/>
                <w:color w:val="auto"/>
                <w:sz w:val="21"/>
                <w:szCs w:val="21"/>
                <w:highlight w:val="none"/>
              </w:rPr>
              <w:t>方案</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auto"/>
              <w:ind w:left="0" w:leftChars="0" w:firstLine="0" w:firstLineChars="0"/>
              <w:jc w:val="left"/>
              <w:rPr>
                <w:rFonts w:ascii="宋体" w:hAnsi="宋体"/>
                <w:color w:val="FF0000"/>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提交整体实施方案，包括但不限于</w:t>
            </w:r>
            <w:r>
              <w:rPr>
                <w:rFonts w:hint="eastAsia" w:ascii="宋体" w:hAnsi="宋体" w:cs="宋体"/>
                <w:color w:val="auto"/>
                <w:sz w:val="21"/>
                <w:szCs w:val="21"/>
                <w:highlight w:val="none"/>
                <w:lang w:val="en-US" w:eastAsia="zh-CN"/>
              </w:rPr>
              <w:t>内容策划与采编</w:t>
            </w:r>
            <w:r>
              <w:rPr>
                <w:rFonts w:hint="eastAsia" w:ascii="宋体" w:hAnsi="宋体" w:eastAsia="宋体" w:cs="宋体"/>
                <w:color w:val="auto"/>
                <w:sz w:val="21"/>
                <w:szCs w:val="21"/>
                <w:highlight w:val="none"/>
              </w:rPr>
              <w:t>、质量控制保障措施、沟通及响应机制、时间进度表等</w:t>
            </w:r>
            <w:r>
              <w:rPr>
                <w:rFonts w:hint="eastAsia" w:ascii="宋体" w:hAnsi="宋体" w:cs="宋体"/>
                <w:color w:val="auto"/>
                <w:sz w:val="21"/>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highlight w:val="none"/>
                <w:lang w:val="en-US" w:eastAsia="zh-CN"/>
              </w:rPr>
            </w:pPr>
            <w:r>
              <w:rPr>
                <w:rFonts w:hint="eastAsia"/>
                <w:color w:val="auto"/>
                <w:highlight w:val="none"/>
                <w:lang w:val="en-US" w:eastAsia="zh-CN"/>
              </w:rPr>
              <w:t>项目实施</w:t>
            </w:r>
          </w:p>
          <w:p>
            <w:pPr>
              <w:jc w:val="center"/>
              <w:rPr>
                <w:rFonts w:ascii="宋体" w:hAnsi="宋体" w:cs="宋体"/>
                <w:color w:val="auto"/>
                <w:szCs w:val="21"/>
                <w:highlight w:val="none"/>
              </w:rPr>
            </w:pPr>
            <w:r>
              <w:rPr>
                <w:rFonts w:hint="eastAsia"/>
                <w:color w:val="auto"/>
                <w:highlight w:val="none"/>
                <w:lang w:val="en-US" w:eastAsia="zh-CN"/>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4"/>
              <w:numPr>
                <w:ilvl w:val="0"/>
                <w:numId w:val="15"/>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高交会英文网站的内容编译、维护及推广</w:t>
            </w:r>
            <w:r>
              <w:rPr>
                <w:rFonts w:hint="eastAsia" w:ascii="宋体" w:hAnsi="宋体" w:eastAsia="宋体" w:cs="宋体"/>
                <w:color w:val="auto"/>
                <w:sz w:val="21"/>
                <w:szCs w:val="21"/>
                <w:highlight w:val="none"/>
              </w:rPr>
              <w:t>：</w:t>
            </w:r>
          </w:p>
          <w:p>
            <w:pPr>
              <w:pStyle w:val="34"/>
              <w:numPr>
                <w:ilvl w:val="0"/>
                <w:numId w:val="16"/>
              </w:numPr>
              <w:snapToGrid w:val="0"/>
              <w:spacing w:line="360" w:lineRule="auto"/>
              <w:ind w:left="425" w:leftChars="0" w:hanging="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全年编译量约为10万字（中文），内容由高交会中文网站提供；</w:t>
            </w:r>
          </w:p>
          <w:p>
            <w:pPr>
              <w:pStyle w:val="34"/>
              <w:numPr>
                <w:ilvl w:val="0"/>
                <w:numId w:val="16"/>
              </w:numPr>
              <w:snapToGrid w:val="0"/>
              <w:spacing w:line="360" w:lineRule="auto"/>
              <w:ind w:left="425" w:leftChars="0" w:hanging="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上传宣传视频不少于2个，上传图片40-50张（</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提供有版权或使用权的视频和图片）；</w:t>
            </w:r>
          </w:p>
          <w:p>
            <w:pPr>
              <w:pStyle w:val="34"/>
              <w:numPr>
                <w:ilvl w:val="0"/>
                <w:numId w:val="16"/>
              </w:numPr>
              <w:snapToGrid w:val="0"/>
              <w:spacing w:line="360" w:lineRule="auto"/>
              <w:ind w:left="425" w:leftChars="0" w:hanging="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根据高交会中文网站的内容对英文网站页面内容进行调整与更新，同时对</w:t>
            </w:r>
            <w:r>
              <w:rPr>
                <w:rFonts w:hint="eastAsia" w:ascii="宋体" w:hAnsi="宋体" w:cs="宋体"/>
                <w:color w:val="auto"/>
                <w:sz w:val="21"/>
                <w:szCs w:val="21"/>
                <w:highlight w:val="none"/>
                <w:lang w:val="en-US" w:eastAsia="zh-CN"/>
              </w:rPr>
              <w:t>资讯</w:t>
            </w:r>
            <w:r>
              <w:rPr>
                <w:rFonts w:hint="eastAsia" w:ascii="宋体" w:hAnsi="宋体" w:eastAsia="宋体" w:cs="宋体"/>
                <w:color w:val="auto"/>
                <w:sz w:val="21"/>
                <w:szCs w:val="21"/>
                <w:highlight w:val="none"/>
              </w:rPr>
              <w:t>板块进行内容更新；</w:t>
            </w:r>
          </w:p>
          <w:p>
            <w:pPr>
              <w:pStyle w:val="34"/>
              <w:numPr>
                <w:ilvl w:val="0"/>
                <w:numId w:val="16"/>
              </w:numPr>
              <w:snapToGrid w:val="0"/>
              <w:spacing w:line="360" w:lineRule="auto"/>
              <w:ind w:left="425" w:leftChars="0" w:hanging="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按照平均每篇</w:t>
            </w:r>
            <w:r>
              <w:rPr>
                <w:rFonts w:hint="eastAsia" w:ascii="宋体" w:hAnsi="宋体" w:cs="宋体"/>
                <w:color w:val="auto"/>
                <w:sz w:val="21"/>
                <w:szCs w:val="21"/>
                <w:highlight w:val="none"/>
                <w:lang w:val="en-US" w:eastAsia="zh-CN"/>
              </w:rPr>
              <w:t>资讯</w:t>
            </w:r>
            <w:r>
              <w:rPr>
                <w:rFonts w:hint="eastAsia" w:ascii="宋体" w:hAnsi="宋体" w:eastAsia="宋体" w:cs="宋体"/>
                <w:color w:val="auto"/>
                <w:sz w:val="21"/>
                <w:szCs w:val="21"/>
                <w:highlight w:val="none"/>
              </w:rPr>
              <w:t>1,000中文字的标准，编译篇数</w:t>
            </w:r>
            <w:r>
              <w:rPr>
                <w:rFonts w:hint="eastAsia" w:ascii="宋体" w:hAnsi="宋体" w:cs="宋体"/>
                <w:color w:val="auto"/>
                <w:sz w:val="21"/>
                <w:szCs w:val="21"/>
                <w:highlight w:val="none"/>
                <w:lang w:val="en-US" w:eastAsia="zh-CN"/>
              </w:rPr>
              <w:t>约</w:t>
            </w:r>
            <w:r>
              <w:rPr>
                <w:rFonts w:hint="eastAsia" w:ascii="宋体" w:hAnsi="宋体" w:eastAsia="宋体" w:cs="宋体"/>
                <w:color w:val="auto"/>
                <w:sz w:val="21"/>
                <w:szCs w:val="21"/>
                <w:highlight w:val="none"/>
              </w:rPr>
              <w:t>为90篇，10篇发布</w:t>
            </w:r>
            <w:r>
              <w:rPr>
                <w:rFonts w:hint="eastAsia" w:ascii="宋体" w:hAnsi="宋体" w:cs="宋体"/>
                <w:color w:val="auto"/>
                <w:sz w:val="21"/>
                <w:szCs w:val="21"/>
                <w:highlight w:val="none"/>
                <w:lang w:val="en-US" w:eastAsia="zh-CN"/>
              </w:rPr>
              <w:t>高交会英文网站</w:t>
            </w:r>
            <w:r>
              <w:rPr>
                <w:rFonts w:hint="eastAsia" w:ascii="宋体" w:hAnsi="宋体" w:eastAsia="宋体" w:cs="宋体"/>
                <w:color w:val="auto"/>
                <w:sz w:val="21"/>
                <w:szCs w:val="21"/>
                <w:highlight w:val="none"/>
              </w:rPr>
              <w:t>非</w:t>
            </w:r>
            <w:r>
              <w:rPr>
                <w:rFonts w:hint="eastAsia" w:ascii="宋体" w:hAnsi="宋体" w:cs="宋体"/>
                <w:color w:val="auto"/>
                <w:sz w:val="21"/>
                <w:szCs w:val="21"/>
                <w:highlight w:val="none"/>
                <w:lang w:val="en-US" w:eastAsia="zh-CN"/>
              </w:rPr>
              <w:t>资讯</w:t>
            </w:r>
            <w:r>
              <w:rPr>
                <w:rFonts w:hint="eastAsia" w:ascii="宋体" w:hAnsi="宋体" w:eastAsia="宋体" w:cs="宋体"/>
                <w:color w:val="auto"/>
                <w:sz w:val="21"/>
                <w:szCs w:val="21"/>
                <w:highlight w:val="none"/>
              </w:rPr>
              <w:t>栏目</w:t>
            </w:r>
            <w:r>
              <w:rPr>
                <w:rFonts w:hint="eastAsia" w:ascii="宋体" w:hAnsi="宋体" w:cs="宋体"/>
                <w:color w:val="auto"/>
                <w:sz w:val="21"/>
                <w:szCs w:val="21"/>
                <w:highlight w:val="none"/>
                <w:lang w:eastAsia="zh-CN"/>
              </w:rPr>
              <w:t>。</w:t>
            </w:r>
          </w:p>
          <w:p>
            <w:pPr>
              <w:pStyle w:val="34"/>
              <w:numPr>
                <w:ilvl w:val="0"/>
                <w:numId w:val="17"/>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英文微信公众号运维</w:t>
            </w:r>
            <w:r>
              <w:rPr>
                <w:rFonts w:hint="eastAsia" w:ascii="宋体" w:hAnsi="宋体" w:eastAsia="宋体" w:cs="宋体"/>
                <w:color w:val="auto"/>
                <w:sz w:val="21"/>
                <w:szCs w:val="21"/>
                <w:highlight w:val="none"/>
                <w:lang w:eastAsia="zh-CN"/>
              </w:rPr>
              <w:t>：</w:t>
            </w:r>
          </w:p>
          <w:p>
            <w:pPr>
              <w:pStyle w:val="34"/>
              <w:numPr>
                <w:ilvl w:val="0"/>
                <w:numId w:val="0"/>
              </w:numPr>
              <w:snapToGrid w:val="0"/>
              <w:spacing w:line="360" w:lineRule="auto"/>
              <w:ind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高交会英文微信公众号内容来源以英文网站内容为主，不定期更新。更新频率大致为上半年每两周更新一次，下半年每周更新一次，高交会期间每周两次，每次更新稿件数量为两篇左右，更新篇</w:t>
            </w:r>
            <w:r>
              <w:rPr>
                <w:rFonts w:hint="eastAsia" w:ascii="宋体" w:hAnsi="宋体" w:cs="宋体"/>
                <w:color w:val="auto"/>
                <w:sz w:val="21"/>
                <w:szCs w:val="21"/>
                <w:highlight w:val="none"/>
                <w:lang w:val="en-US" w:eastAsia="zh-CN"/>
              </w:rPr>
              <w:t>数</w:t>
            </w:r>
            <w:r>
              <w:rPr>
                <w:rFonts w:hint="eastAsia" w:ascii="宋体" w:hAnsi="宋体" w:eastAsia="宋体" w:cs="宋体"/>
                <w:color w:val="auto"/>
                <w:sz w:val="21"/>
                <w:szCs w:val="21"/>
                <w:highlight w:val="none"/>
              </w:rPr>
              <w:t>合计</w:t>
            </w:r>
            <w:r>
              <w:rPr>
                <w:rFonts w:hint="eastAsia" w:ascii="宋体" w:hAnsi="宋体" w:cs="宋体"/>
                <w:color w:val="auto"/>
                <w:sz w:val="21"/>
                <w:szCs w:val="21"/>
                <w:highlight w:val="none"/>
                <w:lang w:val="en-US" w:eastAsia="zh-CN"/>
              </w:rPr>
              <w:t>约</w:t>
            </w:r>
            <w:r>
              <w:rPr>
                <w:rFonts w:hint="eastAsia" w:ascii="宋体" w:hAnsi="宋体" w:eastAsia="宋体" w:cs="宋体"/>
                <w:color w:val="auto"/>
                <w:sz w:val="21"/>
                <w:szCs w:val="21"/>
                <w:highlight w:val="none"/>
              </w:rPr>
              <w:t>80篇</w:t>
            </w:r>
            <w:r>
              <w:rPr>
                <w:rFonts w:hint="eastAsia" w:ascii="宋体" w:hAnsi="宋体" w:cs="宋体"/>
                <w:color w:val="auto"/>
                <w:sz w:val="21"/>
                <w:szCs w:val="21"/>
                <w:highlight w:val="none"/>
                <w:lang w:eastAsia="zh-CN"/>
              </w:rPr>
              <w:t>。</w:t>
            </w:r>
          </w:p>
          <w:p>
            <w:pPr>
              <w:pStyle w:val="34"/>
              <w:numPr>
                <w:ilvl w:val="0"/>
                <w:numId w:val="17"/>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高交会</w:t>
            </w:r>
            <w:r>
              <w:rPr>
                <w:rFonts w:hint="eastAsia" w:ascii="宋体" w:hAnsi="宋体" w:cs="宋体"/>
                <w:b/>
                <w:bCs/>
                <w:color w:val="auto"/>
                <w:sz w:val="21"/>
                <w:szCs w:val="21"/>
                <w:highlight w:val="none"/>
                <w:lang w:val="en-US" w:eastAsia="zh-CN"/>
              </w:rPr>
              <w:t>专题宣传、广告定向投放（推广内容由招标人提供）</w:t>
            </w:r>
            <w:r>
              <w:rPr>
                <w:rFonts w:hint="eastAsia" w:ascii="宋体" w:hAnsi="宋体" w:eastAsia="宋体" w:cs="宋体"/>
                <w:color w:val="auto"/>
                <w:sz w:val="21"/>
                <w:szCs w:val="21"/>
                <w:highlight w:val="none"/>
              </w:rPr>
              <w:t>：</w:t>
            </w:r>
          </w:p>
          <w:p>
            <w:pPr>
              <w:pStyle w:val="34"/>
              <w:numPr>
                <w:ilvl w:val="0"/>
                <w:numId w:val="18"/>
              </w:numPr>
              <w:snapToGrid w:val="0"/>
              <w:spacing w:line="360" w:lineRule="auto"/>
              <w:ind w:left="425" w:leftChars="0" w:hanging="5"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中国日报中国版1/4版面彩色硬广投放，广告规格：15.2cm*25cm；</w:t>
            </w:r>
          </w:p>
          <w:p>
            <w:pPr>
              <w:pStyle w:val="34"/>
              <w:numPr>
                <w:ilvl w:val="0"/>
                <w:numId w:val="18"/>
              </w:numPr>
              <w:snapToGrid w:val="0"/>
              <w:spacing w:line="360" w:lineRule="auto"/>
              <w:ind w:left="425" w:leftChars="0" w:hanging="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中国日报国际版1/2</w:t>
            </w:r>
            <w:r>
              <w:rPr>
                <w:rFonts w:hint="eastAsia" w:ascii="宋体" w:hAnsi="宋体" w:eastAsia="宋体" w:cs="宋体"/>
                <w:bCs/>
                <w:color w:val="auto"/>
                <w:kern w:val="0"/>
                <w:sz w:val="21"/>
                <w:szCs w:val="21"/>
                <w:highlight w:val="none"/>
              </w:rPr>
              <w:t>版</w:t>
            </w:r>
            <w:r>
              <w:rPr>
                <w:rFonts w:hint="eastAsia" w:ascii="宋体" w:hAnsi="宋体" w:eastAsia="宋体" w:cs="宋体"/>
                <w:bCs/>
                <w:color w:val="auto"/>
                <w:kern w:val="0"/>
                <w:sz w:val="21"/>
                <w:szCs w:val="21"/>
                <w:highlight w:val="none"/>
                <w:lang w:val="en-US" w:eastAsia="zh-CN"/>
              </w:rPr>
              <w:t>面</w:t>
            </w:r>
            <w:r>
              <w:rPr>
                <w:rFonts w:hint="eastAsia" w:ascii="宋体" w:hAnsi="宋体" w:eastAsia="宋体" w:cs="宋体"/>
                <w:bCs/>
                <w:color w:val="auto"/>
                <w:kern w:val="0"/>
                <w:sz w:val="21"/>
                <w:szCs w:val="21"/>
                <w:highlight w:val="none"/>
              </w:rPr>
              <w:t>彩色特刊</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硬广投放，广告规格：含</w:t>
            </w:r>
            <w:r>
              <w:rPr>
                <w:rFonts w:hint="eastAsia" w:ascii="宋体" w:hAnsi="宋体" w:eastAsia="宋体" w:cs="宋体"/>
                <w:bCs/>
                <w:color w:val="auto"/>
                <w:kern w:val="0"/>
                <w:sz w:val="21"/>
                <w:szCs w:val="21"/>
                <w:highlight w:val="none"/>
              </w:rPr>
              <w:t>15.2cm*25cm文字特刊</w:t>
            </w:r>
            <w:r>
              <w:rPr>
                <w:rFonts w:hint="eastAsia" w:ascii="宋体" w:hAnsi="宋体" w:eastAsia="宋体" w:cs="宋体"/>
                <w:bCs/>
                <w:color w:val="auto"/>
                <w:kern w:val="0"/>
                <w:sz w:val="21"/>
                <w:szCs w:val="21"/>
                <w:highlight w:val="none"/>
                <w:lang w:val="en-US" w:eastAsia="zh-CN"/>
              </w:rPr>
              <w:t>和</w:t>
            </w:r>
            <w:r>
              <w:rPr>
                <w:rFonts w:hint="eastAsia" w:ascii="宋体" w:hAnsi="宋体" w:eastAsia="宋体" w:cs="宋体"/>
                <w:bCs/>
                <w:color w:val="auto"/>
                <w:kern w:val="0"/>
                <w:sz w:val="21"/>
                <w:szCs w:val="21"/>
                <w:highlight w:val="none"/>
              </w:rPr>
              <w:t>15.2</w:t>
            </w:r>
            <w:r>
              <w:rPr>
                <w:rFonts w:hint="eastAsia" w:ascii="宋体" w:hAnsi="宋体" w:cs="宋体"/>
                <w:bCs/>
                <w:color w:val="auto"/>
                <w:kern w:val="0"/>
                <w:sz w:val="21"/>
                <w:szCs w:val="21"/>
                <w:highlight w:val="none"/>
                <w:lang w:val="en-US" w:eastAsia="zh-CN"/>
              </w:rPr>
              <w:t>cm</w:t>
            </w:r>
            <w:r>
              <w:rPr>
                <w:rFonts w:hint="eastAsia" w:ascii="宋体" w:hAnsi="宋体" w:eastAsia="宋体" w:cs="宋体"/>
                <w:bCs/>
                <w:color w:val="auto"/>
                <w:kern w:val="0"/>
                <w:sz w:val="21"/>
                <w:szCs w:val="21"/>
                <w:highlight w:val="none"/>
              </w:rPr>
              <w:t>*25cm</w:t>
            </w:r>
            <w:r>
              <w:rPr>
                <w:rFonts w:hint="eastAsia" w:ascii="宋体" w:hAnsi="宋体" w:eastAsia="宋体" w:cs="宋体"/>
                <w:bCs/>
                <w:color w:val="auto"/>
                <w:kern w:val="0"/>
                <w:sz w:val="21"/>
                <w:szCs w:val="21"/>
                <w:highlight w:val="none"/>
                <w:lang w:val="en-US" w:eastAsia="zh-CN"/>
              </w:rPr>
              <w:t>彩色</w:t>
            </w:r>
            <w:r>
              <w:rPr>
                <w:rFonts w:hint="eastAsia" w:ascii="宋体" w:hAnsi="宋体" w:eastAsia="宋体" w:cs="宋体"/>
                <w:bCs/>
                <w:color w:val="auto"/>
                <w:kern w:val="0"/>
                <w:sz w:val="21"/>
                <w:szCs w:val="21"/>
                <w:highlight w:val="none"/>
              </w:rPr>
              <w:t>硬广</w:t>
            </w:r>
            <w:r>
              <w:rPr>
                <w:rFonts w:hint="eastAsia" w:ascii="宋体" w:hAnsi="宋体" w:cs="宋体"/>
                <w:bCs/>
                <w:color w:val="auto"/>
                <w:kern w:val="0"/>
                <w:sz w:val="21"/>
                <w:szCs w:val="21"/>
                <w:highlight w:val="none"/>
                <w:lang w:eastAsia="zh-CN"/>
              </w:rPr>
              <w:t>；</w:t>
            </w:r>
          </w:p>
          <w:p>
            <w:pPr>
              <w:pStyle w:val="34"/>
              <w:numPr>
                <w:ilvl w:val="0"/>
                <w:numId w:val="18"/>
              </w:numPr>
              <w:snapToGrid w:val="0"/>
              <w:spacing w:line="360" w:lineRule="auto"/>
              <w:ind w:left="425" w:leftChars="0" w:hanging="5"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val="en-US" w:eastAsia="zh-CN"/>
              </w:rPr>
              <w:t>中国日报英文网（</w:t>
            </w:r>
            <w:r>
              <w:rPr>
                <w:rFonts w:hint="eastAsia" w:ascii="宋体" w:hAnsi="宋体" w:eastAsia="宋体" w:cs="宋体"/>
                <w:bCs/>
                <w:color w:val="auto"/>
                <w:kern w:val="0"/>
                <w:sz w:val="21"/>
                <w:szCs w:val="21"/>
                <w:highlight w:val="none"/>
              </w:rPr>
              <w:t>www.chinadaily.com.cn）</w:t>
            </w:r>
            <w:r>
              <w:rPr>
                <w:rFonts w:hint="eastAsia" w:ascii="宋体" w:hAnsi="宋体" w:eastAsia="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发布当届高交会英文网络特刊一个，高交会期间每个工作日至少转发高交会推广信息一条，图片总量不少于10张，且在中国日报英文网站首页推广7天</w:t>
            </w:r>
            <w:r>
              <w:rPr>
                <w:rFonts w:hint="eastAsia" w:ascii="宋体" w:hAnsi="宋体" w:cs="宋体"/>
                <w:bCs/>
                <w:color w:val="auto"/>
                <w:kern w:val="0"/>
                <w:sz w:val="21"/>
                <w:szCs w:val="21"/>
                <w:highlight w:val="none"/>
                <w:lang w:eastAsia="zh-CN"/>
              </w:rPr>
              <w:t>；</w:t>
            </w:r>
          </w:p>
          <w:p>
            <w:pPr>
              <w:pStyle w:val="34"/>
              <w:numPr>
                <w:ilvl w:val="0"/>
                <w:numId w:val="18"/>
              </w:numPr>
              <w:snapToGrid w:val="0"/>
              <w:spacing w:line="360" w:lineRule="auto"/>
              <w:ind w:left="425" w:leftChars="0" w:hanging="5" w:firstLineChars="0"/>
              <w:jc w:val="left"/>
              <w:rPr>
                <w:color w:val="auto"/>
                <w:highlight w:val="none"/>
              </w:rPr>
            </w:pPr>
            <w:r>
              <w:rPr>
                <w:rFonts w:hint="eastAsia" w:ascii="宋体" w:hAnsi="宋体" w:eastAsia="宋体" w:cs="宋体"/>
                <w:bCs/>
                <w:color w:val="auto"/>
                <w:kern w:val="0"/>
                <w:sz w:val="21"/>
                <w:szCs w:val="21"/>
                <w:highlight w:val="none"/>
                <w:lang w:val="en-US" w:eastAsia="zh-CN"/>
              </w:rPr>
              <w:t>中国日报官方Facebook账号发文推广，内容为</w:t>
            </w:r>
            <w:r>
              <w:rPr>
                <w:rFonts w:hint="eastAsia" w:ascii="宋体" w:hAnsi="宋体" w:eastAsia="宋体" w:cs="宋体"/>
                <w:bCs/>
                <w:color w:val="auto"/>
                <w:kern w:val="0"/>
                <w:sz w:val="21"/>
                <w:szCs w:val="21"/>
                <w:highlight w:val="none"/>
              </w:rPr>
              <w:t>高交会宣传视频（</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提供有版权或使用权的视频和图片</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和</w:t>
            </w:r>
            <w:r>
              <w:rPr>
                <w:rFonts w:hint="eastAsia" w:ascii="宋体" w:hAnsi="宋体" w:eastAsia="宋体" w:cs="宋体"/>
                <w:bCs/>
                <w:color w:val="auto"/>
                <w:kern w:val="0"/>
                <w:sz w:val="21"/>
                <w:szCs w:val="21"/>
                <w:highlight w:val="none"/>
              </w:rPr>
              <w:t>文字内容推广</w:t>
            </w:r>
            <w:r>
              <w:rPr>
                <w:rFonts w:hint="eastAsia" w:ascii="宋体" w:hAnsi="宋体" w:cs="宋体"/>
                <w:bCs/>
                <w:color w:val="auto"/>
                <w:kern w:val="0"/>
                <w:sz w:val="21"/>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color w:val="auto"/>
                <w:spacing w:val="0"/>
                <w:kern w:val="2"/>
                <w:sz w:val="21"/>
                <w:szCs w:val="21"/>
                <w:highlight w:val="none"/>
                <w:lang w:eastAsia="zh-CN"/>
              </w:rPr>
            </w:pPr>
            <w:r>
              <w:rPr>
                <w:rFonts w:hint="eastAsia" w:ascii="宋体" w:hAnsi="宋体" w:cs="宋体"/>
                <w:snapToGrid/>
                <w:color w:val="auto"/>
                <w:spacing w:val="0"/>
                <w:kern w:val="2"/>
                <w:sz w:val="21"/>
                <w:szCs w:val="21"/>
                <w:highlight w:val="none"/>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lang w:val="en-US" w:eastAsia="zh-CN"/>
              </w:rPr>
              <w:t>成果交付</w:t>
            </w:r>
          </w:p>
        </w:tc>
        <w:tc>
          <w:tcPr>
            <w:tcW w:w="7438" w:type="dxa"/>
            <w:tcBorders>
              <w:top w:val="single" w:color="auto" w:sz="4" w:space="0"/>
              <w:left w:val="single" w:color="auto" w:sz="4" w:space="0"/>
              <w:bottom w:val="single" w:color="auto" w:sz="4" w:space="0"/>
              <w:right w:val="single" w:color="auto" w:sz="4" w:space="0"/>
            </w:tcBorders>
            <w:vAlign w:val="center"/>
          </w:tcPr>
          <w:p>
            <w:pPr>
              <w:pStyle w:val="34"/>
              <w:numPr>
                <w:ilvl w:val="0"/>
                <w:numId w:val="19"/>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高交会英文网站、英文微信公众号的内容编译、维护及推广：中标人须每3个月</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阶段性运维报告，反馈运维效果，内容</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更新量、编译量、推广等运维情况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中标人在服务期满须提交高交会英文网站及英文微信公众号年度服务总结报告，内容</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编译发布稿件数量、图片</w:t>
            </w:r>
            <w:r>
              <w:rPr>
                <w:rFonts w:hint="eastAsia" w:ascii="宋体" w:hAnsi="宋体" w:eastAsia="宋体" w:cs="宋体"/>
                <w:color w:val="auto"/>
                <w:sz w:val="21"/>
                <w:szCs w:val="21"/>
                <w:highlight w:val="none"/>
                <w:lang w:val="en-US" w:eastAsia="zh-CN"/>
              </w:rPr>
              <w:t>视频制作及上传数量、</w:t>
            </w:r>
            <w:r>
              <w:rPr>
                <w:rFonts w:hint="eastAsia" w:ascii="宋体" w:hAnsi="宋体" w:eastAsia="宋体" w:cs="宋体"/>
                <w:color w:val="auto"/>
                <w:sz w:val="21"/>
                <w:szCs w:val="21"/>
                <w:highlight w:val="none"/>
              </w:rPr>
              <w:t>专题情况、传播成效情况等</w:t>
            </w:r>
            <w:r>
              <w:rPr>
                <w:rFonts w:hint="eastAsia" w:ascii="宋体" w:hAnsi="宋体" w:eastAsia="宋体" w:cs="宋体"/>
                <w:color w:val="auto"/>
                <w:sz w:val="21"/>
                <w:szCs w:val="21"/>
                <w:highlight w:val="none"/>
                <w:lang w:eastAsia="zh-CN"/>
              </w:rPr>
              <w:t>。</w:t>
            </w:r>
          </w:p>
          <w:p>
            <w:pPr>
              <w:pStyle w:val="34"/>
              <w:numPr>
                <w:ilvl w:val="0"/>
                <w:numId w:val="19"/>
              </w:numPr>
              <w:snapToGrid w:val="0"/>
              <w:spacing w:line="360" w:lineRule="auto"/>
              <w:ind w:left="425" w:leftChars="0" w:hanging="425" w:firstLineChars="0"/>
              <w:jc w:val="left"/>
              <w:rPr>
                <w:rFonts w:ascii="宋体" w:hAnsi="宋体"/>
                <w:color w:val="auto"/>
                <w:highlight w:val="none"/>
              </w:rPr>
            </w:pPr>
            <w:r>
              <w:rPr>
                <w:rFonts w:hint="eastAsia" w:ascii="宋体" w:hAnsi="宋体" w:eastAsia="宋体" w:cs="宋体"/>
                <w:color w:val="auto"/>
                <w:sz w:val="21"/>
                <w:szCs w:val="21"/>
                <w:highlight w:val="none"/>
              </w:rPr>
              <w:t>高交会</w:t>
            </w:r>
            <w:r>
              <w:rPr>
                <w:rFonts w:hint="eastAsia" w:ascii="宋体" w:hAnsi="宋体" w:eastAsia="宋体" w:cs="宋体"/>
                <w:color w:val="auto"/>
                <w:sz w:val="21"/>
                <w:szCs w:val="21"/>
                <w:highlight w:val="none"/>
                <w:lang w:val="en-US" w:eastAsia="zh-CN"/>
              </w:rPr>
              <w:t>专题宣传、广告定向投放：第二十四届高交会结束后15个工作日内，需提供完整的发布报告，报告包括但不仅限于宣传效果总结、数据、关键内容等，</w:t>
            </w:r>
            <w:r>
              <w:rPr>
                <w:rFonts w:hint="eastAsia" w:ascii="宋体" w:hAnsi="宋体" w:eastAsia="宋体" w:cs="宋体"/>
                <w:color w:val="auto"/>
                <w:sz w:val="21"/>
                <w:szCs w:val="21"/>
                <w:highlight w:val="none"/>
              </w:rPr>
              <w:t>如有特别显著的效果也须在报告中体现</w:t>
            </w:r>
            <w:r>
              <w:rPr>
                <w:rFonts w:hint="eastAsia" w:ascii="宋体" w:hAnsi="宋体" w:eastAsia="宋体" w:cs="宋体"/>
                <w:color w:val="auto"/>
                <w:sz w:val="21"/>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eastAsia="宋体" w:cs="宋体"/>
                <w:color w:val="auto"/>
                <w:sz w:val="21"/>
                <w:szCs w:val="21"/>
                <w:highlight w:val="none"/>
              </w:rPr>
              <w:t>项目负责人及</w:t>
            </w:r>
            <w:r>
              <w:rPr>
                <w:rFonts w:hint="eastAsia" w:ascii="宋体" w:hAnsi="宋体" w:cs="宋体"/>
                <w:color w:val="auto"/>
                <w:sz w:val="21"/>
                <w:szCs w:val="21"/>
                <w:highlight w:val="none"/>
                <w:lang w:val="en-US" w:eastAsia="zh-CN"/>
              </w:rPr>
              <w:t>团队</w:t>
            </w:r>
            <w:r>
              <w:rPr>
                <w:rFonts w:hint="eastAsia" w:ascii="宋体" w:hAnsi="宋体" w:eastAsia="宋体" w:cs="宋体"/>
                <w:color w:val="auto"/>
                <w:sz w:val="21"/>
                <w:szCs w:val="21"/>
                <w:highlight w:val="none"/>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4"/>
              <w:numPr>
                <w:ilvl w:val="0"/>
                <w:numId w:val="20"/>
              </w:numPr>
              <w:snapToGrid w:val="0"/>
              <w:spacing w:line="360" w:lineRule="auto"/>
              <w:ind w:left="425" w:leftChars="0" w:hanging="425"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项目团队成员人数不得少于5人（含项目负责人）</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负责人应具备英文网站及英文社交账号运维管理</w:t>
            </w:r>
            <w:r>
              <w:rPr>
                <w:rFonts w:hint="eastAsia" w:ascii="宋体" w:hAnsi="宋体" w:cs="宋体"/>
                <w:color w:val="auto"/>
                <w:sz w:val="21"/>
                <w:szCs w:val="21"/>
                <w:highlight w:val="none"/>
                <w:lang w:val="en-US" w:eastAsia="zh-CN"/>
              </w:rPr>
              <w:t>经验。</w:t>
            </w:r>
          </w:p>
          <w:p>
            <w:pPr>
              <w:pStyle w:val="34"/>
              <w:numPr>
                <w:ilvl w:val="0"/>
                <w:numId w:val="20"/>
              </w:numPr>
              <w:snapToGrid w:val="0"/>
              <w:spacing w:line="360" w:lineRule="auto"/>
              <w:ind w:left="425" w:leftChars="0" w:hanging="425" w:firstLine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须提交</w:t>
            </w:r>
            <w:r>
              <w:rPr>
                <w:rFonts w:hint="eastAsia" w:ascii="宋体" w:hAnsi="宋体" w:eastAsia="宋体" w:cs="宋体"/>
                <w:color w:val="auto"/>
                <w:sz w:val="21"/>
                <w:szCs w:val="21"/>
                <w:highlight w:val="none"/>
                <w:lang w:val="en-US" w:eastAsia="zh-CN"/>
              </w:rPr>
              <w:t>项目团队成员</w:t>
            </w:r>
            <w:r>
              <w:rPr>
                <w:rFonts w:hint="eastAsia" w:ascii="宋体" w:hAnsi="宋体" w:cs="宋体"/>
                <w:color w:val="auto"/>
                <w:sz w:val="21"/>
                <w:szCs w:val="21"/>
                <w:highlight w:val="none"/>
                <w:lang w:val="en-US" w:eastAsia="zh-CN"/>
              </w:rPr>
              <w:t>简历，包括姓名、职务、学历、同类项目工作经验等。</w:t>
            </w:r>
          </w:p>
          <w:p>
            <w:pPr>
              <w:pStyle w:val="34"/>
              <w:numPr>
                <w:ilvl w:val="0"/>
                <w:numId w:val="20"/>
              </w:numPr>
              <w:snapToGrid w:val="0"/>
              <w:spacing w:line="360" w:lineRule="auto"/>
              <w:ind w:left="425" w:leftChars="0" w:hanging="425" w:firstLineChars="0"/>
              <w:jc w:val="left"/>
              <w:rPr>
                <w:rFonts w:ascii="宋体" w:hAnsi="宋体"/>
                <w:color w:val="auto"/>
                <w:highlight w:val="none"/>
              </w:rPr>
            </w:pPr>
            <w:r>
              <w:rPr>
                <w:rFonts w:hint="eastAsia" w:ascii="宋体" w:hAnsi="宋体" w:cs="宋体"/>
                <w:color w:val="auto"/>
                <w:sz w:val="21"/>
                <w:szCs w:val="21"/>
                <w:highlight w:val="none"/>
                <w:lang w:val="en-US" w:eastAsia="zh-CN"/>
              </w:rPr>
              <w:t>须提交项目团队成员近三个月</w:t>
            </w:r>
            <w:r>
              <w:rPr>
                <w:rFonts w:hint="eastAsia" w:ascii="宋体" w:hAnsi="宋体" w:eastAsia="宋体" w:cs="宋体"/>
                <w:color w:val="auto"/>
                <w:sz w:val="21"/>
                <w:szCs w:val="21"/>
                <w:highlight w:val="none"/>
                <w:lang w:val="en-US" w:eastAsia="zh-CN"/>
              </w:rPr>
              <w:t>由投标人所购买的社保清单证明（如在招标公告日上一个月的社保材料因社保部门原因暂时无法取得，则可以往前顺推一个月）</w:t>
            </w:r>
            <w:r>
              <w:rPr>
                <w:rFonts w:hint="eastAsia" w:ascii="宋体" w:hAnsi="宋体" w:cs="宋体"/>
                <w:color w:val="auto"/>
                <w:sz w:val="21"/>
                <w:szCs w:val="21"/>
                <w:highlight w:val="none"/>
                <w:lang w:val="en-US"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eastAsia="宋体" w:cs="宋体"/>
                <w:color w:val="auto"/>
                <w:sz w:val="21"/>
                <w:szCs w:val="21"/>
                <w:highlight w:val="none"/>
              </w:rPr>
              <w:t>项目服务承诺</w:t>
            </w:r>
          </w:p>
        </w:tc>
        <w:tc>
          <w:tcPr>
            <w:tcW w:w="7438" w:type="dxa"/>
            <w:tcBorders>
              <w:top w:val="single" w:color="auto" w:sz="4" w:space="0"/>
              <w:left w:val="single" w:color="auto" w:sz="4" w:space="0"/>
              <w:bottom w:val="single" w:color="auto" w:sz="4" w:space="0"/>
              <w:right w:val="single" w:color="auto" w:sz="4" w:space="0"/>
            </w:tcBorders>
            <w:vAlign w:val="center"/>
          </w:tcPr>
          <w:p>
            <w:pPr>
              <w:pStyle w:val="34"/>
              <w:numPr>
                <w:ilvl w:val="0"/>
                <w:numId w:val="21"/>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合同约定期间内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保证</w:t>
            </w:r>
            <w:r>
              <w:rPr>
                <w:rFonts w:hint="eastAsia" w:ascii="宋体" w:hAnsi="宋体" w:eastAsia="宋体" w:cs="宋体"/>
                <w:color w:val="auto"/>
                <w:sz w:val="21"/>
                <w:szCs w:val="21"/>
                <w:highlight w:val="none"/>
                <w:lang w:val="en-US" w:eastAsia="zh-CN"/>
              </w:rPr>
              <w:t>在各级</w:t>
            </w:r>
            <w:r>
              <w:rPr>
                <w:rFonts w:hint="eastAsia" w:ascii="宋体" w:hAnsi="宋体" w:eastAsia="宋体" w:cs="宋体"/>
                <w:color w:val="auto"/>
                <w:sz w:val="21"/>
                <w:szCs w:val="21"/>
                <w:highlight w:val="none"/>
              </w:rPr>
              <w:t>媒体账户上发布</w:t>
            </w:r>
            <w:r>
              <w:rPr>
                <w:rFonts w:hint="eastAsia" w:ascii="宋体" w:hAnsi="宋体" w:eastAsia="宋体" w:cs="宋体"/>
                <w:color w:val="auto"/>
                <w:sz w:val="21"/>
                <w:szCs w:val="21"/>
                <w:highlight w:val="none"/>
                <w:lang w:val="en-US" w:eastAsia="zh-CN"/>
              </w:rPr>
              <w:t>的与</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相关的</w:t>
            </w:r>
            <w:r>
              <w:rPr>
                <w:rFonts w:hint="eastAsia" w:ascii="宋体" w:hAnsi="宋体" w:eastAsia="宋体" w:cs="宋体"/>
                <w:color w:val="auto"/>
                <w:sz w:val="21"/>
                <w:szCs w:val="21"/>
                <w:highlight w:val="none"/>
              </w:rPr>
              <w:t>内容符合国家外宣政策</w:t>
            </w:r>
            <w:r>
              <w:rPr>
                <w:rFonts w:hint="eastAsia" w:ascii="宋体" w:hAnsi="宋体" w:cs="宋体"/>
                <w:color w:val="auto"/>
                <w:sz w:val="21"/>
                <w:szCs w:val="21"/>
                <w:highlight w:val="none"/>
                <w:lang w:eastAsia="zh-CN"/>
              </w:rPr>
              <w:t>。</w:t>
            </w:r>
          </w:p>
          <w:p>
            <w:pPr>
              <w:pStyle w:val="34"/>
              <w:numPr>
                <w:ilvl w:val="0"/>
                <w:numId w:val="21"/>
              </w:numPr>
              <w:snapToGrid w:val="0"/>
              <w:spacing w:line="360" w:lineRule="auto"/>
              <w:ind w:left="425" w:leftChars="0" w:hanging="425" w:firstLineChars="0"/>
              <w:jc w:val="left"/>
              <w:rPr>
                <w:rFonts w:ascii="宋体" w:hAnsi="宋体"/>
                <w:color w:val="auto"/>
                <w:highlight w:val="none"/>
              </w:rPr>
            </w:pP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严格遵照国家有关广告、互联网媒体、新媒体投放要求和规定，对</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反映需要调整的问题须在4小时之内做出反应。</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lang w:val="en-US" w:eastAsia="zh-CN"/>
              </w:rPr>
              <w:t>不可偏离</w:t>
            </w:r>
          </w:p>
        </w:tc>
      </w:tr>
    </w:tbl>
    <w:p>
      <w:pPr>
        <w:numPr>
          <w:ilvl w:val="0"/>
          <w:numId w:val="1"/>
        </w:numPr>
        <w:jc w:val="left"/>
        <w:outlineLvl w:val="1"/>
        <w:rPr>
          <w:rFonts w:ascii="宋体" w:hAnsi="宋体"/>
          <w:b/>
          <w:color w:val="auto"/>
          <w:szCs w:val="21"/>
          <w:highlight w:val="none"/>
        </w:rPr>
      </w:pPr>
      <w:bookmarkStart w:id="37" w:name="_Toc82684600"/>
      <w:bookmarkEnd w:id="37"/>
      <w:bookmarkStart w:id="38" w:name="_Toc82684715"/>
      <w:bookmarkEnd w:id="38"/>
      <w:bookmarkStart w:id="39" w:name="_Toc82685552"/>
      <w:bookmarkEnd w:id="39"/>
      <w:bookmarkStart w:id="40" w:name="_Toc82591996"/>
      <w:bookmarkEnd w:id="40"/>
      <w:bookmarkStart w:id="41" w:name="_Toc106791257"/>
      <w:r>
        <w:rPr>
          <w:rFonts w:hint="eastAsia" w:ascii="宋体" w:hAnsi="宋体"/>
          <w:b/>
          <w:color w:val="auto"/>
          <w:szCs w:val="21"/>
          <w:highlight w:val="none"/>
        </w:rPr>
        <w:t>其他项目说明资料</w:t>
      </w:r>
      <w:bookmarkEnd w:id="41"/>
    </w:p>
    <w:p>
      <w:pPr>
        <w:widowControl/>
        <w:jc w:val="left"/>
        <w:rPr>
          <w:color w:val="auto"/>
          <w:highlight w:val="none"/>
        </w:rPr>
      </w:pPr>
      <w:r>
        <w:rPr>
          <w:rFonts w:hint="eastAsia"/>
          <w:color w:val="auto"/>
          <w:highlight w:val="none"/>
          <w:lang w:val="en-US" w:eastAsia="zh-CN"/>
        </w:rPr>
        <w:t>无</w:t>
      </w:r>
      <w:r>
        <w:rPr>
          <w:color w:val="auto"/>
          <w:highlight w:val="none"/>
        </w:rPr>
        <w:br w:type="page"/>
      </w:r>
    </w:p>
    <w:p>
      <w:pPr>
        <w:spacing w:line="360" w:lineRule="auto"/>
        <w:jc w:val="center"/>
        <w:outlineLvl w:val="0"/>
        <w:rPr>
          <w:rFonts w:ascii="宋体" w:hAnsi="宋体"/>
          <w:b/>
          <w:sz w:val="32"/>
          <w:szCs w:val="32"/>
        </w:rPr>
      </w:pPr>
      <w:bookmarkStart w:id="42" w:name="_Toc106791258"/>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06791260"/>
      <w:bookmarkStart w:id="44" w:name="_Toc104994641"/>
      <w:bookmarkStart w:id="45" w:name="_Hlk104908581"/>
      <w:bookmarkStart w:id="46" w:name="_Hlk104908397"/>
      <w:r>
        <w:rPr>
          <w:rFonts w:hint="eastAsia"/>
          <w:b/>
        </w:rPr>
        <w:t>开标阶段</w:t>
      </w:r>
      <w:bookmarkEnd w:id="43"/>
      <w:bookmarkEnd w:id="44"/>
    </w:p>
    <w:bookmarkEnd w:id="45"/>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06791261"/>
      <w:bookmarkStart w:id="48" w:name="_Toc104994642"/>
      <w:r>
        <w:rPr>
          <w:rFonts w:hint="eastAsia"/>
          <w:b/>
        </w:rPr>
        <w:t>评标阶段</w:t>
      </w:r>
      <w:bookmarkEnd w:id="47"/>
      <w:bookmarkEnd w:id="48"/>
    </w:p>
    <w:p>
      <w:pPr>
        <w:pStyle w:val="22"/>
        <w:numPr>
          <w:ilvl w:val="0"/>
          <w:numId w:val="23"/>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本项目招标第一候选供应商、第二候选供应商的确定及评标报告的出具。</w:t>
      </w:r>
    </w:p>
    <w:bookmarkEnd w:id="46"/>
    <w:p>
      <w:pPr>
        <w:widowControl/>
        <w:jc w:val="left"/>
        <w:rPr>
          <w:rFonts w:ascii="仿宋_GB2312" w:hAnsi="宋体" w:eastAsia="仿宋_GB2312"/>
        </w:rPr>
      </w:pPr>
      <w:r>
        <w:br w:type="page"/>
      </w:r>
    </w:p>
    <w:p>
      <w:pPr>
        <w:pStyle w:val="2"/>
        <w:rPr>
          <w:rFonts w:ascii="宋体"/>
          <w:b/>
          <w:sz w:val="28"/>
        </w:rPr>
      </w:pPr>
    </w:p>
    <w:p>
      <w:pPr>
        <w:spacing w:line="360" w:lineRule="auto"/>
        <w:jc w:val="center"/>
        <w:outlineLvl w:val="0"/>
        <w:rPr>
          <w:rFonts w:ascii="宋体" w:hAnsi="宋体"/>
          <w:b/>
          <w:sz w:val="32"/>
          <w:szCs w:val="32"/>
          <w:highlight w:val="none"/>
        </w:rPr>
      </w:pPr>
      <w:bookmarkStart w:id="49" w:name="_Toc106791262"/>
      <w:r>
        <w:rPr>
          <w:rFonts w:hint="eastAsia" w:ascii="宋体" w:hAnsi="宋体"/>
          <w:b/>
          <w:sz w:val="32"/>
          <w:szCs w:val="32"/>
          <w:highlight w:val="none"/>
        </w:rPr>
        <w:t>第三部分：评审办法</w:t>
      </w:r>
      <w:bookmarkEnd w:id="49"/>
    </w:p>
    <w:p>
      <w:pPr>
        <w:numPr>
          <w:ilvl w:val="0"/>
          <w:numId w:val="1"/>
        </w:numPr>
        <w:spacing w:line="360" w:lineRule="auto"/>
        <w:outlineLvl w:val="1"/>
        <w:rPr>
          <w:rFonts w:ascii="宋体" w:hAnsi="宋体"/>
          <w:szCs w:val="21"/>
          <w:highlight w:val="none"/>
        </w:rPr>
      </w:pPr>
      <w:bookmarkStart w:id="50" w:name="_Toc106791263"/>
      <w:r>
        <w:rPr>
          <w:rFonts w:hint="eastAsia" w:ascii="宋体" w:hAnsi="宋体"/>
          <w:b/>
          <w:bCs/>
          <w:szCs w:val="21"/>
          <w:highlight w:val="none"/>
        </w:rPr>
        <w:t>评审办法</w:t>
      </w:r>
      <w:bookmarkEnd w:id="50"/>
    </w:p>
    <w:p>
      <w:pPr>
        <w:spacing w:line="360" w:lineRule="auto"/>
        <w:ind w:firstLine="420" w:firstLineChars="200"/>
        <w:rPr>
          <w:rFonts w:ascii="宋体" w:hAnsi="宋体"/>
          <w:szCs w:val="21"/>
          <w:highlight w:val="none"/>
        </w:rPr>
      </w:pPr>
      <w:r>
        <w:rPr>
          <w:rFonts w:hint="eastAsia" w:ascii="宋体" w:hAnsi="宋体"/>
          <w:szCs w:val="21"/>
          <w:highlight w:val="none"/>
        </w:rPr>
        <w:t>首先对各投标人进行符合性审查。对通过符合性审查的投标人，采用</w:t>
      </w:r>
      <w:r>
        <w:rPr>
          <w:rFonts w:hint="eastAsia" w:ascii="宋体" w:hAnsi="宋体"/>
          <w:b/>
          <w:szCs w:val="21"/>
          <w:highlight w:val="none"/>
        </w:rPr>
        <w:t>100分制综合评分法</w:t>
      </w:r>
      <w:r>
        <w:rPr>
          <w:rFonts w:hint="eastAsia" w:ascii="宋体" w:hAnsi="宋体"/>
          <w:szCs w:val="21"/>
          <w:highlight w:val="none"/>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4"/>
              <w:jc w:val="center"/>
              <w:rPr>
                <w:highlight w:val="none"/>
              </w:rPr>
            </w:pPr>
            <w:r>
              <w:rPr>
                <w:rFonts w:hint="eastAsia" w:ascii="宋体" w:hAnsi="宋体" w:cs="仿宋"/>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highlight w:val="none"/>
              </w:rPr>
            </w:pPr>
            <w:r>
              <w:rPr>
                <w:rFonts w:hint="eastAsia" w:ascii="宋体" w:hAnsi="宋体"/>
                <w:b/>
                <w:highlight w:val="none"/>
              </w:rPr>
              <w:t>权重名称</w:t>
            </w:r>
          </w:p>
        </w:tc>
        <w:tc>
          <w:tcPr>
            <w:tcW w:w="2130" w:type="dxa"/>
            <w:vAlign w:val="center"/>
          </w:tcPr>
          <w:p>
            <w:pPr>
              <w:autoSpaceDE w:val="0"/>
              <w:autoSpaceDN w:val="0"/>
              <w:adjustRightInd w:val="0"/>
              <w:snapToGrid w:val="0"/>
              <w:jc w:val="center"/>
              <w:rPr>
                <w:rFonts w:ascii="宋体" w:hAnsi="宋体"/>
                <w:b/>
                <w:highlight w:val="none"/>
              </w:rPr>
            </w:pPr>
            <w:r>
              <w:rPr>
                <w:rFonts w:hint="eastAsia" w:ascii="宋体" w:hAnsi="宋体"/>
                <w:b/>
                <w:highlight w:val="none"/>
              </w:rPr>
              <w:t>商务标权重</w:t>
            </w:r>
          </w:p>
        </w:tc>
        <w:tc>
          <w:tcPr>
            <w:tcW w:w="2131" w:type="dxa"/>
            <w:vAlign w:val="center"/>
          </w:tcPr>
          <w:p>
            <w:pPr>
              <w:autoSpaceDE w:val="0"/>
              <w:autoSpaceDN w:val="0"/>
              <w:adjustRightInd w:val="0"/>
              <w:snapToGrid w:val="0"/>
              <w:jc w:val="center"/>
              <w:rPr>
                <w:rFonts w:ascii="宋体" w:hAnsi="宋体"/>
                <w:b/>
                <w:highlight w:val="none"/>
              </w:rPr>
            </w:pPr>
            <w:r>
              <w:rPr>
                <w:rFonts w:hint="eastAsia" w:ascii="宋体" w:hAnsi="宋体"/>
                <w:b/>
                <w:highlight w:val="none"/>
              </w:rPr>
              <w:t>技术标权重</w:t>
            </w:r>
          </w:p>
        </w:tc>
        <w:tc>
          <w:tcPr>
            <w:tcW w:w="2585" w:type="dxa"/>
            <w:vAlign w:val="center"/>
          </w:tcPr>
          <w:p>
            <w:pPr>
              <w:autoSpaceDE w:val="0"/>
              <w:autoSpaceDN w:val="0"/>
              <w:adjustRightInd w:val="0"/>
              <w:snapToGrid w:val="0"/>
              <w:jc w:val="center"/>
              <w:rPr>
                <w:rFonts w:ascii="宋体" w:hAnsi="宋体"/>
                <w:b/>
                <w:highlight w:val="none"/>
              </w:rPr>
            </w:pPr>
            <w:r>
              <w:rPr>
                <w:rFonts w:hint="eastAsia" w:ascii="宋体" w:hAnsi="宋体"/>
                <w:b/>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highlight w:val="none"/>
              </w:rPr>
            </w:pPr>
            <w:r>
              <w:rPr>
                <w:rFonts w:hint="eastAsia" w:ascii="宋体" w:hAnsi="宋体"/>
                <w:highlight w:val="none"/>
              </w:rPr>
              <w:t>权重</w:t>
            </w:r>
          </w:p>
        </w:tc>
        <w:tc>
          <w:tcPr>
            <w:tcW w:w="2130" w:type="dxa"/>
            <w:vAlign w:val="center"/>
          </w:tcPr>
          <w:p>
            <w:pPr>
              <w:widowControl w:val="0"/>
              <w:autoSpaceDE w:val="0"/>
              <w:autoSpaceDN w:val="0"/>
              <w:adjustRightInd w:val="0"/>
              <w:snapToGrid w:val="0"/>
              <w:ind w:firstLine="0" w:firstLineChars="0"/>
              <w:jc w:val="center"/>
              <w:rPr>
                <w:rFonts w:ascii="宋体" w:hAnsi="宋体"/>
                <w:highlight w:val="none"/>
              </w:rPr>
            </w:pPr>
            <w:r>
              <w:rPr>
                <w:rFonts w:hint="eastAsia" w:ascii="宋体" w:hAnsi="宋体"/>
                <w:color w:val="auto"/>
                <w:highlight w:val="none"/>
                <w:lang w:val="en-US" w:eastAsia="zh-CN"/>
              </w:rPr>
              <w:t>30</w:t>
            </w:r>
            <w:r>
              <w:rPr>
                <w:rFonts w:hint="eastAsia" w:ascii="宋体" w:hAnsi="宋体"/>
                <w:color w:val="auto"/>
                <w:highlight w:val="none"/>
              </w:rPr>
              <w:t>%</w:t>
            </w:r>
          </w:p>
        </w:tc>
        <w:tc>
          <w:tcPr>
            <w:tcW w:w="2131" w:type="dxa"/>
            <w:vAlign w:val="center"/>
          </w:tcPr>
          <w:p>
            <w:pPr>
              <w:widowControl w:val="0"/>
              <w:autoSpaceDE w:val="0"/>
              <w:autoSpaceDN w:val="0"/>
              <w:adjustRightInd w:val="0"/>
              <w:snapToGrid w:val="0"/>
              <w:ind w:firstLine="0" w:firstLineChars="0"/>
              <w:jc w:val="center"/>
              <w:rPr>
                <w:rFonts w:ascii="宋体" w:hAnsi="宋体"/>
                <w:highlight w:val="none"/>
              </w:rPr>
            </w:pPr>
            <w:r>
              <w:rPr>
                <w:rFonts w:hint="eastAsia" w:ascii="宋体" w:hAnsi="宋体"/>
                <w:color w:val="auto"/>
                <w:szCs w:val="21"/>
                <w:highlight w:val="none"/>
                <w:lang w:val="en-US" w:eastAsia="zh-CN"/>
              </w:rPr>
              <w:t>40</w:t>
            </w:r>
            <w:r>
              <w:rPr>
                <w:rFonts w:hint="eastAsia" w:ascii="宋体" w:hAnsi="宋体"/>
                <w:color w:val="auto"/>
                <w:highlight w:val="none"/>
              </w:rPr>
              <w:t>%</w:t>
            </w:r>
          </w:p>
        </w:tc>
        <w:tc>
          <w:tcPr>
            <w:tcW w:w="2585" w:type="dxa"/>
            <w:vAlign w:val="center"/>
          </w:tcPr>
          <w:p>
            <w:pPr>
              <w:widowControl w:val="0"/>
              <w:autoSpaceDE w:val="0"/>
              <w:autoSpaceDN w:val="0"/>
              <w:adjustRightInd w:val="0"/>
              <w:snapToGrid w:val="0"/>
              <w:ind w:firstLine="0" w:firstLineChars="0"/>
              <w:jc w:val="center"/>
              <w:rPr>
                <w:rFonts w:ascii="宋体" w:hAnsi="宋体"/>
                <w:highlight w:val="none"/>
              </w:rPr>
            </w:pPr>
            <w:r>
              <w:rPr>
                <w:rFonts w:hint="eastAsia" w:ascii="宋体" w:hAnsi="宋体"/>
                <w:color w:val="auto"/>
                <w:szCs w:val="21"/>
                <w:highlight w:val="none"/>
                <w:lang w:val="en-US" w:eastAsia="zh-CN"/>
              </w:rPr>
              <w:t>30</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pStyle w:val="4"/>
              <w:ind w:left="0"/>
              <w:jc w:val="center"/>
              <w:rPr>
                <w:highlight w:val="none"/>
              </w:rPr>
            </w:pPr>
            <w:r>
              <w:rPr>
                <w:rFonts w:hint="eastAsia" w:ascii="宋体" w:hAnsi="宋体"/>
                <w:highlight w:val="none"/>
              </w:rPr>
              <w:t>投标人综合得分</w:t>
            </w:r>
          </w:p>
        </w:tc>
        <w:tc>
          <w:tcPr>
            <w:tcW w:w="6846" w:type="dxa"/>
            <w:gridSpan w:val="3"/>
            <w:vAlign w:val="center"/>
          </w:tcPr>
          <w:p>
            <w:pPr>
              <w:pStyle w:val="4"/>
              <w:jc w:val="center"/>
              <w:rPr>
                <w:highlight w:val="none"/>
              </w:rPr>
            </w:pPr>
            <w:r>
              <w:rPr>
                <w:rFonts w:hint="eastAsia" w:ascii="宋体" w:hAnsi="宋体"/>
                <w:highlight w:val="none"/>
              </w:rPr>
              <w:t>商务标得分+技术标得分+价格标得分=100</w:t>
            </w:r>
          </w:p>
        </w:tc>
      </w:tr>
    </w:tbl>
    <w:p>
      <w:pPr>
        <w:pStyle w:val="4"/>
        <w:ind w:left="0"/>
        <w:rPr>
          <w:highlight w:val="none"/>
        </w:rPr>
      </w:pPr>
    </w:p>
    <w:p>
      <w:pPr>
        <w:pStyle w:val="2"/>
        <w:rPr>
          <w:highlight w:val="none"/>
        </w:rPr>
      </w:pPr>
    </w:p>
    <w:p>
      <w:pPr>
        <w:numPr>
          <w:ilvl w:val="0"/>
          <w:numId w:val="24"/>
        </w:numPr>
        <w:spacing w:line="360" w:lineRule="auto"/>
        <w:jc w:val="left"/>
        <w:outlineLvl w:val="2"/>
        <w:rPr>
          <w:rStyle w:val="29"/>
          <w:rFonts w:ascii="宋体" w:hAnsi="宋体"/>
          <w:b/>
          <w:szCs w:val="21"/>
          <w:highlight w:val="none"/>
        </w:rPr>
      </w:pPr>
      <w:bookmarkStart w:id="51" w:name="_Toc106791264"/>
      <w:r>
        <w:rPr>
          <w:rStyle w:val="29"/>
          <w:rFonts w:hint="eastAsia" w:ascii="宋体" w:hAnsi="宋体"/>
          <w:b/>
          <w:bCs/>
          <w:szCs w:val="21"/>
          <w:highlight w:val="none"/>
        </w:rPr>
        <w:t>符合性检查</w:t>
      </w:r>
      <w:bookmarkEnd w:id="51"/>
    </w:p>
    <w:tbl>
      <w:tblPr>
        <w:tblStyle w:val="14"/>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spacing w:line="360" w:lineRule="auto"/>
              <w:jc w:val="center"/>
              <w:rPr>
                <w:rFonts w:ascii="宋体" w:hAnsi="宋体" w:cs="仿宋"/>
                <w:szCs w:val="21"/>
                <w:highlight w:val="none"/>
              </w:rPr>
            </w:pPr>
            <w:r>
              <w:rPr>
                <w:rFonts w:hint="eastAsia" w:ascii="宋体" w:hAnsi="宋体" w:cs="仿宋"/>
                <w:szCs w:val="21"/>
                <w:highlight w:val="none"/>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highlight w:val="none"/>
              </w:rPr>
            </w:pPr>
            <w:r>
              <w:rPr>
                <w:rFonts w:hint="eastAsia" w:ascii="宋体" w:hAnsi="宋体" w:cs="仿宋"/>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highlight w:val="none"/>
              </w:rPr>
            </w:pPr>
            <w:r>
              <w:rPr>
                <w:rFonts w:hint="eastAsia" w:ascii="宋体" w:hAnsi="宋体" w:cs="仿宋"/>
                <w:szCs w:val="21"/>
                <w:highlight w:val="none"/>
              </w:rPr>
              <w:t>投标文件</w:t>
            </w:r>
          </w:p>
        </w:tc>
        <w:tc>
          <w:tcPr>
            <w:tcW w:w="7635" w:type="dxa"/>
            <w:tcBorders>
              <w:tl2br w:val="nil"/>
              <w:tr2bl w:val="nil"/>
            </w:tcBorders>
            <w:vAlign w:val="center"/>
          </w:tcPr>
          <w:p>
            <w:pPr>
              <w:spacing w:line="360" w:lineRule="auto"/>
              <w:rPr>
                <w:rFonts w:ascii="宋体" w:hAnsi="宋体" w:cs="仿宋"/>
                <w:szCs w:val="21"/>
                <w:highlight w:val="none"/>
              </w:rPr>
            </w:pPr>
            <w:r>
              <w:rPr>
                <w:rFonts w:hint="eastAsia" w:ascii="宋体" w:hAnsi="宋体" w:cs="仿宋"/>
                <w:bCs/>
                <w:szCs w:val="21"/>
                <w:highlight w:val="none"/>
              </w:rPr>
              <w:t>投标人提交的投标文件是否按要求编制目录、加密；投标文件的加密密码按要求发送至招标人</w:t>
            </w:r>
            <w:r>
              <w:rPr>
                <w:rFonts w:ascii="宋体" w:hAnsi="宋体" w:cs="仿宋"/>
                <w:bCs/>
                <w:szCs w:val="21"/>
                <w:highlight w:val="none"/>
              </w:rPr>
              <w:t>且</w:t>
            </w:r>
            <w:r>
              <w:rPr>
                <w:rFonts w:hint="eastAsia" w:ascii="宋体" w:hAnsi="宋体" w:cs="仿宋"/>
                <w:bCs/>
                <w:szCs w:val="21"/>
                <w:highlight w:val="none"/>
              </w:rPr>
              <w:t>保证</w:t>
            </w:r>
            <w:r>
              <w:rPr>
                <w:rFonts w:ascii="宋体" w:hAnsi="宋体" w:cs="仿宋"/>
                <w:bCs/>
                <w:szCs w:val="21"/>
                <w:highlight w:val="none"/>
              </w:rPr>
              <w:t>文件完整可正常打开；</w:t>
            </w:r>
            <w:r>
              <w:rPr>
                <w:rFonts w:hint="eastAsia" w:ascii="宋体" w:hAnsi="宋体" w:cs="仿宋"/>
                <w:bCs/>
                <w:szCs w:val="21"/>
                <w:highlight w:val="none"/>
              </w:rPr>
              <w:t>投标人必须提供由法人代表或其书面授权人签署并加盖投标人公章的投标响应文件</w:t>
            </w:r>
            <w:r>
              <w:rPr>
                <w:rFonts w:hint="eastAsia" w:ascii="宋体" w:hAnsi="宋体" w:cs="仿宋"/>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投标人是否提供以下证明文件：</w:t>
            </w:r>
          </w:p>
          <w:p>
            <w:pPr>
              <w:pStyle w:val="34"/>
              <w:numPr>
                <w:ilvl w:val="0"/>
                <w:numId w:val="25"/>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投标人必须是在中华人民共和国境内注册且合法运作的企业，在法律和财务上独立。（提供企业营业执照扫描件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并加盖投标人公章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Style w:val="34"/>
              <w:numPr>
                <w:ilvl w:val="0"/>
                <w:numId w:val="25"/>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必</w:t>
            </w:r>
            <w:r>
              <w:rPr>
                <w:rFonts w:hint="eastAsia" w:ascii="宋体" w:hAnsi="宋体" w:eastAsia="宋体" w:cs="宋体"/>
                <w:color w:val="auto"/>
                <w:sz w:val="21"/>
                <w:szCs w:val="21"/>
                <w:highlight w:val="none"/>
              </w:rPr>
              <w:t>须无未改正的经营异常信息、无严重违法失信记录</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提供国家企业信用信息公示系统（www.gsxt.gov.cn)公示的企业基础信息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经营异常信息、严重违法失信记录等信息查询</w:t>
            </w:r>
            <w:r>
              <w:rPr>
                <w:rFonts w:hint="eastAsia" w:ascii="宋体" w:hAnsi="宋体" w:eastAsia="宋体" w:cs="宋体"/>
                <w:color w:val="auto"/>
                <w:sz w:val="21"/>
                <w:szCs w:val="21"/>
                <w:highlight w:val="none"/>
              </w:rPr>
              <w:t>页面打印件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并加盖投标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公章。）</w:t>
            </w:r>
          </w:p>
          <w:p>
            <w:pPr>
              <w:pStyle w:val="34"/>
              <w:numPr>
                <w:ilvl w:val="0"/>
                <w:numId w:val="25"/>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pStyle w:val="34"/>
              <w:numPr>
                <w:ilvl w:val="0"/>
                <w:numId w:val="25"/>
              </w:numPr>
              <w:ind w:left="424" w:hanging="424" w:hangingChars="202"/>
              <w:jc w:val="left"/>
              <w:rPr>
                <w:color w:val="auto"/>
                <w:highlight w:val="none"/>
              </w:rPr>
            </w:pPr>
            <w:r>
              <w:rPr>
                <w:rFonts w:hint="eastAsia" w:ascii="宋体" w:hAnsi="宋体" w:eastAsia="宋体" w:cs="宋体"/>
                <w:color w:val="auto"/>
                <w:sz w:val="21"/>
                <w:szCs w:val="21"/>
                <w:highlight w:val="none"/>
                <w:lang w:val="en-US" w:eastAsia="zh-CN"/>
              </w:rPr>
              <w:t>本项目不接受联合体投标，严禁转包或非法分包</w:t>
            </w:r>
            <w:r>
              <w:rPr>
                <w:rFonts w:hint="eastAsia" w:ascii="宋体" w:hAnsi="宋体" w:cs="宋体"/>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jc w:val="center"/>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控制金额</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本项目报价是否高于</w:t>
            </w:r>
            <w:r>
              <w:rPr>
                <w:rFonts w:hint="eastAsia" w:ascii="宋体" w:hAnsi="宋体"/>
                <w:color w:val="auto"/>
                <w:szCs w:val="21"/>
                <w:highlight w:val="none"/>
                <w:lang w:val="en-US" w:eastAsia="zh-CN"/>
              </w:rPr>
              <w:t>32</w:t>
            </w:r>
            <w:r>
              <w:rPr>
                <w:rFonts w:ascii="宋体" w:hAnsi="宋体" w:cs="仿宋"/>
                <w:color w:val="auto"/>
                <w:szCs w:val="21"/>
                <w:highlight w:val="none"/>
              </w:rPr>
              <w:t>万元（含税）</w:t>
            </w:r>
            <w:r>
              <w:rPr>
                <w:rFonts w:hint="eastAsia" w:ascii="宋体" w:hAnsi="宋体" w:cs="仿宋"/>
                <w:color w:val="auto"/>
                <w:szCs w:val="21"/>
                <w:highlight w:val="none"/>
              </w:rPr>
              <w:t>，超过上述控制金额的视为无效报价。</w:t>
            </w:r>
          </w:p>
        </w:tc>
      </w:tr>
    </w:tbl>
    <w:tbl>
      <w:tblPr>
        <w:tblStyle w:val="14"/>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商务评议项（</w:t>
            </w:r>
            <w:r>
              <w:rPr>
                <w:rFonts w:hint="eastAsia" w:ascii="宋体" w:hAnsi="宋体"/>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6"/>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olor w:val="auto"/>
                <w:szCs w:val="21"/>
                <w:highlight w:val="none"/>
              </w:rPr>
            </w:pPr>
            <w:r>
              <w:rPr>
                <w:rFonts w:hint="eastAsia"/>
                <w:color w:val="auto"/>
                <w:highlight w:val="none"/>
                <w:lang w:val="en-US" w:eastAsia="zh-CN"/>
              </w:rPr>
              <w:t>注册资金</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34"/>
              <w:numPr>
                <w:ilvl w:val="0"/>
                <w:numId w:val="27"/>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注册资金≥</w:t>
            </w:r>
            <w:r>
              <w:rPr>
                <w:rFonts w:hint="eastAsia" w:ascii="宋体" w:hAnsi="宋体" w:eastAsia="宋体" w:cs="宋体"/>
                <w:color w:val="auto"/>
                <w:sz w:val="21"/>
                <w:szCs w:val="21"/>
                <w:highlight w:val="none"/>
              </w:rPr>
              <w:t>50</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万元，得5分</w:t>
            </w:r>
          </w:p>
          <w:p>
            <w:pPr>
              <w:pStyle w:val="34"/>
              <w:numPr>
                <w:ilvl w:val="0"/>
                <w:numId w:val="27"/>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r>
              <w:rPr>
                <w:rFonts w:hint="eastAsia" w:ascii="宋体" w:hAnsi="宋体" w:cs="宋体"/>
                <w:color w:val="auto"/>
                <w:sz w:val="21"/>
                <w:szCs w:val="21"/>
                <w:highlight w:val="none"/>
                <w:lang w:val="en-US" w:eastAsia="zh-CN"/>
              </w:rPr>
              <w:t>0万元＞注册资金≥1000</w:t>
            </w:r>
            <w:r>
              <w:rPr>
                <w:rFonts w:hint="eastAsia" w:ascii="宋体" w:hAnsi="宋体" w:eastAsia="宋体" w:cs="宋体"/>
                <w:color w:val="auto"/>
                <w:sz w:val="21"/>
                <w:szCs w:val="21"/>
                <w:highlight w:val="none"/>
              </w:rPr>
              <w:t xml:space="preserve">万元，得 </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pStyle w:val="34"/>
              <w:numPr>
                <w:ilvl w:val="0"/>
                <w:numId w:val="27"/>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1000万元＞注册资金≥5</w:t>
            </w:r>
            <w:r>
              <w:rPr>
                <w:rFonts w:hint="eastAsia" w:ascii="宋体" w:hAnsi="宋体" w:eastAsia="宋体" w:cs="宋体"/>
                <w:color w:val="auto"/>
                <w:sz w:val="21"/>
                <w:szCs w:val="21"/>
                <w:highlight w:val="none"/>
              </w:rPr>
              <w:t>00万元，得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pStyle w:val="34"/>
              <w:numPr>
                <w:ilvl w:val="0"/>
                <w:numId w:val="27"/>
              </w:numPr>
              <w:snapToGrid w:val="0"/>
              <w:spacing w:line="360" w:lineRule="auto"/>
              <w:ind w:left="425" w:leftChars="0" w:hanging="425" w:firstLineChars="0"/>
              <w:jc w:val="left"/>
              <w:rPr>
                <w:rFonts w:hint="default" w:ascii="仿宋_GB2312" w:hAnsi="宋体" w:eastAsia="仿宋_GB2312" w:cs="宋体"/>
                <w:color w:val="auto"/>
                <w:kern w:val="0"/>
                <w:sz w:val="16"/>
                <w:szCs w:val="16"/>
                <w:highlight w:val="none"/>
                <w:lang w:val="en-US" w:eastAsia="zh-CN"/>
              </w:rPr>
            </w:pPr>
            <w:r>
              <w:rPr>
                <w:rFonts w:hint="eastAsia" w:ascii="宋体" w:hAnsi="宋体" w:cs="宋体"/>
                <w:color w:val="auto"/>
                <w:sz w:val="21"/>
                <w:szCs w:val="21"/>
                <w:highlight w:val="none"/>
                <w:lang w:val="en-US" w:eastAsia="zh-CN"/>
              </w:rPr>
              <w:t>500万元＞注册资金≥100万元，得2分</w:t>
            </w:r>
          </w:p>
          <w:p>
            <w:pPr>
              <w:pStyle w:val="34"/>
              <w:numPr>
                <w:ilvl w:val="0"/>
                <w:numId w:val="27"/>
              </w:numPr>
              <w:snapToGrid w:val="0"/>
              <w:spacing w:line="360" w:lineRule="auto"/>
              <w:ind w:left="425" w:leftChars="0" w:hanging="425" w:firstLineChars="0"/>
              <w:jc w:val="left"/>
              <w:rPr>
                <w:rFonts w:ascii="宋体" w:hAnsi="宋体"/>
                <w:color w:val="auto"/>
                <w:szCs w:val="21"/>
                <w:highlight w:val="none"/>
              </w:rPr>
            </w:pPr>
            <w:r>
              <w:rPr>
                <w:rFonts w:hint="eastAsia" w:ascii="宋体" w:hAnsi="宋体" w:cs="宋体"/>
                <w:color w:val="auto"/>
                <w:sz w:val="21"/>
                <w:szCs w:val="21"/>
                <w:highlight w:val="none"/>
                <w:lang w:val="en-US" w:eastAsia="zh-CN"/>
              </w:rPr>
              <w:t>100万元＞注册资金，得1分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6"/>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color w:val="auto"/>
                <w:highlight w:val="none"/>
                <w:lang w:val="en-US" w:eastAsia="zh-CN"/>
              </w:rPr>
              <w:t>项目负责方资质</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34"/>
              <w:numPr>
                <w:ilvl w:val="0"/>
                <w:numId w:val="28"/>
              </w:numPr>
              <w:snapToGrid w:val="0"/>
              <w:spacing w:line="360" w:lineRule="auto"/>
              <w:ind w:left="425" w:leftChars="0" w:hanging="425" w:firstLineChars="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w:t>
            </w:r>
            <w:r>
              <w:rPr>
                <w:rFonts w:hint="eastAsia" w:ascii="宋体" w:hAnsi="宋体" w:eastAsia="宋体" w:cs="宋体"/>
                <w:color w:val="auto"/>
                <w:sz w:val="21"/>
                <w:szCs w:val="21"/>
                <w:highlight w:val="none"/>
                <w:lang w:val="en-US" w:eastAsia="zh-CN"/>
              </w:rPr>
              <w:t>据投标人所提供的资质</w:t>
            </w:r>
            <w:r>
              <w:rPr>
                <w:rFonts w:hint="eastAsia" w:ascii="宋体" w:hAnsi="宋体" w:cs="宋体"/>
                <w:color w:val="auto"/>
                <w:sz w:val="21"/>
                <w:szCs w:val="21"/>
                <w:highlight w:val="none"/>
                <w:lang w:val="en-US" w:eastAsia="zh-CN"/>
              </w:rPr>
              <w:t>情况评分，具有</w:t>
            </w:r>
            <w:r>
              <w:rPr>
                <w:rFonts w:hint="eastAsia" w:ascii="宋体" w:hAnsi="宋体" w:eastAsia="宋体" w:cs="宋体"/>
                <w:i w:val="0"/>
                <w:caps w:val="0"/>
                <w:color w:val="auto"/>
                <w:spacing w:val="0"/>
                <w:sz w:val="21"/>
                <w:szCs w:val="21"/>
                <w:highlight w:val="none"/>
                <w:shd w:val="clear" w:fill="auto"/>
              </w:rPr>
              <w:t>国家</w:t>
            </w:r>
            <w:r>
              <w:rPr>
                <w:rFonts w:hint="eastAsia" w:ascii="宋体" w:hAnsi="宋体" w:cs="宋体"/>
                <w:i w:val="0"/>
                <w:caps w:val="0"/>
                <w:color w:val="auto"/>
                <w:spacing w:val="0"/>
                <w:sz w:val="21"/>
                <w:szCs w:val="21"/>
                <w:highlight w:val="none"/>
                <w:shd w:val="clear"/>
                <w:lang w:val="en-US" w:eastAsia="zh-CN"/>
              </w:rPr>
              <w:t>新闻出版署</w:t>
            </w:r>
            <w:r>
              <w:rPr>
                <w:rFonts w:hint="eastAsia" w:ascii="宋体" w:hAnsi="宋体" w:cs="宋体"/>
                <w:color w:val="auto"/>
                <w:sz w:val="21"/>
                <w:szCs w:val="21"/>
                <w:highlight w:val="none"/>
                <w:lang w:val="en-US" w:eastAsia="zh-CN"/>
              </w:rPr>
              <w:t>颁发的报纸出版</w:t>
            </w:r>
            <w:r>
              <w:rPr>
                <w:rFonts w:hint="eastAsia" w:ascii="宋体" w:hAnsi="宋体" w:eastAsia="宋体" w:cs="宋体"/>
                <w:color w:val="auto"/>
                <w:sz w:val="21"/>
                <w:szCs w:val="21"/>
                <w:highlight w:val="none"/>
              </w:rPr>
              <w:t>许可证者得</w:t>
            </w:r>
            <w:r>
              <w:rPr>
                <w:rFonts w:hint="eastAsia" w:ascii="宋体" w:hAnsi="宋体" w:cs="宋体"/>
                <w:color w:val="auto"/>
                <w:sz w:val="21"/>
                <w:szCs w:val="21"/>
                <w:highlight w:val="none"/>
                <w:lang w:eastAsia="zh-CN"/>
              </w:rPr>
              <w:t>5</w:t>
            </w:r>
            <w:r>
              <w:rPr>
                <w:rFonts w:hint="eastAsia" w:ascii="宋体" w:hAnsi="宋体" w:eastAsia="宋体" w:cs="宋体"/>
                <w:color w:val="auto"/>
                <w:sz w:val="21"/>
                <w:szCs w:val="21"/>
                <w:highlight w:val="none"/>
              </w:rPr>
              <w:t>分，其他</w:t>
            </w:r>
            <w:r>
              <w:rPr>
                <w:rFonts w:hint="eastAsia" w:ascii="宋体" w:hAnsi="宋体" w:cs="宋体"/>
                <w:color w:val="auto"/>
                <w:sz w:val="21"/>
                <w:szCs w:val="21"/>
                <w:highlight w:val="none"/>
                <w:lang w:val="en-US" w:eastAsia="zh-CN"/>
              </w:rPr>
              <w:t>情况及未提供者不得分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需提供证书复印件并加盖公章。</w:t>
            </w:r>
          </w:p>
          <w:p>
            <w:pPr>
              <w:pStyle w:val="34"/>
              <w:numPr>
                <w:ilvl w:val="0"/>
                <w:numId w:val="28"/>
              </w:numPr>
              <w:snapToGrid w:val="0"/>
              <w:spacing w:line="360" w:lineRule="auto"/>
              <w:ind w:left="425" w:leftChars="0" w:hanging="425" w:firstLineChars="0"/>
              <w:jc w:val="left"/>
              <w:rPr>
                <w:rFonts w:ascii="宋体" w:hAnsi="宋体"/>
                <w:color w:val="auto"/>
                <w:szCs w:val="21"/>
                <w:highlight w:val="none"/>
              </w:rPr>
            </w:pPr>
            <w:r>
              <w:rPr>
                <w:rFonts w:hint="eastAsia" w:ascii="宋体" w:hAnsi="宋体" w:cs="宋体"/>
                <w:color w:val="auto"/>
                <w:sz w:val="21"/>
                <w:szCs w:val="21"/>
                <w:highlight w:val="none"/>
                <w:lang w:val="en-US" w:eastAsia="zh-CN"/>
              </w:rPr>
              <w:t>根据投标人出版发行的报纸的发行量及覆盖面情况进行评分：</w:t>
            </w:r>
          </w:p>
          <w:p>
            <w:pPr>
              <w:pStyle w:val="34"/>
              <w:numPr>
                <w:ilvl w:val="0"/>
                <w:numId w:val="29"/>
              </w:numPr>
              <w:snapToGrid w:val="0"/>
              <w:spacing w:line="360" w:lineRule="auto"/>
              <w:ind w:left="0" w:leftChars="0" w:firstLine="420" w:firstLineChars="200"/>
              <w:jc w:val="left"/>
              <w:rPr>
                <w:rFonts w:ascii="宋体" w:hAnsi="宋体"/>
                <w:color w:val="auto"/>
                <w:szCs w:val="21"/>
                <w:highlight w:val="none"/>
              </w:rPr>
            </w:pPr>
            <w:r>
              <w:rPr>
                <w:rFonts w:hint="eastAsia" w:ascii="宋体" w:hAnsi="宋体" w:cs="宋体"/>
                <w:color w:val="auto"/>
                <w:sz w:val="21"/>
                <w:szCs w:val="21"/>
                <w:highlight w:val="none"/>
                <w:lang w:val="en-US" w:eastAsia="zh-CN"/>
              </w:rPr>
              <w:t>其报纸发行量≥50万份，且报纸覆盖面≥50个国家和地区者，</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pPr>
              <w:pStyle w:val="34"/>
              <w:numPr>
                <w:ilvl w:val="0"/>
                <w:numId w:val="29"/>
              </w:numPr>
              <w:snapToGrid w:val="0"/>
              <w:spacing w:line="360" w:lineRule="auto"/>
              <w:ind w:left="0" w:leftChars="0" w:firstLine="420" w:firstLineChars="200"/>
              <w:jc w:val="left"/>
              <w:rPr>
                <w:rFonts w:ascii="宋体" w:hAnsi="宋体"/>
                <w:color w:val="auto"/>
                <w:szCs w:val="21"/>
                <w:highlight w:val="none"/>
              </w:rPr>
            </w:pPr>
            <w:r>
              <w:rPr>
                <w:rFonts w:hint="eastAsia" w:ascii="宋体" w:hAnsi="宋体" w:cs="宋体"/>
                <w:color w:val="auto"/>
                <w:sz w:val="21"/>
                <w:szCs w:val="21"/>
                <w:highlight w:val="none"/>
                <w:lang w:val="en-US" w:eastAsia="zh-CN"/>
              </w:rPr>
              <w:t>50万份＞其报纸发行量≥35万份，且50个国家和地区＞报纸覆盖面≥30个国家和地区者，得3分；</w:t>
            </w:r>
          </w:p>
          <w:p>
            <w:pPr>
              <w:pStyle w:val="34"/>
              <w:numPr>
                <w:ilvl w:val="0"/>
                <w:numId w:val="29"/>
              </w:numPr>
              <w:snapToGrid w:val="0"/>
              <w:spacing w:line="360" w:lineRule="auto"/>
              <w:ind w:left="0" w:leftChars="0" w:firstLine="420" w:firstLineChars="200"/>
              <w:jc w:val="left"/>
              <w:rPr>
                <w:rFonts w:ascii="宋体" w:hAnsi="宋体"/>
                <w:color w:val="auto"/>
                <w:szCs w:val="21"/>
                <w:highlight w:val="none"/>
              </w:rPr>
            </w:pPr>
            <w:r>
              <w:rPr>
                <w:rFonts w:hint="eastAsia" w:ascii="宋体" w:hAnsi="宋体" w:cs="宋体"/>
                <w:color w:val="auto"/>
                <w:sz w:val="21"/>
                <w:szCs w:val="21"/>
                <w:highlight w:val="none"/>
                <w:lang w:val="en-US" w:eastAsia="zh-CN"/>
              </w:rPr>
              <w:t>其他情况及未提供者不得分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投标人需提供相关证明材料并加盖公章。</w:t>
            </w:r>
            <w:r>
              <w:rPr>
                <w:rFonts w:hint="eastAsia" w:ascii="宋体" w:hAnsi="宋体" w:cs="宋体"/>
                <w:color w:val="auto"/>
                <w:sz w:val="21"/>
                <w:szCs w:val="21"/>
                <w:highlight w:val="none"/>
                <w:lang w:val="en-US" w:eastAsia="zh-CN"/>
              </w:rPr>
              <w:t>证明材料无法判定者不得分。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6"/>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color w:val="auto"/>
                <w:highlight w:val="none"/>
                <w:lang w:val="en-US" w:eastAsia="zh-CN"/>
              </w:rPr>
              <w:t>项目负责方业绩和经验</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34"/>
              <w:numPr>
                <w:ilvl w:val="0"/>
                <w:numId w:val="30"/>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投标人提供</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自2019年1月1日以来，政府英文网站</w:t>
            </w:r>
            <w:r>
              <w:rPr>
                <w:rFonts w:hint="eastAsia" w:ascii="宋体" w:hAnsi="宋体" w:cs="宋体"/>
                <w:color w:val="auto"/>
                <w:sz w:val="21"/>
                <w:szCs w:val="21"/>
                <w:highlight w:val="none"/>
                <w:lang w:val="en-US" w:eastAsia="zh-CN"/>
              </w:rPr>
              <w:t>运维</w:t>
            </w:r>
            <w:r>
              <w:rPr>
                <w:rFonts w:hint="eastAsia" w:ascii="宋体" w:hAnsi="宋体" w:eastAsia="宋体" w:cs="宋体"/>
                <w:color w:val="auto"/>
                <w:sz w:val="21"/>
                <w:szCs w:val="21"/>
                <w:highlight w:val="none"/>
                <w:lang w:val="en-US" w:eastAsia="zh-CN"/>
              </w:rPr>
              <w:t>案例</w:t>
            </w:r>
            <w:r>
              <w:rPr>
                <w:rFonts w:hint="eastAsia" w:ascii="宋体" w:hAnsi="宋体" w:cs="宋体"/>
                <w:color w:val="auto"/>
                <w:sz w:val="21"/>
                <w:szCs w:val="21"/>
                <w:highlight w:val="none"/>
                <w:lang w:val="en-US" w:eastAsia="zh-CN"/>
              </w:rPr>
              <w:t>进行评议</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国家级</w:t>
            </w:r>
            <w:r>
              <w:rPr>
                <w:rFonts w:hint="eastAsia" w:ascii="宋体" w:hAnsi="宋体" w:cs="宋体"/>
                <w:color w:val="auto"/>
                <w:sz w:val="21"/>
                <w:szCs w:val="21"/>
                <w:highlight w:val="none"/>
                <w:lang w:val="en-US" w:eastAsia="zh-CN"/>
              </w:rPr>
              <w:t>运维案例</w:t>
            </w:r>
            <w:r>
              <w:rPr>
                <w:rFonts w:hint="eastAsia" w:ascii="宋体" w:hAnsi="宋体" w:eastAsia="宋体" w:cs="宋体"/>
                <w:color w:val="auto"/>
                <w:sz w:val="21"/>
                <w:szCs w:val="21"/>
                <w:highlight w:val="none"/>
                <w:lang w:val="en-US" w:eastAsia="zh-CN"/>
              </w:rPr>
              <w:t>得5分，省级得3分，</w:t>
            </w:r>
            <w:r>
              <w:rPr>
                <w:rFonts w:hint="eastAsia" w:ascii="宋体" w:hAnsi="宋体" w:cs="宋体"/>
                <w:color w:val="auto"/>
                <w:sz w:val="21"/>
                <w:szCs w:val="21"/>
                <w:highlight w:val="none"/>
                <w:lang w:val="en-US" w:eastAsia="zh-CN"/>
              </w:rPr>
              <w:t>地市级</w:t>
            </w:r>
            <w:r>
              <w:rPr>
                <w:rFonts w:hint="eastAsia" w:ascii="宋体" w:hAnsi="宋体" w:eastAsia="宋体" w:cs="宋体"/>
                <w:color w:val="auto"/>
                <w:sz w:val="21"/>
                <w:szCs w:val="21"/>
                <w:highlight w:val="none"/>
                <w:lang w:val="en-US" w:eastAsia="zh-CN"/>
              </w:rPr>
              <w:t>得1分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须提</w:t>
            </w:r>
            <w:r>
              <w:rPr>
                <w:rFonts w:hint="eastAsia" w:ascii="宋体" w:hAnsi="宋体" w:cs="宋体"/>
                <w:color w:val="auto"/>
                <w:sz w:val="21"/>
                <w:szCs w:val="21"/>
                <w:highlight w:val="none"/>
                <w:lang w:val="en-US" w:eastAsia="zh-CN"/>
              </w:rPr>
              <w:t>供</w:t>
            </w:r>
            <w:r>
              <w:rPr>
                <w:rFonts w:hint="eastAsia" w:ascii="宋体" w:hAnsi="宋体" w:eastAsia="宋体" w:cs="宋体"/>
                <w:color w:val="auto"/>
                <w:sz w:val="21"/>
                <w:szCs w:val="21"/>
                <w:highlight w:val="none"/>
                <w:lang w:val="en-US" w:eastAsia="zh-CN"/>
              </w:rPr>
              <w:t>合同关键页加盖公章</w:t>
            </w:r>
            <w:r>
              <w:rPr>
                <w:rFonts w:hint="eastAsia" w:ascii="宋体" w:hAnsi="宋体" w:cs="宋体"/>
                <w:color w:val="auto"/>
                <w:sz w:val="21"/>
                <w:szCs w:val="21"/>
                <w:highlight w:val="none"/>
                <w:lang w:val="en-US" w:eastAsia="zh-CN"/>
              </w:rPr>
              <w:t>）；</w:t>
            </w:r>
          </w:p>
          <w:p>
            <w:pPr>
              <w:pStyle w:val="34"/>
              <w:numPr>
                <w:ilvl w:val="0"/>
                <w:numId w:val="30"/>
              </w:numPr>
              <w:snapToGri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投标人提供</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自2019年1月1日以来，大型展会英文网站</w:t>
            </w:r>
            <w:r>
              <w:rPr>
                <w:rFonts w:hint="eastAsia" w:ascii="宋体" w:hAnsi="宋体" w:cs="宋体"/>
                <w:color w:val="auto"/>
                <w:sz w:val="21"/>
                <w:szCs w:val="21"/>
                <w:highlight w:val="none"/>
                <w:lang w:val="en-US" w:eastAsia="zh-CN"/>
              </w:rPr>
              <w:t>运维</w:t>
            </w:r>
            <w:r>
              <w:rPr>
                <w:rFonts w:hint="eastAsia" w:ascii="宋体" w:hAnsi="宋体" w:eastAsia="宋体" w:cs="宋体"/>
                <w:color w:val="auto"/>
                <w:sz w:val="21"/>
                <w:szCs w:val="21"/>
                <w:highlight w:val="none"/>
                <w:lang w:val="en-US" w:eastAsia="zh-CN"/>
              </w:rPr>
              <w:t>案</w:t>
            </w:r>
            <w:r>
              <w:rPr>
                <w:rFonts w:hint="eastAsia" w:ascii="宋体" w:hAnsi="宋体" w:cs="宋体"/>
                <w:color w:val="auto"/>
                <w:sz w:val="21"/>
                <w:szCs w:val="21"/>
                <w:highlight w:val="none"/>
                <w:lang w:val="en-US" w:eastAsia="zh-CN"/>
              </w:rPr>
              <w:t>进行评议</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展会</w:t>
            </w:r>
            <w:r>
              <w:rPr>
                <w:rFonts w:hint="eastAsia" w:ascii="宋体" w:hAnsi="宋体" w:eastAsia="宋体" w:cs="宋体"/>
                <w:color w:val="auto"/>
                <w:sz w:val="21"/>
                <w:szCs w:val="21"/>
                <w:highlight w:val="none"/>
                <w:lang w:val="en-US" w:eastAsia="zh-CN"/>
              </w:rPr>
              <w:t>实体展览面积达15万平方米得5分，</w:t>
            </w:r>
            <w:r>
              <w:rPr>
                <w:rFonts w:hint="eastAsia" w:ascii="宋体" w:hAnsi="宋体" w:cs="宋体"/>
                <w:color w:val="auto"/>
                <w:sz w:val="21"/>
                <w:szCs w:val="21"/>
                <w:highlight w:val="none"/>
                <w:lang w:val="en-US" w:eastAsia="zh-CN"/>
              </w:rPr>
              <w:t>达</w:t>
            </w:r>
            <w:r>
              <w:rPr>
                <w:rFonts w:hint="eastAsia" w:ascii="宋体" w:hAnsi="宋体" w:eastAsia="宋体" w:cs="宋体"/>
                <w:color w:val="auto"/>
                <w:sz w:val="21"/>
                <w:szCs w:val="21"/>
                <w:highlight w:val="none"/>
                <w:lang w:val="en-US" w:eastAsia="zh-CN"/>
              </w:rPr>
              <w:t>10万平方米得3分，</w:t>
            </w:r>
            <w:r>
              <w:rPr>
                <w:rFonts w:hint="eastAsia" w:ascii="宋体" w:hAnsi="宋体" w:cs="宋体"/>
                <w:color w:val="auto"/>
                <w:sz w:val="21"/>
                <w:szCs w:val="21"/>
                <w:highlight w:val="none"/>
                <w:lang w:val="en-US" w:eastAsia="zh-CN"/>
              </w:rPr>
              <w:t>达</w:t>
            </w:r>
            <w:r>
              <w:rPr>
                <w:rFonts w:hint="eastAsia" w:ascii="宋体" w:hAnsi="宋体" w:eastAsia="宋体" w:cs="宋体"/>
                <w:color w:val="auto"/>
                <w:sz w:val="21"/>
                <w:szCs w:val="21"/>
                <w:highlight w:val="none"/>
                <w:lang w:val="en-US" w:eastAsia="zh-CN"/>
              </w:rPr>
              <w:t>5万平方米得1分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须提</w:t>
            </w:r>
            <w:r>
              <w:rPr>
                <w:rFonts w:hint="eastAsia" w:ascii="宋体" w:hAnsi="宋体" w:cs="宋体"/>
                <w:color w:val="auto"/>
                <w:sz w:val="21"/>
                <w:szCs w:val="21"/>
                <w:highlight w:val="none"/>
                <w:lang w:val="en-US" w:eastAsia="zh-CN"/>
              </w:rPr>
              <w:t>供</w:t>
            </w:r>
            <w:r>
              <w:rPr>
                <w:rFonts w:hint="eastAsia" w:ascii="宋体" w:hAnsi="宋体" w:eastAsia="宋体" w:cs="宋体"/>
                <w:color w:val="auto"/>
                <w:sz w:val="21"/>
                <w:szCs w:val="21"/>
                <w:highlight w:val="none"/>
                <w:lang w:val="en-US" w:eastAsia="zh-CN"/>
              </w:rPr>
              <w:t>合同关键页加盖公章</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p>
            <w:pPr>
              <w:pStyle w:val="34"/>
              <w:numPr>
                <w:ilvl w:val="0"/>
                <w:numId w:val="30"/>
              </w:numPr>
              <w:snapToGrid w:val="0"/>
              <w:spacing w:line="360" w:lineRule="auto"/>
              <w:ind w:left="425" w:leftChars="0" w:hanging="425" w:firstLineChars="0"/>
              <w:jc w:val="left"/>
              <w:rPr>
                <w:rFonts w:hint="eastAsia" w:ascii="宋体" w:hAnsi="宋体"/>
                <w:color w:val="auto"/>
                <w:szCs w:val="21"/>
                <w:highlight w:val="none"/>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投标人提供</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自2019年1月1日以来，英文社交账号运营案例</w:t>
            </w:r>
            <w:r>
              <w:rPr>
                <w:rFonts w:hint="eastAsia" w:ascii="宋体" w:hAnsi="宋体" w:cs="宋体"/>
                <w:color w:val="auto"/>
                <w:sz w:val="21"/>
                <w:szCs w:val="21"/>
                <w:highlight w:val="none"/>
                <w:lang w:val="en-US" w:eastAsia="zh-CN"/>
              </w:rPr>
              <w:t>进行评议</w:t>
            </w:r>
            <w:r>
              <w:rPr>
                <w:rFonts w:hint="eastAsia" w:ascii="宋体" w:hAnsi="宋体" w:eastAsia="宋体" w:cs="宋体"/>
                <w:color w:val="auto"/>
                <w:sz w:val="21"/>
                <w:szCs w:val="21"/>
                <w:highlight w:val="none"/>
                <w:lang w:val="en-US" w:eastAsia="zh-CN"/>
              </w:rPr>
              <w:t>，账号粉丝</w:t>
            </w:r>
            <w:r>
              <w:rPr>
                <w:rFonts w:hint="eastAsia" w:ascii="宋体" w:hAnsi="宋体" w:cs="宋体"/>
                <w:color w:val="auto"/>
                <w:sz w:val="21"/>
                <w:szCs w:val="21"/>
                <w:highlight w:val="none"/>
                <w:lang w:val="en-US" w:eastAsia="zh-CN"/>
              </w:rPr>
              <w:t>量</w:t>
            </w:r>
            <w:r>
              <w:rPr>
                <w:rFonts w:hint="eastAsia" w:ascii="宋体" w:hAnsi="宋体" w:eastAsia="宋体" w:cs="宋体"/>
                <w:color w:val="auto"/>
                <w:sz w:val="21"/>
                <w:szCs w:val="21"/>
                <w:highlight w:val="none"/>
                <w:lang w:val="en-US" w:eastAsia="zh-CN"/>
              </w:rPr>
              <w:t>10万以上</w:t>
            </w:r>
            <w:r>
              <w:rPr>
                <w:rFonts w:hint="eastAsia" w:ascii="宋体" w:hAnsi="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5分，</w:t>
            </w:r>
            <w:r>
              <w:rPr>
                <w:rFonts w:hint="eastAsia" w:ascii="宋体" w:hAnsi="宋体" w:cs="宋体"/>
                <w:color w:val="auto"/>
                <w:sz w:val="21"/>
                <w:szCs w:val="21"/>
                <w:highlight w:val="none"/>
                <w:lang w:val="en-US" w:eastAsia="zh-CN"/>
              </w:rPr>
              <w:t>粉丝量</w:t>
            </w:r>
            <w:r>
              <w:rPr>
                <w:rFonts w:hint="eastAsia" w:ascii="宋体" w:hAnsi="宋体" w:eastAsia="宋体" w:cs="宋体"/>
                <w:color w:val="auto"/>
                <w:sz w:val="21"/>
                <w:szCs w:val="21"/>
                <w:highlight w:val="none"/>
                <w:lang w:val="en-US" w:eastAsia="zh-CN"/>
              </w:rPr>
              <w:t>7万</w:t>
            </w:r>
            <w:r>
              <w:rPr>
                <w:rFonts w:hint="eastAsia" w:ascii="宋体" w:hAnsi="宋体" w:cs="宋体"/>
                <w:color w:val="auto"/>
                <w:sz w:val="21"/>
                <w:szCs w:val="21"/>
                <w:highlight w:val="none"/>
                <w:lang w:val="en-US" w:eastAsia="zh-CN"/>
              </w:rPr>
              <w:t>以上得</w:t>
            </w:r>
            <w:r>
              <w:rPr>
                <w:rFonts w:hint="eastAsia" w:ascii="宋体" w:hAnsi="宋体" w:eastAsia="宋体" w:cs="宋体"/>
                <w:color w:val="auto"/>
                <w:sz w:val="21"/>
                <w:szCs w:val="21"/>
                <w:highlight w:val="none"/>
                <w:lang w:val="en-US" w:eastAsia="zh-CN"/>
              </w:rPr>
              <w:t>3分，</w:t>
            </w:r>
            <w:r>
              <w:rPr>
                <w:rFonts w:hint="eastAsia" w:ascii="宋体" w:hAnsi="宋体" w:cs="宋体"/>
                <w:color w:val="auto"/>
                <w:sz w:val="21"/>
                <w:szCs w:val="21"/>
                <w:highlight w:val="none"/>
                <w:lang w:val="en-US" w:eastAsia="zh-CN"/>
              </w:rPr>
              <w:t>粉丝量</w:t>
            </w:r>
            <w:r>
              <w:rPr>
                <w:rFonts w:hint="eastAsia" w:ascii="宋体" w:hAnsi="宋体" w:eastAsia="宋体" w:cs="宋体"/>
                <w:color w:val="auto"/>
                <w:sz w:val="21"/>
                <w:szCs w:val="21"/>
                <w:highlight w:val="none"/>
                <w:lang w:val="en-US" w:eastAsia="zh-CN"/>
              </w:rPr>
              <w:t>5万</w:t>
            </w:r>
            <w:r>
              <w:rPr>
                <w:rFonts w:hint="eastAsia" w:ascii="宋体" w:hAnsi="宋体" w:cs="宋体"/>
                <w:color w:val="auto"/>
                <w:sz w:val="21"/>
                <w:szCs w:val="21"/>
                <w:highlight w:val="none"/>
                <w:lang w:val="en-US" w:eastAsia="zh-CN"/>
              </w:rPr>
              <w:t>以上得</w:t>
            </w:r>
            <w:r>
              <w:rPr>
                <w:rFonts w:hint="eastAsia" w:ascii="宋体" w:hAnsi="宋体" w:eastAsia="宋体" w:cs="宋体"/>
                <w:color w:val="auto"/>
                <w:sz w:val="21"/>
                <w:szCs w:val="21"/>
                <w:highlight w:val="none"/>
                <w:lang w:val="en-US" w:eastAsia="zh-CN"/>
              </w:rPr>
              <w:t>1分。</w:t>
            </w:r>
          </w:p>
          <w:p>
            <w:pPr>
              <w:pStyle w:val="34"/>
              <w:numPr>
                <w:ilvl w:val="-1"/>
                <w:numId w:val="0"/>
              </w:numPr>
              <w:snapToGrid w:val="0"/>
              <w:spacing w:line="360" w:lineRule="auto"/>
              <w:ind w:left="0" w:leftChars="0" w:firstLine="0" w:firstLineChars="0"/>
              <w:jc w:val="left"/>
              <w:rPr>
                <w:rFonts w:ascii="宋体" w:hAnsi="宋体"/>
                <w:color w:val="auto"/>
                <w:szCs w:val="21"/>
                <w:highlight w:val="none"/>
              </w:rPr>
            </w:pPr>
            <w:r>
              <w:rPr>
                <w:rFonts w:hint="eastAsia" w:ascii="宋体" w:hAnsi="宋体" w:cs="宋体"/>
                <w:color w:val="auto"/>
                <w:sz w:val="21"/>
                <w:szCs w:val="21"/>
                <w:highlight w:val="none"/>
              </w:rPr>
              <w:t>说明：</w:t>
            </w:r>
            <w:r>
              <w:rPr>
                <w:rFonts w:hint="eastAsia" w:ascii="宋体" w:hAnsi="宋体" w:cs="宋体"/>
                <w:color w:val="auto"/>
                <w:sz w:val="21"/>
                <w:szCs w:val="21"/>
                <w:highlight w:val="none"/>
                <w:lang w:val="en-US" w:eastAsia="zh-CN"/>
              </w:rPr>
              <w:t>以</w:t>
            </w:r>
            <w:r>
              <w:rPr>
                <w:rFonts w:hint="eastAsia" w:ascii="宋体" w:hAnsi="宋体" w:cs="宋体"/>
                <w:color w:val="auto"/>
                <w:sz w:val="21"/>
                <w:szCs w:val="21"/>
                <w:highlight w:val="none"/>
              </w:rPr>
              <w:t>投标人</w:t>
            </w:r>
            <w:r>
              <w:rPr>
                <w:rFonts w:hint="eastAsia" w:ascii="宋体" w:hAnsi="宋体" w:cs="宋体"/>
                <w:color w:val="auto"/>
                <w:sz w:val="21"/>
                <w:szCs w:val="21"/>
                <w:highlight w:val="none"/>
                <w:lang w:val="en-US" w:eastAsia="zh-CN"/>
              </w:rPr>
              <w:t>所</w:t>
            </w:r>
            <w:r>
              <w:rPr>
                <w:rFonts w:hint="eastAsia" w:ascii="宋体" w:hAnsi="宋体" w:cs="宋体"/>
                <w:color w:val="auto"/>
                <w:sz w:val="21"/>
                <w:szCs w:val="21"/>
                <w:highlight w:val="none"/>
              </w:rPr>
              <w:t>提供</w:t>
            </w:r>
            <w:r>
              <w:rPr>
                <w:rFonts w:hint="eastAsia" w:ascii="宋体" w:hAnsi="宋体" w:cs="宋体"/>
                <w:color w:val="auto"/>
                <w:sz w:val="21"/>
                <w:szCs w:val="21"/>
                <w:highlight w:val="none"/>
                <w:lang w:val="en-US" w:eastAsia="zh-CN"/>
              </w:rPr>
              <w:t>的案例</w:t>
            </w:r>
            <w:r>
              <w:rPr>
                <w:rFonts w:hint="eastAsia" w:ascii="宋体" w:hAnsi="宋体" w:eastAsia="宋体" w:cs="宋体"/>
                <w:color w:val="auto"/>
                <w:sz w:val="21"/>
                <w:szCs w:val="21"/>
                <w:highlight w:val="none"/>
              </w:rPr>
              <w:t>合同关键页复印件（合同关键页包含但不限于项目名称、业主方名称、签订时间、甲乙双方盖章等信息）</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案例情况陈述（可包括策划方案、</w:t>
            </w:r>
            <w:r>
              <w:rPr>
                <w:rFonts w:hint="eastAsia" w:ascii="宋体" w:hAnsi="宋体" w:eastAsia="宋体" w:cs="宋体"/>
                <w:color w:val="auto"/>
                <w:sz w:val="21"/>
                <w:szCs w:val="21"/>
                <w:highlight w:val="none"/>
                <w:lang w:val="en-US" w:eastAsia="zh-CN"/>
              </w:rPr>
              <w:t>网站公众号效果</w:t>
            </w:r>
            <w:r>
              <w:rPr>
                <w:rFonts w:hint="eastAsia" w:ascii="宋体" w:hAnsi="宋体" w:eastAsia="宋体" w:cs="宋体"/>
                <w:color w:val="auto"/>
                <w:sz w:val="21"/>
                <w:szCs w:val="21"/>
                <w:highlight w:val="none"/>
              </w:rPr>
              <w:t>展示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展会面积、社交账号粉丝量）等相关材料作为评审依据（</w:t>
            </w:r>
            <w:r>
              <w:rPr>
                <w:rFonts w:hint="eastAsia" w:ascii="宋体" w:eastAsia="宋体" w:cs="宋体"/>
                <w:color w:val="auto"/>
                <w:kern w:val="0"/>
                <w:sz w:val="21"/>
                <w:szCs w:val="21"/>
                <w:highlight w:val="none"/>
              </w:rPr>
              <w:t>以上证明资料均需加盖投标人公章</w:t>
            </w:r>
            <w:r>
              <w:rPr>
                <w:rFonts w:hint="eastAsia" w:ascii="宋体" w:hAnsi="宋体" w:cs="宋体"/>
                <w:color w:val="auto"/>
                <w:sz w:val="21"/>
                <w:szCs w:val="21"/>
                <w:highlight w:val="none"/>
                <w:lang w:eastAsia="zh-CN"/>
              </w:rPr>
              <w:t>），</w:t>
            </w:r>
            <w:r>
              <w:rPr>
                <w:rFonts w:hint="eastAsia" w:ascii="宋体" w:hAnsi="宋体"/>
                <w:color w:val="auto"/>
                <w:sz w:val="21"/>
                <w:szCs w:val="21"/>
                <w:highlight w:val="none"/>
              </w:rPr>
              <w:t>未提供相应资料或</w:t>
            </w:r>
            <w:r>
              <w:rPr>
                <w:rFonts w:hint="eastAsia" w:ascii="宋体" w:hAnsi="宋体"/>
                <w:color w:val="auto"/>
                <w:sz w:val="21"/>
                <w:szCs w:val="21"/>
                <w:highlight w:val="none"/>
                <w:lang w:val="en-US" w:eastAsia="zh-CN"/>
              </w:rPr>
              <w:t>资料</w:t>
            </w:r>
            <w:r>
              <w:rPr>
                <w:rFonts w:hint="eastAsia" w:ascii="宋体" w:hAnsi="宋体"/>
                <w:color w:val="auto"/>
                <w:sz w:val="21"/>
                <w:szCs w:val="21"/>
                <w:highlight w:val="none"/>
              </w:rPr>
              <w:t>不清晰者不得分</w:t>
            </w:r>
            <w:r>
              <w:rPr>
                <w:rFonts w:hint="eastAsia" w:ascii="宋体" w:hAnsi="宋体" w:cs="宋体"/>
                <w:color w:val="auto"/>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color w:val="auto"/>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技术服务评议项（</w:t>
            </w:r>
            <w:r>
              <w:rPr>
                <w:rFonts w:hint="eastAsia" w:ascii="宋体" w:hAnsi="宋体"/>
                <w:color w:val="auto"/>
                <w:szCs w:val="21"/>
                <w:highlight w:val="none"/>
                <w:lang w:val="en-US" w:eastAsia="zh-CN"/>
              </w:rPr>
              <w:t>40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tblCellSpacing w:w="0" w:type="dxa"/>
        </w:trPr>
        <w:tc>
          <w:tcPr>
            <w:tcW w:w="704" w:type="dxa"/>
            <w:tcBorders>
              <w:tl2br w:val="nil"/>
              <w:tr2bl w:val="nil"/>
            </w:tcBorders>
            <w:vAlign w:val="center"/>
          </w:tcPr>
          <w:p>
            <w:pPr>
              <w:pStyle w:val="22"/>
              <w:numPr>
                <w:ilvl w:val="0"/>
                <w:numId w:val="31"/>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b w:val="0"/>
                <w:bCs w:val="0"/>
                <w:color w:val="auto"/>
                <w:highlight w:val="none"/>
                <w:lang w:val="en-US" w:eastAsia="zh-CN"/>
              </w:rPr>
            </w:pPr>
            <w:r>
              <w:rPr>
                <w:rFonts w:hint="eastAsia"/>
                <w:b w:val="0"/>
                <w:bCs w:val="0"/>
                <w:color w:val="auto"/>
                <w:highlight w:val="none"/>
                <w:lang w:val="en-US" w:eastAsia="zh-CN"/>
              </w:rPr>
              <w:t>项目实施</w:t>
            </w:r>
          </w:p>
          <w:p>
            <w:pPr>
              <w:spacing w:line="320" w:lineRule="exact"/>
              <w:jc w:val="center"/>
              <w:rPr>
                <w:color w:val="auto"/>
                <w:highlight w:val="none"/>
              </w:rPr>
            </w:pPr>
            <w:r>
              <w:rPr>
                <w:rFonts w:hint="eastAsia"/>
                <w:b w:val="0"/>
                <w:bCs w:val="0"/>
                <w:color w:val="auto"/>
                <w:highlight w:val="none"/>
                <w:lang w:val="en-US" w:eastAsia="zh-CN"/>
              </w:rPr>
              <w:t>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0</w:t>
            </w:r>
          </w:p>
        </w:tc>
        <w:tc>
          <w:tcPr>
            <w:tcW w:w="6804" w:type="dxa"/>
            <w:gridSpan w:val="2"/>
            <w:tcBorders>
              <w:tl2br w:val="nil"/>
              <w:tr2bl w:val="nil"/>
            </w:tcBorders>
            <w:tcMar>
              <w:top w:w="15" w:type="dxa"/>
              <w:left w:w="15" w:type="dxa"/>
              <w:bottom w:w="15" w:type="dxa"/>
              <w:right w:w="15" w:type="dxa"/>
            </w:tcMar>
            <w:vAlign w:val="center"/>
          </w:tcPr>
          <w:p>
            <w:pPr>
              <w:pStyle w:val="34"/>
              <w:numPr>
                <w:ilvl w:val="0"/>
                <w:numId w:val="0"/>
              </w:numPr>
              <w:snapToGrid w:val="0"/>
              <w:spacing w:line="360" w:lineRule="auto"/>
              <w:ind w:left="0" w:leftChars="0" w:firstLine="0" w:firstLineChars="0"/>
              <w:jc w:val="left"/>
              <w:rPr>
                <w:rFonts w:ascii="宋体" w:hAnsi="宋体" w:cs="宋体"/>
                <w:color w:val="auto"/>
                <w:kern w:val="0"/>
                <w:szCs w:val="21"/>
                <w:highlight w:val="none"/>
              </w:rPr>
            </w:pPr>
            <w:r>
              <w:rPr>
                <w:rFonts w:hint="eastAsia" w:ascii="宋体" w:hAnsi="宋体" w:cs="宋体"/>
                <w:color w:val="auto"/>
                <w:sz w:val="21"/>
                <w:szCs w:val="21"/>
                <w:highlight w:val="none"/>
                <w:lang w:val="en-US" w:eastAsia="zh-CN"/>
              </w:rPr>
              <w:t>根据投标人</w:t>
            </w:r>
            <w:r>
              <w:rPr>
                <w:rFonts w:hint="eastAsia" w:ascii="宋体" w:hAnsi="宋体" w:eastAsia="宋体" w:cs="宋体"/>
                <w:color w:val="auto"/>
                <w:sz w:val="21"/>
                <w:szCs w:val="21"/>
                <w:highlight w:val="none"/>
                <w:lang w:val="en-US" w:eastAsia="zh-CN"/>
              </w:rPr>
              <w:t>针对本项目提供的实施方案包括但不限于内容策划与采编、质量控制保障措施、沟通及响应机制、时间进度表等</w:t>
            </w:r>
            <w:r>
              <w:rPr>
                <w:rFonts w:hint="eastAsia" w:ascii="宋体" w:hAnsi="宋体" w:cs="宋体"/>
                <w:color w:val="auto"/>
                <w:sz w:val="21"/>
                <w:szCs w:val="21"/>
                <w:highlight w:val="none"/>
                <w:lang w:val="en-US" w:eastAsia="zh-CN"/>
              </w:rPr>
              <w:t>进行综合比较</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方案</w:t>
            </w:r>
            <w:r>
              <w:rPr>
                <w:rFonts w:hint="eastAsia" w:ascii="宋体" w:hAnsi="宋体" w:eastAsia="宋体" w:cs="宋体"/>
                <w:color w:val="auto"/>
                <w:sz w:val="21"/>
                <w:szCs w:val="21"/>
                <w:highlight w:val="none"/>
                <w:lang w:val="en-US" w:eastAsia="zh-CN"/>
              </w:rPr>
              <w:t>内容</w:t>
            </w:r>
            <w:r>
              <w:rPr>
                <w:rFonts w:hint="eastAsia" w:ascii="宋体" w:hAnsi="宋体" w:cs="宋体"/>
                <w:color w:val="auto"/>
                <w:sz w:val="21"/>
                <w:szCs w:val="21"/>
                <w:highlight w:val="none"/>
                <w:lang w:val="en-US" w:eastAsia="zh-CN"/>
              </w:rPr>
              <w:t>越</w:t>
            </w:r>
            <w:r>
              <w:rPr>
                <w:rFonts w:hint="eastAsia" w:ascii="宋体" w:hAnsi="宋体" w:eastAsia="宋体" w:cs="宋体"/>
                <w:color w:val="auto"/>
                <w:sz w:val="21"/>
                <w:szCs w:val="21"/>
                <w:highlight w:val="none"/>
                <w:lang w:val="en-US" w:eastAsia="zh-CN"/>
              </w:rPr>
              <w:t>完整、</w:t>
            </w:r>
            <w:r>
              <w:rPr>
                <w:rFonts w:hint="eastAsia" w:ascii="宋体" w:hAnsi="宋体" w:cs="宋体"/>
                <w:color w:val="auto"/>
                <w:sz w:val="21"/>
                <w:szCs w:val="21"/>
                <w:highlight w:val="none"/>
                <w:lang w:val="en-US" w:eastAsia="zh-CN"/>
              </w:rPr>
              <w:t>越</w:t>
            </w:r>
            <w:r>
              <w:rPr>
                <w:rFonts w:hint="eastAsia" w:ascii="宋体" w:hAnsi="宋体" w:eastAsia="宋体" w:cs="宋体"/>
                <w:color w:val="auto"/>
                <w:sz w:val="21"/>
                <w:szCs w:val="21"/>
                <w:highlight w:val="none"/>
                <w:lang w:val="en-US" w:eastAsia="zh-CN"/>
              </w:rPr>
              <w:t>详细，表述</w:t>
            </w:r>
            <w:r>
              <w:rPr>
                <w:rFonts w:hint="eastAsia" w:ascii="宋体" w:hAnsi="宋体" w:cs="宋体"/>
                <w:color w:val="auto"/>
                <w:sz w:val="21"/>
                <w:szCs w:val="21"/>
                <w:highlight w:val="none"/>
                <w:lang w:val="en-US" w:eastAsia="zh-CN"/>
              </w:rPr>
              <w:t>越</w:t>
            </w:r>
            <w:r>
              <w:rPr>
                <w:rFonts w:hint="eastAsia" w:ascii="宋体" w:hAnsi="宋体" w:eastAsia="宋体" w:cs="宋体"/>
                <w:color w:val="auto"/>
                <w:sz w:val="21"/>
                <w:szCs w:val="21"/>
                <w:highlight w:val="none"/>
                <w:lang w:val="en-US" w:eastAsia="zh-CN"/>
              </w:rPr>
              <w:t>清晰，</w:t>
            </w:r>
            <w:r>
              <w:rPr>
                <w:rFonts w:hint="eastAsia" w:ascii="宋体" w:hAnsi="宋体" w:cs="宋体"/>
                <w:color w:val="auto"/>
                <w:sz w:val="21"/>
                <w:szCs w:val="21"/>
                <w:highlight w:val="none"/>
                <w:lang w:val="en-US" w:eastAsia="zh-CN"/>
              </w:rPr>
              <w:t>越</w:t>
            </w:r>
            <w:r>
              <w:rPr>
                <w:rFonts w:hint="eastAsia" w:ascii="宋体" w:hAnsi="宋体" w:eastAsia="宋体" w:cs="宋体"/>
                <w:color w:val="auto"/>
                <w:sz w:val="21"/>
                <w:szCs w:val="21"/>
                <w:highlight w:val="none"/>
                <w:lang w:val="en-US" w:eastAsia="zh-CN"/>
              </w:rPr>
              <w:t>科学合理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切实可行</w:t>
            </w:r>
            <w:r>
              <w:rPr>
                <w:rFonts w:hint="eastAsia" w:ascii="宋体" w:hAnsi="宋体" w:cs="宋体"/>
                <w:color w:val="auto"/>
                <w:sz w:val="21"/>
                <w:szCs w:val="21"/>
                <w:highlight w:val="none"/>
                <w:lang w:val="en-US" w:eastAsia="zh-CN"/>
              </w:rPr>
              <w:t>者得分越高，优秀</w:t>
            </w:r>
            <w:r>
              <w:rPr>
                <w:rFonts w:hint="eastAsia" w:ascii="宋体" w:hAnsi="宋体" w:eastAsia="宋体" w:cs="宋体"/>
                <w:color w:val="auto"/>
                <w:sz w:val="21"/>
                <w:szCs w:val="21"/>
                <w:highlight w:val="none"/>
                <w:lang w:val="en-US" w:eastAsia="zh-CN"/>
              </w:rPr>
              <w:t>得2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良好得15分，一般</w:t>
            </w:r>
            <w:r>
              <w:rPr>
                <w:rFonts w:hint="eastAsia" w:ascii="宋体" w:hAnsi="宋体" w:eastAsia="宋体" w:cs="宋体"/>
                <w:color w:val="auto"/>
                <w:sz w:val="21"/>
                <w:szCs w:val="21"/>
                <w:highlight w:val="none"/>
                <w:lang w:val="en-US" w:eastAsia="zh-CN"/>
              </w:rPr>
              <w:t>得1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31"/>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val="en-US" w:eastAsia="zh-CN"/>
              </w:rPr>
              <w:t>团队</w:t>
            </w:r>
          </w:p>
          <w:p>
            <w:pPr>
              <w:spacing w:line="320" w:lineRule="exact"/>
              <w:jc w:val="center"/>
              <w:rPr>
                <w:color w:val="auto"/>
                <w:highlight w:val="none"/>
              </w:rPr>
            </w:pPr>
            <w:r>
              <w:rPr>
                <w:rFonts w:hint="eastAsia" w:ascii="宋体" w:hAnsi="宋体" w:cs="宋体"/>
                <w:color w:val="auto"/>
                <w:sz w:val="21"/>
                <w:szCs w:val="21"/>
                <w:highlight w:val="none"/>
                <w:lang w:val="en-US" w:eastAsia="zh-CN"/>
              </w:rPr>
              <w:t>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34"/>
              <w:numPr>
                <w:ilvl w:val="0"/>
                <w:numId w:val="0"/>
              </w:numPr>
              <w:snapToGrid w:val="0"/>
              <w:spacing w:line="360" w:lineRule="auto"/>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（1）项目团队配备有母语为英语的外籍人员得5分，不配备外籍人员不得分。需提供《外国人工作许可证》复印件加盖公章。</w:t>
            </w:r>
          </w:p>
          <w:p>
            <w:pPr>
              <w:pStyle w:val="34"/>
              <w:numPr>
                <w:ilvl w:val="0"/>
                <w:numId w:val="0"/>
              </w:numPr>
              <w:snapToGrid w:val="0"/>
              <w:spacing w:line="360" w:lineRule="auto"/>
              <w:jc w:val="left"/>
              <w:rPr>
                <w:rFonts w:ascii="宋体" w:hAnsi="宋体" w:cs="宋体"/>
                <w:color w:val="auto"/>
                <w:kern w:val="0"/>
                <w:szCs w:val="21"/>
                <w:highlight w:val="none"/>
              </w:rPr>
            </w:pPr>
            <w:r>
              <w:rPr>
                <w:rFonts w:hint="eastAsia" w:ascii="宋体" w:hAnsi="宋体" w:cs="宋体"/>
                <w:color w:val="auto"/>
                <w:sz w:val="21"/>
                <w:szCs w:val="21"/>
                <w:highlight w:val="none"/>
                <w:lang w:val="en-US" w:eastAsia="zh-CN"/>
              </w:rPr>
              <w:t>（2）其他项目团队成员配置进行综合比较：团队中拥有英语专业、新闻媒体专业本科及以上学历者越多，得分越高，最多者得5分，第二名得3分，第三名得1分，其他或没有相关人员不得分。需提供拟投入本项目人员毕业证书复印件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31"/>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both"/>
              <w:rPr>
                <w:color w:val="auto"/>
                <w:highlight w:val="none"/>
              </w:rPr>
            </w:pPr>
            <w:r>
              <w:rPr>
                <w:rFonts w:hint="eastAsia" w:ascii="宋体" w:hAnsi="宋体" w:cs="宋体"/>
                <w:color w:val="auto"/>
                <w:sz w:val="21"/>
                <w:szCs w:val="21"/>
                <w:highlight w:val="none"/>
                <w:lang w:val="en-US" w:eastAsia="zh-CN"/>
              </w:rPr>
              <w:t>获奖情况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10分</w:t>
            </w:r>
          </w:p>
        </w:tc>
        <w:tc>
          <w:tcPr>
            <w:tcW w:w="6804" w:type="dxa"/>
            <w:gridSpan w:val="2"/>
            <w:tcBorders>
              <w:tl2br w:val="nil"/>
              <w:tr2bl w:val="nil"/>
            </w:tcBorders>
            <w:tcMar>
              <w:top w:w="15" w:type="dxa"/>
              <w:left w:w="15" w:type="dxa"/>
              <w:bottom w:w="15" w:type="dxa"/>
              <w:right w:w="15" w:type="dxa"/>
            </w:tcMar>
            <w:vAlign w:val="center"/>
          </w:tcPr>
          <w:p>
            <w:pPr>
              <w:pStyle w:val="34"/>
              <w:numPr>
                <w:ilvl w:val="0"/>
                <w:numId w:val="32"/>
              </w:numPr>
              <w:snapToGrid w:val="0"/>
              <w:spacing w:line="360" w:lineRule="auto"/>
              <w:ind w:left="425" w:leftChars="0" w:hanging="425"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投标人获得</w:t>
            </w:r>
            <w:r>
              <w:rPr>
                <w:rFonts w:hint="eastAsia" w:ascii="宋体" w:hAnsi="宋体" w:cs="宋体"/>
                <w:color w:val="auto"/>
                <w:sz w:val="21"/>
                <w:szCs w:val="21"/>
                <w:highlight w:val="none"/>
                <w:lang w:val="en-US" w:eastAsia="zh-CN"/>
              </w:rPr>
              <w:t>由新闻媒体行业的国际机构、协会颁发的荣誉</w:t>
            </w:r>
            <w:r>
              <w:rPr>
                <w:rFonts w:hint="eastAsia" w:ascii="宋体" w:hAnsi="宋体" w:eastAsia="宋体" w:cs="宋体"/>
                <w:color w:val="auto"/>
                <w:sz w:val="21"/>
                <w:szCs w:val="21"/>
                <w:highlight w:val="none"/>
                <w:lang w:val="en-US" w:eastAsia="zh-CN"/>
              </w:rPr>
              <w:t>证书</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获奖证书</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pStyle w:val="34"/>
              <w:numPr>
                <w:ilvl w:val="0"/>
                <w:numId w:val="32"/>
              </w:numPr>
              <w:snapToGrid w:val="0"/>
              <w:spacing w:line="360" w:lineRule="auto"/>
              <w:ind w:left="425" w:leftChars="0" w:hanging="425" w:firstLineChars="0"/>
              <w:jc w:val="left"/>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投标人获得</w:t>
            </w:r>
            <w:r>
              <w:rPr>
                <w:rFonts w:hint="eastAsia" w:ascii="宋体" w:hAnsi="宋体" w:cs="宋体"/>
                <w:color w:val="auto"/>
                <w:sz w:val="21"/>
                <w:szCs w:val="21"/>
                <w:highlight w:val="none"/>
                <w:lang w:val="en-US" w:eastAsia="zh-CN"/>
              </w:rPr>
              <w:t>由新闻媒体行业</w:t>
            </w:r>
            <w:r>
              <w:rPr>
                <w:rFonts w:hint="eastAsia"/>
                <w:color w:val="auto"/>
                <w:sz w:val="21"/>
                <w:szCs w:val="21"/>
                <w:highlight w:val="none"/>
                <w:lang w:val="en-US" w:eastAsia="zh-CN"/>
              </w:rPr>
              <w:t>的国家机构、协会颁发的</w:t>
            </w:r>
            <w:r>
              <w:rPr>
                <w:rFonts w:hint="eastAsia" w:ascii="宋体" w:hAnsi="宋体" w:eastAsia="宋体" w:cs="宋体"/>
                <w:color w:val="auto"/>
                <w:sz w:val="21"/>
                <w:szCs w:val="21"/>
                <w:highlight w:val="none"/>
                <w:lang w:val="en-US" w:eastAsia="zh-CN"/>
              </w:rPr>
              <w:t>荣誉证书</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获奖证书</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pStyle w:val="34"/>
              <w:numPr>
                <w:ilvl w:val="-1"/>
                <w:numId w:val="0"/>
              </w:numPr>
              <w:snapToGrid w:val="0"/>
              <w:spacing w:line="360" w:lineRule="auto"/>
              <w:ind w:left="0" w:leftChars="0" w:firstLine="0" w:firstLineChars="0"/>
              <w:jc w:val="left"/>
              <w:rPr>
                <w:rFonts w:ascii="宋体" w:hAnsi="宋体" w:cs="宋体"/>
                <w:color w:val="auto"/>
                <w:kern w:val="0"/>
                <w:szCs w:val="21"/>
                <w:highlight w:val="none"/>
              </w:rPr>
            </w:pPr>
            <w:r>
              <w:rPr>
                <w:rFonts w:hint="eastAsia" w:ascii="宋体" w:hAnsi="宋体" w:cs="宋体"/>
                <w:color w:val="auto"/>
                <w:sz w:val="21"/>
                <w:szCs w:val="21"/>
                <w:highlight w:val="none"/>
                <w:lang w:val="en-US" w:eastAsia="zh-CN"/>
              </w:rPr>
              <w:t>说明：投标人提供荣誉证书或获奖证书复印件加盖公章。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spacing w:before="100" w:beforeAutospacing="1" w:after="100" w:afterAutospacing="1" w:line="360" w:lineRule="auto"/>
              <w:ind w:left="247" w:hanging="247" w:hangingChars="117"/>
              <w:jc w:val="center"/>
              <w:rPr>
                <w:rFonts w:ascii="宋体" w:hAnsi="宋体"/>
                <w:b/>
                <w:color w:val="auto"/>
                <w:szCs w:val="21"/>
                <w:highlight w:val="none"/>
              </w:rPr>
            </w:pPr>
            <w:r>
              <w:rPr>
                <w:rFonts w:hint="eastAsia" w:ascii="宋体" w:hAnsi="宋体"/>
                <w:b/>
                <w:color w:val="auto"/>
                <w:szCs w:val="21"/>
                <w:highlight w:val="none"/>
              </w:rPr>
              <w:t>价格评议项（</w:t>
            </w:r>
            <w:r>
              <w:rPr>
                <w:rFonts w:hint="eastAsia" w:ascii="宋体" w:hAnsi="宋体"/>
                <w:color w:val="auto"/>
                <w:szCs w:val="21"/>
                <w:highlight w:val="none"/>
                <w:lang w:val="en-US" w:eastAsia="zh-CN"/>
              </w:rPr>
              <w:t>30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投标人报价是指投标净价金额。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19"/>
                <w:rFonts w:ascii="宋体" w:hAnsi="宋体"/>
                <w:color w:val="auto"/>
                <w:highlight w:val="none"/>
              </w:rPr>
            </w:pPr>
            <w:r>
              <w:rPr>
                <w:rStyle w:val="19"/>
                <w:rFonts w:hint="eastAsia" w:ascii="宋体" w:hAnsi="宋体"/>
                <w:color w:val="auto"/>
                <w:highlight w:val="none"/>
              </w:rPr>
              <w:t>价格得分=（1-A×｜1-投标报价/Z｜）×M</w:t>
            </w:r>
          </w:p>
          <w:p>
            <w:pPr>
              <w:numPr>
                <w:ilvl w:val="0"/>
                <w:numId w:val="33"/>
              </w:numPr>
              <w:autoSpaceDE w:val="0"/>
              <w:autoSpaceDN w:val="0"/>
              <w:adjustRightInd w:val="0"/>
              <w:snapToGrid w:val="0"/>
              <w:jc w:val="left"/>
              <w:rPr>
                <w:rStyle w:val="19"/>
                <w:rFonts w:ascii="宋体" w:hAnsi="宋体"/>
                <w:color w:val="auto"/>
                <w:highlight w:val="none"/>
              </w:rPr>
            </w:pPr>
            <w:r>
              <w:rPr>
                <w:rStyle w:val="19"/>
                <w:rFonts w:hint="eastAsia" w:ascii="宋体" w:hAnsi="宋体"/>
                <w:color w:val="auto"/>
                <w:highlight w:val="none"/>
              </w:rPr>
              <w:t xml:space="preserve">M= </w:t>
            </w:r>
            <w:r>
              <w:rPr>
                <w:rFonts w:hint="eastAsia" w:ascii="宋体" w:hAnsi="宋体"/>
                <w:color w:val="auto"/>
                <w:szCs w:val="21"/>
                <w:highlight w:val="none"/>
              </w:rPr>
              <w:t>××</w:t>
            </w:r>
            <w:r>
              <w:rPr>
                <w:rStyle w:val="19"/>
                <w:rFonts w:hint="eastAsia" w:ascii="宋体" w:hAnsi="宋体"/>
                <w:color w:val="auto"/>
                <w:highlight w:val="none"/>
              </w:rPr>
              <w:t xml:space="preserve"> （价格评价分项满分值），Z为本次招标最佳报价（即基准价）；</w:t>
            </w:r>
          </w:p>
          <w:p>
            <w:pPr>
              <w:numPr>
                <w:ilvl w:val="0"/>
                <w:numId w:val="33"/>
              </w:numPr>
              <w:autoSpaceDE w:val="0"/>
              <w:autoSpaceDN w:val="0"/>
              <w:adjustRightInd w:val="0"/>
              <w:snapToGrid w:val="0"/>
              <w:jc w:val="left"/>
              <w:rPr>
                <w:rStyle w:val="19"/>
                <w:rFonts w:ascii="宋体" w:hAnsi="宋体"/>
                <w:color w:val="auto"/>
                <w:highlight w:val="none"/>
              </w:rPr>
            </w:pPr>
            <w:r>
              <w:rPr>
                <w:rStyle w:val="19"/>
                <w:rFonts w:hint="eastAsia" w:ascii="宋体" w:hAnsi="宋体"/>
                <w:color w:val="auto"/>
                <w:highlight w:val="none"/>
              </w:rPr>
              <w:t>A为价格调整系数，当投标报价低于本次招标最佳报价（即基准价）时，A=0.5；当投标报价高于次招标最佳报价时，取A=1；</w:t>
            </w:r>
          </w:p>
          <w:p>
            <w:pPr>
              <w:numPr>
                <w:ilvl w:val="0"/>
                <w:numId w:val="33"/>
              </w:numPr>
              <w:jc w:val="left"/>
              <w:rPr>
                <w:rFonts w:ascii="宋体" w:cs="宋体"/>
                <w:color w:val="auto"/>
                <w:kern w:val="0"/>
                <w:szCs w:val="21"/>
                <w:highlight w:val="none"/>
              </w:rPr>
            </w:pPr>
            <w:r>
              <w:rPr>
                <w:rStyle w:val="19"/>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其他</w:t>
            </w:r>
            <w:r>
              <w:rPr>
                <w:rFonts w:ascii="宋体" w:hAnsi="宋体"/>
                <w:color w:val="auto"/>
                <w:szCs w:val="21"/>
                <w:highlight w:val="none"/>
              </w:rPr>
              <w:t>方法</w:t>
            </w:r>
          </w:p>
        </w:tc>
        <w:tc>
          <w:tcPr>
            <w:tcW w:w="5950" w:type="dxa"/>
            <w:tcBorders>
              <w:tl2br w:val="nil"/>
              <w:tr2bl w:val="nil"/>
            </w:tcBorders>
            <w:vAlign w:val="center"/>
          </w:tcPr>
          <w:p>
            <w:pPr>
              <w:widowControl w:val="0"/>
              <w:autoSpaceDE w:val="0"/>
              <w:autoSpaceDN w:val="0"/>
              <w:adjustRightInd w:val="0"/>
              <w:snapToGrid w:val="0"/>
              <w:ind w:firstLine="0" w:firstLineChars="0"/>
              <w:jc w:val="left"/>
              <w:rPr>
                <w:rStyle w:val="19"/>
                <w:rFonts w:hint="eastAsia" w:ascii="宋体" w:hAnsi="宋体"/>
                <w:color w:val="auto"/>
                <w:szCs w:val="21"/>
                <w:highlight w:val="none"/>
              </w:rPr>
            </w:pPr>
            <w:r>
              <w:rPr>
                <w:rStyle w:val="19"/>
                <w:rFonts w:hint="eastAsia" w:ascii="宋体" w:hAnsi="宋体"/>
                <w:color w:val="auto"/>
                <w:szCs w:val="21"/>
                <w:highlight w:val="none"/>
              </w:rPr>
              <w:t>价格得分=（1-|投标报价-基准价|÷基准价）×价格权重分</w:t>
            </w:r>
          </w:p>
          <w:p>
            <w:pPr>
              <w:spacing w:line="240" w:lineRule="atLeast"/>
              <w:jc w:val="left"/>
              <w:rPr>
                <w:rFonts w:ascii="宋体" w:cs="宋体"/>
                <w:color w:val="auto"/>
                <w:kern w:val="0"/>
                <w:szCs w:val="21"/>
                <w:highlight w:val="none"/>
              </w:rPr>
            </w:pPr>
            <w:r>
              <w:rPr>
                <w:rStyle w:val="19"/>
                <w:rFonts w:hint="eastAsia" w:ascii="宋体" w:hAnsi="宋体"/>
                <w:color w:val="auto"/>
                <w:szCs w:val="21"/>
                <w:highlight w:val="none"/>
              </w:rPr>
              <w:t>说明：报价最接近基准价的投标人价格分最高，价格分保留至小数点后两位。</w:t>
            </w:r>
          </w:p>
        </w:tc>
      </w:tr>
    </w:tbl>
    <w:p>
      <w:pPr>
        <w:numPr>
          <w:ilvl w:val="0"/>
          <w:numId w:val="24"/>
        </w:numPr>
        <w:spacing w:before="936" w:beforeLines="300" w:line="360" w:lineRule="auto"/>
        <w:jc w:val="left"/>
        <w:outlineLvl w:val="2"/>
        <w:rPr>
          <w:rStyle w:val="29"/>
          <w:rFonts w:ascii="宋体" w:hAnsi="宋体"/>
          <w:b/>
          <w:bCs/>
          <w:color w:val="auto"/>
          <w:szCs w:val="21"/>
          <w:highlight w:val="none"/>
        </w:rPr>
      </w:pPr>
      <w:bookmarkStart w:id="52" w:name="_Toc106791265"/>
      <w:r>
        <w:rPr>
          <w:rStyle w:val="29"/>
          <w:rFonts w:hint="eastAsia" w:ascii="宋体" w:hAnsi="宋体"/>
          <w:b/>
          <w:bCs/>
          <w:color w:val="auto"/>
          <w:szCs w:val="21"/>
          <w:highlight w:val="none"/>
        </w:rPr>
        <w:t>综合评议指标表</w:t>
      </w:r>
      <w:bookmarkEnd w:id="52"/>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34"/>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34"/>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szCs w:val="21"/>
          <w:highlight w:val="none"/>
        </w:rPr>
      </w:pPr>
      <w:bookmarkStart w:id="53" w:name="_Toc106791266"/>
      <w:r>
        <w:rPr>
          <w:rFonts w:hint="eastAsia" w:ascii="宋体" w:hAnsi="宋体"/>
          <w:b/>
          <w:sz w:val="32"/>
          <w:szCs w:val="32"/>
          <w:highlight w:val="none"/>
        </w:rPr>
        <w:t>第四部分：合同条款及格式</w:t>
      </w:r>
      <w:bookmarkEnd w:id="53"/>
    </w:p>
    <w:p>
      <w:pPr>
        <w:spacing w:line="440" w:lineRule="exact"/>
        <w:rPr>
          <w:rFonts w:ascii="宋体" w:hAnsi="宋体"/>
          <w:szCs w:val="21"/>
          <w:highlight w:val="none"/>
        </w:rPr>
      </w:pPr>
    </w:p>
    <w:p>
      <w:pPr>
        <w:pStyle w:val="2"/>
        <w:rPr>
          <w:highlight w:val="none"/>
        </w:rPr>
      </w:pPr>
    </w:p>
    <w:p>
      <w:pPr>
        <w:spacing w:line="360" w:lineRule="auto"/>
        <w:jc w:val="center"/>
        <w:rPr>
          <w:rFonts w:hint="eastAsia" w:ascii="黑体" w:hAnsi="黑体" w:eastAsia="黑体" w:cs="黑体"/>
          <w:b/>
          <w:bCs w:val="0"/>
          <w:color w:val="auto"/>
          <w:sz w:val="44"/>
          <w:szCs w:val="44"/>
          <w:highlight w:val="none"/>
          <w:lang w:val="en-US" w:eastAsia="zh-CN"/>
        </w:rPr>
      </w:pPr>
      <w:r>
        <w:rPr>
          <w:rFonts w:hint="eastAsia" w:ascii="黑体" w:hAnsi="黑体" w:eastAsia="黑体" w:cs="黑体"/>
          <w:b/>
          <w:bCs w:val="0"/>
          <w:color w:val="auto"/>
          <w:sz w:val="44"/>
          <w:szCs w:val="44"/>
          <w:highlight w:val="none"/>
          <w:lang w:val="en-US" w:eastAsia="zh-CN"/>
        </w:rPr>
        <w:t>深圳会展中心高交会英文网站、英文微信公众号运维管理和专题宣传服务项目</w:t>
      </w:r>
    </w:p>
    <w:p>
      <w:pPr>
        <w:spacing w:line="360" w:lineRule="auto"/>
        <w:jc w:val="center"/>
        <w:rPr>
          <w:rStyle w:val="35"/>
          <w:rFonts w:hint="default" w:ascii="黑体" w:hAnsi="黑体" w:eastAsia="黑体" w:cs="黑体"/>
          <w:b/>
          <w:bCs w:val="0"/>
          <w:sz w:val="44"/>
          <w:szCs w:val="44"/>
          <w:highlight w:val="none"/>
          <w:lang w:val="en-US"/>
        </w:rPr>
      </w:pPr>
      <w:r>
        <w:rPr>
          <w:rFonts w:hint="eastAsia" w:ascii="黑体" w:hAnsi="黑体" w:eastAsia="黑体" w:cs="黑体"/>
          <w:b/>
          <w:bCs w:val="0"/>
          <w:color w:val="auto"/>
          <w:sz w:val="44"/>
          <w:szCs w:val="44"/>
          <w:highlight w:val="none"/>
          <w:lang w:val="en-US" w:eastAsia="zh-CN"/>
        </w:rPr>
        <w:t>（仅供参考）</w:t>
      </w:r>
    </w:p>
    <w:p>
      <w:pPr>
        <w:spacing w:line="460" w:lineRule="exact"/>
        <w:rPr>
          <w:rStyle w:val="35"/>
          <w:rFonts w:ascii="仿宋_GB2312" w:hAnsi="Arial" w:eastAsia="仿宋_GB2312"/>
          <w:b/>
          <w:bCs/>
          <w:color w:val="000000"/>
          <w:sz w:val="28"/>
          <w:szCs w:val="28"/>
          <w:highlight w:val="none"/>
        </w:rPr>
      </w:pPr>
    </w:p>
    <w:p>
      <w:pPr>
        <w:spacing w:line="240" w:lineRule="atLeast"/>
        <w:rPr>
          <w:rStyle w:val="35"/>
          <w:rFonts w:ascii="仿宋_GB2312" w:hAnsi="Arial" w:eastAsia="仿宋_GB2312"/>
          <w:bCs/>
          <w:color w:val="000000"/>
          <w:sz w:val="28"/>
          <w:szCs w:val="28"/>
          <w:highlight w:val="none"/>
        </w:rPr>
      </w:pPr>
      <w:r>
        <w:rPr>
          <w:rStyle w:val="35"/>
          <w:rFonts w:ascii="仿宋_GB2312" w:hAnsi="Arial" w:eastAsia="仿宋_GB2312"/>
          <w:b/>
          <w:bCs/>
          <w:color w:val="000000"/>
          <w:sz w:val="28"/>
          <w:szCs w:val="28"/>
          <w:highlight w:val="none"/>
        </w:rPr>
        <w:t>甲  方：</w:t>
      </w:r>
      <w:r>
        <w:rPr>
          <w:rStyle w:val="35"/>
          <w:rFonts w:ascii="仿宋_GB2312" w:hAnsi="Arial" w:eastAsia="仿宋_GB2312"/>
          <w:bCs/>
          <w:color w:val="000000"/>
          <w:sz w:val="28"/>
          <w:szCs w:val="28"/>
          <w:highlight w:val="none"/>
        </w:rPr>
        <w:t>深圳会展中心管理有限责任公司</w:t>
      </w:r>
    </w:p>
    <w:p>
      <w:pPr>
        <w:spacing w:line="240" w:lineRule="atLeast"/>
        <w:rPr>
          <w:rStyle w:val="35"/>
          <w:rFonts w:ascii="仿宋_GB2312" w:hAnsi="Arial" w:eastAsia="仿宋_GB2312"/>
          <w:color w:val="000000"/>
          <w:sz w:val="28"/>
          <w:szCs w:val="28"/>
          <w:highlight w:val="none"/>
        </w:rPr>
      </w:pPr>
      <w:r>
        <w:rPr>
          <w:rStyle w:val="35"/>
          <w:rFonts w:ascii="仿宋_GB2312" w:hAnsi="Arial" w:eastAsia="仿宋_GB2312"/>
          <w:color w:val="000000"/>
          <w:sz w:val="28"/>
          <w:szCs w:val="28"/>
          <w:highlight w:val="none"/>
        </w:rPr>
        <w:t>联系人：              联系方式：</w:t>
      </w:r>
    </w:p>
    <w:p>
      <w:pPr>
        <w:spacing w:line="240" w:lineRule="atLeast"/>
        <w:rPr>
          <w:rStyle w:val="35"/>
          <w:rFonts w:ascii="仿宋_GB2312" w:hAnsi="Arial" w:eastAsia="仿宋_GB2312"/>
          <w:color w:val="000000"/>
          <w:sz w:val="28"/>
          <w:szCs w:val="28"/>
          <w:highlight w:val="none"/>
        </w:rPr>
      </w:pPr>
      <w:r>
        <w:rPr>
          <w:rStyle w:val="35"/>
          <w:rFonts w:ascii="仿宋_GB2312" w:hAnsi="Arial" w:eastAsia="仿宋_GB2312"/>
          <w:color w:val="000000"/>
          <w:sz w:val="28"/>
          <w:szCs w:val="28"/>
          <w:highlight w:val="none"/>
        </w:rPr>
        <w:t>地  址：深圳市福田区福华三路深圳会展中心</w:t>
      </w:r>
    </w:p>
    <w:p>
      <w:pPr>
        <w:spacing w:line="240" w:lineRule="atLeast"/>
        <w:rPr>
          <w:rStyle w:val="35"/>
          <w:rFonts w:ascii="仿宋_GB2312" w:hAnsi="Arial" w:eastAsia="仿宋_GB2312"/>
          <w:color w:val="000000"/>
          <w:sz w:val="28"/>
          <w:szCs w:val="28"/>
          <w:highlight w:val="none"/>
        </w:rPr>
      </w:pPr>
      <w:r>
        <w:rPr>
          <w:rStyle w:val="35"/>
          <w:rFonts w:ascii="仿宋_GB2312" w:hAnsi="Arial" w:eastAsia="仿宋_GB2312"/>
          <w:color w:val="000000"/>
          <w:sz w:val="28"/>
          <w:szCs w:val="28"/>
          <w:highlight w:val="none"/>
        </w:rPr>
        <w:t>邮政编码：518048</w:t>
      </w:r>
    </w:p>
    <w:p>
      <w:pPr>
        <w:spacing w:line="240" w:lineRule="atLeast"/>
        <w:rPr>
          <w:rStyle w:val="35"/>
          <w:rFonts w:ascii="仿宋_GB2312" w:hAnsi="Arial" w:eastAsia="仿宋_GB2312"/>
          <w:color w:val="000000"/>
          <w:sz w:val="28"/>
          <w:szCs w:val="28"/>
          <w:highlight w:val="none"/>
        </w:rPr>
      </w:pPr>
    </w:p>
    <w:p>
      <w:pPr>
        <w:spacing w:line="240" w:lineRule="atLeast"/>
        <w:rPr>
          <w:rStyle w:val="35"/>
          <w:rFonts w:ascii="仿宋_GB2312" w:hAnsi="宋体" w:eastAsia="仿宋_GB2312"/>
          <w:b/>
          <w:sz w:val="28"/>
          <w:szCs w:val="28"/>
          <w:highlight w:val="none"/>
        </w:rPr>
      </w:pPr>
      <w:r>
        <w:rPr>
          <w:rStyle w:val="35"/>
          <w:rFonts w:ascii="仿宋_GB2312" w:hAnsi="宋体" w:eastAsia="仿宋_GB2312"/>
          <w:b/>
          <w:bCs/>
          <w:sz w:val="28"/>
          <w:szCs w:val="28"/>
          <w:highlight w:val="none"/>
        </w:rPr>
        <w:t>乙  方：</w:t>
      </w:r>
    </w:p>
    <w:p>
      <w:pPr>
        <w:spacing w:line="240" w:lineRule="atLeast"/>
        <w:rPr>
          <w:rStyle w:val="35"/>
          <w:rFonts w:ascii="仿宋_GB2312" w:hAnsi="Arial" w:eastAsia="仿宋_GB2312"/>
          <w:color w:val="000000"/>
          <w:sz w:val="28"/>
          <w:szCs w:val="28"/>
          <w:highlight w:val="none"/>
        </w:rPr>
      </w:pPr>
      <w:r>
        <w:rPr>
          <w:rStyle w:val="35"/>
          <w:rFonts w:ascii="仿宋_GB2312" w:hAnsi="Arial" w:eastAsia="仿宋_GB2312"/>
          <w:color w:val="000000"/>
          <w:sz w:val="28"/>
          <w:szCs w:val="28"/>
          <w:highlight w:val="none"/>
        </w:rPr>
        <w:t>联系人：             联系电话</w:t>
      </w:r>
    </w:p>
    <w:p>
      <w:pPr>
        <w:spacing w:line="240" w:lineRule="atLeast"/>
        <w:rPr>
          <w:rStyle w:val="35"/>
          <w:rFonts w:ascii="仿宋_GB2312" w:hAnsi="Arial" w:eastAsia="仿宋_GB2312"/>
          <w:color w:val="000000"/>
          <w:sz w:val="28"/>
          <w:szCs w:val="28"/>
          <w:highlight w:val="none"/>
        </w:rPr>
      </w:pPr>
      <w:r>
        <w:rPr>
          <w:rStyle w:val="35"/>
          <w:rFonts w:ascii="仿宋_GB2312" w:hAnsi="Arial" w:eastAsia="仿宋_GB2312"/>
          <w:color w:val="000000"/>
          <w:sz w:val="28"/>
          <w:szCs w:val="28"/>
          <w:highlight w:val="none"/>
        </w:rPr>
        <w:t>地址：</w:t>
      </w:r>
    </w:p>
    <w:p>
      <w:pPr>
        <w:spacing w:line="240" w:lineRule="atLeast"/>
        <w:rPr>
          <w:rStyle w:val="35"/>
          <w:rFonts w:ascii="仿宋_GB2312" w:hAnsi="Arial" w:eastAsia="仿宋_GB2312"/>
          <w:color w:val="000000"/>
          <w:sz w:val="28"/>
          <w:szCs w:val="28"/>
          <w:highlight w:val="none"/>
        </w:rPr>
      </w:pPr>
      <w:r>
        <w:rPr>
          <w:rStyle w:val="35"/>
          <w:rFonts w:ascii="仿宋_GB2312" w:hAnsi="Arial" w:eastAsia="仿宋_GB2312"/>
          <w:color w:val="000000"/>
          <w:sz w:val="28"/>
          <w:szCs w:val="28"/>
          <w:highlight w:val="none"/>
        </w:rPr>
        <w:t>邮政编码：</w:t>
      </w:r>
    </w:p>
    <w:p>
      <w:pPr>
        <w:spacing w:line="240" w:lineRule="atLeast"/>
        <w:rPr>
          <w:rStyle w:val="35"/>
          <w:rFonts w:ascii="仿宋_GB2312" w:hAnsi="Arial" w:eastAsia="仿宋_GB2312"/>
          <w:color w:val="000000"/>
          <w:sz w:val="28"/>
          <w:szCs w:val="28"/>
          <w:highlight w:val="none"/>
        </w:rPr>
      </w:pPr>
    </w:p>
    <w:p>
      <w:pPr>
        <w:numPr>
          <w:ilvl w:val="0"/>
          <w:numId w:val="35"/>
        </w:numPr>
        <w:tabs>
          <w:tab w:val="left" w:pos="420"/>
          <w:tab w:val="left" w:pos="567"/>
        </w:tabs>
        <w:spacing w:line="240" w:lineRule="atLeast"/>
        <w:rPr>
          <w:rStyle w:val="35"/>
          <w:rFonts w:ascii="仿宋_GB2312" w:hAnsi="宋体" w:eastAsia="仿宋_GB2312"/>
          <w:b/>
          <w:sz w:val="28"/>
          <w:szCs w:val="28"/>
          <w:highlight w:val="none"/>
        </w:rPr>
      </w:pPr>
      <w:r>
        <w:rPr>
          <w:rStyle w:val="35"/>
          <w:rFonts w:ascii="仿宋_GB2312" w:hAnsi="宋体" w:eastAsia="仿宋_GB2312"/>
          <w:b/>
          <w:sz w:val="28"/>
          <w:szCs w:val="28"/>
          <w:highlight w:val="none"/>
        </w:rPr>
        <w:t>总则</w:t>
      </w:r>
    </w:p>
    <w:p>
      <w:pPr>
        <w:spacing w:line="240" w:lineRule="atLeast"/>
        <w:ind w:left="200" w:firstLine="560" w:firstLineChars="200"/>
        <w:jc w:val="left"/>
        <w:rPr>
          <w:rStyle w:val="35"/>
          <w:rFonts w:ascii="仿宋_GB2312" w:hAnsi="宋体" w:eastAsia="仿宋_GB2312"/>
          <w:sz w:val="28"/>
          <w:szCs w:val="28"/>
          <w:highlight w:val="none"/>
        </w:rPr>
      </w:pPr>
      <w:r>
        <w:rPr>
          <w:rStyle w:val="35"/>
          <w:rFonts w:ascii="仿宋_GB2312" w:hAnsi="宋体" w:eastAsia="仿宋_GB2312"/>
          <w:sz w:val="28"/>
          <w:szCs w:val="28"/>
          <w:highlight w:val="none"/>
        </w:rPr>
        <w:t>深圳会展中心管理有限责任公司（以下简称甲方）为中国国际高新技术成果交易会</w:t>
      </w:r>
      <w:r>
        <w:rPr>
          <w:rStyle w:val="35"/>
          <w:rFonts w:hint="eastAsia" w:ascii="仿宋_GB2312" w:hAnsi="宋体" w:eastAsia="仿宋_GB2312"/>
          <w:sz w:val="28"/>
          <w:szCs w:val="28"/>
          <w:highlight w:val="none"/>
        </w:rPr>
        <w:t>英文专题、</w:t>
      </w:r>
      <w:r>
        <w:rPr>
          <w:rStyle w:val="35"/>
          <w:rFonts w:ascii="仿宋_GB2312" w:hAnsi="宋体" w:eastAsia="仿宋_GB2312"/>
          <w:sz w:val="28"/>
          <w:szCs w:val="28"/>
          <w:highlight w:val="none"/>
        </w:rPr>
        <w:t>英文网站</w:t>
      </w:r>
      <w:r>
        <w:rPr>
          <w:rStyle w:val="35"/>
          <w:rFonts w:hint="eastAsia" w:ascii="仿宋_GB2312" w:hAnsi="宋体" w:eastAsia="仿宋_GB2312"/>
          <w:sz w:val="28"/>
          <w:szCs w:val="28"/>
          <w:highlight w:val="none"/>
        </w:rPr>
        <w:t>及微信公众号</w:t>
      </w:r>
      <w:r>
        <w:rPr>
          <w:rStyle w:val="35"/>
          <w:rFonts w:ascii="仿宋_GB2312" w:hAnsi="宋体" w:eastAsia="仿宋_GB2312"/>
          <w:sz w:val="28"/>
          <w:szCs w:val="28"/>
          <w:highlight w:val="none"/>
        </w:rPr>
        <w:t>的主办单位。协议中</w:t>
      </w:r>
      <w:r>
        <w:rPr>
          <w:rStyle w:val="35"/>
          <w:rFonts w:hint="eastAsia" w:ascii="仿宋_GB2312" w:hAnsi="宋体" w:eastAsia="仿宋_GB2312"/>
          <w:sz w:val="28"/>
          <w:szCs w:val="28"/>
          <w:highlight w:val="none"/>
        </w:rPr>
        <w:t>乙方为</w:t>
      </w:r>
      <w:r>
        <w:rPr>
          <w:rStyle w:val="35"/>
          <w:rFonts w:ascii="仿宋_GB2312" w:hAnsi="宋体" w:eastAsia="仿宋_GB2312"/>
          <w:sz w:val="28"/>
          <w:szCs w:val="28"/>
          <w:highlight w:val="none"/>
        </w:rPr>
        <w:t>所有提及的</w:t>
      </w:r>
      <w:r>
        <w:rPr>
          <w:rStyle w:val="35"/>
          <w:rFonts w:hint="eastAsia" w:ascii="仿宋_GB2312" w:hAnsi="宋体" w:eastAsia="仿宋_GB2312"/>
          <w:sz w:val="28"/>
          <w:szCs w:val="28"/>
          <w:highlight w:val="none"/>
        </w:rPr>
        <w:t>英文专题、</w:t>
      </w:r>
      <w:r>
        <w:rPr>
          <w:rStyle w:val="35"/>
          <w:rFonts w:ascii="仿宋_GB2312" w:hAnsi="宋体" w:eastAsia="仿宋_GB2312"/>
          <w:sz w:val="28"/>
          <w:szCs w:val="28"/>
          <w:highlight w:val="none"/>
        </w:rPr>
        <w:t>英文网站</w:t>
      </w:r>
      <w:r>
        <w:rPr>
          <w:rStyle w:val="35"/>
          <w:rFonts w:hint="eastAsia" w:ascii="仿宋_GB2312" w:hAnsi="宋体" w:eastAsia="仿宋_GB2312"/>
          <w:sz w:val="28"/>
          <w:szCs w:val="28"/>
          <w:highlight w:val="none"/>
        </w:rPr>
        <w:t>及微信公众号服务</w:t>
      </w:r>
      <w:r>
        <w:rPr>
          <w:rStyle w:val="35"/>
          <w:rFonts w:ascii="仿宋_GB2312" w:hAnsi="宋体" w:eastAsia="仿宋_GB2312"/>
          <w:sz w:val="28"/>
          <w:szCs w:val="28"/>
          <w:highlight w:val="none"/>
        </w:rPr>
        <w:t>方。本着互利互惠、诚实信用的原则，双方达成以下协议条款，共同遵守。</w:t>
      </w:r>
    </w:p>
    <w:p>
      <w:pPr>
        <w:spacing w:line="240" w:lineRule="atLeast"/>
        <w:ind w:firstLine="560" w:firstLineChars="200"/>
        <w:rPr>
          <w:rStyle w:val="35"/>
          <w:rFonts w:ascii="仿宋_GB2312" w:hAnsi="宋体" w:eastAsia="仿宋_GB2312"/>
          <w:sz w:val="28"/>
          <w:szCs w:val="28"/>
          <w:highlight w:val="none"/>
        </w:rPr>
      </w:pPr>
    </w:p>
    <w:p>
      <w:pPr>
        <w:numPr>
          <w:ilvl w:val="0"/>
          <w:numId w:val="35"/>
        </w:numPr>
        <w:tabs>
          <w:tab w:val="left" w:pos="420"/>
          <w:tab w:val="left" w:pos="567"/>
        </w:tabs>
        <w:spacing w:line="240" w:lineRule="atLeast"/>
        <w:rPr>
          <w:rStyle w:val="35"/>
          <w:rFonts w:ascii="仿宋_GB2312" w:hAnsi="宋体" w:eastAsia="仿宋_GB2312"/>
          <w:b/>
          <w:sz w:val="28"/>
          <w:szCs w:val="28"/>
          <w:highlight w:val="none"/>
        </w:rPr>
      </w:pPr>
      <w:r>
        <w:rPr>
          <w:rStyle w:val="35"/>
          <w:rFonts w:ascii="仿宋_GB2312" w:hAnsi="宋体" w:eastAsia="仿宋_GB2312"/>
          <w:b/>
          <w:sz w:val="28"/>
          <w:szCs w:val="28"/>
          <w:highlight w:val="none"/>
        </w:rPr>
        <w:t>双方的权利和义务</w:t>
      </w:r>
    </w:p>
    <w:p>
      <w:pPr>
        <w:pStyle w:val="22"/>
        <w:numPr>
          <w:ilvl w:val="0"/>
          <w:numId w:val="36"/>
        </w:numPr>
        <w:tabs>
          <w:tab w:val="left" w:pos="567"/>
        </w:tabs>
        <w:spacing w:line="240" w:lineRule="atLeast"/>
        <w:ind w:firstLineChars="0"/>
        <w:rPr>
          <w:rStyle w:val="35"/>
          <w:rFonts w:ascii="仿宋_GB2312" w:hAnsi="宋体" w:eastAsia="仿宋_GB2312"/>
          <w:b/>
          <w:sz w:val="28"/>
          <w:szCs w:val="28"/>
          <w:highlight w:val="none"/>
        </w:rPr>
      </w:pPr>
      <w:r>
        <w:rPr>
          <w:rStyle w:val="35"/>
          <w:rFonts w:ascii="仿宋_GB2312" w:hAnsi="宋体" w:eastAsia="仿宋_GB2312"/>
          <w:b/>
          <w:sz w:val="28"/>
          <w:szCs w:val="28"/>
          <w:highlight w:val="none"/>
        </w:rPr>
        <w:t>甲方的权利和义务</w:t>
      </w:r>
    </w:p>
    <w:p>
      <w:pPr>
        <w:pStyle w:val="22"/>
        <w:numPr>
          <w:ilvl w:val="0"/>
          <w:numId w:val="37"/>
        </w:numPr>
        <w:spacing w:line="240" w:lineRule="atLeast"/>
        <w:ind w:right="-58" w:firstLineChars="0"/>
        <w:rPr>
          <w:rFonts w:hint="eastAsia" w:ascii="仿宋" w:hAnsi="仿宋" w:eastAsia="仿宋"/>
          <w:sz w:val="28"/>
          <w:szCs w:val="28"/>
          <w:highlight w:val="none"/>
        </w:rPr>
      </w:pPr>
      <w:r>
        <w:rPr>
          <w:rFonts w:hint="eastAsia" w:ascii="仿宋" w:hAnsi="仿宋" w:eastAsia="仿宋"/>
          <w:sz w:val="28"/>
          <w:szCs w:val="28"/>
          <w:highlight w:val="none"/>
        </w:rPr>
        <w:t>甲方应及时提供高交会专题宣传推广、网站维护和微信公众号的相关材料及视频、图片，</w:t>
      </w:r>
      <w:r>
        <w:rPr>
          <w:rStyle w:val="35"/>
          <w:rFonts w:ascii="仿宋_GB2312" w:hAnsi="宋体" w:eastAsia="仿宋_GB2312"/>
          <w:sz w:val="28"/>
          <w:szCs w:val="28"/>
          <w:highlight w:val="none"/>
        </w:rPr>
        <w:t>甲方应保证所提供资料的真实性与准确性，其中图片及视频甲方须拥有其版权或合法使用权，如果由于内容版权问题造成的责任损失则由甲方承担。</w:t>
      </w:r>
      <w:r>
        <w:rPr>
          <w:rFonts w:hint="eastAsia" w:ascii="仿宋" w:hAnsi="仿宋" w:eastAsia="仿宋"/>
          <w:sz w:val="28"/>
          <w:szCs w:val="28"/>
          <w:highlight w:val="none"/>
        </w:rPr>
        <w:t>甲方拥有所有高交会宣传推广图文最终成果的版权。</w:t>
      </w:r>
    </w:p>
    <w:p>
      <w:pPr>
        <w:pStyle w:val="22"/>
        <w:numPr>
          <w:ilvl w:val="0"/>
          <w:numId w:val="37"/>
        </w:numPr>
        <w:spacing w:line="240" w:lineRule="atLeast"/>
        <w:ind w:right="-58" w:firstLineChars="0"/>
        <w:rPr>
          <w:rFonts w:ascii="仿宋" w:hAnsi="仿宋" w:eastAsia="仿宋"/>
          <w:sz w:val="28"/>
          <w:szCs w:val="28"/>
          <w:highlight w:val="none"/>
        </w:rPr>
      </w:pPr>
      <w:r>
        <w:rPr>
          <w:rFonts w:hint="eastAsia" w:ascii="仿宋" w:hAnsi="仿宋" w:eastAsia="仿宋"/>
          <w:sz w:val="28"/>
          <w:szCs w:val="28"/>
          <w:highlight w:val="none"/>
        </w:rPr>
        <w:t>甲方有权要求乙方按时提交每届高交会推广宣传报告，</w:t>
      </w:r>
      <w:r>
        <w:rPr>
          <w:rStyle w:val="35"/>
          <w:rFonts w:ascii="仿宋_GB2312" w:hAnsi="宋体" w:eastAsia="仿宋_GB2312"/>
          <w:sz w:val="28"/>
          <w:szCs w:val="28"/>
          <w:highlight w:val="none"/>
        </w:rPr>
        <w:t>在乙方向</w:t>
      </w:r>
      <w:r>
        <w:rPr>
          <w:rStyle w:val="35"/>
          <w:rFonts w:hint="eastAsia" w:ascii="仿宋_GB2312" w:hAnsi="宋体" w:eastAsia="仿宋_GB2312"/>
          <w:sz w:val="28"/>
          <w:szCs w:val="28"/>
          <w:highlight w:val="none"/>
        </w:rPr>
        <w:t xml:space="preserve">  </w:t>
      </w:r>
      <w:r>
        <w:rPr>
          <w:rStyle w:val="35"/>
          <w:rFonts w:ascii="仿宋_GB2312" w:hAnsi="宋体" w:eastAsia="仿宋_GB2312"/>
          <w:sz w:val="28"/>
          <w:szCs w:val="28"/>
          <w:highlight w:val="none"/>
        </w:rPr>
        <w:t>甲方提交工作报告后的10个工作日内由甲方进行验收，如甲方逾期验收，乙方视为甲方验收合格。</w:t>
      </w:r>
    </w:p>
    <w:p>
      <w:pPr>
        <w:spacing w:line="240" w:lineRule="atLeast"/>
        <w:ind w:left="141" w:right="-58"/>
        <w:rPr>
          <w:rFonts w:ascii="仿宋" w:hAnsi="仿宋" w:eastAsia="仿宋"/>
          <w:b/>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甲方应委派专门的人员负责和乙方进行日常沟通。</w:t>
      </w:r>
    </w:p>
    <w:p>
      <w:pPr>
        <w:spacing w:line="240" w:lineRule="atLeast"/>
        <w:ind w:right="-58"/>
        <w:rPr>
          <w:rStyle w:val="35"/>
          <w:rFonts w:ascii="仿宋_GB2312" w:hAnsi="宋体" w:eastAsia="仿宋_GB2312"/>
          <w:sz w:val="28"/>
          <w:szCs w:val="28"/>
          <w:highlight w:val="none"/>
        </w:rPr>
      </w:pPr>
      <w:r>
        <w:rPr>
          <w:rFonts w:hint="eastAsia" w:ascii="仿宋" w:hAnsi="仿宋" w:eastAsia="仿宋"/>
          <w:b/>
          <w:sz w:val="28"/>
          <w:szCs w:val="28"/>
          <w:highlight w:val="none"/>
        </w:rPr>
        <w:t xml:space="preserve"> </w:t>
      </w:r>
    </w:p>
    <w:p>
      <w:pPr>
        <w:pStyle w:val="22"/>
        <w:numPr>
          <w:ilvl w:val="0"/>
          <w:numId w:val="36"/>
        </w:numPr>
        <w:tabs>
          <w:tab w:val="left" w:pos="567"/>
        </w:tabs>
        <w:spacing w:line="240" w:lineRule="atLeast"/>
        <w:ind w:firstLineChars="0"/>
        <w:rPr>
          <w:rStyle w:val="35"/>
          <w:rFonts w:ascii="仿宋_GB2312" w:hAnsi="宋体" w:eastAsia="仿宋_GB2312"/>
          <w:b/>
          <w:sz w:val="28"/>
          <w:szCs w:val="28"/>
          <w:highlight w:val="none"/>
        </w:rPr>
      </w:pPr>
      <w:r>
        <w:rPr>
          <w:rStyle w:val="35"/>
          <w:rFonts w:ascii="仿宋_GB2312" w:hAnsi="宋体" w:eastAsia="仿宋_GB2312"/>
          <w:b/>
          <w:sz w:val="28"/>
          <w:szCs w:val="28"/>
          <w:highlight w:val="none"/>
        </w:rPr>
        <w:t>乙方的权利和义务</w:t>
      </w:r>
    </w:p>
    <w:p>
      <w:pPr>
        <w:pStyle w:val="22"/>
        <w:numPr>
          <w:ilvl w:val="0"/>
          <w:numId w:val="38"/>
        </w:numPr>
        <w:tabs>
          <w:tab w:val="left" w:pos="0"/>
          <w:tab w:val="left" w:pos="540"/>
          <w:tab w:val="left" w:pos="720"/>
        </w:tabs>
        <w:spacing w:line="240" w:lineRule="atLeast"/>
        <w:ind w:firstLineChars="0"/>
        <w:rPr>
          <w:rStyle w:val="35"/>
          <w:rFonts w:ascii="仿宋_GB2312" w:hAnsi="宋体" w:eastAsia="仿宋_GB2312"/>
          <w:sz w:val="28"/>
          <w:szCs w:val="28"/>
          <w:highlight w:val="none"/>
        </w:rPr>
      </w:pPr>
      <w:r>
        <w:rPr>
          <w:rFonts w:hint="eastAsia" w:ascii="仿宋" w:hAnsi="仿宋" w:eastAsia="仿宋"/>
          <w:sz w:val="28"/>
          <w:szCs w:val="28"/>
          <w:highlight w:val="none"/>
        </w:rPr>
        <w:t>乙方保证履行上述合同义务，</w:t>
      </w:r>
      <w:r>
        <w:rPr>
          <w:rStyle w:val="35"/>
          <w:rFonts w:ascii="仿宋_GB2312" w:hAnsi="宋体" w:eastAsia="仿宋_GB2312"/>
          <w:sz w:val="28"/>
          <w:szCs w:val="28"/>
          <w:highlight w:val="none"/>
        </w:rPr>
        <w:t>保证</w:t>
      </w:r>
      <w:r>
        <w:rPr>
          <w:rStyle w:val="35"/>
          <w:rFonts w:hint="eastAsia" w:ascii="仿宋_GB2312" w:hAnsi="宋体" w:eastAsia="仿宋_GB2312"/>
          <w:sz w:val="28"/>
          <w:szCs w:val="28"/>
          <w:highlight w:val="none"/>
        </w:rPr>
        <w:t>所有服务</w:t>
      </w:r>
      <w:r>
        <w:rPr>
          <w:rStyle w:val="35"/>
          <w:rFonts w:ascii="仿宋_GB2312" w:hAnsi="宋体" w:eastAsia="仿宋_GB2312"/>
          <w:sz w:val="28"/>
          <w:szCs w:val="28"/>
          <w:highlight w:val="none"/>
        </w:rPr>
        <w:t>符合国家法律法规</w:t>
      </w:r>
      <w:r>
        <w:rPr>
          <w:rStyle w:val="35"/>
          <w:rFonts w:hint="eastAsia" w:ascii="仿宋_GB2312" w:hAnsi="宋体" w:eastAsia="仿宋_GB2312"/>
          <w:sz w:val="28"/>
          <w:szCs w:val="28"/>
          <w:highlight w:val="none"/>
          <w:lang w:eastAsia="zh-CN"/>
        </w:rPr>
        <w:t>、</w:t>
      </w:r>
      <w:r>
        <w:rPr>
          <w:rStyle w:val="35"/>
          <w:rFonts w:hint="eastAsia" w:ascii="仿宋_GB2312" w:hAnsi="宋体" w:eastAsia="仿宋_GB2312"/>
          <w:sz w:val="28"/>
          <w:szCs w:val="28"/>
          <w:highlight w:val="none"/>
          <w:lang w:val="en-US" w:eastAsia="zh-CN"/>
        </w:rPr>
        <w:t>外宣政策</w:t>
      </w:r>
      <w:r>
        <w:rPr>
          <w:rStyle w:val="35"/>
          <w:rFonts w:ascii="仿宋_GB2312" w:hAnsi="宋体" w:eastAsia="仿宋_GB2312"/>
          <w:sz w:val="28"/>
          <w:szCs w:val="28"/>
          <w:highlight w:val="none"/>
        </w:rPr>
        <w:t>等规定及社会道德规范</w:t>
      </w:r>
      <w:r>
        <w:rPr>
          <w:rStyle w:val="35"/>
          <w:rFonts w:hint="eastAsia" w:ascii="仿宋_GB2312" w:hAnsi="宋体" w:eastAsia="仿宋_GB2312"/>
          <w:sz w:val="28"/>
          <w:szCs w:val="28"/>
          <w:highlight w:val="none"/>
        </w:rPr>
        <w:t>。</w:t>
      </w:r>
      <w:r>
        <w:rPr>
          <w:rFonts w:hint="eastAsia" w:ascii="仿宋" w:hAnsi="仿宋" w:eastAsia="仿宋"/>
          <w:sz w:val="28"/>
          <w:szCs w:val="28"/>
          <w:highlight w:val="none"/>
        </w:rPr>
        <w:t>乙方应主动提前向甲方索要各类工作所需的相关资料，提早向甲方提供相关媒介的政策</w:t>
      </w:r>
      <w:r>
        <w:rPr>
          <w:rStyle w:val="35"/>
          <w:rFonts w:hint="eastAsia" w:ascii="仿宋_GB2312" w:hAnsi="宋体" w:eastAsia="仿宋_GB2312"/>
          <w:sz w:val="28"/>
          <w:szCs w:val="28"/>
          <w:highlight w:val="none"/>
        </w:rPr>
        <w:t>。</w:t>
      </w:r>
      <w:r>
        <w:rPr>
          <w:rStyle w:val="35"/>
          <w:rFonts w:ascii="仿宋_GB2312" w:hAnsi="宋体" w:eastAsia="仿宋_GB2312"/>
          <w:sz w:val="28"/>
          <w:szCs w:val="28"/>
          <w:highlight w:val="none"/>
        </w:rPr>
        <w:t>具体服务内容见附件。</w:t>
      </w:r>
    </w:p>
    <w:p>
      <w:pPr>
        <w:pStyle w:val="22"/>
        <w:numPr>
          <w:ilvl w:val="0"/>
          <w:numId w:val="38"/>
        </w:numPr>
        <w:tabs>
          <w:tab w:val="left" w:pos="0"/>
          <w:tab w:val="left" w:pos="540"/>
          <w:tab w:val="left" w:pos="720"/>
        </w:tabs>
        <w:spacing w:line="240" w:lineRule="atLeast"/>
        <w:ind w:firstLineChars="0"/>
        <w:rPr>
          <w:rFonts w:hint="eastAsia" w:ascii="仿宋" w:hAnsi="仿宋" w:eastAsia="仿宋"/>
          <w:sz w:val="28"/>
          <w:szCs w:val="28"/>
          <w:highlight w:val="none"/>
        </w:rPr>
      </w:pPr>
      <w:r>
        <w:rPr>
          <w:rFonts w:hint="eastAsia" w:ascii="仿宋" w:hAnsi="仿宋" w:eastAsia="仿宋" w:cstheme="minorBidi"/>
          <w:sz w:val="28"/>
          <w:szCs w:val="28"/>
          <w:highlight w:val="none"/>
          <w:lang w:val="en-US" w:eastAsia="zh-CN"/>
        </w:rPr>
        <w:t>乙方需</w:t>
      </w:r>
      <w:r>
        <w:rPr>
          <w:rFonts w:hint="eastAsia" w:ascii="仿宋" w:hAnsi="仿宋" w:eastAsia="仿宋" w:cstheme="minorBidi"/>
          <w:sz w:val="28"/>
          <w:szCs w:val="28"/>
          <w:highlight w:val="none"/>
        </w:rPr>
        <w:t>严格遵照国家有关广告、互联网媒体、新媒体投放要求和规定，对</w:t>
      </w:r>
      <w:r>
        <w:rPr>
          <w:rFonts w:hint="eastAsia" w:ascii="仿宋" w:hAnsi="仿宋" w:eastAsia="仿宋" w:cstheme="minorBidi"/>
          <w:sz w:val="28"/>
          <w:szCs w:val="28"/>
          <w:highlight w:val="none"/>
          <w:lang w:val="en-US" w:eastAsia="zh-CN"/>
        </w:rPr>
        <w:t>甲方</w:t>
      </w:r>
      <w:r>
        <w:rPr>
          <w:rFonts w:hint="eastAsia" w:ascii="仿宋" w:hAnsi="仿宋" w:eastAsia="仿宋" w:cstheme="minorBidi"/>
          <w:sz w:val="28"/>
          <w:szCs w:val="28"/>
          <w:highlight w:val="none"/>
        </w:rPr>
        <w:t>反映需要调整的问题须在4小时之内做出反应</w:t>
      </w:r>
      <w:r>
        <w:rPr>
          <w:rFonts w:hint="eastAsia" w:ascii="仿宋" w:hAnsi="仿宋" w:eastAsia="仿宋" w:cstheme="minorBidi"/>
          <w:sz w:val="28"/>
          <w:szCs w:val="28"/>
          <w:highlight w:val="none"/>
          <w:lang w:eastAsia="zh-CN"/>
        </w:rPr>
        <w:t>。</w:t>
      </w:r>
    </w:p>
    <w:p>
      <w:pPr>
        <w:pStyle w:val="22"/>
        <w:numPr>
          <w:ilvl w:val="0"/>
          <w:numId w:val="38"/>
        </w:numPr>
        <w:tabs>
          <w:tab w:val="left" w:pos="0"/>
          <w:tab w:val="left" w:pos="540"/>
          <w:tab w:val="left" w:pos="720"/>
        </w:tabs>
        <w:spacing w:line="240" w:lineRule="atLeast"/>
        <w:ind w:firstLineChars="0"/>
        <w:rPr>
          <w:rFonts w:ascii="仿宋_GB2312" w:hAnsi="宋体" w:eastAsia="仿宋_GB2312"/>
          <w:sz w:val="28"/>
          <w:szCs w:val="28"/>
          <w:highlight w:val="none"/>
        </w:rPr>
      </w:pPr>
      <w:r>
        <w:rPr>
          <w:rFonts w:hint="eastAsia" w:ascii="仿宋" w:hAnsi="仿宋" w:eastAsia="仿宋"/>
          <w:sz w:val="28"/>
          <w:szCs w:val="28"/>
          <w:highlight w:val="none"/>
        </w:rPr>
        <w:t>乙方委派团队与甲方进行定期与不定期的业务沟通与服务工</w:t>
      </w:r>
    </w:p>
    <w:p>
      <w:pPr>
        <w:pStyle w:val="22"/>
        <w:numPr>
          <w:ilvl w:val="0"/>
          <w:numId w:val="38"/>
        </w:numPr>
        <w:tabs>
          <w:tab w:val="left" w:pos="0"/>
          <w:tab w:val="left" w:pos="540"/>
          <w:tab w:val="left" w:pos="720"/>
        </w:tabs>
        <w:spacing w:line="240" w:lineRule="atLeast"/>
        <w:ind w:firstLineChars="0"/>
        <w:rPr>
          <w:rFonts w:ascii="仿宋_GB2312" w:hAnsi="宋体" w:eastAsia="仿宋_GB2312"/>
          <w:sz w:val="28"/>
          <w:szCs w:val="28"/>
          <w:highlight w:val="none"/>
        </w:rPr>
      </w:pPr>
      <w:r>
        <w:rPr>
          <w:rFonts w:hint="eastAsia" w:ascii="仿宋" w:hAnsi="仿宋" w:eastAsia="仿宋"/>
          <w:sz w:val="28"/>
          <w:szCs w:val="28"/>
          <w:highlight w:val="none"/>
        </w:rPr>
        <w:t>乙方按甲方要求出示完成工作成果，并按时提交工作报告。</w:t>
      </w:r>
    </w:p>
    <w:p>
      <w:pPr>
        <w:numPr>
          <w:ilvl w:val="0"/>
          <w:numId w:val="35"/>
        </w:numPr>
        <w:tabs>
          <w:tab w:val="left" w:pos="0"/>
          <w:tab w:val="left" w:pos="540"/>
          <w:tab w:val="left" w:pos="720"/>
        </w:tabs>
        <w:spacing w:line="240" w:lineRule="atLeast"/>
        <w:rPr>
          <w:rStyle w:val="35"/>
          <w:rFonts w:ascii="仿宋_GB2312" w:hAnsi="宋体" w:eastAsia="仿宋_GB2312"/>
          <w:b/>
          <w:sz w:val="28"/>
          <w:szCs w:val="28"/>
          <w:highlight w:val="none"/>
        </w:rPr>
      </w:pPr>
      <w:r>
        <w:rPr>
          <w:rStyle w:val="35"/>
          <w:rFonts w:ascii="仿宋_GB2312" w:hAnsi="宋体" w:eastAsia="仿宋_GB2312"/>
          <w:b/>
          <w:sz w:val="28"/>
          <w:szCs w:val="28"/>
          <w:highlight w:val="none"/>
        </w:rPr>
        <w:t>协议期限与终止</w:t>
      </w:r>
    </w:p>
    <w:p>
      <w:pPr>
        <w:numPr>
          <w:ilvl w:val="0"/>
          <w:numId w:val="39"/>
        </w:numPr>
        <w:spacing w:line="240" w:lineRule="atLeast"/>
        <w:ind w:firstLine="566"/>
        <w:rPr>
          <w:rStyle w:val="35"/>
          <w:rFonts w:ascii="仿宋_GB2312" w:hAnsi="宋体" w:eastAsia="仿宋_GB2312"/>
          <w:sz w:val="28"/>
          <w:szCs w:val="28"/>
          <w:highlight w:val="none"/>
        </w:rPr>
      </w:pPr>
      <w:r>
        <w:rPr>
          <w:rStyle w:val="35"/>
          <w:rFonts w:ascii="仿宋_GB2312" w:hAnsi="宋体" w:eastAsia="仿宋_GB2312"/>
          <w:sz w:val="28"/>
          <w:szCs w:val="28"/>
          <w:highlight w:val="none"/>
        </w:rPr>
        <w:t>双方约定，本协议合作期限</w:t>
      </w:r>
      <w:r>
        <w:rPr>
          <w:rStyle w:val="35"/>
          <w:rFonts w:ascii="仿宋_GB2312" w:hAnsi="宋体" w:eastAsia="仿宋_GB2312"/>
          <w:sz w:val="28"/>
          <w:szCs w:val="28"/>
          <w:highlight w:val="none"/>
          <w:u w:val="single"/>
        </w:rPr>
        <w:t>自</w:t>
      </w:r>
      <w:r>
        <w:rPr>
          <w:rStyle w:val="35"/>
          <w:rFonts w:hint="eastAsia" w:ascii="仿宋_GB2312" w:hAnsi="宋体" w:eastAsia="仿宋_GB2312"/>
          <w:sz w:val="28"/>
          <w:szCs w:val="28"/>
          <w:highlight w:val="none"/>
          <w:u w:val="single"/>
        </w:rPr>
        <w:t>合同签订之日</w:t>
      </w:r>
      <w:r>
        <w:rPr>
          <w:rStyle w:val="35"/>
          <w:rFonts w:ascii="仿宋_GB2312" w:hAnsi="宋体" w:eastAsia="仿宋_GB2312"/>
          <w:sz w:val="28"/>
          <w:szCs w:val="28"/>
          <w:highlight w:val="none"/>
          <w:u w:val="single"/>
        </w:rPr>
        <w:t>起至</w:t>
      </w:r>
      <w:r>
        <w:rPr>
          <w:rStyle w:val="35"/>
          <w:rFonts w:hint="eastAsia" w:ascii="仿宋_GB2312" w:hAnsi="宋体" w:eastAsia="仿宋_GB2312"/>
          <w:sz w:val="28"/>
          <w:szCs w:val="28"/>
          <w:highlight w:val="none"/>
          <w:u w:val="single"/>
        </w:rPr>
        <w:t>2023</w:t>
      </w:r>
      <w:r>
        <w:rPr>
          <w:rStyle w:val="35"/>
          <w:rFonts w:ascii="仿宋_GB2312" w:hAnsi="宋体" w:eastAsia="仿宋_GB2312"/>
          <w:sz w:val="28"/>
          <w:szCs w:val="28"/>
          <w:highlight w:val="none"/>
          <w:u w:val="single"/>
        </w:rPr>
        <w:t>年</w:t>
      </w:r>
      <w:r>
        <w:rPr>
          <w:rStyle w:val="35"/>
          <w:rFonts w:hint="eastAsia" w:ascii="仿宋_GB2312" w:hAnsi="宋体" w:eastAsia="仿宋_GB2312"/>
          <w:sz w:val="28"/>
          <w:szCs w:val="28"/>
          <w:highlight w:val="none"/>
          <w:u w:val="single"/>
          <w:lang w:val="en-US" w:eastAsia="zh-CN"/>
        </w:rPr>
        <w:t>X</w:t>
      </w:r>
      <w:r>
        <w:rPr>
          <w:rStyle w:val="35"/>
          <w:rFonts w:ascii="仿宋_GB2312" w:hAnsi="宋体" w:eastAsia="仿宋_GB2312"/>
          <w:sz w:val="28"/>
          <w:szCs w:val="28"/>
          <w:highlight w:val="none"/>
          <w:u w:val="single"/>
        </w:rPr>
        <w:t xml:space="preserve">月 </w:t>
      </w:r>
      <w:r>
        <w:rPr>
          <w:rStyle w:val="35"/>
          <w:rFonts w:hint="eastAsia" w:ascii="仿宋_GB2312" w:hAnsi="宋体" w:eastAsia="仿宋_GB2312"/>
          <w:sz w:val="28"/>
          <w:szCs w:val="28"/>
          <w:highlight w:val="none"/>
          <w:u w:val="single"/>
          <w:lang w:val="en-US" w:eastAsia="zh-CN"/>
        </w:rPr>
        <w:t>X</w:t>
      </w:r>
      <w:r>
        <w:rPr>
          <w:rStyle w:val="35"/>
          <w:rFonts w:ascii="仿宋_GB2312" w:hAnsi="宋体" w:eastAsia="仿宋_GB2312"/>
          <w:sz w:val="28"/>
          <w:szCs w:val="28"/>
          <w:highlight w:val="none"/>
          <w:u w:val="single"/>
        </w:rPr>
        <w:t>日止</w:t>
      </w:r>
      <w:r>
        <w:rPr>
          <w:rStyle w:val="35"/>
          <w:rFonts w:ascii="仿宋_GB2312" w:hAnsi="宋体" w:eastAsia="仿宋_GB2312"/>
          <w:sz w:val="28"/>
          <w:szCs w:val="28"/>
          <w:highlight w:val="none"/>
        </w:rPr>
        <w:t>。</w:t>
      </w:r>
    </w:p>
    <w:p>
      <w:pPr>
        <w:pStyle w:val="22"/>
        <w:numPr>
          <w:ilvl w:val="0"/>
          <w:numId w:val="39"/>
        </w:numPr>
        <w:spacing w:line="240" w:lineRule="atLeast"/>
        <w:ind w:firstLineChars="0"/>
        <w:rPr>
          <w:rStyle w:val="35"/>
          <w:rFonts w:ascii="仿宋_GB2312" w:hAnsi="宋体" w:eastAsia="仿宋_GB2312"/>
          <w:sz w:val="28"/>
          <w:szCs w:val="28"/>
          <w:highlight w:val="none"/>
        </w:rPr>
      </w:pPr>
      <w:r>
        <w:rPr>
          <w:rStyle w:val="35"/>
          <w:rFonts w:ascii="仿宋_GB2312" w:hAnsi="宋体" w:eastAsia="仿宋_GB2312"/>
          <w:sz w:val="28"/>
          <w:szCs w:val="28"/>
          <w:highlight w:val="none"/>
        </w:rPr>
        <w:t>经甲乙双方协商同意，可以对本协议进行修改、补充和提前解除，同时双方应签署补充协议。</w:t>
      </w:r>
    </w:p>
    <w:p>
      <w:pPr>
        <w:pStyle w:val="22"/>
        <w:numPr>
          <w:ilvl w:val="0"/>
          <w:numId w:val="39"/>
        </w:numPr>
        <w:spacing w:line="240" w:lineRule="atLeast"/>
        <w:ind w:firstLineChars="0"/>
        <w:rPr>
          <w:rStyle w:val="35"/>
          <w:rFonts w:ascii="仿宋_GB2312" w:hAnsi="宋体" w:eastAsia="仿宋_GB2312"/>
          <w:sz w:val="28"/>
          <w:szCs w:val="28"/>
          <w:highlight w:val="none"/>
        </w:rPr>
      </w:pPr>
      <w:r>
        <w:rPr>
          <w:rStyle w:val="35"/>
          <w:rFonts w:hint="eastAsia" w:ascii="仿宋_GB2312" w:hAnsi="宋体" w:eastAsia="仿宋_GB2312"/>
          <w:sz w:val="28"/>
          <w:szCs w:val="28"/>
          <w:highlight w:val="none"/>
        </w:rPr>
        <w:t>如因疫情等不可抗力因素导致项目延期执行的，</w:t>
      </w:r>
      <w:r>
        <w:rPr>
          <w:rStyle w:val="35"/>
          <w:rFonts w:ascii="仿宋_GB2312" w:hAnsi="宋体" w:eastAsia="仿宋_GB2312"/>
          <w:sz w:val="28"/>
          <w:szCs w:val="28"/>
          <w:highlight w:val="none"/>
        </w:rPr>
        <w:t>合作期限可作相应延长</w:t>
      </w:r>
      <w:r>
        <w:rPr>
          <w:rStyle w:val="35"/>
          <w:rFonts w:hint="eastAsia" w:ascii="仿宋_GB2312" w:hAnsi="宋体" w:eastAsia="仿宋_GB2312"/>
          <w:sz w:val="28"/>
          <w:szCs w:val="28"/>
          <w:highlight w:val="none"/>
        </w:rPr>
        <w:t>，具体执行时间以双方商定为准。</w:t>
      </w:r>
    </w:p>
    <w:p>
      <w:pPr>
        <w:numPr>
          <w:ilvl w:val="0"/>
          <w:numId w:val="35"/>
        </w:numPr>
        <w:tabs>
          <w:tab w:val="left" w:pos="0"/>
          <w:tab w:val="left" w:pos="567"/>
        </w:tabs>
        <w:rPr>
          <w:rStyle w:val="35"/>
          <w:rFonts w:hint="default" w:ascii="仿宋_GB2312" w:hAnsi="宋体" w:eastAsia="仿宋_GB2312"/>
          <w:b/>
          <w:sz w:val="28"/>
          <w:szCs w:val="28"/>
          <w:highlight w:val="none"/>
          <w:lang w:val="en-US" w:eastAsia="zh-CN"/>
        </w:rPr>
      </w:pPr>
      <w:r>
        <w:rPr>
          <w:rStyle w:val="35"/>
          <w:rFonts w:hint="default" w:ascii="仿宋_GB2312" w:hAnsi="宋体" w:eastAsia="仿宋_GB2312"/>
          <w:b/>
          <w:sz w:val="28"/>
          <w:szCs w:val="28"/>
          <w:highlight w:val="none"/>
          <w:lang w:val="en-US" w:eastAsia="zh-CN"/>
        </w:rPr>
        <w:t xml:space="preserve">验收 </w:t>
      </w:r>
    </w:p>
    <w:p>
      <w:pPr>
        <w:pStyle w:val="34"/>
        <w:numPr>
          <w:ilvl w:val="0"/>
          <w:numId w:val="0"/>
        </w:numPr>
        <w:snapToGrid w:val="0"/>
        <w:spacing w:line="360" w:lineRule="auto"/>
        <w:ind w:firstLine="560" w:firstLineChars="200"/>
        <w:jc w:val="left"/>
        <w:rPr>
          <w:rStyle w:val="35"/>
          <w:rFonts w:ascii="仿宋_GB2312" w:eastAsia="仿宋_GB2312" w:cs="Times New Roman"/>
          <w:sz w:val="28"/>
          <w:szCs w:val="28"/>
        </w:rPr>
      </w:pPr>
      <w:r>
        <w:rPr>
          <w:rStyle w:val="35"/>
          <w:rFonts w:ascii="仿宋_GB2312" w:eastAsia="仿宋_GB2312" w:cs="Times New Roman"/>
          <w:sz w:val="28"/>
          <w:szCs w:val="28"/>
        </w:rPr>
        <w:t>项目合同结束后，</w:t>
      </w:r>
      <w:r>
        <w:rPr>
          <w:rStyle w:val="35"/>
          <w:rFonts w:hint="eastAsia" w:ascii="仿宋_GB2312" w:eastAsia="仿宋_GB2312" w:cs="Times New Roman"/>
          <w:sz w:val="28"/>
          <w:szCs w:val="28"/>
          <w:lang w:val="en-US" w:eastAsia="zh-CN"/>
        </w:rPr>
        <w:t>甲方</w:t>
      </w:r>
      <w:r>
        <w:rPr>
          <w:rStyle w:val="35"/>
          <w:rFonts w:ascii="仿宋_GB2312" w:eastAsia="仿宋_GB2312" w:cs="Times New Roman"/>
          <w:sz w:val="28"/>
          <w:szCs w:val="28"/>
        </w:rPr>
        <w:t>将根据</w:t>
      </w:r>
      <w:r>
        <w:rPr>
          <w:rStyle w:val="35"/>
          <w:rFonts w:hint="eastAsia" w:ascii="仿宋_GB2312" w:eastAsia="仿宋_GB2312" w:cs="Times New Roman"/>
          <w:sz w:val="28"/>
          <w:szCs w:val="28"/>
          <w:lang w:val="en-US" w:eastAsia="zh-CN"/>
        </w:rPr>
        <w:t>乙方</w:t>
      </w:r>
      <w:r>
        <w:rPr>
          <w:rStyle w:val="35"/>
          <w:rFonts w:ascii="仿宋_GB2312" w:eastAsia="仿宋_GB2312" w:cs="Times New Roman"/>
          <w:sz w:val="28"/>
          <w:szCs w:val="28"/>
        </w:rPr>
        <w:t>提供的运维报告对项目整体</w:t>
      </w:r>
      <w:r>
        <w:rPr>
          <w:rStyle w:val="35"/>
          <w:rFonts w:hint="eastAsia" w:ascii="仿宋_GB2312" w:eastAsia="仿宋_GB2312" w:cs="Times New Roman"/>
          <w:sz w:val="28"/>
          <w:szCs w:val="28"/>
          <w:lang w:val="en-US" w:eastAsia="zh-CN"/>
        </w:rPr>
        <w:t>完成情况</w:t>
      </w:r>
      <w:r>
        <w:rPr>
          <w:rStyle w:val="35"/>
          <w:rFonts w:ascii="仿宋_GB2312" w:eastAsia="仿宋_GB2312" w:cs="Times New Roman"/>
          <w:sz w:val="28"/>
          <w:szCs w:val="28"/>
        </w:rPr>
        <w:t>进行验收，确认各项数据指标均达到合同规定服务要求，并通过</w:t>
      </w:r>
      <w:r>
        <w:rPr>
          <w:rStyle w:val="35"/>
          <w:rFonts w:hint="eastAsia" w:ascii="仿宋_GB2312" w:eastAsia="仿宋_GB2312" w:cs="Times New Roman"/>
          <w:sz w:val="28"/>
          <w:szCs w:val="28"/>
          <w:lang w:val="en-US" w:eastAsia="zh-CN"/>
        </w:rPr>
        <w:t>甲方</w:t>
      </w:r>
      <w:r>
        <w:rPr>
          <w:rStyle w:val="35"/>
          <w:rFonts w:ascii="仿宋_GB2312" w:eastAsia="仿宋_GB2312" w:cs="Times New Roman"/>
          <w:sz w:val="28"/>
          <w:szCs w:val="28"/>
        </w:rPr>
        <w:t>《供应商（服务类）履约情况评价反馈表》各项评价指标合格，</w:t>
      </w:r>
      <w:r>
        <w:rPr>
          <w:rStyle w:val="35"/>
          <w:rFonts w:hint="eastAsia" w:ascii="仿宋_GB2312" w:eastAsia="仿宋_GB2312" w:cs="Times New Roman"/>
          <w:sz w:val="28"/>
          <w:szCs w:val="28"/>
          <w:lang w:val="en-US" w:eastAsia="zh-CN"/>
        </w:rPr>
        <w:t>则验收合格</w:t>
      </w:r>
      <w:r>
        <w:rPr>
          <w:rStyle w:val="35"/>
          <w:rFonts w:ascii="仿宋_GB2312" w:eastAsia="仿宋_GB2312" w:cs="Times New Roman"/>
          <w:sz w:val="28"/>
          <w:szCs w:val="28"/>
        </w:rPr>
        <w:t>。如验收不</w:t>
      </w:r>
      <w:r>
        <w:rPr>
          <w:rStyle w:val="35"/>
          <w:rFonts w:hint="eastAsia" w:ascii="仿宋_GB2312" w:eastAsia="仿宋_GB2312" w:cs="Times New Roman"/>
          <w:sz w:val="28"/>
          <w:szCs w:val="28"/>
          <w:lang w:val="en-US" w:eastAsia="zh-CN"/>
        </w:rPr>
        <w:t>合格</w:t>
      </w:r>
      <w:r>
        <w:rPr>
          <w:rStyle w:val="35"/>
          <w:rFonts w:ascii="仿宋_GB2312" w:eastAsia="仿宋_GB2312" w:cs="Times New Roman"/>
          <w:sz w:val="28"/>
          <w:szCs w:val="28"/>
        </w:rPr>
        <w:t>，</w:t>
      </w:r>
      <w:r>
        <w:rPr>
          <w:rStyle w:val="35"/>
          <w:rFonts w:hint="eastAsia" w:ascii="仿宋_GB2312" w:eastAsia="仿宋_GB2312" w:cs="Times New Roman"/>
          <w:sz w:val="28"/>
          <w:szCs w:val="28"/>
          <w:lang w:val="en-US" w:eastAsia="zh-CN"/>
        </w:rPr>
        <w:t>甲方</w:t>
      </w:r>
      <w:r>
        <w:rPr>
          <w:rStyle w:val="35"/>
          <w:rFonts w:ascii="仿宋_GB2312" w:eastAsia="仿宋_GB2312" w:cs="Times New Roman"/>
          <w:sz w:val="28"/>
          <w:szCs w:val="28"/>
        </w:rPr>
        <w:t>有权要求</w:t>
      </w:r>
      <w:r>
        <w:rPr>
          <w:rStyle w:val="35"/>
          <w:rFonts w:hint="eastAsia" w:ascii="仿宋_GB2312" w:eastAsia="仿宋_GB2312" w:cs="Times New Roman"/>
          <w:sz w:val="28"/>
          <w:szCs w:val="28"/>
          <w:lang w:val="en-US" w:eastAsia="zh-CN"/>
        </w:rPr>
        <w:t>乙方</w:t>
      </w:r>
      <w:r>
        <w:rPr>
          <w:rStyle w:val="35"/>
          <w:rFonts w:ascii="仿宋_GB2312" w:eastAsia="仿宋_GB2312" w:cs="Times New Roman"/>
          <w:sz w:val="28"/>
          <w:szCs w:val="28"/>
        </w:rPr>
        <w:t>就相应服务进行整改，直至完全通过验收，如整改后仍无法达到合同约定要求的，应扣除对应未达验收标准部分后</w:t>
      </w:r>
      <w:r>
        <w:rPr>
          <w:rStyle w:val="35"/>
          <w:rFonts w:hint="eastAsia" w:ascii="仿宋_GB2312" w:eastAsia="仿宋_GB2312" w:cs="Times New Roman"/>
          <w:sz w:val="28"/>
          <w:szCs w:val="28"/>
          <w:lang w:eastAsia="zh-CN"/>
        </w:rPr>
        <w:t>，</w:t>
      </w:r>
      <w:r>
        <w:rPr>
          <w:rStyle w:val="35"/>
          <w:rFonts w:hint="eastAsia" w:ascii="仿宋_GB2312" w:eastAsia="仿宋_GB2312" w:cs="Times New Roman"/>
          <w:sz w:val="28"/>
          <w:szCs w:val="28"/>
          <w:lang w:val="en-US" w:eastAsia="zh-CN"/>
        </w:rPr>
        <w:t>方可</w:t>
      </w:r>
      <w:r>
        <w:rPr>
          <w:rStyle w:val="35"/>
          <w:rFonts w:ascii="仿宋_GB2312" w:eastAsia="仿宋_GB2312" w:cs="Times New Roman"/>
          <w:sz w:val="28"/>
          <w:szCs w:val="28"/>
        </w:rPr>
        <w:t>支付剩余合同款。</w:t>
      </w:r>
    </w:p>
    <w:p>
      <w:pPr>
        <w:numPr>
          <w:ilvl w:val="0"/>
          <w:numId w:val="35"/>
        </w:numPr>
        <w:tabs>
          <w:tab w:val="left" w:pos="0"/>
          <w:tab w:val="left" w:pos="567"/>
        </w:tabs>
        <w:snapToGrid w:val="0"/>
        <w:spacing w:line="360" w:lineRule="auto"/>
        <w:ind w:firstLine="562" w:firstLineChars="200"/>
        <w:jc w:val="left"/>
        <w:rPr>
          <w:rStyle w:val="35"/>
          <w:rFonts w:hint="default" w:ascii="仿宋_GB2312" w:hAnsi="宋体" w:eastAsia="仿宋_GB2312" w:cs="Times New Roman"/>
          <w:b/>
          <w:sz w:val="28"/>
          <w:szCs w:val="28"/>
          <w:highlight w:val="none"/>
        </w:rPr>
      </w:pPr>
      <w:r>
        <w:rPr>
          <w:rStyle w:val="35"/>
          <w:rFonts w:hint="default" w:ascii="仿宋_GB2312" w:hAnsi="宋体" w:eastAsia="仿宋_GB2312" w:cs="Times New Roman"/>
          <w:b/>
          <w:sz w:val="28"/>
          <w:szCs w:val="28"/>
          <w:highlight w:val="none"/>
          <w:lang w:val="en-US" w:eastAsia="zh-CN"/>
        </w:rPr>
        <w:t>知识产权保护</w:t>
      </w:r>
    </w:p>
    <w:p>
      <w:pPr>
        <w:pStyle w:val="34"/>
        <w:numPr>
          <w:ilvl w:val="0"/>
          <w:numId w:val="0"/>
        </w:numPr>
        <w:snapToGrid w:val="0"/>
        <w:spacing w:line="360" w:lineRule="auto"/>
        <w:ind w:left="0" w:leftChars="0" w:firstLine="560" w:firstLineChars="200"/>
        <w:jc w:val="left"/>
        <w:rPr>
          <w:rStyle w:val="35"/>
          <w:rFonts w:hint="eastAsia" w:ascii="仿宋_GB2312" w:hAnsi="宋体" w:eastAsia="仿宋_GB2312" w:cs="Times New Roman"/>
          <w:color w:val="auto"/>
          <w:sz w:val="28"/>
          <w:szCs w:val="28"/>
          <w:highlight w:val="none"/>
        </w:rPr>
      </w:pPr>
      <w:r>
        <w:rPr>
          <w:rStyle w:val="35"/>
          <w:rFonts w:hint="eastAsia" w:ascii="仿宋_GB2312" w:eastAsia="仿宋_GB2312" w:cs="Times New Roman"/>
          <w:sz w:val="28"/>
          <w:szCs w:val="28"/>
          <w:lang w:val="en-US" w:eastAsia="zh-CN"/>
        </w:rPr>
        <w:t>1.</w:t>
      </w:r>
      <w:r>
        <w:rPr>
          <w:rStyle w:val="35"/>
          <w:rFonts w:hint="eastAsia" w:ascii="仿宋_GB2312" w:hAnsi="宋体" w:eastAsia="仿宋_GB2312" w:cs="Times New Roman"/>
          <w:color w:val="auto"/>
          <w:sz w:val="28"/>
          <w:szCs w:val="28"/>
          <w:highlight w:val="none"/>
        </w:rPr>
        <w:t>本项目成果所有权归</w:t>
      </w:r>
      <w:r>
        <w:rPr>
          <w:rStyle w:val="35"/>
          <w:rFonts w:hint="eastAsia" w:ascii="仿宋_GB2312" w:eastAsia="仿宋_GB2312" w:cs="Times New Roman"/>
          <w:sz w:val="28"/>
          <w:szCs w:val="28"/>
          <w:lang w:val="en-US" w:eastAsia="zh-CN"/>
        </w:rPr>
        <w:t>甲方</w:t>
      </w:r>
      <w:r>
        <w:rPr>
          <w:rStyle w:val="35"/>
          <w:rFonts w:hint="eastAsia" w:ascii="仿宋_GB2312" w:hAnsi="宋体" w:eastAsia="仿宋_GB2312" w:cs="Times New Roman"/>
          <w:color w:val="auto"/>
          <w:sz w:val="28"/>
          <w:szCs w:val="28"/>
          <w:highlight w:val="none"/>
        </w:rPr>
        <w:t>所有</w:t>
      </w:r>
      <w:r>
        <w:rPr>
          <w:rStyle w:val="35"/>
          <w:rFonts w:hint="eastAsia" w:ascii="仿宋_GB2312" w:hAnsi="宋体" w:eastAsia="仿宋_GB2312" w:cs="Times New Roman"/>
          <w:color w:val="auto"/>
          <w:sz w:val="28"/>
          <w:szCs w:val="28"/>
          <w:highlight w:val="none"/>
          <w:lang w:eastAsia="zh-CN"/>
        </w:rPr>
        <w:t>。</w:t>
      </w:r>
    </w:p>
    <w:p>
      <w:pPr>
        <w:pStyle w:val="34"/>
        <w:numPr>
          <w:ilvl w:val="0"/>
          <w:numId w:val="0"/>
        </w:numPr>
        <w:snapToGrid w:val="0"/>
        <w:spacing w:line="360" w:lineRule="auto"/>
        <w:ind w:firstLine="560" w:firstLineChars="200"/>
        <w:jc w:val="left"/>
        <w:rPr>
          <w:rFonts w:hint="eastAsia" w:ascii="宋体" w:hAnsi="宋体" w:eastAsia="宋体" w:cs="宋体"/>
          <w:color w:val="auto"/>
          <w:sz w:val="21"/>
          <w:szCs w:val="21"/>
          <w:highlight w:val="none"/>
          <w:lang w:eastAsia="zh-CN"/>
        </w:rPr>
      </w:pPr>
      <w:r>
        <w:rPr>
          <w:rStyle w:val="35"/>
          <w:rFonts w:hint="eastAsia" w:ascii="仿宋_GB2312" w:eastAsia="仿宋_GB2312" w:cs="Times New Roman"/>
          <w:sz w:val="28"/>
          <w:szCs w:val="28"/>
          <w:lang w:val="en-US" w:eastAsia="zh-CN"/>
        </w:rPr>
        <w:t>2.乙方</w:t>
      </w:r>
      <w:r>
        <w:rPr>
          <w:rStyle w:val="35"/>
          <w:rFonts w:hint="eastAsia" w:ascii="仿宋_GB2312" w:hAnsi="宋体" w:eastAsia="仿宋_GB2312" w:cs="Times New Roman"/>
          <w:color w:val="auto"/>
          <w:sz w:val="28"/>
          <w:szCs w:val="28"/>
          <w:highlight w:val="none"/>
        </w:rPr>
        <w:t>必须对编写成果拥有著作版权，在整个项目的实施过程中，</w:t>
      </w:r>
      <w:r>
        <w:rPr>
          <w:rStyle w:val="35"/>
          <w:rFonts w:hint="eastAsia" w:ascii="仿宋_GB2312" w:eastAsia="仿宋_GB2312" w:cs="Times New Roman"/>
          <w:sz w:val="28"/>
          <w:szCs w:val="28"/>
          <w:lang w:val="en-US" w:eastAsia="zh-CN"/>
        </w:rPr>
        <w:t>乙方</w:t>
      </w:r>
      <w:r>
        <w:rPr>
          <w:rStyle w:val="35"/>
          <w:rFonts w:hint="eastAsia" w:ascii="仿宋_GB2312" w:hAnsi="宋体" w:eastAsia="仿宋_GB2312" w:cs="Times New Roman"/>
          <w:color w:val="auto"/>
          <w:sz w:val="28"/>
          <w:szCs w:val="28"/>
          <w:highlight w:val="none"/>
        </w:rPr>
        <w:t>不得有模仿、抄袭等侵犯第三方知识产权的情节或行为。若因</w:t>
      </w:r>
      <w:r>
        <w:rPr>
          <w:rStyle w:val="35"/>
          <w:rFonts w:hint="eastAsia" w:ascii="仿宋_GB2312" w:eastAsia="仿宋_GB2312" w:cs="Times New Roman"/>
          <w:sz w:val="28"/>
          <w:szCs w:val="28"/>
          <w:lang w:val="en-US" w:eastAsia="zh-CN"/>
        </w:rPr>
        <w:t>乙方</w:t>
      </w:r>
      <w:r>
        <w:rPr>
          <w:rStyle w:val="35"/>
          <w:rFonts w:hint="eastAsia" w:ascii="仿宋_GB2312" w:hAnsi="宋体" w:eastAsia="仿宋_GB2312" w:cs="Times New Roman"/>
          <w:color w:val="auto"/>
          <w:sz w:val="28"/>
          <w:szCs w:val="28"/>
          <w:highlight w:val="none"/>
        </w:rPr>
        <w:t>侵权带来的经济和法律责任，均由</w:t>
      </w:r>
      <w:r>
        <w:rPr>
          <w:rStyle w:val="35"/>
          <w:rFonts w:hint="eastAsia" w:ascii="仿宋_GB2312" w:eastAsia="仿宋_GB2312" w:cs="Times New Roman"/>
          <w:sz w:val="28"/>
          <w:szCs w:val="28"/>
          <w:lang w:val="en-US" w:eastAsia="zh-CN"/>
        </w:rPr>
        <w:t>乙方</w:t>
      </w:r>
      <w:r>
        <w:rPr>
          <w:rStyle w:val="35"/>
          <w:rFonts w:hint="eastAsia" w:ascii="仿宋_GB2312" w:hAnsi="宋体" w:eastAsia="仿宋_GB2312" w:cs="Times New Roman"/>
          <w:color w:val="auto"/>
          <w:sz w:val="28"/>
          <w:szCs w:val="28"/>
          <w:highlight w:val="none"/>
        </w:rPr>
        <w:t>自行承担；若给</w:t>
      </w:r>
      <w:r>
        <w:rPr>
          <w:rStyle w:val="35"/>
          <w:rFonts w:hint="eastAsia" w:ascii="仿宋_GB2312" w:eastAsia="仿宋_GB2312" w:cs="Times New Roman"/>
          <w:sz w:val="28"/>
          <w:szCs w:val="28"/>
          <w:lang w:val="en-US" w:eastAsia="zh-CN"/>
        </w:rPr>
        <w:t>甲方</w:t>
      </w:r>
      <w:r>
        <w:rPr>
          <w:rStyle w:val="35"/>
          <w:rFonts w:hint="eastAsia" w:ascii="仿宋_GB2312" w:hAnsi="宋体" w:eastAsia="仿宋_GB2312" w:cs="Times New Roman"/>
          <w:color w:val="auto"/>
          <w:sz w:val="28"/>
          <w:szCs w:val="28"/>
          <w:highlight w:val="none"/>
        </w:rPr>
        <w:t>造成损失的，</w:t>
      </w:r>
      <w:r>
        <w:rPr>
          <w:rStyle w:val="35"/>
          <w:rFonts w:hint="eastAsia" w:ascii="仿宋_GB2312" w:eastAsia="仿宋_GB2312" w:cs="Times New Roman"/>
          <w:sz w:val="28"/>
          <w:szCs w:val="28"/>
          <w:lang w:val="en-US" w:eastAsia="zh-CN"/>
        </w:rPr>
        <w:t>乙方</w:t>
      </w:r>
      <w:r>
        <w:rPr>
          <w:rStyle w:val="35"/>
          <w:rFonts w:hint="eastAsia" w:ascii="仿宋_GB2312" w:hAnsi="宋体" w:eastAsia="仿宋_GB2312" w:cs="Times New Roman"/>
          <w:color w:val="auto"/>
          <w:sz w:val="28"/>
          <w:szCs w:val="28"/>
          <w:highlight w:val="none"/>
          <w:lang w:val="en-US" w:eastAsia="zh-CN"/>
        </w:rPr>
        <w:t>应承担相关损失，</w:t>
      </w:r>
      <w:r>
        <w:rPr>
          <w:rStyle w:val="35"/>
          <w:rFonts w:hint="eastAsia" w:ascii="仿宋_GB2312" w:eastAsia="仿宋_GB2312" w:cs="Times New Roman"/>
          <w:sz w:val="28"/>
          <w:szCs w:val="28"/>
          <w:lang w:val="en-US" w:eastAsia="zh-CN"/>
        </w:rPr>
        <w:t>甲方</w:t>
      </w:r>
      <w:r>
        <w:rPr>
          <w:rStyle w:val="35"/>
          <w:rFonts w:hint="eastAsia" w:ascii="仿宋_GB2312" w:hAnsi="宋体" w:eastAsia="仿宋_GB2312" w:cs="Times New Roman"/>
          <w:color w:val="auto"/>
          <w:sz w:val="28"/>
          <w:szCs w:val="28"/>
          <w:highlight w:val="none"/>
        </w:rPr>
        <w:t>保留进一步追偿的权利</w:t>
      </w:r>
      <w:r>
        <w:rPr>
          <w:rFonts w:hint="eastAsia" w:ascii="宋体" w:hAnsi="宋体" w:eastAsia="宋体" w:cs="宋体"/>
          <w:color w:val="auto"/>
          <w:sz w:val="21"/>
          <w:szCs w:val="21"/>
          <w:highlight w:val="none"/>
          <w:lang w:eastAsia="zh-CN"/>
        </w:rPr>
        <w:t>。</w:t>
      </w:r>
    </w:p>
    <w:p>
      <w:pPr>
        <w:numPr>
          <w:ilvl w:val="0"/>
          <w:numId w:val="35"/>
        </w:numPr>
        <w:tabs>
          <w:tab w:val="left" w:pos="0"/>
          <w:tab w:val="left" w:pos="567"/>
        </w:tabs>
        <w:snapToGrid w:val="0"/>
        <w:spacing w:line="360" w:lineRule="auto"/>
        <w:ind w:firstLine="562" w:firstLineChars="200"/>
        <w:jc w:val="left"/>
        <w:rPr>
          <w:rStyle w:val="35"/>
          <w:rFonts w:hint="default" w:ascii="仿宋_GB2312" w:hAnsi="宋体" w:eastAsia="仿宋_GB2312" w:cs="宋体"/>
          <w:b/>
          <w:color w:val="auto"/>
          <w:sz w:val="28"/>
          <w:szCs w:val="28"/>
          <w:highlight w:val="none"/>
          <w:lang w:val="en-US" w:eastAsia="zh-CN"/>
        </w:rPr>
      </w:pPr>
      <w:r>
        <w:rPr>
          <w:rStyle w:val="35"/>
          <w:rFonts w:hint="default" w:ascii="仿宋_GB2312" w:hAnsi="宋体" w:eastAsia="仿宋_GB2312" w:cs="宋体"/>
          <w:b/>
          <w:color w:val="auto"/>
          <w:sz w:val="28"/>
          <w:szCs w:val="28"/>
          <w:highlight w:val="none"/>
          <w:lang w:val="en-US" w:eastAsia="zh-CN"/>
        </w:rPr>
        <w:t>保密条款</w:t>
      </w:r>
    </w:p>
    <w:p>
      <w:pPr>
        <w:pStyle w:val="34"/>
        <w:numPr>
          <w:ilvl w:val="0"/>
          <w:numId w:val="0"/>
        </w:numPr>
        <w:snapToGrid w:val="0"/>
        <w:spacing w:line="360" w:lineRule="auto"/>
        <w:ind w:left="0" w:leftChars="0" w:firstLine="560" w:firstLineChars="200"/>
        <w:jc w:val="left"/>
        <w:rPr>
          <w:rStyle w:val="35"/>
          <w:rFonts w:hint="eastAsia" w:ascii="仿宋_GB2312" w:hAnsi="宋体" w:eastAsia="仿宋_GB2312" w:cs="Times New Roman"/>
          <w:color w:val="auto"/>
          <w:sz w:val="28"/>
          <w:szCs w:val="28"/>
          <w:highlight w:val="none"/>
        </w:rPr>
      </w:pPr>
      <w:r>
        <w:rPr>
          <w:rStyle w:val="35"/>
          <w:rFonts w:hint="eastAsia" w:ascii="仿宋_GB2312" w:eastAsia="仿宋_GB2312" w:cs="Times New Roman"/>
          <w:sz w:val="28"/>
          <w:szCs w:val="28"/>
          <w:lang w:val="en-US" w:eastAsia="zh-CN"/>
        </w:rPr>
        <w:t>1.乙方</w:t>
      </w:r>
      <w:r>
        <w:rPr>
          <w:rStyle w:val="35"/>
          <w:rFonts w:hint="eastAsia" w:ascii="仿宋_GB2312" w:hAnsi="宋体" w:eastAsia="仿宋_GB2312" w:cs="Times New Roman"/>
          <w:color w:val="auto"/>
          <w:sz w:val="28"/>
          <w:szCs w:val="28"/>
          <w:highlight w:val="none"/>
        </w:rPr>
        <w:t>承诺绝不私自截留或外泄项目运行过程中产生或接触到的信息及数据等机密资料。</w:t>
      </w:r>
    </w:p>
    <w:p>
      <w:pPr>
        <w:pStyle w:val="34"/>
        <w:numPr>
          <w:ilvl w:val="0"/>
          <w:numId w:val="0"/>
        </w:numPr>
        <w:snapToGrid w:val="0"/>
        <w:spacing w:line="360" w:lineRule="auto"/>
        <w:ind w:left="0" w:leftChars="0" w:firstLine="560" w:firstLineChars="200"/>
        <w:jc w:val="left"/>
        <w:rPr>
          <w:rStyle w:val="35"/>
          <w:rFonts w:hint="eastAsia" w:ascii="仿宋_GB2312" w:hAnsi="宋体" w:eastAsia="仿宋_GB2312" w:cs="Times New Roman"/>
          <w:color w:val="auto"/>
          <w:sz w:val="28"/>
          <w:szCs w:val="28"/>
          <w:highlight w:val="none"/>
        </w:rPr>
      </w:pPr>
      <w:r>
        <w:rPr>
          <w:rStyle w:val="35"/>
          <w:rFonts w:hint="eastAsia" w:ascii="仿宋_GB2312" w:eastAsia="仿宋_GB2312" w:cs="Times New Roman"/>
          <w:sz w:val="28"/>
          <w:szCs w:val="28"/>
          <w:lang w:val="en-US" w:eastAsia="zh-CN"/>
        </w:rPr>
        <w:t>2.乙方</w:t>
      </w:r>
      <w:r>
        <w:rPr>
          <w:rStyle w:val="35"/>
          <w:rFonts w:hint="eastAsia" w:ascii="仿宋_GB2312" w:hAnsi="宋体" w:eastAsia="仿宋_GB2312" w:cs="Times New Roman"/>
          <w:color w:val="auto"/>
          <w:sz w:val="28"/>
          <w:szCs w:val="28"/>
          <w:highlight w:val="none"/>
        </w:rPr>
        <w:t>必须保证在运行、管理等过程中严格遵守国家和地方相关（特别是信息安全方面）的法律法规，确保</w:t>
      </w:r>
      <w:r>
        <w:rPr>
          <w:rStyle w:val="35"/>
          <w:rFonts w:hint="eastAsia" w:ascii="仿宋_GB2312" w:eastAsia="仿宋_GB2312" w:cs="Times New Roman"/>
          <w:sz w:val="28"/>
          <w:szCs w:val="28"/>
          <w:lang w:val="en-US" w:eastAsia="zh-CN"/>
        </w:rPr>
        <w:t>甲方</w:t>
      </w:r>
      <w:r>
        <w:rPr>
          <w:rStyle w:val="35"/>
          <w:rFonts w:hint="eastAsia" w:ascii="仿宋_GB2312" w:hAnsi="宋体" w:eastAsia="仿宋_GB2312" w:cs="Times New Roman"/>
          <w:color w:val="auto"/>
          <w:sz w:val="28"/>
          <w:szCs w:val="28"/>
          <w:highlight w:val="none"/>
        </w:rPr>
        <w:t>使用权以及公民个人信息不受侵犯。</w:t>
      </w:r>
    </w:p>
    <w:p>
      <w:pPr>
        <w:pStyle w:val="34"/>
        <w:numPr>
          <w:ilvl w:val="0"/>
          <w:numId w:val="0"/>
        </w:numPr>
        <w:snapToGrid w:val="0"/>
        <w:spacing w:line="360" w:lineRule="auto"/>
        <w:ind w:firstLine="560" w:firstLineChars="200"/>
        <w:jc w:val="left"/>
        <w:rPr>
          <w:rStyle w:val="35"/>
          <w:rFonts w:hint="default" w:ascii="仿宋_GB2312" w:eastAsia="仿宋_GB2312" w:cs="Times New Roman"/>
          <w:sz w:val="28"/>
          <w:szCs w:val="28"/>
        </w:rPr>
      </w:pPr>
      <w:r>
        <w:rPr>
          <w:rStyle w:val="35"/>
          <w:rFonts w:hint="eastAsia" w:ascii="仿宋_GB2312" w:eastAsia="仿宋_GB2312" w:cs="Times New Roman"/>
          <w:sz w:val="28"/>
          <w:szCs w:val="28"/>
          <w:lang w:val="en-US" w:eastAsia="zh-CN"/>
        </w:rPr>
        <w:t>3.</w:t>
      </w:r>
      <w:r>
        <w:rPr>
          <w:rStyle w:val="35"/>
          <w:rFonts w:hint="eastAsia" w:ascii="仿宋_GB2312" w:hAnsi="宋体" w:eastAsia="仿宋_GB2312" w:cs="Times New Roman"/>
          <w:color w:val="auto"/>
          <w:sz w:val="28"/>
          <w:szCs w:val="28"/>
          <w:highlight w:val="none"/>
        </w:rPr>
        <w:t>如</w:t>
      </w:r>
      <w:r>
        <w:rPr>
          <w:rStyle w:val="35"/>
          <w:rFonts w:hint="eastAsia" w:ascii="仿宋_GB2312" w:eastAsia="仿宋_GB2312" w:cs="Times New Roman"/>
          <w:sz w:val="28"/>
          <w:szCs w:val="28"/>
          <w:lang w:val="en-US" w:eastAsia="zh-CN"/>
        </w:rPr>
        <w:t>乙方</w:t>
      </w:r>
      <w:r>
        <w:rPr>
          <w:rStyle w:val="35"/>
          <w:rFonts w:hint="eastAsia" w:ascii="仿宋_GB2312" w:hAnsi="宋体" w:eastAsia="仿宋_GB2312" w:cs="Times New Roman"/>
          <w:color w:val="auto"/>
          <w:sz w:val="28"/>
          <w:szCs w:val="28"/>
          <w:highlight w:val="none"/>
        </w:rPr>
        <w:t>存在违规、侵权或泄密等行为的，</w:t>
      </w:r>
      <w:r>
        <w:rPr>
          <w:rStyle w:val="35"/>
          <w:rFonts w:hint="eastAsia" w:ascii="仿宋_GB2312" w:eastAsia="仿宋_GB2312" w:cs="Times New Roman"/>
          <w:sz w:val="28"/>
          <w:szCs w:val="28"/>
          <w:lang w:val="en-US" w:eastAsia="zh-CN"/>
        </w:rPr>
        <w:t>乙方</w:t>
      </w:r>
      <w:r>
        <w:rPr>
          <w:rStyle w:val="35"/>
          <w:rFonts w:hint="eastAsia" w:ascii="仿宋_GB2312" w:hAnsi="宋体" w:eastAsia="仿宋_GB2312" w:cs="Times New Roman"/>
          <w:color w:val="auto"/>
          <w:sz w:val="28"/>
          <w:szCs w:val="28"/>
          <w:highlight w:val="none"/>
        </w:rPr>
        <w:t>须赔偿因此</w:t>
      </w:r>
      <w:r>
        <w:rPr>
          <w:rStyle w:val="35"/>
          <w:rFonts w:hint="eastAsia" w:ascii="仿宋_GB2312" w:hAnsi="宋体" w:eastAsia="仿宋_GB2312" w:cs="Times New Roman"/>
          <w:color w:val="auto"/>
          <w:sz w:val="28"/>
          <w:szCs w:val="28"/>
          <w:highlight w:val="none"/>
          <w:lang w:val="en-US" w:eastAsia="zh-CN"/>
        </w:rPr>
        <w:t>造成的全部各方</w:t>
      </w:r>
      <w:r>
        <w:rPr>
          <w:rStyle w:val="35"/>
          <w:rFonts w:hint="eastAsia" w:ascii="仿宋_GB2312" w:hAnsi="宋体" w:eastAsia="仿宋_GB2312" w:cs="Times New Roman"/>
          <w:color w:val="auto"/>
          <w:sz w:val="28"/>
          <w:szCs w:val="28"/>
          <w:highlight w:val="none"/>
        </w:rPr>
        <w:t>经济损失，并承担相应的法律责任。</w:t>
      </w:r>
    </w:p>
    <w:p>
      <w:pPr>
        <w:numPr>
          <w:ilvl w:val="0"/>
          <w:numId w:val="35"/>
        </w:numPr>
        <w:tabs>
          <w:tab w:val="left" w:pos="0"/>
          <w:tab w:val="left" w:pos="567"/>
        </w:tabs>
        <w:spacing w:line="240" w:lineRule="atLeast"/>
        <w:rPr>
          <w:rStyle w:val="35"/>
          <w:rFonts w:ascii="仿宋_GB2312" w:hAnsi="宋体" w:eastAsia="仿宋_GB2312"/>
          <w:b/>
          <w:sz w:val="28"/>
          <w:szCs w:val="28"/>
          <w:highlight w:val="none"/>
        </w:rPr>
      </w:pPr>
      <w:r>
        <w:rPr>
          <w:rStyle w:val="35"/>
          <w:rFonts w:ascii="仿宋_GB2312" w:hAnsi="宋体" w:eastAsia="仿宋_GB2312"/>
          <w:b/>
          <w:sz w:val="28"/>
          <w:szCs w:val="28"/>
          <w:highlight w:val="none"/>
        </w:rPr>
        <w:t>付款</w:t>
      </w:r>
    </w:p>
    <w:p>
      <w:pPr>
        <w:tabs>
          <w:tab w:val="left" w:pos="567"/>
        </w:tabs>
        <w:spacing w:line="240" w:lineRule="atLeast"/>
        <w:ind w:firstLine="565" w:firstLineChars="202"/>
        <w:rPr>
          <w:rStyle w:val="35"/>
          <w:rFonts w:ascii="仿宋_GB2312" w:hAnsi="宋体" w:eastAsia="仿宋_GB2312"/>
          <w:color w:val="000000" w:themeColor="text1"/>
          <w:sz w:val="28"/>
          <w:szCs w:val="28"/>
          <w:highlight w:val="none"/>
          <w14:textFill>
            <w14:solidFill>
              <w14:schemeClr w14:val="tx1"/>
            </w14:solidFill>
          </w14:textFill>
        </w:rPr>
      </w:pPr>
      <w:r>
        <w:rPr>
          <w:rStyle w:val="35"/>
          <w:rFonts w:ascii="仿宋_GB2312" w:hAnsi="宋体" w:eastAsia="仿宋_GB2312"/>
          <w:sz w:val="28"/>
          <w:szCs w:val="28"/>
          <w:highlight w:val="none"/>
        </w:rPr>
        <w:t>1.甲方为上述</w:t>
      </w:r>
      <w:r>
        <w:rPr>
          <w:rStyle w:val="35"/>
          <w:rFonts w:hint="eastAsia" w:ascii="仿宋_GB2312" w:hAnsi="宋体" w:eastAsia="仿宋_GB2312"/>
          <w:sz w:val="28"/>
          <w:szCs w:val="28"/>
          <w:highlight w:val="none"/>
        </w:rPr>
        <w:t>英文专题、</w:t>
      </w:r>
      <w:r>
        <w:rPr>
          <w:rStyle w:val="35"/>
          <w:rFonts w:hint="eastAsia" w:ascii="仿宋_GB2312" w:hAnsi="宋体" w:eastAsia="仿宋_GB2312"/>
          <w:color w:val="000000" w:themeColor="text1"/>
          <w:sz w:val="28"/>
          <w:szCs w:val="28"/>
          <w:highlight w:val="none"/>
          <w14:textFill>
            <w14:solidFill>
              <w14:schemeClr w14:val="tx1"/>
            </w14:solidFill>
          </w14:textFill>
        </w:rPr>
        <w:t>英文网站、微信公众号</w:t>
      </w:r>
      <w:r>
        <w:rPr>
          <w:rStyle w:val="35"/>
          <w:rFonts w:ascii="仿宋_GB2312" w:hAnsi="宋体" w:eastAsia="仿宋_GB2312"/>
          <w:color w:val="000000" w:themeColor="text1"/>
          <w:sz w:val="28"/>
          <w:szCs w:val="28"/>
          <w:highlight w:val="none"/>
          <w14:textFill>
            <w14:solidFill>
              <w14:schemeClr w14:val="tx1"/>
            </w14:solidFill>
          </w14:textFill>
        </w:rPr>
        <w:t>服务须向乙方支付服务费共计人民币：</w:t>
      </w:r>
      <w:r>
        <w:rPr>
          <w:rStyle w:val="35"/>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Style w:val="35"/>
          <w:rFonts w:ascii="仿宋_GB2312" w:hAnsi="宋体" w:eastAsia="仿宋_GB2312"/>
          <w:color w:val="000000" w:themeColor="text1"/>
          <w:sz w:val="28"/>
          <w:szCs w:val="28"/>
          <w:highlight w:val="none"/>
          <w:u w:val="single"/>
          <w14:textFill>
            <w14:solidFill>
              <w14:schemeClr w14:val="tx1"/>
            </w14:solidFill>
          </w14:textFill>
        </w:rPr>
        <w:t>元</w:t>
      </w:r>
      <w:r>
        <w:rPr>
          <w:rStyle w:val="35"/>
          <w:rFonts w:ascii="仿宋_GB2312" w:hAnsi="宋体" w:eastAsia="仿宋_GB2312"/>
          <w:color w:val="000000" w:themeColor="text1"/>
          <w:sz w:val="28"/>
          <w:szCs w:val="28"/>
          <w:highlight w:val="none"/>
          <w14:textFill>
            <w14:solidFill>
              <w14:schemeClr w14:val="tx1"/>
            </w14:solidFill>
          </w14:textFill>
        </w:rPr>
        <w:t>（大写人民币：</w:t>
      </w:r>
      <w:r>
        <w:rPr>
          <w:rStyle w:val="35"/>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Style w:val="35"/>
          <w:rFonts w:ascii="仿宋_GB2312" w:hAnsi="宋体" w:eastAsia="仿宋_GB2312"/>
          <w:color w:val="000000" w:themeColor="text1"/>
          <w:sz w:val="28"/>
          <w:szCs w:val="28"/>
          <w:highlight w:val="none"/>
          <w:u w:val="single"/>
          <w14:textFill>
            <w14:solidFill>
              <w14:schemeClr w14:val="tx1"/>
            </w14:solidFill>
          </w14:textFill>
        </w:rPr>
        <w:t>）</w:t>
      </w:r>
      <w:r>
        <w:rPr>
          <w:rStyle w:val="35"/>
          <w:rFonts w:ascii="仿宋_GB2312" w:hAnsi="宋体" w:eastAsia="仿宋_GB2312"/>
          <w:color w:val="000000" w:themeColor="text1"/>
          <w:sz w:val="28"/>
          <w:szCs w:val="28"/>
          <w:highlight w:val="none"/>
          <w14:textFill>
            <w14:solidFill>
              <w14:schemeClr w14:val="tx1"/>
            </w14:solidFill>
          </w14:textFill>
        </w:rPr>
        <w:t>。</w:t>
      </w:r>
    </w:p>
    <w:p>
      <w:pPr>
        <w:spacing w:line="240" w:lineRule="atLeast"/>
        <w:ind w:firstLine="560" w:firstLineChars="200"/>
        <w:rPr>
          <w:rStyle w:val="35"/>
          <w:rFonts w:hint="eastAsia" w:ascii="仿宋_GB2312" w:hAnsi="宋体" w:eastAsia="仿宋_GB2312"/>
          <w:sz w:val="28"/>
          <w:szCs w:val="28"/>
          <w:highlight w:val="none"/>
        </w:rPr>
      </w:pPr>
      <w:r>
        <w:rPr>
          <w:rStyle w:val="35"/>
          <w:rFonts w:ascii="仿宋_GB2312" w:hAnsi="宋体" w:eastAsia="仿宋_GB2312"/>
          <w:color w:val="000000" w:themeColor="text1"/>
          <w:sz w:val="28"/>
          <w:szCs w:val="28"/>
          <w:highlight w:val="none"/>
          <w14:textFill>
            <w14:solidFill>
              <w14:schemeClr w14:val="tx1"/>
            </w14:solidFill>
          </w14:textFill>
        </w:rPr>
        <w:t>2.</w:t>
      </w:r>
      <w:r>
        <w:rPr>
          <w:rStyle w:val="35"/>
          <w:rFonts w:hint="eastAsia" w:ascii="仿宋_GB2312" w:hAnsi="宋体" w:eastAsia="仿宋_GB2312"/>
          <w:color w:val="000000" w:themeColor="text1"/>
          <w:sz w:val="28"/>
          <w:szCs w:val="28"/>
          <w:highlight w:val="none"/>
          <w14:textFill>
            <w14:solidFill>
              <w14:schemeClr w14:val="tx1"/>
            </w14:solidFill>
          </w14:textFill>
        </w:rPr>
        <w:t>甲方承诺在合同签订后</w:t>
      </w:r>
      <w:r>
        <w:rPr>
          <w:rStyle w:val="35"/>
          <w:rFonts w:ascii="仿宋_GB2312" w:hAnsi="宋体" w:eastAsia="仿宋_GB2312"/>
          <w:color w:val="000000" w:themeColor="text1"/>
          <w:sz w:val="28"/>
          <w:szCs w:val="28"/>
          <w:highlight w:val="none"/>
          <w14:textFill>
            <w14:solidFill>
              <w14:schemeClr w14:val="tx1"/>
            </w14:solidFill>
          </w14:textFill>
        </w:rPr>
        <w:t>30个工作日内</w:t>
      </w:r>
      <w:r>
        <w:rPr>
          <w:rStyle w:val="35"/>
          <w:rFonts w:hint="eastAsia" w:ascii="仿宋_GB2312" w:hAnsi="宋体" w:eastAsia="仿宋_GB2312"/>
          <w:color w:val="000000" w:themeColor="text1"/>
          <w:sz w:val="28"/>
          <w:szCs w:val="28"/>
          <w:highlight w:val="none"/>
          <w14:textFill>
            <w14:solidFill>
              <w14:schemeClr w14:val="tx1"/>
            </w14:solidFill>
          </w14:textFill>
        </w:rPr>
        <w:t>将</w:t>
      </w:r>
      <w:r>
        <w:rPr>
          <w:rFonts w:hint="eastAsia" w:ascii="仿宋" w:hAnsi="仿宋" w:eastAsia="仿宋" w:cs="仿宋"/>
          <w:color w:val="auto"/>
          <w:sz w:val="28"/>
          <w:szCs w:val="28"/>
          <w:highlight w:val="none"/>
          <w:lang w:val="en-US" w:eastAsia="zh-CN"/>
        </w:rPr>
        <w:t>英文网站、微信公众号运维管理服务</w:t>
      </w:r>
      <w:r>
        <w:rPr>
          <w:rStyle w:val="35"/>
          <w:rFonts w:hint="eastAsia" w:ascii="仿宋_GB2312" w:hAnsi="宋体" w:eastAsia="仿宋_GB2312"/>
          <w:color w:val="000000" w:themeColor="text1"/>
          <w:sz w:val="28"/>
          <w:szCs w:val="28"/>
          <w:highlight w:val="none"/>
          <w14:textFill>
            <w14:solidFill>
              <w14:schemeClr w14:val="tx1"/>
            </w14:solidFill>
          </w14:textFill>
        </w:rPr>
        <w:t>费的</w:t>
      </w:r>
      <w:r>
        <w:rPr>
          <w:rStyle w:val="35"/>
          <w:rFonts w:hint="eastAsia" w:ascii="仿宋_GB2312" w:hAnsi="宋体" w:eastAsia="仿宋_GB2312"/>
          <w:color w:val="000000" w:themeColor="text1"/>
          <w:sz w:val="28"/>
          <w:szCs w:val="28"/>
          <w:highlight w:val="none"/>
          <w:lang w:val="en-US" w:eastAsia="zh-CN"/>
          <w14:textFill>
            <w14:solidFill>
              <w14:schemeClr w14:val="tx1"/>
            </w14:solidFill>
          </w14:textFill>
        </w:rPr>
        <w:t>X</w:t>
      </w:r>
      <w:r>
        <w:rPr>
          <w:rStyle w:val="35"/>
          <w:rFonts w:hint="eastAsia" w:ascii="仿宋_GB2312" w:hAnsi="宋体" w:eastAsia="仿宋_GB2312"/>
          <w:color w:val="000000" w:themeColor="text1"/>
          <w:sz w:val="28"/>
          <w:szCs w:val="28"/>
          <w:highlight w:val="none"/>
          <w14:textFill>
            <w14:solidFill>
              <w14:schemeClr w14:val="tx1"/>
            </w14:solidFill>
          </w14:textFill>
        </w:rPr>
        <w:t>%，即人民币    元（大写人民币       元 ）支付给乙方；剩余</w:t>
      </w:r>
      <w:r>
        <w:rPr>
          <w:rStyle w:val="35"/>
          <w:rFonts w:hint="eastAsia" w:ascii="仿宋_GB2312" w:hAnsi="宋体" w:eastAsia="仿宋_GB2312"/>
          <w:color w:val="000000" w:themeColor="text1"/>
          <w:sz w:val="28"/>
          <w:szCs w:val="28"/>
          <w:highlight w:val="none"/>
          <w:lang w:val="en-US" w:eastAsia="zh-CN"/>
          <w14:textFill>
            <w14:solidFill>
              <w14:schemeClr w14:val="tx1"/>
            </w14:solidFill>
          </w14:textFill>
        </w:rPr>
        <w:t>X</w:t>
      </w:r>
      <w:r>
        <w:rPr>
          <w:rStyle w:val="35"/>
          <w:rFonts w:hint="eastAsia" w:ascii="仿宋_GB2312" w:hAnsi="宋体" w:eastAsia="仿宋_GB2312"/>
          <w:color w:val="000000" w:themeColor="text1"/>
          <w:sz w:val="28"/>
          <w:szCs w:val="28"/>
          <w:highlight w:val="none"/>
          <w14:textFill>
            <w14:solidFill>
              <w14:schemeClr w14:val="tx1"/>
            </w14:solidFill>
          </w14:textFill>
        </w:rPr>
        <w:t>%服务费，即人民币¥ 元（大写人民币 元）将在合同到</w:t>
      </w:r>
      <w:r>
        <w:rPr>
          <w:rStyle w:val="35"/>
          <w:rFonts w:hint="eastAsia" w:ascii="仿宋_GB2312" w:hAnsi="宋体" w:eastAsia="仿宋_GB2312"/>
          <w:sz w:val="28"/>
          <w:szCs w:val="28"/>
          <w:highlight w:val="none"/>
        </w:rPr>
        <w:t>期后1</w:t>
      </w:r>
      <w:r>
        <w:rPr>
          <w:rStyle w:val="35"/>
          <w:rFonts w:hint="eastAsia" w:ascii="仿宋_GB2312" w:hAnsi="宋体" w:eastAsia="仿宋_GB2312"/>
          <w:sz w:val="28"/>
          <w:szCs w:val="28"/>
          <w:highlight w:val="none"/>
          <w:lang w:val="en-US" w:eastAsia="zh-CN"/>
        </w:rPr>
        <w:t>5</w:t>
      </w:r>
      <w:r>
        <w:rPr>
          <w:rStyle w:val="35"/>
          <w:rFonts w:ascii="仿宋_GB2312" w:hAnsi="宋体" w:eastAsia="仿宋_GB2312"/>
          <w:sz w:val="28"/>
          <w:szCs w:val="28"/>
          <w:highlight w:val="none"/>
        </w:rPr>
        <w:t>个工作</w:t>
      </w:r>
      <w:r>
        <w:rPr>
          <w:rStyle w:val="35"/>
          <w:rFonts w:hint="eastAsia" w:ascii="仿宋_GB2312" w:hAnsi="宋体" w:eastAsia="仿宋_GB2312"/>
          <w:sz w:val="28"/>
          <w:szCs w:val="28"/>
          <w:highlight w:val="none"/>
        </w:rPr>
        <w:t>日内支付给乙方。</w:t>
      </w:r>
    </w:p>
    <w:p>
      <w:pPr>
        <w:spacing w:line="240" w:lineRule="atLeast"/>
        <w:ind w:firstLine="560" w:firstLineChars="200"/>
        <w:rPr>
          <w:rFonts w:hint="eastAsia"/>
        </w:rPr>
      </w:pPr>
      <w:r>
        <w:rPr>
          <w:rStyle w:val="35"/>
          <w:rFonts w:hint="eastAsia" w:ascii="仿宋_GB2312" w:hAnsi="宋体" w:eastAsia="仿宋_GB2312"/>
          <w:color w:val="000000" w:themeColor="text1"/>
          <w:sz w:val="28"/>
          <w:szCs w:val="28"/>
          <w:highlight w:val="none"/>
          <w:lang w:val="en-US" w:eastAsia="zh-CN"/>
          <w14:textFill>
            <w14:solidFill>
              <w14:schemeClr w14:val="tx1"/>
            </w14:solidFill>
          </w14:textFill>
        </w:rPr>
        <w:t>3</w:t>
      </w:r>
      <w:r>
        <w:rPr>
          <w:rStyle w:val="35"/>
          <w:rFonts w:ascii="仿宋_GB2312" w:hAnsi="宋体" w:eastAsia="仿宋_GB2312"/>
          <w:color w:val="000000" w:themeColor="text1"/>
          <w:sz w:val="28"/>
          <w:szCs w:val="28"/>
          <w:highlight w:val="none"/>
          <w14:textFill>
            <w14:solidFill>
              <w14:schemeClr w14:val="tx1"/>
            </w14:solidFill>
          </w14:textFill>
        </w:rPr>
        <w:t>.</w:t>
      </w:r>
      <w:r>
        <w:rPr>
          <w:rStyle w:val="35"/>
          <w:rFonts w:hint="eastAsia" w:ascii="仿宋_GB2312" w:hAnsi="宋体" w:eastAsia="仿宋_GB2312"/>
          <w:color w:val="000000" w:themeColor="text1"/>
          <w:sz w:val="28"/>
          <w:szCs w:val="28"/>
          <w:highlight w:val="none"/>
          <w14:textFill>
            <w14:solidFill>
              <w14:schemeClr w14:val="tx1"/>
            </w14:solidFill>
          </w14:textFill>
        </w:rPr>
        <w:t>甲方承诺在</w:t>
      </w:r>
      <w:r>
        <w:rPr>
          <w:rStyle w:val="35"/>
          <w:rFonts w:hint="eastAsia" w:ascii="仿宋_GB2312" w:hAnsi="宋体" w:eastAsia="仿宋_GB2312"/>
          <w:color w:val="000000" w:themeColor="text1"/>
          <w:sz w:val="28"/>
          <w:szCs w:val="28"/>
          <w:highlight w:val="none"/>
          <w:lang w:val="en-US" w:eastAsia="zh-CN"/>
          <w14:textFill>
            <w14:solidFill>
              <w14:schemeClr w14:val="tx1"/>
            </w14:solidFill>
          </w14:textFill>
        </w:rPr>
        <w:t>英文专题发布结束后</w:t>
      </w:r>
      <w:r>
        <w:rPr>
          <w:rStyle w:val="35"/>
          <w:rFonts w:ascii="仿宋_GB2312" w:hAnsi="宋体" w:eastAsia="仿宋_GB2312"/>
          <w:color w:val="000000" w:themeColor="text1"/>
          <w:sz w:val="28"/>
          <w:szCs w:val="28"/>
          <w:highlight w:val="none"/>
          <w14:textFill>
            <w14:solidFill>
              <w14:schemeClr w14:val="tx1"/>
            </w14:solidFill>
          </w14:textFill>
        </w:rPr>
        <w:t>30个工作日内</w:t>
      </w:r>
      <w:r>
        <w:rPr>
          <w:rStyle w:val="35"/>
          <w:rFonts w:hint="eastAsia" w:ascii="仿宋_GB2312" w:hAnsi="宋体" w:eastAsia="仿宋_GB2312"/>
          <w:color w:val="000000" w:themeColor="text1"/>
          <w:sz w:val="28"/>
          <w:szCs w:val="28"/>
          <w:highlight w:val="none"/>
          <w14:textFill>
            <w14:solidFill>
              <w14:schemeClr w14:val="tx1"/>
            </w14:solidFill>
          </w14:textFill>
        </w:rPr>
        <w:t>将</w:t>
      </w:r>
      <w:r>
        <w:rPr>
          <w:rFonts w:hint="eastAsia" w:ascii="仿宋" w:hAnsi="仿宋" w:eastAsia="仿宋" w:cs="仿宋"/>
          <w:color w:val="auto"/>
          <w:sz w:val="28"/>
          <w:szCs w:val="28"/>
          <w:highlight w:val="none"/>
          <w:lang w:val="en-US" w:eastAsia="zh-CN"/>
        </w:rPr>
        <w:t>该服务</w:t>
      </w:r>
      <w:r>
        <w:rPr>
          <w:rStyle w:val="35"/>
          <w:rFonts w:hint="eastAsia" w:ascii="仿宋_GB2312" w:hAnsi="宋体" w:eastAsia="仿宋_GB2312"/>
          <w:color w:val="000000" w:themeColor="text1"/>
          <w:sz w:val="28"/>
          <w:szCs w:val="28"/>
          <w:highlight w:val="none"/>
          <w14:textFill>
            <w14:solidFill>
              <w14:schemeClr w14:val="tx1"/>
            </w14:solidFill>
          </w14:textFill>
        </w:rPr>
        <w:t>费</w:t>
      </w:r>
      <w:r>
        <w:rPr>
          <w:rStyle w:val="35"/>
          <w:rFonts w:hint="eastAsia" w:ascii="仿宋_GB2312" w:hAnsi="宋体" w:eastAsia="仿宋_GB2312"/>
          <w:color w:val="000000" w:themeColor="text1"/>
          <w:sz w:val="28"/>
          <w:szCs w:val="28"/>
          <w:highlight w:val="none"/>
          <w:lang w:eastAsia="zh-CN"/>
          <w14:textFill>
            <w14:solidFill>
              <w14:schemeClr w14:val="tx1"/>
            </w14:solidFill>
          </w14:textFill>
        </w:rPr>
        <w:t>，</w:t>
      </w:r>
      <w:r>
        <w:rPr>
          <w:rStyle w:val="35"/>
          <w:rFonts w:hint="eastAsia" w:ascii="仿宋_GB2312" w:hAnsi="宋体" w:eastAsia="仿宋_GB2312"/>
          <w:color w:val="000000" w:themeColor="text1"/>
          <w:sz w:val="28"/>
          <w:szCs w:val="28"/>
          <w:highlight w:val="none"/>
          <w14:textFill>
            <w14:solidFill>
              <w14:schemeClr w14:val="tx1"/>
            </w14:solidFill>
          </w14:textFill>
        </w:rPr>
        <w:t>即人民币    元（大写人民币       元 ）支付给乙方</w:t>
      </w:r>
      <w:r>
        <w:rPr>
          <w:rStyle w:val="35"/>
          <w:rFonts w:hint="eastAsia" w:ascii="仿宋_GB2312" w:hAnsi="宋体" w:eastAsia="仿宋_GB2312"/>
          <w:sz w:val="28"/>
          <w:szCs w:val="28"/>
          <w:highlight w:val="none"/>
        </w:rPr>
        <w:t>。</w:t>
      </w:r>
    </w:p>
    <w:p>
      <w:pPr>
        <w:pStyle w:val="2"/>
        <w:rPr>
          <w:rStyle w:val="35"/>
          <w:rFonts w:hint="default" w:ascii="仿宋_GB2312" w:hAnsi="宋体" w:eastAsia="仿宋_GB2312"/>
          <w:sz w:val="21"/>
          <w:szCs w:val="24"/>
          <w:highlight w:val="none"/>
        </w:rPr>
      </w:pPr>
      <w:r>
        <w:rPr>
          <w:rStyle w:val="35"/>
          <w:rFonts w:hint="eastAsia"/>
          <w:sz w:val="28"/>
          <w:szCs w:val="28"/>
          <w:highlight w:val="none"/>
          <w:lang w:val="en-US" w:eastAsia="zh-CN"/>
        </w:rPr>
        <w:t xml:space="preserve">    4、甲方支付合同款项前，乙方须提供等额的合法真实有效的增值税发票。</w:t>
      </w:r>
    </w:p>
    <w:p>
      <w:pPr>
        <w:tabs>
          <w:tab w:val="left" w:pos="567"/>
        </w:tabs>
        <w:spacing w:line="240" w:lineRule="atLeast"/>
        <w:ind w:firstLine="565" w:firstLineChars="202"/>
        <w:rPr>
          <w:rStyle w:val="35"/>
          <w:rFonts w:ascii="仿宋_GB2312" w:hAnsi="宋体" w:eastAsia="仿宋_GB2312"/>
          <w:sz w:val="28"/>
          <w:szCs w:val="28"/>
          <w:highlight w:val="none"/>
        </w:rPr>
      </w:pPr>
      <w:r>
        <w:rPr>
          <w:rStyle w:val="35"/>
          <w:rFonts w:hint="eastAsia" w:ascii="仿宋_GB2312" w:hAnsi="宋体" w:eastAsia="仿宋_GB2312"/>
          <w:sz w:val="28"/>
          <w:szCs w:val="28"/>
          <w:highlight w:val="none"/>
          <w:lang w:eastAsia="zh-CN"/>
        </w:rPr>
        <w:t>5</w:t>
      </w:r>
      <w:r>
        <w:rPr>
          <w:rStyle w:val="35"/>
          <w:rFonts w:hint="eastAsia" w:ascii="仿宋_GB2312" w:hAnsi="宋体" w:eastAsia="仿宋_GB2312"/>
          <w:sz w:val="28"/>
          <w:szCs w:val="28"/>
          <w:highlight w:val="none"/>
        </w:rPr>
        <w:t>、</w:t>
      </w:r>
      <w:r>
        <w:rPr>
          <w:rStyle w:val="35"/>
          <w:rFonts w:ascii="仿宋_GB2312" w:hAnsi="宋体" w:eastAsia="仿宋_GB2312"/>
          <w:color w:val="000000"/>
          <w:sz w:val="28"/>
          <w:szCs w:val="28"/>
          <w:highlight w:val="none"/>
        </w:rPr>
        <w:t>付款方式为银行转账，付款时间以乙方银行账户到账时间为准，</w:t>
      </w:r>
      <w:r>
        <w:rPr>
          <w:rStyle w:val="35"/>
          <w:rFonts w:ascii="仿宋_GB2312" w:hAnsi="宋体" w:eastAsia="仿宋_GB2312"/>
          <w:sz w:val="28"/>
          <w:szCs w:val="28"/>
          <w:highlight w:val="none"/>
        </w:rPr>
        <w:t xml:space="preserve">乙方银行账户信息如下：   </w:t>
      </w:r>
    </w:p>
    <w:p>
      <w:pPr>
        <w:tabs>
          <w:tab w:val="left" w:pos="567"/>
        </w:tabs>
        <w:spacing w:line="240" w:lineRule="atLeast"/>
        <w:ind w:firstLine="562" w:firstLineChars="200"/>
        <w:rPr>
          <w:rStyle w:val="35"/>
          <w:rFonts w:ascii="仿宋_GB2312" w:hAnsi="宋体" w:eastAsia="仿宋_GB2312"/>
          <w:b/>
          <w:sz w:val="28"/>
          <w:szCs w:val="28"/>
          <w:highlight w:val="none"/>
        </w:rPr>
      </w:pPr>
      <w:r>
        <w:rPr>
          <w:rStyle w:val="35"/>
          <w:rFonts w:ascii="仿宋_GB2312" w:hAnsi="宋体" w:eastAsia="仿宋_GB2312"/>
          <w:b/>
          <w:sz w:val="28"/>
          <w:szCs w:val="28"/>
          <w:highlight w:val="none"/>
        </w:rPr>
        <w:t>账户名称：</w:t>
      </w:r>
    </w:p>
    <w:p>
      <w:pPr>
        <w:tabs>
          <w:tab w:val="left" w:pos="567"/>
        </w:tabs>
        <w:spacing w:line="240" w:lineRule="atLeast"/>
        <w:ind w:firstLine="562" w:firstLineChars="200"/>
        <w:rPr>
          <w:rStyle w:val="35"/>
          <w:rFonts w:ascii="仿宋_GB2312" w:hAnsi="宋体" w:eastAsia="仿宋_GB2312"/>
          <w:b/>
          <w:sz w:val="28"/>
          <w:szCs w:val="28"/>
          <w:highlight w:val="none"/>
        </w:rPr>
      </w:pPr>
      <w:r>
        <w:rPr>
          <w:rStyle w:val="35"/>
          <w:rFonts w:ascii="仿宋_GB2312" w:hAnsi="宋体" w:eastAsia="仿宋_GB2312"/>
          <w:b/>
          <w:sz w:val="28"/>
          <w:szCs w:val="28"/>
          <w:highlight w:val="none"/>
        </w:rPr>
        <w:t>账号：</w:t>
      </w:r>
    </w:p>
    <w:p>
      <w:pPr>
        <w:tabs>
          <w:tab w:val="left" w:pos="567"/>
        </w:tabs>
        <w:spacing w:line="240" w:lineRule="atLeast"/>
        <w:ind w:firstLine="562" w:firstLineChars="200"/>
        <w:rPr>
          <w:rStyle w:val="35"/>
          <w:rFonts w:ascii="仿宋_GB2312" w:hAnsi="宋体" w:eastAsia="仿宋_GB2312"/>
          <w:b/>
          <w:sz w:val="28"/>
          <w:szCs w:val="28"/>
          <w:highlight w:val="none"/>
        </w:rPr>
      </w:pPr>
      <w:r>
        <w:rPr>
          <w:rStyle w:val="35"/>
          <w:rFonts w:ascii="仿宋_GB2312" w:hAnsi="宋体" w:eastAsia="仿宋_GB2312"/>
          <w:b/>
          <w:sz w:val="28"/>
          <w:szCs w:val="28"/>
          <w:highlight w:val="none"/>
        </w:rPr>
        <w:t>开户行全称：</w:t>
      </w:r>
    </w:p>
    <w:p>
      <w:pPr>
        <w:tabs>
          <w:tab w:val="left" w:pos="567"/>
        </w:tabs>
        <w:spacing w:line="240" w:lineRule="atLeast"/>
        <w:ind w:firstLine="562" w:firstLineChars="200"/>
        <w:rPr>
          <w:rStyle w:val="35"/>
          <w:rFonts w:ascii="仿宋_GB2312" w:hAnsi="宋体" w:eastAsia="仿宋_GB2312"/>
          <w:b/>
          <w:sz w:val="28"/>
          <w:szCs w:val="28"/>
          <w:highlight w:val="none"/>
        </w:rPr>
      </w:pPr>
      <w:r>
        <w:rPr>
          <w:rStyle w:val="35"/>
          <w:rFonts w:ascii="仿宋_GB2312" w:hAnsi="宋体" w:eastAsia="仿宋_GB2312"/>
          <w:b/>
          <w:sz w:val="28"/>
          <w:szCs w:val="28"/>
          <w:highlight w:val="none"/>
        </w:rPr>
        <w:t>开户行行号：</w:t>
      </w:r>
    </w:p>
    <w:p>
      <w:pPr>
        <w:tabs>
          <w:tab w:val="left" w:pos="567"/>
        </w:tabs>
        <w:spacing w:line="240" w:lineRule="atLeast"/>
        <w:ind w:firstLine="562" w:firstLineChars="200"/>
        <w:rPr>
          <w:rStyle w:val="35"/>
          <w:rFonts w:ascii="仿宋_GB2312" w:hAnsi="宋体" w:eastAsia="仿宋_GB2312"/>
          <w:b/>
          <w:sz w:val="28"/>
          <w:szCs w:val="28"/>
          <w:highlight w:val="none"/>
        </w:rPr>
      </w:pPr>
      <w:r>
        <w:rPr>
          <w:rStyle w:val="35"/>
          <w:rFonts w:ascii="仿宋_GB2312" w:hAnsi="宋体" w:eastAsia="仿宋_GB2312"/>
          <w:b/>
          <w:sz w:val="28"/>
          <w:szCs w:val="28"/>
          <w:highlight w:val="none"/>
        </w:rPr>
        <w:t>地址：</w:t>
      </w:r>
    </w:p>
    <w:p>
      <w:pPr>
        <w:tabs>
          <w:tab w:val="left" w:pos="567"/>
        </w:tabs>
        <w:spacing w:line="240" w:lineRule="atLeast"/>
        <w:ind w:firstLine="562" w:firstLineChars="200"/>
        <w:rPr>
          <w:rStyle w:val="35"/>
          <w:rFonts w:ascii="仿宋_GB2312" w:hAnsi="宋体" w:eastAsia="仿宋_GB2312"/>
          <w:b/>
          <w:sz w:val="28"/>
          <w:szCs w:val="28"/>
          <w:highlight w:val="none"/>
        </w:rPr>
      </w:pPr>
      <w:r>
        <w:rPr>
          <w:rStyle w:val="35"/>
          <w:rFonts w:ascii="仿宋_GB2312" w:hAnsi="宋体" w:eastAsia="仿宋_GB2312"/>
          <w:b/>
          <w:sz w:val="28"/>
          <w:szCs w:val="28"/>
          <w:highlight w:val="none"/>
        </w:rPr>
        <w:t>邮政编码：</w:t>
      </w:r>
    </w:p>
    <w:p>
      <w:pPr>
        <w:spacing w:line="240" w:lineRule="atLeast"/>
        <w:rPr>
          <w:rStyle w:val="35"/>
          <w:rFonts w:ascii="仿宋_GB2312" w:hAnsi="宋体" w:eastAsia="仿宋_GB2312"/>
          <w:sz w:val="28"/>
          <w:szCs w:val="28"/>
          <w:highlight w:val="none"/>
        </w:rPr>
      </w:pPr>
    </w:p>
    <w:p>
      <w:pPr>
        <w:tabs>
          <w:tab w:val="left" w:pos="567"/>
        </w:tabs>
        <w:spacing w:line="240" w:lineRule="atLeast"/>
        <w:rPr>
          <w:rStyle w:val="35"/>
          <w:rFonts w:ascii="仿宋_GB2312" w:hAnsi="宋体" w:eastAsia="仿宋_GB2312"/>
          <w:b/>
          <w:sz w:val="28"/>
          <w:szCs w:val="28"/>
          <w:highlight w:val="none"/>
        </w:rPr>
      </w:pPr>
      <w:r>
        <w:rPr>
          <w:rStyle w:val="35"/>
          <w:rFonts w:hint="eastAsia" w:ascii="仿宋_GB2312" w:hAnsi="宋体" w:eastAsia="仿宋_GB2312"/>
          <w:b/>
          <w:sz w:val="28"/>
          <w:szCs w:val="28"/>
          <w:highlight w:val="none"/>
        </w:rPr>
        <w:t>五</w:t>
      </w:r>
      <w:r>
        <w:rPr>
          <w:rStyle w:val="35"/>
          <w:rFonts w:ascii="仿宋_GB2312" w:hAnsi="宋体" w:eastAsia="仿宋_GB2312"/>
          <w:b/>
          <w:sz w:val="28"/>
          <w:szCs w:val="28"/>
          <w:highlight w:val="none"/>
        </w:rPr>
        <w:t>、违约责任</w:t>
      </w:r>
    </w:p>
    <w:p>
      <w:pPr>
        <w:tabs>
          <w:tab w:val="left" w:pos="0"/>
        </w:tabs>
        <w:spacing w:line="240" w:lineRule="atLeast"/>
        <w:rPr>
          <w:rStyle w:val="35"/>
          <w:rFonts w:ascii="仿宋_GB2312" w:hAnsi="宋体" w:eastAsia="仿宋_GB2312"/>
          <w:sz w:val="28"/>
          <w:szCs w:val="28"/>
          <w:highlight w:val="none"/>
        </w:rPr>
      </w:pPr>
      <w:r>
        <w:rPr>
          <w:rStyle w:val="35"/>
          <w:rFonts w:ascii="仿宋_GB2312" w:hAnsi="宋体" w:eastAsia="仿宋_GB2312"/>
          <w:sz w:val="28"/>
          <w:szCs w:val="28"/>
          <w:highlight w:val="none"/>
        </w:rPr>
        <w:t>1.甲乙双方在履行本协议中，都必须遵守《中华人民共和国</w:t>
      </w:r>
      <w:r>
        <w:rPr>
          <w:rStyle w:val="35"/>
          <w:rFonts w:hint="eastAsia" w:ascii="仿宋_GB2312" w:hAnsi="宋体" w:eastAsia="仿宋_GB2312"/>
          <w:sz w:val="28"/>
          <w:szCs w:val="28"/>
          <w:highlight w:val="none"/>
        </w:rPr>
        <w:t>民法典</w:t>
      </w:r>
      <w:r>
        <w:rPr>
          <w:rStyle w:val="35"/>
          <w:rFonts w:ascii="仿宋_GB2312" w:hAnsi="宋体" w:eastAsia="仿宋_GB2312"/>
          <w:sz w:val="28"/>
          <w:szCs w:val="28"/>
          <w:highlight w:val="none"/>
        </w:rPr>
        <w:t>》及其他有关规定。</w:t>
      </w:r>
    </w:p>
    <w:p>
      <w:pPr>
        <w:tabs>
          <w:tab w:val="left" w:pos="567"/>
        </w:tabs>
        <w:spacing w:line="240" w:lineRule="atLeast"/>
        <w:rPr>
          <w:rStyle w:val="35"/>
          <w:rFonts w:ascii="仿宋_GB2312" w:hAnsi="宋体" w:eastAsia="仿宋_GB2312"/>
          <w:sz w:val="28"/>
          <w:szCs w:val="28"/>
          <w:highlight w:val="none"/>
        </w:rPr>
      </w:pPr>
      <w:r>
        <w:rPr>
          <w:rStyle w:val="35"/>
          <w:rFonts w:ascii="仿宋_GB2312" w:hAnsi="宋体" w:eastAsia="仿宋_GB2312"/>
          <w:sz w:val="28"/>
          <w:szCs w:val="28"/>
          <w:highlight w:val="none"/>
        </w:rPr>
        <w:t>2.甲乙双方应正当行使权利，履行义务，保证本协议的顺利履行。</w:t>
      </w:r>
    </w:p>
    <w:p>
      <w:pPr>
        <w:tabs>
          <w:tab w:val="left" w:pos="360"/>
        </w:tabs>
        <w:spacing w:line="240" w:lineRule="atLeast"/>
        <w:rPr>
          <w:rStyle w:val="35"/>
          <w:rFonts w:ascii="仿宋_GB2312" w:hAnsi="宋体" w:eastAsia="仿宋_GB2312"/>
          <w:sz w:val="28"/>
          <w:szCs w:val="28"/>
          <w:highlight w:val="none"/>
        </w:rPr>
      </w:pPr>
      <w:r>
        <w:rPr>
          <w:rStyle w:val="35"/>
          <w:rFonts w:ascii="仿宋_GB2312" w:hAnsi="宋体" w:eastAsia="仿宋_GB2312"/>
          <w:sz w:val="28"/>
          <w:szCs w:val="28"/>
          <w:highlight w:val="none"/>
        </w:rPr>
        <w:t>3.任何一方没有充分、及时履行义务的，应当承担违约责任；给其他方造成损失的，应赔偿其他方由此所遭受的直接和间接经济损失。</w:t>
      </w:r>
    </w:p>
    <w:p>
      <w:pPr>
        <w:tabs>
          <w:tab w:val="left" w:pos="0"/>
          <w:tab w:val="left" w:pos="567"/>
        </w:tabs>
        <w:spacing w:line="240" w:lineRule="atLeast"/>
        <w:rPr>
          <w:rStyle w:val="35"/>
          <w:rFonts w:ascii="仿宋_GB2312" w:hAnsi="宋体" w:eastAsia="仿宋_GB2312"/>
          <w:sz w:val="28"/>
          <w:szCs w:val="28"/>
          <w:highlight w:val="none"/>
        </w:rPr>
      </w:pPr>
    </w:p>
    <w:p>
      <w:pPr>
        <w:pStyle w:val="22"/>
        <w:numPr>
          <w:ilvl w:val="1"/>
          <w:numId w:val="38"/>
        </w:numPr>
        <w:tabs>
          <w:tab w:val="left" w:pos="0"/>
          <w:tab w:val="left" w:pos="567"/>
        </w:tabs>
        <w:spacing w:line="240" w:lineRule="atLeast"/>
        <w:ind w:firstLineChars="0"/>
        <w:rPr>
          <w:rStyle w:val="35"/>
          <w:rFonts w:ascii="仿宋_GB2312" w:hAnsi="宋体" w:eastAsia="仿宋_GB2312"/>
          <w:b/>
          <w:sz w:val="28"/>
          <w:szCs w:val="28"/>
          <w:highlight w:val="none"/>
        </w:rPr>
      </w:pPr>
      <w:r>
        <w:rPr>
          <w:rStyle w:val="35"/>
          <w:rFonts w:ascii="仿宋_GB2312" w:hAnsi="宋体" w:eastAsia="仿宋_GB2312"/>
          <w:b/>
          <w:sz w:val="28"/>
          <w:szCs w:val="28"/>
          <w:highlight w:val="none"/>
        </w:rPr>
        <w:t>争议解决与适用法律</w:t>
      </w:r>
    </w:p>
    <w:p>
      <w:pPr>
        <w:tabs>
          <w:tab w:val="left" w:pos="180"/>
        </w:tabs>
        <w:spacing w:line="240" w:lineRule="atLeast"/>
        <w:rPr>
          <w:rStyle w:val="35"/>
          <w:rFonts w:ascii="仿宋_GB2312" w:hAnsi="宋体" w:eastAsia="仿宋_GB2312"/>
          <w:sz w:val="28"/>
          <w:szCs w:val="28"/>
          <w:highlight w:val="none"/>
        </w:rPr>
      </w:pPr>
      <w:r>
        <w:rPr>
          <w:rStyle w:val="35"/>
          <w:rFonts w:ascii="仿宋_GB2312" w:hAnsi="宋体" w:eastAsia="仿宋_GB2312"/>
          <w:sz w:val="28"/>
          <w:szCs w:val="28"/>
          <w:highlight w:val="none"/>
        </w:rPr>
        <w:t>1.如双方就本协议内容或其执行发生任何争议，双方应进行友好协商；协商不成时，任何一方均可向</w:t>
      </w:r>
      <w:r>
        <w:rPr>
          <w:rStyle w:val="35"/>
          <w:rFonts w:hint="eastAsia" w:ascii="仿宋_GB2312" w:hAnsi="宋体" w:eastAsia="仿宋_GB2312"/>
          <w:sz w:val="28"/>
          <w:szCs w:val="28"/>
          <w:highlight w:val="none"/>
        </w:rPr>
        <w:t>甲方所在地</w:t>
      </w:r>
      <w:r>
        <w:rPr>
          <w:rStyle w:val="35"/>
          <w:rFonts w:ascii="仿宋_GB2312" w:hAnsi="宋体" w:eastAsia="仿宋_GB2312"/>
          <w:sz w:val="28"/>
          <w:szCs w:val="28"/>
          <w:highlight w:val="none"/>
        </w:rPr>
        <w:t>有管辖权的人民法院提起诉讼。</w:t>
      </w:r>
    </w:p>
    <w:p>
      <w:pPr>
        <w:tabs>
          <w:tab w:val="left" w:pos="567"/>
        </w:tabs>
        <w:spacing w:line="240" w:lineRule="atLeast"/>
        <w:rPr>
          <w:rStyle w:val="35"/>
          <w:rFonts w:ascii="仿宋_GB2312" w:hAnsi="宋体" w:eastAsia="仿宋_GB2312"/>
          <w:sz w:val="28"/>
          <w:szCs w:val="28"/>
          <w:highlight w:val="none"/>
        </w:rPr>
      </w:pPr>
      <w:r>
        <w:rPr>
          <w:rStyle w:val="35"/>
          <w:rFonts w:ascii="仿宋_GB2312" w:hAnsi="宋体" w:eastAsia="仿宋_GB2312"/>
          <w:sz w:val="28"/>
          <w:szCs w:val="28"/>
          <w:highlight w:val="none"/>
        </w:rPr>
        <w:t>2.本协议的订立、执行和解释及争议的解决均应适用中国法律。</w:t>
      </w:r>
    </w:p>
    <w:p>
      <w:pPr>
        <w:tabs>
          <w:tab w:val="left" w:pos="567"/>
        </w:tabs>
        <w:spacing w:line="240" w:lineRule="atLeast"/>
        <w:ind w:firstLine="565" w:firstLineChars="202"/>
        <w:rPr>
          <w:rStyle w:val="35"/>
          <w:rFonts w:ascii="仿宋_GB2312" w:hAnsi="宋体" w:eastAsia="仿宋_GB2312"/>
          <w:sz w:val="28"/>
          <w:szCs w:val="28"/>
          <w:highlight w:val="none"/>
        </w:rPr>
      </w:pPr>
    </w:p>
    <w:p>
      <w:pPr>
        <w:pStyle w:val="22"/>
        <w:numPr>
          <w:ilvl w:val="1"/>
          <w:numId w:val="38"/>
        </w:numPr>
        <w:tabs>
          <w:tab w:val="left" w:pos="420"/>
          <w:tab w:val="left" w:pos="567"/>
        </w:tabs>
        <w:spacing w:line="240" w:lineRule="atLeast"/>
        <w:ind w:firstLineChars="0"/>
        <w:rPr>
          <w:rStyle w:val="35"/>
          <w:rFonts w:ascii="仿宋_GB2312" w:hAnsi="宋体" w:eastAsia="仿宋_GB2312"/>
          <w:b/>
          <w:sz w:val="28"/>
          <w:szCs w:val="28"/>
          <w:highlight w:val="none"/>
        </w:rPr>
      </w:pPr>
      <w:r>
        <w:rPr>
          <w:rStyle w:val="35"/>
          <w:rFonts w:ascii="仿宋_GB2312" w:hAnsi="宋体" w:eastAsia="仿宋_GB2312"/>
          <w:b/>
          <w:sz w:val="28"/>
          <w:szCs w:val="28"/>
          <w:highlight w:val="none"/>
        </w:rPr>
        <w:t>其他条款</w:t>
      </w:r>
    </w:p>
    <w:p>
      <w:pPr>
        <w:tabs>
          <w:tab w:val="left" w:pos="567"/>
        </w:tabs>
        <w:spacing w:line="240" w:lineRule="atLeast"/>
        <w:rPr>
          <w:rStyle w:val="35"/>
          <w:rFonts w:ascii="仿宋_GB2312" w:hAnsi="宋体" w:eastAsia="仿宋_GB2312"/>
          <w:sz w:val="28"/>
          <w:szCs w:val="28"/>
          <w:highlight w:val="none"/>
        </w:rPr>
      </w:pPr>
      <w:r>
        <w:rPr>
          <w:rStyle w:val="35"/>
          <w:rFonts w:ascii="仿宋_GB2312" w:hAnsi="宋体" w:eastAsia="仿宋_GB2312"/>
          <w:sz w:val="28"/>
          <w:szCs w:val="28"/>
          <w:highlight w:val="none"/>
        </w:rPr>
        <w:t>1.本协议附件为本协议的有效组成部分，与本协议具同等法律效力。</w:t>
      </w:r>
    </w:p>
    <w:p>
      <w:pPr>
        <w:tabs>
          <w:tab w:val="left" w:pos="0"/>
        </w:tabs>
        <w:spacing w:line="240" w:lineRule="atLeast"/>
        <w:rPr>
          <w:rStyle w:val="35"/>
          <w:rFonts w:ascii="仿宋_GB2312" w:hAnsi="宋体" w:eastAsia="仿宋_GB2312"/>
          <w:sz w:val="28"/>
          <w:szCs w:val="28"/>
          <w:highlight w:val="none"/>
        </w:rPr>
      </w:pPr>
      <w:r>
        <w:rPr>
          <w:rStyle w:val="35"/>
          <w:rFonts w:ascii="仿宋_GB2312" w:hAnsi="宋体" w:eastAsia="仿宋_GB2312"/>
          <w:sz w:val="28"/>
          <w:szCs w:val="28"/>
          <w:highlight w:val="none"/>
        </w:rPr>
        <w:t>2.本协议的任何一方未能及时行使本协议项下的权利不应被视为放弃该权利，也不影响该方在将来行使该权利。</w:t>
      </w:r>
    </w:p>
    <w:p>
      <w:pPr>
        <w:tabs>
          <w:tab w:val="left" w:pos="0"/>
        </w:tabs>
        <w:spacing w:line="240" w:lineRule="atLeast"/>
        <w:rPr>
          <w:rStyle w:val="35"/>
          <w:rFonts w:ascii="仿宋_GB2312" w:hAnsi="宋体" w:eastAsia="仿宋_GB2312"/>
          <w:sz w:val="28"/>
          <w:szCs w:val="28"/>
          <w:highlight w:val="none"/>
        </w:rPr>
      </w:pPr>
      <w:r>
        <w:rPr>
          <w:rStyle w:val="35"/>
          <w:rFonts w:ascii="仿宋_GB2312" w:hAnsi="宋体" w:eastAsia="仿宋_GB2312"/>
          <w:sz w:val="28"/>
          <w:szCs w:val="28"/>
          <w:highlight w:val="none"/>
        </w:rPr>
        <w:t>3.如果本协议中的任何条款无论因何种原因完全或部分无效或不具有执行力，或违反任何适用的法律，则该条款被视为删除。但本协议的其余条款仍应有效并且有约束力。</w:t>
      </w:r>
    </w:p>
    <w:p>
      <w:pPr>
        <w:tabs>
          <w:tab w:val="left" w:pos="0"/>
        </w:tabs>
        <w:spacing w:line="240" w:lineRule="atLeast"/>
        <w:rPr>
          <w:rStyle w:val="35"/>
          <w:rFonts w:ascii="仿宋_GB2312" w:hAnsi="宋体" w:eastAsia="仿宋_GB2312"/>
          <w:sz w:val="28"/>
          <w:szCs w:val="28"/>
          <w:highlight w:val="none"/>
        </w:rPr>
      </w:pPr>
      <w:r>
        <w:rPr>
          <w:rStyle w:val="35"/>
          <w:rFonts w:ascii="仿宋_GB2312" w:hAnsi="宋体" w:eastAsia="仿宋_GB2312"/>
          <w:sz w:val="28"/>
          <w:szCs w:val="28"/>
          <w:highlight w:val="none"/>
        </w:rPr>
        <w:t>4.本协议壹式肆份，双方各执贰份，具有同等法律效力。</w:t>
      </w:r>
    </w:p>
    <w:p>
      <w:pPr>
        <w:tabs>
          <w:tab w:val="left" w:pos="0"/>
        </w:tabs>
        <w:spacing w:line="240" w:lineRule="atLeast"/>
        <w:rPr>
          <w:rStyle w:val="35"/>
          <w:rFonts w:ascii="仿宋_GB2312" w:hAnsi="宋体" w:eastAsia="仿宋_GB2312"/>
          <w:sz w:val="28"/>
          <w:szCs w:val="28"/>
          <w:highlight w:val="none"/>
        </w:rPr>
      </w:pPr>
      <w:r>
        <w:rPr>
          <w:rStyle w:val="35"/>
          <w:rFonts w:ascii="仿宋_GB2312" w:hAnsi="宋体" w:eastAsia="仿宋_GB2312"/>
          <w:sz w:val="28"/>
          <w:szCs w:val="28"/>
          <w:highlight w:val="none"/>
        </w:rPr>
        <w:t>5.本协议未尽事宜由双方另行协商解决。</w:t>
      </w:r>
    </w:p>
    <w:p>
      <w:pPr>
        <w:tabs>
          <w:tab w:val="left" w:pos="0"/>
        </w:tabs>
        <w:spacing w:line="240" w:lineRule="atLeast"/>
        <w:rPr>
          <w:rStyle w:val="35"/>
          <w:rFonts w:ascii="仿宋_GB2312" w:hAnsi="宋体" w:eastAsia="仿宋_GB2312"/>
          <w:sz w:val="28"/>
          <w:szCs w:val="28"/>
          <w:highlight w:val="none"/>
        </w:rPr>
      </w:pPr>
      <w:r>
        <w:rPr>
          <w:rStyle w:val="35"/>
          <w:rFonts w:ascii="仿宋_GB2312" w:hAnsi="宋体" w:eastAsia="仿宋_GB2312"/>
          <w:sz w:val="28"/>
          <w:szCs w:val="28"/>
          <w:highlight w:val="none"/>
        </w:rPr>
        <w:t>6.</w:t>
      </w:r>
      <w:r>
        <w:rPr>
          <w:rFonts w:hint="eastAsia" w:ascii="宋体" w:hAnsi="宋体" w:cs="PMingLiU"/>
          <w:color w:val="000000"/>
          <w:kern w:val="0"/>
          <w:szCs w:val="21"/>
          <w:highlight w:val="none"/>
        </w:rPr>
        <w:t xml:space="preserve"> </w:t>
      </w:r>
      <w:r>
        <w:rPr>
          <w:rFonts w:hint="eastAsia" w:ascii="仿宋_GB2312" w:hAnsi="宋体" w:eastAsia="仿宋_GB2312"/>
          <w:sz w:val="28"/>
          <w:szCs w:val="28"/>
          <w:highlight w:val="none"/>
        </w:rPr>
        <w:t>本协议载明的双方联系方式（包括联系人、联系方式、地址）为双方约定的联系方式，若有变动，应提前书面告知对方，否则该联系方式为双方法定的送达和联系方式。</w:t>
      </w:r>
    </w:p>
    <w:p>
      <w:pPr>
        <w:spacing w:line="240" w:lineRule="atLeast"/>
        <w:ind w:left="1"/>
        <w:rPr>
          <w:rStyle w:val="35"/>
          <w:rFonts w:ascii="仿宋_GB2312" w:hAnsi="宋体" w:eastAsia="仿宋_GB2312"/>
          <w:sz w:val="28"/>
          <w:szCs w:val="28"/>
          <w:highlight w:val="none"/>
        </w:rPr>
      </w:pPr>
      <w:r>
        <w:rPr>
          <w:rStyle w:val="35"/>
          <w:rFonts w:ascii="仿宋_GB2312" w:hAnsi="宋体" w:eastAsia="仿宋_GB2312"/>
          <w:sz w:val="28"/>
          <w:szCs w:val="28"/>
          <w:highlight w:val="none"/>
        </w:rPr>
        <w:t>————————————以下无正文————————————</w:t>
      </w:r>
    </w:p>
    <w:p>
      <w:pPr>
        <w:spacing w:line="240" w:lineRule="atLeast"/>
        <w:ind w:left="5060" w:hanging="5060" w:hangingChars="1800"/>
        <w:rPr>
          <w:rStyle w:val="35"/>
          <w:rFonts w:ascii="仿宋_GB2312" w:hAnsi="宋体" w:eastAsia="仿宋_GB2312"/>
          <w:sz w:val="28"/>
          <w:szCs w:val="28"/>
          <w:highlight w:val="none"/>
        </w:rPr>
      </w:pPr>
      <w:r>
        <w:rPr>
          <w:rStyle w:val="35"/>
          <w:rFonts w:ascii="仿宋_GB2312" w:hAnsi="宋体" w:eastAsia="仿宋_GB2312"/>
          <w:b/>
          <w:sz w:val="28"/>
          <w:szCs w:val="28"/>
          <w:highlight w:val="none"/>
        </w:rPr>
        <w:t xml:space="preserve">甲方：                     </w:t>
      </w:r>
      <w:r>
        <w:rPr>
          <w:rStyle w:val="35"/>
          <w:rFonts w:hint="eastAsia" w:ascii="仿宋_GB2312" w:hAnsi="宋体" w:eastAsia="仿宋_GB2312"/>
          <w:b/>
          <w:sz w:val="28"/>
          <w:szCs w:val="28"/>
          <w:highlight w:val="none"/>
        </w:rPr>
        <w:t xml:space="preserve"> </w:t>
      </w:r>
      <w:r>
        <w:rPr>
          <w:rStyle w:val="35"/>
          <w:rFonts w:ascii="仿宋_GB2312" w:hAnsi="宋体" w:eastAsia="仿宋_GB2312"/>
          <w:b/>
          <w:sz w:val="28"/>
          <w:szCs w:val="28"/>
          <w:highlight w:val="none"/>
        </w:rPr>
        <w:t>乙方：</w:t>
      </w:r>
    </w:p>
    <w:p>
      <w:pPr>
        <w:spacing w:line="240" w:lineRule="atLeast"/>
        <w:rPr>
          <w:rStyle w:val="35"/>
          <w:rFonts w:ascii="仿宋_GB2312" w:hAnsi="宋体" w:eastAsia="仿宋_GB2312"/>
          <w:sz w:val="28"/>
          <w:szCs w:val="28"/>
          <w:highlight w:val="none"/>
        </w:rPr>
      </w:pPr>
      <w:r>
        <w:rPr>
          <w:rStyle w:val="35"/>
          <w:rFonts w:ascii="仿宋_GB2312" w:hAnsi="宋体" w:eastAsia="仿宋_GB2312"/>
          <w:sz w:val="28"/>
          <w:szCs w:val="28"/>
          <w:highlight w:val="none"/>
        </w:rPr>
        <w:t>（盖章）                    （盖章）</w:t>
      </w:r>
    </w:p>
    <w:p>
      <w:pPr>
        <w:spacing w:line="240" w:lineRule="atLeast"/>
        <w:rPr>
          <w:rStyle w:val="35"/>
          <w:rFonts w:ascii="仿宋_GB2312" w:hAnsi="宋体" w:eastAsia="仿宋_GB2312"/>
          <w:sz w:val="28"/>
          <w:szCs w:val="28"/>
          <w:highlight w:val="none"/>
        </w:rPr>
      </w:pPr>
      <w:r>
        <w:rPr>
          <w:rStyle w:val="35"/>
          <w:rFonts w:ascii="仿宋_GB2312" w:hAnsi="宋体" w:eastAsia="仿宋_GB2312"/>
          <w:sz w:val="28"/>
          <w:szCs w:val="28"/>
          <w:highlight w:val="none"/>
        </w:rPr>
        <w:t>代表：                       代表：</w:t>
      </w:r>
      <w:r>
        <w:rPr>
          <w:rStyle w:val="35"/>
          <w:rFonts w:ascii="仿宋_GB2312" w:hAnsi="宋体" w:eastAsia="仿宋_GB2312"/>
          <w:sz w:val="28"/>
          <w:szCs w:val="28"/>
          <w:highlight w:val="none"/>
        </w:rPr>
        <w:tab/>
      </w:r>
      <w:r>
        <w:rPr>
          <w:rStyle w:val="35"/>
          <w:rFonts w:ascii="仿宋_GB2312" w:hAnsi="宋体" w:eastAsia="仿宋_GB2312"/>
          <w:sz w:val="28"/>
          <w:szCs w:val="28"/>
          <w:highlight w:val="none"/>
        </w:rPr>
        <w:tab/>
      </w:r>
      <w:r>
        <w:rPr>
          <w:rStyle w:val="35"/>
          <w:rFonts w:ascii="仿宋_GB2312" w:hAnsi="宋体" w:eastAsia="仿宋_GB2312"/>
          <w:sz w:val="28"/>
          <w:szCs w:val="28"/>
          <w:highlight w:val="none"/>
        </w:rPr>
        <w:tab/>
      </w:r>
    </w:p>
    <w:p>
      <w:pPr>
        <w:spacing w:line="240" w:lineRule="atLeast"/>
        <w:rPr>
          <w:rStyle w:val="35"/>
          <w:rFonts w:ascii="仿宋_GB2312" w:hAnsi="宋体" w:eastAsia="仿宋_GB2312"/>
          <w:sz w:val="28"/>
          <w:szCs w:val="28"/>
          <w:highlight w:val="none"/>
        </w:rPr>
      </w:pPr>
      <w:r>
        <w:rPr>
          <w:rStyle w:val="35"/>
          <w:rFonts w:ascii="仿宋_GB2312" w:hAnsi="宋体" w:eastAsia="仿宋_GB2312"/>
          <w:sz w:val="28"/>
          <w:szCs w:val="28"/>
          <w:highlight w:val="none"/>
        </w:rPr>
        <w:t>签字日期：</w:t>
      </w:r>
      <w:r>
        <w:rPr>
          <w:rStyle w:val="35"/>
          <w:rFonts w:ascii="仿宋_GB2312" w:hAnsi="宋体" w:eastAsia="仿宋_GB2312"/>
          <w:sz w:val="28"/>
          <w:szCs w:val="28"/>
          <w:highlight w:val="none"/>
        </w:rPr>
        <w:tab/>
      </w:r>
      <w:r>
        <w:rPr>
          <w:rStyle w:val="35"/>
          <w:rFonts w:ascii="仿宋_GB2312" w:hAnsi="宋体" w:eastAsia="仿宋_GB2312"/>
          <w:sz w:val="28"/>
          <w:szCs w:val="28"/>
          <w:highlight w:val="none"/>
        </w:rPr>
        <w:t xml:space="preserve"> 年   月   日      签字日期：    年    月    日</w:t>
      </w:r>
    </w:p>
    <w:p>
      <w:pPr>
        <w:spacing w:line="240" w:lineRule="atLeast"/>
        <w:jc w:val="left"/>
        <w:rPr>
          <w:rFonts w:ascii="仿宋" w:hAnsi="仿宋" w:eastAsia="仿宋"/>
          <w:sz w:val="28"/>
          <w:szCs w:val="28"/>
          <w:highlight w:val="none"/>
        </w:rPr>
      </w:pPr>
      <w:r>
        <w:rPr>
          <w:rStyle w:val="35"/>
          <w:rFonts w:ascii="仿宋_GB2312" w:hAnsi="宋体" w:eastAsia="仿宋_GB2312"/>
          <w:sz w:val="28"/>
          <w:szCs w:val="28"/>
          <w:highlight w:val="none"/>
        </w:rPr>
        <w:br w:type="page"/>
      </w:r>
    </w:p>
    <w:p>
      <w:pPr>
        <w:pStyle w:val="22"/>
        <w:spacing w:line="420" w:lineRule="exact"/>
        <w:ind w:right="-58" w:firstLineChars="0"/>
        <w:rPr>
          <w:rFonts w:ascii="仿宋" w:hAnsi="仿宋" w:eastAsia="仿宋"/>
          <w:b/>
          <w:color w:val="auto"/>
          <w:sz w:val="28"/>
          <w:szCs w:val="28"/>
          <w:highlight w:val="none"/>
        </w:rPr>
      </w:pPr>
      <w:r>
        <w:rPr>
          <w:rFonts w:hint="eastAsia" w:ascii="仿宋" w:hAnsi="仿宋" w:eastAsia="仿宋"/>
          <w:b/>
          <w:color w:val="auto"/>
          <w:sz w:val="28"/>
          <w:szCs w:val="28"/>
          <w:highlight w:val="none"/>
        </w:rPr>
        <w:t>附件一：</w:t>
      </w:r>
      <w:r>
        <w:rPr>
          <w:rStyle w:val="35"/>
          <w:rFonts w:ascii="华文仿宋" w:hAnsi="华文仿宋" w:eastAsia="华文仿宋"/>
          <w:b/>
          <w:color w:val="auto"/>
          <w:sz w:val="28"/>
          <w:szCs w:val="28"/>
          <w:highlight w:val="none"/>
        </w:rPr>
        <w:t>高交会</w:t>
      </w:r>
      <w:r>
        <w:rPr>
          <w:rFonts w:hint="eastAsia" w:ascii="仿宋" w:hAnsi="仿宋" w:eastAsia="仿宋"/>
          <w:b/>
          <w:color w:val="auto"/>
          <w:sz w:val="28"/>
          <w:szCs w:val="28"/>
          <w:highlight w:val="none"/>
        </w:rPr>
        <w:t>英文专题服务</w:t>
      </w:r>
    </w:p>
    <w:p>
      <w:pPr>
        <w:pStyle w:val="22"/>
        <w:spacing w:line="420" w:lineRule="exact"/>
        <w:ind w:right="-58" w:firstLineChars="0"/>
        <w:rPr>
          <w:rFonts w:ascii="仿宋" w:hAnsi="仿宋" w:eastAsia="仿宋"/>
          <w:b/>
          <w:color w:val="auto"/>
          <w:sz w:val="28"/>
          <w:szCs w:val="28"/>
          <w:highlight w:val="none"/>
        </w:rPr>
      </w:pPr>
    </w:p>
    <w:p>
      <w:pPr>
        <w:pStyle w:val="22"/>
        <w:spacing w:line="420" w:lineRule="exact"/>
        <w:ind w:right="-58"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甲方委托乙方在《中国日报》及相关渠道进行高交会的专题推广宣传项目，项目实施日期为2022年高交会期间，详见如下：</w:t>
      </w:r>
    </w:p>
    <w:p>
      <w:pPr>
        <w:pStyle w:val="22"/>
        <w:spacing w:line="420" w:lineRule="exact"/>
        <w:ind w:right="420" w:firstLineChars="0"/>
        <w:rPr>
          <w:rFonts w:ascii="仿宋" w:hAnsi="仿宋" w:eastAsia="仿宋"/>
          <w:color w:val="auto"/>
          <w:sz w:val="28"/>
          <w:szCs w:val="28"/>
          <w:highlight w:val="none"/>
        </w:rPr>
      </w:pPr>
    </w:p>
    <w:tbl>
      <w:tblPr>
        <w:tblStyle w:val="14"/>
        <w:tblW w:w="851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3969"/>
        <w:gridCol w:w="141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86" w:type="dxa"/>
            <w:shd w:val="clear" w:color="auto" w:fill="auto"/>
            <w:vAlign w:val="center"/>
          </w:tcPr>
          <w:p>
            <w:pPr>
              <w:spacing w:line="420" w:lineRule="exact"/>
              <w:jc w:val="center"/>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推广平台</w:t>
            </w:r>
          </w:p>
        </w:tc>
        <w:tc>
          <w:tcPr>
            <w:tcW w:w="3969" w:type="dxa"/>
            <w:shd w:val="clear" w:color="auto" w:fill="auto"/>
            <w:vAlign w:val="center"/>
          </w:tcPr>
          <w:p>
            <w:pPr>
              <w:spacing w:line="420" w:lineRule="exact"/>
              <w:jc w:val="center"/>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推广内容</w:t>
            </w:r>
          </w:p>
        </w:tc>
        <w:tc>
          <w:tcPr>
            <w:tcW w:w="1418" w:type="dxa"/>
            <w:shd w:val="clear" w:color="auto" w:fill="auto"/>
            <w:vAlign w:val="center"/>
          </w:tcPr>
          <w:p>
            <w:pPr>
              <w:spacing w:line="420" w:lineRule="exact"/>
              <w:jc w:val="center"/>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时间</w:t>
            </w:r>
          </w:p>
        </w:tc>
        <w:tc>
          <w:tcPr>
            <w:tcW w:w="1842" w:type="dxa"/>
            <w:shd w:val="clear" w:color="auto" w:fill="auto"/>
            <w:vAlign w:val="center"/>
          </w:tcPr>
          <w:p>
            <w:pPr>
              <w:spacing w:line="420" w:lineRule="exact"/>
              <w:jc w:val="center"/>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费用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286" w:type="dxa"/>
            <w:shd w:val="clear" w:color="auto" w:fill="auto"/>
            <w:vAlign w:val="center"/>
          </w:tcPr>
          <w:p>
            <w:pPr>
              <w:spacing w:line="420" w:lineRule="exact"/>
              <w:jc w:val="left"/>
              <w:rPr>
                <w:rFonts w:ascii="仿宋" w:hAnsi="仿宋" w:eastAsia="仿宋" w:cs="宋体"/>
                <w:bCs/>
                <w:color w:val="auto"/>
                <w:kern w:val="0"/>
                <w:sz w:val="24"/>
                <w:szCs w:val="24"/>
                <w:highlight w:val="none"/>
              </w:rPr>
            </w:pPr>
            <w:r>
              <w:rPr>
                <w:rFonts w:hint="eastAsia" w:ascii="仿宋" w:hAnsi="仿宋" w:eastAsia="仿宋" w:cs="宋体"/>
                <w:bCs/>
                <w:color w:val="auto"/>
                <w:kern w:val="0"/>
                <w:sz w:val="24"/>
                <w:szCs w:val="24"/>
                <w:highlight w:val="none"/>
              </w:rPr>
              <w:t>中国日报中国版</w:t>
            </w:r>
          </w:p>
        </w:tc>
        <w:tc>
          <w:tcPr>
            <w:tcW w:w="3969" w:type="dxa"/>
            <w:shd w:val="clear" w:color="auto" w:fill="auto"/>
            <w:vAlign w:val="center"/>
          </w:tcPr>
          <w:p>
            <w:pPr>
              <w:spacing w:line="420" w:lineRule="exact"/>
              <w:jc w:val="left"/>
              <w:rPr>
                <w:rFonts w:ascii="仿宋" w:hAnsi="仿宋" w:eastAsia="仿宋" w:cs="宋体"/>
                <w:bCs/>
                <w:color w:val="auto"/>
                <w:kern w:val="0"/>
                <w:sz w:val="24"/>
                <w:szCs w:val="24"/>
                <w:highlight w:val="none"/>
              </w:rPr>
            </w:pPr>
          </w:p>
        </w:tc>
        <w:tc>
          <w:tcPr>
            <w:tcW w:w="1418" w:type="dxa"/>
            <w:shd w:val="clear" w:color="auto" w:fill="auto"/>
            <w:vAlign w:val="center"/>
          </w:tcPr>
          <w:p>
            <w:pPr>
              <w:spacing w:line="420" w:lineRule="exact"/>
              <w:jc w:val="left"/>
              <w:rPr>
                <w:rFonts w:ascii="仿宋" w:hAnsi="仿宋" w:eastAsia="仿宋" w:cs="宋体"/>
                <w:bCs/>
                <w:color w:val="auto"/>
                <w:kern w:val="0"/>
                <w:sz w:val="24"/>
                <w:szCs w:val="24"/>
                <w:highlight w:val="none"/>
              </w:rPr>
            </w:pPr>
          </w:p>
        </w:tc>
        <w:tc>
          <w:tcPr>
            <w:tcW w:w="1842" w:type="dxa"/>
            <w:shd w:val="clear" w:color="auto" w:fill="auto"/>
            <w:vAlign w:val="center"/>
          </w:tcPr>
          <w:p>
            <w:pPr>
              <w:spacing w:line="420" w:lineRule="exact"/>
              <w:jc w:val="center"/>
              <w:rPr>
                <w:rFonts w:ascii="仿宋" w:hAnsi="仿宋" w:eastAsia="仿宋"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286" w:type="dxa"/>
            <w:shd w:val="clear" w:color="auto" w:fill="auto"/>
            <w:vAlign w:val="center"/>
          </w:tcPr>
          <w:p>
            <w:pPr>
              <w:spacing w:line="420" w:lineRule="exact"/>
              <w:jc w:val="left"/>
              <w:rPr>
                <w:rFonts w:ascii="仿宋" w:hAnsi="仿宋" w:eastAsia="仿宋" w:cs="宋体"/>
                <w:bCs/>
                <w:color w:val="auto"/>
                <w:kern w:val="0"/>
                <w:sz w:val="24"/>
                <w:szCs w:val="24"/>
                <w:highlight w:val="none"/>
              </w:rPr>
            </w:pPr>
            <w:r>
              <w:rPr>
                <w:rFonts w:hint="eastAsia" w:ascii="仿宋" w:hAnsi="仿宋" w:eastAsia="仿宋" w:cs="宋体"/>
                <w:bCs/>
                <w:color w:val="auto"/>
                <w:kern w:val="0"/>
                <w:sz w:val="24"/>
                <w:szCs w:val="24"/>
                <w:highlight w:val="none"/>
              </w:rPr>
              <w:t>中国日报国际版</w:t>
            </w:r>
          </w:p>
        </w:tc>
        <w:tc>
          <w:tcPr>
            <w:tcW w:w="3969" w:type="dxa"/>
            <w:shd w:val="clear" w:color="auto" w:fill="auto"/>
            <w:vAlign w:val="center"/>
          </w:tcPr>
          <w:p>
            <w:pPr>
              <w:spacing w:line="420" w:lineRule="exact"/>
              <w:jc w:val="left"/>
              <w:rPr>
                <w:rFonts w:ascii="仿宋" w:hAnsi="仿宋" w:eastAsia="仿宋" w:cs="宋体"/>
                <w:bCs/>
                <w:color w:val="auto"/>
                <w:kern w:val="0"/>
                <w:sz w:val="24"/>
                <w:szCs w:val="24"/>
                <w:highlight w:val="none"/>
              </w:rPr>
            </w:pPr>
          </w:p>
        </w:tc>
        <w:tc>
          <w:tcPr>
            <w:tcW w:w="1418" w:type="dxa"/>
            <w:shd w:val="clear" w:color="auto" w:fill="auto"/>
            <w:vAlign w:val="center"/>
          </w:tcPr>
          <w:p>
            <w:pPr>
              <w:spacing w:line="420" w:lineRule="exact"/>
              <w:jc w:val="left"/>
              <w:rPr>
                <w:rFonts w:ascii="仿宋" w:hAnsi="仿宋" w:eastAsia="仿宋" w:cs="宋体"/>
                <w:bCs/>
                <w:color w:val="auto"/>
                <w:kern w:val="0"/>
                <w:sz w:val="24"/>
                <w:szCs w:val="24"/>
                <w:highlight w:val="none"/>
              </w:rPr>
            </w:pPr>
          </w:p>
        </w:tc>
        <w:tc>
          <w:tcPr>
            <w:tcW w:w="1842" w:type="dxa"/>
            <w:shd w:val="clear" w:color="auto" w:fill="auto"/>
            <w:vAlign w:val="center"/>
          </w:tcPr>
          <w:p>
            <w:pPr>
              <w:spacing w:line="420" w:lineRule="exact"/>
              <w:jc w:val="center"/>
              <w:rPr>
                <w:rFonts w:ascii="仿宋" w:hAnsi="仿宋" w:eastAsia="仿宋"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286" w:type="dxa"/>
            <w:shd w:val="clear" w:color="auto" w:fill="auto"/>
            <w:vAlign w:val="center"/>
          </w:tcPr>
          <w:p>
            <w:pPr>
              <w:spacing w:line="420" w:lineRule="exact"/>
              <w:jc w:val="left"/>
              <w:rPr>
                <w:rFonts w:ascii="仿宋" w:hAnsi="仿宋" w:eastAsia="仿宋" w:cs="宋体"/>
                <w:bCs/>
                <w:color w:val="auto"/>
                <w:kern w:val="0"/>
                <w:sz w:val="24"/>
                <w:szCs w:val="24"/>
                <w:highlight w:val="none"/>
              </w:rPr>
            </w:pPr>
            <w:r>
              <w:rPr>
                <w:rFonts w:hint="eastAsia" w:ascii="仿宋" w:hAnsi="仿宋" w:eastAsia="仿宋" w:cs="宋体"/>
                <w:bCs/>
                <w:color w:val="auto"/>
                <w:kern w:val="0"/>
                <w:sz w:val="24"/>
                <w:szCs w:val="24"/>
                <w:highlight w:val="none"/>
              </w:rPr>
              <w:t>中国日报英文网</w:t>
            </w:r>
          </w:p>
        </w:tc>
        <w:tc>
          <w:tcPr>
            <w:tcW w:w="3969" w:type="dxa"/>
            <w:shd w:val="clear" w:color="auto" w:fill="auto"/>
            <w:vAlign w:val="center"/>
          </w:tcPr>
          <w:p>
            <w:pPr>
              <w:spacing w:line="420" w:lineRule="exact"/>
              <w:jc w:val="left"/>
              <w:rPr>
                <w:rFonts w:ascii="仿宋" w:hAnsi="仿宋" w:eastAsia="仿宋" w:cs="宋体"/>
                <w:bCs/>
                <w:color w:val="auto"/>
                <w:kern w:val="0"/>
                <w:sz w:val="24"/>
                <w:szCs w:val="24"/>
                <w:highlight w:val="none"/>
              </w:rPr>
            </w:pPr>
          </w:p>
        </w:tc>
        <w:tc>
          <w:tcPr>
            <w:tcW w:w="1418" w:type="dxa"/>
            <w:shd w:val="clear" w:color="auto" w:fill="auto"/>
            <w:vAlign w:val="center"/>
          </w:tcPr>
          <w:p>
            <w:pPr>
              <w:spacing w:line="420" w:lineRule="exact"/>
              <w:jc w:val="left"/>
              <w:rPr>
                <w:rFonts w:ascii="仿宋" w:hAnsi="仿宋" w:eastAsia="仿宋" w:cs="宋体"/>
                <w:bCs/>
                <w:color w:val="auto"/>
                <w:kern w:val="0"/>
                <w:sz w:val="24"/>
                <w:szCs w:val="24"/>
                <w:highlight w:val="none"/>
              </w:rPr>
            </w:pPr>
          </w:p>
        </w:tc>
        <w:tc>
          <w:tcPr>
            <w:tcW w:w="1842" w:type="dxa"/>
            <w:shd w:val="clear" w:color="auto" w:fill="auto"/>
            <w:vAlign w:val="center"/>
          </w:tcPr>
          <w:p>
            <w:pPr>
              <w:spacing w:line="420" w:lineRule="exact"/>
              <w:jc w:val="center"/>
              <w:rPr>
                <w:rFonts w:ascii="仿宋" w:hAnsi="仿宋" w:eastAsia="仿宋"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286" w:type="dxa"/>
            <w:shd w:val="clear" w:color="auto" w:fill="auto"/>
            <w:vAlign w:val="center"/>
          </w:tcPr>
          <w:p>
            <w:pPr>
              <w:spacing w:line="420" w:lineRule="exact"/>
              <w:jc w:val="left"/>
              <w:rPr>
                <w:rFonts w:ascii="仿宋" w:hAnsi="仿宋" w:eastAsia="仿宋" w:cs="宋体"/>
                <w:bCs/>
                <w:color w:val="auto"/>
                <w:kern w:val="0"/>
                <w:sz w:val="24"/>
                <w:szCs w:val="24"/>
                <w:highlight w:val="none"/>
              </w:rPr>
            </w:pPr>
            <w:r>
              <w:rPr>
                <w:rFonts w:hint="eastAsia" w:ascii="仿宋" w:hAnsi="仿宋" w:eastAsia="仿宋" w:cs="宋体"/>
                <w:bCs/>
                <w:color w:val="auto"/>
                <w:kern w:val="0"/>
                <w:sz w:val="24"/>
                <w:szCs w:val="24"/>
                <w:highlight w:val="none"/>
              </w:rPr>
              <w:t>中国日报FB账号</w:t>
            </w:r>
          </w:p>
        </w:tc>
        <w:tc>
          <w:tcPr>
            <w:tcW w:w="3969" w:type="dxa"/>
            <w:shd w:val="clear" w:color="auto" w:fill="auto"/>
            <w:vAlign w:val="center"/>
          </w:tcPr>
          <w:p>
            <w:pPr>
              <w:spacing w:line="420" w:lineRule="exact"/>
              <w:jc w:val="left"/>
              <w:rPr>
                <w:rFonts w:ascii="仿宋" w:hAnsi="仿宋" w:eastAsia="仿宋" w:cs="宋体"/>
                <w:bCs/>
                <w:color w:val="auto"/>
                <w:kern w:val="0"/>
                <w:sz w:val="24"/>
                <w:szCs w:val="24"/>
                <w:highlight w:val="none"/>
              </w:rPr>
            </w:pPr>
          </w:p>
        </w:tc>
        <w:tc>
          <w:tcPr>
            <w:tcW w:w="1418" w:type="dxa"/>
            <w:shd w:val="clear" w:color="auto" w:fill="auto"/>
            <w:vAlign w:val="center"/>
          </w:tcPr>
          <w:p>
            <w:pPr>
              <w:spacing w:line="420" w:lineRule="exact"/>
              <w:jc w:val="left"/>
              <w:rPr>
                <w:rFonts w:ascii="仿宋" w:hAnsi="仿宋" w:eastAsia="仿宋" w:cs="宋体"/>
                <w:bCs/>
                <w:color w:val="auto"/>
                <w:kern w:val="0"/>
                <w:sz w:val="24"/>
                <w:szCs w:val="24"/>
                <w:highlight w:val="none"/>
              </w:rPr>
            </w:pPr>
          </w:p>
        </w:tc>
        <w:tc>
          <w:tcPr>
            <w:tcW w:w="1842" w:type="dxa"/>
            <w:shd w:val="clear" w:color="auto" w:fill="auto"/>
            <w:vAlign w:val="center"/>
          </w:tcPr>
          <w:p>
            <w:pPr>
              <w:spacing w:line="420" w:lineRule="exact"/>
              <w:jc w:val="center"/>
              <w:rPr>
                <w:rFonts w:ascii="仿宋" w:hAnsi="仿宋" w:eastAsia="仿宋"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86" w:type="dxa"/>
            <w:shd w:val="clear" w:color="auto" w:fill="auto"/>
            <w:vAlign w:val="center"/>
          </w:tcPr>
          <w:p>
            <w:pPr>
              <w:spacing w:line="420" w:lineRule="exact"/>
              <w:jc w:val="left"/>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金额总计</w:t>
            </w:r>
          </w:p>
        </w:tc>
        <w:tc>
          <w:tcPr>
            <w:tcW w:w="3969" w:type="dxa"/>
            <w:shd w:val="clear" w:color="auto" w:fill="auto"/>
            <w:vAlign w:val="center"/>
          </w:tcPr>
          <w:p>
            <w:pPr>
              <w:spacing w:line="420" w:lineRule="exact"/>
              <w:jc w:val="center"/>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w:t>
            </w:r>
          </w:p>
        </w:tc>
        <w:tc>
          <w:tcPr>
            <w:tcW w:w="1418" w:type="dxa"/>
            <w:shd w:val="clear" w:color="auto" w:fill="auto"/>
            <w:vAlign w:val="center"/>
          </w:tcPr>
          <w:p>
            <w:pPr>
              <w:spacing w:line="420" w:lineRule="exact"/>
              <w:jc w:val="center"/>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w:t>
            </w:r>
          </w:p>
        </w:tc>
        <w:tc>
          <w:tcPr>
            <w:tcW w:w="1842" w:type="dxa"/>
            <w:shd w:val="clear" w:color="auto" w:fill="auto"/>
            <w:vAlign w:val="center"/>
          </w:tcPr>
          <w:p>
            <w:pPr>
              <w:spacing w:line="420" w:lineRule="exact"/>
              <w:jc w:val="center"/>
              <w:rPr>
                <w:rFonts w:ascii="仿宋" w:hAnsi="仿宋" w:eastAsia="仿宋" w:cs="宋体"/>
                <w:b/>
                <w:bCs/>
                <w:color w:val="auto"/>
                <w:kern w:val="0"/>
                <w:sz w:val="24"/>
                <w:szCs w:val="24"/>
                <w:highlight w:val="none"/>
              </w:rPr>
            </w:pPr>
          </w:p>
        </w:tc>
      </w:tr>
    </w:tbl>
    <w:p>
      <w:pPr>
        <w:pStyle w:val="22"/>
        <w:spacing w:line="420" w:lineRule="exact"/>
        <w:ind w:right="420" w:firstLine="0" w:firstLineChars="0"/>
        <w:rPr>
          <w:rStyle w:val="35"/>
          <w:rFonts w:ascii="仿宋_GB2312" w:hAnsi="宋体" w:eastAsia="仿宋_GB2312"/>
          <w:color w:val="auto"/>
          <w:sz w:val="28"/>
          <w:szCs w:val="28"/>
          <w:highlight w:val="none"/>
        </w:rPr>
      </w:pPr>
      <w:r>
        <w:rPr>
          <w:rFonts w:hint="eastAsia" w:ascii="仿宋" w:hAnsi="仿宋" w:eastAsia="仿宋"/>
          <w:color w:val="auto"/>
          <w:sz w:val="30"/>
          <w:szCs w:val="30"/>
          <w:highlight w:val="none"/>
        </w:rPr>
        <w:t xml:space="preserve">    </w:t>
      </w:r>
    </w:p>
    <w:p>
      <w:pPr>
        <w:jc w:val="left"/>
        <w:rPr>
          <w:rStyle w:val="35"/>
          <w:rFonts w:ascii="华文仿宋" w:hAnsi="华文仿宋" w:eastAsia="华文仿宋"/>
          <w:b/>
          <w:color w:val="auto"/>
          <w:sz w:val="28"/>
          <w:szCs w:val="28"/>
          <w:highlight w:val="none"/>
        </w:rPr>
      </w:pPr>
      <w:r>
        <w:rPr>
          <w:rStyle w:val="35"/>
          <w:rFonts w:ascii="仿宋_GB2312" w:hAnsi="宋体" w:eastAsia="仿宋_GB2312"/>
          <w:color w:val="auto"/>
          <w:sz w:val="28"/>
          <w:szCs w:val="28"/>
          <w:highlight w:val="none"/>
        </w:rPr>
        <w:t>附件</w:t>
      </w:r>
      <w:r>
        <w:rPr>
          <w:rStyle w:val="35"/>
          <w:rFonts w:hint="eastAsia" w:ascii="仿宋_GB2312" w:hAnsi="宋体" w:eastAsia="仿宋_GB2312"/>
          <w:color w:val="auto"/>
          <w:sz w:val="28"/>
          <w:szCs w:val="28"/>
          <w:highlight w:val="none"/>
        </w:rPr>
        <w:t>二</w:t>
      </w:r>
      <w:r>
        <w:rPr>
          <w:rStyle w:val="35"/>
          <w:rFonts w:ascii="仿宋_GB2312" w:hAnsi="宋体" w:eastAsia="仿宋_GB2312"/>
          <w:color w:val="auto"/>
          <w:sz w:val="28"/>
          <w:szCs w:val="28"/>
          <w:highlight w:val="none"/>
        </w:rPr>
        <w:t>：</w:t>
      </w:r>
      <w:r>
        <w:rPr>
          <w:rStyle w:val="35"/>
          <w:rFonts w:ascii="华文仿宋" w:hAnsi="华文仿宋" w:eastAsia="华文仿宋"/>
          <w:b/>
          <w:color w:val="auto"/>
          <w:sz w:val="28"/>
          <w:szCs w:val="28"/>
          <w:highlight w:val="none"/>
        </w:rPr>
        <w:t>高交会英文网站</w:t>
      </w:r>
      <w:r>
        <w:rPr>
          <w:rStyle w:val="35"/>
          <w:rFonts w:hint="eastAsia" w:ascii="华文仿宋" w:hAnsi="华文仿宋" w:eastAsia="华文仿宋"/>
          <w:b/>
          <w:color w:val="auto"/>
          <w:sz w:val="28"/>
          <w:szCs w:val="28"/>
          <w:highlight w:val="none"/>
          <w:lang w:eastAsia="zh-CN"/>
        </w:rPr>
        <w:t>、</w:t>
      </w:r>
      <w:r>
        <w:rPr>
          <w:rStyle w:val="35"/>
          <w:rFonts w:hint="eastAsia" w:ascii="华文仿宋" w:hAnsi="华文仿宋" w:eastAsia="华文仿宋"/>
          <w:b/>
          <w:color w:val="auto"/>
          <w:sz w:val="28"/>
          <w:szCs w:val="28"/>
          <w:highlight w:val="none"/>
          <w:lang w:val="en-US" w:eastAsia="zh-CN"/>
        </w:rPr>
        <w:t>英文微信公账号</w:t>
      </w:r>
      <w:r>
        <w:rPr>
          <w:rStyle w:val="35"/>
          <w:rFonts w:ascii="华文仿宋" w:hAnsi="华文仿宋" w:eastAsia="华文仿宋"/>
          <w:b/>
          <w:color w:val="auto"/>
          <w:sz w:val="28"/>
          <w:szCs w:val="28"/>
          <w:highlight w:val="none"/>
        </w:rPr>
        <w:t>的内容维护及推广</w:t>
      </w:r>
    </w:p>
    <w:p>
      <w:pPr>
        <w:pStyle w:val="36"/>
        <w:ind w:firstLine="0" w:firstLineChars="0"/>
        <w:rPr>
          <w:rStyle w:val="35"/>
          <w:rFonts w:hint="eastAsia" w:ascii="华文仿宋" w:hAnsi="华文仿宋" w:eastAsia="华文仿宋"/>
          <w:b/>
          <w:color w:val="auto"/>
          <w:sz w:val="24"/>
          <w:szCs w:val="24"/>
          <w:highlight w:val="none"/>
        </w:rPr>
      </w:pPr>
      <w:r>
        <w:rPr>
          <w:rStyle w:val="35"/>
          <w:rFonts w:hint="eastAsia" w:ascii="华文仿宋" w:hAnsi="华文仿宋" w:eastAsia="华文仿宋"/>
          <w:b/>
          <w:color w:val="auto"/>
          <w:sz w:val="24"/>
          <w:szCs w:val="24"/>
          <w:highlight w:val="none"/>
          <w:lang w:val="en-US" w:eastAsia="zh-CN"/>
        </w:rPr>
        <w:t>一、</w:t>
      </w:r>
      <w:r>
        <w:rPr>
          <w:rStyle w:val="35"/>
          <w:rFonts w:hint="eastAsia" w:ascii="华文仿宋" w:hAnsi="华文仿宋" w:eastAsia="华文仿宋"/>
          <w:b/>
          <w:color w:val="auto"/>
          <w:sz w:val="24"/>
          <w:szCs w:val="24"/>
          <w:highlight w:val="none"/>
        </w:rPr>
        <w:t>目标：</w:t>
      </w:r>
    </w:p>
    <w:p>
      <w:pPr>
        <w:pStyle w:val="36"/>
        <w:ind w:firstLine="0" w:firstLineChars="0"/>
        <w:rPr>
          <w:rStyle w:val="35"/>
          <w:rFonts w:hint="eastAsia" w:ascii="华文仿宋" w:hAnsi="华文仿宋" w:eastAsia="华文仿宋"/>
          <w:b/>
          <w:color w:val="auto"/>
          <w:sz w:val="24"/>
          <w:szCs w:val="24"/>
          <w:highlight w:val="none"/>
        </w:rPr>
      </w:pPr>
      <w:r>
        <w:rPr>
          <w:rStyle w:val="35"/>
          <w:rFonts w:hint="eastAsia" w:ascii="华文仿宋" w:hAnsi="华文仿宋" w:eastAsia="华文仿宋"/>
          <w:b/>
          <w:color w:val="auto"/>
          <w:sz w:val="24"/>
          <w:szCs w:val="24"/>
          <w:highlight w:val="none"/>
          <w:lang w:val="en-US" w:eastAsia="zh-CN"/>
        </w:rPr>
        <w:t>二、</w:t>
      </w:r>
      <w:r>
        <w:rPr>
          <w:rStyle w:val="35"/>
          <w:rFonts w:hint="eastAsia" w:ascii="华文仿宋" w:hAnsi="华文仿宋" w:eastAsia="华文仿宋"/>
          <w:b/>
          <w:color w:val="auto"/>
          <w:sz w:val="24"/>
          <w:szCs w:val="24"/>
          <w:highlight w:val="none"/>
        </w:rPr>
        <w:t>实施方案：</w:t>
      </w:r>
    </w:p>
    <w:p>
      <w:pPr>
        <w:pStyle w:val="36"/>
        <w:ind w:firstLine="0" w:firstLineChars="0"/>
        <w:rPr>
          <w:rStyle w:val="35"/>
          <w:rFonts w:hint="eastAsia" w:ascii="华文仿宋" w:hAnsi="华文仿宋" w:eastAsia="华文仿宋"/>
          <w:b/>
          <w:color w:val="auto"/>
          <w:sz w:val="24"/>
          <w:szCs w:val="24"/>
          <w:highlight w:val="none"/>
          <w:lang w:eastAsia="zh-CN"/>
        </w:rPr>
      </w:pPr>
      <w:r>
        <w:rPr>
          <w:rStyle w:val="35"/>
          <w:rFonts w:hint="eastAsia" w:ascii="华文仿宋" w:hAnsi="华文仿宋" w:eastAsia="华文仿宋"/>
          <w:b/>
          <w:color w:val="auto"/>
          <w:sz w:val="24"/>
          <w:szCs w:val="24"/>
          <w:highlight w:val="none"/>
        </w:rPr>
        <w:t>三、价格分项明细</w:t>
      </w:r>
      <w:r>
        <w:rPr>
          <w:rStyle w:val="35"/>
          <w:rFonts w:hint="eastAsia" w:ascii="华文仿宋" w:hAnsi="华文仿宋" w:eastAsia="华文仿宋"/>
          <w:b/>
          <w:color w:val="auto"/>
          <w:sz w:val="24"/>
          <w:szCs w:val="24"/>
          <w:highlight w:val="none"/>
          <w:lang w:eastAsia="zh-CN"/>
        </w:rPr>
        <w:t>：</w:t>
      </w:r>
    </w:p>
    <w:tbl>
      <w:tblPr>
        <w:tblStyle w:val="14"/>
        <w:tblpPr w:leftFromText="180" w:rightFromText="180" w:vertAnchor="text" w:horzAnchor="page" w:tblpX="1556" w:tblpY="173"/>
        <w:tblOverlap w:val="never"/>
        <w:tblW w:w="86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531"/>
        <w:gridCol w:w="879"/>
        <w:gridCol w:w="5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r>
              <w:rPr>
                <w:rStyle w:val="35"/>
                <w:rFonts w:ascii="华文仿宋" w:hAnsi="华文仿宋" w:eastAsia="华文仿宋"/>
                <w:color w:val="auto"/>
                <w:kern w:val="0"/>
                <w:sz w:val="24"/>
                <w:szCs w:val="24"/>
                <w:highlight w:val="none"/>
              </w:rPr>
              <w:t>序号</w:t>
            </w:r>
          </w:p>
        </w:tc>
        <w:tc>
          <w:tcPr>
            <w:tcW w:w="1531"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r>
              <w:rPr>
                <w:rStyle w:val="35"/>
                <w:rFonts w:hint="eastAsia" w:ascii="华文仿宋" w:hAnsi="华文仿宋" w:eastAsia="华文仿宋"/>
                <w:color w:val="auto"/>
                <w:kern w:val="0"/>
                <w:sz w:val="24"/>
                <w:szCs w:val="24"/>
                <w:highlight w:val="none"/>
              </w:rPr>
              <w:t>服务</w:t>
            </w:r>
            <w:r>
              <w:rPr>
                <w:rStyle w:val="35"/>
                <w:rFonts w:ascii="华文仿宋" w:hAnsi="华文仿宋" w:eastAsia="华文仿宋"/>
                <w:color w:val="auto"/>
                <w:kern w:val="0"/>
                <w:sz w:val="24"/>
                <w:szCs w:val="24"/>
                <w:highlight w:val="none"/>
              </w:rPr>
              <w:t>内容</w:t>
            </w:r>
          </w:p>
        </w:tc>
        <w:tc>
          <w:tcPr>
            <w:tcW w:w="879"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r>
              <w:rPr>
                <w:rStyle w:val="35"/>
                <w:rFonts w:ascii="华文仿宋" w:hAnsi="华文仿宋" w:eastAsia="华文仿宋"/>
                <w:color w:val="auto"/>
                <w:kern w:val="0"/>
                <w:sz w:val="24"/>
                <w:szCs w:val="24"/>
                <w:highlight w:val="none"/>
              </w:rPr>
              <w:t>价格（元）</w:t>
            </w:r>
          </w:p>
        </w:tc>
        <w:tc>
          <w:tcPr>
            <w:tcW w:w="5536"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r>
              <w:rPr>
                <w:rStyle w:val="35"/>
                <w:rFonts w:ascii="华文仿宋" w:hAnsi="华文仿宋" w:eastAsia="华文仿宋"/>
                <w:color w:val="auto"/>
                <w:kern w:val="0"/>
                <w:sz w:val="24"/>
                <w:szCs w:val="24"/>
                <w:highlight w:val="none"/>
              </w:rPr>
              <w:t>完成标准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c>
          <w:tcPr>
            <w:tcW w:w="5536"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c>
          <w:tcPr>
            <w:tcW w:w="5536"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c>
          <w:tcPr>
            <w:tcW w:w="5536"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c>
          <w:tcPr>
            <w:tcW w:w="5536"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c>
          <w:tcPr>
            <w:tcW w:w="5536"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华文仿宋" w:hAnsi="华文仿宋" w:eastAsia="华文仿宋"/>
                <w:color w:val="auto"/>
                <w:kern w:val="0"/>
                <w:sz w:val="24"/>
                <w:szCs w:val="24"/>
                <w:highlight w:val="none"/>
              </w:rPr>
            </w:pPr>
            <w:r>
              <w:rPr>
                <w:rStyle w:val="35"/>
                <w:rFonts w:ascii="华文仿宋" w:hAnsi="华文仿宋" w:eastAsia="华文仿宋"/>
                <w:color w:val="auto"/>
                <w:kern w:val="0"/>
                <w:sz w:val="24"/>
                <w:szCs w:val="24"/>
                <w:highlight w:val="none"/>
              </w:rPr>
              <w:t>合计</w:t>
            </w:r>
          </w:p>
        </w:tc>
        <w:tc>
          <w:tcPr>
            <w:tcW w:w="794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35"/>
                <w:rFonts w:ascii="华文仿宋" w:hAnsi="华文仿宋" w:eastAsia="华文仿宋"/>
                <w:color w:val="auto"/>
                <w:kern w:val="0"/>
                <w:sz w:val="24"/>
                <w:szCs w:val="24"/>
                <w:highlight w:val="none"/>
              </w:rPr>
            </w:pPr>
          </w:p>
        </w:tc>
      </w:tr>
    </w:tbl>
    <w:p>
      <w:pPr>
        <w:rPr>
          <w:rStyle w:val="35"/>
          <w:rFonts w:hint="eastAsia" w:ascii="仿宋_GB2312" w:hAnsi="宋体" w:eastAsia="仿宋_GB2312"/>
          <w:color w:val="auto"/>
          <w:sz w:val="24"/>
          <w:szCs w:val="24"/>
          <w:highlight w:val="none"/>
          <w:lang w:eastAsia="zh-CN"/>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before="312" w:beforeLines="100" w:after="312" w:afterLines="100" w:line="360" w:lineRule="auto"/>
        <w:jc w:val="center"/>
        <w:outlineLvl w:val="0"/>
        <w:rPr>
          <w:rFonts w:hint="eastAsia"/>
          <w:b/>
          <w:color w:val="auto"/>
          <w:sz w:val="32"/>
          <w:szCs w:val="32"/>
          <w:highlight w:val="none"/>
        </w:rPr>
      </w:pPr>
      <w:bookmarkStart w:id="54" w:name="_Toc106791267"/>
    </w:p>
    <w:p>
      <w:pPr>
        <w:spacing w:before="312" w:beforeLines="100" w:after="312" w:afterLines="100" w:line="360" w:lineRule="auto"/>
        <w:jc w:val="center"/>
        <w:outlineLvl w:val="0"/>
        <w:rPr>
          <w:rFonts w:hint="eastAsia"/>
          <w:b/>
          <w:color w:val="auto"/>
          <w:sz w:val="32"/>
          <w:szCs w:val="32"/>
          <w:highlight w:val="none"/>
        </w:rPr>
      </w:pPr>
    </w:p>
    <w:p>
      <w:pPr>
        <w:spacing w:before="312" w:beforeLines="100" w:after="312" w:afterLines="100" w:line="360" w:lineRule="auto"/>
        <w:jc w:val="center"/>
        <w:outlineLvl w:val="0"/>
        <w:rPr>
          <w:rFonts w:hint="eastAsia"/>
          <w:b/>
          <w:sz w:val="32"/>
          <w:szCs w:val="32"/>
          <w:highlight w:val="yellow"/>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ascii="仿宋" w:hAnsi="仿宋" w:eastAsia="仿宋"/>
          <w:sz w:val="32"/>
          <w:szCs w:val="32"/>
        </w:rPr>
      </w:pPr>
      <w:r>
        <w:rPr>
          <w:rFonts w:hint="eastAsia"/>
          <w:b/>
          <w:sz w:val="32"/>
          <w:szCs w:val="32"/>
        </w:rPr>
        <w:t>第五部分：参考附件</w:t>
      </w:r>
      <w:bookmarkEnd w:id="54"/>
    </w:p>
    <w:p>
      <w:pPr>
        <w:spacing w:line="0" w:lineRule="atLeast"/>
        <w:outlineLvl w:val="1"/>
        <w:rPr>
          <w:rFonts w:ascii="宋体" w:hAnsi="宋体"/>
        </w:rPr>
      </w:pPr>
      <w:bookmarkStart w:id="55" w:name="_Toc106791268"/>
      <w:r>
        <w:rPr>
          <w:rFonts w:hint="eastAsia" w:ascii="宋体" w:hAnsi="宋体"/>
          <w:szCs w:val="21"/>
        </w:rPr>
        <w:t>附件1：</w:t>
      </w:r>
      <w:r>
        <w:rPr>
          <w:rFonts w:hint="eastAsia" w:ascii="宋体" w:hAnsi="宋体"/>
        </w:rPr>
        <w:t>报名回函</w:t>
      </w:r>
      <w:bookmarkEnd w:id="55"/>
    </w:p>
    <w:p>
      <w:pPr>
        <w:pStyle w:val="2"/>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56" w:name="_Toc106791269"/>
      <w:r>
        <w:rPr>
          <w:rFonts w:hint="eastAsia" w:ascii="宋体" w:hAnsi="宋体"/>
          <w:szCs w:val="21"/>
        </w:rPr>
        <w:t>附件2：投标函</w:t>
      </w:r>
      <w:bookmarkEnd w:id="56"/>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7" w:name="_Toc106791270"/>
      <w:r>
        <w:rPr>
          <w:rFonts w:hint="eastAsia" w:ascii="宋体" w:hAnsi="宋体"/>
          <w:szCs w:val="21"/>
        </w:rPr>
        <w:t>附件3：投标一览表</w:t>
      </w:r>
      <w:bookmarkEnd w:id="57"/>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tbl>
      <w:tblPr>
        <w:tblStyle w:val="15"/>
        <w:tblW w:w="949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70"/>
        <w:gridCol w:w="930"/>
        <w:gridCol w:w="1380"/>
        <w:gridCol w:w="1330"/>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pStyle w:val="4"/>
              <w:ind w:left="0"/>
              <w:jc w:val="center"/>
            </w:pPr>
            <w:r>
              <w:rPr>
                <w:rFonts w:hint="eastAsia"/>
              </w:rPr>
              <w:t>税前总金额</w:t>
            </w:r>
          </w:p>
          <w:p>
            <w:pPr>
              <w:pStyle w:val="4"/>
              <w:ind w:left="0"/>
              <w:jc w:val="center"/>
            </w:pPr>
            <w:r>
              <w:rPr>
                <w:rFonts w:hint="eastAsia"/>
              </w:rPr>
              <w:t>（净价）</w:t>
            </w:r>
          </w:p>
        </w:tc>
        <w:tc>
          <w:tcPr>
            <w:tcW w:w="770" w:type="dxa"/>
            <w:vAlign w:val="center"/>
          </w:tcPr>
          <w:p>
            <w:pPr>
              <w:spacing w:line="360" w:lineRule="auto"/>
              <w:jc w:val="center"/>
              <w:rPr>
                <w:rFonts w:ascii="宋体" w:hAnsi="宋体"/>
                <w:szCs w:val="21"/>
              </w:rPr>
            </w:pPr>
            <w:r>
              <w:rPr>
                <w:rFonts w:hint="eastAsia" w:ascii="宋体" w:hAnsi="宋体"/>
                <w:szCs w:val="21"/>
              </w:rPr>
              <w:t>税率</w:t>
            </w:r>
          </w:p>
        </w:tc>
        <w:tc>
          <w:tcPr>
            <w:tcW w:w="930" w:type="dxa"/>
            <w:vAlign w:val="center"/>
          </w:tcPr>
          <w:p>
            <w:pPr>
              <w:spacing w:line="360" w:lineRule="auto"/>
              <w:jc w:val="center"/>
              <w:rPr>
                <w:rFonts w:ascii="宋体" w:hAnsi="宋体"/>
                <w:szCs w:val="21"/>
              </w:rPr>
            </w:pPr>
            <w:r>
              <w:rPr>
                <w:rFonts w:hint="eastAsia" w:ascii="宋体" w:hAnsi="宋体"/>
                <w:szCs w:val="21"/>
              </w:rPr>
              <w:t>税额</w:t>
            </w:r>
          </w:p>
        </w:tc>
        <w:tc>
          <w:tcPr>
            <w:tcW w:w="1380" w:type="dxa"/>
            <w:vAlign w:val="center"/>
          </w:tcPr>
          <w:p>
            <w:pPr>
              <w:spacing w:line="360" w:lineRule="auto"/>
              <w:jc w:val="center"/>
              <w:rPr>
                <w:rFonts w:ascii="宋体" w:hAnsi="宋体"/>
                <w:szCs w:val="21"/>
              </w:rPr>
            </w:pPr>
            <w:r>
              <w:rPr>
                <w:rFonts w:hint="eastAsia" w:ascii="宋体" w:hAnsi="宋体"/>
                <w:szCs w:val="21"/>
              </w:rPr>
              <w:t>含税总金额</w:t>
            </w:r>
          </w:p>
        </w:tc>
        <w:tc>
          <w:tcPr>
            <w:tcW w:w="1330" w:type="dxa"/>
            <w:vAlign w:val="center"/>
          </w:tcPr>
          <w:p>
            <w:pPr>
              <w:spacing w:line="360" w:lineRule="auto"/>
              <w:jc w:val="center"/>
              <w:rPr>
                <w:rFonts w:ascii="宋体" w:hAnsi="宋体"/>
                <w:szCs w:val="21"/>
              </w:rPr>
            </w:pPr>
            <w:r>
              <w:rPr>
                <w:rFonts w:hint="eastAsia" w:ascii="宋体" w:hAnsi="宋体"/>
                <w:szCs w:val="21"/>
              </w:rPr>
              <w:t>服务期（自然日）</w:t>
            </w:r>
          </w:p>
        </w:tc>
        <w:tc>
          <w:tcPr>
            <w:tcW w:w="3440" w:type="dxa"/>
            <w:vAlign w:val="center"/>
          </w:tcPr>
          <w:p>
            <w:pPr>
              <w:spacing w:line="360" w:lineRule="auto"/>
              <w:jc w:val="center"/>
              <w:rPr>
                <w:rFonts w:ascii="宋体" w:hAnsi="宋体"/>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line="360" w:lineRule="auto"/>
              <w:jc w:val="center"/>
              <w:rPr>
                <w:rFonts w:ascii="宋体" w:hAnsi="宋体"/>
                <w:szCs w:val="21"/>
              </w:rPr>
            </w:pPr>
          </w:p>
        </w:tc>
        <w:tc>
          <w:tcPr>
            <w:tcW w:w="770" w:type="dxa"/>
          </w:tcPr>
          <w:p>
            <w:pPr>
              <w:spacing w:line="360" w:lineRule="auto"/>
              <w:jc w:val="center"/>
              <w:rPr>
                <w:rFonts w:ascii="宋体" w:hAnsi="宋体"/>
                <w:szCs w:val="21"/>
              </w:rPr>
            </w:pPr>
          </w:p>
        </w:tc>
        <w:tc>
          <w:tcPr>
            <w:tcW w:w="930" w:type="dxa"/>
          </w:tcPr>
          <w:p>
            <w:pPr>
              <w:spacing w:line="360" w:lineRule="auto"/>
              <w:jc w:val="center"/>
              <w:rPr>
                <w:rFonts w:ascii="宋体" w:hAnsi="宋体"/>
                <w:szCs w:val="21"/>
              </w:rPr>
            </w:pPr>
          </w:p>
        </w:tc>
        <w:tc>
          <w:tcPr>
            <w:tcW w:w="1380" w:type="dxa"/>
          </w:tcPr>
          <w:p>
            <w:pPr>
              <w:spacing w:line="360" w:lineRule="auto"/>
              <w:jc w:val="center"/>
              <w:rPr>
                <w:rFonts w:ascii="宋体" w:hAnsi="宋体"/>
                <w:szCs w:val="21"/>
              </w:rPr>
            </w:pPr>
          </w:p>
        </w:tc>
        <w:tc>
          <w:tcPr>
            <w:tcW w:w="1330" w:type="dxa"/>
          </w:tcPr>
          <w:p>
            <w:pPr>
              <w:spacing w:line="360" w:lineRule="auto"/>
              <w:jc w:val="center"/>
              <w:rPr>
                <w:rFonts w:ascii="宋体" w:hAnsi="宋体"/>
                <w:szCs w:val="21"/>
              </w:rPr>
            </w:pPr>
          </w:p>
        </w:tc>
        <w:tc>
          <w:tcPr>
            <w:tcW w:w="3440"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6"/>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58" w:name="_Toc106791271"/>
      <w:r>
        <w:rPr>
          <w:rFonts w:hint="eastAsia" w:ascii="宋体" w:hAnsi="宋体"/>
          <w:szCs w:val="21"/>
        </w:rPr>
        <w:t>附件4：考察证明</w:t>
      </w:r>
      <w:bookmarkEnd w:id="58"/>
      <w:r>
        <w:rPr>
          <w:rFonts w:hint="eastAsia" w:ascii="宋体" w:hAnsi="宋体"/>
          <w:color w:val="FF0000"/>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highlight w:val="yellow"/>
        </w:rPr>
        <w:t>202*年*月21日</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59" w:name="_Toc106791272"/>
      <w:r>
        <w:rPr>
          <w:rFonts w:hint="eastAsia" w:ascii="宋体" w:hAnsi="宋体"/>
          <w:szCs w:val="21"/>
        </w:rPr>
        <w:t>附件5：技术服务响应/偏离表</w:t>
      </w:r>
      <w:bookmarkEnd w:id="5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0" w:name="_Toc211248418"/>
      <w:r>
        <w:rPr>
          <w:rFonts w:hint="eastAsia" w:ascii="方正小标宋_GBK" w:hAnsi="方正小标宋_GBK" w:eastAsia="方正小标宋_GBK"/>
          <w:b/>
          <w:sz w:val="32"/>
          <w:szCs w:val="32"/>
        </w:rPr>
        <w:t>技术服务响应/偏离表</w:t>
      </w:r>
      <w:bookmarkEnd w:id="60"/>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1"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1"/>
      <w:bookmarkStart w:id="62" w:name="_Toc236803114"/>
      <w:bookmarkStart w:id="63" w:name="_Toc246480945"/>
      <w:r>
        <w:rPr>
          <w:rFonts w:ascii="仿宋" w:hAnsi="仿宋" w:eastAsia="仿宋"/>
          <w:sz w:val="28"/>
          <w:szCs w:val="28"/>
        </w:rPr>
        <w:br w:type="page"/>
      </w:r>
    </w:p>
    <w:p>
      <w:pPr>
        <w:spacing w:line="0" w:lineRule="atLeast"/>
        <w:outlineLvl w:val="1"/>
        <w:rPr>
          <w:rFonts w:ascii="宋体" w:hAnsi="宋体"/>
          <w:szCs w:val="21"/>
        </w:rPr>
      </w:pPr>
      <w:bookmarkStart w:id="64" w:name="_Toc106791273"/>
      <w:r>
        <w:rPr>
          <w:rFonts w:hint="eastAsia" w:ascii="宋体" w:hAnsi="宋体"/>
          <w:szCs w:val="21"/>
        </w:rPr>
        <w:t>附件6：商务条款响应/偏离表</w:t>
      </w:r>
      <w:bookmarkEnd w:id="62"/>
      <w:bookmarkEnd w:id="63"/>
      <w:bookmarkEnd w:id="6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5" w:name="_Toc211248420"/>
      <w:r>
        <w:rPr>
          <w:rFonts w:hint="eastAsia" w:ascii="方正小标宋_GBK" w:hAnsi="方正小标宋_GBK" w:eastAsia="方正小标宋_GBK"/>
          <w:b/>
          <w:sz w:val="32"/>
          <w:szCs w:val="32"/>
        </w:rPr>
        <w:t>商务条款响应/偏离表</w:t>
      </w:r>
      <w:bookmarkEnd w:id="65"/>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6" w:name="_Toc236803111"/>
      <w:bookmarkStart w:id="67" w:name="_Toc478387764"/>
      <w:bookmarkStart w:id="68" w:name="_Toc395883088"/>
      <w:r>
        <w:rPr>
          <w:rFonts w:ascii="仿宋" w:hAnsi="仿宋" w:eastAsia="仿宋"/>
          <w:sz w:val="28"/>
          <w:szCs w:val="28"/>
        </w:rPr>
        <w:br w:type="page"/>
      </w:r>
    </w:p>
    <w:p>
      <w:pPr>
        <w:spacing w:line="0" w:lineRule="atLeast"/>
        <w:outlineLvl w:val="1"/>
        <w:rPr>
          <w:rFonts w:ascii="宋体" w:hAnsi="宋体"/>
          <w:szCs w:val="21"/>
        </w:rPr>
      </w:pPr>
      <w:bookmarkStart w:id="69" w:name="_Toc106791274"/>
      <w:r>
        <w:rPr>
          <w:rFonts w:hint="eastAsia" w:ascii="宋体" w:hAnsi="宋体"/>
          <w:szCs w:val="21"/>
        </w:rPr>
        <w:t>附件7：报价一览表（货物）</w:t>
      </w:r>
      <w:r>
        <w:rPr>
          <w:rFonts w:hint="eastAsia" w:ascii="宋体" w:hAnsi="宋体"/>
          <w:color w:val="FF0000"/>
          <w:szCs w:val="21"/>
        </w:rPr>
        <w:t>（本项目不适用）</w:t>
      </w:r>
      <w:bookmarkEnd w:id="69"/>
    </w:p>
    <w:bookmarkEnd w:id="66"/>
    <w:bookmarkEnd w:id="67"/>
    <w:bookmarkEnd w:id="68"/>
    <w:p>
      <w:pPr>
        <w:spacing w:before="120" w:after="240"/>
        <w:jc w:val="center"/>
        <w:rPr>
          <w:rFonts w:ascii="宋体" w:hAnsi="宋体"/>
          <w:b/>
          <w:sz w:val="32"/>
          <w:szCs w:val="32"/>
        </w:rPr>
      </w:pPr>
      <w:bookmarkStart w:id="70" w:name="_Toc211248412"/>
      <w:r>
        <w:rPr>
          <w:rFonts w:hint="eastAsia" w:ascii="方正小标宋_GBK" w:hAnsi="方正小标宋_GBK" w:eastAsia="方正小标宋_GBK"/>
          <w:b/>
          <w:sz w:val="32"/>
          <w:szCs w:val="32"/>
        </w:rPr>
        <w:t>报价一览表</w:t>
      </w:r>
      <w:bookmarkEnd w:id="70"/>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42"/>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2"/>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42"/>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42"/>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1" w:name="_Toc82359026"/>
      <w:bookmarkStart w:id="72"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71"/>
    <w:bookmarkEnd w:id="72"/>
    <w:p>
      <w:pPr>
        <w:spacing w:line="0" w:lineRule="atLeast"/>
        <w:outlineLvl w:val="1"/>
        <w:rPr>
          <w:rFonts w:ascii="宋体" w:hAnsi="宋体"/>
          <w:szCs w:val="21"/>
        </w:rPr>
      </w:pPr>
      <w:bookmarkStart w:id="73" w:name="_Toc106791275"/>
      <w:r>
        <w:rPr>
          <w:rFonts w:hint="eastAsia" w:ascii="宋体" w:hAnsi="宋体"/>
          <w:szCs w:val="21"/>
        </w:rPr>
        <w:t>附件8：报价一览表（服务）</w:t>
      </w:r>
      <w:bookmarkEnd w:id="73"/>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lang w:val="en-US" w:eastAsia="zh-CN"/>
        </w:rPr>
        <w:t>深圳会展中心高交会英文网站、英文微信公众号运维管理和专题宣传服务采购项目</w:t>
      </w:r>
      <w:r>
        <w:rPr>
          <w:rFonts w:hint="eastAsia" w:ascii="仿宋" w:hAnsi="仿宋" w:eastAsia="仿宋" w:cs="仿宋"/>
          <w:sz w:val="28"/>
          <w:szCs w:val="28"/>
          <w:u w:val="single"/>
        </w:rPr>
        <w:t xml:space="preserve">  </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7837" w:type="dxa"/>
        <w:tblInd w:w="0" w:type="dxa"/>
        <w:tblLayout w:type="fixed"/>
        <w:tblCellMar>
          <w:top w:w="0" w:type="dxa"/>
          <w:left w:w="42" w:type="dxa"/>
          <w:bottom w:w="0" w:type="dxa"/>
          <w:right w:w="42" w:type="dxa"/>
        </w:tblCellMar>
      </w:tblPr>
      <w:tblGrid>
        <w:gridCol w:w="583"/>
        <w:gridCol w:w="1869"/>
        <w:gridCol w:w="1559"/>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lang w:val="en-US" w:eastAsia="zh-CN"/>
              </w:rPr>
              <w:t>未税</w:t>
            </w:r>
            <w:r>
              <w:rPr>
                <w:rFonts w:hint="eastAsia" w:ascii="仿宋" w:hAnsi="仿宋" w:eastAsia="仿宋"/>
                <w:sz w:val="30"/>
                <w:szCs w:val="30"/>
              </w:rPr>
              <w:t>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含税价</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1869" w:type="dxa"/>
            <w:tcBorders>
              <w:top w:val="single" w:color="auto" w:sz="6" w:space="0"/>
              <w:left w:val="single" w:color="auto" w:sz="6" w:space="0"/>
              <w:bottom w:val="single" w:color="auto" w:sz="6" w:space="0"/>
              <w:right w:val="single" w:color="auto" w:sz="6" w:space="0"/>
            </w:tcBorders>
            <w:vAlign w:val="center"/>
          </w:tcPr>
          <w:p>
            <w:pPr>
              <w:rPr>
                <w:rFonts w:hint="default" w:ascii="仿宋" w:hAnsi="仿宋" w:eastAsia="仿宋"/>
                <w:sz w:val="28"/>
                <w:szCs w:val="28"/>
                <w:lang w:val="en-US" w:eastAsia="zh-CN"/>
              </w:rPr>
            </w:pPr>
            <w:r>
              <w:rPr>
                <w:rFonts w:hint="eastAsia" w:ascii="仿宋" w:hAnsi="仿宋" w:eastAsia="仿宋"/>
                <w:sz w:val="28"/>
                <w:szCs w:val="28"/>
                <w:lang w:val="en-US" w:eastAsia="zh-CN"/>
              </w:rPr>
              <w:t>高交会英文网站、英文微信公众号运维管理服务</w:t>
            </w: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w:t>
            </w:r>
          </w:p>
        </w:tc>
        <w:tc>
          <w:tcPr>
            <w:tcW w:w="1869" w:type="dxa"/>
            <w:tcBorders>
              <w:top w:val="single" w:color="auto" w:sz="6" w:space="0"/>
              <w:left w:val="single" w:color="auto" w:sz="6" w:space="0"/>
              <w:bottom w:val="single" w:color="auto" w:sz="6" w:space="0"/>
              <w:right w:val="single" w:color="auto" w:sz="6" w:space="0"/>
            </w:tcBorders>
            <w:vAlign w:val="center"/>
          </w:tcPr>
          <w:p>
            <w:pPr>
              <w:rPr>
                <w:rFonts w:hint="default" w:ascii="仿宋" w:hAnsi="仿宋" w:eastAsia="仿宋"/>
                <w:sz w:val="28"/>
                <w:szCs w:val="28"/>
                <w:lang w:val="en-US" w:eastAsia="zh-CN"/>
              </w:rPr>
            </w:pPr>
            <w:r>
              <w:rPr>
                <w:rFonts w:hint="eastAsia" w:ascii="仿宋" w:hAnsi="仿宋" w:eastAsia="仿宋"/>
                <w:sz w:val="28"/>
                <w:szCs w:val="28"/>
                <w:lang w:val="en-US" w:eastAsia="zh-CN"/>
              </w:rPr>
              <w:t>高交会专题宣传服务</w:t>
            </w: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5286" w:type="dxa"/>
            <w:gridSpan w:val="4"/>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w:t>
            </w:r>
            <w:r>
              <w:rPr>
                <w:rFonts w:hint="eastAsia" w:ascii="仿宋" w:hAnsi="仿宋" w:eastAsia="仿宋"/>
                <w:sz w:val="30"/>
                <w:szCs w:val="30"/>
                <w:lang w:val="en-US" w:eastAsia="zh-CN"/>
              </w:rPr>
              <w:t>总</w:t>
            </w:r>
            <w:r>
              <w:rPr>
                <w:rFonts w:hint="eastAsia" w:ascii="仿宋" w:hAnsi="仿宋" w:eastAsia="仿宋"/>
                <w:sz w:val="30"/>
                <w:szCs w:val="30"/>
              </w:rPr>
              <w:t>金额：</w:t>
            </w:r>
          </w:p>
        </w:tc>
        <w:tc>
          <w:tcPr>
            <w:tcW w:w="2551"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43"/>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43"/>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43"/>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4" w:name="_Toc106791276"/>
      <w:r>
        <w:rPr>
          <w:rFonts w:hint="eastAsia" w:ascii="宋体" w:hAnsi="宋体"/>
          <w:szCs w:val="21"/>
        </w:rPr>
        <w:t>附件9：报价一览表（工程）</w:t>
      </w:r>
      <w:bookmarkEnd w:id="74"/>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44"/>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44"/>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5" w:name="_Toc106791277"/>
      <w:r>
        <w:rPr>
          <w:rFonts w:hint="eastAsia" w:ascii="宋体" w:hAnsi="宋体"/>
          <w:szCs w:val="21"/>
        </w:rPr>
        <w:t>附件10：法定代表人证明书</w:t>
      </w:r>
      <w:bookmarkEnd w:id="7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6" w:name="_Toc106791278"/>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6"/>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7" w:name="_Toc106791279"/>
      <w:r>
        <w:rPr>
          <w:rFonts w:hint="eastAsia" w:ascii="宋体" w:hAnsi="宋体"/>
          <w:szCs w:val="21"/>
        </w:rPr>
        <w:t>附件</w:t>
      </w:r>
      <w:r>
        <w:rPr>
          <w:rFonts w:ascii="宋体" w:hAnsi="宋体"/>
          <w:szCs w:val="21"/>
        </w:rPr>
        <w:t>1</w:t>
      </w:r>
      <w:r>
        <w:rPr>
          <w:rFonts w:hint="eastAsia" w:ascii="宋体" w:hAnsi="宋体"/>
          <w:szCs w:val="21"/>
        </w:rPr>
        <w:t>2：经营业绩一览表</w:t>
      </w:r>
      <w:bookmarkEnd w:id="77"/>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78" w:name="_Toc1067912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78"/>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79" w:name="_Toc32341"/>
      <w:r>
        <w:rPr>
          <w:rFonts w:ascii="仿宋" w:hAnsi="仿宋" w:eastAsia="仿宋"/>
          <w:sz w:val="28"/>
          <w:szCs w:val="28"/>
        </w:rPr>
        <w:br w:type="page"/>
      </w:r>
    </w:p>
    <w:p>
      <w:pPr>
        <w:spacing w:line="0" w:lineRule="atLeast"/>
        <w:outlineLvl w:val="1"/>
        <w:rPr>
          <w:rFonts w:ascii="宋体" w:hAnsi="宋体"/>
          <w:szCs w:val="21"/>
        </w:rPr>
      </w:pPr>
      <w:bookmarkStart w:id="80" w:name="_Toc10679128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79"/>
      <w:bookmarkEnd w:id="80"/>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2"/>
      </w:pPr>
    </w:p>
    <w:p>
      <w:pPr>
        <w:spacing w:line="0" w:lineRule="atLeast"/>
        <w:outlineLvl w:val="1"/>
        <w:rPr>
          <w:rFonts w:ascii="宋体" w:hAnsi="宋体"/>
        </w:rPr>
      </w:pPr>
      <w:bookmarkStart w:id="81" w:name="_Toc100848654"/>
      <w:bookmarkStart w:id="82" w:name="_Toc106791282"/>
      <w:r>
        <w:rPr>
          <w:rFonts w:hint="eastAsia" w:ascii="宋体" w:hAnsi="宋体"/>
        </w:rPr>
        <w:t>附件15：投标文件密码</w:t>
      </w:r>
      <w:bookmarkEnd w:id="81"/>
      <w:r>
        <w:rPr>
          <w:rFonts w:hint="eastAsia" w:ascii="宋体" w:hAnsi="宋体"/>
        </w:rPr>
        <w:t>单</w:t>
      </w:r>
      <w:bookmarkEnd w:id="82"/>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3"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3"/>
    </w:p>
    <w:p>
      <w:pPr>
        <w:jc w:val="center"/>
        <w:rPr>
          <w:rFonts w:ascii="宋体" w:hAnsi="宋体"/>
          <w:b/>
          <w:sz w:val="32"/>
          <w:szCs w:val="32"/>
        </w:rPr>
      </w:pPr>
      <w:r>
        <w:rPr>
          <w:rFonts w:hint="eastAsia" w:ascii="宋体" w:hAnsi="宋体"/>
          <w:b/>
          <w:sz w:val="32"/>
          <w:szCs w:val="32"/>
        </w:rPr>
        <w:t>投标文件密码单</w:t>
      </w:r>
    </w:p>
    <w:p>
      <w:pPr>
        <w:pStyle w:val="2"/>
        <w:rPr>
          <w:rFonts w:ascii="仿宋" w:hAnsi="仿宋" w:eastAsia="仿宋"/>
          <w:b/>
          <w:sz w:val="28"/>
          <w:szCs w:val="28"/>
        </w:rPr>
      </w:pPr>
    </w:p>
    <w:p>
      <w:pPr>
        <w:pStyle w:val="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2"/>
        <w:rPr>
          <w:rFonts w:ascii="仿宋" w:hAnsi="仿宋" w:eastAsia="仿宋"/>
          <w:b/>
          <w:sz w:val="28"/>
          <w:szCs w:val="28"/>
        </w:rPr>
      </w:pPr>
    </w:p>
    <w:p>
      <w:pPr>
        <w:pStyle w:val="2"/>
        <w:rPr>
          <w:rFonts w:ascii="仿宋" w:hAnsi="仿宋" w:eastAsia="仿宋"/>
          <w:b/>
          <w:color w:val="FF0000"/>
          <w:sz w:val="24"/>
        </w:rPr>
      </w:pPr>
      <w:r>
        <w:rPr>
          <w:rFonts w:hint="eastAsia" w:ascii="仿宋" w:hAnsi="仿宋" w:eastAsia="仿宋"/>
          <w:b/>
          <w:color w:val="FF0000"/>
          <w:sz w:val="24"/>
        </w:rPr>
        <w:t>【特别注意】</w:t>
      </w:r>
    </w:p>
    <w:p>
      <w:pPr>
        <w:pStyle w:val="2"/>
        <w:numPr>
          <w:ilvl w:val="0"/>
          <w:numId w:val="47"/>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2"/>
        <w:numPr>
          <w:ilvl w:val="0"/>
          <w:numId w:val="47"/>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2"/>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799C94"/>
    <w:multiLevelType w:val="singleLevel"/>
    <w:tmpl w:val="88799C94"/>
    <w:lvl w:ilvl="0" w:tentative="0">
      <w:start w:val="2"/>
      <w:numFmt w:val="decimal"/>
      <w:lvlText w:val="(%1)"/>
      <w:lvlJc w:val="left"/>
      <w:pPr>
        <w:tabs>
          <w:tab w:val="left" w:pos="420"/>
        </w:tabs>
        <w:ind w:left="425" w:leftChars="0" w:hanging="425" w:firstLineChars="0"/>
      </w:pPr>
      <w:rPr>
        <w:rFonts w:hint="default"/>
      </w:rPr>
    </w:lvl>
  </w:abstractNum>
  <w:abstractNum w:abstractNumId="1">
    <w:nsid w:val="91640C0C"/>
    <w:multiLevelType w:val="singleLevel"/>
    <w:tmpl w:val="91640C0C"/>
    <w:lvl w:ilvl="0" w:tentative="0">
      <w:start w:val="1"/>
      <w:numFmt w:val="decimal"/>
      <w:lvlText w:val="(%1)"/>
      <w:lvlJc w:val="left"/>
      <w:pPr>
        <w:ind w:left="425" w:hanging="425"/>
      </w:pPr>
      <w:rPr>
        <w:rFonts w:hint="default"/>
      </w:rPr>
    </w:lvl>
  </w:abstractNum>
  <w:abstractNum w:abstractNumId="2">
    <w:nsid w:val="A2281775"/>
    <w:multiLevelType w:val="singleLevel"/>
    <w:tmpl w:val="A2281775"/>
    <w:lvl w:ilvl="0" w:tentative="0">
      <w:start w:val="1"/>
      <w:numFmt w:val="decimal"/>
      <w:suff w:val="space"/>
      <w:lvlText w:val="%1."/>
      <w:lvlJc w:val="left"/>
    </w:lvl>
  </w:abstractNum>
  <w:abstractNum w:abstractNumId="3">
    <w:nsid w:val="A4ABAB9E"/>
    <w:multiLevelType w:val="singleLevel"/>
    <w:tmpl w:val="A4ABAB9E"/>
    <w:lvl w:ilvl="0" w:tentative="0">
      <w:start w:val="1"/>
      <w:numFmt w:val="decimal"/>
      <w:lvlText w:val="%1)"/>
      <w:lvlJc w:val="left"/>
      <w:pPr>
        <w:ind w:left="425" w:hanging="425"/>
      </w:pPr>
      <w:rPr>
        <w:rFonts w:hint="default" w:ascii="宋体" w:hAnsi="宋体" w:eastAsia="宋体" w:cs="宋体"/>
        <w:sz w:val="21"/>
        <w:szCs w:val="21"/>
      </w:rPr>
    </w:lvl>
  </w:abstractNum>
  <w:abstractNum w:abstractNumId="4">
    <w:nsid w:val="C14B32F6"/>
    <w:multiLevelType w:val="singleLevel"/>
    <w:tmpl w:val="C14B32F6"/>
    <w:lvl w:ilvl="0" w:tentative="0">
      <w:start w:val="1"/>
      <w:numFmt w:val="decimal"/>
      <w:lvlText w:val="(%1)"/>
      <w:lvlJc w:val="left"/>
      <w:pPr>
        <w:ind w:left="425" w:hanging="425"/>
      </w:pPr>
      <w:rPr>
        <w:rFonts w:hint="default" w:ascii="华文宋体" w:hAnsi="华文宋体" w:eastAsia="华文宋体" w:cs="华文宋体"/>
        <w:b w:val="0"/>
        <w:bCs w:val="0"/>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D123D220"/>
    <w:multiLevelType w:val="singleLevel"/>
    <w:tmpl w:val="D123D220"/>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4ABB9D8"/>
    <w:multiLevelType w:val="singleLevel"/>
    <w:tmpl w:val="D4ABB9D8"/>
    <w:lvl w:ilvl="0" w:tentative="0">
      <w:start w:val="1"/>
      <w:numFmt w:val="decimal"/>
      <w:lvlText w:val="(%1)"/>
      <w:lvlJc w:val="left"/>
      <w:pPr>
        <w:ind w:left="425" w:hanging="425"/>
      </w:pPr>
      <w:rPr>
        <w:rFonts w:hint="default"/>
      </w:rPr>
    </w:lvl>
  </w:abstractNum>
  <w:abstractNum w:abstractNumId="9">
    <w:nsid w:val="D69B6B0C"/>
    <w:multiLevelType w:val="singleLevel"/>
    <w:tmpl w:val="D69B6B0C"/>
    <w:lvl w:ilvl="0" w:tentative="0">
      <w:start w:val="1"/>
      <w:numFmt w:val="decimal"/>
      <w:lvlText w:val="(%1)"/>
      <w:lvlJc w:val="left"/>
      <w:pPr>
        <w:ind w:left="425" w:hanging="425"/>
      </w:pPr>
      <w:rPr>
        <w:rFonts w:hint="default"/>
      </w:rPr>
    </w:lvl>
  </w:abstractNum>
  <w:abstractNum w:abstractNumId="10">
    <w:nsid w:val="DAA5A57F"/>
    <w:multiLevelType w:val="singleLevel"/>
    <w:tmpl w:val="DAA5A57F"/>
    <w:lvl w:ilvl="0" w:tentative="0">
      <w:start w:val="1"/>
      <w:numFmt w:val="decimal"/>
      <w:suff w:val="space"/>
      <w:lvlText w:val="%1."/>
      <w:lvlJc w:val="left"/>
    </w:lvl>
  </w:abstractNum>
  <w:abstractNum w:abstractNumId="11">
    <w:nsid w:val="DBCBE1D0"/>
    <w:multiLevelType w:val="singleLevel"/>
    <w:tmpl w:val="DBCBE1D0"/>
    <w:lvl w:ilvl="0" w:tentative="0">
      <w:start w:val="1"/>
      <w:numFmt w:val="decimal"/>
      <w:suff w:val="nothing"/>
      <w:lvlText w:val="%1．"/>
      <w:lvlJc w:val="left"/>
      <w:pPr>
        <w:ind w:left="0" w:firstLine="400"/>
      </w:pPr>
      <w:rPr>
        <w:rFonts w:hint="default"/>
      </w:rPr>
    </w:lvl>
  </w:abstractNum>
  <w:abstractNum w:abstractNumId="12">
    <w:nsid w:val="EFDC7ACC"/>
    <w:multiLevelType w:val="singleLevel"/>
    <w:tmpl w:val="EFDC7ACC"/>
    <w:lvl w:ilvl="0" w:tentative="0">
      <w:start w:val="1"/>
      <w:numFmt w:val="decimal"/>
      <w:lvlText w:val="(%1)"/>
      <w:lvlJc w:val="left"/>
      <w:pPr>
        <w:ind w:left="425" w:hanging="425"/>
      </w:pPr>
      <w:rPr>
        <w:rFonts w:hint="default"/>
      </w:rPr>
    </w:lvl>
  </w:abstractNum>
  <w:abstractNum w:abstractNumId="13">
    <w:nsid w:val="F83C2449"/>
    <w:multiLevelType w:val="singleLevel"/>
    <w:tmpl w:val="F83C2449"/>
    <w:lvl w:ilvl="0" w:tentative="0">
      <w:start w:val="1"/>
      <w:numFmt w:val="decimal"/>
      <w:lvlText w:val="(%1)"/>
      <w:lvlJc w:val="left"/>
      <w:pPr>
        <w:ind w:left="425" w:hanging="425"/>
      </w:pPr>
      <w:rPr>
        <w:rFonts w:hint="default"/>
      </w:rPr>
    </w:lvl>
  </w:abstractNum>
  <w:abstractNum w:abstractNumId="1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3"/>
    <w:multiLevelType w:val="singleLevel"/>
    <w:tmpl w:val="00000013"/>
    <w:lvl w:ilvl="0" w:tentative="0">
      <w:start w:val="1"/>
      <w:numFmt w:val="decimal"/>
      <w:lvlText w:val="%1."/>
      <w:lvlJc w:val="left"/>
      <w:pPr>
        <w:ind w:left="420" w:hanging="420"/>
      </w:pPr>
    </w:lvl>
  </w:abstractNum>
  <w:abstractNum w:abstractNumId="18">
    <w:nsid w:val="13485D32"/>
    <w:multiLevelType w:val="singleLevel"/>
    <w:tmpl w:val="13485D32"/>
    <w:lvl w:ilvl="0" w:tentative="0">
      <w:start w:val="1"/>
      <w:numFmt w:val="decimal"/>
      <w:lvlText w:val="(%1)"/>
      <w:lvlJc w:val="left"/>
      <w:pPr>
        <w:ind w:left="425" w:hanging="425"/>
      </w:pPr>
      <w:rPr>
        <w:rFonts w:hint="default"/>
      </w:rPr>
    </w:lvl>
  </w:abstractNum>
  <w:abstractNum w:abstractNumId="19">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8E10C89"/>
    <w:multiLevelType w:val="singleLevel"/>
    <w:tmpl w:val="28E10C89"/>
    <w:lvl w:ilvl="0" w:tentative="0">
      <w:start w:val="1"/>
      <w:numFmt w:val="decimal"/>
      <w:suff w:val="space"/>
      <w:lvlText w:val="%1."/>
      <w:lvlJc w:val="left"/>
    </w:lvl>
  </w:abstractNum>
  <w:abstractNum w:abstractNumId="24">
    <w:nsid w:val="2A8AFD0D"/>
    <w:multiLevelType w:val="singleLevel"/>
    <w:tmpl w:val="2A8AFD0D"/>
    <w:lvl w:ilvl="0" w:tentative="0">
      <w:start w:val="1"/>
      <w:numFmt w:val="decimal"/>
      <w:lvlText w:val="(%1)"/>
      <w:lvlJc w:val="left"/>
      <w:pPr>
        <w:ind w:left="425" w:hanging="425"/>
      </w:pPr>
      <w:rPr>
        <w:rFonts w:hint="default"/>
      </w:rPr>
    </w:lvl>
  </w:abstractNum>
  <w:abstractNum w:abstractNumId="25">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D5C0D4E"/>
    <w:multiLevelType w:val="singleLevel"/>
    <w:tmpl w:val="3D5C0D4E"/>
    <w:lvl w:ilvl="0" w:tentative="0">
      <w:start w:val="1"/>
      <w:numFmt w:val="decimal"/>
      <w:lvlText w:val="%1)"/>
      <w:lvlJc w:val="left"/>
      <w:pPr>
        <w:ind w:left="425" w:hanging="425"/>
      </w:pPr>
      <w:rPr>
        <w:rFonts w:hint="default"/>
      </w:rPr>
    </w:lvl>
  </w:abstractNum>
  <w:abstractNum w:abstractNumId="3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1">
    <w:nsid w:val="4DC1AB04"/>
    <w:multiLevelType w:val="singleLevel"/>
    <w:tmpl w:val="4DC1AB04"/>
    <w:lvl w:ilvl="0" w:tentative="0">
      <w:start w:val="1"/>
      <w:numFmt w:val="decimal"/>
      <w:lvlText w:val="(%1)"/>
      <w:lvlJc w:val="left"/>
      <w:pPr>
        <w:ind w:left="425" w:hanging="425"/>
      </w:pPr>
      <w:rPr>
        <w:rFonts w:hint="default" w:ascii="宋体" w:hAnsi="宋体" w:eastAsia="宋体" w:cs="宋体"/>
        <w:sz w:val="21"/>
        <w:szCs w:val="21"/>
      </w:rPr>
    </w:lvl>
  </w:abstractNum>
  <w:abstractNum w:abstractNumId="32">
    <w:nsid w:val="4F110D5C"/>
    <w:multiLevelType w:val="multilevel"/>
    <w:tmpl w:val="4F110D5C"/>
    <w:lvl w:ilvl="0" w:tentative="0">
      <w:start w:val="1"/>
      <w:numFmt w:val="japaneseCounting"/>
      <w:lvlText w:val="%1、"/>
      <w:lvlJc w:val="left"/>
      <w:pPr>
        <w:ind w:left="420" w:hanging="420"/>
      </w:pPr>
      <w:rPr>
        <w:b/>
        <w:color w:val="000000"/>
      </w:r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abstractNum w:abstractNumId="33">
    <w:nsid w:val="543DE159"/>
    <w:multiLevelType w:val="singleLevel"/>
    <w:tmpl w:val="543DE159"/>
    <w:lvl w:ilvl="0" w:tentative="0">
      <w:start w:val="1"/>
      <w:numFmt w:val="decimal"/>
      <w:suff w:val="nothing"/>
      <w:lvlText w:val="%1."/>
      <w:lvlJc w:val="left"/>
    </w:lvl>
  </w:abstractNum>
  <w:abstractNum w:abstractNumId="34">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5">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6">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7883300"/>
    <w:multiLevelType w:val="multilevel"/>
    <w:tmpl w:val="57883300"/>
    <w:lvl w:ilvl="0" w:tentative="0">
      <w:start w:val="1"/>
      <w:numFmt w:val="japaneseCounting"/>
      <w:lvlText w:val="（%1）"/>
      <w:lvlJc w:val="left"/>
      <w:pPr>
        <w:ind w:left="1026" w:hanging="885"/>
      </w:pPr>
      <w:rPr>
        <w:rFonts w:hint="default"/>
      </w:rPr>
    </w:lvl>
    <w:lvl w:ilvl="1" w:tentative="0">
      <w:start w:val="2"/>
      <w:numFmt w:val="decimal"/>
      <w:lvlText w:val="%2、"/>
      <w:lvlJc w:val="left"/>
      <w:pPr>
        <w:ind w:left="1281" w:hanging="720"/>
      </w:pPr>
      <w:rPr>
        <w:rFonts w:hint="default"/>
        <w:b w:val="0"/>
      </w:r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abstractNum w:abstractNumId="38">
    <w:nsid w:val="65775825"/>
    <w:multiLevelType w:val="singleLevel"/>
    <w:tmpl w:val="65775825"/>
    <w:lvl w:ilvl="0" w:tentative="0">
      <w:start w:val="1"/>
      <w:numFmt w:val="decimal"/>
      <w:lvlText w:val="(%1)"/>
      <w:lvlJc w:val="left"/>
      <w:pPr>
        <w:ind w:left="425" w:hanging="425"/>
      </w:pPr>
      <w:rPr>
        <w:rFonts w:hint="default" w:ascii="宋体" w:hAnsi="宋体" w:eastAsia="宋体" w:cs="宋体"/>
        <w:sz w:val="21"/>
        <w:szCs w:val="21"/>
      </w:rPr>
    </w:lvl>
  </w:abstractNum>
  <w:abstractNum w:abstractNumId="39">
    <w:nsid w:val="67E4B31F"/>
    <w:multiLevelType w:val="singleLevel"/>
    <w:tmpl w:val="67E4B31F"/>
    <w:lvl w:ilvl="0" w:tentative="0">
      <w:start w:val="1"/>
      <w:numFmt w:val="decimal"/>
      <w:lvlText w:val="(%1)"/>
      <w:lvlJc w:val="left"/>
      <w:pPr>
        <w:ind w:left="425" w:hanging="425"/>
      </w:pPr>
      <w:rPr>
        <w:rFonts w:hint="default" w:ascii="宋体" w:hAnsi="宋体" w:eastAsia="宋体" w:cs="宋体"/>
        <w:sz w:val="21"/>
        <w:szCs w:val="21"/>
      </w:rPr>
    </w:lvl>
  </w:abstractNum>
  <w:abstractNum w:abstractNumId="4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2">
    <w:nsid w:val="6F666D74"/>
    <w:multiLevelType w:val="multilevel"/>
    <w:tmpl w:val="6F666D74"/>
    <w:lvl w:ilvl="0" w:tentative="0">
      <w:start w:val="1"/>
      <w:numFmt w:val="decimal"/>
      <w:lvlText w:val="%1."/>
      <w:lvlJc w:val="left"/>
      <w:pPr>
        <w:ind w:left="501" w:hanging="360"/>
      </w:pPr>
      <w:rPr>
        <w:rFonts w:hint="default"/>
      </w:r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abstractNum w:abstractNumId="43">
    <w:nsid w:val="77984DEC"/>
    <w:multiLevelType w:val="multilevel"/>
    <w:tmpl w:val="77984DEC"/>
    <w:lvl w:ilvl="0" w:tentative="0">
      <w:start w:val="1"/>
      <w:numFmt w:val="decimal"/>
      <w:lvlText w:val="%1、"/>
      <w:lvlJc w:val="left"/>
      <w:pPr>
        <w:ind w:left="720" w:hanging="720"/>
      </w:pPr>
      <w:rPr>
        <w:rFonts w:hint="default" w:ascii="仿宋" w:hAnsi="仿宋" w:eastAsia="仿宋"/>
      </w:rPr>
    </w:lvl>
    <w:lvl w:ilvl="1" w:tentative="0">
      <w:start w:val="6"/>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8F4A585"/>
    <w:multiLevelType w:val="singleLevel"/>
    <w:tmpl w:val="78F4A585"/>
    <w:lvl w:ilvl="0" w:tentative="0">
      <w:start w:val="1"/>
      <w:numFmt w:val="decimal"/>
      <w:lvlText w:val="(%1)"/>
      <w:lvlJc w:val="left"/>
      <w:pPr>
        <w:ind w:left="425" w:hanging="425"/>
      </w:pPr>
      <w:rPr>
        <w:rFonts w:hint="default"/>
      </w:rPr>
    </w:lvl>
  </w:abstractNum>
  <w:abstractNum w:abstractNumId="45">
    <w:nsid w:val="7BF4C217"/>
    <w:multiLevelType w:val="singleLevel"/>
    <w:tmpl w:val="7BF4C217"/>
    <w:lvl w:ilvl="0" w:tentative="0">
      <w:start w:val="1"/>
      <w:numFmt w:val="decimal"/>
      <w:lvlText w:val="(%1)"/>
      <w:lvlJc w:val="left"/>
      <w:pPr>
        <w:ind w:left="425" w:hanging="425"/>
      </w:pPr>
      <w:rPr>
        <w:rFonts w:hint="default"/>
        <w:color w:val="auto"/>
      </w:rPr>
    </w:lvl>
  </w:abstractNum>
  <w:num w:numId="1">
    <w:abstractNumId w:val="35"/>
  </w:num>
  <w:num w:numId="2">
    <w:abstractNumId w:val="41"/>
  </w:num>
  <w:num w:numId="3">
    <w:abstractNumId w:val="27"/>
  </w:num>
  <w:num w:numId="4">
    <w:abstractNumId w:val="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6"/>
  </w:num>
  <w:num w:numId="8">
    <w:abstractNumId w:val="28"/>
  </w:num>
  <w:num w:numId="9">
    <w:abstractNumId w:val="19"/>
  </w:num>
  <w:num w:numId="10">
    <w:abstractNumId w:val="45"/>
  </w:num>
  <w:num w:numId="11">
    <w:abstractNumId w:val="39"/>
  </w:num>
  <w:num w:numId="12">
    <w:abstractNumId w:val="31"/>
  </w:num>
  <w:num w:numId="13">
    <w:abstractNumId w:val="18"/>
  </w:num>
  <w:num w:numId="14">
    <w:abstractNumId w:val="44"/>
  </w:num>
  <w:num w:numId="15">
    <w:abstractNumId w:val="6"/>
  </w:num>
  <w:num w:numId="16">
    <w:abstractNumId w:val="29"/>
  </w:num>
  <w:num w:numId="17">
    <w:abstractNumId w:val="0"/>
  </w:num>
  <w:num w:numId="18">
    <w:abstractNumId w:val="3"/>
  </w:num>
  <w:num w:numId="19">
    <w:abstractNumId w:val="1"/>
  </w:num>
  <w:num w:numId="20">
    <w:abstractNumId w:val="24"/>
  </w:num>
  <w:num w:numId="21">
    <w:abstractNumId w:val="12"/>
  </w:num>
  <w:num w:numId="22">
    <w:abstractNumId w:val="7"/>
  </w:num>
  <w:num w:numId="23">
    <w:abstractNumId w:val="23"/>
  </w:num>
  <w:num w:numId="24">
    <w:abstractNumId w:val="16"/>
  </w:num>
  <w:num w:numId="25">
    <w:abstractNumId w:val="4"/>
  </w:num>
  <w:num w:numId="26">
    <w:abstractNumId w:val="21"/>
  </w:num>
  <w:num w:numId="27">
    <w:abstractNumId w:val="38"/>
  </w:num>
  <w:num w:numId="28">
    <w:abstractNumId w:val="8"/>
  </w:num>
  <w:num w:numId="29">
    <w:abstractNumId w:val="11"/>
  </w:num>
  <w:num w:numId="30">
    <w:abstractNumId w:val="9"/>
  </w:num>
  <w:num w:numId="31">
    <w:abstractNumId w:val="26"/>
  </w:num>
  <w:num w:numId="32">
    <w:abstractNumId w:val="13"/>
  </w:num>
  <w:num w:numId="33">
    <w:abstractNumId w:val="2"/>
  </w:num>
  <w:num w:numId="34">
    <w:abstractNumId w:val="10"/>
  </w:num>
  <w:num w:numId="35">
    <w:abstractNumId w:val="32"/>
  </w:num>
  <w:num w:numId="36">
    <w:abstractNumId w:val="37"/>
  </w:num>
  <w:num w:numId="37">
    <w:abstractNumId w:val="42"/>
  </w:num>
  <w:num w:numId="38">
    <w:abstractNumId w:val="43"/>
  </w:num>
  <w:num w:numId="39">
    <w:abstractNumId w:val="33"/>
  </w:num>
  <w:num w:numId="40">
    <w:abstractNumId w:val="15"/>
  </w:num>
  <w:num w:numId="41">
    <w:abstractNumId w:val="14"/>
  </w:num>
  <w:num w:numId="42">
    <w:abstractNumId w:val="40"/>
  </w:num>
  <w:num w:numId="43">
    <w:abstractNumId w:val="30"/>
  </w:num>
  <w:num w:numId="44">
    <w:abstractNumId w:val="25"/>
  </w:num>
  <w:num w:numId="45">
    <w:abstractNumId w:val="17"/>
  </w:num>
  <w:num w:numId="46">
    <w:abstractNumId w:val="34"/>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jMDRmMmNkMzY0MTlmODQwNDA4NTc2MTY3YThmNzk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B02A3"/>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D0358"/>
    <w:rsid w:val="003E6092"/>
    <w:rsid w:val="003E66A3"/>
    <w:rsid w:val="003E7621"/>
    <w:rsid w:val="003F1E01"/>
    <w:rsid w:val="004235D9"/>
    <w:rsid w:val="00427D5D"/>
    <w:rsid w:val="00441F17"/>
    <w:rsid w:val="00460C20"/>
    <w:rsid w:val="004707D2"/>
    <w:rsid w:val="00471ED2"/>
    <w:rsid w:val="00476C96"/>
    <w:rsid w:val="004775EE"/>
    <w:rsid w:val="00492F1D"/>
    <w:rsid w:val="004A0594"/>
    <w:rsid w:val="004A0D6B"/>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6B6D"/>
    <w:rsid w:val="00544B6E"/>
    <w:rsid w:val="00550A0A"/>
    <w:rsid w:val="00565EDC"/>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23E99"/>
    <w:rsid w:val="0084470A"/>
    <w:rsid w:val="00845DE7"/>
    <w:rsid w:val="00857F72"/>
    <w:rsid w:val="00866C0E"/>
    <w:rsid w:val="00867C56"/>
    <w:rsid w:val="00870B22"/>
    <w:rsid w:val="00874BB5"/>
    <w:rsid w:val="00895D5D"/>
    <w:rsid w:val="008A0193"/>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953F9"/>
    <w:rsid w:val="009A37EC"/>
    <w:rsid w:val="009A699B"/>
    <w:rsid w:val="009A6EF3"/>
    <w:rsid w:val="009B7189"/>
    <w:rsid w:val="009C0135"/>
    <w:rsid w:val="009E25C8"/>
    <w:rsid w:val="009E2781"/>
    <w:rsid w:val="009E3D67"/>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84C10"/>
    <w:rsid w:val="00C9460F"/>
    <w:rsid w:val="00C95195"/>
    <w:rsid w:val="00CB0006"/>
    <w:rsid w:val="00CB1DEF"/>
    <w:rsid w:val="00CC73DA"/>
    <w:rsid w:val="00CD24C8"/>
    <w:rsid w:val="00CD4DCE"/>
    <w:rsid w:val="00CE24CE"/>
    <w:rsid w:val="00CE34F4"/>
    <w:rsid w:val="00CE5F16"/>
    <w:rsid w:val="00CF3F58"/>
    <w:rsid w:val="00D13594"/>
    <w:rsid w:val="00D2411A"/>
    <w:rsid w:val="00D4224E"/>
    <w:rsid w:val="00D43550"/>
    <w:rsid w:val="00D629CE"/>
    <w:rsid w:val="00D83CA2"/>
    <w:rsid w:val="00D83CC0"/>
    <w:rsid w:val="00D84553"/>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67E3"/>
    <w:rsid w:val="00F47201"/>
    <w:rsid w:val="00F525B8"/>
    <w:rsid w:val="00F53D25"/>
    <w:rsid w:val="00F64816"/>
    <w:rsid w:val="00F73354"/>
    <w:rsid w:val="00FA092E"/>
    <w:rsid w:val="00FA63B5"/>
    <w:rsid w:val="00FA6D58"/>
    <w:rsid w:val="00FD52D3"/>
    <w:rsid w:val="00FE72DF"/>
    <w:rsid w:val="00FF2F91"/>
    <w:rsid w:val="020457B6"/>
    <w:rsid w:val="02B47C4D"/>
    <w:rsid w:val="04D46768"/>
    <w:rsid w:val="053A1CC8"/>
    <w:rsid w:val="06856661"/>
    <w:rsid w:val="077B4608"/>
    <w:rsid w:val="07B874F0"/>
    <w:rsid w:val="07BB74B6"/>
    <w:rsid w:val="08493DEA"/>
    <w:rsid w:val="086E4EC9"/>
    <w:rsid w:val="0B734A64"/>
    <w:rsid w:val="0DD201F4"/>
    <w:rsid w:val="0F4526B6"/>
    <w:rsid w:val="13B11223"/>
    <w:rsid w:val="15130234"/>
    <w:rsid w:val="152B64B8"/>
    <w:rsid w:val="15740DA4"/>
    <w:rsid w:val="18577138"/>
    <w:rsid w:val="195A6BC0"/>
    <w:rsid w:val="1B3F11F2"/>
    <w:rsid w:val="227A4EED"/>
    <w:rsid w:val="228D0750"/>
    <w:rsid w:val="25A5748F"/>
    <w:rsid w:val="25D85A3C"/>
    <w:rsid w:val="26E95967"/>
    <w:rsid w:val="2B9E3425"/>
    <w:rsid w:val="2BFA4386"/>
    <w:rsid w:val="2CD73EA3"/>
    <w:rsid w:val="2D845ED0"/>
    <w:rsid w:val="2F016867"/>
    <w:rsid w:val="30381F4F"/>
    <w:rsid w:val="325176A1"/>
    <w:rsid w:val="34A05B77"/>
    <w:rsid w:val="3896757A"/>
    <w:rsid w:val="38AC36F6"/>
    <w:rsid w:val="3D3679ED"/>
    <w:rsid w:val="3ED12D70"/>
    <w:rsid w:val="408D7227"/>
    <w:rsid w:val="413C5F5A"/>
    <w:rsid w:val="416718EC"/>
    <w:rsid w:val="439D7A21"/>
    <w:rsid w:val="43D97719"/>
    <w:rsid w:val="447267E8"/>
    <w:rsid w:val="44E431E5"/>
    <w:rsid w:val="45920B55"/>
    <w:rsid w:val="45BC35AC"/>
    <w:rsid w:val="48B86D4E"/>
    <w:rsid w:val="492A4A83"/>
    <w:rsid w:val="49444242"/>
    <w:rsid w:val="495C1F5C"/>
    <w:rsid w:val="49D277EF"/>
    <w:rsid w:val="4A7C231F"/>
    <w:rsid w:val="4B8B03E4"/>
    <w:rsid w:val="4BA95427"/>
    <w:rsid w:val="4DDF67CC"/>
    <w:rsid w:val="4EE12BFB"/>
    <w:rsid w:val="50FA6A61"/>
    <w:rsid w:val="51794BC1"/>
    <w:rsid w:val="53D25371"/>
    <w:rsid w:val="540F1FD2"/>
    <w:rsid w:val="57594B93"/>
    <w:rsid w:val="5788019D"/>
    <w:rsid w:val="594A6990"/>
    <w:rsid w:val="59CE0AE6"/>
    <w:rsid w:val="5A817D01"/>
    <w:rsid w:val="5F4F350A"/>
    <w:rsid w:val="60A60070"/>
    <w:rsid w:val="640C25AF"/>
    <w:rsid w:val="64F94EEE"/>
    <w:rsid w:val="65D32517"/>
    <w:rsid w:val="680D6ED6"/>
    <w:rsid w:val="683A303D"/>
    <w:rsid w:val="68E97B63"/>
    <w:rsid w:val="6A5B2F9C"/>
    <w:rsid w:val="6B1E605C"/>
    <w:rsid w:val="6C5E0507"/>
    <w:rsid w:val="6E3F209B"/>
    <w:rsid w:val="6E7E79E9"/>
    <w:rsid w:val="70F163F4"/>
    <w:rsid w:val="73723A5A"/>
    <w:rsid w:val="74783A1C"/>
    <w:rsid w:val="74AB354D"/>
    <w:rsid w:val="74B05132"/>
    <w:rsid w:val="76C52AAF"/>
    <w:rsid w:val="772A35DE"/>
    <w:rsid w:val="77515F64"/>
    <w:rsid w:val="77587860"/>
    <w:rsid w:val="788F73C5"/>
    <w:rsid w:val="798425C1"/>
    <w:rsid w:val="79BF662E"/>
    <w:rsid w:val="7B2952F2"/>
    <w:rsid w:val="7DA630B5"/>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32"/>
    <w:qFormat/>
    <w:uiPriority w:val="0"/>
    <w:pPr>
      <w:jc w:val="left"/>
    </w:pPr>
    <w:rPr>
      <w:rFonts w:ascii="仿宋_GB2312" w:hAnsi="宋体" w:eastAsia="仿宋_GB2312"/>
    </w:rPr>
  </w:style>
  <w:style w:type="paragraph" w:styleId="3">
    <w:name w:val="annotation text"/>
    <w:basedOn w:val="1"/>
    <w:link w:val="24"/>
    <w:unhideWhenUsed/>
    <w:qFormat/>
    <w:uiPriority w:val="99"/>
    <w:pPr>
      <w:jc w:val="left"/>
    </w:pPr>
  </w:style>
  <w:style w:type="paragraph" w:styleId="4">
    <w:name w:val="Body Text"/>
    <w:basedOn w:val="1"/>
    <w:qFormat/>
    <w:uiPriority w:val="0"/>
    <w:pPr>
      <w:widowControl/>
      <w:spacing w:after="220" w:line="180" w:lineRule="atLeast"/>
      <w:ind w:left="835"/>
    </w:pPr>
    <w:rPr>
      <w:rFonts w:ascii="Arial" w:hAnsi="Arial"/>
      <w:spacing w:val="-5"/>
      <w:kern w:val="0"/>
      <w:sz w:val="20"/>
    </w:rPr>
  </w:style>
  <w:style w:type="paragraph" w:styleId="5">
    <w:name w:val="toc 3"/>
    <w:basedOn w:val="1"/>
    <w:next w:val="1"/>
    <w:unhideWhenUsed/>
    <w:qFormat/>
    <w:uiPriority w:val="39"/>
    <w:pPr>
      <w:ind w:left="840" w:leftChars="400"/>
    </w:pPr>
  </w:style>
  <w:style w:type="paragraph" w:styleId="6">
    <w:name w:val="Balloon Text"/>
    <w:basedOn w:val="1"/>
    <w:link w:val="26"/>
    <w:semiHidden/>
    <w:unhideWhenUsed/>
    <w:qFormat/>
    <w:uiPriority w:val="99"/>
    <w:rPr>
      <w:sz w:val="18"/>
      <w:szCs w:val="18"/>
    </w:rPr>
  </w:style>
  <w:style w:type="paragraph" w:styleId="7">
    <w:name w:val="footer"/>
    <w:basedOn w:val="1"/>
    <w:link w:val="28"/>
    <w:unhideWhenUsed/>
    <w:qFormat/>
    <w:uiPriority w:val="99"/>
    <w:pPr>
      <w:tabs>
        <w:tab w:val="center" w:pos="4153"/>
        <w:tab w:val="right" w:pos="8306"/>
      </w:tabs>
      <w:snapToGrid w:val="0"/>
      <w:jc w:val="left"/>
    </w:pPr>
    <w:rPr>
      <w:sz w:val="18"/>
      <w:szCs w:val="18"/>
    </w:rPr>
  </w:style>
  <w:style w:type="paragraph" w:styleId="8">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3"/>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6"/>
    <w:semiHidden/>
    <w:qFormat/>
    <w:uiPriority w:val="99"/>
    <w:rPr>
      <w:rFonts w:ascii="Times New Roman" w:hAnsi="Times New Roman" w:eastAsia="宋体" w:cs="Times New Roman"/>
      <w:sz w:val="18"/>
      <w:szCs w:val="18"/>
    </w:rPr>
  </w:style>
  <w:style w:type="character" w:customStyle="1" w:styleId="27">
    <w:name w:val="页眉 字符"/>
    <w:basedOn w:val="16"/>
    <w:link w:val="8"/>
    <w:qFormat/>
    <w:uiPriority w:val="99"/>
    <w:rPr>
      <w:rFonts w:ascii="Times New Roman" w:hAnsi="Times New Roman" w:eastAsia="宋体" w:cs="Times New Roman"/>
      <w:sz w:val="18"/>
      <w:szCs w:val="18"/>
    </w:rPr>
  </w:style>
  <w:style w:type="character" w:customStyle="1" w:styleId="28">
    <w:name w:val="页脚 字符"/>
    <w:basedOn w:val="16"/>
    <w:link w:val="7"/>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2"/>
    <w:qFormat/>
    <w:uiPriority w:val="0"/>
    <w:rPr>
      <w:rFonts w:ascii="仿宋_GB2312" w:hAnsi="宋体" w:eastAsia="仿宋_GB2312"/>
      <w:kern w:val="2"/>
      <w:sz w:val="21"/>
      <w:szCs w:val="24"/>
    </w:rPr>
  </w:style>
  <w:style w:type="character" w:customStyle="1" w:styleId="33">
    <w:name w:val="脚注文本 字符"/>
    <w:basedOn w:val="16"/>
    <w:link w:val="10"/>
    <w:semiHidden/>
    <w:qFormat/>
    <w:uiPriority w:val="99"/>
    <w:rPr>
      <w:kern w:val="2"/>
      <w:sz w:val="18"/>
      <w:szCs w:val="18"/>
    </w:rPr>
  </w:style>
  <w:style w:type="paragraph" w:customStyle="1" w:styleId="34">
    <w:name w:val="列表段落1"/>
    <w:basedOn w:val="1"/>
    <w:qFormat/>
    <w:uiPriority w:val="99"/>
    <w:pPr>
      <w:ind w:firstLine="420" w:firstLineChars="200"/>
    </w:pPr>
    <w:rPr>
      <w:sz w:val="24"/>
      <w:szCs w:val="20"/>
    </w:rPr>
  </w:style>
  <w:style w:type="character" w:customStyle="1" w:styleId="35">
    <w:name w:val="NormalCharacter"/>
    <w:qFormat/>
    <w:uiPriority w:val="0"/>
  </w:style>
  <w:style w:type="paragraph" w:customStyle="1" w:styleId="36">
    <w:name w:val="179"/>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74389-02AD-434D-948A-72B222D2C047}">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15089</Words>
  <Characters>15883</Characters>
  <Lines>125</Lines>
  <Paragraphs>35</Paragraphs>
  <TotalTime>34</TotalTime>
  <ScaleCrop>false</ScaleCrop>
  <LinksUpToDate>false</LinksUpToDate>
  <CharactersWithSpaces>18296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2022-06-23T09:28:00Z</dcterms:created>
  <dc:creator>Tony Young</dc:creator>
  <cp:lastModifiedBy>admin</cp:lastModifiedBy>
  <dcterms:modified xsi:type="dcterms:W3CDTF">2022-07-27T03:16:00Z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DAB8F11735E34EAABE814D7963C17167</vt:lpwstr>
  </property>
</Properties>
</file>