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tabs>
          <w:tab w:val="left" w:pos="8640"/>
        </w:tabs>
        <w:ind w:left="360" w:firstLine="0" w:firstLineChars="0"/>
        <w:rPr>
          <w:color w:val="000000" w:themeColor="text1"/>
          <w:sz w:val="30"/>
          <w:szCs w:val="30"/>
          <w:highlight w:val="yellow"/>
        </w:rPr>
      </w:pPr>
    </w:p>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ascii="宋体" w:hAnsi="宋体"/>
          <w:b/>
          <w:sz w:val="72"/>
          <w:szCs w:val="72"/>
        </w:rPr>
      </w:pPr>
      <w:r>
        <w:rPr>
          <w:rFonts w:hint="eastAsia" w:ascii="方正小标宋_GBK" w:hAnsi="方正小标宋_GBK" w:eastAsia="方正小标宋_GBK" w:cs="方正小标宋_GBK"/>
          <w:b/>
          <w:bCs/>
          <w:sz w:val="72"/>
          <w:szCs w:val="72"/>
        </w:rPr>
        <w:t>招标文件</w:t>
      </w:r>
    </w:p>
    <w:p>
      <w:pPr>
        <w:jc w:val="center"/>
        <w:rPr>
          <w:b/>
          <w:sz w:val="72"/>
        </w:rPr>
      </w:pPr>
    </w:p>
    <w:p>
      <w:pPr>
        <w:spacing w:line="360" w:lineRule="auto"/>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项目名称：“高交会观众服务”微信公众号和微博号代运营</w:t>
      </w:r>
    </w:p>
    <w:p>
      <w:pPr>
        <w:spacing w:line="360" w:lineRule="auto"/>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服务项目</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pStyle w:val="12"/>
        <w:rPr>
          <w:rFonts w:ascii="宋体"/>
          <w:b/>
          <w:sz w:val="32"/>
          <w:szCs w:val="32"/>
        </w:rPr>
      </w:pPr>
    </w:p>
    <w:p>
      <w:pPr>
        <w:pStyle w:val="12"/>
        <w:rPr>
          <w:rFonts w:ascii="宋体"/>
          <w:b/>
          <w:sz w:val="32"/>
          <w:szCs w:val="32"/>
        </w:rPr>
      </w:pPr>
    </w:p>
    <w:p>
      <w:pPr>
        <w:pStyle w:val="12"/>
        <w:rPr>
          <w:rFonts w:ascii="宋体"/>
          <w:b/>
          <w:sz w:val="32"/>
          <w:szCs w:val="32"/>
        </w:rPr>
      </w:pPr>
    </w:p>
    <w:p>
      <w:pPr>
        <w:pStyle w:val="12"/>
        <w:rPr>
          <w:rFonts w:ascii="宋体"/>
          <w:b/>
          <w:sz w:val="32"/>
          <w:szCs w:val="32"/>
        </w:rPr>
      </w:pPr>
    </w:p>
    <w:p>
      <w:pPr>
        <w:pStyle w:val="12"/>
        <w:rPr>
          <w:rFonts w:ascii="宋体"/>
          <w:b/>
          <w:sz w:val="32"/>
          <w:szCs w:val="32"/>
        </w:rPr>
      </w:pPr>
    </w:p>
    <w:p>
      <w:pPr>
        <w:pStyle w:val="12"/>
        <w:rPr>
          <w:rFonts w:ascii="宋体"/>
          <w:b/>
          <w:sz w:val="32"/>
          <w:szCs w:val="32"/>
        </w:rPr>
      </w:pPr>
    </w:p>
    <w:p>
      <w:pPr>
        <w:pStyle w:val="12"/>
        <w:rPr>
          <w:rFonts w:ascii="宋体"/>
          <w:b/>
          <w:sz w:val="32"/>
          <w:szCs w:val="32"/>
        </w:rPr>
      </w:pPr>
    </w:p>
    <w:p>
      <w:pPr>
        <w:pStyle w:val="12"/>
        <w:rPr>
          <w:rFonts w:ascii="宋体"/>
          <w:b/>
          <w:sz w:val="32"/>
          <w:szCs w:val="32"/>
        </w:rPr>
      </w:pPr>
    </w:p>
    <w:p>
      <w:pPr>
        <w:pStyle w:val="12"/>
        <w:rPr>
          <w:rFonts w:ascii="宋体"/>
          <w:b/>
          <w:sz w:val="32"/>
          <w:szCs w:val="32"/>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widowControl/>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rPr>
        <w:t>2年</w:t>
      </w:r>
      <w:r>
        <w:rPr>
          <w:rFonts w:hint="eastAsia" w:ascii="方正小标宋_GBK" w:hAnsi="方正小标宋_GBK" w:eastAsia="方正小标宋_GBK" w:cs="方正小标宋_GBK"/>
          <w:b/>
          <w:sz w:val="32"/>
          <w:szCs w:val="32"/>
          <w:lang w:val="en-US" w:eastAsia="zh-CN"/>
        </w:rPr>
        <w:t>8</w:t>
      </w:r>
      <w:r>
        <w:rPr>
          <w:rFonts w:hint="eastAsia" w:ascii="方正小标宋_GBK" w:hAnsi="方正小标宋_GBK" w:eastAsia="方正小标宋_GBK" w:cs="方正小标宋_GBK"/>
          <w:b/>
          <w:sz w:val="32"/>
          <w:szCs w:val="32"/>
        </w:rPr>
        <w:t>月</w:t>
      </w:r>
      <w:r>
        <w:rPr>
          <w:rFonts w:ascii="方正小标宋_GBK" w:hAnsi="方正小标宋_GBK" w:eastAsia="方正小标宋_GBK" w:cs="方正小标宋_GBK"/>
          <w:b/>
          <w:sz w:val="32"/>
          <w:szCs w:val="32"/>
        </w:rPr>
        <w:br w:type="page"/>
      </w:r>
    </w:p>
    <w:p>
      <w:pPr>
        <w:pStyle w:val="10"/>
        <w:tabs>
          <w:tab w:val="right" w:leader="dot" w:pos="8306"/>
        </w:tabs>
        <w:spacing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0"/>
        <w:tabs>
          <w:tab w:val="right" w:leader="dot" w:pos="8306"/>
        </w:tabs>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rPr>
          <w:rFonts w:hint="eastAsia" w:ascii="宋体" w:hAnsi="宋体" w:cs="仿宋"/>
          <w:szCs w:val="21"/>
        </w:rPr>
        <w:fldChar w:fldCharType="begin"/>
      </w:r>
      <w:r>
        <w:rPr>
          <w:rFonts w:hint="eastAsia" w:ascii="宋体" w:hAnsi="宋体" w:cs="仿宋"/>
          <w:szCs w:val="21"/>
        </w:rPr>
        <w:instrText xml:space="preserve"> HYPERLINK \l _Toc19071 </w:instrText>
      </w:r>
      <w:r>
        <w:rPr>
          <w:rFonts w:hint="eastAsia" w:ascii="宋体" w:hAnsi="宋体" w:cs="仿宋"/>
          <w:szCs w:val="21"/>
        </w:rPr>
        <w:fldChar w:fldCharType="separate"/>
      </w:r>
      <w:r>
        <w:rPr>
          <w:rFonts w:hint="eastAsia" w:ascii="仿宋" w:hAnsi="仿宋" w:eastAsia="仿宋" w:cs="仿宋"/>
          <w:szCs w:val="32"/>
        </w:rPr>
        <w:t>第一部分 项目要求</w:t>
      </w:r>
      <w:r>
        <w:tab/>
      </w:r>
      <w:r>
        <w:fldChar w:fldCharType="begin"/>
      </w:r>
      <w:r>
        <w:instrText xml:space="preserve"> PAGEREF _Toc19071 \h </w:instrText>
      </w:r>
      <w:r>
        <w:fldChar w:fldCharType="separate"/>
      </w:r>
      <w:r>
        <w:t>1</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_Toc7851 </w:instrText>
      </w:r>
      <w:r>
        <w:rPr>
          <w:rFonts w:hint="eastAsia" w:ascii="宋体" w:hAnsi="宋体" w:cs="仿宋"/>
          <w:szCs w:val="21"/>
        </w:rPr>
        <w:fldChar w:fldCharType="separate"/>
      </w:r>
      <w:r>
        <w:rPr>
          <w:rFonts w:hint="eastAsia" w:ascii="宋体" w:hAnsi="宋体" w:eastAsia="宋体" w:cs="仿宋"/>
          <w:bCs/>
          <w:szCs w:val="21"/>
        </w:rPr>
        <w:t xml:space="preserve">一、 </w:t>
      </w:r>
      <w:r>
        <w:rPr>
          <w:rFonts w:hint="eastAsia" w:ascii="仿宋" w:hAnsi="仿宋" w:eastAsia="仿宋" w:cs="仿宋"/>
          <w:szCs w:val="21"/>
        </w:rPr>
        <w:t>投标人须知</w:t>
      </w:r>
      <w:r>
        <w:tab/>
      </w:r>
      <w:r>
        <w:fldChar w:fldCharType="begin"/>
      </w:r>
      <w:r>
        <w:instrText xml:space="preserve"> PAGEREF _Toc7851 \h </w:instrText>
      </w:r>
      <w:r>
        <w:fldChar w:fldCharType="separate"/>
      </w:r>
      <w:r>
        <w:t>1</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_Toc22668 </w:instrText>
      </w:r>
      <w:r>
        <w:rPr>
          <w:rFonts w:hint="eastAsia" w:ascii="宋体" w:hAnsi="宋体" w:cs="仿宋"/>
          <w:szCs w:val="21"/>
        </w:rPr>
        <w:fldChar w:fldCharType="separate"/>
      </w:r>
      <w:r>
        <w:rPr>
          <w:rFonts w:hint="eastAsia" w:ascii="宋体" w:hAnsi="宋体" w:eastAsia="宋体" w:cs="仿宋"/>
          <w:bCs/>
          <w:szCs w:val="21"/>
        </w:rPr>
        <w:t xml:space="preserve">二、 </w:t>
      </w:r>
      <w:r>
        <w:rPr>
          <w:rFonts w:hint="eastAsia" w:ascii="仿宋" w:hAnsi="仿宋" w:eastAsia="仿宋" w:cs="仿宋"/>
          <w:szCs w:val="21"/>
        </w:rPr>
        <w:t>特别说明</w:t>
      </w:r>
      <w:r>
        <w:tab/>
      </w:r>
      <w:r>
        <w:fldChar w:fldCharType="begin"/>
      </w:r>
      <w:r>
        <w:instrText xml:space="preserve"> PAGEREF _Toc22668 \h </w:instrText>
      </w:r>
      <w:r>
        <w:fldChar w:fldCharType="separate"/>
      </w:r>
      <w:r>
        <w:t>3</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_Toc12778 </w:instrText>
      </w:r>
      <w:r>
        <w:rPr>
          <w:rFonts w:hint="eastAsia" w:ascii="宋体" w:hAnsi="宋体" w:cs="仿宋"/>
          <w:szCs w:val="21"/>
        </w:rPr>
        <w:fldChar w:fldCharType="separate"/>
      </w:r>
      <w:r>
        <w:rPr>
          <w:rFonts w:hint="eastAsia" w:ascii="宋体" w:hAnsi="宋体" w:eastAsia="宋体" w:cs="仿宋"/>
          <w:bCs/>
          <w:szCs w:val="21"/>
        </w:rPr>
        <w:t xml:space="preserve">三、 </w:t>
      </w:r>
      <w:r>
        <w:rPr>
          <w:rFonts w:hint="eastAsia" w:ascii="仿宋" w:hAnsi="仿宋" w:eastAsia="仿宋" w:cs="仿宋"/>
          <w:szCs w:val="21"/>
        </w:rPr>
        <w:t>投标文件编制</w:t>
      </w:r>
      <w:r>
        <w:tab/>
      </w:r>
      <w:r>
        <w:fldChar w:fldCharType="begin"/>
      </w:r>
      <w:r>
        <w:instrText xml:space="preserve"> PAGEREF _Toc12778 \h </w:instrText>
      </w:r>
      <w:r>
        <w:fldChar w:fldCharType="separate"/>
      </w:r>
      <w:r>
        <w:t>4</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_Toc21052 </w:instrText>
      </w:r>
      <w:r>
        <w:rPr>
          <w:rFonts w:hint="eastAsia" w:ascii="宋体" w:hAnsi="宋体" w:cs="仿宋"/>
          <w:szCs w:val="21"/>
        </w:rPr>
        <w:fldChar w:fldCharType="separate"/>
      </w:r>
      <w:r>
        <w:rPr>
          <w:rFonts w:hint="eastAsia" w:ascii="宋体" w:hAnsi="宋体" w:eastAsia="宋体" w:cs="仿宋"/>
          <w:bCs/>
          <w:szCs w:val="21"/>
        </w:rPr>
        <w:t xml:space="preserve">四、 </w:t>
      </w:r>
      <w:r>
        <w:rPr>
          <w:rFonts w:hint="eastAsia" w:ascii="仿宋" w:hAnsi="仿宋" w:eastAsia="仿宋" w:cs="仿宋"/>
          <w:szCs w:val="21"/>
        </w:rPr>
        <w:t>项目要求及数量</w:t>
      </w:r>
      <w:r>
        <w:tab/>
      </w:r>
      <w:r>
        <w:fldChar w:fldCharType="begin"/>
      </w:r>
      <w:r>
        <w:instrText xml:space="preserve"> PAGEREF _Toc21052 \h </w:instrText>
      </w:r>
      <w:r>
        <w:fldChar w:fldCharType="separate"/>
      </w:r>
      <w:r>
        <w:t>4</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_Toc26550 </w:instrText>
      </w:r>
      <w:r>
        <w:rPr>
          <w:rFonts w:hint="eastAsia" w:ascii="宋体" w:hAnsi="宋体" w:cs="仿宋"/>
          <w:szCs w:val="21"/>
        </w:rPr>
        <w:fldChar w:fldCharType="separate"/>
      </w:r>
      <w:r>
        <w:rPr>
          <w:rFonts w:hint="eastAsia" w:ascii="宋体" w:hAnsi="宋体" w:eastAsia="宋体" w:cs="仿宋"/>
          <w:bCs/>
          <w:kern w:val="0"/>
          <w:szCs w:val="32"/>
        </w:rPr>
        <w:t xml:space="preserve">五、 </w:t>
      </w:r>
      <w:r>
        <w:rPr>
          <w:rFonts w:hint="eastAsia" w:ascii="仿宋" w:hAnsi="仿宋" w:eastAsia="仿宋" w:cs="仿宋"/>
          <w:szCs w:val="21"/>
        </w:rPr>
        <w:t>其他项目说明资料</w:t>
      </w:r>
      <w:r>
        <w:tab/>
      </w:r>
      <w:r>
        <w:fldChar w:fldCharType="begin"/>
      </w:r>
      <w:r>
        <w:instrText xml:space="preserve"> PAGEREF _Toc26550 \h </w:instrText>
      </w:r>
      <w:r>
        <w:fldChar w:fldCharType="separate"/>
      </w:r>
      <w:r>
        <w:t>7</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_Toc4332 </w:instrText>
      </w:r>
      <w:r>
        <w:rPr>
          <w:rFonts w:hint="eastAsia" w:ascii="宋体" w:hAnsi="宋体" w:cs="仿宋"/>
          <w:szCs w:val="21"/>
        </w:rPr>
        <w:fldChar w:fldCharType="separate"/>
      </w:r>
      <w:r>
        <w:rPr>
          <w:rFonts w:hint="eastAsia" w:ascii="仿宋" w:hAnsi="仿宋" w:eastAsia="仿宋" w:cs="仿宋"/>
          <w:szCs w:val="32"/>
        </w:rPr>
        <w:t>第二部分：开标流程</w:t>
      </w:r>
      <w:r>
        <w:tab/>
      </w:r>
      <w:r>
        <w:fldChar w:fldCharType="begin"/>
      </w:r>
      <w:r>
        <w:instrText xml:space="preserve"> PAGEREF _Toc4332 \h </w:instrText>
      </w:r>
      <w:r>
        <w:fldChar w:fldCharType="separate"/>
      </w:r>
      <w:r>
        <w:t>11</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_Toc12684 </w:instrText>
      </w:r>
      <w:r>
        <w:rPr>
          <w:rFonts w:hint="eastAsia" w:ascii="宋体" w:hAnsi="宋体" w:cs="仿宋"/>
          <w:szCs w:val="21"/>
        </w:rPr>
        <w:fldChar w:fldCharType="separate"/>
      </w:r>
      <w:r>
        <w:rPr>
          <w:rFonts w:hint="eastAsia" w:ascii="宋体" w:hAnsi="宋体" w:eastAsia="宋体" w:cs="仿宋"/>
          <w:bCs/>
          <w:szCs w:val="21"/>
        </w:rPr>
        <w:t xml:space="preserve">六、 </w:t>
      </w:r>
      <w:r>
        <w:rPr>
          <w:rFonts w:hint="eastAsia" w:ascii="仿宋" w:hAnsi="仿宋" w:eastAsia="仿宋" w:cs="仿宋"/>
          <w:szCs w:val="21"/>
        </w:rPr>
        <w:t>开标流程</w:t>
      </w:r>
      <w:r>
        <w:tab/>
      </w:r>
      <w:r>
        <w:fldChar w:fldCharType="begin"/>
      </w:r>
      <w:r>
        <w:instrText xml:space="preserve"> PAGEREF _Toc12684 \h </w:instrText>
      </w:r>
      <w:r>
        <w:fldChar w:fldCharType="separate"/>
      </w:r>
      <w:r>
        <w:t>11</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_Toc12117 </w:instrText>
      </w:r>
      <w:r>
        <w:rPr>
          <w:rFonts w:hint="eastAsia" w:ascii="宋体" w:hAnsi="宋体" w:cs="仿宋"/>
          <w:szCs w:val="21"/>
        </w:rPr>
        <w:fldChar w:fldCharType="separate"/>
      </w:r>
      <w:r>
        <w:rPr>
          <w:rFonts w:hint="eastAsia" w:ascii="仿宋" w:hAnsi="仿宋" w:eastAsia="仿宋" w:cs="仿宋"/>
          <w:szCs w:val="32"/>
        </w:rPr>
        <w:t>第三部分：评审办法</w:t>
      </w:r>
      <w:r>
        <w:tab/>
      </w:r>
      <w:r>
        <w:fldChar w:fldCharType="begin"/>
      </w:r>
      <w:r>
        <w:instrText xml:space="preserve"> PAGEREF _Toc12117 \h </w:instrText>
      </w:r>
      <w:r>
        <w:fldChar w:fldCharType="separate"/>
      </w:r>
      <w:r>
        <w:t>12</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_Toc14768 </w:instrText>
      </w:r>
      <w:r>
        <w:rPr>
          <w:rFonts w:hint="eastAsia" w:ascii="宋体" w:hAnsi="宋体" w:cs="仿宋"/>
          <w:szCs w:val="21"/>
        </w:rPr>
        <w:fldChar w:fldCharType="separate"/>
      </w:r>
      <w:r>
        <w:rPr>
          <w:rFonts w:hint="eastAsia" w:ascii="宋体" w:hAnsi="宋体" w:eastAsia="宋体" w:cs="仿宋"/>
          <w:bCs/>
          <w:szCs w:val="21"/>
        </w:rPr>
        <w:t xml:space="preserve">七、 </w:t>
      </w:r>
      <w:r>
        <w:rPr>
          <w:rFonts w:hint="eastAsia" w:ascii="仿宋" w:hAnsi="仿宋" w:eastAsia="仿宋" w:cs="仿宋"/>
          <w:bCs/>
          <w:szCs w:val="21"/>
        </w:rPr>
        <w:t>评审办法</w:t>
      </w:r>
      <w:r>
        <w:tab/>
      </w:r>
      <w:r>
        <w:fldChar w:fldCharType="begin"/>
      </w:r>
      <w:r>
        <w:instrText xml:space="preserve"> PAGEREF _Toc14768 \h </w:instrText>
      </w:r>
      <w:r>
        <w:fldChar w:fldCharType="separate"/>
      </w:r>
      <w:r>
        <w:t>12</w:t>
      </w:r>
      <w:r>
        <w:fldChar w:fldCharType="end"/>
      </w:r>
      <w:r>
        <w:rPr>
          <w:rFonts w:hint="eastAsia" w:ascii="宋体" w:hAnsi="宋体" w:cs="仿宋"/>
          <w:szCs w:val="21"/>
        </w:rPr>
        <w:fldChar w:fldCharType="end"/>
      </w:r>
    </w:p>
    <w:p>
      <w:pPr>
        <w:pStyle w:val="6"/>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_Toc26478 </w:instrText>
      </w:r>
      <w:r>
        <w:rPr>
          <w:rFonts w:hint="eastAsia" w:ascii="宋体" w:hAnsi="宋体" w:cs="仿宋"/>
          <w:szCs w:val="21"/>
        </w:rPr>
        <w:fldChar w:fldCharType="separate"/>
      </w:r>
      <w:r>
        <w:rPr>
          <w:rFonts w:hint="default" w:ascii="仿宋" w:hAnsi="仿宋" w:eastAsia="仿宋" w:cs="仿宋"/>
          <w:szCs w:val="21"/>
        </w:rPr>
        <w:t xml:space="preserve">（一） </w:t>
      </w:r>
      <w:r>
        <w:rPr>
          <w:rFonts w:hint="eastAsia" w:ascii="仿宋" w:hAnsi="仿宋" w:eastAsia="仿宋" w:cs="仿宋"/>
          <w:bCs/>
          <w:szCs w:val="21"/>
        </w:rPr>
        <w:t>符合性检查</w:t>
      </w:r>
      <w:r>
        <w:tab/>
      </w:r>
      <w:r>
        <w:fldChar w:fldCharType="begin"/>
      </w:r>
      <w:r>
        <w:instrText xml:space="preserve"> PAGEREF _Toc26478 \h </w:instrText>
      </w:r>
      <w:r>
        <w:fldChar w:fldCharType="separate"/>
      </w:r>
      <w:r>
        <w:t>12</w:t>
      </w:r>
      <w:r>
        <w:fldChar w:fldCharType="end"/>
      </w:r>
      <w:r>
        <w:rPr>
          <w:rFonts w:hint="eastAsia" w:ascii="宋体" w:hAnsi="宋体" w:cs="仿宋"/>
          <w:szCs w:val="21"/>
        </w:rPr>
        <w:fldChar w:fldCharType="end"/>
      </w:r>
    </w:p>
    <w:p>
      <w:pPr>
        <w:pStyle w:val="6"/>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_Toc12276 </w:instrText>
      </w:r>
      <w:r>
        <w:rPr>
          <w:rFonts w:hint="eastAsia" w:ascii="宋体" w:hAnsi="宋体" w:cs="仿宋"/>
          <w:szCs w:val="21"/>
        </w:rPr>
        <w:fldChar w:fldCharType="separate"/>
      </w:r>
      <w:r>
        <w:rPr>
          <w:rFonts w:hint="default" w:ascii="仿宋" w:hAnsi="仿宋" w:eastAsia="仿宋" w:cs="仿宋"/>
          <w:bCs/>
          <w:szCs w:val="21"/>
        </w:rPr>
        <w:t xml:space="preserve">（二） </w:t>
      </w:r>
      <w:r>
        <w:rPr>
          <w:rFonts w:hint="eastAsia" w:ascii="仿宋" w:hAnsi="仿宋" w:eastAsia="仿宋" w:cs="仿宋"/>
          <w:bCs/>
          <w:szCs w:val="21"/>
        </w:rPr>
        <w:t>综合评议指标表</w:t>
      </w:r>
      <w:r>
        <w:tab/>
      </w:r>
      <w:r>
        <w:fldChar w:fldCharType="begin"/>
      </w:r>
      <w:r>
        <w:instrText xml:space="preserve"> PAGEREF _Toc12276 \h </w:instrText>
      </w:r>
      <w:r>
        <w:fldChar w:fldCharType="separate"/>
      </w:r>
      <w:r>
        <w:t>13</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_Toc30869 </w:instrText>
      </w:r>
      <w:r>
        <w:rPr>
          <w:rFonts w:hint="eastAsia" w:ascii="宋体" w:hAnsi="宋体" w:cs="仿宋"/>
          <w:szCs w:val="21"/>
        </w:rPr>
        <w:fldChar w:fldCharType="separate"/>
      </w:r>
      <w:r>
        <w:rPr>
          <w:rFonts w:hint="eastAsia" w:ascii="宋体" w:hAnsi="宋体"/>
          <w:szCs w:val="32"/>
        </w:rPr>
        <w:t>第四部分：合同条款及格式</w:t>
      </w:r>
      <w:r>
        <w:tab/>
      </w:r>
      <w:r>
        <w:fldChar w:fldCharType="begin"/>
      </w:r>
      <w:r>
        <w:instrText xml:space="preserve"> PAGEREF _Toc30869 \h </w:instrText>
      </w:r>
      <w:r>
        <w:fldChar w:fldCharType="separate"/>
      </w:r>
      <w:r>
        <w:t>16</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_Toc12744 </w:instrText>
      </w:r>
      <w:r>
        <w:rPr>
          <w:rFonts w:hint="eastAsia" w:ascii="宋体" w:hAnsi="宋体" w:cs="仿宋"/>
          <w:szCs w:val="21"/>
        </w:rPr>
        <w:fldChar w:fldCharType="separate"/>
      </w:r>
      <w:r>
        <w:rPr>
          <w:rFonts w:hint="eastAsia"/>
          <w:szCs w:val="32"/>
        </w:rPr>
        <w:t>第五部分：参考附件</w:t>
      </w:r>
      <w:r>
        <w:tab/>
      </w:r>
      <w:r>
        <w:fldChar w:fldCharType="begin"/>
      </w:r>
      <w:r>
        <w:instrText xml:space="preserve"> PAGEREF _Toc12744 \h </w:instrText>
      </w:r>
      <w:r>
        <w:fldChar w:fldCharType="separate"/>
      </w:r>
      <w:r>
        <w:t>21</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_Toc8151 </w:instrText>
      </w:r>
      <w:r>
        <w:rPr>
          <w:rFonts w:hint="eastAsia" w:ascii="宋体" w:hAnsi="宋体" w:cs="仿宋"/>
          <w:szCs w:val="21"/>
        </w:rPr>
        <w:fldChar w:fldCharType="separate"/>
      </w:r>
      <w:r>
        <w:rPr>
          <w:rFonts w:hint="eastAsia" w:ascii="宋体" w:hAnsi="宋体"/>
          <w:szCs w:val="21"/>
        </w:rPr>
        <w:t>附件1：</w:t>
      </w:r>
      <w:r>
        <w:rPr>
          <w:rFonts w:hint="eastAsia" w:ascii="宋体" w:hAnsi="宋体"/>
        </w:rPr>
        <w:t>报名回函</w:t>
      </w:r>
      <w:r>
        <w:tab/>
      </w:r>
      <w:r>
        <w:fldChar w:fldCharType="begin"/>
      </w:r>
      <w:r>
        <w:instrText xml:space="preserve"> PAGEREF _Toc8151 \h </w:instrText>
      </w:r>
      <w:r>
        <w:fldChar w:fldCharType="separate"/>
      </w:r>
      <w:r>
        <w:t>21</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_Toc20452 </w:instrText>
      </w:r>
      <w:r>
        <w:rPr>
          <w:rFonts w:hint="eastAsia" w:ascii="宋体" w:hAnsi="宋体" w:cs="仿宋"/>
          <w:szCs w:val="21"/>
        </w:rPr>
        <w:fldChar w:fldCharType="separate"/>
      </w:r>
      <w:r>
        <w:rPr>
          <w:rFonts w:hint="eastAsia" w:ascii="宋体" w:hAnsi="宋体"/>
          <w:szCs w:val="21"/>
        </w:rPr>
        <w:t>附件2：投标函</w:t>
      </w:r>
      <w:r>
        <w:tab/>
      </w:r>
      <w:r>
        <w:fldChar w:fldCharType="begin"/>
      </w:r>
      <w:r>
        <w:instrText xml:space="preserve"> PAGEREF _Toc20452 \h </w:instrText>
      </w:r>
      <w:r>
        <w:fldChar w:fldCharType="separate"/>
      </w:r>
      <w:r>
        <w:t>22</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_Toc15236 </w:instrText>
      </w:r>
      <w:r>
        <w:rPr>
          <w:rFonts w:hint="eastAsia" w:ascii="宋体" w:hAnsi="宋体" w:cs="仿宋"/>
          <w:szCs w:val="21"/>
        </w:rPr>
        <w:fldChar w:fldCharType="separate"/>
      </w:r>
      <w:r>
        <w:rPr>
          <w:rFonts w:hint="eastAsia" w:ascii="宋体" w:hAnsi="宋体"/>
          <w:szCs w:val="21"/>
        </w:rPr>
        <w:t>附件3：投标一览表</w:t>
      </w:r>
      <w:r>
        <w:tab/>
      </w:r>
      <w:r>
        <w:fldChar w:fldCharType="begin"/>
      </w:r>
      <w:r>
        <w:instrText xml:space="preserve"> PAGEREF _Toc15236 \h </w:instrText>
      </w:r>
      <w:r>
        <w:fldChar w:fldCharType="separate"/>
      </w:r>
      <w:r>
        <w:t>23</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_Toc1532 </w:instrText>
      </w:r>
      <w:r>
        <w:rPr>
          <w:rFonts w:hint="eastAsia" w:ascii="宋体" w:hAnsi="宋体" w:cs="仿宋"/>
          <w:szCs w:val="21"/>
        </w:rPr>
        <w:fldChar w:fldCharType="separate"/>
      </w:r>
      <w:r>
        <w:rPr>
          <w:rFonts w:hint="eastAsia" w:ascii="宋体" w:hAnsi="宋体"/>
          <w:szCs w:val="21"/>
        </w:rPr>
        <w:t>附件4：考察证明（本项目不适用）</w:t>
      </w:r>
      <w:r>
        <w:tab/>
      </w:r>
      <w:r>
        <w:fldChar w:fldCharType="begin"/>
      </w:r>
      <w:r>
        <w:instrText xml:space="preserve"> PAGEREF _Toc1532 \h </w:instrText>
      </w:r>
      <w:r>
        <w:fldChar w:fldCharType="separate"/>
      </w:r>
      <w:r>
        <w:t>24</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_Toc15487 </w:instrText>
      </w:r>
      <w:r>
        <w:rPr>
          <w:rFonts w:hint="eastAsia" w:ascii="宋体" w:hAnsi="宋体" w:cs="仿宋"/>
          <w:szCs w:val="21"/>
        </w:rPr>
        <w:fldChar w:fldCharType="separate"/>
      </w:r>
      <w:r>
        <w:rPr>
          <w:rFonts w:hint="eastAsia" w:ascii="宋体" w:hAnsi="宋体"/>
          <w:szCs w:val="21"/>
        </w:rPr>
        <w:t>附件5：技术服务响应/偏离表</w:t>
      </w:r>
      <w:r>
        <w:tab/>
      </w:r>
      <w:r>
        <w:fldChar w:fldCharType="begin"/>
      </w:r>
      <w:r>
        <w:instrText xml:space="preserve"> PAGEREF _Toc15487 \h </w:instrText>
      </w:r>
      <w:r>
        <w:fldChar w:fldCharType="separate"/>
      </w:r>
      <w:r>
        <w:t>25</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_Toc23905 </w:instrText>
      </w:r>
      <w:r>
        <w:rPr>
          <w:rFonts w:hint="eastAsia" w:ascii="宋体" w:hAnsi="宋体" w:cs="仿宋"/>
          <w:szCs w:val="21"/>
        </w:rPr>
        <w:fldChar w:fldCharType="separate"/>
      </w:r>
      <w:r>
        <w:rPr>
          <w:rFonts w:hint="eastAsia" w:ascii="宋体" w:hAnsi="宋体"/>
          <w:szCs w:val="21"/>
        </w:rPr>
        <w:t>附件6：商务条款响应/偏离表</w:t>
      </w:r>
      <w:r>
        <w:tab/>
      </w:r>
      <w:r>
        <w:fldChar w:fldCharType="begin"/>
      </w:r>
      <w:r>
        <w:instrText xml:space="preserve"> PAGEREF _Toc23905 \h </w:instrText>
      </w:r>
      <w:r>
        <w:fldChar w:fldCharType="separate"/>
      </w:r>
      <w:r>
        <w:t>26</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_Toc23270 </w:instrText>
      </w:r>
      <w:r>
        <w:rPr>
          <w:rFonts w:hint="eastAsia" w:ascii="宋体" w:hAnsi="宋体" w:cs="仿宋"/>
          <w:szCs w:val="21"/>
        </w:rPr>
        <w:fldChar w:fldCharType="separate"/>
      </w:r>
      <w:r>
        <w:rPr>
          <w:rFonts w:hint="eastAsia" w:ascii="宋体" w:hAnsi="宋体"/>
          <w:szCs w:val="21"/>
        </w:rPr>
        <w:t>附件7：报价一览表（货物）（本项目不适用）</w:t>
      </w:r>
      <w:r>
        <w:tab/>
      </w:r>
      <w:r>
        <w:fldChar w:fldCharType="begin"/>
      </w:r>
      <w:r>
        <w:instrText xml:space="preserve"> PAGEREF _Toc23270 \h </w:instrText>
      </w:r>
      <w:r>
        <w:fldChar w:fldCharType="separate"/>
      </w:r>
      <w:r>
        <w:t>27</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_Toc31113 </w:instrText>
      </w:r>
      <w:r>
        <w:rPr>
          <w:rFonts w:hint="eastAsia" w:ascii="宋体" w:hAnsi="宋体" w:cs="仿宋"/>
          <w:szCs w:val="21"/>
        </w:rPr>
        <w:fldChar w:fldCharType="separate"/>
      </w:r>
      <w:r>
        <w:rPr>
          <w:rFonts w:hint="eastAsia" w:ascii="宋体" w:hAnsi="宋体"/>
          <w:szCs w:val="21"/>
        </w:rPr>
        <w:t>附件8：报价一览表（服务）</w:t>
      </w:r>
      <w:r>
        <w:tab/>
      </w:r>
      <w:r>
        <w:fldChar w:fldCharType="begin"/>
      </w:r>
      <w:r>
        <w:instrText xml:space="preserve"> PAGEREF _Toc31113 \h </w:instrText>
      </w:r>
      <w:r>
        <w:fldChar w:fldCharType="separate"/>
      </w:r>
      <w:r>
        <w:t>28</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_Toc28923 </w:instrText>
      </w:r>
      <w:r>
        <w:rPr>
          <w:rFonts w:hint="eastAsia" w:ascii="宋体" w:hAnsi="宋体" w:cs="仿宋"/>
          <w:szCs w:val="21"/>
        </w:rPr>
        <w:fldChar w:fldCharType="separate"/>
      </w:r>
      <w:r>
        <w:rPr>
          <w:rFonts w:hint="eastAsia" w:ascii="宋体" w:hAnsi="宋体"/>
          <w:szCs w:val="21"/>
        </w:rPr>
        <w:t>附件9：报价一览表（工程）（本项目不适用）</w:t>
      </w:r>
      <w:r>
        <w:tab/>
      </w:r>
      <w:r>
        <w:fldChar w:fldCharType="begin"/>
      </w:r>
      <w:r>
        <w:instrText xml:space="preserve"> PAGEREF _Toc28923 \h </w:instrText>
      </w:r>
      <w:r>
        <w:fldChar w:fldCharType="separate"/>
      </w:r>
      <w:r>
        <w:t>29</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_Toc1474 </w:instrText>
      </w:r>
      <w:r>
        <w:rPr>
          <w:rFonts w:hint="eastAsia" w:ascii="宋体" w:hAnsi="宋体" w:cs="仿宋"/>
          <w:szCs w:val="21"/>
        </w:rPr>
        <w:fldChar w:fldCharType="separate"/>
      </w:r>
      <w:r>
        <w:rPr>
          <w:rFonts w:hint="eastAsia" w:ascii="宋体" w:hAnsi="宋体"/>
          <w:szCs w:val="21"/>
        </w:rPr>
        <w:t>附件10：法定代表人证明书</w:t>
      </w:r>
      <w:r>
        <w:tab/>
      </w:r>
      <w:r>
        <w:fldChar w:fldCharType="begin"/>
      </w:r>
      <w:r>
        <w:instrText xml:space="preserve"> PAGEREF _Toc1474 \h </w:instrText>
      </w:r>
      <w:r>
        <w:fldChar w:fldCharType="separate"/>
      </w:r>
      <w:r>
        <w:t>30</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_Toc13957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1：法人授权委托证明书</w:t>
      </w:r>
      <w:r>
        <w:tab/>
      </w:r>
      <w:r>
        <w:fldChar w:fldCharType="begin"/>
      </w:r>
      <w:r>
        <w:instrText xml:space="preserve"> PAGEREF _Toc13957 \h </w:instrText>
      </w:r>
      <w:r>
        <w:fldChar w:fldCharType="separate"/>
      </w:r>
      <w:r>
        <w:t>31</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_Toc30118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2：经营业绩一览表</w:t>
      </w:r>
      <w:r>
        <w:tab/>
      </w:r>
      <w:r>
        <w:fldChar w:fldCharType="begin"/>
      </w:r>
      <w:r>
        <w:instrText xml:space="preserve"> PAGEREF _Toc30118 \h </w:instrText>
      </w:r>
      <w:r>
        <w:fldChar w:fldCharType="separate"/>
      </w:r>
      <w:r>
        <w:t>32</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_Toc10234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r>
        <w:tab/>
      </w:r>
      <w:r>
        <w:fldChar w:fldCharType="begin"/>
      </w:r>
      <w:r>
        <w:instrText xml:space="preserve"> PAGEREF _Toc10234 \h </w:instrText>
      </w:r>
      <w:r>
        <w:fldChar w:fldCharType="separate"/>
      </w:r>
      <w:r>
        <w:t>33</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_Toc22024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4：履约情况及社会信誉承诺书</w:t>
      </w:r>
      <w:r>
        <w:tab/>
      </w:r>
      <w:r>
        <w:fldChar w:fldCharType="begin"/>
      </w:r>
      <w:r>
        <w:instrText xml:space="preserve"> PAGEREF _Toc22024 \h </w:instrText>
      </w:r>
      <w:r>
        <w:fldChar w:fldCharType="separate"/>
      </w:r>
      <w:r>
        <w:t>34</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_Toc48 </w:instrText>
      </w:r>
      <w:r>
        <w:rPr>
          <w:rFonts w:hint="eastAsia" w:ascii="宋体" w:hAnsi="宋体" w:cs="仿宋"/>
          <w:szCs w:val="21"/>
        </w:rPr>
        <w:fldChar w:fldCharType="separate"/>
      </w:r>
      <w:r>
        <w:rPr>
          <w:rFonts w:hint="eastAsia" w:ascii="宋体" w:hAnsi="宋体"/>
        </w:rPr>
        <w:t>附件1</w:t>
      </w:r>
      <w:r>
        <w:rPr>
          <w:rFonts w:ascii="宋体" w:hAnsi="宋体"/>
        </w:rPr>
        <w:t>5</w:t>
      </w:r>
      <w:r>
        <w:rPr>
          <w:rFonts w:hint="eastAsia" w:ascii="宋体" w:hAnsi="宋体"/>
        </w:rPr>
        <w:t>：投标文件密码</w:t>
      </w:r>
      <w:r>
        <w:tab/>
      </w:r>
      <w:r>
        <w:fldChar w:fldCharType="begin"/>
      </w:r>
      <w:r>
        <w:instrText xml:space="preserve"> PAGEREF _Toc48 \h </w:instrText>
      </w:r>
      <w:r>
        <w:fldChar w:fldCharType="separate"/>
      </w:r>
      <w:r>
        <w:t>35</w:t>
      </w:r>
      <w:r>
        <w:fldChar w:fldCharType="end"/>
      </w:r>
      <w:r>
        <w:rPr>
          <w:rFonts w:hint="eastAsia" w:ascii="宋体" w:hAnsi="宋体" w:cs="仿宋"/>
          <w:szCs w:val="21"/>
        </w:rPr>
        <w:fldChar w:fldCharType="end"/>
      </w:r>
    </w:p>
    <w:p>
      <w:pPr>
        <w:spacing w:line="400" w:lineRule="exact"/>
        <w:rPr>
          <w:rFonts w:ascii="宋体" w:hAnsi="宋体" w:cs="仿宋"/>
          <w:szCs w:val="21"/>
        </w:rPr>
        <w:sectPr>
          <w:footerReference r:id="rId3"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仿宋" w:hAnsi="仿宋" w:eastAsia="仿宋" w:cs="仿宋"/>
          <w:b/>
          <w:sz w:val="32"/>
          <w:szCs w:val="32"/>
        </w:rPr>
      </w:pPr>
      <w:bookmarkStart w:id="0" w:name="_Toc19071"/>
      <w:r>
        <w:rPr>
          <w:rFonts w:hint="eastAsia" w:ascii="仿宋" w:hAnsi="仿宋" w:eastAsia="仿宋" w:cs="仿宋"/>
          <w:b/>
          <w:sz w:val="32"/>
          <w:szCs w:val="32"/>
        </w:rPr>
        <w:t>第一部分 项目要求</w:t>
      </w:r>
      <w:bookmarkEnd w:id="0"/>
    </w:p>
    <w:p>
      <w:pPr>
        <w:numPr>
          <w:ilvl w:val="0"/>
          <w:numId w:val="1"/>
        </w:numPr>
        <w:spacing w:beforeLines="50" w:line="360" w:lineRule="auto"/>
        <w:outlineLvl w:val="1"/>
        <w:rPr>
          <w:rFonts w:ascii="仿宋" w:hAnsi="仿宋" w:eastAsia="仿宋" w:cs="仿宋"/>
          <w:b/>
          <w:szCs w:val="21"/>
        </w:rPr>
      </w:pPr>
      <w:bookmarkStart w:id="1" w:name="_Toc7851"/>
      <w:r>
        <w:rPr>
          <w:rFonts w:hint="eastAsia" w:ascii="仿宋" w:hAnsi="仿宋" w:eastAsia="仿宋" w:cs="仿宋"/>
          <w:b/>
          <w:szCs w:val="21"/>
        </w:rPr>
        <w:t>投标人须知</w:t>
      </w:r>
      <w:bookmarkEnd w:id="1"/>
    </w:p>
    <w:p>
      <w:pPr>
        <w:autoSpaceDE w:val="0"/>
        <w:autoSpaceDN w:val="0"/>
        <w:adjustRightInd w:val="0"/>
        <w:snapToGrid w:val="0"/>
        <w:spacing w:line="360" w:lineRule="auto"/>
        <w:ind w:firstLine="422" w:firstLineChars="200"/>
        <w:rPr>
          <w:rFonts w:ascii="仿宋" w:hAnsi="仿宋" w:eastAsia="仿宋" w:cs="仿宋"/>
          <w:b/>
          <w:bCs/>
          <w:szCs w:val="21"/>
        </w:rPr>
      </w:pPr>
      <w:r>
        <w:rPr>
          <w:rFonts w:hint="eastAsia" w:ascii="仿宋" w:hAnsi="仿宋" w:eastAsia="仿宋" w:cs="仿宋"/>
          <w:b/>
          <w:bCs/>
          <w:szCs w:val="21"/>
        </w:rPr>
        <w:t>重要提示：</w:t>
      </w:r>
    </w:p>
    <w:p>
      <w:pPr>
        <w:numPr>
          <w:ilvl w:val="0"/>
          <w:numId w:val="2"/>
        </w:numPr>
        <w:autoSpaceDE w:val="0"/>
        <w:autoSpaceDN w:val="0"/>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仿宋" w:hAnsi="仿宋" w:eastAsia="仿宋" w:cs="仿宋"/>
          <w:b/>
          <w:sz w:val="28"/>
          <w:szCs w:val="28"/>
        </w:rPr>
      </w:pPr>
      <w:r>
        <w:rPr>
          <w:rFonts w:hint="eastAsia" w:ascii="仿宋" w:hAnsi="仿宋" w:eastAsia="仿宋" w:cs="仿宋"/>
          <w:szCs w:val="21"/>
        </w:rPr>
        <w:t>用“☑”标识时表明该选项被招标人选用，用“□”标识时表明该选项未被招标人选用。本文件中对应模板性条款未被招标人选用的内容，自动不适用。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仿宋" w:hAnsi="仿宋" w:eastAsia="仿宋" w:cs="仿宋"/>
          <w:b/>
          <w:sz w:val="28"/>
          <w:szCs w:val="28"/>
        </w:rPr>
      </w:pPr>
      <w:r>
        <w:rPr>
          <w:rFonts w:hint="eastAsia" w:ascii="仿宋" w:hAnsi="仿宋" w:eastAsia="仿宋" w:cs="仿宋"/>
          <w:szCs w:val="21"/>
        </w:rPr>
        <w:t>招标人在编制招标文件时，示范文本中的空格部分应根据招标项目实际需求填写，无内容或不采用者应用斜画线表示或者注明“本项目不适用”。</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仿宋" w:hAnsi="仿宋" w:eastAsia="仿宋" w:cs="仿宋"/>
                <w:b/>
                <w:sz w:val="32"/>
                <w:szCs w:val="32"/>
              </w:rPr>
            </w:pPr>
            <w:r>
              <w:rPr>
                <w:rFonts w:hint="eastAsia" w:ascii="仿宋" w:hAnsi="仿宋" w:eastAsia="仿宋" w:cs="仿宋"/>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仿宋" w:hAnsi="仿宋" w:eastAsia="仿宋" w:cs="仿宋"/>
                <w:b/>
                <w:szCs w:val="21"/>
              </w:rPr>
            </w:pPr>
            <w:r>
              <w:rPr>
                <w:rFonts w:hint="eastAsia" w:ascii="仿宋" w:hAnsi="仿宋" w:eastAsia="仿宋" w:cs="仿宋"/>
                <w:b/>
                <w:szCs w:val="21"/>
              </w:rPr>
              <w:t>条款号</w:t>
            </w:r>
          </w:p>
        </w:tc>
        <w:tc>
          <w:tcPr>
            <w:tcW w:w="1990" w:type="dxa"/>
            <w:vAlign w:val="center"/>
          </w:tcPr>
          <w:p>
            <w:pPr>
              <w:autoSpaceDE w:val="0"/>
              <w:autoSpaceDN w:val="0"/>
              <w:adjustRightInd w:val="0"/>
              <w:snapToGrid w:val="0"/>
              <w:jc w:val="center"/>
              <w:rPr>
                <w:rFonts w:ascii="仿宋" w:hAnsi="仿宋" w:eastAsia="仿宋" w:cs="仿宋"/>
                <w:b/>
                <w:szCs w:val="21"/>
              </w:rPr>
            </w:pPr>
            <w:r>
              <w:rPr>
                <w:rFonts w:hint="eastAsia" w:ascii="仿宋" w:hAnsi="仿宋" w:eastAsia="仿宋" w:cs="仿宋"/>
                <w:b/>
                <w:szCs w:val="21"/>
              </w:rPr>
              <w:t>名称</w:t>
            </w:r>
          </w:p>
        </w:tc>
        <w:tc>
          <w:tcPr>
            <w:tcW w:w="7029" w:type="dxa"/>
            <w:vAlign w:val="center"/>
          </w:tcPr>
          <w:p>
            <w:pPr>
              <w:autoSpaceDE w:val="0"/>
              <w:autoSpaceDN w:val="0"/>
              <w:adjustRightInd w:val="0"/>
              <w:snapToGrid w:val="0"/>
              <w:jc w:val="center"/>
              <w:rPr>
                <w:rFonts w:ascii="仿宋" w:hAnsi="仿宋" w:eastAsia="仿宋" w:cs="仿宋"/>
                <w:b/>
                <w:szCs w:val="21"/>
              </w:rPr>
            </w:pPr>
            <w:r>
              <w:rPr>
                <w:rFonts w:hint="eastAsia" w:ascii="仿宋" w:hAnsi="仿宋" w:eastAsia="仿宋" w:cs="仿宋"/>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05" w:type="dxa"/>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1</w:t>
            </w:r>
          </w:p>
        </w:tc>
        <w:tc>
          <w:tcPr>
            <w:tcW w:w="1990" w:type="dxa"/>
            <w:vAlign w:val="center"/>
          </w:tcPr>
          <w:p>
            <w:pPr>
              <w:autoSpaceDE w:val="0"/>
              <w:autoSpaceDN w:val="0"/>
              <w:adjustRightInd w:val="0"/>
              <w:snapToGrid w:val="0"/>
              <w:jc w:val="center"/>
              <w:rPr>
                <w:rFonts w:ascii="仿宋" w:hAnsi="仿宋" w:eastAsia="仿宋" w:cs="仿宋"/>
                <w:bCs/>
                <w:szCs w:val="21"/>
              </w:rPr>
            </w:pPr>
            <w:r>
              <w:rPr>
                <w:rFonts w:hint="eastAsia" w:ascii="仿宋" w:hAnsi="仿宋" w:eastAsia="仿宋" w:cs="仿宋"/>
                <w:bCs/>
                <w:szCs w:val="21"/>
              </w:rPr>
              <w:t>招标人</w:t>
            </w:r>
          </w:p>
        </w:tc>
        <w:tc>
          <w:tcPr>
            <w:tcW w:w="7029" w:type="dxa"/>
            <w:vAlign w:val="center"/>
          </w:tcPr>
          <w:p>
            <w:pPr>
              <w:wordWrap w:val="0"/>
              <w:autoSpaceDE w:val="0"/>
              <w:autoSpaceDN w:val="0"/>
              <w:adjustRightInd w:val="0"/>
              <w:snapToGrid w:val="0"/>
            </w:pPr>
            <w:r>
              <w:rPr>
                <w:rFonts w:hint="eastAsia"/>
              </w:rPr>
              <w:t>名称：深圳会展中心管理有限责任公司</w:t>
            </w:r>
          </w:p>
          <w:p>
            <w:pPr>
              <w:wordWrap w:val="0"/>
              <w:autoSpaceDE w:val="0"/>
              <w:autoSpaceDN w:val="0"/>
              <w:adjustRightInd w:val="0"/>
              <w:snapToGrid w:val="0"/>
            </w:pPr>
            <w:r>
              <w:rPr>
                <w:rFonts w:hint="eastAsia"/>
              </w:rPr>
              <w:t>联系地址：深圳市福田区福华三路深圳会展中心</w:t>
            </w:r>
          </w:p>
          <w:p>
            <w:pPr>
              <w:wordWrap w:val="0"/>
              <w:autoSpaceDE w:val="0"/>
              <w:autoSpaceDN w:val="0"/>
              <w:adjustRightInd w:val="0"/>
              <w:snapToGrid w:val="0"/>
            </w:pPr>
            <w:r>
              <w:rPr>
                <w:rFonts w:hint="eastAsia"/>
              </w:rPr>
              <w:t>联系人：刘女士</w:t>
            </w:r>
          </w:p>
          <w:p>
            <w:pPr>
              <w:wordWrap w:val="0"/>
              <w:autoSpaceDE w:val="0"/>
              <w:autoSpaceDN w:val="0"/>
              <w:adjustRightInd w:val="0"/>
              <w:snapToGrid w:val="0"/>
            </w:pPr>
            <w:r>
              <w:rPr>
                <w:rFonts w:hint="eastAsia"/>
              </w:rPr>
              <w:t>电话：0755-82848826</w:t>
            </w:r>
          </w:p>
          <w:p>
            <w:pPr>
              <w:wordWrap w:val="0"/>
              <w:autoSpaceDE w:val="0"/>
              <w:autoSpaceDN w:val="0"/>
              <w:adjustRightInd w:val="0"/>
              <w:snapToGrid w:val="0"/>
            </w:pPr>
            <w:r>
              <w:rPr>
                <w:rFonts w:hint="eastAsia"/>
              </w:rPr>
              <w:t>传真：0755-82848694</w:t>
            </w:r>
          </w:p>
          <w:p>
            <w:pPr>
              <w:wordWrap w:val="0"/>
              <w:autoSpaceDE w:val="0"/>
              <w:autoSpaceDN w:val="0"/>
              <w:adjustRightInd w:val="0"/>
              <w:snapToGrid w:val="0"/>
            </w:pPr>
            <w:r>
              <w:rPr>
                <w:rFonts w:hint="eastAsia"/>
              </w:rPr>
              <w:t>邮箱：</w:t>
            </w:r>
            <w:r>
              <w:rPr>
                <w:rFonts w:hint="eastAsia"/>
              </w:rPr>
              <w:fldChar w:fldCharType="begin"/>
            </w:r>
            <w:r>
              <w:instrText xml:space="preserve"> HYPERLINK "mailto:*@qq.com"</w:instrText>
            </w:r>
            <w:r>
              <w:rPr>
                <w:rFonts w:hint="eastAsia"/>
              </w:rPr>
              <w:fldChar w:fldCharType="separate"/>
            </w:r>
            <w:r>
              <w:rPr>
                <w:rFonts w:hint="eastAsia"/>
              </w:rPr>
              <w:t>liuxh@chtf.com</w:t>
            </w:r>
          </w:p>
          <w:p>
            <w:pPr>
              <w:wordWrap w:val="0"/>
              <w:autoSpaceDE w:val="0"/>
              <w:autoSpaceDN w:val="0"/>
              <w:adjustRightInd w:val="0"/>
              <w:snapToGrid w:val="0"/>
            </w:pP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2</w:t>
            </w:r>
          </w:p>
        </w:tc>
        <w:tc>
          <w:tcPr>
            <w:tcW w:w="1990" w:type="dxa"/>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项目名称</w:t>
            </w:r>
          </w:p>
        </w:tc>
        <w:tc>
          <w:tcPr>
            <w:tcW w:w="7029" w:type="dxa"/>
            <w:vAlign w:val="center"/>
          </w:tcPr>
          <w:p>
            <w:pPr>
              <w:autoSpaceDE w:val="0"/>
              <w:autoSpaceDN w:val="0"/>
              <w:adjustRightInd w:val="0"/>
              <w:snapToGrid w:val="0"/>
              <w:rPr>
                <w:rFonts w:ascii="仿宋" w:hAnsi="仿宋" w:eastAsia="仿宋" w:cs="仿宋"/>
                <w:color w:val="FF0000"/>
                <w:szCs w:val="21"/>
                <w:highlight w:val="yellow"/>
              </w:rPr>
            </w:pPr>
            <w:r>
              <w:rPr>
                <w:rFonts w:hint="eastAsia" w:ascii="仿宋" w:hAnsi="仿宋" w:eastAsia="仿宋" w:cs="仿宋"/>
                <w:szCs w:val="21"/>
              </w:rPr>
              <w:t>“高交会观众服务”微信公众号和微博号代运营服务项目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仿宋" w:hAnsi="仿宋" w:eastAsia="仿宋" w:cs="仿宋"/>
                <w:szCs w:val="21"/>
              </w:rPr>
            </w:pPr>
          </w:p>
        </w:tc>
        <w:tc>
          <w:tcPr>
            <w:tcW w:w="1990" w:type="dxa"/>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项目类别</w:t>
            </w:r>
          </w:p>
        </w:tc>
        <w:tc>
          <w:tcPr>
            <w:tcW w:w="7029" w:type="dxa"/>
            <w:vAlign w:val="center"/>
          </w:tcPr>
          <w:p>
            <w:pPr>
              <w:autoSpaceDE w:val="0"/>
              <w:autoSpaceDN w:val="0"/>
              <w:adjustRightInd w:val="0"/>
              <w:snapToGrid w:val="0"/>
              <w:jc w:val="left"/>
              <w:rPr>
                <w:rFonts w:ascii="仿宋" w:hAnsi="仿宋" w:eastAsia="仿宋" w:cs="仿宋"/>
                <w:szCs w:val="21"/>
              </w:rPr>
            </w:pPr>
            <w:r>
              <w:rPr>
                <w:rFonts w:hint="eastAsia" w:ascii="仿宋" w:hAnsi="仿宋" w:eastAsia="仿宋" w:cs="仿宋"/>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仿宋" w:hAnsi="仿宋" w:eastAsia="仿宋" w:cs="仿宋"/>
                <w:szCs w:val="21"/>
              </w:rPr>
            </w:pPr>
          </w:p>
        </w:tc>
        <w:tc>
          <w:tcPr>
            <w:tcW w:w="1990" w:type="dxa"/>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项目介绍</w:t>
            </w:r>
          </w:p>
        </w:tc>
        <w:tc>
          <w:tcPr>
            <w:tcW w:w="7029" w:type="dxa"/>
            <w:vAlign w:val="center"/>
          </w:tcPr>
          <w:p>
            <w:pPr>
              <w:autoSpaceDE w:val="0"/>
              <w:autoSpaceDN w:val="0"/>
              <w:adjustRightInd w:val="0"/>
              <w:snapToGrid w:val="0"/>
              <w:rPr>
                <w:rFonts w:ascii="仿宋" w:hAnsi="仿宋" w:eastAsia="仿宋" w:cs="仿宋"/>
                <w:i/>
                <w:color w:val="FF0000"/>
                <w:szCs w:val="21"/>
                <w:highlight w:val="yellow"/>
              </w:rPr>
            </w:pPr>
            <w:r>
              <w:rPr>
                <w:rFonts w:hint="eastAsia" w:ascii="仿宋" w:hAnsi="仿宋" w:eastAsia="仿宋" w:cs="仿宋"/>
                <w:szCs w:val="21"/>
              </w:rPr>
              <w:t>为做好高交会专业观众邀请推广工作，使高交会观众服务双微号运营更规范化和专业化，现拟采购熟悉社交媒体及社群运维，并有丰富代运营经验的服务商，负责高交会观众服务官方微信、微博平台的代理运营及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 w:hRule="atLeast"/>
          <w:jc w:val="center"/>
        </w:trPr>
        <w:tc>
          <w:tcPr>
            <w:tcW w:w="905" w:type="dxa"/>
            <w:vMerge w:val="continue"/>
            <w:vAlign w:val="center"/>
          </w:tcPr>
          <w:p>
            <w:pPr>
              <w:autoSpaceDE w:val="0"/>
              <w:autoSpaceDN w:val="0"/>
              <w:adjustRightInd w:val="0"/>
              <w:snapToGrid w:val="0"/>
              <w:jc w:val="center"/>
              <w:rPr>
                <w:rFonts w:ascii="仿宋" w:hAnsi="仿宋" w:eastAsia="仿宋" w:cs="仿宋"/>
                <w:szCs w:val="21"/>
              </w:rPr>
            </w:pPr>
          </w:p>
        </w:tc>
        <w:tc>
          <w:tcPr>
            <w:tcW w:w="1990" w:type="dxa"/>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实施地点</w:t>
            </w:r>
          </w:p>
        </w:tc>
        <w:tc>
          <w:tcPr>
            <w:tcW w:w="7029" w:type="dxa"/>
            <w:vAlign w:val="center"/>
          </w:tcPr>
          <w:p>
            <w:pPr>
              <w:autoSpaceDE w:val="0"/>
              <w:autoSpaceDN w:val="0"/>
              <w:adjustRightInd w:val="0"/>
              <w:snapToGrid w:val="0"/>
              <w:rPr>
                <w:rFonts w:ascii="仿宋" w:hAnsi="仿宋" w:eastAsia="仿宋" w:cs="仿宋"/>
                <w:szCs w:val="21"/>
                <w:highlight w:val="yellow"/>
              </w:rPr>
            </w:pPr>
            <w:r>
              <w:rPr>
                <w:rFonts w:hint="eastAsia" w:ascii="仿宋" w:hAnsi="仿宋" w:eastAsia="仿宋" w:cs="仿宋"/>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3</w:t>
            </w:r>
          </w:p>
        </w:tc>
        <w:tc>
          <w:tcPr>
            <w:tcW w:w="1990" w:type="dxa"/>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报名(文件获取）开始时间</w:t>
            </w:r>
          </w:p>
        </w:tc>
        <w:tc>
          <w:tcPr>
            <w:tcW w:w="7029" w:type="dxa"/>
            <w:vAlign w:val="center"/>
          </w:tcPr>
          <w:p>
            <w:pPr>
              <w:autoSpaceDE w:val="0"/>
              <w:autoSpaceDN w:val="0"/>
              <w:adjustRightInd w:val="0"/>
              <w:snapToGrid w:val="0"/>
              <w:rPr>
                <w:rFonts w:ascii="仿宋" w:hAnsi="仿宋" w:eastAsia="仿宋" w:cs="仿宋"/>
                <w:szCs w:val="21"/>
              </w:rPr>
            </w:pPr>
            <w:r>
              <w:rPr>
                <w:rFonts w:hint="eastAsia" w:ascii="仿宋" w:hAnsi="仿宋" w:eastAsia="仿宋" w:cs="仿宋"/>
                <w:szCs w:val="21"/>
              </w:rPr>
              <w:t>202</w:t>
            </w:r>
            <w:r>
              <w:rPr>
                <w:rFonts w:hint="eastAsia" w:ascii="仿宋" w:hAnsi="仿宋" w:eastAsia="仿宋" w:cs="仿宋"/>
                <w:szCs w:val="21"/>
                <w:lang w:val="en-US" w:eastAsia="zh-CN"/>
              </w:rPr>
              <w:t>2</w:t>
            </w:r>
            <w:r>
              <w:rPr>
                <w:rFonts w:hint="eastAsia" w:ascii="仿宋" w:hAnsi="仿宋" w:eastAsia="仿宋" w:cs="仿宋"/>
                <w:szCs w:val="21"/>
              </w:rPr>
              <w:t>-</w:t>
            </w:r>
            <w:r>
              <w:rPr>
                <w:rFonts w:hint="eastAsia" w:ascii="仿宋" w:hAnsi="仿宋" w:eastAsia="仿宋" w:cs="仿宋"/>
                <w:szCs w:val="21"/>
                <w:lang w:val="en-US" w:eastAsia="zh-CN"/>
              </w:rPr>
              <w:t>8</w:t>
            </w:r>
            <w:r>
              <w:rPr>
                <w:rFonts w:hint="eastAsia" w:ascii="仿宋" w:hAnsi="仿宋" w:eastAsia="仿宋" w:cs="仿宋"/>
                <w:szCs w:val="21"/>
              </w:rPr>
              <w:t>-</w:t>
            </w:r>
            <w:r>
              <w:rPr>
                <w:rFonts w:hint="eastAsia" w:ascii="仿宋" w:hAnsi="仿宋" w:eastAsia="仿宋" w:cs="仿宋"/>
                <w:szCs w:val="21"/>
                <w:lang w:val="en-US" w:eastAsia="zh-CN"/>
              </w:rPr>
              <w:t>12  17</w:t>
            </w:r>
            <w:r>
              <w:rPr>
                <w:rFonts w:hint="eastAsia" w:ascii="仿宋" w:hAnsi="仿宋" w:eastAsia="仿宋" w:cs="仿宋"/>
                <w:szCs w:val="21"/>
              </w:rPr>
              <w:t xml:space="preserve">: </w:t>
            </w:r>
            <w:r>
              <w:rPr>
                <w:rFonts w:hint="eastAsia" w:ascii="仿宋" w:hAnsi="仿宋" w:eastAsia="仿宋" w:cs="仿宋"/>
                <w:szCs w:val="21"/>
                <w:lang w:val="en-US" w:eastAsia="zh-CN"/>
              </w:rPr>
              <w:t>00</w:t>
            </w:r>
            <w:r>
              <w:rPr>
                <w:rFonts w:hint="eastAsia" w:ascii="仿宋" w:hAnsi="仿宋" w:eastAsia="仿宋" w:cs="仿宋"/>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仿宋" w:hAnsi="仿宋" w:eastAsia="仿宋" w:cs="仿宋"/>
                <w:szCs w:val="21"/>
              </w:rPr>
            </w:pPr>
          </w:p>
        </w:tc>
        <w:tc>
          <w:tcPr>
            <w:tcW w:w="1990" w:type="dxa"/>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kern w:val="0"/>
                <w:szCs w:val="21"/>
              </w:rPr>
              <w:t>报名方式</w:t>
            </w:r>
          </w:p>
        </w:tc>
        <w:tc>
          <w:tcPr>
            <w:tcW w:w="7029" w:type="dxa"/>
            <w:vAlign w:val="center"/>
          </w:tcPr>
          <w:p>
            <w:pPr>
              <w:autoSpaceDE w:val="0"/>
              <w:autoSpaceDN w:val="0"/>
              <w:adjustRightInd w:val="0"/>
              <w:snapToGrid w:val="0"/>
              <w:rPr>
                <w:rFonts w:ascii="仿宋" w:hAnsi="仿宋" w:eastAsia="仿宋" w:cs="仿宋"/>
                <w:color w:val="auto"/>
                <w:szCs w:val="21"/>
                <w:highlight w:val="none"/>
              </w:rPr>
            </w:pPr>
            <w:r>
              <w:rPr>
                <w:rFonts w:hint="eastAsia" w:ascii="仿宋" w:hAnsi="仿宋" w:eastAsia="仿宋" w:cs="仿宋"/>
                <w:bCs/>
                <w:color w:val="auto"/>
                <w:szCs w:val="21"/>
                <w:highlight w:val="none"/>
              </w:rPr>
              <w:t>完整填写本项目报名回函（详见采购公告）并加盖公司公章后，按要求</w:t>
            </w:r>
            <w:r>
              <w:rPr>
                <w:rFonts w:hint="eastAsia" w:ascii="仿宋" w:hAnsi="仿宋" w:eastAsia="仿宋" w:cs="仿宋"/>
                <w:bCs/>
                <w:color w:val="auto"/>
                <w:highlight w:val="none"/>
              </w:rPr>
              <w:t>上传至</w:t>
            </w:r>
            <w:r>
              <w:rPr>
                <w:rFonts w:hint="eastAsia" w:ascii="仿宋" w:hAnsi="仿宋" w:eastAsia="仿宋" w:cs="仿宋"/>
                <w:b/>
                <w:bCs w:val="0"/>
                <w:color w:val="auto"/>
                <w:highlight w:val="none"/>
              </w:rPr>
              <w:t>https://cg.szcec.com/sharing/qUCaI40uj</w:t>
            </w:r>
            <w:r>
              <w:rPr>
                <w:rFonts w:hint="eastAsia" w:ascii="仿宋" w:hAnsi="仿宋" w:eastAsia="仿宋" w:cs="仿宋"/>
                <w:bCs/>
                <w:color w:val="auto"/>
                <w:highlight w:val="none"/>
                <w:lang w:eastAsia="zh-CN"/>
              </w:rPr>
              <w:t>，</w:t>
            </w:r>
            <w:r>
              <w:rPr>
                <w:rFonts w:hint="eastAsia" w:ascii="仿宋" w:hAnsi="仿宋" w:eastAsia="仿宋" w:cs="仿宋"/>
                <w:bCs/>
                <w:color w:val="auto"/>
                <w:szCs w:val="21"/>
                <w:highlight w:val="none"/>
              </w:rPr>
              <w:t>并致电确认。</w:t>
            </w:r>
            <w:r>
              <w:rPr>
                <w:rFonts w:hint="eastAsia" w:ascii="仿宋" w:hAnsi="仿宋" w:eastAsia="仿宋" w:cs="仿宋"/>
                <w:color w:val="auto"/>
                <w:szCs w:val="21"/>
                <w:highlight w:val="none"/>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仿宋" w:hAnsi="仿宋" w:eastAsia="仿宋" w:cs="仿宋"/>
                <w:szCs w:val="21"/>
              </w:rPr>
            </w:pPr>
          </w:p>
        </w:tc>
        <w:tc>
          <w:tcPr>
            <w:tcW w:w="1990" w:type="dxa"/>
            <w:vAlign w:val="center"/>
          </w:tcPr>
          <w:p>
            <w:pPr>
              <w:autoSpaceDE w:val="0"/>
              <w:autoSpaceDN w:val="0"/>
              <w:adjustRightInd w:val="0"/>
              <w:snapToGrid w:val="0"/>
              <w:jc w:val="center"/>
              <w:rPr>
                <w:rFonts w:ascii="仿宋" w:hAnsi="仿宋" w:eastAsia="仿宋" w:cs="仿宋"/>
                <w:kern w:val="0"/>
                <w:szCs w:val="21"/>
              </w:rPr>
            </w:pPr>
            <w:r>
              <w:rPr>
                <w:rFonts w:hint="eastAsia" w:ascii="仿宋" w:hAnsi="仿宋" w:eastAsia="仿宋" w:cs="仿宋"/>
                <w:kern w:val="0"/>
                <w:szCs w:val="21"/>
              </w:rPr>
              <w:t>招标文件获取方式</w:t>
            </w:r>
          </w:p>
        </w:tc>
        <w:tc>
          <w:tcPr>
            <w:tcW w:w="7029" w:type="dxa"/>
            <w:vAlign w:val="center"/>
          </w:tcPr>
          <w:p>
            <w:pPr>
              <w:autoSpaceDE w:val="0"/>
              <w:autoSpaceDN w:val="0"/>
              <w:adjustRightInd w:val="0"/>
              <w:snapToGrid w:val="0"/>
              <w:rPr>
                <w:rFonts w:ascii="仿宋" w:hAnsi="仿宋" w:eastAsia="仿宋" w:cs="仿宋"/>
                <w:color w:val="auto"/>
                <w:szCs w:val="21"/>
              </w:rPr>
            </w:pPr>
            <w:r>
              <w:rPr>
                <w:rFonts w:hint="eastAsia" w:ascii="仿宋" w:hAnsi="仿宋" w:eastAsia="仿宋" w:cs="仿宋"/>
                <w:color w:val="auto"/>
                <w:szCs w:val="21"/>
              </w:rPr>
              <w:t>深圳会展中心官网（www.szcec.com）下载。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05" w:type="dxa"/>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4</w:t>
            </w:r>
          </w:p>
        </w:tc>
        <w:tc>
          <w:tcPr>
            <w:tcW w:w="1990" w:type="dxa"/>
            <w:vAlign w:val="center"/>
          </w:tcPr>
          <w:p>
            <w:pPr>
              <w:autoSpaceDE w:val="0"/>
              <w:autoSpaceDN w:val="0"/>
              <w:adjustRightInd w:val="0"/>
              <w:snapToGrid w:val="0"/>
              <w:jc w:val="center"/>
              <w:rPr>
                <w:rFonts w:ascii="仿宋" w:hAnsi="仿宋" w:eastAsia="仿宋" w:cs="仿宋"/>
                <w:kern w:val="0"/>
                <w:szCs w:val="21"/>
              </w:rPr>
            </w:pPr>
            <w:r>
              <w:rPr>
                <w:rFonts w:hint="eastAsia" w:ascii="仿宋" w:hAnsi="仿宋" w:eastAsia="仿宋" w:cs="仿宋"/>
                <w:szCs w:val="21"/>
              </w:rPr>
              <w:t>报名(文件获取）</w:t>
            </w:r>
            <w:r>
              <w:rPr>
                <w:rFonts w:hint="eastAsia" w:ascii="仿宋" w:hAnsi="仿宋" w:eastAsia="仿宋" w:cs="仿宋"/>
                <w:kern w:val="0"/>
                <w:szCs w:val="21"/>
              </w:rPr>
              <w:t>截止时间</w:t>
            </w:r>
          </w:p>
        </w:tc>
        <w:tc>
          <w:tcPr>
            <w:tcW w:w="7029" w:type="dxa"/>
            <w:vAlign w:val="center"/>
          </w:tcPr>
          <w:p>
            <w:pPr>
              <w:tabs>
                <w:tab w:val="left" w:pos="284"/>
              </w:tabs>
              <w:jc w:val="left"/>
              <w:rPr>
                <w:rFonts w:ascii="仿宋" w:hAnsi="仿宋" w:eastAsia="仿宋" w:cs="仿宋"/>
                <w:color w:val="auto"/>
                <w:szCs w:val="21"/>
              </w:rPr>
            </w:pPr>
            <w:r>
              <w:rPr>
                <w:rFonts w:hint="eastAsia" w:ascii="仿宋" w:hAnsi="仿宋" w:eastAsia="仿宋" w:cs="仿宋"/>
                <w:color w:val="auto"/>
                <w:szCs w:val="21"/>
              </w:rPr>
              <w:t>202</w:t>
            </w:r>
            <w:r>
              <w:rPr>
                <w:rFonts w:hint="eastAsia" w:ascii="仿宋" w:hAnsi="仿宋" w:eastAsia="仿宋" w:cs="仿宋"/>
                <w:color w:val="auto"/>
                <w:szCs w:val="21"/>
                <w:lang w:val="en-US" w:eastAsia="zh-CN"/>
              </w:rPr>
              <w:t>2</w:t>
            </w:r>
            <w:r>
              <w:rPr>
                <w:rFonts w:hint="eastAsia" w:ascii="仿宋" w:hAnsi="仿宋" w:eastAsia="仿宋" w:cs="仿宋"/>
                <w:color w:val="auto"/>
                <w:szCs w:val="21"/>
              </w:rPr>
              <w:t>-</w:t>
            </w:r>
            <w:r>
              <w:rPr>
                <w:rFonts w:hint="eastAsia" w:ascii="仿宋" w:hAnsi="仿宋" w:eastAsia="仿宋" w:cs="仿宋"/>
                <w:color w:val="auto"/>
                <w:szCs w:val="21"/>
                <w:lang w:val="en-US" w:eastAsia="zh-CN"/>
              </w:rPr>
              <w:t>8</w:t>
            </w:r>
            <w:r>
              <w:rPr>
                <w:rFonts w:hint="eastAsia" w:ascii="仿宋" w:hAnsi="仿宋" w:eastAsia="仿宋" w:cs="仿宋"/>
                <w:color w:val="auto"/>
                <w:szCs w:val="21"/>
              </w:rPr>
              <w:t>-</w:t>
            </w:r>
            <w:r>
              <w:rPr>
                <w:rFonts w:hint="eastAsia" w:ascii="仿宋" w:hAnsi="仿宋" w:eastAsia="仿宋" w:cs="仿宋"/>
                <w:color w:val="auto"/>
                <w:szCs w:val="21"/>
                <w:lang w:val="en-US" w:eastAsia="zh-CN"/>
              </w:rPr>
              <w:t>22  17</w:t>
            </w:r>
            <w:r>
              <w:rPr>
                <w:rFonts w:hint="eastAsia" w:ascii="仿宋" w:hAnsi="仿宋" w:eastAsia="仿宋" w:cs="仿宋"/>
                <w:color w:val="auto"/>
                <w:szCs w:val="21"/>
              </w:rPr>
              <w:t xml:space="preserve">: </w:t>
            </w:r>
            <w:r>
              <w:rPr>
                <w:rFonts w:hint="eastAsia" w:ascii="仿宋" w:hAnsi="仿宋" w:eastAsia="仿宋" w:cs="仿宋"/>
                <w:color w:val="auto"/>
                <w:szCs w:val="21"/>
                <w:lang w:val="en-US" w:eastAsia="zh-CN"/>
              </w:rPr>
              <w:t>00</w:t>
            </w:r>
            <w:r>
              <w:rPr>
                <w:rFonts w:hint="eastAsia" w:ascii="仿宋" w:hAnsi="仿宋" w:eastAsia="仿宋" w:cs="仿宋"/>
                <w:color w:val="auto"/>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5</w:t>
            </w:r>
          </w:p>
        </w:tc>
        <w:tc>
          <w:tcPr>
            <w:tcW w:w="1990" w:type="dxa"/>
            <w:vAlign w:val="center"/>
          </w:tcPr>
          <w:p>
            <w:pPr>
              <w:autoSpaceDE w:val="0"/>
              <w:autoSpaceDN w:val="0"/>
              <w:adjustRightInd w:val="0"/>
              <w:snapToGrid w:val="0"/>
              <w:jc w:val="center"/>
              <w:rPr>
                <w:rFonts w:ascii="仿宋" w:hAnsi="仿宋" w:eastAsia="仿宋" w:cs="仿宋"/>
                <w:szCs w:val="21"/>
                <w:shd w:val="clear" w:color="auto" w:fill="FFFFFF"/>
              </w:rPr>
            </w:pPr>
            <w:r>
              <w:rPr>
                <w:rFonts w:hint="eastAsia" w:ascii="仿宋" w:hAnsi="仿宋" w:eastAsia="仿宋" w:cs="仿宋"/>
                <w:szCs w:val="21"/>
                <w:shd w:val="clear" w:color="auto" w:fill="FFFFFF"/>
              </w:rPr>
              <w:t>投标人提出质疑</w:t>
            </w:r>
          </w:p>
          <w:p>
            <w:pPr>
              <w:autoSpaceDE w:val="0"/>
              <w:autoSpaceDN w:val="0"/>
              <w:adjustRightInd w:val="0"/>
              <w:snapToGrid w:val="0"/>
              <w:jc w:val="center"/>
              <w:rPr>
                <w:rFonts w:ascii="仿宋" w:hAnsi="仿宋" w:eastAsia="仿宋" w:cs="仿宋"/>
                <w:szCs w:val="21"/>
                <w:shd w:val="clear" w:color="auto" w:fill="FFFFFF"/>
              </w:rPr>
            </w:pPr>
            <w:r>
              <w:rPr>
                <w:rFonts w:hint="eastAsia" w:ascii="仿宋" w:hAnsi="仿宋" w:eastAsia="仿宋" w:cs="仿宋"/>
                <w:szCs w:val="21"/>
                <w:shd w:val="clear" w:color="auto" w:fill="FFFFFF"/>
              </w:rPr>
              <w:t>截止时间</w:t>
            </w:r>
          </w:p>
        </w:tc>
        <w:tc>
          <w:tcPr>
            <w:tcW w:w="7029" w:type="dxa"/>
            <w:vAlign w:val="center"/>
          </w:tcPr>
          <w:p>
            <w:pPr>
              <w:autoSpaceDE w:val="0"/>
              <w:autoSpaceDN w:val="0"/>
              <w:adjustRightInd w:val="0"/>
              <w:snapToGrid w:val="0"/>
              <w:rPr>
                <w:rFonts w:ascii="仿宋" w:hAnsi="仿宋" w:eastAsia="仿宋" w:cs="仿宋"/>
                <w:color w:val="auto"/>
                <w:szCs w:val="21"/>
              </w:rPr>
            </w:pPr>
            <w:r>
              <w:rPr>
                <w:rFonts w:hint="eastAsia" w:ascii="仿宋" w:hAnsi="仿宋" w:eastAsia="仿宋" w:cs="仿宋"/>
                <w:color w:val="auto"/>
                <w:szCs w:val="21"/>
              </w:rPr>
              <w:t>202</w:t>
            </w:r>
            <w:r>
              <w:rPr>
                <w:rFonts w:hint="eastAsia" w:ascii="仿宋" w:hAnsi="仿宋" w:eastAsia="仿宋" w:cs="仿宋"/>
                <w:color w:val="auto"/>
                <w:szCs w:val="21"/>
                <w:lang w:val="en-US" w:eastAsia="zh-CN"/>
              </w:rPr>
              <w:t>2</w:t>
            </w:r>
            <w:r>
              <w:rPr>
                <w:rFonts w:hint="eastAsia" w:ascii="仿宋" w:hAnsi="仿宋" w:eastAsia="仿宋" w:cs="仿宋"/>
                <w:color w:val="auto"/>
                <w:szCs w:val="21"/>
              </w:rPr>
              <w:t>-</w:t>
            </w:r>
            <w:r>
              <w:rPr>
                <w:rFonts w:hint="eastAsia" w:ascii="仿宋" w:hAnsi="仿宋" w:eastAsia="仿宋" w:cs="仿宋"/>
                <w:color w:val="auto"/>
                <w:szCs w:val="21"/>
                <w:lang w:val="en-US" w:eastAsia="zh-CN"/>
              </w:rPr>
              <w:t>8</w:t>
            </w:r>
            <w:r>
              <w:rPr>
                <w:rFonts w:hint="eastAsia" w:ascii="仿宋" w:hAnsi="仿宋" w:eastAsia="仿宋" w:cs="仿宋"/>
                <w:color w:val="auto"/>
                <w:szCs w:val="21"/>
              </w:rPr>
              <w:t>-</w:t>
            </w:r>
            <w:r>
              <w:rPr>
                <w:rFonts w:hint="eastAsia" w:ascii="仿宋" w:hAnsi="仿宋" w:eastAsia="仿宋" w:cs="仿宋"/>
                <w:color w:val="auto"/>
                <w:szCs w:val="21"/>
                <w:lang w:val="en-US" w:eastAsia="zh-CN"/>
              </w:rPr>
              <w:t>22  17</w:t>
            </w:r>
            <w:r>
              <w:rPr>
                <w:rFonts w:hint="eastAsia" w:ascii="仿宋" w:hAnsi="仿宋" w:eastAsia="仿宋" w:cs="仿宋"/>
                <w:color w:val="auto"/>
                <w:szCs w:val="21"/>
              </w:rPr>
              <w:t xml:space="preserve">: </w:t>
            </w:r>
            <w:r>
              <w:rPr>
                <w:rFonts w:hint="eastAsia" w:ascii="仿宋" w:hAnsi="仿宋" w:eastAsia="仿宋" w:cs="仿宋"/>
                <w:color w:val="auto"/>
                <w:szCs w:val="21"/>
                <w:lang w:val="en-US" w:eastAsia="zh-CN"/>
              </w:rPr>
              <w:t>00</w:t>
            </w:r>
            <w:r>
              <w:rPr>
                <w:rFonts w:hint="eastAsia" w:ascii="仿宋" w:hAnsi="仿宋" w:eastAsia="仿宋" w:cs="仿宋"/>
                <w:color w:val="auto"/>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仿宋" w:hAnsi="仿宋" w:eastAsia="仿宋" w:cs="仿宋"/>
                <w:szCs w:val="21"/>
              </w:rPr>
            </w:pPr>
          </w:p>
        </w:tc>
        <w:tc>
          <w:tcPr>
            <w:tcW w:w="1990" w:type="dxa"/>
            <w:vAlign w:val="center"/>
          </w:tcPr>
          <w:p>
            <w:pPr>
              <w:autoSpaceDE w:val="0"/>
              <w:autoSpaceDN w:val="0"/>
              <w:adjustRightInd w:val="0"/>
              <w:snapToGrid w:val="0"/>
              <w:jc w:val="center"/>
              <w:rPr>
                <w:rFonts w:ascii="仿宋" w:hAnsi="仿宋" w:eastAsia="仿宋" w:cs="仿宋"/>
                <w:szCs w:val="21"/>
                <w:shd w:val="clear" w:color="auto" w:fill="FFFFFF"/>
              </w:rPr>
            </w:pPr>
            <w:r>
              <w:rPr>
                <w:rFonts w:hint="eastAsia" w:ascii="仿宋" w:hAnsi="仿宋" w:eastAsia="仿宋" w:cs="仿宋"/>
                <w:szCs w:val="21"/>
                <w:shd w:val="clear" w:color="auto" w:fill="FFFFFF"/>
              </w:rPr>
              <w:t>招标人澄清、修改、答疑截止时间</w:t>
            </w:r>
          </w:p>
        </w:tc>
        <w:tc>
          <w:tcPr>
            <w:tcW w:w="7029" w:type="dxa"/>
            <w:vAlign w:val="center"/>
          </w:tcPr>
          <w:p>
            <w:pPr>
              <w:autoSpaceDE w:val="0"/>
              <w:autoSpaceDN w:val="0"/>
              <w:adjustRightInd w:val="0"/>
              <w:snapToGrid w:val="0"/>
              <w:rPr>
                <w:rFonts w:ascii="仿宋" w:hAnsi="仿宋" w:eastAsia="仿宋" w:cs="仿宋"/>
                <w:color w:val="auto"/>
                <w:szCs w:val="21"/>
              </w:rPr>
            </w:pPr>
            <w:r>
              <w:rPr>
                <w:rFonts w:hint="eastAsia" w:ascii="仿宋" w:hAnsi="仿宋" w:eastAsia="仿宋" w:cs="仿宋"/>
                <w:color w:val="auto"/>
                <w:szCs w:val="21"/>
              </w:rPr>
              <w:t>202</w:t>
            </w:r>
            <w:r>
              <w:rPr>
                <w:rFonts w:hint="eastAsia" w:ascii="仿宋" w:hAnsi="仿宋" w:eastAsia="仿宋" w:cs="仿宋"/>
                <w:color w:val="auto"/>
                <w:szCs w:val="21"/>
                <w:lang w:val="en-US" w:eastAsia="zh-CN"/>
              </w:rPr>
              <w:t>2</w:t>
            </w:r>
            <w:r>
              <w:rPr>
                <w:rFonts w:hint="eastAsia" w:ascii="仿宋" w:hAnsi="仿宋" w:eastAsia="仿宋" w:cs="仿宋"/>
                <w:color w:val="auto"/>
                <w:szCs w:val="21"/>
              </w:rPr>
              <w:t>-</w:t>
            </w:r>
            <w:r>
              <w:rPr>
                <w:rFonts w:hint="eastAsia" w:ascii="仿宋" w:hAnsi="仿宋" w:eastAsia="仿宋" w:cs="仿宋"/>
                <w:color w:val="auto"/>
                <w:szCs w:val="21"/>
                <w:lang w:val="en-US" w:eastAsia="zh-CN"/>
              </w:rPr>
              <w:t>8</w:t>
            </w:r>
            <w:r>
              <w:rPr>
                <w:rFonts w:hint="eastAsia" w:ascii="仿宋" w:hAnsi="仿宋" w:eastAsia="仿宋" w:cs="仿宋"/>
                <w:color w:val="auto"/>
                <w:szCs w:val="21"/>
              </w:rPr>
              <w:t>-</w:t>
            </w:r>
            <w:r>
              <w:rPr>
                <w:rFonts w:hint="eastAsia" w:ascii="仿宋" w:hAnsi="仿宋" w:eastAsia="仿宋" w:cs="仿宋"/>
                <w:color w:val="auto"/>
                <w:szCs w:val="21"/>
                <w:lang w:val="en-US" w:eastAsia="zh-CN"/>
              </w:rPr>
              <w:t>23  17</w:t>
            </w:r>
            <w:r>
              <w:rPr>
                <w:rFonts w:hint="eastAsia" w:ascii="仿宋" w:hAnsi="仿宋" w:eastAsia="仿宋" w:cs="仿宋"/>
                <w:color w:val="auto"/>
                <w:szCs w:val="21"/>
              </w:rPr>
              <w:t xml:space="preserve">: </w:t>
            </w:r>
            <w:r>
              <w:rPr>
                <w:rFonts w:hint="eastAsia" w:ascii="仿宋" w:hAnsi="仿宋" w:eastAsia="仿宋" w:cs="仿宋"/>
                <w:color w:val="auto"/>
                <w:szCs w:val="21"/>
                <w:lang w:val="en-US" w:eastAsia="zh-CN"/>
              </w:rPr>
              <w:t>00</w:t>
            </w:r>
            <w:r>
              <w:rPr>
                <w:rFonts w:hint="eastAsia" w:ascii="仿宋" w:hAnsi="仿宋" w:eastAsia="仿宋" w:cs="仿宋"/>
                <w:color w:val="auto"/>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6</w:t>
            </w:r>
          </w:p>
        </w:tc>
        <w:tc>
          <w:tcPr>
            <w:tcW w:w="1990" w:type="dxa"/>
            <w:vAlign w:val="center"/>
          </w:tcPr>
          <w:p>
            <w:pPr>
              <w:autoSpaceDE w:val="0"/>
              <w:autoSpaceDN w:val="0"/>
              <w:adjustRightInd w:val="0"/>
              <w:snapToGrid w:val="0"/>
              <w:jc w:val="center"/>
              <w:rPr>
                <w:rFonts w:ascii="仿宋" w:hAnsi="仿宋" w:eastAsia="仿宋" w:cs="仿宋"/>
                <w:szCs w:val="21"/>
                <w:shd w:val="clear" w:color="auto" w:fill="FFFFFF"/>
              </w:rPr>
            </w:pPr>
            <w:r>
              <w:rPr>
                <w:rFonts w:hint="eastAsia" w:ascii="仿宋" w:hAnsi="仿宋" w:eastAsia="仿宋" w:cs="仿宋"/>
                <w:szCs w:val="21"/>
                <w:shd w:val="clear" w:color="auto" w:fill="FFFFFF"/>
              </w:rPr>
              <w:t>投标文件递交截止时间</w:t>
            </w:r>
          </w:p>
        </w:tc>
        <w:tc>
          <w:tcPr>
            <w:tcW w:w="7029" w:type="dxa"/>
            <w:vAlign w:val="center"/>
          </w:tcPr>
          <w:p>
            <w:pPr>
              <w:autoSpaceDE w:val="0"/>
              <w:autoSpaceDN w:val="0"/>
              <w:adjustRightInd w:val="0"/>
              <w:snapToGrid w:val="0"/>
              <w:rPr>
                <w:rFonts w:ascii="仿宋" w:hAnsi="仿宋" w:eastAsia="仿宋" w:cs="仿宋"/>
                <w:color w:val="auto"/>
                <w:szCs w:val="21"/>
              </w:rPr>
            </w:pPr>
            <w:r>
              <w:rPr>
                <w:rFonts w:hint="eastAsia" w:ascii="仿宋" w:hAnsi="仿宋" w:eastAsia="仿宋" w:cs="仿宋"/>
                <w:color w:val="auto"/>
                <w:szCs w:val="21"/>
              </w:rPr>
              <w:t>202</w:t>
            </w:r>
            <w:r>
              <w:rPr>
                <w:rFonts w:hint="eastAsia" w:ascii="仿宋" w:hAnsi="仿宋" w:eastAsia="仿宋" w:cs="仿宋"/>
                <w:color w:val="auto"/>
                <w:szCs w:val="21"/>
                <w:lang w:val="en-US" w:eastAsia="zh-CN"/>
              </w:rPr>
              <w:t>2</w:t>
            </w:r>
            <w:r>
              <w:rPr>
                <w:rFonts w:hint="eastAsia" w:ascii="仿宋" w:hAnsi="仿宋" w:eastAsia="仿宋" w:cs="仿宋"/>
                <w:color w:val="auto"/>
                <w:szCs w:val="21"/>
              </w:rPr>
              <w:t>-</w:t>
            </w:r>
            <w:r>
              <w:rPr>
                <w:rFonts w:hint="eastAsia" w:ascii="仿宋" w:hAnsi="仿宋" w:eastAsia="仿宋" w:cs="仿宋"/>
                <w:color w:val="auto"/>
                <w:szCs w:val="21"/>
                <w:lang w:val="en-US" w:eastAsia="zh-CN"/>
              </w:rPr>
              <w:t>8</w:t>
            </w:r>
            <w:r>
              <w:rPr>
                <w:rFonts w:hint="eastAsia" w:ascii="仿宋" w:hAnsi="仿宋" w:eastAsia="仿宋" w:cs="仿宋"/>
                <w:color w:val="auto"/>
                <w:szCs w:val="21"/>
              </w:rPr>
              <w:t>-</w:t>
            </w:r>
            <w:r>
              <w:rPr>
                <w:rFonts w:hint="eastAsia" w:ascii="仿宋" w:hAnsi="仿宋" w:eastAsia="仿宋" w:cs="仿宋"/>
                <w:color w:val="auto"/>
                <w:szCs w:val="21"/>
                <w:lang w:val="en-US" w:eastAsia="zh-CN"/>
              </w:rPr>
              <w:t>24  17</w:t>
            </w:r>
            <w:r>
              <w:rPr>
                <w:rFonts w:hint="eastAsia" w:ascii="仿宋" w:hAnsi="仿宋" w:eastAsia="仿宋" w:cs="仿宋"/>
                <w:color w:val="auto"/>
                <w:szCs w:val="21"/>
              </w:rPr>
              <w:t xml:space="preserve">: </w:t>
            </w:r>
            <w:r>
              <w:rPr>
                <w:rFonts w:hint="eastAsia" w:ascii="仿宋" w:hAnsi="仿宋" w:eastAsia="仿宋" w:cs="仿宋"/>
                <w:color w:val="auto"/>
                <w:szCs w:val="21"/>
                <w:lang w:val="en-US" w:eastAsia="zh-CN"/>
              </w:rPr>
              <w:t>00</w:t>
            </w:r>
            <w:r>
              <w:rPr>
                <w:rFonts w:hint="eastAsia" w:ascii="仿宋" w:hAnsi="仿宋" w:eastAsia="仿宋" w:cs="仿宋"/>
                <w:color w:val="auto"/>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7</w:t>
            </w:r>
          </w:p>
        </w:tc>
        <w:tc>
          <w:tcPr>
            <w:tcW w:w="1990" w:type="dxa"/>
            <w:vAlign w:val="center"/>
          </w:tcPr>
          <w:p>
            <w:pPr>
              <w:autoSpaceDE w:val="0"/>
              <w:autoSpaceDN w:val="0"/>
              <w:adjustRightInd w:val="0"/>
              <w:snapToGrid w:val="0"/>
              <w:jc w:val="center"/>
              <w:rPr>
                <w:rFonts w:ascii="仿宋" w:hAnsi="仿宋" w:eastAsia="仿宋" w:cs="仿宋"/>
                <w:kern w:val="0"/>
                <w:szCs w:val="21"/>
              </w:rPr>
            </w:pPr>
            <w:r>
              <w:rPr>
                <w:rFonts w:hint="eastAsia" w:ascii="仿宋" w:hAnsi="仿宋" w:eastAsia="仿宋" w:cs="仿宋"/>
                <w:szCs w:val="21"/>
                <w:shd w:val="clear" w:color="auto" w:fill="FFFFFF"/>
              </w:rPr>
              <w:t>投标文件递交方式及注意事项</w:t>
            </w:r>
          </w:p>
        </w:tc>
        <w:tc>
          <w:tcPr>
            <w:tcW w:w="7029" w:type="dxa"/>
          </w:tcPr>
          <w:p>
            <w:pPr>
              <w:rPr>
                <w:rFonts w:ascii="仿宋" w:hAnsi="仿宋" w:eastAsia="仿宋" w:cs="仿宋"/>
                <w:color w:val="auto"/>
                <w:highlight w:val="none"/>
              </w:rPr>
            </w:pPr>
            <w:r>
              <w:rPr>
                <w:rFonts w:hint="eastAsia" w:ascii="仿宋" w:hAnsi="仿宋" w:eastAsia="仿宋" w:cs="仿宋"/>
                <w:color w:val="auto"/>
                <w:szCs w:val="21"/>
                <w:highlight w:val="none"/>
              </w:rPr>
              <w:t>响应文件应以扫描版（PDF版）及MS Word版文件加密形式上传至</w:t>
            </w:r>
            <w:r>
              <w:rPr>
                <w:rFonts w:hint="eastAsia" w:ascii="仿宋" w:hAnsi="仿宋" w:eastAsia="仿宋" w:cs="仿宋"/>
                <w:b/>
                <w:bCs w:val="0"/>
                <w:color w:val="auto"/>
                <w:highlight w:val="none"/>
              </w:rPr>
              <w:t>https://cg.szcec.com/sharing/ABolt9yTZ</w:t>
            </w:r>
            <w:r>
              <w:rPr>
                <w:rFonts w:hint="eastAsia" w:ascii="仿宋" w:hAnsi="仿宋" w:eastAsia="仿宋" w:cs="仿宋"/>
                <w:bCs/>
                <w:color w:val="auto"/>
                <w:highlight w:val="none"/>
              </w:rPr>
              <w:t>，</w:t>
            </w:r>
            <w:r>
              <w:rPr>
                <w:rFonts w:hint="eastAsia" w:ascii="仿宋" w:hAnsi="仿宋" w:eastAsia="仿宋" w:cs="仿宋"/>
                <w:color w:val="auto"/>
                <w:szCs w:val="21"/>
                <w:highlight w:val="none"/>
              </w:rPr>
              <w:t>并致电确认，</w:t>
            </w:r>
            <w:bookmarkStart w:id="2" w:name="_Toc478110532"/>
            <w:bookmarkStart w:id="3" w:name="_Toc478393187"/>
            <w:bookmarkStart w:id="4" w:name="_Toc478392822"/>
            <w:r>
              <w:rPr>
                <w:rFonts w:hint="eastAsia" w:ascii="仿宋" w:hAnsi="仿宋" w:eastAsia="仿宋" w:cs="仿宋"/>
                <w:color w:val="auto"/>
                <w:highlight w:val="none"/>
              </w:rPr>
              <w:t>注意事项：</w:t>
            </w:r>
          </w:p>
          <w:p>
            <w:pPr>
              <w:pStyle w:val="22"/>
              <w:numPr>
                <w:ilvl w:val="0"/>
                <w:numId w:val="3"/>
              </w:numPr>
              <w:ind w:left="541" w:hanging="541" w:firstLineChars="0"/>
              <w:rPr>
                <w:rFonts w:ascii="仿宋" w:hAnsi="仿宋" w:eastAsia="仿宋" w:cs="仿宋"/>
                <w:color w:val="auto"/>
                <w:szCs w:val="21"/>
                <w:highlight w:val="none"/>
              </w:rPr>
            </w:pPr>
            <w:bookmarkStart w:id="5" w:name="_Hlk60498011"/>
            <w:r>
              <w:rPr>
                <w:rFonts w:hint="eastAsia" w:ascii="仿宋" w:hAnsi="仿宋" w:eastAsia="仿宋" w:cs="仿宋"/>
                <w:color w:val="auto"/>
                <w:szCs w:val="21"/>
                <w:highlight w:val="none"/>
              </w:rPr>
              <w:t>为便于开标时的解密操作，响应文件（PDF版及Word版）必须制作为一个压缩文件后再行加密，否则投标文件将被拒收。建议采用winRAR或winzip等常用压缩软件进行压缩和加密</w:t>
            </w:r>
            <w:bookmarkEnd w:id="5"/>
            <w:r>
              <w:rPr>
                <w:rFonts w:hint="eastAsia" w:ascii="仿宋" w:hAnsi="仿宋" w:eastAsia="仿宋" w:cs="仿宋"/>
                <w:color w:val="auto"/>
                <w:szCs w:val="21"/>
                <w:highlight w:val="none"/>
              </w:rPr>
              <w:t>。</w:t>
            </w:r>
          </w:p>
          <w:p>
            <w:pPr>
              <w:pStyle w:val="22"/>
              <w:numPr>
                <w:ilvl w:val="0"/>
                <w:numId w:val="3"/>
              </w:numPr>
              <w:ind w:left="541" w:hanging="541"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投标人授权代表须熟记文件密码，并在开标时按照招标人现场指令</w:t>
            </w:r>
            <w:r>
              <w:rPr>
                <w:rFonts w:hint="eastAsia" w:ascii="仿宋" w:hAnsi="仿宋" w:eastAsia="仿宋" w:cs="仿宋"/>
                <w:color w:val="auto"/>
                <w:highlight w:val="none"/>
              </w:rPr>
              <w:t>将投标文件解密密码（详见附件15）上传至</w:t>
            </w:r>
            <w:r>
              <w:rPr>
                <w:rFonts w:hint="eastAsia" w:ascii="仿宋" w:hAnsi="仿宋" w:eastAsia="仿宋" w:cs="仿宋"/>
                <w:b/>
                <w:bCs w:val="0"/>
                <w:color w:val="auto"/>
                <w:highlight w:val="none"/>
              </w:rPr>
              <w:t>https://cg.szcec.com/sharing/3P0AS9rIY</w:t>
            </w:r>
            <w:r>
              <w:rPr>
                <w:rFonts w:hint="eastAsia" w:ascii="仿宋" w:hAnsi="仿宋" w:eastAsia="仿宋" w:cs="仿宋"/>
                <w:bCs/>
                <w:color w:val="auto"/>
                <w:highlight w:val="none"/>
              </w:rPr>
              <w:t>，</w:t>
            </w:r>
            <w:r>
              <w:rPr>
                <w:rFonts w:hint="eastAsia" w:ascii="仿宋" w:hAnsi="仿宋" w:eastAsia="仿宋" w:cs="仿宋"/>
                <w:color w:val="auto"/>
                <w:szCs w:val="21"/>
                <w:highlight w:val="none"/>
              </w:rPr>
              <w:t>（为确保开评标工作的保密性并兼顾效率，密码早发、晚发的，均可能导致废标的不利后果）。</w:t>
            </w:r>
          </w:p>
          <w:p>
            <w:pPr>
              <w:pStyle w:val="22"/>
              <w:numPr>
                <w:ilvl w:val="0"/>
                <w:numId w:val="3"/>
              </w:numPr>
              <w:ind w:left="541" w:hanging="541"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所有需要加盖公章的页面均须加盖公章，要求签名之处须有相应的亲笔手写签名或法定有效的私章。</w:t>
            </w:r>
          </w:p>
          <w:p>
            <w:pPr>
              <w:pStyle w:val="22"/>
              <w:numPr>
                <w:ilvl w:val="0"/>
                <w:numId w:val="3"/>
              </w:numPr>
              <w:ind w:left="541" w:hanging="541"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本项目实质性响应内容以盖章扫描版（PDF版）文件为准，Word版文件仅供评标时搜索文件内容之用而不作为评审依据。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05" w:type="dxa"/>
            <w:vMerge w:val="restart"/>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8</w:t>
            </w:r>
          </w:p>
        </w:tc>
        <w:tc>
          <w:tcPr>
            <w:tcW w:w="1990" w:type="dxa"/>
            <w:vAlign w:val="center"/>
          </w:tcPr>
          <w:p>
            <w:pPr>
              <w:autoSpaceDE w:val="0"/>
              <w:autoSpaceDN w:val="0"/>
              <w:adjustRightInd w:val="0"/>
              <w:snapToGrid w:val="0"/>
              <w:jc w:val="center"/>
              <w:rPr>
                <w:rFonts w:ascii="仿宋" w:hAnsi="仿宋" w:eastAsia="仿宋" w:cs="仿宋"/>
                <w:szCs w:val="21"/>
                <w:shd w:val="clear" w:color="auto" w:fill="FFFFFF"/>
              </w:rPr>
            </w:pPr>
            <w:r>
              <w:rPr>
                <w:rFonts w:hint="eastAsia" w:ascii="仿宋" w:hAnsi="仿宋" w:eastAsia="仿宋" w:cs="仿宋"/>
                <w:szCs w:val="21"/>
                <w:shd w:val="clear" w:color="auto" w:fill="FFFFFF"/>
              </w:rPr>
              <w:t>开标时间</w:t>
            </w:r>
          </w:p>
        </w:tc>
        <w:tc>
          <w:tcPr>
            <w:tcW w:w="7029" w:type="dxa"/>
            <w:vAlign w:val="center"/>
          </w:tcPr>
          <w:p>
            <w:pPr>
              <w:rPr>
                <w:rFonts w:ascii="仿宋" w:hAnsi="仿宋" w:eastAsia="仿宋" w:cs="仿宋"/>
              </w:rPr>
            </w:pPr>
            <w:r>
              <w:rPr>
                <w:rFonts w:hint="eastAsia" w:ascii="仿宋" w:hAnsi="仿宋" w:eastAsia="仿宋" w:cs="仿宋"/>
                <w:color w:val="auto"/>
                <w:szCs w:val="21"/>
              </w:rPr>
              <w:t>202</w:t>
            </w:r>
            <w:r>
              <w:rPr>
                <w:rFonts w:hint="eastAsia" w:ascii="仿宋" w:hAnsi="仿宋" w:eastAsia="仿宋" w:cs="仿宋"/>
                <w:color w:val="auto"/>
                <w:szCs w:val="21"/>
                <w:lang w:val="en-US" w:eastAsia="zh-CN"/>
              </w:rPr>
              <w:t>2</w:t>
            </w:r>
            <w:r>
              <w:rPr>
                <w:rFonts w:hint="eastAsia" w:ascii="仿宋" w:hAnsi="仿宋" w:eastAsia="仿宋" w:cs="仿宋"/>
                <w:color w:val="auto"/>
                <w:szCs w:val="21"/>
              </w:rPr>
              <w:t>-</w:t>
            </w:r>
            <w:r>
              <w:rPr>
                <w:rFonts w:hint="eastAsia" w:ascii="仿宋" w:hAnsi="仿宋" w:eastAsia="仿宋" w:cs="仿宋"/>
                <w:color w:val="auto"/>
                <w:szCs w:val="21"/>
                <w:lang w:val="en-US" w:eastAsia="zh-CN"/>
              </w:rPr>
              <w:t>8</w:t>
            </w:r>
            <w:r>
              <w:rPr>
                <w:rFonts w:hint="eastAsia" w:ascii="仿宋" w:hAnsi="仿宋" w:eastAsia="仿宋" w:cs="仿宋"/>
                <w:color w:val="auto"/>
                <w:szCs w:val="21"/>
              </w:rPr>
              <w:t>-</w:t>
            </w:r>
            <w:r>
              <w:rPr>
                <w:rFonts w:hint="eastAsia" w:ascii="仿宋" w:hAnsi="仿宋" w:eastAsia="仿宋" w:cs="仿宋"/>
                <w:color w:val="auto"/>
                <w:szCs w:val="21"/>
                <w:lang w:val="en-US" w:eastAsia="zh-CN"/>
              </w:rPr>
              <w:t>25  14</w:t>
            </w:r>
            <w:r>
              <w:rPr>
                <w:rFonts w:hint="eastAsia" w:ascii="仿宋" w:hAnsi="仿宋" w:eastAsia="仿宋" w:cs="仿宋"/>
                <w:color w:val="auto"/>
                <w:szCs w:val="21"/>
              </w:rPr>
              <w:t xml:space="preserve">: </w:t>
            </w:r>
            <w:r>
              <w:rPr>
                <w:rFonts w:hint="eastAsia" w:ascii="仿宋" w:hAnsi="仿宋" w:eastAsia="仿宋" w:cs="仿宋"/>
                <w:color w:val="auto"/>
                <w:szCs w:val="21"/>
                <w:lang w:val="en-US" w:eastAsia="zh-CN"/>
              </w:rPr>
              <w:t>30</w:t>
            </w:r>
            <w:r>
              <w:rPr>
                <w:rFonts w:hint="eastAsia" w:ascii="仿宋" w:hAnsi="仿宋" w:eastAsia="仿宋" w:cs="仿宋"/>
                <w:color w:val="auto"/>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05" w:type="dxa"/>
            <w:vMerge w:val="continue"/>
            <w:vAlign w:val="center"/>
          </w:tcPr>
          <w:p>
            <w:pPr>
              <w:autoSpaceDE w:val="0"/>
              <w:autoSpaceDN w:val="0"/>
              <w:adjustRightInd w:val="0"/>
              <w:snapToGrid w:val="0"/>
              <w:jc w:val="center"/>
              <w:rPr>
                <w:rFonts w:ascii="仿宋" w:hAnsi="仿宋" w:eastAsia="仿宋" w:cs="仿宋"/>
                <w:szCs w:val="21"/>
              </w:rPr>
            </w:pPr>
          </w:p>
        </w:tc>
        <w:tc>
          <w:tcPr>
            <w:tcW w:w="1990" w:type="dxa"/>
            <w:vAlign w:val="center"/>
          </w:tcPr>
          <w:p>
            <w:pPr>
              <w:autoSpaceDE w:val="0"/>
              <w:autoSpaceDN w:val="0"/>
              <w:adjustRightInd w:val="0"/>
              <w:snapToGrid w:val="0"/>
              <w:jc w:val="center"/>
              <w:rPr>
                <w:rFonts w:ascii="仿宋" w:hAnsi="仿宋" w:eastAsia="仿宋" w:cs="仿宋"/>
                <w:szCs w:val="21"/>
                <w:shd w:val="clear" w:color="auto" w:fill="FFFFFF"/>
              </w:rPr>
            </w:pPr>
            <w:r>
              <w:rPr>
                <w:rFonts w:hint="eastAsia" w:ascii="仿宋" w:hAnsi="仿宋" w:eastAsia="仿宋" w:cs="仿宋"/>
                <w:szCs w:val="21"/>
              </w:rPr>
              <w:t>开标地点</w:t>
            </w:r>
          </w:p>
        </w:tc>
        <w:tc>
          <w:tcPr>
            <w:tcW w:w="7029" w:type="dxa"/>
            <w:vAlign w:val="center"/>
          </w:tcPr>
          <w:p>
            <w:pPr>
              <w:autoSpaceDE w:val="0"/>
              <w:autoSpaceDN w:val="0"/>
              <w:adjustRightInd w:val="0"/>
              <w:snapToGrid w:val="0"/>
              <w:rPr>
                <w:rFonts w:ascii="仿宋" w:hAnsi="仿宋" w:eastAsia="仿宋" w:cs="仿宋"/>
                <w:szCs w:val="21"/>
              </w:rPr>
            </w:pPr>
            <w:r>
              <w:rPr>
                <w:rFonts w:hint="eastAsia" w:ascii="仿宋" w:hAnsi="仿宋" w:eastAsia="仿宋" w:cs="仿宋"/>
                <w:szCs w:val="21"/>
              </w:rPr>
              <w:t>深圳会展中心指定视频会议室</w:t>
            </w:r>
            <w:r>
              <w:rPr>
                <w:rFonts w:hint="eastAsia" w:ascii="仿宋" w:hAnsi="仿宋" w:eastAsia="仿宋" w:cs="仿宋"/>
                <w:szCs w:val="21"/>
                <w:lang w:eastAsia="zh-CN"/>
              </w:rPr>
              <w:t>（</w:t>
            </w:r>
            <w:r>
              <w:rPr>
                <w:rFonts w:hint="eastAsia" w:ascii="仿宋" w:hAnsi="仿宋" w:eastAsia="仿宋" w:cs="仿宋"/>
                <w:szCs w:val="21"/>
                <w:lang w:val="en-US" w:eastAsia="zh-CN"/>
              </w:rPr>
              <w:t>腾讯会议编号：</w:t>
            </w:r>
            <w:bookmarkStart w:id="79" w:name="_GoBack"/>
            <w:r>
              <w:rPr>
                <w:rFonts w:hint="eastAsia" w:ascii="仿宋" w:hAnsi="仿宋" w:eastAsia="仿宋" w:cs="仿宋"/>
                <w:szCs w:val="21"/>
                <w:lang w:val="en-US" w:eastAsia="zh-CN"/>
              </w:rPr>
              <w:t>237919822</w:t>
            </w:r>
            <w:bookmarkEnd w:id="79"/>
            <w:r>
              <w:rPr>
                <w:rFonts w:hint="eastAsia" w:ascii="仿宋" w:hAnsi="仿宋" w:eastAsia="仿宋" w:cs="仿宋"/>
                <w:szCs w:val="21"/>
                <w:lang w:eastAsia="zh-CN"/>
              </w:rPr>
              <w:t>）</w:t>
            </w:r>
            <w:r>
              <w:rPr>
                <w:rFonts w:hint="eastAsia" w:ascii="仿宋" w:hAnsi="仿宋" w:eastAsia="仿宋" w:cs="仿宋"/>
                <w:szCs w:val="21"/>
              </w:rPr>
              <w:t>，届时请各投标人按采购公告要求准时提交响应文件并参加在线开标。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仿宋" w:hAnsi="仿宋" w:eastAsia="仿宋" w:cs="仿宋"/>
                <w:kern w:val="0"/>
                <w:szCs w:val="21"/>
              </w:rPr>
            </w:pPr>
            <w:r>
              <w:rPr>
                <w:rFonts w:hint="eastAsia" w:ascii="仿宋" w:hAnsi="仿宋" w:eastAsia="仿宋" w:cs="仿宋"/>
                <w:kern w:val="0"/>
                <w:szCs w:val="21"/>
              </w:rPr>
              <w:t>是否接受</w:t>
            </w:r>
          </w:p>
          <w:p>
            <w:pPr>
              <w:autoSpaceDE w:val="0"/>
              <w:autoSpaceDN w:val="0"/>
              <w:adjustRightInd w:val="0"/>
              <w:snapToGrid w:val="0"/>
              <w:jc w:val="center"/>
              <w:rPr>
                <w:rFonts w:ascii="仿宋" w:hAnsi="仿宋" w:eastAsia="仿宋" w:cs="仿宋"/>
                <w:kern w:val="0"/>
                <w:szCs w:val="21"/>
              </w:rPr>
            </w:pPr>
            <w:r>
              <w:rPr>
                <w:rFonts w:hint="eastAsia" w:ascii="仿宋" w:hAnsi="仿宋" w:eastAsia="仿宋" w:cs="仿宋"/>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仿宋" w:hAnsi="仿宋" w:eastAsia="仿宋" w:cs="仿宋"/>
                <w:szCs w:val="21"/>
              </w:rPr>
            </w:pPr>
            <w:r>
              <w:rPr>
                <w:rFonts w:hint="eastAsia" w:ascii="仿宋" w:hAnsi="仿宋" w:eastAsia="仿宋" w:cs="仿宋"/>
                <w:kern w:val="0"/>
                <w:szCs w:val="21"/>
              </w:rPr>
              <w:sym w:font="Wingdings 2" w:char="0052"/>
            </w:r>
            <w:r>
              <w:rPr>
                <w:rFonts w:hint="eastAsia" w:ascii="仿宋" w:hAnsi="仿宋" w:eastAsia="仿宋" w:cs="仿宋"/>
                <w:szCs w:val="21"/>
              </w:rPr>
              <w:t>不接受</w:t>
            </w:r>
          </w:p>
          <w:p>
            <w:pPr>
              <w:autoSpaceDE w:val="0"/>
              <w:autoSpaceDN w:val="0"/>
              <w:adjustRightInd w:val="0"/>
              <w:snapToGrid w:val="0"/>
              <w:rPr>
                <w:rFonts w:ascii="仿宋" w:hAnsi="仿宋" w:eastAsia="仿宋" w:cs="仿宋"/>
                <w:kern w:val="0"/>
                <w:szCs w:val="21"/>
              </w:rPr>
            </w:pPr>
            <w:r>
              <w:rPr>
                <w:rFonts w:hint="eastAsia" w:ascii="仿宋" w:hAnsi="仿宋" w:eastAsia="仿宋" w:cs="仿宋"/>
                <w:szCs w:val="21"/>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10</w:t>
            </w:r>
          </w:p>
        </w:tc>
        <w:tc>
          <w:tcPr>
            <w:tcW w:w="1990" w:type="dxa"/>
            <w:vAlign w:val="center"/>
          </w:tcPr>
          <w:p>
            <w:pPr>
              <w:autoSpaceDE w:val="0"/>
              <w:autoSpaceDN w:val="0"/>
              <w:adjustRightInd w:val="0"/>
              <w:snapToGrid w:val="0"/>
              <w:jc w:val="center"/>
              <w:rPr>
                <w:rFonts w:ascii="仿宋" w:hAnsi="仿宋" w:eastAsia="仿宋" w:cs="仿宋"/>
                <w:kern w:val="0"/>
                <w:szCs w:val="21"/>
              </w:rPr>
            </w:pPr>
            <w:r>
              <w:rPr>
                <w:rFonts w:hint="eastAsia" w:ascii="仿宋" w:hAnsi="仿宋" w:eastAsia="仿宋" w:cs="仿宋"/>
                <w:kern w:val="0"/>
                <w:szCs w:val="21"/>
              </w:rPr>
              <w:t>现场踏勘</w:t>
            </w:r>
          </w:p>
        </w:tc>
        <w:tc>
          <w:tcPr>
            <w:tcW w:w="7029" w:type="dxa"/>
            <w:vAlign w:val="center"/>
          </w:tcPr>
          <w:p>
            <w:pPr>
              <w:numPr>
                <w:ilvl w:val="0"/>
                <w:numId w:val="4"/>
              </w:numPr>
              <w:tabs>
                <w:tab w:val="left" w:pos="281"/>
                <w:tab w:val="left" w:pos="541"/>
              </w:tabs>
              <w:snapToGrid w:val="0"/>
              <w:spacing w:afterLines="50"/>
              <w:ind w:left="420" w:hanging="420"/>
              <w:rPr>
                <w:rFonts w:ascii="仿宋" w:hAnsi="仿宋" w:eastAsia="仿宋" w:cs="仿宋"/>
                <w:kern w:val="0"/>
                <w:szCs w:val="21"/>
              </w:rPr>
            </w:pPr>
            <w:r>
              <w:rPr>
                <w:rFonts w:hint="eastAsia" w:ascii="仿宋" w:hAnsi="仿宋" w:eastAsia="仿宋" w:cs="仿宋"/>
                <w:kern w:val="0"/>
                <w:szCs w:val="21"/>
              </w:rPr>
              <w:sym w:font="Wingdings 2" w:char="0052"/>
            </w:r>
            <w:r>
              <w:rPr>
                <w:rFonts w:hint="eastAsia" w:ascii="仿宋" w:hAnsi="仿宋" w:eastAsia="仿宋" w:cs="仿宋"/>
                <w:kern w:val="0"/>
                <w:szCs w:val="21"/>
              </w:rPr>
              <w:t>不组织。可在公开招标开始后至公开招标结束前自行踏勘。</w:t>
            </w:r>
          </w:p>
          <w:p>
            <w:pPr>
              <w:numPr>
                <w:ilvl w:val="0"/>
                <w:numId w:val="4"/>
              </w:numPr>
              <w:tabs>
                <w:tab w:val="left" w:pos="281"/>
                <w:tab w:val="left" w:pos="541"/>
              </w:tabs>
              <w:snapToGrid w:val="0"/>
              <w:spacing w:afterLines="50"/>
              <w:ind w:left="420" w:hanging="420"/>
              <w:rPr>
                <w:rFonts w:ascii="仿宋" w:hAnsi="仿宋" w:eastAsia="仿宋" w:cs="仿宋"/>
                <w:kern w:val="0"/>
                <w:szCs w:val="21"/>
              </w:rPr>
            </w:pPr>
            <w:r>
              <w:rPr>
                <w:rFonts w:hint="eastAsia" w:ascii="仿宋" w:hAnsi="仿宋" w:eastAsia="仿宋" w:cs="仿宋"/>
                <w:kern w:val="0"/>
                <w:szCs w:val="21"/>
              </w:rPr>
              <w:t>□组织，踏勘要求：</w:t>
            </w:r>
          </w:p>
          <w:p>
            <w:pPr>
              <w:pStyle w:val="22"/>
              <w:numPr>
                <w:ilvl w:val="0"/>
                <w:numId w:val="5"/>
              </w:numPr>
              <w:tabs>
                <w:tab w:val="left" w:pos="541"/>
              </w:tabs>
              <w:snapToGrid w:val="0"/>
              <w:ind w:left="805" w:hanging="227" w:firstLineChars="0"/>
              <w:rPr>
                <w:rFonts w:ascii="仿宋" w:hAnsi="仿宋" w:eastAsia="仿宋" w:cs="仿宋"/>
                <w:kern w:val="0"/>
                <w:szCs w:val="21"/>
              </w:rPr>
            </w:pPr>
            <w:r>
              <w:rPr>
                <w:rFonts w:hint="eastAsia" w:ascii="仿宋" w:hAnsi="仿宋" w:eastAsia="仿宋" w:cs="仿宋"/>
                <w:kern w:val="0"/>
                <w:szCs w:val="21"/>
              </w:rPr>
              <w:t>投标人是否必须参加：</w:t>
            </w:r>
          </w:p>
          <w:p>
            <w:pPr>
              <w:pStyle w:val="22"/>
              <w:tabs>
                <w:tab w:val="left" w:pos="541"/>
              </w:tabs>
              <w:snapToGrid w:val="0"/>
              <w:ind w:left="805" w:firstLine="8" w:firstLineChars="4"/>
              <w:rPr>
                <w:rFonts w:ascii="仿宋" w:hAnsi="仿宋" w:eastAsia="仿宋" w:cs="仿宋"/>
                <w:kern w:val="0"/>
                <w:szCs w:val="21"/>
              </w:rPr>
            </w:pPr>
            <w:r>
              <w:rPr>
                <w:rFonts w:hint="eastAsia" w:ascii="仿宋" w:hAnsi="仿宋" w:eastAsia="仿宋" w:cs="仿宋"/>
                <w:kern w:val="0"/>
                <w:szCs w:val="21"/>
              </w:rPr>
              <w:t>□是（若不参加，将因投标文件不完整导致失去本项目投标资格）</w:t>
            </w:r>
          </w:p>
          <w:p>
            <w:pPr>
              <w:pStyle w:val="22"/>
              <w:tabs>
                <w:tab w:val="left" w:pos="541"/>
              </w:tabs>
              <w:snapToGrid w:val="0"/>
              <w:spacing w:afterLines="50"/>
              <w:ind w:left="805" w:firstLine="8" w:firstLineChars="4"/>
              <w:rPr>
                <w:rFonts w:ascii="仿宋" w:hAnsi="仿宋" w:eastAsia="仿宋" w:cs="仿宋"/>
                <w:kern w:val="0"/>
                <w:szCs w:val="21"/>
              </w:rPr>
            </w:pPr>
            <w:r>
              <w:rPr>
                <w:rFonts w:hint="eastAsia" w:ascii="仿宋" w:hAnsi="仿宋" w:eastAsia="仿宋" w:cs="仿宋"/>
                <w:kern w:val="0"/>
                <w:szCs w:val="21"/>
              </w:rPr>
              <w:t>□否（可选择不参加，不影响投标资格但可能会产生不利后果）</w:t>
            </w:r>
          </w:p>
          <w:p>
            <w:pPr>
              <w:pStyle w:val="22"/>
              <w:numPr>
                <w:ilvl w:val="0"/>
                <w:numId w:val="6"/>
              </w:numPr>
              <w:tabs>
                <w:tab w:val="left" w:pos="541"/>
              </w:tabs>
              <w:snapToGrid w:val="0"/>
              <w:spacing w:afterLines="50"/>
              <w:ind w:left="805" w:hanging="224" w:firstLineChars="0"/>
              <w:rPr>
                <w:rFonts w:ascii="仿宋" w:hAnsi="仿宋" w:eastAsia="仿宋" w:cs="仿宋"/>
                <w:kern w:val="0"/>
                <w:szCs w:val="21"/>
              </w:rPr>
            </w:pPr>
            <w:r>
              <w:rPr>
                <w:rFonts w:hint="eastAsia" w:ascii="仿宋" w:hAnsi="仿宋" w:eastAsia="仿宋" w:cs="仿宋"/>
                <w:kern w:val="0"/>
                <w:szCs w:val="21"/>
              </w:rPr>
              <w:t>招标人定于202×-××-×× ××: ××邀请投标人人员察看现场并讲解项目需求；投标人应指派完全符合疫情防控要求的人员参加本项目的现场踏勘。</w:t>
            </w:r>
          </w:p>
          <w:p>
            <w:pPr>
              <w:pStyle w:val="22"/>
              <w:numPr>
                <w:ilvl w:val="0"/>
                <w:numId w:val="6"/>
              </w:numPr>
              <w:tabs>
                <w:tab w:val="left" w:pos="541"/>
              </w:tabs>
              <w:snapToGrid w:val="0"/>
              <w:spacing w:afterLines="50"/>
              <w:ind w:left="805" w:hanging="224" w:firstLineChars="0"/>
              <w:rPr>
                <w:rFonts w:ascii="仿宋" w:hAnsi="仿宋" w:eastAsia="仿宋" w:cs="仿宋"/>
                <w:kern w:val="0"/>
                <w:szCs w:val="21"/>
              </w:rPr>
            </w:pPr>
            <w:r>
              <w:rPr>
                <w:rFonts w:hint="eastAsia" w:ascii="仿宋" w:hAnsi="仿宋" w:eastAsia="仿宋" w:cs="仿宋"/>
                <w:kern w:val="0"/>
                <w:szCs w:val="21"/>
              </w:rPr>
              <w:t>投标人须持《现场考察证明》（格式见附件）参加现场踏勘，并在完成现场踏勘后交由招标人管理人员签字确认，并附于投标文件中。</w:t>
            </w:r>
          </w:p>
          <w:p>
            <w:pPr>
              <w:pStyle w:val="22"/>
              <w:numPr>
                <w:ilvl w:val="0"/>
                <w:numId w:val="6"/>
              </w:numPr>
              <w:tabs>
                <w:tab w:val="left" w:pos="541"/>
              </w:tabs>
              <w:snapToGrid w:val="0"/>
              <w:spacing w:afterLines="50"/>
              <w:ind w:left="805" w:hanging="224" w:firstLineChars="0"/>
              <w:rPr>
                <w:rFonts w:ascii="仿宋" w:hAnsi="仿宋" w:eastAsia="仿宋" w:cs="仿宋"/>
                <w:kern w:val="0"/>
                <w:szCs w:val="21"/>
              </w:rPr>
            </w:pPr>
            <w:r>
              <w:rPr>
                <w:rFonts w:hint="eastAsia" w:ascii="仿宋" w:hAnsi="仿宋" w:eastAsia="仿宋" w:cs="仿宋"/>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2"/>
              <w:numPr>
                <w:ilvl w:val="0"/>
                <w:numId w:val="6"/>
              </w:numPr>
              <w:tabs>
                <w:tab w:val="left" w:pos="541"/>
              </w:tabs>
              <w:snapToGrid w:val="0"/>
              <w:spacing w:afterLines="50"/>
              <w:ind w:left="805" w:hanging="224" w:firstLineChars="0"/>
              <w:rPr>
                <w:rFonts w:ascii="仿宋" w:hAnsi="仿宋" w:eastAsia="仿宋" w:cs="仿宋"/>
                <w:kern w:val="0"/>
                <w:szCs w:val="21"/>
              </w:rPr>
            </w:pPr>
            <w:r>
              <w:rPr>
                <w:rFonts w:hint="eastAsia" w:ascii="仿宋" w:hAnsi="仿宋" w:eastAsia="仿宋" w:cs="仿宋"/>
                <w:kern w:val="0"/>
                <w:szCs w:val="21"/>
              </w:rPr>
              <w:t>鉴</w:t>
            </w:r>
            <w:r>
              <w:rPr>
                <w:rFonts w:hint="eastAsia" w:ascii="仿宋" w:hAnsi="仿宋" w:eastAsia="仿宋" w:cs="仿宋"/>
                <w:kern w:val="0"/>
              </w:rPr>
              <w:t>于疫情防控要求，所有入场人员需持</w:t>
            </w:r>
            <w:r>
              <w:rPr>
                <w:rFonts w:hint="eastAsia" w:ascii="仿宋" w:hAnsi="仿宋" w:eastAsia="仿宋" w:cs="仿宋"/>
                <w:color w:val="FF0000"/>
                <w:kern w:val="0"/>
                <w:highlight w:val="yellow"/>
              </w:rPr>
              <w:t>24小时</w:t>
            </w:r>
            <w:r>
              <w:rPr>
                <w:rFonts w:hint="eastAsia" w:ascii="仿宋" w:hAnsi="仿宋" w:eastAsia="仿宋" w:cs="仿宋"/>
                <w:kern w:val="0"/>
              </w:rPr>
              <w:t>核酸检测阴性结果，投标人须至少提前一天与踏勘联系人预约。否则，将可能导致投标人不能进入踏勘现场的不利后果。投标人必须保证所安排的踏勘人员完全符合政府主管部门及招标人疫情防控要求，否则由此带来的一切责任和风险均由投标人负责。且招标人有权拒绝未预约备案人员参加本项目踏勘活动。</w:t>
            </w:r>
            <w:r>
              <w:rPr>
                <w:rFonts w:hint="eastAsia" w:ascii="仿宋" w:hAnsi="仿宋" w:eastAsia="仿宋" w:cs="仿宋"/>
                <w:b/>
                <w:color w:val="FF0000"/>
                <w:kern w:val="0"/>
              </w:rPr>
              <w:t>（特别注意：各投标人不得指派属于封控区、管控区、防范区人员作为本项目的踏勘人员）</w:t>
            </w:r>
          </w:p>
          <w:p>
            <w:pPr>
              <w:pStyle w:val="22"/>
              <w:numPr>
                <w:ilvl w:val="0"/>
                <w:numId w:val="6"/>
              </w:numPr>
              <w:tabs>
                <w:tab w:val="left" w:pos="541"/>
              </w:tabs>
              <w:snapToGrid w:val="0"/>
              <w:ind w:left="805" w:hanging="224" w:firstLineChars="0"/>
              <w:rPr>
                <w:rFonts w:ascii="仿宋" w:hAnsi="仿宋" w:eastAsia="仿宋" w:cs="仿宋"/>
                <w:kern w:val="0"/>
                <w:szCs w:val="21"/>
              </w:rPr>
            </w:pPr>
            <w:r>
              <w:rPr>
                <w:rFonts w:hint="eastAsia" w:ascii="仿宋" w:hAnsi="仿宋" w:eastAsia="仿宋" w:cs="仿宋"/>
                <w:kern w:val="0"/>
                <w:szCs w:val="21"/>
              </w:rPr>
              <w:t>踏勘联系人：×××</w:t>
            </w:r>
          </w:p>
          <w:p>
            <w:pPr>
              <w:pStyle w:val="22"/>
              <w:tabs>
                <w:tab w:val="left" w:pos="541"/>
              </w:tabs>
              <w:snapToGrid w:val="0"/>
              <w:ind w:left="805" w:firstLine="0" w:firstLineChars="0"/>
              <w:rPr>
                <w:rFonts w:ascii="仿宋" w:hAnsi="仿宋" w:eastAsia="仿宋" w:cs="仿宋"/>
                <w:kern w:val="0"/>
                <w:szCs w:val="21"/>
              </w:rPr>
            </w:pPr>
            <w:r>
              <w:rPr>
                <w:rFonts w:hint="eastAsia" w:ascii="仿宋" w:hAnsi="仿宋" w:eastAsia="仿宋" w:cs="仿宋"/>
                <w:kern w:val="0"/>
                <w:szCs w:val="21"/>
              </w:rPr>
              <w:t>电话：0755-8284××××</w:t>
            </w:r>
          </w:p>
          <w:p>
            <w:pPr>
              <w:pStyle w:val="22"/>
              <w:tabs>
                <w:tab w:val="left" w:pos="541"/>
              </w:tabs>
              <w:snapToGrid w:val="0"/>
              <w:ind w:left="805" w:firstLine="0" w:firstLineChars="0"/>
              <w:rPr>
                <w:rFonts w:ascii="仿宋" w:hAnsi="仿宋" w:eastAsia="仿宋" w:cs="仿宋"/>
                <w:kern w:val="0"/>
                <w:szCs w:val="21"/>
              </w:rPr>
            </w:pPr>
            <w:r>
              <w:rPr>
                <w:rFonts w:hint="eastAsia" w:ascii="仿宋" w:hAnsi="仿宋" w:eastAsia="仿宋" w:cs="仿宋"/>
                <w:kern w:val="0"/>
                <w:szCs w:val="21"/>
              </w:rPr>
              <w:t>集合地点：××××××××××××××</w:t>
            </w:r>
          </w:p>
          <w:p>
            <w:pPr>
              <w:pStyle w:val="22"/>
              <w:tabs>
                <w:tab w:val="left" w:pos="541"/>
              </w:tabs>
              <w:snapToGrid w:val="0"/>
              <w:ind w:firstLine="0" w:firstLineChars="0"/>
              <w:rPr>
                <w:rFonts w:ascii="仿宋" w:hAnsi="仿宋" w:eastAsia="仿宋" w:cs="仿宋"/>
                <w:kern w:val="0"/>
                <w:szCs w:val="21"/>
              </w:rPr>
            </w:pPr>
            <w:r>
              <w:rPr>
                <w:rFonts w:hint="eastAsia" w:ascii="仿宋" w:hAnsi="仿宋" w:eastAsia="仿宋" w:cs="仿宋"/>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11</w:t>
            </w:r>
          </w:p>
        </w:tc>
        <w:tc>
          <w:tcPr>
            <w:tcW w:w="1990" w:type="dxa"/>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履约保证金</w:t>
            </w:r>
          </w:p>
        </w:tc>
        <w:tc>
          <w:tcPr>
            <w:tcW w:w="7029" w:type="dxa"/>
            <w:vAlign w:val="center"/>
          </w:tcPr>
          <w:p>
            <w:pPr>
              <w:autoSpaceDE w:val="0"/>
              <w:autoSpaceDN w:val="0"/>
              <w:adjustRightInd w:val="0"/>
              <w:snapToGrid w:val="0"/>
              <w:rPr>
                <w:rFonts w:ascii="仿宋" w:hAnsi="仿宋" w:eastAsia="仿宋" w:cs="仿宋"/>
                <w:kern w:val="0"/>
                <w:szCs w:val="21"/>
              </w:rPr>
            </w:pPr>
            <w:r>
              <w:rPr>
                <w:rFonts w:hint="eastAsia" w:ascii="仿宋" w:hAnsi="仿宋" w:eastAsia="仿宋" w:cs="仿宋"/>
                <w:kern w:val="0"/>
                <w:szCs w:val="21"/>
              </w:rPr>
              <w:t>是否要求递交履约保证金：</w:t>
            </w:r>
          </w:p>
          <w:p>
            <w:pPr>
              <w:pStyle w:val="22"/>
              <w:numPr>
                <w:ilvl w:val="0"/>
                <w:numId w:val="7"/>
              </w:numPr>
              <w:autoSpaceDE w:val="0"/>
              <w:autoSpaceDN w:val="0"/>
              <w:adjustRightInd w:val="0"/>
              <w:snapToGrid w:val="0"/>
              <w:ind w:left="536" w:hanging="536" w:firstLineChars="0"/>
              <w:rPr>
                <w:rFonts w:ascii="仿宋" w:hAnsi="仿宋" w:eastAsia="仿宋" w:cs="仿宋"/>
                <w:kern w:val="0"/>
                <w:szCs w:val="21"/>
              </w:rPr>
            </w:pPr>
            <w:r>
              <w:rPr>
                <w:rFonts w:hint="eastAsia" w:ascii="仿宋" w:hAnsi="仿宋" w:eastAsia="仿宋" w:cs="仿宋"/>
                <w:kern w:val="0"/>
                <w:szCs w:val="21"/>
              </w:rPr>
              <w:sym w:font="Wingdings 2" w:char="0052"/>
            </w:r>
            <w:r>
              <w:rPr>
                <w:rFonts w:hint="eastAsia" w:ascii="仿宋" w:hAnsi="仿宋" w:eastAsia="仿宋" w:cs="仿宋"/>
                <w:kern w:val="0"/>
                <w:szCs w:val="21"/>
              </w:rPr>
              <w:t>不要求</w:t>
            </w:r>
          </w:p>
          <w:p>
            <w:pPr>
              <w:pStyle w:val="22"/>
              <w:numPr>
                <w:ilvl w:val="0"/>
                <w:numId w:val="7"/>
              </w:numPr>
              <w:autoSpaceDE w:val="0"/>
              <w:autoSpaceDN w:val="0"/>
              <w:adjustRightInd w:val="0"/>
              <w:snapToGrid w:val="0"/>
              <w:ind w:left="536" w:hanging="536" w:firstLineChars="0"/>
              <w:rPr>
                <w:rFonts w:ascii="仿宋" w:hAnsi="仿宋" w:eastAsia="仿宋" w:cs="仿宋"/>
                <w:kern w:val="0"/>
                <w:szCs w:val="21"/>
              </w:rPr>
            </w:pPr>
            <w:r>
              <w:rPr>
                <w:rFonts w:hint="eastAsia" w:ascii="仿宋" w:hAnsi="仿宋" w:eastAsia="仿宋" w:cs="仿宋"/>
                <w:kern w:val="0"/>
                <w:szCs w:val="21"/>
              </w:rPr>
              <w:t>□要求</w:t>
            </w:r>
          </w:p>
          <w:p>
            <w:pPr>
              <w:pStyle w:val="22"/>
              <w:numPr>
                <w:ilvl w:val="0"/>
                <w:numId w:val="8"/>
              </w:numPr>
              <w:autoSpaceDE w:val="0"/>
              <w:autoSpaceDN w:val="0"/>
              <w:adjustRightInd w:val="0"/>
              <w:snapToGrid w:val="0"/>
              <w:ind w:left="818" w:leftChars="254" w:hanging="285" w:hangingChars="136"/>
              <w:jc w:val="left"/>
              <w:rPr>
                <w:rFonts w:ascii="仿宋" w:hAnsi="仿宋" w:eastAsia="仿宋" w:cs="仿宋"/>
                <w:kern w:val="0"/>
                <w:szCs w:val="21"/>
              </w:rPr>
            </w:pPr>
            <w:r>
              <w:rPr>
                <w:rFonts w:hint="eastAsia" w:ascii="仿宋" w:hAnsi="仿宋" w:eastAsia="仿宋" w:cs="仿宋"/>
                <w:kern w:val="0"/>
                <w:szCs w:val="21"/>
              </w:rPr>
              <w:t>履约保证金金额：人民币</w:t>
            </w:r>
            <w:r>
              <w:rPr>
                <w:rFonts w:hint="eastAsia" w:ascii="仿宋" w:hAnsi="仿宋" w:eastAsia="仿宋" w:cs="仿宋"/>
                <w:kern w:val="0"/>
                <w:szCs w:val="21"/>
                <w:u w:val="single"/>
              </w:rPr>
              <w:t>/</w:t>
            </w:r>
            <w:r>
              <w:rPr>
                <w:rFonts w:hint="eastAsia" w:ascii="仿宋" w:hAnsi="仿宋" w:eastAsia="仿宋" w:cs="仿宋"/>
                <w:kern w:val="0"/>
                <w:szCs w:val="21"/>
              </w:rPr>
              <w:t>元</w:t>
            </w:r>
          </w:p>
          <w:p>
            <w:pPr>
              <w:pStyle w:val="22"/>
              <w:numPr>
                <w:ilvl w:val="0"/>
                <w:numId w:val="8"/>
              </w:numPr>
              <w:autoSpaceDE w:val="0"/>
              <w:autoSpaceDN w:val="0"/>
              <w:adjustRightInd w:val="0"/>
              <w:snapToGrid w:val="0"/>
              <w:ind w:left="818" w:leftChars="254" w:hanging="285" w:hangingChars="136"/>
              <w:jc w:val="left"/>
              <w:rPr>
                <w:rFonts w:ascii="仿宋" w:hAnsi="仿宋" w:eastAsia="仿宋" w:cs="仿宋"/>
                <w:kern w:val="0"/>
                <w:szCs w:val="21"/>
              </w:rPr>
            </w:pPr>
            <w:r>
              <w:rPr>
                <w:rFonts w:hint="eastAsia" w:ascii="仿宋" w:hAnsi="仿宋" w:eastAsia="仿宋" w:cs="仿宋"/>
                <w:kern w:val="0"/>
                <w:szCs w:val="21"/>
              </w:rPr>
              <w:t>履约保证金的形式：□银行转账□现金</w:t>
            </w:r>
          </w:p>
          <w:p>
            <w:pPr>
              <w:pStyle w:val="22"/>
              <w:numPr>
                <w:ilvl w:val="0"/>
                <w:numId w:val="8"/>
              </w:numPr>
              <w:autoSpaceDE w:val="0"/>
              <w:autoSpaceDN w:val="0"/>
              <w:adjustRightInd w:val="0"/>
              <w:snapToGrid w:val="0"/>
              <w:ind w:left="818" w:leftChars="254" w:hanging="285" w:hangingChars="136"/>
              <w:jc w:val="left"/>
              <w:rPr>
                <w:rFonts w:ascii="仿宋" w:hAnsi="仿宋" w:eastAsia="仿宋" w:cs="仿宋"/>
                <w:kern w:val="0"/>
                <w:szCs w:val="21"/>
              </w:rPr>
            </w:pPr>
            <w:r>
              <w:rPr>
                <w:rFonts w:hint="eastAsia" w:ascii="仿宋" w:hAnsi="仿宋" w:eastAsia="仿宋" w:cs="仿宋"/>
                <w:kern w:val="0"/>
                <w:szCs w:val="21"/>
              </w:rPr>
              <w:t>投标人保证金收款银行账户信息（选用“银行转账”方式须填）</w:t>
            </w:r>
          </w:p>
          <w:p>
            <w:pPr>
              <w:autoSpaceDE w:val="0"/>
              <w:autoSpaceDN w:val="0"/>
              <w:adjustRightInd w:val="0"/>
              <w:snapToGrid w:val="0"/>
              <w:ind w:left="819" w:leftChars="390" w:firstLine="1"/>
              <w:jc w:val="left"/>
              <w:rPr>
                <w:rFonts w:ascii="仿宋" w:hAnsi="仿宋" w:eastAsia="仿宋" w:cs="仿宋"/>
                <w:kern w:val="0"/>
                <w:szCs w:val="21"/>
              </w:rPr>
            </w:pPr>
            <w:r>
              <w:rPr>
                <w:rFonts w:hint="eastAsia" w:ascii="仿宋" w:hAnsi="仿宋" w:eastAsia="仿宋" w:cs="仿宋"/>
                <w:kern w:val="0"/>
                <w:szCs w:val="21"/>
              </w:rPr>
              <w:t>收款单位：</w:t>
            </w:r>
            <w:r>
              <w:rPr>
                <w:rFonts w:hint="eastAsia" w:ascii="仿宋" w:hAnsi="仿宋" w:eastAsia="仿宋" w:cs="仿宋"/>
                <w:kern w:val="0"/>
                <w:szCs w:val="21"/>
                <w:u w:val="single"/>
              </w:rPr>
              <w:t>深圳深圳会展中心管理有限责任公司</w:t>
            </w:r>
          </w:p>
          <w:p>
            <w:pPr>
              <w:autoSpaceDE w:val="0"/>
              <w:autoSpaceDN w:val="0"/>
              <w:adjustRightInd w:val="0"/>
              <w:snapToGrid w:val="0"/>
              <w:ind w:left="819" w:leftChars="390" w:firstLine="1"/>
              <w:jc w:val="left"/>
              <w:rPr>
                <w:rFonts w:ascii="仿宋" w:hAnsi="仿宋" w:eastAsia="仿宋" w:cs="仿宋"/>
                <w:kern w:val="0"/>
                <w:szCs w:val="21"/>
              </w:rPr>
            </w:pPr>
            <w:r>
              <w:rPr>
                <w:rFonts w:hint="eastAsia" w:ascii="仿宋" w:hAnsi="仿宋" w:eastAsia="仿宋" w:cs="仿宋"/>
                <w:kern w:val="0"/>
                <w:szCs w:val="21"/>
              </w:rPr>
              <w:t>开户银行：</w:t>
            </w:r>
            <w:r>
              <w:rPr>
                <w:rFonts w:hint="eastAsia" w:ascii="仿宋" w:hAnsi="仿宋" w:eastAsia="仿宋" w:cs="仿宋"/>
                <w:kern w:val="0"/>
                <w:szCs w:val="21"/>
                <w:u w:val="single"/>
              </w:rPr>
              <w:t>／</w:t>
            </w:r>
          </w:p>
          <w:p>
            <w:pPr>
              <w:autoSpaceDE w:val="0"/>
              <w:autoSpaceDN w:val="0"/>
              <w:adjustRightInd w:val="0"/>
              <w:snapToGrid w:val="0"/>
              <w:ind w:left="819" w:leftChars="390" w:firstLine="1"/>
              <w:jc w:val="left"/>
              <w:rPr>
                <w:rFonts w:ascii="仿宋" w:hAnsi="仿宋" w:eastAsia="仿宋" w:cs="仿宋"/>
                <w:kern w:val="0"/>
                <w:szCs w:val="21"/>
                <w:u w:val="single"/>
              </w:rPr>
            </w:pPr>
            <w:r>
              <w:rPr>
                <w:rFonts w:hint="eastAsia" w:ascii="仿宋" w:hAnsi="仿宋" w:eastAsia="仿宋" w:cs="仿宋"/>
                <w:kern w:val="0"/>
                <w:szCs w:val="21"/>
              </w:rPr>
              <w:t>银行账号：</w:t>
            </w:r>
            <w:r>
              <w:rPr>
                <w:rFonts w:hint="eastAsia" w:ascii="仿宋" w:hAnsi="仿宋" w:eastAsia="仿宋" w:cs="仿宋"/>
                <w:kern w:val="0"/>
                <w:szCs w:val="21"/>
                <w:u w:val="single"/>
              </w:rPr>
              <w:t>／</w:t>
            </w:r>
          </w:p>
          <w:p>
            <w:pPr>
              <w:pStyle w:val="22"/>
              <w:numPr>
                <w:ilvl w:val="0"/>
                <w:numId w:val="8"/>
              </w:numPr>
              <w:autoSpaceDE w:val="0"/>
              <w:autoSpaceDN w:val="0"/>
              <w:adjustRightInd w:val="0"/>
              <w:snapToGrid w:val="0"/>
              <w:ind w:left="818" w:leftChars="254" w:hanging="285" w:hangingChars="136"/>
              <w:jc w:val="left"/>
              <w:rPr>
                <w:rFonts w:ascii="仿宋" w:hAnsi="仿宋" w:eastAsia="仿宋" w:cs="仿宋"/>
                <w:kern w:val="0"/>
                <w:szCs w:val="21"/>
              </w:rPr>
            </w:pPr>
            <w:r>
              <w:rPr>
                <w:rFonts w:hint="eastAsia" w:ascii="仿宋" w:hAnsi="仿宋" w:eastAsia="仿宋" w:cs="仿宋"/>
                <w:kern w:val="0"/>
                <w:szCs w:val="21"/>
              </w:rPr>
              <w:t>履约保证金的形式为银行转账的，需在转账时注明项目名称，保证金应从投标人公司账户中转出。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12</w:t>
            </w:r>
          </w:p>
        </w:tc>
        <w:tc>
          <w:tcPr>
            <w:tcW w:w="1990" w:type="dxa"/>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投标样品</w:t>
            </w:r>
          </w:p>
        </w:tc>
        <w:tc>
          <w:tcPr>
            <w:tcW w:w="7029" w:type="dxa"/>
            <w:vAlign w:val="center"/>
          </w:tcPr>
          <w:p>
            <w:pPr>
              <w:autoSpaceDE w:val="0"/>
              <w:autoSpaceDN w:val="0"/>
              <w:adjustRightInd w:val="0"/>
              <w:snapToGrid w:val="0"/>
              <w:jc w:val="left"/>
              <w:rPr>
                <w:rFonts w:ascii="仿宋" w:hAnsi="仿宋" w:eastAsia="仿宋" w:cs="仿宋"/>
                <w:szCs w:val="21"/>
              </w:rPr>
            </w:pPr>
            <w:r>
              <w:rPr>
                <w:rFonts w:hint="eastAsia" w:ascii="仿宋" w:hAnsi="仿宋" w:eastAsia="仿宋" w:cs="仿宋"/>
                <w:kern w:val="0"/>
                <w:szCs w:val="21"/>
              </w:rPr>
              <w:t>☑</w:t>
            </w:r>
            <w:r>
              <w:rPr>
                <w:rFonts w:hint="eastAsia" w:ascii="仿宋" w:hAnsi="仿宋" w:eastAsia="仿宋" w:cs="仿宋"/>
                <w:szCs w:val="21"/>
              </w:rPr>
              <w:t>不要求递交投标样品</w:t>
            </w:r>
          </w:p>
          <w:p>
            <w:pPr>
              <w:autoSpaceDE w:val="0"/>
              <w:autoSpaceDN w:val="0"/>
              <w:adjustRightInd w:val="0"/>
              <w:snapToGrid w:val="0"/>
              <w:jc w:val="left"/>
              <w:rPr>
                <w:rFonts w:ascii="仿宋" w:hAnsi="仿宋" w:eastAsia="仿宋" w:cs="仿宋"/>
                <w:szCs w:val="21"/>
                <w:u w:val="single"/>
              </w:rPr>
            </w:pPr>
            <w:r>
              <w:rPr>
                <w:rFonts w:hint="eastAsia" w:ascii="仿宋" w:hAnsi="仿宋" w:eastAsia="仿宋" w:cs="仿宋"/>
                <w:szCs w:val="21"/>
              </w:rPr>
              <w:t>□递交投标样品，具体要求：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13</w:t>
            </w:r>
          </w:p>
        </w:tc>
        <w:tc>
          <w:tcPr>
            <w:tcW w:w="1990" w:type="dxa"/>
            <w:vAlign w:val="center"/>
          </w:tcPr>
          <w:p>
            <w:pPr>
              <w:autoSpaceDE w:val="0"/>
              <w:autoSpaceDN w:val="0"/>
              <w:adjustRightInd w:val="0"/>
              <w:snapToGrid w:val="0"/>
              <w:jc w:val="center"/>
              <w:rPr>
                <w:rFonts w:ascii="仿宋" w:hAnsi="仿宋" w:eastAsia="仿宋" w:cs="仿宋"/>
                <w:kern w:val="0"/>
                <w:szCs w:val="21"/>
              </w:rPr>
            </w:pPr>
            <w:r>
              <w:rPr>
                <w:rFonts w:hint="eastAsia" w:ascii="仿宋" w:hAnsi="仿宋" w:eastAsia="仿宋" w:cs="仿宋"/>
                <w:kern w:val="0"/>
                <w:szCs w:val="21"/>
              </w:rPr>
              <w:t>评标方法</w:t>
            </w:r>
          </w:p>
        </w:tc>
        <w:tc>
          <w:tcPr>
            <w:tcW w:w="7029" w:type="dxa"/>
            <w:vAlign w:val="center"/>
          </w:tcPr>
          <w:p>
            <w:pPr>
              <w:autoSpaceDE w:val="0"/>
              <w:autoSpaceDN w:val="0"/>
              <w:adjustRightInd w:val="0"/>
              <w:snapToGrid w:val="0"/>
              <w:rPr>
                <w:rFonts w:ascii="仿宋" w:hAnsi="仿宋" w:eastAsia="仿宋" w:cs="仿宋"/>
                <w:kern w:val="0"/>
                <w:szCs w:val="21"/>
              </w:rPr>
            </w:pPr>
            <w:r>
              <w:rPr>
                <w:rFonts w:hint="eastAsia" w:ascii="仿宋" w:hAnsi="仿宋" w:eastAsia="仿宋" w:cs="仿宋"/>
                <w:szCs w:val="21"/>
              </w:rPr>
              <w:t>☑</w:t>
            </w:r>
            <w:r>
              <w:rPr>
                <w:rFonts w:hint="eastAsia" w:ascii="仿宋" w:hAnsi="仿宋" w:eastAsia="仿宋" w:cs="仿宋"/>
                <w:kern w:val="0"/>
                <w:szCs w:val="21"/>
              </w:rPr>
              <w:t>综合评分法</w:t>
            </w:r>
          </w:p>
          <w:p>
            <w:pPr>
              <w:autoSpaceDE w:val="0"/>
              <w:autoSpaceDN w:val="0"/>
              <w:adjustRightInd w:val="0"/>
              <w:snapToGrid w:val="0"/>
              <w:rPr>
                <w:rFonts w:ascii="仿宋" w:hAnsi="仿宋" w:eastAsia="仿宋" w:cs="仿宋"/>
                <w:kern w:val="0"/>
                <w:szCs w:val="21"/>
              </w:rPr>
            </w:pPr>
            <w:r>
              <w:rPr>
                <w:rFonts w:hint="eastAsia" w:ascii="仿宋" w:hAnsi="仿宋" w:eastAsia="仿宋" w:cs="仿宋"/>
                <w:kern w:val="0"/>
                <w:szCs w:val="21"/>
              </w:rPr>
              <w:t>□最低价法</w:t>
            </w:r>
          </w:p>
          <w:p>
            <w:pPr>
              <w:autoSpaceDE w:val="0"/>
              <w:autoSpaceDN w:val="0"/>
              <w:adjustRightInd w:val="0"/>
              <w:snapToGrid w:val="0"/>
              <w:rPr>
                <w:rFonts w:ascii="仿宋" w:hAnsi="仿宋" w:eastAsia="仿宋" w:cs="仿宋"/>
                <w:kern w:val="0"/>
                <w:szCs w:val="21"/>
              </w:rPr>
            </w:pPr>
            <w:r>
              <w:rPr>
                <w:rFonts w:hint="eastAsia" w:ascii="仿宋" w:hAnsi="仿宋" w:eastAsia="仿宋" w:cs="仿宋"/>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14</w:t>
            </w:r>
          </w:p>
        </w:tc>
        <w:tc>
          <w:tcPr>
            <w:tcW w:w="1990" w:type="dxa"/>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推荐中标</w:t>
            </w:r>
          </w:p>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候选人数量</w:t>
            </w:r>
          </w:p>
        </w:tc>
        <w:tc>
          <w:tcPr>
            <w:tcW w:w="7029" w:type="dxa"/>
            <w:vAlign w:val="center"/>
          </w:tcPr>
          <w:p>
            <w:pPr>
              <w:autoSpaceDE w:val="0"/>
              <w:autoSpaceDN w:val="0"/>
              <w:adjustRightInd w:val="0"/>
              <w:snapToGrid w:val="0"/>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kern w:val="0"/>
                <w:szCs w:val="21"/>
              </w:rPr>
              <w:t>内部招标评标小组推荐的中标候选人数：</w:t>
            </w:r>
            <w:r>
              <w:rPr>
                <w:rFonts w:hint="eastAsia" w:ascii="仿宋" w:hAnsi="仿宋" w:eastAsia="仿宋" w:cs="仿宋"/>
                <w:kern w:val="0"/>
                <w:szCs w:val="21"/>
                <w:u w:val="single"/>
              </w:rPr>
              <w:t xml:space="preserve">  1  个</w:t>
            </w:r>
            <w:r>
              <w:rPr>
                <w:rFonts w:hint="eastAsia" w:ascii="仿宋" w:hAnsi="仿宋" w:eastAsia="仿宋" w:cs="仿宋"/>
                <w:kern w:val="0"/>
                <w:szCs w:val="21"/>
              </w:rPr>
              <w:t>。</w:t>
            </w:r>
          </w:p>
          <w:p>
            <w:pPr>
              <w:autoSpaceDE w:val="0"/>
              <w:autoSpaceDN w:val="0"/>
              <w:adjustRightInd w:val="0"/>
              <w:snapToGrid w:val="0"/>
              <w:rPr>
                <w:rFonts w:ascii="仿宋" w:hAnsi="仿宋" w:eastAsia="仿宋" w:cs="仿宋"/>
                <w:kern w:val="0"/>
                <w:szCs w:val="21"/>
              </w:rPr>
            </w:pPr>
            <w:r>
              <w:rPr>
                <w:rFonts w:hint="eastAsia" w:ascii="仿宋" w:hAnsi="仿宋" w:eastAsia="仿宋" w:cs="仿宋"/>
                <w:kern w:val="0"/>
                <w:szCs w:val="21"/>
              </w:rPr>
              <w:t>（</w:t>
            </w:r>
            <w:r>
              <w:rPr>
                <w:rFonts w:hint="eastAsia" w:ascii="仿宋" w:hAnsi="仿宋" w:eastAsia="仿宋" w:cs="仿宋"/>
                <w:szCs w:val="21"/>
              </w:rPr>
              <w:t>适用于采用</w:t>
            </w:r>
            <w:r>
              <w:rPr>
                <w:rFonts w:hint="eastAsia" w:ascii="仿宋" w:hAnsi="仿宋" w:eastAsia="仿宋" w:cs="仿宋"/>
                <w:b/>
                <w:bCs/>
                <w:szCs w:val="21"/>
              </w:rPr>
              <w:t>综合评分法</w:t>
            </w:r>
            <w:r>
              <w:rPr>
                <w:rFonts w:hint="eastAsia" w:ascii="仿宋" w:hAnsi="仿宋" w:eastAsia="仿宋" w:cs="仿宋"/>
                <w:szCs w:val="21"/>
              </w:rPr>
              <w:t>、</w:t>
            </w:r>
            <w:r>
              <w:rPr>
                <w:rFonts w:hint="eastAsia" w:ascii="仿宋" w:hAnsi="仿宋" w:eastAsia="仿宋" w:cs="仿宋"/>
                <w:b/>
                <w:bCs/>
                <w:szCs w:val="21"/>
              </w:rPr>
              <w:t>最低价法</w:t>
            </w:r>
            <w:r>
              <w:rPr>
                <w:rFonts w:hint="eastAsia" w:ascii="仿宋" w:hAnsi="仿宋" w:eastAsia="仿宋" w:cs="仿宋"/>
                <w:bCs/>
                <w:szCs w:val="21"/>
              </w:rPr>
              <w:t>）</w:t>
            </w:r>
          </w:p>
        </w:tc>
      </w:tr>
    </w:tbl>
    <w:p>
      <w:pPr>
        <w:numPr>
          <w:ilvl w:val="0"/>
          <w:numId w:val="1"/>
        </w:numPr>
        <w:spacing w:line="560" w:lineRule="exact"/>
        <w:outlineLvl w:val="1"/>
        <w:rPr>
          <w:rFonts w:ascii="仿宋" w:hAnsi="仿宋" w:eastAsia="仿宋" w:cs="仿宋"/>
          <w:b/>
          <w:szCs w:val="21"/>
        </w:rPr>
      </w:pPr>
      <w:bookmarkStart w:id="6" w:name="_Toc82591926"/>
      <w:bookmarkEnd w:id="6"/>
      <w:bookmarkStart w:id="7" w:name="_Toc82591925"/>
      <w:bookmarkEnd w:id="7"/>
      <w:bookmarkStart w:id="8" w:name="_Toc82684589"/>
      <w:bookmarkEnd w:id="8"/>
      <w:bookmarkStart w:id="9" w:name="_Toc82684704"/>
      <w:bookmarkEnd w:id="9"/>
      <w:bookmarkStart w:id="10" w:name="_Toc82685542"/>
      <w:bookmarkEnd w:id="10"/>
      <w:bookmarkStart w:id="11" w:name="_Toc82684706"/>
      <w:bookmarkEnd w:id="11"/>
      <w:bookmarkStart w:id="12" w:name="_Toc82684703"/>
      <w:bookmarkEnd w:id="12"/>
      <w:bookmarkStart w:id="13" w:name="_Toc82684705"/>
      <w:bookmarkEnd w:id="13"/>
      <w:bookmarkStart w:id="14" w:name="_Toc82684588"/>
      <w:bookmarkEnd w:id="14"/>
      <w:bookmarkStart w:id="15" w:name="_Toc82685540"/>
      <w:bookmarkEnd w:id="15"/>
      <w:bookmarkStart w:id="16" w:name="_Toc82591927"/>
      <w:bookmarkEnd w:id="16"/>
      <w:bookmarkStart w:id="17" w:name="_Toc82685543"/>
      <w:bookmarkEnd w:id="17"/>
      <w:bookmarkStart w:id="18" w:name="_Toc82684591"/>
      <w:bookmarkEnd w:id="18"/>
      <w:bookmarkStart w:id="19" w:name="_Toc82591928"/>
      <w:bookmarkEnd w:id="19"/>
      <w:bookmarkStart w:id="20" w:name="_Toc82684590"/>
      <w:bookmarkEnd w:id="20"/>
      <w:bookmarkStart w:id="21" w:name="_Toc82685541"/>
      <w:bookmarkEnd w:id="21"/>
      <w:bookmarkStart w:id="22" w:name="_Toc22668"/>
      <w:r>
        <w:rPr>
          <w:rFonts w:hint="eastAsia" w:ascii="仿宋" w:hAnsi="仿宋" w:eastAsia="仿宋" w:cs="仿宋"/>
          <w:b/>
          <w:szCs w:val="21"/>
        </w:rPr>
        <w:t>特别说明</w:t>
      </w:r>
      <w:bookmarkEnd w:id="22"/>
    </w:p>
    <w:p>
      <w:pPr>
        <w:pStyle w:val="22"/>
        <w:numPr>
          <w:ilvl w:val="0"/>
          <w:numId w:val="9"/>
        </w:numPr>
        <w:spacing w:line="360" w:lineRule="auto"/>
        <w:ind w:left="0" w:firstLine="420" w:firstLineChars="0"/>
        <w:rPr>
          <w:rFonts w:ascii="仿宋" w:hAnsi="仿宋" w:eastAsia="仿宋" w:cs="仿宋"/>
          <w:szCs w:val="21"/>
        </w:rPr>
      </w:pPr>
      <w:bookmarkStart w:id="23" w:name="_Toc478387747"/>
      <w:bookmarkStart w:id="24" w:name="_Toc45028463"/>
      <w:bookmarkStart w:id="25" w:name="_Toc517278751"/>
      <w:r>
        <w:rPr>
          <w:rFonts w:hint="eastAsia" w:ascii="仿宋" w:hAnsi="仿宋" w:eastAsia="仿宋" w:cs="仿宋"/>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22"/>
        <w:numPr>
          <w:ilvl w:val="0"/>
          <w:numId w:val="9"/>
        </w:numPr>
        <w:spacing w:line="360" w:lineRule="auto"/>
        <w:ind w:left="0" w:firstLine="420" w:firstLineChars="0"/>
        <w:rPr>
          <w:rFonts w:ascii="仿宋" w:hAnsi="仿宋" w:eastAsia="仿宋" w:cs="仿宋"/>
          <w:szCs w:val="21"/>
        </w:rPr>
      </w:pPr>
      <w:r>
        <w:rPr>
          <w:rFonts w:hint="eastAsia" w:ascii="仿宋" w:hAnsi="仿宋" w:eastAsia="仿宋" w:cs="仿宋"/>
          <w:szCs w:val="21"/>
        </w:rPr>
        <w:t>本项目涉及的所有往来资料文件均需通过招标人报名回函上指定的电子邮箱发送和接收，否则可能导致文件不被接受的不利后果。</w:t>
      </w:r>
    </w:p>
    <w:p>
      <w:pPr>
        <w:pStyle w:val="22"/>
        <w:numPr>
          <w:ilvl w:val="0"/>
          <w:numId w:val="9"/>
        </w:numPr>
        <w:spacing w:line="360" w:lineRule="auto"/>
        <w:ind w:left="0" w:firstLine="420" w:firstLineChars="0"/>
        <w:rPr>
          <w:rFonts w:ascii="仿宋" w:hAnsi="仿宋" w:eastAsia="仿宋" w:cs="仿宋"/>
          <w:szCs w:val="21"/>
        </w:rPr>
      </w:pPr>
      <w:r>
        <w:rPr>
          <w:rFonts w:hint="eastAsia" w:ascii="仿宋" w:hAnsi="仿宋" w:eastAsia="仿宋" w:cs="仿宋"/>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2"/>
        <w:numPr>
          <w:ilvl w:val="0"/>
          <w:numId w:val="9"/>
        </w:numPr>
        <w:spacing w:line="360" w:lineRule="auto"/>
        <w:ind w:left="0" w:firstLine="420" w:firstLineChars="0"/>
        <w:rPr>
          <w:rFonts w:ascii="仿宋" w:hAnsi="仿宋" w:eastAsia="仿宋" w:cs="仿宋"/>
          <w:szCs w:val="21"/>
        </w:rPr>
      </w:pPr>
      <w:r>
        <w:rPr>
          <w:rFonts w:hint="eastAsia" w:ascii="仿宋" w:hAnsi="仿宋" w:eastAsia="仿宋" w:cs="仿宋"/>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2"/>
        <w:numPr>
          <w:ilvl w:val="0"/>
          <w:numId w:val="9"/>
        </w:numPr>
        <w:spacing w:line="360" w:lineRule="auto"/>
        <w:ind w:left="0" w:firstLine="420" w:firstLineChars="0"/>
        <w:rPr>
          <w:rFonts w:ascii="仿宋" w:hAnsi="仿宋" w:eastAsia="仿宋" w:cs="仿宋"/>
          <w:szCs w:val="21"/>
        </w:rPr>
      </w:pPr>
      <w:r>
        <w:rPr>
          <w:rFonts w:hint="eastAsia" w:ascii="仿宋" w:hAnsi="仿宋" w:eastAsia="仿宋" w:cs="仿宋"/>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bookmarkEnd w:id="23"/>
      <w:bookmarkEnd w:id="24"/>
      <w:bookmarkEnd w:id="25"/>
    </w:p>
    <w:p>
      <w:pPr>
        <w:pStyle w:val="22"/>
        <w:spacing w:line="360" w:lineRule="auto"/>
        <w:ind w:firstLine="0" w:firstLineChars="0"/>
        <w:rPr>
          <w:rFonts w:ascii="仿宋" w:hAnsi="仿宋" w:eastAsia="仿宋" w:cs="仿宋"/>
          <w:szCs w:val="21"/>
        </w:rPr>
      </w:pPr>
    </w:p>
    <w:p>
      <w:pPr>
        <w:pStyle w:val="22"/>
        <w:spacing w:line="360" w:lineRule="auto"/>
        <w:ind w:firstLine="0" w:firstLineChars="0"/>
        <w:rPr>
          <w:rFonts w:ascii="仿宋" w:hAnsi="仿宋" w:eastAsia="仿宋" w:cs="仿宋"/>
          <w:szCs w:val="21"/>
        </w:rPr>
      </w:pPr>
    </w:p>
    <w:p>
      <w:pPr>
        <w:numPr>
          <w:ilvl w:val="0"/>
          <w:numId w:val="1"/>
        </w:numPr>
        <w:spacing w:line="560" w:lineRule="exact"/>
        <w:outlineLvl w:val="1"/>
        <w:rPr>
          <w:rFonts w:ascii="仿宋" w:hAnsi="仿宋" w:eastAsia="仿宋" w:cs="仿宋"/>
          <w:b/>
          <w:szCs w:val="21"/>
        </w:rPr>
      </w:pPr>
      <w:bookmarkStart w:id="26" w:name="_Toc82591930"/>
      <w:bookmarkEnd w:id="26"/>
      <w:bookmarkStart w:id="27" w:name="_Toc82591986"/>
      <w:bookmarkEnd w:id="27"/>
      <w:bookmarkStart w:id="28" w:name="_Toc82684708"/>
      <w:bookmarkEnd w:id="28"/>
      <w:bookmarkStart w:id="29" w:name="_Toc82591989"/>
      <w:bookmarkEnd w:id="29"/>
      <w:bookmarkStart w:id="30" w:name="_Toc82591988"/>
      <w:bookmarkEnd w:id="30"/>
      <w:bookmarkStart w:id="31" w:name="_Toc82685545"/>
      <w:bookmarkEnd w:id="31"/>
      <w:bookmarkStart w:id="32" w:name="_Toc82591987"/>
      <w:bookmarkEnd w:id="32"/>
      <w:bookmarkStart w:id="33" w:name="_Toc82591985"/>
      <w:bookmarkEnd w:id="33"/>
      <w:bookmarkStart w:id="34" w:name="_Toc82684593"/>
      <w:bookmarkEnd w:id="34"/>
      <w:bookmarkStart w:id="35" w:name="_Toc12778"/>
      <w:r>
        <w:rPr>
          <w:rFonts w:hint="eastAsia" w:ascii="仿宋" w:hAnsi="仿宋" w:eastAsia="仿宋" w:cs="仿宋"/>
          <w:b/>
          <w:szCs w:val="21"/>
        </w:rPr>
        <w:t>投标文件编制</w:t>
      </w:r>
      <w:bookmarkEnd w:id="35"/>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仿宋" w:hAnsi="仿宋" w:eastAsia="仿宋" w:cs="仿宋"/>
                <w:sz w:val="32"/>
                <w:szCs w:val="32"/>
                <w:shd w:val="clear" w:color="auto" w:fill="FFFFFF"/>
              </w:rPr>
            </w:pPr>
            <w:r>
              <w:rPr>
                <w:rFonts w:hint="eastAsia" w:ascii="仿宋" w:hAnsi="仿宋" w:eastAsia="仿宋" w:cs="仿宋"/>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仿宋" w:hAnsi="仿宋" w:eastAsia="仿宋" w:cs="仿宋"/>
                <w:b/>
                <w:szCs w:val="21"/>
              </w:rPr>
            </w:pPr>
            <w:r>
              <w:rPr>
                <w:rFonts w:hint="eastAsia" w:ascii="仿宋" w:hAnsi="仿宋" w:eastAsia="仿宋" w:cs="仿宋"/>
                <w:b/>
                <w:szCs w:val="21"/>
              </w:rPr>
              <w:t>条款号</w:t>
            </w:r>
          </w:p>
        </w:tc>
        <w:tc>
          <w:tcPr>
            <w:tcW w:w="2090" w:type="dxa"/>
            <w:shd w:val="clear" w:color="auto" w:fill="auto"/>
            <w:vAlign w:val="center"/>
          </w:tcPr>
          <w:p>
            <w:pPr>
              <w:autoSpaceDE w:val="0"/>
              <w:autoSpaceDN w:val="0"/>
              <w:adjustRightInd w:val="0"/>
              <w:snapToGrid w:val="0"/>
              <w:jc w:val="center"/>
              <w:rPr>
                <w:rFonts w:ascii="仿宋" w:hAnsi="仿宋" w:eastAsia="仿宋" w:cs="仿宋"/>
                <w:b/>
                <w:szCs w:val="21"/>
              </w:rPr>
            </w:pPr>
            <w:r>
              <w:rPr>
                <w:rFonts w:hint="eastAsia" w:ascii="仿宋" w:hAnsi="仿宋" w:eastAsia="仿宋" w:cs="仿宋"/>
                <w:b/>
                <w:szCs w:val="21"/>
              </w:rPr>
              <w:t>名称</w:t>
            </w:r>
          </w:p>
        </w:tc>
        <w:tc>
          <w:tcPr>
            <w:tcW w:w="5746" w:type="dxa"/>
            <w:shd w:val="clear" w:color="auto" w:fill="auto"/>
            <w:vAlign w:val="center"/>
          </w:tcPr>
          <w:p>
            <w:pPr>
              <w:autoSpaceDE w:val="0"/>
              <w:autoSpaceDN w:val="0"/>
              <w:adjustRightInd w:val="0"/>
              <w:snapToGrid w:val="0"/>
              <w:jc w:val="center"/>
              <w:rPr>
                <w:rFonts w:ascii="仿宋" w:hAnsi="仿宋" w:eastAsia="仿宋" w:cs="仿宋"/>
                <w:b/>
                <w:szCs w:val="21"/>
                <w:shd w:val="clear" w:color="auto" w:fill="FFFFFF"/>
              </w:rPr>
            </w:pPr>
            <w:r>
              <w:rPr>
                <w:rFonts w:hint="eastAsia" w:ascii="仿宋" w:hAnsi="仿宋" w:eastAsia="仿宋" w:cs="仿宋"/>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1</w:t>
            </w:r>
          </w:p>
        </w:tc>
        <w:tc>
          <w:tcPr>
            <w:tcW w:w="2090" w:type="dxa"/>
            <w:shd w:val="clear" w:color="auto" w:fill="FFFFFF"/>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kern w:val="0"/>
                <w:szCs w:val="21"/>
              </w:rPr>
              <w:t>投标文件组成</w:t>
            </w:r>
          </w:p>
        </w:tc>
        <w:tc>
          <w:tcPr>
            <w:tcW w:w="5746" w:type="dxa"/>
            <w:shd w:val="clear" w:color="auto" w:fill="FFFFFF"/>
            <w:vAlign w:val="center"/>
          </w:tcPr>
          <w:p>
            <w:pPr>
              <w:autoSpaceDE w:val="0"/>
              <w:autoSpaceDN w:val="0"/>
              <w:adjustRightInd w:val="0"/>
              <w:snapToGrid w:val="0"/>
              <w:jc w:val="left"/>
              <w:rPr>
                <w:rFonts w:ascii="仿宋" w:hAnsi="仿宋" w:eastAsia="仿宋" w:cs="仿宋"/>
                <w:b/>
                <w:kern w:val="0"/>
                <w:szCs w:val="21"/>
              </w:rPr>
            </w:pPr>
            <w:r>
              <w:rPr>
                <w:rFonts w:hint="eastAsia" w:ascii="仿宋" w:hAnsi="仿宋" w:eastAsia="仿宋" w:cs="仿宋"/>
                <w:kern w:val="0"/>
                <w:szCs w:val="21"/>
              </w:rPr>
              <w:t>投标文件包含以下组成部分</w:t>
            </w:r>
            <w:r>
              <w:rPr>
                <w:rFonts w:hint="eastAsia" w:ascii="仿宋" w:hAnsi="仿宋" w:eastAsia="仿宋" w:cs="仿宋"/>
                <w:b/>
                <w:kern w:val="0"/>
                <w:szCs w:val="21"/>
              </w:rPr>
              <w:t>：</w:t>
            </w:r>
          </w:p>
          <w:p>
            <w:pPr>
              <w:autoSpaceDE w:val="0"/>
              <w:autoSpaceDN w:val="0"/>
              <w:adjustRightInd w:val="0"/>
              <w:snapToGrid w:val="0"/>
              <w:jc w:val="left"/>
              <w:rPr>
                <w:rFonts w:ascii="仿宋" w:hAnsi="仿宋" w:eastAsia="仿宋" w:cs="仿宋"/>
                <w:kern w:val="0"/>
                <w:szCs w:val="21"/>
              </w:rPr>
            </w:pPr>
            <w:r>
              <w:rPr>
                <w:rFonts w:hint="eastAsia" w:ascii="仿宋" w:hAnsi="仿宋" w:eastAsia="仿宋" w:cs="仿宋"/>
                <w:kern w:val="0"/>
                <w:szCs w:val="21"/>
              </w:rPr>
              <w:t>☑资格审查文件</w:t>
            </w:r>
          </w:p>
          <w:p>
            <w:pPr>
              <w:autoSpaceDE w:val="0"/>
              <w:autoSpaceDN w:val="0"/>
              <w:adjustRightInd w:val="0"/>
              <w:snapToGrid w:val="0"/>
              <w:jc w:val="left"/>
              <w:rPr>
                <w:rFonts w:ascii="仿宋" w:hAnsi="仿宋" w:eastAsia="仿宋" w:cs="仿宋"/>
                <w:kern w:val="0"/>
                <w:szCs w:val="21"/>
              </w:rPr>
            </w:pPr>
            <w:r>
              <w:rPr>
                <w:rFonts w:hint="eastAsia" w:ascii="仿宋" w:hAnsi="仿宋" w:eastAsia="仿宋" w:cs="仿宋"/>
                <w:kern w:val="0"/>
                <w:szCs w:val="21"/>
              </w:rPr>
              <w:t>☑商务标部分</w:t>
            </w:r>
          </w:p>
          <w:p>
            <w:pPr>
              <w:autoSpaceDE w:val="0"/>
              <w:autoSpaceDN w:val="0"/>
              <w:adjustRightInd w:val="0"/>
              <w:snapToGrid w:val="0"/>
              <w:jc w:val="left"/>
              <w:rPr>
                <w:rFonts w:ascii="仿宋" w:hAnsi="仿宋" w:eastAsia="仿宋" w:cs="仿宋"/>
                <w:kern w:val="0"/>
                <w:szCs w:val="21"/>
              </w:rPr>
            </w:pPr>
            <w:r>
              <w:rPr>
                <w:rFonts w:hint="eastAsia" w:ascii="仿宋" w:hAnsi="仿宋" w:eastAsia="仿宋" w:cs="仿宋"/>
                <w:kern w:val="0"/>
                <w:szCs w:val="21"/>
              </w:rPr>
              <w:t>☑技术标部分</w:t>
            </w:r>
          </w:p>
          <w:p>
            <w:pPr>
              <w:autoSpaceDE w:val="0"/>
              <w:autoSpaceDN w:val="0"/>
              <w:adjustRightInd w:val="0"/>
              <w:snapToGrid w:val="0"/>
              <w:jc w:val="left"/>
              <w:rPr>
                <w:rFonts w:ascii="仿宋" w:hAnsi="仿宋" w:eastAsia="仿宋" w:cs="仿宋"/>
                <w:kern w:val="0"/>
                <w:szCs w:val="21"/>
              </w:rPr>
            </w:pPr>
            <w:r>
              <w:rPr>
                <w:rFonts w:hint="eastAsia" w:ascii="仿宋" w:hAnsi="仿宋" w:eastAsia="仿宋" w:cs="仿宋"/>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2</w:t>
            </w:r>
          </w:p>
        </w:tc>
        <w:tc>
          <w:tcPr>
            <w:tcW w:w="2090" w:type="dxa"/>
            <w:shd w:val="clear" w:color="auto" w:fill="FFFFFF"/>
            <w:vAlign w:val="center"/>
          </w:tcPr>
          <w:p>
            <w:pPr>
              <w:autoSpaceDE w:val="0"/>
              <w:autoSpaceDN w:val="0"/>
              <w:adjustRightInd w:val="0"/>
              <w:snapToGrid w:val="0"/>
              <w:jc w:val="center"/>
              <w:rPr>
                <w:rFonts w:ascii="仿宋" w:hAnsi="仿宋" w:eastAsia="仿宋" w:cs="仿宋"/>
                <w:kern w:val="0"/>
                <w:szCs w:val="21"/>
              </w:rPr>
            </w:pPr>
            <w:r>
              <w:rPr>
                <w:rFonts w:hint="eastAsia" w:ascii="仿宋" w:hAnsi="仿宋" w:eastAsia="仿宋" w:cs="仿宋"/>
                <w:kern w:val="0"/>
                <w:szCs w:val="21"/>
              </w:rPr>
              <w:t>资格审查文件</w:t>
            </w:r>
          </w:p>
        </w:tc>
        <w:tc>
          <w:tcPr>
            <w:tcW w:w="5746" w:type="dxa"/>
            <w:shd w:val="clear" w:color="auto" w:fill="FFFFFF"/>
            <w:vAlign w:val="center"/>
          </w:tcPr>
          <w:p>
            <w:pPr>
              <w:autoSpaceDE w:val="0"/>
              <w:autoSpaceDN w:val="0"/>
              <w:adjustRightInd w:val="0"/>
              <w:snapToGrid w:val="0"/>
              <w:jc w:val="left"/>
              <w:rPr>
                <w:rFonts w:ascii="仿宋" w:hAnsi="仿宋" w:eastAsia="仿宋" w:cs="仿宋"/>
                <w:kern w:val="0"/>
                <w:szCs w:val="21"/>
              </w:rPr>
            </w:pPr>
            <w:r>
              <w:rPr>
                <w:rFonts w:hint="eastAsia" w:ascii="仿宋" w:hAnsi="仿宋" w:eastAsia="仿宋" w:cs="仿宋"/>
                <w:kern w:val="0"/>
                <w:szCs w:val="21"/>
              </w:rPr>
              <w:t>编制内容：</w:t>
            </w:r>
          </w:p>
          <w:p>
            <w:pPr>
              <w:autoSpaceDE w:val="0"/>
              <w:autoSpaceDN w:val="0"/>
              <w:adjustRightInd w:val="0"/>
              <w:snapToGrid w:val="0"/>
              <w:jc w:val="left"/>
              <w:rPr>
                <w:rFonts w:ascii="仿宋" w:hAnsi="仿宋" w:eastAsia="仿宋" w:cs="仿宋"/>
                <w:kern w:val="0"/>
                <w:szCs w:val="21"/>
              </w:rPr>
            </w:pPr>
            <w:r>
              <w:rPr>
                <w:rFonts w:hint="eastAsia" w:ascii="仿宋" w:hAnsi="仿宋" w:eastAsia="仿宋" w:cs="仿宋"/>
                <w:kern w:val="0"/>
                <w:szCs w:val="21"/>
              </w:rPr>
              <w:t>☑营业执照</w:t>
            </w:r>
          </w:p>
          <w:p>
            <w:pPr>
              <w:autoSpaceDE w:val="0"/>
              <w:autoSpaceDN w:val="0"/>
              <w:adjustRightInd w:val="0"/>
              <w:snapToGrid w:val="0"/>
              <w:jc w:val="left"/>
              <w:rPr>
                <w:rFonts w:ascii="仿宋" w:hAnsi="仿宋" w:eastAsia="仿宋" w:cs="仿宋"/>
                <w:kern w:val="0"/>
                <w:szCs w:val="21"/>
              </w:rPr>
            </w:pPr>
            <w:r>
              <w:rPr>
                <w:rFonts w:hint="eastAsia" w:ascii="仿宋" w:hAnsi="仿宋" w:eastAsia="仿宋" w:cs="仿宋"/>
                <w:kern w:val="0"/>
                <w:szCs w:val="21"/>
              </w:rPr>
              <w:t>☑国家企业信用信息公示系统（www.gsxt.gov.cn）公示的企业信息打印件</w:t>
            </w:r>
          </w:p>
          <w:p>
            <w:pPr>
              <w:autoSpaceDE w:val="0"/>
              <w:autoSpaceDN w:val="0"/>
              <w:adjustRightInd w:val="0"/>
              <w:snapToGrid w:val="0"/>
              <w:jc w:val="left"/>
              <w:rPr>
                <w:rFonts w:ascii="仿宋" w:hAnsi="仿宋" w:eastAsia="仿宋" w:cs="仿宋"/>
                <w:kern w:val="0"/>
                <w:szCs w:val="21"/>
              </w:rPr>
            </w:pPr>
            <w:r>
              <w:rPr>
                <w:rFonts w:hint="eastAsia" w:ascii="仿宋" w:hAnsi="仿宋" w:eastAsia="仿宋" w:cs="仿宋"/>
                <w:kern w:val="0"/>
                <w:szCs w:val="21"/>
              </w:rPr>
              <w:t>☑法定代表人资格证明书</w:t>
            </w:r>
          </w:p>
          <w:p>
            <w:pPr>
              <w:autoSpaceDE w:val="0"/>
              <w:autoSpaceDN w:val="0"/>
              <w:adjustRightInd w:val="0"/>
              <w:snapToGrid w:val="0"/>
              <w:jc w:val="left"/>
              <w:rPr>
                <w:rFonts w:ascii="仿宋" w:hAnsi="仿宋" w:eastAsia="仿宋" w:cs="仿宋"/>
                <w:kern w:val="0"/>
                <w:szCs w:val="21"/>
              </w:rPr>
            </w:pPr>
            <w:r>
              <w:rPr>
                <w:rFonts w:hint="eastAsia" w:ascii="仿宋" w:hAnsi="仿宋" w:eastAsia="仿宋" w:cs="仿宋"/>
                <w:kern w:val="0"/>
                <w:szCs w:val="21"/>
              </w:rPr>
              <w:t>☑法定代表人授权委托书</w:t>
            </w:r>
          </w:p>
          <w:p>
            <w:pPr>
              <w:autoSpaceDE w:val="0"/>
              <w:autoSpaceDN w:val="0"/>
              <w:adjustRightInd w:val="0"/>
              <w:snapToGrid w:val="0"/>
              <w:jc w:val="left"/>
              <w:rPr>
                <w:rFonts w:ascii="仿宋" w:hAnsi="仿宋" w:eastAsia="仿宋" w:cs="仿宋"/>
                <w:kern w:val="0"/>
                <w:szCs w:val="21"/>
              </w:rPr>
            </w:pPr>
            <w:r>
              <w:rPr>
                <w:rFonts w:hint="eastAsia" w:ascii="仿宋" w:hAnsi="仿宋" w:eastAsia="仿宋" w:cs="仿宋"/>
                <w:kern w:val="0"/>
                <w:szCs w:val="21"/>
              </w:rPr>
              <w:t>☑资格证明文件</w:t>
            </w:r>
          </w:p>
          <w:p>
            <w:pPr>
              <w:autoSpaceDE w:val="0"/>
              <w:autoSpaceDN w:val="0"/>
              <w:adjustRightInd w:val="0"/>
              <w:snapToGrid w:val="0"/>
              <w:jc w:val="left"/>
              <w:rPr>
                <w:rFonts w:ascii="仿宋" w:hAnsi="仿宋" w:eastAsia="仿宋" w:cs="仿宋"/>
                <w:kern w:val="0"/>
                <w:szCs w:val="21"/>
              </w:rPr>
            </w:pPr>
            <w:r>
              <w:rPr>
                <w:rFonts w:hint="eastAsia" w:ascii="仿宋" w:hAnsi="仿宋" w:eastAsia="仿宋" w:cs="仿宋"/>
                <w:kern w:val="0"/>
                <w:szCs w:val="21"/>
              </w:rPr>
              <w:sym w:font="Wingdings 2" w:char="0052"/>
            </w:r>
            <w:r>
              <w:rPr>
                <w:rFonts w:hint="eastAsia" w:ascii="仿宋" w:hAnsi="仿宋" w:eastAsia="仿宋" w:cs="仿宋"/>
                <w:kern w:val="0"/>
                <w:szCs w:val="21"/>
              </w:rPr>
              <w:t>经营业绩一览表及业绩证明文件</w:t>
            </w:r>
          </w:p>
          <w:p>
            <w:pPr>
              <w:autoSpaceDE w:val="0"/>
              <w:autoSpaceDN w:val="0"/>
              <w:adjustRightInd w:val="0"/>
              <w:snapToGrid w:val="0"/>
              <w:jc w:val="left"/>
              <w:rPr>
                <w:rFonts w:ascii="仿宋" w:hAnsi="仿宋" w:eastAsia="仿宋" w:cs="仿宋"/>
                <w:kern w:val="0"/>
                <w:szCs w:val="21"/>
              </w:rPr>
            </w:pPr>
            <w:r>
              <w:rPr>
                <w:rFonts w:hint="eastAsia" w:ascii="仿宋" w:hAnsi="仿宋" w:eastAsia="仿宋" w:cs="仿宋"/>
                <w:kern w:val="0"/>
                <w:szCs w:val="21"/>
              </w:rPr>
              <w:t>□联合体协议书</w:t>
            </w:r>
          </w:p>
          <w:p>
            <w:pPr>
              <w:autoSpaceDE w:val="0"/>
              <w:autoSpaceDN w:val="0"/>
              <w:adjustRightInd w:val="0"/>
              <w:snapToGrid w:val="0"/>
              <w:jc w:val="left"/>
              <w:rPr>
                <w:rFonts w:ascii="仿宋" w:hAnsi="仿宋" w:eastAsia="仿宋" w:cs="仿宋"/>
                <w:kern w:val="0"/>
                <w:szCs w:val="21"/>
              </w:rPr>
            </w:pPr>
            <w:r>
              <w:rPr>
                <w:rFonts w:hint="eastAsia" w:ascii="仿宋" w:hAnsi="仿宋" w:eastAsia="仿宋" w:cs="仿宋"/>
                <w:kern w:val="0"/>
                <w:szCs w:val="21"/>
              </w:rPr>
              <w:t>□投标人股东关系构成表</w:t>
            </w:r>
          </w:p>
          <w:p>
            <w:pPr>
              <w:autoSpaceDE w:val="0"/>
              <w:autoSpaceDN w:val="0"/>
              <w:adjustRightInd w:val="0"/>
              <w:snapToGrid w:val="0"/>
              <w:jc w:val="left"/>
              <w:rPr>
                <w:rFonts w:ascii="仿宋" w:hAnsi="仿宋" w:eastAsia="仿宋" w:cs="仿宋"/>
                <w:kern w:val="0"/>
                <w:szCs w:val="21"/>
              </w:rPr>
            </w:pPr>
            <w:r>
              <w:rPr>
                <w:rFonts w:hint="eastAsia" w:ascii="仿宋" w:hAnsi="仿宋" w:eastAsia="仿宋" w:cs="仿宋"/>
                <w:snapToGrid w:val="0"/>
                <w:kern w:val="0"/>
                <w:szCs w:val="21"/>
              </w:rPr>
              <w:t>□</w:t>
            </w:r>
            <w:r>
              <w:rPr>
                <w:rFonts w:hint="eastAsia" w:ascii="仿宋" w:hAnsi="仿宋" w:eastAsia="仿宋" w:cs="仿宋"/>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3</w:t>
            </w:r>
          </w:p>
        </w:tc>
        <w:tc>
          <w:tcPr>
            <w:tcW w:w="2090" w:type="dxa"/>
            <w:shd w:val="clear" w:color="auto" w:fill="FFFFFF"/>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商务标部分</w:t>
            </w:r>
          </w:p>
        </w:tc>
        <w:tc>
          <w:tcPr>
            <w:tcW w:w="5746" w:type="dxa"/>
            <w:shd w:val="clear" w:color="auto" w:fill="FFFFFF"/>
            <w:vAlign w:val="center"/>
          </w:tcPr>
          <w:p>
            <w:pPr>
              <w:autoSpaceDE w:val="0"/>
              <w:autoSpaceDN w:val="0"/>
              <w:adjustRightInd w:val="0"/>
              <w:snapToGrid w:val="0"/>
              <w:jc w:val="left"/>
              <w:rPr>
                <w:rFonts w:ascii="仿宋" w:hAnsi="仿宋" w:eastAsia="仿宋" w:cs="仿宋"/>
                <w:kern w:val="0"/>
                <w:szCs w:val="21"/>
              </w:rPr>
            </w:pPr>
            <w:r>
              <w:rPr>
                <w:rFonts w:hint="eastAsia" w:ascii="仿宋" w:hAnsi="仿宋" w:eastAsia="仿宋" w:cs="仿宋"/>
                <w:kern w:val="0"/>
                <w:szCs w:val="21"/>
              </w:rPr>
              <w:t>编制内容：</w:t>
            </w:r>
          </w:p>
          <w:p>
            <w:pPr>
              <w:autoSpaceDE w:val="0"/>
              <w:autoSpaceDN w:val="0"/>
              <w:adjustRightInd w:val="0"/>
              <w:snapToGrid w:val="0"/>
              <w:jc w:val="left"/>
              <w:rPr>
                <w:rFonts w:ascii="仿宋" w:hAnsi="仿宋" w:eastAsia="仿宋" w:cs="仿宋"/>
                <w:kern w:val="0"/>
                <w:szCs w:val="21"/>
              </w:rPr>
            </w:pPr>
            <w:r>
              <w:rPr>
                <w:rFonts w:hint="eastAsia" w:ascii="仿宋" w:hAnsi="仿宋" w:eastAsia="仿宋" w:cs="仿宋"/>
                <w:kern w:val="0"/>
                <w:szCs w:val="21"/>
              </w:rPr>
              <w:t>☑投标函</w:t>
            </w:r>
          </w:p>
          <w:p>
            <w:pPr>
              <w:autoSpaceDE w:val="0"/>
              <w:autoSpaceDN w:val="0"/>
              <w:adjustRightInd w:val="0"/>
              <w:snapToGrid w:val="0"/>
              <w:jc w:val="left"/>
              <w:rPr>
                <w:rFonts w:ascii="仿宋" w:hAnsi="仿宋" w:eastAsia="仿宋" w:cs="仿宋"/>
                <w:kern w:val="0"/>
                <w:szCs w:val="21"/>
              </w:rPr>
            </w:pPr>
            <w:r>
              <w:rPr>
                <w:rFonts w:hint="eastAsia" w:ascii="仿宋" w:hAnsi="仿宋" w:eastAsia="仿宋" w:cs="仿宋"/>
                <w:kern w:val="0"/>
                <w:szCs w:val="21"/>
              </w:rPr>
              <w:t>☑商务条款响应/偏离表</w:t>
            </w:r>
          </w:p>
          <w:p>
            <w:pPr>
              <w:autoSpaceDE w:val="0"/>
              <w:autoSpaceDN w:val="0"/>
              <w:adjustRightInd w:val="0"/>
              <w:snapToGrid w:val="0"/>
              <w:jc w:val="left"/>
              <w:rPr>
                <w:rFonts w:ascii="仿宋" w:hAnsi="仿宋" w:eastAsia="仿宋" w:cs="仿宋"/>
                <w:kern w:val="0"/>
                <w:szCs w:val="21"/>
              </w:rPr>
            </w:pPr>
            <w:r>
              <w:rPr>
                <w:rFonts w:hint="eastAsia" w:ascii="仿宋" w:hAnsi="仿宋" w:eastAsia="仿宋" w:cs="仿宋"/>
                <w:kern w:val="0"/>
                <w:szCs w:val="21"/>
              </w:rPr>
              <w:t>☑履约情况及社会信誉承诺书</w:t>
            </w:r>
          </w:p>
          <w:p>
            <w:pPr>
              <w:autoSpaceDE w:val="0"/>
              <w:autoSpaceDN w:val="0"/>
              <w:adjustRightInd w:val="0"/>
              <w:snapToGrid w:val="0"/>
              <w:jc w:val="left"/>
              <w:rPr>
                <w:rFonts w:ascii="仿宋" w:hAnsi="仿宋" w:eastAsia="仿宋" w:cs="仿宋"/>
                <w:kern w:val="0"/>
                <w:szCs w:val="21"/>
              </w:rPr>
            </w:pPr>
            <w:r>
              <w:rPr>
                <w:rFonts w:hint="eastAsia" w:ascii="仿宋" w:hAnsi="仿宋" w:eastAsia="仿宋" w:cs="仿宋"/>
                <w:kern w:val="0"/>
                <w:szCs w:val="21"/>
              </w:rPr>
              <w:sym w:font="Wingdings 2" w:char="0052"/>
            </w:r>
            <w:r>
              <w:rPr>
                <w:rFonts w:hint="eastAsia" w:ascii="仿宋" w:hAnsi="仿宋" w:eastAsia="仿宋" w:cs="仿宋"/>
                <w:kern w:val="0"/>
                <w:szCs w:val="21"/>
              </w:rPr>
              <w:t>服务承诺</w:t>
            </w:r>
          </w:p>
          <w:p>
            <w:pPr>
              <w:autoSpaceDE w:val="0"/>
              <w:autoSpaceDN w:val="0"/>
              <w:adjustRightInd w:val="0"/>
              <w:snapToGrid w:val="0"/>
              <w:jc w:val="left"/>
              <w:rPr>
                <w:rFonts w:ascii="仿宋" w:hAnsi="仿宋" w:eastAsia="仿宋" w:cs="仿宋"/>
                <w:kern w:val="0"/>
                <w:szCs w:val="21"/>
              </w:rPr>
            </w:pPr>
            <w:r>
              <w:rPr>
                <w:rFonts w:hint="eastAsia" w:ascii="仿宋" w:hAnsi="仿宋" w:eastAsia="仿宋" w:cs="仿宋"/>
                <w:kern w:val="0"/>
                <w:szCs w:val="21"/>
              </w:rPr>
              <w:t>□现场考察证明</w:t>
            </w:r>
          </w:p>
          <w:p>
            <w:pPr>
              <w:autoSpaceDE w:val="0"/>
              <w:autoSpaceDN w:val="0"/>
              <w:adjustRightInd w:val="0"/>
              <w:snapToGrid w:val="0"/>
              <w:jc w:val="left"/>
              <w:rPr>
                <w:rFonts w:ascii="仿宋" w:hAnsi="仿宋" w:eastAsia="仿宋" w:cs="仿宋"/>
                <w:kern w:val="0"/>
                <w:szCs w:val="21"/>
              </w:rPr>
            </w:pPr>
            <w:r>
              <w:rPr>
                <w:rFonts w:hint="eastAsia" w:ascii="仿宋" w:hAnsi="仿宋" w:eastAsia="仿宋" w:cs="仿宋"/>
                <w:snapToGrid w:val="0"/>
                <w:kern w:val="0"/>
                <w:szCs w:val="21"/>
              </w:rPr>
              <w:t>□</w:t>
            </w:r>
            <w:r>
              <w:rPr>
                <w:rFonts w:hint="eastAsia" w:ascii="仿宋" w:hAnsi="仿宋" w:eastAsia="仿宋" w:cs="仿宋"/>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4</w:t>
            </w:r>
          </w:p>
        </w:tc>
        <w:tc>
          <w:tcPr>
            <w:tcW w:w="2090" w:type="dxa"/>
            <w:shd w:val="clear" w:color="auto" w:fill="FFFFFF"/>
            <w:vAlign w:val="center"/>
          </w:tcPr>
          <w:p>
            <w:pPr>
              <w:autoSpaceDE w:val="0"/>
              <w:autoSpaceDN w:val="0"/>
              <w:adjustRightInd w:val="0"/>
              <w:snapToGrid w:val="0"/>
              <w:jc w:val="center"/>
              <w:rPr>
                <w:rFonts w:ascii="仿宋" w:hAnsi="仿宋" w:eastAsia="仿宋" w:cs="仿宋"/>
                <w:kern w:val="0"/>
                <w:szCs w:val="21"/>
              </w:rPr>
            </w:pPr>
            <w:r>
              <w:rPr>
                <w:rFonts w:hint="eastAsia" w:ascii="仿宋" w:hAnsi="仿宋" w:eastAsia="仿宋" w:cs="仿宋"/>
                <w:kern w:val="0"/>
                <w:szCs w:val="21"/>
              </w:rPr>
              <w:t>技术标部分</w:t>
            </w:r>
          </w:p>
        </w:tc>
        <w:tc>
          <w:tcPr>
            <w:tcW w:w="5746" w:type="dxa"/>
            <w:shd w:val="clear" w:color="auto" w:fill="FFFFFF"/>
            <w:vAlign w:val="center"/>
          </w:tcPr>
          <w:p>
            <w:pPr>
              <w:autoSpaceDE w:val="0"/>
              <w:autoSpaceDN w:val="0"/>
              <w:adjustRightInd w:val="0"/>
              <w:snapToGrid w:val="0"/>
              <w:jc w:val="left"/>
              <w:rPr>
                <w:rFonts w:ascii="仿宋" w:hAnsi="仿宋" w:eastAsia="仿宋" w:cs="仿宋"/>
                <w:kern w:val="0"/>
                <w:szCs w:val="21"/>
              </w:rPr>
            </w:pPr>
            <w:r>
              <w:rPr>
                <w:rFonts w:hint="eastAsia" w:ascii="仿宋" w:hAnsi="仿宋" w:eastAsia="仿宋" w:cs="仿宋"/>
                <w:kern w:val="0"/>
                <w:szCs w:val="21"/>
              </w:rPr>
              <w:t>编制内容：</w:t>
            </w:r>
          </w:p>
          <w:p>
            <w:pPr>
              <w:autoSpaceDE w:val="0"/>
              <w:autoSpaceDN w:val="0"/>
              <w:adjustRightInd w:val="0"/>
              <w:snapToGrid w:val="0"/>
              <w:textAlignment w:val="baseline"/>
              <w:rPr>
                <w:rFonts w:ascii="仿宋" w:hAnsi="仿宋" w:eastAsia="仿宋" w:cs="仿宋"/>
                <w:kern w:val="0"/>
                <w:szCs w:val="21"/>
              </w:rPr>
            </w:pPr>
            <w:r>
              <w:rPr>
                <w:rFonts w:hint="eastAsia" w:ascii="仿宋" w:hAnsi="仿宋" w:eastAsia="仿宋" w:cs="仿宋"/>
                <w:kern w:val="0"/>
                <w:szCs w:val="21"/>
              </w:rPr>
              <w:t>☑技术条款响应/偏离表</w:t>
            </w:r>
          </w:p>
          <w:p>
            <w:pPr>
              <w:autoSpaceDE w:val="0"/>
              <w:autoSpaceDN w:val="0"/>
              <w:adjustRightInd w:val="0"/>
              <w:snapToGrid w:val="0"/>
              <w:textAlignment w:val="baseline"/>
              <w:rPr>
                <w:rFonts w:ascii="仿宋" w:hAnsi="仿宋" w:eastAsia="仿宋" w:cs="仿宋"/>
                <w:kern w:val="0"/>
                <w:szCs w:val="21"/>
              </w:rPr>
            </w:pPr>
            <w:r>
              <w:rPr>
                <w:rFonts w:hint="eastAsia" w:ascii="仿宋" w:hAnsi="仿宋" w:eastAsia="仿宋" w:cs="仿宋"/>
                <w:kern w:val="0"/>
                <w:szCs w:val="21"/>
              </w:rPr>
              <w:t>☑技术（服务）方案</w:t>
            </w:r>
          </w:p>
          <w:p>
            <w:pPr>
              <w:autoSpaceDE w:val="0"/>
              <w:autoSpaceDN w:val="0"/>
              <w:adjustRightInd w:val="0"/>
              <w:snapToGrid w:val="0"/>
              <w:textAlignment w:val="baseline"/>
              <w:rPr>
                <w:rFonts w:ascii="仿宋" w:hAnsi="仿宋" w:eastAsia="仿宋" w:cs="仿宋"/>
                <w:kern w:val="0"/>
                <w:szCs w:val="21"/>
              </w:rPr>
            </w:pPr>
            <w:r>
              <w:rPr>
                <w:rFonts w:hint="eastAsia" w:ascii="仿宋" w:hAnsi="仿宋" w:eastAsia="仿宋" w:cs="仿宋"/>
                <w:kern w:val="0"/>
                <w:szCs w:val="21"/>
              </w:rPr>
              <w:sym w:font="Wingdings 2" w:char="0052"/>
            </w:r>
            <w:r>
              <w:rPr>
                <w:rFonts w:hint="eastAsia" w:ascii="仿宋" w:hAnsi="仿宋" w:eastAsia="仿宋" w:cs="仿宋"/>
                <w:kern w:val="0"/>
                <w:szCs w:val="21"/>
              </w:rPr>
              <w:t>项目管理及服务能力</w:t>
            </w:r>
          </w:p>
          <w:p>
            <w:pPr>
              <w:autoSpaceDE w:val="0"/>
              <w:autoSpaceDN w:val="0"/>
              <w:adjustRightInd w:val="0"/>
              <w:snapToGrid w:val="0"/>
              <w:textAlignment w:val="baseline"/>
              <w:rPr>
                <w:rFonts w:ascii="仿宋" w:hAnsi="仿宋" w:eastAsia="仿宋" w:cs="仿宋"/>
                <w:kern w:val="0"/>
                <w:szCs w:val="21"/>
              </w:rPr>
            </w:pPr>
            <w:r>
              <w:rPr>
                <w:rFonts w:hint="eastAsia" w:ascii="仿宋" w:hAnsi="仿宋" w:eastAsia="仿宋" w:cs="仿宋"/>
                <w:kern w:val="0"/>
                <w:szCs w:val="21"/>
              </w:rPr>
              <w:sym w:font="Wingdings 2" w:char="00A3"/>
            </w:r>
            <w:r>
              <w:rPr>
                <w:rFonts w:hint="eastAsia" w:ascii="仿宋" w:hAnsi="仿宋" w:eastAsia="仿宋" w:cs="仿宋"/>
                <w:kern w:val="0"/>
                <w:szCs w:val="21"/>
              </w:rPr>
              <w:t>售后服务承诺书</w:t>
            </w:r>
          </w:p>
          <w:p>
            <w:pPr>
              <w:autoSpaceDE w:val="0"/>
              <w:autoSpaceDN w:val="0"/>
              <w:adjustRightInd w:val="0"/>
              <w:snapToGrid w:val="0"/>
              <w:textAlignment w:val="baseline"/>
              <w:rPr>
                <w:rFonts w:ascii="仿宋" w:hAnsi="仿宋" w:eastAsia="仿宋" w:cs="仿宋"/>
                <w:kern w:val="0"/>
                <w:szCs w:val="21"/>
              </w:rPr>
            </w:pPr>
            <w:r>
              <w:rPr>
                <w:rFonts w:hint="eastAsia" w:ascii="仿宋" w:hAnsi="仿宋" w:eastAsia="仿宋" w:cs="仿宋"/>
                <w:kern w:val="0"/>
                <w:szCs w:val="21"/>
              </w:rPr>
              <w:sym w:font="Wingdings 2" w:char="0052"/>
            </w:r>
            <w:r>
              <w:rPr>
                <w:rFonts w:hint="eastAsia" w:ascii="仿宋" w:hAnsi="仿宋" w:eastAsia="仿宋" w:cs="仿宋"/>
                <w:kern w:val="0"/>
                <w:szCs w:val="21"/>
              </w:rPr>
              <w:t>项目团队成员简介、认证资格证书复印件、社保证明资料</w:t>
            </w:r>
          </w:p>
          <w:p>
            <w:pPr>
              <w:autoSpaceDE w:val="0"/>
              <w:autoSpaceDN w:val="0"/>
              <w:adjustRightInd w:val="0"/>
              <w:snapToGrid w:val="0"/>
              <w:jc w:val="left"/>
              <w:rPr>
                <w:rFonts w:ascii="仿宋" w:hAnsi="仿宋" w:eastAsia="仿宋" w:cs="仿宋"/>
                <w:kern w:val="0"/>
                <w:szCs w:val="21"/>
              </w:rPr>
            </w:pPr>
            <w:r>
              <w:rPr>
                <w:rFonts w:hint="eastAsia" w:ascii="仿宋" w:hAnsi="仿宋" w:eastAsia="仿宋" w:cs="仿宋"/>
                <w:kern w:val="0"/>
                <w:szCs w:val="21"/>
              </w:rPr>
              <w:sym w:font="Wingdings 2" w:char="00A3"/>
            </w:r>
            <w:r>
              <w:rPr>
                <w:rFonts w:hint="eastAsia" w:ascii="仿宋" w:hAnsi="仿宋" w:eastAsia="仿宋" w:cs="仿宋"/>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5</w:t>
            </w:r>
          </w:p>
        </w:tc>
        <w:tc>
          <w:tcPr>
            <w:tcW w:w="2090" w:type="dxa"/>
            <w:shd w:val="clear" w:color="auto" w:fill="FFFFFF"/>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价格标部分</w:t>
            </w:r>
          </w:p>
        </w:tc>
        <w:tc>
          <w:tcPr>
            <w:tcW w:w="5746" w:type="dxa"/>
            <w:shd w:val="clear" w:color="auto" w:fill="FFFFFF"/>
            <w:vAlign w:val="center"/>
          </w:tcPr>
          <w:p>
            <w:pPr>
              <w:autoSpaceDE w:val="0"/>
              <w:autoSpaceDN w:val="0"/>
              <w:adjustRightInd w:val="0"/>
              <w:snapToGrid w:val="0"/>
              <w:jc w:val="left"/>
              <w:rPr>
                <w:rFonts w:ascii="仿宋" w:hAnsi="仿宋" w:eastAsia="仿宋" w:cs="仿宋"/>
                <w:bCs/>
                <w:snapToGrid w:val="0"/>
                <w:kern w:val="0"/>
                <w:szCs w:val="21"/>
              </w:rPr>
            </w:pPr>
            <w:r>
              <w:rPr>
                <w:rFonts w:hint="eastAsia" w:ascii="仿宋" w:hAnsi="仿宋" w:eastAsia="仿宋" w:cs="仿宋"/>
                <w:bCs/>
                <w:snapToGrid w:val="0"/>
                <w:kern w:val="0"/>
                <w:szCs w:val="21"/>
              </w:rPr>
              <w:t>编制内容：</w:t>
            </w:r>
          </w:p>
          <w:p>
            <w:pPr>
              <w:autoSpaceDE w:val="0"/>
              <w:autoSpaceDN w:val="0"/>
              <w:adjustRightInd w:val="0"/>
              <w:snapToGrid w:val="0"/>
              <w:textAlignment w:val="baseline"/>
              <w:rPr>
                <w:rFonts w:ascii="仿宋" w:hAnsi="仿宋" w:eastAsia="仿宋" w:cs="仿宋"/>
                <w:kern w:val="0"/>
                <w:szCs w:val="21"/>
              </w:rPr>
            </w:pPr>
            <w:r>
              <w:rPr>
                <w:rFonts w:hint="eastAsia" w:ascii="仿宋" w:hAnsi="仿宋" w:eastAsia="仿宋" w:cs="仿宋"/>
                <w:kern w:val="0"/>
                <w:szCs w:val="21"/>
              </w:rPr>
              <w:t>☑投标一览表</w:t>
            </w:r>
          </w:p>
          <w:p>
            <w:pPr>
              <w:autoSpaceDE w:val="0"/>
              <w:autoSpaceDN w:val="0"/>
              <w:adjustRightInd w:val="0"/>
              <w:snapToGrid w:val="0"/>
              <w:textAlignment w:val="baseline"/>
              <w:rPr>
                <w:rFonts w:ascii="仿宋" w:hAnsi="仿宋" w:eastAsia="仿宋" w:cs="仿宋"/>
                <w:kern w:val="0"/>
                <w:szCs w:val="21"/>
              </w:rPr>
            </w:pPr>
            <w:r>
              <w:rPr>
                <w:rFonts w:hint="eastAsia" w:ascii="仿宋" w:hAnsi="仿宋" w:eastAsia="仿宋" w:cs="仿宋"/>
                <w:kern w:val="0"/>
                <w:szCs w:val="21"/>
              </w:rPr>
              <w:t>☑报价一览表</w:t>
            </w:r>
          </w:p>
          <w:p>
            <w:pPr>
              <w:autoSpaceDE w:val="0"/>
              <w:autoSpaceDN w:val="0"/>
              <w:adjustRightInd w:val="0"/>
              <w:snapToGrid w:val="0"/>
              <w:jc w:val="left"/>
              <w:rPr>
                <w:rFonts w:ascii="仿宋" w:hAnsi="仿宋" w:eastAsia="仿宋" w:cs="仿宋"/>
                <w:snapToGrid w:val="0"/>
                <w:kern w:val="0"/>
                <w:szCs w:val="21"/>
              </w:rPr>
            </w:pPr>
            <w:r>
              <w:rPr>
                <w:rFonts w:hint="eastAsia" w:ascii="仿宋" w:hAnsi="仿宋" w:eastAsia="仿宋" w:cs="仿宋"/>
                <w:snapToGrid w:val="0"/>
                <w:kern w:val="0"/>
                <w:szCs w:val="21"/>
              </w:rPr>
              <w:sym w:font="Wingdings 2" w:char="00A3"/>
            </w:r>
            <w:r>
              <w:rPr>
                <w:rFonts w:hint="eastAsia" w:ascii="仿宋" w:hAnsi="仿宋" w:eastAsia="仿宋" w:cs="仿宋"/>
                <w:szCs w:val="21"/>
              </w:rPr>
              <w:t>其他：</w:t>
            </w:r>
          </w:p>
        </w:tc>
      </w:tr>
    </w:tbl>
    <w:p>
      <w:pPr>
        <w:numPr>
          <w:ilvl w:val="255"/>
          <w:numId w:val="0"/>
        </w:numPr>
        <w:spacing w:line="560" w:lineRule="exact"/>
        <w:outlineLvl w:val="1"/>
        <w:rPr>
          <w:rFonts w:ascii="仿宋" w:hAnsi="仿宋" w:eastAsia="仿宋" w:cs="仿宋"/>
          <w:b/>
          <w:szCs w:val="21"/>
        </w:rPr>
      </w:pPr>
    </w:p>
    <w:p>
      <w:pPr>
        <w:numPr>
          <w:ilvl w:val="0"/>
          <w:numId w:val="1"/>
        </w:numPr>
        <w:spacing w:line="560" w:lineRule="exact"/>
        <w:outlineLvl w:val="1"/>
        <w:rPr>
          <w:rFonts w:ascii="仿宋" w:hAnsi="仿宋" w:eastAsia="仿宋" w:cs="仿宋"/>
          <w:b/>
          <w:szCs w:val="21"/>
        </w:rPr>
      </w:pPr>
      <w:bookmarkStart w:id="36" w:name="_Toc21052"/>
      <w:r>
        <w:rPr>
          <w:rFonts w:hint="eastAsia" w:ascii="仿宋" w:hAnsi="仿宋" w:eastAsia="仿宋" w:cs="仿宋"/>
          <w:b/>
          <w:szCs w:val="21"/>
        </w:rPr>
        <w:t>项目要求及数量</w:t>
      </w:r>
      <w:bookmarkEnd w:id="36"/>
    </w:p>
    <w:tbl>
      <w:tblPr>
        <w:tblStyle w:val="15"/>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仿宋" w:hAnsi="仿宋" w:eastAsia="仿宋" w:cs="仿宋"/>
                <w:b/>
                <w:szCs w:val="21"/>
              </w:rPr>
            </w:pPr>
            <w:r>
              <w:rPr>
                <w:rFonts w:hint="eastAsia" w:ascii="仿宋" w:hAnsi="仿宋" w:eastAsia="仿宋" w:cs="仿宋"/>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仿宋" w:hAnsi="仿宋" w:eastAsia="仿宋" w:cs="仿宋"/>
                <w:szCs w:val="21"/>
              </w:rPr>
            </w:pPr>
            <w:r>
              <w:rPr>
                <w:rFonts w:hint="eastAsia" w:ascii="仿宋" w:hAnsi="仿宋" w:eastAsia="仿宋" w:cs="仿宋"/>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0" w:firstLine="0"/>
              <w:rPr>
                <w:rFonts w:ascii="仿宋" w:hAnsi="仿宋" w:eastAsia="仿宋" w:cs="仿宋"/>
              </w:rPr>
            </w:pPr>
            <w:r>
              <w:rPr>
                <w:rFonts w:hint="eastAsia" w:ascii="仿宋" w:hAnsi="仿宋" w:eastAsia="仿宋" w:cs="仿宋"/>
              </w:rPr>
              <w:t>投标人必须是在中华人民共和国境内注册且合法运作的企业，在法律和财务上独立。（提供企业营业执照扫描件，并加盖投标人公章。）</w:t>
            </w:r>
          </w:p>
          <w:p>
            <w:pPr>
              <w:numPr>
                <w:ilvl w:val="0"/>
                <w:numId w:val="10"/>
              </w:numPr>
              <w:tabs>
                <w:tab w:val="left" w:pos="531"/>
              </w:tabs>
              <w:snapToGrid w:val="0"/>
              <w:ind w:left="0" w:firstLine="0"/>
              <w:rPr>
                <w:rFonts w:ascii="仿宋" w:hAnsi="仿宋" w:eastAsia="仿宋" w:cs="仿宋"/>
              </w:rPr>
            </w:pPr>
            <w:r>
              <w:rPr>
                <w:rFonts w:hint="eastAsia" w:ascii="仿宋" w:hAnsi="仿宋" w:eastAsia="仿宋" w:cs="仿宋"/>
              </w:rPr>
              <w:t>投标人必须无未改正的经营异常信息、无严重违法失信记录。(提供国家企业信用信息公示系统（www.gsxt.gov.cn)公示的企业基础信息、经营异常信息、严重违法失信记录等信息查询页面打印件，并加盖投标人公章。）须同时提供《履约情况及社会信誉承诺书》（格式详见附件13）。</w:t>
            </w:r>
          </w:p>
          <w:p>
            <w:pPr>
              <w:numPr>
                <w:ilvl w:val="0"/>
                <w:numId w:val="10"/>
              </w:numPr>
              <w:tabs>
                <w:tab w:val="left" w:pos="531"/>
              </w:tabs>
              <w:snapToGrid w:val="0"/>
              <w:ind w:left="0" w:firstLine="0"/>
              <w:rPr>
                <w:rFonts w:ascii="仿宋" w:hAnsi="仿宋" w:eastAsia="仿宋" w:cs="仿宋"/>
              </w:rPr>
            </w:pPr>
            <w:r>
              <w:rPr>
                <w:rFonts w:hint="eastAsia" w:ascii="仿宋" w:hAnsi="仿宋" w:eastAsia="仿宋" w:cs="仿宋"/>
              </w:rPr>
              <w:t>投标人必须提供2019年6月1日至采购公告发布之日（以合同签订时间为准）不少于2个可证明其专业实力的双微平台运营案例，提供合同关键页复印件（合同关键页包含但不限于项目名称、业主方名称、合同主要内容、签订时间、履约地点、甲乙双方盖章等信息）及案例情况陈述（可包括策划方案介绍、图文及设计展示、运营效果、活动效果）、网址、公众号等证明资料。以上证明资料加盖</w:t>
            </w:r>
            <w:r>
              <w:rPr>
                <w:rFonts w:hint="eastAsia" w:ascii="仿宋" w:hAnsi="仿宋" w:eastAsia="仿宋" w:cs="仿宋"/>
                <w:lang w:val="en-US" w:eastAsia="zh-CN"/>
              </w:rPr>
              <w:t>投标人</w:t>
            </w:r>
            <w:r>
              <w:rPr>
                <w:rFonts w:hint="eastAsia" w:ascii="仿宋" w:hAnsi="仿宋" w:eastAsia="仿宋" w:cs="仿宋"/>
              </w:rPr>
              <w:t>公章。</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仿宋" w:hAnsi="仿宋" w:eastAsia="仿宋" w:cs="仿宋"/>
                <w:snapToGrid/>
                <w:spacing w:val="0"/>
                <w:kern w:val="2"/>
                <w:sz w:val="21"/>
                <w:szCs w:val="21"/>
              </w:rPr>
            </w:pPr>
            <w:r>
              <w:rPr>
                <w:rFonts w:hint="eastAsia" w:ascii="仿宋" w:hAnsi="仿宋" w:eastAsia="仿宋" w:cs="仿宋"/>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center"/>
              <w:rPr>
                <w:rFonts w:ascii="仿宋" w:hAnsi="仿宋" w:eastAsia="仿宋" w:cs="仿宋"/>
                <w:szCs w:val="21"/>
              </w:rPr>
            </w:pPr>
            <w:r>
              <w:rPr>
                <w:rFonts w:hint="eastAsia" w:ascii="仿宋" w:hAnsi="仿宋" w:eastAsia="仿宋" w:cs="仿宋"/>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rFonts w:ascii="仿宋" w:hAnsi="仿宋" w:eastAsia="仿宋" w:cs="仿宋"/>
                <w:szCs w:val="21"/>
              </w:rPr>
            </w:pPr>
            <w:r>
              <w:rPr>
                <w:rFonts w:hint="eastAsia" w:ascii="仿宋" w:hAnsi="仿宋" w:eastAsia="仿宋" w:cs="仿宋"/>
                <w:szCs w:val="21"/>
              </w:rPr>
              <w:t>投标人必须按照本项目要求提供总报价及详细分项报价清单。</w:t>
            </w:r>
          </w:p>
          <w:p>
            <w:pPr>
              <w:numPr>
                <w:ilvl w:val="0"/>
                <w:numId w:val="11"/>
              </w:numPr>
              <w:tabs>
                <w:tab w:val="left" w:pos="531"/>
              </w:tabs>
              <w:snapToGrid w:val="0"/>
              <w:ind w:left="0" w:firstLine="0"/>
              <w:rPr>
                <w:rFonts w:ascii="仿宋" w:hAnsi="仿宋" w:eastAsia="仿宋" w:cs="仿宋"/>
                <w:szCs w:val="21"/>
              </w:rPr>
            </w:pPr>
            <w:r>
              <w:rPr>
                <w:rFonts w:hint="eastAsia" w:ascii="仿宋" w:hAnsi="仿宋" w:eastAsia="仿宋" w:cs="仿宋"/>
                <w:szCs w:val="21"/>
              </w:rPr>
              <w:t>本项目报价以人民币为结算币种，报价含增值税（要求开具增值税专用发票）、策划费、撰写费、设计费、制作费、推广费、人工费等完成本项目内容所需的一切费用。</w:t>
            </w:r>
          </w:p>
          <w:p>
            <w:pPr>
              <w:numPr>
                <w:ilvl w:val="0"/>
                <w:numId w:val="11"/>
              </w:numPr>
              <w:tabs>
                <w:tab w:val="left" w:pos="531"/>
              </w:tabs>
              <w:snapToGrid w:val="0"/>
              <w:ind w:left="0" w:firstLine="0"/>
              <w:rPr>
                <w:rFonts w:ascii="仿宋" w:hAnsi="仿宋" w:eastAsia="仿宋" w:cs="仿宋"/>
                <w:szCs w:val="21"/>
              </w:rPr>
            </w:pPr>
            <w:r>
              <w:rPr>
                <w:rFonts w:hint="eastAsia" w:ascii="仿宋" w:hAnsi="仿宋" w:eastAsia="仿宋" w:cs="仿宋"/>
                <w:szCs w:val="21"/>
              </w:rPr>
              <w:t>本次投标的费用由投标人自理。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仿宋" w:hAnsi="仿宋" w:eastAsia="仿宋" w:cs="仿宋"/>
                <w:snapToGrid/>
                <w:spacing w:val="0"/>
                <w:kern w:val="2"/>
                <w:sz w:val="21"/>
                <w:szCs w:val="21"/>
              </w:rPr>
            </w:pPr>
            <w:r>
              <w:rPr>
                <w:rFonts w:hint="eastAsia" w:ascii="仿宋" w:hAnsi="仿宋" w:eastAsia="仿宋" w:cs="仿宋"/>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仿宋" w:hAnsi="仿宋" w:eastAsia="仿宋" w:cs="仿宋"/>
                <w:color w:val="FF0000"/>
                <w:szCs w:val="21"/>
              </w:rPr>
            </w:pPr>
            <w:r>
              <w:rPr>
                <w:rFonts w:hint="eastAsia" w:ascii="仿宋" w:hAnsi="仿宋" w:eastAsia="仿宋" w:cs="仿宋"/>
                <w:szCs w:val="21"/>
              </w:rPr>
              <w:t>本项目采购控制金额为人民币20万元（含税），报价超过上述控制金额的投标文件作废标处理。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仿宋" w:hAnsi="仿宋" w:eastAsia="仿宋" w:cs="仿宋"/>
                <w:snapToGrid/>
                <w:spacing w:val="0"/>
                <w:kern w:val="2"/>
                <w:sz w:val="21"/>
                <w:szCs w:val="21"/>
              </w:rPr>
            </w:pPr>
            <w:r>
              <w:rPr>
                <w:rFonts w:hint="eastAsia" w:ascii="仿宋" w:hAnsi="仿宋" w:eastAsia="仿宋" w:cs="仿宋"/>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0"/>
                <w:tab w:val="left" w:pos="526"/>
              </w:tabs>
              <w:snapToGrid w:val="0"/>
              <w:ind w:left="0" w:firstLine="0"/>
              <w:rPr>
                <w:rFonts w:ascii="仿宋" w:hAnsi="仿宋" w:eastAsia="仿宋" w:cs="仿宋"/>
              </w:rPr>
            </w:pPr>
            <w:r>
              <w:rPr>
                <w:rFonts w:hint="eastAsia" w:ascii="仿宋" w:hAnsi="仿宋" w:eastAsia="仿宋" w:cs="仿宋"/>
              </w:rPr>
              <w:t>本项目按年度分</w:t>
            </w:r>
            <w:r>
              <w:rPr>
                <w:rFonts w:hint="eastAsia" w:ascii="仿宋" w:hAnsi="仿宋" w:eastAsia="仿宋" w:cs="仿宋"/>
                <w:b/>
                <w:bCs/>
              </w:rPr>
              <w:t>二</w:t>
            </w:r>
            <w:r>
              <w:rPr>
                <w:rFonts w:hint="eastAsia" w:ascii="仿宋" w:hAnsi="仿宋" w:eastAsia="仿宋" w:cs="仿宋"/>
              </w:rPr>
              <w:t>次付款，双方签订合同后招标人向中标人支付年度合同金额的25%。</w:t>
            </w:r>
          </w:p>
          <w:p>
            <w:pPr>
              <w:numPr>
                <w:ilvl w:val="0"/>
                <w:numId w:val="12"/>
              </w:numPr>
              <w:tabs>
                <w:tab w:val="left" w:pos="0"/>
                <w:tab w:val="left" w:pos="526"/>
              </w:tabs>
              <w:snapToGrid w:val="0"/>
              <w:ind w:left="0" w:firstLine="0"/>
              <w:rPr>
                <w:rFonts w:ascii="仿宋" w:hAnsi="仿宋" w:eastAsia="仿宋" w:cs="仿宋"/>
              </w:rPr>
            </w:pPr>
            <w:r>
              <w:rPr>
                <w:rFonts w:hint="eastAsia" w:ascii="仿宋" w:hAnsi="仿宋" w:eastAsia="仿宋" w:cs="仿宋"/>
              </w:rPr>
              <w:t>年度合同期满前，中标人须提前1个月提交该年度的代运营工作总结，招标人根据中标人提交的本期工作总结，结合合同要求，审核并确认后向中标人支付年度合同金额的75%。</w:t>
            </w:r>
          </w:p>
          <w:p>
            <w:pPr>
              <w:numPr>
                <w:ilvl w:val="0"/>
                <w:numId w:val="12"/>
              </w:numPr>
              <w:tabs>
                <w:tab w:val="left" w:pos="0"/>
                <w:tab w:val="left" w:pos="526"/>
              </w:tabs>
              <w:snapToGrid w:val="0"/>
              <w:ind w:left="0" w:firstLine="0"/>
              <w:rPr>
                <w:rFonts w:ascii="仿宋" w:hAnsi="仿宋" w:eastAsia="仿宋" w:cs="仿宋"/>
              </w:rPr>
            </w:pPr>
            <w:r>
              <w:rPr>
                <w:rFonts w:hint="eastAsia" w:ascii="仿宋" w:hAnsi="仿宋" w:eastAsia="仿宋" w:cs="仿宋"/>
              </w:rPr>
              <w:t>如每年总结中标人未能达成</w:t>
            </w:r>
            <w:r>
              <w:rPr>
                <w:rFonts w:hint="eastAsia" w:ascii="仿宋" w:hAnsi="仿宋" w:eastAsia="仿宋" w:cs="仿宋"/>
                <w:lang w:val="en-US" w:eastAsia="zh-CN"/>
              </w:rPr>
              <w:t>投标人所承诺的</w:t>
            </w:r>
            <w:r>
              <w:rPr>
                <w:rFonts w:hint="eastAsia" w:ascii="仿宋" w:hAnsi="仿宋" w:eastAsia="仿宋" w:cs="仿宋"/>
              </w:rPr>
              <w:t>本项相关运营工作指标，且影响整体工作成效，经审核确认无误，招标人将扣除年度合同金额的5%。</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仿宋" w:hAnsi="仿宋" w:eastAsia="仿宋" w:cs="仿宋"/>
                <w:szCs w:val="21"/>
              </w:rPr>
            </w:pPr>
            <w:r>
              <w:rPr>
                <w:rFonts w:hint="eastAsia" w:ascii="仿宋" w:hAnsi="仿宋" w:eastAsia="仿宋" w:cs="仿宋"/>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仿宋" w:hAnsi="仿宋" w:eastAsia="仿宋" w:cs="仿宋"/>
                <w:snapToGrid/>
                <w:spacing w:val="0"/>
                <w:kern w:val="2"/>
                <w:sz w:val="21"/>
                <w:szCs w:val="21"/>
              </w:rPr>
            </w:pPr>
            <w:r>
              <w:rPr>
                <w:rFonts w:hint="eastAsia" w:ascii="仿宋" w:hAnsi="仿宋" w:eastAsia="仿宋" w:cs="仿宋"/>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highlight w:val="none"/>
              </w:rPr>
              <w:t>服务期</w:t>
            </w:r>
            <w:r>
              <w:rPr>
                <w:rFonts w:hint="eastAsia" w:ascii="仿宋" w:hAnsi="仿宋" w:eastAsia="仿宋" w:cs="仿宋"/>
              </w:rPr>
              <w:t>限</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3"/>
              </w:numPr>
              <w:tabs>
                <w:tab w:val="left" w:pos="0"/>
                <w:tab w:val="left" w:pos="526"/>
              </w:tabs>
              <w:snapToGrid w:val="0"/>
              <w:ind w:left="0" w:firstLine="0"/>
              <w:rPr>
                <w:rFonts w:ascii="仿宋" w:hAnsi="仿宋" w:eastAsia="仿宋" w:cs="仿宋"/>
              </w:rPr>
            </w:pPr>
            <w:r>
              <w:rPr>
                <w:rFonts w:hint="eastAsia" w:ascii="仿宋" w:hAnsi="仿宋" w:eastAsia="仿宋" w:cs="仿宋"/>
              </w:rPr>
              <w:t>本项目服务时间为“中</w:t>
            </w:r>
            <w:r>
              <w:rPr>
                <w:rFonts w:hint="eastAsia" w:ascii="仿宋" w:hAnsi="仿宋" w:eastAsia="仿宋" w:cs="仿宋"/>
                <w:lang w:val="en-US" w:eastAsia="zh-CN"/>
              </w:rPr>
              <w:t>标</w:t>
            </w:r>
            <w:r>
              <w:rPr>
                <w:rFonts w:hint="eastAsia" w:ascii="仿宋" w:hAnsi="仿宋" w:eastAsia="仿宋" w:cs="仿宋"/>
              </w:rPr>
              <w:t>通知书”发放第二日起（鉴于新冠病毒疫情，中标通知书的发放形式不限于电子邮件、签收、快递等形式），共计服务时间为24个月（2年）。最终服务起止时间以合同条款为准。</w:t>
            </w:r>
          </w:p>
          <w:p>
            <w:pPr>
              <w:numPr>
                <w:ilvl w:val="0"/>
                <w:numId w:val="13"/>
              </w:numPr>
              <w:tabs>
                <w:tab w:val="left" w:pos="0"/>
                <w:tab w:val="left" w:pos="526"/>
              </w:tabs>
              <w:snapToGrid w:val="0"/>
              <w:ind w:left="0" w:firstLine="0"/>
              <w:rPr>
                <w:rFonts w:ascii="仿宋" w:hAnsi="仿宋" w:eastAsia="仿宋" w:cs="仿宋"/>
              </w:rPr>
            </w:pPr>
            <w:r>
              <w:rPr>
                <w:rFonts w:hint="eastAsia" w:ascii="仿宋" w:hAnsi="仿宋" w:eastAsia="仿宋" w:cs="仿宋"/>
              </w:rPr>
              <w:t>第一年服务期满前1个月，投标人应主动向招标人申请对其年度服务进行考核评审，招标人将根据其服务质量、各项承诺兑现情况等因素进行考核评审，如考核评审达到</w:t>
            </w:r>
            <w:r>
              <w:rPr>
                <w:rFonts w:hint="eastAsia" w:ascii="仿宋" w:hAnsi="仿宋" w:eastAsia="仿宋" w:cs="仿宋"/>
                <w:color w:val="FF0000"/>
                <w:lang w:val="en-US" w:eastAsia="zh-CN"/>
              </w:rPr>
              <w:t>良好</w:t>
            </w:r>
            <w:r>
              <w:rPr>
                <w:rFonts w:hint="eastAsia" w:ascii="仿宋" w:hAnsi="仿宋" w:eastAsia="仿宋" w:cs="仿宋"/>
              </w:rPr>
              <w:t>（综合评分≥</w:t>
            </w:r>
            <w:r>
              <w:rPr>
                <w:rFonts w:hint="eastAsia" w:ascii="宋体" w:hAnsi="宋体" w:cs="宋体"/>
                <w:lang w:val="en-US" w:eastAsia="zh-CN"/>
              </w:rPr>
              <w:t>8</w:t>
            </w:r>
            <w:r>
              <w:rPr>
                <w:rFonts w:hint="eastAsia" w:ascii="仿宋" w:hAnsi="仿宋" w:eastAsia="仿宋" w:cs="仿宋"/>
              </w:rPr>
              <w:t>0分），则继续执行第二年合同，如考核评审未达到</w:t>
            </w:r>
            <w:r>
              <w:rPr>
                <w:rFonts w:hint="eastAsia" w:ascii="仿宋" w:hAnsi="仿宋" w:eastAsia="仿宋" w:cs="仿宋"/>
                <w:color w:val="FF0000"/>
                <w:lang w:val="en-US" w:eastAsia="zh-CN"/>
              </w:rPr>
              <w:t>良好</w:t>
            </w:r>
            <w:r>
              <w:rPr>
                <w:rFonts w:hint="eastAsia" w:ascii="仿宋" w:hAnsi="仿宋" w:eastAsia="仿宋" w:cs="仿宋"/>
              </w:rPr>
              <w:t>，招标人有权在第一年服务期满时终止合同。具体考核办法详见附件2《“高交会观众服务”微信公众号和微博号代运营服务项目考核评价表》。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仿宋" w:hAnsi="仿宋" w:eastAsia="仿宋" w:cs="仿宋"/>
                <w:snapToGrid/>
                <w:spacing w:val="0"/>
                <w:kern w:val="2"/>
                <w:sz w:val="21"/>
                <w:szCs w:val="21"/>
              </w:rPr>
            </w:pPr>
            <w:r>
              <w:rPr>
                <w:rFonts w:hint="eastAsia" w:ascii="仿宋" w:hAnsi="仿宋" w:eastAsia="仿宋" w:cs="仿宋"/>
                <w:snapToGrid/>
                <w:spacing w:val="0"/>
                <w:kern w:val="2"/>
                <w:sz w:val="21"/>
                <w:szCs w:val="21"/>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知识产权</w:t>
            </w:r>
          </w:p>
          <w:p>
            <w:pPr>
              <w:jc w:val="center"/>
              <w:rPr>
                <w:rFonts w:ascii="仿宋" w:hAnsi="仿宋" w:eastAsia="仿宋" w:cs="仿宋"/>
                <w:szCs w:val="21"/>
              </w:rPr>
            </w:pPr>
            <w:r>
              <w:rPr>
                <w:rFonts w:hint="eastAsia" w:ascii="仿宋" w:hAnsi="仿宋" w:eastAsia="仿宋" w:cs="仿宋"/>
              </w:rPr>
              <w:t>归属</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4"/>
              </w:numPr>
              <w:tabs>
                <w:tab w:val="left" w:pos="0"/>
                <w:tab w:val="left" w:pos="526"/>
              </w:tabs>
              <w:snapToGrid w:val="0"/>
              <w:ind w:left="0" w:firstLine="0"/>
              <w:rPr>
                <w:rFonts w:ascii="仿宋" w:hAnsi="仿宋" w:eastAsia="仿宋" w:cs="仿宋"/>
              </w:rPr>
            </w:pPr>
            <w:r>
              <w:rPr>
                <w:rFonts w:hint="eastAsia" w:ascii="仿宋" w:hAnsi="仿宋" w:eastAsia="仿宋" w:cs="仿宋"/>
                <w:szCs w:val="21"/>
              </w:rPr>
              <w:t>本项目所有成果版权归招标单位所有。</w:t>
            </w:r>
          </w:p>
          <w:p>
            <w:pPr>
              <w:numPr>
                <w:ilvl w:val="0"/>
                <w:numId w:val="14"/>
              </w:numPr>
              <w:tabs>
                <w:tab w:val="left" w:pos="0"/>
                <w:tab w:val="left" w:pos="526"/>
              </w:tabs>
              <w:snapToGrid w:val="0"/>
              <w:ind w:left="0" w:firstLine="0"/>
              <w:rPr>
                <w:rFonts w:ascii="仿宋" w:hAnsi="仿宋" w:eastAsia="仿宋" w:cs="仿宋"/>
              </w:rPr>
            </w:pPr>
            <w:r>
              <w:rPr>
                <w:rFonts w:hint="eastAsia" w:ascii="仿宋" w:hAnsi="仿宋" w:eastAsia="仿宋" w:cs="仿宋"/>
                <w:szCs w:val="21"/>
              </w:rPr>
              <w:t>中标人必须保证对运营、设计、平台建设等内容拥有知识产权或其合法使用授权，不得有欺骗、抄袭等侵权行为。若中标人因违法违规等行为所带来的法律责任与招标人无关，如果对招标人造成损失的应当赔偿招标人损失。</w:t>
            </w:r>
          </w:p>
          <w:p>
            <w:pPr>
              <w:numPr>
                <w:ilvl w:val="0"/>
                <w:numId w:val="14"/>
              </w:numPr>
              <w:tabs>
                <w:tab w:val="left" w:pos="0"/>
                <w:tab w:val="left" w:pos="526"/>
              </w:tabs>
              <w:snapToGrid w:val="0"/>
              <w:ind w:left="0" w:firstLine="0"/>
              <w:rPr>
                <w:rFonts w:ascii="仿宋" w:hAnsi="仿宋" w:eastAsia="仿宋" w:cs="仿宋"/>
              </w:rPr>
            </w:pPr>
            <w:r>
              <w:rPr>
                <w:rFonts w:hint="eastAsia" w:ascii="仿宋" w:hAnsi="仿宋" w:eastAsia="仿宋" w:cs="仿宋"/>
                <w:szCs w:val="21"/>
              </w:rPr>
              <w:t>中标人必须保证招标人在使用项目成果的任何一部分时免受第三方提出的涉及侵犯知识产权的诉讼，由此带来的任何法律和经济赔偿责任均由中标人自行承担，与招标人无关。</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仿宋" w:hAnsi="仿宋" w:eastAsia="仿宋" w:cs="仿宋"/>
                <w:szCs w:val="21"/>
              </w:rPr>
            </w:pPr>
            <w:r>
              <w:rPr>
                <w:rFonts w:hint="eastAsia" w:ascii="仿宋" w:hAnsi="仿宋" w:eastAsia="仿宋" w:cs="仿宋"/>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（二）技术/服务需求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仿宋" w:hAnsi="仿宋" w:eastAsia="仿宋" w:cs="仿宋"/>
                <w:b/>
                <w:szCs w:val="21"/>
              </w:rPr>
            </w:pPr>
            <w:r>
              <w:rPr>
                <w:rFonts w:hint="eastAsia" w:ascii="仿宋" w:hAnsi="仿宋" w:eastAsia="仿宋" w:cs="仿宋"/>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仿宋" w:hAnsi="仿宋" w:eastAsia="仿宋" w:cs="仿宋"/>
                <w:snapToGrid/>
                <w:spacing w:val="0"/>
                <w:kern w:val="2"/>
                <w:sz w:val="21"/>
                <w:szCs w:val="21"/>
              </w:rPr>
            </w:pPr>
            <w:r>
              <w:rPr>
                <w:rFonts w:hint="eastAsia" w:ascii="仿宋" w:hAnsi="仿宋" w:eastAsia="仿宋" w:cs="仿宋"/>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FF0000"/>
                <w:szCs w:val="21"/>
              </w:rPr>
            </w:pPr>
            <w:r>
              <w:rPr>
                <w:rFonts w:hint="eastAsia" w:ascii="仿宋" w:hAnsi="仿宋" w:eastAsia="仿宋" w:cs="仿宋"/>
              </w:rPr>
              <w:t>采购背景</w:t>
            </w:r>
          </w:p>
        </w:tc>
        <w:tc>
          <w:tcPr>
            <w:tcW w:w="74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420" w:firstLineChars="200"/>
              <w:rPr>
                <w:rFonts w:ascii="仿宋" w:hAnsi="仿宋" w:eastAsia="仿宋" w:cs="仿宋"/>
                <w:szCs w:val="21"/>
              </w:rPr>
            </w:pPr>
            <w:r>
              <w:rPr>
                <w:rFonts w:hint="eastAsia" w:ascii="仿宋" w:hAnsi="仿宋" w:eastAsia="仿宋" w:cs="仿宋"/>
                <w:szCs w:val="21"/>
              </w:rPr>
              <w:t>中国国际高新技术成果交易会（以下简称高交会）是集成果交易、产品展示、高层论坛、项目招商、合作交流于一体的中国最大规模、最具影响力的大型科技类展会，自1999年首次举办以来，已经成功举办了二十三届，有“中国科技第一展”之称。</w:t>
            </w:r>
          </w:p>
          <w:p>
            <w:pPr>
              <w:tabs>
                <w:tab w:val="left" w:pos="531"/>
              </w:tabs>
              <w:snapToGrid w:val="0"/>
              <w:rPr>
                <w:rFonts w:ascii="仿宋" w:hAnsi="仿宋" w:eastAsia="仿宋" w:cs="仿宋"/>
                <w:color w:val="FF0000"/>
              </w:rPr>
            </w:pPr>
            <w:r>
              <w:rPr>
                <w:rFonts w:hint="eastAsia" w:ascii="仿宋" w:hAnsi="仿宋" w:eastAsia="仿宋" w:cs="仿宋"/>
                <w:szCs w:val="21"/>
              </w:rPr>
              <w:t>名称为“高交会观众服务”（ID为：CHTFVisitorService）的微信公众号、新浪微博号主要为高交会观众提供大会服务资讯，计划全年不停更，定期发布信息、及时回应互动、提供更多高效便捷的观众信息服务。</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仿宋" w:hAnsi="仿宋" w:eastAsia="仿宋" w:cs="仿宋"/>
                <w:color w:val="FF0000"/>
                <w:szCs w:val="21"/>
              </w:rPr>
            </w:pPr>
            <w:r>
              <w:rPr>
                <w:rFonts w:hint="eastAsia" w:ascii="仿宋" w:hAnsi="仿宋" w:eastAsia="仿宋" w:cs="仿宋"/>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仿宋" w:hAnsi="仿宋" w:eastAsia="仿宋" w:cs="仿宋"/>
                <w:snapToGrid/>
                <w:spacing w:val="0"/>
                <w:kern w:val="2"/>
                <w:sz w:val="21"/>
                <w:szCs w:val="21"/>
              </w:rPr>
            </w:pPr>
            <w:r>
              <w:rPr>
                <w:rFonts w:hint="eastAsia" w:ascii="仿宋" w:hAnsi="仿宋" w:eastAsia="仿宋" w:cs="仿宋"/>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FF0000"/>
                <w:szCs w:val="21"/>
              </w:rPr>
            </w:pPr>
            <w:r>
              <w:rPr>
                <w:rFonts w:hint="eastAsia" w:ascii="仿宋" w:hAnsi="仿宋" w:eastAsia="仿宋" w:cs="仿宋"/>
              </w:rPr>
              <w:t>采购目的</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仿宋" w:hAnsi="仿宋" w:eastAsia="仿宋" w:cs="仿宋"/>
                <w:color w:val="FF0000"/>
              </w:rPr>
            </w:pPr>
            <w:r>
              <w:rPr>
                <w:rFonts w:hint="eastAsia" w:ascii="仿宋" w:hAnsi="仿宋" w:eastAsia="仿宋" w:cs="仿宋"/>
                <w:szCs w:val="21"/>
              </w:rPr>
              <w:t>为做好高交会专业观众日常邀请及推广引流工作，并使高交会观众服务双微号运营更规范化和专业化，提升平台发布内容质量，保障平台持续有序运行，现拟采购熟悉社交媒体及社群运维，有丰富代运营经验和服务意识好的服务商进行合作，负责高交会观众服务双微的代理运营及维护管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FF0000"/>
                <w:szCs w:val="21"/>
              </w:rPr>
            </w:pPr>
            <w:r>
              <w:rPr>
                <w:rFonts w:hint="eastAsia" w:ascii="仿宋" w:hAnsi="仿宋" w:eastAsia="仿宋" w:cs="仿宋"/>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仿宋" w:hAnsi="仿宋" w:eastAsia="仿宋" w:cs="仿宋"/>
                <w:snapToGrid/>
                <w:spacing w:val="0"/>
                <w:kern w:val="2"/>
                <w:sz w:val="21"/>
                <w:szCs w:val="21"/>
              </w:rPr>
            </w:pPr>
            <w:r>
              <w:rPr>
                <w:rFonts w:hint="eastAsia" w:ascii="仿宋" w:hAnsi="仿宋" w:eastAsia="仿宋" w:cs="仿宋"/>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FF0000"/>
                <w:szCs w:val="21"/>
              </w:rPr>
            </w:pPr>
            <w:r>
              <w:rPr>
                <w:rFonts w:hint="eastAsia" w:ascii="仿宋" w:hAnsi="仿宋" w:eastAsia="仿宋" w:cs="仿宋"/>
                <w:szCs w:val="21"/>
              </w:rPr>
              <w:t>服务要求</w:t>
            </w:r>
          </w:p>
        </w:tc>
        <w:tc>
          <w:tcPr>
            <w:tcW w:w="74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 w:hAnsi="仿宋" w:eastAsia="仿宋" w:cs="仿宋"/>
                <w:szCs w:val="21"/>
              </w:rPr>
            </w:pPr>
            <w:r>
              <w:rPr>
                <w:rFonts w:hint="eastAsia" w:ascii="仿宋" w:hAnsi="仿宋" w:eastAsia="仿宋" w:cs="仿宋"/>
                <w:szCs w:val="21"/>
              </w:rPr>
              <w:t>投标人须围绕高交会策划并实施2022年-2024年的高交会观众服务双微运维方案或相关计划书，投标人可根据自身优势、经验和对项目理解完成投标计划，包括但不限于以下所列内容:</w:t>
            </w:r>
          </w:p>
          <w:p>
            <w:pPr>
              <w:numPr>
                <w:ilvl w:val="0"/>
                <w:numId w:val="15"/>
              </w:numPr>
              <w:autoSpaceDE w:val="0"/>
              <w:autoSpaceDN w:val="0"/>
              <w:adjustRightInd w:val="0"/>
              <w:snapToGrid w:val="0"/>
              <w:ind w:left="210" w:firstLine="0"/>
              <w:rPr>
                <w:rFonts w:ascii="仿宋" w:hAnsi="仿宋" w:eastAsia="仿宋" w:cs="仿宋"/>
                <w:b/>
                <w:bCs/>
              </w:rPr>
            </w:pPr>
            <w:r>
              <w:rPr>
                <w:rFonts w:hint="eastAsia" w:ascii="仿宋" w:hAnsi="仿宋" w:eastAsia="仿宋" w:cs="仿宋"/>
                <w:b/>
                <w:bCs/>
              </w:rPr>
              <w:t>平台运营策略与规划</w:t>
            </w:r>
          </w:p>
          <w:p>
            <w:pPr>
              <w:numPr>
                <w:ilvl w:val="0"/>
                <w:numId w:val="16"/>
              </w:numPr>
              <w:autoSpaceDE w:val="0"/>
              <w:autoSpaceDN w:val="0"/>
              <w:adjustRightInd w:val="0"/>
              <w:snapToGrid w:val="0"/>
              <w:ind w:firstLine="210"/>
              <w:rPr>
                <w:rFonts w:ascii="仿宋" w:hAnsi="仿宋" w:eastAsia="仿宋" w:cs="仿宋"/>
              </w:rPr>
            </w:pPr>
            <w:r>
              <w:rPr>
                <w:rFonts w:hint="eastAsia" w:ascii="仿宋" w:hAnsi="仿宋" w:eastAsia="仿宋" w:cs="仿宋"/>
              </w:rPr>
              <w:t>根据高交会观众服务双微平台的特点制定总运营策略,如IP定位，内容策略制定、事件营销，广告投放等。</w:t>
            </w:r>
          </w:p>
          <w:p>
            <w:pPr>
              <w:numPr>
                <w:ilvl w:val="0"/>
                <w:numId w:val="16"/>
              </w:numPr>
              <w:autoSpaceDE w:val="0"/>
              <w:autoSpaceDN w:val="0"/>
              <w:adjustRightInd w:val="0"/>
              <w:snapToGrid w:val="0"/>
              <w:ind w:firstLine="210"/>
              <w:rPr>
                <w:rFonts w:ascii="仿宋" w:hAnsi="仿宋" w:eastAsia="仿宋" w:cs="仿宋"/>
              </w:rPr>
            </w:pPr>
            <w:r>
              <w:rPr>
                <w:rFonts w:hint="eastAsia" w:ascii="仿宋" w:hAnsi="仿宋" w:eastAsia="仿宋" w:cs="仿宋"/>
              </w:rPr>
              <w:t>围绕高交会举办的时间及特点，制定阶段重点宣传计划和目标，内容排期等，把平台运营分为常规运营期（每年11月底-次年8月），特殊运营期（9月-11月中旬），特别在高交会举办前后，配合专业观众邀请推广计划，对专业观众进行引流推广。</w:t>
            </w:r>
          </w:p>
          <w:p>
            <w:pPr>
              <w:numPr>
                <w:ilvl w:val="0"/>
                <w:numId w:val="15"/>
              </w:numPr>
              <w:autoSpaceDE w:val="0"/>
              <w:autoSpaceDN w:val="0"/>
              <w:adjustRightInd w:val="0"/>
              <w:snapToGrid w:val="0"/>
              <w:ind w:left="210" w:firstLine="0"/>
              <w:rPr>
                <w:rFonts w:ascii="仿宋" w:hAnsi="仿宋" w:eastAsia="仿宋" w:cs="仿宋"/>
                <w:b/>
                <w:bCs/>
              </w:rPr>
            </w:pPr>
            <w:r>
              <w:rPr>
                <w:rFonts w:hint="eastAsia" w:ascii="仿宋" w:hAnsi="仿宋" w:eastAsia="仿宋" w:cs="仿宋"/>
                <w:b/>
                <w:bCs/>
              </w:rPr>
              <w:t>内容制作发布</w:t>
            </w:r>
          </w:p>
          <w:p>
            <w:pPr>
              <w:autoSpaceDE w:val="0"/>
              <w:autoSpaceDN w:val="0"/>
              <w:adjustRightInd w:val="0"/>
              <w:snapToGrid w:val="0"/>
              <w:ind w:firstLine="210" w:firstLineChars="100"/>
              <w:rPr>
                <w:rFonts w:ascii="仿宋" w:hAnsi="仿宋" w:eastAsia="仿宋" w:cs="仿宋"/>
              </w:rPr>
            </w:pPr>
            <w:r>
              <w:rPr>
                <w:rFonts w:hint="eastAsia" w:ascii="仿宋" w:hAnsi="仿宋" w:eastAsia="仿宋" w:cs="仿宋"/>
              </w:rPr>
              <w:t>根据所分阶段，提出并实施各阶段的具体内容制作与发布计划。</w:t>
            </w:r>
          </w:p>
          <w:p>
            <w:pPr>
              <w:pStyle w:val="12"/>
              <w:numPr>
                <w:ilvl w:val="0"/>
                <w:numId w:val="17"/>
              </w:numPr>
              <w:ind w:firstLine="210" w:firstLineChars="100"/>
              <w:rPr>
                <w:rFonts w:ascii="仿宋" w:hAnsi="仿宋" w:eastAsia="仿宋" w:cs="仿宋"/>
                <w:szCs w:val="21"/>
              </w:rPr>
            </w:pPr>
            <w:r>
              <w:rPr>
                <w:rFonts w:hint="eastAsia" w:ascii="仿宋" w:hAnsi="仿宋" w:eastAsia="仿宋" w:cs="仿宋"/>
              </w:rPr>
              <w:t>完成推送图文素材的收集、提炼、整合、撰写、修改、校对、发布等环节，生产日常双微推送的图文，并保证采编的信息来源权威、可靠、合法；优化文章的编辑排版，保障双微平台内容每周至少各发布2条图文消息，每条稿件篇数不限更新，并监控整合编发相关资讯。</w:t>
            </w:r>
          </w:p>
          <w:p>
            <w:pPr>
              <w:pStyle w:val="12"/>
              <w:numPr>
                <w:ilvl w:val="0"/>
                <w:numId w:val="17"/>
              </w:numPr>
              <w:ind w:firstLine="210" w:firstLineChars="100"/>
              <w:rPr>
                <w:rFonts w:ascii="仿宋" w:hAnsi="仿宋" w:eastAsia="仿宋" w:cs="仿宋"/>
              </w:rPr>
            </w:pPr>
            <w:r>
              <w:rPr>
                <w:rFonts w:hint="eastAsia" w:ascii="仿宋" w:hAnsi="仿宋" w:eastAsia="仿宋" w:cs="仿宋"/>
              </w:rPr>
              <w:t>每个季度推出至少2篇原创类重点推文（原创类重点推文可分为高交会大会资讯、观众服务信息类和高科技行业资讯、政策等类），文章、长图、动图、海报、视频、漫画等形式不限。</w:t>
            </w:r>
          </w:p>
          <w:p>
            <w:pPr>
              <w:pStyle w:val="12"/>
              <w:numPr>
                <w:ilvl w:val="0"/>
                <w:numId w:val="17"/>
              </w:numPr>
              <w:ind w:firstLine="210" w:firstLineChars="100"/>
              <w:rPr>
                <w:rFonts w:ascii="仿宋" w:hAnsi="仿宋" w:eastAsia="仿宋" w:cs="仿宋"/>
              </w:rPr>
            </w:pPr>
            <w:r>
              <w:rPr>
                <w:rFonts w:hint="eastAsia" w:ascii="仿宋" w:hAnsi="仿宋" w:eastAsia="仿宋" w:cs="仿宋"/>
              </w:rPr>
              <w:t>双微平台的图文创作应秉持原创精神，严禁抄袭。纯原创图文内容需保证内容的合法性、合理性，并应结合当届高交会主题，有高科技风范，体现出高交会的独特魅力和科技正能量；二次创作的图文内容需保证来源出自高交会官方发布渠道；转载转发内容需保证来源的合法性，并获得转载权、注明出处。</w:t>
            </w:r>
          </w:p>
          <w:p>
            <w:pPr>
              <w:numPr>
                <w:ilvl w:val="0"/>
                <w:numId w:val="15"/>
              </w:numPr>
              <w:autoSpaceDE w:val="0"/>
              <w:autoSpaceDN w:val="0"/>
              <w:adjustRightInd w:val="0"/>
              <w:snapToGrid w:val="0"/>
              <w:ind w:left="210" w:firstLine="0"/>
              <w:rPr>
                <w:rFonts w:ascii="仿宋" w:hAnsi="仿宋" w:eastAsia="仿宋" w:cs="仿宋"/>
              </w:rPr>
            </w:pPr>
            <w:r>
              <w:rPr>
                <w:rFonts w:hint="eastAsia" w:ascii="仿宋" w:hAnsi="仿宋" w:eastAsia="仿宋" w:cs="仿宋"/>
                <w:b/>
                <w:bCs/>
              </w:rPr>
              <w:t>平台建设优化及运行维护</w:t>
            </w:r>
          </w:p>
          <w:p>
            <w:pPr>
              <w:pStyle w:val="12"/>
              <w:numPr>
                <w:ilvl w:val="0"/>
                <w:numId w:val="18"/>
              </w:numPr>
              <w:ind w:firstLine="210" w:firstLineChars="100"/>
              <w:rPr>
                <w:rFonts w:ascii="仿宋" w:hAnsi="仿宋" w:eastAsia="仿宋" w:cs="仿宋"/>
              </w:rPr>
            </w:pPr>
            <w:r>
              <w:rPr>
                <w:rFonts w:hint="eastAsia" w:ascii="仿宋" w:hAnsi="仿宋" w:eastAsia="仿宋" w:cs="仿宋"/>
              </w:rPr>
              <w:t>投标人应分析高交会双微平台建设现状，提出平台建设优化实施方案，包括但不限于板块设计及视觉优化、自定义回复及菜单优化、整体内容的架构优化、后台用户管理与互动，信息处理、定期检测和维护后台、及时更新信息和数据等。</w:t>
            </w:r>
          </w:p>
          <w:p>
            <w:pPr>
              <w:pStyle w:val="12"/>
              <w:numPr>
                <w:ilvl w:val="0"/>
                <w:numId w:val="18"/>
              </w:numPr>
              <w:ind w:firstLine="210" w:firstLineChars="100"/>
              <w:rPr>
                <w:rFonts w:ascii="仿宋" w:hAnsi="仿宋" w:eastAsia="仿宋" w:cs="仿宋"/>
              </w:rPr>
            </w:pPr>
            <w:r>
              <w:rPr>
                <w:rFonts w:hint="eastAsia" w:ascii="仿宋" w:hAnsi="仿宋" w:eastAsia="仿宋" w:cs="仿宋"/>
              </w:rPr>
              <w:t>投标人应围绕高交会举办的时间及特点，制定分阶段重点宣传目标，内容排期等，特别在每届高交会举办前后，配合招标人专业观众进行引流推广。</w:t>
            </w:r>
          </w:p>
          <w:p>
            <w:pPr>
              <w:pStyle w:val="12"/>
              <w:numPr>
                <w:ilvl w:val="0"/>
                <w:numId w:val="18"/>
              </w:numPr>
              <w:ind w:firstLine="210" w:firstLineChars="100"/>
              <w:rPr>
                <w:rFonts w:ascii="仿宋" w:hAnsi="仿宋" w:eastAsia="仿宋" w:cs="仿宋"/>
              </w:rPr>
            </w:pPr>
            <w:r>
              <w:rPr>
                <w:rFonts w:hint="eastAsia" w:ascii="仿宋" w:hAnsi="仿宋" w:eastAsia="仿宋" w:cs="仿宋"/>
              </w:rPr>
              <w:t>投标人须为本项目安排专业的负责人跟进，并提供专业的服务团队。</w:t>
            </w:r>
          </w:p>
          <w:p>
            <w:pPr>
              <w:pStyle w:val="12"/>
              <w:numPr>
                <w:ilvl w:val="0"/>
                <w:numId w:val="18"/>
              </w:numPr>
              <w:ind w:firstLine="210" w:firstLineChars="100"/>
              <w:rPr>
                <w:rFonts w:ascii="仿宋" w:hAnsi="仿宋" w:eastAsia="仿宋" w:cs="仿宋"/>
              </w:rPr>
            </w:pPr>
            <w:r>
              <w:rPr>
                <w:rFonts w:hint="eastAsia" w:ascii="仿宋" w:hAnsi="仿宋" w:eastAsia="仿宋" w:cs="仿宋"/>
              </w:rPr>
              <w:t>投标人须有专人对高交会观众服务原有的三个企业微信社群进行维护，保障企业微信的观众咨询服务正常进行，包括但不限于日常信息的处理，高交会信息传播、群里成员的管理等。</w:t>
            </w:r>
          </w:p>
          <w:p>
            <w:pPr>
              <w:pStyle w:val="12"/>
              <w:numPr>
                <w:ilvl w:val="0"/>
                <w:numId w:val="18"/>
              </w:numPr>
              <w:ind w:firstLine="210" w:firstLineChars="100"/>
              <w:rPr>
                <w:rFonts w:ascii="仿宋" w:hAnsi="仿宋" w:eastAsia="仿宋" w:cs="仿宋"/>
              </w:rPr>
            </w:pPr>
            <w:r>
              <w:rPr>
                <w:rFonts w:hint="eastAsia" w:ascii="仿宋" w:hAnsi="仿宋" w:eastAsia="仿宋" w:cs="仿宋"/>
              </w:rPr>
              <w:t>投标人应每个季度提交1次运营分析报告，对于用户画像，图文阅读点赞数据，菜单点击分析等进行复盘优化，并平台运营提出改进意见。</w:t>
            </w:r>
          </w:p>
          <w:p>
            <w:pPr>
              <w:pStyle w:val="12"/>
              <w:numPr>
                <w:ilvl w:val="0"/>
                <w:numId w:val="18"/>
              </w:numPr>
              <w:ind w:firstLine="210" w:firstLineChars="100"/>
              <w:rPr>
                <w:rFonts w:ascii="仿宋" w:hAnsi="仿宋" w:eastAsia="仿宋" w:cs="仿宋"/>
              </w:rPr>
            </w:pPr>
            <w:r>
              <w:rPr>
                <w:rFonts w:hint="eastAsia" w:ascii="仿宋" w:hAnsi="仿宋" w:eastAsia="仿宋" w:cs="仿宋"/>
              </w:rPr>
              <w:t>投标人应提出数据监测方案，包括但不限于实时关注后台数据变化、定期总结问题、调整运营策略、提交汇报。</w:t>
            </w:r>
          </w:p>
          <w:p>
            <w:pPr>
              <w:pStyle w:val="12"/>
              <w:numPr>
                <w:ilvl w:val="0"/>
                <w:numId w:val="18"/>
              </w:numPr>
              <w:ind w:firstLine="210" w:firstLineChars="100"/>
              <w:rPr>
                <w:rFonts w:ascii="仿宋" w:hAnsi="仿宋" w:eastAsia="仿宋" w:cs="仿宋"/>
                <w:color w:val="FF0000"/>
              </w:rPr>
            </w:pPr>
            <w:r>
              <w:rPr>
                <w:rFonts w:hint="eastAsia" w:ascii="仿宋" w:hAnsi="仿宋" w:eastAsia="仿宋" w:cs="仿宋"/>
              </w:rPr>
              <w:t>投标人应提出舆情监管方案，有专人对双微进行实时的舆情监管，及时处理危机，正确引导舆情。</w:t>
            </w:r>
          </w:p>
          <w:p>
            <w:pPr>
              <w:pStyle w:val="12"/>
              <w:numPr>
                <w:ilvl w:val="0"/>
                <w:numId w:val="15"/>
              </w:numPr>
              <w:ind w:left="210" w:firstLine="0"/>
              <w:rPr>
                <w:rFonts w:ascii="仿宋" w:hAnsi="仿宋" w:eastAsia="仿宋" w:cs="仿宋"/>
                <w:b/>
                <w:bCs/>
              </w:rPr>
            </w:pPr>
            <w:r>
              <w:rPr>
                <w:rFonts w:hint="eastAsia" w:ascii="仿宋" w:hAnsi="仿宋" w:eastAsia="仿宋" w:cs="仿宋"/>
                <w:b/>
                <w:bCs/>
              </w:rPr>
              <w:t>其他</w:t>
            </w:r>
          </w:p>
          <w:p>
            <w:pPr>
              <w:pStyle w:val="12"/>
              <w:ind w:firstLine="210" w:firstLineChars="100"/>
              <w:rPr>
                <w:rFonts w:ascii="仿宋" w:hAnsi="仿宋" w:eastAsia="仿宋" w:cs="仿宋"/>
              </w:rPr>
            </w:pPr>
            <w:r>
              <w:rPr>
                <w:rFonts w:hint="eastAsia" w:ascii="仿宋" w:hAnsi="仿宋" w:eastAsia="仿宋" w:cs="仿宋"/>
              </w:rPr>
              <w:t>项目执行期间，如遇到运营内容、发文数量、排期计划等需要进行调整时，应以书面确认为准，详细事宜以合同条款为准。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FF0000"/>
                <w:szCs w:val="21"/>
              </w:rPr>
            </w:pPr>
            <w:r>
              <w:rPr>
                <w:rFonts w:hint="eastAsia" w:ascii="仿宋" w:hAnsi="仿宋" w:eastAsia="仿宋" w:cs="仿宋"/>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仿宋" w:hAnsi="仿宋" w:eastAsia="仿宋" w:cs="仿宋"/>
                <w:snapToGrid/>
                <w:spacing w:val="0"/>
                <w:kern w:val="2"/>
                <w:sz w:val="21"/>
                <w:szCs w:val="21"/>
              </w:rPr>
            </w:pPr>
            <w:r>
              <w:rPr>
                <w:rFonts w:hint="eastAsia" w:ascii="仿宋" w:hAnsi="仿宋" w:eastAsia="仿宋" w:cs="仿宋"/>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效果承诺</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rPr>
            </w:pPr>
            <w:r>
              <w:rPr>
                <w:rFonts w:hint="eastAsia" w:ascii="仿宋" w:hAnsi="仿宋" w:eastAsia="仿宋" w:cs="仿宋"/>
              </w:rPr>
              <w:t>投标人需对本项目的运营效果做出具体承诺，包括但不限于以下运营指标（合同期内）：</w:t>
            </w:r>
          </w:p>
          <w:p>
            <w:pPr>
              <w:numPr>
                <w:ilvl w:val="0"/>
                <w:numId w:val="19"/>
              </w:numPr>
              <w:tabs>
                <w:tab w:val="left" w:pos="531"/>
              </w:tabs>
              <w:snapToGrid w:val="0"/>
              <w:rPr>
                <w:rFonts w:ascii="仿宋" w:hAnsi="仿宋" w:eastAsia="仿宋" w:cs="仿宋"/>
              </w:rPr>
            </w:pPr>
            <w:r>
              <w:rPr>
                <w:rFonts w:hint="eastAsia" w:ascii="仿宋" w:hAnsi="仿宋" w:eastAsia="仿宋" w:cs="仿宋"/>
              </w:rPr>
              <w:t>双微发文总数≥150篇</w:t>
            </w:r>
          </w:p>
          <w:p>
            <w:pPr>
              <w:tabs>
                <w:tab w:val="left" w:pos="531"/>
              </w:tabs>
              <w:snapToGrid w:val="0"/>
              <w:ind w:firstLine="630" w:firstLineChars="300"/>
              <w:rPr>
                <w:rFonts w:ascii="仿宋" w:hAnsi="仿宋" w:eastAsia="仿宋" w:cs="仿宋"/>
              </w:rPr>
            </w:pPr>
            <w:r>
              <w:rPr>
                <w:rFonts w:hint="eastAsia" w:ascii="仿宋" w:hAnsi="仿宋" w:eastAsia="仿宋" w:cs="仿宋"/>
              </w:rPr>
              <w:t xml:space="preserve">其中，主题海报、H5长图≥20张  </w:t>
            </w:r>
          </w:p>
          <w:p>
            <w:pPr>
              <w:tabs>
                <w:tab w:val="left" w:pos="531"/>
              </w:tabs>
              <w:snapToGrid w:val="0"/>
              <w:ind w:firstLine="630" w:firstLineChars="300"/>
              <w:rPr>
                <w:rFonts w:ascii="仿宋" w:hAnsi="仿宋" w:eastAsia="仿宋" w:cs="仿宋"/>
              </w:rPr>
            </w:pPr>
            <w:r>
              <w:rPr>
                <w:rFonts w:hint="eastAsia" w:ascii="仿宋" w:hAnsi="仿宋" w:eastAsia="仿宋" w:cs="仿宋"/>
              </w:rPr>
              <w:t>原创推文≥16篇</w:t>
            </w:r>
          </w:p>
          <w:p>
            <w:pPr>
              <w:numPr>
                <w:ilvl w:val="0"/>
                <w:numId w:val="19"/>
              </w:numPr>
              <w:tabs>
                <w:tab w:val="left" w:pos="531"/>
              </w:tabs>
              <w:snapToGrid w:val="0"/>
              <w:rPr>
                <w:rFonts w:ascii="仿宋" w:hAnsi="仿宋" w:eastAsia="仿宋" w:cs="仿宋"/>
              </w:rPr>
            </w:pPr>
            <w:r>
              <w:rPr>
                <w:rFonts w:hint="eastAsia" w:ascii="仿宋" w:hAnsi="仿宋" w:eastAsia="仿宋" w:cs="仿宋"/>
              </w:rPr>
              <w:t>双微图文浏览总量 ≥20万PV</w:t>
            </w:r>
          </w:p>
          <w:p>
            <w:pPr>
              <w:numPr>
                <w:ilvl w:val="0"/>
                <w:numId w:val="19"/>
              </w:numPr>
              <w:tabs>
                <w:tab w:val="left" w:pos="531"/>
              </w:tabs>
              <w:snapToGrid w:val="0"/>
              <w:rPr>
                <w:rFonts w:ascii="仿宋" w:hAnsi="仿宋" w:eastAsia="仿宋" w:cs="仿宋"/>
              </w:rPr>
            </w:pPr>
            <w:r>
              <w:rPr>
                <w:rFonts w:hint="eastAsia" w:ascii="仿宋" w:hAnsi="仿宋" w:eastAsia="仿宋" w:cs="仿宋"/>
              </w:rPr>
              <w:t>双微粉丝增长总量 ≥2万人（其中微信公众号粉丝不少于1.2万人）</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FF0000"/>
                <w:szCs w:val="21"/>
              </w:rPr>
            </w:pPr>
            <w:r>
              <w:rPr>
                <w:rFonts w:hint="eastAsia" w:ascii="仿宋" w:hAnsi="仿宋" w:eastAsia="仿宋" w:cs="仿宋"/>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仿宋" w:hAnsi="仿宋" w:eastAsia="仿宋" w:cs="仿宋"/>
                <w:snapToGrid/>
                <w:spacing w:val="0"/>
                <w:kern w:val="2"/>
                <w:sz w:val="21"/>
                <w:szCs w:val="21"/>
              </w:rPr>
            </w:pPr>
            <w:r>
              <w:rPr>
                <w:rFonts w:hint="eastAsia" w:ascii="仿宋" w:hAnsi="仿宋" w:eastAsia="仿宋" w:cs="仿宋"/>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人员要求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20"/>
              </w:numPr>
              <w:tabs>
                <w:tab w:val="left" w:pos="531"/>
              </w:tabs>
              <w:snapToGrid w:val="0"/>
              <w:rPr>
                <w:rFonts w:ascii="仿宋" w:hAnsi="仿宋" w:eastAsia="仿宋" w:cs="仿宋"/>
              </w:rPr>
            </w:pPr>
            <w:r>
              <w:rPr>
                <w:rFonts w:hint="eastAsia" w:ascii="仿宋" w:hAnsi="仿宋" w:eastAsia="仿宋" w:cs="仿宋"/>
              </w:rPr>
              <w:t>投标人须为本项目安排专职、专业的负责人跟进，并为本项目提供专门的服务团队。其中主创团队必须包括3人：项目运营经理、内容主编、设计总监各1人，团队其余成员由投标人自行配置，以最优配置、最高效率完成本项目目标为宗旨。</w:t>
            </w:r>
          </w:p>
          <w:p>
            <w:pPr>
              <w:numPr>
                <w:ilvl w:val="0"/>
                <w:numId w:val="20"/>
              </w:numPr>
              <w:tabs>
                <w:tab w:val="left" w:pos="531"/>
              </w:tabs>
              <w:snapToGrid w:val="0"/>
              <w:rPr>
                <w:rFonts w:ascii="仿宋" w:hAnsi="仿宋" w:eastAsia="仿宋" w:cs="仿宋"/>
              </w:rPr>
            </w:pPr>
            <w:r>
              <w:rPr>
                <w:rFonts w:hint="eastAsia" w:ascii="仿宋" w:hAnsi="仿宋" w:eastAsia="仿宋" w:cs="仿宋"/>
              </w:rPr>
              <w:t>项目运营经理必须具备5年以上品牌推广或新媒体营销工作经验，项目其他主创运营人员必须成功操作运营过2个以上微信公众号。项目运营经理及团队成员均须提供个人简历及服务案例说明，并加盖投标人公章。</w:t>
            </w:r>
          </w:p>
          <w:p>
            <w:pPr>
              <w:numPr>
                <w:ilvl w:val="0"/>
                <w:numId w:val="20"/>
              </w:numPr>
              <w:tabs>
                <w:tab w:val="left" w:pos="531"/>
              </w:tabs>
              <w:snapToGrid w:val="0"/>
              <w:rPr>
                <w:rFonts w:ascii="仿宋" w:hAnsi="仿宋" w:eastAsia="仿宋" w:cs="仿宋"/>
              </w:rPr>
            </w:pPr>
            <w:r>
              <w:rPr>
                <w:rFonts w:hint="eastAsia" w:ascii="仿宋" w:hAnsi="仿宋" w:eastAsia="仿宋" w:cs="仿宋"/>
              </w:rPr>
              <w:t>投标人拟担任本项目的主创团队应为本单位在岗人员，须提供所属社保机构出具的以上人员在招标公告发布当日之前连续3个月缴纳社保的有效证明材料，并加盖社保机构单位章及投标人公章(如公告日上一个月的社保材料因社保部门原因暂时无法取得，则可以往前顺延一个季度)。</w:t>
            </w:r>
          </w:p>
          <w:p>
            <w:pPr>
              <w:numPr>
                <w:ilvl w:val="0"/>
                <w:numId w:val="20"/>
              </w:numPr>
              <w:tabs>
                <w:tab w:val="left" w:pos="531"/>
              </w:tabs>
              <w:snapToGrid w:val="0"/>
              <w:rPr>
                <w:rFonts w:ascii="仿宋" w:hAnsi="仿宋" w:eastAsia="仿宋" w:cs="仿宋"/>
              </w:rPr>
            </w:pPr>
            <w:r>
              <w:rPr>
                <w:rFonts w:hint="eastAsia" w:ascii="仿宋" w:hAnsi="仿宋" w:eastAsia="仿宋" w:cs="仿宋"/>
              </w:rPr>
              <w:t>投标人提供的本项目服务团队需及时响应项目需求，并建立合理、完善的项目对接管理流程及方式。</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FF0000"/>
                <w:szCs w:val="21"/>
              </w:rPr>
            </w:pPr>
            <w:r>
              <w:rPr>
                <w:rFonts w:hint="eastAsia" w:ascii="仿宋" w:hAnsi="仿宋" w:eastAsia="仿宋" w:cs="仿宋"/>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仿宋" w:hAnsi="仿宋" w:eastAsia="仿宋" w:cs="仿宋"/>
                <w:snapToGrid/>
                <w:spacing w:val="0"/>
                <w:kern w:val="2"/>
                <w:sz w:val="21"/>
                <w:szCs w:val="21"/>
              </w:rPr>
            </w:pPr>
            <w:r>
              <w:rPr>
                <w:rFonts w:hint="eastAsia" w:ascii="仿宋" w:hAnsi="仿宋" w:eastAsia="仿宋" w:cs="仿宋"/>
                <w:snapToGrid/>
                <w:spacing w:val="0"/>
                <w:kern w:val="2"/>
                <w:sz w:val="21"/>
                <w:szCs w:val="21"/>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验收说明</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21"/>
              </w:numPr>
              <w:tabs>
                <w:tab w:val="left" w:pos="531"/>
              </w:tabs>
              <w:snapToGrid w:val="0"/>
              <w:rPr>
                <w:rFonts w:ascii="仿宋" w:hAnsi="仿宋" w:eastAsia="仿宋" w:cs="仿宋"/>
              </w:rPr>
            </w:pPr>
            <w:r>
              <w:rPr>
                <w:rFonts w:hint="eastAsia" w:ascii="仿宋" w:hAnsi="仿宋" w:eastAsia="仿宋" w:cs="仿宋"/>
              </w:rPr>
              <w:t>中标人须按照双方共同确认的高交会观众服务双微运维方案及相关计划书执行工作，并按月提交运营计划（含每月发文选题、内容创意规划、发文数量、发布排期等），分阶段提交运营效果评估报告及相关数据报表，根据要求分次提供每个年度的运营总结报告作为验收依据。</w:t>
            </w:r>
          </w:p>
          <w:p>
            <w:pPr>
              <w:numPr>
                <w:ilvl w:val="0"/>
                <w:numId w:val="21"/>
              </w:numPr>
              <w:tabs>
                <w:tab w:val="left" w:pos="531"/>
              </w:tabs>
              <w:snapToGrid w:val="0"/>
              <w:rPr>
                <w:rFonts w:ascii="仿宋" w:hAnsi="仿宋" w:eastAsia="仿宋" w:cs="仿宋"/>
              </w:rPr>
            </w:pPr>
            <w:r>
              <w:rPr>
                <w:rFonts w:hint="eastAsia" w:ascii="仿宋" w:hAnsi="仿宋" w:eastAsia="仿宋" w:cs="仿宋"/>
              </w:rPr>
              <w:t>双微运营期间按招标人要求每个季度提交1次双微平台运营季度汇报，2年需提交不少于8次平台运营季度汇报作为执行依据。</w:t>
            </w:r>
          </w:p>
          <w:p>
            <w:pPr>
              <w:numPr>
                <w:ilvl w:val="0"/>
                <w:numId w:val="21"/>
              </w:numPr>
              <w:tabs>
                <w:tab w:val="left" w:pos="531"/>
              </w:tabs>
              <w:snapToGrid w:val="0"/>
              <w:rPr>
                <w:rFonts w:ascii="仿宋" w:hAnsi="仿宋" w:eastAsia="仿宋" w:cs="仿宋"/>
              </w:rPr>
            </w:pPr>
            <w:r>
              <w:rPr>
                <w:rFonts w:hint="eastAsia" w:ascii="仿宋" w:hAnsi="仿宋" w:eastAsia="仿宋" w:cs="仿宋"/>
              </w:rPr>
              <w:t>中标人提交的总结报告应包括的内容运营情况及效果总结、用户管理汇报、问题及经验总结、运营效果及数据分析、运营指标完成情况评估、相关数据报表佐证资料（ 如增粉情况、文章阅读量、点击量、曝光量、用户画像分析、活动数据/效果数据等）、数据监测汇报、舆情监管汇报等。</w:t>
            </w:r>
          </w:p>
          <w:p>
            <w:pPr>
              <w:numPr>
                <w:ilvl w:val="0"/>
                <w:numId w:val="21"/>
              </w:numPr>
              <w:tabs>
                <w:tab w:val="left" w:pos="531"/>
              </w:tabs>
              <w:snapToGrid w:val="0"/>
              <w:ind w:left="420" w:hanging="420"/>
              <w:rPr>
                <w:rFonts w:ascii="仿宋" w:hAnsi="仿宋" w:eastAsia="仿宋" w:cs="仿宋"/>
              </w:rPr>
            </w:pPr>
            <w:r>
              <w:rPr>
                <w:rFonts w:hint="eastAsia" w:ascii="仿宋" w:hAnsi="仿宋" w:eastAsia="仿宋" w:cs="仿宋"/>
              </w:rPr>
              <w:t>以上内容须以WORD或PPT文件形式提交至招标人相关负责人。</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FF0000"/>
                <w:szCs w:val="21"/>
              </w:rPr>
            </w:pPr>
            <w:r>
              <w:rPr>
                <w:rFonts w:hint="eastAsia" w:ascii="仿宋" w:hAnsi="仿宋" w:eastAsia="仿宋" w:cs="仿宋"/>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仿宋" w:hAnsi="仿宋" w:eastAsia="仿宋" w:cs="仿宋"/>
                <w:snapToGrid/>
                <w:spacing w:val="0"/>
                <w:kern w:val="2"/>
                <w:sz w:val="21"/>
                <w:szCs w:val="21"/>
              </w:rPr>
            </w:pPr>
            <w:r>
              <w:rPr>
                <w:rFonts w:hint="eastAsia" w:ascii="仿宋" w:hAnsi="仿宋" w:eastAsia="仿宋" w:cs="仿宋"/>
                <w:snapToGrid/>
                <w:spacing w:val="0"/>
                <w:kern w:val="2"/>
                <w:sz w:val="21"/>
                <w:szCs w:val="21"/>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FF0000"/>
                <w:szCs w:val="21"/>
              </w:rPr>
            </w:pPr>
            <w:r>
              <w:rPr>
                <w:rFonts w:hint="eastAsia" w:ascii="仿宋" w:hAnsi="仿宋" w:eastAsia="仿宋" w:cs="仿宋"/>
                <w:szCs w:val="21"/>
              </w:rPr>
              <w:t>保密承诺</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22"/>
              </w:numPr>
              <w:tabs>
                <w:tab w:val="left" w:pos="531"/>
              </w:tabs>
              <w:snapToGrid w:val="0"/>
              <w:rPr>
                <w:rFonts w:ascii="仿宋" w:hAnsi="仿宋" w:eastAsia="仿宋" w:cs="仿宋"/>
              </w:rPr>
            </w:pPr>
            <w:r>
              <w:rPr>
                <w:rFonts w:hint="eastAsia" w:ascii="仿宋" w:hAnsi="仿宋" w:eastAsia="仿宋" w:cs="仿宋"/>
              </w:rPr>
              <w:t>中标人承诺绝不私自截留、披露或外泄与本项目相关的资料、以及运行过程中所获取或接触的任何信息及数据。</w:t>
            </w:r>
          </w:p>
          <w:p>
            <w:pPr>
              <w:numPr>
                <w:ilvl w:val="0"/>
                <w:numId w:val="22"/>
              </w:numPr>
              <w:tabs>
                <w:tab w:val="left" w:pos="531"/>
              </w:tabs>
              <w:snapToGrid w:val="0"/>
              <w:rPr>
                <w:rFonts w:ascii="仿宋" w:hAnsi="仿宋" w:eastAsia="仿宋" w:cs="仿宋"/>
              </w:rPr>
            </w:pPr>
            <w:r>
              <w:rPr>
                <w:rFonts w:hint="eastAsia" w:ascii="仿宋" w:hAnsi="仿宋" w:eastAsia="仿宋" w:cs="仿宋"/>
              </w:rPr>
              <w:t>中标人必须保证在运行、管理等过程中严格遵守国家和地方相关（特别是信息安全方面）的法律法规，确保招标人使用权以及公民个人信息不受侵犯。</w:t>
            </w:r>
          </w:p>
          <w:p>
            <w:pPr>
              <w:numPr>
                <w:ilvl w:val="0"/>
                <w:numId w:val="22"/>
              </w:numPr>
              <w:tabs>
                <w:tab w:val="left" w:pos="531"/>
              </w:tabs>
              <w:snapToGrid w:val="0"/>
              <w:rPr>
                <w:rFonts w:ascii="仿宋" w:hAnsi="仿宋" w:eastAsia="仿宋" w:cs="仿宋"/>
                <w:color w:val="FF0000"/>
              </w:rPr>
            </w:pPr>
            <w:r>
              <w:rPr>
                <w:rFonts w:hint="eastAsia" w:ascii="仿宋" w:hAnsi="仿宋" w:eastAsia="仿宋" w:cs="仿宋"/>
              </w:rPr>
              <w:t>如中标人存在违规、侵权或泄密等行为的，中标人须赔偿因此给招标人带来的经济损失，并承担相应的法律责任。</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FF0000"/>
                <w:szCs w:val="21"/>
              </w:rPr>
            </w:pPr>
            <w:r>
              <w:rPr>
                <w:rFonts w:hint="eastAsia" w:ascii="仿宋" w:hAnsi="仿宋" w:eastAsia="仿宋" w:cs="仿宋"/>
                <w:szCs w:val="21"/>
              </w:rPr>
              <w:t>不可偏离</w:t>
            </w:r>
          </w:p>
        </w:tc>
      </w:tr>
    </w:tbl>
    <w:p>
      <w:pPr>
        <w:numPr>
          <w:ilvl w:val="0"/>
          <w:numId w:val="0"/>
        </w:numPr>
        <w:spacing w:beforeLines="100" w:line="480" w:lineRule="auto"/>
        <w:jc w:val="left"/>
        <w:outlineLvl w:val="1"/>
        <w:rPr>
          <w:rFonts w:ascii="仿宋" w:hAnsi="仿宋" w:eastAsia="仿宋" w:cs="仿宋"/>
          <w:b/>
          <w:szCs w:val="21"/>
        </w:rPr>
      </w:pPr>
      <w:bookmarkStart w:id="37" w:name="_Toc82684600"/>
      <w:bookmarkEnd w:id="37"/>
      <w:bookmarkStart w:id="38" w:name="_Toc82684715"/>
      <w:bookmarkEnd w:id="38"/>
      <w:bookmarkStart w:id="39" w:name="_Toc82685552"/>
      <w:bookmarkEnd w:id="39"/>
      <w:bookmarkStart w:id="40" w:name="_Toc82591996"/>
      <w:bookmarkEnd w:id="40"/>
    </w:p>
    <w:p>
      <w:pPr>
        <w:pStyle w:val="2"/>
        <w:rPr>
          <w:rFonts w:ascii="仿宋" w:hAnsi="仿宋" w:eastAsia="仿宋" w:cs="仿宋"/>
          <w:b/>
          <w:szCs w:val="21"/>
        </w:rPr>
      </w:pPr>
    </w:p>
    <w:p>
      <w:pPr>
        <w:pStyle w:val="2"/>
        <w:rPr>
          <w:rFonts w:ascii="仿宋" w:hAnsi="仿宋" w:eastAsia="仿宋" w:cs="仿宋"/>
          <w:b/>
          <w:szCs w:val="21"/>
        </w:rPr>
      </w:pPr>
    </w:p>
    <w:p>
      <w:pPr>
        <w:pStyle w:val="2"/>
        <w:rPr>
          <w:rFonts w:ascii="仿宋" w:hAnsi="仿宋" w:eastAsia="仿宋" w:cs="仿宋"/>
          <w:b/>
          <w:szCs w:val="21"/>
        </w:rPr>
      </w:pPr>
    </w:p>
    <w:p>
      <w:pPr>
        <w:pStyle w:val="2"/>
        <w:rPr>
          <w:rFonts w:ascii="仿宋" w:hAnsi="仿宋" w:eastAsia="仿宋" w:cs="仿宋"/>
          <w:b/>
          <w:szCs w:val="21"/>
        </w:rPr>
      </w:pPr>
    </w:p>
    <w:p>
      <w:pPr>
        <w:pStyle w:val="2"/>
        <w:rPr>
          <w:rFonts w:ascii="仿宋" w:hAnsi="仿宋" w:eastAsia="仿宋" w:cs="仿宋"/>
          <w:b/>
          <w:szCs w:val="21"/>
        </w:rPr>
      </w:pPr>
    </w:p>
    <w:p>
      <w:pPr>
        <w:pStyle w:val="2"/>
        <w:rPr>
          <w:rFonts w:ascii="仿宋" w:hAnsi="仿宋" w:eastAsia="仿宋" w:cs="仿宋"/>
          <w:b/>
          <w:szCs w:val="21"/>
        </w:rPr>
      </w:pPr>
    </w:p>
    <w:p>
      <w:pPr>
        <w:pStyle w:val="2"/>
        <w:rPr>
          <w:rFonts w:ascii="仿宋" w:hAnsi="仿宋" w:eastAsia="仿宋" w:cs="仿宋"/>
          <w:b/>
          <w:szCs w:val="21"/>
        </w:rPr>
      </w:pPr>
    </w:p>
    <w:p>
      <w:pPr>
        <w:pStyle w:val="2"/>
        <w:rPr>
          <w:rFonts w:ascii="仿宋" w:hAnsi="仿宋" w:eastAsia="仿宋" w:cs="仿宋"/>
          <w:b/>
          <w:szCs w:val="21"/>
        </w:rPr>
      </w:pPr>
    </w:p>
    <w:p>
      <w:pPr>
        <w:numPr>
          <w:ilvl w:val="0"/>
          <w:numId w:val="1"/>
        </w:numPr>
        <w:spacing w:beforeLines="100" w:line="480" w:lineRule="auto"/>
        <w:jc w:val="left"/>
        <w:outlineLvl w:val="1"/>
        <w:rPr>
          <w:rFonts w:hint="eastAsia" w:ascii="方正小标宋简体" w:hAnsi="方正小标宋简体" w:eastAsia="方正小标宋简体" w:cs="方正小标宋简体"/>
          <w:bCs/>
          <w:kern w:val="0"/>
          <w:sz w:val="32"/>
          <w:szCs w:val="32"/>
        </w:rPr>
      </w:pPr>
      <w:bookmarkStart w:id="41" w:name="_Toc26550"/>
      <w:r>
        <w:rPr>
          <w:rFonts w:hint="eastAsia" w:ascii="仿宋" w:hAnsi="仿宋" w:eastAsia="仿宋" w:cs="仿宋"/>
          <w:b/>
          <w:szCs w:val="21"/>
        </w:rPr>
        <w:t>其他项目说明资料</w:t>
      </w:r>
      <w:bookmarkEnd w:id="41"/>
    </w:p>
    <w:p>
      <w:pPr>
        <w:spacing w:line="440" w:lineRule="exact"/>
        <w:jc w:val="center"/>
        <w:rPr>
          <w:rFonts w:ascii="方正小标宋简体" w:hAnsi="方正小标宋简体" w:eastAsia="方正小标宋简体" w:cs="方正小标宋简体"/>
          <w:bCs/>
          <w:kern w:val="0"/>
          <w:sz w:val="28"/>
          <w:szCs w:val="28"/>
        </w:rPr>
      </w:pPr>
      <w:r>
        <w:rPr>
          <w:rFonts w:hint="eastAsia" w:ascii="方正小标宋简体" w:hAnsi="方正小标宋简体" w:eastAsia="方正小标宋简体" w:cs="方正小标宋简体"/>
          <w:bCs/>
          <w:kern w:val="0"/>
          <w:sz w:val="32"/>
          <w:szCs w:val="32"/>
        </w:rPr>
        <w:t>“</w:t>
      </w:r>
      <w:r>
        <w:rPr>
          <w:rFonts w:hint="eastAsia" w:ascii="方正小标宋简体" w:hAnsi="方正小标宋简体" w:eastAsia="方正小标宋简体" w:cs="方正小标宋简体"/>
          <w:bCs/>
          <w:kern w:val="0"/>
          <w:sz w:val="28"/>
          <w:szCs w:val="28"/>
        </w:rPr>
        <w:t>高交会观众服务”微信公众号和微博号代运营服务项目</w:t>
      </w:r>
    </w:p>
    <w:p>
      <w:pPr>
        <w:spacing w:line="440" w:lineRule="exact"/>
        <w:jc w:val="center"/>
        <w:rPr>
          <w:rFonts w:ascii="方正小标宋简体" w:hAnsi="方正小标宋简体" w:eastAsia="方正小标宋简体" w:cs="方正小标宋简体"/>
          <w:bCs/>
          <w:kern w:val="0"/>
          <w:sz w:val="28"/>
          <w:szCs w:val="28"/>
        </w:rPr>
      </w:pPr>
      <w:r>
        <w:rPr>
          <w:rFonts w:hint="eastAsia" w:ascii="方正小标宋简体" w:hAnsi="方正小标宋简体" w:eastAsia="方正小标宋简体" w:cs="方正小标宋简体"/>
          <w:bCs/>
          <w:kern w:val="0"/>
          <w:sz w:val="28"/>
          <w:szCs w:val="28"/>
        </w:rPr>
        <w:t>考核评价表</w:t>
      </w:r>
    </w:p>
    <w:tbl>
      <w:tblPr>
        <w:tblStyle w:val="15"/>
        <w:tblpPr w:leftFromText="180" w:rightFromText="180" w:vertAnchor="text" w:horzAnchor="page" w:tblpX="493" w:tblpY="815"/>
        <w:tblOverlap w:val="never"/>
        <w:tblW w:w="10065" w:type="dxa"/>
        <w:tblInd w:w="0" w:type="dxa"/>
        <w:tblLayout w:type="fixed"/>
        <w:tblCellMar>
          <w:top w:w="0" w:type="dxa"/>
          <w:left w:w="108" w:type="dxa"/>
          <w:bottom w:w="0" w:type="dxa"/>
          <w:right w:w="108" w:type="dxa"/>
        </w:tblCellMar>
      </w:tblPr>
      <w:tblGrid>
        <w:gridCol w:w="707"/>
        <w:gridCol w:w="817"/>
        <w:gridCol w:w="40"/>
        <w:gridCol w:w="222"/>
        <w:gridCol w:w="128"/>
        <w:gridCol w:w="350"/>
        <w:gridCol w:w="1620"/>
        <w:gridCol w:w="2320"/>
        <w:gridCol w:w="593"/>
        <w:gridCol w:w="850"/>
        <w:gridCol w:w="11"/>
        <w:gridCol w:w="105"/>
        <w:gridCol w:w="178"/>
        <w:gridCol w:w="414"/>
        <w:gridCol w:w="222"/>
        <w:gridCol w:w="629"/>
        <w:gridCol w:w="859"/>
      </w:tblGrid>
      <w:tr>
        <w:tblPrEx>
          <w:tblCellMar>
            <w:top w:w="0" w:type="dxa"/>
            <w:left w:w="108" w:type="dxa"/>
            <w:bottom w:w="0" w:type="dxa"/>
            <w:right w:w="108" w:type="dxa"/>
          </w:tblCellMar>
        </w:tblPrEx>
        <w:trPr>
          <w:trHeight w:val="336" w:hRule="atLeast"/>
        </w:trPr>
        <w:tc>
          <w:tcPr>
            <w:tcW w:w="10065" w:type="dxa"/>
            <w:gridSpan w:val="17"/>
            <w:tcBorders>
              <w:top w:val="single" w:color="auto" w:sz="8" w:space="0"/>
              <w:left w:val="single" w:color="auto" w:sz="8" w:space="0"/>
              <w:bottom w:val="single" w:color="auto" w:sz="8" w:space="0"/>
              <w:right w:val="single" w:color="000000" w:sz="8" w:space="0"/>
            </w:tcBorders>
            <w:shd w:val="clear" w:color="auto" w:fill="D9D9D9"/>
            <w:noWrap/>
            <w:vAlign w:val="center"/>
          </w:tcPr>
          <w:p>
            <w:pPr>
              <w:spacing w:line="240" w:lineRule="atLeast"/>
              <w:rPr>
                <w:rFonts w:ascii="宋体" w:hAnsi="宋体"/>
                <w:b/>
                <w:szCs w:val="21"/>
              </w:rPr>
            </w:pPr>
            <w:r>
              <w:rPr>
                <w:rFonts w:hint="eastAsia" w:ascii="宋体" w:hAnsi="宋体"/>
                <w:b/>
                <w:szCs w:val="21"/>
              </w:rPr>
              <w:t>基本信息</w:t>
            </w:r>
          </w:p>
        </w:tc>
      </w:tr>
      <w:tr>
        <w:tblPrEx>
          <w:tblCellMar>
            <w:top w:w="0" w:type="dxa"/>
            <w:left w:w="108" w:type="dxa"/>
            <w:bottom w:w="0" w:type="dxa"/>
            <w:right w:w="108" w:type="dxa"/>
          </w:tblCellMar>
        </w:tblPrEx>
        <w:trPr>
          <w:trHeight w:val="556" w:hRule="atLeast"/>
        </w:trPr>
        <w:tc>
          <w:tcPr>
            <w:tcW w:w="1524" w:type="dxa"/>
            <w:gridSpan w:val="2"/>
            <w:tcBorders>
              <w:top w:val="single" w:color="auto" w:sz="8" w:space="0"/>
              <w:left w:val="single" w:color="auto" w:sz="8" w:space="0"/>
              <w:bottom w:val="single" w:color="auto" w:sz="8" w:space="0"/>
              <w:right w:val="single" w:color="auto" w:sz="8" w:space="0"/>
            </w:tcBorders>
            <w:noWrap/>
            <w:vAlign w:val="center"/>
          </w:tcPr>
          <w:p>
            <w:pPr>
              <w:jc w:val="center"/>
              <w:rPr>
                <w:rFonts w:ascii="黑体" w:hAnsi="宋体" w:eastAsia="黑体" w:cs="宋体"/>
                <w:sz w:val="24"/>
              </w:rPr>
            </w:pPr>
            <w:r>
              <w:rPr>
                <w:rFonts w:hint="eastAsia" w:ascii="宋体" w:hAnsi="宋体"/>
                <w:szCs w:val="21"/>
              </w:rPr>
              <w:t>服务机构名称</w:t>
            </w:r>
          </w:p>
        </w:tc>
        <w:tc>
          <w:tcPr>
            <w:tcW w:w="4680" w:type="dxa"/>
            <w:gridSpan w:val="6"/>
            <w:tcBorders>
              <w:top w:val="single" w:color="auto" w:sz="8" w:space="0"/>
              <w:left w:val="single" w:color="auto" w:sz="8" w:space="0"/>
              <w:bottom w:val="single" w:color="auto" w:sz="8" w:space="0"/>
              <w:right w:val="single" w:color="auto" w:sz="8" w:space="0"/>
            </w:tcBorders>
            <w:noWrap/>
            <w:vAlign w:val="center"/>
          </w:tcPr>
          <w:p>
            <w:pPr>
              <w:rPr>
                <w:rFonts w:ascii="黑体" w:hAnsi="宋体" w:eastAsia="黑体" w:cs="宋体"/>
                <w:sz w:val="24"/>
              </w:rPr>
            </w:pPr>
          </w:p>
        </w:tc>
        <w:tc>
          <w:tcPr>
            <w:tcW w:w="1559" w:type="dxa"/>
            <w:gridSpan w:val="4"/>
            <w:tcBorders>
              <w:top w:val="single" w:color="auto" w:sz="8" w:space="0"/>
              <w:left w:val="single" w:color="auto" w:sz="8" w:space="0"/>
              <w:bottom w:val="single" w:color="auto" w:sz="8" w:space="0"/>
              <w:right w:val="single" w:color="auto" w:sz="8" w:space="0"/>
            </w:tcBorders>
            <w:noWrap/>
            <w:vAlign w:val="center"/>
          </w:tcPr>
          <w:p>
            <w:pPr>
              <w:jc w:val="center"/>
              <w:rPr>
                <w:rFonts w:ascii="黑体" w:hAnsi="宋体" w:eastAsia="黑体" w:cs="宋体"/>
                <w:sz w:val="24"/>
              </w:rPr>
            </w:pPr>
            <w:r>
              <w:rPr>
                <w:rFonts w:hint="eastAsia" w:ascii="宋体" w:hAnsi="宋体"/>
                <w:szCs w:val="21"/>
              </w:rPr>
              <w:t>中标时间</w:t>
            </w:r>
          </w:p>
        </w:tc>
        <w:tc>
          <w:tcPr>
            <w:tcW w:w="2302" w:type="dxa"/>
            <w:gridSpan w:val="5"/>
            <w:tcBorders>
              <w:top w:val="single" w:color="auto" w:sz="8" w:space="0"/>
              <w:left w:val="single" w:color="auto" w:sz="8" w:space="0"/>
              <w:bottom w:val="single" w:color="auto" w:sz="8" w:space="0"/>
              <w:right w:val="single" w:color="000000" w:sz="8" w:space="0"/>
            </w:tcBorders>
            <w:noWrap/>
            <w:vAlign w:val="center"/>
          </w:tcPr>
          <w:p>
            <w:pPr>
              <w:rPr>
                <w:rFonts w:ascii="黑体" w:hAnsi="宋体" w:eastAsia="黑体" w:cs="宋体"/>
                <w:sz w:val="24"/>
              </w:rPr>
            </w:pPr>
          </w:p>
        </w:tc>
      </w:tr>
      <w:tr>
        <w:tblPrEx>
          <w:tblCellMar>
            <w:top w:w="0" w:type="dxa"/>
            <w:left w:w="108" w:type="dxa"/>
            <w:bottom w:w="0" w:type="dxa"/>
            <w:right w:w="108" w:type="dxa"/>
          </w:tblCellMar>
        </w:tblPrEx>
        <w:trPr>
          <w:trHeight w:val="556" w:hRule="atLeast"/>
        </w:trPr>
        <w:tc>
          <w:tcPr>
            <w:tcW w:w="1524" w:type="dxa"/>
            <w:gridSpan w:val="2"/>
            <w:tcBorders>
              <w:top w:val="single" w:color="auto" w:sz="8" w:space="0"/>
              <w:left w:val="single" w:color="auto" w:sz="8" w:space="0"/>
              <w:bottom w:val="single" w:color="auto" w:sz="8" w:space="0"/>
              <w:right w:val="single" w:color="auto" w:sz="8" w:space="0"/>
            </w:tcBorders>
            <w:noWrap/>
            <w:vAlign w:val="center"/>
          </w:tcPr>
          <w:p>
            <w:pPr>
              <w:jc w:val="center"/>
              <w:rPr>
                <w:rFonts w:ascii="黑体" w:hAnsi="宋体" w:eastAsia="黑体" w:cs="宋体"/>
                <w:sz w:val="24"/>
              </w:rPr>
            </w:pPr>
            <w:r>
              <w:rPr>
                <w:rFonts w:ascii="宋体" w:hAnsi="宋体"/>
                <w:szCs w:val="21"/>
              </w:rPr>
              <w:t>合同名称</w:t>
            </w:r>
          </w:p>
        </w:tc>
        <w:tc>
          <w:tcPr>
            <w:tcW w:w="4680" w:type="dxa"/>
            <w:gridSpan w:val="6"/>
            <w:tcBorders>
              <w:top w:val="single" w:color="auto" w:sz="8" w:space="0"/>
              <w:left w:val="single" w:color="auto" w:sz="8" w:space="0"/>
              <w:bottom w:val="single" w:color="auto" w:sz="8" w:space="0"/>
              <w:right w:val="single" w:color="auto" w:sz="8" w:space="0"/>
            </w:tcBorders>
            <w:noWrap/>
            <w:vAlign w:val="center"/>
          </w:tcPr>
          <w:p>
            <w:pPr>
              <w:rPr>
                <w:rFonts w:ascii="黑体" w:hAnsi="宋体" w:eastAsia="黑体" w:cs="宋体"/>
                <w:sz w:val="24"/>
              </w:rPr>
            </w:pPr>
          </w:p>
        </w:tc>
        <w:tc>
          <w:tcPr>
            <w:tcW w:w="1559" w:type="dxa"/>
            <w:gridSpan w:val="4"/>
            <w:tcBorders>
              <w:top w:val="single" w:color="auto" w:sz="8" w:space="0"/>
              <w:left w:val="single" w:color="auto" w:sz="8" w:space="0"/>
              <w:bottom w:val="single" w:color="auto" w:sz="8" w:space="0"/>
              <w:right w:val="single" w:color="auto" w:sz="8" w:space="0"/>
            </w:tcBorders>
            <w:noWrap/>
            <w:vAlign w:val="center"/>
          </w:tcPr>
          <w:p>
            <w:pPr>
              <w:jc w:val="center"/>
              <w:rPr>
                <w:rFonts w:ascii="黑体" w:hAnsi="宋体" w:eastAsia="黑体" w:cs="宋体"/>
                <w:sz w:val="24"/>
              </w:rPr>
            </w:pPr>
            <w:r>
              <w:rPr>
                <w:rFonts w:hint="eastAsia" w:ascii="宋体" w:hAnsi="宋体"/>
                <w:szCs w:val="21"/>
              </w:rPr>
              <w:t>合同签订时间</w:t>
            </w:r>
          </w:p>
        </w:tc>
        <w:tc>
          <w:tcPr>
            <w:tcW w:w="2302" w:type="dxa"/>
            <w:gridSpan w:val="5"/>
            <w:tcBorders>
              <w:top w:val="single" w:color="auto" w:sz="8" w:space="0"/>
              <w:left w:val="single" w:color="auto" w:sz="8" w:space="0"/>
              <w:bottom w:val="single" w:color="auto" w:sz="8" w:space="0"/>
              <w:right w:val="single" w:color="000000" w:sz="8" w:space="0"/>
            </w:tcBorders>
            <w:noWrap/>
            <w:vAlign w:val="center"/>
          </w:tcPr>
          <w:p>
            <w:pPr>
              <w:rPr>
                <w:rFonts w:ascii="黑体" w:hAnsi="宋体" w:eastAsia="黑体" w:cs="宋体"/>
                <w:sz w:val="24"/>
              </w:rPr>
            </w:pPr>
          </w:p>
        </w:tc>
      </w:tr>
      <w:tr>
        <w:tblPrEx>
          <w:tblCellMar>
            <w:top w:w="0" w:type="dxa"/>
            <w:left w:w="108" w:type="dxa"/>
            <w:bottom w:w="0" w:type="dxa"/>
            <w:right w:w="108" w:type="dxa"/>
          </w:tblCellMar>
        </w:tblPrEx>
        <w:trPr>
          <w:trHeight w:val="1662" w:hRule="atLeast"/>
        </w:trPr>
        <w:tc>
          <w:tcPr>
            <w:tcW w:w="1524" w:type="dxa"/>
            <w:gridSpan w:val="2"/>
            <w:tcBorders>
              <w:top w:val="single" w:color="auto" w:sz="8" w:space="0"/>
              <w:left w:val="single" w:color="auto" w:sz="8" w:space="0"/>
              <w:bottom w:val="single" w:color="auto" w:sz="8" w:space="0"/>
              <w:right w:val="single" w:color="auto" w:sz="8" w:space="0"/>
            </w:tcBorders>
            <w:noWrap/>
            <w:vAlign w:val="center"/>
          </w:tcPr>
          <w:p>
            <w:pPr>
              <w:spacing w:line="240" w:lineRule="atLeast"/>
              <w:jc w:val="center"/>
              <w:rPr>
                <w:rFonts w:ascii="黑体" w:hAnsi="宋体" w:eastAsia="黑体" w:cs="宋体"/>
                <w:sz w:val="24"/>
              </w:rPr>
            </w:pPr>
            <w:r>
              <w:rPr>
                <w:rFonts w:hint="eastAsia" w:ascii="宋体" w:hAnsi="宋体"/>
                <w:szCs w:val="21"/>
              </w:rPr>
              <w:t>合同范围内容概要</w:t>
            </w:r>
          </w:p>
        </w:tc>
        <w:tc>
          <w:tcPr>
            <w:tcW w:w="8541" w:type="dxa"/>
            <w:gridSpan w:val="15"/>
            <w:tcBorders>
              <w:top w:val="single" w:color="auto" w:sz="8" w:space="0"/>
              <w:left w:val="single" w:color="auto" w:sz="8" w:space="0"/>
              <w:bottom w:val="single" w:color="auto" w:sz="8" w:space="0"/>
              <w:right w:val="single" w:color="000000" w:sz="8" w:space="0"/>
            </w:tcBorders>
            <w:noWrap/>
            <w:vAlign w:val="center"/>
          </w:tcPr>
          <w:p>
            <w:pPr>
              <w:rPr>
                <w:rFonts w:ascii="黑体" w:hAnsi="宋体" w:eastAsia="黑体" w:cs="宋体"/>
                <w:sz w:val="24"/>
              </w:rPr>
            </w:pPr>
          </w:p>
        </w:tc>
      </w:tr>
      <w:tr>
        <w:tblPrEx>
          <w:tblCellMar>
            <w:top w:w="0" w:type="dxa"/>
            <w:left w:w="108" w:type="dxa"/>
            <w:bottom w:w="0" w:type="dxa"/>
            <w:right w:w="108" w:type="dxa"/>
          </w:tblCellMar>
        </w:tblPrEx>
        <w:trPr>
          <w:trHeight w:val="556" w:hRule="atLeast"/>
        </w:trPr>
        <w:tc>
          <w:tcPr>
            <w:tcW w:w="1524" w:type="dxa"/>
            <w:gridSpan w:val="2"/>
            <w:tcBorders>
              <w:top w:val="single" w:color="auto" w:sz="8" w:space="0"/>
              <w:left w:val="single" w:color="auto" w:sz="8" w:space="0"/>
              <w:bottom w:val="single" w:color="auto" w:sz="8" w:space="0"/>
              <w:right w:val="single" w:color="auto" w:sz="8" w:space="0"/>
            </w:tcBorders>
            <w:noWrap/>
            <w:vAlign w:val="center"/>
          </w:tcPr>
          <w:p>
            <w:pPr>
              <w:spacing w:line="240" w:lineRule="atLeast"/>
              <w:jc w:val="center"/>
              <w:rPr>
                <w:rFonts w:ascii="宋体" w:hAnsi="宋体"/>
                <w:szCs w:val="21"/>
              </w:rPr>
            </w:pPr>
            <w:r>
              <w:rPr>
                <w:rFonts w:hint="eastAsia" w:ascii="宋体" w:hAnsi="宋体"/>
                <w:szCs w:val="21"/>
              </w:rPr>
              <w:t>服务机构项目组成员构成</w:t>
            </w:r>
          </w:p>
        </w:tc>
        <w:tc>
          <w:tcPr>
            <w:tcW w:w="8541" w:type="dxa"/>
            <w:gridSpan w:val="15"/>
            <w:tcBorders>
              <w:top w:val="single" w:color="auto" w:sz="8" w:space="0"/>
              <w:left w:val="single" w:color="auto" w:sz="8" w:space="0"/>
              <w:bottom w:val="single" w:color="auto" w:sz="8" w:space="0"/>
              <w:right w:val="single" w:color="000000" w:sz="8" w:space="0"/>
            </w:tcBorders>
            <w:noWrap/>
            <w:vAlign w:val="center"/>
          </w:tcPr>
          <w:p>
            <w:pPr>
              <w:rPr>
                <w:rFonts w:ascii="黑体" w:hAnsi="宋体" w:eastAsia="黑体" w:cs="宋体"/>
                <w:sz w:val="24"/>
              </w:rPr>
            </w:pPr>
          </w:p>
        </w:tc>
      </w:tr>
      <w:tr>
        <w:tblPrEx>
          <w:tblCellMar>
            <w:top w:w="0" w:type="dxa"/>
            <w:left w:w="108" w:type="dxa"/>
            <w:bottom w:w="0" w:type="dxa"/>
            <w:right w:w="108" w:type="dxa"/>
          </w:tblCellMar>
        </w:tblPrEx>
        <w:trPr>
          <w:trHeight w:val="556" w:hRule="atLeast"/>
        </w:trPr>
        <w:tc>
          <w:tcPr>
            <w:tcW w:w="1524" w:type="dxa"/>
            <w:gridSpan w:val="2"/>
            <w:tcBorders>
              <w:top w:val="single" w:color="auto" w:sz="8" w:space="0"/>
              <w:left w:val="single" w:color="auto" w:sz="8" w:space="0"/>
              <w:bottom w:val="single" w:color="auto" w:sz="8" w:space="0"/>
              <w:right w:val="single" w:color="auto" w:sz="8" w:space="0"/>
            </w:tcBorders>
            <w:noWrap/>
            <w:vAlign w:val="center"/>
          </w:tcPr>
          <w:p>
            <w:pPr>
              <w:spacing w:line="240" w:lineRule="atLeast"/>
              <w:jc w:val="center"/>
              <w:rPr>
                <w:rFonts w:ascii="宋体" w:hAnsi="宋体"/>
                <w:szCs w:val="21"/>
              </w:rPr>
            </w:pPr>
            <w:r>
              <w:rPr>
                <w:rFonts w:hint="eastAsia" w:ascii="宋体" w:hAnsi="宋体"/>
                <w:szCs w:val="21"/>
              </w:rPr>
              <w:t>合同金额</w:t>
            </w:r>
          </w:p>
        </w:tc>
        <w:tc>
          <w:tcPr>
            <w:tcW w:w="4680" w:type="dxa"/>
            <w:gridSpan w:val="6"/>
            <w:tcBorders>
              <w:top w:val="single" w:color="auto" w:sz="8" w:space="0"/>
              <w:left w:val="single" w:color="auto" w:sz="8" w:space="0"/>
              <w:bottom w:val="single" w:color="auto" w:sz="8" w:space="0"/>
              <w:right w:val="single" w:color="auto" w:sz="8" w:space="0"/>
            </w:tcBorders>
            <w:noWrap/>
            <w:vAlign w:val="center"/>
          </w:tcPr>
          <w:p>
            <w:pPr>
              <w:rPr>
                <w:rFonts w:ascii="黑体" w:hAnsi="宋体" w:eastAsia="黑体" w:cs="宋体"/>
                <w:sz w:val="24"/>
              </w:rPr>
            </w:pPr>
            <w:r>
              <w:rPr>
                <w:rFonts w:ascii="宋体" w:hAnsi="宋体"/>
                <w:szCs w:val="21"/>
              </w:rPr>
              <w:t>人民币</w:t>
            </w:r>
            <w:r>
              <w:rPr>
                <w:rFonts w:hint="eastAsia" w:ascii="宋体" w:hAnsi="宋体"/>
                <w:szCs w:val="21"/>
              </w:rPr>
              <w:t>万元</w:t>
            </w:r>
          </w:p>
        </w:tc>
        <w:tc>
          <w:tcPr>
            <w:tcW w:w="1559" w:type="dxa"/>
            <w:gridSpan w:val="4"/>
            <w:tcBorders>
              <w:top w:val="single" w:color="auto" w:sz="8" w:space="0"/>
              <w:left w:val="single" w:color="auto" w:sz="8" w:space="0"/>
              <w:bottom w:val="single" w:color="auto" w:sz="8" w:space="0"/>
              <w:right w:val="single" w:color="auto" w:sz="8" w:space="0"/>
            </w:tcBorders>
            <w:noWrap/>
            <w:vAlign w:val="center"/>
          </w:tcPr>
          <w:p>
            <w:pPr>
              <w:jc w:val="center"/>
              <w:rPr>
                <w:rFonts w:ascii="黑体" w:hAnsi="宋体" w:eastAsia="黑体" w:cs="宋体"/>
                <w:sz w:val="24"/>
              </w:rPr>
            </w:pPr>
            <w:r>
              <w:rPr>
                <w:rFonts w:hint="eastAsia" w:ascii="宋体" w:hAnsi="宋体"/>
                <w:szCs w:val="21"/>
              </w:rPr>
              <w:t>结算金额</w:t>
            </w:r>
          </w:p>
        </w:tc>
        <w:tc>
          <w:tcPr>
            <w:tcW w:w="2302" w:type="dxa"/>
            <w:gridSpan w:val="5"/>
            <w:tcBorders>
              <w:top w:val="single" w:color="auto" w:sz="8" w:space="0"/>
              <w:left w:val="single" w:color="auto" w:sz="8" w:space="0"/>
              <w:bottom w:val="single" w:color="auto" w:sz="8" w:space="0"/>
              <w:right w:val="single" w:color="000000" w:sz="8" w:space="0"/>
            </w:tcBorders>
            <w:noWrap/>
            <w:vAlign w:val="center"/>
          </w:tcPr>
          <w:p>
            <w:pPr>
              <w:rPr>
                <w:rFonts w:ascii="黑体" w:hAnsi="宋体" w:eastAsia="黑体" w:cs="宋体"/>
                <w:sz w:val="24"/>
              </w:rPr>
            </w:pPr>
            <w:r>
              <w:rPr>
                <w:rFonts w:ascii="宋体" w:hAnsi="宋体"/>
                <w:szCs w:val="21"/>
              </w:rPr>
              <w:t>人民币</w:t>
            </w:r>
            <w:r>
              <w:rPr>
                <w:rFonts w:hint="eastAsia" w:ascii="宋体" w:hAnsi="宋体"/>
                <w:szCs w:val="21"/>
              </w:rPr>
              <w:t>万元</w:t>
            </w:r>
          </w:p>
        </w:tc>
      </w:tr>
      <w:tr>
        <w:tblPrEx>
          <w:tblCellMar>
            <w:top w:w="0" w:type="dxa"/>
            <w:left w:w="108" w:type="dxa"/>
            <w:bottom w:w="0" w:type="dxa"/>
            <w:right w:w="108" w:type="dxa"/>
          </w:tblCellMar>
        </w:tblPrEx>
        <w:trPr>
          <w:trHeight w:val="556" w:hRule="atLeast"/>
        </w:trPr>
        <w:tc>
          <w:tcPr>
            <w:tcW w:w="1524" w:type="dxa"/>
            <w:gridSpan w:val="2"/>
            <w:tcBorders>
              <w:top w:val="single" w:color="auto" w:sz="8" w:space="0"/>
              <w:left w:val="single" w:color="auto" w:sz="8" w:space="0"/>
              <w:bottom w:val="single" w:color="auto" w:sz="8" w:space="0"/>
              <w:right w:val="single" w:color="auto" w:sz="8" w:space="0"/>
            </w:tcBorders>
            <w:noWrap/>
            <w:vAlign w:val="center"/>
          </w:tcPr>
          <w:p>
            <w:pPr>
              <w:spacing w:line="240" w:lineRule="atLeast"/>
              <w:jc w:val="center"/>
              <w:rPr>
                <w:rFonts w:ascii="宋体" w:hAnsi="宋体"/>
                <w:szCs w:val="21"/>
              </w:rPr>
            </w:pPr>
            <w:r>
              <w:rPr>
                <w:rFonts w:hint="eastAsia" w:ascii="宋体" w:hAnsi="宋体"/>
                <w:szCs w:val="21"/>
              </w:rPr>
              <w:t>合同服务期</w:t>
            </w:r>
          </w:p>
        </w:tc>
        <w:tc>
          <w:tcPr>
            <w:tcW w:w="4680" w:type="dxa"/>
            <w:gridSpan w:val="6"/>
            <w:tcBorders>
              <w:top w:val="single" w:color="auto" w:sz="8" w:space="0"/>
              <w:left w:val="single" w:color="auto" w:sz="8" w:space="0"/>
              <w:bottom w:val="single" w:color="auto" w:sz="8" w:space="0"/>
              <w:right w:val="single" w:color="auto" w:sz="8" w:space="0"/>
            </w:tcBorders>
            <w:noWrap/>
            <w:vAlign w:val="center"/>
          </w:tcPr>
          <w:p>
            <w:pPr>
              <w:rPr>
                <w:rFonts w:ascii="黑体" w:hAnsi="宋体" w:eastAsia="黑体" w:cs="宋体"/>
                <w:sz w:val="24"/>
              </w:rPr>
            </w:pPr>
            <w:r>
              <w:rPr>
                <w:rFonts w:hint="eastAsia" w:ascii="宋体" w:hAnsi="宋体"/>
                <w:szCs w:val="21"/>
              </w:rPr>
              <w:t>日历</w:t>
            </w:r>
            <w:r>
              <w:rPr>
                <w:rFonts w:ascii="宋体" w:hAnsi="宋体"/>
                <w:szCs w:val="21"/>
              </w:rPr>
              <w:t>日</w:t>
            </w:r>
          </w:p>
        </w:tc>
        <w:tc>
          <w:tcPr>
            <w:tcW w:w="1559" w:type="dxa"/>
            <w:gridSpan w:val="4"/>
            <w:tcBorders>
              <w:top w:val="single" w:color="auto" w:sz="8" w:space="0"/>
              <w:left w:val="single" w:color="auto" w:sz="8" w:space="0"/>
              <w:bottom w:val="single" w:color="auto" w:sz="8" w:space="0"/>
              <w:right w:val="single" w:color="auto" w:sz="8" w:space="0"/>
            </w:tcBorders>
            <w:noWrap/>
            <w:vAlign w:val="center"/>
          </w:tcPr>
          <w:p>
            <w:pPr>
              <w:jc w:val="center"/>
              <w:rPr>
                <w:rFonts w:ascii="黑体" w:hAnsi="宋体" w:eastAsia="黑体" w:cs="宋体"/>
                <w:sz w:val="24"/>
              </w:rPr>
            </w:pPr>
            <w:r>
              <w:rPr>
                <w:rFonts w:hint="eastAsia" w:ascii="宋体" w:hAnsi="宋体"/>
                <w:szCs w:val="21"/>
              </w:rPr>
              <w:t>验收时间</w:t>
            </w:r>
          </w:p>
        </w:tc>
        <w:tc>
          <w:tcPr>
            <w:tcW w:w="2302" w:type="dxa"/>
            <w:gridSpan w:val="5"/>
            <w:tcBorders>
              <w:top w:val="single" w:color="auto" w:sz="8" w:space="0"/>
              <w:left w:val="single" w:color="auto" w:sz="8" w:space="0"/>
              <w:bottom w:val="single" w:color="auto" w:sz="8" w:space="0"/>
              <w:right w:val="single" w:color="000000" w:sz="8" w:space="0"/>
            </w:tcBorders>
            <w:noWrap/>
            <w:vAlign w:val="center"/>
          </w:tcPr>
          <w:p>
            <w:pPr>
              <w:rPr>
                <w:rFonts w:ascii="黑体" w:hAnsi="宋体" w:eastAsia="黑体" w:cs="宋体"/>
                <w:sz w:val="24"/>
              </w:rPr>
            </w:pPr>
            <w:r>
              <w:rPr>
                <w:rFonts w:hint="eastAsia" w:ascii="宋体" w:hAnsi="宋体"/>
                <w:szCs w:val="21"/>
              </w:rPr>
              <w:t>_____年____月___日</w:t>
            </w:r>
          </w:p>
        </w:tc>
      </w:tr>
      <w:tr>
        <w:tblPrEx>
          <w:tblCellMar>
            <w:top w:w="0" w:type="dxa"/>
            <w:left w:w="108" w:type="dxa"/>
            <w:bottom w:w="0" w:type="dxa"/>
            <w:right w:w="108" w:type="dxa"/>
          </w:tblCellMar>
        </w:tblPrEx>
        <w:trPr>
          <w:trHeight w:val="379" w:hRule="atLeast"/>
        </w:trPr>
        <w:tc>
          <w:tcPr>
            <w:tcW w:w="10065" w:type="dxa"/>
            <w:gridSpan w:val="17"/>
            <w:tcBorders>
              <w:top w:val="single" w:color="auto" w:sz="8" w:space="0"/>
              <w:left w:val="single" w:color="auto" w:sz="8" w:space="0"/>
              <w:bottom w:val="single" w:color="auto" w:sz="8" w:space="0"/>
              <w:right w:val="single" w:color="000000" w:sz="8" w:space="0"/>
            </w:tcBorders>
            <w:shd w:val="clear" w:color="auto" w:fill="D9D9D9"/>
            <w:noWrap/>
            <w:vAlign w:val="center"/>
          </w:tcPr>
          <w:p>
            <w:pPr>
              <w:spacing w:line="240" w:lineRule="atLeast"/>
              <w:jc w:val="left"/>
              <w:rPr>
                <w:rFonts w:ascii="宋体" w:hAnsi="宋体"/>
                <w:b/>
                <w:bCs/>
                <w:szCs w:val="21"/>
              </w:rPr>
            </w:pPr>
            <w:r>
              <w:rPr>
                <w:rFonts w:hint="eastAsia" w:ascii="宋体" w:hAnsi="宋体"/>
                <w:b/>
                <w:bCs/>
                <w:szCs w:val="21"/>
              </w:rPr>
              <w:t>评价标准</w:t>
            </w:r>
          </w:p>
        </w:tc>
      </w:tr>
      <w:tr>
        <w:tblPrEx>
          <w:tblCellMar>
            <w:top w:w="0" w:type="dxa"/>
            <w:left w:w="108" w:type="dxa"/>
            <w:bottom w:w="0" w:type="dxa"/>
            <w:right w:w="108" w:type="dxa"/>
          </w:tblCellMar>
        </w:tblPrEx>
        <w:trPr>
          <w:trHeight w:val="572" w:hRule="atLeast"/>
        </w:trPr>
        <w:tc>
          <w:tcPr>
            <w:tcW w:w="2264" w:type="dxa"/>
            <w:gridSpan w:val="6"/>
            <w:tcBorders>
              <w:top w:val="single" w:color="auto" w:sz="8" w:space="0"/>
              <w:left w:val="single" w:color="auto" w:sz="8" w:space="0"/>
              <w:bottom w:val="single" w:color="auto" w:sz="4" w:space="0"/>
              <w:right w:val="single" w:color="auto" w:sz="4" w:space="0"/>
            </w:tcBorders>
            <w:noWrap/>
            <w:vAlign w:val="center"/>
          </w:tcPr>
          <w:p>
            <w:pPr>
              <w:spacing w:line="260" w:lineRule="exact"/>
              <w:jc w:val="center"/>
              <w:rPr>
                <w:rFonts w:ascii="宋体" w:hAnsi="宋体" w:cs="宋体"/>
                <w:szCs w:val="21"/>
              </w:rPr>
            </w:pPr>
            <w:r>
              <w:rPr>
                <w:rFonts w:hint="eastAsia" w:ascii="宋体" w:hAnsi="宋体" w:cs="宋体"/>
                <w:szCs w:val="21"/>
              </w:rPr>
              <w:t>评 价 指 标</w:t>
            </w:r>
          </w:p>
        </w:tc>
        <w:tc>
          <w:tcPr>
            <w:tcW w:w="4533" w:type="dxa"/>
            <w:gridSpan w:val="3"/>
            <w:tcBorders>
              <w:top w:val="single" w:color="auto" w:sz="8" w:space="0"/>
              <w:left w:val="nil"/>
              <w:bottom w:val="single" w:color="auto" w:sz="4" w:space="0"/>
              <w:right w:val="single" w:color="auto" w:sz="4" w:space="0"/>
            </w:tcBorders>
            <w:noWrap/>
            <w:vAlign w:val="center"/>
          </w:tcPr>
          <w:p>
            <w:pPr>
              <w:spacing w:line="260" w:lineRule="exact"/>
              <w:jc w:val="center"/>
              <w:rPr>
                <w:rFonts w:ascii="宋体" w:hAnsi="宋体" w:cs="宋体"/>
                <w:szCs w:val="21"/>
              </w:rPr>
            </w:pPr>
            <w:r>
              <w:rPr>
                <w:rFonts w:hint="eastAsia" w:ascii="宋体" w:hAnsi="宋体" w:cs="宋体"/>
                <w:szCs w:val="21"/>
              </w:rPr>
              <w:t>评  分  内  容</w:t>
            </w:r>
          </w:p>
        </w:tc>
        <w:tc>
          <w:tcPr>
            <w:tcW w:w="850" w:type="dxa"/>
            <w:tcBorders>
              <w:top w:val="nil"/>
              <w:left w:val="nil"/>
              <w:bottom w:val="single" w:color="auto" w:sz="4" w:space="0"/>
              <w:right w:val="single" w:color="auto" w:sz="4" w:space="0"/>
            </w:tcBorders>
            <w:noWrap/>
            <w:vAlign w:val="center"/>
          </w:tcPr>
          <w:p>
            <w:pPr>
              <w:spacing w:line="260" w:lineRule="exact"/>
              <w:rPr>
                <w:rFonts w:ascii="宋体" w:hAnsi="宋体" w:cs="宋体"/>
                <w:szCs w:val="21"/>
              </w:rPr>
            </w:pPr>
            <w:r>
              <w:rPr>
                <w:rFonts w:hint="eastAsia" w:ascii="宋体" w:hAnsi="宋体" w:cs="宋体"/>
                <w:szCs w:val="21"/>
              </w:rPr>
              <w:t>分值</w:t>
            </w:r>
          </w:p>
        </w:tc>
        <w:tc>
          <w:tcPr>
            <w:tcW w:w="1559" w:type="dxa"/>
            <w:gridSpan w:val="6"/>
            <w:tcBorders>
              <w:top w:val="single" w:color="auto" w:sz="8" w:space="0"/>
              <w:left w:val="nil"/>
              <w:bottom w:val="single" w:color="auto" w:sz="4" w:space="0"/>
              <w:right w:val="single" w:color="000000" w:sz="4" w:space="0"/>
            </w:tcBorders>
            <w:noWrap/>
            <w:vAlign w:val="center"/>
          </w:tcPr>
          <w:p>
            <w:pPr>
              <w:spacing w:line="260" w:lineRule="exact"/>
              <w:rPr>
                <w:rFonts w:ascii="宋体" w:hAnsi="宋体" w:cs="宋体"/>
                <w:szCs w:val="21"/>
              </w:rPr>
            </w:pPr>
            <w:r>
              <w:rPr>
                <w:rFonts w:hint="eastAsia" w:ascii="宋体" w:hAnsi="宋体" w:cs="宋体"/>
                <w:szCs w:val="21"/>
              </w:rPr>
              <w:t>扣分</w:t>
            </w:r>
            <w:r>
              <w:rPr>
                <w:rFonts w:hint="eastAsia" w:ascii="宋体" w:hAnsi="宋体" w:cs="宋体"/>
                <w:sz w:val="16"/>
                <w:szCs w:val="16"/>
              </w:rPr>
              <w:t>（最小扣分单位为0.5分，最多不超过该项分值）</w:t>
            </w:r>
          </w:p>
        </w:tc>
        <w:tc>
          <w:tcPr>
            <w:tcW w:w="859" w:type="dxa"/>
            <w:tcBorders>
              <w:top w:val="single" w:color="auto" w:sz="8" w:space="0"/>
              <w:left w:val="nil"/>
              <w:bottom w:val="single" w:color="auto" w:sz="4" w:space="0"/>
              <w:right w:val="single" w:color="000000" w:sz="8" w:space="0"/>
            </w:tcBorders>
            <w:noWrap/>
            <w:vAlign w:val="center"/>
          </w:tcPr>
          <w:p>
            <w:pPr>
              <w:spacing w:line="260" w:lineRule="exact"/>
              <w:jc w:val="center"/>
              <w:rPr>
                <w:rFonts w:ascii="宋体" w:hAnsi="宋体" w:cs="宋体"/>
                <w:szCs w:val="21"/>
              </w:rPr>
            </w:pPr>
            <w:r>
              <w:rPr>
                <w:rFonts w:hint="eastAsia" w:ascii="宋体" w:hAnsi="宋体" w:cs="宋体"/>
                <w:szCs w:val="21"/>
              </w:rPr>
              <w:t>备注</w:t>
            </w:r>
          </w:p>
        </w:tc>
      </w:tr>
      <w:tr>
        <w:tblPrEx>
          <w:tblCellMar>
            <w:top w:w="0" w:type="dxa"/>
            <w:left w:w="108" w:type="dxa"/>
            <w:bottom w:w="0" w:type="dxa"/>
            <w:right w:w="108" w:type="dxa"/>
          </w:tblCellMar>
        </w:tblPrEx>
        <w:trPr>
          <w:trHeight w:val="437" w:hRule="atLeast"/>
        </w:trPr>
        <w:tc>
          <w:tcPr>
            <w:tcW w:w="707" w:type="dxa"/>
            <w:vMerge w:val="restart"/>
            <w:tcBorders>
              <w:top w:val="nil"/>
              <w:left w:val="single" w:color="auto" w:sz="8" w:space="0"/>
              <w:right w:val="single" w:color="auto" w:sz="4" w:space="0"/>
            </w:tcBorders>
            <w:noWrap/>
            <w:textDirection w:val="tbRlV"/>
            <w:vAlign w:val="center"/>
          </w:tcPr>
          <w:p>
            <w:pPr>
              <w:spacing w:line="300" w:lineRule="exact"/>
              <w:ind w:firstLine="360"/>
              <w:jc w:val="center"/>
              <w:rPr>
                <w:rFonts w:ascii="黑体" w:hAnsi="宋体" w:eastAsia="黑体" w:cs="宋体"/>
                <w:sz w:val="24"/>
              </w:rPr>
            </w:pPr>
            <w:r>
              <w:rPr>
                <w:rFonts w:hint="eastAsia" w:ascii="黑体" w:hAnsi="宋体" w:eastAsia="黑体" w:cs="宋体"/>
                <w:sz w:val="24"/>
              </w:rPr>
              <w:t>服务过程（40分）</w:t>
            </w:r>
          </w:p>
        </w:tc>
        <w:tc>
          <w:tcPr>
            <w:tcW w:w="817"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sz w:val="20"/>
              </w:rPr>
            </w:pPr>
            <w:r>
              <w:rPr>
                <w:rFonts w:hint="eastAsia" w:ascii="宋体" w:hAnsi="宋体" w:cs="宋体"/>
                <w:sz w:val="20"/>
              </w:rPr>
              <w:t>工作</w:t>
            </w:r>
          </w:p>
          <w:p>
            <w:pPr>
              <w:spacing w:line="300" w:lineRule="exact"/>
              <w:jc w:val="center"/>
              <w:rPr>
                <w:rFonts w:ascii="宋体" w:hAnsi="宋体" w:cs="宋体"/>
                <w:sz w:val="20"/>
              </w:rPr>
            </w:pPr>
            <w:r>
              <w:rPr>
                <w:rFonts w:hint="eastAsia" w:ascii="宋体" w:hAnsi="宋体" w:cs="宋体"/>
                <w:sz w:val="20"/>
              </w:rPr>
              <w:t>能力</w:t>
            </w:r>
          </w:p>
        </w:tc>
        <w:tc>
          <w:tcPr>
            <w:tcW w:w="740" w:type="dxa"/>
            <w:gridSpan w:val="4"/>
            <w:vMerge w:val="restart"/>
            <w:tcBorders>
              <w:top w:val="nil"/>
              <w:left w:val="single" w:color="auto" w:sz="4" w:space="0"/>
              <w:bottom w:val="single" w:color="000000" w:sz="4" w:space="0"/>
              <w:right w:val="single" w:color="auto" w:sz="4" w:space="0"/>
            </w:tcBorders>
            <w:noWrap/>
            <w:vAlign w:val="center"/>
          </w:tcPr>
          <w:p>
            <w:pPr>
              <w:spacing w:line="300" w:lineRule="exact"/>
              <w:jc w:val="center"/>
              <w:rPr>
                <w:rFonts w:ascii="宋体" w:hAnsi="宋体" w:cs="宋体"/>
                <w:sz w:val="20"/>
              </w:rPr>
            </w:pPr>
            <w:r>
              <w:rPr>
                <w:rFonts w:hint="eastAsia" w:ascii="宋体" w:hAnsi="宋体" w:cs="宋体"/>
                <w:sz w:val="20"/>
              </w:rPr>
              <w:t>工作</w:t>
            </w:r>
          </w:p>
          <w:p>
            <w:pPr>
              <w:spacing w:line="300" w:lineRule="exact"/>
              <w:jc w:val="center"/>
              <w:rPr>
                <w:rFonts w:ascii="宋体" w:hAnsi="宋体" w:cs="宋体"/>
                <w:sz w:val="20"/>
              </w:rPr>
            </w:pPr>
            <w:r>
              <w:rPr>
                <w:rFonts w:hint="eastAsia" w:ascii="宋体" w:hAnsi="宋体" w:cs="宋体"/>
                <w:sz w:val="20"/>
              </w:rPr>
              <w:t>效率</w:t>
            </w:r>
          </w:p>
        </w:tc>
        <w:tc>
          <w:tcPr>
            <w:tcW w:w="4533" w:type="dxa"/>
            <w:gridSpan w:val="3"/>
            <w:tcBorders>
              <w:top w:val="single" w:color="auto" w:sz="4" w:space="0"/>
              <w:left w:val="nil"/>
              <w:bottom w:val="single" w:color="auto" w:sz="4" w:space="0"/>
              <w:right w:val="single" w:color="auto" w:sz="4" w:space="0"/>
            </w:tcBorders>
            <w:noWrap/>
            <w:vAlign w:val="center"/>
          </w:tcPr>
          <w:p>
            <w:pPr>
              <w:spacing w:line="300" w:lineRule="exact"/>
              <w:ind w:firstLine="357"/>
              <w:jc w:val="left"/>
              <w:rPr>
                <w:rFonts w:ascii="宋体" w:hAnsi="宋体" w:cs="宋体"/>
                <w:szCs w:val="21"/>
              </w:rPr>
            </w:pPr>
            <w:r>
              <w:rPr>
                <w:rFonts w:hint="eastAsia" w:ascii="宋体" w:hAnsi="宋体" w:cs="宋体"/>
                <w:szCs w:val="21"/>
              </w:rPr>
              <w:t>1.是否按时完成各项工作任务</w:t>
            </w:r>
          </w:p>
        </w:tc>
        <w:tc>
          <w:tcPr>
            <w:tcW w:w="850" w:type="dxa"/>
            <w:tcBorders>
              <w:top w:val="nil"/>
              <w:left w:val="nil"/>
              <w:bottom w:val="single" w:color="auto" w:sz="4" w:space="0"/>
              <w:right w:val="single" w:color="auto" w:sz="4" w:space="0"/>
            </w:tcBorders>
            <w:noWrap/>
            <w:vAlign w:val="center"/>
          </w:tcPr>
          <w:p>
            <w:pPr>
              <w:spacing w:line="300" w:lineRule="exact"/>
              <w:jc w:val="center"/>
              <w:rPr>
                <w:rFonts w:ascii="宋体" w:hAnsi="宋体" w:cs="宋体"/>
                <w:szCs w:val="21"/>
              </w:rPr>
            </w:pPr>
            <w:r>
              <w:rPr>
                <w:rFonts w:hint="eastAsia" w:ascii="宋体" w:hAnsi="宋体" w:cs="宋体"/>
                <w:szCs w:val="21"/>
              </w:rPr>
              <w:t>3</w:t>
            </w:r>
          </w:p>
        </w:tc>
        <w:tc>
          <w:tcPr>
            <w:tcW w:w="1559" w:type="dxa"/>
            <w:gridSpan w:val="6"/>
            <w:tcBorders>
              <w:top w:val="single" w:color="auto" w:sz="4" w:space="0"/>
              <w:left w:val="nil"/>
              <w:bottom w:val="single" w:color="auto" w:sz="4" w:space="0"/>
              <w:right w:val="single" w:color="000000" w:sz="4" w:space="0"/>
            </w:tcBorders>
            <w:noWrap/>
            <w:vAlign w:val="center"/>
          </w:tcPr>
          <w:p>
            <w:pPr>
              <w:spacing w:line="300" w:lineRule="exact"/>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ign w:val="center"/>
          </w:tcPr>
          <w:p>
            <w:pPr>
              <w:spacing w:line="300" w:lineRule="exact"/>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416" w:hRule="atLeast"/>
        </w:trPr>
        <w:tc>
          <w:tcPr>
            <w:tcW w:w="707" w:type="dxa"/>
            <w:vMerge w:val="continue"/>
            <w:tcBorders>
              <w:left w:val="single" w:color="auto" w:sz="8" w:space="0"/>
              <w:right w:val="single" w:color="auto" w:sz="4" w:space="0"/>
            </w:tcBorders>
            <w:noWrap/>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000000" w:sz="4" w:space="0"/>
            </w:tcBorders>
            <w:noWrap/>
            <w:vAlign w:val="center"/>
          </w:tcPr>
          <w:p>
            <w:pPr>
              <w:spacing w:line="260" w:lineRule="exact"/>
              <w:ind w:firstLine="357"/>
              <w:jc w:val="left"/>
              <w:rPr>
                <w:rFonts w:ascii="宋体" w:hAnsi="宋体" w:cs="宋体"/>
                <w:szCs w:val="21"/>
              </w:rPr>
            </w:pPr>
            <w:r>
              <w:rPr>
                <w:rFonts w:hint="eastAsia" w:ascii="宋体" w:hAnsi="宋体" w:cs="宋体"/>
                <w:szCs w:val="21"/>
              </w:rPr>
              <w:t>2.能否按照计划进度开展工作</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3</w:t>
            </w:r>
          </w:p>
        </w:tc>
        <w:tc>
          <w:tcPr>
            <w:tcW w:w="1559" w:type="dxa"/>
            <w:gridSpan w:val="6"/>
            <w:tcBorders>
              <w:top w:val="single" w:color="auto" w:sz="4" w:space="0"/>
              <w:left w:val="nil"/>
              <w:bottom w:val="single" w:color="auto"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422" w:hRule="atLeast"/>
        </w:trPr>
        <w:tc>
          <w:tcPr>
            <w:tcW w:w="707" w:type="dxa"/>
            <w:vMerge w:val="continue"/>
            <w:tcBorders>
              <w:left w:val="single" w:color="auto" w:sz="8" w:space="0"/>
              <w:right w:val="single" w:color="auto" w:sz="4" w:space="0"/>
            </w:tcBorders>
            <w:noWrap/>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sz w:val="20"/>
              </w:rPr>
            </w:pPr>
          </w:p>
        </w:tc>
        <w:tc>
          <w:tcPr>
            <w:tcW w:w="740" w:type="dxa"/>
            <w:gridSpan w:val="4"/>
            <w:vMerge w:val="restart"/>
            <w:tcBorders>
              <w:top w:val="nil"/>
              <w:left w:val="single" w:color="auto" w:sz="4" w:space="0"/>
              <w:bottom w:val="single" w:color="000000" w:sz="4" w:space="0"/>
              <w:right w:val="single" w:color="auto" w:sz="4" w:space="0"/>
            </w:tcBorders>
            <w:noWrap/>
            <w:vAlign w:val="center"/>
          </w:tcPr>
          <w:p>
            <w:pPr>
              <w:jc w:val="center"/>
              <w:rPr>
                <w:rFonts w:ascii="宋体" w:hAnsi="宋体" w:cs="宋体"/>
                <w:sz w:val="20"/>
              </w:rPr>
            </w:pPr>
            <w:r>
              <w:rPr>
                <w:rFonts w:hint="eastAsia" w:ascii="宋体" w:hAnsi="宋体" w:cs="宋体"/>
                <w:sz w:val="20"/>
              </w:rPr>
              <w:t>胜任</w:t>
            </w:r>
          </w:p>
          <w:p>
            <w:pPr>
              <w:jc w:val="center"/>
              <w:rPr>
                <w:rFonts w:ascii="宋体" w:hAnsi="宋体" w:cs="宋体"/>
                <w:sz w:val="20"/>
              </w:rPr>
            </w:pPr>
            <w:r>
              <w:rPr>
                <w:rFonts w:hint="eastAsia" w:ascii="宋体" w:hAnsi="宋体" w:cs="宋体"/>
                <w:sz w:val="20"/>
              </w:rPr>
              <w:t>能力</w:t>
            </w:r>
          </w:p>
        </w:tc>
        <w:tc>
          <w:tcPr>
            <w:tcW w:w="4533" w:type="dxa"/>
            <w:gridSpan w:val="3"/>
            <w:tcBorders>
              <w:top w:val="single" w:color="auto" w:sz="4" w:space="0"/>
              <w:left w:val="nil"/>
              <w:bottom w:val="single" w:color="auto" w:sz="4" w:space="0"/>
              <w:right w:val="single" w:color="000000" w:sz="4" w:space="0"/>
            </w:tcBorders>
            <w:noWrap/>
            <w:vAlign w:val="center"/>
          </w:tcPr>
          <w:p>
            <w:pPr>
              <w:spacing w:line="260" w:lineRule="exact"/>
              <w:ind w:firstLine="357"/>
              <w:jc w:val="left"/>
              <w:rPr>
                <w:rFonts w:ascii="宋体" w:hAnsi="宋体" w:cs="宋体"/>
                <w:szCs w:val="21"/>
              </w:rPr>
            </w:pPr>
            <w:r>
              <w:rPr>
                <w:rFonts w:hint="eastAsia" w:ascii="宋体" w:hAnsi="宋体" w:cs="宋体"/>
                <w:szCs w:val="21"/>
              </w:rPr>
              <w:t>3.现场工作期间，工作人数、人员资质等是否达到委托要求</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4</w:t>
            </w:r>
          </w:p>
        </w:tc>
        <w:tc>
          <w:tcPr>
            <w:tcW w:w="1559" w:type="dxa"/>
            <w:gridSpan w:val="6"/>
            <w:tcBorders>
              <w:top w:val="single" w:color="auto" w:sz="4" w:space="0"/>
              <w:left w:val="nil"/>
              <w:bottom w:val="single" w:color="auto"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444" w:hRule="atLeast"/>
        </w:trPr>
        <w:tc>
          <w:tcPr>
            <w:tcW w:w="707" w:type="dxa"/>
            <w:vMerge w:val="continue"/>
            <w:tcBorders>
              <w:left w:val="single" w:color="auto" w:sz="8" w:space="0"/>
              <w:right w:val="single" w:color="auto" w:sz="4" w:space="0"/>
            </w:tcBorders>
            <w:noWrap/>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000000" w:sz="4" w:space="0"/>
            </w:tcBorders>
            <w:noWrap/>
            <w:vAlign w:val="center"/>
          </w:tcPr>
          <w:p>
            <w:pPr>
              <w:spacing w:line="260" w:lineRule="exact"/>
              <w:ind w:firstLine="357"/>
              <w:jc w:val="left"/>
              <w:rPr>
                <w:rFonts w:ascii="宋体" w:hAnsi="宋体" w:cs="宋体"/>
                <w:szCs w:val="21"/>
              </w:rPr>
            </w:pPr>
            <w:r>
              <w:rPr>
                <w:rFonts w:hint="eastAsia" w:ascii="宋体" w:hAnsi="宋体" w:cs="宋体"/>
                <w:szCs w:val="21"/>
              </w:rPr>
              <w:t>4.每位工作人员是否具备与中介项目相匹配的专业知识</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4</w:t>
            </w:r>
          </w:p>
        </w:tc>
        <w:tc>
          <w:tcPr>
            <w:tcW w:w="1559" w:type="dxa"/>
            <w:gridSpan w:val="6"/>
            <w:tcBorders>
              <w:top w:val="single" w:color="auto" w:sz="4" w:space="0"/>
              <w:left w:val="nil"/>
              <w:bottom w:val="single" w:color="auto"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1266" w:hRule="atLeast"/>
        </w:trPr>
        <w:tc>
          <w:tcPr>
            <w:tcW w:w="707" w:type="dxa"/>
            <w:vMerge w:val="continue"/>
            <w:tcBorders>
              <w:left w:val="single" w:color="auto" w:sz="8" w:space="0"/>
              <w:right w:val="single" w:color="auto" w:sz="4" w:space="0"/>
            </w:tcBorders>
            <w:noWrap/>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auto" w:sz="4" w:space="0"/>
            </w:tcBorders>
            <w:noWrap/>
            <w:vAlign w:val="center"/>
          </w:tcPr>
          <w:p>
            <w:pPr>
              <w:spacing w:line="260" w:lineRule="exact"/>
              <w:ind w:firstLine="357"/>
              <w:jc w:val="left"/>
              <w:rPr>
                <w:rFonts w:ascii="宋体" w:hAnsi="宋体" w:cs="宋体"/>
                <w:szCs w:val="21"/>
              </w:rPr>
            </w:pPr>
            <w:r>
              <w:rPr>
                <w:rFonts w:hint="eastAsia" w:ascii="宋体" w:hAnsi="宋体" w:cs="宋体"/>
                <w:szCs w:val="21"/>
              </w:rPr>
              <w:t>5.是否存在对同一事项（如差错、修改意见、疑问及需进一步了解的情况、需进一步分析的事项等）进行多次修改才得到最终结果的情况</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6</w:t>
            </w:r>
          </w:p>
        </w:tc>
        <w:tc>
          <w:tcPr>
            <w:tcW w:w="1559" w:type="dxa"/>
            <w:gridSpan w:val="6"/>
            <w:tcBorders>
              <w:top w:val="single" w:color="auto" w:sz="4" w:space="0"/>
              <w:left w:val="nil"/>
              <w:bottom w:val="single" w:color="auto"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30" w:hRule="atLeast"/>
        </w:trPr>
        <w:tc>
          <w:tcPr>
            <w:tcW w:w="707" w:type="dxa"/>
            <w:vMerge w:val="continue"/>
            <w:tcBorders>
              <w:left w:val="single" w:color="auto" w:sz="8" w:space="0"/>
              <w:right w:val="single" w:color="auto" w:sz="4" w:space="0"/>
            </w:tcBorders>
            <w:noWrap/>
            <w:vAlign w:val="center"/>
          </w:tcPr>
          <w:p>
            <w:pPr>
              <w:widowControl/>
              <w:jc w:val="left"/>
              <w:rPr>
                <w:rFonts w:ascii="黑体" w:hAnsi="宋体" w:eastAsia="黑体" w:cs="宋体"/>
                <w:sz w:val="24"/>
              </w:rPr>
            </w:pPr>
          </w:p>
        </w:tc>
        <w:tc>
          <w:tcPr>
            <w:tcW w:w="817"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配合</w:t>
            </w:r>
          </w:p>
          <w:p>
            <w:pPr>
              <w:jc w:val="center"/>
              <w:rPr>
                <w:rFonts w:ascii="宋体" w:hAnsi="宋体" w:cs="宋体"/>
                <w:sz w:val="20"/>
              </w:rPr>
            </w:pPr>
            <w:r>
              <w:rPr>
                <w:rFonts w:hint="eastAsia" w:ascii="宋体" w:hAnsi="宋体" w:cs="宋体"/>
                <w:sz w:val="20"/>
              </w:rPr>
              <w:t>程度</w:t>
            </w:r>
          </w:p>
        </w:tc>
        <w:tc>
          <w:tcPr>
            <w:tcW w:w="740" w:type="dxa"/>
            <w:gridSpan w:val="4"/>
            <w:vMerge w:val="restart"/>
            <w:tcBorders>
              <w:top w:val="nil"/>
              <w:left w:val="single" w:color="auto" w:sz="4" w:space="0"/>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沟通</w:t>
            </w:r>
          </w:p>
          <w:p>
            <w:pPr>
              <w:jc w:val="center"/>
              <w:rPr>
                <w:rFonts w:ascii="宋体" w:hAnsi="宋体" w:cs="宋体"/>
                <w:sz w:val="20"/>
              </w:rPr>
            </w:pPr>
            <w:r>
              <w:rPr>
                <w:rFonts w:hint="eastAsia" w:ascii="宋体" w:hAnsi="宋体" w:cs="宋体"/>
                <w:sz w:val="20"/>
              </w:rPr>
              <w:t>主动</w:t>
            </w:r>
          </w:p>
          <w:p>
            <w:pPr>
              <w:jc w:val="center"/>
              <w:rPr>
                <w:rFonts w:ascii="宋体" w:hAnsi="宋体" w:cs="宋体"/>
                <w:sz w:val="20"/>
              </w:rPr>
            </w:pPr>
            <w:r>
              <w:rPr>
                <w:rFonts w:hint="eastAsia" w:ascii="宋体" w:hAnsi="宋体" w:cs="宋体"/>
                <w:sz w:val="20"/>
              </w:rPr>
              <w:t>性</w:t>
            </w:r>
          </w:p>
        </w:tc>
        <w:tc>
          <w:tcPr>
            <w:tcW w:w="4533" w:type="dxa"/>
            <w:gridSpan w:val="3"/>
            <w:tcBorders>
              <w:top w:val="single" w:color="auto" w:sz="4" w:space="0"/>
              <w:left w:val="nil"/>
              <w:bottom w:val="single" w:color="auto" w:sz="4" w:space="0"/>
              <w:right w:val="single" w:color="auto" w:sz="4" w:space="0"/>
            </w:tcBorders>
            <w:noWrap/>
            <w:vAlign w:val="center"/>
          </w:tcPr>
          <w:p>
            <w:pPr>
              <w:spacing w:line="260" w:lineRule="exact"/>
              <w:ind w:firstLine="357"/>
              <w:jc w:val="left"/>
              <w:rPr>
                <w:rFonts w:ascii="宋体" w:hAnsi="宋体" w:cs="宋体"/>
                <w:szCs w:val="21"/>
              </w:rPr>
            </w:pPr>
            <w:r>
              <w:rPr>
                <w:rFonts w:hint="eastAsia" w:ascii="宋体" w:hAnsi="宋体" w:cs="宋体"/>
                <w:szCs w:val="21"/>
              </w:rPr>
              <w:t>6.是否及时就项目开展进度、情况进行沟通</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30" w:hRule="atLeast"/>
        </w:trPr>
        <w:tc>
          <w:tcPr>
            <w:tcW w:w="707" w:type="dxa"/>
            <w:vMerge w:val="continue"/>
            <w:tcBorders>
              <w:left w:val="single" w:color="auto" w:sz="8" w:space="0"/>
              <w:right w:val="single" w:color="auto" w:sz="4" w:space="0"/>
            </w:tcBorders>
            <w:noWrap/>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000000" w:sz="4" w:space="0"/>
            </w:tcBorders>
            <w:noWrap/>
            <w:vAlign w:val="center"/>
          </w:tcPr>
          <w:p>
            <w:pPr>
              <w:spacing w:line="260" w:lineRule="exact"/>
              <w:ind w:firstLine="357"/>
              <w:jc w:val="left"/>
              <w:rPr>
                <w:rFonts w:ascii="宋体" w:hAnsi="宋体" w:cs="宋体"/>
                <w:szCs w:val="21"/>
              </w:rPr>
            </w:pPr>
            <w:r>
              <w:rPr>
                <w:rFonts w:hint="eastAsia" w:ascii="宋体" w:hAnsi="宋体" w:cs="宋体"/>
                <w:szCs w:val="21"/>
              </w:rPr>
              <w:t>7.是否及时回馈委托方提出的意见、问题等，并主动提供有关建议等</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30" w:hRule="atLeast"/>
        </w:trPr>
        <w:tc>
          <w:tcPr>
            <w:tcW w:w="707" w:type="dxa"/>
            <w:vMerge w:val="continue"/>
            <w:tcBorders>
              <w:left w:val="single" w:color="auto" w:sz="8" w:space="0"/>
              <w:right w:val="single" w:color="auto" w:sz="4" w:space="0"/>
            </w:tcBorders>
            <w:noWrap/>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auto" w:sz="4" w:space="0"/>
            </w:tcBorders>
            <w:noWrap/>
            <w:vAlign w:val="center"/>
          </w:tcPr>
          <w:p>
            <w:pPr>
              <w:spacing w:line="260" w:lineRule="exact"/>
              <w:ind w:firstLine="357"/>
              <w:jc w:val="left"/>
              <w:rPr>
                <w:rFonts w:ascii="宋体" w:hAnsi="宋体" w:cs="宋体"/>
                <w:szCs w:val="21"/>
              </w:rPr>
            </w:pPr>
            <w:r>
              <w:rPr>
                <w:rFonts w:hint="eastAsia" w:ascii="宋体" w:hAnsi="宋体" w:cs="宋体"/>
                <w:szCs w:val="21"/>
              </w:rPr>
              <w:t>8.在对重大事项得出结论前是否与有关方面进行了充分的沟通</w:t>
            </w:r>
          </w:p>
        </w:tc>
        <w:tc>
          <w:tcPr>
            <w:tcW w:w="850" w:type="dxa"/>
            <w:tcBorders>
              <w:top w:val="nil"/>
              <w:left w:val="nil"/>
              <w:bottom w:val="single" w:color="auto" w:sz="4" w:space="0"/>
              <w:right w:val="single" w:color="auto" w:sz="4" w:space="0"/>
            </w:tcBorders>
            <w:noWrap/>
            <w:vAlign w:val="center"/>
          </w:tcPr>
          <w:p>
            <w:pPr>
              <w:spacing w:line="260" w:lineRule="exact"/>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30" w:hRule="atLeast"/>
        </w:trPr>
        <w:tc>
          <w:tcPr>
            <w:tcW w:w="707" w:type="dxa"/>
            <w:vMerge w:val="continue"/>
            <w:tcBorders>
              <w:left w:val="single" w:color="auto" w:sz="8" w:space="0"/>
              <w:right w:val="single" w:color="auto" w:sz="4" w:space="0"/>
            </w:tcBorders>
            <w:noWrap/>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sz w:val="20"/>
              </w:rPr>
            </w:pPr>
          </w:p>
        </w:tc>
        <w:tc>
          <w:tcPr>
            <w:tcW w:w="740" w:type="dxa"/>
            <w:gridSpan w:val="4"/>
            <w:vMerge w:val="restart"/>
            <w:tcBorders>
              <w:top w:val="nil"/>
              <w:left w:val="single" w:color="auto" w:sz="4" w:space="0"/>
              <w:bottom w:val="single" w:color="auto" w:sz="4" w:space="0"/>
              <w:right w:val="single" w:color="auto" w:sz="4" w:space="0"/>
            </w:tcBorders>
            <w:noWrap/>
            <w:vAlign w:val="center"/>
          </w:tcPr>
          <w:p>
            <w:pPr>
              <w:rPr>
                <w:rFonts w:ascii="宋体" w:hAnsi="宋体" w:cs="宋体"/>
                <w:sz w:val="20"/>
              </w:rPr>
            </w:pPr>
            <w:r>
              <w:rPr>
                <w:rFonts w:hint="eastAsia" w:ascii="宋体" w:hAnsi="宋体" w:cs="宋体"/>
                <w:sz w:val="20"/>
              </w:rPr>
              <w:t>沟通能力</w:t>
            </w:r>
          </w:p>
        </w:tc>
        <w:tc>
          <w:tcPr>
            <w:tcW w:w="4533" w:type="dxa"/>
            <w:gridSpan w:val="3"/>
            <w:tcBorders>
              <w:top w:val="single" w:color="auto" w:sz="4" w:space="0"/>
              <w:left w:val="nil"/>
              <w:bottom w:val="single" w:color="auto" w:sz="4" w:space="0"/>
              <w:right w:val="single" w:color="auto" w:sz="4" w:space="0"/>
            </w:tcBorders>
            <w:noWrap/>
            <w:vAlign w:val="center"/>
          </w:tcPr>
          <w:p>
            <w:pPr>
              <w:spacing w:line="260" w:lineRule="exact"/>
              <w:ind w:firstLine="360"/>
              <w:jc w:val="left"/>
              <w:rPr>
                <w:rFonts w:ascii="宋体" w:hAnsi="宋体" w:cs="宋体"/>
                <w:szCs w:val="21"/>
              </w:rPr>
            </w:pPr>
            <w:r>
              <w:rPr>
                <w:rFonts w:hint="eastAsia" w:ascii="宋体" w:hAnsi="宋体" w:cs="宋体"/>
                <w:szCs w:val="21"/>
              </w:rPr>
              <w:t>9.服务机构工作人员能否准确理解委托方的意图</w:t>
            </w:r>
          </w:p>
        </w:tc>
        <w:tc>
          <w:tcPr>
            <w:tcW w:w="850" w:type="dxa"/>
            <w:tcBorders>
              <w:top w:val="nil"/>
              <w:left w:val="nil"/>
              <w:bottom w:val="single" w:color="auto" w:sz="4" w:space="0"/>
              <w:right w:val="single" w:color="auto" w:sz="4" w:space="0"/>
            </w:tcBorders>
            <w:noWrap/>
            <w:vAlign w:val="center"/>
          </w:tcPr>
          <w:p>
            <w:pPr>
              <w:spacing w:line="260" w:lineRule="exact"/>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895" w:hRule="atLeast"/>
        </w:trPr>
        <w:tc>
          <w:tcPr>
            <w:tcW w:w="707" w:type="dxa"/>
            <w:vMerge w:val="continue"/>
            <w:tcBorders>
              <w:left w:val="single" w:color="auto" w:sz="8" w:space="0"/>
              <w:right w:val="single" w:color="auto" w:sz="4" w:space="0"/>
            </w:tcBorders>
            <w:noWrap/>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auto" w:sz="4" w:space="0"/>
            </w:tcBorders>
            <w:noWrap/>
            <w:vAlign w:val="center"/>
          </w:tcPr>
          <w:p>
            <w:pPr>
              <w:spacing w:line="260" w:lineRule="exact"/>
              <w:ind w:firstLine="360"/>
              <w:jc w:val="left"/>
              <w:rPr>
                <w:rFonts w:ascii="宋体" w:hAnsi="宋体" w:cs="宋体"/>
                <w:szCs w:val="21"/>
              </w:rPr>
            </w:pPr>
            <w:r>
              <w:rPr>
                <w:rFonts w:hint="eastAsia" w:ascii="宋体" w:hAnsi="宋体" w:cs="宋体"/>
                <w:szCs w:val="21"/>
              </w:rPr>
              <w:t>10.服务机构工作人员表达或表述是否清晰无误，善于沟通</w:t>
            </w:r>
          </w:p>
        </w:tc>
        <w:tc>
          <w:tcPr>
            <w:tcW w:w="850" w:type="dxa"/>
            <w:tcBorders>
              <w:top w:val="nil"/>
              <w:left w:val="nil"/>
              <w:bottom w:val="single" w:color="auto" w:sz="4" w:space="0"/>
              <w:right w:val="single" w:color="auto" w:sz="4" w:space="0"/>
            </w:tcBorders>
            <w:noWrap/>
            <w:vAlign w:val="center"/>
          </w:tcPr>
          <w:p>
            <w:pPr>
              <w:spacing w:line="260" w:lineRule="exact"/>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718" w:hRule="atLeast"/>
        </w:trPr>
        <w:tc>
          <w:tcPr>
            <w:tcW w:w="707" w:type="dxa"/>
            <w:vMerge w:val="continue"/>
            <w:tcBorders>
              <w:left w:val="single" w:color="auto" w:sz="8" w:space="0"/>
              <w:right w:val="single" w:color="auto" w:sz="4" w:space="0"/>
            </w:tcBorders>
            <w:noWrap/>
            <w:vAlign w:val="center"/>
          </w:tcPr>
          <w:p>
            <w:pPr>
              <w:widowControl/>
              <w:jc w:val="left"/>
              <w:rPr>
                <w:rFonts w:ascii="黑体" w:hAnsi="宋体" w:eastAsia="黑体" w:cs="宋体"/>
                <w:sz w:val="24"/>
              </w:rPr>
            </w:pPr>
          </w:p>
        </w:tc>
        <w:tc>
          <w:tcPr>
            <w:tcW w:w="817"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职业</w:t>
            </w:r>
          </w:p>
          <w:p>
            <w:pPr>
              <w:jc w:val="center"/>
              <w:rPr>
                <w:rFonts w:ascii="宋体" w:hAnsi="宋体" w:cs="宋体"/>
                <w:sz w:val="20"/>
              </w:rPr>
            </w:pPr>
            <w:r>
              <w:rPr>
                <w:rFonts w:hint="eastAsia" w:ascii="宋体" w:hAnsi="宋体" w:cs="宋体"/>
                <w:sz w:val="20"/>
              </w:rPr>
              <w:t>操守</w:t>
            </w:r>
          </w:p>
        </w:tc>
        <w:tc>
          <w:tcPr>
            <w:tcW w:w="740" w:type="dxa"/>
            <w:gridSpan w:val="4"/>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工作态度</w:t>
            </w:r>
          </w:p>
        </w:tc>
        <w:tc>
          <w:tcPr>
            <w:tcW w:w="4533" w:type="dxa"/>
            <w:gridSpan w:val="3"/>
            <w:tcBorders>
              <w:top w:val="single" w:color="auto" w:sz="4" w:space="0"/>
              <w:left w:val="nil"/>
              <w:bottom w:val="single" w:color="auto" w:sz="4" w:space="0"/>
              <w:right w:val="single" w:color="auto" w:sz="4" w:space="0"/>
            </w:tcBorders>
            <w:noWrap/>
            <w:vAlign w:val="center"/>
          </w:tcPr>
          <w:p>
            <w:pPr>
              <w:spacing w:line="260" w:lineRule="exact"/>
              <w:ind w:firstLine="360"/>
              <w:jc w:val="left"/>
              <w:rPr>
                <w:rFonts w:ascii="宋体" w:hAnsi="宋体" w:cs="宋体"/>
                <w:szCs w:val="21"/>
              </w:rPr>
            </w:pPr>
            <w:r>
              <w:rPr>
                <w:rFonts w:hint="eastAsia" w:ascii="宋体" w:hAnsi="宋体" w:cs="宋体"/>
                <w:szCs w:val="21"/>
              </w:rPr>
              <w:t>11.服务机构工作团队对事项的描述、问题的定性和数据的确定等是否合理谨慎</w:t>
            </w:r>
          </w:p>
        </w:tc>
        <w:tc>
          <w:tcPr>
            <w:tcW w:w="850" w:type="dxa"/>
            <w:tcBorders>
              <w:top w:val="single" w:color="auto" w:sz="4" w:space="0"/>
              <w:left w:val="nil"/>
              <w:bottom w:val="single" w:color="auto" w:sz="4" w:space="0"/>
              <w:right w:val="single" w:color="auto" w:sz="4" w:space="0"/>
            </w:tcBorders>
            <w:noWrap/>
            <w:vAlign w:val="center"/>
          </w:tcPr>
          <w:p>
            <w:pPr>
              <w:spacing w:line="260" w:lineRule="exact"/>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12" w:hRule="atLeast"/>
        </w:trPr>
        <w:tc>
          <w:tcPr>
            <w:tcW w:w="707" w:type="dxa"/>
            <w:vMerge w:val="continue"/>
            <w:tcBorders>
              <w:left w:val="single" w:color="auto" w:sz="8" w:space="0"/>
              <w:right w:val="single" w:color="auto" w:sz="4" w:space="0"/>
            </w:tcBorders>
            <w:noWrap/>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sz w:val="20"/>
              </w:rPr>
            </w:pPr>
          </w:p>
        </w:tc>
        <w:tc>
          <w:tcPr>
            <w:tcW w:w="740" w:type="dxa"/>
            <w:gridSpan w:val="4"/>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auto" w:sz="4" w:space="0"/>
            </w:tcBorders>
            <w:noWrap/>
            <w:vAlign w:val="center"/>
          </w:tcPr>
          <w:p>
            <w:pPr>
              <w:spacing w:line="260" w:lineRule="exact"/>
              <w:ind w:firstLine="360"/>
              <w:jc w:val="left"/>
              <w:rPr>
                <w:rFonts w:ascii="宋体" w:hAnsi="宋体" w:cs="宋体"/>
                <w:szCs w:val="21"/>
              </w:rPr>
            </w:pPr>
            <w:r>
              <w:rPr>
                <w:rFonts w:hint="eastAsia" w:ascii="宋体" w:hAnsi="宋体" w:cs="宋体"/>
                <w:szCs w:val="21"/>
              </w:rPr>
              <w:t>12.服务机构工作团队对事项的描述、问题的定性和数据的确定等是否客观真实</w:t>
            </w:r>
          </w:p>
        </w:tc>
        <w:tc>
          <w:tcPr>
            <w:tcW w:w="850" w:type="dxa"/>
            <w:tcBorders>
              <w:top w:val="single" w:color="auto" w:sz="4" w:space="0"/>
              <w:left w:val="nil"/>
              <w:bottom w:val="single" w:color="auto" w:sz="4" w:space="0"/>
              <w:right w:val="single" w:color="auto" w:sz="4" w:space="0"/>
            </w:tcBorders>
            <w:noWrap/>
            <w:vAlign w:val="center"/>
          </w:tcPr>
          <w:p>
            <w:pPr>
              <w:spacing w:line="260" w:lineRule="exact"/>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12" w:hRule="atLeast"/>
        </w:trPr>
        <w:tc>
          <w:tcPr>
            <w:tcW w:w="707" w:type="dxa"/>
            <w:vMerge w:val="continue"/>
            <w:tcBorders>
              <w:left w:val="single" w:color="auto" w:sz="8" w:space="0"/>
              <w:right w:val="single" w:color="auto" w:sz="4" w:space="0"/>
            </w:tcBorders>
            <w:noWrap/>
            <w:vAlign w:val="center"/>
          </w:tcPr>
          <w:p>
            <w:pPr>
              <w:widowControl/>
              <w:jc w:val="left"/>
              <w:rPr>
                <w:rFonts w:ascii="黑体" w:hAnsi="宋体" w:eastAsia="黑体" w:cs="宋体"/>
                <w:sz w:val="24"/>
              </w:rPr>
            </w:pPr>
          </w:p>
        </w:tc>
        <w:tc>
          <w:tcPr>
            <w:tcW w:w="817" w:type="dxa"/>
            <w:vMerge w:val="restart"/>
            <w:tcBorders>
              <w:top w:val="single" w:color="auto" w:sz="4" w:space="0"/>
              <w:left w:val="single" w:color="auto" w:sz="4" w:space="0"/>
              <w:right w:val="single" w:color="auto" w:sz="4" w:space="0"/>
            </w:tcBorders>
            <w:noWrap/>
            <w:vAlign w:val="center"/>
          </w:tcPr>
          <w:p>
            <w:pPr>
              <w:widowControl/>
              <w:jc w:val="left"/>
              <w:rPr>
                <w:rFonts w:ascii="宋体" w:hAnsi="宋体" w:cs="宋体"/>
                <w:sz w:val="20"/>
              </w:rPr>
            </w:pPr>
          </w:p>
        </w:tc>
        <w:tc>
          <w:tcPr>
            <w:tcW w:w="740" w:type="dxa"/>
            <w:gridSpan w:val="4"/>
            <w:vMerge w:val="restart"/>
            <w:tcBorders>
              <w:top w:val="single" w:color="auto" w:sz="4" w:space="0"/>
              <w:left w:val="single" w:color="auto" w:sz="4" w:space="0"/>
              <w:right w:val="single" w:color="auto" w:sz="4" w:space="0"/>
            </w:tcBorders>
            <w:noWrap/>
            <w:vAlign w:val="center"/>
          </w:tcPr>
          <w:p>
            <w:pPr>
              <w:widowControl/>
              <w:jc w:val="left"/>
              <w:rPr>
                <w:rFonts w:ascii="宋体" w:hAnsi="宋体" w:cs="宋体"/>
                <w:sz w:val="20"/>
              </w:rPr>
            </w:pPr>
            <w:r>
              <w:rPr>
                <w:rFonts w:hint="eastAsia" w:ascii="宋体" w:hAnsi="宋体" w:cs="宋体"/>
                <w:sz w:val="20"/>
              </w:rPr>
              <w:t>职业道德</w:t>
            </w:r>
          </w:p>
        </w:tc>
        <w:tc>
          <w:tcPr>
            <w:tcW w:w="4533" w:type="dxa"/>
            <w:gridSpan w:val="3"/>
            <w:tcBorders>
              <w:top w:val="single" w:color="auto" w:sz="4" w:space="0"/>
              <w:left w:val="nil"/>
              <w:bottom w:val="single" w:color="auto" w:sz="4" w:space="0"/>
              <w:right w:val="single" w:color="auto" w:sz="4" w:space="0"/>
            </w:tcBorders>
            <w:noWrap/>
            <w:vAlign w:val="center"/>
          </w:tcPr>
          <w:p>
            <w:pPr>
              <w:spacing w:line="260" w:lineRule="exact"/>
              <w:ind w:firstLine="360"/>
              <w:rPr>
                <w:rFonts w:ascii="宋体" w:hAnsi="宋体" w:cs="宋体"/>
                <w:szCs w:val="21"/>
              </w:rPr>
            </w:pPr>
            <w:r>
              <w:rPr>
                <w:rFonts w:hint="eastAsia" w:ascii="宋体" w:hAnsi="宋体" w:cs="宋体"/>
                <w:szCs w:val="21"/>
              </w:rPr>
              <w:t>13.服务机构工作人员能否对执业过程中获得的信息保密</w:t>
            </w:r>
          </w:p>
        </w:tc>
        <w:tc>
          <w:tcPr>
            <w:tcW w:w="850" w:type="dxa"/>
            <w:tcBorders>
              <w:top w:val="single" w:color="auto" w:sz="4" w:space="0"/>
              <w:left w:val="nil"/>
              <w:bottom w:val="single" w:color="auto" w:sz="4" w:space="0"/>
              <w:right w:val="single" w:color="auto" w:sz="4" w:space="0"/>
            </w:tcBorders>
            <w:noWrap/>
            <w:vAlign w:val="center"/>
          </w:tcPr>
          <w:p>
            <w:pPr>
              <w:spacing w:line="260" w:lineRule="exact"/>
              <w:jc w:val="center"/>
              <w:rPr>
                <w:rFonts w:ascii="宋体" w:hAnsi="宋体" w:cs="宋体"/>
                <w:szCs w:val="21"/>
              </w:rPr>
            </w:pPr>
            <w:r>
              <w:rPr>
                <w:rFonts w:hint="eastAsia" w:ascii="宋体" w:hAnsi="宋体" w:cs="宋体"/>
                <w:szCs w:val="21"/>
              </w:rPr>
              <w:t>3</w:t>
            </w:r>
          </w:p>
        </w:tc>
        <w:tc>
          <w:tcPr>
            <w:tcW w:w="1559" w:type="dxa"/>
            <w:gridSpan w:val="6"/>
            <w:tcBorders>
              <w:top w:val="single" w:color="auto" w:sz="4" w:space="0"/>
              <w:left w:val="nil"/>
              <w:bottom w:val="single" w:color="auto"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ign w:val="center"/>
          </w:tcPr>
          <w:p>
            <w:pPr>
              <w:ind w:firstLine="360"/>
              <w:jc w:val="center"/>
              <w:rPr>
                <w:rFonts w:ascii="宋体" w:hAnsi="宋体" w:cs="宋体"/>
                <w:sz w:val="20"/>
              </w:rPr>
            </w:pPr>
          </w:p>
        </w:tc>
      </w:tr>
      <w:tr>
        <w:tblPrEx>
          <w:tblCellMar>
            <w:top w:w="0" w:type="dxa"/>
            <w:left w:w="108" w:type="dxa"/>
            <w:bottom w:w="0" w:type="dxa"/>
            <w:right w:w="108" w:type="dxa"/>
          </w:tblCellMar>
        </w:tblPrEx>
        <w:trPr>
          <w:trHeight w:val="1165" w:hRule="atLeast"/>
        </w:trPr>
        <w:tc>
          <w:tcPr>
            <w:tcW w:w="707" w:type="dxa"/>
            <w:vMerge w:val="continue"/>
            <w:tcBorders>
              <w:left w:val="single" w:color="auto" w:sz="8" w:space="0"/>
              <w:bottom w:val="single" w:color="auto" w:sz="4" w:space="0"/>
              <w:right w:val="single" w:color="auto" w:sz="4" w:space="0"/>
            </w:tcBorders>
            <w:noWrap/>
            <w:vAlign w:val="center"/>
          </w:tcPr>
          <w:p>
            <w:pPr>
              <w:widowControl/>
              <w:jc w:val="left"/>
              <w:rPr>
                <w:rFonts w:ascii="黑体" w:hAnsi="宋体" w:eastAsia="黑体" w:cs="宋体"/>
                <w:sz w:val="24"/>
              </w:rPr>
            </w:pPr>
          </w:p>
        </w:tc>
        <w:tc>
          <w:tcPr>
            <w:tcW w:w="817" w:type="dxa"/>
            <w:vMerge w:val="continue"/>
            <w:tcBorders>
              <w:left w:val="single" w:color="auto" w:sz="4" w:space="0"/>
              <w:bottom w:val="single" w:color="auto" w:sz="4" w:space="0"/>
              <w:right w:val="single" w:color="auto" w:sz="4" w:space="0"/>
            </w:tcBorders>
            <w:noWrap/>
            <w:vAlign w:val="center"/>
          </w:tcPr>
          <w:p>
            <w:pPr>
              <w:widowControl/>
              <w:jc w:val="left"/>
              <w:rPr>
                <w:rFonts w:ascii="宋体" w:hAnsi="宋体" w:cs="宋体"/>
                <w:sz w:val="20"/>
              </w:rPr>
            </w:pPr>
          </w:p>
        </w:tc>
        <w:tc>
          <w:tcPr>
            <w:tcW w:w="740" w:type="dxa"/>
            <w:gridSpan w:val="4"/>
            <w:vMerge w:val="continue"/>
            <w:tcBorders>
              <w:left w:val="single" w:color="auto" w:sz="4" w:space="0"/>
              <w:bottom w:val="single" w:color="auto" w:sz="4" w:space="0"/>
              <w:right w:val="single" w:color="auto" w:sz="4" w:space="0"/>
            </w:tcBorders>
            <w:noWrap/>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auto" w:sz="4" w:space="0"/>
            </w:tcBorders>
            <w:noWrap/>
            <w:vAlign w:val="center"/>
          </w:tcPr>
          <w:p>
            <w:pPr>
              <w:spacing w:line="260" w:lineRule="exact"/>
              <w:ind w:firstLine="360"/>
              <w:rPr>
                <w:rFonts w:ascii="宋体" w:hAnsi="宋体" w:cs="宋体"/>
                <w:szCs w:val="21"/>
              </w:rPr>
            </w:pPr>
            <w:r>
              <w:rPr>
                <w:rFonts w:hint="eastAsia" w:ascii="宋体" w:hAnsi="宋体" w:cs="宋体"/>
                <w:szCs w:val="21"/>
              </w:rPr>
              <w:t>14.服务机构工作人员能否坚持独立、客观、公正的立场</w:t>
            </w:r>
          </w:p>
        </w:tc>
        <w:tc>
          <w:tcPr>
            <w:tcW w:w="850" w:type="dxa"/>
            <w:tcBorders>
              <w:top w:val="single" w:color="auto" w:sz="4" w:space="0"/>
              <w:left w:val="nil"/>
              <w:bottom w:val="single" w:color="auto" w:sz="4" w:space="0"/>
              <w:right w:val="single" w:color="auto" w:sz="4" w:space="0"/>
            </w:tcBorders>
            <w:noWrap/>
            <w:vAlign w:val="center"/>
          </w:tcPr>
          <w:p>
            <w:pPr>
              <w:spacing w:line="260" w:lineRule="exact"/>
              <w:jc w:val="center"/>
              <w:rPr>
                <w:rFonts w:ascii="宋体" w:hAnsi="宋体" w:cs="宋体"/>
                <w:szCs w:val="21"/>
              </w:rPr>
            </w:pPr>
            <w:r>
              <w:rPr>
                <w:rFonts w:hint="eastAsia" w:ascii="宋体" w:hAnsi="宋体" w:cs="宋体"/>
                <w:szCs w:val="21"/>
              </w:rPr>
              <w:t>3</w:t>
            </w:r>
          </w:p>
        </w:tc>
        <w:tc>
          <w:tcPr>
            <w:tcW w:w="1559" w:type="dxa"/>
            <w:gridSpan w:val="6"/>
            <w:tcBorders>
              <w:top w:val="single" w:color="auto" w:sz="4" w:space="0"/>
              <w:left w:val="nil"/>
              <w:bottom w:val="single" w:color="auto"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ign w:val="center"/>
          </w:tcPr>
          <w:p>
            <w:pPr>
              <w:ind w:firstLine="360"/>
              <w:jc w:val="center"/>
              <w:rPr>
                <w:rFonts w:ascii="宋体" w:hAnsi="宋体" w:cs="宋体"/>
                <w:sz w:val="20"/>
              </w:rPr>
            </w:pPr>
          </w:p>
        </w:tc>
      </w:tr>
      <w:tr>
        <w:tblPrEx>
          <w:tblCellMar>
            <w:top w:w="0" w:type="dxa"/>
            <w:left w:w="108" w:type="dxa"/>
            <w:bottom w:w="0" w:type="dxa"/>
            <w:right w:w="108" w:type="dxa"/>
          </w:tblCellMar>
        </w:tblPrEx>
        <w:trPr>
          <w:trHeight w:val="699" w:hRule="atLeast"/>
        </w:trPr>
        <w:tc>
          <w:tcPr>
            <w:tcW w:w="707" w:type="dxa"/>
            <w:vMerge w:val="restart"/>
            <w:tcBorders>
              <w:top w:val="single" w:color="auto" w:sz="4" w:space="0"/>
              <w:left w:val="single" w:color="auto" w:sz="8" w:space="0"/>
              <w:bottom w:val="double" w:color="000000" w:sz="6" w:space="0"/>
              <w:right w:val="single" w:color="auto" w:sz="4" w:space="0"/>
            </w:tcBorders>
            <w:noWrap/>
            <w:textDirection w:val="tbRlV"/>
            <w:vAlign w:val="center"/>
          </w:tcPr>
          <w:p>
            <w:pPr>
              <w:ind w:firstLine="360"/>
              <w:jc w:val="center"/>
              <w:rPr>
                <w:rFonts w:ascii="黑体" w:hAnsi="宋体" w:eastAsia="黑体" w:cs="宋体"/>
                <w:sz w:val="24"/>
              </w:rPr>
            </w:pPr>
            <w:r>
              <w:rPr>
                <w:rFonts w:hint="eastAsia" w:ascii="黑体" w:hAnsi="宋体" w:eastAsia="黑体" w:cs="宋体"/>
                <w:sz w:val="24"/>
              </w:rPr>
              <w:t>服务成果（60分）</w:t>
            </w:r>
          </w:p>
        </w:tc>
        <w:tc>
          <w:tcPr>
            <w:tcW w:w="817" w:type="dxa"/>
            <w:vMerge w:val="restart"/>
            <w:tcBorders>
              <w:top w:val="single" w:color="auto" w:sz="4" w:space="0"/>
              <w:left w:val="single" w:color="auto" w:sz="4" w:space="0"/>
              <w:bottom w:val="single" w:color="000000" w:sz="4" w:space="0"/>
              <w:right w:val="single" w:color="000000" w:sz="4" w:space="0"/>
            </w:tcBorders>
            <w:noWrap/>
            <w:vAlign w:val="center"/>
          </w:tcPr>
          <w:p>
            <w:pPr>
              <w:jc w:val="center"/>
              <w:rPr>
                <w:rFonts w:ascii="宋体" w:hAnsi="宋体" w:cs="宋体"/>
                <w:szCs w:val="21"/>
              </w:rPr>
            </w:pPr>
            <w:r>
              <w:rPr>
                <w:rFonts w:hint="eastAsia" w:ascii="宋体" w:hAnsi="宋体" w:cs="宋体"/>
                <w:szCs w:val="21"/>
              </w:rPr>
              <w:t>规范性</w:t>
            </w:r>
          </w:p>
        </w:tc>
        <w:tc>
          <w:tcPr>
            <w:tcW w:w="740" w:type="dxa"/>
            <w:gridSpan w:val="4"/>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格式     与      文字</w:t>
            </w:r>
          </w:p>
        </w:tc>
        <w:tc>
          <w:tcPr>
            <w:tcW w:w="4533" w:type="dxa"/>
            <w:gridSpan w:val="3"/>
            <w:tcBorders>
              <w:top w:val="single" w:color="auto" w:sz="4" w:space="0"/>
              <w:left w:val="nil"/>
              <w:bottom w:val="single" w:color="auto" w:sz="4" w:space="0"/>
              <w:right w:val="single" w:color="auto" w:sz="4" w:space="0"/>
            </w:tcBorders>
            <w:noWrap/>
            <w:vAlign w:val="center"/>
          </w:tcPr>
          <w:p>
            <w:pPr>
              <w:spacing w:line="260" w:lineRule="exact"/>
              <w:ind w:firstLine="360"/>
              <w:rPr>
                <w:rFonts w:ascii="宋体" w:hAnsi="宋体" w:cs="宋体"/>
                <w:szCs w:val="21"/>
              </w:rPr>
            </w:pPr>
            <w:r>
              <w:rPr>
                <w:rFonts w:hint="eastAsia" w:ascii="宋体" w:hAnsi="宋体" w:cs="宋体"/>
                <w:szCs w:val="21"/>
              </w:rPr>
              <w:t>15.报告或相关材料的格式是否符合委托要求</w:t>
            </w:r>
          </w:p>
        </w:tc>
        <w:tc>
          <w:tcPr>
            <w:tcW w:w="861" w:type="dxa"/>
            <w:gridSpan w:val="2"/>
            <w:tcBorders>
              <w:top w:val="single" w:color="auto" w:sz="4" w:space="0"/>
              <w:left w:val="nil"/>
              <w:bottom w:val="single" w:color="auto" w:sz="4" w:space="0"/>
              <w:right w:val="single" w:color="auto" w:sz="4" w:space="0"/>
            </w:tcBorders>
            <w:noWrap/>
            <w:vAlign w:val="center"/>
          </w:tcPr>
          <w:p>
            <w:pPr>
              <w:spacing w:line="260" w:lineRule="exact"/>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548" w:type="dxa"/>
            <w:gridSpan w:val="5"/>
            <w:tcBorders>
              <w:top w:val="single" w:color="auto" w:sz="4" w:space="0"/>
              <w:left w:val="nil"/>
              <w:bottom w:val="single" w:color="auto"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73" w:hRule="atLeast"/>
        </w:trPr>
        <w:tc>
          <w:tcPr>
            <w:tcW w:w="707" w:type="dxa"/>
            <w:vMerge w:val="continue"/>
            <w:tcBorders>
              <w:top w:val="nil"/>
              <w:left w:val="single" w:color="auto" w:sz="8" w:space="0"/>
              <w:bottom w:val="double" w:color="000000" w:sz="6" w:space="0"/>
              <w:right w:val="single" w:color="auto" w:sz="4" w:space="0"/>
            </w:tcBorders>
            <w:noWrap/>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000000" w:sz="4" w:space="0"/>
              <w:right w:val="single" w:color="000000" w:sz="4" w:space="0"/>
            </w:tcBorders>
            <w:noWrap/>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noWrap/>
            <w:vAlign w:val="center"/>
          </w:tcPr>
          <w:p>
            <w:pPr>
              <w:spacing w:line="260" w:lineRule="exact"/>
              <w:ind w:firstLine="360"/>
              <w:rPr>
                <w:rFonts w:ascii="宋体" w:hAnsi="宋体" w:cs="宋体"/>
                <w:szCs w:val="21"/>
              </w:rPr>
            </w:pPr>
            <w:r>
              <w:rPr>
                <w:rFonts w:hint="eastAsia" w:ascii="宋体" w:hAnsi="宋体" w:cs="宋体"/>
                <w:szCs w:val="21"/>
              </w:rPr>
              <w:t>16.报告或相关材料表内表间数据的勾稽关系是否正确</w:t>
            </w:r>
          </w:p>
        </w:tc>
        <w:tc>
          <w:tcPr>
            <w:tcW w:w="861" w:type="dxa"/>
            <w:gridSpan w:val="2"/>
            <w:tcBorders>
              <w:top w:val="nil"/>
              <w:left w:val="nil"/>
              <w:bottom w:val="single" w:color="auto" w:sz="4" w:space="0"/>
              <w:right w:val="single" w:color="auto" w:sz="4" w:space="0"/>
            </w:tcBorders>
            <w:noWrap/>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55" w:hRule="atLeast"/>
        </w:trPr>
        <w:tc>
          <w:tcPr>
            <w:tcW w:w="707" w:type="dxa"/>
            <w:vMerge w:val="continue"/>
            <w:tcBorders>
              <w:top w:val="nil"/>
              <w:left w:val="single" w:color="auto" w:sz="8" w:space="0"/>
              <w:bottom w:val="double" w:color="000000" w:sz="6" w:space="0"/>
              <w:right w:val="single" w:color="auto" w:sz="4" w:space="0"/>
            </w:tcBorders>
            <w:noWrap/>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000000" w:sz="4" w:space="0"/>
              <w:right w:val="single" w:color="000000" w:sz="4" w:space="0"/>
            </w:tcBorders>
            <w:noWrap/>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noWrap/>
            <w:vAlign w:val="center"/>
          </w:tcPr>
          <w:p>
            <w:pPr>
              <w:spacing w:line="260" w:lineRule="exact"/>
              <w:ind w:firstLine="360"/>
              <w:rPr>
                <w:rFonts w:ascii="宋体" w:hAnsi="宋体" w:cs="宋体"/>
                <w:szCs w:val="21"/>
              </w:rPr>
            </w:pPr>
            <w:r>
              <w:rPr>
                <w:rFonts w:hint="eastAsia" w:ascii="宋体" w:hAnsi="宋体" w:cs="宋体"/>
                <w:szCs w:val="21"/>
              </w:rPr>
              <w:t>17.文字表述是否清晰，易产生歧义的内容是否不多于3处</w:t>
            </w:r>
          </w:p>
        </w:tc>
        <w:tc>
          <w:tcPr>
            <w:tcW w:w="861" w:type="dxa"/>
            <w:gridSpan w:val="2"/>
            <w:tcBorders>
              <w:top w:val="nil"/>
              <w:left w:val="nil"/>
              <w:bottom w:val="single" w:color="auto" w:sz="4" w:space="0"/>
              <w:right w:val="single" w:color="auto" w:sz="4" w:space="0"/>
            </w:tcBorders>
            <w:noWrap/>
            <w:vAlign w:val="center"/>
          </w:tcPr>
          <w:p>
            <w:pPr>
              <w:spacing w:line="260" w:lineRule="exact"/>
              <w:jc w:val="center"/>
              <w:rPr>
                <w:rFonts w:hint="default" w:ascii="宋体" w:hAnsi="宋体" w:eastAsia="宋体" w:cs="宋体"/>
                <w:szCs w:val="21"/>
                <w:lang w:val="en-US" w:eastAsia="zh-CN"/>
              </w:rPr>
            </w:pPr>
            <w:r>
              <w:rPr>
                <w:rFonts w:hint="eastAsia" w:ascii="宋体" w:hAnsi="宋体" w:cs="宋体"/>
                <w:szCs w:val="21"/>
                <w:lang w:val="en-US" w:eastAsia="zh-CN"/>
              </w:rPr>
              <w:t>5</w:t>
            </w:r>
          </w:p>
        </w:tc>
        <w:tc>
          <w:tcPr>
            <w:tcW w:w="1548" w:type="dxa"/>
            <w:gridSpan w:val="5"/>
            <w:tcBorders>
              <w:top w:val="single" w:color="auto" w:sz="4" w:space="0"/>
              <w:left w:val="nil"/>
              <w:bottom w:val="single" w:color="auto"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65" w:hRule="atLeast"/>
        </w:trPr>
        <w:tc>
          <w:tcPr>
            <w:tcW w:w="707" w:type="dxa"/>
            <w:vMerge w:val="continue"/>
            <w:tcBorders>
              <w:top w:val="nil"/>
              <w:left w:val="single" w:color="auto" w:sz="8" w:space="0"/>
              <w:bottom w:val="double" w:color="000000" w:sz="6" w:space="0"/>
              <w:right w:val="single" w:color="auto" w:sz="4" w:space="0"/>
            </w:tcBorders>
            <w:noWrap/>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000000" w:sz="4" w:space="0"/>
              <w:right w:val="single" w:color="000000" w:sz="4" w:space="0"/>
            </w:tcBorders>
            <w:noWrap/>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noWrap/>
            <w:vAlign w:val="center"/>
          </w:tcPr>
          <w:p>
            <w:pPr>
              <w:spacing w:line="260" w:lineRule="exact"/>
              <w:ind w:firstLine="360"/>
              <w:rPr>
                <w:rFonts w:ascii="宋体" w:hAnsi="宋体" w:cs="宋体"/>
                <w:szCs w:val="21"/>
              </w:rPr>
            </w:pPr>
            <w:r>
              <w:rPr>
                <w:rFonts w:hint="eastAsia" w:ascii="宋体" w:hAnsi="宋体" w:cs="宋体"/>
                <w:szCs w:val="21"/>
              </w:rPr>
              <w:t>18.报告或相关材料中的错别字、笔误等是否不多于5处</w:t>
            </w:r>
          </w:p>
        </w:tc>
        <w:tc>
          <w:tcPr>
            <w:tcW w:w="861" w:type="dxa"/>
            <w:gridSpan w:val="2"/>
            <w:tcBorders>
              <w:top w:val="nil"/>
              <w:left w:val="nil"/>
              <w:bottom w:val="single" w:color="auto" w:sz="4" w:space="0"/>
              <w:right w:val="single" w:color="auto" w:sz="4" w:space="0"/>
            </w:tcBorders>
            <w:noWrap/>
            <w:vAlign w:val="center"/>
          </w:tcPr>
          <w:p>
            <w:pPr>
              <w:spacing w:line="260" w:lineRule="exact"/>
              <w:jc w:val="center"/>
              <w:rPr>
                <w:rFonts w:hint="default" w:ascii="宋体" w:hAnsi="宋体" w:eastAsia="宋体" w:cs="宋体"/>
                <w:szCs w:val="21"/>
                <w:lang w:val="en-US" w:eastAsia="zh-CN"/>
              </w:rPr>
            </w:pPr>
            <w:r>
              <w:rPr>
                <w:rFonts w:hint="eastAsia" w:ascii="宋体" w:hAnsi="宋体" w:cs="宋体"/>
                <w:szCs w:val="21"/>
                <w:lang w:val="en-US" w:eastAsia="zh-CN"/>
              </w:rPr>
              <w:t>5</w:t>
            </w:r>
          </w:p>
        </w:tc>
        <w:tc>
          <w:tcPr>
            <w:tcW w:w="1548" w:type="dxa"/>
            <w:gridSpan w:val="5"/>
            <w:tcBorders>
              <w:top w:val="single" w:color="auto" w:sz="4" w:space="0"/>
              <w:left w:val="nil"/>
              <w:bottom w:val="single" w:color="auto"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802" w:hRule="atLeast"/>
        </w:trPr>
        <w:tc>
          <w:tcPr>
            <w:tcW w:w="707" w:type="dxa"/>
            <w:vMerge w:val="continue"/>
            <w:tcBorders>
              <w:top w:val="nil"/>
              <w:left w:val="single" w:color="auto" w:sz="8" w:space="0"/>
              <w:bottom w:val="double" w:color="000000" w:sz="6" w:space="0"/>
              <w:right w:val="single" w:color="auto" w:sz="4" w:space="0"/>
            </w:tcBorders>
            <w:noWrap/>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000000" w:sz="4" w:space="0"/>
              <w:right w:val="single" w:color="000000" w:sz="4" w:space="0"/>
            </w:tcBorders>
            <w:noWrap/>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noWrap/>
            <w:vAlign w:val="center"/>
          </w:tcPr>
          <w:p>
            <w:pPr>
              <w:spacing w:line="260" w:lineRule="exact"/>
              <w:ind w:firstLine="360"/>
              <w:rPr>
                <w:rFonts w:ascii="宋体" w:hAnsi="宋体" w:cs="宋体"/>
                <w:szCs w:val="21"/>
              </w:rPr>
            </w:pPr>
            <w:r>
              <w:rPr>
                <w:rFonts w:hint="eastAsia" w:ascii="宋体" w:hAnsi="宋体" w:cs="宋体"/>
                <w:szCs w:val="21"/>
              </w:rPr>
              <w:t>19.报告或相关材料中是否存在一个或多个表格不符合委托要求</w:t>
            </w:r>
          </w:p>
        </w:tc>
        <w:tc>
          <w:tcPr>
            <w:tcW w:w="861" w:type="dxa"/>
            <w:gridSpan w:val="2"/>
            <w:tcBorders>
              <w:top w:val="nil"/>
              <w:left w:val="nil"/>
              <w:bottom w:val="single" w:color="auto" w:sz="4" w:space="0"/>
              <w:right w:val="single" w:color="auto" w:sz="4" w:space="0"/>
            </w:tcBorders>
            <w:noWrap/>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30" w:hRule="atLeast"/>
        </w:trPr>
        <w:tc>
          <w:tcPr>
            <w:tcW w:w="707" w:type="dxa"/>
            <w:vMerge w:val="continue"/>
            <w:tcBorders>
              <w:top w:val="nil"/>
              <w:left w:val="single" w:color="auto" w:sz="8" w:space="0"/>
              <w:bottom w:val="double" w:color="000000" w:sz="6" w:space="0"/>
              <w:right w:val="single" w:color="auto" w:sz="4" w:space="0"/>
            </w:tcBorders>
            <w:noWrap/>
            <w:vAlign w:val="center"/>
          </w:tcPr>
          <w:p>
            <w:pPr>
              <w:widowControl/>
              <w:jc w:val="left"/>
              <w:rPr>
                <w:rFonts w:ascii="黑体" w:hAnsi="宋体" w:eastAsia="黑体" w:cs="宋体"/>
                <w:sz w:val="24"/>
              </w:rPr>
            </w:pPr>
          </w:p>
        </w:tc>
        <w:tc>
          <w:tcPr>
            <w:tcW w:w="817"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完整性</w:t>
            </w:r>
          </w:p>
        </w:tc>
        <w:tc>
          <w:tcPr>
            <w:tcW w:w="740" w:type="dxa"/>
            <w:gridSpan w:val="4"/>
            <w:vMerge w:val="restart"/>
            <w:tcBorders>
              <w:top w:val="nil"/>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内容     与      成果</w:t>
            </w:r>
          </w:p>
        </w:tc>
        <w:tc>
          <w:tcPr>
            <w:tcW w:w="4533" w:type="dxa"/>
            <w:gridSpan w:val="3"/>
            <w:tcBorders>
              <w:top w:val="single" w:color="auto" w:sz="4" w:space="0"/>
              <w:left w:val="nil"/>
              <w:bottom w:val="single" w:color="auto" w:sz="4" w:space="0"/>
              <w:right w:val="single" w:color="auto" w:sz="4" w:space="0"/>
            </w:tcBorders>
            <w:noWrap/>
            <w:vAlign w:val="center"/>
          </w:tcPr>
          <w:p>
            <w:pPr>
              <w:spacing w:line="260" w:lineRule="exact"/>
              <w:ind w:firstLine="360"/>
              <w:rPr>
                <w:rFonts w:ascii="宋体" w:hAnsi="宋体" w:cs="宋体"/>
                <w:szCs w:val="21"/>
              </w:rPr>
            </w:pPr>
            <w:r>
              <w:rPr>
                <w:rFonts w:hint="eastAsia" w:ascii="宋体" w:hAnsi="宋体" w:cs="宋体"/>
                <w:szCs w:val="21"/>
              </w:rPr>
              <w:t>20.是否完成协议规定的具体服务内容</w:t>
            </w:r>
          </w:p>
        </w:tc>
        <w:tc>
          <w:tcPr>
            <w:tcW w:w="861" w:type="dxa"/>
            <w:gridSpan w:val="2"/>
            <w:tcBorders>
              <w:top w:val="nil"/>
              <w:left w:val="nil"/>
              <w:bottom w:val="single" w:color="auto" w:sz="4" w:space="0"/>
              <w:right w:val="single" w:color="auto" w:sz="4" w:space="0"/>
            </w:tcBorders>
            <w:noWrap/>
            <w:vAlign w:val="center"/>
          </w:tcPr>
          <w:p>
            <w:pPr>
              <w:spacing w:line="260" w:lineRule="exact"/>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1548" w:type="dxa"/>
            <w:gridSpan w:val="5"/>
            <w:tcBorders>
              <w:top w:val="single" w:color="auto" w:sz="4" w:space="0"/>
              <w:left w:val="nil"/>
              <w:bottom w:val="single" w:color="auto"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709" w:hRule="atLeast"/>
        </w:trPr>
        <w:tc>
          <w:tcPr>
            <w:tcW w:w="707" w:type="dxa"/>
            <w:vMerge w:val="continue"/>
            <w:tcBorders>
              <w:top w:val="nil"/>
              <w:left w:val="single" w:color="auto" w:sz="8" w:space="0"/>
              <w:bottom w:val="double" w:color="000000" w:sz="6" w:space="0"/>
              <w:right w:val="single" w:color="auto" w:sz="4" w:space="0"/>
            </w:tcBorders>
            <w:noWrap/>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noWrap/>
            <w:vAlign w:val="center"/>
          </w:tcPr>
          <w:p>
            <w:pPr>
              <w:spacing w:line="260" w:lineRule="exact"/>
              <w:ind w:firstLine="360"/>
              <w:rPr>
                <w:rFonts w:ascii="宋体" w:hAnsi="宋体" w:cs="宋体"/>
                <w:szCs w:val="21"/>
              </w:rPr>
            </w:pPr>
            <w:r>
              <w:rPr>
                <w:rFonts w:hint="eastAsia" w:ascii="宋体" w:hAnsi="宋体" w:cs="宋体"/>
                <w:szCs w:val="21"/>
              </w:rPr>
              <w:t>21.是否按要求提交相关的工作成果或达到预期目标</w:t>
            </w:r>
          </w:p>
        </w:tc>
        <w:tc>
          <w:tcPr>
            <w:tcW w:w="861" w:type="dxa"/>
            <w:gridSpan w:val="2"/>
            <w:tcBorders>
              <w:top w:val="nil"/>
              <w:left w:val="nil"/>
              <w:bottom w:val="single" w:color="auto" w:sz="4" w:space="0"/>
              <w:right w:val="single" w:color="auto" w:sz="4" w:space="0"/>
            </w:tcBorders>
            <w:noWrap/>
            <w:vAlign w:val="center"/>
          </w:tcPr>
          <w:p>
            <w:pPr>
              <w:spacing w:line="260" w:lineRule="exact"/>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1548" w:type="dxa"/>
            <w:gridSpan w:val="5"/>
            <w:tcBorders>
              <w:top w:val="single" w:color="auto" w:sz="4" w:space="0"/>
              <w:left w:val="nil"/>
              <w:bottom w:val="single" w:color="auto"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30" w:hRule="atLeast"/>
        </w:trPr>
        <w:tc>
          <w:tcPr>
            <w:tcW w:w="707" w:type="dxa"/>
            <w:vMerge w:val="continue"/>
            <w:tcBorders>
              <w:top w:val="nil"/>
              <w:left w:val="single" w:color="auto" w:sz="8" w:space="0"/>
              <w:bottom w:val="double" w:color="000000" w:sz="6" w:space="0"/>
              <w:right w:val="single" w:color="auto" w:sz="4" w:space="0"/>
            </w:tcBorders>
            <w:noWrap/>
            <w:vAlign w:val="center"/>
          </w:tcPr>
          <w:p>
            <w:pPr>
              <w:widowControl/>
              <w:jc w:val="left"/>
              <w:rPr>
                <w:rFonts w:ascii="黑体" w:hAnsi="宋体" w:eastAsia="黑体" w:cs="宋体"/>
                <w:sz w:val="24"/>
              </w:rPr>
            </w:pPr>
          </w:p>
        </w:tc>
        <w:tc>
          <w:tcPr>
            <w:tcW w:w="817" w:type="dxa"/>
            <w:vMerge w:val="restart"/>
            <w:tcBorders>
              <w:top w:val="single" w:color="auto" w:sz="4" w:space="0"/>
              <w:left w:val="single" w:color="auto" w:sz="4" w:space="0"/>
              <w:bottom w:val="nil"/>
              <w:right w:val="single" w:color="000000" w:sz="4" w:space="0"/>
            </w:tcBorders>
            <w:noWrap/>
            <w:vAlign w:val="center"/>
          </w:tcPr>
          <w:p>
            <w:pPr>
              <w:jc w:val="center"/>
              <w:rPr>
                <w:rFonts w:ascii="宋体" w:hAnsi="宋体" w:cs="宋体"/>
                <w:szCs w:val="21"/>
              </w:rPr>
            </w:pPr>
            <w:r>
              <w:rPr>
                <w:rFonts w:hint="eastAsia" w:ascii="宋体" w:hAnsi="宋体" w:cs="宋体"/>
                <w:szCs w:val="21"/>
              </w:rPr>
              <w:t>建设性</w:t>
            </w:r>
          </w:p>
        </w:tc>
        <w:tc>
          <w:tcPr>
            <w:tcW w:w="740" w:type="dxa"/>
            <w:gridSpan w:val="4"/>
            <w:vMerge w:val="restart"/>
            <w:tcBorders>
              <w:top w:val="nil"/>
              <w:left w:val="single" w:color="auto" w:sz="4" w:space="0"/>
              <w:bottom w:val="nil"/>
              <w:right w:val="single" w:color="auto" w:sz="4" w:space="0"/>
            </w:tcBorders>
            <w:noWrap/>
            <w:vAlign w:val="center"/>
          </w:tcPr>
          <w:p>
            <w:pPr>
              <w:jc w:val="center"/>
              <w:rPr>
                <w:rFonts w:ascii="宋体" w:hAnsi="宋体" w:cs="宋体"/>
                <w:szCs w:val="21"/>
              </w:rPr>
            </w:pPr>
            <w:r>
              <w:rPr>
                <w:rFonts w:hint="eastAsia" w:ascii="宋体" w:hAnsi="宋体" w:cs="宋体"/>
                <w:szCs w:val="21"/>
              </w:rPr>
              <w:t>分析      与      建议</w:t>
            </w:r>
          </w:p>
        </w:tc>
        <w:tc>
          <w:tcPr>
            <w:tcW w:w="4533" w:type="dxa"/>
            <w:gridSpan w:val="3"/>
            <w:tcBorders>
              <w:top w:val="single" w:color="auto" w:sz="4" w:space="0"/>
              <w:left w:val="nil"/>
              <w:bottom w:val="single" w:color="auto" w:sz="4" w:space="0"/>
              <w:right w:val="single" w:color="auto" w:sz="4" w:space="0"/>
            </w:tcBorders>
            <w:noWrap/>
            <w:vAlign w:val="center"/>
          </w:tcPr>
          <w:p>
            <w:pPr>
              <w:spacing w:line="260" w:lineRule="exact"/>
              <w:ind w:firstLine="360"/>
              <w:rPr>
                <w:rFonts w:ascii="宋体" w:hAnsi="宋体" w:cs="宋体"/>
                <w:szCs w:val="21"/>
              </w:rPr>
            </w:pPr>
            <w:r>
              <w:rPr>
                <w:rFonts w:hint="eastAsia" w:ascii="宋体" w:hAnsi="宋体" w:cs="宋体"/>
                <w:szCs w:val="21"/>
              </w:rPr>
              <w:t>22.工作成果是否具有较深入的情况分析和较高的质量</w:t>
            </w:r>
          </w:p>
        </w:tc>
        <w:tc>
          <w:tcPr>
            <w:tcW w:w="861" w:type="dxa"/>
            <w:gridSpan w:val="2"/>
            <w:tcBorders>
              <w:top w:val="nil"/>
              <w:left w:val="nil"/>
              <w:bottom w:val="single" w:color="auto" w:sz="4" w:space="0"/>
              <w:right w:val="single" w:color="auto" w:sz="4" w:space="0"/>
            </w:tcBorders>
            <w:noWrap/>
            <w:vAlign w:val="center"/>
          </w:tcPr>
          <w:p>
            <w:pPr>
              <w:spacing w:line="260" w:lineRule="exact"/>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548" w:type="dxa"/>
            <w:gridSpan w:val="5"/>
            <w:tcBorders>
              <w:top w:val="single" w:color="auto" w:sz="4" w:space="0"/>
              <w:left w:val="nil"/>
              <w:bottom w:val="single" w:color="auto"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88" w:hRule="atLeast"/>
        </w:trPr>
        <w:tc>
          <w:tcPr>
            <w:tcW w:w="707" w:type="dxa"/>
            <w:vMerge w:val="continue"/>
            <w:tcBorders>
              <w:top w:val="nil"/>
              <w:left w:val="single" w:color="auto" w:sz="8" w:space="0"/>
              <w:bottom w:val="double" w:color="000000" w:sz="6" w:space="0"/>
              <w:right w:val="single" w:color="auto" w:sz="4" w:space="0"/>
            </w:tcBorders>
            <w:noWrap/>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nil"/>
              <w:right w:val="single" w:color="000000" w:sz="4" w:space="0"/>
            </w:tcBorders>
            <w:noWrap/>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nil"/>
              <w:right w:val="single" w:color="auto" w:sz="4" w:space="0"/>
            </w:tcBorders>
            <w:noWrap/>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noWrap/>
            <w:vAlign w:val="center"/>
          </w:tcPr>
          <w:p>
            <w:pPr>
              <w:spacing w:line="260" w:lineRule="exact"/>
              <w:ind w:firstLine="360"/>
              <w:rPr>
                <w:rFonts w:ascii="宋体" w:hAnsi="宋体" w:cs="宋体"/>
                <w:szCs w:val="21"/>
              </w:rPr>
            </w:pPr>
            <w:r>
              <w:rPr>
                <w:rFonts w:hint="eastAsia" w:ascii="宋体" w:hAnsi="宋体" w:cs="宋体"/>
                <w:szCs w:val="21"/>
              </w:rPr>
              <w:t>23.是否存在对问题定性或有关表述等含糊不清或不客观真实等情况</w:t>
            </w:r>
          </w:p>
        </w:tc>
        <w:tc>
          <w:tcPr>
            <w:tcW w:w="861" w:type="dxa"/>
            <w:gridSpan w:val="2"/>
            <w:tcBorders>
              <w:top w:val="nil"/>
              <w:left w:val="nil"/>
              <w:bottom w:val="single" w:color="auto" w:sz="4" w:space="0"/>
              <w:right w:val="single" w:color="auto" w:sz="4" w:space="0"/>
            </w:tcBorders>
            <w:noWrap/>
            <w:vAlign w:val="center"/>
          </w:tcPr>
          <w:p>
            <w:pPr>
              <w:spacing w:line="260" w:lineRule="exact"/>
              <w:jc w:val="center"/>
              <w:rPr>
                <w:rFonts w:hint="default" w:ascii="宋体" w:hAnsi="宋体" w:eastAsia="宋体" w:cs="宋体"/>
                <w:szCs w:val="21"/>
                <w:lang w:val="en-US" w:eastAsia="zh-CN"/>
              </w:rPr>
            </w:pPr>
            <w:r>
              <w:rPr>
                <w:rFonts w:hint="eastAsia" w:ascii="宋体" w:hAnsi="宋体" w:cs="宋体"/>
                <w:szCs w:val="21"/>
                <w:lang w:val="en-US" w:eastAsia="zh-CN"/>
              </w:rPr>
              <w:t>4</w:t>
            </w:r>
          </w:p>
        </w:tc>
        <w:tc>
          <w:tcPr>
            <w:tcW w:w="1548" w:type="dxa"/>
            <w:gridSpan w:val="5"/>
            <w:tcBorders>
              <w:top w:val="single" w:color="auto" w:sz="4" w:space="0"/>
              <w:left w:val="nil"/>
              <w:bottom w:val="single" w:color="auto"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noWrap/>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68" w:hRule="atLeast"/>
        </w:trPr>
        <w:tc>
          <w:tcPr>
            <w:tcW w:w="707" w:type="dxa"/>
            <w:vMerge w:val="continue"/>
            <w:tcBorders>
              <w:top w:val="nil"/>
              <w:left w:val="single" w:color="auto" w:sz="8" w:space="0"/>
              <w:bottom w:val="double" w:color="000000" w:sz="6" w:space="0"/>
              <w:right w:val="single" w:color="auto" w:sz="4" w:space="0"/>
            </w:tcBorders>
            <w:noWrap/>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nil"/>
              <w:right w:val="single" w:color="000000" w:sz="4" w:space="0"/>
            </w:tcBorders>
            <w:noWrap/>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nil"/>
              <w:right w:val="single" w:color="auto" w:sz="4" w:space="0"/>
            </w:tcBorders>
            <w:noWrap/>
            <w:vAlign w:val="center"/>
          </w:tcPr>
          <w:p>
            <w:pPr>
              <w:widowControl/>
              <w:jc w:val="left"/>
              <w:rPr>
                <w:rFonts w:ascii="宋体" w:hAnsi="宋体" w:cs="宋体"/>
                <w:szCs w:val="21"/>
              </w:rPr>
            </w:pPr>
          </w:p>
        </w:tc>
        <w:tc>
          <w:tcPr>
            <w:tcW w:w="4533" w:type="dxa"/>
            <w:gridSpan w:val="3"/>
            <w:tcBorders>
              <w:top w:val="single" w:color="auto" w:sz="4" w:space="0"/>
              <w:left w:val="nil"/>
              <w:bottom w:val="double" w:color="auto" w:sz="4" w:space="0"/>
              <w:right w:val="single" w:color="auto" w:sz="4" w:space="0"/>
            </w:tcBorders>
            <w:noWrap/>
            <w:vAlign w:val="center"/>
          </w:tcPr>
          <w:p>
            <w:pPr>
              <w:spacing w:line="260" w:lineRule="exact"/>
              <w:ind w:firstLine="360"/>
              <w:rPr>
                <w:rFonts w:ascii="宋体" w:hAnsi="宋体" w:cs="宋体"/>
                <w:szCs w:val="21"/>
              </w:rPr>
            </w:pPr>
            <w:r>
              <w:rPr>
                <w:rFonts w:hint="eastAsia" w:ascii="宋体" w:hAnsi="宋体" w:cs="宋体"/>
                <w:szCs w:val="21"/>
              </w:rPr>
              <w:t>24.是否存在无充分依据或数据进行情况分析、原因剖析、判断预测等情况</w:t>
            </w:r>
          </w:p>
        </w:tc>
        <w:tc>
          <w:tcPr>
            <w:tcW w:w="861" w:type="dxa"/>
            <w:gridSpan w:val="2"/>
            <w:tcBorders>
              <w:top w:val="single" w:color="auto" w:sz="4" w:space="0"/>
              <w:left w:val="nil"/>
              <w:bottom w:val="double" w:color="auto" w:sz="4" w:space="0"/>
              <w:right w:val="single" w:color="auto" w:sz="4" w:space="0"/>
            </w:tcBorders>
            <w:noWrap/>
            <w:vAlign w:val="center"/>
          </w:tcPr>
          <w:p>
            <w:pPr>
              <w:spacing w:line="260" w:lineRule="exact"/>
              <w:jc w:val="center"/>
              <w:rPr>
                <w:rFonts w:hint="default" w:ascii="宋体" w:hAnsi="宋体" w:eastAsia="宋体" w:cs="宋体"/>
                <w:szCs w:val="21"/>
                <w:lang w:val="en-US" w:eastAsia="zh-CN"/>
              </w:rPr>
            </w:pPr>
            <w:r>
              <w:rPr>
                <w:rFonts w:hint="eastAsia" w:ascii="宋体" w:hAnsi="宋体" w:cs="宋体"/>
                <w:szCs w:val="21"/>
                <w:lang w:val="en-US" w:eastAsia="zh-CN"/>
              </w:rPr>
              <w:t>4</w:t>
            </w:r>
          </w:p>
        </w:tc>
        <w:tc>
          <w:tcPr>
            <w:tcW w:w="1548" w:type="dxa"/>
            <w:gridSpan w:val="5"/>
            <w:tcBorders>
              <w:top w:val="single" w:color="auto" w:sz="4" w:space="0"/>
              <w:left w:val="nil"/>
              <w:bottom w:val="double" w:color="auto"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double" w:color="auto" w:sz="6" w:space="0"/>
              <w:right w:val="single" w:color="000000" w:sz="8" w:space="0"/>
            </w:tcBorders>
            <w:noWrap/>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808" w:hRule="atLeast"/>
        </w:trPr>
        <w:tc>
          <w:tcPr>
            <w:tcW w:w="707" w:type="dxa"/>
            <w:vMerge w:val="restart"/>
            <w:tcBorders>
              <w:top w:val="nil"/>
              <w:left w:val="single" w:color="auto" w:sz="8" w:space="0"/>
              <w:bottom w:val="single" w:color="000000" w:sz="4" w:space="0"/>
              <w:right w:val="single" w:color="auto" w:sz="4" w:space="0"/>
            </w:tcBorders>
            <w:noWrap/>
            <w:textDirection w:val="tbRlV"/>
            <w:vAlign w:val="center"/>
          </w:tcPr>
          <w:p>
            <w:pPr>
              <w:spacing w:line="260" w:lineRule="exact"/>
              <w:ind w:firstLine="360"/>
              <w:jc w:val="center"/>
              <w:rPr>
                <w:rFonts w:ascii="黑体" w:hAnsi="宋体" w:eastAsia="黑体" w:cs="宋体"/>
                <w:sz w:val="24"/>
              </w:rPr>
            </w:pPr>
            <w:r>
              <w:rPr>
                <w:rFonts w:hint="eastAsia" w:ascii="黑体" w:hAnsi="宋体" w:eastAsia="黑体" w:cs="宋体"/>
                <w:sz w:val="24"/>
              </w:rPr>
              <w:t>附加</w:t>
            </w:r>
          </w:p>
        </w:tc>
        <w:tc>
          <w:tcPr>
            <w:tcW w:w="1557" w:type="dxa"/>
            <w:gridSpan w:val="5"/>
            <w:tcBorders>
              <w:top w:val="double" w:color="auto" w:sz="6" w:space="0"/>
              <w:left w:val="nil"/>
              <w:bottom w:val="single" w:color="auto" w:sz="4" w:space="0"/>
              <w:right w:val="single" w:color="000000" w:sz="4" w:space="0"/>
            </w:tcBorders>
            <w:noWrap/>
            <w:vAlign w:val="center"/>
          </w:tcPr>
          <w:p>
            <w:pPr>
              <w:spacing w:line="260" w:lineRule="exact"/>
              <w:jc w:val="center"/>
              <w:rPr>
                <w:rFonts w:ascii="宋体" w:hAnsi="宋体" w:cs="宋体"/>
                <w:szCs w:val="21"/>
              </w:rPr>
            </w:pPr>
            <w:r>
              <w:rPr>
                <w:rFonts w:hint="eastAsia" w:ascii="宋体" w:hAnsi="宋体" w:cs="宋体"/>
                <w:szCs w:val="21"/>
              </w:rPr>
              <w:t>附加分</w:t>
            </w:r>
          </w:p>
        </w:tc>
        <w:tc>
          <w:tcPr>
            <w:tcW w:w="4533" w:type="dxa"/>
            <w:gridSpan w:val="3"/>
            <w:tcBorders>
              <w:top w:val="double" w:color="auto" w:sz="4" w:space="0"/>
              <w:left w:val="nil"/>
              <w:bottom w:val="single" w:color="auto" w:sz="4" w:space="0"/>
              <w:right w:val="single" w:color="auto" w:sz="4" w:space="0"/>
            </w:tcBorders>
            <w:noWrap/>
            <w:vAlign w:val="center"/>
          </w:tcPr>
          <w:p>
            <w:pPr>
              <w:spacing w:line="260" w:lineRule="exact"/>
              <w:ind w:firstLine="360"/>
              <w:rPr>
                <w:rFonts w:ascii="宋体" w:hAnsi="宋体" w:cs="宋体"/>
                <w:szCs w:val="21"/>
              </w:rPr>
            </w:pPr>
            <w:r>
              <w:rPr>
                <w:rFonts w:hint="eastAsia" w:ascii="宋体" w:hAnsi="宋体" w:cs="宋体"/>
                <w:szCs w:val="21"/>
              </w:rPr>
              <w:t>25.具有针对性、较高参考价值的意见或建议有几条（每条5分，得分=条数×5）</w:t>
            </w:r>
          </w:p>
        </w:tc>
        <w:tc>
          <w:tcPr>
            <w:tcW w:w="861" w:type="dxa"/>
            <w:gridSpan w:val="2"/>
            <w:tcBorders>
              <w:top w:val="double" w:color="auto" w:sz="4" w:space="0"/>
              <w:left w:val="nil"/>
              <w:bottom w:val="single" w:color="auto" w:sz="4" w:space="0"/>
              <w:right w:val="single" w:color="auto" w:sz="4" w:space="0"/>
            </w:tcBorders>
            <w:noWrap/>
            <w:vAlign w:val="center"/>
          </w:tcPr>
          <w:p>
            <w:pPr>
              <w:spacing w:line="260" w:lineRule="exact"/>
              <w:jc w:val="center"/>
              <w:rPr>
                <w:rFonts w:ascii="宋体" w:hAnsi="宋体" w:cs="宋体"/>
                <w:color w:val="000000"/>
                <w:szCs w:val="21"/>
              </w:rPr>
            </w:pPr>
            <w:r>
              <w:rPr>
                <w:rFonts w:hint="eastAsia" w:ascii="宋体" w:hAnsi="宋体" w:cs="宋体"/>
                <w:color w:val="000000"/>
                <w:szCs w:val="21"/>
              </w:rPr>
              <w:t>得分</w:t>
            </w:r>
          </w:p>
        </w:tc>
        <w:tc>
          <w:tcPr>
            <w:tcW w:w="1548" w:type="dxa"/>
            <w:gridSpan w:val="5"/>
            <w:tcBorders>
              <w:top w:val="double" w:color="auto" w:sz="4" w:space="0"/>
              <w:left w:val="nil"/>
              <w:bottom w:val="single" w:color="auto" w:sz="4" w:space="0"/>
              <w:right w:val="single" w:color="000000" w:sz="4" w:space="0"/>
            </w:tcBorders>
            <w:noWrap/>
            <w:vAlign w:val="center"/>
          </w:tcPr>
          <w:p>
            <w:pPr>
              <w:spacing w:line="260" w:lineRule="exact"/>
              <w:jc w:val="center"/>
              <w:rPr>
                <w:rFonts w:ascii="宋体" w:hAnsi="宋体" w:cs="宋体"/>
                <w:color w:val="000000"/>
                <w:szCs w:val="21"/>
              </w:rPr>
            </w:pPr>
            <w:r>
              <w:rPr>
                <w:rFonts w:hint="eastAsia" w:ascii="宋体" w:hAnsi="宋体" w:cs="宋体"/>
                <w:color w:val="000000"/>
                <w:szCs w:val="21"/>
              </w:rPr>
              <w:t>条数</w:t>
            </w:r>
          </w:p>
        </w:tc>
        <w:tc>
          <w:tcPr>
            <w:tcW w:w="859" w:type="dxa"/>
            <w:tcBorders>
              <w:top w:val="nil"/>
              <w:left w:val="nil"/>
              <w:bottom w:val="single" w:color="auto" w:sz="4" w:space="0"/>
              <w:right w:val="single" w:color="000000" w:sz="8" w:space="0"/>
            </w:tcBorders>
            <w:noWrap/>
            <w:vAlign w:val="center"/>
          </w:tcPr>
          <w:p>
            <w:pPr>
              <w:spacing w:line="260" w:lineRule="exact"/>
              <w:jc w:val="center"/>
              <w:rPr>
                <w:rFonts w:ascii="宋体" w:hAnsi="宋体" w:cs="宋体"/>
                <w:sz w:val="20"/>
              </w:rPr>
            </w:pPr>
            <w:r>
              <w:rPr>
                <w:rFonts w:hint="eastAsia" w:ascii="宋体" w:hAnsi="宋体" w:cs="宋体"/>
                <w:sz w:val="20"/>
              </w:rPr>
              <w:t>不设上限分数</w:t>
            </w:r>
          </w:p>
        </w:tc>
      </w:tr>
      <w:tr>
        <w:tblPrEx>
          <w:tblCellMar>
            <w:top w:w="0" w:type="dxa"/>
            <w:left w:w="108" w:type="dxa"/>
            <w:bottom w:w="0" w:type="dxa"/>
            <w:right w:w="108" w:type="dxa"/>
          </w:tblCellMar>
        </w:tblPrEx>
        <w:trPr>
          <w:trHeight w:val="968" w:hRule="atLeast"/>
        </w:trPr>
        <w:tc>
          <w:tcPr>
            <w:tcW w:w="707" w:type="dxa"/>
            <w:vMerge w:val="continue"/>
            <w:tcBorders>
              <w:top w:val="nil"/>
              <w:left w:val="single" w:color="auto" w:sz="8" w:space="0"/>
              <w:bottom w:val="single" w:color="000000" w:sz="4" w:space="0"/>
              <w:right w:val="single" w:color="auto" w:sz="4" w:space="0"/>
            </w:tcBorders>
            <w:noWrap/>
            <w:vAlign w:val="center"/>
          </w:tcPr>
          <w:p>
            <w:pPr>
              <w:widowControl/>
              <w:jc w:val="left"/>
              <w:rPr>
                <w:rFonts w:ascii="黑体" w:hAnsi="宋体" w:eastAsia="黑体" w:cs="宋体"/>
                <w:sz w:val="24"/>
              </w:rPr>
            </w:pPr>
          </w:p>
        </w:tc>
        <w:tc>
          <w:tcPr>
            <w:tcW w:w="857" w:type="dxa"/>
            <w:gridSpan w:val="2"/>
            <w:tcBorders>
              <w:top w:val="nil"/>
              <w:left w:val="nil"/>
              <w:bottom w:val="single" w:color="auto" w:sz="4" w:space="0"/>
              <w:right w:val="nil"/>
            </w:tcBorders>
            <w:noWrap/>
            <w:vAlign w:val="center"/>
          </w:tcPr>
          <w:p>
            <w:pPr>
              <w:widowControl/>
              <w:jc w:val="left"/>
              <w:rPr>
                <w:rFonts w:ascii="宋体" w:hAnsi="宋体" w:cs="宋体"/>
                <w:kern w:val="0"/>
                <w:sz w:val="24"/>
              </w:rPr>
            </w:pPr>
          </w:p>
        </w:tc>
        <w:tc>
          <w:tcPr>
            <w:tcW w:w="350" w:type="dxa"/>
            <w:gridSpan w:val="2"/>
            <w:tcBorders>
              <w:top w:val="nil"/>
              <w:left w:val="nil"/>
              <w:bottom w:val="single" w:color="auto" w:sz="4" w:space="0"/>
              <w:right w:val="nil"/>
            </w:tcBorders>
            <w:noWrap/>
            <w:vAlign w:val="center"/>
          </w:tcPr>
          <w:p>
            <w:pPr>
              <w:widowControl/>
              <w:jc w:val="left"/>
              <w:rPr>
                <w:rFonts w:ascii="宋体" w:hAnsi="宋体" w:cs="宋体"/>
                <w:kern w:val="0"/>
                <w:sz w:val="24"/>
              </w:rPr>
            </w:pPr>
          </w:p>
        </w:tc>
        <w:tc>
          <w:tcPr>
            <w:tcW w:w="35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p>
        </w:tc>
        <w:tc>
          <w:tcPr>
            <w:tcW w:w="4533" w:type="dxa"/>
            <w:gridSpan w:val="3"/>
            <w:tcBorders>
              <w:top w:val="single" w:color="auto" w:sz="4" w:space="0"/>
              <w:left w:val="nil"/>
              <w:bottom w:val="single" w:color="auto" w:sz="4" w:space="0"/>
              <w:right w:val="single" w:color="000000" w:sz="4" w:space="0"/>
            </w:tcBorders>
            <w:noWrap/>
            <w:vAlign w:val="center"/>
          </w:tcPr>
          <w:p>
            <w:pPr>
              <w:spacing w:line="260" w:lineRule="exact"/>
              <w:ind w:firstLine="360"/>
              <w:rPr>
                <w:rFonts w:ascii="宋体" w:hAnsi="宋体" w:cs="宋体"/>
                <w:szCs w:val="21"/>
              </w:rPr>
            </w:pPr>
            <w:r>
              <w:rPr>
                <w:rFonts w:hint="eastAsia" w:ascii="宋体" w:hAnsi="宋体" w:cs="宋体"/>
                <w:szCs w:val="21"/>
              </w:rPr>
              <w:t>26.报告或相关材料得到公司领导(或同级别其他领导)批示好评（每条批示20分，得分=条数×20）</w:t>
            </w:r>
          </w:p>
        </w:tc>
        <w:tc>
          <w:tcPr>
            <w:tcW w:w="861"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p>
        </w:tc>
        <w:tc>
          <w:tcPr>
            <w:tcW w:w="919" w:type="dxa"/>
            <w:gridSpan w:val="4"/>
            <w:tcBorders>
              <w:top w:val="nil"/>
              <w:left w:val="nil"/>
              <w:bottom w:val="single" w:color="auto" w:sz="4" w:space="0"/>
              <w:right w:val="nil"/>
            </w:tcBorders>
            <w:noWrap/>
            <w:vAlign w:val="center"/>
          </w:tcPr>
          <w:p>
            <w:pPr>
              <w:spacing w:line="260" w:lineRule="exact"/>
              <w:ind w:firstLine="360"/>
              <w:jc w:val="center"/>
              <w:rPr>
                <w:rFonts w:ascii="宋体" w:hAnsi="宋体" w:cs="宋体"/>
                <w:color w:val="000000"/>
                <w:szCs w:val="21"/>
              </w:rPr>
            </w:pPr>
            <w:r>
              <w:rPr>
                <w:rFonts w:hint="eastAsia" w:ascii="宋体" w:hAnsi="宋体" w:cs="宋体"/>
                <w:color w:val="000000"/>
                <w:szCs w:val="21"/>
              </w:rPr>
              <w:t>　</w:t>
            </w:r>
          </w:p>
        </w:tc>
        <w:tc>
          <w:tcPr>
            <w:tcW w:w="62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p>
        </w:tc>
        <w:tc>
          <w:tcPr>
            <w:tcW w:w="859" w:type="dxa"/>
            <w:tcBorders>
              <w:top w:val="nil"/>
              <w:left w:val="nil"/>
              <w:bottom w:val="single" w:color="auto" w:sz="4" w:space="0"/>
              <w:right w:val="single" w:color="000000" w:sz="8" w:space="0"/>
            </w:tcBorders>
            <w:noWrap/>
            <w:vAlign w:val="center"/>
          </w:tcPr>
          <w:p>
            <w:pPr>
              <w:spacing w:line="260" w:lineRule="exact"/>
              <w:jc w:val="center"/>
              <w:rPr>
                <w:rFonts w:ascii="宋体" w:hAnsi="宋体" w:cs="宋体"/>
                <w:sz w:val="20"/>
              </w:rPr>
            </w:pPr>
            <w:r>
              <w:rPr>
                <w:rFonts w:hint="eastAsia" w:ascii="宋体" w:hAnsi="宋体" w:cs="宋体"/>
                <w:sz w:val="20"/>
              </w:rPr>
              <w:t>不设上限分数</w:t>
            </w:r>
          </w:p>
        </w:tc>
      </w:tr>
      <w:tr>
        <w:tblPrEx>
          <w:tblCellMar>
            <w:top w:w="0" w:type="dxa"/>
            <w:left w:w="108" w:type="dxa"/>
            <w:bottom w:w="0" w:type="dxa"/>
            <w:right w:w="108" w:type="dxa"/>
          </w:tblCellMar>
        </w:tblPrEx>
        <w:trPr>
          <w:trHeight w:val="663" w:hRule="atLeast"/>
        </w:trPr>
        <w:tc>
          <w:tcPr>
            <w:tcW w:w="707" w:type="dxa"/>
            <w:vMerge w:val="continue"/>
            <w:tcBorders>
              <w:top w:val="nil"/>
              <w:left w:val="single" w:color="auto" w:sz="8" w:space="0"/>
              <w:bottom w:val="single" w:color="000000" w:sz="4" w:space="0"/>
              <w:right w:val="single" w:color="auto" w:sz="4" w:space="0"/>
            </w:tcBorders>
            <w:noWrap/>
            <w:vAlign w:val="center"/>
          </w:tcPr>
          <w:p>
            <w:pPr>
              <w:widowControl/>
              <w:jc w:val="left"/>
              <w:rPr>
                <w:rFonts w:ascii="黑体" w:hAnsi="宋体" w:eastAsia="黑体" w:cs="宋体"/>
                <w:sz w:val="24"/>
              </w:rPr>
            </w:pPr>
          </w:p>
        </w:tc>
        <w:tc>
          <w:tcPr>
            <w:tcW w:w="1557" w:type="dxa"/>
            <w:gridSpan w:val="5"/>
            <w:tcBorders>
              <w:top w:val="single" w:color="auto" w:sz="4" w:space="0"/>
              <w:left w:val="nil"/>
              <w:bottom w:val="single" w:color="auto" w:sz="4" w:space="0"/>
              <w:right w:val="single" w:color="000000" w:sz="4" w:space="0"/>
            </w:tcBorders>
            <w:noWrap/>
            <w:vAlign w:val="center"/>
          </w:tcPr>
          <w:p>
            <w:pPr>
              <w:spacing w:line="260" w:lineRule="exact"/>
              <w:jc w:val="center"/>
              <w:rPr>
                <w:rFonts w:ascii="宋体" w:hAnsi="宋体" w:cs="宋体"/>
                <w:szCs w:val="21"/>
              </w:rPr>
            </w:pPr>
            <w:r>
              <w:rPr>
                <w:rFonts w:hint="eastAsia" w:ascii="宋体" w:hAnsi="宋体" w:cs="宋体"/>
                <w:szCs w:val="21"/>
              </w:rPr>
              <w:t>一票否决项</w:t>
            </w:r>
          </w:p>
        </w:tc>
        <w:tc>
          <w:tcPr>
            <w:tcW w:w="5394" w:type="dxa"/>
            <w:gridSpan w:val="5"/>
            <w:tcBorders>
              <w:top w:val="single" w:color="auto" w:sz="4" w:space="0"/>
              <w:left w:val="nil"/>
              <w:bottom w:val="single" w:color="auto" w:sz="4" w:space="0"/>
              <w:right w:val="single" w:color="auto" w:sz="4" w:space="0"/>
            </w:tcBorders>
            <w:noWrap/>
            <w:vAlign w:val="center"/>
          </w:tcPr>
          <w:p>
            <w:pPr>
              <w:spacing w:line="260" w:lineRule="exact"/>
              <w:ind w:firstLine="360"/>
              <w:rPr>
                <w:rFonts w:ascii="宋体" w:hAnsi="宋体" w:cs="宋体"/>
                <w:szCs w:val="21"/>
              </w:rPr>
            </w:pPr>
            <w:r>
              <w:rPr>
                <w:rFonts w:hint="eastAsia" w:ascii="宋体" w:hAnsi="宋体" w:cs="宋体"/>
                <w:szCs w:val="21"/>
              </w:rPr>
              <w:t>27.服务机构工作人员存在违反办法中明确禁止事项的行为</w:t>
            </w:r>
          </w:p>
        </w:tc>
        <w:tc>
          <w:tcPr>
            <w:tcW w:w="697" w:type="dxa"/>
            <w:gridSpan w:val="3"/>
            <w:tcBorders>
              <w:top w:val="nil"/>
              <w:left w:val="nil"/>
              <w:bottom w:val="single" w:color="auto" w:sz="4" w:space="0"/>
              <w:right w:val="single" w:color="auto" w:sz="4" w:space="0"/>
            </w:tcBorders>
            <w:noWrap/>
            <w:vAlign w:val="center"/>
          </w:tcPr>
          <w:p>
            <w:pPr>
              <w:spacing w:line="260" w:lineRule="exact"/>
              <w:jc w:val="center"/>
              <w:rPr>
                <w:rFonts w:ascii="宋体" w:hAnsi="宋体" w:cs="宋体"/>
                <w:color w:val="000000"/>
                <w:szCs w:val="21"/>
              </w:rPr>
            </w:pPr>
            <w:r>
              <w:rPr>
                <w:rFonts w:hint="eastAsia" w:ascii="宋体" w:hAnsi="宋体" w:cs="宋体"/>
                <w:color w:val="000000"/>
                <w:szCs w:val="21"/>
              </w:rPr>
              <w:t>是</w:t>
            </w:r>
          </w:p>
        </w:tc>
        <w:tc>
          <w:tcPr>
            <w:tcW w:w="851" w:type="dxa"/>
            <w:gridSpan w:val="2"/>
            <w:tcBorders>
              <w:top w:val="nil"/>
              <w:left w:val="nil"/>
              <w:bottom w:val="single" w:color="auto" w:sz="4" w:space="0"/>
              <w:right w:val="single" w:color="auto" w:sz="4" w:space="0"/>
            </w:tcBorders>
            <w:noWrap/>
            <w:vAlign w:val="center"/>
          </w:tcPr>
          <w:p>
            <w:pPr>
              <w:spacing w:line="260" w:lineRule="exact"/>
              <w:jc w:val="center"/>
              <w:rPr>
                <w:rFonts w:ascii="宋体" w:hAnsi="宋体" w:cs="宋体"/>
                <w:color w:val="000000"/>
                <w:szCs w:val="21"/>
              </w:rPr>
            </w:pPr>
            <w:r>
              <w:rPr>
                <w:rFonts w:hint="eastAsia" w:ascii="宋体" w:hAnsi="宋体" w:cs="宋体"/>
                <w:color w:val="000000"/>
                <w:szCs w:val="21"/>
              </w:rPr>
              <w:t>否</w:t>
            </w:r>
          </w:p>
        </w:tc>
        <w:tc>
          <w:tcPr>
            <w:tcW w:w="859" w:type="dxa"/>
            <w:tcBorders>
              <w:top w:val="single" w:color="auto" w:sz="4" w:space="0"/>
              <w:left w:val="nil"/>
              <w:bottom w:val="single" w:color="auto" w:sz="4" w:space="0"/>
              <w:right w:val="single" w:color="000000" w:sz="8" w:space="0"/>
            </w:tcBorders>
            <w:noWrap/>
            <w:vAlign w:val="center"/>
          </w:tcPr>
          <w:p>
            <w:pPr>
              <w:spacing w:line="260" w:lineRule="exact"/>
              <w:jc w:val="center"/>
              <w:rPr>
                <w:rFonts w:ascii="宋体" w:hAnsi="宋体" w:cs="宋体"/>
                <w:sz w:val="20"/>
              </w:rPr>
            </w:pPr>
            <w:r>
              <w:rPr>
                <w:rFonts w:hint="eastAsia" w:ascii="宋体" w:hAnsi="宋体" w:cs="宋体"/>
                <w:sz w:val="20"/>
              </w:rPr>
              <w:t>如有则直接评定为差</w:t>
            </w:r>
          </w:p>
        </w:tc>
      </w:tr>
      <w:tr>
        <w:tblPrEx>
          <w:tblCellMar>
            <w:top w:w="0" w:type="dxa"/>
            <w:left w:w="108" w:type="dxa"/>
            <w:bottom w:w="0" w:type="dxa"/>
            <w:right w:w="108" w:type="dxa"/>
          </w:tblCellMar>
        </w:tblPrEx>
        <w:trPr>
          <w:trHeight w:val="462" w:hRule="atLeast"/>
        </w:trPr>
        <w:tc>
          <w:tcPr>
            <w:tcW w:w="707" w:type="dxa"/>
            <w:tcBorders>
              <w:top w:val="nil"/>
              <w:left w:val="single" w:color="auto" w:sz="8" w:space="0"/>
              <w:bottom w:val="single" w:color="000000" w:sz="4" w:space="0"/>
              <w:right w:val="single" w:color="auto" w:sz="4" w:space="0"/>
            </w:tcBorders>
            <w:noWrap/>
            <w:vAlign w:val="center"/>
          </w:tcPr>
          <w:p>
            <w:pPr>
              <w:spacing w:line="260" w:lineRule="exact"/>
              <w:ind w:firstLine="360"/>
              <w:rPr>
                <w:rFonts w:ascii="黑体" w:hAnsi="宋体" w:eastAsia="黑体" w:cs="宋体"/>
                <w:sz w:val="24"/>
              </w:rPr>
            </w:pPr>
          </w:p>
        </w:tc>
        <w:tc>
          <w:tcPr>
            <w:tcW w:w="9358" w:type="dxa"/>
            <w:gridSpan w:val="16"/>
            <w:tcBorders>
              <w:top w:val="single" w:color="auto" w:sz="4" w:space="0"/>
              <w:left w:val="nil"/>
              <w:bottom w:val="single" w:color="auto" w:sz="4" w:space="0"/>
              <w:right w:val="single" w:color="000000" w:sz="8" w:space="0"/>
            </w:tcBorders>
            <w:noWrap/>
            <w:vAlign w:val="center"/>
          </w:tcPr>
          <w:p>
            <w:pPr>
              <w:spacing w:line="260" w:lineRule="exact"/>
              <w:jc w:val="center"/>
              <w:rPr>
                <w:rFonts w:ascii="宋体" w:hAnsi="宋体" w:cs="宋体"/>
                <w:sz w:val="24"/>
              </w:rPr>
            </w:pPr>
            <w:r>
              <w:rPr>
                <w:rFonts w:hint="eastAsia" w:ascii="宋体" w:hAnsi="宋体" w:cs="宋体"/>
                <w:sz w:val="24"/>
              </w:rPr>
              <w:t>合计得分：</w:t>
            </w:r>
          </w:p>
        </w:tc>
      </w:tr>
      <w:tr>
        <w:tblPrEx>
          <w:tblCellMar>
            <w:top w:w="0" w:type="dxa"/>
            <w:left w:w="108" w:type="dxa"/>
            <w:bottom w:w="0" w:type="dxa"/>
            <w:right w:w="108" w:type="dxa"/>
          </w:tblCellMar>
        </w:tblPrEx>
        <w:trPr>
          <w:trHeight w:val="530" w:hRule="atLeast"/>
        </w:trPr>
        <w:tc>
          <w:tcPr>
            <w:tcW w:w="1786" w:type="dxa"/>
            <w:gridSpan w:val="4"/>
            <w:vMerge w:val="restart"/>
            <w:tcBorders>
              <w:top w:val="single" w:color="auto" w:sz="8" w:space="0"/>
              <w:left w:val="single" w:color="auto" w:sz="8" w:space="0"/>
              <w:bottom w:val="single" w:color="000000" w:sz="8" w:space="0"/>
              <w:right w:val="single" w:color="000000" w:sz="8" w:space="0"/>
            </w:tcBorders>
            <w:noWrap/>
            <w:vAlign w:val="center"/>
          </w:tcPr>
          <w:p>
            <w:pPr>
              <w:jc w:val="center"/>
              <w:rPr>
                <w:rFonts w:ascii="黑体" w:hAnsi="宋体" w:eastAsia="黑体" w:cs="宋体"/>
                <w:sz w:val="24"/>
              </w:rPr>
            </w:pPr>
            <w:r>
              <w:rPr>
                <w:rFonts w:hint="eastAsia" w:ascii="黑体" w:hAnsi="宋体" w:eastAsia="黑体" w:cs="宋体"/>
                <w:sz w:val="24"/>
              </w:rPr>
              <w:t>评价档次</w:t>
            </w:r>
          </w:p>
        </w:tc>
        <w:tc>
          <w:tcPr>
            <w:tcW w:w="2098" w:type="dxa"/>
            <w:gridSpan w:val="3"/>
            <w:tcBorders>
              <w:top w:val="single" w:color="auto" w:sz="8" w:space="0"/>
              <w:left w:val="nil"/>
              <w:bottom w:val="single" w:color="auto" w:sz="8" w:space="0"/>
              <w:right w:val="single" w:color="000000" w:sz="8" w:space="0"/>
            </w:tcBorders>
            <w:noWrap/>
            <w:vAlign w:val="center"/>
          </w:tcPr>
          <w:p>
            <w:pPr>
              <w:jc w:val="center"/>
              <w:rPr>
                <w:rFonts w:ascii="宋体" w:hAnsi="宋体" w:cs="宋体"/>
                <w:szCs w:val="21"/>
              </w:rPr>
            </w:pPr>
            <w:r>
              <w:rPr>
                <w:rFonts w:hint="eastAsia" w:ascii="宋体" w:hAnsi="宋体" w:cs="宋体"/>
                <w:szCs w:val="21"/>
              </w:rPr>
              <w:t>优秀（</w:t>
            </w:r>
            <w:r>
              <w:rPr>
                <w:rFonts w:ascii="宋体" w:hAnsi="宋体"/>
                <w:color w:val="767171"/>
                <w:szCs w:val="21"/>
              </w:rPr>
              <w:t>≥</w:t>
            </w:r>
            <w:r>
              <w:rPr>
                <w:rFonts w:hint="eastAsia" w:ascii="宋体" w:hAnsi="宋体" w:cs="宋体"/>
                <w:szCs w:val="21"/>
              </w:rPr>
              <w:t>90分）</w:t>
            </w:r>
          </w:p>
        </w:tc>
        <w:tc>
          <w:tcPr>
            <w:tcW w:w="2320" w:type="dxa"/>
            <w:tcBorders>
              <w:top w:val="single" w:color="auto" w:sz="8" w:space="0"/>
              <w:left w:val="nil"/>
              <w:bottom w:val="single" w:color="auto" w:sz="8" w:space="0"/>
              <w:right w:val="single" w:color="000000" w:sz="8" w:space="0"/>
            </w:tcBorders>
            <w:noWrap/>
            <w:vAlign w:val="center"/>
          </w:tcPr>
          <w:p>
            <w:pPr>
              <w:jc w:val="center"/>
              <w:rPr>
                <w:rFonts w:ascii="宋体" w:hAnsi="宋体" w:cs="宋体"/>
                <w:szCs w:val="21"/>
              </w:rPr>
            </w:pPr>
            <w:r>
              <w:rPr>
                <w:rFonts w:hint="eastAsia" w:ascii="宋体" w:hAnsi="宋体" w:cs="宋体"/>
                <w:szCs w:val="21"/>
              </w:rPr>
              <w:t>良好（</w:t>
            </w:r>
            <w:r>
              <w:rPr>
                <w:rFonts w:hint="eastAsia" w:ascii="宋体" w:hAnsi="宋体"/>
                <w:color w:val="767171"/>
                <w:szCs w:val="21"/>
              </w:rPr>
              <w:t>90&gt;X</w:t>
            </w:r>
            <w:r>
              <w:rPr>
                <w:rFonts w:ascii="宋体" w:hAnsi="宋体"/>
                <w:color w:val="767171"/>
                <w:szCs w:val="21"/>
              </w:rPr>
              <w:t>≥80</w:t>
            </w:r>
            <w:r>
              <w:rPr>
                <w:rFonts w:hint="eastAsia" w:ascii="宋体" w:hAnsi="宋体" w:cs="宋体"/>
                <w:szCs w:val="21"/>
              </w:rPr>
              <w:t>）</w:t>
            </w:r>
          </w:p>
        </w:tc>
        <w:tc>
          <w:tcPr>
            <w:tcW w:w="1737" w:type="dxa"/>
            <w:gridSpan w:val="5"/>
            <w:tcBorders>
              <w:top w:val="single" w:color="auto" w:sz="8" w:space="0"/>
              <w:left w:val="nil"/>
              <w:bottom w:val="single" w:color="auto" w:sz="8" w:space="0"/>
              <w:right w:val="single" w:color="auto" w:sz="8" w:space="0"/>
            </w:tcBorders>
            <w:noWrap/>
            <w:vAlign w:val="center"/>
          </w:tcPr>
          <w:p>
            <w:pPr>
              <w:ind w:firstLine="360"/>
              <w:jc w:val="center"/>
              <w:rPr>
                <w:rFonts w:ascii="宋体" w:hAnsi="宋体" w:cs="宋体"/>
                <w:szCs w:val="21"/>
              </w:rPr>
            </w:pPr>
            <w:r>
              <w:rPr>
                <w:rFonts w:hint="eastAsia" w:ascii="宋体" w:hAnsi="宋体" w:cs="宋体"/>
                <w:szCs w:val="21"/>
              </w:rPr>
              <w:t>合格（</w:t>
            </w:r>
            <w:r>
              <w:rPr>
                <w:rFonts w:hint="eastAsia" w:ascii="宋体" w:hAnsi="宋体"/>
                <w:color w:val="767171"/>
                <w:szCs w:val="21"/>
              </w:rPr>
              <w:t>80&gt;</w:t>
            </w:r>
            <w:r>
              <w:rPr>
                <w:rFonts w:ascii="宋体" w:hAnsi="宋体"/>
                <w:color w:val="767171"/>
                <w:szCs w:val="21"/>
              </w:rPr>
              <w:t>X≥6</w:t>
            </w:r>
            <w:r>
              <w:rPr>
                <w:rFonts w:hint="eastAsia" w:ascii="宋体" w:hAnsi="宋体"/>
                <w:color w:val="767171"/>
                <w:szCs w:val="21"/>
              </w:rPr>
              <w:t>0</w:t>
            </w:r>
            <w:r>
              <w:rPr>
                <w:rFonts w:hint="eastAsia" w:ascii="宋体" w:hAnsi="宋体" w:cs="宋体"/>
                <w:szCs w:val="21"/>
              </w:rPr>
              <w:t>）</w:t>
            </w:r>
          </w:p>
        </w:tc>
        <w:tc>
          <w:tcPr>
            <w:tcW w:w="2124" w:type="dxa"/>
            <w:gridSpan w:val="4"/>
            <w:tcBorders>
              <w:top w:val="single" w:color="auto" w:sz="8" w:space="0"/>
              <w:left w:val="nil"/>
              <w:bottom w:val="single" w:color="auto" w:sz="8" w:space="0"/>
              <w:right w:val="single" w:color="auto" w:sz="8" w:space="0"/>
            </w:tcBorders>
            <w:noWrap/>
            <w:vAlign w:val="center"/>
          </w:tcPr>
          <w:p>
            <w:pPr>
              <w:ind w:firstLine="360"/>
              <w:jc w:val="center"/>
              <w:rPr>
                <w:rFonts w:ascii="宋体" w:hAnsi="宋体" w:cs="宋体"/>
                <w:szCs w:val="21"/>
              </w:rPr>
            </w:pPr>
            <w:r>
              <w:rPr>
                <w:rFonts w:hint="eastAsia" w:ascii="宋体" w:hAnsi="宋体" w:cs="宋体"/>
                <w:szCs w:val="21"/>
              </w:rPr>
              <w:t>不合格（</w:t>
            </w:r>
            <w:r>
              <w:rPr>
                <w:rFonts w:ascii="宋体" w:hAnsi="宋体" w:cs="宋体"/>
                <w:szCs w:val="21"/>
              </w:rPr>
              <w:t>＜60</w:t>
            </w:r>
            <w:r>
              <w:rPr>
                <w:rFonts w:hint="eastAsia" w:ascii="宋体" w:hAnsi="宋体" w:cs="宋体"/>
                <w:szCs w:val="21"/>
              </w:rPr>
              <w:t>分）</w:t>
            </w:r>
          </w:p>
        </w:tc>
      </w:tr>
      <w:tr>
        <w:trPr>
          <w:trHeight w:val="566" w:hRule="atLeast"/>
        </w:trPr>
        <w:tc>
          <w:tcPr>
            <w:tcW w:w="1786" w:type="dxa"/>
            <w:gridSpan w:val="4"/>
            <w:vMerge w:val="continue"/>
            <w:tcBorders>
              <w:top w:val="single" w:color="auto" w:sz="8" w:space="0"/>
              <w:left w:val="single" w:color="auto" w:sz="8" w:space="0"/>
              <w:bottom w:val="single" w:color="auto" w:sz="12" w:space="0"/>
              <w:right w:val="single" w:color="000000" w:sz="8" w:space="0"/>
            </w:tcBorders>
            <w:noWrap/>
            <w:vAlign w:val="center"/>
          </w:tcPr>
          <w:p>
            <w:pPr>
              <w:widowControl/>
              <w:jc w:val="left"/>
              <w:rPr>
                <w:rFonts w:ascii="黑体" w:hAnsi="宋体" w:eastAsia="黑体" w:cs="宋体"/>
                <w:sz w:val="24"/>
              </w:rPr>
            </w:pPr>
          </w:p>
        </w:tc>
        <w:tc>
          <w:tcPr>
            <w:tcW w:w="2098" w:type="dxa"/>
            <w:gridSpan w:val="3"/>
            <w:tcBorders>
              <w:top w:val="nil"/>
              <w:left w:val="nil"/>
              <w:bottom w:val="single" w:color="auto" w:sz="12" w:space="0"/>
              <w:right w:val="single" w:color="000000" w:sz="8" w:space="0"/>
            </w:tcBorders>
            <w:noWrap/>
            <w:vAlign w:val="center"/>
          </w:tcPr>
          <w:p>
            <w:pPr>
              <w:ind w:firstLine="360"/>
              <w:jc w:val="center"/>
              <w:rPr>
                <w:rFonts w:ascii="黑体" w:hAnsi="宋体" w:eastAsia="黑体" w:cs="宋体"/>
                <w:sz w:val="24"/>
              </w:rPr>
            </w:pPr>
            <w:r>
              <w:rPr>
                <w:rFonts w:hint="eastAsia" w:ascii="黑体" w:hAnsi="宋体" w:eastAsia="黑体" w:cs="宋体"/>
                <w:sz w:val="24"/>
              </w:rPr>
              <w:t>　</w:t>
            </w:r>
          </w:p>
        </w:tc>
        <w:tc>
          <w:tcPr>
            <w:tcW w:w="2320" w:type="dxa"/>
            <w:tcBorders>
              <w:top w:val="single" w:color="auto" w:sz="8" w:space="0"/>
              <w:left w:val="nil"/>
              <w:bottom w:val="single" w:color="auto" w:sz="12" w:space="0"/>
              <w:right w:val="single" w:color="000000" w:sz="8" w:space="0"/>
            </w:tcBorders>
            <w:noWrap/>
            <w:vAlign w:val="center"/>
          </w:tcPr>
          <w:p>
            <w:pPr>
              <w:ind w:firstLine="360"/>
              <w:jc w:val="center"/>
              <w:rPr>
                <w:szCs w:val="21"/>
              </w:rPr>
            </w:pPr>
          </w:p>
        </w:tc>
        <w:tc>
          <w:tcPr>
            <w:tcW w:w="1737" w:type="dxa"/>
            <w:gridSpan w:val="5"/>
            <w:tcBorders>
              <w:top w:val="single" w:color="auto" w:sz="8" w:space="0"/>
              <w:left w:val="nil"/>
              <w:bottom w:val="single" w:color="auto" w:sz="12" w:space="0"/>
              <w:right w:val="single" w:color="auto" w:sz="8" w:space="0"/>
            </w:tcBorders>
            <w:noWrap/>
            <w:vAlign w:val="center"/>
          </w:tcPr>
          <w:p>
            <w:pPr>
              <w:ind w:firstLine="360"/>
              <w:jc w:val="center"/>
              <w:rPr>
                <w:szCs w:val="21"/>
              </w:rPr>
            </w:pPr>
            <w:r>
              <w:rPr>
                <w:rFonts w:hint="eastAsia"/>
                <w:szCs w:val="21"/>
              </w:rPr>
              <w:t>　</w:t>
            </w:r>
          </w:p>
        </w:tc>
        <w:tc>
          <w:tcPr>
            <w:tcW w:w="2124" w:type="dxa"/>
            <w:gridSpan w:val="4"/>
            <w:tcBorders>
              <w:top w:val="single" w:color="auto" w:sz="8" w:space="0"/>
              <w:left w:val="nil"/>
              <w:bottom w:val="single" w:color="auto" w:sz="12" w:space="0"/>
              <w:right w:val="single" w:color="auto" w:sz="8" w:space="0"/>
            </w:tcBorders>
            <w:noWrap/>
            <w:vAlign w:val="center"/>
          </w:tcPr>
          <w:p>
            <w:pPr>
              <w:ind w:firstLine="360"/>
              <w:jc w:val="center"/>
              <w:rPr>
                <w:szCs w:val="21"/>
              </w:rPr>
            </w:pPr>
            <w:r>
              <w:rPr>
                <w:rFonts w:hint="eastAsia"/>
                <w:szCs w:val="21"/>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26" w:hRule="atLeast"/>
        </w:trPr>
        <w:tc>
          <w:tcPr>
            <w:tcW w:w="10065" w:type="dxa"/>
            <w:gridSpan w:val="17"/>
            <w:tcBorders>
              <w:top w:val="single" w:color="auto" w:sz="12" w:space="0"/>
              <w:bottom w:val="single" w:color="auto" w:sz="12" w:space="0"/>
            </w:tcBorders>
            <w:shd w:val="clear" w:color="auto" w:fill="D9D9D9"/>
            <w:noWrap/>
            <w:vAlign w:val="center"/>
          </w:tcPr>
          <w:p>
            <w:pPr>
              <w:spacing w:line="240" w:lineRule="atLeast"/>
              <w:jc w:val="left"/>
              <w:rPr>
                <w:rFonts w:ascii="宋体" w:hAnsi="宋体"/>
                <w:b/>
                <w:bCs/>
                <w:szCs w:val="21"/>
              </w:rPr>
            </w:pPr>
            <w:r>
              <w:rPr>
                <w:rFonts w:ascii="宋体" w:hAnsi="宋体"/>
                <w:b/>
                <w:bCs/>
                <w:szCs w:val="21"/>
              </w:rPr>
              <w:t>补充评价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471" w:hRule="atLeast"/>
        </w:trPr>
        <w:tc>
          <w:tcPr>
            <w:tcW w:w="1524" w:type="dxa"/>
            <w:gridSpan w:val="2"/>
            <w:tcBorders>
              <w:top w:val="single" w:color="auto" w:sz="12" w:space="0"/>
              <w:bottom w:val="single" w:color="auto" w:sz="12" w:space="0"/>
            </w:tcBorders>
            <w:noWrap/>
            <w:vAlign w:val="center"/>
          </w:tcPr>
          <w:p>
            <w:pPr>
              <w:spacing w:line="240" w:lineRule="atLeast"/>
              <w:rPr>
                <w:rFonts w:ascii="宋体" w:hAnsi="宋体"/>
                <w:szCs w:val="21"/>
              </w:rPr>
            </w:pPr>
            <w:r>
              <w:rPr>
                <w:rFonts w:hint="eastAsia" w:ascii="宋体" w:hAnsi="宋体"/>
                <w:szCs w:val="21"/>
              </w:rPr>
              <w:t>其他补充评价</w:t>
            </w:r>
          </w:p>
        </w:tc>
        <w:tc>
          <w:tcPr>
            <w:tcW w:w="8541" w:type="dxa"/>
            <w:gridSpan w:val="15"/>
            <w:tcBorders>
              <w:top w:val="single" w:color="auto" w:sz="12" w:space="0"/>
              <w:bottom w:val="single" w:color="auto" w:sz="12" w:space="0"/>
            </w:tcBorders>
            <w:noWrap/>
            <w:vAlign w:val="center"/>
          </w:tcPr>
          <w:p>
            <w:pPr>
              <w:tabs>
                <w:tab w:val="left" w:pos="1695"/>
              </w:tabs>
              <w:spacing w:line="240" w:lineRule="atLeast"/>
              <w:jc w:val="center"/>
              <w:rPr>
                <w:rFonts w:ascii="宋体" w:hAnsi="宋体"/>
                <w:bCs/>
                <w:szCs w:val="21"/>
              </w:rPr>
            </w:pPr>
            <w:r>
              <w:rPr>
                <w:rFonts w:hint="eastAsia" w:ascii="宋体" w:hAnsi="宋体"/>
                <w:color w:val="767171"/>
                <w:szCs w:val="21"/>
              </w:rPr>
              <w:t>（如有，请填写）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PrEx>
        <w:trPr>
          <w:trHeight w:val="113" w:hRule="atLeast"/>
        </w:trPr>
        <w:tc>
          <w:tcPr>
            <w:tcW w:w="10065" w:type="dxa"/>
            <w:gridSpan w:val="17"/>
            <w:tcBorders>
              <w:top w:val="single" w:color="auto" w:sz="12" w:space="0"/>
              <w:bottom w:val="single" w:color="auto" w:sz="12" w:space="0"/>
            </w:tcBorders>
            <w:shd w:val="clear" w:color="auto" w:fill="D9D9D9"/>
            <w:noWrap/>
            <w:vAlign w:val="center"/>
          </w:tcPr>
          <w:p>
            <w:pPr>
              <w:spacing w:line="240" w:lineRule="atLeast"/>
              <w:jc w:val="left"/>
              <w:rPr>
                <w:rFonts w:ascii="宋体" w:hAnsi="宋体"/>
                <w:b/>
                <w:bCs/>
                <w:szCs w:val="21"/>
              </w:rPr>
            </w:pPr>
            <w:r>
              <w:rPr>
                <w:rFonts w:hint="eastAsia" w:ascii="宋体" w:hAnsi="宋体"/>
                <w:b/>
                <w:bCs/>
                <w:szCs w:val="21"/>
              </w:rPr>
              <w:t>综合评价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055" w:hRule="atLeast"/>
        </w:trPr>
        <w:tc>
          <w:tcPr>
            <w:tcW w:w="1524" w:type="dxa"/>
            <w:gridSpan w:val="2"/>
            <w:tcBorders>
              <w:top w:val="single" w:color="auto" w:sz="12" w:space="0"/>
              <w:bottom w:val="double" w:color="auto" w:sz="4" w:space="0"/>
            </w:tcBorders>
            <w:noWrap/>
            <w:vAlign w:val="center"/>
          </w:tcPr>
          <w:p>
            <w:pPr>
              <w:spacing w:line="240" w:lineRule="atLeast"/>
              <w:rPr>
                <w:rFonts w:ascii="宋体" w:hAnsi="宋体"/>
                <w:szCs w:val="21"/>
              </w:rPr>
            </w:pPr>
            <w:r>
              <w:rPr>
                <w:rFonts w:hint="eastAsia" w:ascii="宋体" w:hAnsi="宋体"/>
                <w:szCs w:val="21"/>
              </w:rPr>
              <w:t>评价结论</w:t>
            </w:r>
          </w:p>
        </w:tc>
        <w:tc>
          <w:tcPr>
            <w:tcW w:w="8541" w:type="dxa"/>
            <w:gridSpan w:val="15"/>
            <w:tcBorders>
              <w:top w:val="single" w:color="auto" w:sz="12" w:space="0"/>
              <w:bottom w:val="double" w:color="auto" w:sz="4" w:space="0"/>
            </w:tcBorders>
            <w:noWrap/>
            <w:vAlign w:val="center"/>
          </w:tcPr>
          <w:p>
            <w:pPr>
              <w:spacing w:line="240" w:lineRule="atLeast"/>
              <w:jc w:val="left"/>
              <w:rPr>
                <w:rFonts w:ascii="宋体" w:hAnsi="宋体"/>
                <w:bCs/>
                <w:szCs w:val="21"/>
              </w:rPr>
            </w:pPr>
            <w:r>
              <w:rPr>
                <w:rFonts w:hint="eastAsia" w:ascii="宋体" w:hAnsi="宋体"/>
                <w:bCs/>
                <w:szCs w:val="21"/>
              </w:rPr>
              <w:t>总体评价意见：</w:t>
            </w:r>
          </w:p>
          <w:p>
            <w:pPr>
              <w:spacing w:line="240" w:lineRule="atLeast"/>
              <w:jc w:val="left"/>
              <w:rPr>
                <w:rFonts w:ascii="宋体" w:hAnsi="宋体"/>
                <w:bCs/>
                <w:szCs w:val="21"/>
              </w:rPr>
            </w:pPr>
          </w:p>
          <w:p>
            <w:pPr>
              <w:spacing w:line="240" w:lineRule="atLeast"/>
              <w:jc w:val="left"/>
              <w:rPr>
                <w:rFonts w:ascii="宋体" w:hAnsi="宋体"/>
                <w:bCs/>
                <w:szCs w:val="21"/>
              </w:rPr>
            </w:pPr>
            <w:r>
              <w:rPr>
                <w:rFonts w:hint="eastAsia" w:ascii="宋体" w:hAnsi="宋体"/>
                <w:bCs/>
                <w:szCs w:val="21"/>
              </w:rPr>
              <w:t>评估成为本单位：□ 推荐</w:t>
            </w:r>
            <w:r>
              <w:rPr>
                <w:rFonts w:ascii="宋体" w:hAnsi="宋体"/>
                <w:bCs/>
                <w:szCs w:val="21"/>
              </w:rPr>
              <w:t>服务机构</w:t>
            </w:r>
            <w:r>
              <w:rPr>
                <w:rFonts w:hint="eastAsia" w:ascii="宋体" w:hAnsi="宋体"/>
                <w:bCs/>
                <w:szCs w:val="21"/>
              </w:rPr>
              <w:t>□ 不合格服务机构</w:t>
            </w:r>
          </w:p>
          <w:p>
            <w:pPr>
              <w:spacing w:line="240" w:lineRule="atLeast"/>
              <w:jc w:val="left"/>
              <w:rPr>
                <w:rFonts w:ascii="宋体" w:hAnsi="宋体"/>
                <w:szCs w:val="21"/>
                <w:u w:val="single"/>
              </w:rPr>
            </w:pPr>
            <w:r>
              <w:rPr>
                <w:rFonts w:hint="eastAsia" w:ascii="宋体" w:hAnsi="宋体"/>
                <w:bCs/>
                <w:szCs w:val="21"/>
              </w:rPr>
              <w:t>项目负责人签字（单位签章</w:t>
            </w:r>
            <w:r>
              <w:rPr>
                <w:rFonts w:ascii="宋体" w:hAnsi="宋体"/>
                <w:bCs/>
                <w:szCs w:val="21"/>
              </w:rPr>
              <w:t>）</w:t>
            </w:r>
            <w:r>
              <w:rPr>
                <w:rFonts w:hint="eastAsia" w:ascii="宋体" w:hAnsi="宋体"/>
                <w:bCs/>
                <w:szCs w:val="21"/>
              </w:rPr>
              <w:t>：</w:t>
            </w:r>
          </w:p>
          <w:p>
            <w:pPr>
              <w:tabs>
                <w:tab w:val="center" w:pos="3817"/>
              </w:tabs>
              <w:spacing w:line="240" w:lineRule="atLeast"/>
              <w:jc w:val="left"/>
              <w:rPr>
                <w:rFonts w:ascii="宋体" w:hAnsi="宋体"/>
                <w:bCs/>
                <w:szCs w:val="21"/>
              </w:rPr>
            </w:pPr>
            <w:r>
              <w:rPr>
                <w:rFonts w:hint="eastAsia" w:ascii="宋体" w:hAnsi="宋体"/>
                <w:szCs w:val="21"/>
              </w:rPr>
              <w:t>日期：        年    月     日</w:t>
            </w:r>
          </w:p>
        </w:tc>
      </w:tr>
    </w:tbl>
    <w:p>
      <w:pPr>
        <w:spacing w:line="400" w:lineRule="exact"/>
        <w:jc w:val="center"/>
        <w:outlineLvl w:val="0"/>
        <w:rPr>
          <w:rFonts w:ascii="仿宋" w:hAnsi="仿宋" w:eastAsia="仿宋" w:cs="仿宋"/>
          <w:b/>
          <w:sz w:val="28"/>
          <w:szCs w:val="28"/>
        </w:rPr>
      </w:pPr>
    </w:p>
    <w:p>
      <w:pPr>
        <w:spacing w:line="400" w:lineRule="exact"/>
        <w:outlineLvl w:val="0"/>
        <w:rPr>
          <w:rFonts w:ascii="仿宋" w:hAnsi="仿宋" w:eastAsia="仿宋" w:cs="仿宋"/>
          <w:b/>
          <w:sz w:val="32"/>
          <w:szCs w:val="32"/>
        </w:rPr>
      </w:pPr>
    </w:p>
    <w:p>
      <w:pPr>
        <w:pStyle w:val="2"/>
        <w:ind w:firstLine="643"/>
        <w:rPr>
          <w:rFonts w:ascii="仿宋" w:hAnsi="仿宋" w:eastAsia="仿宋" w:cs="仿宋"/>
          <w:b/>
          <w:sz w:val="32"/>
          <w:szCs w:val="32"/>
        </w:rPr>
      </w:pPr>
    </w:p>
    <w:p>
      <w:pPr>
        <w:pStyle w:val="2"/>
        <w:ind w:firstLine="643"/>
        <w:rPr>
          <w:rFonts w:ascii="仿宋" w:hAnsi="仿宋" w:eastAsia="仿宋" w:cs="仿宋"/>
          <w:b/>
          <w:sz w:val="32"/>
          <w:szCs w:val="32"/>
        </w:rPr>
      </w:pPr>
    </w:p>
    <w:p>
      <w:pPr>
        <w:spacing w:line="400" w:lineRule="exact"/>
        <w:outlineLvl w:val="0"/>
        <w:rPr>
          <w:rFonts w:ascii="仿宋" w:hAnsi="仿宋" w:eastAsia="仿宋" w:cs="仿宋"/>
          <w:b/>
          <w:sz w:val="32"/>
          <w:szCs w:val="32"/>
        </w:rPr>
      </w:pPr>
    </w:p>
    <w:p>
      <w:pPr>
        <w:spacing w:line="400" w:lineRule="exact"/>
        <w:jc w:val="center"/>
        <w:outlineLvl w:val="0"/>
        <w:rPr>
          <w:rFonts w:ascii="仿宋" w:hAnsi="仿宋" w:eastAsia="仿宋" w:cs="仿宋"/>
          <w:b/>
          <w:sz w:val="32"/>
          <w:szCs w:val="32"/>
        </w:rPr>
      </w:pPr>
    </w:p>
    <w:p>
      <w:pPr>
        <w:pStyle w:val="2"/>
        <w:ind w:firstLine="643"/>
        <w:rPr>
          <w:rFonts w:ascii="仿宋" w:hAnsi="仿宋" w:eastAsia="仿宋" w:cs="仿宋"/>
          <w:b/>
          <w:sz w:val="32"/>
          <w:szCs w:val="32"/>
        </w:rPr>
      </w:pPr>
    </w:p>
    <w:p>
      <w:pPr>
        <w:pStyle w:val="2"/>
        <w:ind w:firstLine="643"/>
        <w:rPr>
          <w:rFonts w:ascii="仿宋" w:hAnsi="仿宋" w:eastAsia="仿宋" w:cs="仿宋"/>
          <w:b/>
          <w:sz w:val="32"/>
          <w:szCs w:val="32"/>
        </w:rPr>
      </w:pPr>
    </w:p>
    <w:p>
      <w:pPr>
        <w:pStyle w:val="2"/>
        <w:ind w:firstLine="643"/>
        <w:rPr>
          <w:rFonts w:ascii="仿宋" w:hAnsi="仿宋" w:eastAsia="仿宋" w:cs="仿宋"/>
          <w:b/>
          <w:sz w:val="32"/>
          <w:szCs w:val="32"/>
        </w:rPr>
      </w:pPr>
    </w:p>
    <w:p>
      <w:pPr>
        <w:pStyle w:val="2"/>
        <w:ind w:firstLine="643"/>
        <w:rPr>
          <w:rFonts w:ascii="仿宋" w:hAnsi="仿宋" w:eastAsia="仿宋" w:cs="仿宋"/>
          <w:b/>
          <w:sz w:val="32"/>
          <w:szCs w:val="32"/>
        </w:rPr>
      </w:pPr>
    </w:p>
    <w:p>
      <w:pPr>
        <w:pStyle w:val="2"/>
        <w:ind w:firstLine="643"/>
        <w:rPr>
          <w:rFonts w:ascii="仿宋" w:hAnsi="仿宋" w:eastAsia="仿宋" w:cs="仿宋"/>
          <w:b/>
          <w:sz w:val="32"/>
          <w:szCs w:val="32"/>
        </w:rPr>
      </w:pPr>
    </w:p>
    <w:p>
      <w:pPr>
        <w:pStyle w:val="2"/>
        <w:ind w:firstLine="643"/>
        <w:rPr>
          <w:rFonts w:ascii="仿宋" w:hAnsi="仿宋" w:eastAsia="仿宋" w:cs="仿宋"/>
          <w:b/>
          <w:sz w:val="32"/>
          <w:szCs w:val="32"/>
        </w:rPr>
      </w:pPr>
    </w:p>
    <w:p>
      <w:pPr>
        <w:pStyle w:val="2"/>
        <w:ind w:firstLine="643"/>
        <w:rPr>
          <w:rFonts w:ascii="仿宋" w:hAnsi="仿宋" w:eastAsia="仿宋" w:cs="仿宋"/>
          <w:b/>
          <w:sz w:val="32"/>
          <w:szCs w:val="32"/>
        </w:rPr>
      </w:pPr>
    </w:p>
    <w:p>
      <w:pPr>
        <w:pStyle w:val="2"/>
        <w:ind w:firstLine="643"/>
        <w:rPr>
          <w:rFonts w:ascii="仿宋" w:hAnsi="仿宋" w:eastAsia="仿宋" w:cs="仿宋"/>
          <w:b/>
          <w:sz w:val="32"/>
          <w:szCs w:val="32"/>
        </w:rPr>
      </w:pPr>
    </w:p>
    <w:p>
      <w:pPr>
        <w:pStyle w:val="2"/>
        <w:ind w:firstLine="643"/>
        <w:rPr>
          <w:rFonts w:ascii="仿宋" w:hAnsi="仿宋" w:eastAsia="仿宋" w:cs="仿宋"/>
          <w:b/>
          <w:sz w:val="32"/>
          <w:szCs w:val="32"/>
        </w:rPr>
      </w:pPr>
    </w:p>
    <w:p>
      <w:pPr>
        <w:spacing w:line="400" w:lineRule="exact"/>
        <w:jc w:val="center"/>
        <w:outlineLvl w:val="0"/>
        <w:rPr>
          <w:rFonts w:ascii="仿宋" w:hAnsi="仿宋" w:eastAsia="仿宋" w:cs="仿宋"/>
          <w:b/>
          <w:sz w:val="32"/>
          <w:szCs w:val="32"/>
        </w:rPr>
      </w:pPr>
      <w:bookmarkStart w:id="42" w:name="_Toc4332"/>
      <w:r>
        <w:rPr>
          <w:rFonts w:hint="eastAsia" w:ascii="仿宋" w:hAnsi="仿宋" w:eastAsia="仿宋" w:cs="仿宋"/>
          <w:b/>
          <w:sz w:val="32"/>
          <w:szCs w:val="32"/>
        </w:rPr>
        <w:t>第二部分：开标流程</w:t>
      </w:r>
      <w:bookmarkEnd w:id="42"/>
    </w:p>
    <w:p>
      <w:pPr>
        <w:numPr>
          <w:ilvl w:val="0"/>
          <w:numId w:val="1"/>
        </w:numPr>
        <w:spacing w:line="360" w:lineRule="auto"/>
        <w:outlineLvl w:val="1"/>
        <w:rPr>
          <w:rFonts w:ascii="仿宋" w:hAnsi="仿宋" w:eastAsia="仿宋" w:cs="仿宋"/>
          <w:b/>
          <w:szCs w:val="21"/>
        </w:rPr>
      </w:pPr>
      <w:bookmarkStart w:id="43" w:name="_Toc12684"/>
      <w:r>
        <w:rPr>
          <w:rFonts w:hint="eastAsia" w:ascii="仿宋" w:hAnsi="仿宋" w:eastAsia="仿宋" w:cs="仿宋"/>
          <w:b/>
          <w:szCs w:val="21"/>
        </w:rPr>
        <w:t>开标流程</w:t>
      </w:r>
      <w:bookmarkEnd w:id="43"/>
    </w:p>
    <w:p>
      <w:pPr>
        <w:pStyle w:val="22"/>
        <w:numPr>
          <w:ilvl w:val="0"/>
          <w:numId w:val="23"/>
        </w:numPr>
        <w:tabs>
          <w:tab w:val="left" w:pos="720"/>
          <w:tab w:val="left" w:pos="851"/>
        </w:tabs>
        <w:spacing w:line="360" w:lineRule="auto"/>
        <w:ind w:left="720" w:firstLine="430" w:firstLineChars="205"/>
        <w:rPr>
          <w:rFonts w:ascii="仿宋" w:hAnsi="仿宋" w:eastAsia="仿宋" w:cs="仿宋"/>
          <w:szCs w:val="21"/>
        </w:rPr>
      </w:pPr>
      <w:r>
        <w:rPr>
          <w:rFonts w:hint="eastAsia" w:ascii="仿宋" w:hAnsi="仿宋" w:eastAsia="仿宋" w:cs="仿宋"/>
          <w:szCs w:val="21"/>
        </w:rPr>
        <w:t>投标人按要求准时进入视频会议室；</w:t>
      </w:r>
    </w:p>
    <w:p>
      <w:pPr>
        <w:pStyle w:val="22"/>
        <w:numPr>
          <w:ilvl w:val="0"/>
          <w:numId w:val="23"/>
        </w:numPr>
        <w:tabs>
          <w:tab w:val="left" w:pos="720"/>
          <w:tab w:val="left" w:pos="851"/>
        </w:tabs>
        <w:spacing w:line="360" w:lineRule="auto"/>
        <w:ind w:left="720" w:firstLine="430" w:firstLineChars="205"/>
        <w:rPr>
          <w:rFonts w:ascii="仿宋" w:hAnsi="仿宋" w:eastAsia="仿宋" w:cs="仿宋"/>
          <w:szCs w:val="21"/>
        </w:rPr>
      </w:pPr>
      <w:r>
        <w:rPr>
          <w:rFonts w:hint="eastAsia" w:ascii="仿宋" w:hAnsi="仿宋" w:eastAsia="仿宋" w:cs="仿宋"/>
          <w:szCs w:val="21"/>
        </w:rPr>
        <w:t>投标人按时发送文件密码至招标联系人邮箱；</w:t>
      </w:r>
    </w:p>
    <w:p>
      <w:pPr>
        <w:pStyle w:val="22"/>
        <w:numPr>
          <w:ilvl w:val="0"/>
          <w:numId w:val="23"/>
        </w:numPr>
        <w:tabs>
          <w:tab w:val="left" w:pos="720"/>
          <w:tab w:val="left" w:pos="851"/>
        </w:tabs>
        <w:spacing w:line="360" w:lineRule="auto"/>
        <w:ind w:left="720" w:firstLine="430" w:firstLineChars="205"/>
        <w:rPr>
          <w:rFonts w:ascii="仿宋" w:hAnsi="仿宋" w:eastAsia="仿宋" w:cs="仿宋"/>
          <w:szCs w:val="21"/>
        </w:rPr>
      </w:pPr>
      <w:r>
        <w:rPr>
          <w:rFonts w:hint="eastAsia" w:ascii="仿宋" w:hAnsi="仿宋" w:eastAsia="仿宋" w:cs="仿宋"/>
          <w:szCs w:val="21"/>
        </w:rPr>
        <w:t>宣布开标开始，宣读开标注意事项、流程；</w:t>
      </w:r>
    </w:p>
    <w:p>
      <w:pPr>
        <w:pStyle w:val="22"/>
        <w:numPr>
          <w:ilvl w:val="0"/>
          <w:numId w:val="23"/>
        </w:numPr>
        <w:tabs>
          <w:tab w:val="left" w:pos="720"/>
          <w:tab w:val="left" w:pos="851"/>
        </w:tabs>
        <w:spacing w:line="360" w:lineRule="auto"/>
        <w:ind w:left="720" w:firstLine="430" w:firstLineChars="205"/>
        <w:rPr>
          <w:rFonts w:ascii="仿宋" w:hAnsi="仿宋" w:eastAsia="仿宋" w:cs="仿宋"/>
          <w:szCs w:val="21"/>
        </w:rPr>
      </w:pPr>
      <w:r>
        <w:rPr>
          <w:rFonts w:hint="eastAsia" w:ascii="仿宋" w:hAnsi="仿宋" w:eastAsia="仿宋" w:cs="仿宋"/>
          <w:szCs w:val="21"/>
        </w:rPr>
        <w:t>评标小组组长主持评标；</w:t>
      </w:r>
    </w:p>
    <w:p>
      <w:pPr>
        <w:pStyle w:val="22"/>
        <w:numPr>
          <w:ilvl w:val="0"/>
          <w:numId w:val="23"/>
        </w:numPr>
        <w:tabs>
          <w:tab w:val="left" w:pos="720"/>
          <w:tab w:val="left" w:pos="851"/>
        </w:tabs>
        <w:spacing w:line="360" w:lineRule="auto"/>
        <w:ind w:left="720" w:firstLine="430" w:firstLineChars="205"/>
        <w:rPr>
          <w:rFonts w:ascii="仿宋" w:hAnsi="仿宋" w:eastAsia="仿宋" w:cs="仿宋"/>
          <w:szCs w:val="21"/>
        </w:rPr>
      </w:pPr>
      <w:r>
        <w:rPr>
          <w:rFonts w:hint="eastAsia" w:ascii="仿宋" w:hAnsi="仿宋" w:eastAsia="仿宋" w:cs="仿宋"/>
          <w:szCs w:val="21"/>
        </w:rPr>
        <w:t>招标人解密投标文件。</w:t>
      </w:r>
    </w:p>
    <w:p>
      <w:pPr>
        <w:pStyle w:val="22"/>
        <w:numPr>
          <w:ilvl w:val="0"/>
          <w:numId w:val="23"/>
        </w:numPr>
        <w:tabs>
          <w:tab w:val="left" w:pos="720"/>
          <w:tab w:val="left" w:pos="851"/>
        </w:tabs>
        <w:spacing w:line="360" w:lineRule="auto"/>
        <w:ind w:left="720" w:firstLine="430" w:firstLineChars="205"/>
        <w:rPr>
          <w:rFonts w:ascii="仿宋" w:hAnsi="仿宋" w:eastAsia="仿宋" w:cs="仿宋"/>
          <w:szCs w:val="21"/>
        </w:rPr>
      </w:pPr>
      <w:r>
        <w:rPr>
          <w:rFonts w:hint="eastAsia" w:ascii="仿宋" w:hAnsi="仿宋" w:eastAsia="仿宋" w:cs="仿宋"/>
          <w:szCs w:val="21"/>
        </w:rPr>
        <w:t>现场公开唱标。</w:t>
      </w:r>
    </w:p>
    <w:p>
      <w:pPr>
        <w:pStyle w:val="22"/>
        <w:numPr>
          <w:ilvl w:val="0"/>
          <w:numId w:val="23"/>
        </w:numPr>
        <w:tabs>
          <w:tab w:val="left" w:pos="720"/>
          <w:tab w:val="left" w:pos="851"/>
        </w:tabs>
        <w:spacing w:line="360" w:lineRule="auto"/>
        <w:ind w:left="720" w:firstLine="430" w:firstLineChars="205"/>
        <w:rPr>
          <w:rFonts w:ascii="仿宋" w:hAnsi="仿宋" w:eastAsia="仿宋" w:cs="仿宋"/>
          <w:szCs w:val="21"/>
        </w:rPr>
      </w:pPr>
      <w:r>
        <w:rPr>
          <w:rFonts w:hint="eastAsia" w:ascii="仿宋" w:hAnsi="仿宋" w:eastAsia="仿宋" w:cs="仿宋"/>
          <w:szCs w:val="21"/>
        </w:rPr>
        <w:t>投标文件及密码发送符合要求的投标人即可离开视频会议室；</w:t>
      </w:r>
    </w:p>
    <w:p>
      <w:pPr>
        <w:pStyle w:val="22"/>
        <w:numPr>
          <w:ilvl w:val="0"/>
          <w:numId w:val="23"/>
        </w:numPr>
        <w:tabs>
          <w:tab w:val="left" w:pos="720"/>
          <w:tab w:val="left" w:pos="851"/>
        </w:tabs>
        <w:spacing w:line="360" w:lineRule="auto"/>
        <w:ind w:left="720" w:firstLine="430" w:firstLineChars="205"/>
        <w:rPr>
          <w:rFonts w:ascii="仿宋" w:hAnsi="仿宋" w:eastAsia="仿宋" w:cs="仿宋"/>
          <w:szCs w:val="21"/>
        </w:rPr>
      </w:pPr>
      <w:r>
        <w:rPr>
          <w:rFonts w:hint="eastAsia" w:ascii="仿宋" w:hAnsi="仿宋" w:eastAsia="仿宋" w:cs="仿宋"/>
          <w:szCs w:val="21"/>
        </w:rPr>
        <w:t>响应文件的完整性检验和投标人基本情况的符合性审查；</w:t>
      </w:r>
    </w:p>
    <w:p>
      <w:pPr>
        <w:pStyle w:val="22"/>
        <w:numPr>
          <w:ilvl w:val="0"/>
          <w:numId w:val="23"/>
        </w:numPr>
        <w:tabs>
          <w:tab w:val="left" w:pos="720"/>
          <w:tab w:val="left" w:pos="851"/>
        </w:tabs>
        <w:spacing w:line="360" w:lineRule="auto"/>
        <w:ind w:left="720" w:firstLine="430" w:firstLineChars="205"/>
        <w:rPr>
          <w:rFonts w:ascii="仿宋" w:hAnsi="仿宋" w:eastAsia="仿宋" w:cs="仿宋"/>
          <w:szCs w:val="21"/>
        </w:rPr>
      </w:pPr>
      <w:r>
        <w:rPr>
          <w:rFonts w:hint="eastAsia" w:ascii="仿宋" w:hAnsi="仿宋" w:eastAsia="仿宋" w:cs="仿宋"/>
          <w:szCs w:val="21"/>
        </w:rPr>
        <w:t>商务及技术需求响应性评定；</w:t>
      </w:r>
    </w:p>
    <w:p>
      <w:pPr>
        <w:pStyle w:val="22"/>
        <w:numPr>
          <w:ilvl w:val="0"/>
          <w:numId w:val="23"/>
        </w:numPr>
        <w:tabs>
          <w:tab w:val="left" w:pos="720"/>
          <w:tab w:val="left" w:pos="851"/>
          <w:tab w:val="left" w:pos="993"/>
        </w:tabs>
        <w:spacing w:line="360" w:lineRule="auto"/>
        <w:ind w:left="720" w:firstLine="430" w:firstLineChars="205"/>
        <w:rPr>
          <w:rFonts w:ascii="仿宋" w:hAnsi="仿宋" w:eastAsia="仿宋" w:cs="仿宋"/>
          <w:szCs w:val="21"/>
        </w:rPr>
      </w:pPr>
      <w:r>
        <w:rPr>
          <w:rFonts w:hint="eastAsia" w:ascii="仿宋" w:hAnsi="仿宋" w:eastAsia="仿宋" w:cs="仿宋"/>
          <w:szCs w:val="21"/>
        </w:rPr>
        <w:t>评标小组成员采用有记名方式按综合评议指标评分；</w:t>
      </w:r>
    </w:p>
    <w:p>
      <w:pPr>
        <w:pStyle w:val="22"/>
        <w:numPr>
          <w:ilvl w:val="0"/>
          <w:numId w:val="23"/>
        </w:numPr>
        <w:tabs>
          <w:tab w:val="left" w:pos="720"/>
          <w:tab w:val="left" w:pos="851"/>
          <w:tab w:val="left" w:pos="993"/>
        </w:tabs>
        <w:spacing w:line="360" w:lineRule="auto"/>
        <w:ind w:left="720" w:firstLine="430" w:firstLineChars="205"/>
        <w:rPr>
          <w:rFonts w:ascii="仿宋" w:hAnsi="仿宋" w:eastAsia="仿宋" w:cs="仿宋"/>
          <w:szCs w:val="21"/>
        </w:rPr>
      </w:pPr>
      <w:r>
        <w:rPr>
          <w:rFonts w:hint="eastAsia" w:ascii="仿宋" w:hAnsi="仿宋" w:eastAsia="仿宋" w:cs="仿宋"/>
          <w:szCs w:val="21"/>
        </w:rPr>
        <w:t>综合评分的计算和排序；</w:t>
      </w:r>
    </w:p>
    <w:p>
      <w:pPr>
        <w:pStyle w:val="22"/>
        <w:numPr>
          <w:ilvl w:val="0"/>
          <w:numId w:val="23"/>
        </w:numPr>
        <w:tabs>
          <w:tab w:val="left" w:pos="720"/>
          <w:tab w:val="left" w:pos="851"/>
          <w:tab w:val="left" w:pos="993"/>
        </w:tabs>
        <w:spacing w:line="360" w:lineRule="auto"/>
        <w:ind w:left="720" w:firstLine="430" w:firstLineChars="205"/>
        <w:rPr>
          <w:rFonts w:ascii="仿宋" w:hAnsi="仿宋" w:eastAsia="仿宋" w:cs="仿宋"/>
          <w:szCs w:val="21"/>
        </w:rPr>
      </w:pPr>
      <w:r>
        <w:rPr>
          <w:rFonts w:hint="eastAsia" w:ascii="仿宋" w:hAnsi="仿宋" w:eastAsia="仿宋" w:cs="仿宋"/>
          <w:szCs w:val="21"/>
        </w:rPr>
        <w:t>本项目招标第一候选供应商、备选供应商的确定及报告的出具。</w:t>
      </w:r>
    </w:p>
    <w:p>
      <w:pPr>
        <w:spacing w:line="360" w:lineRule="auto"/>
        <w:jc w:val="center"/>
        <w:outlineLvl w:val="0"/>
        <w:rPr>
          <w:rFonts w:ascii="仿宋" w:hAnsi="仿宋" w:eastAsia="仿宋" w:cs="仿宋"/>
          <w:b/>
          <w:sz w:val="32"/>
          <w:szCs w:val="32"/>
        </w:rPr>
      </w:pPr>
      <w:r>
        <w:rPr>
          <w:rFonts w:hint="eastAsia" w:ascii="仿宋" w:hAnsi="仿宋" w:eastAsia="仿宋" w:cs="仿宋"/>
          <w:b/>
          <w:sz w:val="28"/>
        </w:rPr>
        <w:br w:type="page"/>
      </w:r>
      <w:bookmarkStart w:id="44" w:name="_Toc12117"/>
      <w:r>
        <w:rPr>
          <w:rFonts w:hint="eastAsia" w:ascii="仿宋" w:hAnsi="仿宋" w:eastAsia="仿宋" w:cs="仿宋"/>
          <w:b/>
          <w:sz w:val="32"/>
          <w:szCs w:val="32"/>
        </w:rPr>
        <w:t>第三部分：评审办法</w:t>
      </w:r>
      <w:bookmarkEnd w:id="44"/>
    </w:p>
    <w:p>
      <w:pPr>
        <w:numPr>
          <w:ilvl w:val="0"/>
          <w:numId w:val="1"/>
        </w:numPr>
        <w:spacing w:line="360" w:lineRule="auto"/>
        <w:outlineLvl w:val="1"/>
        <w:rPr>
          <w:rFonts w:ascii="仿宋" w:hAnsi="仿宋" w:eastAsia="仿宋" w:cs="仿宋"/>
          <w:szCs w:val="21"/>
        </w:rPr>
      </w:pPr>
      <w:bookmarkStart w:id="45" w:name="_Toc14768"/>
      <w:r>
        <w:rPr>
          <w:rFonts w:hint="eastAsia" w:ascii="仿宋" w:hAnsi="仿宋" w:eastAsia="仿宋" w:cs="仿宋"/>
          <w:b/>
          <w:bCs/>
          <w:szCs w:val="21"/>
        </w:rPr>
        <w:t>评审办法</w:t>
      </w:r>
      <w:bookmarkEnd w:id="45"/>
    </w:p>
    <w:tbl>
      <w:tblPr>
        <w:tblStyle w:val="15"/>
        <w:tblpPr w:leftFromText="180" w:rightFromText="180" w:vertAnchor="text" w:horzAnchor="page" w:tblpX="959" w:tblpY="1395"/>
        <w:tblOverlap w:val="never"/>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8"/>
        <w:gridCol w:w="2158"/>
        <w:gridCol w:w="2159"/>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17" w:type="dxa"/>
            <w:gridSpan w:val="4"/>
            <w:shd w:val="clear" w:color="auto" w:fill="E7E6E6" w:themeFill="background2"/>
            <w:vAlign w:val="center"/>
          </w:tcPr>
          <w:p>
            <w:pPr>
              <w:autoSpaceDE w:val="0"/>
              <w:autoSpaceDN w:val="0"/>
              <w:adjustRightInd w:val="0"/>
              <w:snapToGrid w:val="0"/>
              <w:jc w:val="center"/>
              <w:rPr>
                <w:rFonts w:ascii="仿宋" w:hAnsi="仿宋" w:eastAsia="仿宋" w:cs="仿宋"/>
                <w:b/>
                <w:sz w:val="32"/>
                <w:szCs w:val="32"/>
              </w:rPr>
            </w:pPr>
            <w:r>
              <w:rPr>
                <w:rFonts w:hint="eastAsia" w:ascii="仿宋" w:hAnsi="仿宋" w:eastAsia="仿宋" w:cs="仿宋"/>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8" w:type="dxa"/>
            <w:vAlign w:val="center"/>
          </w:tcPr>
          <w:p>
            <w:pPr>
              <w:autoSpaceDE w:val="0"/>
              <w:autoSpaceDN w:val="0"/>
              <w:adjustRightInd w:val="0"/>
              <w:snapToGrid w:val="0"/>
              <w:jc w:val="center"/>
              <w:rPr>
                <w:rFonts w:ascii="仿宋" w:hAnsi="仿宋" w:eastAsia="仿宋" w:cs="仿宋"/>
                <w:b/>
              </w:rPr>
            </w:pPr>
            <w:r>
              <w:rPr>
                <w:rFonts w:hint="eastAsia" w:ascii="仿宋" w:hAnsi="仿宋" w:eastAsia="仿宋" w:cs="仿宋"/>
                <w:b/>
              </w:rPr>
              <w:t>权重名称</w:t>
            </w:r>
          </w:p>
        </w:tc>
        <w:tc>
          <w:tcPr>
            <w:tcW w:w="2158" w:type="dxa"/>
            <w:vAlign w:val="center"/>
          </w:tcPr>
          <w:p>
            <w:pPr>
              <w:autoSpaceDE w:val="0"/>
              <w:autoSpaceDN w:val="0"/>
              <w:adjustRightInd w:val="0"/>
              <w:snapToGrid w:val="0"/>
              <w:jc w:val="center"/>
              <w:rPr>
                <w:rFonts w:ascii="仿宋" w:hAnsi="仿宋" w:eastAsia="仿宋" w:cs="仿宋"/>
                <w:b/>
              </w:rPr>
            </w:pPr>
            <w:r>
              <w:rPr>
                <w:rFonts w:hint="eastAsia" w:ascii="仿宋" w:hAnsi="仿宋" w:eastAsia="仿宋" w:cs="仿宋"/>
                <w:b/>
              </w:rPr>
              <w:t>商务标权重</w:t>
            </w:r>
          </w:p>
        </w:tc>
        <w:tc>
          <w:tcPr>
            <w:tcW w:w="2159" w:type="dxa"/>
            <w:vAlign w:val="center"/>
          </w:tcPr>
          <w:p>
            <w:pPr>
              <w:autoSpaceDE w:val="0"/>
              <w:autoSpaceDN w:val="0"/>
              <w:adjustRightInd w:val="0"/>
              <w:snapToGrid w:val="0"/>
              <w:jc w:val="center"/>
              <w:rPr>
                <w:rFonts w:ascii="仿宋" w:hAnsi="仿宋" w:eastAsia="仿宋" w:cs="仿宋"/>
                <w:b/>
              </w:rPr>
            </w:pPr>
            <w:r>
              <w:rPr>
                <w:rFonts w:hint="eastAsia" w:ascii="仿宋" w:hAnsi="仿宋" w:eastAsia="仿宋" w:cs="仿宋"/>
                <w:b/>
              </w:rPr>
              <w:t>技术标权重</w:t>
            </w:r>
          </w:p>
        </w:tc>
        <w:tc>
          <w:tcPr>
            <w:tcW w:w="2662" w:type="dxa"/>
            <w:vAlign w:val="center"/>
          </w:tcPr>
          <w:p>
            <w:pPr>
              <w:autoSpaceDE w:val="0"/>
              <w:autoSpaceDN w:val="0"/>
              <w:adjustRightInd w:val="0"/>
              <w:snapToGrid w:val="0"/>
              <w:jc w:val="center"/>
              <w:rPr>
                <w:rFonts w:ascii="仿宋" w:hAnsi="仿宋" w:eastAsia="仿宋" w:cs="仿宋"/>
                <w:b/>
              </w:rPr>
            </w:pPr>
            <w:r>
              <w:rPr>
                <w:rFonts w:hint="eastAsia" w:ascii="仿宋" w:hAnsi="仿宋" w:eastAsia="仿宋" w:cs="仿宋"/>
                <w:b/>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8" w:type="dxa"/>
            <w:vAlign w:val="center"/>
          </w:tcPr>
          <w:p>
            <w:pPr>
              <w:autoSpaceDE w:val="0"/>
              <w:autoSpaceDN w:val="0"/>
              <w:adjustRightInd w:val="0"/>
              <w:snapToGrid w:val="0"/>
              <w:jc w:val="center"/>
              <w:rPr>
                <w:rFonts w:ascii="仿宋" w:hAnsi="仿宋" w:eastAsia="仿宋" w:cs="仿宋"/>
              </w:rPr>
            </w:pPr>
            <w:r>
              <w:rPr>
                <w:rFonts w:hint="eastAsia" w:ascii="仿宋" w:hAnsi="仿宋" w:eastAsia="仿宋" w:cs="仿宋"/>
              </w:rPr>
              <w:t>权重</w:t>
            </w:r>
          </w:p>
        </w:tc>
        <w:tc>
          <w:tcPr>
            <w:tcW w:w="2158" w:type="dxa"/>
            <w:vAlign w:val="center"/>
          </w:tcPr>
          <w:p>
            <w:pPr>
              <w:autoSpaceDE w:val="0"/>
              <w:autoSpaceDN w:val="0"/>
              <w:adjustRightInd w:val="0"/>
              <w:snapToGrid w:val="0"/>
              <w:jc w:val="center"/>
              <w:rPr>
                <w:rFonts w:ascii="仿宋" w:hAnsi="仿宋" w:eastAsia="仿宋" w:cs="仿宋"/>
              </w:rPr>
            </w:pPr>
            <w:r>
              <w:rPr>
                <w:rFonts w:hint="eastAsia" w:ascii="仿宋" w:hAnsi="仿宋" w:eastAsia="仿宋" w:cs="仿宋"/>
              </w:rPr>
              <w:t>2</w:t>
            </w:r>
            <w:r>
              <w:rPr>
                <w:rFonts w:hint="eastAsia" w:ascii="仿宋" w:hAnsi="仿宋" w:eastAsia="仿宋" w:cs="仿宋"/>
                <w:lang w:val="en-US" w:eastAsia="zh-CN"/>
              </w:rPr>
              <w:t>3</w:t>
            </w:r>
            <w:r>
              <w:rPr>
                <w:rFonts w:hint="eastAsia" w:ascii="仿宋" w:hAnsi="仿宋" w:eastAsia="仿宋" w:cs="仿宋"/>
              </w:rPr>
              <w:t>%</w:t>
            </w:r>
          </w:p>
        </w:tc>
        <w:tc>
          <w:tcPr>
            <w:tcW w:w="2159" w:type="dxa"/>
            <w:vAlign w:val="center"/>
          </w:tcPr>
          <w:p>
            <w:pPr>
              <w:autoSpaceDE w:val="0"/>
              <w:autoSpaceDN w:val="0"/>
              <w:adjustRightInd w:val="0"/>
              <w:snapToGrid w:val="0"/>
              <w:jc w:val="center"/>
              <w:rPr>
                <w:rFonts w:ascii="仿宋" w:hAnsi="仿宋" w:eastAsia="仿宋" w:cs="仿宋"/>
              </w:rPr>
            </w:pPr>
            <w:r>
              <w:rPr>
                <w:rFonts w:hint="eastAsia" w:ascii="仿宋" w:hAnsi="仿宋" w:eastAsia="仿宋" w:cs="仿宋"/>
                <w:lang w:val="en-US" w:eastAsia="zh-CN"/>
              </w:rPr>
              <w:t>47</w:t>
            </w:r>
            <w:r>
              <w:rPr>
                <w:rFonts w:hint="eastAsia" w:ascii="仿宋" w:hAnsi="仿宋" w:eastAsia="仿宋" w:cs="仿宋"/>
              </w:rPr>
              <w:t>%</w:t>
            </w:r>
          </w:p>
        </w:tc>
        <w:tc>
          <w:tcPr>
            <w:tcW w:w="2662" w:type="dxa"/>
            <w:vAlign w:val="center"/>
          </w:tcPr>
          <w:p>
            <w:pPr>
              <w:autoSpaceDE w:val="0"/>
              <w:autoSpaceDN w:val="0"/>
              <w:adjustRightInd w:val="0"/>
              <w:snapToGrid w:val="0"/>
              <w:jc w:val="center"/>
              <w:rPr>
                <w:rFonts w:ascii="仿宋" w:hAnsi="仿宋" w:eastAsia="仿宋" w:cs="仿宋"/>
              </w:rPr>
            </w:pPr>
            <w:r>
              <w:rPr>
                <w:rFonts w:hint="eastAsia" w:ascii="仿宋" w:hAnsi="仿宋" w:eastAsia="仿宋" w:cs="仿宋"/>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38" w:type="dxa"/>
            <w:vAlign w:val="center"/>
          </w:tcPr>
          <w:p>
            <w:pPr>
              <w:autoSpaceDE w:val="0"/>
              <w:autoSpaceDN w:val="0"/>
              <w:adjustRightInd w:val="0"/>
              <w:snapToGrid w:val="0"/>
              <w:jc w:val="center"/>
              <w:rPr>
                <w:rFonts w:ascii="仿宋" w:hAnsi="仿宋" w:eastAsia="仿宋" w:cs="仿宋"/>
              </w:rPr>
            </w:pPr>
            <w:r>
              <w:rPr>
                <w:rFonts w:hint="eastAsia" w:ascii="仿宋" w:hAnsi="仿宋" w:eastAsia="仿宋" w:cs="仿宋"/>
              </w:rPr>
              <w:t>投标人综合得分</w:t>
            </w:r>
          </w:p>
        </w:tc>
        <w:tc>
          <w:tcPr>
            <w:tcW w:w="6979" w:type="dxa"/>
            <w:gridSpan w:val="3"/>
            <w:vAlign w:val="center"/>
          </w:tcPr>
          <w:p>
            <w:pPr>
              <w:autoSpaceDE w:val="0"/>
              <w:autoSpaceDN w:val="0"/>
              <w:adjustRightInd w:val="0"/>
              <w:snapToGrid w:val="0"/>
              <w:jc w:val="center"/>
              <w:rPr>
                <w:rFonts w:ascii="仿宋" w:hAnsi="仿宋" w:eastAsia="仿宋" w:cs="仿宋"/>
              </w:rPr>
            </w:pPr>
            <w:r>
              <w:rPr>
                <w:rFonts w:hint="eastAsia" w:ascii="仿宋" w:hAnsi="仿宋" w:eastAsia="仿宋" w:cs="仿宋"/>
              </w:rPr>
              <w:t>商务标得分+技术标得分+价格标得分=100</w:t>
            </w:r>
          </w:p>
        </w:tc>
      </w:tr>
    </w:tbl>
    <w:p>
      <w:pPr>
        <w:spacing w:line="360" w:lineRule="auto"/>
        <w:ind w:firstLine="420" w:firstLineChars="200"/>
        <w:rPr>
          <w:rFonts w:ascii="仿宋" w:hAnsi="仿宋" w:eastAsia="仿宋" w:cs="仿宋"/>
          <w:szCs w:val="21"/>
        </w:rPr>
      </w:pPr>
      <w:r>
        <w:rPr>
          <w:rFonts w:hint="eastAsia" w:ascii="仿宋" w:hAnsi="仿宋" w:eastAsia="仿宋" w:cs="仿宋"/>
          <w:szCs w:val="21"/>
        </w:rPr>
        <w:t>首先对各投标人进行符合性审查。对通过符合性审查的投标人，采用</w:t>
      </w:r>
      <w:r>
        <w:rPr>
          <w:rFonts w:hint="eastAsia" w:ascii="仿宋" w:hAnsi="仿宋" w:eastAsia="仿宋" w:cs="仿宋"/>
          <w:b/>
          <w:szCs w:val="21"/>
        </w:rPr>
        <w:t>100分制综合评分法</w:t>
      </w:r>
      <w:r>
        <w:rPr>
          <w:rFonts w:hint="eastAsia" w:ascii="仿宋" w:hAnsi="仿宋" w:eastAsia="仿宋" w:cs="仿宋"/>
          <w:szCs w:val="21"/>
        </w:rPr>
        <w:t>进行评分。</w:t>
      </w:r>
    </w:p>
    <w:p>
      <w:pPr>
        <w:pStyle w:val="12"/>
        <w:rPr>
          <w:rFonts w:ascii="仿宋" w:hAnsi="仿宋" w:eastAsia="仿宋" w:cs="仿宋"/>
        </w:rPr>
      </w:pPr>
    </w:p>
    <w:p>
      <w:pPr>
        <w:numPr>
          <w:ilvl w:val="0"/>
          <w:numId w:val="24"/>
        </w:numPr>
        <w:spacing w:line="360" w:lineRule="auto"/>
        <w:jc w:val="left"/>
        <w:outlineLvl w:val="2"/>
        <w:rPr>
          <w:rStyle w:val="29"/>
          <w:rFonts w:ascii="仿宋" w:hAnsi="仿宋" w:eastAsia="仿宋" w:cs="仿宋"/>
          <w:b/>
          <w:szCs w:val="21"/>
        </w:rPr>
      </w:pPr>
      <w:bookmarkStart w:id="46" w:name="_Toc26478"/>
      <w:r>
        <w:rPr>
          <w:rStyle w:val="29"/>
          <w:rFonts w:hint="eastAsia" w:ascii="仿宋" w:hAnsi="仿宋" w:eastAsia="仿宋" w:cs="仿宋"/>
          <w:b/>
          <w:bCs/>
          <w:szCs w:val="21"/>
        </w:rPr>
        <w:t>符合性检查</w:t>
      </w:r>
      <w:bookmarkEnd w:id="46"/>
    </w:p>
    <w:tbl>
      <w:tblPr>
        <w:tblStyle w:val="15"/>
        <w:tblpPr w:leftFromText="180" w:rightFromText="180" w:vertAnchor="text" w:horzAnchor="page" w:tblpX="892" w:tblpY="1412"/>
        <w:tblOverlap w:val="never"/>
        <w:tblW w:w="9516" w:type="dxa"/>
        <w:tblCellSpacing w:w="0" w:type="dxa"/>
        <w:tblInd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881"/>
        <w:gridCol w:w="763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trPr>
        <w:tc>
          <w:tcPr>
            <w:tcW w:w="1881"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360" w:lineRule="auto"/>
              <w:jc w:val="center"/>
              <w:rPr>
                <w:rFonts w:ascii="仿宋" w:hAnsi="仿宋" w:eastAsia="仿宋" w:cs="仿宋"/>
                <w:szCs w:val="21"/>
              </w:rPr>
            </w:pPr>
            <w:r>
              <w:rPr>
                <w:rFonts w:hint="eastAsia" w:ascii="仿宋" w:hAnsi="仿宋" w:eastAsia="仿宋" w:cs="仿宋"/>
                <w:szCs w:val="21"/>
              </w:rPr>
              <w:t>评议项目</w:t>
            </w:r>
          </w:p>
        </w:tc>
        <w:tc>
          <w:tcPr>
            <w:tcW w:w="763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360" w:lineRule="auto"/>
              <w:jc w:val="center"/>
              <w:rPr>
                <w:rFonts w:ascii="仿宋" w:hAnsi="仿宋" w:eastAsia="仿宋" w:cs="仿宋"/>
                <w:szCs w:val="21"/>
              </w:rPr>
            </w:pPr>
            <w:r>
              <w:rPr>
                <w:rFonts w:hint="eastAsia" w:ascii="仿宋" w:hAnsi="仿宋" w:eastAsia="仿宋" w:cs="仿宋"/>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响应文件</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仿宋" w:hAnsi="仿宋" w:eastAsia="仿宋" w:cs="仿宋"/>
                <w:szCs w:val="21"/>
              </w:rPr>
            </w:pPr>
            <w:r>
              <w:rPr>
                <w:rFonts w:hint="eastAsia" w:ascii="仿宋" w:hAnsi="仿宋" w:eastAsia="仿宋" w:cs="仿宋"/>
                <w:bCs/>
                <w:szCs w:val="21"/>
              </w:rPr>
              <w:t>投标人提交的响应文件是否按要求编制目录、加密；投标文件的加密密码在按要求发送至招标人且保证文件完整可正常打开；投标人必须提供由法人代表或其书面授权人签署并加盖投标人公章的投标响应文件</w:t>
            </w:r>
            <w:r>
              <w:rPr>
                <w:rFonts w:hint="eastAsia" w:ascii="仿宋" w:hAnsi="仿宋" w:eastAsia="仿宋" w:cs="仿宋"/>
                <w:szCs w:val="21"/>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法定代表人证明书及授权委托证明书</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仿宋" w:hAnsi="仿宋" w:eastAsia="仿宋" w:cs="仿宋"/>
                <w:szCs w:val="21"/>
              </w:rPr>
            </w:pPr>
            <w:r>
              <w:rPr>
                <w:rFonts w:hint="eastAsia" w:ascii="仿宋" w:hAnsi="仿宋" w:eastAsia="仿宋"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资格证明文件</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仿宋" w:hAnsi="仿宋" w:eastAsia="仿宋" w:cs="仿宋"/>
                <w:szCs w:val="21"/>
              </w:rPr>
            </w:pPr>
            <w:r>
              <w:rPr>
                <w:rFonts w:hint="eastAsia" w:ascii="仿宋" w:hAnsi="仿宋" w:eastAsia="仿宋" w:cs="仿宋"/>
                <w:szCs w:val="21"/>
              </w:rPr>
              <w:t>投标人是否提供以下证明文件：</w:t>
            </w:r>
          </w:p>
          <w:p>
            <w:pPr>
              <w:numPr>
                <w:ilvl w:val="0"/>
                <w:numId w:val="25"/>
              </w:numPr>
              <w:tabs>
                <w:tab w:val="left" w:pos="531"/>
              </w:tabs>
              <w:snapToGrid w:val="0"/>
              <w:spacing w:line="360" w:lineRule="auto"/>
              <w:rPr>
                <w:rFonts w:ascii="仿宋" w:hAnsi="仿宋" w:eastAsia="仿宋" w:cs="仿宋"/>
                <w:szCs w:val="21"/>
              </w:rPr>
            </w:pPr>
            <w:r>
              <w:rPr>
                <w:rFonts w:hint="eastAsia" w:ascii="仿宋" w:hAnsi="仿宋" w:eastAsia="仿宋" w:cs="仿宋"/>
                <w:szCs w:val="21"/>
              </w:rPr>
              <w:t>投标人必须是在中华人民共和国境内注册且合法运作的企业，在法律和财务上独立。（提供企业营业执照扫描件，并加盖投标人公章。）</w:t>
            </w:r>
          </w:p>
          <w:p>
            <w:pPr>
              <w:numPr>
                <w:ilvl w:val="0"/>
                <w:numId w:val="25"/>
              </w:numPr>
              <w:tabs>
                <w:tab w:val="left" w:pos="531"/>
              </w:tabs>
              <w:snapToGrid w:val="0"/>
              <w:spacing w:line="360" w:lineRule="auto"/>
              <w:rPr>
                <w:rFonts w:ascii="仿宋" w:hAnsi="仿宋" w:eastAsia="仿宋" w:cs="仿宋"/>
                <w:szCs w:val="21"/>
              </w:rPr>
            </w:pPr>
            <w:r>
              <w:rPr>
                <w:rFonts w:hint="eastAsia" w:ascii="仿宋" w:hAnsi="仿宋" w:eastAsia="仿宋" w:cs="仿宋"/>
                <w:szCs w:val="21"/>
              </w:rPr>
              <w:t>投标人必须无未改正的经营异常信息、无严重违法失信记录。(提供国家企业信用信息公示系统（www.gsxt.gov.cn)公示的企业基础信息、经营异常信息、严重违法失信记录等信息查询页面打印件，并加盖投标人公章。）须同时提供《履约情况及社会信誉承诺书》（格式详见附件13）。</w:t>
            </w:r>
          </w:p>
          <w:p>
            <w:pPr>
              <w:numPr>
                <w:ilvl w:val="0"/>
                <w:numId w:val="25"/>
              </w:numPr>
              <w:tabs>
                <w:tab w:val="left" w:pos="531"/>
              </w:tabs>
              <w:snapToGrid w:val="0"/>
              <w:spacing w:line="360" w:lineRule="auto"/>
              <w:rPr>
                <w:rFonts w:ascii="仿宋" w:hAnsi="仿宋" w:eastAsia="仿宋" w:cs="仿宋"/>
              </w:rPr>
            </w:pPr>
            <w:r>
              <w:rPr>
                <w:rFonts w:hint="eastAsia" w:ascii="仿宋" w:hAnsi="仿宋" w:eastAsia="仿宋" w:cs="仿宋"/>
                <w:szCs w:val="21"/>
              </w:rPr>
              <w:t>投标人必须提供2019年6月1日至采购公告发布之日（以合同签订时间为准）不少于2个可证明其专业实力的双微平台运营案例，提供合同关键页复印件（合同关键页包含但不限于项目名称、业主方名称、合同主要内容、签订时间、履约地点、甲乙双方盖章等信息）及案例情况陈述（可包括策划方案介绍、图文及设计展示、运营效果、活动效果）、网址、公众号等证明资料。以上证明资料加盖参加单位公章。</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控制金额</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仿宋" w:hAnsi="仿宋" w:eastAsia="仿宋" w:cs="仿宋"/>
                <w:szCs w:val="21"/>
              </w:rPr>
            </w:pPr>
            <w:r>
              <w:rPr>
                <w:rFonts w:hint="eastAsia" w:ascii="仿宋" w:hAnsi="仿宋" w:eastAsia="仿宋" w:cs="仿宋"/>
                <w:szCs w:val="21"/>
              </w:rPr>
              <w:t>本项目报价是否高于20万元（含税），超过上述控制金额的视为无效报价。</w:t>
            </w:r>
          </w:p>
        </w:tc>
      </w:tr>
    </w:tbl>
    <w:p>
      <w:pPr>
        <w:numPr>
          <w:ilvl w:val="0"/>
          <w:numId w:val="24"/>
        </w:numPr>
        <w:spacing w:beforeLines="300" w:line="360" w:lineRule="auto"/>
        <w:jc w:val="left"/>
        <w:outlineLvl w:val="2"/>
        <w:rPr>
          <w:rStyle w:val="29"/>
          <w:rFonts w:ascii="仿宋" w:hAnsi="仿宋" w:eastAsia="仿宋" w:cs="仿宋"/>
          <w:b/>
          <w:bCs/>
          <w:szCs w:val="21"/>
        </w:rPr>
      </w:pPr>
      <w:bookmarkStart w:id="47" w:name="_Toc12276"/>
      <w:r>
        <w:rPr>
          <w:rStyle w:val="29"/>
          <w:rFonts w:hint="eastAsia" w:ascii="仿宋" w:hAnsi="仿宋" w:eastAsia="仿宋" w:cs="仿宋"/>
          <w:b/>
          <w:bCs/>
          <w:szCs w:val="21"/>
        </w:rPr>
        <w:t>综合评议指标表</w:t>
      </w:r>
      <w:bookmarkEnd w:id="47"/>
    </w:p>
    <w:tbl>
      <w:tblPr>
        <w:tblStyle w:val="15"/>
        <w:tblW w:w="9351" w:type="dxa"/>
        <w:jc w:val="center"/>
        <w:tblCellSpacing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blCellSpacing w:w="0" w:type="dxa"/>
          <w:jc w:val="center"/>
        </w:trPr>
        <w:tc>
          <w:tcPr>
            <w:tcW w:w="704" w:type="dxa"/>
            <w:shd w:val="clear" w:color="auto" w:fill="EEEEEE"/>
          </w:tcPr>
          <w:p>
            <w:pPr>
              <w:spacing w:line="360" w:lineRule="auto"/>
              <w:jc w:val="center"/>
              <w:rPr>
                <w:rFonts w:ascii="仿宋" w:hAnsi="仿宋" w:eastAsia="仿宋" w:cs="仿宋"/>
                <w:b/>
                <w:szCs w:val="21"/>
              </w:rPr>
            </w:pPr>
            <w:r>
              <w:rPr>
                <w:rFonts w:hint="eastAsia" w:ascii="仿宋" w:hAnsi="仿宋" w:eastAsia="仿宋" w:cs="仿宋"/>
                <w:b/>
                <w:szCs w:val="21"/>
              </w:rPr>
              <w:t>序号</w:t>
            </w:r>
          </w:p>
        </w:tc>
        <w:tc>
          <w:tcPr>
            <w:tcW w:w="1134" w:type="dxa"/>
            <w:shd w:val="clear" w:color="auto" w:fill="EEEEEE"/>
            <w:tcMar>
              <w:top w:w="15" w:type="dxa"/>
              <w:left w:w="15" w:type="dxa"/>
              <w:bottom w:w="15" w:type="dxa"/>
              <w:right w:w="15" w:type="dxa"/>
            </w:tcMar>
            <w:vAlign w:val="center"/>
          </w:tcPr>
          <w:p>
            <w:pPr>
              <w:spacing w:line="360" w:lineRule="auto"/>
              <w:jc w:val="center"/>
              <w:rPr>
                <w:rFonts w:ascii="仿宋" w:hAnsi="仿宋" w:eastAsia="仿宋" w:cs="仿宋"/>
                <w:b/>
                <w:szCs w:val="21"/>
              </w:rPr>
            </w:pPr>
            <w:r>
              <w:rPr>
                <w:rFonts w:hint="eastAsia" w:ascii="仿宋" w:hAnsi="仿宋" w:eastAsia="仿宋" w:cs="仿宋"/>
                <w:b/>
                <w:szCs w:val="21"/>
              </w:rPr>
              <w:t>评议内容</w:t>
            </w:r>
          </w:p>
        </w:tc>
        <w:tc>
          <w:tcPr>
            <w:tcW w:w="709" w:type="dxa"/>
            <w:tcBorders>
              <w:right w:val="dotted" w:color="auto" w:sz="4" w:space="0"/>
            </w:tcBorders>
            <w:shd w:val="clear" w:color="auto" w:fill="EEEEEE"/>
            <w:tcMar>
              <w:top w:w="15" w:type="dxa"/>
              <w:left w:w="15" w:type="dxa"/>
              <w:bottom w:w="15" w:type="dxa"/>
              <w:right w:w="15" w:type="dxa"/>
            </w:tcMar>
            <w:vAlign w:val="center"/>
          </w:tcPr>
          <w:p>
            <w:pPr>
              <w:spacing w:line="360" w:lineRule="auto"/>
              <w:jc w:val="center"/>
              <w:rPr>
                <w:rFonts w:ascii="仿宋" w:hAnsi="仿宋" w:eastAsia="仿宋" w:cs="仿宋"/>
                <w:b/>
                <w:szCs w:val="21"/>
              </w:rPr>
            </w:pPr>
            <w:r>
              <w:rPr>
                <w:rFonts w:hint="eastAsia" w:ascii="仿宋" w:hAnsi="仿宋" w:eastAsia="仿宋" w:cs="仿宋"/>
                <w:b/>
                <w:szCs w:val="21"/>
              </w:rPr>
              <w:t>分值</w:t>
            </w:r>
          </w:p>
        </w:tc>
        <w:tc>
          <w:tcPr>
            <w:tcW w:w="6804" w:type="dxa"/>
            <w:gridSpan w:val="2"/>
            <w:tcBorders>
              <w:left w:val="dotted" w:color="auto" w:sz="4" w:space="0"/>
            </w:tcBorders>
            <w:shd w:val="clear" w:color="auto" w:fill="EEEEEE"/>
            <w:vAlign w:val="center"/>
          </w:tcPr>
          <w:p>
            <w:pPr>
              <w:spacing w:line="360" w:lineRule="auto"/>
              <w:jc w:val="center"/>
              <w:rPr>
                <w:rFonts w:ascii="仿宋" w:hAnsi="仿宋" w:eastAsia="仿宋" w:cs="仿宋"/>
                <w:b/>
                <w:szCs w:val="21"/>
              </w:rPr>
            </w:pPr>
            <w:r>
              <w:rPr>
                <w:rFonts w:hint="eastAsia" w:ascii="仿宋" w:hAnsi="仿宋" w:eastAsia="仿宋" w:cs="仿宋"/>
                <w:b/>
                <w:szCs w:val="21"/>
              </w:rPr>
              <w:t>评议标准及权重</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blCellSpacing w:w="0" w:type="dxa"/>
          <w:jc w:val="center"/>
        </w:trPr>
        <w:tc>
          <w:tcPr>
            <w:tcW w:w="9351" w:type="dxa"/>
            <w:gridSpan w:val="5"/>
            <w:shd w:val="clear" w:color="auto" w:fill="EEEEEE"/>
          </w:tcPr>
          <w:p>
            <w:pPr>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商务评议项（23分）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vAlign w:val="center"/>
          </w:tcPr>
          <w:p>
            <w:pPr>
              <w:pStyle w:val="22"/>
              <w:numPr>
                <w:ilvl w:val="0"/>
                <w:numId w:val="26"/>
              </w:numPr>
              <w:spacing w:line="360" w:lineRule="auto"/>
              <w:ind w:firstLineChars="0"/>
              <w:jc w:val="center"/>
              <w:rPr>
                <w:rFonts w:ascii="仿宋" w:hAnsi="仿宋" w:eastAsia="仿宋" w:cs="仿宋"/>
                <w:szCs w:val="21"/>
              </w:rPr>
            </w:pPr>
          </w:p>
        </w:tc>
        <w:tc>
          <w:tcPr>
            <w:tcW w:w="1134" w:type="dxa"/>
            <w:tcMar>
              <w:top w:w="15" w:type="dxa"/>
              <w:left w:w="15" w:type="dxa"/>
              <w:bottom w:w="15" w:type="dxa"/>
              <w:right w:w="15" w:type="dxa"/>
            </w:tcMar>
            <w:vAlign w:val="center"/>
          </w:tcPr>
          <w:p>
            <w:pPr>
              <w:spacing w:line="320" w:lineRule="exact"/>
              <w:jc w:val="center"/>
              <w:rPr>
                <w:rFonts w:ascii="仿宋" w:hAnsi="仿宋" w:eastAsia="仿宋" w:cs="仿宋"/>
                <w:szCs w:val="21"/>
              </w:rPr>
            </w:pPr>
            <w:r>
              <w:rPr>
                <w:rFonts w:hint="eastAsia" w:ascii="仿宋" w:hAnsi="仿宋" w:eastAsia="仿宋" w:cs="仿宋"/>
              </w:rPr>
              <w:t>综合实力</w:t>
            </w:r>
          </w:p>
        </w:tc>
        <w:tc>
          <w:tcPr>
            <w:tcW w:w="709" w:type="dxa"/>
            <w:tcMar>
              <w:top w:w="15" w:type="dxa"/>
              <w:left w:w="15" w:type="dxa"/>
              <w:bottom w:w="15" w:type="dxa"/>
              <w:right w:w="15" w:type="dxa"/>
            </w:tcMar>
            <w:vAlign w:val="center"/>
          </w:tcPr>
          <w:p>
            <w:pPr>
              <w:spacing w:line="360" w:lineRule="auto"/>
              <w:jc w:val="center"/>
              <w:rPr>
                <w:rFonts w:ascii="仿宋" w:hAnsi="仿宋" w:eastAsia="仿宋" w:cs="仿宋"/>
                <w:szCs w:val="21"/>
              </w:rPr>
            </w:pPr>
            <w:r>
              <w:rPr>
                <w:rFonts w:hint="eastAsia" w:ascii="仿宋" w:hAnsi="仿宋" w:eastAsia="仿宋" w:cs="仿宋"/>
                <w:szCs w:val="21"/>
              </w:rPr>
              <w:t>3分</w:t>
            </w:r>
          </w:p>
        </w:tc>
        <w:tc>
          <w:tcPr>
            <w:tcW w:w="6804" w:type="dxa"/>
            <w:gridSpan w:val="2"/>
            <w:tcMar>
              <w:top w:w="15" w:type="dxa"/>
              <w:left w:w="15" w:type="dxa"/>
              <w:bottom w:w="15" w:type="dxa"/>
              <w:right w:w="15" w:type="dxa"/>
            </w:tcMar>
            <w:vAlign w:val="center"/>
          </w:tcPr>
          <w:p>
            <w:pPr>
              <w:numPr>
                <w:ilvl w:val="255"/>
                <w:numId w:val="0"/>
              </w:numPr>
              <w:tabs>
                <w:tab w:val="left" w:pos="531"/>
              </w:tabs>
              <w:snapToGrid w:val="0"/>
              <w:rPr>
                <w:rFonts w:ascii="仿宋" w:hAnsi="仿宋" w:eastAsia="仿宋" w:cs="仿宋"/>
              </w:rPr>
            </w:pPr>
            <w:r>
              <w:rPr>
                <w:rFonts w:hint="eastAsia" w:ascii="仿宋" w:hAnsi="仿宋" w:eastAsia="仿宋" w:cs="仿宋"/>
              </w:rPr>
              <w:t>根据投标人提供的企业介绍资料（包括但不限于公司概况、服务内容、人员规模、服务品牌及客户、资源及优势、资质文件、荣誉展示等），综合评议</w:t>
            </w:r>
            <w:r>
              <w:rPr>
                <w:rFonts w:hint="eastAsia" w:ascii="仿宋" w:hAnsi="仿宋" w:eastAsia="仿宋" w:cs="仿宋"/>
                <w:lang w:val="en-US" w:eastAsia="zh-CN"/>
              </w:rPr>
              <w:t>各投标人</w:t>
            </w:r>
            <w:r>
              <w:rPr>
                <w:rFonts w:hint="eastAsia" w:ascii="仿宋" w:hAnsi="仿宋" w:eastAsia="仿宋" w:cs="仿宋"/>
              </w:rPr>
              <w:t>综合实力越强得分越高，优得3分，良得2分，一般得1分（未提供相应资料或提供不清晰者不得分）。（0-3分）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vAlign w:val="center"/>
          </w:tcPr>
          <w:p>
            <w:pPr>
              <w:pStyle w:val="22"/>
              <w:numPr>
                <w:ilvl w:val="0"/>
                <w:numId w:val="26"/>
              </w:numPr>
              <w:spacing w:line="360" w:lineRule="auto"/>
              <w:ind w:firstLineChars="0"/>
              <w:jc w:val="center"/>
              <w:rPr>
                <w:rFonts w:ascii="仿宋" w:hAnsi="仿宋" w:eastAsia="仿宋" w:cs="仿宋"/>
                <w:szCs w:val="21"/>
              </w:rPr>
            </w:pPr>
          </w:p>
        </w:tc>
        <w:tc>
          <w:tcPr>
            <w:tcW w:w="1134" w:type="dxa"/>
            <w:tcMar>
              <w:top w:w="15" w:type="dxa"/>
              <w:left w:w="15" w:type="dxa"/>
              <w:bottom w:w="15" w:type="dxa"/>
              <w:right w:w="15" w:type="dxa"/>
            </w:tcMar>
            <w:vAlign w:val="center"/>
          </w:tcPr>
          <w:p>
            <w:pPr>
              <w:spacing w:line="320" w:lineRule="exact"/>
              <w:jc w:val="center"/>
              <w:rPr>
                <w:rFonts w:ascii="仿宋" w:hAnsi="仿宋" w:eastAsia="仿宋" w:cs="仿宋"/>
              </w:rPr>
            </w:pPr>
            <w:r>
              <w:rPr>
                <w:rFonts w:hint="eastAsia" w:ascii="仿宋" w:hAnsi="仿宋" w:eastAsia="仿宋" w:cs="仿宋"/>
              </w:rPr>
              <w:t>案例业绩</w:t>
            </w:r>
          </w:p>
        </w:tc>
        <w:tc>
          <w:tcPr>
            <w:tcW w:w="709" w:type="dxa"/>
            <w:tcMar>
              <w:top w:w="15" w:type="dxa"/>
              <w:left w:w="15" w:type="dxa"/>
              <w:bottom w:w="15" w:type="dxa"/>
              <w:right w:w="15" w:type="dxa"/>
            </w:tcMar>
            <w:vAlign w:val="center"/>
          </w:tcPr>
          <w:p>
            <w:pPr>
              <w:spacing w:line="360" w:lineRule="auto"/>
              <w:jc w:val="center"/>
              <w:rPr>
                <w:rFonts w:ascii="仿宋" w:hAnsi="仿宋" w:eastAsia="仿宋" w:cs="仿宋"/>
                <w:szCs w:val="21"/>
              </w:rPr>
            </w:pPr>
            <w:r>
              <w:rPr>
                <w:rFonts w:hint="eastAsia" w:ascii="仿宋" w:hAnsi="仿宋" w:eastAsia="仿宋" w:cs="仿宋"/>
                <w:szCs w:val="21"/>
              </w:rPr>
              <w:t>20分</w:t>
            </w:r>
          </w:p>
        </w:tc>
        <w:tc>
          <w:tcPr>
            <w:tcW w:w="6804" w:type="dxa"/>
            <w:gridSpan w:val="2"/>
            <w:tcMar>
              <w:top w:w="15" w:type="dxa"/>
              <w:left w:w="15" w:type="dxa"/>
              <w:bottom w:w="15" w:type="dxa"/>
              <w:right w:w="15" w:type="dxa"/>
            </w:tcMar>
            <w:vAlign w:val="center"/>
          </w:tcPr>
          <w:p>
            <w:pPr>
              <w:numPr>
                <w:ilvl w:val="255"/>
                <w:numId w:val="0"/>
              </w:numPr>
              <w:rPr>
                <w:rFonts w:ascii="仿宋" w:hAnsi="仿宋" w:eastAsia="仿宋" w:cs="仿宋"/>
              </w:rPr>
            </w:pPr>
            <w:r>
              <w:rPr>
                <w:rFonts w:hint="eastAsia" w:ascii="仿宋" w:hAnsi="仿宋" w:eastAsia="仿宋" w:cs="仿宋"/>
                <w:lang w:val="en-US" w:eastAsia="zh-CN"/>
              </w:rPr>
              <w:t>根据</w:t>
            </w:r>
            <w:r>
              <w:rPr>
                <w:rFonts w:hint="eastAsia" w:ascii="仿宋" w:hAnsi="仿宋" w:eastAsia="仿宋" w:cs="仿宋"/>
              </w:rPr>
              <w:t>投标人</w:t>
            </w:r>
            <w:r>
              <w:rPr>
                <w:rFonts w:hint="eastAsia" w:ascii="仿宋" w:hAnsi="仿宋" w:eastAsia="仿宋" w:cs="仿宋"/>
                <w:lang w:val="en-US" w:eastAsia="zh-CN"/>
              </w:rPr>
              <w:t>所</w:t>
            </w:r>
            <w:r>
              <w:rPr>
                <w:rFonts w:hint="eastAsia" w:ascii="仿宋" w:hAnsi="仿宋" w:eastAsia="仿宋" w:cs="仿宋"/>
              </w:rPr>
              <w:t>提供</w:t>
            </w:r>
            <w:r>
              <w:rPr>
                <w:rFonts w:hint="eastAsia" w:ascii="仿宋" w:hAnsi="仿宋" w:eastAsia="仿宋" w:cs="仿宋"/>
                <w:lang w:val="en-US" w:eastAsia="zh-CN"/>
              </w:rPr>
              <w:t>的</w:t>
            </w:r>
            <w:r>
              <w:rPr>
                <w:rFonts w:hint="eastAsia" w:ascii="仿宋" w:hAnsi="仿宋" w:eastAsia="仿宋" w:cs="仿宋"/>
              </w:rPr>
              <w:t>合同签订时间在2019年6月1日（含）至采购公告发布之日期间成功运营微信、微博的案例证明资料，包括合同关键页（包含但不限于项目名称、业主方名称、合同主要内容、合同金额、签订时间、履约地点、甲乙双方盖章等信息）</w:t>
            </w:r>
            <w:r>
              <w:rPr>
                <w:rFonts w:hint="eastAsia" w:ascii="仿宋" w:hAnsi="仿宋" w:eastAsia="仿宋" w:cs="仿宋"/>
                <w:szCs w:val="21"/>
              </w:rPr>
              <w:t>及案例情况陈述（可包括策划方案介绍、图文及设计展示、运营效果、活动效果）、网址、公众号等证明资料</w:t>
            </w:r>
            <w:r>
              <w:rPr>
                <w:rFonts w:hint="eastAsia" w:ascii="仿宋" w:hAnsi="仿宋" w:eastAsia="仿宋" w:cs="仿宋"/>
                <w:szCs w:val="21"/>
                <w:lang w:val="en-US" w:eastAsia="zh-CN"/>
              </w:rPr>
              <w:t>综合评议</w:t>
            </w:r>
            <w:r>
              <w:rPr>
                <w:rFonts w:hint="eastAsia" w:ascii="仿宋" w:hAnsi="仿宋" w:eastAsia="仿宋" w:cs="仿宋"/>
                <w:szCs w:val="21"/>
              </w:rPr>
              <w:t>。</w:t>
            </w:r>
            <w:r>
              <w:rPr>
                <w:rFonts w:hint="eastAsia" w:ascii="仿宋" w:hAnsi="仿宋" w:eastAsia="仿宋" w:cs="仿宋"/>
                <w:szCs w:val="21"/>
                <w:lang w:val="en-US" w:eastAsia="zh-CN"/>
              </w:rPr>
              <w:t>以上</w:t>
            </w:r>
            <w:r>
              <w:rPr>
                <w:rFonts w:hint="eastAsia" w:ascii="仿宋" w:hAnsi="仿宋" w:eastAsia="仿宋" w:cs="仿宋"/>
              </w:rPr>
              <w:t>证明材料</w:t>
            </w:r>
            <w:r>
              <w:rPr>
                <w:rFonts w:hint="eastAsia" w:ascii="仿宋" w:hAnsi="仿宋" w:eastAsia="仿宋" w:cs="仿宋"/>
                <w:lang w:val="en-US" w:eastAsia="zh-CN"/>
              </w:rPr>
              <w:t>均需</w:t>
            </w:r>
            <w:r>
              <w:rPr>
                <w:rFonts w:hint="eastAsia" w:ascii="仿宋" w:hAnsi="仿宋" w:eastAsia="仿宋" w:cs="仿宋"/>
              </w:rPr>
              <w:t>加盖投标人公章。</w:t>
            </w:r>
          </w:p>
          <w:p>
            <w:pPr>
              <w:numPr>
                <w:ilvl w:val="0"/>
                <w:numId w:val="27"/>
              </w:numPr>
              <w:rPr>
                <w:rFonts w:ascii="仿宋" w:hAnsi="仿宋" w:eastAsia="仿宋" w:cs="仿宋"/>
              </w:rPr>
            </w:pPr>
            <w:r>
              <w:rPr>
                <w:rFonts w:hint="eastAsia" w:ascii="仿宋" w:hAnsi="仿宋" w:eastAsia="仿宋" w:cs="仿宋"/>
              </w:rPr>
              <w:t>所提供的案例中，</w:t>
            </w:r>
            <w:r>
              <w:rPr>
                <w:rFonts w:hint="eastAsia" w:ascii="仿宋" w:hAnsi="仿宋" w:eastAsia="仿宋" w:cs="仿宋"/>
                <w:lang w:val="en-US" w:eastAsia="zh-CN"/>
              </w:rPr>
              <w:t>双微</w:t>
            </w:r>
            <w:r>
              <w:rPr>
                <w:rFonts w:hint="eastAsia" w:ascii="仿宋" w:hAnsi="仿宋" w:eastAsia="仿宋" w:cs="仿宋"/>
              </w:rPr>
              <w:t>运营内容为展会或会议活动类案例</w:t>
            </w:r>
            <w:r>
              <w:rPr>
                <w:rFonts w:hint="eastAsia" w:ascii="仿宋" w:hAnsi="仿宋" w:eastAsia="仿宋" w:cs="仿宋"/>
                <w:lang w:val="en-US" w:eastAsia="zh-CN"/>
              </w:rPr>
              <w:t>的</w:t>
            </w:r>
            <w:r>
              <w:rPr>
                <w:rFonts w:hint="eastAsia" w:ascii="仿宋" w:hAnsi="仿宋" w:eastAsia="仿宋" w:cs="仿宋"/>
              </w:rPr>
              <w:t>，则每个案例加3分，本项最高9分，（0-9分）。</w:t>
            </w:r>
          </w:p>
          <w:p>
            <w:pPr>
              <w:numPr>
                <w:ilvl w:val="0"/>
                <w:numId w:val="27"/>
              </w:numPr>
              <w:rPr>
                <w:rFonts w:ascii="仿宋" w:hAnsi="仿宋" w:eastAsia="仿宋" w:cs="仿宋"/>
              </w:rPr>
            </w:pPr>
            <w:r>
              <w:rPr>
                <w:rFonts w:hint="eastAsia" w:ascii="仿宋" w:hAnsi="仿宋" w:eastAsia="仿宋" w:cs="仿宋"/>
              </w:rPr>
              <w:t>所提供案例陈述中，涉及运营考核指标标准说明（提供能体现运营指标的证明材料并加盖</w:t>
            </w:r>
            <w:r>
              <w:rPr>
                <w:rFonts w:hint="eastAsia" w:ascii="仿宋" w:hAnsi="仿宋" w:eastAsia="仿宋" w:cs="仿宋"/>
                <w:lang w:val="en-US" w:eastAsia="zh-CN"/>
              </w:rPr>
              <w:t>投标人</w:t>
            </w:r>
            <w:r>
              <w:rPr>
                <w:rFonts w:hint="eastAsia" w:ascii="仿宋" w:hAnsi="仿宋" w:eastAsia="仿宋" w:cs="仿宋"/>
              </w:rPr>
              <w:t>公章，包括但不限于人群标签、粉丝增长量、阅读量、曝光量、点击率等内容截图）的可加分，每个案例加3分，最高9分，无不得分。（0-9分）</w:t>
            </w:r>
          </w:p>
          <w:p>
            <w:pPr>
              <w:numPr>
                <w:ilvl w:val="0"/>
                <w:numId w:val="27"/>
              </w:numPr>
              <w:rPr>
                <w:rFonts w:ascii="仿宋" w:hAnsi="仿宋" w:eastAsia="仿宋" w:cs="仿宋"/>
              </w:rPr>
            </w:pPr>
            <w:r>
              <w:rPr>
                <w:rFonts w:hint="eastAsia" w:ascii="仿宋" w:hAnsi="仿宋" w:eastAsia="仿宋" w:cs="仿宋"/>
              </w:rPr>
              <w:t>所提供案例中，包含了提供社群运维及日常咨询服务内容的，每个安全可再额外加1分，最多2</w:t>
            </w:r>
            <w:r>
              <w:rPr>
                <w:rFonts w:hint="eastAsia" w:ascii="仿宋" w:hAnsi="仿宋" w:eastAsia="仿宋" w:cs="仿宋"/>
                <w:lang w:val="en-US" w:eastAsia="zh-CN"/>
              </w:rPr>
              <w:t>分</w:t>
            </w:r>
            <w:r>
              <w:rPr>
                <w:rFonts w:hint="eastAsia" w:ascii="仿宋" w:hAnsi="仿宋" w:eastAsia="仿宋" w:cs="仿宋"/>
              </w:rPr>
              <w:t>。（0-2分）</w:t>
            </w:r>
          </w:p>
          <w:p>
            <w:pPr>
              <w:snapToGrid w:val="0"/>
              <w:rPr>
                <w:rFonts w:ascii="仿宋" w:hAnsi="仿宋" w:eastAsia="仿宋" w:cs="仿宋"/>
                <w:color w:val="FF0000"/>
                <w:szCs w:val="21"/>
              </w:rPr>
            </w:pPr>
            <w:r>
              <w:rPr>
                <w:rFonts w:hint="eastAsia" w:ascii="仿宋" w:hAnsi="仿宋" w:eastAsia="仿宋" w:cs="仿宋"/>
              </w:rPr>
              <w:t>（4）上述情况中，投标人未按要求提供相应资料或资料不清晰，导致评标小组无法判断时，不得分。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tcPr>
          <w:p>
            <w:pPr>
              <w:spacing w:line="360" w:lineRule="auto"/>
              <w:jc w:val="center"/>
              <w:rPr>
                <w:rFonts w:ascii="仿宋" w:hAnsi="仿宋" w:eastAsia="仿宋" w:cs="仿宋"/>
                <w:b/>
                <w:szCs w:val="21"/>
              </w:rPr>
            </w:pPr>
          </w:p>
        </w:tc>
        <w:tc>
          <w:tcPr>
            <w:tcW w:w="8647" w:type="dxa"/>
            <w:gridSpan w:val="4"/>
            <w:tcMar>
              <w:top w:w="15" w:type="dxa"/>
              <w:left w:w="15" w:type="dxa"/>
              <w:bottom w:w="15" w:type="dxa"/>
              <w:right w:w="15" w:type="dxa"/>
            </w:tcMar>
            <w:vAlign w:val="center"/>
          </w:tcPr>
          <w:p>
            <w:pPr>
              <w:spacing w:line="360" w:lineRule="auto"/>
              <w:jc w:val="center"/>
              <w:rPr>
                <w:rFonts w:ascii="仿宋" w:hAnsi="仿宋" w:eastAsia="仿宋" w:cs="仿宋"/>
                <w:b/>
                <w:color w:val="FF0000"/>
                <w:szCs w:val="21"/>
              </w:rPr>
            </w:pPr>
            <w:r>
              <w:rPr>
                <w:rFonts w:hint="eastAsia" w:ascii="仿宋" w:hAnsi="仿宋" w:eastAsia="仿宋" w:cs="仿宋"/>
                <w:b/>
                <w:szCs w:val="21"/>
              </w:rPr>
              <w:t>技术服务评议项（47分）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35" w:hRule="atLeast"/>
          <w:tblCellSpacing w:w="0" w:type="dxa"/>
          <w:jc w:val="center"/>
        </w:trPr>
        <w:tc>
          <w:tcPr>
            <w:tcW w:w="704" w:type="dxa"/>
            <w:vAlign w:val="center"/>
          </w:tcPr>
          <w:p>
            <w:pPr>
              <w:pStyle w:val="22"/>
              <w:numPr>
                <w:ilvl w:val="0"/>
                <w:numId w:val="28"/>
              </w:numPr>
              <w:spacing w:line="360" w:lineRule="auto"/>
              <w:ind w:firstLineChars="0"/>
              <w:jc w:val="center"/>
              <w:rPr>
                <w:rFonts w:ascii="仿宋" w:hAnsi="仿宋" w:eastAsia="仿宋" w:cs="仿宋"/>
                <w:szCs w:val="21"/>
              </w:rPr>
            </w:pPr>
          </w:p>
        </w:tc>
        <w:tc>
          <w:tcPr>
            <w:tcW w:w="1134" w:type="dxa"/>
            <w:tcMar>
              <w:top w:w="15" w:type="dxa"/>
              <w:left w:w="15" w:type="dxa"/>
              <w:bottom w:w="15" w:type="dxa"/>
              <w:right w:w="15" w:type="dxa"/>
            </w:tcMar>
            <w:vAlign w:val="center"/>
          </w:tcPr>
          <w:p>
            <w:pPr>
              <w:spacing w:line="320" w:lineRule="exact"/>
              <w:jc w:val="center"/>
              <w:rPr>
                <w:rFonts w:ascii="仿宋" w:hAnsi="仿宋" w:eastAsia="仿宋" w:cs="仿宋"/>
                <w:color w:val="FF0000"/>
                <w:highlight w:val="yellow"/>
              </w:rPr>
            </w:pPr>
            <w:r>
              <w:rPr>
                <w:rFonts w:hint="eastAsia" w:ascii="仿宋" w:hAnsi="仿宋" w:eastAsia="仿宋" w:cs="仿宋"/>
              </w:rPr>
              <w:t>响应方案</w:t>
            </w:r>
          </w:p>
        </w:tc>
        <w:tc>
          <w:tcPr>
            <w:tcW w:w="709" w:type="dxa"/>
            <w:tcMar>
              <w:top w:w="15" w:type="dxa"/>
              <w:left w:w="15" w:type="dxa"/>
              <w:bottom w:w="15" w:type="dxa"/>
              <w:right w:w="15" w:type="dxa"/>
            </w:tcMar>
            <w:vAlign w:val="center"/>
          </w:tcPr>
          <w:p>
            <w:pPr>
              <w:spacing w:line="360" w:lineRule="auto"/>
              <w:jc w:val="center"/>
              <w:rPr>
                <w:rFonts w:ascii="仿宋" w:hAnsi="仿宋" w:eastAsia="仿宋" w:cs="仿宋"/>
                <w:color w:val="FF0000"/>
                <w:szCs w:val="21"/>
              </w:rPr>
            </w:pPr>
            <w:r>
              <w:rPr>
                <w:rFonts w:hint="eastAsia" w:ascii="仿宋" w:hAnsi="仿宋" w:eastAsia="仿宋" w:cs="仿宋"/>
                <w:szCs w:val="21"/>
              </w:rPr>
              <w:t>25分</w:t>
            </w:r>
          </w:p>
        </w:tc>
        <w:tc>
          <w:tcPr>
            <w:tcW w:w="6804" w:type="dxa"/>
            <w:gridSpan w:val="2"/>
            <w:tcMar>
              <w:top w:w="15" w:type="dxa"/>
              <w:left w:w="15" w:type="dxa"/>
              <w:bottom w:w="15" w:type="dxa"/>
              <w:right w:w="15" w:type="dxa"/>
            </w:tcMar>
            <w:vAlign w:val="center"/>
          </w:tcPr>
          <w:p>
            <w:pPr>
              <w:rPr>
                <w:rFonts w:ascii="仿宋" w:hAnsi="仿宋" w:eastAsia="仿宋" w:cs="仿宋"/>
              </w:rPr>
            </w:pPr>
            <w:r>
              <w:rPr>
                <w:rFonts w:hint="eastAsia" w:ascii="仿宋" w:hAnsi="仿宋" w:eastAsia="仿宋" w:cs="仿宋"/>
              </w:rPr>
              <w:t>根据投标人响应文件中就高交会观众服务双微平台的整体代运营方案，进行综合评议。</w:t>
            </w:r>
          </w:p>
          <w:p>
            <w:pPr>
              <w:rPr>
                <w:rFonts w:hint="eastAsia" w:ascii="仿宋" w:hAnsi="仿宋" w:eastAsia="仿宋" w:cs="仿宋"/>
              </w:rPr>
            </w:pPr>
            <w:r>
              <w:rPr>
                <w:rFonts w:hint="eastAsia" w:ascii="仿宋" w:hAnsi="仿宋" w:eastAsia="仿宋" w:cs="仿宋"/>
              </w:rPr>
              <w:t>（1）根据投标人提出的运营策略与规划进行评仪。发布内容及时间排期安排是否符合高交会需求及科技展会形象，越贴近需求，越安排合理，得分越高，优得8-10分，良得5-7分，一般得3-4分</w:t>
            </w:r>
            <w:r>
              <w:rPr>
                <w:rFonts w:hint="eastAsia" w:ascii="仿宋" w:hAnsi="仿宋" w:eastAsia="仿宋" w:cs="仿宋"/>
                <w:lang w:eastAsia="zh-CN"/>
              </w:rPr>
              <w:t>，无不得分</w:t>
            </w:r>
            <w:r>
              <w:rPr>
                <w:rFonts w:hint="eastAsia" w:ascii="仿宋" w:hAnsi="仿宋" w:eastAsia="仿宋" w:cs="仿宋"/>
              </w:rPr>
              <w:t>；（0-10分）</w:t>
            </w:r>
            <w:r>
              <w:rPr>
                <w:rFonts w:ascii="仿宋" w:hAnsi="仿宋" w:eastAsia="仿宋" w:cs="仿宋"/>
              </w:rPr>
              <w:t xml:space="preserve"> </w:t>
            </w:r>
          </w:p>
          <w:p>
            <w:pPr>
              <w:rPr>
                <w:rFonts w:ascii="仿宋" w:hAnsi="仿宋" w:eastAsia="仿宋" w:cs="仿宋"/>
              </w:rPr>
            </w:pPr>
            <w:r>
              <w:rPr>
                <w:rFonts w:hint="eastAsia" w:ascii="仿宋" w:hAnsi="仿宋" w:eastAsia="仿宋" w:cs="仿宋"/>
              </w:rPr>
              <w:t>（2）根据投标人规划的运营措施进行评议。有规划开展双微打榜或吸粉活动的，每个活动得2分，最多4分，无不得分；（0-4分）</w:t>
            </w:r>
          </w:p>
          <w:p>
            <w:pPr>
              <w:numPr>
                <w:ilvl w:val="0"/>
                <w:numId w:val="0"/>
              </w:numPr>
              <w:rPr>
                <w:rFonts w:ascii="仿宋" w:hAnsi="仿宋" w:eastAsia="仿宋" w:cs="仿宋"/>
              </w:rPr>
            </w:pPr>
            <w:r>
              <w:rPr>
                <w:rFonts w:hint="eastAsia" w:ascii="仿宋" w:hAnsi="仿宋" w:eastAsia="仿宋" w:cs="仿宋"/>
              </w:rPr>
              <w:t xml:space="preserve">（3）根据投标人提出的后台维护及社群运维措施进行综合评议。措施越全面合理、可操作性越强，越能保障企业微信社群维护及企业微信观众咨询服务正常进行，得分越高。优得5分，良得3分，一般得1分，无不得分。（0-5分） </w:t>
            </w:r>
          </w:p>
          <w:p>
            <w:pPr>
              <w:numPr>
                <w:ilvl w:val="0"/>
                <w:numId w:val="0"/>
              </w:numPr>
              <w:rPr>
                <w:rFonts w:ascii="仿宋" w:hAnsi="仿宋" w:eastAsia="仿宋" w:cs="仿宋"/>
                <w:szCs w:val="21"/>
              </w:rPr>
            </w:pPr>
            <w:r>
              <w:rPr>
                <w:rFonts w:hint="eastAsia" w:ascii="仿宋" w:hAnsi="仿宋" w:eastAsia="仿宋" w:cs="仿宋"/>
              </w:rPr>
              <w:t>（4）根据投标人响应文件中的数据监测方案和舆情监管方案进行综合评议。方案越详细完整，对新媒体数据的监测及分析手段越熟悉，舆情管理应急措施的可行性越强，得分越高。优得5-6分，良得3-4分，一般得1分，无不得分。（0-6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3" w:hRule="atLeast"/>
          <w:tblCellSpacing w:w="0" w:type="dxa"/>
          <w:jc w:val="center"/>
        </w:trPr>
        <w:tc>
          <w:tcPr>
            <w:tcW w:w="704" w:type="dxa"/>
            <w:vAlign w:val="center"/>
          </w:tcPr>
          <w:p>
            <w:pPr>
              <w:pStyle w:val="22"/>
              <w:numPr>
                <w:ilvl w:val="0"/>
                <w:numId w:val="28"/>
              </w:numPr>
              <w:spacing w:line="360" w:lineRule="auto"/>
              <w:ind w:firstLineChars="0"/>
              <w:jc w:val="center"/>
              <w:rPr>
                <w:rFonts w:ascii="仿宋" w:hAnsi="仿宋" w:eastAsia="仿宋" w:cs="仿宋"/>
              </w:rPr>
            </w:pPr>
          </w:p>
        </w:tc>
        <w:tc>
          <w:tcPr>
            <w:tcW w:w="1134" w:type="dxa"/>
            <w:tcMar>
              <w:top w:w="15" w:type="dxa"/>
              <w:left w:w="15" w:type="dxa"/>
              <w:bottom w:w="15" w:type="dxa"/>
              <w:right w:w="15" w:type="dxa"/>
            </w:tcMar>
            <w:vAlign w:val="center"/>
          </w:tcPr>
          <w:p>
            <w:pPr>
              <w:spacing w:line="320" w:lineRule="exact"/>
              <w:jc w:val="center"/>
              <w:rPr>
                <w:rFonts w:ascii="仿宋" w:hAnsi="仿宋" w:eastAsia="仿宋" w:cs="仿宋"/>
              </w:rPr>
            </w:pPr>
            <w:r>
              <w:rPr>
                <w:rFonts w:hint="eastAsia" w:ascii="仿宋" w:hAnsi="仿宋" w:eastAsia="仿宋" w:cs="仿宋"/>
              </w:rPr>
              <w:t>效果承诺</w:t>
            </w:r>
          </w:p>
        </w:tc>
        <w:tc>
          <w:tcPr>
            <w:tcW w:w="709" w:type="dxa"/>
            <w:tcMar>
              <w:top w:w="15" w:type="dxa"/>
              <w:left w:w="15" w:type="dxa"/>
              <w:bottom w:w="15" w:type="dxa"/>
              <w:right w:w="15" w:type="dxa"/>
            </w:tcMar>
            <w:vAlign w:val="center"/>
          </w:tcPr>
          <w:p>
            <w:pPr>
              <w:spacing w:line="360" w:lineRule="auto"/>
              <w:jc w:val="center"/>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val="en-US" w:eastAsia="zh-CN"/>
              </w:rPr>
              <w:t>3</w:t>
            </w:r>
            <w:r>
              <w:rPr>
                <w:rFonts w:hint="eastAsia" w:ascii="仿宋" w:hAnsi="仿宋" w:eastAsia="仿宋" w:cs="仿宋"/>
                <w:szCs w:val="21"/>
              </w:rPr>
              <w:t>分</w:t>
            </w:r>
          </w:p>
        </w:tc>
        <w:tc>
          <w:tcPr>
            <w:tcW w:w="6804" w:type="dxa"/>
            <w:gridSpan w:val="2"/>
            <w:tcMar>
              <w:top w:w="15" w:type="dxa"/>
              <w:left w:w="15" w:type="dxa"/>
              <w:bottom w:w="15" w:type="dxa"/>
              <w:right w:w="15" w:type="dxa"/>
            </w:tcMar>
            <w:vAlign w:val="center"/>
          </w:tcPr>
          <w:p>
            <w:pPr>
              <w:numPr>
                <w:ilvl w:val="0"/>
                <w:numId w:val="29"/>
              </w:numPr>
              <w:snapToGrid w:val="0"/>
              <w:rPr>
                <w:rFonts w:ascii="仿宋" w:hAnsi="仿宋" w:eastAsia="仿宋" w:cs="仿宋"/>
                <w:szCs w:val="21"/>
              </w:rPr>
            </w:pPr>
            <w:r>
              <w:rPr>
                <w:rFonts w:hint="eastAsia" w:ascii="仿宋" w:hAnsi="仿宋" w:eastAsia="仿宋" w:cs="仿宋"/>
                <w:szCs w:val="21"/>
              </w:rPr>
              <w:t>除本项目要求最低运营总指标为“双微发文总数≥150篇，双微图文浏览总量≥20万PV，双微粉丝增长总量≥2万人”外，投标人额外承诺的对应指标进行评分：双微</w:t>
            </w:r>
            <w:r>
              <w:rPr>
                <w:rFonts w:hint="eastAsia" w:ascii="仿宋" w:hAnsi="仿宋" w:eastAsia="仿宋" w:cs="仿宋"/>
              </w:rPr>
              <w:t>日常稿件发布篇数和原创稿件篇数的总承诺数最高者</w:t>
            </w:r>
            <w:r>
              <w:rPr>
                <w:rFonts w:hint="eastAsia" w:ascii="仿宋" w:hAnsi="仿宋" w:eastAsia="仿宋" w:cs="仿宋"/>
                <w:szCs w:val="21"/>
              </w:rPr>
              <w:t>3分，</w:t>
            </w:r>
            <w:r>
              <w:rPr>
                <w:rFonts w:hint="eastAsia" w:ascii="仿宋" w:hAnsi="仿宋" w:eastAsia="仿宋" w:cs="仿宋"/>
                <w:szCs w:val="21"/>
                <w:lang w:val="en-US" w:eastAsia="zh-CN"/>
              </w:rPr>
              <w:t>第二名2分，第三名</w:t>
            </w:r>
            <w:r>
              <w:rPr>
                <w:rFonts w:hint="eastAsia" w:ascii="仿宋" w:hAnsi="仿宋" w:eastAsia="仿宋" w:cs="仿宋"/>
                <w:szCs w:val="21"/>
              </w:rPr>
              <w:t>1分</w:t>
            </w:r>
            <w:r>
              <w:rPr>
                <w:rFonts w:hint="eastAsia" w:ascii="仿宋" w:hAnsi="仿宋" w:eastAsia="仿宋" w:cs="仿宋"/>
                <w:szCs w:val="21"/>
                <w:lang w:eastAsia="zh-CN"/>
              </w:rPr>
              <w:t>，</w:t>
            </w:r>
            <w:r>
              <w:rPr>
                <w:rFonts w:hint="eastAsia" w:ascii="仿宋" w:hAnsi="仿宋" w:eastAsia="仿宋" w:cs="仿宋"/>
                <w:szCs w:val="21"/>
                <w:lang w:val="en-US" w:eastAsia="zh-CN"/>
              </w:rPr>
              <w:t>其他不得分</w:t>
            </w:r>
            <w:r>
              <w:rPr>
                <w:rFonts w:hint="eastAsia" w:ascii="仿宋" w:hAnsi="仿宋" w:eastAsia="仿宋" w:cs="仿宋"/>
                <w:szCs w:val="21"/>
              </w:rPr>
              <w:t>；双微图文浏览总量承诺最高者得3分，</w:t>
            </w:r>
            <w:r>
              <w:rPr>
                <w:rFonts w:hint="eastAsia" w:ascii="仿宋" w:hAnsi="仿宋" w:eastAsia="仿宋" w:cs="仿宋"/>
                <w:szCs w:val="21"/>
                <w:lang w:val="en-US" w:eastAsia="zh-CN"/>
              </w:rPr>
              <w:t>第二名2分，第三名</w:t>
            </w:r>
            <w:r>
              <w:rPr>
                <w:rFonts w:hint="eastAsia" w:ascii="仿宋" w:hAnsi="仿宋" w:eastAsia="仿宋" w:cs="仿宋"/>
                <w:szCs w:val="21"/>
              </w:rPr>
              <w:t>1分</w:t>
            </w:r>
            <w:r>
              <w:rPr>
                <w:rFonts w:hint="eastAsia" w:ascii="仿宋" w:hAnsi="仿宋" w:eastAsia="仿宋" w:cs="仿宋"/>
                <w:szCs w:val="21"/>
                <w:lang w:eastAsia="zh-CN"/>
              </w:rPr>
              <w:t>，</w:t>
            </w:r>
            <w:r>
              <w:rPr>
                <w:rFonts w:hint="eastAsia" w:ascii="仿宋" w:hAnsi="仿宋" w:eastAsia="仿宋" w:cs="仿宋"/>
                <w:szCs w:val="21"/>
                <w:lang w:val="en-US" w:eastAsia="zh-CN"/>
              </w:rPr>
              <w:t>其他不得分</w:t>
            </w:r>
            <w:r>
              <w:rPr>
                <w:rFonts w:hint="eastAsia" w:ascii="仿宋" w:hAnsi="仿宋" w:eastAsia="仿宋" w:cs="仿宋"/>
                <w:szCs w:val="21"/>
              </w:rPr>
              <w:t>；双微粉丝增长总量承诺最高者得3分，</w:t>
            </w:r>
            <w:r>
              <w:rPr>
                <w:rFonts w:hint="eastAsia" w:ascii="仿宋" w:hAnsi="仿宋" w:eastAsia="仿宋" w:cs="仿宋"/>
                <w:szCs w:val="21"/>
                <w:lang w:val="en-US" w:eastAsia="zh-CN"/>
              </w:rPr>
              <w:t>第二名2分，第三名</w:t>
            </w:r>
            <w:r>
              <w:rPr>
                <w:rFonts w:hint="eastAsia" w:ascii="仿宋" w:hAnsi="仿宋" w:eastAsia="仿宋" w:cs="仿宋"/>
                <w:szCs w:val="21"/>
              </w:rPr>
              <w:t>1分</w:t>
            </w:r>
            <w:r>
              <w:rPr>
                <w:rFonts w:hint="eastAsia" w:ascii="仿宋" w:hAnsi="仿宋" w:eastAsia="仿宋" w:cs="仿宋"/>
                <w:szCs w:val="21"/>
                <w:lang w:eastAsia="zh-CN"/>
              </w:rPr>
              <w:t>，</w:t>
            </w:r>
            <w:r>
              <w:rPr>
                <w:rFonts w:hint="eastAsia" w:ascii="仿宋" w:hAnsi="仿宋" w:eastAsia="仿宋" w:cs="仿宋"/>
                <w:szCs w:val="21"/>
                <w:lang w:val="en-US" w:eastAsia="zh-CN"/>
              </w:rPr>
              <w:t>其他不得分</w:t>
            </w:r>
            <w:r>
              <w:rPr>
                <w:rFonts w:hint="eastAsia" w:ascii="仿宋" w:hAnsi="仿宋" w:eastAsia="仿宋" w:cs="仿宋"/>
                <w:szCs w:val="21"/>
              </w:rPr>
              <w:t>；（0-9分）</w:t>
            </w:r>
          </w:p>
          <w:p>
            <w:pPr>
              <w:numPr>
                <w:ilvl w:val="0"/>
                <w:numId w:val="29"/>
              </w:numPr>
              <w:snapToGrid w:val="0"/>
              <w:rPr>
                <w:rFonts w:ascii="仿宋" w:hAnsi="仿宋" w:eastAsia="仿宋" w:cs="仿宋"/>
                <w:color w:val="FF0000"/>
                <w:kern w:val="0"/>
                <w:szCs w:val="21"/>
              </w:rPr>
            </w:pPr>
            <w:r>
              <w:rPr>
                <w:rFonts w:hint="eastAsia" w:ascii="仿宋" w:hAnsi="仿宋" w:eastAsia="仿宋" w:cs="仿宋"/>
                <w:szCs w:val="21"/>
              </w:rPr>
              <w:t>投标人作出以上指标之外的其他运营效果承诺或增值服务，包括但不限于可达“1万+以上阅读量图文篇数、10万+以上阅读量图文篇数”等指标，根据指标的合理性行综合评议。每作出一项</w:t>
            </w:r>
            <w:r>
              <w:rPr>
                <w:rFonts w:hint="eastAsia" w:ascii="仿宋" w:hAnsi="仿宋" w:eastAsia="仿宋" w:cs="仿宋"/>
                <w:szCs w:val="21"/>
                <w:lang w:val="en-US" w:eastAsia="zh-CN"/>
              </w:rPr>
              <w:t>优于</w:t>
            </w:r>
            <w:r>
              <w:rPr>
                <w:rFonts w:hint="eastAsia" w:ascii="仿宋" w:hAnsi="仿宋" w:eastAsia="仿宋" w:cs="仿宋"/>
                <w:szCs w:val="21"/>
              </w:rPr>
              <w:t>招标人需求的承诺，得1分，最高</w:t>
            </w:r>
            <w:r>
              <w:rPr>
                <w:rFonts w:hint="eastAsia" w:ascii="仿宋" w:hAnsi="仿宋" w:eastAsia="仿宋" w:cs="仿宋"/>
                <w:szCs w:val="21"/>
                <w:lang w:val="en-US" w:eastAsia="zh-CN"/>
              </w:rPr>
              <w:t>4</w:t>
            </w:r>
            <w:r>
              <w:rPr>
                <w:rFonts w:hint="eastAsia" w:ascii="仿宋" w:hAnsi="仿宋" w:eastAsia="仿宋" w:cs="仿宋"/>
                <w:szCs w:val="21"/>
              </w:rPr>
              <w:t>分，无不得分（作出同类型承诺时，仅承诺数最高者得分）。（0-4分）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3" w:hRule="atLeast"/>
          <w:tblCellSpacing w:w="0" w:type="dxa"/>
          <w:jc w:val="center"/>
        </w:trPr>
        <w:tc>
          <w:tcPr>
            <w:tcW w:w="704" w:type="dxa"/>
            <w:vAlign w:val="center"/>
          </w:tcPr>
          <w:p>
            <w:pPr>
              <w:pStyle w:val="22"/>
              <w:numPr>
                <w:ilvl w:val="0"/>
                <w:numId w:val="28"/>
              </w:numPr>
              <w:spacing w:line="360" w:lineRule="auto"/>
              <w:ind w:firstLineChars="0"/>
              <w:jc w:val="center"/>
              <w:rPr>
                <w:rFonts w:ascii="仿宋" w:hAnsi="仿宋" w:eastAsia="仿宋" w:cs="仿宋"/>
                <w:szCs w:val="21"/>
              </w:rPr>
            </w:pPr>
          </w:p>
        </w:tc>
        <w:tc>
          <w:tcPr>
            <w:tcW w:w="1134" w:type="dxa"/>
            <w:tcMar>
              <w:top w:w="15" w:type="dxa"/>
              <w:left w:w="15" w:type="dxa"/>
              <w:bottom w:w="15" w:type="dxa"/>
              <w:right w:w="15" w:type="dxa"/>
            </w:tcMar>
            <w:vAlign w:val="center"/>
          </w:tcPr>
          <w:p>
            <w:pPr>
              <w:spacing w:line="320" w:lineRule="exact"/>
              <w:jc w:val="center"/>
              <w:rPr>
                <w:rFonts w:ascii="仿宋" w:hAnsi="仿宋" w:eastAsia="仿宋" w:cs="仿宋"/>
                <w:color w:val="FF0000"/>
                <w:highlight w:val="yellow"/>
              </w:rPr>
            </w:pPr>
            <w:r>
              <w:rPr>
                <w:rFonts w:hint="eastAsia" w:ascii="仿宋" w:hAnsi="仿宋" w:eastAsia="仿宋" w:cs="仿宋"/>
              </w:rPr>
              <w:t>团队实力</w:t>
            </w:r>
          </w:p>
        </w:tc>
        <w:tc>
          <w:tcPr>
            <w:tcW w:w="709" w:type="dxa"/>
            <w:tcMar>
              <w:top w:w="15" w:type="dxa"/>
              <w:left w:w="15" w:type="dxa"/>
              <w:bottom w:w="15" w:type="dxa"/>
              <w:right w:w="15" w:type="dxa"/>
            </w:tcMar>
            <w:vAlign w:val="center"/>
          </w:tcPr>
          <w:p>
            <w:pPr>
              <w:spacing w:line="360" w:lineRule="auto"/>
              <w:jc w:val="center"/>
              <w:rPr>
                <w:rFonts w:ascii="仿宋" w:hAnsi="仿宋" w:eastAsia="仿宋" w:cs="仿宋"/>
                <w:color w:val="FF0000"/>
                <w:szCs w:val="21"/>
              </w:rPr>
            </w:pPr>
            <w:r>
              <w:rPr>
                <w:rFonts w:hint="eastAsia" w:ascii="仿宋" w:hAnsi="仿宋" w:eastAsia="仿宋" w:cs="仿宋"/>
                <w:szCs w:val="21"/>
                <w:lang w:val="en-US" w:eastAsia="zh-CN"/>
              </w:rPr>
              <w:t>9</w:t>
            </w:r>
            <w:r>
              <w:rPr>
                <w:rFonts w:hint="eastAsia" w:ascii="仿宋" w:hAnsi="仿宋" w:eastAsia="仿宋" w:cs="仿宋"/>
                <w:szCs w:val="21"/>
              </w:rPr>
              <w:t>分</w:t>
            </w:r>
          </w:p>
        </w:tc>
        <w:tc>
          <w:tcPr>
            <w:tcW w:w="6804" w:type="dxa"/>
            <w:gridSpan w:val="2"/>
            <w:tcMar>
              <w:top w:w="15" w:type="dxa"/>
              <w:left w:w="15" w:type="dxa"/>
              <w:bottom w:w="15" w:type="dxa"/>
              <w:right w:w="15" w:type="dxa"/>
            </w:tcMar>
            <w:vAlign w:val="center"/>
          </w:tcPr>
          <w:p>
            <w:pPr>
              <w:numPr>
                <w:ilvl w:val="0"/>
                <w:numId w:val="30"/>
              </w:numPr>
              <w:rPr>
                <w:rFonts w:ascii="仿宋" w:hAnsi="仿宋" w:eastAsia="仿宋" w:cs="仿宋"/>
              </w:rPr>
            </w:pPr>
            <w:r>
              <w:rPr>
                <w:rFonts w:hint="eastAsia" w:ascii="仿宋" w:hAnsi="仿宋" w:eastAsia="仿宋" w:cs="仿宋"/>
              </w:rPr>
              <w:t>根据投标人提供的项目团队配置情况（包括人员数量、分工配置、个人简历及相关证书、社保情况等内容）进行综合评议，团队岗位配置越合理、业务分工越明确，人员稳定性越强得分越高、优得3分，良得2分，一般得1分，无不得分。（0-3分）</w:t>
            </w:r>
          </w:p>
          <w:p>
            <w:pPr>
              <w:numPr>
                <w:ilvl w:val="0"/>
                <w:numId w:val="30"/>
              </w:numPr>
              <w:rPr>
                <w:rFonts w:ascii="仿宋" w:hAnsi="仿宋" w:eastAsia="仿宋" w:cs="仿宋"/>
              </w:rPr>
            </w:pPr>
            <w:r>
              <w:rPr>
                <w:rFonts w:hint="eastAsia" w:ascii="仿宋" w:hAnsi="仿宋" w:eastAsia="仿宋" w:cs="仿宋"/>
              </w:rPr>
              <w:t>根据投标人派出的３名项目主创团队成员情况（提供拟派人员个人简历）进行综合评议，主创经验越丰富，资质实力越强，得分越高，优得</w:t>
            </w:r>
            <w:r>
              <w:rPr>
                <w:rFonts w:hint="eastAsia" w:ascii="仿宋" w:hAnsi="仿宋" w:eastAsia="仿宋" w:cs="仿宋"/>
                <w:lang w:val="en-US" w:eastAsia="zh-CN"/>
              </w:rPr>
              <w:t>3</w:t>
            </w:r>
            <w:r>
              <w:rPr>
                <w:rFonts w:hint="eastAsia" w:ascii="仿宋" w:hAnsi="仿宋" w:eastAsia="仿宋" w:cs="仿宋"/>
              </w:rPr>
              <w:t>分，良得</w:t>
            </w:r>
            <w:r>
              <w:rPr>
                <w:rFonts w:hint="eastAsia" w:ascii="仿宋" w:hAnsi="仿宋" w:eastAsia="仿宋" w:cs="仿宋"/>
                <w:lang w:val="en-US" w:eastAsia="zh-CN"/>
              </w:rPr>
              <w:t>2</w:t>
            </w:r>
            <w:r>
              <w:rPr>
                <w:rFonts w:hint="eastAsia" w:ascii="仿宋" w:hAnsi="仿宋" w:eastAsia="仿宋" w:cs="仿宋"/>
              </w:rPr>
              <w:t>，一般得1分，无不得分。（0-</w:t>
            </w:r>
            <w:r>
              <w:rPr>
                <w:rFonts w:hint="eastAsia" w:ascii="仿宋" w:hAnsi="仿宋" w:eastAsia="仿宋" w:cs="仿宋"/>
                <w:lang w:val="en-US" w:eastAsia="zh-CN"/>
              </w:rPr>
              <w:t>3</w:t>
            </w:r>
            <w:r>
              <w:rPr>
                <w:rFonts w:hint="eastAsia" w:ascii="仿宋" w:hAnsi="仿宋" w:eastAsia="仿宋" w:cs="仿宋"/>
              </w:rPr>
              <w:t>分）</w:t>
            </w:r>
          </w:p>
          <w:p>
            <w:pPr>
              <w:numPr>
                <w:ilvl w:val="0"/>
                <w:numId w:val="30"/>
              </w:numPr>
              <w:rPr>
                <w:rFonts w:ascii="仿宋" w:hAnsi="仿宋" w:eastAsia="仿宋" w:cs="仿宋"/>
              </w:rPr>
            </w:pPr>
            <w:r>
              <w:rPr>
                <w:rFonts w:hint="eastAsia" w:ascii="仿宋" w:hAnsi="仿宋" w:eastAsia="仿宋" w:cs="仿宋"/>
              </w:rPr>
              <w:t>根据投标人提供的项目工作方案中，对于团队业务对接管理流程、工作质量保障措施、应急事务处理流程等内容进行综合评议，越详细越周全，得分越高。优得3分，良得2分，一般得1分，无不得分。（0-3分）</w:t>
            </w:r>
          </w:p>
          <w:p>
            <w:pPr>
              <w:pStyle w:val="2"/>
              <w:ind w:left="0" w:leftChars="0" w:firstLine="0" w:firstLineChars="0"/>
              <w:rPr>
                <w:rFonts w:eastAsia="仿宋"/>
              </w:rPr>
            </w:pPr>
            <w:r>
              <w:rPr>
                <w:rFonts w:hint="eastAsia" w:ascii="仿宋" w:hAnsi="仿宋" w:eastAsia="仿宋" w:cs="仿宋"/>
              </w:rPr>
              <w:t>说明：以上证明材料均需加盖投标人公章，未按要求提供相应资料或资料不清晰，导致评标小组无法判断时，不得分。</w:t>
            </w:r>
          </w:p>
          <w:p>
            <w:pPr>
              <w:pStyle w:val="12"/>
              <w:rPr>
                <w:rFonts w:ascii="仿宋" w:hAnsi="仿宋" w:eastAsia="仿宋" w:cs="仿宋"/>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9351" w:type="dxa"/>
            <w:gridSpan w:val="5"/>
          </w:tcPr>
          <w:p>
            <w:pPr>
              <w:spacing w:before="100" w:beforeAutospacing="1" w:after="100" w:afterAutospacing="1" w:line="360" w:lineRule="auto"/>
              <w:ind w:left="247" w:hanging="247" w:hangingChars="117"/>
              <w:jc w:val="center"/>
              <w:rPr>
                <w:rFonts w:ascii="仿宋" w:hAnsi="仿宋" w:eastAsia="仿宋" w:cs="仿宋"/>
                <w:b/>
                <w:szCs w:val="21"/>
              </w:rPr>
            </w:pPr>
            <w:r>
              <w:rPr>
                <w:rFonts w:hint="eastAsia" w:ascii="仿宋" w:hAnsi="仿宋" w:eastAsia="仿宋" w:cs="仿宋"/>
                <w:b/>
                <w:szCs w:val="21"/>
              </w:rPr>
              <w:t>价格评议项（30分）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restart"/>
            <w:vAlign w:val="center"/>
          </w:tcPr>
          <w:p>
            <w:pPr>
              <w:spacing w:line="360" w:lineRule="auto"/>
              <w:jc w:val="center"/>
              <w:rPr>
                <w:rFonts w:ascii="仿宋" w:hAnsi="仿宋" w:eastAsia="仿宋" w:cs="仿宋"/>
                <w:szCs w:val="21"/>
              </w:rPr>
            </w:pPr>
            <w:r>
              <w:rPr>
                <w:rFonts w:hint="eastAsia" w:ascii="仿宋" w:hAnsi="仿宋" w:eastAsia="仿宋" w:cs="仿宋"/>
                <w:szCs w:val="21"/>
              </w:rPr>
              <w:t>价格评议</w:t>
            </w:r>
          </w:p>
        </w:tc>
        <w:tc>
          <w:tcPr>
            <w:tcW w:w="8647" w:type="dxa"/>
            <w:gridSpan w:val="4"/>
            <w:tcMar>
              <w:top w:w="15" w:type="dxa"/>
              <w:left w:w="15" w:type="dxa"/>
              <w:bottom w:w="15" w:type="dxa"/>
              <w:right w:w="15" w:type="dxa"/>
            </w:tcMar>
            <w:vAlign w:val="center"/>
          </w:tcPr>
          <w:p>
            <w:pPr>
              <w:spacing w:line="240" w:lineRule="atLeast"/>
              <w:jc w:val="center"/>
              <w:rPr>
                <w:rFonts w:ascii="仿宋" w:hAnsi="仿宋" w:eastAsia="仿宋" w:cs="仿宋"/>
                <w:szCs w:val="21"/>
              </w:rPr>
            </w:pPr>
            <w:r>
              <w:rPr>
                <w:rFonts w:hint="eastAsia" w:ascii="仿宋" w:hAnsi="仿宋" w:eastAsia="仿宋" w:cs="仿宋"/>
                <w:b/>
                <w:szCs w:val="21"/>
              </w:rPr>
              <w:t>基准价和算法类型选择</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仿宋" w:hAnsi="仿宋" w:eastAsia="仿宋" w:cs="仿宋"/>
                <w:szCs w:val="21"/>
              </w:rPr>
            </w:pPr>
          </w:p>
        </w:tc>
        <w:tc>
          <w:tcPr>
            <w:tcW w:w="1134" w:type="dxa"/>
            <w:vMerge w:val="restart"/>
            <w:vAlign w:val="center"/>
          </w:tcPr>
          <w:p>
            <w:pPr>
              <w:spacing w:line="360" w:lineRule="auto"/>
              <w:jc w:val="center"/>
              <w:rPr>
                <w:rFonts w:ascii="仿宋" w:hAnsi="仿宋" w:eastAsia="仿宋" w:cs="仿宋"/>
                <w:szCs w:val="21"/>
              </w:rPr>
            </w:pPr>
            <w:r>
              <w:rPr>
                <w:rFonts w:hint="eastAsia" w:ascii="仿宋" w:hAnsi="仿宋" w:eastAsia="仿宋" w:cs="仿宋"/>
                <w:bCs/>
                <w:szCs w:val="21"/>
              </w:rPr>
              <w:t>基准价</w:t>
            </w:r>
          </w:p>
        </w:tc>
        <w:tc>
          <w:tcPr>
            <w:tcW w:w="7513" w:type="dxa"/>
            <w:gridSpan w:val="3"/>
            <w:vAlign w:val="center"/>
          </w:tcPr>
          <w:p>
            <w:pPr>
              <w:autoSpaceDE w:val="0"/>
              <w:autoSpaceDN w:val="0"/>
              <w:adjustRightInd w:val="0"/>
              <w:snapToGrid w:val="0"/>
              <w:jc w:val="left"/>
              <w:rPr>
                <w:rFonts w:ascii="仿宋" w:hAnsi="仿宋" w:eastAsia="仿宋" w:cs="仿宋"/>
                <w:szCs w:val="21"/>
              </w:rPr>
            </w:pPr>
            <w:r>
              <w:rPr>
                <w:rFonts w:hint="eastAsia" w:ascii="仿宋" w:hAnsi="仿宋" w:eastAsia="仿宋" w:cs="仿宋"/>
                <w:szCs w:val="21"/>
              </w:rPr>
              <w:t>□各有效投标报价大于n家时，去掉一个最高和最低报价后的算术平均值乘以％。当有效投标报价少于n（含）家时，则以所有有效投标报价的算术平均值乘以％。n=</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仿宋" w:hAnsi="仿宋" w:eastAsia="仿宋" w:cs="仿宋"/>
                <w:szCs w:val="21"/>
              </w:rPr>
            </w:pPr>
          </w:p>
        </w:tc>
        <w:tc>
          <w:tcPr>
            <w:tcW w:w="1134" w:type="dxa"/>
            <w:vMerge w:val="continue"/>
            <w:vAlign w:val="center"/>
          </w:tcPr>
          <w:p>
            <w:pPr>
              <w:spacing w:line="360" w:lineRule="auto"/>
              <w:jc w:val="center"/>
              <w:rPr>
                <w:rFonts w:ascii="仿宋" w:hAnsi="仿宋" w:eastAsia="仿宋" w:cs="仿宋"/>
                <w:szCs w:val="21"/>
              </w:rPr>
            </w:pPr>
          </w:p>
        </w:tc>
        <w:tc>
          <w:tcPr>
            <w:tcW w:w="7513" w:type="dxa"/>
            <w:gridSpan w:val="3"/>
            <w:vAlign w:val="center"/>
          </w:tcPr>
          <w:p>
            <w:pPr>
              <w:spacing w:line="240" w:lineRule="atLeast"/>
              <w:jc w:val="left"/>
              <w:rPr>
                <w:rFonts w:ascii="仿宋" w:hAnsi="仿宋" w:eastAsia="仿宋" w:cs="仿宋"/>
                <w:szCs w:val="21"/>
              </w:rPr>
            </w:pPr>
            <w:r>
              <w:rPr>
                <w:rFonts w:hint="eastAsia" w:ascii="仿宋" w:hAnsi="仿宋" w:eastAsia="仿宋" w:cs="仿宋"/>
                <w:szCs w:val="21"/>
              </w:rPr>
              <w:sym w:font="Wingdings 2" w:char="0052"/>
            </w:r>
            <w:r>
              <w:rPr>
                <w:rFonts w:hint="eastAsia" w:ascii="仿宋" w:hAnsi="仿宋" w:eastAsia="仿宋" w:cs="仿宋"/>
                <w:szCs w:val="21"/>
              </w:rPr>
              <w:t>取有效投标报价算术平均值。</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仿宋" w:hAnsi="仿宋" w:eastAsia="仿宋" w:cs="仿宋"/>
                <w:szCs w:val="21"/>
              </w:rPr>
            </w:pPr>
          </w:p>
        </w:tc>
        <w:tc>
          <w:tcPr>
            <w:tcW w:w="1134" w:type="dxa"/>
            <w:vMerge w:val="continue"/>
            <w:vAlign w:val="center"/>
          </w:tcPr>
          <w:p>
            <w:pPr>
              <w:spacing w:line="360" w:lineRule="auto"/>
              <w:jc w:val="center"/>
              <w:rPr>
                <w:rFonts w:ascii="仿宋" w:hAnsi="仿宋" w:eastAsia="仿宋" w:cs="仿宋"/>
                <w:szCs w:val="21"/>
              </w:rPr>
            </w:pPr>
          </w:p>
        </w:tc>
        <w:tc>
          <w:tcPr>
            <w:tcW w:w="7513" w:type="dxa"/>
            <w:gridSpan w:val="3"/>
            <w:vAlign w:val="center"/>
          </w:tcPr>
          <w:p>
            <w:pPr>
              <w:spacing w:line="240" w:lineRule="atLeast"/>
              <w:jc w:val="left"/>
              <w:rPr>
                <w:rFonts w:ascii="仿宋" w:hAnsi="仿宋" w:eastAsia="仿宋" w:cs="仿宋"/>
                <w:szCs w:val="21"/>
              </w:rPr>
            </w:pPr>
            <w:r>
              <w:rPr>
                <w:rFonts w:hint="eastAsia" w:ascii="仿宋" w:hAnsi="仿宋" w:eastAsia="仿宋" w:cs="仿宋"/>
                <w:szCs w:val="21"/>
              </w:rPr>
              <w:t>□有效投标报价的最低价为基价。</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仿宋" w:hAnsi="仿宋" w:eastAsia="仿宋" w:cs="仿宋"/>
                <w:szCs w:val="21"/>
              </w:rPr>
            </w:pPr>
          </w:p>
        </w:tc>
        <w:tc>
          <w:tcPr>
            <w:tcW w:w="1134" w:type="dxa"/>
            <w:vMerge w:val="continue"/>
            <w:vAlign w:val="center"/>
          </w:tcPr>
          <w:p>
            <w:pPr>
              <w:spacing w:line="360" w:lineRule="auto"/>
              <w:jc w:val="center"/>
              <w:rPr>
                <w:rFonts w:ascii="仿宋" w:hAnsi="仿宋" w:eastAsia="仿宋" w:cs="仿宋"/>
                <w:szCs w:val="21"/>
              </w:rPr>
            </w:pPr>
          </w:p>
        </w:tc>
        <w:tc>
          <w:tcPr>
            <w:tcW w:w="7513" w:type="dxa"/>
            <w:gridSpan w:val="3"/>
            <w:vAlign w:val="center"/>
          </w:tcPr>
          <w:p>
            <w:pPr>
              <w:spacing w:line="240" w:lineRule="atLeast"/>
              <w:jc w:val="left"/>
              <w:rPr>
                <w:rFonts w:hint="eastAsia" w:ascii="仿宋" w:hAnsi="仿宋" w:eastAsia="仿宋" w:cs="仿宋"/>
                <w:szCs w:val="21"/>
              </w:rPr>
            </w:pPr>
            <w:r>
              <w:rPr>
                <w:rFonts w:hint="eastAsia" w:ascii="宋体" w:hAnsi="宋体"/>
                <w:color w:val="FF0000"/>
                <w:szCs w:val="21"/>
              </w:rPr>
              <w:t>投标人</w:t>
            </w:r>
            <w:r>
              <w:rPr>
                <w:rFonts w:hint="eastAsia" w:ascii="宋体" w:hAnsi="宋体"/>
                <w:color w:val="FF0000"/>
                <w:szCs w:val="21"/>
                <w:lang w:val="en-US" w:eastAsia="zh-CN"/>
              </w:rPr>
              <w:t>有效</w:t>
            </w:r>
            <w:r>
              <w:rPr>
                <w:rFonts w:hint="eastAsia" w:ascii="宋体" w:hAnsi="宋体"/>
                <w:color w:val="FF0000"/>
                <w:szCs w:val="21"/>
              </w:rPr>
              <w:t>报价是指投标净价金额（即税前价）。</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仿宋" w:hAnsi="仿宋" w:eastAsia="仿宋" w:cs="仿宋"/>
                <w:szCs w:val="21"/>
              </w:rPr>
            </w:pPr>
          </w:p>
        </w:tc>
        <w:tc>
          <w:tcPr>
            <w:tcW w:w="1134" w:type="dxa"/>
            <w:vMerge w:val="restart"/>
            <w:vAlign w:val="center"/>
          </w:tcPr>
          <w:p>
            <w:pPr>
              <w:spacing w:line="360" w:lineRule="auto"/>
              <w:jc w:val="center"/>
              <w:rPr>
                <w:rFonts w:ascii="仿宋" w:hAnsi="仿宋" w:eastAsia="仿宋" w:cs="仿宋"/>
                <w:szCs w:val="21"/>
              </w:rPr>
            </w:pPr>
            <w:r>
              <w:rPr>
                <w:rFonts w:hint="eastAsia" w:ascii="仿宋" w:hAnsi="仿宋" w:eastAsia="仿宋" w:cs="仿宋"/>
                <w:bCs/>
                <w:szCs w:val="21"/>
              </w:rPr>
              <w:t>算法类型</w:t>
            </w:r>
          </w:p>
        </w:tc>
        <w:tc>
          <w:tcPr>
            <w:tcW w:w="1563" w:type="dxa"/>
            <w:gridSpan w:val="2"/>
            <w:vAlign w:val="center"/>
          </w:tcPr>
          <w:p>
            <w:pPr>
              <w:spacing w:line="240" w:lineRule="atLeast"/>
              <w:jc w:val="center"/>
              <w:rPr>
                <w:rFonts w:ascii="仿宋" w:hAnsi="仿宋" w:eastAsia="仿宋" w:cs="仿宋"/>
                <w:kern w:val="0"/>
                <w:szCs w:val="21"/>
              </w:rPr>
            </w:pPr>
            <w:r>
              <w:rPr>
                <w:rFonts w:hint="eastAsia" w:ascii="仿宋" w:hAnsi="仿宋" w:eastAsia="仿宋" w:cs="仿宋"/>
                <w:szCs w:val="21"/>
              </w:rPr>
              <w:t>□固定比例法</w:t>
            </w:r>
          </w:p>
        </w:tc>
        <w:tc>
          <w:tcPr>
            <w:tcW w:w="5950" w:type="dxa"/>
            <w:vAlign w:val="center"/>
          </w:tcPr>
          <w:p>
            <w:pPr>
              <w:autoSpaceDE w:val="0"/>
              <w:autoSpaceDN w:val="0"/>
              <w:adjustRightInd w:val="0"/>
              <w:snapToGrid w:val="0"/>
              <w:jc w:val="left"/>
              <w:rPr>
                <w:rFonts w:ascii="仿宋" w:hAnsi="仿宋" w:eastAsia="仿宋" w:cs="仿宋"/>
                <w:szCs w:val="21"/>
              </w:rPr>
            </w:pPr>
            <w:r>
              <w:rPr>
                <w:rFonts w:hint="eastAsia" w:ascii="仿宋" w:hAnsi="仿宋" w:eastAsia="仿宋" w:cs="仿宋"/>
                <w:szCs w:val="21"/>
              </w:rPr>
              <w:t>价格得分=M-[（｜投标价格-基准价｜/基准价）*100/N]*扣分值</w:t>
            </w:r>
          </w:p>
          <w:p>
            <w:pPr>
              <w:autoSpaceDE w:val="0"/>
              <w:autoSpaceDN w:val="0"/>
              <w:adjustRightInd w:val="0"/>
              <w:snapToGrid w:val="0"/>
              <w:jc w:val="left"/>
              <w:rPr>
                <w:rFonts w:ascii="仿宋" w:hAnsi="仿宋" w:eastAsia="仿宋" w:cs="仿宋"/>
                <w:szCs w:val="21"/>
              </w:rPr>
            </w:pPr>
            <w:r>
              <w:rPr>
                <w:rFonts w:hint="eastAsia" w:ascii="仿宋" w:hAnsi="仿宋" w:eastAsia="仿宋" w:cs="仿宋"/>
                <w:szCs w:val="21"/>
              </w:rPr>
              <w:t>M=____（价格评价分项满分值），N=___，投标价格每高于N％时，扣分；每低于N％时，扣分；</w:t>
            </w:r>
          </w:p>
          <w:p>
            <w:pPr>
              <w:spacing w:line="240" w:lineRule="atLeast"/>
              <w:jc w:val="left"/>
              <w:rPr>
                <w:rFonts w:ascii="仿宋" w:hAnsi="仿宋" w:eastAsia="仿宋" w:cs="仿宋"/>
                <w:kern w:val="0"/>
                <w:szCs w:val="21"/>
              </w:rPr>
            </w:pPr>
            <w:r>
              <w:rPr>
                <w:rFonts w:hint="eastAsia" w:ascii="仿宋" w:hAnsi="仿宋" w:eastAsia="仿宋" w:cs="仿宋"/>
                <w:szCs w:val="21"/>
              </w:rPr>
              <w:t>最低得0分。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仿宋" w:hAnsi="仿宋" w:eastAsia="仿宋" w:cs="仿宋"/>
                <w:szCs w:val="21"/>
              </w:rPr>
            </w:pPr>
          </w:p>
        </w:tc>
        <w:tc>
          <w:tcPr>
            <w:tcW w:w="1134" w:type="dxa"/>
            <w:vMerge w:val="continue"/>
            <w:vAlign w:val="center"/>
          </w:tcPr>
          <w:p>
            <w:pPr>
              <w:spacing w:line="360" w:lineRule="auto"/>
              <w:jc w:val="center"/>
              <w:rPr>
                <w:rFonts w:ascii="仿宋" w:hAnsi="仿宋" w:eastAsia="仿宋" w:cs="仿宋"/>
                <w:szCs w:val="21"/>
              </w:rPr>
            </w:pPr>
          </w:p>
        </w:tc>
        <w:tc>
          <w:tcPr>
            <w:tcW w:w="1563" w:type="dxa"/>
            <w:gridSpan w:val="2"/>
            <w:vAlign w:val="center"/>
          </w:tcPr>
          <w:p>
            <w:pPr>
              <w:spacing w:line="240" w:lineRule="atLeast"/>
              <w:jc w:val="center"/>
              <w:rPr>
                <w:rFonts w:ascii="仿宋" w:hAnsi="仿宋" w:eastAsia="仿宋" w:cs="仿宋"/>
                <w:kern w:val="0"/>
                <w:szCs w:val="21"/>
              </w:rPr>
            </w:pPr>
            <w:r>
              <w:rPr>
                <w:rFonts w:hint="eastAsia" w:ascii="仿宋" w:hAnsi="仿宋" w:eastAsia="仿宋" w:cs="仿宋"/>
                <w:szCs w:val="21"/>
              </w:rPr>
              <w:sym w:font="Wingdings 2" w:char="0052"/>
            </w:r>
            <w:r>
              <w:rPr>
                <w:rFonts w:hint="eastAsia" w:ascii="仿宋" w:hAnsi="仿宋" w:eastAsia="仿宋" w:cs="仿宋"/>
                <w:szCs w:val="21"/>
              </w:rPr>
              <w:t>固定乘积法</w:t>
            </w:r>
          </w:p>
        </w:tc>
        <w:tc>
          <w:tcPr>
            <w:tcW w:w="5950" w:type="dxa"/>
            <w:vAlign w:val="center"/>
          </w:tcPr>
          <w:p>
            <w:pPr>
              <w:autoSpaceDE w:val="0"/>
              <w:autoSpaceDN w:val="0"/>
              <w:adjustRightInd w:val="0"/>
              <w:snapToGrid w:val="0"/>
              <w:jc w:val="left"/>
              <w:rPr>
                <w:rStyle w:val="20"/>
                <w:rFonts w:ascii="仿宋" w:hAnsi="仿宋" w:eastAsia="仿宋" w:cs="仿宋"/>
              </w:rPr>
            </w:pPr>
            <w:r>
              <w:rPr>
                <w:rStyle w:val="20"/>
                <w:rFonts w:hint="eastAsia" w:ascii="仿宋" w:hAnsi="仿宋" w:eastAsia="仿宋" w:cs="仿宋"/>
              </w:rPr>
              <w:t>价格得分=（1-A×｜1-投标报价/Z｜）×M</w:t>
            </w:r>
          </w:p>
          <w:p>
            <w:pPr>
              <w:numPr>
                <w:ilvl w:val="0"/>
                <w:numId w:val="31"/>
              </w:numPr>
              <w:autoSpaceDE w:val="0"/>
              <w:autoSpaceDN w:val="0"/>
              <w:adjustRightInd w:val="0"/>
              <w:snapToGrid w:val="0"/>
              <w:jc w:val="left"/>
              <w:rPr>
                <w:rStyle w:val="20"/>
                <w:rFonts w:ascii="仿宋" w:hAnsi="仿宋" w:eastAsia="仿宋" w:cs="仿宋"/>
              </w:rPr>
            </w:pPr>
            <w:r>
              <w:rPr>
                <w:rStyle w:val="20"/>
                <w:rFonts w:hint="eastAsia" w:ascii="仿宋" w:hAnsi="仿宋" w:eastAsia="仿宋" w:cs="仿宋"/>
              </w:rPr>
              <w:t>M= 30 （价格评价分项满分值），Z为本次招标最佳报价（即基准价）；</w:t>
            </w:r>
          </w:p>
          <w:p>
            <w:pPr>
              <w:numPr>
                <w:ilvl w:val="0"/>
                <w:numId w:val="31"/>
              </w:numPr>
              <w:autoSpaceDE w:val="0"/>
              <w:autoSpaceDN w:val="0"/>
              <w:adjustRightInd w:val="0"/>
              <w:snapToGrid w:val="0"/>
              <w:jc w:val="left"/>
              <w:rPr>
                <w:rStyle w:val="20"/>
                <w:rFonts w:ascii="仿宋" w:hAnsi="仿宋" w:eastAsia="仿宋" w:cs="仿宋"/>
              </w:rPr>
            </w:pPr>
            <w:r>
              <w:rPr>
                <w:rStyle w:val="20"/>
                <w:rFonts w:hint="eastAsia" w:ascii="仿宋" w:hAnsi="仿宋" w:eastAsia="仿宋" w:cs="仿宋"/>
              </w:rPr>
              <w:t>A为价格调整系数，当投标报价低于本次招标最佳报价（即基准价）时，A=0.5；当投标报价高于次招标最佳报价时，取A=1；</w:t>
            </w:r>
          </w:p>
          <w:p>
            <w:pPr>
              <w:numPr>
                <w:ilvl w:val="0"/>
                <w:numId w:val="31"/>
              </w:numPr>
              <w:jc w:val="left"/>
              <w:rPr>
                <w:rFonts w:ascii="仿宋" w:hAnsi="仿宋" w:eastAsia="仿宋" w:cs="仿宋"/>
                <w:kern w:val="0"/>
                <w:szCs w:val="21"/>
              </w:rPr>
            </w:pPr>
            <w:r>
              <w:rPr>
                <w:rStyle w:val="20"/>
                <w:rFonts w:hint="eastAsia" w:ascii="仿宋" w:hAnsi="仿宋" w:eastAsia="仿宋" w:cs="仿宋"/>
              </w:rPr>
              <w:t>计算分数时四舍五入取小数点后两位，当价格分＜0时，取0。</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仿宋" w:hAnsi="仿宋" w:eastAsia="仿宋" w:cs="仿宋"/>
                <w:szCs w:val="21"/>
              </w:rPr>
            </w:pPr>
          </w:p>
        </w:tc>
        <w:tc>
          <w:tcPr>
            <w:tcW w:w="1134" w:type="dxa"/>
            <w:vMerge w:val="continue"/>
            <w:vAlign w:val="center"/>
          </w:tcPr>
          <w:p>
            <w:pPr>
              <w:spacing w:line="360" w:lineRule="auto"/>
              <w:jc w:val="center"/>
              <w:rPr>
                <w:rFonts w:ascii="仿宋" w:hAnsi="仿宋" w:eastAsia="仿宋" w:cs="仿宋"/>
                <w:szCs w:val="21"/>
              </w:rPr>
            </w:pPr>
          </w:p>
        </w:tc>
        <w:tc>
          <w:tcPr>
            <w:tcW w:w="1563" w:type="dxa"/>
            <w:gridSpan w:val="2"/>
            <w:vAlign w:val="center"/>
          </w:tcPr>
          <w:p>
            <w:pPr>
              <w:spacing w:line="240" w:lineRule="atLeast"/>
              <w:jc w:val="center"/>
              <w:rPr>
                <w:rFonts w:ascii="仿宋" w:hAnsi="仿宋" w:eastAsia="仿宋" w:cs="仿宋"/>
                <w:szCs w:val="21"/>
                <w:highlight w:val="yellow"/>
              </w:rPr>
            </w:pPr>
            <w:r>
              <w:rPr>
                <w:rFonts w:hint="eastAsia" w:ascii="仿宋" w:hAnsi="仿宋" w:eastAsia="仿宋" w:cs="仿宋"/>
                <w:szCs w:val="21"/>
              </w:rPr>
              <w:t>□其他方法</w:t>
            </w:r>
          </w:p>
        </w:tc>
        <w:tc>
          <w:tcPr>
            <w:tcW w:w="5950" w:type="dxa"/>
            <w:vAlign w:val="center"/>
          </w:tcPr>
          <w:p>
            <w:pPr>
              <w:spacing w:line="240" w:lineRule="atLeast"/>
              <w:jc w:val="center"/>
              <w:rPr>
                <w:rFonts w:ascii="仿宋" w:hAnsi="仿宋" w:eastAsia="仿宋" w:cs="仿宋"/>
                <w:kern w:val="0"/>
                <w:szCs w:val="21"/>
                <w:highlight w:val="yellow"/>
              </w:rPr>
            </w:pPr>
          </w:p>
        </w:tc>
      </w:tr>
    </w:tbl>
    <w:p>
      <w:pPr>
        <w:spacing w:line="360" w:lineRule="auto"/>
        <w:ind w:firstLine="420" w:firstLineChars="200"/>
        <w:rPr>
          <w:rFonts w:ascii="仿宋" w:hAnsi="仿宋" w:eastAsia="仿宋" w:cs="仿宋"/>
          <w:szCs w:val="21"/>
        </w:rPr>
      </w:pPr>
      <w:r>
        <w:rPr>
          <w:rFonts w:hint="eastAsia" w:ascii="仿宋" w:hAnsi="仿宋" w:eastAsia="仿宋" w:cs="仿宋"/>
          <w:szCs w:val="21"/>
        </w:rPr>
        <w:t>算术错误将按以下方法更正（次序排前者优先）：</w:t>
      </w:r>
    </w:p>
    <w:p>
      <w:pPr>
        <w:numPr>
          <w:ilvl w:val="0"/>
          <w:numId w:val="32"/>
        </w:numPr>
        <w:spacing w:line="360" w:lineRule="auto"/>
        <w:ind w:left="-4" w:leftChars="-2" w:firstLine="497" w:firstLineChars="237"/>
        <w:rPr>
          <w:rFonts w:ascii="仿宋" w:hAnsi="仿宋" w:eastAsia="仿宋" w:cs="仿宋"/>
          <w:szCs w:val="21"/>
        </w:rPr>
      </w:pPr>
      <w:r>
        <w:rPr>
          <w:rFonts w:hint="eastAsia" w:ascii="仿宋" w:hAnsi="仿宋" w:eastAsia="仿宋" w:cs="仿宋"/>
          <w:szCs w:val="21"/>
        </w:rPr>
        <w:t>若分项报价与总价不一致，以总价为准。</w:t>
      </w:r>
    </w:p>
    <w:p>
      <w:pPr>
        <w:numPr>
          <w:ilvl w:val="0"/>
          <w:numId w:val="32"/>
        </w:numPr>
        <w:spacing w:line="360" w:lineRule="auto"/>
        <w:ind w:left="-4" w:leftChars="-2" w:firstLine="497" w:firstLineChars="237"/>
        <w:rPr>
          <w:rFonts w:ascii="仿宋" w:hAnsi="仿宋" w:eastAsia="仿宋" w:cs="仿宋"/>
          <w:szCs w:val="21"/>
        </w:rPr>
      </w:pPr>
      <w:r>
        <w:rPr>
          <w:rFonts w:hint="eastAsia" w:ascii="仿宋" w:hAnsi="仿宋" w:eastAsia="仿宋" w:cs="仿宋"/>
          <w:szCs w:val="21"/>
        </w:rPr>
        <w:t>若用文字表示的数值与用数字表示的数值不一致，以文字表示的数值为准。</w:t>
      </w:r>
    </w:p>
    <w:p>
      <w:pPr>
        <w:spacing w:line="360" w:lineRule="auto"/>
        <w:ind w:firstLine="420" w:firstLineChars="200"/>
        <w:rPr>
          <w:rFonts w:ascii="仿宋" w:hAnsi="仿宋" w:eastAsia="仿宋" w:cs="仿宋"/>
          <w:szCs w:val="21"/>
        </w:rPr>
      </w:pPr>
      <w:r>
        <w:rPr>
          <w:rFonts w:hint="eastAsia" w:ascii="仿宋" w:hAnsi="仿宋" w:eastAsia="仿宋" w:cs="仿宋"/>
          <w:szCs w:val="21"/>
        </w:rPr>
        <w:t>如果投标人不接受上述错误的更正方式，招标人将拒绝接受其投标文件。</w:t>
      </w:r>
    </w:p>
    <w:p>
      <w:pPr>
        <w:widowControl/>
        <w:spacing w:line="360" w:lineRule="auto"/>
        <w:ind w:firstLine="422" w:firstLineChars="200"/>
        <w:jc w:val="left"/>
        <w:rPr>
          <w:rFonts w:ascii="仿宋" w:hAnsi="仿宋" w:eastAsia="仿宋" w:cs="仿宋"/>
          <w:b/>
          <w:szCs w:val="21"/>
        </w:rPr>
      </w:pPr>
      <w:r>
        <w:rPr>
          <w:rFonts w:hint="eastAsia" w:ascii="仿宋" w:hAnsi="仿宋" w:eastAsia="仿宋" w:cs="仿宋"/>
          <w:b/>
          <w:szCs w:val="21"/>
        </w:rPr>
        <w:br w:type="page"/>
      </w:r>
    </w:p>
    <w:p>
      <w:pPr>
        <w:spacing w:line="360" w:lineRule="auto"/>
        <w:jc w:val="center"/>
        <w:outlineLvl w:val="0"/>
        <w:rPr>
          <w:rFonts w:ascii="宋体" w:hAnsi="宋体"/>
          <w:b/>
          <w:sz w:val="32"/>
          <w:szCs w:val="32"/>
        </w:rPr>
      </w:pPr>
      <w:bookmarkStart w:id="48" w:name="_Toc30869"/>
      <w:r>
        <w:rPr>
          <w:rFonts w:hint="eastAsia" w:ascii="宋体" w:hAnsi="宋体"/>
          <w:b/>
          <w:sz w:val="32"/>
          <w:szCs w:val="32"/>
        </w:rPr>
        <w:t>第四部分：合同条款及格式</w:t>
      </w:r>
      <w:bookmarkEnd w:id="48"/>
    </w:p>
    <w:p>
      <w:pPr>
        <w:jc w:val="center"/>
        <w:rPr>
          <w:rFonts w:ascii="宋体" w:hAnsi="宋体"/>
          <w:sz w:val="24"/>
        </w:rPr>
      </w:pPr>
      <w:r>
        <w:rPr>
          <w:rFonts w:hint="eastAsia" w:ascii="宋体" w:hAnsi="宋体"/>
          <w:sz w:val="24"/>
        </w:rPr>
        <w:t>“高交会观众服务”微信公众号和微博号代运营</w:t>
      </w:r>
    </w:p>
    <w:p>
      <w:pPr>
        <w:jc w:val="center"/>
        <w:rPr>
          <w:rFonts w:ascii="宋体" w:hAnsi="宋体"/>
          <w:sz w:val="24"/>
        </w:rPr>
      </w:pPr>
      <w:r>
        <w:rPr>
          <w:rFonts w:hint="eastAsia" w:ascii="宋体" w:hAnsi="宋体"/>
          <w:sz w:val="24"/>
        </w:rPr>
        <w:t>服务项目合同</w:t>
      </w:r>
    </w:p>
    <w:p>
      <w:pPr>
        <w:jc w:val="center"/>
        <w:rPr>
          <w:rFonts w:ascii="宋体" w:hAnsi="宋体"/>
          <w:szCs w:val="21"/>
        </w:rPr>
      </w:pPr>
      <w:r>
        <w:rPr>
          <w:rFonts w:hint="eastAsia" w:ascii="方正小标宋简体" w:hAnsi="方正小标宋简体" w:eastAsia="方正小标宋简体" w:cs="方正小标宋简体"/>
          <w:bCs/>
          <w:kern w:val="0"/>
          <w:sz w:val="28"/>
          <w:szCs w:val="28"/>
        </w:rPr>
        <w:t>（</w:t>
      </w:r>
      <w:r>
        <w:rPr>
          <w:rFonts w:hint="eastAsia" w:ascii="方正小标宋简体" w:hAnsi="方正小标宋简体" w:eastAsia="方正小标宋简体" w:cs="方正小标宋简体"/>
          <w:bCs/>
          <w:kern w:val="0"/>
          <w:sz w:val="28"/>
          <w:szCs w:val="28"/>
          <w:lang w:val="en-US" w:eastAsia="zh-CN"/>
        </w:rPr>
        <w:t>本合同</w:t>
      </w:r>
      <w:r>
        <w:rPr>
          <w:rFonts w:hint="eastAsia" w:ascii="方正小标宋简体" w:hAnsi="方正小标宋简体" w:eastAsia="方正小标宋简体" w:cs="方正小标宋简体"/>
          <w:bCs/>
          <w:kern w:val="0"/>
          <w:sz w:val="28"/>
          <w:szCs w:val="28"/>
        </w:rPr>
        <w:t>仅供参考）</w:t>
      </w:r>
    </w:p>
    <w:p>
      <w:pPr>
        <w:pStyle w:val="12"/>
        <w:rPr>
          <w:rFonts w:eastAsia="方正小标宋简体"/>
        </w:rPr>
      </w:pPr>
    </w:p>
    <w:tbl>
      <w:tblPr>
        <w:tblStyle w:val="16"/>
        <w:tblW w:w="99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56"/>
        <w:gridCol w:w="4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0" w:hRule="atLeast"/>
          <w:jc w:val="center"/>
        </w:trPr>
        <w:tc>
          <w:tcPr>
            <w:tcW w:w="5056" w:type="dxa"/>
            <w:noWrap/>
            <w:vAlign w:val="center"/>
          </w:tcPr>
          <w:p>
            <w:pPr>
              <w:rPr>
                <w:rFonts w:ascii="宋体" w:hAnsi="宋体"/>
                <w:sz w:val="24"/>
              </w:rPr>
            </w:pPr>
            <w:r>
              <w:rPr>
                <w:rFonts w:hint="eastAsia" w:ascii="宋体" w:hAnsi="宋体"/>
                <w:sz w:val="24"/>
              </w:rPr>
              <w:t>甲方：深圳会展中心管理有限责任公司</w:t>
            </w:r>
          </w:p>
          <w:p>
            <w:pPr>
              <w:rPr>
                <w:rFonts w:ascii="宋体" w:hAnsi="宋体"/>
                <w:sz w:val="24"/>
                <w:u w:val="single"/>
              </w:rPr>
            </w:pPr>
            <w:r>
              <w:rPr>
                <w:rFonts w:hint="eastAsia" w:ascii="宋体" w:hAnsi="宋体"/>
                <w:sz w:val="24"/>
              </w:rPr>
              <w:t>地址：</w:t>
            </w:r>
          </w:p>
          <w:p>
            <w:pPr>
              <w:rPr>
                <w:rFonts w:ascii="宋体" w:hAnsi="宋体"/>
                <w:sz w:val="24"/>
              </w:rPr>
            </w:pPr>
            <w:r>
              <w:rPr>
                <w:rFonts w:hint="eastAsia" w:ascii="宋体" w:hAnsi="宋体"/>
                <w:sz w:val="24"/>
              </w:rPr>
              <w:t>联 系 人：</w:t>
            </w:r>
          </w:p>
          <w:p>
            <w:pPr>
              <w:rPr>
                <w:rFonts w:ascii="宋体" w:hAnsi="宋体"/>
                <w:sz w:val="24"/>
              </w:rPr>
            </w:pPr>
            <w:r>
              <w:rPr>
                <w:rFonts w:hint="eastAsia" w:ascii="宋体" w:hAnsi="宋体"/>
                <w:sz w:val="24"/>
              </w:rPr>
              <w:t>联系电话：</w:t>
            </w:r>
          </w:p>
          <w:p>
            <w:pPr>
              <w:rPr>
                <w:rFonts w:ascii="宋体" w:hAnsi="宋体"/>
                <w:sz w:val="24"/>
              </w:rPr>
            </w:pPr>
          </w:p>
        </w:tc>
        <w:tc>
          <w:tcPr>
            <w:tcW w:w="4878" w:type="dxa"/>
            <w:noWrap/>
            <w:vAlign w:val="center"/>
          </w:tcPr>
          <w:p>
            <w:pPr>
              <w:spacing w:line="400" w:lineRule="exact"/>
              <w:rPr>
                <w:rFonts w:ascii="宋体" w:hAnsi="宋体"/>
                <w:sz w:val="24"/>
              </w:rPr>
            </w:pPr>
            <w:r>
              <w:rPr>
                <w:rFonts w:hint="eastAsia" w:ascii="宋体" w:hAnsi="宋体"/>
                <w:sz w:val="24"/>
              </w:rPr>
              <w:t>乙    方：</w:t>
            </w:r>
          </w:p>
          <w:p>
            <w:pPr>
              <w:rPr>
                <w:rFonts w:ascii="宋体" w:hAnsi="宋体"/>
                <w:sz w:val="24"/>
              </w:rPr>
            </w:pPr>
            <w:r>
              <w:rPr>
                <w:rFonts w:hint="eastAsia" w:ascii="宋体" w:hAnsi="宋体"/>
                <w:sz w:val="24"/>
              </w:rPr>
              <w:t>地址：</w:t>
            </w:r>
          </w:p>
          <w:p>
            <w:pPr>
              <w:rPr>
                <w:rFonts w:ascii="宋体" w:hAnsi="宋体"/>
                <w:sz w:val="24"/>
              </w:rPr>
            </w:pPr>
            <w:r>
              <w:rPr>
                <w:rFonts w:hint="eastAsia" w:ascii="宋体" w:hAnsi="宋体"/>
                <w:sz w:val="24"/>
              </w:rPr>
              <w:t>联 系 人：</w:t>
            </w:r>
          </w:p>
          <w:p>
            <w:pPr>
              <w:rPr>
                <w:rFonts w:ascii="宋体" w:hAnsi="宋体"/>
                <w:sz w:val="24"/>
              </w:rPr>
            </w:pPr>
            <w:r>
              <w:rPr>
                <w:rFonts w:hint="eastAsia" w:ascii="宋体" w:hAnsi="宋体"/>
                <w:sz w:val="24"/>
              </w:rPr>
              <w:t>联系电话：</w:t>
            </w:r>
          </w:p>
          <w:p>
            <w:pPr>
              <w:rPr>
                <w:rFonts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56" w:type="dxa"/>
            <w:noWrap/>
            <w:vAlign w:val="center"/>
          </w:tcPr>
          <w:p>
            <w:pPr>
              <w:rPr>
                <w:rFonts w:ascii="宋体" w:hAnsi="宋体"/>
                <w:sz w:val="24"/>
              </w:rPr>
            </w:pPr>
          </w:p>
        </w:tc>
        <w:tc>
          <w:tcPr>
            <w:tcW w:w="4878" w:type="dxa"/>
            <w:noWrap/>
            <w:vAlign w:val="center"/>
          </w:tcPr>
          <w:p>
            <w:pPr>
              <w:rPr>
                <w:rFonts w:ascii="宋体" w:hAnsi="宋体"/>
                <w:sz w:val="24"/>
              </w:rPr>
            </w:pPr>
          </w:p>
        </w:tc>
      </w:tr>
    </w:tbl>
    <w:p>
      <w:pPr>
        <w:spacing w:line="360" w:lineRule="auto"/>
        <w:ind w:firstLine="480" w:firstLineChars="200"/>
        <w:jc w:val="left"/>
        <w:rPr>
          <w:rFonts w:ascii="宋体" w:hAnsi="宋体"/>
          <w:sz w:val="24"/>
        </w:rPr>
      </w:pPr>
      <w:r>
        <w:rPr>
          <w:rFonts w:hint="eastAsia" w:ascii="宋体" w:hAnsi="宋体"/>
          <w:sz w:val="24"/>
        </w:rPr>
        <w:t>甲乙双方依据《中华人民共和国民法典》及国家有关法律、法规的规定，在公平、平等、自愿、等价有偿、诚实信用的基础上，经友好协商，就甲方委托乙方提供高交会观众服务微信公众号和微博号代运营服务事宜，达成一致意见,协议如下：</w:t>
      </w:r>
    </w:p>
    <w:p>
      <w:pPr>
        <w:ind w:firstLine="420" w:firstLineChars="200"/>
        <w:jc w:val="left"/>
        <w:rPr>
          <w:rFonts w:ascii="宋体" w:hAnsi="宋体"/>
          <w:szCs w:val="21"/>
        </w:rPr>
      </w:pPr>
    </w:p>
    <w:p>
      <w:pPr>
        <w:numPr>
          <w:ilvl w:val="0"/>
          <w:numId w:val="33"/>
        </w:numPr>
        <w:spacing w:line="360" w:lineRule="auto"/>
        <w:jc w:val="left"/>
        <w:rPr>
          <w:rFonts w:ascii="宋体" w:hAnsi="宋体"/>
          <w:sz w:val="24"/>
        </w:rPr>
      </w:pPr>
      <w:r>
        <w:rPr>
          <w:rFonts w:hint="eastAsia" w:ascii="宋体" w:hAnsi="宋体"/>
          <w:sz w:val="24"/>
        </w:rPr>
        <w:t>总则</w:t>
      </w:r>
    </w:p>
    <w:p>
      <w:pPr>
        <w:spacing w:line="360" w:lineRule="auto"/>
        <w:ind w:firstLine="480" w:firstLineChars="200"/>
        <w:jc w:val="left"/>
      </w:pPr>
      <w:r>
        <w:rPr>
          <w:rFonts w:hint="eastAsia" w:ascii="宋体" w:hAnsi="宋体"/>
          <w:sz w:val="24"/>
        </w:rPr>
        <w:t>甲方授权乙方作为高交会观众服务双微代运营项目服务商，自签约之日起至202X年 X月 X 日止，合同有效时间依照实际服务时间为准。</w:t>
      </w:r>
    </w:p>
    <w:p>
      <w:pPr>
        <w:numPr>
          <w:ilvl w:val="0"/>
          <w:numId w:val="33"/>
        </w:numPr>
        <w:spacing w:line="360" w:lineRule="auto"/>
        <w:jc w:val="left"/>
        <w:rPr>
          <w:rFonts w:ascii="宋体" w:hAnsi="宋体"/>
          <w:sz w:val="24"/>
        </w:rPr>
      </w:pPr>
      <w:r>
        <w:rPr>
          <w:rFonts w:hint="eastAsia" w:ascii="宋体" w:hAnsi="宋体"/>
          <w:sz w:val="24"/>
        </w:rPr>
        <w:t>服务内容</w:t>
      </w:r>
    </w:p>
    <w:p>
      <w:pPr>
        <w:spacing w:line="360" w:lineRule="auto"/>
        <w:ind w:firstLine="480" w:firstLineChars="200"/>
        <w:jc w:val="left"/>
        <w:rPr>
          <w:rFonts w:ascii="宋体" w:hAnsi="宋体"/>
          <w:sz w:val="24"/>
        </w:rPr>
      </w:pPr>
      <w:r>
        <w:rPr>
          <w:rFonts w:hint="eastAsia" w:ascii="宋体" w:hAnsi="宋体"/>
          <w:sz w:val="24"/>
        </w:rPr>
        <w:t>乙方为甲方提供微信公众号和微博号代运营服务，具体服务内容如下:</w:t>
      </w:r>
    </w:p>
    <w:p>
      <w:pPr>
        <w:spacing w:line="360" w:lineRule="auto"/>
        <w:ind w:firstLine="480" w:firstLineChars="200"/>
        <w:jc w:val="left"/>
        <w:rPr>
          <w:rFonts w:ascii="宋体" w:hAnsi="宋体"/>
          <w:sz w:val="24"/>
        </w:rPr>
      </w:pPr>
      <w:r>
        <w:rPr>
          <w:rFonts w:hint="eastAsia" w:ascii="宋体" w:hAnsi="宋体"/>
          <w:sz w:val="24"/>
        </w:rPr>
        <w:t>1、平台运营策略与规划</w:t>
      </w:r>
    </w:p>
    <w:p>
      <w:pPr>
        <w:numPr>
          <w:ilvl w:val="0"/>
          <w:numId w:val="34"/>
        </w:numPr>
        <w:spacing w:line="360" w:lineRule="auto"/>
        <w:ind w:firstLine="480" w:firstLineChars="200"/>
        <w:jc w:val="left"/>
        <w:rPr>
          <w:rFonts w:ascii="宋体" w:hAnsi="宋体"/>
          <w:sz w:val="24"/>
        </w:rPr>
      </w:pPr>
      <w:r>
        <w:rPr>
          <w:rFonts w:hint="eastAsia" w:ascii="宋体" w:hAnsi="宋体"/>
          <w:sz w:val="24"/>
        </w:rPr>
        <w:t>根据高交会观众服务双微平台的特点制定总运营策略,如IP定位，内容策略制定、事件营销，广告投放等。</w:t>
      </w:r>
    </w:p>
    <w:p>
      <w:pPr>
        <w:numPr>
          <w:ilvl w:val="0"/>
          <w:numId w:val="34"/>
        </w:numPr>
        <w:spacing w:line="360" w:lineRule="auto"/>
        <w:ind w:firstLine="480" w:firstLineChars="200"/>
        <w:jc w:val="left"/>
        <w:rPr>
          <w:rFonts w:ascii="宋体" w:hAnsi="宋体"/>
          <w:sz w:val="24"/>
        </w:rPr>
      </w:pPr>
      <w:r>
        <w:rPr>
          <w:rFonts w:hint="eastAsia" w:ascii="宋体" w:hAnsi="宋体"/>
          <w:sz w:val="24"/>
        </w:rPr>
        <w:t>围绕高交会举办的时间及特点，制定阶段重点宣传计划和目标，内容排期等，把平台运营分为常规运营期（每年11月底-次年</w:t>
      </w:r>
      <w:r>
        <w:rPr>
          <w:rFonts w:hint="eastAsia" w:ascii="宋体" w:hAnsi="宋体"/>
          <w:sz w:val="24"/>
          <w:lang w:val="en-US" w:eastAsia="zh-CN"/>
        </w:rPr>
        <w:t>8</w:t>
      </w:r>
      <w:r>
        <w:rPr>
          <w:rFonts w:hint="eastAsia" w:ascii="宋体" w:hAnsi="宋体"/>
          <w:sz w:val="24"/>
        </w:rPr>
        <w:t>月），特殊运营期（</w:t>
      </w:r>
      <w:r>
        <w:rPr>
          <w:rFonts w:hint="eastAsia" w:ascii="宋体" w:hAnsi="宋体"/>
          <w:sz w:val="24"/>
          <w:lang w:val="en-US" w:eastAsia="zh-CN"/>
        </w:rPr>
        <w:t>9</w:t>
      </w:r>
      <w:r>
        <w:rPr>
          <w:rFonts w:hint="eastAsia" w:ascii="宋体" w:hAnsi="宋体"/>
          <w:sz w:val="24"/>
        </w:rPr>
        <w:t>月-11月中旬），特别在高交会举办前后，配合专业观众邀请推广计划，对专业观众进行引流推广。</w:t>
      </w:r>
    </w:p>
    <w:p>
      <w:pPr>
        <w:spacing w:line="360" w:lineRule="auto"/>
        <w:ind w:firstLine="480" w:firstLineChars="200"/>
        <w:jc w:val="left"/>
        <w:rPr>
          <w:rFonts w:ascii="宋体" w:hAnsi="宋体"/>
          <w:sz w:val="24"/>
        </w:rPr>
      </w:pPr>
      <w:r>
        <w:rPr>
          <w:rFonts w:hint="eastAsia" w:ascii="宋体" w:hAnsi="宋体"/>
          <w:sz w:val="24"/>
        </w:rPr>
        <w:t>2、内容制作发布</w:t>
      </w:r>
    </w:p>
    <w:p>
      <w:pPr>
        <w:numPr>
          <w:ilvl w:val="0"/>
          <w:numId w:val="35"/>
        </w:numPr>
        <w:spacing w:line="360" w:lineRule="auto"/>
        <w:ind w:firstLine="480" w:firstLineChars="200"/>
        <w:jc w:val="left"/>
        <w:rPr>
          <w:rFonts w:ascii="宋体" w:hAnsi="宋体"/>
          <w:sz w:val="24"/>
        </w:rPr>
      </w:pPr>
      <w:r>
        <w:rPr>
          <w:rFonts w:hint="eastAsia" w:ascii="宋体" w:hAnsi="宋体"/>
          <w:sz w:val="24"/>
        </w:rPr>
        <w:t>根据所分阶段，提出并实施各阶段的具体内容制作与发布计划。</w:t>
      </w:r>
    </w:p>
    <w:p>
      <w:pPr>
        <w:numPr>
          <w:ilvl w:val="0"/>
          <w:numId w:val="35"/>
        </w:numPr>
        <w:spacing w:line="360" w:lineRule="auto"/>
        <w:ind w:firstLine="480" w:firstLineChars="200"/>
        <w:jc w:val="left"/>
        <w:rPr>
          <w:rFonts w:ascii="宋体" w:hAnsi="宋体"/>
          <w:sz w:val="24"/>
        </w:rPr>
      </w:pPr>
      <w:r>
        <w:rPr>
          <w:rFonts w:hint="eastAsia" w:ascii="宋体" w:hAnsi="宋体"/>
          <w:sz w:val="24"/>
        </w:rPr>
        <w:t>完成推送图文素材的收集、提炼、整合、撰写、修改、校对、发布等环节，生产日常双微推送的图文，并保证采编的信息来源权威、可靠、合法；优化文章的编辑排版，保障双微平台内容每周至少各发布2条图文消息，每条稿件篇数不限更新，并监控整合编发相关资讯。</w:t>
      </w:r>
    </w:p>
    <w:p>
      <w:pPr>
        <w:numPr>
          <w:ilvl w:val="0"/>
          <w:numId w:val="35"/>
        </w:numPr>
        <w:spacing w:line="360" w:lineRule="auto"/>
        <w:ind w:firstLine="480" w:firstLineChars="200"/>
        <w:jc w:val="left"/>
        <w:rPr>
          <w:rFonts w:ascii="宋体" w:hAnsi="宋体"/>
          <w:sz w:val="24"/>
        </w:rPr>
      </w:pPr>
      <w:r>
        <w:rPr>
          <w:rFonts w:hint="eastAsia" w:ascii="宋体" w:hAnsi="宋体"/>
          <w:sz w:val="24"/>
        </w:rPr>
        <w:t>每个季度推出至少2篇原创类重点推文（原创类重点推文可分为高交会大会资讯、观众服务信息类和高科技行业资讯、政策等类），文章、长图、动图、海报、视频、漫画等形式不限。</w:t>
      </w:r>
    </w:p>
    <w:p>
      <w:pPr>
        <w:spacing w:line="360" w:lineRule="auto"/>
        <w:ind w:firstLine="480" w:firstLineChars="200"/>
        <w:jc w:val="left"/>
        <w:rPr>
          <w:rFonts w:ascii="宋体" w:hAnsi="宋体"/>
          <w:sz w:val="24"/>
        </w:rPr>
      </w:pPr>
      <w:r>
        <w:rPr>
          <w:rFonts w:hint="eastAsia" w:ascii="宋体" w:hAnsi="宋体"/>
          <w:sz w:val="24"/>
        </w:rPr>
        <w:t>3.平台建设优化及运行维护</w:t>
      </w:r>
    </w:p>
    <w:p>
      <w:pPr>
        <w:numPr>
          <w:ilvl w:val="0"/>
          <w:numId w:val="36"/>
        </w:numPr>
        <w:spacing w:line="360" w:lineRule="auto"/>
        <w:ind w:firstLine="480" w:firstLineChars="200"/>
        <w:jc w:val="left"/>
        <w:rPr>
          <w:rFonts w:ascii="宋体" w:hAnsi="宋体"/>
          <w:sz w:val="24"/>
        </w:rPr>
      </w:pPr>
      <w:r>
        <w:rPr>
          <w:rFonts w:hint="eastAsia" w:ascii="宋体" w:hAnsi="宋体"/>
          <w:sz w:val="24"/>
        </w:rPr>
        <w:t>分析高交会双微平台建设现状，提出并平台建设优化实施方案，包括但不限于板块设计及视觉优化、自定义回复及菜单优化、整体内容的架构优化、后台用户管理与互动，信息处理、定期检测和维护后台、及时更新信息和数据等。</w:t>
      </w:r>
    </w:p>
    <w:p>
      <w:pPr>
        <w:numPr>
          <w:ilvl w:val="0"/>
          <w:numId w:val="36"/>
        </w:numPr>
        <w:spacing w:line="360" w:lineRule="auto"/>
        <w:ind w:firstLine="480" w:firstLineChars="200"/>
        <w:jc w:val="left"/>
        <w:rPr>
          <w:rFonts w:ascii="宋体" w:hAnsi="宋体"/>
          <w:sz w:val="24"/>
        </w:rPr>
      </w:pPr>
      <w:r>
        <w:rPr>
          <w:rFonts w:hint="eastAsia" w:ascii="宋体" w:hAnsi="宋体"/>
          <w:sz w:val="24"/>
        </w:rPr>
        <w:t>围绕高交会举办的时间及特点，制定分阶段重点宣传目标，内容排期等，特别在每届高交会举办前后，配合招标人专业观众进行引流推广。</w:t>
      </w:r>
    </w:p>
    <w:p>
      <w:pPr>
        <w:numPr>
          <w:ilvl w:val="0"/>
          <w:numId w:val="36"/>
        </w:numPr>
        <w:spacing w:line="360" w:lineRule="auto"/>
        <w:ind w:firstLine="480" w:firstLineChars="200"/>
        <w:jc w:val="left"/>
        <w:rPr>
          <w:rFonts w:ascii="宋体" w:hAnsi="宋体"/>
          <w:sz w:val="24"/>
        </w:rPr>
      </w:pPr>
      <w:r>
        <w:rPr>
          <w:rFonts w:hint="eastAsia" w:ascii="宋体" w:hAnsi="宋体"/>
          <w:sz w:val="24"/>
        </w:rPr>
        <w:t>为本项目安排专业的负责人跟进，并提供专业的服务团队。</w:t>
      </w:r>
    </w:p>
    <w:p>
      <w:pPr>
        <w:numPr>
          <w:ilvl w:val="0"/>
          <w:numId w:val="36"/>
        </w:numPr>
        <w:spacing w:line="360" w:lineRule="auto"/>
        <w:ind w:firstLine="480" w:firstLineChars="200"/>
        <w:jc w:val="left"/>
        <w:rPr>
          <w:rFonts w:ascii="宋体" w:hAnsi="宋体"/>
          <w:sz w:val="24"/>
        </w:rPr>
      </w:pPr>
      <w:r>
        <w:rPr>
          <w:rFonts w:hint="eastAsia" w:ascii="宋体" w:hAnsi="宋体"/>
          <w:sz w:val="24"/>
        </w:rPr>
        <w:t>安排专人对高交会观众服务原有的三个企业微信社群进行维护，保障企业微信的观众咨询服务正常进行，包括但不限于日常信息的处理，高交会信息传播、群里成员的管理等。</w:t>
      </w:r>
    </w:p>
    <w:p>
      <w:pPr>
        <w:numPr>
          <w:ilvl w:val="0"/>
          <w:numId w:val="36"/>
        </w:numPr>
        <w:spacing w:line="360" w:lineRule="auto"/>
        <w:ind w:firstLine="480" w:firstLineChars="200"/>
        <w:jc w:val="left"/>
        <w:rPr>
          <w:rFonts w:ascii="宋体" w:hAnsi="宋体"/>
          <w:sz w:val="24"/>
        </w:rPr>
      </w:pPr>
      <w:r>
        <w:rPr>
          <w:rFonts w:hint="eastAsia" w:ascii="宋体" w:hAnsi="宋体"/>
          <w:sz w:val="24"/>
        </w:rPr>
        <w:t>每个季度提交1次运营分析报告，对于用户画像，图文阅读点赞数据，菜单点击分析等进行复盘优化，并平台运营提出改进意见。</w:t>
      </w:r>
    </w:p>
    <w:p>
      <w:pPr>
        <w:numPr>
          <w:ilvl w:val="0"/>
          <w:numId w:val="36"/>
        </w:numPr>
        <w:spacing w:line="360" w:lineRule="auto"/>
        <w:ind w:firstLine="480" w:firstLineChars="200"/>
        <w:jc w:val="left"/>
        <w:rPr>
          <w:rFonts w:ascii="宋体" w:hAnsi="宋体"/>
          <w:sz w:val="24"/>
        </w:rPr>
      </w:pPr>
      <w:r>
        <w:rPr>
          <w:rFonts w:hint="eastAsia" w:ascii="宋体" w:hAnsi="宋体"/>
          <w:sz w:val="24"/>
        </w:rPr>
        <w:t>提出数据监测方案，包括但不限于实时关注后台数据变化、定期总结问题、调整运营策略、提交汇报。</w:t>
      </w:r>
    </w:p>
    <w:p>
      <w:pPr>
        <w:numPr>
          <w:ilvl w:val="0"/>
          <w:numId w:val="36"/>
        </w:numPr>
        <w:spacing w:line="360" w:lineRule="auto"/>
        <w:ind w:firstLine="480" w:firstLineChars="200"/>
        <w:jc w:val="left"/>
      </w:pPr>
      <w:r>
        <w:rPr>
          <w:rFonts w:hint="eastAsia" w:ascii="宋体" w:hAnsi="宋体"/>
          <w:sz w:val="24"/>
        </w:rPr>
        <w:t>提出舆情监管方案，有专人对双微进行实时的舆情监管，及时处理危机，正确引导舆情。</w:t>
      </w:r>
    </w:p>
    <w:p>
      <w:pPr>
        <w:pStyle w:val="12"/>
        <w:numPr>
          <w:ilvl w:val="0"/>
          <w:numId w:val="33"/>
        </w:numPr>
        <w:rPr>
          <w:rFonts w:ascii="宋体" w:eastAsia="宋体"/>
          <w:sz w:val="24"/>
        </w:rPr>
      </w:pPr>
      <w:r>
        <w:rPr>
          <w:rFonts w:hint="eastAsia" w:ascii="宋体" w:eastAsia="宋体"/>
          <w:sz w:val="24"/>
        </w:rPr>
        <w:t>考核指标及验收标准</w:t>
      </w:r>
    </w:p>
    <w:p>
      <w:pPr>
        <w:spacing w:line="360" w:lineRule="auto"/>
        <w:ind w:firstLine="480" w:firstLineChars="200"/>
        <w:jc w:val="left"/>
        <w:rPr>
          <w:rFonts w:ascii="宋体" w:hAnsi="宋体"/>
          <w:sz w:val="24"/>
        </w:rPr>
      </w:pPr>
      <w:r>
        <w:rPr>
          <w:rFonts w:hint="eastAsia" w:ascii="宋体" w:hAnsi="宋体"/>
          <w:sz w:val="24"/>
        </w:rPr>
        <w:t>1、本项目的运营效果做出具体承诺，包括但不限于以下运营指标:</w:t>
      </w:r>
    </w:p>
    <w:p>
      <w:pPr>
        <w:numPr>
          <w:ilvl w:val="0"/>
          <w:numId w:val="37"/>
        </w:numPr>
        <w:spacing w:line="360" w:lineRule="auto"/>
        <w:ind w:firstLine="480" w:firstLineChars="200"/>
        <w:jc w:val="left"/>
        <w:rPr>
          <w:rFonts w:ascii="宋体" w:hAnsi="宋体"/>
          <w:sz w:val="24"/>
        </w:rPr>
      </w:pPr>
      <w:r>
        <w:rPr>
          <w:rFonts w:hint="eastAsia" w:ascii="宋体" w:hAnsi="宋体"/>
          <w:sz w:val="24"/>
        </w:rPr>
        <w:t>双微发文总数≥150篇（其中主题海报、H5长图≥20张，原创推文≥16篇）</w:t>
      </w:r>
    </w:p>
    <w:p>
      <w:pPr>
        <w:numPr>
          <w:ilvl w:val="0"/>
          <w:numId w:val="37"/>
        </w:numPr>
        <w:spacing w:line="360" w:lineRule="auto"/>
        <w:ind w:firstLine="480" w:firstLineChars="200"/>
        <w:jc w:val="left"/>
        <w:rPr>
          <w:rFonts w:ascii="宋体" w:hAnsi="宋体"/>
          <w:sz w:val="24"/>
        </w:rPr>
      </w:pPr>
      <w:r>
        <w:rPr>
          <w:rFonts w:hint="eastAsia" w:ascii="宋体" w:hAnsi="宋体"/>
          <w:sz w:val="24"/>
        </w:rPr>
        <w:t>双微图文浏览总量 ≥20万PV</w:t>
      </w:r>
    </w:p>
    <w:p>
      <w:pPr>
        <w:numPr>
          <w:ilvl w:val="0"/>
          <w:numId w:val="37"/>
        </w:numPr>
        <w:spacing w:line="360" w:lineRule="auto"/>
        <w:ind w:firstLine="480" w:firstLineChars="200"/>
        <w:jc w:val="left"/>
        <w:rPr>
          <w:rFonts w:ascii="宋体" w:hAnsi="宋体"/>
          <w:sz w:val="24"/>
        </w:rPr>
      </w:pPr>
      <w:r>
        <w:rPr>
          <w:rFonts w:hint="eastAsia" w:ascii="宋体" w:hAnsi="宋体"/>
          <w:sz w:val="24"/>
        </w:rPr>
        <w:t>双微粉丝增长总量 ≥2万人</w:t>
      </w:r>
      <w:r>
        <w:rPr>
          <w:rFonts w:hint="eastAsia" w:ascii="仿宋" w:hAnsi="仿宋" w:eastAsia="仿宋" w:cs="仿宋"/>
        </w:rPr>
        <w:t>（其中微信公众号粉丝不少于1.2万人）</w:t>
      </w:r>
    </w:p>
    <w:p>
      <w:pPr>
        <w:spacing w:line="360" w:lineRule="auto"/>
        <w:ind w:firstLine="480" w:firstLineChars="200"/>
        <w:jc w:val="left"/>
        <w:rPr>
          <w:rFonts w:ascii="宋体" w:hAnsi="宋体"/>
          <w:sz w:val="24"/>
        </w:rPr>
      </w:pPr>
      <w:r>
        <w:rPr>
          <w:rFonts w:hint="eastAsia" w:ascii="宋体" w:hAnsi="宋体"/>
          <w:sz w:val="24"/>
        </w:rPr>
        <w:t>2、甲方将根据公司相关管理制度，每年对乙方已开展工作进行考核评定（即20XX年X月x日提交总结时，须进行履约评价），如未达到继续履行协议标准的将提前终止合作，具体以甲方的履约评价表为准。</w:t>
      </w:r>
    </w:p>
    <w:p>
      <w:pPr>
        <w:numPr>
          <w:ilvl w:val="0"/>
          <w:numId w:val="16"/>
        </w:numPr>
        <w:spacing w:line="360" w:lineRule="auto"/>
        <w:ind w:firstLine="210"/>
        <w:jc w:val="left"/>
        <w:rPr>
          <w:rFonts w:ascii="宋体" w:hAnsi="宋体"/>
          <w:sz w:val="24"/>
        </w:rPr>
      </w:pPr>
      <w:r>
        <w:rPr>
          <w:rFonts w:hint="eastAsia" w:ascii="宋体" w:hAnsi="宋体"/>
          <w:sz w:val="24"/>
        </w:rPr>
        <w:t>按照甲乙双方共同确认的高交会观众服务双微运维方案及相关计划书执行工作，并按月提交运营计划（含每月发文选题、内容创意规划、发文数量、发布排期等），分阶段提交运营效果评估报告及相关数据报表，根据要求提供分次提交每个年度运营总结报告作为验收依据。</w:t>
      </w:r>
    </w:p>
    <w:p>
      <w:pPr>
        <w:spacing w:line="360" w:lineRule="auto"/>
        <w:ind w:firstLine="480" w:firstLineChars="200"/>
        <w:jc w:val="left"/>
        <w:rPr>
          <w:rFonts w:ascii="宋体" w:hAnsi="宋体"/>
          <w:sz w:val="24"/>
        </w:rPr>
      </w:pPr>
      <w:r>
        <w:rPr>
          <w:rFonts w:hint="eastAsia" w:ascii="宋体" w:hAnsi="宋体"/>
          <w:sz w:val="24"/>
        </w:rPr>
        <w:t>4、双微运营期间按甲方要求，每个季度提交1次双微平台运营季度汇报，2年需提交不少于8次平台运营季度汇报作为执行依据。</w:t>
      </w:r>
    </w:p>
    <w:p>
      <w:pPr>
        <w:spacing w:line="360" w:lineRule="auto"/>
        <w:ind w:firstLine="480" w:firstLineChars="200"/>
        <w:jc w:val="left"/>
        <w:rPr>
          <w:rFonts w:ascii="宋体" w:hAnsi="宋体"/>
          <w:sz w:val="24"/>
        </w:rPr>
      </w:pPr>
      <w:r>
        <w:rPr>
          <w:rFonts w:hint="eastAsia" w:ascii="宋体" w:hAnsi="宋体"/>
          <w:sz w:val="24"/>
        </w:rPr>
        <w:t>5、乙方提交的总结报告应包括的内容运营情况及效果总结、用户管理汇报、问题及经验总结、运营效果及数据分析、运营指标完成情况评估、相关数据报表佐证资料（ 如增粉情况、文章阅读量、点击量、曝光量、用户画像分析、活动数据/效果数据等）、数据监测汇报、舆情监管汇报等。</w:t>
      </w:r>
    </w:p>
    <w:p>
      <w:pPr>
        <w:spacing w:line="360" w:lineRule="auto"/>
        <w:ind w:firstLine="480" w:firstLineChars="200"/>
        <w:jc w:val="left"/>
        <w:rPr>
          <w:rFonts w:ascii="宋体" w:hAnsi="宋体"/>
          <w:sz w:val="24"/>
        </w:rPr>
      </w:pPr>
      <w:r>
        <w:rPr>
          <w:rFonts w:hint="eastAsia" w:ascii="宋体" w:hAnsi="宋体"/>
          <w:sz w:val="24"/>
        </w:rPr>
        <w:t>6、以上总结报告等须以WORD或PPT文件形式提交至甲方相关负责人。</w:t>
      </w:r>
    </w:p>
    <w:p>
      <w:pPr>
        <w:spacing w:line="360" w:lineRule="auto"/>
        <w:ind w:firstLine="480" w:firstLineChars="200"/>
        <w:jc w:val="left"/>
        <w:rPr>
          <w:rFonts w:ascii="宋体" w:hAnsi="宋体"/>
          <w:sz w:val="24"/>
        </w:rPr>
      </w:pPr>
    </w:p>
    <w:p>
      <w:pPr>
        <w:numPr>
          <w:ilvl w:val="0"/>
          <w:numId w:val="33"/>
        </w:numPr>
        <w:spacing w:line="360" w:lineRule="auto"/>
        <w:jc w:val="left"/>
        <w:rPr>
          <w:rFonts w:ascii="宋体" w:hAnsi="宋体"/>
          <w:sz w:val="24"/>
        </w:rPr>
      </w:pPr>
      <w:r>
        <w:rPr>
          <w:rFonts w:hint="eastAsia" w:ascii="宋体" w:hAnsi="宋体"/>
          <w:sz w:val="24"/>
        </w:rPr>
        <w:t>服务费用及付费方式</w:t>
      </w:r>
    </w:p>
    <w:p>
      <w:pPr>
        <w:spacing w:line="360" w:lineRule="auto"/>
        <w:ind w:firstLine="480" w:firstLineChars="200"/>
        <w:jc w:val="left"/>
        <w:rPr>
          <w:rFonts w:ascii="宋体" w:hAnsi="宋体"/>
          <w:sz w:val="24"/>
        </w:rPr>
      </w:pPr>
      <w:r>
        <w:rPr>
          <w:rFonts w:hint="eastAsia" w:ascii="宋体" w:hAnsi="宋体"/>
          <w:sz w:val="24"/>
        </w:rPr>
        <w:t>1、服务费用（含税） 共计：_____万元，人民币大</w:t>
      </w:r>
      <w:r>
        <w:rPr>
          <w:rFonts w:hint="eastAsia" w:ascii="宋体" w:hAnsi="宋体"/>
          <w:sz w:val="24"/>
          <w:u w:val="single"/>
        </w:rPr>
        <w:t xml:space="preserve">写     圆整 </w:t>
      </w:r>
    </w:p>
    <w:p>
      <w:pPr>
        <w:spacing w:line="360" w:lineRule="auto"/>
        <w:ind w:firstLine="480" w:firstLineChars="200"/>
        <w:jc w:val="left"/>
        <w:rPr>
          <w:rFonts w:ascii="宋体" w:hAnsi="宋体"/>
          <w:sz w:val="24"/>
        </w:rPr>
      </w:pPr>
      <w:r>
        <w:rPr>
          <w:rFonts w:hint="eastAsia" w:ascii="宋体" w:hAnsi="宋体"/>
          <w:sz w:val="24"/>
        </w:rPr>
        <w:t>2、付费方式：</w:t>
      </w:r>
    </w:p>
    <w:p>
      <w:pPr>
        <w:numPr>
          <w:ilvl w:val="0"/>
          <w:numId w:val="38"/>
        </w:numPr>
        <w:spacing w:line="360" w:lineRule="auto"/>
        <w:jc w:val="left"/>
        <w:rPr>
          <w:rFonts w:ascii="宋体" w:hAnsi="宋体"/>
          <w:sz w:val="24"/>
        </w:rPr>
      </w:pPr>
      <w:r>
        <w:rPr>
          <w:rFonts w:hint="eastAsia" w:ascii="宋体" w:hAnsi="宋体"/>
          <w:sz w:val="24"/>
        </w:rPr>
        <w:t>本项目分二次付款，双方签订合同后十五个工作日内，甲方向乙方支付合同总金额的25%，即人民币_____，大写：________；</w:t>
      </w:r>
    </w:p>
    <w:p>
      <w:pPr>
        <w:numPr>
          <w:ilvl w:val="0"/>
          <w:numId w:val="38"/>
        </w:numPr>
        <w:spacing w:line="360" w:lineRule="auto"/>
        <w:jc w:val="left"/>
        <w:rPr>
          <w:rFonts w:ascii="宋体" w:hAnsi="宋体"/>
          <w:sz w:val="24"/>
        </w:rPr>
      </w:pPr>
      <w:r>
        <w:rPr>
          <w:rFonts w:hint="eastAsia" w:ascii="宋体" w:hAnsi="宋体"/>
          <w:sz w:val="24"/>
        </w:rPr>
        <w:t>年度合同期满前，中标人须提前1个月提交该年度的代运营工作总结，招标人根据中标人提交的本期工作总结，结合合同要求，审核并确认后向中标人支付年度合同金额的75%,即人民币_____，大写：________；</w:t>
      </w:r>
    </w:p>
    <w:p>
      <w:pPr>
        <w:numPr>
          <w:ilvl w:val="0"/>
          <w:numId w:val="38"/>
        </w:numPr>
        <w:spacing w:line="360" w:lineRule="auto"/>
        <w:jc w:val="left"/>
        <w:rPr>
          <w:rFonts w:hint="eastAsia" w:eastAsia="宋体"/>
          <w:lang w:eastAsia="zh-CN"/>
        </w:rPr>
      </w:pPr>
      <w:r>
        <w:rPr>
          <w:rFonts w:hint="eastAsia" w:ascii="宋体" w:hAnsi="宋体"/>
          <w:sz w:val="24"/>
        </w:rPr>
        <w:t>如每年总结乙方未能达成本项相关运营工作指标，且影响整体工作成效，经审核确认无误，甲方将扣除合同总金额的5%。</w:t>
      </w:r>
    </w:p>
    <w:p>
      <w:pPr>
        <w:numPr>
          <w:ilvl w:val="0"/>
          <w:numId w:val="39"/>
        </w:numPr>
        <w:spacing w:line="360" w:lineRule="auto"/>
        <w:ind w:firstLine="480" w:firstLineChars="200"/>
        <w:jc w:val="left"/>
        <w:rPr>
          <w:rFonts w:ascii="宋体" w:hAnsi="宋体"/>
          <w:sz w:val="24"/>
        </w:rPr>
      </w:pPr>
      <w:r>
        <w:rPr>
          <w:rFonts w:hint="eastAsia" w:ascii="宋体" w:hAnsi="宋体"/>
          <w:sz w:val="24"/>
          <w:lang w:val="zh-TW" w:eastAsia="zh-TW"/>
        </w:rPr>
        <w:t>甲方支付款项前，乙方应向甲方开具等额完税增值税专用发票</w:t>
      </w: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4、乙方指定账号</w:t>
      </w:r>
    </w:p>
    <w:p>
      <w:pPr>
        <w:spacing w:line="360" w:lineRule="auto"/>
        <w:ind w:firstLine="480" w:firstLineChars="200"/>
        <w:jc w:val="left"/>
        <w:rPr>
          <w:rFonts w:ascii="宋体" w:hAnsi="宋体"/>
          <w:sz w:val="24"/>
        </w:rPr>
      </w:pPr>
      <w:r>
        <w:rPr>
          <w:rFonts w:hint="eastAsia" w:ascii="宋体" w:hAnsi="宋体"/>
          <w:sz w:val="24"/>
        </w:rPr>
        <w:t xml:space="preserve">  户名：</w:t>
      </w:r>
    </w:p>
    <w:p>
      <w:pPr>
        <w:spacing w:line="360" w:lineRule="auto"/>
        <w:ind w:firstLine="480" w:firstLineChars="200"/>
        <w:jc w:val="left"/>
        <w:rPr>
          <w:rFonts w:ascii="宋体" w:hAnsi="宋体"/>
          <w:sz w:val="24"/>
        </w:rPr>
      </w:pPr>
      <w:r>
        <w:rPr>
          <w:rFonts w:hint="eastAsia" w:ascii="宋体" w:hAnsi="宋体"/>
          <w:sz w:val="24"/>
        </w:rPr>
        <w:t xml:space="preserve">  支行：</w:t>
      </w:r>
    </w:p>
    <w:p>
      <w:pPr>
        <w:spacing w:line="360" w:lineRule="auto"/>
        <w:ind w:firstLine="480" w:firstLineChars="200"/>
        <w:jc w:val="left"/>
        <w:rPr>
          <w:rFonts w:ascii="宋体" w:hAnsi="宋体"/>
          <w:sz w:val="24"/>
        </w:rPr>
      </w:pPr>
      <w:r>
        <w:rPr>
          <w:rFonts w:hint="eastAsia" w:ascii="宋体" w:hAnsi="宋体"/>
          <w:sz w:val="24"/>
        </w:rPr>
        <w:t xml:space="preserve">  账号：</w:t>
      </w:r>
    </w:p>
    <w:p>
      <w:pPr>
        <w:pStyle w:val="12"/>
        <w:ind w:left="420"/>
        <w:rPr>
          <w:rFonts w:ascii="宋体" w:eastAsia="宋体"/>
          <w:sz w:val="24"/>
        </w:rPr>
      </w:pPr>
    </w:p>
    <w:p>
      <w:pPr>
        <w:pStyle w:val="12"/>
        <w:numPr>
          <w:ilvl w:val="0"/>
          <w:numId w:val="33"/>
        </w:numPr>
        <w:rPr>
          <w:rFonts w:ascii="宋体" w:eastAsia="宋体"/>
          <w:sz w:val="24"/>
        </w:rPr>
      </w:pPr>
      <w:r>
        <w:rPr>
          <w:rFonts w:hint="eastAsia" w:ascii="宋体" w:eastAsia="宋体"/>
          <w:sz w:val="24"/>
        </w:rPr>
        <w:t>甲方的权利及义务</w:t>
      </w:r>
    </w:p>
    <w:p>
      <w:pPr>
        <w:numPr>
          <w:ilvl w:val="0"/>
          <w:numId w:val="40"/>
        </w:numPr>
        <w:spacing w:line="360" w:lineRule="auto"/>
        <w:ind w:firstLine="480" w:firstLineChars="200"/>
        <w:jc w:val="left"/>
        <w:rPr>
          <w:rFonts w:ascii="宋体" w:hAnsi="宋体"/>
          <w:sz w:val="24"/>
        </w:rPr>
      </w:pPr>
      <w:r>
        <w:rPr>
          <w:rFonts w:hint="eastAsia" w:ascii="宋体" w:hAnsi="宋体"/>
          <w:sz w:val="24"/>
        </w:rPr>
        <w:t>甲方有权要求乙方所提供服务不背离甲方品牌文化和VI体系规划。</w:t>
      </w:r>
    </w:p>
    <w:p>
      <w:pPr>
        <w:numPr>
          <w:ilvl w:val="0"/>
          <w:numId w:val="40"/>
        </w:numPr>
        <w:spacing w:line="360" w:lineRule="auto"/>
        <w:ind w:firstLine="480" w:firstLineChars="200"/>
        <w:jc w:val="left"/>
        <w:rPr>
          <w:rFonts w:ascii="宋体" w:hAnsi="宋体"/>
          <w:sz w:val="24"/>
        </w:rPr>
      </w:pPr>
      <w:r>
        <w:rPr>
          <w:rFonts w:hint="eastAsia" w:ascii="宋体" w:hAnsi="宋体"/>
          <w:sz w:val="24"/>
        </w:rPr>
        <w:t>甲方有权对乙方实施本项目的过程进行监督，并就相关实施内容提供合理的建议，乙方应当根据甲方所提的合理建议随时进行修正。</w:t>
      </w:r>
    </w:p>
    <w:p>
      <w:pPr>
        <w:spacing w:line="360" w:lineRule="auto"/>
        <w:ind w:firstLine="480" w:firstLineChars="200"/>
        <w:jc w:val="left"/>
        <w:rPr>
          <w:rFonts w:ascii="宋体" w:hAnsi="宋体"/>
          <w:sz w:val="24"/>
        </w:rPr>
      </w:pPr>
      <w:r>
        <w:rPr>
          <w:rFonts w:hint="eastAsia" w:ascii="宋体" w:hAnsi="宋体"/>
          <w:sz w:val="24"/>
        </w:rPr>
        <w:t>3、针对双方都认可的运行方案和执行计划，甲方应根据乙方需要及时提供推文素材等资料，并保证提供的资料准确、完整、合法且真实。</w:t>
      </w:r>
    </w:p>
    <w:p>
      <w:pPr>
        <w:spacing w:line="360" w:lineRule="auto"/>
        <w:ind w:firstLine="480" w:firstLineChars="200"/>
        <w:jc w:val="left"/>
        <w:rPr>
          <w:rFonts w:ascii="宋体" w:hAnsi="宋体"/>
          <w:sz w:val="24"/>
        </w:rPr>
      </w:pPr>
      <w:r>
        <w:rPr>
          <w:rFonts w:hint="eastAsia" w:ascii="宋体" w:hAnsi="宋体"/>
          <w:sz w:val="24"/>
        </w:rPr>
        <w:t>4、甲方根据乙方运营工作的实际需求，向乙方提供一定数量的礼品和高交会电子票用于推送及吸粉活动。</w:t>
      </w:r>
    </w:p>
    <w:p>
      <w:pPr>
        <w:spacing w:line="360" w:lineRule="auto"/>
        <w:ind w:firstLine="480" w:firstLineChars="200"/>
        <w:jc w:val="left"/>
        <w:rPr>
          <w:rFonts w:ascii="宋体" w:hAnsi="宋体"/>
          <w:sz w:val="24"/>
        </w:rPr>
      </w:pPr>
      <w:r>
        <w:rPr>
          <w:rFonts w:hint="eastAsia" w:ascii="宋体" w:hAnsi="宋体"/>
          <w:sz w:val="24"/>
        </w:rPr>
        <w:t>5、根据本协议第六条之规定，按时向乙方支付服务费。</w:t>
      </w:r>
    </w:p>
    <w:p>
      <w:pPr>
        <w:spacing w:line="360" w:lineRule="auto"/>
        <w:ind w:firstLine="480" w:firstLineChars="200"/>
        <w:jc w:val="left"/>
        <w:rPr>
          <w:rFonts w:ascii="宋体" w:hAnsi="宋体"/>
          <w:sz w:val="24"/>
        </w:rPr>
      </w:pPr>
      <w:r>
        <w:rPr>
          <w:rFonts w:hint="eastAsia" w:ascii="宋体" w:hAnsi="宋体"/>
          <w:sz w:val="24"/>
        </w:rPr>
        <w:t>6、甲方对乙方所有成果拥有审核确定权，所有乙方提交至甲方的设计、方案等工作成果和智力成果的版权等知识产权、所有权全部归甲方。</w:t>
      </w:r>
    </w:p>
    <w:p>
      <w:pPr>
        <w:numPr>
          <w:ilvl w:val="0"/>
          <w:numId w:val="33"/>
        </w:numPr>
        <w:spacing w:line="360" w:lineRule="auto"/>
        <w:jc w:val="left"/>
        <w:rPr>
          <w:rFonts w:ascii="宋体" w:hAnsi="宋体"/>
          <w:sz w:val="24"/>
        </w:rPr>
      </w:pPr>
      <w:r>
        <w:rPr>
          <w:rFonts w:hint="eastAsia" w:ascii="宋体" w:hAnsi="宋体"/>
          <w:sz w:val="24"/>
        </w:rPr>
        <w:t>乙方的权利及义务</w:t>
      </w:r>
    </w:p>
    <w:p>
      <w:pPr>
        <w:numPr>
          <w:ilvl w:val="0"/>
          <w:numId w:val="41"/>
        </w:numPr>
        <w:spacing w:line="360" w:lineRule="auto"/>
        <w:ind w:firstLine="480" w:firstLineChars="200"/>
        <w:jc w:val="left"/>
        <w:rPr>
          <w:rFonts w:ascii="宋体" w:hAnsi="宋体"/>
          <w:sz w:val="24"/>
        </w:rPr>
      </w:pPr>
      <w:r>
        <w:rPr>
          <w:rFonts w:hint="eastAsia" w:ascii="宋体" w:hAnsi="宋体"/>
          <w:sz w:val="24"/>
        </w:rPr>
        <w:t>乙方应根据甲方需求，在规定时间内据此协议提供各项服务，保证向甲方提供的工作成果和智力成果完全符合中国国家及地方相关法律法规的要求，不存在侵犯任何第三方合法权益的情形，并保证所提供的各项服务的质量。</w:t>
      </w:r>
    </w:p>
    <w:p>
      <w:pPr>
        <w:numPr>
          <w:ilvl w:val="0"/>
          <w:numId w:val="41"/>
        </w:numPr>
        <w:spacing w:line="360" w:lineRule="auto"/>
        <w:ind w:firstLine="480" w:firstLineChars="200"/>
        <w:jc w:val="left"/>
        <w:rPr>
          <w:rFonts w:ascii="宋体" w:hAnsi="宋体"/>
          <w:sz w:val="24"/>
        </w:rPr>
      </w:pPr>
      <w:r>
        <w:rPr>
          <w:rFonts w:hint="eastAsia" w:ascii="宋体" w:hAnsi="宋体"/>
          <w:sz w:val="24"/>
        </w:rPr>
        <w:t>乙方应秉持原创精神、严禁抄袭，保证提供给甲方的图文内容、视频、H5、海报等推广材料的合法性、合理性，并结合当届高交会主题，有高科技风范，体现出高交会的独特魅力和科技正能量；二次创作的图文内容保证来源出自高交会官方发布渠道；转载转发内容需保证来源的合法性，并获得转载权、注明出处。</w:t>
      </w:r>
    </w:p>
    <w:p>
      <w:pPr>
        <w:spacing w:line="360" w:lineRule="auto"/>
        <w:ind w:firstLine="480" w:firstLineChars="200"/>
        <w:jc w:val="left"/>
        <w:rPr>
          <w:rFonts w:ascii="宋体" w:hAnsi="宋体"/>
          <w:sz w:val="24"/>
        </w:rPr>
      </w:pPr>
      <w:r>
        <w:rPr>
          <w:rFonts w:hint="eastAsia" w:ascii="宋体" w:hAnsi="宋体"/>
          <w:sz w:val="24"/>
        </w:rPr>
        <w:t>3、乙方应不断提高自身服务水平，为甲方创造更多的价值。</w:t>
      </w:r>
    </w:p>
    <w:p>
      <w:pPr>
        <w:spacing w:line="360" w:lineRule="auto"/>
        <w:ind w:firstLine="480" w:firstLineChars="200"/>
        <w:jc w:val="left"/>
        <w:rPr>
          <w:rFonts w:ascii="宋体" w:hAnsi="宋体"/>
          <w:sz w:val="24"/>
        </w:rPr>
      </w:pPr>
      <w:r>
        <w:rPr>
          <w:rFonts w:hint="eastAsia" w:ascii="宋体" w:hAnsi="宋体"/>
          <w:sz w:val="24"/>
        </w:rPr>
        <w:t>4、针对甲方对乙方提供服务所提出的建议、意见或投诉，乙方应快速响应，及时处理，共同商讨及寻找最优解决办法。</w:t>
      </w:r>
    </w:p>
    <w:p>
      <w:pPr>
        <w:spacing w:line="360" w:lineRule="auto"/>
        <w:ind w:firstLine="480" w:firstLineChars="200"/>
        <w:jc w:val="left"/>
        <w:rPr>
          <w:rFonts w:ascii="宋体" w:hAnsi="宋体"/>
          <w:sz w:val="24"/>
        </w:rPr>
      </w:pPr>
      <w:r>
        <w:rPr>
          <w:rFonts w:hint="eastAsia" w:ascii="宋体" w:hAnsi="宋体"/>
          <w:sz w:val="24"/>
        </w:rPr>
        <w:t>5、未经甲方书面允许，乙方不得将甲方提供的素材文件用于除了本协议用途之外的其他商业项目上。</w:t>
      </w:r>
    </w:p>
    <w:p>
      <w:pPr>
        <w:spacing w:line="360" w:lineRule="auto"/>
        <w:ind w:firstLine="480" w:firstLineChars="200"/>
        <w:jc w:val="left"/>
        <w:rPr>
          <w:rFonts w:ascii="宋体" w:hAnsi="宋体"/>
          <w:sz w:val="24"/>
        </w:rPr>
      </w:pPr>
      <w:r>
        <w:rPr>
          <w:rFonts w:hint="eastAsia" w:ascii="宋体" w:hAnsi="宋体"/>
          <w:sz w:val="24"/>
        </w:rPr>
        <w:t>6、乙方应根据疫情防控办的最新要求配合甲方做好疫情防控工作，与甲方签订防疫安全责任书，保证乙方服务人员均符合甲方的防疫要求，保证在甲方场地举办活动期间，严格遵守甲方安全生产的要求，同时乙方应对服务人员的进行安全及相关事项的培训。</w:t>
      </w:r>
    </w:p>
    <w:p>
      <w:pPr>
        <w:spacing w:line="360" w:lineRule="auto"/>
        <w:ind w:firstLine="480" w:firstLineChars="200"/>
        <w:jc w:val="left"/>
        <w:rPr>
          <w:rFonts w:ascii="宋体" w:hAnsi="宋体"/>
          <w:sz w:val="24"/>
        </w:rPr>
      </w:pPr>
      <w:r>
        <w:rPr>
          <w:rFonts w:hint="eastAsia" w:ascii="宋体" w:hAnsi="宋体"/>
          <w:sz w:val="24"/>
        </w:rPr>
        <w:t>7、乙方保证在本协议有效期内完全具备履行和完成本协议项下全部约定义务的合法有效资质，并按时按质提供相关的总结数据报告。</w:t>
      </w:r>
    </w:p>
    <w:p>
      <w:pPr>
        <w:numPr>
          <w:ilvl w:val="0"/>
          <w:numId w:val="33"/>
        </w:numPr>
        <w:spacing w:line="360" w:lineRule="auto"/>
        <w:jc w:val="left"/>
        <w:rPr>
          <w:rFonts w:ascii="宋体" w:hAnsi="宋体"/>
          <w:sz w:val="24"/>
        </w:rPr>
      </w:pPr>
      <w:r>
        <w:rPr>
          <w:rFonts w:hint="eastAsia" w:ascii="宋体" w:hAnsi="宋体"/>
          <w:sz w:val="24"/>
        </w:rPr>
        <w:t>保密条款</w:t>
      </w:r>
    </w:p>
    <w:p>
      <w:pPr>
        <w:spacing w:line="360" w:lineRule="auto"/>
        <w:ind w:firstLine="480" w:firstLineChars="200"/>
        <w:jc w:val="left"/>
        <w:rPr>
          <w:rFonts w:ascii="宋体" w:hAnsi="宋体"/>
          <w:sz w:val="24"/>
        </w:rPr>
      </w:pPr>
      <w:r>
        <w:rPr>
          <w:rFonts w:hint="eastAsia" w:ascii="宋体" w:hAnsi="宋体"/>
          <w:sz w:val="24"/>
        </w:rPr>
        <w:t>1、甲方承诺，对乙方提供的一切资料及其它商业秘密和乙方为甲方制作的战略方案、传播方案等所有服务项目履行保密义务。</w:t>
      </w:r>
    </w:p>
    <w:p>
      <w:pPr>
        <w:spacing w:line="360" w:lineRule="auto"/>
        <w:ind w:firstLine="480" w:firstLineChars="200"/>
        <w:jc w:val="left"/>
        <w:rPr>
          <w:rFonts w:ascii="宋体" w:hAnsi="宋体"/>
          <w:sz w:val="24"/>
        </w:rPr>
      </w:pPr>
      <w:r>
        <w:rPr>
          <w:rFonts w:hint="eastAsia" w:ascii="宋体" w:hAnsi="宋体"/>
          <w:sz w:val="24"/>
        </w:rPr>
        <w:t>2、乙方承诺，对甲方提供的一切资料和信息履行保密义务，绝不私自截留、披露或外泄与本项目相关的资料以及运行过程中所获取或接触的任何信息及数据。</w:t>
      </w:r>
    </w:p>
    <w:p>
      <w:pPr>
        <w:numPr>
          <w:ilvl w:val="0"/>
          <w:numId w:val="33"/>
        </w:numPr>
        <w:spacing w:line="360" w:lineRule="auto"/>
        <w:jc w:val="left"/>
        <w:rPr>
          <w:rFonts w:ascii="宋体" w:hAnsi="宋体"/>
          <w:sz w:val="24"/>
        </w:rPr>
      </w:pPr>
      <w:r>
        <w:rPr>
          <w:rFonts w:hint="eastAsia" w:ascii="宋体" w:hAnsi="宋体"/>
          <w:sz w:val="24"/>
        </w:rPr>
        <w:t>解决争议的办法</w:t>
      </w:r>
    </w:p>
    <w:p>
      <w:pPr>
        <w:spacing w:line="360" w:lineRule="auto"/>
        <w:ind w:firstLine="480" w:firstLineChars="200"/>
        <w:jc w:val="left"/>
        <w:rPr>
          <w:rFonts w:ascii="宋体" w:hAnsi="宋体"/>
          <w:sz w:val="24"/>
        </w:rPr>
      </w:pPr>
      <w:r>
        <w:rPr>
          <w:rFonts w:hint="eastAsia" w:ascii="宋体" w:hAnsi="宋体"/>
          <w:sz w:val="24"/>
        </w:rPr>
        <w:t>1、本合同履行过程中发生的与本合同有关的一切争议，双方应通过友好协商解决；协商不能达成一致意见的，任何一方均可向深圳市人民法院提起诉讼。</w:t>
      </w:r>
    </w:p>
    <w:p>
      <w:pPr>
        <w:spacing w:line="360" w:lineRule="auto"/>
        <w:ind w:firstLine="480" w:firstLineChars="200"/>
        <w:jc w:val="left"/>
        <w:rPr>
          <w:rFonts w:ascii="宋体" w:hAnsi="宋体"/>
          <w:sz w:val="24"/>
        </w:rPr>
      </w:pPr>
      <w:r>
        <w:rPr>
          <w:rFonts w:hint="eastAsia" w:ascii="宋体" w:hAnsi="宋体"/>
          <w:sz w:val="24"/>
        </w:rPr>
        <w:t>2、若因为不可抗力导致合作取消或无法继续执行，双方应遵循公平合理原则，就已发生合作部分及已发生预付款项等事宜进行协商解决。本协议所称之“不可抗力”是指不能预见、不能避免并不能克服的客观情况，该等情况妨碍、影响或延误一方或双方根据协议履行其全部或部分义务，包括新冠病毒肺炎疫情防控、突发公共卫生事件、地震、海啸、水灾、台风、暴动骚乱、罢工、恐怖袭击、战争等。</w:t>
      </w:r>
    </w:p>
    <w:p>
      <w:pPr>
        <w:numPr>
          <w:ilvl w:val="0"/>
          <w:numId w:val="33"/>
        </w:numPr>
        <w:spacing w:line="360" w:lineRule="auto"/>
        <w:jc w:val="left"/>
        <w:rPr>
          <w:rFonts w:ascii="宋体" w:hAnsi="宋体"/>
          <w:sz w:val="24"/>
        </w:rPr>
      </w:pPr>
      <w:r>
        <w:rPr>
          <w:rFonts w:hint="eastAsia" w:ascii="宋体" w:hAnsi="宋体"/>
          <w:sz w:val="24"/>
        </w:rPr>
        <w:t>附则</w:t>
      </w:r>
    </w:p>
    <w:p>
      <w:pPr>
        <w:spacing w:line="360" w:lineRule="auto"/>
        <w:ind w:firstLine="480" w:firstLineChars="200"/>
        <w:jc w:val="left"/>
        <w:rPr>
          <w:rFonts w:ascii="宋体" w:hAnsi="宋体"/>
          <w:sz w:val="24"/>
        </w:rPr>
      </w:pPr>
      <w:r>
        <w:rPr>
          <w:rFonts w:hint="eastAsia" w:ascii="宋体" w:hAnsi="宋体"/>
          <w:sz w:val="24"/>
        </w:rPr>
        <w:t>1、本合同未尽事宜及修改，由双方友好协商，以签署补充协议的方式确定。</w:t>
      </w:r>
    </w:p>
    <w:p>
      <w:pPr>
        <w:spacing w:line="360" w:lineRule="auto"/>
        <w:ind w:firstLine="480" w:firstLineChars="200"/>
        <w:jc w:val="left"/>
        <w:rPr>
          <w:rFonts w:ascii="宋体" w:hAnsi="宋体"/>
          <w:sz w:val="24"/>
        </w:rPr>
      </w:pPr>
      <w:r>
        <w:rPr>
          <w:rFonts w:hint="eastAsia" w:ascii="宋体" w:hAnsi="宋体"/>
          <w:sz w:val="24"/>
        </w:rPr>
        <w:t>2、本合同一式</w:t>
      </w:r>
      <w:r>
        <w:rPr>
          <w:rFonts w:hint="eastAsia" w:ascii="宋体" w:hAnsi="宋体"/>
          <w:b/>
          <w:bCs/>
          <w:sz w:val="24"/>
          <w:u w:val="single"/>
        </w:rPr>
        <w:t>肆</w:t>
      </w:r>
      <w:r>
        <w:rPr>
          <w:rFonts w:hint="eastAsia" w:ascii="宋体" w:hAnsi="宋体"/>
          <w:sz w:val="24"/>
        </w:rPr>
        <w:t>份，由甲乙双方各执</w:t>
      </w:r>
      <w:r>
        <w:rPr>
          <w:rFonts w:hint="eastAsia" w:ascii="宋体" w:hAnsi="宋体"/>
          <w:b/>
          <w:bCs/>
          <w:sz w:val="24"/>
          <w:u w:val="single"/>
        </w:rPr>
        <w:t>贰</w:t>
      </w:r>
      <w:r>
        <w:rPr>
          <w:rFonts w:hint="eastAsia" w:ascii="宋体" w:hAnsi="宋体"/>
          <w:sz w:val="24"/>
        </w:rPr>
        <w:t>份，均具有同等法律效力，在甲乙双方授权代表签字并盖章之日起生效。</w:t>
      </w:r>
    </w:p>
    <w:p>
      <w:pPr>
        <w:spacing w:line="360" w:lineRule="auto"/>
        <w:ind w:firstLine="480" w:firstLineChars="200"/>
        <w:jc w:val="left"/>
        <w:rPr>
          <w:rFonts w:ascii="宋体" w:hAnsi="宋体"/>
          <w:sz w:val="24"/>
        </w:rPr>
      </w:pPr>
      <w:r>
        <w:rPr>
          <w:rFonts w:hint="eastAsia" w:ascii="宋体" w:hAnsi="宋体"/>
          <w:sz w:val="24"/>
        </w:rPr>
        <w:t>3、其他约定</w:t>
      </w:r>
      <w:r>
        <w:rPr>
          <w:rFonts w:hint="eastAsia" w:ascii="宋体" w:hAnsi="宋体"/>
          <w:sz w:val="24"/>
          <w:u w:val="single"/>
        </w:rPr>
        <w:t xml:space="preserve">：  本合同附件与合同原件具有同等法律效力        </w:t>
      </w:r>
      <w:r>
        <w:rPr>
          <w:rFonts w:hint="eastAsia" w:ascii="宋体" w:hAnsi="宋体"/>
          <w:sz w:val="24"/>
        </w:rPr>
        <w:t xml:space="preserve"> 。</w:t>
      </w:r>
    </w:p>
    <w:p>
      <w:pPr>
        <w:spacing w:line="360" w:lineRule="auto"/>
        <w:ind w:firstLine="480" w:firstLineChars="200"/>
        <w:jc w:val="left"/>
        <w:rPr>
          <w:rFonts w:ascii="仿宋_GB2312" w:hAnsi="仿宋_GB2312" w:eastAsia="仿宋_GB2312" w:cs="仿宋_GB2312"/>
          <w:sz w:val="24"/>
        </w:rPr>
      </w:pPr>
      <w:r>
        <w:rPr>
          <w:rFonts w:hint="eastAsia" w:ascii="宋体" w:hAnsi="宋体"/>
          <w:sz w:val="24"/>
        </w:rPr>
        <w:t>4、本合同</w:t>
      </w:r>
      <w:r>
        <w:rPr>
          <w:rFonts w:hint="eastAsia" w:ascii="宋体" w:hAnsi="宋体"/>
          <w:sz w:val="24"/>
          <w:u w:val="single"/>
        </w:rPr>
        <w:t>自即日起至 20xx 年x月 x日止</w:t>
      </w:r>
      <w:r>
        <w:rPr>
          <w:rFonts w:hint="eastAsia" w:ascii="宋体" w:hAnsi="宋体"/>
          <w:sz w:val="24"/>
        </w:rPr>
        <w:t>结束，合同有效时间依照实际时间为准。</w:t>
      </w:r>
    </w:p>
    <w:p>
      <w:pPr>
        <w:pStyle w:val="12"/>
      </w:pPr>
    </w:p>
    <w:p>
      <w:pPr>
        <w:pStyle w:val="12"/>
      </w:pPr>
    </w:p>
    <w:tbl>
      <w:tblPr>
        <w:tblStyle w:val="16"/>
        <w:tblW w:w="15271"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307"/>
        <w:gridCol w:w="4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8" w:hRule="atLeast"/>
        </w:trPr>
        <w:tc>
          <w:tcPr>
            <w:tcW w:w="10307" w:type="dxa"/>
            <w:noWrap/>
          </w:tcPr>
          <w:p>
            <w:pPr>
              <w:pStyle w:val="12"/>
              <w:rPr>
                <w:rFonts w:ascii="宋体" w:eastAsia="宋体"/>
                <w:sz w:val="24"/>
              </w:rPr>
            </w:pPr>
            <w:r>
              <w:rPr>
                <w:rFonts w:hint="eastAsia" w:ascii="宋体" w:eastAsia="宋体"/>
                <w:sz w:val="24"/>
              </w:rPr>
              <w:t>甲方（公章）：深圳会展中心管理有限责任公司</w:t>
            </w:r>
          </w:p>
          <w:p>
            <w:pPr>
              <w:pStyle w:val="12"/>
              <w:rPr>
                <w:rFonts w:ascii="宋体" w:eastAsia="宋体"/>
                <w:sz w:val="24"/>
              </w:rPr>
            </w:pPr>
          </w:p>
          <w:p>
            <w:pPr>
              <w:pStyle w:val="12"/>
              <w:rPr>
                <w:rFonts w:ascii="宋体" w:eastAsia="宋体"/>
                <w:sz w:val="24"/>
                <w:u w:val="single"/>
              </w:rPr>
            </w:pPr>
            <w:r>
              <w:rPr>
                <w:rFonts w:hint="eastAsia" w:ascii="宋体" w:eastAsia="宋体"/>
                <w:sz w:val="24"/>
              </w:rPr>
              <w:t>甲方代表：</w:t>
            </w:r>
          </w:p>
          <w:p>
            <w:pPr>
              <w:pStyle w:val="12"/>
              <w:rPr>
                <w:rFonts w:ascii="宋体" w:eastAsia="宋体"/>
                <w:sz w:val="24"/>
              </w:rPr>
            </w:pPr>
          </w:p>
          <w:p>
            <w:pPr>
              <w:pStyle w:val="12"/>
              <w:rPr>
                <w:rFonts w:ascii="宋体" w:eastAsia="宋体"/>
                <w:sz w:val="24"/>
                <w:u w:val="single"/>
              </w:rPr>
            </w:pPr>
            <w:r>
              <w:rPr>
                <w:rFonts w:hint="eastAsia" w:ascii="宋体" w:eastAsia="宋体"/>
                <w:sz w:val="24"/>
              </w:rPr>
              <w:t>联系电话：</w:t>
            </w:r>
          </w:p>
          <w:p>
            <w:pPr>
              <w:pStyle w:val="12"/>
              <w:rPr>
                <w:rFonts w:ascii="宋体" w:eastAsia="宋体"/>
                <w:sz w:val="24"/>
              </w:rPr>
            </w:pPr>
          </w:p>
          <w:p>
            <w:pPr>
              <w:pStyle w:val="12"/>
              <w:rPr>
                <w:rFonts w:ascii="宋体" w:eastAsia="宋体"/>
                <w:sz w:val="24"/>
              </w:rPr>
            </w:pPr>
          </w:p>
          <w:p>
            <w:pPr>
              <w:pStyle w:val="12"/>
              <w:rPr>
                <w:rFonts w:ascii="宋体" w:eastAsia="宋体"/>
                <w:sz w:val="24"/>
              </w:rPr>
            </w:pPr>
          </w:p>
          <w:p>
            <w:pPr>
              <w:pStyle w:val="12"/>
              <w:rPr>
                <w:rFonts w:ascii="宋体" w:eastAsia="宋体"/>
                <w:sz w:val="24"/>
                <w:u w:val="single"/>
              </w:rPr>
            </w:pPr>
            <w:r>
              <w:rPr>
                <w:rFonts w:hint="eastAsia" w:ascii="宋体" w:eastAsia="宋体"/>
                <w:sz w:val="24"/>
              </w:rPr>
              <w:t>乙方（公章）：</w:t>
            </w:r>
          </w:p>
          <w:p>
            <w:pPr>
              <w:pStyle w:val="12"/>
              <w:rPr>
                <w:rFonts w:ascii="宋体" w:eastAsia="宋体"/>
                <w:sz w:val="24"/>
              </w:rPr>
            </w:pPr>
          </w:p>
          <w:p>
            <w:pPr>
              <w:pStyle w:val="12"/>
              <w:rPr>
                <w:rFonts w:ascii="宋体" w:eastAsia="宋体"/>
                <w:sz w:val="24"/>
                <w:u w:val="single"/>
              </w:rPr>
            </w:pPr>
            <w:r>
              <w:rPr>
                <w:rFonts w:hint="eastAsia" w:ascii="宋体" w:eastAsia="宋体"/>
                <w:sz w:val="24"/>
              </w:rPr>
              <w:t>乙方代表：</w:t>
            </w:r>
          </w:p>
          <w:p>
            <w:pPr>
              <w:pStyle w:val="12"/>
              <w:rPr>
                <w:rFonts w:ascii="宋体" w:eastAsia="宋体"/>
                <w:sz w:val="24"/>
              </w:rPr>
            </w:pPr>
          </w:p>
          <w:p>
            <w:pPr>
              <w:pStyle w:val="12"/>
              <w:rPr>
                <w:rFonts w:ascii="宋体" w:eastAsia="宋体"/>
                <w:sz w:val="24"/>
                <w:u w:val="single"/>
              </w:rPr>
            </w:pPr>
            <w:r>
              <w:rPr>
                <w:rFonts w:hint="eastAsia" w:ascii="宋体" w:eastAsia="宋体"/>
                <w:sz w:val="24"/>
              </w:rPr>
              <w:t>联系电话：</w:t>
            </w:r>
          </w:p>
          <w:p>
            <w:pPr>
              <w:pStyle w:val="12"/>
              <w:rPr>
                <w:rFonts w:ascii="宋体" w:eastAsia="宋体"/>
                <w:sz w:val="24"/>
              </w:rPr>
            </w:pPr>
          </w:p>
          <w:p>
            <w:pPr>
              <w:pStyle w:val="12"/>
              <w:rPr>
                <w:rFonts w:ascii="宋体" w:eastAsia="宋体"/>
                <w:sz w:val="24"/>
              </w:rPr>
            </w:pPr>
          </w:p>
          <w:p>
            <w:pPr>
              <w:pStyle w:val="12"/>
              <w:rPr>
                <w:rFonts w:ascii="宋体" w:eastAsia="宋体"/>
                <w:sz w:val="24"/>
              </w:rPr>
            </w:pPr>
          </w:p>
        </w:tc>
        <w:tc>
          <w:tcPr>
            <w:tcW w:w="4964" w:type="dxa"/>
            <w:noWrap/>
          </w:tcPr>
          <w:p>
            <w:pPr>
              <w:pStyle w:val="12"/>
              <w:rPr>
                <w:rFonts w:ascii="宋体" w:eastAsia="宋体"/>
                <w:sz w:val="24"/>
              </w:rPr>
            </w:pPr>
          </w:p>
        </w:tc>
      </w:tr>
    </w:tbl>
    <w:p/>
    <w:p>
      <w:pPr>
        <w:pStyle w:val="12"/>
      </w:pPr>
    </w:p>
    <w:p>
      <w:pPr>
        <w:spacing w:beforeLines="100" w:afterLines="100" w:line="360" w:lineRule="auto"/>
        <w:jc w:val="center"/>
        <w:outlineLvl w:val="0"/>
        <w:rPr>
          <w:b/>
          <w:sz w:val="32"/>
          <w:szCs w:val="32"/>
        </w:rPr>
      </w:pPr>
    </w:p>
    <w:p>
      <w:pPr>
        <w:widowControl/>
        <w:spacing w:before="312" w:beforeLines="-2147483648" w:after="312" w:afterLines="-2147483648" w:line="240" w:lineRule="auto"/>
        <w:jc w:val="left"/>
        <w:outlineLvl w:val="9"/>
        <w:rPr>
          <w:b/>
          <w:sz w:val="32"/>
          <w:szCs w:val="32"/>
        </w:rPr>
      </w:pPr>
      <w:r>
        <w:rPr>
          <w:b/>
          <w:sz w:val="32"/>
          <w:szCs w:val="32"/>
        </w:rPr>
        <w:br w:type="page"/>
      </w:r>
    </w:p>
    <w:p>
      <w:pPr>
        <w:spacing w:beforeLines="100" w:afterLines="100" w:line="360" w:lineRule="auto"/>
        <w:jc w:val="center"/>
        <w:outlineLvl w:val="0"/>
        <w:rPr>
          <w:rFonts w:ascii="仿宋" w:hAnsi="仿宋" w:eastAsia="仿宋"/>
          <w:sz w:val="32"/>
          <w:szCs w:val="32"/>
        </w:rPr>
      </w:pPr>
      <w:bookmarkStart w:id="49" w:name="_Toc12744"/>
      <w:r>
        <w:rPr>
          <w:rFonts w:hint="eastAsia"/>
          <w:b/>
          <w:sz w:val="32"/>
          <w:szCs w:val="32"/>
        </w:rPr>
        <w:t>第五部分：参考附件</w:t>
      </w:r>
      <w:bookmarkEnd w:id="49"/>
    </w:p>
    <w:p>
      <w:pPr>
        <w:spacing w:line="0" w:lineRule="atLeast"/>
        <w:outlineLvl w:val="1"/>
        <w:rPr>
          <w:rFonts w:ascii="宋体" w:hAnsi="宋体"/>
        </w:rPr>
      </w:pPr>
      <w:bookmarkStart w:id="50" w:name="_Toc8151"/>
      <w:r>
        <w:rPr>
          <w:rFonts w:hint="eastAsia" w:ascii="宋体" w:hAnsi="宋体"/>
          <w:szCs w:val="21"/>
        </w:rPr>
        <w:t>附件1：</w:t>
      </w:r>
      <w:r>
        <w:rPr>
          <w:rFonts w:hint="eastAsia" w:ascii="宋体" w:hAnsi="宋体"/>
        </w:rPr>
        <w:t>报名回函</w:t>
      </w:r>
      <w:bookmarkEnd w:id="50"/>
    </w:p>
    <w:p>
      <w:pPr>
        <w:pStyle w:val="12"/>
      </w:pPr>
    </w:p>
    <w:p>
      <w:pPr>
        <w:pStyle w:val="13"/>
        <w:jc w:val="center"/>
        <w:rPr>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rFonts w:ascii="宋体" w:hAnsi="宋体"/>
          <w:b/>
          <w:sz w:val="21"/>
          <w:szCs w:val="21"/>
        </w:rPr>
      </w:pPr>
    </w:p>
    <w:p>
      <w:pPr>
        <w:pStyle w:val="8"/>
        <w:rPr>
          <w:rFonts w:ascii="宋体" w:hAnsi="宋体"/>
          <w:b/>
          <w:sz w:val="21"/>
          <w:szCs w:val="21"/>
        </w:rPr>
      </w:pPr>
      <w:r>
        <w:rPr>
          <w:rFonts w:hint="eastAsia" w:ascii="宋体" w:hAnsi="宋体"/>
          <w:b/>
          <w:sz w:val="21"/>
          <w:szCs w:val="21"/>
        </w:rPr>
        <w:t>注：1.本件电子档及盖章后的扫描件按要求上传至指定地址；</w:t>
      </w:r>
    </w:p>
    <w:p>
      <w:pPr>
        <w:pStyle w:val="8"/>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bookmarkStart w:id="51" w:name="_Toc20452"/>
      <w:r>
        <w:rPr>
          <w:rFonts w:hint="eastAsia" w:ascii="宋体" w:hAnsi="宋体"/>
          <w:szCs w:val="21"/>
        </w:rPr>
        <w:t>附件2：投标函</w:t>
      </w:r>
      <w:bookmarkEnd w:id="51"/>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日期：年月日</w:t>
      </w:r>
      <w:r>
        <w:rPr>
          <w:rFonts w:ascii="仿宋" w:hAnsi="仿宋" w:eastAsia="仿宋"/>
          <w:sz w:val="24"/>
        </w:rPr>
        <w:br w:type="page"/>
      </w:r>
    </w:p>
    <w:p>
      <w:pPr>
        <w:spacing w:line="0" w:lineRule="atLeast"/>
        <w:outlineLvl w:val="1"/>
        <w:rPr>
          <w:rFonts w:ascii="宋体" w:hAnsi="宋体"/>
          <w:szCs w:val="21"/>
        </w:rPr>
      </w:pPr>
      <w:bookmarkStart w:id="52" w:name="_Toc15236"/>
      <w:r>
        <w:rPr>
          <w:rFonts w:hint="eastAsia" w:ascii="宋体" w:hAnsi="宋体"/>
          <w:szCs w:val="21"/>
        </w:rPr>
        <w:t>附件3：投标一览表</w:t>
      </w:r>
      <w:bookmarkEnd w:id="52"/>
    </w:p>
    <w:p>
      <w:pPr>
        <w:widowControl/>
        <w:jc w:val="center"/>
        <w:rPr>
          <w:rFonts w:ascii="方正小标宋_GBK" w:hAnsi="方正小标宋_GBK" w:eastAsia="方正小标宋_GBK"/>
          <w:b/>
          <w:sz w:val="28"/>
          <w:szCs w:val="28"/>
        </w:rPr>
      </w:pPr>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tbl>
      <w:tblPr>
        <w:tblStyle w:val="16"/>
        <w:tblW w:w="949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770"/>
        <w:gridCol w:w="930"/>
        <w:gridCol w:w="1380"/>
        <w:gridCol w:w="1330"/>
        <w:gridCol w:w="3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pStyle w:val="5"/>
              <w:ind w:left="0"/>
              <w:jc w:val="center"/>
            </w:pPr>
            <w:r>
              <w:rPr>
                <w:rFonts w:hint="eastAsia"/>
              </w:rPr>
              <w:t>税前总金额</w:t>
            </w:r>
          </w:p>
          <w:p>
            <w:pPr>
              <w:pStyle w:val="5"/>
              <w:ind w:left="0"/>
              <w:jc w:val="center"/>
            </w:pPr>
            <w:r>
              <w:rPr>
                <w:rFonts w:hint="eastAsia"/>
              </w:rPr>
              <w:t>（净价）</w:t>
            </w:r>
          </w:p>
        </w:tc>
        <w:tc>
          <w:tcPr>
            <w:tcW w:w="770" w:type="dxa"/>
            <w:vAlign w:val="center"/>
          </w:tcPr>
          <w:p>
            <w:pPr>
              <w:spacing w:line="360" w:lineRule="auto"/>
              <w:jc w:val="center"/>
              <w:rPr>
                <w:rFonts w:ascii="宋体" w:hAnsi="宋体"/>
                <w:szCs w:val="21"/>
              </w:rPr>
            </w:pPr>
            <w:r>
              <w:rPr>
                <w:rFonts w:hint="eastAsia" w:ascii="宋体" w:hAnsi="宋体"/>
                <w:szCs w:val="21"/>
              </w:rPr>
              <w:t>税率</w:t>
            </w:r>
          </w:p>
        </w:tc>
        <w:tc>
          <w:tcPr>
            <w:tcW w:w="930" w:type="dxa"/>
            <w:vAlign w:val="center"/>
          </w:tcPr>
          <w:p>
            <w:pPr>
              <w:spacing w:line="360" w:lineRule="auto"/>
              <w:jc w:val="center"/>
              <w:rPr>
                <w:rFonts w:ascii="宋体" w:hAnsi="宋体"/>
                <w:szCs w:val="21"/>
              </w:rPr>
            </w:pPr>
            <w:r>
              <w:rPr>
                <w:rFonts w:hint="eastAsia" w:ascii="宋体" w:hAnsi="宋体"/>
                <w:szCs w:val="21"/>
              </w:rPr>
              <w:t>税额</w:t>
            </w:r>
          </w:p>
        </w:tc>
        <w:tc>
          <w:tcPr>
            <w:tcW w:w="1380" w:type="dxa"/>
            <w:vAlign w:val="center"/>
          </w:tcPr>
          <w:p>
            <w:pPr>
              <w:spacing w:line="360" w:lineRule="auto"/>
              <w:jc w:val="center"/>
              <w:rPr>
                <w:rFonts w:ascii="宋体" w:hAnsi="宋体"/>
                <w:szCs w:val="21"/>
              </w:rPr>
            </w:pPr>
            <w:r>
              <w:rPr>
                <w:rFonts w:hint="eastAsia" w:ascii="宋体" w:hAnsi="宋体"/>
                <w:szCs w:val="21"/>
              </w:rPr>
              <w:t>含税总金额</w:t>
            </w:r>
          </w:p>
        </w:tc>
        <w:tc>
          <w:tcPr>
            <w:tcW w:w="1330" w:type="dxa"/>
            <w:vAlign w:val="center"/>
          </w:tcPr>
          <w:p>
            <w:pPr>
              <w:spacing w:line="360" w:lineRule="auto"/>
              <w:jc w:val="center"/>
              <w:rPr>
                <w:rFonts w:ascii="宋体" w:hAnsi="宋体"/>
                <w:szCs w:val="21"/>
              </w:rPr>
            </w:pPr>
            <w:r>
              <w:rPr>
                <w:rFonts w:hint="eastAsia" w:ascii="宋体" w:hAnsi="宋体"/>
                <w:szCs w:val="21"/>
              </w:rPr>
              <w:t>服务期</w:t>
            </w:r>
            <w:r>
              <w:rPr>
                <w:rFonts w:hint="eastAsia" w:ascii="宋体" w:hAnsi="宋体"/>
                <w:szCs w:val="21"/>
              </w:rPr>
              <w:br w:type="textWrapping"/>
            </w:r>
            <w:r>
              <w:rPr>
                <w:rFonts w:hint="eastAsia" w:ascii="宋体" w:hAnsi="宋体"/>
                <w:szCs w:val="21"/>
              </w:rPr>
              <w:t>（自然日）</w:t>
            </w:r>
          </w:p>
        </w:tc>
        <w:tc>
          <w:tcPr>
            <w:tcW w:w="3440" w:type="dxa"/>
            <w:vAlign w:val="center"/>
          </w:tcPr>
          <w:p>
            <w:pPr>
              <w:spacing w:line="360" w:lineRule="auto"/>
              <w:jc w:val="center"/>
              <w:rPr>
                <w:rFonts w:ascii="宋体" w:hAnsi="宋体"/>
                <w:szCs w:val="21"/>
              </w:rPr>
            </w:pPr>
            <w:r>
              <w:rPr>
                <w:rFonts w:hint="eastAsia" w:ascii="宋体" w:hAnsi="宋体"/>
                <w:szCs w:val="21"/>
              </w:rPr>
              <w:t>项目负责人</w:t>
            </w:r>
          </w:p>
          <w:p>
            <w:pPr>
              <w:spacing w:line="360" w:lineRule="auto"/>
              <w:jc w:val="center"/>
              <w:rPr>
                <w:rFonts w:ascii="宋体" w:hAnsi="宋体"/>
                <w:szCs w:val="21"/>
              </w:rPr>
            </w:pPr>
            <w:r>
              <w:rPr>
                <w:rFonts w:hint="eastAsia" w:ascii="宋体" w:hAnsi="宋体"/>
                <w:szCs w:val="21"/>
              </w:rPr>
              <w:t>（资质证书）</w:t>
            </w:r>
          </w:p>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spacing w:line="360" w:lineRule="auto"/>
              <w:jc w:val="center"/>
              <w:rPr>
                <w:rFonts w:ascii="宋体" w:hAnsi="宋体"/>
                <w:szCs w:val="21"/>
              </w:rPr>
            </w:pPr>
          </w:p>
        </w:tc>
        <w:tc>
          <w:tcPr>
            <w:tcW w:w="770" w:type="dxa"/>
          </w:tcPr>
          <w:p>
            <w:pPr>
              <w:spacing w:line="360" w:lineRule="auto"/>
              <w:jc w:val="center"/>
              <w:rPr>
                <w:rFonts w:ascii="宋体" w:hAnsi="宋体"/>
                <w:szCs w:val="21"/>
              </w:rPr>
            </w:pPr>
          </w:p>
        </w:tc>
        <w:tc>
          <w:tcPr>
            <w:tcW w:w="930" w:type="dxa"/>
          </w:tcPr>
          <w:p>
            <w:pPr>
              <w:spacing w:line="360" w:lineRule="auto"/>
              <w:jc w:val="center"/>
              <w:rPr>
                <w:rFonts w:ascii="宋体" w:hAnsi="宋体"/>
                <w:szCs w:val="21"/>
              </w:rPr>
            </w:pPr>
          </w:p>
        </w:tc>
        <w:tc>
          <w:tcPr>
            <w:tcW w:w="1380" w:type="dxa"/>
          </w:tcPr>
          <w:p>
            <w:pPr>
              <w:spacing w:line="360" w:lineRule="auto"/>
              <w:jc w:val="center"/>
              <w:rPr>
                <w:rFonts w:ascii="宋体" w:hAnsi="宋体"/>
                <w:szCs w:val="21"/>
              </w:rPr>
            </w:pPr>
          </w:p>
        </w:tc>
        <w:tc>
          <w:tcPr>
            <w:tcW w:w="1330" w:type="dxa"/>
          </w:tcPr>
          <w:p>
            <w:pPr>
              <w:spacing w:line="360" w:lineRule="auto"/>
              <w:jc w:val="center"/>
              <w:rPr>
                <w:rFonts w:ascii="宋体" w:hAnsi="宋体"/>
                <w:szCs w:val="21"/>
              </w:rPr>
            </w:pPr>
          </w:p>
        </w:tc>
        <w:tc>
          <w:tcPr>
            <w:tcW w:w="3440"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6"/>
          </w:tcPr>
          <w:p>
            <w:pPr>
              <w:spacing w:line="360" w:lineRule="auto"/>
              <w:rPr>
                <w:rFonts w:ascii="宋体" w:hAnsi="宋体"/>
                <w:szCs w:val="21"/>
              </w:rPr>
            </w:pPr>
            <w:r>
              <w:rPr>
                <w:rFonts w:hint="eastAsia" w:ascii="宋体" w:hAnsi="宋体"/>
                <w:szCs w:val="21"/>
              </w:rPr>
              <w:t>投标人备注：</w:t>
            </w:r>
          </w:p>
        </w:tc>
      </w:tr>
    </w:tbl>
    <w:p>
      <w:pPr>
        <w:spacing w:line="360" w:lineRule="auto"/>
        <w:rPr>
          <w:rFonts w:ascii="宋体" w:hAnsi="宋体"/>
          <w:szCs w:val="21"/>
        </w:rPr>
      </w:pPr>
    </w:p>
    <w:p>
      <w:pPr>
        <w:spacing w:line="360" w:lineRule="auto"/>
        <w:rPr>
          <w:rFonts w:ascii="宋体" w:hAnsi="宋体"/>
          <w:szCs w:val="21"/>
        </w:rPr>
      </w:pPr>
    </w:p>
    <w:p>
      <w:pPr>
        <w:spacing w:line="360" w:lineRule="auto"/>
      </w:pPr>
    </w:p>
    <w:p>
      <w:pPr>
        <w:spacing w:line="360" w:lineRule="auto"/>
        <w:rPr>
          <w:rFonts w:ascii="宋体" w:hAnsi="宋体"/>
          <w:szCs w:val="21"/>
        </w:rPr>
      </w:pPr>
      <w:r>
        <w:rPr>
          <w:rFonts w:hint="eastAsia" w:ascii="宋体" w:hAnsi="宋体"/>
          <w:szCs w:val="21"/>
        </w:rPr>
        <w:t>投标人代表签字：</w:t>
      </w:r>
    </w:p>
    <w:p>
      <w:pPr>
        <w:spacing w:line="360" w:lineRule="auto"/>
        <w:rPr>
          <w:rFonts w:ascii="宋体" w:hAnsi="宋体"/>
          <w:szCs w:val="21"/>
          <w:u w:val="single"/>
        </w:rPr>
      </w:pPr>
      <w:r>
        <w:rPr>
          <w:rFonts w:hint="eastAsia" w:ascii="宋体" w:hAnsi="宋体"/>
          <w:szCs w:val="21"/>
        </w:rPr>
        <w:t>投标人名称及盖章：</w:t>
      </w:r>
    </w:p>
    <w:p>
      <w:pPr>
        <w:widowControl/>
        <w:rPr>
          <w:rFonts w:ascii="宋体" w:hAnsi="宋体"/>
          <w:szCs w:val="21"/>
        </w:rPr>
      </w:pPr>
      <w:r>
        <w:rPr>
          <w:rFonts w:hint="eastAsia" w:ascii="宋体" w:hAnsi="宋体"/>
          <w:szCs w:val="21"/>
        </w:rPr>
        <w:t>日期：_______年____月___日</w:t>
      </w:r>
    </w:p>
    <w:p>
      <w:pPr>
        <w:pStyle w:val="2"/>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bookmarkStart w:id="53" w:name="_Toc1532"/>
      <w:r>
        <w:rPr>
          <w:rFonts w:hint="eastAsia" w:ascii="宋体" w:hAnsi="宋体"/>
          <w:szCs w:val="21"/>
        </w:rPr>
        <w:t>附件4：考察证明（本项目不适用）</w:t>
      </w:r>
      <w:bookmarkEnd w:id="53"/>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jc w:val="left"/>
        <w:rPr>
          <w:rFonts w:ascii="仿宋" w:hAnsi="仿宋" w:eastAsia="仿宋"/>
          <w:sz w:val="28"/>
          <w:szCs w:val="28"/>
        </w:rPr>
      </w:pPr>
      <w:r>
        <w:rPr>
          <w:rFonts w:hint="eastAsia" w:ascii="仿宋" w:hAnsi="仿宋" w:eastAsia="仿宋"/>
          <w:sz w:val="28"/>
          <w:szCs w:val="28"/>
        </w:rPr>
        <w:t xml:space="preserve">    已于</w:t>
      </w:r>
      <w:r>
        <w:rPr>
          <w:rFonts w:hint="eastAsia" w:ascii="仿宋" w:hAnsi="仿宋" w:eastAsia="仿宋"/>
          <w:b/>
          <w:sz w:val="28"/>
          <w:szCs w:val="28"/>
        </w:rPr>
        <w:t>2020年*月21日</w:t>
      </w:r>
      <w:r>
        <w:rPr>
          <w:rFonts w:hint="eastAsia" w:ascii="仿宋" w:hAnsi="仿宋" w:eastAsia="仿宋"/>
          <w:sz w:val="28"/>
          <w:szCs w:val="28"/>
        </w:rPr>
        <w:t>参加了招标人（深圳会展中心管理有限责任公司）</w:t>
      </w:r>
      <w:r>
        <w:rPr>
          <w:rFonts w:hint="eastAsia" w:ascii="仿宋" w:hAnsi="仿宋" w:eastAsia="仿宋"/>
          <w:b/>
          <w:sz w:val="28"/>
          <w:szCs w:val="28"/>
        </w:rPr>
        <w:t>关于*项目的现场考察</w:t>
      </w:r>
      <w:r>
        <w:rPr>
          <w:rFonts w:hint="eastAsia" w:ascii="仿宋" w:hAnsi="仿宋" w:eastAsia="仿宋"/>
          <w:sz w:val="28"/>
          <w:szCs w:val="28"/>
        </w:rPr>
        <w:t>，详细听取了招标人的讲解和要求，已经知晓招标人本次项目的所有内容以及技术要求等。</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招标人现场踏勘联系人签字：</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日期：年月日</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54" w:name="_Toc15487"/>
      <w:r>
        <w:rPr>
          <w:rFonts w:hint="eastAsia" w:ascii="宋体" w:hAnsi="宋体"/>
          <w:szCs w:val="21"/>
        </w:rPr>
        <w:t>附件5：技术服务响应/偏离表</w:t>
      </w:r>
      <w:bookmarkEnd w:id="5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55" w:name="_Toc211248418"/>
      <w:r>
        <w:rPr>
          <w:rFonts w:hint="eastAsia" w:ascii="方正小标宋_GBK" w:hAnsi="方正小标宋_GBK" w:eastAsia="方正小标宋_GBK"/>
          <w:b/>
          <w:sz w:val="32"/>
          <w:szCs w:val="32"/>
        </w:rPr>
        <w:t>技术服务响应/偏离表</w:t>
      </w:r>
      <w:bookmarkEnd w:id="55"/>
    </w:p>
    <w:p>
      <w:pPr>
        <w:spacing w:line="360" w:lineRule="auto"/>
        <w:rPr>
          <w:rFonts w:ascii="仿宋" w:hAnsi="仿宋" w:eastAsia="仿宋"/>
          <w:sz w:val="28"/>
          <w:szCs w:val="28"/>
          <w:u w:val="single"/>
        </w:rPr>
      </w:pPr>
      <w:r>
        <w:rPr>
          <w:rFonts w:hint="eastAsia" w:ascii="仿宋" w:hAnsi="仿宋" w:eastAsia="仿宋"/>
          <w:sz w:val="28"/>
          <w:szCs w:val="28"/>
        </w:rPr>
        <w:t>投标人名称：</w:t>
      </w:r>
    </w:p>
    <w:tbl>
      <w:tblPr>
        <w:tblStyle w:val="15"/>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spacing w:line="0" w:lineRule="atLeast"/>
              <w:jc w:val="center"/>
              <w:rPr>
                <w:rFonts w:ascii="仿宋" w:hAnsi="仿宋" w:eastAsia="仿宋"/>
                <w:sz w:val="28"/>
                <w:szCs w:val="28"/>
              </w:rPr>
            </w:pPr>
          </w:p>
        </w:tc>
        <w:tc>
          <w:tcPr>
            <w:tcW w:w="5708" w:type="dxa"/>
          </w:tcPr>
          <w:p>
            <w:pPr>
              <w:keepNext w:val="0"/>
              <w:keepLines w:val="0"/>
              <w:spacing w:before="0" w:after="0" w:line="400" w:lineRule="exact"/>
              <w:ind w:firstLine="551" w:firstLineChars="196"/>
              <w:rPr>
                <w:rFonts w:ascii="仿宋" w:hAnsi="仿宋" w:eastAsia="仿宋"/>
                <w:b/>
                <w:bCs/>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文件不能通过符合性检查。</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56" w:name="_Toc211243320"/>
      <w:r>
        <w:rPr>
          <w:rFonts w:hint="eastAsia" w:ascii="仿宋" w:hAnsi="仿宋" w:eastAsia="仿宋"/>
          <w:sz w:val="28"/>
          <w:szCs w:val="28"/>
        </w:rPr>
        <w:t>投标人代表签字</w:t>
      </w:r>
      <w:r>
        <w:rPr>
          <w:rFonts w:hint="eastAsia" w:ascii="仿宋" w:hAnsi="仿宋" w:eastAsia="仿宋"/>
          <w:sz w:val="30"/>
          <w:szCs w:val="30"/>
        </w:rPr>
        <w:t>：</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56"/>
      <w:bookmarkStart w:id="57" w:name="_Toc236803114"/>
      <w:bookmarkStart w:id="58" w:name="_Toc246480945"/>
      <w:r>
        <w:rPr>
          <w:rFonts w:ascii="仿宋" w:hAnsi="仿宋" w:eastAsia="仿宋"/>
          <w:sz w:val="28"/>
          <w:szCs w:val="28"/>
        </w:rPr>
        <w:br w:type="page"/>
      </w:r>
    </w:p>
    <w:p>
      <w:pPr>
        <w:spacing w:line="0" w:lineRule="atLeast"/>
        <w:outlineLvl w:val="1"/>
        <w:rPr>
          <w:rFonts w:ascii="宋体" w:hAnsi="宋体"/>
          <w:szCs w:val="21"/>
        </w:rPr>
      </w:pPr>
      <w:bookmarkStart w:id="59" w:name="_Toc23905"/>
      <w:r>
        <w:rPr>
          <w:rFonts w:hint="eastAsia" w:ascii="宋体" w:hAnsi="宋体"/>
          <w:szCs w:val="21"/>
        </w:rPr>
        <w:t>附件6：商务条款响应/偏离表</w:t>
      </w:r>
      <w:bookmarkEnd w:id="57"/>
      <w:bookmarkEnd w:id="58"/>
      <w:bookmarkEnd w:id="59"/>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0" w:name="_Toc211248420"/>
      <w:r>
        <w:rPr>
          <w:rFonts w:hint="eastAsia" w:ascii="方正小标宋_GBK" w:hAnsi="方正小标宋_GBK" w:eastAsia="方正小标宋_GBK"/>
          <w:b/>
          <w:sz w:val="32"/>
          <w:szCs w:val="32"/>
        </w:rPr>
        <w:t>商务条款响应/偏离表</w:t>
      </w:r>
      <w:bookmarkEnd w:id="60"/>
    </w:p>
    <w:p>
      <w:pPr>
        <w:spacing w:line="360" w:lineRule="auto"/>
        <w:rPr>
          <w:rFonts w:ascii="仿宋" w:hAnsi="仿宋" w:eastAsia="仿宋"/>
          <w:sz w:val="30"/>
          <w:szCs w:val="30"/>
        </w:rPr>
      </w:pPr>
      <w:r>
        <w:rPr>
          <w:rFonts w:hint="eastAsia" w:ascii="仿宋" w:hAnsi="仿宋" w:eastAsia="仿宋"/>
          <w:sz w:val="30"/>
          <w:szCs w:val="30"/>
        </w:rPr>
        <w:t>投标人名称：</w:t>
      </w:r>
    </w:p>
    <w:tbl>
      <w:tblPr>
        <w:tblStyle w:val="15"/>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文件不能通过符合性检查。</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61" w:name="_Toc395883088"/>
      <w:bookmarkStart w:id="62" w:name="_Toc478387764"/>
      <w:bookmarkStart w:id="63" w:name="_Toc236803111"/>
      <w:r>
        <w:rPr>
          <w:rFonts w:ascii="仿宋" w:hAnsi="仿宋" w:eastAsia="仿宋"/>
          <w:sz w:val="28"/>
          <w:szCs w:val="28"/>
        </w:rPr>
        <w:br w:type="page"/>
      </w:r>
    </w:p>
    <w:p>
      <w:pPr>
        <w:spacing w:line="0" w:lineRule="atLeast"/>
        <w:outlineLvl w:val="1"/>
        <w:rPr>
          <w:rFonts w:ascii="宋体" w:hAnsi="宋体"/>
          <w:szCs w:val="21"/>
        </w:rPr>
      </w:pPr>
      <w:bookmarkStart w:id="64" w:name="_Toc23270"/>
      <w:r>
        <w:rPr>
          <w:rFonts w:hint="eastAsia" w:ascii="宋体" w:hAnsi="宋体"/>
          <w:szCs w:val="21"/>
        </w:rPr>
        <w:t>附件7：报价一览表（货物）</w:t>
      </w:r>
      <w:r>
        <w:rPr>
          <w:rFonts w:hint="eastAsia" w:ascii="宋体" w:hAnsi="宋体"/>
          <w:color w:val="FF0000"/>
          <w:szCs w:val="21"/>
        </w:rPr>
        <w:t>（本项目不适用）</w:t>
      </w:r>
      <w:bookmarkEnd w:id="64"/>
    </w:p>
    <w:bookmarkEnd w:id="61"/>
    <w:bookmarkEnd w:id="62"/>
    <w:bookmarkEnd w:id="63"/>
    <w:p>
      <w:pPr>
        <w:spacing w:before="120" w:after="240"/>
        <w:jc w:val="center"/>
        <w:rPr>
          <w:rFonts w:ascii="宋体" w:hAnsi="宋体"/>
          <w:b/>
          <w:sz w:val="32"/>
          <w:szCs w:val="32"/>
        </w:rPr>
      </w:pPr>
      <w:bookmarkStart w:id="65" w:name="_Toc211248412"/>
      <w:r>
        <w:rPr>
          <w:rFonts w:hint="eastAsia" w:ascii="方正小标宋_GBK" w:hAnsi="方正小标宋_GBK" w:eastAsia="方正小标宋_GBK"/>
          <w:b/>
          <w:sz w:val="32"/>
          <w:szCs w:val="32"/>
        </w:rPr>
        <w:t>报价一览表</w:t>
      </w:r>
      <w:bookmarkEnd w:id="65"/>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  交货期：</w:t>
      </w:r>
    </w:p>
    <w:p>
      <w:pPr>
        <w:spacing w:after="80" w:line="360" w:lineRule="auto"/>
        <w:rPr>
          <w:rFonts w:ascii="仿宋" w:hAnsi="仿宋" w:eastAsia="仿宋"/>
          <w:sz w:val="28"/>
          <w:szCs w:val="28"/>
        </w:rPr>
      </w:pPr>
      <w:r>
        <w:rPr>
          <w:rFonts w:hint="eastAsia" w:ascii="仿宋" w:hAnsi="仿宋" w:eastAsia="仿宋"/>
          <w:sz w:val="28"/>
          <w:szCs w:val="28"/>
        </w:rPr>
        <w:t xml:space="preserve">币种：人民币         税率：%           单位：元 </w:t>
      </w:r>
    </w:p>
    <w:tbl>
      <w:tblPr>
        <w:tblStyle w:val="15"/>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2"/>
        <w:numPr>
          <w:ilvl w:val="1"/>
          <w:numId w:val="44"/>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44"/>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2"/>
        <w:numPr>
          <w:ilvl w:val="1"/>
          <w:numId w:val="44"/>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2"/>
        <w:numPr>
          <w:ilvl w:val="1"/>
          <w:numId w:val="44"/>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p>
    <w:p>
      <w:pPr>
        <w:widowControl/>
        <w:jc w:val="left"/>
        <w:rPr>
          <w:rFonts w:ascii="仿宋" w:hAnsi="仿宋" w:eastAsia="仿宋"/>
          <w:sz w:val="28"/>
          <w:szCs w:val="28"/>
        </w:rPr>
      </w:pPr>
      <w:bookmarkStart w:id="66" w:name="_Toc82359026"/>
      <w:bookmarkStart w:id="67" w:name="_Toc82095917"/>
      <w:r>
        <w:rPr>
          <w:rFonts w:hint="eastAsia" w:ascii="仿宋" w:hAnsi="仿宋" w:eastAsia="仿宋"/>
          <w:sz w:val="28"/>
          <w:szCs w:val="28"/>
        </w:rPr>
        <w:t>报价日期：_________年____月____日</w:t>
      </w:r>
      <w:r>
        <w:rPr>
          <w:rFonts w:ascii="仿宋" w:hAnsi="仿宋" w:eastAsia="仿宋"/>
          <w:sz w:val="28"/>
          <w:szCs w:val="28"/>
        </w:rPr>
        <w:br w:type="page"/>
      </w:r>
    </w:p>
    <w:bookmarkEnd w:id="66"/>
    <w:bookmarkEnd w:id="67"/>
    <w:p>
      <w:pPr>
        <w:spacing w:line="0" w:lineRule="atLeast"/>
        <w:outlineLvl w:val="1"/>
        <w:rPr>
          <w:rFonts w:ascii="宋体" w:hAnsi="宋体"/>
          <w:szCs w:val="21"/>
        </w:rPr>
      </w:pPr>
      <w:bookmarkStart w:id="68" w:name="_Toc31113"/>
      <w:r>
        <w:rPr>
          <w:rFonts w:hint="eastAsia" w:ascii="宋体" w:hAnsi="宋体"/>
          <w:szCs w:val="21"/>
        </w:rPr>
        <w:t>附件8：报价一览表（服务）</w:t>
      </w:r>
      <w:bookmarkEnd w:id="68"/>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p>
    <w:p>
      <w:pPr>
        <w:spacing w:after="80" w:line="360" w:lineRule="auto"/>
        <w:rPr>
          <w:rFonts w:ascii="仿宋" w:hAnsi="仿宋" w:eastAsia="仿宋"/>
          <w:sz w:val="30"/>
          <w:szCs w:val="30"/>
          <w:u w:val="single"/>
        </w:rPr>
      </w:pPr>
      <w:r>
        <w:rPr>
          <w:rFonts w:hint="eastAsia" w:ascii="仿宋" w:hAnsi="仿宋" w:eastAsia="仿宋"/>
          <w:sz w:val="28"/>
          <w:szCs w:val="28"/>
        </w:rPr>
        <w:t xml:space="preserve">币种：人民币         税率：%          单位：元 </w:t>
      </w:r>
    </w:p>
    <w:tbl>
      <w:tblPr>
        <w:tblStyle w:val="15"/>
        <w:tblpPr w:leftFromText="180" w:rightFromText="180" w:vertAnchor="text" w:horzAnchor="margin" w:tblpXSpec="center" w:tblpY="367"/>
        <w:tblW w:w="10673" w:type="dxa"/>
        <w:tblInd w:w="0" w:type="dxa"/>
        <w:tblLayout w:type="fixed"/>
        <w:tblCellMar>
          <w:top w:w="0" w:type="dxa"/>
          <w:left w:w="42" w:type="dxa"/>
          <w:bottom w:w="0" w:type="dxa"/>
          <w:right w:w="42" w:type="dxa"/>
        </w:tblCellMar>
      </w:tblPr>
      <w:tblGrid>
        <w:gridCol w:w="583"/>
        <w:gridCol w:w="1869"/>
        <w:gridCol w:w="1559"/>
        <w:gridCol w:w="573"/>
        <w:gridCol w:w="723"/>
        <w:gridCol w:w="1398"/>
        <w:gridCol w:w="1417"/>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723"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398"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color w:val="FF0000"/>
                <w:sz w:val="30"/>
                <w:szCs w:val="30"/>
                <w:lang w:val="en-US" w:eastAsia="zh-CN"/>
              </w:rPr>
              <w:t>未税</w:t>
            </w: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default" w:ascii="仿宋" w:hAnsi="仿宋" w:eastAsia="仿宋"/>
                <w:color w:val="FF0000"/>
                <w:sz w:val="30"/>
                <w:szCs w:val="30"/>
                <w:lang w:val="en-US" w:eastAsia="zh-CN"/>
              </w:rPr>
            </w:pPr>
            <w:r>
              <w:rPr>
                <w:rFonts w:hint="eastAsia" w:ascii="仿宋" w:hAnsi="仿宋" w:eastAsia="仿宋"/>
                <w:color w:val="FF0000"/>
                <w:sz w:val="30"/>
                <w:szCs w:val="30"/>
                <w:lang w:val="en-US" w:eastAsia="zh-CN"/>
              </w:rPr>
              <w:t>未税金额</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color w:val="FF0000"/>
                <w:sz w:val="30"/>
                <w:szCs w:val="30"/>
                <w:lang w:val="en-US" w:eastAsia="zh-CN"/>
              </w:rPr>
              <w:t>含税</w:t>
            </w: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723"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398"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723"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398"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723"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398"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723"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398"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723"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398"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color w:val="FF0000"/>
                <w:sz w:val="30"/>
                <w:szCs w:val="30"/>
                <w:lang w:val="en-US" w:eastAsia="zh-CN"/>
              </w:rPr>
              <w:t>一年</w:t>
            </w: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hint="default" w:ascii="仿宋" w:hAnsi="仿宋" w:eastAsia="仿宋"/>
                <w:color w:val="FF0000"/>
                <w:sz w:val="30"/>
                <w:szCs w:val="30"/>
                <w:lang w:val="en-US" w:eastAsia="zh-CN"/>
              </w:rPr>
            </w:pPr>
            <w:r>
              <w:rPr>
                <w:rFonts w:hint="eastAsia" w:ascii="仿宋" w:hAnsi="仿宋" w:eastAsia="仿宋"/>
                <w:color w:val="FF0000"/>
                <w:sz w:val="30"/>
                <w:szCs w:val="30"/>
                <w:lang w:val="en-US" w:eastAsia="zh-CN"/>
              </w:rPr>
              <w:t>两年含税金额：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2"/>
        <w:numPr>
          <w:ilvl w:val="1"/>
          <w:numId w:val="45"/>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2"/>
        <w:numPr>
          <w:ilvl w:val="1"/>
          <w:numId w:val="45"/>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2"/>
        <w:numPr>
          <w:ilvl w:val="1"/>
          <w:numId w:val="45"/>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p>
    <w:p>
      <w:pPr>
        <w:spacing w:line="0" w:lineRule="atLeast"/>
        <w:outlineLvl w:val="1"/>
        <w:rPr>
          <w:rFonts w:ascii="宋体" w:hAnsi="宋体"/>
          <w:szCs w:val="21"/>
        </w:rPr>
      </w:pPr>
      <w:bookmarkStart w:id="69" w:name="_Toc28923"/>
      <w:r>
        <w:rPr>
          <w:rFonts w:hint="eastAsia" w:ascii="宋体" w:hAnsi="宋体"/>
          <w:szCs w:val="21"/>
        </w:rPr>
        <w:t>附件9：报价一览表（工程）</w:t>
      </w:r>
      <w:r>
        <w:rPr>
          <w:rFonts w:hint="eastAsia" w:ascii="宋体" w:hAnsi="宋体"/>
          <w:color w:val="FF0000"/>
          <w:szCs w:val="21"/>
        </w:rPr>
        <w:t>（本项目不适用）</w:t>
      </w:r>
      <w:bookmarkEnd w:id="69"/>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2"/>
        <w:numPr>
          <w:ilvl w:val="1"/>
          <w:numId w:val="46"/>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46"/>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2"/>
        <w:numPr>
          <w:ilvl w:val="1"/>
          <w:numId w:val="46"/>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2"/>
        <w:numPr>
          <w:ilvl w:val="1"/>
          <w:numId w:val="46"/>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p>
    <w:p>
      <w:pPr>
        <w:spacing w:line="360" w:lineRule="auto"/>
        <w:rPr>
          <w:rFonts w:ascii="仿宋" w:hAnsi="仿宋" w:eastAsia="仿宋"/>
          <w:sz w:val="28"/>
          <w:szCs w:val="28"/>
        </w:rPr>
      </w:pPr>
      <w:r>
        <w:rPr>
          <w:rFonts w:hint="eastAsia" w:ascii="仿宋" w:hAnsi="仿宋" w:eastAsia="仿宋"/>
          <w:sz w:val="28"/>
          <w:szCs w:val="28"/>
        </w:rPr>
        <w:t>投标人（盖章）：</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70" w:name="_Toc1474"/>
      <w:r>
        <w:rPr>
          <w:rFonts w:hint="eastAsia" w:ascii="宋体" w:hAnsi="宋体"/>
          <w:szCs w:val="21"/>
        </w:rPr>
        <w:t>附件10：法定代表人证明书</w:t>
      </w:r>
      <w:bookmarkEnd w:id="70"/>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营业执照号码：，经济性质： ，</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姓名：，性别：，年龄：，职务：，</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left="-358" w:leftChars="-171" w:hanging="1"/>
        <w:rPr>
          <w:rFonts w:ascii="仿宋" w:hAnsi="仿宋" w:eastAsia="仿宋"/>
          <w:sz w:val="28"/>
          <w:szCs w:val="28"/>
        </w:rPr>
      </w:pPr>
      <w:r>
        <w:rPr>
          <w:rFonts w:hint="eastAsia" w:ascii="仿宋" w:hAnsi="仿宋" w:eastAsia="仿宋"/>
          <w:sz w:val="28"/>
          <w:szCs w:val="28"/>
        </w:rPr>
        <w:t>说明：</w:t>
      </w:r>
    </w:p>
    <w:p>
      <w:pPr>
        <w:spacing w:line="360" w:lineRule="auto"/>
        <w:ind w:left="799" w:leftChars="230" w:hanging="316" w:hangingChars="113"/>
        <w:rPr>
          <w:rFonts w:ascii="仿宋" w:hAnsi="仿宋" w:eastAsia="仿宋"/>
          <w:sz w:val="28"/>
          <w:szCs w:val="28"/>
        </w:rPr>
      </w:pPr>
      <w:r>
        <w:rPr>
          <w:rFonts w:hint="eastAsia" w:ascii="仿宋" w:hAnsi="仿宋" w:eastAsia="仿宋"/>
          <w:sz w:val="28"/>
          <w:szCs w:val="28"/>
        </w:rPr>
        <w:t>1.法定代表人为企业事业单位、国家机关、社会团体的主要行政负责人。</w:t>
      </w:r>
    </w:p>
    <w:p>
      <w:pPr>
        <w:spacing w:line="360" w:lineRule="auto"/>
        <w:ind w:left="-358" w:leftChars="-171" w:hanging="1"/>
        <w:rPr>
          <w:rFonts w:ascii="仿宋" w:hAnsi="仿宋" w:eastAsia="仿宋"/>
          <w:sz w:val="28"/>
          <w:szCs w:val="28"/>
        </w:rPr>
      </w:pPr>
      <w:r>
        <w:rPr>
          <w:rFonts w:hint="eastAsia" w:ascii="仿宋" w:hAnsi="仿宋" w:eastAsia="仿宋"/>
          <w:sz w:val="28"/>
          <w:szCs w:val="28"/>
        </w:rPr>
        <w:t xml:space="preserve">      2.内容必须填写真实、清楚，涂改无效，不得转让、买卖。</w:t>
      </w:r>
    </w:p>
    <w:p>
      <w:pPr>
        <w:spacing w:line="360" w:lineRule="auto"/>
        <w:ind w:left="-359" w:leftChars="-171" w:firstLine="840" w:firstLineChars="300"/>
        <w:rPr>
          <w:rFonts w:ascii="仿宋" w:hAnsi="仿宋" w:eastAsia="仿宋"/>
          <w:sz w:val="28"/>
          <w:szCs w:val="28"/>
        </w:rPr>
      </w:pPr>
      <w:r>
        <w:rPr>
          <w:rFonts w:hint="eastAsia" w:ascii="仿宋" w:hAnsi="仿宋" w:eastAsia="仿宋"/>
          <w:sz w:val="28"/>
          <w:szCs w:val="28"/>
        </w:rPr>
        <w:t>3.将此证明书提交对方作为合同附件。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期：年月日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w:pict>
          <v:shape id="Text Box 2" o:spid="_x0000_s1026" o:spt="202" type="#_x0000_t202" style="position:absolute;left:0pt;margin-left:213pt;margin-top:20.1pt;height:126.75pt;width:198.25pt;z-index:251659264;mso-width-relative:page;mso-height-relative:page;"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path/>
            <v:fill focussize="0,0"/>
            <v:stroke joinstyle="miter"/>
            <v:imagedata o:title=""/>
            <o:lock v:ext="edit"/>
            <v:textbox>
              <w:txbxContent>
                <w:p>
                  <w:r>
                    <w:rPr>
                      <w:rFonts w:hint="eastAsia"/>
                    </w:rPr>
                    <w:t>法人身份证</w:t>
                  </w:r>
                  <w:r>
                    <w:t>复印件</w:t>
                  </w:r>
                  <w:r>
                    <w:rPr>
                      <w:rFonts w:hint="eastAsia"/>
                    </w:rPr>
                    <w:t>（正面）</w:t>
                  </w:r>
                </w:p>
              </w:txbxContent>
            </v:textbox>
          </v:shape>
        </w:pict>
      </w:r>
      <w:r>
        <w:rPr>
          <w:rFonts w:ascii="仿宋_GB2312" w:hAnsi="宋体" w:eastAsia="仿宋_GB2312"/>
          <w:b/>
          <w:color w:val="000000"/>
        </w:rPr>
        <w:pict>
          <v:shape id="Text Box 3" o:spid="_x0000_s1027" o:spt="202" type="#_x0000_t202" style="position:absolute;left:0pt;margin-left:-7.5pt;margin-top:20.15pt;height:126.75pt;width:201.25pt;z-index:251660288;mso-width-relative:page;mso-height-relative:page;"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path/>
            <v:fill focussize="0,0"/>
            <v:stroke joinstyle="miter"/>
            <v:imagedata o:title=""/>
            <o:lock v:ext="edit"/>
            <v:textbox>
              <w:txbxContent>
                <w:p>
                  <w:r>
                    <w:rPr>
                      <w:rFonts w:hint="eastAsia"/>
                    </w:rPr>
                    <w:t>法人身份证</w:t>
                  </w:r>
                  <w:r>
                    <w:t>复印件</w:t>
                  </w:r>
                  <w:r>
                    <w:rPr>
                      <w:rFonts w:hint="eastAsia"/>
                    </w:rPr>
                    <w:t>（反面）</w:t>
                  </w:r>
                </w:p>
              </w:txbxContent>
            </v:textbox>
          </v:shape>
        </w:pict>
      </w:r>
      <w:r>
        <w:rPr>
          <w:rFonts w:ascii="仿宋_GB2312" w:hAnsi="宋体" w:eastAsia="仿宋_GB2312"/>
          <w:b/>
          <w:color w:val="000000"/>
        </w:rPr>
        <w:br w:type="page"/>
      </w:r>
    </w:p>
    <w:p>
      <w:pPr>
        <w:spacing w:line="0" w:lineRule="atLeast"/>
        <w:outlineLvl w:val="1"/>
        <w:rPr>
          <w:rFonts w:ascii="宋体" w:hAnsi="宋体"/>
          <w:szCs w:val="21"/>
        </w:rPr>
      </w:pPr>
      <w:bookmarkStart w:id="71" w:name="_Toc13957"/>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71"/>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单位名称）的（姓名）为我公司参与本项目公开招标的法定代表人的授权委托代理人，代理人全权代表我所签署的本项目已递交的投标文件内容我均承认，并全权代表我参与本项目所有公开招标过程。本委托书有效期截至年月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 ，性别：，年龄：，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身份证号码：，职务：，</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授权委托日期：年月日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72" w:name="_Toc30118"/>
      <w:r>
        <w:rPr>
          <w:rFonts w:hint="eastAsia" w:ascii="宋体" w:hAnsi="宋体"/>
          <w:szCs w:val="21"/>
        </w:rPr>
        <w:t>附件</w:t>
      </w:r>
      <w:r>
        <w:rPr>
          <w:rFonts w:ascii="宋体" w:hAnsi="宋体"/>
          <w:szCs w:val="21"/>
        </w:rPr>
        <w:t>1</w:t>
      </w:r>
      <w:r>
        <w:rPr>
          <w:rFonts w:hint="eastAsia" w:ascii="宋体" w:hAnsi="宋体"/>
          <w:szCs w:val="21"/>
        </w:rPr>
        <w:t>2：经营业绩一览表</w:t>
      </w:r>
      <w:bookmarkEnd w:id="72"/>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我方根据贵公司招标文件要求提供年月日至投标截止时间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5"/>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rPr>
          <w:rFonts w:ascii="仿宋" w:hAnsi="仿宋" w:eastAsia="仿宋"/>
          <w:sz w:val="28"/>
          <w:szCs w:val="28"/>
        </w:rPr>
      </w:pPr>
      <w:r>
        <w:rPr>
          <w:rFonts w:hint="eastAsia" w:ascii="仿宋" w:hAnsi="仿宋" w:eastAsia="仿宋"/>
          <w:sz w:val="28"/>
          <w:szCs w:val="28"/>
        </w:rPr>
        <w:t>1.此表格式如不合适，投标人可自行调整。</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2.投标人根据招标文件业绩部分资格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3.上述业绩必须为真实有效，如发现业绩不符，将取消相应资格；</w:t>
      </w:r>
    </w:p>
    <w:p>
      <w:pPr>
        <w:autoSpaceDE w:val="0"/>
        <w:autoSpaceDN w:val="0"/>
        <w:adjustRightInd w:val="0"/>
        <w:snapToGrid w:val="0"/>
        <w:jc w:val="left"/>
        <w:rPr>
          <w:rFonts w:ascii="仿宋" w:hAnsi="仿宋" w:eastAsia="仿宋"/>
          <w:sz w:val="28"/>
          <w:szCs w:val="28"/>
        </w:rPr>
      </w:pPr>
      <w:r>
        <w:rPr>
          <w:rFonts w:hint="eastAsia" w:ascii="仿宋" w:hAnsi="仿宋" w:eastAsia="仿宋"/>
          <w:sz w:val="28"/>
          <w:szCs w:val="28"/>
        </w:rPr>
        <w:t>4.证明材料须附在本表后即可。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rPr>
        <w:t>年月日</w:t>
      </w:r>
      <w:r>
        <w:rPr>
          <w:rFonts w:ascii="仿宋" w:hAnsi="仿宋" w:eastAsia="仿宋"/>
          <w:color w:val="000000"/>
          <w:sz w:val="30"/>
          <w:szCs w:val="30"/>
        </w:rPr>
        <w:br w:type="page"/>
      </w:r>
    </w:p>
    <w:p>
      <w:pPr>
        <w:spacing w:line="0" w:lineRule="atLeast"/>
        <w:outlineLvl w:val="1"/>
        <w:rPr>
          <w:rFonts w:ascii="宋体" w:hAnsi="宋体"/>
          <w:szCs w:val="21"/>
        </w:rPr>
      </w:pPr>
      <w:bookmarkStart w:id="73" w:name="_Toc10234"/>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73"/>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日期：年月日</w:t>
      </w:r>
    </w:p>
    <w:p>
      <w:pPr>
        <w:widowControl/>
        <w:jc w:val="left"/>
        <w:rPr>
          <w:rFonts w:ascii="仿宋" w:hAnsi="仿宋" w:eastAsia="仿宋"/>
          <w:sz w:val="28"/>
          <w:szCs w:val="28"/>
        </w:rPr>
      </w:pPr>
      <w:bookmarkStart w:id="74" w:name="_Toc32341"/>
      <w:r>
        <w:rPr>
          <w:rFonts w:ascii="仿宋" w:hAnsi="仿宋" w:eastAsia="仿宋"/>
          <w:sz w:val="28"/>
          <w:szCs w:val="28"/>
        </w:rPr>
        <w:br w:type="page"/>
      </w:r>
    </w:p>
    <w:p>
      <w:pPr>
        <w:spacing w:line="0" w:lineRule="atLeast"/>
        <w:outlineLvl w:val="1"/>
        <w:rPr>
          <w:rFonts w:ascii="宋体" w:hAnsi="宋体"/>
          <w:szCs w:val="21"/>
        </w:rPr>
      </w:pPr>
      <w:bookmarkStart w:id="75" w:name="_Toc22024"/>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74"/>
      <w:bookmarkEnd w:id="75"/>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（投标人名称）在最近三年内（年月日至报名截止时间）没有处于被责令停业，或财产被接管、冻结、破产状态；没有骗取中标或严重违约引起的合同终止、纠纷、争议、仲裁和诉讼记录，没有重大质量问题。</w:t>
      </w:r>
    </w:p>
    <w:p>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（投标人名称）及法定代表人在最近三年内（年月日至报名截止时间）没有行贿犯罪记录。</w:t>
      </w:r>
    </w:p>
    <w:p>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（投标人名称）自年月日至报名截止时间，提供的服务在中国大陆地区项目中无重大安全事故。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日期：年月日</w:t>
      </w:r>
    </w:p>
    <w:p>
      <w:pPr>
        <w:spacing w:line="0" w:lineRule="atLeast"/>
        <w:outlineLvl w:val="1"/>
        <w:rPr>
          <w:rFonts w:ascii="仿宋" w:hAnsi="仿宋" w:eastAsia="仿宋"/>
          <w:sz w:val="28"/>
          <w:szCs w:val="28"/>
        </w:rPr>
      </w:pPr>
    </w:p>
    <w:p/>
    <w:p>
      <w:pPr>
        <w:pStyle w:val="12"/>
      </w:pPr>
    </w:p>
    <w:p>
      <w:pPr>
        <w:spacing w:line="0" w:lineRule="atLeast"/>
        <w:outlineLvl w:val="1"/>
        <w:rPr>
          <w:rFonts w:ascii="宋体" w:hAnsi="宋体"/>
        </w:rPr>
      </w:pPr>
      <w:bookmarkStart w:id="76" w:name="_Toc100848654"/>
    </w:p>
    <w:p>
      <w:pPr>
        <w:spacing w:line="0" w:lineRule="atLeast"/>
        <w:outlineLvl w:val="1"/>
        <w:rPr>
          <w:rFonts w:ascii="宋体" w:hAnsi="宋体"/>
        </w:rPr>
      </w:pPr>
    </w:p>
    <w:p>
      <w:pPr>
        <w:spacing w:line="0" w:lineRule="atLeast"/>
        <w:outlineLvl w:val="1"/>
        <w:rPr>
          <w:rFonts w:ascii="宋体" w:hAnsi="宋体"/>
        </w:rPr>
      </w:pPr>
    </w:p>
    <w:p>
      <w:pPr>
        <w:spacing w:line="0" w:lineRule="atLeast"/>
        <w:outlineLvl w:val="1"/>
        <w:rPr>
          <w:rFonts w:ascii="宋体" w:hAnsi="宋体"/>
        </w:rPr>
      </w:pPr>
    </w:p>
    <w:p>
      <w:pPr>
        <w:spacing w:line="0" w:lineRule="atLeast"/>
        <w:outlineLvl w:val="1"/>
        <w:rPr>
          <w:rFonts w:ascii="宋体" w:hAnsi="宋体"/>
        </w:rPr>
      </w:pPr>
    </w:p>
    <w:p>
      <w:pPr>
        <w:spacing w:line="0" w:lineRule="atLeast"/>
        <w:outlineLvl w:val="1"/>
        <w:rPr>
          <w:rFonts w:ascii="宋体" w:hAnsi="宋体"/>
        </w:rPr>
      </w:pPr>
      <w:bookmarkStart w:id="77" w:name="_Toc48"/>
      <w:r>
        <w:rPr>
          <w:rFonts w:hint="eastAsia" w:ascii="宋体" w:hAnsi="宋体"/>
        </w:rPr>
        <w:t>附件1</w:t>
      </w:r>
      <w:r>
        <w:rPr>
          <w:rFonts w:ascii="宋体" w:hAnsi="宋体"/>
        </w:rPr>
        <w:t>5</w:t>
      </w:r>
      <w:r>
        <w:rPr>
          <w:rFonts w:hint="eastAsia" w:ascii="宋体" w:hAnsi="宋体"/>
        </w:rPr>
        <w:t>：投标文件密码</w:t>
      </w:r>
      <w:bookmarkEnd w:id="76"/>
      <w:bookmarkEnd w:id="77"/>
    </w:p>
    <w:p>
      <w:pPr>
        <w:spacing w:line="360" w:lineRule="auto"/>
        <w:jc w:val="center"/>
        <w:rPr>
          <w:rFonts w:ascii="宋体" w:hAnsi="宋体"/>
          <w:b/>
          <w:sz w:val="44"/>
          <w:szCs w:val="44"/>
        </w:rPr>
      </w:pPr>
    </w:p>
    <w:p>
      <w:pPr>
        <w:jc w:val="center"/>
        <w:rPr>
          <w:rFonts w:ascii="宋体" w:hAnsi="宋体"/>
          <w:b/>
          <w:color w:val="000000" w:themeColor="text1"/>
          <w:sz w:val="32"/>
          <w:szCs w:val="32"/>
        </w:rPr>
      </w:pPr>
      <w:bookmarkStart w:id="78" w:name="_Hlk66864759"/>
      <w:r>
        <w:rPr>
          <w:rFonts w:hint="eastAsia" w:ascii="宋体" w:hAnsi="宋体"/>
          <w:b/>
          <w:color w:val="000000" w:themeColor="text1"/>
          <w:sz w:val="32"/>
          <w:szCs w:val="32"/>
        </w:rPr>
        <w:t>_</w:t>
      </w:r>
      <w:r>
        <w:rPr>
          <w:rFonts w:ascii="宋体" w:hAnsi="宋体"/>
          <w:b/>
          <w:color w:val="000000" w:themeColor="text1"/>
          <w:sz w:val="32"/>
          <w:szCs w:val="32"/>
        </w:rPr>
        <w:t>________________________________</w:t>
      </w:r>
      <w:r>
        <w:rPr>
          <w:rFonts w:hint="eastAsia" w:ascii="宋体" w:hAnsi="宋体"/>
          <w:b/>
          <w:color w:val="000000" w:themeColor="text1"/>
          <w:sz w:val="32"/>
          <w:szCs w:val="32"/>
        </w:rPr>
        <w:t>项目</w:t>
      </w:r>
      <w:bookmarkEnd w:id="78"/>
    </w:p>
    <w:p>
      <w:pPr>
        <w:jc w:val="center"/>
        <w:rPr>
          <w:rFonts w:ascii="宋体" w:hAnsi="宋体"/>
          <w:b/>
          <w:sz w:val="32"/>
          <w:szCs w:val="32"/>
        </w:rPr>
      </w:pPr>
      <w:r>
        <w:rPr>
          <w:rFonts w:hint="eastAsia" w:ascii="宋体" w:hAnsi="宋体"/>
          <w:b/>
          <w:sz w:val="32"/>
          <w:szCs w:val="32"/>
        </w:rPr>
        <w:t>（一）投标文件密码</w:t>
      </w: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4"/>
        </w:rPr>
      </w:pPr>
      <w:r>
        <w:rPr>
          <w:rFonts w:hint="eastAsia" w:ascii="仿宋" w:hAnsi="仿宋" w:eastAsia="仿宋"/>
          <w:b/>
          <w:color w:val="FF0000"/>
          <w:sz w:val="24"/>
        </w:rPr>
        <w:t>【特别注意】</w:t>
      </w:r>
      <w:r>
        <w:rPr>
          <w:rFonts w:hint="eastAsia" w:ascii="仿宋" w:hAnsi="仿宋" w:eastAsia="仿宋"/>
          <w:b/>
          <w:color w:val="000000" w:themeColor="text1"/>
          <w:sz w:val="24"/>
        </w:rPr>
        <w:t>密码</w:t>
      </w:r>
      <w:r>
        <w:rPr>
          <w:rFonts w:hint="eastAsia" w:ascii="仿宋" w:hAnsi="仿宋" w:eastAsia="仿宋"/>
          <w:b/>
          <w:sz w:val="24"/>
        </w:rPr>
        <w:t>区分大小写，且不得使用易与数字混淆的</w:t>
      </w:r>
      <w:r>
        <w:rPr>
          <w:rFonts w:ascii="仿宋" w:hAnsi="仿宋" w:eastAsia="仿宋"/>
          <w:b/>
          <w:sz w:val="24"/>
        </w:rPr>
        <w:t>I</w:t>
      </w:r>
      <w:r>
        <w:rPr>
          <w:rFonts w:hint="eastAsia" w:ascii="仿宋" w:hAnsi="仿宋" w:eastAsia="仿宋"/>
          <w:b/>
          <w:sz w:val="24"/>
        </w:rPr>
        <w:t>、l、O（或</w:t>
      </w:r>
      <w:r>
        <w:rPr>
          <w:rFonts w:ascii="仿宋" w:hAnsi="仿宋" w:eastAsia="仿宋"/>
          <w:b/>
          <w:sz w:val="24"/>
        </w:rPr>
        <w:t>o</w:t>
      </w:r>
      <w:r>
        <w:rPr>
          <w:rFonts w:hint="eastAsia" w:ascii="仿宋" w:hAnsi="仿宋" w:eastAsia="仿宋"/>
          <w:b/>
          <w:sz w:val="24"/>
        </w:rPr>
        <w:t>）等字母。</w:t>
      </w:r>
    </w:p>
    <w:p>
      <w:pPr>
        <w:pStyle w:val="12"/>
      </w:pPr>
    </w:p>
    <w:sectPr>
      <w:footerReference r:id="rId4" w:type="default"/>
      <w:pgSz w:w="11906" w:h="16838"/>
      <w:pgMar w:top="1134" w:right="1800" w:bottom="935"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8"/>
          <w:jc w:val="center"/>
        </w:pPr>
        <w:r>
          <w:fldChar w:fldCharType="begin"/>
        </w:r>
        <w:r>
          <w:instrText xml:space="preserve">PAGE   \* MERGEFORMAT</w:instrText>
        </w:r>
        <w:r>
          <w:fldChar w:fldCharType="separate"/>
        </w:r>
        <w:r>
          <w:rPr>
            <w:lang w:val="zh-CN"/>
          </w:rPr>
          <w:t>13</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8BF20"/>
    <w:multiLevelType w:val="singleLevel"/>
    <w:tmpl w:val="8468BF20"/>
    <w:lvl w:ilvl="0" w:tentative="0">
      <w:start w:val="1"/>
      <w:numFmt w:val="decimal"/>
      <w:lvlText w:val="（%1）"/>
      <w:lvlJc w:val="left"/>
      <w:pPr>
        <w:ind w:left="420" w:hanging="420"/>
      </w:pPr>
      <w:rPr>
        <w:rFonts w:hint="eastAsia"/>
      </w:rPr>
    </w:lvl>
  </w:abstractNum>
  <w:abstractNum w:abstractNumId="1">
    <w:nsid w:val="8E3317DA"/>
    <w:multiLevelType w:val="singleLevel"/>
    <w:tmpl w:val="8E3317DA"/>
    <w:lvl w:ilvl="0" w:tentative="0">
      <w:start w:val="1"/>
      <w:numFmt w:val="decimal"/>
      <w:suff w:val="nothing"/>
      <w:lvlText w:val="%1、"/>
      <w:lvlJc w:val="left"/>
      <w:pPr>
        <w:ind w:left="210"/>
      </w:pPr>
    </w:lvl>
  </w:abstractNum>
  <w:abstractNum w:abstractNumId="2">
    <w:nsid w:val="968E95CA"/>
    <w:multiLevelType w:val="singleLevel"/>
    <w:tmpl w:val="968E95CA"/>
    <w:lvl w:ilvl="0" w:tentative="0">
      <w:start w:val="1"/>
      <w:numFmt w:val="decimal"/>
      <w:lvlText w:val="(%1)"/>
      <w:lvlJc w:val="left"/>
      <w:pPr>
        <w:ind w:left="845" w:hanging="425"/>
      </w:pPr>
      <w:rPr>
        <w:rFonts w:hint="default"/>
      </w:rPr>
    </w:lvl>
  </w:abstractNum>
  <w:abstractNum w:abstractNumId="3">
    <w:nsid w:val="9CE51442"/>
    <w:multiLevelType w:val="multilevel"/>
    <w:tmpl w:val="9CE51442"/>
    <w:lvl w:ilvl="0" w:tentative="0">
      <w:start w:val="1"/>
      <w:numFmt w:val="chineseCounting"/>
      <w:suff w:val="nothing"/>
      <w:lvlText w:val="%1、"/>
      <w:lvlJc w:val="left"/>
      <w:pPr>
        <w:ind w:left="-190" w:firstLine="400"/>
      </w:pPr>
      <w:rPr>
        <w:rFonts w:hint="eastAsia"/>
      </w:rPr>
    </w:lvl>
    <w:lvl w:ilvl="1" w:tentative="0">
      <w:start w:val="1"/>
      <w:numFmt w:val="decimal"/>
      <w:suff w:val="nothing"/>
      <w:lvlText w:val="%2．"/>
      <w:lvlJc w:val="left"/>
      <w:pPr>
        <w:ind w:left="-190" w:firstLine="400"/>
      </w:pPr>
      <w:rPr>
        <w:rFonts w:hint="eastAsia"/>
      </w:rPr>
    </w:lvl>
    <w:lvl w:ilvl="2" w:tentative="0">
      <w:start w:val="1"/>
      <w:numFmt w:val="decimal"/>
      <w:suff w:val="nothing"/>
      <w:lvlText w:val="（%3）"/>
      <w:lvlJc w:val="left"/>
      <w:pPr>
        <w:ind w:left="-190" w:firstLine="402"/>
      </w:pPr>
      <w:rPr>
        <w:rFonts w:hint="eastAsia"/>
      </w:rPr>
    </w:lvl>
    <w:lvl w:ilvl="3" w:tentative="0">
      <w:start w:val="1"/>
      <w:numFmt w:val="decimalEnclosedCircleChinese"/>
      <w:suff w:val="nothing"/>
      <w:lvlText w:val="%4 "/>
      <w:lvlJc w:val="left"/>
      <w:pPr>
        <w:ind w:left="-190" w:firstLine="402"/>
      </w:pPr>
      <w:rPr>
        <w:rFonts w:hint="eastAsia"/>
      </w:rPr>
    </w:lvl>
    <w:lvl w:ilvl="4" w:tentative="0">
      <w:start w:val="1"/>
      <w:numFmt w:val="decimal"/>
      <w:suff w:val="nothing"/>
      <w:lvlText w:val="%5）"/>
      <w:lvlJc w:val="left"/>
      <w:pPr>
        <w:ind w:left="-190" w:firstLine="402"/>
      </w:pPr>
      <w:rPr>
        <w:rFonts w:hint="eastAsia"/>
      </w:rPr>
    </w:lvl>
    <w:lvl w:ilvl="5" w:tentative="0">
      <w:start w:val="1"/>
      <w:numFmt w:val="lowerLetter"/>
      <w:suff w:val="nothing"/>
      <w:lvlText w:val="%6．"/>
      <w:lvlJc w:val="left"/>
      <w:pPr>
        <w:ind w:left="-190" w:firstLine="402"/>
      </w:pPr>
      <w:rPr>
        <w:rFonts w:hint="eastAsia"/>
      </w:rPr>
    </w:lvl>
    <w:lvl w:ilvl="6" w:tentative="0">
      <w:start w:val="1"/>
      <w:numFmt w:val="lowerLetter"/>
      <w:suff w:val="nothing"/>
      <w:lvlText w:val="%7）"/>
      <w:lvlJc w:val="left"/>
      <w:pPr>
        <w:ind w:left="-190" w:firstLine="402"/>
      </w:pPr>
      <w:rPr>
        <w:rFonts w:hint="eastAsia"/>
      </w:rPr>
    </w:lvl>
    <w:lvl w:ilvl="7" w:tentative="0">
      <w:start w:val="1"/>
      <w:numFmt w:val="lowerRoman"/>
      <w:suff w:val="nothing"/>
      <w:lvlText w:val="%8. "/>
      <w:lvlJc w:val="left"/>
      <w:pPr>
        <w:ind w:left="-190" w:firstLine="402"/>
      </w:pPr>
      <w:rPr>
        <w:rFonts w:hint="eastAsia"/>
      </w:rPr>
    </w:lvl>
    <w:lvl w:ilvl="8" w:tentative="0">
      <w:start w:val="1"/>
      <w:numFmt w:val="lowerRoman"/>
      <w:suff w:val="nothing"/>
      <w:lvlText w:val="%9）"/>
      <w:lvlJc w:val="left"/>
      <w:pPr>
        <w:ind w:left="-190" w:firstLine="402"/>
      </w:pPr>
      <w:rPr>
        <w:rFonts w:hint="eastAsia"/>
      </w:rPr>
    </w:lvl>
  </w:abstractNum>
  <w:abstractNum w:abstractNumId="4">
    <w:nsid w:val="A01BF589"/>
    <w:multiLevelType w:val="singleLevel"/>
    <w:tmpl w:val="A01BF589"/>
    <w:lvl w:ilvl="0" w:tentative="0">
      <w:start w:val="1"/>
      <w:numFmt w:val="decimal"/>
      <w:lvlText w:val="（%1）"/>
      <w:lvlJc w:val="left"/>
      <w:pPr>
        <w:ind w:left="420" w:hanging="420"/>
      </w:pPr>
      <w:rPr>
        <w:rFonts w:hint="eastAsia"/>
      </w:rPr>
    </w:lvl>
  </w:abstractNum>
  <w:abstractNum w:abstractNumId="5">
    <w:nsid w:val="A2281775"/>
    <w:multiLevelType w:val="singleLevel"/>
    <w:tmpl w:val="A2281775"/>
    <w:lvl w:ilvl="0" w:tentative="0">
      <w:start w:val="1"/>
      <w:numFmt w:val="decimal"/>
      <w:suff w:val="space"/>
      <w:lvlText w:val="%1."/>
      <w:lvlJc w:val="left"/>
    </w:lvl>
  </w:abstractNum>
  <w:abstractNum w:abstractNumId="6">
    <w:nsid w:val="BBFD8AFE"/>
    <w:multiLevelType w:val="singleLevel"/>
    <w:tmpl w:val="BBFD8AFE"/>
    <w:lvl w:ilvl="0" w:tentative="0">
      <w:start w:val="1"/>
      <w:numFmt w:val="decimal"/>
      <w:suff w:val="nothing"/>
      <w:lvlText w:val="%1、"/>
      <w:lvlJc w:val="left"/>
    </w:lvl>
  </w:abstractNum>
  <w:abstractNum w:abstractNumId="7">
    <w:nsid w:val="C317AE0C"/>
    <w:multiLevelType w:val="singleLevel"/>
    <w:tmpl w:val="C317AE0C"/>
    <w:lvl w:ilvl="0" w:tentative="0">
      <w:start w:val="1"/>
      <w:numFmt w:val="decimal"/>
      <w:lvlText w:val="（%1）"/>
      <w:lvlJc w:val="left"/>
      <w:pPr>
        <w:ind w:left="602" w:hanging="420"/>
      </w:pPr>
      <w:rPr>
        <w:rFonts w:hint="eastAsia"/>
      </w:rPr>
    </w:lvl>
  </w:abstractNum>
  <w:abstractNum w:abstractNumId="8">
    <w:nsid w:val="CA690857"/>
    <w:multiLevelType w:val="singleLevel"/>
    <w:tmpl w:val="CA690857"/>
    <w:lvl w:ilvl="0" w:tentative="0">
      <w:start w:val="1"/>
      <w:numFmt w:val="decimal"/>
      <w:lvlText w:val="（%1）"/>
      <w:lvlJc w:val="left"/>
      <w:pPr>
        <w:ind w:left="420" w:hanging="420"/>
      </w:pPr>
      <w:rPr>
        <w:rFonts w:hint="eastAsia"/>
      </w:rPr>
    </w:lvl>
  </w:abstractNum>
  <w:abstractNum w:abstractNumId="9">
    <w:nsid w:val="CB3615CA"/>
    <w:multiLevelType w:val="singleLevel"/>
    <w:tmpl w:val="CB3615CA"/>
    <w:lvl w:ilvl="0" w:tentative="0">
      <w:start w:val="1"/>
      <w:numFmt w:val="decimal"/>
      <w:suff w:val="nothing"/>
      <w:lvlText w:val="%1、"/>
      <w:lvlJc w:val="left"/>
    </w:lvl>
  </w:abstractNum>
  <w:abstractNum w:abstractNumId="10">
    <w:nsid w:val="D3051835"/>
    <w:multiLevelType w:val="singleLevel"/>
    <w:tmpl w:val="D3051835"/>
    <w:lvl w:ilvl="0" w:tentative="0">
      <w:start w:val="1"/>
      <w:numFmt w:val="decimal"/>
      <w:suff w:val="space"/>
      <w:lvlText w:val="%1."/>
      <w:lvlJc w:val="left"/>
    </w:lvl>
  </w:abstractNum>
  <w:abstractNum w:abstractNumId="11">
    <w:nsid w:val="DAA5A57F"/>
    <w:multiLevelType w:val="singleLevel"/>
    <w:tmpl w:val="DAA5A57F"/>
    <w:lvl w:ilvl="0" w:tentative="0">
      <w:start w:val="1"/>
      <w:numFmt w:val="decimal"/>
      <w:suff w:val="space"/>
      <w:lvlText w:val="%1."/>
      <w:lvlJc w:val="left"/>
    </w:lvl>
  </w:abstractNum>
  <w:abstractNum w:abstractNumId="12">
    <w:nsid w:val="DECF401D"/>
    <w:multiLevelType w:val="singleLevel"/>
    <w:tmpl w:val="DECF401D"/>
    <w:lvl w:ilvl="0" w:tentative="0">
      <w:start w:val="1"/>
      <w:numFmt w:val="chineseCounting"/>
      <w:suff w:val="nothing"/>
      <w:lvlText w:val="%1、"/>
      <w:lvlJc w:val="left"/>
      <w:pPr>
        <w:ind w:left="0" w:firstLine="420"/>
      </w:pPr>
      <w:rPr>
        <w:rFonts w:hint="eastAsia"/>
      </w:rPr>
    </w:lvl>
  </w:abstractNum>
  <w:abstractNum w:abstractNumId="13">
    <w:nsid w:val="E756C774"/>
    <w:multiLevelType w:val="singleLevel"/>
    <w:tmpl w:val="E756C774"/>
    <w:lvl w:ilvl="0" w:tentative="0">
      <w:start w:val="1"/>
      <w:numFmt w:val="decimal"/>
      <w:suff w:val="nothing"/>
      <w:lvlText w:val="（%1）"/>
      <w:lvlJc w:val="left"/>
      <w:rPr>
        <w:rFonts w:hint="default"/>
        <w:color w:val="auto"/>
      </w:rPr>
    </w:lvl>
  </w:abstractNum>
  <w:abstractNum w:abstractNumId="14">
    <w:nsid w:val="F40A6E14"/>
    <w:multiLevelType w:val="singleLevel"/>
    <w:tmpl w:val="F40A6E14"/>
    <w:lvl w:ilvl="0" w:tentative="0">
      <w:start w:val="1"/>
      <w:numFmt w:val="decimal"/>
      <w:suff w:val="nothing"/>
      <w:lvlText w:val="（%1）"/>
      <w:lvlJc w:val="left"/>
    </w:lvl>
  </w:abstractNum>
  <w:abstractNum w:abstractNumId="15">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3"/>
    <w:multiLevelType w:val="singleLevel"/>
    <w:tmpl w:val="00000013"/>
    <w:lvl w:ilvl="0" w:tentative="0">
      <w:start w:val="1"/>
      <w:numFmt w:val="decimal"/>
      <w:lvlText w:val="%1."/>
      <w:lvlJc w:val="left"/>
      <w:pPr>
        <w:ind w:left="420" w:hanging="420"/>
      </w:pPr>
    </w:lvl>
  </w:abstractNum>
  <w:abstractNum w:abstractNumId="19">
    <w:nsid w:val="08C74DB3"/>
    <w:multiLevelType w:val="singleLevel"/>
    <w:tmpl w:val="08C74DB3"/>
    <w:lvl w:ilvl="0" w:tentative="0">
      <w:start w:val="1"/>
      <w:numFmt w:val="decimalEnclosedCircleChinese"/>
      <w:suff w:val="nothing"/>
      <w:lvlText w:val="%1　"/>
      <w:lvlJc w:val="left"/>
      <w:pPr>
        <w:ind w:left="0" w:firstLine="400"/>
      </w:pPr>
      <w:rPr>
        <w:rFonts w:hint="eastAsia"/>
      </w:rPr>
    </w:lvl>
  </w:abstractNum>
  <w:abstractNum w:abstractNumId="20">
    <w:nsid w:val="1242E67F"/>
    <w:multiLevelType w:val="singleLevel"/>
    <w:tmpl w:val="1242E67F"/>
    <w:lvl w:ilvl="0" w:tentative="0">
      <w:start w:val="1"/>
      <w:numFmt w:val="decimal"/>
      <w:suff w:val="nothing"/>
      <w:lvlText w:val="（%1）"/>
      <w:lvlJc w:val="left"/>
    </w:lvl>
  </w:abstractNum>
  <w:abstractNum w:abstractNumId="21">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1B9719F2"/>
    <w:multiLevelType w:val="multilevel"/>
    <w:tmpl w:val="1B9719F2"/>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9CD4303"/>
    <w:multiLevelType w:val="singleLevel"/>
    <w:tmpl w:val="29CD4303"/>
    <w:lvl w:ilvl="0" w:tentative="0">
      <w:start w:val="3"/>
      <w:numFmt w:val="decimal"/>
      <w:suff w:val="nothing"/>
      <w:lvlText w:val="%1、"/>
      <w:lvlJc w:val="left"/>
    </w:lvl>
  </w:abstractNum>
  <w:abstractNum w:abstractNumId="25">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C866074"/>
    <w:multiLevelType w:val="singleLevel"/>
    <w:tmpl w:val="3C866074"/>
    <w:lvl w:ilvl="0" w:tentative="0">
      <w:start w:val="1"/>
      <w:numFmt w:val="decimalEnclosedCircleChinese"/>
      <w:suff w:val="nothing"/>
      <w:lvlText w:val="%1　"/>
      <w:lvlJc w:val="left"/>
      <w:pPr>
        <w:ind w:left="0" w:firstLine="400"/>
      </w:pPr>
      <w:rPr>
        <w:rFonts w:hint="eastAsia"/>
      </w:rPr>
    </w:lvl>
  </w:abstractNum>
  <w:abstractNum w:abstractNumId="29">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1">
    <w:nsid w:val="4BA719D1"/>
    <w:multiLevelType w:val="singleLevel"/>
    <w:tmpl w:val="4BA719D1"/>
    <w:lvl w:ilvl="0" w:tentative="0">
      <w:start w:val="1"/>
      <w:numFmt w:val="decimal"/>
      <w:lvlText w:val="（%1）"/>
      <w:lvlJc w:val="left"/>
      <w:pPr>
        <w:ind w:left="420" w:hanging="420"/>
      </w:pPr>
      <w:rPr>
        <w:rFonts w:hint="eastAsia"/>
      </w:rPr>
    </w:lvl>
  </w:abstractNum>
  <w:abstractNum w:abstractNumId="32">
    <w:nsid w:val="4E16D9B3"/>
    <w:multiLevelType w:val="singleLevel"/>
    <w:tmpl w:val="4E16D9B3"/>
    <w:lvl w:ilvl="0" w:tentative="0">
      <w:start w:val="1"/>
      <w:numFmt w:val="decimal"/>
      <w:suff w:val="nothing"/>
      <w:lvlText w:val="%1、"/>
      <w:lvlJc w:val="left"/>
      <w:rPr>
        <w:rFonts w:hint="default"/>
        <w:color w:val="auto"/>
      </w:rPr>
    </w:lvl>
  </w:abstractNum>
  <w:abstractNum w:abstractNumId="33">
    <w:nsid w:val="5272B3F7"/>
    <w:multiLevelType w:val="singleLevel"/>
    <w:tmpl w:val="5272B3F7"/>
    <w:lvl w:ilvl="0" w:tentative="0">
      <w:start w:val="1"/>
      <w:numFmt w:val="decimalEnclosedCircleChinese"/>
      <w:suff w:val="nothing"/>
      <w:lvlText w:val="%1　"/>
      <w:lvlJc w:val="left"/>
      <w:pPr>
        <w:ind w:left="0" w:firstLine="400"/>
      </w:pPr>
      <w:rPr>
        <w:rFonts w:hint="eastAsia"/>
      </w:rPr>
    </w:lvl>
  </w:abstractNum>
  <w:abstractNum w:abstractNumId="34">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5">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6">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6BBA130"/>
    <w:multiLevelType w:val="singleLevel"/>
    <w:tmpl w:val="56BBA130"/>
    <w:lvl w:ilvl="0" w:tentative="0">
      <w:start w:val="1"/>
      <w:numFmt w:val="decimalEnclosedCircleChinese"/>
      <w:suff w:val="nothing"/>
      <w:lvlText w:val="%1　"/>
      <w:lvlJc w:val="left"/>
      <w:pPr>
        <w:ind w:left="0" w:firstLine="400"/>
      </w:pPr>
      <w:rPr>
        <w:rFonts w:hint="eastAsia"/>
      </w:rPr>
    </w:lvl>
  </w:abstractNum>
  <w:abstractNum w:abstractNumId="38">
    <w:nsid w:val="635B71CE"/>
    <w:multiLevelType w:val="singleLevel"/>
    <w:tmpl w:val="635B71CE"/>
    <w:lvl w:ilvl="0" w:tentative="0">
      <w:start w:val="1"/>
      <w:numFmt w:val="decimal"/>
      <w:lvlText w:val="（%1）"/>
      <w:lvlJc w:val="left"/>
      <w:pPr>
        <w:ind w:left="420" w:hanging="420"/>
      </w:pPr>
      <w:rPr>
        <w:rFonts w:hint="eastAsia"/>
      </w:rPr>
    </w:lvl>
  </w:abstractNum>
  <w:abstractNum w:abstractNumId="39">
    <w:nsid w:val="640622A8"/>
    <w:multiLevelType w:val="singleLevel"/>
    <w:tmpl w:val="640622A8"/>
    <w:lvl w:ilvl="0" w:tentative="0">
      <w:start w:val="1"/>
      <w:numFmt w:val="decimal"/>
      <w:lvlText w:val="（%1）"/>
      <w:lvlJc w:val="left"/>
      <w:pPr>
        <w:ind w:left="420" w:hanging="420"/>
      </w:pPr>
      <w:rPr>
        <w:rFonts w:hint="default"/>
        <w:color w:val="auto"/>
      </w:rPr>
    </w:lvl>
  </w:abstractNum>
  <w:abstractNum w:abstractNumId="40">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1">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2">
    <w:nsid w:val="739433F9"/>
    <w:multiLevelType w:val="singleLevel"/>
    <w:tmpl w:val="739433F9"/>
    <w:lvl w:ilvl="0" w:tentative="0">
      <w:start w:val="1"/>
      <w:numFmt w:val="decimal"/>
      <w:suff w:val="space"/>
      <w:lvlText w:val="%1."/>
      <w:lvlJc w:val="left"/>
    </w:lvl>
  </w:abstractNum>
  <w:abstractNum w:abstractNumId="43">
    <w:nsid w:val="7668F63E"/>
    <w:multiLevelType w:val="singleLevel"/>
    <w:tmpl w:val="7668F63E"/>
    <w:lvl w:ilvl="0" w:tentative="0">
      <w:start w:val="1"/>
      <w:numFmt w:val="decimal"/>
      <w:lvlText w:val="（%1）"/>
      <w:lvlJc w:val="left"/>
      <w:pPr>
        <w:ind w:left="602" w:hanging="420"/>
      </w:pPr>
      <w:rPr>
        <w:rFonts w:hint="eastAsia"/>
      </w:rPr>
    </w:lvl>
  </w:abstractNum>
  <w:abstractNum w:abstractNumId="44">
    <w:nsid w:val="7B4A4E0C"/>
    <w:multiLevelType w:val="singleLevel"/>
    <w:tmpl w:val="7B4A4E0C"/>
    <w:lvl w:ilvl="0" w:tentative="0">
      <w:start w:val="1"/>
      <w:numFmt w:val="decimal"/>
      <w:lvlText w:val="（%1）"/>
      <w:lvlJc w:val="left"/>
      <w:pPr>
        <w:ind w:left="420" w:hanging="420"/>
      </w:pPr>
      <w:rPr>
        <w:rFonts w:hint="default"/>
        <w:color w:val="auto"/>
      </w:rPr>
    </w:lvl>
  </w:abstractNum>
  <w:abstractNum w:abstractNumId="45">
    <w:nsid w:val="7BBFD96B"/>
    <w:multiLevelType w:val="singleLevel"/>
    <w:tmpl w:val="7BBFD96B"/>
    <w:lvl w:ilvl="0" w:tentative="0">
      <w:start w:val="1"/>
      <w:numFmt w:val="decimal"/>
      <w:suff w:val="nothing"/>
      <w:lvlText w:val="%1、"/>
      <w:lvlJc w:val="left"/>
    </w:lvl>
  </w:abstractNum>
  <w:abstractNum w:abstractNumId="46">
    <w:nsid w:val="7ED17433"/>
    <w:multiLevelType w:val="singleLevel"/>
    <w:tmpl w:val="7ED17433"/>
    <w:lvl w:ilvl="0" w:tentative="0">
      <w:start w:val="1"/>
      <w:numFmt w:val="decimal"/>
      <w:lvlText w:val="（%1）"/>
      <w:lvlJc w:val="left"/>
      <w:pPr>
        <w:ind w:left="420" w:hanging="420"/>
      </w:pPr>
      <w:rPr>
        <w:rFonts w:hint="eastAsia"/>
      </w:rPr>
    </w:lvl>
  </w:abstractNum>
  <w:num w:numId="1">
    <w:abstractNumId w:val="35"/>
  </w:num>
  <w:num w:numId="2">
    <w:abstractNumId w:val="41"/>
  </w:num>
  <w:num w:numId="3">
    <w:abstractNumId w:val="27"/>
  </w:num>
  <w:num w:numId="4">
    <w:abstractNumId w:val="8"/>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6"/>
  </w:num>
  <w:num w:numId="8">
    <w:abstractNumId w:val="29"/>
  </w:num>
  <w:num w:numId="9">
    <w:abstractNumId w:val="21"/>
  </w:num>
  <w:num w:numId="10">
    <w:abstractNumId w:val="44"/>
  </w:num>
  <w:num w:numId="11">
    <w:abstractNumId w:val="46"/>
  </w:num>
  <w:num w:numId="12">
    <w:abstractNumId w:val="7"/>
  </w:num>
  <w:num w:numId="13">
    <w:abstractNumId w:val="43"/>
  </w:num>
  <w:num w:numId="14">
    <w:abstractNumId w:val="31"/>
  </w:num>
  <w:num w:numId="15">
    <w:abstractNumId w:val="3"/>
  </w:num>
  <w:num w:numId="16">
    <w:abstractNumId w:val="1"/>
  </w:num>
  <w:num w:numId="17">
    <w:abstractNumId w:val="45"/>
  </w:num>
  <w:num w:numId="18">
    <w:abstractNumId w:val="32"/>
  </w:num>
  <w:num w:numId="19">
    <w:abstractNumId w:val="38"/>
  </w:num>
  <w:num w:numId="20">
    <w:abstractNumId w:val="0"/>
  </w:num>
  <w:num w:numId="21">
    <w:abstractNumId w:val="4"/>
  </w:num>
  <w:num w:numId="22">
    <w:abstractNumId w:val="39"/>
  </w:num>
  <w:num w:numId="23">
    <w:abstractNumId w:val="10"/>
  </w:num>
  <w:num w:numId="24">
    <w:abstractNumId w:val="17"/>
  </w:num>
  <w:num w:numId="25">
    <w:abstractNumId w:val="42"/>
  </w:num>
  <w:num w:numId="26">
    <w:abstractNumId w:val="22"/>
  </w:num>
  <w:num w:numId="27">
    <w:abstractNumId w:val="20"/>
  </w:num>
  <w:num w:numId="28">
    <w:abstractNumId w:val="26"/>
  </w:num>
  <w:num w:numId="29">
    <w:abstractNumId w:val="13"/>
  </w:num>
  <w:num w:numId="30">
    <w:abstractNumId w:val="14"/>
  </w:num>
  <w:num w:numId="31">
    <w:abstractNumId w:val="5"/>
  </w:num>
  <w:num w:numId="32">
    <w:abstractNumId w:val="11"/>
  </w:num>
  <w:num w:numId="33">
    <w:abstractNumId w:val="12"/>
  </w:num>
  <w:num w:numId="34">
    <w:abstractNumId w:val="19"/>
  </w:num>
  <w:num w:numId="35">
    <w:abstractNumId w:val="28"/>
  </w:num>
  <w:num w:numId="36">
    <w:abstractNumId w:val="37"/>
  </w:num>
  <w:num w:numId="37">
    <w:abstractNumId w:val="33"/>
  </w:num>
  <w:num w:numId="38">
    <w:abstractNumId w:val="2"/>
  </w:num>
  <w:num w:numId="39">
    <w:abstractNumId w:val="24"/>
  </w:num>
  <w:num w:numId="40">
    <w:abstractNumId w:val="6"/>
  </w:num>
  <w:num w:numId="41">
    <w:abstractNumId w:val="9"/>
  </w:num>
  <w:num w:numId="42">
    <w:abstractNumId w:val="16"/>
  </w:num>
  <w:num w:numId="43">
    <w:abstractNumId w:val="15"/>
  </w:num>
  <w:num w:numId="44">
    <w:abstractNumId w:val="40"/>
  </w:num>
  <w:num w:numId="45">
    <w:abstractNumId w:val="30"/>
  </w:num>
  <w:num w:numId="46">
    <w:abstractNumId w:val="25"/>
  </w:num>
  <w:num w:numId="47">
    <w:abstractNumId w:val="18"/>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M0Nzc4NTgxMTg1M2VmMTJlY2Y2ZjYwMjllOTg2ZDUifQ=="/>
  </w:docVars>
  <w:rsids>
    <w:rsidRoot w:val="007C50B2"/>
    <w:rsid w:val="000071F5"/>
    <w:rsid w:val="000109CF"/>
    <w:rsid w:val="000123BE"/>
    <w:rsid w:val="0001408F"/>
    <w:rsid w:val="00020D3D"/>
    <w:rsid w:val="0002431D"/>
    <w:rsid w:val="0006307A"/>
    <w:rsid w:val="00071803"/>
    <w:rsid w:val="00074891"/>
    <w:rsid w:val="00077160"/>
    <w:rsid w:val="00080360"/>
    <w:rsid w:val="00093F3A"/>
    <w:rsid w:val="000A2942"/>
    <w:rsid w:val="000C0416"/>
    <w:rsid w:val="000C45B3"/>
    <w:rsid w:val="000C7053"/>
    <w:rsid w:val="000E3E7C"/>
    <w:rsid w:val="000F16F8"/>
    <w:rsid w:val="000F23B0"/>
    <w:rsid w:val="001052B4"/>
    <w:rsid w:val="00105AEC"/>
    <w:rsid w:val="001107A5"/>
    <w:rsid w:val="001238C4"/>
    <w:rsid w:val="0012732B"/>
    <w:rsid w:val="0013213B"/>
    <w:rsid w:val="0013663B"/>
    <w:rsid w:val="00137AB2"/>
    <w:rsid w:val="00141B72"/>
    <w:rsid w:val="001427DC"/>
    <w:rsid w:val="00142D21"/>
    <w:rsid w:val="00162AA4"/>
    <w:rsid w:val="001723D2"/>
    <w:rsid w:val="00174846"/>
    <w:rsid w:val="00180E0D"/>
    <w:rsid w:val="001959E5"/>
    <w:rsid w:val="001978B2"/>
    <w:rsid w:val="001A6C5B"/>
    <w:rsid w:val="001E44D2"/>
    <w:rsid w:val="001F14F2"/>
    <w:rsid w:val="00206999"/>
    <w:rsid w:val="0022465E"/>
    <w:rsid w:val="00233E0E"/>
    <w:rsid w:val="00252697"/>
    <w:rsid w:val="00270C5A"/>
    <w:rsid w:val="00292E63"/>
    <w:rsid w:val="002963F2"/>
    <w:rsid w:val="002B743A"/>
    <w:rsid w:val="002C49F2"/>
    <w:rsid w:val="003158DE"/>
    <w:rsid w:val="003255E6"/>
    <w:rsid w:val="003300CC"/>
    <w:rsid w:val="003436BC"/>
    <w:rsid w:val="00354484"/>
    <w:rsid w:val="003545D1"/>
    <w:rsid w:val="003823A8"/>
    <w:rsid w:val="00395CE4"/>
    <w:rsid w:val="00397C1E"/>
    <w:rsid w:val="003A09E6"/>
    <w:rsid w:val="003B01FB"/>
    <w:rsid w:val="003D0358"/>
    <w:rsid w:val="003E6092"/>
    <w:rsid w:val="003E66A3"/>
    <w:rsid w:val="003E7621"/>
    <w:rsid w:val="004235D9"/>
    <w:rsid w:val="00427D5D"/>
    <w:rsid w:val="00441F17"/>
    <w:rsid w:val="004707D2"/>
    <w:rsid w:val="00471ED2"/>
    <w:rsid w:val="004723F5"/>
    <w:rsid w:val="00475B44"/>
    <w:rsid w:val="00476C96"/>
    <w:rsid w:val="00492F1D"/>
    <w:rsid w:val="004A0594"/>
    <w:rsid w:val="004A7C1F"/>
    <w:rsid w:val="004B0D64"/>
    <w:rsid w:val="004B24F9"/>
    <w:rsid w:val="004D58FC"/>
    <w:rsid w:val="004D6F70"/>
    <w:rsid w:val="004E3802"/>
    <w:rsid w:val="004E4541"/>
    <w:rsid w:val="004E7657"/>
    <w:rsid w:val="004F63E5"/>
    <w:rsid w:val="00506B6D"/>
    <w:rsid w:val="00521AB1"/>
    <w:rsid w:val="00544B6E"/>
    <w:rsid w:val="00565EDC"/>
    <w:rsid w:val="005815FC"/>
    <w:rsid w:val="005A26F8"/>
    <w:rsid w:val="005A480E"/>
    <w:rsid w:val="005B03C2"/>
    <w:rsid w:val="005B1453"/>
    <w:rsid w:val="005B328D"/>
    <w:rsid w:val="005C5034"/>
    <w:rsid w:val="005D123F"/>
    <w:rsid w:val="005E43D8"/>
    <w:rsid w:val="005F16B3"/>
    <w:rsid w:val="00606010"/>
    <w:rsid w:val="00621681"/>
    <w:rsid w:val="00630585"/>
    <w:rsid w:val="006311FC"/>
    <w:rsid w:val="00632039"/>
    <w:rsid w:val="006333BC"/>
    <w:rsid w:val="0064112B"/>
    <w:rsid w:val="006572BD"/>
    <w:rsid w:val="00664471"/>
    <w:rsid w:val="00681577"/>
    <w:rsid w:val="006815B1"/>
    <w:rsid w:val="00687753"/>
    <w:rsid w:val="006942FF"/>
    <w:rsid w:val="00696C75"/>
    <w:rsid w:val="006A4FED"/>
    <w:rsid w:val="006B1729"/>
    <w:rsid w:val="006B3970"/>
    <w:rsid w:val="006B4923"/>
    <w:rsid w:val="006C659A"/>
    <w:rsid w:val="006C7266"/>
    <w:rsid w:val="006C7574"/>
    <w:rsid w:val="006E0464"/>
    <w:rsid w:val="006E42A5"/>
    <w:rsid w:val="006E6992"/>
    <w:rsid w:val="006F0E4A"/>
    <w:rsid w:val="006F3293"/>
    <w:rsid w:val="00702560"/>
    <w:rsid w:val="0070433C"/>
    <w:rsid w:val="007115E1"/>
    <w:rsid w:val="00714F2D"/>
    <w:rsid w:val="00715AB4"/>
    <w:rsid w:val="00717FB9"/>
    <w:rsid w:val="007542A8"/>
    <w:rsid w:val="007559E5"/>
    <w:rsid w:val="007672EE"/>
    <w:rsid w:val="0076763C"/>
    <w:rsid w:val="0077621A"/>
    <w:rsid w:val="00781DFA"/>
    <w:rsid w:val="00782E08"/>
    <w:rsid w:val="00790A8A"/>
    <w:rsid w:val="007933D2"/>
    <w:rsid w:val="007A53CA"/>
    <w:rsid w:val="007C02CE"/>
    <w:rsid w:val="007C50B2"/>
    <w:rsid w:val="007C5992"/>
    <w:rsid w:val="00803FA2"/>
    <w:rsid w:val="00857F72"/>
    <w:rsid w:val="00866C0E"/>
    <w:rsid w:val="00867C56"/>
    <w:rsid w:val="00870B22"/>
    <w:rsid w:val="00874BB5"/>
    <w:rsid w:val="008A0193"/>
    <w:rsid w:val="008B2C67"/>
    <w:rsid w:val="008B7CD6"/>
    <w:rsid w:val="008C2BA4"/>
    <w:rsid w:val="008C44DE"/>
    <w:rsid w:val="008E05E5"/>
    <w:rsid w:val="008E2323"/>
    <w:rsid w:val="008F10AE"/>
    <w:rsid w:val="0090721F"/>
    <w:rsid w:val="00926702"/>
    <w:rsid w:val="00927979"/>
    <w:rsid w:val="00937F12"/>
    <w:rsid w:val="00943245"/>
    <w:rsid w:val="0094528D"/>
    <w:rsid w:val="00960B05"/>
    <w:rsid w:val="00976465"/>
    <w:rsid w:val="0098029E"/>
    <w:rsid w:val="0098263B"/>
    <w:rsid w:val="00991233"/>
    <w:rsid w:val="009A699B"/>
    <w:rsid w:val="009A6EF3"/>
    <w:rsid w:val="009B7189"/>
    <w:rsid w:val="009C0135"/>
    <w:rsid w:val="009E25C8"/>
    <w:rsid w:val="009E2781"/>
    <w:rsid w:val="009E3D67"/>
    <w:rsid w:val="00A0064A"/>
    <w:rsid w:val="00A0267F"/>
    <w:rsid w:val="00A30228"/>
    <w:rsid w:val="00A31A55"/>
    <w:rsid w:val="00A3423A"/>
    <w:rsid w:val="00A35F31"/>
    <w:rsid w:val="00A4407E"/>
    <w:rsid w:val="00A46C1C"/>
    <w:rsid w:val="00A639F5"/>
    <w:rsid w:val="00A761F1"/>
    <w:rsid w:val="00A8313A"/>
    <w:rsid w:val="00A9070A"/>
    <w:rsid w:val="00AA01BF"/>
    <w:rsid w:val="00AA0F85"/>
    <w:rsid w:val="00AA320E"/>
    <w:rsid w:val="00AA38D8"/>
    <w:rsid w:val="00AA56F4"/>
    <w:rsid w:val="00AB0184"/>
    <w:rsid w:val="00AB0A23"/>
    <w:rsid w:val="00AC1082"/>
    <w:rsid w:val="00AC7FB5"/>
    <w:rsid w:val="00AE1E1D"/>
    <w:rsid w:val="00AF0A7F"/>
    <w:rsid w:val="00AF1254"/>
    <w:rsid w:val="00AF348F"/>
    <w:rsid w:val="00AF730B"/>
    <w:rsid w:val="00B049D6"/>
    <w:rsid w:val="00B1365B"/>
    <w:rsid w:val="00B21864"/>
    <w:rsid w:val="00B37A2F"/>
    <w:rsid w:val="00B40F3E"/>
    <w:rsid w:val="00B44E4F"/>
    <w:rsid w:val="00B522B7"/>
    <w:rsid w:val="00B65C5E"/>
    <w:rsid w:val="00B76BC6"/>
    <w:rsid w:val="00BC0C0B"/>
    <w:rsid w:val="00BC40BD"/>
    <w:rsid w:val="00BD120A"/>
    <w:rsid w:val="00BD666B"/>
    <w:rsid w:val="00BF52E8"/>
    <w:rsid w:val="00C01654"/>
    <w:rsid w:val="00C04795"/>
    <w:rsid w:val="00C30244"/>
    <w:rsid w:val="00C5180D"/>
    <w:rsid w:val="00C53AB0"/>
    <w:rsid w:val="00C53D1D"/>
    <w:rsid w:val="00C61FB2"/>
    <w:rsid w:val="00C6530D"/>
    <w:rsid w:val="00C72E08"/>
    <w:rsid w:val="00C76FD5"/>
    <w:rsid w:val="00C87EB0"/>
    <w:rsid w:val="00C95195"/>
    <w:rsid w:val="00CB0006"/>
    <w:rsid w:val="00CB1DEF"/>
    <w:rsid w:val="00CC73DA"/>
    <w:rsid w:val="00CD4DCE"/>
    <w:rsid w:val="00CE34F4"/>
    <w:rsid w:val="00CE5F16"/>
    <w:rsid w:val="00CF3F58"/>
    <w:rsid w:val="00D13594"/>
    <w:rsid w:val="00D2411A"/>
    <w:rsid w:val="00D4224E"/>
    <w:rsid w:val="00D43550"/>
    <w:rsid w:val="00D46B12"/>
    <w:rsid w:val="00D629CE"/>
    <w:rsid w:val="00D83CA2"/>
    <w:rsid w:val="00D83CC0"/>
    <w:rsid w:val="00D84553"/>
    <w:rsid w:val="00D955EB"/>
    <w:rsid w:val="00DB1C4E"/>
    <w:rsid w:val="00DD544D"/>
    <w:rsid w:val="00DE5E4C"/>
    <w:rsid w:val="00DE7DDC"/>
    <w:rsid w:val="00E107EC"/>
    <w:rsid w:val="00E11738"/>
    <w:rsid w:val="00E12957"/>
    <w:rsid w:val="00E27F91"/>
    <w:rsid w:val="00E31BD7"/>
    <w:rsid w:val="00E45D07"/>
    <w:rsid w:val="00E677C6"/>
    <w:rsid w:val="00E70687"/>
    <w:rsid w:val="00E75726"/>
    <w:rsid w:val="00E928C6"/>
    <w:rsid w:val="00EA0513"/>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6975"/>
    <w:rsid w:val="00F47201"/>
    <w:rsid w:val="00F53D25"/>
    <w:rsid w:val="00F64816"/>
    <w:rsid w:val="00F73354"/>
    <w:rsid w:val="00FA092E"/>
    <w:rsid w:val="00FA63B5"/>
    <w:rsid w:val="00FA6D58"/>
    <w:rsid w:val="00FD52D3"/>
    <w:rsid w:val="00FE72DF"/>
    <w:rsid w:val="00FF2F91"/>
    <w:rsid w:val="015203B5"/>
    <w:rsid w:val="02B32AC8"/>
    <w:rsid w:val="02B47C4D"/>
    <w:rsid w:val="03D644CD"/>
    <w:rsid w:val="044236EA"/>
    <w:rsid w:val="048A7AA3"/>
    <w:rsid w:val="04D46768"/>
    <w:rsid w:val="04FE51C6"/>
    <w:rsid w:val="053A1CC8"/>
    <w:rsid w:val="06634639"/>
    <w:rsid w:val="077B4608"/>
    <w:rsid w:val="086E4EC9"/>
    <w:rsid w:val="08EC23F8"/>
    <w:rsid w:val="0A484094"/>
    <w:rsid w:val="0A91139C"/>
    <w:rsid w:val="0B2336B5"/>
    <w:rsid w:val="0B734A64"/>
    <w:rsid w:val="0C8854D9"/>
    <w:rsid w:val="0C8C098F"/>
    <w:rsid w:val="0F4526B6"/>
    <w:rsid w:val="111B261F"/>
    <w:rsid w:val="125118D1"/>
    <w:rsid w:val="12515F0A"/>
    <w:rsid w:val="12867154"/>
    <w:rsid w:val="12A149A6"/>
    <w:rsid w:val="13390D4E"/>
    <w:rsid w:val="13F43371"/>
    <w:rsid w:val="14200426"/>
    <w:rsid w:val="145F448C"/>
    <w:rsid w:val="15740DA4"/>
    <w:rsid w:val="195A6BC0"/>
    <w:rsid w:val="1A2F0A01"/>
    <w:rsid w:val="1AF671DF"/>
    <w:rsid w:val="1B573644"/>
    <w:rsid w:val="1B714454"/>
    <w:rsid w:val="1BD506D0"/>
    <w:rsid w:val="1CD91095"/>
    <w:rsid w:val="1D863220"/>
    <w:rsid w:val="1DD512F7"/>
    <w:rsid w:val="1E742A85"/>
    <w:rsid w:val="1E8F35E1"/>
    <w:rsid w:val="2156513A"/>
    <w:rsid w:val="21A25FDD"/>
    <w:rsid w:val="227A4EED"/>
    <w:rsid w:val="228D0750"/>
    <w:rsid w:val="22A2020D"/>
    <w:rsid w:val="23242EBC"/>
    <w:rsid w:val="23B14473"/>
    <w:rsid w:val="23DE75A9"/>
    <w:rsid w:val="24D81EC1"/>
    <w:rsid w:val="258C3139"/>
    <w:rsid w:val="25D85A3C"/>
    <w:rsid w:val="269A08AA"/>
    <w:rsid w:val="26B759ED"/>
    <w:rsid w:val="275E738B"/>
    <w:rsid w:val="2957799B"/>
    <w:rsid w:val="2A2E2311"/>
    <w:rsid w:val="2A405BA1"/>
    <w:rsid w:val="2A737BF6"/>
    <w:rsid w:val="2B55573F"/>
    <w:rsid w:val="2BC01FD8"/>
    <w:rsid w:val="2BFA4386"/>
    <w:rsid w:val="2CD73EA3"/>
    <w:rsid w:val="2D3C51E7"/>
    <w:rsid w:val="2D845ED0"/>
    <w:rsid w:val="2DC53605"/>
    <w:rsid w:val="2FCE0598"/>
    <w:rsid w:val="2FDD3CA3"/>
    <w:rsid w:val="30381F4F"/>
    <w:rsid w:val="320E0883"/>
    <w:rsid w:val="32883DAF"/>
    <w:rsid w:val="32A84318"/>
    <w:rsid w:val="34A05B77"/>
    <w:rsid w:val="34AA3113"/>
    <w:rsid w:val="3519012F"/>
    <w:rsid w:val="354259F2"/>
    <w:rsid w:val="35502C6D"/>
    <w:rsid w:val="3609044E"/>
    <w:rsid w:val="36CD4106"/>
    <w:rsid w:val="374C62CA"/>
    <w:rsid w:val="381476C1"/>
    <w:rsid w:val="38AC36F6"/>
    <w:rsid w:val="38BA4EBF"/>
    <w:rsid w:val="3AA7601F"/>
    <w:rsid w:val="3D3679ED"/>
    <w:rsid w:val="3F2006FA"/>
    <w:rsid w:val="408D7227"/>
    <w:rsid w:val="40CF3EBF"/>
    <w:rsid w:val="416718EC"/>
    <w:rsid w:val="41B4342D"/>
    <w:rsid w:val="41E62CEE"/>
    <w:rsid w:val="433A37E9"/>
    <w:rsid w:val="439D7A21"/>
    <w:rsid w:val="43A666B6"/>
    <w:rsid w:val="445612E3"/>
    <w:rsid w:val="447267E8"/>
    <w:rsid w:val="467B1D34"/>
    <w:rsid w:val="474702F9"/>
    <w:rsid w:val="483E2AD2"/>
    <w:rsid w:val="48F46C67"/>
    <w:rsid w:val="491D75CA"/>
    <w:rsid w:val="492A4A83"/>
    <w:rsid w:val="495C1F5C"/>
    <w:rsid w:val="49DB4850"/>
    <w:rsid w:val="4A0F4A5F"/>
    <w:rsid w:val="4B8B03E4"/>
    <w:rsid w:val="4C1E15AE"/>
    <w:rsid w:val="4C650902"/>
    <w:rsid w:val="4D0C1DB5"/>
    <w:rsid w:val="4D9618CD"/>
    <w:rsid w:val="4E465BEB"/>
    <w:rsid w:val="4EE12BFB"/>
    <w:rsid w:val="4EF04E16"/>
    <w:rsid w:val="50242FAB"/>
    <w:rsid w:val="50FA6A61"/>
    <w:rsid w:val="513E7653"/>
    <w:rsid w:val="51794BC1"/>
    <w:rsid w:val="540F1FD2"/>
    <w:rsid w:val="54336AD1"/>
    <w:rsid w:val="54DE2640"/>
    <w:rsid w:val="55BE1200"/>
    <w:rsid w:val="55D85A66"/>
    <w:rsid w:val="56221FBB"/>
    <w:rsid w:val="57594B93"/>
    <w:rsid w:val="57722339"/>
    <w:rsid w:val="57CE0FAB"/>
    <w:rsid w:val="5834719A"/>
    <w:rsid w:val="585E6A81"/>
    <w:rsid w:val="589215AE"/>
    <w:rsid w:val="58A92062"/>
    <w:rsid w:val="58B20CDF"/>
    <w:rsid w:val="58B80F66"/>
    <w:rsid w:val="594A6990"/>
    <w:rsid w:val="59BE79E4"/>
    <w:rsid w:val="5A2133C4"/>
    <w:rsid w:val="5CFF1259"/>
    <w:rsid w:val="5D45035F"/>
    <w:rsid w:val="5D4C02FD"/>
    <w:rsid w:val="5D5A0F11"/>
    <w:rsid w:val="5DAE3A87"/>
    <w:rsid w:val="5E2D03CD"/>
    <w:rsid w:val="5E57582A"/>
    <w:rsid w:val="60A60070"/>
    <w:rsid w:val="60FB53B4"/>
    <w:rsid w:val="62FF75D0"/>
    <w:rsid w:val="640C25AF"/>
    <w:rsid w:val="64801AB7"/>
    <w:rsid w:val="66701367"/>
    <w:rsid w:val="66C434F8"/>
    <w:rsid w:val="67E31D6F"/>
    <w:rsid w:val="683A303D"/>
    <w:rsid w:val="685135F0"/>
    <w:rsid w:val="68740CEF"/>
    <w:rsid w:val="68850E75"/>
    <w:rsid w:val="68DF1A1C"/>
    <w:rsid w:val="68E97B63"/>
    <w:rsid w:val="691F3362"/>
    <w:rsid w:val="696B2452"/>
    <w:rsid w:val="6A08094B"/>
    <w:rsid w:val="6AC52781"/>
    <w:rsid w:val="6AE044B9"/>
    <w:rsid w:val="6B1E605C"/>
    <w:rsid w:val="6BAD7761"/>
    <w:rsid w:val="6CCB46F3"/>
    <w:rsid w:val="6CD17C98"/>
    <w:rsid w:val="6DCC0EF7"/>
    <w:rsid w:val="6DD30C1C"/>
    <w:rsid w:val="6E3F209B"/>
    <w:rsid w:val="70850D30"/>
    <w:rsid w:val="710B2508"/>
    <w:rsid w:val="72727507"/>
    <w:rsid w:val="736511BB"/>
    <w:rsid w:val="74783A1C"/>
    <w:rsid w:val="74AB354D"/>
    <w:rsid w:val="74B05132"/>
    <w:rsid w:val="75B56678"/>
    <w:rsid w:val="76B708D6"/>
    <w:rsid w:val="76C52AAF"/>
    <w:rsid w:val="772A35DE"/>
    <w:rsid w:val="77661C79"/>
    <w:rsid w:val="77B73037"/>
    <w:rsid w:val="780B3DAA"/>
    <w:rsid w:val="786E3236"/>
    <w:rsid w:val="78CF2B3C"/>
    <w:rsid w:val="798425C1"/>
    <w:rsid w:val="79BF662E"/>
    <w:rsid w:val="7A2F23EC"/>
    <w:rsid w:val="7A502B1F"/>
    <w:rsid w:val="7A803FCF"/>
    <w:rsid w:val="7A881BE3"/>
    <w:rsid w:val="7B2952F2"/>
    <w:rsid w:val="7B505C95"/>
    <w:rsid w:val="7C8929EC"/>
    <w:rsid w:val="7CAE2883"/>
    <w:rsid w:val="7CCA72B7"/>
    <w:rsid w:val="7DD85BA8"/>
    <w:rsid w:val="7E4B55DF"/>
    <w:rsid w:val="7F267C3E"/>
    <w:rsid w:val="7F9364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style>
  <w:style w:type="paragraph" w:styleId="3">
    <w:name w:val="Body Text Indent"/>
    <w:basedOn w:val="1"/>
    <w:semiHidden/>
    <w:qFormat/>
    <w:uiPriority w:val="0"/>
    <w:pPr>
      <w:ind w:left="-2" w:leftChars="-1" w:firstLine="420" w:firstLineChars="200"/>
    </w:pPr>
  </w:style>
  <w:style w:type="paragraph" w:styleId="4">
    <w:name w:val="annotation text"/>
    <w:basedOn w:val="1"/>
    <w:link w:val="24"/>
    <w:unhideWhenUsed/>
    <w:qFormat/>
    <w:uiPriority w:val="99"/>
    <w:pPr>
      <w:jc w:val="left"/>
    </w:pPr>
  </w:style>
  <w:style w:type="paragraph" w:styleId="5">
    <w:name w:val="Body Text"/>
    <w:basedOn w:val="1"/>
    <w:qFormat/>
    <w:uiPriority w:val="0"/>
    <w:pPr>
      <w:widowControl/>
      <w:spacing w:after="220" w:line="180" w:lineRule="atLeast"/>
      <w:ind w:left="835"/>
    </w:pPr>
    <w:rPr>
      <w:rFonts w:ascii="Arial" w:hAnsi="Arial"/>
      <w:spacing w:val="-5"/>
      <w:kern w:val="0"/>
      <w:sz w:val="20"/>
    </w:rPr>
  </w:style>
  <w:style w:type="paragraph" w:styleId="6">
    <w:name w:val="toc 3"/>
    <w:basedOn w:val="1"/>
    <w:next w:val="1"/>
    <w:unhideWhenUsed/>
    <w:qFormat/>
    <w:uiPriority w:val="39"/>
    <w:pPr>
      <w:ind w:left="840" w:leftChars="400"/>
    </w:pPr>
  </w:style>
  <w:style w:type="paragraph" w:styleId="7">
    <w:name w:val="Balloon Text"/>
    <w:basedOn w:val="1"/>
    <w:link w:val="26"/>
    <w:semiHidden/>
    <w:unhideWhenUsed/>
    <w:qFormat/>
    <w:uiPriority w:val="99"/>
    <w:rPr>
      <w:sz w:val="18"/>
      <w:szCs w:val="18"/>
    </w:rPr>
  </w:style>
  <w:style w:type="paragraph" w:styleId="8">
    <w:name w:val="footer"/>
    <w:basedOn w:val="1"/>
    <w:link w:val="28"/>
    <w:unhideWhenUsed/>
    <w:qFormat/>
    <w:uiPriority w:val="99"/>
    <w:pPr>
      <w:tabs>
        <w:tab w:val="center" w:pos="4153"/>
        <w:tab w:val="right" w:pos="8306"/>
      </w:tabs>
      <w:snapToGrid w:val="0"/>
      <w:jc w:val="left"/>
    </w:pPr>
    <w:rPr>
      <w:sz w:val="18"/>
      <w:szCs w:val="18"/>
    </w:rPr>
  </w:style>
  <w:style w:type="paragraph" w:styleId="9">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Body Text 2"/>
    <w:basedOn w:val="1"/>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4"/>
    <w:next w:val="4"/>
    <w:link w:val="30"/>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basedOn w:val="17"/>
    <w:unhideWhenUsed/>
    <w:qFormat/>
    <w:uiPriority w:val="99"/>
    <w:rPr>
      <w:sz w:val="21"/>
      <w:szCs w:val="21"/>
    </w:rPr>
  </w:style>
  <w:style w:type="character" w:customStyle="1" w:styleId="21">
    <w:name w:val="列出段落 Char"/>
    <w:link w:val="22"/>
    <w:qFormat/>
    <w:uiPriority w:val="34"/>
    <w:rPr>
      <w:rFonts w:ascii="Times New Roman" w:hAnsi="Times New Roman"/>
      <w:szCs w:val="24"/>
    </w:rPr>
  </w:style>
  <w:style w:type="paragraph" w:styleId="22">
    <w:name w:val="List Paragraph"/>
    <w:basedOn w:val="1"/>
    <w:link w:val="21"/>
    <w:qFormat/>
    <w:uiPriority w:val="34"/>
    <w:pPr>
      <w:ind w:firstLine="420" w:firstLineChars="200"/>
    </w:pPr>
    <w:rPr>
      <w:rFonts w:eastAsiaTheme="minorEastAsia" w:cstheme="minorBidi"/>
    </w:rPr>
  </w:style>
  <w:style w:type="character" w:customStyle="1" w:styleId="23">
    <w:name w:val="批注文字 字符"/>
    <w:basedOn w:val="17"/>
    <w:semiHidden/>
    <w:qFormat/>
    <w:uiPriority w:val="99"/>
    <w:rPr>
      <w:rFonts w:ascii="Times New Roman" w:hAnsi="Times New Roman" w:eastAsia="宋体" w:cs="Times New Roman"/>
      <w:szCs w:val="24"/>
    </w:rPr>
  </w:style>
  <w:style w:type="character" w:customStyle="1" w:styleId="24">
    <w:name w:val="批注文字 Char"/>
    <w:link w:val="4"/>
    <w:qFormat/>
    <w:uiPriority w:val="99"/>
    <w:rPr>
      <w:rFonts w:ascii="Times New Roman" w:hAnsi="Times New Roman" w:eastAsia="宋体" w:cs="Times New Roman"/>
      <w:szCs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6">
    <w:name w:val="批注框文本 Char"/>
    <w:basedOn w:val="17"/>
    <w:link w:val="7"/>
    <w:semiHidden/>
    <w:qFormat/>
    <w:uiPriority w:val="99"/>
    <w:rPr>
      <w:rFonts w:ascii="Times New Roman" w:hAnsi="Times New Roman" w:eastAsia="宋体" w:cs="Times New Roman"/>
      <w:sz w:val="18"/>
      <w:szCs w:val="18"/>
    </w:rPr>
  </w:style>
  <w:style w:type="character" w:customStyle="1" w:styleId="27">
    <w:name w:val="页眉 Char"/>
    <w:basedOn w:val="17"/>
    <w:link w:val="9"/>
    <w:qFormat/>
    <w:uiPriority w:val="99"/>
    <w:rPr>
      <w:rFonts w:ascii="Times New Roman" w:hAnsi="Times New Roman" w:eastAsia="宋体" w:cs="Times New Roman"/>
      <w:sz w:val="18"/>
      <w:szCs w:val="18"/>
    </w:rPr>
  </w:style>
  <w:style w:type="character" w:customStyle="1" w:styleId="28">
    <w:name w:val="页脚 Char"/>
    <w:basedOn w:val="17"/>
    <w:link w:val="8"/>
    <w:qFormat/>
    <w:uiPriority w:val="99"/>
    <w:rPr>
      <w:rFonts w:ascii="Times New Roman" w:hAnsi="Times New Roman" w:eastAsia="宋体" w:cs="Times New Roman"/>
      <w:sz w:val="18"/>
      <w:szCs w:val="18"/>
    </w:rPr>
  </w:style>
  <w:style w:type="character" w:customStyle="1" w:styleId="29">
    <w:name w:val="标题1"/>
    <w:basedOn w:val="17"/>
    <w:qFormat/>
    <w:uiPriority w:val="0"/>
  </w:style>
  <w:style w:type="character" w:customStyle="1" w:styleId="30">
    <w:name w:val="批注主题 Char"/>
    <w:basedOn w:val="24"/>
    <w:link w:val="14"/>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5635A0-5856-4D43-89AB-2AAAF2F0AC71}">
  <ds:schemaRefs/>
</ds:datastoreItem>
</file>

<file path=docProps/app.xml><?xml version="1.0" encoding="utf-8"?>
<Properties xmlns="http://schemas.openxmlformats.org/officeDocument/2006/extended-properties" xmlns:vt="http://schemas.openxmlformats.org/officeDocument/2006/docPropsVTypes">
  <Template>Normal</Template>
  <Pages>37</Pages>
  <Words>18624</Words>
  <Characters>19456</Characters>
  <Lines>212</Lines>
  <Paragraphs>59</Paragraphs>
  <TotalTime>10</TotalTime>
  <ScaleCrop>false</ScaleCrop>
  <LinksUpToDate>false</LinksUpToDate>
  <CharactersWithSpaces>19926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2022-08-01T02:51:00Z</dcterms:created>
  <dc:creator>Tony Young</dc:creator>
  <cp:lastModifiedBy>admin</cp:lastModifiedBy>
  <cp:lastPrinted>2022-08-11T00:51:00Z</cp:lastPrinted>
  <dcterms:modified xsi:type="dcterms:W3CDTF">2022-08-12T08:02:43Z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DAB8F11735E34EAABE814D7963C17167</vt:lpwstr>
  </property>
</Properties>
</file>