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highlight w:val="none"/>
        </w:rPr>
      </w:pPr>
    </w:p>
    <w:p>
      <w:pPr>
        <w:spacing w:line="360" w:lineRule="auto"/>
        <w:jc w:val="center"/>
        <w:rPr>
          <w:rFonts w:hint="eastAsia" w:ascii="方正小标宋_GBK" w:hAnsi="方正小标宋_GBK" w:eastAsia="方正小标宋_GBK" w:cs="方正小标宋_GBK"/>
          <w:b/>
          <w:color w:val="auto"/>
          <w:sz w:val="32"/>
          <w:szCs w:val="32"/>
          <w:highlight w:val="none"/>
          <w:lang w:val="en-US" w:eastAsia="zh-CN"/>
        </w:rPr>
      </w:pPr>
      <w:r>
        <w:rPr>
          <w:rFonts w:hint="eastAsia" w:ascii="方正小标宋_GBK" w:hAnsi="方正小标宋_GBK" w:eastAsia="方正小标宋_GBK" w:cs="方正小标宋_GBK"/>
          <w:b/>
          <w:sz w:val="32"/>
          <w:szCs w:val="32"/>
          <w:highlight w:val="none"/>
        </w:rPr>
        <w:t>项目名</w:t>
      </w:r>
      <w:r>
        <w:rPr>
          <w:rFonts w:hint="eastAsia" w:ascii="方正小标宋_GBK" w:hAnsi="方正小标宋_GBK" w:eastAsia="方正小标宋_GBK" w:cs="方正小标宋_GBK"/>
          <w:b/>
          <w:color w:val="auto"/>
          <w:sz w:val="32"/>
          <w:szCs w:val="32"/>
          <w:highlight w:val="none"/>
        </w:rPr>
        <w:t>称：</w:t>
      </w:r>
      <w:r>
        <w:rPr>
          <w:rFonts w:hint="eastAsia" w:ascii="方正小标宋_GBK" w:hAnsi="方正小标宋_GBK" w:eastAsia="方正小标宋_GBK" w:cs="方正小标宋_GBK"/>
          <w:b/>
          <w:color w:val="auto"/>
          <w:sz w:val="32"/>
          <w:szCs w:val="32"/>
          <w:highlight w:val="none"/>
          <w:lang w:val="en-US" w:eastAsia="zh-CN"/>
        </w:rPr>
        <w:t>深圳会展中心高交会脸书、领英账号运维管理服务及全球新闻稿发布服务项目</w:t>
      </w: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pStyle w:val="15"/>
        <w:rPr>
          <w:rFonts w:hint="eastAsia" w:ascii="方正小标宋_GBK" w:hAnsi="方正小标宋_GBK" w:eastAsia="方正小标宋_GBK" w:cs="方正小标宋_GBK"/>
          <w:b/>
          <w:color w:val="FF0000"/>
          <w:sz w:val="32"/>
          <w:szCs w:val="32"/>
          <w:highlight w:val="yellow"/>
          <w:lang w:val="en-US" w:eastAsia="zh-CN"/>
        </w:rPr>
      </w:pPr>
    </w:p>
    <w:p>
      <w:pPr>
        <w:spacing w:line="360" w:lineRule="auto"/>
        <w:jc w:val="center"/>
        <w:rPr>
          <w:rFonts w:hint="eastAsia" w:ascii="方正小标宋_GBK" w:hAnsi="方正小标宋_GBK" w:eastAsia="方正小标宋_GBK" w:cs="方正小标宋_GBK"/>
          <w:b/>
          <w:color w:val="FF0000"/>
          <w:sz w:val="32"/>
          <w:szCs w:val="32"/>
          <w:highlight w:val="yellow"/>
          <w:lang w:val="en-US" w:eastAsia="zh-CN"/>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8</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2"/>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2"/>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2"/>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22"/>
          <w:rFonts w:ascii="宋体" w:hAnsi="宋体" w:cs="仿宋"/>
          <w:bCs/>
        </w:rPr>
        <w:t>一、</w:t>
      </w:r>
      <w:r>
        <w:rPr>
          <w:rStyle w:val="22"/>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22"/>
          <w:rFonts w:ascii="宋体" w:hAnsi="宋体" w:cs="仿宋"/>
          <w:bCs/>
        </w:rPr>
        <w:t>二、</w:t>
      </w:r>
      <w:r>
        <w:rPr>
          <w:rStyle w:val="22"/>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22"/>
          <w:rFonts w:ascii="宋体" w:hAnsi="宋体" w:cs="仿宋"/>
          <w:bCs/>
        </w:rPr>
        <w:t>三、</w:t>
      </w:r>
      <w:r>
        <w:rPr>
          <w:rStyle w:val="22"/>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22"/>
          <w:rFonts w:ascii="宋体" w:hAnsi="宋体" w:cs="仿宋"/>
          <w:bCs/>
        </w:rPr>
        <w:t>四、</w:t>
      </w:r>
      <w:r>
        <w:rPr>
          <w:rStyle w:val="22"/>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22"/>
          <w:rFonts w:ascii="宋体" w:hAnsi="宋体" w:cs="仿宋"/>
          <w:bCs/>
        </w:rPr>
        <w:t>五、</w:t>
      </w:r>
      <w:r>
        <w:rPr>
          <w:rStyle w:val="22"/>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22"/>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22"/>
          <w:rFonts w:ascii="宋体" w:hAnsi="宋体" w:cs="仿宋"/>
          <w:bCs/>
        </w:rPr>
        <w:t>六、</w:t>
      </w:r>
      <w:r>
        <w:rPr>
          <w:rStyle w:val="22"/>
        </w:rPr>
        <w:t>开标阶段</w:t>
      </w:r>
      <w:r>
        <w:tab/>
      </w:r>
      <w:r>
        <w:fldChar w:fldCharType="begin"/>
      </w:r>
      <w:r>
        <w:instrText xml:space="preserve"> PAGEREF _Toc106791260 \h </w:instrText>
      </w:r>
      <w:r>
        <w:fldChar w:fldCharType="separate"/>
      </w:r>
      <w:r>
        <w:t>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22"/>
          <w:rFonts w:ascii="宋体" w:hAnsi="宋体" w:cs="仿宋"/>
          <w:bCs/>
        </w:rPr>
        <w:t>七、</w:t>
      </w:r>
      <w:r>
        <w:rPr>
          <w:rStyle w:val="22"/>
        </w:rPr>
        <w:t>评标阶段</w:t>
      </w:r>
      <w:r>
        <w:tab/>
      </w:r>
      <w:r>
        <w:fldChar w:fldCharType="begin"/>
      </w:r>
      <w:r>
        <w:instrText xml:space="preserve"> PAGEREF _Toc106791261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22"/>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22"/>
          <w:rFonts w:ascii="宋体" w:hAnsi="宋体" w:cs="仿宋"/>
          <w:bCs/>
        </w:rPr>
        <w:t>八、</w:t>
      </w:r>
      <w:r>
        <w:rPr>
          <w:rStyle w:val="22"/>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7"/>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22"/>
          <w:rFonts w:ascii="宋体" w:hAnsi="宋体"/>
        </w:rPr>
        <w:t>（一）</w:t>
      </w:r>
      <w:r>
        <w:rPr>
          <w:rStyle w:val="22"/>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7"/>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22"/>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22"/>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22"/>
          <w:b/>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22"/>
          <w:rFonts w:ascii="宋体" w:hAnsi="宋体"/>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22"/>
          <w:rFonts w:ascii="宋体" w:hAnsi="宋体"/>
        </w:rPr>
        <w:t>附件2：投标函</w:t>
      </w:r>
      <w:r>
        <w:tab/>
      </w:r>
      <w:r>
        <w:fldChar w:fldCharType="begin"/>
      </w:r>
      <w:r>
        <w:instrText xml:space="preserve"> PAGEREF _Toc106791269 \h </w:instrText>
      </w:r>
      <w:r>
        <w:fldChar w:fldCharType="separate"/>
      </w:r>
      <w:r>
        <w:t>13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22"/>
          <w:rFonts w:ascii="宋体" w:hAnsi="宋体"/>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22"/>
          <w:rFonts w:ascii="宋体" w:hAnsi="宋体"/>
        </w:rPr>
        <w:t>附件4：考察证明（本项目不适用）</w:t>
      </w:r>
      <w:r>
        <w:tab/>
      </w:r>
      <w:r>
        <w:fldChar w:fldCharType="begin"/>
      </w:r>
      <w:r>
        <w:instrText xml:space="preserve"> PAGEREF _Toc106791271 \h </w:instrText>
      </w:r>
      <w:r>
        <w:fldChar w:fldCharType="separate"/>
      </w:r>
      <w:r>
        <w:t>15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22"/>
          <w:rFonts w:ascii="宋体" w:hAnsi="宋体"/>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22"/>
          <w:rFonts w:ascii="宋体" w:hAnsi="宋体"/>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22"/>
          <w:rFonts w:ascii="宋体" w:hAnsi="宋体"/>
        </w:rPr>
        <w:t>附件7：报价一览表（货物）（本项目不适用）</w:t>
      </w:r>
      <w:r>
        <w:tab/>
      </w:r>
      <w:r>
        <w:fldChar w:fldCharType="begin"/>
      </w:r>
      <w:r>
        <w:instrText xml:space="preserve"> PAGEREF _Toc106791274 \h </w:instrText>
      </w:r>
      <w:r>
        <w:fldChar w:fldCharType="separate"/>
      </w:r>
      <w:r>
        <w:t>18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22"/>
          <w:rFonts w:ascii="宋体" w:hAnsi="宋体"/>
        </w:rPr>
        <w:t>附件8：报价一览表（服务）</w:t>
      </w:r>
      <w:r>
        <w:tab/>
      </w:r>
      <w:r>
        <w:fldChar w:fldCharType="begin"/>
      </w:r>
      <w:r>
        <w:instrText xml:space="preserve"> PAGEREF _Toc106791275 \h </w:instrText>
      </w:r>
      <w:r>
        <w:fldChar w:fldCharType="separate"/>
      </w:r>
      <w:r>
        <w:t>19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22"/>
          <w:rFonts w:ascii="宋体" w:hAnsi="宋体"/>
        </w:rPr>
        <w:t>附件9：报价一览表（工程）（本项目不适用）</w:t>
      </w:r>
      <w:r>
        <w:tab/>
      </w:r>
      <w:r>
        <w:fldChar w:fldCharType="begin"/>
      </w:r>
      <w:r>
        <w:instrText xml:space="preserve"> PAGEREF _Toc106791276 \h </w:instrText>
      </w:r>
      <w:r>
        <w:fldChar w:fldCharType="separate"/>
      </w:r>
      <w:r>
        <w:t>20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22"/>
          <w:rFonts w:ascii="宋体" w:hAnsi="宋体"/>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22"/>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22"/>
          <w:rFonts w:ascii="宋体" w:hAnsi="宋体"/>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22"/>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22"/>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22"/>
          <w:rFonts w:ascii="宋体" w:hAnsi="宋体"/>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pPr>
            <w:r>
              <w:rPr>
                <w:rFonts w:hint="eastAsia"/>
              </w:rPr>
              <w:t>名称：深圳会展中心管理有限责任公司</w:t>
            </w:r>
          </w:p>
          <w:p>
            <w:pPr>
              <w:wordWrap w:val="0"/>
              <w:autoSpaceDE w:val="0"/>
              <w:autoSpaceDN w:val="0"/>
              <w:adjustRightInd w:val="0"/>
              <w:snapToGrid w:val="0"/>
            </w:pPr>
            <w:r>
              <w:rPr>
                <w:rFonts w:hint="eastAsia"/>
              </w:rPr>
              <w:t>联系地址：深圳市福田区福华三路深圳会展中心</w:t>
            </w:r>
          </w:p>
          <w:p>
            <w:pPr>
              <w:wordWrap w:val="0"/>
              <w:autoSpaceDE w:val="0"/>
              <w:autoSpaceDN w:val="0"/>
              <w:adjustRightInd w:val="0"/>
              <w:snapToGrid w:val="0"/>
            </w:pPr>
            <w:r>
              <w:rPr>
                <w:rFonts w:hint="eastAsia"/>
              </w:rPr>
              <w:t>联系人：刘女士</w:t>
            </w:r>
          </w:p>
          <w:p>
            <w:pPr>
              <w:wordWrap w:val="0"/>
              <w:autoSpaceDE w:val="0"/>
              <w:autoSpaceDN w:val="0"/>
              <w:adjustRightInd w:val="0"/>
              <w:snapToGrid w:val="0"/>
            </w:pPr>
            <w:r>
              <w:rPr>
                <w:rFonts w:hint="eastAsia"/>
              </w:rPr>
              <w:t>电话：0755-82848826</w:t>
            </w:r>
          </w:p>
          <w:p>
            <w:pPr>
              <w:wordWrap w:val="0"/>
              <w:autoSpaceDE w:val="0"/>
              <w:autoSpaceDN w:val="0"/>
              <w:adjustRightInd w:val="0"/>
              <w:snapToGrid w:val="0"/>
            </w:pPr>
            <w:r>
              <w:rPr>
                <w:rFonts w:hint="eastAsia"/>
              </w:rPr>
              <w:t>传真：0755-82848694</w:t>
            </w:r>
          </w:p>
          <w:p>
            <w:pPr>
              <w:wordWrap w:val="0"/>
              <w:autoSpaceDE w:val="0"/>
              <w:autoSpaceDN w:val="0"/>
              <w:adjustRightInd w:val="0"/>
              <w:snapToGrid w:val="0"/>
            </w:pPr>
            <w:r>
              <w:rPr>
                <w:rFonts w:hint="eastAsia"/>
              </w:rPr>
              <w:t>邮箱：</w:t>
            </w:r>
            <w:r>
              <w:rPr>
                <w:rFonts w:hint="eastAsia"/>
              </w:rPr>
              <w:fldChar w:fldCharType="begin"/>
            </w:r>
            <w:r>
              <w:instrText xml:space="preserve"> HYPERLINK "mailto:*@qq.com"</w:instrText>
            </w:r>
            <w:r>
              <w:rPr>
                <w:rFonts w:hint="eastAsia"/>
              </w:rPr>
              <w:fldChar w:fldCharType="separate"/>
            </w:r>
            <w:r>
              <w:rPr>
                <w:rFonts w:hint="eastAsia"/>
              </w:rPr>
              <w:t>liuxh@chtf.com</w:t>
            </w:r>
          </w:p>
          <w:p>
            <w:pPr>
              <w:wordWrap w:val="0"/>
              <w:autoSpaceDE w:val="0"/>
              <w:autoSpaceDN w:val="0"/>
              <w:adjustRightInd w:val="0"/>
              <w:snapToGrid w:val="0"/>
              <w:rPr>
                <w:rFonts w:ascii="宋体" w:hAnsi="宋体"/>
                <w:kern w:val="0"/>
                <w:szCs w:val="21"/>
                <w:u w:val="single"/>
              </w:rPr>
            </w:pP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eastAsia="宋体" w:cs="宋体"/>
                <w:color w:val="auto"/>
                <w:sz w:val="21"/>
                <w:szCs w:val="21"/>
                <w:highlight w:val="none"/>
                <w:lang w:val="en-US" w:eastAsia="zh-CN"/>
              </w:rPr>
              <w:t>深圳会展中心高交会脸书、领英账号运维管理服务及全球新闻稿发布服务项目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rPr>
              <w:t>本项目旨在通过</w:t>
            </w:r>
            <w:r>
              <w:rPr>
                <w:rFonts w:hint="eastAsia" w:ascii="宋体" w:hAnsi="宋体" w:eastAsia="宋体" w:cs="宋体"/>
                <w:color w:val="auto"/>
                <w:sz w:val="21"/>
                <w:szCs w:val="21"/>
                <w:highlight w:val="none"/>
                <w:lang w:val="en-US" w:eastAsia="zh-CN"/>
              </w:rPr>
              <w:t>高交会海外社交媒体脸书、领英账号内容</w:t>
            </w:r>
            <w:r>
              <w:rPr>
                <w:rFonts w:hint="eastAsia" w:ascii="宋体" w:hAnsi="宋体" w:cs="宋体"/>
                <w:color w:val="auto"/>
                <w:sz w:val="21"/>
                <w:szCs w:val="21"/>
                <w:highlight w:val="none"/>
                <w:lang w:val="en-US" w:eastAsia="zh-CN"/>
              </w:rPr>
              <w:t>发布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和全球新闻稿</w:t>
            </w:r>
            <w:r>
              <w:rPr>
                <w:rFonts w:hint="eastAsia" w:ascii="宋体" w:hAnsi="宋体" w:cs="宋体"/>
                <w:color w:val="auto"/>
                <w:sz w:val="21"/>
                <w:szCs w:val="21"/>
                <w:highlight w:val="none"/>
                <w:lang w:val="en-US" w:eastAsia="zh-CN"/>
              </w:rPr>
              <w:t>发布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有效推进高交会外宣工作，努力打造多渠道、多层面的国际宣传</w:t>
            </w:r>
            <w:r>
              <w:rPr>
                <w:rFonts w:hint="eastAsia" w:ascii="宋体" w:hAnsi="宋体" w:cs="宋体"/>
                <w:color w:val="auto"/>
                <w:sz w:val="21"/>
                <w:szCs w:val="21"/>
                <w:highlight w:val="none"/>
                <w:lang w:val="en-US" w:eastAsia="zh-CN"/>
              </w:rPr>
              <w:t>发</w:t>
            </w:r>
            <w:r>
              <w:rPr>
                <w:rFonts w:hint="eastAsia" w:ascii="宋体" w:hAnsi="宋体" w:eastAsia="宋体" w:cs="宋体"/>
                <w:color w:val="auto"/>
                <w:sz w:val="21"/>
                <w:szCs w:val="21"/>
                <w:highlight w:val="none"/>
              </w:rPr>
              <w:t>布，提升国际传播能力，扩大高交会国际影响力</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eastAsia="宋体" w:cs="宋体"/>
                <w:color w:val="auto"/>
                <w:sz w:val="21"/>
                <w:szCs w:val="21"/>
                <w:highlight w:val="none"/>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365</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val="0"/>
                <w:color w:val="auto"/>
                <w:highlight w:val="none"/>
              </w:rPr>
              <w:t>https://cg.szcec.com/sharing/wT2vUFNvX</w:t>
            </w:r>
            <w:r>
              <w:rPr>
                <w:rFonts w:hint="eastAsia" w:ascii="宋体" w:hAnsi="宋体"/>
                <w:bCs/>
                <w:color w:val="auto"/>
                <w:highlight w:val="none"/>
                <w:lang w:eastAsia="zh-CN"/>
              </w:rPr>
              <w:t>，</w:t>
            </w:r>
            <w:r>
              <w:rPr>
                <w:rFonts w:hint="eastAsia" w:ascii="宋体" w:hAnsi="宋体"/>
                <w:bCs/>
                <w:color w:val="auto"/>
                <w:szCs w:val="21"/>
                <w:highlight w:val="none"/>
              </w:rPr>
              <w:t>并</w:t>
            </w:r>
            <w:r>
              <w:rPr>
                <w:rFonts w:hint="eastAsia" w:ascii="宋体" w:hAnsi="宋体"/>
                <w:bCs/>
                <w:szCs w:val="21"/>
              </w:rPr>
              <w:t>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22"/>
                <w:rFonts w:ascii="宋体" w:hAnsi="宋体"/>
                <w:szCs w:val="21"/>
              </w:rPr>
              <w:t>https://www.szcec.com/News/index/id/256.html</w:t>
            </w:r>
            <w:r>
              <w:rPr>
                <w:rStyle w:val="22"/>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
                <w:bCs w:val="0"/>
                <w:color w:val="auto"/>
                <w:highlight w:val="none"/>
              </w:rPr>
              <w:t>https://cg.szcec.com/sharing/CpQ35MgRM</w:t>
            </w:r>
            <w:r>
              <w:rPr>
                <w:rFonts w:hint="eastAsia" w:ascii="宋体" w:hAnsi="宋体"/>
                <w:b/>
                <w:bCs w:val="0"/>
                <w:color w:val="auto"/>
                <w:highlight w:val="none"/>
                <w:lang w:eastAsia="zh-CN"/>
              </w:rPr>
              <w:t>，</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6"/>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6"/>
              <w:numPr>
                <w:ilvl w:val="0"/>
                <w:numId w:val="3"/>
              </w:numPr>
              <w:ind w:left="541" w:hanging="541"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6"/>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6"/>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lang w:val="en-US" w:eastAsia="zh-CN"/>
              </w:rPr>
              <w:t>860651040</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b/>
                <w:bCs/>
              </w:rPr>
              <w:t>https://cg.szcec.com/sharing/PteO0jMtY</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6"/>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6"/>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6"/>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6"/>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6"/>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6"/>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rPr>
              <w:t>（特别注意：各投标人不得指派属于</w:t>
            </w:r>
            <w:r>
              <w:rPr>
                <w:rFonts w:hint="eastAsia" w:ascii="宋体" w:hAnsi="宋体" w:eastAsia="宋体"/>
                <w:b/>
                <w:color w:val="FF0000"/>
                <w:kern w:val="0"/>
                <w:lang w:val="en-US" w:eastAsia="zh-CN"/>
              </w:rPr>
              <w:t>高、中、低风险区</w:t>
            </w:r>
            <w:r>
              <w:rPr>
                <w:rFonts w:hint="eastAsia" w:ascii="宋体" w:hAnsi="宋体" w:eastAsia="宋体"/>
                <w:b/>
                <w:color w:val="FF0000"/>
                <w:kern w:val="0"/>
              </w:rPr>
              <w:t>人员作为本项目的踏勘人员）</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588"/>
      <w:bookmarkEnd w:id="6"/>
      <w:bookmarkStart w:id="7" w:name="_Toc82684706"/>
      <w:bookmarkEnd w:id="7"/>
      <w:bookmarkStart w:id="8" w:name="_Toc82591925"/>
      <w:bookmarkEnd w:id="8"/>
      <w:bookmarkStart w:id="9" w:name="_Toc82685543"/>
      <w:bookmarkEnd w:id="9"/>
      <w:bookmarkStart w:id="10" w:name="_Toc82684591"/>
      <w:bookmarkEnd w:id="10"/>
      <w:bookmarkStart w:id="11" w:name="_Toc82684704"/>
      <w:bookmarkEnd w:id="11"/>
      <w:bookmarkStart w:id="12" w:name="_Toc82684589"/>
      <w:bookmarkEnd w:id="12"/>
      <w:bookmarkStart w:id="13" w:name="_Toc82685540"/>
      <w:bookmarkEnd w:id="13"/>
      <w:bookmarkStart w:id="14" w:name="_Toc82591928"/>
      <w:bookmarkEnd w:id="14"/>
      <w:bookmarkStart w:id="15" w:name="_Toc82684705"/>
      <w:bookmarkEnd w:id="15"/>
      <w:bookmarkStart w:id="16" w:name="_Toc82684703"/>
      <w:bookmarkEnd w:id="16"/>
      <w:bookmarkStart w:id="17" w:name="_Toc82684590"/>
      <w:bookmarkEnd w:id="17"/>
      <w:bookmarkStart w:id="18" w:name="_Toc82685542"/>
      <w:bookmarkEnd w:id="18"/>
      <w:bookmarkStart w:id="19" w:name="_Toc82591926"/>
      <w:bookmarkEnd w:id="19"/>
      <w:bookmarkStart w:id="20" w:name="_Toc82591927"/>
      <w:bookmarkEnd w:id="20"/>
      <w:bookmarkStart w:id="21" w:name="_Toc82685541"/>
      <w:bookmarkEnd w:id="21"/>
      <w:bookmarkStart w:id="22" w:name="_Toc106791254"/>
      <w:r>
        <w:rPr>
          <w:rFonts w:hint="eastAsia" w:ascii="宋体" w:hAnsi="宋体"/>
          <w:b/>
          <w:szCs w:val="21"/>
        </w:rPr>
        <w:t>特别说明</w:t>
      </w:r>
      <w:bookmarkEnd w:id="22"/>
    </w:p>
    <w:p>
      <w:pPr>
        <w:pStyle w:val="26"/>
        <w:numPr>
          <w:ilvl w:val="0"/>
          <w:numId w:val="9"/>
        </w:numPr>
        <w:spacing w:line="360" w:lineRule="auto"/>
        <w:ind w:left="0" w:firstLine="420" w:firstLineChars="0"/>
        <w:rPr>
          <w:rFonts w:ascii="宋体" w:hAnsi="宋体" w:eastAsia="宋体" w:cs="宋体"/>
          <w:szCs w:val="21"/>
        </w:rPr>
      </w:pPr>
      <w:bookmarkStart w:id="23" w:name="_Toc478387747"/>
      <w:bookmarkStart w:id="24" w:name="_Toc517278751"/>
      <w:bookmarkStart w:id="25" w:name="_Toc45028463"/>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yellow"/>
        </w:rPr>
        <w:t>地址</w:t>
      </w:r>
      <w:r>
        <w:rPr>
          <w:rFonts w:hint="eastAsia" w:ascii="宋体" w:hAnsi="宋体" w:eastAsia="宋体" w:cs="宋体"/>
          <w:szCs w:val="21"/>
        </w:rPr>
        <w:t>发送和接收，否则可能导致文件不被接受的不利后果。</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p>
      <w:pPr>
        <w:pStyle w:val="26"/>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685545"/>
      <w:bookmarkEnd w:id="26"/>
      <w:bookmarkStart w:id="27" w:name="_Toc82591987"/>
      <w:bookmarkEnd w:id="27"/>
      <w:bookmarkStart w:id="28" w:name="_Toc82684593"/>
      <w:bookmarkEnd w:id="28"/>
      <w:bookmarkStart w:id="29" w:name="_Toc82591988"/>
      <w:bookmarkEnd w:id="29"/>
      <w:bookmarkStart w:id="30" w:name="_Toc82684708"/>
      <w:bookmarkEnd w:id="30"/>
      <w:bookmarkStart w:id="31" w:name="_Toc82591986"/>
      <w:bookmarkEnd w:id="31"/>
      <w:bookmarkStart w:id="32" w:name="_Toc82591985"/>
      <w:bookmarkEnd w:id="32"/>
      <w:bookmarkStart w:id="33" w:name="_Toc82591930"/>
      <w:bookmarkEnd w:id="33"/>
      <w:bookmarkStart w:id="34" w:name="_Toc82591989"/>
      <w:bookmarkEnd w:id="34"/>
      <w:bookmarkStart w:id="35" w:name="_Toc106791255"/>
      <w:r>
        <w:rPr>
          <w:rFonts w:hint="eastAsia" w:ascii="宋体" w:hAnsi="宋体"/>
          <w:b/>
          <w:szCs w:val="21"/>
        </w:rPr>
        <w:t>投标文件编制</w:t>
      </w:r>
      <w:bookmarkEnd w:id="35"/>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5"/>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A3"/>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w:t>
            </w:r>
            <w:r>
              <w:rPr>
                <w:rFonts w:hint="eastAsia" w:ascii="宋体" w:hAnsi="宋体" w:cs="Courier New"/>
                <w:kern w:val="0"/>
                <w:szCs w:val="21"/>
                <w:lang w:val="en-US" w:eastAsia="zh-CN"/>
              </w:rPr>
              <w:t>一览</w:t>
            </w:r>
            <w:r>
              <w:rPr>
                <w:rFonts w:hint="eastAsia" w:ascii="宋体" w:hAnsi="宋体" w:cs="Courier New"/>
                <w:kern w:val="0"/>
                <w:szCs w:val="21"/>
              </w:rPr>
              <w:t>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0"/>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rPr>
              <w:t>投标单位应为中华人民共和国境内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含港、澳、台地区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注册且合法运作的独立法人或具有独立承担民事责任能力的其它组织。提供营业执照或法人证明文件或登记证书扫描件或复印件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及社会信誉承诺书（格式详见附件），并加盖</w:t>
            </w: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公章</w:t>
            </w:r>
            <w:r>
              <w:rPr>
                <w:rFonts w:hint="eastAsia" w:ascii="宋体" w:hAnsi="宋体" w:cs="宋体"/>
                <w:color w:val="auto"/>
                <w:sz w:val="21"/>
                <w:szCs w:val="21"/>
                <w:highlight w:val="none"/>
                <w:lang w:eastAsia="zh-CN"/>
              </w:rPr>
              <w:t>；</w:t>
            </w:r>
          </w:p>
          <w:p>
            <w:pPr>
              <w:pStyle w:val="38"/>
              <w:numPr>
                <w:ilvl w:val="0"/>
                <w:numId w:val="10"/>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rPr>
              <w:t>投标人代表必须是投标单位的法定代表人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或持有法定代表人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亲自签署的法人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授权委托证明书的人员。（提供法定代表人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证明书、法人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授权委托证明书，如单位法定代表人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为本项目授权代表，则仅提供法定代表人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证明书及身份证复印件，各证明书须加盖公章，身份证原件备查）</w:t>
            </w:r>
            <w:r>
              <w:rPr>
                <w:rFonts w:hint="eastAsia" w:ascii="宋体" w:hAnsi="宋体" w:cs="宋体"/>
                <w:color w:val="auto"/>
                <w:sz w:val="21"/>
                <w:szCs w:val="21"/>
                <w:highlight w:val="none"/>
                <w:lang w:eastAsia="zh-CN"/>
              </w:rPr>
              <w:t>；</w:t>
            </w:r>
          </w:p>
          <w:p>
            <w:pPr>
              <w:pStyle w:val="38"/>
              <w:numPr>
                <w:ilvl w:val="0"/>
                <w:numId w:val="10"/>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lang w:val="en-US" w:eastAsia="zh-CN"/>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numPr>
                <w:ilvl w:val="0"/>
                <w:numId w:val="0"/>
              </w:numPr>
              <w:adjustRightInd/>
              <w:spacing w:before="0" w:after="0" w:line="240" w:lineRule="auto"/>
              <w:ind w:left="0" w:leftChars="0" w:firstLine="0" w:firstLineChars="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0"/>
              </w:numPr>
              <w:snapToGrid w:val="0"/>
              <w:spacing w:line="360" w:lineRule="auto"/>
              <w:ind w:left="0" w:leftChars="0" w:firstLine="0" w:firstLineChars="0"/>
              <w:jc w:val="left"/>
              <w:rPr>
                <w:color w:val="auto"/>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必须提供20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年1月1日</w:t>
            </w:r>
            <w:r>
              <w:rPr>
                <w:rFonts w:hint="eastAsia" w:ascii="宋体" w:hAnsi="宋体" w:cs="宋体"/>
                <w:color w:val="auto"/>
                <w:sz w:val="21"/>
                <w:szCs w:val="21"/>
                <w:highlight w:val="none"/>
                <w:lang w:val="en-US" w:eastAsia="zh-CN"/>
              </w:rPr>
              <w:t>至采购公告发布之日（以合同签订时间为准），英文社交媒体账号服务合同1个、全球新闻稿发布服务合同1个（同一合同中具有以上两项内容的亦可），需</w:t>
            </w:r>
            <w:r>
              <w:rPr>
                <w:rFonts w:hint="eastAsia" w:ascii="宋体" w:hAnsi="宋体" w:eastAsia="宋体" w:cs="宋体"/>
                <w:color w:val="auto"/>
                <w:sz w:val="21"/>
                <w:szCs w:val="21"/>
                <w:highlight w:val="none"/>
              </w:rPr>
              <w:t>提供合同关键页复印件（合同关键页包含但不限于项目名称、业主方名称、签订时间、甲乙双方盖章等信息）。以上证明资料加盖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单位公章</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1"/>
              </w:numPr>
              <w:snapToGrid w:val="0"/>
              <w:spacing w:line="360" w:lineRule="auto"/>
              <w:ind w:left="425" w:leftChars="0" w:hanging="425" w:firstLineChars="0"/>
              <w:jc w:val="left"/>
              <w:rPr>
                <w:rFonts w:ascii="宋体" w:hAnsi="宋体" w:cs="宋体"/>
                <w:color w:val="auto"/>
                <w:szCs w:val="21"/>
                <w:highlight w:val="none"/>
              </w:rPr>
            </w:pPr>
            <w:r>
              <w:rPr>
                <w:rFonts w:hint="eastAsia" w:ascii="宋体" w:hAnsi="宋体" w:eastAsia="宋体" w:cs="宋体"/>
                <w:color w:val="auto"/>
                <w:sz w:val="21"/>
                <w:szCs w:val="21"/>
                <w:highlight w:val="none"/>
              </w:rPr>
              <w:t>报价以人民币为结算币种，</w:t>
            </w:r>
            <w:r>
              <w:rPr>
                <w:rFonts w:hint="eastAsia" w:ascii="宋体" w:hAnsi="宋体" w:eastAsia="宋体" w:cs="宋体"/>
                <w:color w:val="auto"/>
                <w:sz w:val="21"/>
                <w:szCs w:val="21"/>
                <w:highlight w:val="none"/>
                <w:lang w:val="en-US" w:eastAsia="zh-CN"/>
              </w:rPr>
              <w:t>报</w:t>
            </w:r>
            <w:r>
              <w:rPr>
                <w:rFonts w:hint="eastAsia" w:ascii="宋体" w:hAnsi="宋体" w:eastAsia="宋体" w:cs="宋体"/>
                <w:color w:val="auto"/>
                <w:sz w:val="21"/>
                <w:szCs w:val="21"/>
                <w:highlight w:val="none"/>
              </w:rPr>
              <w:t>价内容包括但不限于高交会脸书</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领英账号的运维管理、高交会新闻稿全球发布等完成本项目所需的所有费用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报价含增值税</w:t>
            </w:r>
            <w:r>
              <w:rPr>
                <w:rFonts w:hint="eastAsia" w:ascii="宋体" w:hAnsi="宋体" w:eastAsia="宋体" w:cs="宋体"/>
                <w:color w:val="auto"/>
                <w:sz w:val="21"/>
                <w:szCs w:val="21"/>
                <w:highlight w:val="none"/>
                <w:lang w:eastAsia="zh-CN"/>
              </w:rPr>
              <w:t>。</w:t>
            </w:r>
          </w:p>
          <w:p>
            <w:pPr>
              <w:pStyle w:val="38"/>
              <w:numPr>
                <w:ilvl w:val="0"/>
                <w:numId w:val="11"/>
              </w:numPr>
              <w:snapToGrid w:val="0"/>
              <w:spacing w:line="360" w:lineRule="auto"/>
              <w:ind w:left="425" w:leftChars="0" w:hanging="425" w:firstLineChars="0"/>
              <w:jc w:val="left"/>
              <w:rPr>
                <w:rFonts w:ascii="宋体" w:hAnsi="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报价一览表》需包含未税总金额、税率、税额、含税总金额</w:t>
            </w:r>
            <w:r>
              <w:rPr>
                <w:rFonts w:hint="eastAsia" w:ascii="宋体" w:hAnsi="宋体" w:cs="宋体"/>
                <w:color w:val="auto"/>
                <w:sz w:val="21"/>
                <w:szCs w:val="21"/>
                <w:highlight w:val="none"/>
                <w:lang w:eastAsia="zh-CN"/>
              </w:rPr>
              <w:t>。</w:t>
            </w:r>
          </w:p>
          <w:p>
            <w:pPr>
              <w:pStyle w:val="38"/>
              <w:numPr>
                <w:ilvl w:val="0"/>
                <w:numId w:val="11"/>
              </w:numPr>
              <w:snapToGrid w:val="0"/>
              <w:spacing w:line="360" w:lineRule="auto"/>
              <w:ind w:left="425" w:leftChars="0" w:hanging="425" w:firstLineChars="0"/>
              <w:jc w:val="left"/>
              <w:rPr>
                <w:rFonts w:ascii="宋体" w:hAnsi="宋体" w:cs="宋体"/>
                <w:color w:val="auto"/>
                <w:szCs w:val="21"/>
                <w:highlight w:val="none"/>
              </w:rPr>
            </w:pPr>
            <w:r>
              <w:rPr>
                <w:rFonts w:hint="eastAsia" w:ascii="宋体" w:hAnsi="宋体" w:eastAsia="宋体" w:cs="宋体"/>
                <w:color w:val="auto"/>
                <w:sz w:val="21"/>
                <w:szCs w:val="21"/>
                <w:highlight w:val="none"/>
              </w:rPr>
              <w:t>投标报价不得出现可选择性的报价,含有备选方案的报价将导致废标</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left="0" w:leftChars="0" w:right="28" w:rightChars="0" w:firstLine="0" w:firstLineChars="0"/>
              <w:jc w:val="left"/>
              <w:rPr>
                <w:color w:val="auto"/>
                <w:highlight w:val="none"/>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29</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项目合同签署后，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将支付合同</w:t>
            </w:r>
            <w:r>
              <w:rPr>
                <w:rFonts w:hint="eastAsia" w:ascii="宋体" w:hAnsi="宋体" w:cs="宋体"/>
                <w:color w:val="auto"/>
                <w:sz w:val="21"/>
                <w:szCs w:val="21"/>
                <w:highlight w:val="none"/>
                <w:lang w:val="en-US" w:eastAsia="zh-CN"/>
              </w:rPr>
              <w:t>中高交会脸书、领英账号运维管理服务费用</w:t>
            </w:r>
            <w:r>
              <w:rPr>
                <w:rFonts w:hint="eastAsia" w:ascii="宋体" w:hAnsi="宋体" w:eastAsia="宋体" w:cs="宋体"/>
                <w:color w:val="auto"/>
                <w:sz w:val="21"/>
                <w:szCs w:val="21"/>
                <w:highlight w:val="none"/>
              </w:rPr>
              <w:t>金额的</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%作为先期运维款项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项目合同结束后，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将对</w:t>
            </w:r>
            <w:r>
              <w:rPr>
                <w:rFonts w:hint="eastAsia" w:ascii="宋体" w:hAnsi="宋体" w:cs="宋体"/>
                <w:color w:val="auto"/>
                <w:sz w:val="21"/>
                <w:szCs w:val="21"/>
                <w:highlight w:val="none"/>
                <w:lang w:val="en-US" w:eastAsia="zh-CN"/>
              </w:rPr>
              <w:t>该部分项目</w:t>
            </w:r>
            <w:r>
              <w:rPr>
                <w:rFonts w:hint="eastAsia" w:ascii="宋体" w:hAnsi="宋体" w:eastAsia="宋体" w:cs="宋体"/>
                <w:color w:val="auto"/>
                <w:sz w:val="21"/>
                <w:szCs w:val="21"/>
                <w:highlight w:val="none"/>
              </w:rPr>
              <w:t>进行验收，根据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提供的运维报告，确认各项数据指标均达到合同规定服务要求后，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该项目</w:t>
            </w:r>
            <w:r>
              <w:rPr>
                <w:rFonts w:hint="eastAsia" w:ascii="宋体" w:hAnsi="宋体" w:eastAsia="宋体" w:cs="宋体"/>
                <w:color w:val="auto"/>
                <w:sz w:val="21"/>
                <w:szCs w:val="21"/>
                <w:highlight w:val="none"/>
              </w:rPr>
              <w:t>尾款</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如验收不达标，</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就相应服务进行整改，</w:t>
            </w:r>
            <w:r>
              <w:rPr>
                <w:rFonts w:hint="eastAsia" w:ascii="宋体" w:hAnsi="宋体" w:cs="宋体"/>
                <w:color w:val="auto"/>
                <w:sz w:val="21"/>
                <w:szCs w:val="21"/>
                <w:highlight w:val="none"/>
                <w:lang w:val="en-US" w:eastAsia="zh-CN"/>
              </w:rPr>
              <w:t>直至完全通过验收，如整改后仍无法达到合同约定要求的，应扣除对应未达验收标准部分后支付剩余合同款。</w:t>
            </w:r>
          </w:p>
          <w:p>
            <w:pPr>
              <w:pStyle w:val="38"/>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项目合同中高交会全球新闻稿发布服务费用将在该项服务结束后，由招标人根据投标人提供的发布报告，确认各项数据指标均达到合同约定要求后，一次性支付。</w:t>
            </w:r>
            <w:r>
              <w:rPr>
                <w:rFonts w:hint="eastAsia" w:ascii="宋体" w:hAnsi="宋体" w:eastAsia="宋体" w:cs="宋体"/>
                <w:color w:val="auto"/>
                <w:sz w:val="21"/>
                <w:szCs w:val="21"/>
                <w:highlight w:val="none"/>
              </w:rPr>
              <w:t>如验收不达标，</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就相应服务进行整改，</w:t>
            </w:r>
            <w:r>
              <w:rPr>
                <w:rFonts w:hint="eastAsia" w:ascii="宋体" w:hAnsi="宋体" w:cs="宋体"/>
                <w:color w:val="auto"/>
                <w:sz w:val="21"/>
                <w:szCs w:val="21"/>
                <w:highlight w:val="none"/>
                <w:lang w:val="en-US" w:eastAsia="zh-CN"/>
              </w:rPr>
              <w:t>直至完全通过验收，如整改后仍无法达到合同约定要求的，应扣除对应未达验收标准部分后支付剩余合同款。</w:t>
            </w:r>
          </w:p>
          <w:p>
            <w:pPr>
              <w:pStyle w:val="38"/>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招标人支付款项前，投标人应提供等额的合法真实有效的增值税发票或形式发票（限港、澳注册企业）。</w:t>
            </w:r>
          </w:p>
          <w:p>
            <w:pPr>
              <w:pStyle w:val="38"/>
              <w:numPr>
                <w:ilvl w:val="0"/>
                <w:numId w:val="12"/>
              </w:numPr>
              <w:snapToGrid w:val="0"/>
              <w:spacing w:line="360" w:lineRule="auto"/>
              <w:ind w:left="425" w:leftChars="0" w:hanging="425" w:firstLineChars="0"/>
              <w:jc w:val="left"/>
              <w:rPr>
                <w:rFonts w:ascii="宋体" w:eastAsia="宋体" w:cs="宋体"/>
                <w:color w:val="auto"/>
                <w:highlight w:val="none"/>
              </w:rPr>
            </w:pPr>
            <w:r>
              <w:rPr>
                <w:rFonts w:hint="eastAsia" w:ascii="宋体" w:hAnsi="宋体" w:eastAsia="宋体" w:cs="宋体"/>
                <w:color w:val="auto"/>
                <w:sz w:val="21"/>
                <w:szCs w:val="21"/>
                <w:highlight w:val="none"/>
                <w:lang w:val="en-US" w:eastAsia="zh-CN"/>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服务期限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highlight w:val="none"/>
              </w:rPr>
            </w:pPr>
            <w:r>
              <w:rPr>
                <w:rFonts w:hint="eastAsia" w:ascii="宋体" w:eastAsia="宋体" w:cs="宋体"/>
                <w:color w:val="auto"/>
                <w:sz w:val="21"/>
                <w:szCs w:val="21"/>
                <w:highlight w:val="none"/>
                <w:lang w:val="en-US" w:eastAsia="zh-CN"/>
              </w:rPr>
              <w:t>合同签订之日起</w:t>
            </w:r>
            <w:bookmarkStart w:id="84" w:name="_GoBack"/>
            <w:bookmarkEnd w:id="84"/>
            <w:r>
              <w:rPr>
                <w:rFonts w:hint="eastAsia" w:ascii="宋体" w:hAnsi="宋体" w:eastAsia="宋体" w:cs="宋体"/>
                <w:color w:val="auto"/>
                <w:sz w:val="21"/>
                <w:szCs w:val="21"/>
                <w:highlight w:val="none"/>
                <w:lang w:val="en-US" w:eastAsia="zh-CN"/>
              </w:rPr>
              <w:t>至2023年</w:t>
            </w:r>
            <w:r>
              <w:rPr>
                <w:rFonts w:hint="eastAsia" w:asci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日</w:t>
            </w:r>
            <w:r>
              <w:rPr>
                <w:rFonts w:hint="eastAsia" w:ascii="宋体" w:eastAsia="宋体" w:cs="宋体"/>
                <w:color w:val="auto"/>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3"/>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本项目成果所有权归</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人所有</w:t>
            </w:r>
            <w:r>
              <w:rPr>
                <w:rFonts w:hint="eastAsia" w:ascii="宋体" w:hAnsi="宋体" w:cs="宋体"/>
                <w:color w:val="auto"/>
                <w:sz w:val="21"/>
                <w:szCs w:val="21"/>
                <w:highlight w:val="none"/>
                <w:lang w:eastAsia="zh-CN"/>
              </w:rPr>
              <w:t>；</w:t>
            </w:r>
          </w:p>
          <w:p>
            <w:pPr>
              <w:pStyle w:val="38"/>
              <w:numPr>
                <w:ilvl w:val="0"/>
                <w:numId w:val="13"/>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必须对编写</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成果拥有著作版权，在整个项目的实施过程中，</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不得有模仿、抄袭等侵犯第三方知识产权的情节或行为。若因</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侵权带来的经济和法律责任，均由</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自行承担；若给</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人造成损失的，</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人保留进一步追偿的权利</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8</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rPr>
                <w:rFonts w:ascii="宋体" w:hAnsi="宋体" w:cs="宋体"/>
                <w:color w:val="auto"/>
                <w:szCs w:val="21"/>
                <w:highlight w:val="none"/>
              </w:rPr>
            </w:pPr>
            <w:r>
              <w:rPr>
                <w:rFonts w:hint="eastAsia" w:ascii="宋体" w:hAnsi="宋体" w:eastAsia="宋体" w:cs="宋体"/>
                <w:color w:val="auto"/>
                <w:sz w:val="21"/>
                <w:szCs w:val="21"/>
                <w:highlight w:val="none"/>
              </w:rPr>
              <w:t>保密承诺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4"/>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承诺绝不私自截留或外泄项目运行过程中产生或接触到的信息及数据等机密资料</w:t>
            </w:r>
            <w:r>
              <w:rPr>
                <w:rFonts w:hint="eastAsia" w:ascii="宋体" w:hAnsi="宋体" w:cs="宋体"/>
                <w:color w:val="auto"/>
                <w:sz w:val="21"/>
                <w:szCs w:val="21"/>
                <w:highlight w:val="none"/>
                <w:lang w:eastAsia="zh-CN"/>
              </w:rPr>
              <w:t>；</w:t>
            </w:r>
          </w:p>
          <w:p>
            <w:pPr>
              <w:pStyle w:val="38"/>
              <w:numPr>
                <w:ilvl w:val="0"/>
                <w:numId w:val="14"/>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必须保证在运行、管理等过程中严格遵守国家和地方相关（特别是信息安全方面）的法律法规，确保</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使用权以及公民个人信息不受侵犯</w:t>
            </w:r>
            <w:r>
              <w:rPr>
                <w:rFonts w:hint="eastAsia" w:ascii="宋体" w:hAnsi="宋体" w:cs="宋体"/>
                <w:color w:val="auto"/>
                <w:sz w:val="21"/>
                <w:szCs w:val="21"/>
                <w:highlight w:val="none"/>
                <w:lang w:eastAsia="zh-CN"/>
              </w:rPr>
              <w:t>；</w:t>
            </w:r>
          </w:p>
          <w:p>
            <w:pPr>
              <w:pStyle w:val="38"/>
              <w:numPr>
                <w:ilvl w:val="0"/>
                <w:numId w:val="14"/>
              </w:numPr>
              <w:snapToGrid w:val="0"/>
              <w:spacing w:line="360" w:lineRule="auto"/>
              <w:ind w:left="425" w:leftChars="0" w:hanging="425" w:firstLineChars="0"/>
              <w:jc w:val="left"/>
              <w:rPr>
                <w:rFonts w:ascii="宋体" w:hAnsi="宋体"/>
                <w:color w:val="auto"/>
                <w:highlight w:val="none"/>
              </w:rPr>
            </w:pP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存在违规、侵权或泄密等行为的，</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须赔偿因此给</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带来的经济损失，并承担相应的法律责任。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numPr>
                <w:ilvl w:val="0"/>
                <w:numId w:val="0"/>
              </w:numPr>
              <w:adjustRightInd/>
              <w:spacing w:before="0" w:after="0" w:line="240" w:lineRule="auto"/>
              <w:ind w:left="0" w:leftChars="0" w:firstLine="0" w:firstLineChars="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left"/>
              <w:rPr>
                <w:rFonts w:ascii="宋体" w:hAnsi="宋体"/>
                <w:color w:val="auto"/>
                <w:highlight w:val="none"/>
              </w:rPr>
            </w:pPr>
            <w:r>
              <w:rPr>
                <w:rFonts w:hint="eastAsia" w:ascii="宋体" w:hAnsi="宋体" w:eastAsia="宋体" w:cs="宋体"/>
                <w:color w:val="auto"/>
                <w:sz w:val="21"/>
                <w:szCs w:val="21"/>
                <w:highlight w:val="none"/>
              </w:rPr>
              <w:t>投标人应提交整体实施方案，包括但不限于内容</w:t>
            </w:r>
            <w:r>
              <w:rPr>
                <w:rFonts w:hint="eastAsia" w:ascii="宋体" w:hAnsi="宋体" w:cs="宋体"/>
                <w:color w:val="auto"/>
                <w:sz w:val="21"/>
                <w:szCs w:val="21"/>
                <w:highlight w:val="none"/>
                <w:lang w:val="en-US" w:eastAsia="zh-CN"/>
              </w:rPr>
              <w:t>采编、</w:t>
            </w:r>
            <w:r>
              <w:rPr>
                <w:rFonts w:hint="eastAsia" w:ascii="宋体" w:hAnsi="宋体" w:eastAsia="宋体" w:cs="宋体"/>
                <w:color w:val="auto"/>
                <w:sz w:val="21"/>
                <w:szCs w:val="21"/>
                <w:highlight w:val="none"/>
              </w:rPr>
              <w:t>审核流程、内容策划、质量控制保障措施、沟通及响应机制、时间进度表等</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numPr>
                <w:ilvl w:val="0"/>
                <w:numId w:val="0"/>
              </w:numPr>
              <w:adjustRightInd/>
              <w:spacing w:before="0" w:after="0" w:line="240" w:lineRule="auto"/>
              <w:ind w:left="0" w:leftChars="0" w:firstLine="0" w:firstLineChars="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5"/>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高交会脸书、领英账号运维和推广：</w:t>
            </w:r>
          </w:p>
          <w:p>
            <w:pPr>
              <w:pStyle w:val="38"/>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平台运营规划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分析高交会的营销推广需求，提出具体运营策略，制定分阶段重点宣传目标、</w:t>
            </w:r>
            <w:r>
              <w:rPr>
                <w:rFonts w:hint="eastAsia" w:ascii="宋体" w:hAnsi="宋体" w:cs="宋体"/>
                <w:color w:val="auto"/>
                <w:sz w:val="21"/>
                <w:szCs w:val="21"/>
                <w:highlight w:val="none"/>
                <w:lang w:val="en-US" w:eastAsia="zh-CN"/>
              </w:rPr>
              <w:t>广告投放、</w:t>
            </w:r>
            <w:r>
              <w:rPr>
                <w:rFonts w:hint="eastAsia" w:ascii="宋体" w:hAnsi="宋体" w:eastAsia="宋体" w:cs="宋体"/>
                <w:color w:val="auto"/>
                <w:sz w:val="21"/>
                <w:szCs w:val="21"/>
                <w:highlight w:val="none"/>
              </w:rPr>
              <w:t>内容排期及</w:t>
            </w:r>
            <w:r>
              <w:rPr>
                <w:rFonts w:hint="eastAsia" w:ascii="宋体" w:hAnsi="宋体" w:eastAsia="宋体" w:cs="宋体"/>
                <w:color w:val="auto"/>
                <w:sz w:val="21"/>
                <w:szCs w:val="21"/>
                <w:highlight w:val="none"/>
                <w:lang w:val="en-US" w:eastAsia="zh-CN"/>
              </w:rPr>
              <w:t>活动策划</w:t>
            </w: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年度开展</w:t>
            </w:r>
            <w:r>
              <w:rPr>
                <w:rFonts w:hint="eastAsia" w:ascii="宋体" w:hAnsi="宋体" w:eastAsia="宋体" w:cs="宋体"/>
                <w:color w:val="auto"/>
                <w:sz w:val="21"/>
                <w:szCs w:val="21"/>
                <w:highlight w:val="none"/>
                <w:lang w:val="en-US" w:eastAsia="zh-CN"/>
              </w:rPr>
              <w:t>不少于3次</w:t>
            </w:r>
            <w:r>
              <w:rPr>
                <w:rFonts w:hint="eastAsia" w:ascii="宋体" w:hAnsi="宋体" w:eastAsia="宋体" w:cs="宋体"/>
                <w:color w:val="auto"/>
                <w:sz w:val="21"/>
                <w:szCs w:val="21"/>
                <w:highlight w:val="none"/>
              </w:rPr>
              <w:t>高交会品牌推介活动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p>
          <w:p>
            <w:pPr>
              <w:pStyle w:val="38"/>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策划与采编：</w:t>
            </w:r>
            <w:r>
              <w:rPr>
                <w:rFonts w:hint="eastAsia" w:ascii="宋体" w:hAnsi="宋体" w:eastAsia="宋体" w:cs="宋体"/>
                <w:color w:val="auto"/>
                <w:sz w:val="21"/>
                <w:szCs w:val="21"/>
                <w:highlight w:val="none"/>
              </w:rPr>
              <w:t>确保</w:t>
            </w:r>
            <w:r>
              <w:rPr>
                <w:rFonts w:hint="eastAsia" w:ascii="宋体" w:hAnsi="宋体" w:eastAsia="宋体" w:cs="宋体"/>
                <w:color w:val="auto"/>
                <w:sz w:val="21"/>
                <w:szCs w:val="21"/>
                <w:highlight w:val="none"/>
                <w:lang w:val="en-US" w:eastAsia="zh-CN"/>
              </w:rPr>
              <w:t>采编</w:t>
            </w:r>
            <w:r>
              <w:rPr>
                <w:rFonts w:hint="eastAsia" w:ascii="宋体" w:hAnsi="宋体" w:eastAsia="宋体" w:cs="宋体"/>
                <w:color w:val="auto"/>
                <w:sz w:val="21"/>
                <w:szCs w:val="21"/>
                <w:highlight w:val="none"/>
              </w:rPr>
              <w:t>信息来源权威、可靠、合法的情况下，对素材进行提炼、整合、编辑等二次创作，生产成日常</w:t>
            </w:r>
            <w:r>
              <w:rPr>
                <w:rFonts w:hint="eastAsia" w:ascii="宋体" w:hAnsi="宋体" w:eastAsia="宋体" w:cs="宋体"/>
                <w:color w:val="auto"/>
                <w:sz w:val="21"/>
                <w:szCs w:val="21"/>
                <w:highlight w:val="none"/>
                <w:lang w:val="en-US" w:eastAsia="zh-CN"/>
              </w:rPr>
              <w:t>各平台文字、</w:t>
            </w:r>
            <w:r>
              <w:rPr>
                <w:rFonts w:hint="eastAsia" w:ascii="宋体" w:hAnsi="宋体" w:eastAsia="宋体" w:cs="宋体"/>
                <w:color w:val="auto"/>
                <w:sz w:val="21"/>
                <w:szCs w:val="21"/>
                <w:highlight w:val="none"/>
              </w:rPr>
              <w:t>图文</w:t>
            </w:r>
            <w:r>
              <w:rPr>
                <w:rFonts w:hint="eastAsia" w:ascii="宋体" w:hAnsi="宋体" w:eastAsia="宋体" w:cs="宋体"/>
                <w:color w:val="auto"/>
                <w:sz w:val="21"/>
                <w:szCs w:val="21"/>
                <w:highlight w:val="none"/>
                <w:lang w:val="en-US" w:eastAsia="zh-CN"/>
              </w:rPr>
              <w:t>或视频</w:t>
            </w:r>
            <w:r>
              <w:rPr>
                <w:rFonts w:hint="eastAsia" w:ascii="宋体" w:hAnsi="宋体" w:eastAsia="宋体" w:cs="宋体"/>
                <w:color w:val="auto"/>
                <w:sz w:val="21"/>
                <w:szCs w:val="21"/>
                <w:highlight w:val="none"/>
              </w:rPr>
              <w:t>稿件，定期开展不同频次、有规律的发布工作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须保障</w:t>
            </w:r>
            <w:r>
              <w:rPr>
                <w:rFonts w:hint="eastAsia" w:ascii="宋体" w:hAnsi="宋体" w:eastAsia="宋体" w:cs="宋体"/>
                <w:color w:val="auto"/>
                <w:sz w:val="21"/>
                <w:szCs w:val="21"/>
                <w:highlight w:val="none"/>
                <w:lang w:val="en-US" w:eastAsia="zh-CN"/>
              </w:rPr>
              <w:t>各平台</w:t>
            </w:r>
            <w:r>
              <w:rPr>
                <w:rFonts w:hint="eastAsia" w:ascii="宋体" w:hAnsi="宋体" w:eastAsia="宋体" w:cs="宋体"/>
                <w:color w:val="auto"/>
                <w:sz w:val="21"/>
                <w:szCs w:val="21"/>
                <w:highlight w:val="none"/>
              </w:rPr>
              <w:t>每周发布</w:t>
            </w:r>
            <w:r>
              <w:rPr>
                <w:rFonts w:hint="eastAsia" w:ascii="宋体" w:hAnsi="宋体" w:eastAsia="宋体" w:cs="宋体"/>
                <w:color w:val="auto"/>
                <w:sz w:val="21"/>
                <w:szCs w:val="21"/>
                <w:highlight w:val="none"/>
                <w:lang w:val="en-US" w:eastAsia="zh-CN"/>
              </w:rPr>
              <w:t>不少于3</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推文</w:t>
            </w:r>
            <w:r>
              <w:rPr>
                <w:rFonts w:hint="eastAsia" w:ascii="宋体" w:hAnsi="宋体" w:eastAsia="宋体" w:cs="宋体"/>
                <w:color w:val="auto"/>
                <w:sz w:val="21"/>
                <w:szCs w:val="21"/>
                <w:highlight w:val="none"/>
              </w:rPr>
              <w:t>消息</w:t>
            </w:r>
            <w:r>
              <w:rPr>
                <w:rFonts w:hint="eastAsia" w:ascii="宋体" w:hAnsi="宋体" w:cs="宋体"/>
                <w:color w:val="auto"/>
                <w:sz w:val="21"/>
                <w:szCs w:val="21"/>
                <w:highlight w:val="none"/>
                <w:lang w:eastAsia="zh-CN"/>
              </w:rPr>
              <w:t>；</w:t>
            </w:r>
          </w:p>
          <w:p>
            <w:pPr>
              <w:pStyle w:val="38"/>
              <w:numPr>
                <w:ilvl w:val="0"/>
                <w:numId w:val="16"/>
              </w:numPr>
              <w:snapToGrid w:val="0"/>
              <w:spacing w:line="360" w:lineRule="auto"/>
              <w:ind w:left="425" w:leftChars="0" w:hanging="5"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用户互动管理：</w:t>
            </w:r>
            <w:r>
              <w:rPr>
                <w:rFonts w:hint="eastAsia" w:ascii="宋体" w:hAnsi="宋体" w:eastAsia="宋体" w:cs="宋体"/>
                <w:color w:val="auto"/>
                <w:sz w:val="21"/>
                <w:szCs w:val="21"/>
                <w:highlight w:val="none"/>
              </w:rPr>
              <w:t>包括但不限于安排人员每天及时处理用户互动信息、定期总结问题、提交汇报</w:t>
            </w:r>
            <w:r>
              <w:rPr>
                <w:rFonts w:hint="eastAsia" w:ascii="宋体" w:hAnsi="宋体" w:cs="宋体"/>
                <w:color w:val="auto"/>
                <w:sz w:val="21"/>
                <w:szCs w:val="21"/>
                <w:highlight w:val="none"/>
                <w:lang w:eastAsia="zh-CN"/>
              </w:rPr>
              <w:t>；</w:t>
            </w:r>
          </w:p>
          <w:p>
            <w:pPr>
              <w:pStyle w:val="38"/>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数据监测：</w:t>
            </w:r>
            <w:r>
              <w:rPr>
                <w:rFonts w:hint="eastAsia" w:ascii="宋体" w:hAnsi="宋体" w:eastAsia="宋体" w:cs="宋体"/>
                <w:color w:val="auto"/>
                <w:sz w:val="21"/>
                <w:szCs w:val="21"/>
                <w:highlight w:val="none"/>
              </w:rPr>
              <w:t>包括但不限于实时关注后台数据变化、定期总结问题、调整运营策略、提交汇报</w:t>
            </w:r>
            <w:r>
              <w:rPr>
                <w:rFonts w:hint="eastAsia" w:ascii="宋体" w:hAnsi="宋体" w:cs="宋体"/>
                <w:color w:val="auto"/>
                <w:sz w:val="21"/>
                <w:szCs w:val="21"/>
                <w:highlight w:val="none"/>
                <w:lang w:eastAsia="zh-CN"/>
              </w:rPr>
              <w:t>；</w:t>
            </w:r>
          </w:p>
          <w:p>
            <w:pPr>
              <w:pStyle w:val="38"/>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舆情监控机制：</w:t>
            </w:r>
            <w:r>
              <w:rPr>
                <w:rFonts w:hint="eastAsia" w:ascii="宋体" w:hAnsi="宋体" w:eastAsia="宋体" w:cs="宋体"/>
                <w:color w:val="auto"/>
                <w:sz w:val="21"/>
                <w:szCs w:val="21"/>
                <w:highlight w:val="none"/>
              </w:rPr>
              <w:t>包括但不限于实时监测</w:t>
            </w:r>
            <w:r>
              <w:rPr>
                <w:rFonts w:hint="eastAsia" w:ascii="宋体" w:hAnsi="宋体" w:eastAsia="宋体" w:cs="宋体"/>
                <w:color w:val="auto"/>
                <w:sz w:val="21"/>
                <w:szCs w:val="21"/>
                <w:highlight w:val="none"/>
                <w:lang w:val="en-US" w:eastAsia="zh-CN"/>
              </w:rPr>
              <w:t>各平台网络</w:t>
            </w:r>
            <w:r>
              <w:rPr>
                <w:rFonts w:hint="eastAsia" w:ascii="宋体" w:hAnsi="宋体" w:eastAsia="宋体" w:cs="宋体"/>
                <w:color w:val="auto"/>
                <w:sz w:val="21"/>
                <w:szCs w:val="21"/>
                <w:highlight w:val="none"/>
              </w:rPr>
              <w:t>舆情、及时处理危机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正确引导舆情</w:t>
            </w:r>
            <w:r>
              <w:rPr>
                <w:rFonts w:hint="eastAsia" w:ascii="宋体" w:hAnsi="宋体" w:cs="宋体"/>
                <w:color w:val="auto"/>
                <w:sz w:val="21"/>
                <w:szCs w:val="21"/>
                <w:highlight w:val="none"/>
                <w:lang w:eastAsia="zh-CN"/>
              </w:rPr>
              <w:t>。</w:t>
            </w:r>
          </w:p>
          <w:p>
            <w:pPr>
              <w:pStyle w:val="38"/>
              <w:numPr>
                <w:ilvl w:val="0"/>
                <w:numId w:val="15"/>
              </w:numPr>
              <w:snapToGrid w:val="0"/>
              <w:spacing w:line="360" w:lineRule="auto"/>
              <w:ind w:left="425" w:leftChars="0" w:hanging="425" w:firstLineChars="0"/>
              <w:jc w:val="left"/>
              <w:rPr>
                <w:rFonts w:hint="eastAsia"/>
                <w:color w:val="auto"/>
                <w:highlight w:val="none"/>
                <w:lang w:val="en-US" w:eastAsia="zh-CN"/>
              </w:rPr>
            </w:pPr>
            <w:r>
              <w:rPr>
                <w:rFonts w:hint="eastAsia" w:ascii="宋体" w:hAnsi="宋体" w:cs="宋体"/>
                <w:color w:val="auto"/>
                <w:sz w:val="21"/>
                <w:szCs w:val="21"/>
                <w:highlight w:val="none"/>
                <w:lang w:val="en-US" w:eastAsia="zh-CN"/>
              </w:rPr>
              <w:t>高交会全球新闻稿发布：</w:t>
            </w:r>
          </w:p>
          <w:p>
            <w:pPr>
              <w:pStyle w:val="38"/>
              <w:numPr>
                <w:ilvl w:val="0"/>
                <w:numId w:val="17"/>
              </w:numPr>
              <w:snapToGrid w:val="0"/>
              <w:spacing w:line="360" w:lineRule="auto"/>
              <w:ind w:left="425" w:leftChars="0" w:hanging="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按指定时间发布4篇400字以内的英文新闻稿以及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份多媒体资料（视频或者图片）</w:t>
            </w:r>
            <w:r>
              <w:rPr>
                <w:rFonts w:hint="eastAsia" w:ascii="宋体" w:hAnsi="宋体" w:cs="宋体"/>
                <w:color w:val="auto"/>
                <w:sz w:val="21"/>
                <w:szCs w:val="21"/>
                <w:highlight w:val="none"/>
                <w:lang w:eastAsia="zh-CN"/>
              </w:rPr>
              <w:t>；</w:t>
            </w:r>
          </w:p>
          <w:p>
            <w:pPr>
              <w:pStyle w:val="38"/>
              <w:numPr>
                <w:ilvl w:val="0"/>
                <w:numId w:val="17"/>
              </w:numPr>
              <w:snapToGrid w:val="0"/>
              <w:spacing w:line="360" w:lineRule="auto"/>
              <w:ind w:left="425" w:leftChars="0" w:hanging="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每篇稿件</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全文翻译成10个语种进行发布</w:t>
            </w:r>
            <w:r>
              <w:rPr>
                <w:rFonts w:hint="eastAsia" w:ascii="宋体" w:hAnsi="宋体" w:eastAsia="宋体" w:cs="宋体"/>
                <w:color w:val="auto"/>
                <w:sz w:val="21"/>
                <w:szCs w:val="21"/>
                <w:highlight w:val="none"/>
                <w:lang w:eastAsia="zh-CN"/>
              </w:rPr>
              <w:t>；</w:t>
            </w:r>
          </w:p>
          <w:p>
            <w:pPr>
              <w:pStyle w:val="38"/>
              <w:numPr>
                <w:ilvl w:val="0"/>
                <w:numId w:val="17"/>
              </w:numPr>
              <w:snapToGrid w:val="0"/>
              <w:spacing w:line="360" w:lineRule="auto"/>
              <w:ind w:left="425" w:leftChars="0" w:hanging="5" w:firstLineChars="0"/>
              <w:jc w:val="left"/>
              <w:rPr>
                <w:color w:val="auto"/>
                <w:highlight w:val="none"/>
              </w:rPr>
            </w:pPr>
            <w:r>
              <w:rPr>
                <w:rFonts w:hint="eastAsia" w:ascii="宋体" w:hAnsi="宋体" w:cs="宋体"/>
                <w:color w:val="auto"/>
                <w:sz w:val="21"/>
                <w:szCs w:val="21"/>
                <w:highlight w:val="none"/>
                <w:lang w:val="en-US" w:eastAsia="zh-CN"/>
              </w:rPr>
              <w:t>发布</w:t>
            </w:r>
            <w:r>
              <w:rPr>
                <w:rFonts w:hint="eastAsia" w:ascii="宋体" w:hAnsi="宋体" w:eastAsia="宋体" w:cs="宋体"/>
                <w:color w:val="auto"/>
                <w:sz w:val="21"/>
                <w:szCs w:val="21"/>
                <w:highlight w:val="none"/>
                <w:lang w:val="en-US" w:eastAsia="zh-CN"/>
              </w:rPr>
              <w:t>重点</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覆盖欧洲、拉美、亚太等地区</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效果承诺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0"/>
              </w:num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须对本项目运营效果作出具体承诺，包括但不限于以下最低运营指标（合同期内）：</w:t>
            </w:r>
          </w:p>
          <w:p>
            <w:pPr>
              <w:pStyle w:val="38"/>
              <w:numPr>
                <w:ilvl w:val="0"/>
                <w:numId w:val="18"/>
              </w:numPr>
              <w:snapToGrid w:val="0"/>
              <w:spacing w:line="360" w:lineRule="auto"/>
              <w:ind w:left="425" w:leftChars="0" w:hanging="425" w:firstLineChars="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脸书、领英平台发文量均不少于160篇</w:t>
            </w:r>
            <w:r>
              <w:rPr>
                <w:rFonts w:hint="eastAsia" w:ascii="宋体" w:hAnsi="宋体" w:cs="宋体"/>
                <w:color w:val="auto"/>
                <w:sz w:val="21"/>
                <w:szCs w:val="21"/>
                <w:highlight w:val="none"/>
                <w:lang w:val="en-US" w:eastAsia="zh-CN"/>
              </w:rPr>
              <w:t>；</w:t>
            </w:r>
          </w:p>
          <w:p>
            <w:pPr>
              <w:pStyle w:val="38"/>
              <w:numPr>
                <w:ilvl w:val="0"/>
                <w:numId w:val="18"/>
              </w:numPr>
              <w:snapToGrid w:val="0"/>
              <w:spacing w:line="360" w:lineRule="auto"/>
              <w:ind w:left="425" w:leftChars="0" w:hanging="425" w:firstLine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脸书、领英平台粉丝量涨幅均不少于8%（现粉丝量数据以合同签订之日各平台显示为准）</w:t>
            </w:r>
            <w:r>
              <w:rPr>
                <w:rFonts w:hint="eastAsia" w:ascii="宋体" w:hAnsi="宋体" w:cs="宋体"/>
                <w:color w:val="auto"/>
                <w:sz w:val="21"/>
                <w:szCs w:val="21"/>
                <w:highlight w:val="none"/>
                <w:lang w:val="en-US" w:eastAsia="zh-CN"/>
              </w:rPr>
              <w:t>。</w:t>
            </w:r>
          </w:p>
          <w:p>
            <w:pPr>
              <w:pStyle w:val="38"/>
              <w:numPr>
                <w:ilvl w:val="0"/>
                <w:numId w:val="18"/>
              </w:numPr>
              <w:snapToGrid w:val="0"/>
              <w:spacing w:line="360" w:lineRule="auto"/>
              <w:ind w:left="425" w:leftChars="0" w:hanging="425"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全球新闻稿发布送达媒体不少于30,000家；</w:t>
            </w:r>
          </w:p>
          <w:p>
            <w:pPr>
              <w:pStyle w:val="38"/>
              <w:numPr>
                <w:ilvl w:val="0"/>
                <w:numId w:val="18"/>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单篇新闻稿发布和转载篇数不少于1,000篇次。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rPr>
            </w:pPr>
            <w:r>
              <w:rPr>
                <w:rFonts w:hint="eastAsia"/>
                <w:color w:val="auto"/>
                <w:highlight w:val="none"/>
                <w:lang w:val="en-US" w:eastAsia="zh-CN"/>
              </w:rPr>
              <w:t>成果交付</w:t>
            </w:r>
            <w:r>
              <w:rPr>
                <w:rFonts w:hint="eastAsia"/>
                <w:color w:val="auto"/>
                <w:lang w:val="en-US" w:eastAsia="zh-CN"/>
              </w:rPr>
              <w:t>及验收</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19"/>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高交会</w:t>
            </w:r>
            <w:r>
              <w:rPr>
                <w:rFonts w:hint="eastAsia" w:ascii="宋体" w:hAnsi="宋体" w:cs="宋体"/>
                <w:color w:val="auto"/>
                <w:sz w:val="21"/>
                <w:szCs w:val="21"/>
                <w:highlight w:val="none"/>
                <w:lang w:val="en-US" w:eastAsia="zh-CN"/>
              </w:rPr>
              <w:t>海外社交媒体账号脸书、领英账号运维推广</w:t>
            </w:r>
            <w:r>
              <w:rPr>
                <w:rFonts w:hint="eastAsia" w:ascii="宋体" w:hAnsi="宋体" w:eastAsia="宋体" w:cs="宋体"/>
                <w:color w:val="auto"/>
                <w:sz w:val="21"/>
                <w:szCs w:val="21"/>
                <w:highlight w:val="none"/>
              </w:rPr>
              <w:t>：中标人须</w:t>
            </w:r>
            <w:r>
              <w:rPr>
                <w:rFonts w:hint="eastAsia" w:ascii="宋体" w:hAnsi="宋体" w:cs="宋体"/>
                <w:color w:val="auto"/>
                <w:sz w:val="21"/>
                <w:szCs w:val="21"/>
                <w:highlight w:val="none"/>
                <w:lang w:val="en-US" w:eastAsia="zh-CN"/>
              </w:rPr>
              <w:t>按季度</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阶段性运维报告，反馈运维效果，内容</w:t>
            </w:r>
            <w:r>
              <w:rPr>
                <w:rFonts w:hint="eastAsia" w:ascii="宋体" w:hAnsi="宋体" w:eastAsia="宋体" w:cs="宋体"/>
                <w:color w:val="auto"/>
                <w:sz w:val="21"/>
                <w:szCs w:val="21"/>
                <w:highlight w:val="none"/>
                <w:lang w:val="en-US" w:eastAsia="zh-CN"/>
              </w:rPr>
              <w:t>包括但不限于</w:t>
            </w:r>
            <w:r>
              <w:rPr>
                <w:rFonts w:hint="eastAsia" w:ascii="宋体" w:hAnsi="宋体" w:cs="宋体"/>
                <w:color w:val="auto"/>
                <w:sz w:val="21"/>
                <w:szCs w:val="21"/>
                <w:highlight w:val="none"/>
                <w:lang w:val="en-US" w:eastAsia="zh-CN"/>
              </w:rPr>
              <w:t>发文</w:t>
            </w:r>
            <w:r>
              <w:rPr>
                <w:rFonts w:hint="eastAsia" w:ascii="宋体" w:hAnsi="宋体" w:eastAsia="宋体" w:cs="宋体"/>
                <w:color w:val="auto"/>
                <w:sz w:val="21"/>
                <w:szCs w:val="21"/>
                <w:highlight w:val="none"/>
              </w:rPr>
              <w:t>量、</w:t>
            </w:r>
            <w:r>
              <w:rPr>
                <w:rFonts w:hint="eastAsia" w:ascii="宋体" w:hAnsi="宋体" w:cs="宋体"/>
                <w:color w:val="auto"/>
                <w:sz w:val="21"/>
                <w:szCs w:val="21"/>
                <w:highlight w:val="none"/>
                <w:lang w:val="en-US" w:eastAsia="zh-CN"/>
              </w:rPr>
              <w:t>活动策划情况、推广等运维情况；合同到期后，需提供年度运维总结报告；</w:t>
            </w:r>
          </w:p>
          <w:p>
            <w:pPr>
              <w:pStyle w:val="38"/>
              <w:numPr>
                <w:ilvl w:val="0"/>
                <w:numId w:val="19"/>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全球新闻稿发布</w:t>
            </w:r>
            <w:r>
              <w:rPr>
                <w:rFonts w:hint="eastAsia" w:ascii="宋体" w:hAnsi="宋体" w:eastAsia="宋体" w:cs="宋体"/>
                <w:color w:val="auto"/>
                <w:sz w:val="21"/>
                <w:szCs w:val="21"/>
                <w:highlight w:val="none"/>
                <w:lang w:val="en-US" w:eastAsia="zh-CN"/>
              </w:rPr>
              <w:t>：第二十四届高交会结束后15个工作日内，需提供</w:t>
            </w:r>
            <w:r>
              <w:rPr>
                <w:rFonts w:hint="eastAsia" w:ascii="宋体" w:hAnsi="宋体" w:cs="宋体"/>
                <w:color w:val="auto"/>
                <w:sz w:val="21"/>
                <w:szCs w:val="21"/>
                <w:highlight w:val="none"/>
                <w:lang w:val="en-US" w:eastAsia="zh-CN"/>
              </w:rPr>
              <w:t>4篇新闻稿</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发布报告，报告包括但不仅限于</w:t>
            </w:r>
            <w:r>
              <w:rPr>
                <w:rFonts w:hint="eastAsia" w:ascii="宋体" w:hAnsi="宋体" w:cs="宋体"/>
                <w:color w:val="auto"/>
                <w:sz w:val="21"/>
                <w:szCs w:val="21"/>
                <w:highlight w:val="none"/>
                <w:lang w:val="en-US" w:eastAsia="zh-CN"/>
              </w:rPr>
              <w:t>发布</w:t>
            </w:r>
            <w:r>
              <w:rPr>
                <w:rFonts w:hint="eastAsia" w:ascii="宋体" w:hAnsi="宋体" w:eastAsia="宋体" w:cs="宋体"/>
                <w:color w:val="auto"/>
                <w:sz w:val="21"/>
                <w:szCs w:val="21"/>
                <w:highlight w:val="none"/>
                <w:lang w:val="en-US" w:eastAsia="zh-CN"/>
              </w:rPr>
              <w:t>效果总结、数据、关键内容等，</w:t>
            </w:r>
            <w:r>
              <w:rPr>
                <w:rFonts w:hint="eastAsia" w:ascii="宋体" w:hAnsi="宋体" w:eastAsia="宋体" w:cs="宋体"/>
                <w:color w:val="auto"/>
                <w:sz w:val="21"/>
                <w:szCs w:val="21"/>
                <w:highlight w:val="none"/>
              </w:rPr>
              <w:t>如有特别显著的效果也须在报告中体现</w:t>
            </w:r>
            <w:r>
              <w:rPr>
                <w:rFonts w:hint="eastAsia" w:ascii="宋体" w:hAnsi="宋体" w:eastAsia="宋体" w:cs="宋体"/>
                <w:color w:val="auto"/>
                <w:sz w:val="21"/>
                <w:szCs w:val="21"/>
                <w:highlight w:val="none"/>
                <w:lang w:eastAsia="zh-CN"/>
              </w:rPr>
              <w:t>。</w:t>
            </w:r>
          </w:p>
          <w:p>
            <w:pPr>
              <w:pStyle w:val="38"/>
              <w:numPr>
                <w:ilvl w:val="0"/>
                <w:numId w:val="19"/>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招标人按项目实施要求及投标人承诺内容进行验收。如阶段验收未能通过时，中标人须及时进行整改，否则招标人有权按比例扣除相应费用。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项目负责人及</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20"/>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指定项目负责人，负责人应具备英文社交账号运维管理</w:t>
            </w:r>
            <w:r>
              <w:rPr>
                <w:rFonts w:hint="eastAsia" w:ascii="宋体" w:hAnsi="宋体" w:cs="宋体"/>
                <w:color w:val="auto"/>
                <w:sz w:val="21"/>
                <w:szCs w:val="21"/>
                <w:highlight w:val="none"/>
                <w:lang w:val="en-US" w:eastAsia="zh-CN"/>
              </w:rPr>
              <w:t>、全球新闻稿发布</w:t>
            </w:r>
            <w:r>
              <w:rPr>
                <w:rFonts w:hint="eastAsia" w:ascii="宋体" w:hAnsi="宋体" w:eastAsia="宋体" w:cs="宋体"/>
                <w:color w:val="auto"/>
                <w:sz w:val="21"/>
                <w:szCs w:val="21"/>
                <w:highlight w:val="none"/>
                <w:lang w:val="en-US" w:eastAsia="zh-CN"/>
              </w:rPr>
              <w:t>经验，需提供包括但不仅限于提供相应人员的姓名、身份证明、联系电话、职务、外宣经验、持证获奖及参与类似本项目的业绩履历简介等信息，所有文件均需加盖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公章</w:t>
            </w:r>
            <w:r>
              <w:rPr>
                <w:rFonts w:hint="eastAsia" w:ascii="宋体" w:hAnsi="宋体" w:cs="宋体"/>
                <w:color w:val="auto"/>
                <w:sz w:val="21"/>
                <w:szCs w:val="21"/>
                <w:highlight w:val="none"/>
                <w:lang w:val="en-US" w:eastAsia="zh-CN"/>
              </w:rPr>
              <w:t>；</w:t>
            </w:r>
          </w:p>
          <w:p>
            <w:pPr>
              <w:pStyle w:val="38"/>
              <w:numPr>
                <w:ilvl w:val="0"/>
                <w:numId w:val="20"/>
              </w:numPr>
              <w:snapToGrid w:val="0"/>
              <w:spacing w:line="360" w:lineRule="auto"/>
              <w:ind w:left="425" w:leftChars="0" w:hanging="425" w:firstLineChars="0"/>
              <w:jc w:val="left"/>
              <w:rPr>
                <w:rFonts w:ascii="宋体" w:hAnsi="宋体"/>
                <w:color w:val="auto"/>
                <w:highlight w:val="none"/>
              </w:rPr>
            </w:pPr>
            <w:r>
              <w:rPr>
                <w:rFonts w:hint="eastAsia" w:ascii="宋体" w:hAnsi="宋体" w:eastAsia="宋体" w:cs="宋体"/>
                <w:color w:val="auto"/>
                <w:sz w:val="21"/>
                <w:szCs w:val="21"/>
                <w:highlight w:val="none"/>
                <w:lang w:val="en-US" w:eastAsia="zh-CN"/>
              </w:rPr>
              <w:t>项目团队成员人数不得少于</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人（含项目负责人），提供拟派项目团队成员</w:t>
            </w:r>
            <w:r>
              <w:rPr>
                <w:rFonts w:hint="eastAsia" w:ascii="宋体" w:hAnsi="宋体" w:cs="宋体"/>
                <w:color w:val="auto"/>
                <w:sz w:val="21"/>
                <w:szCs w:val="21"/>
                <w:highlight w:val="none"/>
                <w:lang w:val="en-US" w:eastAsia="zh-CN"/>
              </w:rPr>
              <w:t>个人简历</w:t>
            </w:r>
            <w:r>
              <w:rPr>
                <w:rFonts w:hint="eastAsia" w:ascii="宋体" w:hAnsi="宋体" w:eastAsia="宋体" w:cs="宋体"/>
                <w:color w:val="auto"/>
                <w:sz w:val="21"/>
                <w:szCs w:val="21"/>
                <w:highlight w:val="none"/>
                <w:lang w:val="en-US" w:eastAsia="zh-CN"/>
              </w:rPr>
              <w:t>，所有文件均需加盖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公章</w:t>
            </w:r>
            <w:r>
              <w:rPr>
                <w:rFonts w:hint="eastAsia" w:ascii="宋体" w:hAnsi="宋体" w:cs="宋体"/>
                <w:color w:val="auto"/>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项目服务承诺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8"/>
              <w:numPr>
                <w:ilvl w:val="0"/>
                <w:numId w:val="21"/>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合同约定期间内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en-US" w:eastAsia="zh-CN"/>
              </w:rPr>
              <w:t>在各级</w:t>
            </w:r>
            <w:r>
              <w:rPr>
                <w:rFonts w:hint="eastAsia" w:ascii="宋体" w:hAnsi="宋体" w:eastAsia="宋体" w:cs="宋体"/>
                <w:color w:val="auto"/>
                <w:sz w:val="21"/>
                <w:szCs w:val="21"/>
                <w:highlight w:val="none"/>
              </w:rPr>
              <w:t>媒体账户上发布</w:t>
            </w:r>
            <w:r>
              <w:rPr>
                <w:rFonts w:hint="eastAsia" w:ascii="宋体" w:hAnsi="宋体" w:eastAsia="宋体" w:cs="宋体"/>
                <w:color w:val="auto"/>
                <w:sz w:val="21"/>
                <w:szCs w:val="21"/>
                <w:highlight w:val="none"/>
                <w:lang w:val="en-US" w:eastAsia="zh-CN"/>
              </w:rPr>
              <w:t>的与</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人相关的</w:t>
            </w:r>
            <w:r>
              <w:rPr>
                <w:rFonts w:hint="eastAsia" w:ascii="宋体" w:hAnsi="宋体" w:eastAsia="宋体" w:cs="宋体"/>
                <w:color w:val="auto"/>
                <w:sz w:val="21"/>
                <w:szCs w:val="21"/>
                <w:highlight w:val="none"/>
              </w:rPr>
              <w:t>内容符合国家外宣政策</w:t>
            </w:r>
            <w:r>
              <w:rPr>
                <w:rFonts w:hint="eastAsia" w:ascii="宋体" w:hAnsi="宋体" w:cs="宋体"/>
                <w:color w:val="auto"/>
                <w:sz w:val="21"/>
                <w:szCs w:val="21"/>
                <w:highlight w:val="none"/>
                <w:lang w:eastAsia="zh-CN"/>
              </w:rPr>
              <w:t>；</w:t>
            </w:r>
          </w:p>
          <w:p>
            <w:pPr>
              <w:pStyle w:val="38"/>
              <w:numPr>
                <w:ilvl w:val="0"/>
                <w:numId w:val="21"/>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中标人需</w:t>
            </w:r>
            <w:r>
              <w:rPr>
                <w:rFonts w:hint="eastAsia" w:ascii="宋体" w:hAnsi="宋体" w:eastAsia="宋体" w:cs="宋体"/>
                <w:color w:val="auto"/>
                <w:sz w:val="21"/>
                <w:szCs w:val="21"/>
                <w:highlight w:val="none"/>
              </w:rPr>
              <w:t>严格遵照国家有关广告、互联网媒体、新媒体投放要求和规定，对</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bl>
    <w:p>
      <w:pPr>
        <w:numPr>
          <w:ilvl w:val="0"/>
          <w:numId w:val="1"/>
        </w:numPr>
        <w:jc w:val="left"/>
        <w:outlineLvl w:val="1"/>
        <w:rPr>
          <w:rFonts w:ascii="宋体" w:hAnsi="宋体"/>
          <w:b/>
          <w:color w:val="auto"/>
          <w:szCs w:val="21"/>
          <w:highlight w:val="none"/>
        </w:rPr>
      </w:pPr>
      <w:bookmarkStart w:id="37" w:name="_Toc82684600"/>
      <w:bookmarkEnd w:id="37"/>
      <w:bookmarkStart w:id="38" w:name="_Toc82591996"/>
      <w:bookmarkEnd w:id="38"/>
      <w:bookmarkStart w:id="39" w:name="_Toc82684715"/>
      <w:bookmarkEnd w:id="39"/>
      <w:bookmarkStart w:id="40" w:name="_Toc82685552"/>
      <w:bookmarkEnd w:id="40"/>
      <w:bookmarkStart w:id="41" w:name="_Toc106791257"/>
      <w:r>
        <w:rPr>
          <w:rFonts w:hint="eastAsia" w:ascii="宋体" w:hAnsi="宋体"/>
          <w:b/>
          <w:color w:val="auto"/>
          <w:szCs w:val="21"/>
          <w:highlight w:val="none"/>
        </w:rPr>
        <w:t>其他项目说明资料</w:t>
      </w:r>
      <w:bookmarkEnd w:id="41"/>
    </w:p>
    <w:p>
      <w:pPr>
        <w:widowControl/>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06791260"/>
      <w:bookmarkStart w:id="45" w:name="_Hlk104908581"/>
      <w:bookmarkStart w:id="46" w:name="_Hlk104908397"/>
      <w:r>
        <w:rPr>
          <w:rFonts w:hint="eastAsia"/>
          <w:b/>
        </w:rPr>
        <w:t>开标阶段</w:t>
      </w:r>
      <w:bookmarkEnd w:id="43"/>
      <w:bookmarkEnd w:id="44"/>
    </w:p>
    <w:bookmarkEnd w:id="45"/>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6"/>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06791261"/>
      <w:r>
        <w:rPr>
          <w:rFonts w:hint="eastAsia"/>
          <w:b/>
        </w:rPr>
        <w:t>评标阶段</w:t>
      </w:r>
      <w:bookmarkEnd w:id="47"/>
      <w:bookmarkEnd w:id="48"/>
    </w:p>
    <w:p>
      <w:pPr>
        <w:pStyle w:val="26"/>
        <w:numPr>
          <w:ilvl w:val="0"/>
          <w:numId w:val="2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6"/>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5"/>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9"/>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6"/>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25</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50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25</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6"/>
              <w:ind w:left="0"/>
              <w:jc w:val="center"/>
              <w:rPr>
                <w:color w:val="auto"/>
                <w:highlight w:val="none"/>
              </w:rPr>
            </w:pPr>
            <w:r>
              <w:rPr>
                <w:rFonts w:hint="eastAsia" w:ascii="宋体" w:hAnsi="宋体"/>
                <w:color w:val="auto"/>
                <w:highlight w:val="none"/>
              </w:rPr>
              <w:t>投标人综合得分</w:t>
            </w:r>
          </w:p>
        </w:tc>
        <w:tc>
          <w:tcPr>
            <w:tcW w:w="6846" w:type="dxa"/>
            <w:gridSpan w:val="3"/>
            <w:vAlign w:val="center"/>
          </w:tcPr>
          <w:p>
            <w:pPr>
              <w:pStyle w:val="6"/>
              <w:jc w:val="center"/>
              <w:rPr>
                <w:color w:val="auto"/>
                <w:highlight w:val="none"/>
              </w:rPr>
            </w:pPr>
            <w:r>
              <w:rPr>
                <w:rFonts w:hint="eastAsia" w:ascii="宋体" w:hAnsi="宋体"/>
                <w:color w:val="auto"/>
                <w:highlight w:val="none"/>
              </w:rPr>
              <w:t>商务标得分+技术标得分+价格标得分=100</w:t>
            </w:r>
          </w:p>
        </w:tc>
      </w:tr>
    </w:tbl>
    <w:p>
      <w:pPr>
        <w:pStyle w:val="6"/>
        <w:ind w:left="0"/>
      </w:pPr>
    </w:p>
    <w:p>
      <w:pPr>
        <w:pStyle w:val="15"/>
      </w:pPr>
    </w:p>
    <w:p>
      <w:pPr>
        <w:numPr>
          <w:ilvl w:val="0"/>
          <w:numId w:val="24"/>
        </w:numPr>
        <w:spacing w:line="360" w:lineRule="auto"/>
        <w:jc w:val="left"/>
        <w:outlineLvl w:val="2"/>
        <w:rPr>
          <w:rStyle w:val="33"/>
          <w:rFonts w:ascii="宋体" w:hAnsi="宋体"/>
          <w:b/>
          <w:szCs w:val="21"/>
        </w:rPr>
      </w:pPr>
      <w:bookmarkStart w:id="51" w:name="_Toc106791264"/>
      <w:r>
        <w:rPr>
          <w:rStyle w:val="33"/>
          <w:rFonts w:hint="eastAsia" w:ascii="宋体" w:hAnsi="宋体"/>
          <w:b/>
          <w:bCs/>
          <w:szCs w:val="21"/>
        </w:rPr>
        <w:t>符合性检查</w:t>
      </w:r>
      <w:bookmarkEnd w:id="51"/>
    </w:p>
    <w:tbl>
      <w:tblPr>
        <w:tblStyle w:val="18"/>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rPr>
            </w:pPr>
            <w:r>
              <w:rPr>
                <w:rFonts w:hint="eastAsia" w:ascii="宋体" w:hAnsi="宋体" w:cs="仿宋"/>
                <w:color w:val="auto"/>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rPr>
            </w:pPr>
            <w:r>
              <w:rPr>
                <w:rFonts w:hint="eastAsia" w:ascii="宋体" w:hAnsi="宋体" w:cs="仿宋"/>
                <w:color w:val="auto"/>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rPr>
            </w:pPr>
            <w:r>
              <w:rPr>
                <w:rFonts w:hint="eastAsia" w:ascii="宋体" w:hAnsi="宋体" w:cs="仿宋"/>
                <w:color w:val="auto"/>
                <w:szCs w:val="21"/>
              </w:rPr>
              <w:t>投标文件</w:t>
            </w:r>
          </w:p>
        </w:tc>
        <w:tc>
          <w:tcPr>
            <w:tcW w:w="7635" w:type="dxa"/>
            <w:tcBorders>
              <w:tl2br w:val="nil"/>
              <w:tr2bl w:val="nil"/>
            </w:tcBorders>
            <w:vAlign w:val="center"/>
          </w:tcPr>
          <w:p>
            <w:pPr>
              <w:spacing w:line="360" w:lineRule="auto"/>
              <w:rPr>
                <w:rFonts w:ascii="宋体" w:hAnsi="宋体" w:cs="仿宋"/>
                <w:color w:val="auto"/>
                <w:szCs w:val="21"/>
              </w:rPr>
            </w:pPr>
            <w:r>
              <w:rPr>
                <w:rFonts w:hint="eastAsia" w:ascii="宋体" w:hAnsi="宋体" w:cs="仿宋"/>
                <w:bCs/>
                <w:color w:val="auto"/>
                <w:szCs w:val="21"/>
              </w:rPr>
              <w:t>投标人提交的投标文件是否按要求编制目录、加密；投标文件的加密密码按要求发送至招标人</w:t>
            </w:r>
            <w:r>
              <w:rPr>
                <w:rFonts w:ascii="宋体" w:hAnsi="宋体" w:cs="仿宋"/>
                <w:bCs/>
                <w:color w:val="auto"/>
                <w:szCs w:val="21"/>
              </w:rPr>
              <w:t>且</w:t>
            </w:r>
            <w:r>
              <w:rPr>
                <w:rFonts w:hint="eastAsia" w:ascii="宋体" w:hAnsi="宋体" w:cs="仿宋"/>
                <w:bCs/>
                <w:color w:val="auto"/>
                <w:szCs w:val="21"/>
              </w:rPr>
              <w:t>保证</w:t>
            </w:r>
            <w:r>
              <w:rPr>
                <w:rFonts w:ascii="宋体" w:hAnsi="宋体" w:cs="仿宋"/>
                <w:bCs/>
                <w:color w:val="auto"/>
                <w:szCs w:val="21"/>
              </w:rPr>
              <w:t>文件完整可正常打开；</w:t>
            </w:r>
            <w:r>
              <w:rPr>
                <w:rFonts w:hint="eastAsia" w:ascii="宋体" w:hAnsi="宋体" w:cs="仿宋"/>
                <w:bCs/>
                <w:color w:val="auto"/>
                <w:szCs w:val="21"/>
              </w:rPr>
              <w:t>投标人必须提供由法人代表或其书面授权人签署并加盖投标人公章的投标响应文件</w:t>
            </w:r>
            <w:r>
              <w:rPr>
                <w:rFonts w:hint="eastAsia" w:ascii="宋体" w:hAnsi="宋体" w:cs="仿宋"/>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rPr>
            </w:pPr>
            <w:r>
              <w:rPr>
                <w:rFonts w:hint="eastAsia" w:ascii="宋体" w:hAnsi="宋体" w:cs="仿宋"/>
                <w:color w:val="auto"/>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rPr>
            </w:pPr>
            <w:r>
              <w:rPr>
                <w:rFonts w:hint="eastAsia" w:ascii="宋体" w:hAnsi="宋体" w:cs="仿宋"/>
                <w:color w:val="auto"/>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rPr>
            </w:pPr>
            <w:r>
              <w:rPr>
                <w:rFonts w:hint="eastAsia" w:ascii="宋体" w:hAnsi="宋体" w:cs="仿宋"/>
                <w:color w:val="auto"/>
                <w:szCs w:val="21"/>
              </w:rPr>
              <w:t>资格证明文件</w:t>
            </w:r>
          </w:p>
        </w:tc>
        <w:tc>
          <w:tcPr>
            <w:tcW w:w="7635" w:type="dxa"/>
            <w:tcBorders>
              <w:tl2br w:val="nil"/>
              <w:tr2bl w:val="nil"/>
            </w:tcBorders>
            <w:vAlign w:val="center"/>
          </w:tcPr>
          <w:p>
            <w:pPr>
              <w:pStyle w:val="38"/>
              <w:numPr>
                <w:ilvl w:val="-1"/>
                <w:numId w:val="0"/>
              </w:numPr>
              <w:snapToGrid w:val="0"/>
              <w:ind w:left="0" w:leftChars="0" w:firstLine="0" w:firstLineChars="0"/>
              <w:jc w:val="left"/>
              <w:rPr>
                <w:rFonts w:hint="eastAsia" w:ascii="宋体" w:hAnsi="宋体" w:cs="仿宋"/>
                <w:color w:val="auto"/>
                <w:szCs w:val="21"/>
                <w:highlight w:val="none"/>
              </w:rPr>
            </w:pPr>
            <w:r>
              <w:rPr>
                <w:rFonts w:hint="eastAsia" w:ascii="宋体" w:hAnsi="宋体" w:cs="仿宋"/>
                <w:color w:val="auto"/>
                <w:szCs w:val="21"/>
                <w:highlight w:val="none"/>
              </w:rPr>
              <w:t>投标人是否提供以下证明文件：</w:t>
            </w:r>
          </w:p>
          <w:p>
            <w:pPr>
              <w:pStyle w:val="38"/>
              <w:numPr>
                <w:ilvl w:val="-1"/>
                <w:numId w:val="0"/>
              </w:numPr>
              <w:snapToGrid w:val="0"/>
              <w:ind w:left="0" w:leftChars="0" w:firstLine="0" w:firstLineChars="0"/>
              <w:jc w:val="left"/>
              <w:rPr>
                <w:rFonts w:hint="eastAsia" w:ascii="宋体" w:hAnsi="宋体" w:cs="仿宋"/>
                <w:color w:val="auto"/>
                <w:szCs w:val="21"/>
                <w:highlight w:val="none"/>
              </w:rPr>
            </w:pPr>
          </w:p>
          <w:p>
            <w:pPr>
              <w:pStyle w:val="38"/>
              <w:numPr>
                <w:ilvl w:val="0"/>
                <w:numId w:val="25"/>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rPr>
              <w:t>投标单位应为中华人民共和国境内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含港、澳、台地区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注册且合法运作的独立法人或具有独立承担民事责任能力的其它组织。提供营业执照或法人证明文件或登记证书扫描件或复印件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及社会信誉承诺书（格式详见附件），并加盖</w:t>
            </w: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公章</w:t>
            </w:r>
            <w:r>
              <w:rPr>
                <w:rFonts w:hint="eastAsia" w:ascii="宋体" w:hAnsi="宋体" w:cs="宋体"/>
                <w:color w:val="auto"/>
                <w:sz w:val="21"/>
                <w:szCs w:val="21"/>
                <w:highlight w:val="none"/>
                <w:lang w:eastAsia="zh-CN"/>
              </w:rPr>
              <w:t>；</w:t>
            </w:r>
          </w:p>
          <w:p>
            <w:pPr>
              <w:pStyle w:val="38"/>
              <w:numPr>
                <w:ilvl w:val="0"/>
                <w:numId w:val="25"/>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rPr>
              <w:t>投标人代表必须是投标单位的法定代表人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或持有法定代表人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亲自签署的法人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授权委托证明书的人员。（提供法定代表人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证明书、法人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授权委托证明书，如单位法定代表人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为本项目授权代表，则仅提供法定代表人</w:t>
            </w:r>
            <w:r>
              <w:rPr>
                <w:rFonts w:hint="eastAsia" w:ascii="宋体" w:hAnsi="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证明书及身份证复印件，各证明书须加盖公章，身份证原件备查）</w:t>
            </w:r>
            <w:r>
              <w:rPr>
                <w:rFonts w:hint="eastAsia" w:ascii="宋体" w:hAnsi="宋体" w:cs="宋体"/>
                <w:color w:val="auto"/>
                <w:sz w:val="21"/>
                <w:szCs w:val="21"/>
                <w:highlight w:val="none"/>
                <w:lang w:eastAsia="zh-CN"/>
              </w:rPr>
              <w:t>；</w:t>
            </w:r>
          </w:p>
          <w:p>
            <w:pPr>
              <w:pStyle w:val="38"/>
              <w:numPr>
                <w:ilvl w:val="0"/>
                <w:numId w:val="25"/>
              </w:numPr>
              <w:snapToGrid w:val="0"/>
              <w:spacing w:line="360" w:lineRule="auto"/>
              <w:ind w:left="425" w:leftChars="0" w:hanging="425" w:firstLineChars="0"/>
              <w:jc w:val="left"/>
              <w:rPr>
                <w:color w:val="auto"/>
                <w:highlight w:val="none"/>
              </w:rPr>
            </w:pPr>
            <w:r>
              <w:rPr>
                <w:rFonts w:hint="eastAsia" w:ascii="宋体" w:hAnsi="宋体" w:eastAsia="宋体" w:cs="宋体"/>
                <w:color w:val="auto"/>
                <w:sz w:val="21"/>
                <w:szCs w:val="21"/>
                <w:highlight w:val="none"/>
                <w:lang w:val="en-US" w:eastAsia="zh-CN"/>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rPr>
            </w:pPr>
            <w:r>
              <w:rPr>
                <w:rFonts w:hint="eastAsia" w:ascii="宋体" w:hAnsi="宋体" w:cs="仿宋"/>
                <w:color w:val="auto"/>
                <w:szCs w:val="21"/>
              </w:rPr>
              <w:t>控制金额</w:t>
            </w:r>
          </w:p>
        </w:tc>
        <w:tc>
          <w:tcPr>
            <w:tcW w:w="7635" w:type="dxa"/>
            <w:tcBorders>
              <w:tl2br w:val="nil"/>
              <w:tr2bl w:val="nil"/>
            </w:tcBorders>
            <w:vAlign w:val="center"/>
          </w:tcPr>
          <w:p>
            <w:pPr>
              <w:spacing w:line="360" w:lineRule="auto"/>
              <w:rPr>
                <w:rFonts w:ascii="宋体" w:hAnsi="宋体" w:cs="仿宋"/>
                <w:color w:val="auto"/>
                <w:szCs w:val="21"/>
              </w:rPr>
            </w:pPr>
            <w:r>
              <w:rPr>
                <w:rFonts w:hint="eastAsia" w:ascii="宋体" w:hAnsi="宋体" w:cs="仿宋"/>
                <w:color w:val="auto"/>
                <w:szCs w:val="21"/>
              </w:rPr>
              <w:t>本项目报价</w:t>
            </w:r>
            <w:r>
              <w:rPr>
                <w:rFonts w:hint="eastAsia" w:ascii="宋体" w:hAnsi="宋体" w:cs="仿宋"/>
                <w:color w:val="auto"/>
                <w:szCs w:val="21"/>
                <w:highlight w:val="none"/>
              </w:rPr>
              <w:t>是否高于</w:t>
            </w:r>
            <w:r>
              <w:rPr>
                <w:rFonts w:hint="eastAsia" w:ascii="宋体" w:hAnsi="宋体"/>
                <w:color w:val="auto"/>
                <w:szCs w:val="21"/>
                <w:highlight w:val="none"/>
                <w:lang w:val="en-US" w:eastAsia="zh-CN"/>
              </w:rPr>
              <w:t>29</w:t>
            </w:r>
            <w:r>
              <w:rPr>
                <w:rFonts w:ascii="宋体" w:hAnsi="宋体" w:cs="仿宋"/>
                <w:color w:val="auto"/>
                <w:szCs w:val="21"/>
                <w:highlight w:val="none"/>
              </w:rPr>
              <w:t>万元</w:t>
            </w:r>
            <w:r>
              <w:rPr>
                <w:rFonts w:ascii="宋体" w:hAnsi="宋体" w:cs="仿宋"/>
                <w:color w:val="auto"/>
                <w:szCs w:val="21"/>
              </w:rPr>
              <w:t>（含税）</w:t>
            </w:r>
            <w:r>
              <w:rPr>
                <w:rFonts w:hint="eastAsia" w:ascii="宋体" w:hAnsi="宋体" w:cs="仿宋"/>
                <w:color w:val="auto"/>
                <w:szCs w:val="21"/>
              </w:rPr>
              <w:t>，超过上述控制金额的视为无效报价。</w:t>
            </w:r>
          </w:p>
        </w:tc>
      </w:tr>
    </w:tbl>
    <w:tbl>
      <w:tblPr>
        <w:tblStyle w:val="18"/>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25</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资质情况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0"/>
              </w:numPr>
              <w:snapToGrid w:val="0"/>
              <w:spacing w:line="360" w:lineRule="auto"/>
              <w:ind w:leftChars="0"/>
              <w:jc w:val="left"/>
              <w:rPr>
                <w:rFonts w:hint="default" w:ascii="宋体" w:hAnsi="宋体"/>
                <w:color w:val="auto"/>
                <w:szCs w:val="21"/>
                <w:highlight w:val="none"/>
                <w:lang w:val="en-US"/>
              </w:rPr>
            </w:pPr>
            <w:r>
              <w:rPr>
                <w:rFonts w:hint="eastAsia" w:ascii="宋体" w:hAnsi="宋体" w:cs="宋体"/>
                <w:color w:val="auto"/>
                <w:sz w:val="21"/>
                <w:szCs w:val="21"/>
                <w:highlight w:val="none"/>
                <w:lang w:val="en-US" w:eastAsia="zh-CN"/>
              </w:rPr>
              <w:t>投标人具有由外交部新闻司颁发的《外国驻华新闻机构证》者，得5分，未提供不得分。提供证书复印件并加盖投标人公章。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业绩和经验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2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除资质要求中所必须提供的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个案例外，每增加1个</w:t>
            </w:r>
            <w:r>
              <w:rPr>
                <w:rFonts w:hint="eastAsia" w:ascii="宋体" w:hAnsi="宋体" w:cs="宋体"/>
                <w:color w:val="auto"/>
                <w:sz w:val="21"/>
                <w:szCs w:val="21"/>
                <w:highlight w:val="none"/>
                <w:lang w:val="en-US" w:eastAsia="zh-CN"/>
              </w:rPr>
              <w:t>英文社交媒体账号服务合同或全球新闻稿发布服务</w:t>
            </w:r>
            <w:r>
              <w:rPr>
                <w:rFonts w:hint="eastAsia" w:ascii="宋体" w:hAnsi="宋体" w:eastAsia="宋体" w:cs="宋体"/>
                <w:color w:val="auto"/>
                <w:sz w:val="21"/>
                <w:szCs w:val="21"/>
                <w:highlight w:val="none"/>
              </w:rPr>
              <w:t>成功案例得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pStyle w:val="38"/>
              <w:numPr>
                <w:ilvl w:val="0"/>
                <w:numId w:val="2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在以上</w:t>
            </w:r>
            <w:r>
              <w:rPr>
                <w:rFonts w:hint="eastAsia" w:ascii="宋体" w:hAnsi="宋体" w:eastAsia="宋体" w:cs="宋体"/>
                <w:color w:val="auto"/>
                <w:sz w:val="21"/>
                <w:szCs w:val="21"/>
                <w:highlight w:val="none"/>
              </w:rPr>
              <w:t>所提供案例中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rPr>
              <w:t>资质要求中所必须提供的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个案例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服务对象为</w:t>
            </w:r>
            <w:r>
              <w:rPr>
                <w:rFonts w:hint="eastAsia" w:ascii="宋体" w:hAnsi="宋体" w:eastAsia="宋体" w:cs="宋体"/>
                <w:color w:val="auto"/>
                <w:sz w:val="21"/>
                <w:szCs w:val="21"/>
                <w:highlight w:val="none"/>
                <w:lang w:val="en-US" w:eastAsia="zh-CN"/>
              </w:rPr>
              <w:t>国际性展览、国际性会议、</w:t>
            </w:r>
            <w:r>
              <w:rPr>
                <w:rFonts w:hint="eastAsia" w:ascii="宋体" w:hAnsi="宋体" w:cs="宋体"/>
                <w:color w:val="auto"/>
                <w:sz w:val="21"/>
                <w:szCs w:val="21"/>
                <w:highlight w:val="none"/>
                <w:lang w:val="en-US" w:eastAsia="zh-CN"/>
              </w:rPr>
              <w:t>世界五百强企业</w:t>
            </w:r>
            <w:r>
              <w:rPr>
                <w:rFonts w:hint="eastAsia" w:ascii="宋体" w:hAnsi="宋体" w:eastAsia="宋体" w:cs="宋体"/>
                <w:color w:val="auto"/>
                <w:sz w:val="21"/>
                <w:szCs w:val="21"/>
                <w:highlight w:val="none"/>
                <w:lang w:val="en-US" w:eastAsia="zh-CN"/>
              </w:rPr>
              <w:t>者，每个案例得1分，最高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8"/>
              <w:numPr>
                <w:ilvl w:val="0"/>
                <w:numId w:val="0"/>
              </w:numPr>
              <w:snapToGrid w:val="0"/>
              <w:spacing w:line="360" w:lineRule="auto"/>
              <w:ind w:leftChars="0"/>
              <w:jc w:val="left"/>
              <w:rPr>
                <w:rFonts w:ascii="宋体" w:hAnsi="宋体"/>
                <w:color w:val="auto"/>
                <w:szCs w:val="21"/>
                <w:highlight w:val="none"/>
              </w:rPr>
            </w:pPr>
            <w:r>
              <w:rPr>
                <w:rFonts w:hint="eastAsia" w:ascii="宋体" w:hAnsi="宋体" w:eastAsia="宋体" w:cs="宋体"/>
                <w:color w:val="auto"/>
                <w:sz w:val="21"/>
                <w:szCs w:val="21"/>
                <w:highlight w:val="none"/>
                <w:lang w:val="en-US" w:eastAsia="zh-CN"/>
              </w:rPr>
              <w:t>说明：</w:t>
            </w:r>
            <w:r>
              <w:rPr>
                <w:rFonts w:hint="eastAsia" w:ascii="宋体" w:hAnsi="宋体" w:cs="宋体"/>
                <w:color w:val="auto"/>
                <w:sz w:val="21"/>
                <w:szCs w:val="21"/>
                <w:highlight w:val="none"/>
                <w:lang w:val="en-US" w:eastAsia="zh-CN"/>
              </w:rPr>
              <w:t>同一合同中具有英文社交媒体账号服务和全球新闻稿发布服务两项内容的亦可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视为2个案例。需</w:t>
            </w:r>
            <w:r>
              <w:rPr>
                <w:rFonts w:hint="eastAsia" w:ascii="宋体" w:hAnsi="宋体" w:eastAsia="宋体" w:cs="宋体"/>
                <w:color w:val="auto"/>
                <w:sz w:val="21"/>
                <w:szCs w:val="21"/>
                <w:highlight w:val="none"/>
              </w:rPr>
              <w:t>提供合同关键页复印件（合同关键页包含但不限于项目名称、业主方名称、签订时间、甲乙双方盖章等信息）。以上证明资料加盖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未按要求提供相应资料或资料不清晰，导致</w:t>
            </w:r>
            <w:r>
              <w:rPr>
                <w:rFonts w:hint="eastAsia" w:ascii="宋体" w:hAnsi="宋体" w:cs="宋体"/>
                <w:color w:val="auto"/>
                <w:sz w:val="21"/>
                <w:szCs w:val="21"/>
                <w:highlight w:val="none"/>
                <w:lang w:val="en-US" w:eastAsia="zh-CN"/>
              </w:rPr>
              <w:t>评标</w:t>
            </w:r>
            <w:r>
              <w:rPr>
                <w:rFonts w:hint="eastAsia" w:ascii="宋体" w:hAnsi="宋体" w:eastAsia="宋体" w:cs="宋体"/>
                <w:color w:val="auto"/>
                <w:sz w:val="21"/>
                <w:szCs w:val="21"/>
                <w:highlight w:val="none"/>
              </w:rPr>
              <w:t>小组无法判断时，不得分。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28"/>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由新闻媒体行业的国际机构、协会颁发的荣誉</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38"/>
              <w:numPr>
                <w:ilvl w:val="0"/>
                <w:numId w:val="28"/>
              </w:numPr>
              <w:snapToGrid w:val="0"/>
              <w:spacing w:line="360" w:lineRule="auto"/>
              <w:ind w:left="425" w:leftChars="0" w:hanging="425" w:firstLineChars="0"/>
              <w:jc w:val="left"/>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w:t>
            </w:r>
            <w:r>
              <w:rPr>
                <w:rFonts w:hint="eastAsia"/>
                <w:color w:val="auto"/>
                <w:sz w:val="21"/>
                <w:szCs w:val="21"/>
                <w:highlight w:val="none"/>
                <w:lang w:val="en-US" w:eastAsia="zh-CN"/>
              </w:rPr>
              <w:t>的国内机构、协会颁发的</w:t>
            </w:r>
            <w:r>
              <w:rPr>
                <w:rFonts w:hint="eastAsia" w:ascii="宋体" w:hAnsi="宋体" w:eastAsia="宋体" w:cs="宋体"/>
                <w:color w:val="auto"/>
                <w:sz w:val="21"/>
                <w:szCs w:val="21"/>
                <w:highlight w:val="none"/>
                <w:lang w:val="en-US" w:eastAsia="zh-CN"/>
              </w:rPr>
              <w:t>荣誉证书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38"/>
              <w:numPr>
                <w:ilvl w:val="0"/>
                <w:numId w:val="0"/>
              </w:numPr>
              <w:snapToGrid w:val="0"/>
              <w:spacing w:line="360" w:lineRule="auto"/>
              <w:ind w:left="0" w:leftChars="0" w:firstLine="0" w:firstLineChars="0"/>
              <w:jc w:val="left"/>
              <w:rPr>
                <w:rFonts w:ascii="宋体" w:hAnsi="宋体"/>
                <w:color w:val="auto"/>
                <w:szCs w:val="21"/>
                <w:highlight w:val="none"/>
              </w:rPr>
            </w:pPr>
            <w:r>
              <w:rPr>
                <w:rFonts w:hint="eastAsia" w:ascii="宋体" w:hAnsi="宋体" w:cs="宋体"/>
                <w:color w:val="auto"/>
                <w:sz w:val="21"/>
                <w:szCs w:val="21"/>
                <w:highlight w:val="none"/>
                <w:lang w:val="en-US" w:eastAsia="zh-CN"/>
              </w:rPr>
              <w:t>说明：投标人提供荣誉证书或获奖证书复印件加盖公章。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50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0" w:hRule="atLeast"/>
          <w:tblCellSpacing w:w="0" w:type="dxa"/>
        </w:trPr>
        <w:tc>
          <w:tcPr>
            <w:tcW w:w="704" w:type="dxa"/>
            <w:tcBorders>
              <w:tl2br w:val="nil"/>
              <w:tr2bl w:val="nil"/>
            </w:tcBorders>
            <w:vAlign w:val="center"/>
          </w:tcPr>
          <w:p>
            <w:pPr>
              <w:pStyle w:val="26"/>
              <w:numPr>
                <w:ilvl w:val="0"/>
                <w:numId w:val="2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b w:val="0"/>
                <w:bCs w:val="0"/>
                <w:color w:val="auto"/>
                <w:sz w:val="21"/>
                <w:szCs w:val="21"/>
                <w:highlight w:val="none"/>
                <w:lang w:val="en-US" w:eastAsia="zh-CN"/>
              </w:rPr>
              <w:t>项目实施方案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8"/>
              <w:numPr>
                <w:ilvl w:val="-1"/>
                <w:numId w:val="0"/>
              </w:numPr>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en-US" w:eastAsia="zh-CN"/>
              </w:rPr>
              <w:t>针对本项目提供的实施方案</w:t>
            </w:r>
            <w:r>
              <w:rPr>
                <w:rFonts w:hint="eastAsia" w:ascii="宋体" w:hAnsi="宋体" w:cs="宋体"/>
                <w:color w:val="auto"/>
                <w:sz w:val="21"/>
                <w:szCs w:val="21"/>
                <w:highlight w:val="none"/>
                <w:lang w:val="en-US" w:eastAsia="zh-CN"/>
              </w:rPr>
              <w:t>评分：</w:t>
            </w:r>
          </w:p>
          <w:p>
            <w:pPr>
              <w:pStyle w:val="38"/>
              <w:numPr>
                <w:ilvl w:val="0"/>
                <w:numId w:val="30"/>
              </w:numPr>
              <w:snapToGrid w:val="0"/>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根据方案中高交会脸书、领英平台运维</w:t>
            </w:r>
            <w:r>
              <w:rPr>
                <w:rFonts w:hint="eastAsia" w:ascii="宋体" w:hAnsi="宋体" w:eastAsia="宋体" w:cs="宋体"/>
                <w:color w:val="auto"/>
                <w:sz w:val="21"/>
                <w:szCs w:val="21"/>
                <w:highlight w:val="none"/>
                <w:lang w:val="en-US" w:eastAsia="zh-CN"/>
              </w:rPr>
              <w:t>内容策划与采编、质量控制</w:t>
            </w:r>
            <w:r>
              <w:rPr>
                <w:rFonts w:hint="eastAsia" w:ascii="宋体" w:hAnsi="宋体" w:cs="宋体"/>
                <w:color w:val="auto"/>
                <w:sz w:val="21"/>
                <w:szCs w:val="21"/>
                <w:highlight w:val="none"/>
                <w:lang w:val="en-US" w:eastAsia="zh-CN"/>
              </w:rPr>
              <w:t>、响应机制、舆情管理</w:t>
            </w:r>
            <w:r>
              <w:rPr>
                <w:rFonts w:hint="eastAsia" w:ascii="宋体" w:hAnsi="宋体" w:eastAsia="宋体" w:cs="宋体"/>
                <w:color w:val="auto"/>
                <w:sz w:val="21"/>
                <w:szCs w:val="21"/>
                <w:highlight w:val="none"/>
                <w:lang w:val="en-US" w:eastAsia="zh-CN"/>
              </w:rPr>
              <w:t>等</w:t>
            </w:r>
            <w:r>
              <w:rPr>
                <w:rFonts w:hint="eastAsia" w:ascii="宋体" w:hAnsi="宋体" w:cs="宋体"/>
                <w:color w:val="auto"/>
                <w:sz w:val="21"/>
                <w:szCs w:val="21"/>
                <w:highlight w:val="none"/>
                <w:lang w:val="en-US" w:eastAsia="zh-CN"/>
              </w:rPr>
              <w:t>方面进行综合比较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完整、</w:t>
            </w:r>
            <w:r>
              <w:rPr>
                <w:rFonts w:hint="eastAsia" w:ascii="宋体" w:hAnsi="宋体" w:cs="宋体"/>
                <w:color w:val="auto"/>
                <w:sz w:val="21"/>
                <w:szCs w:val="21"/>
                <w:highlight w:val="none"/>
                <w:lang w:val="en-US" w:eastAsia="zh-CN"/>
              </w:rPr>
              <w:t>项目符合度越高、思路越新颖得分越高，优秀</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10-7</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良好得6-4分，一般</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，差0分</w:t>
            </w:r>
            <w:r>
              <w:rPr>
                <w:rFonts w:hint="eastAsia" w:ascii="宋体" w:hAnsi="宋体" w:eastAsia="宋体" w:cs="宋体"/>
                <w:color w:val="auto"/>
                <w:sz w:val="21"/>
                <w:szCs w:val="21"/>
                <w:highlight w:val="none"/>
                <w:lang w:val="en-US" w:eastAsia="zh-CN"/>
              </w:rPr>
              <w:t>。</w:t>
            </w:r>
          </w:p>
          <w:p>
            <w:pPr>
              <w:pStyle w:val="38"/>
              <w:numPr>
                <w:ilvl w:val="0"/>
                <w:numId w:val="30"/>
              </w:numPr>
              <w:snapToGrid w:val="0"/>
              <w:spacing w:line="360" w:lineRule="auto"/>
              <w:ind w:left="0" w:leftChars="0" w:firstLine="0" w:firstLineChars="0"/>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根据方案中全球新闻稿发布的排期规划、覆盖地区布局等方面内容综合比较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排期越</w:t>
            </w:r>
            <w:r>
              <w:rPr>
                <w:rFonts w:hint="eastAsia" w:ascii="宋体" w:hAnsi="宋体" w:eastAsia="宋体" w:cs="宋体"/>
                <w:color w:val="auto"/>
                <w:sz w:val="21"/>
                <w:szCs w:val="21"/>
                <w:highlight w:val="none"/>
                <w:lang w:val="en-US" w:eastAsia="zh-CN"/>
              </w:rPr>
              <w:t>科学合理</w:t>
            </w:r>
            <w:r>
              <w:rPr>
                <w:rFonts w:hint="eastAsia" w:ascii="宋体" w:hAnsi="宋体" w:cs="宋体"/>
                <w:color w:val="auto"/>
                <w:sz w:val="21"/>
                <w:szCs w:val="21"/>
                <w:highlight w:val="none"/>
                <w:lang w:val="en-US" w:eastAsia="zh-CN"/>
              </w:rPr>
              <w:t>、覆盖地区布局越完善得分越高，优秀</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10-7</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良好得6-4分，一般</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，差0分</w:t>
            </w:r>
            <w:r>
              <w:rPr>
                <w:rFonts w:hint="eastAsia" w:ascii="宋体" w:hAnsi="宋体" w:eastAsia="宋体" w:cs="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2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eastAsia="宋体" w:cs="宋体"/>
                <w:color w:val="auto"/>
                <w:sz w:val="21"/>
                <w:szCs w:val="21"/>
                <w:highlight w:val="none"/>
              </w:rPr>
              <w:t>项目负责人及</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人员要求</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31"/>
              </w:numPr>
              <w:snapToGrid w:val="0"/>
              <w:spacing w:line="360" w:lineRule="auto"/>
              <w:ind w:left="425" w:leftChars="0" w:hanging="425"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en-US" w:eastAsia="zh-CN"/>
              </w:rPr>
              <w:t>项目团队配备有母语为英语的外籍人员得4分，不配备外籍人员不得分。需提供《外国人工作许可证》复印件加盖公章。</w:t>
            </w:r>
          </w:p>
          <w:p>
            <w:pPr>
              <w:pStyle w:val="38"/>
              <w:numPr>
                <w:ilvl w:val="0"/>
                <w:numId w:val="31"/>
              </w:numPr>
              <w:snapToGrid w:val="0"/>
              <w:spacing w:line="360" w:lineRule="auto"/>
              <w:ind w:left="425" w:leftChars="0" w:hanging="425" w:firstLineChars="0"/>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en-US" w:eastAsia="zh-CN"/>
              </w:rPr>
              <w:t>其他项目团队成员配置进行综合比较：团队中拥有英语专业、新闻媒体专业本科及以上学历者越多，得分越高，最多者得6分，第二名得3分，第三名得1分，其他或没有相关人员不得分。需提供拟投入本项目人员毕业证书复印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2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海外社媒平台发文量要求</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32"/>
              </w:numPr>
              <w:snapToGrid w:val="0"/>
              <w:spacing w:line="360" w:lineRule="auto"/>
              <w:ind w:left="425" w:leftChars="0" w:hanging="425"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脸书账号：发文量≥250篇，得3分；250篇＞发文量≥200篇，得2分；200＞发文量≥160篇，得1分。</w:t>
            </w:r>
          </w:p>
          <w:p>
            <w:pPr>
              <w:pStyle w:val="38"/>
              <w:numPr>
                <w:ilvl w:val="0"/>
                <w:numId w:val="32"/>
              </w:numPr>
              <w:snapToGrid w:val="0"/>
              <w:spacing w:line="360" w:lineRule="auto"/>
              <w:ind w:left="425" w:leftChars="0" w:hanging="425" w:firstLine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领英账号：发文量≥250篇，得3分；250篇＞发文量≥200篇，得2分；200＞发文量≥160篇，得1分。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2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海外社媒平台粉丝增量要求</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33"/>
              </w:numPr>
              <w:snapToGrid w:val="0"/>
              <w:spacing w:line="360" w:lineRule="auto"/>
              <w:ind w:left="425" w:leftChars="0" w:hanging="425"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脸书账号：粉丝量涨幅≥12%，得3分；12%＞粉丝量涨幅≥10%，得2分；10%＞粉丝量涨幅≥8%，得1分。</w:t>
            </w:r>
          </w:p>
          <w:p>
            <w:pPr>
              <w:pStyle w:val="38"/>
              <w:numPr>
                <w:ilvl w:val="0"/>
                <w:numId w:val="33"/>
              </w:numPr>
              <w:snapToGrid w:val="0"/>
              <w:spacing w:line="360" w:lineRule="auto"/>
              <w:ind w:left="425" w:leftChars="0" w:hanging="425"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领英账号：粉丝量涨幅≥12%，得3分；12%＞粉丝量涨幅≥10%，得2分；10%＞粉丝量涨幅≥8%，得1分。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2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rPr>
            </w:pPr>
            <w:r>
              <w:rPr>
                <w:rFonts w:hint="eastAsia"/>
                <w:color w:val="auto"/>
                <w:highlight w:val="none"/>
                <w:lang w:val="en-US" w:eastAsia="zh-CN"/>
              </w:rPr>
              <w:t>全球新闻稿发布要求</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8分</w:t>
            </w:r>
          </w:p>
        </w:tc>
        <w:tc>
          <w:tcPr>
            <w:tcW w:w="6804" w:type="dxa"/>
            <w:gridSpan w:val="2"/>
            <w:tcBorders>
              <w:tl2br w:val="nil"/>
              <w:tr2bl w:val="nil"/>
            </w:tcBorders>
            <w:tcMar>
              <w:top w:w="15" w:type="dxa"/>
              <w:left w:w="15" w:type="dxa"/>
              <w:bottom w:w="15" w:type="dxa"/>
              <w:right w:w="15" w:type="dxa"/>
            </w:tcMar>
            <w:vAlign w:val="center"/>
          </w:tcPr>
          <w:p>
            <w:pPr>
              <w:pStyle w:val="38"/>
              <w:numPr>
                <w:ilvl w:val="0"/>
                <w:numId w:val="34"/>
              </w:numPr>
              <w:snapToGrid w:val="0"/>
              <w:spacing w:line="360" w:lineRule="auto"/>
              <w:ind w:left="425" w:leftChars="0" w:hanging="425"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送达媒体≥35,000，得4分，35,000＞送达媒体≥32,000,得2分，32,000＞送达媒体≥30,000，得1分。</w:t>
            </w:r>
          </w:p>
          <w:p>
            <w:pPr>
              <w:pStyle w:val="38"/>
              <w:numPr>
                <w:ilvl w:val="0"/>
                <w:numId w:val="34"/>
              </w:numPr>
              <w:snapToGrid w:val="0"/>
              <w:spacing w:line="360" w:lineRule="auto"/>
              <w:ind w:left="425" w:leftChars="0" w:hanging="425" w:firstLineChars="0"/>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单篇新闻稿发布和转载篇数≥1,400，得4分；1,400＞单篇新闻稿发布和转载篇数≥ 1,200，得2分；1,200＞单篇新闻稿发布和转载篇数≥ 1,000，得1分。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5" w:hangingChars="117"/>
              <w:jc w:val="center"/>
            </w:pPr>
            <w:r>
              <w:rPr>
                <w:rFonts w:hint="eastAsia"/>
              </w:rPr>
              <w:t>价格评议项（</w:t>
            </w:r>
            <w:r>
              <w:rPr>
                <w:rFonts w:hint="eastAsia"/>
                <w:lang w:val="en-US" w:eastAsia="zh-CN"/>
              </w:rPr>
              <w:t>25</w:t>
            </w:r>
            <w:r>
              <w:t>分）</w:t>
            </w:r>
          </w:p>
          <w:p>
            <w:pPr>
              <w:pStyle w:val="6"/>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价格得分=（1-A×｜1-投标报价/Z｜）×M</w:t>
            </w:r>
          </w:p>
          <w:p>
            <w:pPr>
              <w:numPr>
                <w:ilvl w:val="0"/>
                <w:numId w:val="35"/>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 xml:space="preserve">M= </w:t>
            </w:r>
            <w:r>
              <w:rPr>
                <w:rFonts w:hint="eastAsia" w:ascii="宋体" w:hAnsi="宋体"/>
                <w:color w:val="auto"/>
                <w:szCs w:val="21"/>
                <w:highlight w:val="none"/>
              </w:rPr>
              <w:t>××</w:t>
            </w:r>
            <w:r>
              <w:rPr>
                <w:rStyle w:val="23"/>
                <w:rFonts w:hint="eastAsia" w:ascii="宋体" w:hAnsi="宋体"/>
                <w:color w:val="auto"/>
                <w:highlight w:val="none"/>
              </w:rPr>
              <w:t xml:space="preserve"> （价格评价分项满分值），Z为本次招标最佳报价（即基准价）；</w:t>
            </w:r>
          </w:p>
          <w:p>
            <w:pPr>
              <w:numPr>
                <w:ilvl w:val="0"/>
                <w:numId w:val="35"/>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A为价格调整系数，当投标报价低于本次招标最佳报价（即基准价）时，A=0.5；当投标报价高于次招标最佳报价时，取A=1；</w:t>
            </w:r>
          </w:p>
          <w:p>
            <w:pPr>
              <w:numPr>
                <w:ilvl w:val="0"/>
                <w:numId w:val="35"/>
              </w:numPr>
              <w:jc w:val="left"/>
              <w:rPr>
                <w:rFonts w:ascii="宋体" w:cs="宋体"/>
                <w:color w:val="auto"/>
                <w:kern w:val="0"/>
                <w:szCs w:val="21"/>
                <w:highlight w:val="none"/>
              </w:rPr>
            </w:pPr>
            <w:r>
              <w:rPr>
                <w:rStyle w:val="23"/>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val="0"/>
              <w:autoSpaceDE w:val="0"/>
              <w:autoSpaceDN w:val="0"/>
              <w:adjustRightInd w:val="0"/>
              <w:snapToGrid w:val="0"/>
              <w:ind w:firstLine="0" w:firstLineChars="0"/>
              <w:jc w:val="left"/>
              <w:rPr>
                <w:rStyle w:val="23"/>
                <w:rFonts w:hint="eastAsia" w:ascii="宋体" w:hAnsi="宋体"/>
                <w:color w:val="auto"/>
                <w:szCs w:val="21"/>
                <w:highlight w:val="none"/>
              </w:rPr>
            </w:pPr>
            <w:r>
              <w:rPr>
                <w:rStyle w:val="23"/>
                <w:rFonts w:hint="eastAsia" w:ascii="宋体" w:hAnsi="宋体"/>
                <w:color w:val="auto"/>
                <w:szCs w:val="21"/>
                <w:highlight w:val="none"/>
              </w:rPr>
              <w:t>价格得分=（1-|投标报价-基准价|÷基准价）×价格权重分</w:t>
            </w:r>
          </w:p>
          <w:p>
            <w:pPr>
              <w:spacing w:line="240" w:lineRule="atLeast"/>
              <w:jc w:val="center"/>
              <w:rPr>
                <w:rFonts w:ascii="宋体" w:cs="宋体"/>
                <w:color w:val="auto"/>
                <w:kern w:val="0"/>
                <w:szCs w:val="21"/>
                <w:highlight w:val="none"/>
              </w:rPr>
            </w:pPr>
            <w:r>
              <w:rPr>
                <w:rStyle w:val="23"/>
                <w:rFonts w:hint="eastAsia" w:ascii="宋体" w:hAnsi="宋体"/>
                <w:color w:val="auto"/>
                <w:szCs w:val="21"/>
                <w:highlight w:val="none"/>
              </w:rPr>
              <w:t>说明：报价最接近基准价的投标人价格分最高，价格分保留至小数点后两位。</w:t>
            </w:r>
          </w:p>
        </w:tc>
      </w:tr>
    </w:tbl>
    <w:p>
      <w:pPr>
        <w:numPr>
          <w:ilvl w:val="0"/>
          <w:numId w:val="24"/>
        </w:numPr>
        <w:spacing w:before="936" w:beforeLines="300" w:line="360" w:lineRule="auto"/>
        <w:jc w:val="left"/>
        <w:outlineLvl w:val="2"/>
        <w:rPr>
          <w:rStyle w:val="33"/>
          <w:rFonts w:ascii="宋体" w:hAnsi="宋体"/>
          <w:b/>
          <w:bCs/>
          <w:szCs w:val="21"/>
        </w:rPr>
      </w:pPr>
      <w:bookmarkStart w:id="52" w:name="_Toc106791265"/>
      <w:r>
        <w:rPr>
          <w:rStyle w:val="33"/>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highlight w:val="yellow"/>
        </w:rPr>
      </w:pPr>
      <w:bookmarkStart w:id="53" w:name="_Toc106791266"/>
      <w:r>
        <w:rPr>
          <w:rFonts w:hint="eastAsia" w:ascii="宋体" w:hAnsi="宋体"/>
          <w:b/>
          <w:sz w:val="32"/>
          <w:szCs w:val="32"/>
          <w:highlight w:val="yellow"/>
        </w:rPr>
        <w:t>第四部分：合同条款及格式</w:t>
      </w:r>
      <w:bookmarkEnd w:id="53"/>
    </w:p>
    <w:p>
      <w:pPr>
        <w:jc w:val="both"/>
        <w:rPr>
          <w:rFonts w:ascii="方正小标宋简体" w:hAnsi="方正小标宋简体" w:eastAsia="方正小标宋简体" w:cs="方正小标宋简体"/>
          <w:bCs/>
          <w:kern w:val="0"/>
          <w:sz w:val="28"/>
          <w:szCs w:val="28"/>
          <w:highlight w:val="yellow"/>
        </w:rPr>
      </w:pPr>
    </w:p>
    <w:p>
      <w:pPr>
        <w:jc w:val="center"/>
        <w:rPr>
          <w:rFonts w:ascii="仿宋" w:hAnsi="仿宋" w:eastAsia="仿宋"/>
          <w:b/>
          <w:sz w:val="48"/>
          <w:szCs w:val="48"/>
        </w:rPr>
      </w:pP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深圳会展中心高交会脸书、领英账号运维管理服务及全球新闻稿发布服务项目</w:t>
      </w:r>
    </w:p>
    <w:p>
      <w:pPr>
        <w:pStyle w:val="6"/>
      </w:pP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本合同</w:t>
      </w:r>
      <w:r>
        <w:rPr>
          <w:rFonts w:hint="eastAsia" w:ascii="方正小标宋简体" w:hAnsi="方正小标宋简体" w:eastAsia="方正小标宋简体" w:cs="方正小标宋简体"/>
          <w:bCs/>
          <w:kern w:val="0"/>
          <w:sz w:val="28"/>
          <w:szCs w:val="28"/>
        </w:rPr>
        <w:t>仅供参考）</w:t>
      </w:r>
    </w:p>
    <w:p>
      <w:pPr>
        <w:tabs>
          <w:tab w:val="left" w:pos="180"/>
        </w:tabs>
        <w:spacing w:line="640" w:lineRule="exact"/>
        <w:rPr>
          <w:sz w:val="32"/>
          <w:szCs w:val="32"/>
        </w:rPr>
      </w:pPr>
      <w:r>
        <w:t xml:space="preserve">                      </w:t>
      </w:r>
    </w:p>
    <w:p>
      <w:pPr>
        <w:tabs>
          <w:tab w:val="left" w:pos="180"/>
        </w:tabs>
        <w:spacing w:line="640" w:lineRule="exact"/>
        <w:ind w:firstLine="480" w:firstLineChars="200"/>
        <w:rPr>
          <w:sz w:val="24"/>
        </w:rPr>
      </w:pPr>
    </w:p>
    <w:p>
      <w:pPr>
        <w:tabs>
          <w:tab w:val="left" w:pos="180"/>
        </w:tabs>
        <w:spacing w:line="640" w:lineRule="exact"/>
        <w:ind w:firstLine="480" w:firstLineChars="200"/>
        <w:rPr>
          <w:sz w:val="24"/>
        </w:rPr>
      </w:pPr>
    </w:p>
    <w:p>
      <w:pPr>
        <w:tabs>
          <w:tab w:val="left" w:pos="180"/>
        </w:tabs>
        <w:spacing w:line="640" w:lineRule="exact"/>
        <w:ind w:firstLine="480" w:firstLineChars="200"/>
        <w:rPr>
          <w:rFonts w:hint="eastAsia"/>
          <w:sz w:val="24"/>
        </w:rPr>
      </w:pPr>
    </w:p>
    <w:p>
      <w:pPr>
        <w:tabs>
          <w:tab w:val="left" w:pos="180"/>
        </w:tabs>
        <w:spacing w:line="640" w:lineRule="exact"/>
        <w:ind w:firstLine="480" w:firstLineChars="200"/>
        <w:rPr>
          <w:rFonts w:hint="eastAsia"/>
          <w:sz w:val="24"/>
        </w:rPr>
      </w:pPr>
    </w:p>
    <w:p>
      <w:pPr>
        <w:pStyle w:val="6"/>
        <w:rPr>
          <w:rFonts w:hint="eastAsia"/>
          <w:sz w:val="24"/>
        </w:rPr>
      </w:pPr>
    </w:p>
    <w:p>
      <w:pPr>
        <w:pStyle w:val="6"/>
        <w:rPr>
          <w:rFonts w:hint="eastAsia"/>
          <w:sz w:val="24"/>
        </w:rPr>
      </w:pPr>
    </w:p>
    <w:p>
      <w:pPr>
        <w:pStyle w:val="6"/>
        <w:rPr>
          <w:rFonts w:hint="eastAsia" w:eastAsia="宋体"/>
          <w:sz w:val="24"/>
          <w:lang w:eastAsia="zh-CN"/>
        </w:rPr>
      </w:pPr>
    </w:p>
    <w:p>
      <w:pPr>
        <w:pStyle w:val="6"/>
        <w:rPr>
          <w:rFonts w:hint="eastAsia"/>
          <w:sz w:val="24"/>
        </w:rPr>
      </w:pPr>
    </w:p>
    <w:p>
      <w:pPr>
        <w:pStyle w:val="6"/>
        <w:rPr>
          <w:rFonts w:hint="eastAsia"/>
          <w:sz w:val="24"/>
        </w:rPr>
      </w:pPr>
    </w:p>
    <w:p>
      <w:pPr>
        <w:tabs>
          <w:tab w:val="left" w:pos="180"/>
        </w:tabs>
        <w:spacing w:line="640" w:lineRule="exact"/>
        <w:rPr>
          <w:sz w:val="24"/>
        </w:rPr>
      </w:pPr>
    </w:p>
    <w:p>
      <w:pPr>
        <w:tabs>
          <w:tab w:val="left" w:pos="180"/>
        </w:tabs>
        <w:spacing w:line="640" w:lineRule="exact"/>
        <w:ind w:firstLine="480" w:firstLineChars="200"/>
        <w:rPr>
          <w:rFonts w:hint="eastAsia" w:cs="宋体"/>
          <w:sz w:val="24"/>
          <w:highlight w:val="none"/>
        </w:rPr>
      </w:pPr>
      <w:r>
        <w:rPr>
          <w:rFonts w:hint="eastAsia" w:cs="宋体"/>
          <w:sz w:val="24"/>
          <w:highlight w:val="none"/>
        </w:rPr>
        <w:t>甲方：深圳会展中心管理有限责任公司</w:t>
      </w:r>
    </w:p>
    <w:p>
      <w:pPr>
        <w:tabs>
          <w:tab w:val="left" w:pos="180"/>
        </w:tabs>
        <w:spacing w:line="640" w:lineRule="exact"/>
        <w:ind w:firstLine="480" w:firstLineChars="200"/>
        <w:rPr>
          <w:rFonts w:hint="eastAsia" w:cs="宋体"/>
          <w:sz w:val="24"/>
          <w:highlight w:val="none"/>
        </w:rPr>
      </w:pPr>
      <w:r>
        <w:rPr>
          <w:rFonts w:hint="eastAsia" w:cs="宋体"/>
          <w:sz w:val="24"/>
          <w:highlight w:val="none"/>
        </w:rPr>
        <w:t>乙方：</w:t>
      </w:r>
      <w:r>
        <w:rPr>
          <w:rFonts w:hint="eastAsia" w:cs="宋体"/>
          <w:sz w:val="24"/>
          <w:highlight w:val="none"/>
          <w:lang w:val="en-US" w:eastAsia="zh-CN"/>
        </w:rPr>
        <w:t>XXXX</w:t>
      </w:r>
      <w:r>
        <w:rPr>
          <w:rFonts w:hint="eastAsia" w:cs="宋体"/>
          <w:sz w:val="24"/>
          <w:highlight w:val="none"/>
        </w:rPr>
        <w:t xml:space="preserve">公司                </w:t>
      </w:r>
    </w:p>
    <w:p>
      <w:pPr>
        <w:tabs>
          <w:tab w:val="left" w:pos="180"/>
        </w:tabs>
        <w:spacing w:line="640" w:lineRule="exact"/>
        <w:ind w:firstLine="480" w:firstLineChars="200"/>
        <w:rPr>
          <w:rFonts w:ascii="宋体" w:hAnsi="宋体" w:cs="宋体"/>
          <w:sz w:val="24"/>
          <w:highlight w:val="none"/>
        </w:rPr>
      </w:pPr>
      <w:r>
        <w:rPr>
          <w:rFonts w:hint="eastAsia" w:ascii="宋体" w:hAnsi="宋体" w:cs="宋体"/>
          <w:sz w:val="24"/>
          <w:highlight w:val="none"/>
        </w:rPr>
        <w:t>签订日期：</w:t>
      </w:r>
      <w:r>
        <w:rPr>
          <w:rFonts w:hint="eastAsia" w:ascii="宋体" w:hAnsi="宋体" w:cs="宋体"/>
          <w:sz w:val="24"/>
          <w:highlight w:val="none"/>
          <w:u w:val="single"/>
        </w:rPr>
        <w:t xml:space="preserve"> 2022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
      <w:pPr>
        <w:pStyle w:val="6"/>
      </w:pPr>
    </w:p>
    <w:p>
      <w:pPr>
        <w:pStyle w:val="6"/>
      </w:pPr>
    </w:p>
    <w:p>
      <w:pPr>
        <w:pStyle w:val="6"/>
      </w:pPr>
    </w:p>
    <w:p>
      <w:pPr>
        <w:pStyle w:val="6"/>
      </w:pPr>
    </w:p>
    <w:p>
      <w:pPr>
        <w:pStyle w:val="6"/>
        <w:ind w:left="0"/>
      </w:pPr>
    </w:p>
    <w:p>
      <w:pPr>
        <w:widowControl/>
        <w:snapToGrid w:val="0"/>
        <w:spacing w:line="520" w:lineRule="exact"/>
        <w:jc w:val="left"/>
        <w:rPr>
          <w:rFonts w:hint="eastAsia" w:ascii="宋体" w:hAnsi="宋体" w:eastAsia="宋体" w:cs="宋体"/>
          <w:b/>
          <w:kern w:val="0"/>
          <w:sz w:val="21"/>
          <w:szCs w:val="21"/>
        </w:rPr>
      </w:pPr>
      <w:r>
        <w:rPr>
          <w:rFonts w:hint="eastAsia" w:ascii="宋体" w:hAnsi="宋体" w:eastAsia="宋体" w:cs="宋体"/>
          <w:b/>
          <w:kern w:val="0"/>
          <w:sz w:val="21"/>
          <w:szCs w:val="21"/>
        </w:rPr>
        <w:t>甲方：深圳会展中心管理有限责任公司（简称“会展中心”）</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w:t>
      </w:r>
    </w:p>
    <w:p>
      <w:pPr>
        <w:widowControl/>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rPr>
        <w:t>地址：深</w:t>
      </w:r>
      <w:r>
        <w:rPr>
          <w:rFonts w:hint="eastAsia" w:ascii="宋体" w:hAnsi="宋体" w:eastAsia="宋体" w:cs="宋体"/>
          <w:kern w:val="0"/>
          <w:sz w:val="21"/>
          <w:szCs w:val="21"/>
          <w:highlight w:val="none"/>
        </w:rPr>
        <w:t>圳市福田区福华三路深圳会展中心</w:t>
      </w:r>
    </w:p>
    <w:p>
      <w:pPr>
        <w:widowControl/>
        <w:snapToGrid w:val="0"/>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联系人：</w:t>
      </w:r>
      <w:r>
        <w:rPr>
          <w:rFonts w:hint="eastAsia" w:ascii="宋体" w:hAnsi="宋体" w:eastAsia="宋体" w:cs="宋体"/>
          <w:kern w:val="0"/>
          <w:sz w:val="21"/>
          <w:szCs w:val="21"/>
          <w:highlight w:val="none"/>
          <w:lang w:val="en-US" w:eastAsia="zh-CN"/>
        </w:rPr>
        <w:t>XXX</w:t>
      </w:r>
    </w:p>
    <w:p>
      <w:pPr>
        <w:autoSpaceDE w:val="0"/>
        <w:autoSpaceDN w:val="0"/>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电话：0755-8284</w:t>
      </w:r>
      <w:r>
        <w:rPr>
          <w:rFonts w:hint="eastAsia" w:ascii="宋体" w:hAnsi="宋体" w:eastAsia="宋体" w:cs="宋体"/>
          <w:kern w:val="0"/>
          <w:sz w:val="21"/>
          <w:szCs w:val="21"/>
          <w:highlight w:val="none"/>
          <w:lang w:val="en-US" w:eastAsia="zh-CN"/>
        </w:rPr>
        <w:t>XXXX</w:t>
      </w:r>
      <w:r>
        <w:rPr>
          <w:rFonts w:hint="eastAsia" w:ascii="宋体" w:hAnsi="宋体" w:eastAsia="宋体" w:cs="宋体"/>
          <w:kern w:val="0"/>
          <w:sz w:val="21"/>
          <w:szCs w:val="21"/>
          <w:highlight w:val="none"/>
        </w:rPr>
        <w:t xml:space="preserve"> </w:t>
      </w:r>
    </w:p>
    <w:p>
      <w:pPr>
        <w:widowControl/>
        <w:snapToGrid w:val="0"/>
        <w:spacing w:line="360" w:lineRule="auto"/>
        <w:ind w:firstLine="560"/>
        <w:rPr>
          <w:rFonts w:hint="eastAsia" w:ascii="宋体" w:hAnsi="宋体" w:eastAsia="宋体" w:cs="宋体"/>
          <w:kern w:val="0"/>
          <w:sz w:val="21"/>
          <w:szCs w:val="21"/>
          <w:highlight w:val="none"/>
        </w:rPr>
      </w:pPr>
    </w:p>
    <w:p>
      <w:pPr>
        <w:widowControl/>
        <w:snapToGrid w:val="0"/>
        <w:spacing w:line="360" w:lineRule="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乙方：</w:t>
      </w:r>
      <w:r>
        <w:rPr>
          <w:rFonts w:hint="eastAsia" w:ascii="宋体" w:hAnsi="宋体" w:eastAsia="宋体" w:cs="宋体"/>
          <w:b/>
          <w:kern w:val="0"/>
          <w:sz w:val="21"/>
          <w:szCs w:val="21"/>
          <w:highlight w:val="none"/>
          <w:lang w:val="en-US" w:eastAsia="zh-CN"/>
        </w:rPr>
        <w:t>XXXX</w:t>
      </w:r>
      <w:r>
        <w:rPr>
          <w:rFonts w:hint="eastAsia" w:ascii="宋体" w:hAnsi="宋体" w:eastAsia="宋体" w:cs="宋体"/>
          <w:b/>
          <w:kern w:val="0"/>
          <w:sz w:val="21"/>
          <w:szCs w:val="21"/>
          <w:highlight w:val="none"/>
        </w:rPr>
        <w:t>公司（简称“</w:t>
      </w:r>
      <w:r>
        <w:rPr>
          <w:rFonts w:hint="eastAsia" w:ascii="宋体" w:hAnsi="宋体" w:eastAsia="宋体" w:cs="宋体"/>
          <w:b/>
          <w:kern w:val="0"/>
          <w:sz w:val="21"/>
          <w:szCs w:val="21"/>
          <w:highlight w:val="none"/>
          <w:lang w:val="en-US" w:eastAsia="zh-CN"/>
        </w:rPr>
        <w:t>XXXX</w:t>
      </w:r>
      <w:r>
        <w:rPr>
          <w:rFonts w:hint="eastAsia" w:ascii="宋体" w:hAnsi="宋体" w:eastAsia="宋体" w:cs="宋体"/>
          <w:b/>
          <w:kern w:val="0"/>
          <w:sz w:val="21"/>
          <w:szCs w:val="21"/>
          <w:highlight w:val="none"/>
        </w:rPr>
        <w:t>”）</w:t>
      </w:r>
    </w:p>
    <w:p>
      <w:pPr>
        <w:widowControl/>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w:t>
      </w:r>
      <w:r>
        <w:rPr>
          <w:rFonts w:hint="eastAsia" w:ascii="宋体" w:hAnsi="宋体" w:eastAsia="宋体" w:cs="宋体"/>
          <w:kern w:val="0"/>
          <w:sz w:val="21"/>
          <w:szCs w:val="21"/>
          <w:highlight w:val="none"/>
          <w:lang w:val="en-US" w:eastAsia="zh-CN"/>
        </w:rPr>
        <w:t>XXX</w:t>
      </w:r>
    </w:p>
    <w:p>
      <w:pPr>
        <w:widowControl/>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w:t>
      </w:r>
      <w:r>
        <w:rPr>
          <w:rFonts w:hint="eastAsia" w:ascii="宋体" w:hAnsi="宋体" w:eastAsia="宋体" w:cs="宋体"/>
          <w:kern w:val="0"/>
          <w:sz w:val="21"/>
          <w:szCs w:val="21"/>
          <w:highlight w:val="none"/>
          <w:lang w:val="en-US" w:eastAsia="zh-CN"/>
        </w:rPr>
        <w:t>XXXXXXXXXXXX</w:t>
      </w:r>
    </w:p>
    <w:p>
      <w:pPr>
        <w:widowControl/>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w:t>
      </w:r>
      <w:r>
        <w:rPr>
          <w:rFonts w:hint="eastAsia" w:ascii="宋体" w:hAnsi="宋体" w:eastAsia="宋体" w:cs="宋体"/>
          <w:kern w:val="0"/>
          <w:sz w:val="21"/>
          <w:szCs w:val="21"/>
          <w:highlight w:val="none"/>
          <w:lang w:val="en-US" w:eastAsia="zh-CN"/>
        </w:rPr>
        <w:t>XXX</w:t>
      </w:r>
      <w:r>
        <w:rPr>
          <w:rFonts w:hint="eastAsia" w:ascii="宋体" w:hAnsi="宋体" w:eastAsia="宋体" w:cs="宋体"/>
          <w:kern w:val="0"/>
          <w:sz w:val="21"/>
          <w:szCs w:val="21"/>
          <w:highlight w:val="none"/>
        </w:rPr>
        <w:t xml:space="preserve">   </w:t>
      </w:r>
    </w:p>
    <w:p>
      <w:pPr>
        <w:widowControl/>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电话：0755-</w:t>
      </w:r>
      <w:r>
        <w:rPr>
          <w:rFonts w:hint="eastAsia" w:ascii="宋体" w:hAnsi="宋体" w:eastAsia="宋体" w:cs="宋体"/>
          <w:kern w:val="0"/>
          <w:sz w:val="21"/>
          <w:szCs w:val="21"/>
          <w:highlight w:val="none"/>
          <w:lang w:val="en-US" w:eastAsia="zh-CN"/>
        </w:rPr>
        <w:t>XXXXXX</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依据《中华人民共和国民法典》及相关法律、法规的规定</w:t>
      </w:r>
      <w:r>
        <w:rPr>
          <w:rFonts w:hint="eastAsia" w:ascii="宋体" w:hAnsi="宋体" w:eastAsia="宋体" w:cs="宋体"/>
          <w:sz w:val="21"/>
          <w:szCs w:val="21"/>
          <w:highlight w:val="none"/>
          <w:lang w:val="en-US" w:eastAsia="zh-CN"/>
        </w:rPr>
        <w:t>及行业规范</w:t>
      </w:r>
      <w:r>
        <w:rPr>
          <w:rFonts w:hint="eastAsia" w:ascii="宋体" w:hAnsi="宋体" w:eastAsia="宋体" w:cs="宋体"/>
          <w:sz w:val="21"/>
          <w:szCs w:val="21"/>
          <w:highlight w:val="none"/>
        </w:rPr>
        <w:t>，甲、乙双方本着公平合理、平等互利、诚信自愿的原则，乙方受甲方委托为甲方提供</w:t>
      </w:r>
      <w:r>
        <w:rPr>
          <w:rFonts w:hint="eastAsia" w:ascii="宋体" w:hAnsi="宋体" w:eastAsia="宋体" w:cs="宋体"/>
          <w:kern w:val="0"/>
          <w:sz w:val="21"/>
          <w:szCs w:val="21"/>
          <w:highlight w:val="none"/>
          <w:lang w:val="en-US" w:eastAsia="zh-CN"/>
        </w:rPr>
        <w:t>XXXXXXXXXXXX</w:t>
      </w:r>
      <w:r>
        <w:rPr>
          <w:rFonts w:hint="eastAsia" w:ascii="宋体" w:hAnsi="宋体" w:eastAsia="宋体" w:cs="宋体"/>
          <w:sz w:val="21"/>
          <w:szCs w:val="21"/>
          <w:highlight w:val="none"/>
        </w:rPr>
        <w:t>服务，甲乙双方经协商一致，签订本合同，双方保证严格遵守和执行。</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服务内容及要求</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项目名称：</w:t>
      </w:r>
      <w:r>
        <w:rPr>
          <w:rFonts w:hint="eastAsia" w:ascii="宋体" w:hAnsi="宋体" w:eastAsia="宋体" w:cs="宋体"/>
          <w:kern w:val="0"/>
          <w:sz w:val="21"/>
          <w:szCs w:val="21"/>
          <w:highlight w:val="none"/>
          <w:lang w:val="en-US" w:eastAsia="zh-CN"/>
        </w:rPr>
        <w:t>XXXXXXXXXXXX</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项目实施地点：深圳会展中心</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w:t>
      </w:r>
    </w:p>
    <w:p>
      <w:pPr>
        <w:pStyle w:val="6"/>
        <w:keepNext w:val="0"/>
        <w:keepLines w:val="0"/>
        <w:pageBreakBefore w:val="0"/>
        <w:widowControl/>
        <w:numPr>
          <w:ilvl w:val="0"/>
          <w:numId w:val="39"/>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XXXXXXXXXXXXXXXXXXXXXXXX</w:t>
      </w:r>
    </w:p>
    <w:p>
      <w:pPr>
        <w:pStyle w:val="6"/>
        <w:keepNext w:val="0"/>
        <w:keepLines w:val="0"/>
        <w:pageBreakBefore w:val="0"/>
        <w:widowControl/>
        <w:numPr>
          <w:ilvl w:val="0"/>
          <w:numId w:val="39"/>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增值服务（如有）</w:t>
      </w:r>
    </w:p>
    <w:p>
      <w:pPr>
        <w:pStyle w:val="6"/>
        <w:keepNext w:val="0"/>
        <w:keepLines w:val="0"/>
        <w:pageBreakBefore w:val="0"/>
        <w:widowControl/>
        <w:numPr>
          <w:ilvl w:val="0"/>
          <w:numId w:val="40"/>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XXXXXXXXXXXXXXXXXXXXXXXX</w:t>
      </w:r>
    </w:p>
    <w:p>
      <w:pPr>
        <w:pStyle w:val="6"/>
        <w:keepNext w:val="0"/>
        <w:keepLines w:val="0"/>
        <w:pageBreakBefore w:val="0"/>
        <w:widowControl/>
        <w:numPr>
          <w:ilvl w:val="0"/>
          <w:numId w:val="40"/>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服务要求</w:t>
      </w:r>
    </w:p>
    <w:p>
      <w:pPr>
        <w:pStyle w:val="6"/>
        <w:keepNext w:val="0"/>
        <w:keepLines w:val="0"/>
        <w:pageBreakBefore w:val="0"/>
        <w:widowControl/>
        <w:numPr>
          <w:ilvl w:val="0"/>
          <w:numId w:val="41"/>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XXXXXXXXXXXXXXXXXXXXXXXX</w:t>
      </w:r>
    </w:p>
    <w:p>
      <w:pPr>
        <w:pStyle w:val="6"/>
        <w:keepNext w:val="0"/>
        <w:keepLines w:val="0"/>
        <w:pageBreakBefore w:val="0"/>
        <w:widowControl/>
        <w:numPr>
          <w:ilvl w:val="0"/>
          <w:numId w:val="41"/>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服务期限</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本项目服务期限为XX年，从本合同签订生效之日起至XXXX年X月X日止。</w:t>
      </w:r>
      <w:r>
        <w:rPr>
          <w:rFonts w:hint="eastAsia" w:ascii="宋体" w:hAnsi="宋体" w:eastAsia="宋体" w:cs="宋体"/>
          <w:sz w:val="21"/>
          <w:szCs w:val="21"/>
          <w:highlight w:val="none"/>
        </w:rPr>
        <w:t>年度服务期满前两个月，乙方应主动向甲方申请对其本年度服务情况进行评审，经甲方综合考核评审服务达</w:t>
      </w:r>
      <w:r>
        <w:rPr>
          <w:rFonts w:hint="eastAsia" w:ascii="宋体" w:hAnsi="宋体" w:eastAsia="宋体" w:cs="宋体"/>
          <w:sz w:val="21"/>
          <w:szCs w:val="21"/>
          <w:highlight w:val="none"/>
          <w:lang w:val="en-US" w:eastAsia="zh-CN"/>
        </w:rPr>
        <w:t>到优良</w:t>
      </w:r>
      <w:r>
        <w:rPr>
          <w:rFonts w:hint="eastAsia" w:ascii="宋体" w:hAnsi="宋体" w:eastAsia="宋体" w:cs="宋体"/>
          <w:sz w:val="21"/>
          <w:szCs w:val="21"/>
          <w:highlight w:val="none"/>
        </w:rPr>
        <w:t>（综合得分≥80分），则执行下一年度服务合同。如综合考核评审服务未达</w:t>
      </w:r>
      <w:r>
        <w:rPr>
          <w:rFonts w:hint="eastAsia" w:ascii="宋体" w:hAnsi="宋体" w:eastAsia="宋体" w:cs="宋体"/>
          <w:sz w:val="21"/>
          <w:szCs w:val="21"/>
          <w:highlight w:val="none"/>
          <w:lang w:val="en-US" w:eastAsia="zh-CN"/>
        </w:rPr>
        <w:t>到优良</w:t>
      </w:r>
      <w:r>
        <w:rPr>
          <w:rFonts w:hint="eastAsia" w:ascii="宋体" w:hAnsi="宋体" w:eastAsia="宋体" w:cs="宋体"/>
          <w:sz w:val="21"/>
          <w:szCs w:val="21"/>
          <w:highlight w:val="none"/>
        </w:rPr>
        <w:t>，甲方有权终止下一年度服务合同。综合考核评审细则详见附件《</w:t>
      </w:r>
      <w:r>
        <w:rPr>
          <w:rFonts w:hint="eastAsia" w:ascii="宋体" w:hAnsi="宋体" w:eastAsia="宋体" w:cs="宋体"/>
          <w:sz w:val="21"/>
          <w:szCs w:val="21"/>
          <w:highlight w:val="none"/>
          <w:lang w:val="en-US" w:eastAsia="zh-CN"/>
        </w:rPr>
        <w:t>XXXX</w:t>
      </w:r>
      <w:r>
        <w:rPr>
          <w:rFonts w:hint="eastAsia" w:ascii="宋体" w:hAnsi="宋体" w:eastAsia="宋体" w:cs="宋体"/>
          <w:sz w:val="21"/>
          <w:szCs w:val="21"/>
          <w:highlight w:val="none"/>
        </w:rPr>
        <w:t>考核评审细则》。</w:t>
      </w:r>
    </w:p>
    <w:p>
      <w:pPr>
        <w:pStyle w:val="6"/>
        <w:numPr>
          <w:ilvl w:val="0"/>
          <w:numId w:val="37"/>
        </w:numPr>
        <w:spacing w:line="240" w:lineRule="auto"/>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合同金额及付款要求</w:t>
      </w:r>
    </w:p>
    <w:p>
      <w:pPr>
        <w:pStyle w:val="26"/>
        <w:numPr>
          <w:ilvl w:val="1"/>
          <w:numId w:val="42"/>
        </w:numPr>
        <w:spacing w:line="240" w:lineRule="auto"/>
        <w:ind w:left="5" w:firstLine="635" w:firstLineChars="0"/>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合同金额</w:t>
      </w:r>
    </w:p>
    <w:p>
      <w:pPr>
        <w:pStyle w:val="26"/>
        <w:numPr>
          <w:ilvl w:val="0"/>
          <w:numId w:val="43"/>
        </w:numPr>
        <w:spacing w:line="240" w:lineRule="auto"/>
        <w:ind w:firstLine="420" w:firstLineChars="200"/>
        <w:rPr>
          <w:rFonts w:hint="eastAsia" w:ascii="宋体" w:hAnsi="宋体" w:eastAsia="宋体" w:cs="宋体"/>
          <w:spacing w:val="-2"/>
          <w:sz w:val="21"/>
          <w:szCs w:val="21"/>
          <w:highlight w:val="none"/>
          <w:lang w:eastAsia="zh-CN"/>
        </w:rPr>
      </w:pPr>
      <w:r>
        <w:rPr>
          <w:rFonts w:hint="eastAsia" w:ascii="宋体" w:hAnsi="宋体" w:eastAsia="宋体" w:cs="宋体"/>
          <w:bCs/>
          <w:sz w:val="21"/>
          <w:szCs w:val="21"/>
          <w:highlight w:val="none"/>
        </w:rPr>
        <w:t>本项</w:t>
      </w:r>
      <w:r>
        <w:rPr>
          <w:rFonts w:hint="eastAsia" w:ascii="宋体" w:hAnsi="宋体" w:eastAsia="宋体" w:cs="宋体"/>
          <w:sz w:val="21"/>
          <w:szCs w:val="21"/>
          <w:highlight w:val="none"/>
        </w:rPr>
        <w:t>目合同金额</w:t>
      </w:r>
      <w:r>
        <w:rPr>
          <w:rFonts w:hint="eastAsia" w:ascii="宋体" w:hAnsi="宋体" w:eastAsia="宋体" w:cs="宋体"/>
          <w:bCs/>
          <w:sz w:val="21"/>
          <w:szCs w:val="21"/>
          <w:highlight w:val="none"/>
        </w:rPr>
        <w:t>为¥</w:t>
      </w:r>
      <w:r>
        <w:rPr>
          <w:rFonts w:hint="eastAsia" w:ascii="宋体" w:hAnsi="宋体" w:eastAsia="宋体" w:cs="宋体"/>
          <w:bCs/>
          <w:sz w:val="21"/>
          <w:szCs w:val="21"/>
          <w:highlight w:val="none"/>
          <w:lang w:val="en-US" w:eastAsia="zh-CN"/>
        </w:rPr>
        <w:t>XXX</w:t>
      </w:r>
      <w:r>
        <w:rPr>
          <w:rFonts w:hint="eastAsia" w:ascii="宋体" w:hAnsi="宋体" w:eastAsia="宋体" w:cs="宋体"/>
          <w:bCs/>
          <w:sz w:val="21"/>
          <w:szCs w:val="21"/>
          <w:highlight w:val="none"/>
        </w:rPr>
        <w:t>万元（</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lang w:val="en-US" w:eastAsia="zh-CN"/>
        </w:rPr>
        <w:t>XXXX</w:t>
      </w:r>
      <w:r>
        <w:rPr>
          <w:rFonts w:hint="eastAsia" w:ascii="宋体" w:hAnsi="宋体" w:eastAsia="宋体" w:cs="宋体"/>
          <w:sz w:val="21"/>
          <w:szCs w:val="21"/>
          <w:highlight w:val="none"/>
          <w:u w:val="single"/>
        </w:rPr>
        <w:t xml:space="preserve">元整 </w:t>
      </w:r>
      <w:r>
        <w:rPr>
          <w:rFonts w:hint="eastAsia" w:ascii="宋体" w:hAnsi="宋体" w:eastAsia="宋体" w:cs="宋体"/>
          <w:sz w:val="21"/>
          <w:szCs w:val="21"/>
          <w:highlight w:val="none"/>
        </w:rPr>
        <w:t>），税率</w:t>
      </w:r>
      <w:r>
        <w:rPr>
          <w:rFonts w:hint="eastAsia" w:ascii="宋体" w:hAnsi="宋体" w:eastAsia="宋体" w:cs="宋体"/>
          <w:sz w:val="21"/>
          <w:szCs w:val="21"/>
          <w:highlight w:val="none"/>
          <w:lang w:val="en-US" w:eastAsia="zh-CN"/>
        </w:rPr>
        <w:t>为X</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lang w:eastAsia="zh-CN"/>
        </w:rPr>
        <w:t>。</w:t>
      </w:r>
    </w:p>
    <w:p>
      <w:pPr>
        <w:pStyle w:val="26"/>
        <w:numPr>
          <w:ilvl w:val="0"/>
          <w:numId w:val="43"/>
        </w:numPr>
        <w:spacing w:line="240" w:lineRule="auto"/>
        <w:ind w:firstLine="420" w:firstLineChars="200"/>
        <w:rPr>
          <w:rFonts w:hint="eastAsia" w:ascii="宋体" w:hAnsi="宋体" w:eastAsia="宋体" w:cs="宋体"/>
          <w:spacing w:val="-2"/>
          <w:sz w:val="21"/>
          <w:szCs w:val="21"/>
          <w:highlight w:val="none"/>
          <w:lang w:eastAsia="zh-CN"/>
        </w:rPr>
      </w:pPr>
      <w:r>
        <w:rPr>
          <w:rFonts w:hint="eastAsia" w:ascii="宋体" w:hAnsi="宋体" w:eastAsia="宋体" w:cs="宋体"/>
          <w:bCs/>
          <w:sz w:val="21"/>
          <w:szCs w:val="21"/>
          <w:highlight w:val="none"/>
        </w:rPr>
        <w:t>以上金额已经包含项目费用开具增值税专用发票所产生的税费及乙方</w:t>
      </w:r>
      <w:r>
        <w:rPr>
          <w:rFonts w:hint="eastAsia" w:ascii="宋体" w:hAnsi="宋体" w:eastAsia="宋体" w:cs="宋体"/>
          <w:bCs/>
          <w:sz w:val="21"/>
          <w:szCs w:val="21"/>
          <w:highlight w:val="none"/>
          <w:lang w:val="en-US" w:eastAsia="zh-CN"/>
        </w:rPr>
        <w:t>完成本项目服务所发生的</w:t>
      </w:r>
      <w:r>
        <w:rPr>
          <w:rFonts w:hint="eastAsia" w:ascii="宋体" w:hAnsi="宋体" w:eastAsia="宋体" w:cs="宋体"/>
          <w:sz w:val="21"/>
          <w:szCs w:val="21"/>
          <w:highlight w:val="none"/>
        </w:rPr>
        <w:t>全部费用</w:t>
      </w:r>
      <w:r>
        <w:rPr>
          <w:rFonts w:hint="eastAsia" w:ascii="宋体" w:hAnsi="宋体" w:eastAsia="宋体" w:cs="宋体"/>
          <w:sz w:val="21"/>
          <w:szCs w:val="21"/>
          <w:highlight w:val="none"/>
          <w:lang w:eastAsia="zh-CN"/>
        </w:rPr>
        <w:t>。</w:t>
      </w:r>
    </w:p>
    <w:p>
      <w:pPr>
        <w:pStyle w:val="26"/>
        <w:numPr>
          <w:ilvl w:val="1"/>
          <w:numId w:val="42"/>
        </w:numPr>
        <w:spacing w:line="240" w:lineRule="auto"/>
        <w:ind w:left="5" w:firstLine="635" w:firstLineChars="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付款要求</w:t>
      </w:r>
    </w:p>
    <w:p>
      <w:pPr>
        <w:pStyle w:val="26"/>
        <w:numPr>
          <w:ilvl w:val="0"/>
          <w:numId w:val="44"/>
        </w:numPr>
        <w:spacing w:line="240" w:lineRule="auto"/>
        <w:ind w:left="0" w:firstLine="640" w:firstLineChars="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rPr>
        <w:t>合同签订</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乙方完成XXX</w:t>
      </w:r>
      <w:r>
        <w:rPr>
          <w:rFonts w:hint="eastAsia" w:ascii="宋体" w:hAnsi="宋体" w:eastAsia="宋体" w:cs="宋体"/>
          <w:spacing w:val="-2"/>
          <w:sz w:val="21"/>
          <w:szCs w:val="21"/>
          <w:highlight w:val="none"/>
        </w:rPr>
        <w:t>后</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rPr>
        <w:t>15个工作日内甲方</w:t>
      </w:r>
      <w:r>
        <w:rPr>
          <w:rFonts w:hint="eastAsia" w:ascii="宋体" w:hAnsi="宋体" w:eastAsia="宋体" w:cs="宋体"/>
          <w:spacing w:val="-2"/>
          <w:sz w:val="21"/>
          <w:szCs w:val="21"/>
          <w:highlight w:val="none"/>
          <w:lang w:val="en-US" w:eastAsia="zh-CN"/>
        </w:rPr>
        <w:t>向</w:t>
      </w:r>
      <w:r>
        <w:rPr>
          <w:rFonts w:hint="eastAsia" w:ascii="宋体" w:hAnsi="宋体" w:eastAsia="宋体" w:cs="宋体"/>
          <w:spacing w:val="-2"/>
          <w:sz w:val="21"/>
          <w:szCs w:val="21"/>
          <w:highlight w:val="none"/>
        </w:rPr>
        <w:t>乙方支付合同金额</w:t>
      </w:r>
      <w:r>
        <w:rPr>
          <w:rFonts w:hint="eastAsia" w:ascii="宋体" w:hAnsi="宋体" w:eastAsia="宋体" w:cs="宋体"/>
          <w:spacing w:val="-2"/>
          <w:sz w:val="21"/>
          <w:szCs w:val="21"/>
          <w:highlight w:val="none"/>
          <w:lang w:val="en-US" w:eastAsia="zh-CN"/>
        </w:rPr>
        <w:t>XX</w:t>
      </w:r>
      <w:r>
        <w:rPr>
          <w:rFonts w:hint="eastAsia" w:ascii="宋体" w:hAnsi="宋体" w:eastAsia="宋体" w:cs="宋体"/>
          <w:spacing w:val="-2"/>
          <w:sz w:val="21"/>
          <w:szCs w:val="21"/>
          <w:highlight w:val="none"/>
        </w:rPr>
        <w:t>％款项，即人民币</w:t>
      </w:r>
      <w:r>
        <w:rPr>
          <w:rFonts w:hint="eastAsia" w:ascii="宋体" w:hAnsi="宋体" w:eastAsia="宋体" w:cs="宋体"/>
          <w:spacing w:val="-2"/>
          <w:sz w:val="21"/>
          <w:szCs w:val="21"/>
          <w:highlight w:val="none"/>
          <w:lang w:val="en-US" w:eastAsia="zh-CN"/>
        </w:rPr>
        <w:t>XXXX</w:t>
      </w:r>
      <w:r>
        <w:rPr>
          <w:rFonts w:hint="eastAsia" w:ascii="宋体" w:hAnsi="宋体" w:eastAsia="宋体" w:cs="宋体"/>
          <w:spacing w:val="-2"/>
          <w:sz w:val="21"/>
          <w:szCs w:val="21"/>
          <w:highlight w:val="none"/>
        </w:rPr>
        <w:t>元（大写：</w:t>
      </w:r>
      <w:r>
        <w:rPr>
          <w:rFonts w:hint="eastAsia" w:ascii="宋体" w:hAnsi="宋体" w:eastAsia="宋体" w:cs="宋体"/>
          <w:spacing w:val="-2"/>
          <w:sz w:val="21"/>
          <w:szCs w:val="21"/>
          <w:highlight w:val="none"/>
          <w:lang w:val="en-US" w:eastAsia="zh-CN"/>
        </w:rPr>
        <w:t>XXXX</w:t>
      </w:r>
      <w:r>
        <w:rPr>
          <w:rFonts w:hint="eastAsia" w:ascii="宋体" w:hAnsi="宋体" w:eastAsia="宋体" w:cs="宋体"/>
          <w:spacing w:val="-2"/>
          <w:sz w:val="21"/>
          <w:szCs w:val="21"/>
          <w:highlight w:val="none"/>
        </w:rPr>
        <w:t>元整）；</w:t>
      </w:r>
    </w:p>
    <w:p>
      <w:pPr>
        <w:pStyle w:val="26"/>
        <w:numPr>
          <w:ilvl w:val="0"/>
          <w:numId w:val="44"/>
        </w:numPr>
        <w:spacing w:line="240" w:lineRule="auto"/>
        <w:ind w:left="0" w:firstLine="640" w:firstLineChars="0"/>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rPr>
        <w:t>完成本项目所有服务内容并经甲方验收合格且完成违约责任清算后，甲方支付本项目剩余款项。</w:t>
      </w:r>
    </w:p>
    <w:p>
      <w:pPr>
        <w:pStyle w:val="26"/>
        <w:numPr>
          <w:ilvl w:val="0"/>
          <w:numId w:val="44"/>
        </w:numPr>
        <w:spacing w:line="240" w:lineRule="auto"/>
        <w:ind w:left="0" w:firstLine="64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甲方办理合同款项支付前，乙方需</w:t>
      </w:r>
      <w:r>
        <w:rPr>
          <w:rFonts w:hint="eastAsia" w:ascii="宋体" w:hAnsi="宋体" w:eastAsia="宋体" w:cs="宋体"/>
          <w:sz w:val="21"/>
          <w:szCs w:val="21"/>
          <w:highlight w:val="none"/>
          <w:lang w:val="en-US" w:eastAsia="zh-CN"/>
        </w:rPr>
        <w:t>先向甲方</w:t>
      </w:r>
      <w:r>
        <w:rPr>
          <w:rFonts w:hint="eastAsia" w:ascii="宋体" w:hAnsi="宋体" w:eastAsia="宋体" w:cs="宋体"/>
          <w:sz w:val="21"/>
          <w:szCs w:val="21"/>
          <w:highlight w:val="none"/>
        </w:rPr>
        <w:t>提供全额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等额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合法有效的增值税专用发票。</w:t>
      </w:r>
    </w:p>
    <w:p>
      <w:pPr>
        <w:pStyle w:val="6"/>
        <w:numPr>
          <w:ilvl w:val="0"/>
          <w:numId w:val="37"/>
        </w:numPr>
        <w:spacing w:line="240" w:lineRule="auto"/>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验收标准</w:t>
      </w:r>
    </w:p>
    <w:p>
      <w:pPr>
        <w:pStyle w:val="6"/>
        <w:numPr>
          <w:ilvl w:val="0"/>
          <w:numId w:val="45"/>
        </w:numPr>
        <w:spacing w:line="240" w:lineRule="auto"/>
        <w:ind w:left="522"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XXXXXXXXXXXXXXXXXXXXXXXX</w:t>
      </w:r>
    </w:p>
    <w:p>
      <w:pPr>
        <w:pStyle w:val="6"/>
        <w:numPr>
          <w:ilvl w:val="0"/>
          <w:numId w:val="45"/>
        </w:numPr>
        <w:spacing w:line="240" w:lineRule="auto"/>
        <w:ind w:left="522" w:leftChars="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eastAsia="宋体" w:cs="宋体"/>
          <w:kern w:val="0"/>
          <w:sz w:val="21"/>
          <w:szCs w:val="21"/>
          <w:highlight w:val="none"/>
          <w:lang w:val="en-US" w:eastAsia="zh-CN"/>
        </w:rPr>
        <w:t>.....</w:t>
      </w:r>
    </w:p>
    <w:p>
      <w:pPr>
        <w:pStyle w:val="6"/>
        <w:numPr>
          <w:ilvl w:val="0"/>
          <w:numId w:val="37"/>
        </w:numPr>
        <w:spacing w:line="240" w:lineRule="auto"/>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双方权利与义务</w:t>
      </w:r>
    </w:p>
    <w:p>
      <w:pPr>
        <w:pStyle w:val="6"/>
        <w:numPr>
          <w:ilvl w:val="0"/>
          <w:numId w:val="46"/>
        </w:numPr>
        <w:spacing w:line="240" w:lineRule="auto"/>
        <w:ind w:left="522"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甲方权利与义务</w:t>
      </w:r>
    </w:p>
    <w:p>
      <w:pPr>
        <w:pStyle w:val="6"/>
        <w:numPr>
          <w:ilvl w:val="0"/>
          <w:numId w:val="47"/>
        </w:numPr>
        <w:spacing w:line="240" w:lineRule="auto"/>
        <w:ind w:left="522"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XXXXXXXXXXXXXXXXXXXXXXXXXX</w:t>
      </w:r>
    </w:p>
    <w:p>
      <w:pPr>
        <w:pStyle w:val="6"/>
        <w:numPr>
          <w:ilvl w:val="0"/>
          <w:numId w:val="47"/>
        </w:numPr>
        <w:spacing w:line="240" w:lineRule="auto"/>
        <w:ind w:left="522"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p>
    <w:p>
      <w:pPr>
        <w:pStyle w:val="6"/>
        <w:numPr>
          <w:ilvl w:val="0"/>
          <w:numId w:val="46"/>
        </w:numPr>
        <w:spacing w:line="240" w:lineRule="auto"/>
        <w:ind w:left="522"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乙方权利与义务</w:t>
      </w:r>
    </w:p>
    <w:p>
      <w:pPr>
        <w:pStyle w:val="6"/>
        <w:numPr>
          <w:ilvl w:val="0"/>
          <w:numId w:val="48"/>
        </w:numPr>
        <w:spacing w:line="240" w:lineRule="auto"/>
        <w:ind w:left="0" w:leftChars="0" w:firstLine="310" w:firstLineChars="15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XXXXXXXXXXXXXXXXXXXXXXXXXX</w:t>
      </w:r>
    </w:p>
    <w:p>
      <w:pPr>
        <w:pStyle w:val="6"/>
        <w:numPr>
          <w:ilvl w:val="0"/>
          <w:numId w:val="48"/>
        </w:numPr>
        <w:spacing w:line="240" w:lineRule="auto"/>
        <w:ind w:left="0" w:leftChars="0" w:firstLine="310" w:firstLineChars="15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p>
    <w:p>
      <w:pPr>
        <w:pStyle w:val="6"/>
        <w:numPr>
          <w:ilvl w:val="0"/>
          <w:numId w:val="37"/>
        </w:numPr>
        <w:spacing w:line="240" w:lineRule="auto"/>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处罚标准（如有）</w:t>
      </w:r>
    </w:p>
    <w:p>
      <w:pPr>
        <w:pStyle w:val="6"/>
        <w:numPr>
          <w:ilvl w:val="0"/>
          <w:numId w:val="49"/>
        </w:numPr>
        <w:spacing w:line="240" w:lineRule="auto"/>
        <w:ind w:left="0" w:leftChars="0" w:firstLine="310" w:firstLineChars="15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XXXXXXXXXXXXXXXXXXXXXXXXXX</w:t>
      </w:r>
    </w:p>
    <w:p>
      <w:pPr>
        <w:pStyle w:val="6"/>
        <w:numPr>
          <w:ilvl w:val="0"/>
          <w:numId w:val="49"/>
        </w:numPr>
        <w:spacing w:line="240" w:lineRule="auto"/>
        <w:ind w:left="0" w:leftChars="0" w:firstLine="310" w:firstLineChars="155"/>
        <w:rPr>
          <w:rFonts w:hint="eastAsia" w:ascii="宋体" w:hAnsi="宋体" w:eastAsia="宋体" w:cs="宋体"/>
          <w:b/>
          <w:bCs/>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p>
    <w:p>
      <w:pPr>
        <w:pStyle w:val="6"/>
        <w:numPr>
          <w:ilvl w:val="0"/>
          <w:numId w:val="37"/>
        </w:numPr>
        <w:spacing w:line="240" w:lineRule="auto"/>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知识产权归属（如有）</w:t>
      </w:r>
    </w:p>
    <w:p>
      <w:pPr>
        <w:pStyle w:val="6"/>
        <w:numPr>
          <w:ilvl w:val="0"/>
          <w:numId w:val="50"/>
        </w:numPr>
        <w:spacing w:line="240" w:lineRule="auto"/>
        <w:ind w:left="0" w:leftChars="0" w:firstLine="310" w:firstLineChars="15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XXXXXXXXXXXXXXXXXXXXXXXXXX</w:t>
      </w:r>
    </w:p>
    <w:p>
      <w:pPr>
        <w:pStyle w:val="6"/>
        <w:numPr>
          <w:ilvl w:val="0"/>
          <w:numId w:val="50"/>
        </w:numPr>
        <w:spacing w:line="240" w:lineRule="auto"/>
        <w:ind w:left="0" w:leftChars="0" w:firstLine="310" w:firstLineChars="155"/>
        <w:rPr>
          <w:rFonts w:hint="eastAsia" w:ascii="宋体" w:hAnsi="宋体" w:eastAsia="宋体" w:cs="宋体"/>
          <w:b/>
          <w:bCs/>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p>
    <w:p>
      <w:pPr>
        <w:pStyle w:val="6"/>
        <w:numPr>
          <w:ilvl w:val="0"/>
          <w:numId w:val="37"/>
        </w:numPr>
        <w:ind w:left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违约责任</w:t>
      </w:r>
    </w:p>
    <w:p>
      <w:pPr>
        <w:numPr>
          <w:ilvl w:val="0"/>
          <w:numId w:val="51"/>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甲乙双方任何一方违反约定事项造成对方实际损失的，应在</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天内向对方支付年度合同金额</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%的赔偿金和违约金</w:t>
      </w:r>
      <w:r>
        <w:rPr>
          <w:rFonts w:hint="eastAsia" w:ascii="宋体" w:hAnsi="宋体" w:eastAsia="宋体" w:cs="宋体"/>
          <w:sz w:val="21"/>
          <w:szCs w:val="21"/>
        </w:rPr>
        <w:t>。</w:t>
      </w:r>
    </w:p>
    <w:p>
      <w:pPr>
        <w:numPr>
          <w:ilvl w:val="0"/>
          <w:numId w:val="51"/>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乙方因存在重大过错且造成甲方损失的，应当向甲方赔偿，赔偿金额不低于乙方因过错给甲方造成的损失金额</w:t>
      </w:r>
      <w:r>
        <w:rPr>
          <w:rFonts w:hint="eastAsia" w:ascii="宋体" w:hAnsi="宋体" w:eastAsia="宋体" w:cs="宋体"/>
          <w:sz w:val="21"/>
          <w:szCs w:val="21"/>
          <w:highlight w:val="none"/>
        </w:rPr>
        <w:t>，赔偿范围包括甲方实际损失、诉讼费、律师费、公证费、鉴定费等全部维权费用</w:t>
      </w:r>
      <w:r>
        <w:rPr>
          <w:rFonts w:hint="eastAsia" w:ascii="宋体" w:hAnsi="宋体" w:eastAsia="宋体" w:cs="宋体"/>
          <w:sz w:val="21"/>
          <w:szCs w:val="21"/>
        </w:rPr>
        <w:t>。</w:t>
      </w:r>
    </w:p>
    <w:p>
      <w:pPr>
        <w:pStyle w:val="6"/>
        <w:numPr>
          <w:ilvl w:val="0"/>
          <w:numId w:val="37"/>
        </w:numPr>
        <w:ind w:left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合同变更、终止</w:t>
      </w:r>
    </w:p>
    <w:p>
      <w:pPr>
        <w:numPr>
          <w:ilvl w:val="0"/>
          <w:numId w:val="52"/>
        </w:numPr>
        <w:snapToGrid w:val="0"/>
        <w:spacing w:line="360" w:lineRule="auto"/>
        <w:ind w:firstLine="640"/>
        <w:rPr>
          <w:rFonts w:hint="eastAsia" w:ascii="宋体" w:hAnsi="宋体" w:eastAsia="宋体" w:cs="宋体"/>
          <w:sz w:val="21"/>
          <w:szCs w:val="21"/>
        </w:rPr>
      </w:pPr>
      <w:r>
        <w:rPr>
          <w:rFonts w:hint="eastAsia" w:ascii="宋体" w:hAnsi="宋体" w:eastAsia="宋体" w:cs="宋体"/>
          <w:sz w:val="21"/>
          <w:szCs w:val="21"/>
        </w:rPr>
        <w:t>如果出现不可预见的情形，影响</w:t>
      </w:r>
      <w:r>
        <w:rPr>
          <w:rFonts w:hint="eastAsia" w:ascii="宋体" w:hAnsi="宋体" w:eastAsia="宋体" w:cs="宋体"/>
          <w:sz w:val="21"/>
          <w:szCs w:val="21"/>
          <w:lang w:val="en-US" w:eastAsia="zh-CN"/>
        </w:rPr>
        <w:t>本合同项下相关服务的执行</w:t>
      </w:r>
      <w:r>
        <w:rPr>
          <w:rFonts w:hint="eastAsia" w:ascii="宋体" w:hAnsi="宋体" w:eastAsia="宋体" w:cs="宋体"/>
          <w:sz w:val="21"/>
          <w:szCs w:val="21"/>
        </w:rPr>
        <w:t>时，甲乙双方均可要求变更约定事项，但应提前通知对方，并由双方协商解决。</w:t>
      </w:r>
    </w:p>
    <w:p>
      <w:pPr>
        <w:numPr>
          <w:ilvl w:val="0"/>
          <w:numId w:val="52"/>
        </w:numPr>
        <w:snapToGrid w:val="0"/>
        <w:spacing w:line="360" w:lineRule="auto"/>
        <w:ind w:firstLine="640"/>
        <w:rPr>
          <w:rFonts w:hint="eastAsia" w:ascii="宋体" w:hAnsi="宋体" w:eastAsia="宋体" w:cs="宋体"/>
          <w:sz w:val="21"/>
          <w:szCs w:val="21"/>
        </w:rPr>
      </w:pPr>
      <w:r>
        <w:rPr>
          <w:rFonts w:hint="eastAsia" w:ascii="宋体" w:hAnsi="宋体" w:eastAsia="宋体" w:cs="宋体"/>
          <w:sz w:val="21"/>
          <w:szCs w:val="21"/>
        </w:rPr>
        <w:t>本合同签订后，双方应当按约履行，不得无故终止。如遇法定情形或特殊原因确需终止的,提出终止的一方应提前书面通知另一方。</w:t>
      </w:r>
    </w:p>
    <w:p>
      <w:pPr>
        <w:numPr>
          <w:ilvl w:val="0"/>
          <w:numId w:val="52"/>
        </w:numPr>
        <w:snapToGrid w:val="0"/>
        <w:spacing w:line="360" w:lineRule="auto"/>
        <w:ind w:firstLine="64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highlight w:val="none"/>
        </w:rPr>
        <w:t>甲方因自身原因单方</w:t>
      </w:r>
      <w:r>
        <w:rPr>
          <w:rFonts w:hint="eastAsia" w:ascii="宋体" w:hAnsi="宋体" w:eastAsia="宋体" w:cs="宋体"/>
          <w:sz w:val="21"/>
          <w:szCs w:val="21"/>
        </w:rPr>
        <w:t>终止</w:t>
      </w:r>
      <w:r>
        <w:rPr>
          <w:rFonts w:hint="eastAsia" w:ascii="宋体" w:hAnsi="宋体" w:eastAsia="宋体" w:cs="宋体"/>
          <w:sz w:val="21"/>
          <w:szCs w:val="21"/>
          <w:lang w:val="en-US" w:eastAsia="zh-CN"/>
        </w:rPr>
        <w:t>本合同</w:t>
      </w:r>
      <w:r>
        <w:rPr>
          <w:rFonts w:hint="eastAsia" w:ascii="宋体" w:hAnsi="宋体" w:eastAsia="宋体" w:cs="宋体"/>
          <w:sz w:val="21"/>
          <w:szCs w:val="21"/>
        </w:rPr>
        <w:t>的情况下，</w:t>
      </w:r>
      <w:r>
        <w:rPr>
          <w:rFonts w:hint="eastAsia" w:ascii="宋体" w:hAnsi="宋体" w:eastAsia="宋体" w:cs="宋体"/>
          <w:sz w:val="21"/>
          <w:szCs w:val="21"/>
          <w:lang w:eastAsia="zh-CN"/>
        </w:rPr>
        <w:t>乙方</w:t>
      </w:r>
      <w:r>
        <w:rPr>
          <w:rFonts w:hint="eastAsia" w:ascii="宋体" w:hAnsi="宋体" w:eastAsia="宋体" w:cs="宋体"/>
          <w:sz w:val="21"/>
          <w:szCs w:val="21"/>
        </w:rPr>
        <w:t>因如约履行本项目合同且已实际发生的直接费用，</w:t>
      </w:r>
      <w:r>
        <w:rPr>
          <w:rFonts w:hint="eastAsia" w:ascii="宋体" w:hAnsi="宋体" w:eastAsia="宋体" w:cs="宋体"/>
          <w:sz w:val="21"/>
          <w:szCs w:val="21"/>
          <w:lang w:eastAsia="zh-CN"/>
        </w:rPr>
        <w:t>甲方</w:t>
      </w:r>
      <w:r>
        <w:rPr>
          <w:rFonts w:hint="eastAsia" w:ascii="宋体" w:hAnsi="宋体" w:eastAsia="宋体" w:cs="宋体"/>
          <w:sz w:val="21"/>
          <w:szCs w:val="21"/>
        </w:rPr>
        <w:t>可按实予以结算。同时，</w:t>
      </w:r>
      <w:r>
        <w:rPr>
          <w:rFonts w:hint="eastAsia" w:ascii="宋体" w:hAnsi="宋体" w:eastAsia="宋体" w:cs="宋体"/>
          <w:sz w:val="21"/>
          <w:szCs w:val="21"/>
          <w:lang w:eastAsia="zh-CN"/>
        </w:rPr>
        <w:t>甲方</w:t>
      </w:r>
      <w:r>
        <w:rPr>
          <w:rFonts w:hint="eastAsia" w:ascii="宋体" w:hAnsi="宋体" w:eastAsia="宋体" w:cs="宋体"/>
          <w:sz w:val="21"/>
          <w:szCs w:val="21"/>
        </w:rPr>
        <w:t>不再承担</w:t>
      </w:r>
      <w:r>
        <w:rPr>
          <w:rFonts w:hint="eastAsia" w:ascii="宋体" w:hAnsi="宋体" w:eastAsia="宋体" w:cs="宋体"/>
          <w:sz w:val="21"/>
          <w:szCs w:val="21"/>
          <w:lang w:eastAsia="zh-CN"/>
        </w:rPr>
        <w:t>乙方</w:t>
      </w:r>
      <w:r>
        <w:rPr>
          <w:rFonts w:hint="eastAsia" w:ascii="宋体" w:hAnsi="宋体" w:eastAsia="宋体" w:cs="宋体"/>
          <w:sz w:val="21"/>
          <w:szCs w:val="21"/>
        </w:rPr>
        <w:t>由此造成的其他间接费用和损失，</w:t>
      </w:r>
      <w:r>
        <w:rPr>
          <w:rFonts w:hint="eastAsia" w:ascii="宋体" w:hAnsi="宋体" w:eastAsia="宋体" w:cs="宋体"/>
          <w:sz w:val="21"/>
          <w:szCs w:val="21"/>
          <w:lang w:eastAsia="zh-CN"/>
        </w:rPr>
        <w:t>乙方</w:t>
      </w:r>
      <w:r>
        <w:rPr>
          <w:rFonts w:hint="eastAsia" w:ascii="宋体" w:hAnsi="宋体" w:eastAsia="宋体" w:cs="宋体"/>
          <w:sz w:val="21"/>
          <w:szCs w:val="21"/>
        </w:rPr>
        <w:t>亦不得再就上述事项进行任何形式的索赔。</w:t>
      </w:r>
    </w:p>
    <w:p>
      <w:pPr>
        <w:pStyle w:val="6"/>
        <w:ind w:left="0" w:leftChars="0" w:firstLine="474" w:firstLineChars="237"/>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在乙方因自身原因单方终止本合同的情况下，乙方须退回甲方已经支付的本合同项下乙方未完成和未开始实施项相关费用。</w:t>
      </w:r>
    </w:p>
    <w:p>
      <w:pPr>
        <w:pStyle w:val="6"/>
        <w:numPr>
          <w:ilvl w:val="0"/>
          <w:numId w:val="37"/>
        </w:numPr>
        <w:ind w:left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保密条款</w:t>
      </w:r>
    </w:p>
    <w:p>
      <w:pPr>
        <w:pStyle w:val="6"/>
        <w:numPr>
          <w:ilvl w:val="0"/>
          <w:numId w:val="0"/>
        </w:numPr>
        <w:ind w:firstLine="400" w:firstLineChars="200"/>
        <w:rPr>
          <w:rFonts w:hint="eastAsia" w:ascii="宋体" w:hAnsi="宋体" w:eastAsia="宋体" w:cs="宋体"/>
          <w:sz w:val="21"/>
          <w:szCs w:val="21"/>
          <w:lang w:val="en-US" w:eastAsia="zh-CN"/>
        </w:rPr>
      </w:pPr>
      <w:r>
        <w:rPr>
          <w:rFonts w:hint="eastAsia" w:ascii="宋体" w:hAnsi="宋体" w:eastAsia="宋体" w:cs="宋体"/>
          <w:sz w:val="21"/>
          <w:szCs w:val="21"/>
        </w:rPr>
        <w:t>甲乙双方必须严格</w:t>
      </w:r>
      <w:r>
        <w:rPr>
          <w:rFonts w:hint="eastAsia" w:ascii="宋体" w:hAnsi="宋体" w:eastAsia="宋体" w:cs="宋体"/>
          <w:sz w:val="21"/>
          <w:szCs w:val="21"/>
          <w:lang w:val="en-US" w:eastAsia="zh-CN"/>
        </w:rPr>
        <w:t>保</w:t>
      </w:r>
      <w:r>
        <w:rPr>
          <w:rFonts w:hint="eastAsia" w:ascii="宋体" w:hAnsi="宋体" w:eastAsia="宋体" w:cs="宋体"/>
          <w:sz w:val="21"/>
          <w:szCs w:val="21"/>
        </w:rPr>
        <w:t>守对方机密，任何一方不得以任何理由和方式泄露项目内容和企业机密。对于乙方所知悉的甲方的商业秘密、商业机会等一切经营信息，乙方</w:t>
      </w:r>
      <w:r>
        <w:rPr>
          <w:rFonts w:hint="eastAsia" w:ascii="宋体" w:hAnsi="宋体" w:eastAsia="宋体" w:cs="宋体"/>
          <w:sz w:val="21"/>
          <w:szCs w:val="21"/>
          <w:lang w:val="en-US" w:eastAsia="zh-CN"/>
        </w:rPr>
        <w:t>须</w:t>
      </w:r>
      <w:r>
        <w:rPr>
          <w:rFonts w:hint="eastAsia" w:ascii="宋体" w:hAnsi="宋体" w:eastAsia="宋体" w:cs="宋体"/>
          <w:sz w:val="21"/>
          <w:szCs w:val="21"/>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1"/>
          <w:szCs w:val="21"/>
          <w:lang w:val="en-US" w:eastAsia="zh-CN"/>
        </w:rPr>
        <w:t>均</w:t>
      </w:r>
      <w:r>
        <w:rPr>
          <w:rFonts w:hint="eastAsia" w:ascii="宋体" w:hAnsi="宋体" w:eastAsia="宋体" w:cs="宋体"/>
          <w:sz w:val="21"/>
          <w:szCs w:val="21"/>
        </w:rPr>
        <w:t>约束双方。任何一方违反前述约定，守约方有权追究违约方违约责任。</w:t>
      </w:r>
    </w:p>
    <w:p>
      <w:pPr>
        <w:pStyle w:val="6"/>
        <w:numPr>
          <w:ilvl w:val="0"/>
          <w:numId w:val="37"/>
        </w:numPr>
        <w:ind w:left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不可抗力</w:t>
      </w:r>
    </w:p>
    <w:p>
      <w:pPr>
        <w:pStyle w:val="26"/>
        <w:numPr>
          <w:ilvl w:val="0"/>
          <w:numId w:val="53"/>
        </w:numPr>
        <w:spacing w:line="500" w:lineRule="exact"/>
        <w:ind w:left="0" w:leftChars="0" w:firstLine="476" w:firstLineChars="227"/>
        <w:rPr>
          <w:rFonts w:hint="eastAsia" w:ascii="宋体" w:hAnsi="宋体" w:eastAsia="宋体" w:cs="宋体"/>
          <w:sz w:val="21"/>
          <w:szCs w:val="21"/>
        </w:rPr>
      </w:pPr>
      <w:r>
        <w:rPr>
          <w:rFonts w:hint="eastAsia" w:ascii="宋体" w:hAnsi="宋体" w:eastAsia="宋体" w:cs="宋体"/>
          <w:sz w:val="21"/>
          <w:szCs w:val="21"/>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1"/>
          <w:szCs w:val="21"/>
          <w:lang w:eastAsia="zh-CN"/>
        </w:rPr>
        <w:t>。</w:t>
      </w:r>
    </w:p>
    <w:p>
      <w:pPr>
        <w:pStyle w:val="26"/>
        <w:numPr>
          <w:ilvl w:val="0"/>
          <w:numId w:val="53"/>
        </w:numPr>
        <w:spacing w:line="500" w:lineRule="exact"/>
        <w:ind w:left="0" w:leftChars="0" w:firstLine="476" w:firstLineChars="227"/>
        <w:rPr>
          <w:rFonts w:hint="eastAsia" w:ascii="宋体" w:hAnsi="宋体" w:eastAsia="宋体" w:cs="宋体"/>
          <w:sz w:val="21"/>
          <w:szCs w:val="21"/>
        </w:rPr>
      </w:pPr>
      <w:r>
        <w:rPr>
          <w:rFonts w:hint="eastAsia" w:ascii="宋体" w:hAnsi="宋体" w:eastAsia="宋体" w:cs="宋体"/>
          <w:sz w:val="21"/>
          <w:szCs w:val="21"/>
        </w:rPr>
        <w:t>本合同项下的不可抗力是指：无法预见、无法避免且无法克服的客观事实，包括但不限于</w:t>
      </w:r>
      <w:r>
        <w:rPr>
          <w:rFonts w:hint="eastAsia" w:ascii="宋体" w:hAnsi="宋体" w:eastAsia="宋体" w:cs="宋体"/>
          <w:bCs/>
          <w:sz w:val="21"/>
          <w:szCs w:val="21"/>
        </w:rPr>
        <w:t>战争、罢工、倒闭、暴乱、疾病蔓延、戒严令、火灾、洪水、暴风雨、干旱、火山爆发、爆炸、核或化学事件或辐射、海啸、任何自然灾害</w:t>
      </w:r>
      <w:r>
        <w:rPr>
          <w:rFonts w:hint="eastAsia" w:ascii="宋体" w:hAnsi="宋体" w:eastAsia="宋体" w:cs="宋体"/>
          <w:sz w:val="21"/>
          <w:szCs w:val="21"/>
        </w:rPr>
        <w:t>等。</w:t>
      </w:r>
    </w:p>
    <w:p>
      <w:pPr>
        <w:pStyle w:val="6"/>
        <w:numPr>
          <w:ilvl w:val="0"/>
          <w:numId w:val="37"/>
        </w:numPr>
        <w:ind w:left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争议解决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因本合同有关的任何纠纷或争议，双方应协商解决。协商不成的，双方均可向</w:t>
      </w:r>
      <w:r>
        <w:rPr>
          <w:rFonts w:hint="eastAsia" w:ascii="宋体" w:hAnsi="宋体" w:eastAsia="宋体" w:cs="宋体"/>
          <w:sz w:val="21"/>
          <w:szCs w:val="21"/>
          <w:highlight w:val="none"/>
        </w:rPr>
        <w:t>甲方所在地</w:t>
      </w:r>
      <w:r>
        <w:rPr>
          <w:rFonts w:hint="eastAsia" w:ascii="宋体" w:hAnsi="宋体" w:eastAsia="宋体" w:cs="宋体"/>
          <w:sz w:val="21"/>
          <w:szCs w:val="21"/>
        </w:rPr>
        <w:t>的人民法院提起诉讼。</w:t>
      </w:r>
    </w:p>
    <w:p>
      <w:pPr>
        <w:pStyle w:val="6"/>
        <w:numPr>
          <w:ilvl w:val="0"/>
          <w:numId w:val="37"/>
        </w:numPr>
        <w:ind w:left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其他条款</w:t>
      </w:r>
    </w:p>
    <w:p>
      <w:pPr>
        <w:numPr>
          <w:ilvl w:val="0"/>
          <w:numId w:val="54"/>
        </w:num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本合同经双方代表人签字并加盖单位公章之日起生效，并在双方履行完成约定事项后终止。</w:t>
      </w:r>
    </w:p>
    <w:p>
      <w:pPr>
        <w:numPr>
          <w:ilvl w:val="0"/>
          <w:numId w:val="54"/>
        </w:num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本合同一式陆份，甲</w:t>
      </w:r>
      <w:r>
        <w:rPr>
          <w:rFonts w:hint="eastAsia" w:ascii="宋体" w:hAnsi="宋体" w:eastAsia="宋体" w:cs="宋体"/>
          <w:sz w:val="21"/>
          <w:szCs w:val="21"/>
          <w:lang w:val="en-US" w:eastAsia="zh-CN"/>
        </w:rPr>
        <w:t>方执肆份，</w:t>
      </w:r>
      <w:r>
        <w:rPr>
          <w:rFonts w:hint="eastAsia" w:ascii="宋体" w:hAnsi="宋体" w:eastAsia="宋体" w:cs="宋体"/>
          <w:sz w:val="21"/>
          <w:szCs w:val="21"/>
        </w:rPr>
        <w:t>乙方执</w:t>
      </w:r>
      <w:r>
        <w:rPr>
          <w:rFonts w:hint="eastAsia" w:ascii="宋体" w:hAnsi="宋体" w:eastAsia="宋体" w:cs="宋体"/>
          <w:sz w:val="21"/>
          <w:szCs w:val="21"/>
          <w:lang w:val="en-US" w:eastAsia="zh-CN"/>
        </w:rPr>
        <w:t>贰</w:t>
      </w:r>
      <w:r>
        <w:rPr>
          <w:rFonts w:hint="eastAsia" w:ascii="宋体" w:hAnsi="宋体" w:eastAsia="宋体" w:cs="宋体"/>
          <w:sz w:val="21"/>
          <w:szCs w:val="21"/>
        </w:rPr>
        <w:t>份，具有同等法律效力。</w:t>
      </w:r>
    </w:p>
    <w:p>
      <w:pPr>
        <w:numPr>
          <w:ilvl w:val="0"/>
          <w:numId w:val="54"/>
        </w:num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本合同未尽事宜，经双方协商另行签订补充协议，本合同的附件及任何补充协议与本合同具有同等法律效力。</w:t>
      </w:r>
    </w:p>
    <w:p>
      <w:pPr>
        <w:numPr>
          <w:ilvl w:val="0"/>
          <w:numId w:val="54"/>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6"/>
        <w:ind w:left="0"/>
        <w:rPr>
          <w:rFonts w:hint="eastAsia" w:ascii="宋体" w:hAnsi="宋体" w:eastAsia="宋体" w:cs="宋体"/>
          <w:b/>
          <w:bCs/>
          <w:sz w:val="21"/>
          <w:szCs w:val="21"/>
          <w:lang w:val="en-US" w:eastAsia="zh-CN"/>
        </w:rPr>
      </w:pPr>
      <w:r>
        <w:rPr>
          <w:rFonts w:hint="eastAsia" w:ascii="宋体" w:hAnsi="宋体" w:eastAsia="宋体" w:cs="宋体"/>
          <w:spacing w:val="0"/>
          <w:kern w:val="2"/>
          <w:sz w:val="21"/>
          <w:szCs w:val="21"/>
          <w:highlight w:val="none"/>
        </w:rPr>
        <w:t>（以下无正文，为合同签章页）</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lang w:val="en-US" w:eastAsia="zh-CN"/>
        </w:rPr>
        <w:t xml:space="preserve">  </w:t>
      </w:r>
    </w:p>
    <w:p>
      <w:pPr>
        <w:spacing w:line="520" w:lineRule="exact"/>
        <w:ind w:firstLine="560"/>
        <w:rPr>
          <w:rFonts w:hint="eastAsia" w:ascii="宋体" w:hAnsi="宋体" w:eastAsia="宋体" w:cs="宋体"/>
          <w:sz w:val="21"/>
          <w:szCs w:val="21"/>
        </w:rPr>
      </w:pPr>
      <w:r>
        <w:rPr>
          <w:rFonts w:hint="eastAsia" w:ascii="宋体" w:hAnsi="宋体" w:eastAsia="宋体" w:cs="宋体"/>
          <w:b/>
          <w:kern w:val="0"/>
          <w:sz w:val="21"/>
          <w:szCs w:val="21"/>
        </w:rPr>
        <w:t>甲  方(盖章)： 深圳会展中心管理有限责任公司</w:t>
      </w:r>
    </w:p>
    <w:p>
      <w:pPr>
        <w:spacing w:line="520" w:lineRule="exact"/>
        <w:ind w:firstLine="560"/>
        <w:rPr>
          <w:rFonts w:hint="eastAsia" w:ascii="宋体" w:hAnsi="宋体" w:eastAsia="宋体" w:cs="宋体"/>
          <w:sz w:val="21"/>
          <w:szCs w:val="21"/>
        </w:rPr>
      </w:pPr>
      <w:r>
        <w:rPr>
          <w:rFonts w:hint="eastAsia" w:ascii="宋体" w:hAnsi="宋体" w:eastAsia="宋体" w:cs="宋体"/>
          <w:sz w:val="21"/>
          <w:szCs w:val="21"/>
        </w:rPr>
        <w:t>法定代表人（签名）：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520" w:lineRule="exact"/>
        <w:ind w:firstLine="562"/>
        <w:rPr>
          <w:rFonts w:hint="eastAsia" w:ascii="宋体" w:hAnsi="宋体" w:eastAsia="宋体" w:cs="宋体"/>
          <w:sz w:val="21"/>
          <w:szCs w:val="21"/>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p>
    <w:p>
      <w:pPr>
        <w:spacing w:line="520" w:lineRule="exact"/>
        <w:ind w:firstLine="560"/>
        <w:rPr>
          <w:rFonts w:hint="eastAsia" w:ascii="宋体" w:hAnsi="宋体" w:eastAsia="宋体" w:cs="宋体"/>
          <w:sz w:val="21"/>
          <w:szCs w:val="21"/>
        </w:rPr>
      </w:pPr>
    </w:p>
    <w:p>
      <w:pPr>
        <w:spacing w:line="520" w:lineRule="exact"/>
        <w:ind w:firstLine="560"/>
        <w:rPr>
          <w:rFonts w:hint="eastAsia" w:ascii="宋体" w:hAnsi="宋体" w:eastAsia="宋体" w:cs="宋体"/>
          <w:b/>
          <w:kern w:val="0"/>
          <w:sz w:val="21"/>
          <w:szCs w:val="21"/>
        </w:rPr>
      </w:pPr>
      <w:r>
        <w:rPr>
          <w:rFonts w:hint="eastAsia" w:ascii="宋体" w:hAnsi="宋体" w:eastAsia="宋体" w:cs="宋体"/>
          <w:b/>
          <w:kern w:val="0"/>
          <w:sz w:val="21"/>
          <w:szCs w:val="21"/>
        </w:rPr>
        <w:t xml:space="preserve">乙  方（盖章）：  </w:t>
      </w:r>
    </w:p>
    <w:p>
      <w:pPr>
        <w:spacing w:line="520" w:lineRule="exact"/>
        <w:ind w:firstLine="560"/>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p>
    <w:p>
      <w:pPr>
        <w:pStyle w:val="15"/>
        <w:rPr>
          <w:highlight w:val="yellow"/>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r>
        <w:rPr>
          <w:rFonts w:hint="eastAsia" w:ascii="宋体" w:hAnsi="宋体" w:eastAsia="宋体" w:cs="宋体"/>
          <w:b/>
          <w:bCs/>
          <w:sz w:val="21"/>
          <w:szCs w:val="21"/>
          <w:lang w:val="en-US" w:eastAsia="zh-CN"/>
        </w:rPr>
        <w:t xml:space="preserve">           </w:t>
      </w:r>
      <w:r>
        <w:rPr>
          <w:rFonts w:hint="eastAsia" w:ascii="仿宋" w:hAnsi="仿宋" w:eastAsia="仿宋" w:cs="仿宋"/>
          <w:b/>
          <w:bCs/>
          <w:sz w:val="28"/>
          <w:szCs w:val="28"/>
          <w:lang w:val="en-US" w:eastAsia="zh-CN"/>
        </w:rPr>
        <w:t xml:space="preserve">                         </w:t>
      </w:r>
    </w:p>
    <w:p>
      <w:pPr>
        <w:pStyle w:val="15"/>
        <w:rPr>
          <w:highlight w:val="yellow"/>
        </w:rPr>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4" w:name="_Toc106791267"/>
      <w:r>
        <w:rPr>
          <w:rFonts w:hint="eastAsia"/>
          <w:b/>
          <w:sz w:val="32"/>
          <w:szCs w:val="32"/>
        </w:rPr>
        <w:t>第五部分：参考附件</w:t>
      </w:r>
      <w:bookmarkEnd w:id="54"/>
    </w:p>
    <w:p>
      <w:pPr>
        <w:spacing w:line="0" w:lineRule="atLeast"/>
        <w:outlineLvl w:val="1"/>
        <w:rPr>
          <w:rFonts w:ascii="宋体" w:hAnsi="宋体"/>
        </w:rPr>
      </w:pPr>
      <w:bookmarkStart w:id="55" w:name="_Toc106791268"/>
      <w:r>
        <w:rPr>
          <w:rFonts w:hint="eastAsia" w:ascii="宋体" w:hAnsi="宋体"/>
          <w:szCs w:val="21"/>
        </w:rPr>
        <w:t>附件1：</w:t>
      </w:r>
      <w:r>
        <w:rPr>
          <w:rFonts w:hint="eastAsia" w:ascii="宋体" w:hAnsi="宋体"/>
        </w:rPr>
        <w:t>报名回函</w:t>
      </w:r>
      <w:bookmarkEnd w:id="55"/>
    </w:p>
    <w:p>
      <w:pPr>
        <w:pStyle w:val="15"/>
      </w:pPr>
    </w:p>
    <w:p>
      <w:pPr>
        <w:pStyle w:val="16"/>
        <w:jc w:val="center"/>
        <w:rPr>
          <w:rFonts w:ascii="方正小标宋简体" w:hAnsi="方正小标宋_GBK" w:eastAsia="方正小标宋简体"/>
          <w:sz w:val="32"/>
          <w:szCs w:val="32"/>
        </w:rPr>
      </w:pPr>
      <w:r>
        <w:rPr>
          <w:rStyle w:val="21"/>
          <w:rFonts w:hint="eastAsia" w:ascii="方正小标宋简体" w:hAnsi="方正小标宋_GBK" w:eastAsia="方正小标宋简体"/>
          <w:sz w:val="32"/>
          <w:szCs w:val="32"/>
        </w:rPr>
        <w:t>关于确认参加_________________项目投标的回函</w:t>
      </w:r>
    </w:p>
    <w:p>
      <w:pPr>
        <w:pStyle w:val="16"/>
        <w:rPr>
          <w:rFonts w:ascii="微软雅黑" w:hAnsi="微软雅黑" w:eastAsia="微软雅黑"/>
          <w:sz w:val="18"/>
          <w:szCs w:val="18"/>
        </w:rPr>
      </w:pPr>
    </w:p>
    <w:p>
      <w:pPr>
        <w:pStyle w:val="16"/>
        <w:rPr>
          <w:rFonts w:ascii="微软雅黑" w:hAnsi="微软雅黑" w:eastAsia="微软雅黑"/>
          <w:sz w:val="18"/>
          <w:szCs w:val="18"/>
        </w:rPr>
      </w:pPr>
    </w:p>
    <w:p>
      <w:pPr>
        <w:pStyle w:val="16"/>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6"/>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6"/>
        <w:spacing w:after="240"/>
        <w:ind w:firstLine="616" w:firstLineChars="220"/>
        <w:rPr>
          <w:rFonts w:ascii="仿宋" w:hAnsi="仿宋" w:eastAsia="仿宋"/>
          <w:sz w:val="28"/>
          <w:szCs w:val="28"/>
        </w:rPr>
      </w:pPr>
    </w:p>
    <w:p>
      <w:pPr>
        <w:pStyle w:val="16"/>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5"/>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rFonts w:ascii="宋体" w:hAnsi="宋体"/>
          <w:b/>
          <w:sz w:val="21"/>
          <w:szCs w:val="21"/>
        </w:rPr>
      </w:pPr>
    </w:p>
    <w:p>
      <w:pPr>
        <w:pStyle w:val="10"/>
        <w:rPr>
          <w:rFonts w:ascii="宋体" w:hAnsi="宋体"/>
          <w:b/>
          <w:sz w:val="21"/>
          <w:szCs w:val="21"/>
        </w:rPr>
      </w:pPr>
      <w:r>
        <w:rPr>
          <w:rFonts w:hint="eastAsia" w:ascii="宋体" w:hAnsi="宋体"/>
          <w:b/>
          <w:sz w:val="21"/>
          <w:szCs w:val="21"/>
        </w:rPr>
        <w:t>注：1.本件电子档及盖章后的扫描件按要求上传至指定地址；</w:t>
      </w:r>
    </w:p>
    <w:p>
      <w:pPr>
        <w:pStyle w:val="10"/>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widowControl/>
        <w:jc w:val="left"/>
        <w:rPr>
          <w:b/>
          <w:szCs w:val="21"/>
        </w:rPr>
      </w:pPr>
      <w:r>
        <w:rPr>
          <w:b/>
          <w:szCs w:val="21"/>
        </w:rPr>
        <w:br w:type="page"/>
      </w:r>
    </w:p>
    <w:p>
      <w:pPr>
        <w:pStyle w:val="10"/>
        <w:rPr>
          <w:b/>
          <w:sz w:val="21"/>
          <w:szCs w:val="21"/>
        </w:rPr>
      </w:pPr>
    </w:p>
    <w:p>
      <w:pPr>
        <w:spacing w:line="0" w:lineRule="atLeast"/>
        <w:outlineLvl w:val="1"/>
        <w:rPr>
          <w:rFonts w:ascii="宋体" w:hAnsi="宋体"/>
          <w:szCs w:val="21"/>
        </w:rPr>
      </w:pPr>
      <w:bookmarkStart w:id="56" w:name="_Toc106791269"/>
      <w:r>
        <w:rPr>
          <w:rFonts w:hint="eastAsia" w:ascii="宋体" w:hAnsi="宋体"/>
          <w:szCs w:val="21"/>
        </w:rPr>
        <w:t>附件2：投标函</w:t>
      </w:r>
      <w:bookmarkEnd w:id="5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7" w:name="_Toc106791270"/>
      <w:r>
        <w:rPr>
          <w:rFonts w:hint="eastAsia" w:ascii="宋体" w:hAnsi="宋体"/>
          <w:szCs w:val="21"/>
        </w:rPr>
        <w:t>附件3：投标一览表</w:t>
      </w:r>
      <w:bookmarkEnd w:id="5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9"/>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6"/>
              <w:ind w:left="0"/>
              <w:jc w:val="center"/>
            </w:pPr>
            <w:r>
              <w:rPr>
                <w:rFonts w:hint="eastAsia"/>
              </w:rPr>
              <w:t>税前总金额</w:t>
            </w:r>
          </w:p>
          <w:p>
            <w:pPr>
              <w:pStyle w:val="6"/>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3440"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（资质证书）</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344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default" w:ascii="宋体" w:hAnsi="宋体" w:eastAsia="宋体"/>
          <w:szCs w:val="21"/>
          <w:lang w:val="en-US" w:eastAsia="zh-CN"/>
        </w:rPr>
      </w:pPr>
      <w:bookmarkStart w:id="58" w:name="_Toc106791271"/>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9" w:name="_Toc106791272"/>
      <w:r>
        <w:rPr>
          <w:rFonts w:hint="eastAsia" w:ascii="宋体" w:hAnsi="宋体"/>
          <w:szCs w:val="21"/>
        </w:rPr>
        <w:t>附件5：技术服务响应/偏离表</w:t>
      </w:r>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18"/>
      <w:r>
        <w:rPr>
          <w:rFonts w:hint="eastAsia" w:ascii="方正小标宋_GBK" w:hAnsi="方正小标宋_GBK" w:eastAsia="方正小标宋_GBK"/>
          <w:b/>
          <w:sz w:val="32"/>
          <w:szCs w:val="32"/>
        </w:rPr>
        <w:t>技术服务响应/偏离表</w:t>
      </w:r>
      <w:bookmarkEnd w:id="6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1"/>
      <w:bookmarkStart w:id="62" w:name="_Toc246480945"/>
      <w:bookmarkStart w:id="63" w:name="_Toc236803114"/>
      <w:r>
        <w:rPr>
          <w:rFonts w:ascii="仿宋" w:hAnsi="仿宋" w:eastAsia="仿宋"/>
          <w:sz w:val="28"/>
          <w:szCs w:val="28"/>
        </w:rPr>
        <w:br w:type="page"/>
      </w:r>
    </w:p>
    <w:p>
      <w:pPr>
        <w:spacing w:line="0" w:lineRule="atLeast"/>
        <w:outlineLvl w:val="1"/>
        <w:rPr>
          <w:rFonts w:ascii="宋体" w:hAnsi="宋体"/>
          <w:szCs w:val="21"/>
        </w:rPr>
      </w:pPr>
      <w:bookmarkStart w:id="64" w:name="_Toc106791273"/>
      <w:r>
        <w:rPr>
          <w:rFonts w:hint="eastAsia" w:ascii="宋体" w:hAnsi="宋体"/>
          <w:szCs w:val="21"/>
        </w:rPr>
        <w:t>附件6：商务条款响应/偏离表</w:t>
      </w:r>
      <w:bookmarkEnd w:id="62"/>
      <w:bookmarkEnd w:id="63"/>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20"/>
      <w:r>
        <w:rPr>
          <w:rFonts w:hint="eastAsia" w:ascii="方正小标宋_GBK" w:hAnsi="方正小标宋_GBK" w:eastAsia="方正小标宋_GBK"/>
          <w:b/>
          <w:sz w:val="32"/>
          <w:szCs w:val="32"/>
        </w:rPr>
        <w:t>商务条款响应/偏离表</w:t>
      </w:r>
      <w:bookmarkEnd w:id="6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6" w:name="_Toc236803111"/>
      <w:bookmarkStart w:id="67" w:name="_Toc478387764"/>
      <w:bookmarkStart w:id="68" w:name="_Toc395883088"/>
      <w:r>
        <w:rPr>
          <w:rFonts w:ascii="仿宋" w:hAnsi="仿宋" w:eastAsia="仿宋"/>
          <w:sz w:val="28"/>
          <w:szCs w:val="28"/>
        </w:rPr>
        <w:br w:type="page"/>
      </w:r>
    </w:p>
    <w:p>
      <w:pPr>
        <w:spacing w:line="0" w:lineRule="atLeast"/>
        <w:outlineLvl w:val="1"/>
        <w:rPr>
          <w:rFonts w:ascii="宋体" w:hAnsi="宋体"/>
          <w:szCs w:val="21"/>
        </w:rPr>
      </w:pPr>
      <w:bookmarkStart w:id="69" w:name="_Toc106791274"/>
      <w:r>
        <w:rPr>
          <w:rFonts w:hint="eastAsia" w:ascii="宋体" w:hAnsi="宋体"/>
          <w:szCs w:val="21"/>
        </w:rPr>
        <w:t>附件7：报价一览表（货物）</w:t>
      </w:r>
      <w:r>
        <w:rPr>
          <w:rFonts w:hint="eastAsia" w:ascii="宋体" w:hAnsi="宋体"/>
          <w:color w:val="FF0000"/>
          <w:szCs w:val="21"/>
        </w:rPr>
        <w:t>（本项目不适用）</w:t>
      </w:r>
      <w:bookmarkEnd w:id="69"/>
    </w:p>
    <w:bookmarkEnd w:id="66"/>
    <w:bookmarkEnd w:id="67"/>
    <w:bookmarkEnd w:id="68"/>
    <w:p>
      <w:pPr>
        <w:spacing w:before="120" w:after="240"/>
        <w:jc w:val="center"/>
        <w:rPr>
          <w:rFonts w:ascii="宋体" w:hAnsi="宋体"/>
          <w:b/>
          <w:sz w:val="32"/>
          <w:szCs w:val="32"/>
        </w:rPr>
      </w:pPr>
      <w:bookmarkStart w:id="70" w:name="_Toc211248412"/>
      <w:r>
        <w:rPr>
          <w:rFonts w:hint="eastAsia" w:ascii="方正小标宋_GBK" w:hAnsi="方正小标宋_GBK" w:eastAsia="方正小标宋_GBK"/>
          <w:b/>
          <w:sz w:val="32"/>
          <w:szCs w:val="32"/>
        </w:rPr>
        <w:t>报价一览表</w:t>
      </w:r>
      <w:bookmarkEnd w:id="7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6"/>
        <w:numPr>
          <w:ilvl w:val="1"/>
          <w:numId w:val="5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6"/>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6"/>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1" w:name="_Toc82359026"/>
      <w:bookmarkStart w:id="72"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1"/>
    <w:bookmarkEnd w:id="72"/>
    <w:p>
      <w:pPr>
        <w:spacing w:line="0" w:lineRule="atLeast"/>
        <w:outlineLvl w:val="1"/>
        <w:rPr>
          <w:rFonts w:ascii="宋体" w:hAnsi="宋体"/>
          <w:szCs w:val="21"/>
          <w:highlight w:val="none"/>
        </w:rPr>
      </w:pPr>
      <w:bookmarkStart w:id="73" w:name="_Toc106791275"/>
      <w:r>
        <w:rPr>
          <w:rFonts w:hint="eastAsia" w:ascii="宋体" w:hAnsi="宋体"/>
          <w:szCs w:val="21"/>
          <w:highlight w:val="none"/>
        </w:rPr>
        <w:t>附件8：报价一览表（服务）</w:t>
      </w:r>
      <w:bookmarkEnd w:id="73"/>
    </w:p>
    <w:p>
      <w:pPr>
        <w:spacing w:before="120" w:after="240"/>
        <w:jc w:val="center"/>
        <w:rPr>
          <w:rFonts w:ascii="宋体" w:hAnsi="宋体"/>
          <w:b/>
          <w:sz w:val="32"/>
          <w:szCs w:val="32"/>
          <w:highlight w:val="none"/>
        </w:rPr>
      </w:pPr>
      <w:r>
        <w:rPr>
          <w:rFonts w:hint="eastAsia" w:ascii="方正小标宋_GBK" w:hAnsi="方正小标宋_GBK" w:eastAsia="方正小标宋_GBK"/>
          <w:b/>
          <w:sz w:val="32"/>
          <w:szCs w:val="32"/>
          <w:highlight w:val="none"/>
        </w:rPr>
        <w:t>报价一览表（服务）</w:t>
      </w:r>
    </w:p>
    <w:p>
      <w:pPr>
        <w:spacing w:after="80"/>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深圳会展中心高交会脸书、领英账号运维管理服务及全球新闻稿发布服务</w:t>
      </w:r>
      <w:r>
        <w:rPr>
          <w:rFonts w:hint="eastAsia" w:ascii="仿宋" w:hAnsi="仿宋" w:eastAsia="仿宋"/>
          <w:sz w:val="28"/>
          <w:szCs w:val="28"/>
          <w:highlight w:val="none"/>
          <w:u w:val="single"/>
        </w:rPr>
        <w:t xml:space="preserve">                                        </w:t>
      </w:r>
    </w:p>
    <w:p>
      <w:pPr>
        <w:spacing w:after="80" w:line="360" w:lineRule="auto"/>
        <w:rPr>
          <w:rFonts w:ascii="仿宋" w:hAnsi="仿宋" w:eastAsia="仿宋"/>
          <w:sz w:val="30"/>
          <w:szCs w:val="30"/>
          <w:highlight w:val="none"/>
          <w:u w:val="singl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单位：元 </w:t>
      </w:r>
    </w:p>
    <w:tbl>
      <w:tblPr>
        <w:tblStyle w:val="18"/>
        <w:tblpPr w:leftFromText="180" w:rightFromText="180" w:vertAnchor="text" w:horzAnchor="margin" w:tblpXSpec="center" w:tblpY="367"/>
        <w:tblW w:w="10390"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lang w:val="en-US" w:eastAsia="zh-CN"/>
              </w:rPr>
              <w:t>税前</w:t>
            </w:r>
            <w:r>
              <w:rPr>
                <w:rFonts w:hint="eastAsia" w:ascii="仿宋" w:hAnsi="仿宋" w:eastAsia="仿宋"/>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税后金额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高交会脸书、领英账号运维管理</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全球新闻稿发布服务</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highlight w:val="none"/>
              </w:rPr>
            </w:pPr>
            <w:r>
              <w:rPr>
                <w:rFonts w:hint="eastAsia" w:ascii="仿宋" w:hAnsi="仿宋" w:eastAsia="仿宋"/>
                <w:sz w:val="30"/>
                <w:szCs w:val="30"/>
                <w:highlight w:val="none"/>
              </w:rPr>
              <w:t>合计</w:t>
            </w:r>
            <w:r>
              <w:rPr>
                <w:rFonts w:hint="eastAsia" w:ascii="仿宋" w:hAnsi="仿宋" w:eastAsia="仿宋"/>
                <w:sz w:val="30"/>
                <w:szCs w:val="30"/>
                <w:highlight w:val="none"/>
                <w:lang w:val="en-US" w:eastAsia="zh-CN"/>
              </w:rPr>
              <w:t>总</w:t>
            </w:r>
            <w:r>
              <w:rPr>
                <w:rFonts w:hint="eastAsia" w:ascii="仿宋" w:hAnsi="仿宋" w:eastAsia="仿宋"/>
                <w:sz w:val="30"/>
                <w:szCs w:val="30"/>
                <w:highlight w:val="none"/>
              </w:rPr>
              <w:t>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r>
    </w:tbl>
    <w:p>
      <w:pPr>
        <w:spacing w:line="400" w:lineRule="exact"/>
        <w:rPr>
          <w:rFonts w:ascii="仿宋" w:hAnsi="仿宋" w:eastAsia="仿宋"/>
          <w:bCs/>
          <w:sz w:val="30"/>
          <w:szCs w:val="30"/>
          <w:highlight w:val="none"/>
          <w:u w:val="single"/>
        </w:rPr>
      </w:pPr>
      <w:r>
        <w:rPr>
          <w:rFonts w:hint="eastAsia" w:ascii="仿宋" w:hAnsi="仿宋" w:eastAsia="仿宋"/>
          <w:sz w:val="30"/>
          <w:szCs w:val="30"/>
          <w:highlight w:val="none"/>
        </w:rPr>
        <w:t>注：</w:t>
      </w:r>
    </w:p>
    <w:p>
      <w:pPr>
        <w:pStyle w:val="26"/>
        <w:numPr>
          <w:ilvl w:val="1"/>
          <w:numId w:val="58"/>
        </w:numPr>
        <w:spacing w:line="400" w:lineRule="exact"/>
        <w:ind w:left="851" w:hanging="425" w:firstLineChars="0"/>
        <w:rPr>
          <w:rFonts w:ascii="仿宋" w:hAnsi="仿宋" w:eastAsia="仿宋"/>
          <w:bCs/>
          <w:sz w:val="30"/>
          <w:szCs w:val="30"/>
          <w:highlight w:val="none"/>
        </w:rPr>
      </w:pPr>
      <w:r>
        <w:rPr>
          <w:rFonts w:hint="eastAsia" w:ascii="仿宋" w:hAnsi="仿宋" w:eastAsia="仿宋"/>
          <w:sz w:val="28"/>
          <w:szCs w:val="28"/>
          <w:highlight w:val="none"/>
        </w:rPr>
        <w:t>投标人</w:t>
      </w:r>
      <w:r>
        <w:rPr>
          <w:rFonts w:hint="eastAsia" w:ascii="仿宋" w:hAnsi="仿宋" w:eastAsia="仿宋"/>
          <w:bCs/>
          <w:sz w:val="30"/>
          <w:szCs w:val="30"/>
          <w:highlight w:val="none"/>
        </w:rPr>
        <w:t>如果需要对报价或其它内容加以说明，可在备注一栏中填写。</w:t>
      </w:r>
    </w:p>
    <w:p>
      <w:pPr>
        <w:pStyle w:val="26"/>
        <w:numPr>
          <w:ilvl w:val="1"/>
          <w:numId w:val="58"/>
        </w:numPr>
        <w:spacing w:line="400" w:lineRule="exact"/>
        <w:ind w:left="851" w:hanging="425" w:firstLineChars="0"/>
        <w:rPr>
          <w:rFonts w:ascii="仿宋" w:hAnsi="仿宋" w:eastAsia="仿宋"/>
          <w:bCs/>
          <w:sz w:val="30"/>
          <w:szCs w:val="30"/>
          <w:highlight w:val="none"/>
        </w:rPr>
      </w:pPr>
      <w:r>
        <w:rPr>
          <w:rFonts w:hint="eastAsia" w:ascii="仿宋" w:hAnsi="仿宋" w:eastAsia="仿宋"/>
          <w:sz w:val="28"/>
          <w:szCs w:val="28"/>
          <w:highlight w:val="none"/>
        </w:rPr>
        <w:t>投标人</w:t>
      </w:r>
      <w:r>
        <w:rPr>
          <w:rFonts w:hint="eastAsia" w:ascii="仿宋" w:hAnsi="仿宋" w:eastAsia="仿宋"/>
          <w:bCs/>
          <w:sz w:val="30"/>
          <w:szCs w:val="30"/>
          <w:highlight w:val="none"/>
        </w:rPr>
        <w:t>使用本表或自由报价单格式报价均可，但应能清晰体现总报价及分项报价信息。</w:t>
      </w:r>
    </w:p>
    <w:p>
      <w:pPr>
        <w:pStyle w:val="26"/>
        <w:numPr>
          <w:ilvl w:val="1"/>
          <w:numId w:val="58"/>
        </w:numPr>
        <w:spacing w:line="400" w:lineRule="exact"/>
        <w:ind w:left="851" w:hanging="425" w:firstLineChars="0"/>
        <w:rPr>
          <w:rFonts w:ascii="仿宋" w:hAnsi="仿宋" w:eastAsia="仿宋"/>
          <w:bCs/>
          <w:sz w:val="30"/>
          <w:szCs w:val="30"/>
          <w:highlight w:val="none"/>
        </w:rPr>
      </w:pPr>
      <w:r>
        <w:rPr>
          <w:rFonts w:hint="eastAsia" w:ascii="仿宋" w:hAnsi="仿宋" w:eastAsia="仿宋"/>
          <w:bCs/>
          <w:sz w:val="30"/>
          <w:szCs w:val="30"/>
          <w:highlight w:val="none"/>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4" w:name="_Toc106791276"/>
      <w:r>
        <w:rPr>
          <w:rFonts w:hint="eastAsia" w:ascii="宋体" w:hAnsi="宋体"/>
          <w:szCs w:val="21"/>
        </w:rPr>
        <w:t>附件9：报价一览表（工程）</w:t>
      </w:r>
      <w:bookmarkEnd w:id="7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6"/>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6"/>
        <w:numPr>
          <w:ilvl w:val="1"/>
          <w:numId w:val="5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6"/>
        <w:numPr>
          <w:ilvl w:val="1"/>
          <w:numId w:val="5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5" w:name="_Toc106791277"/>
      <w:r>
        <w:rPr>
          <w:rFonts w:hint="eastAsia" w:ascii="宋体" w:hAnsi="宋体"/>
          <w:szCs w:val="21"/>
        </w:rPr>
        <w:t>附件10：法定代表人证明书</w:t>
      </w:r>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color w:val="auto"/>
          <w:sz w:val="32"/>
          <w:szCs w:val="32"/>
        </w:rPr>
      </w:pPr>
      <w:r>
        <w:rPr>
          <w:rFonts w:hint="eastAsia" w:ascii="方正小标宋_GBK" w:hAnsi="方正小标宋_GBK" w:eastAsia="方正小标宋_GBK"/>
          <w:b/>
          <w:color w:val="auto"/>
          <w:sz w:val="32"/>
          <w:szCs w:val="32"/>
        </w:rPr>
        <w:t>法定代表人</w:t>
      </w:r>
      <w:r>
        <w:rPr>
          <w:rFonts w:hint="eastAsia" w:ascii="方正小标宋_GBK" w:hAnsi="方正小标宋_GBK" w:eastAsia="方正小标宋_GBK"/>
          <w:b/>
          <w:color w:val="auto"/>
          <w:sz w:val="32"/>
          <w:szCs w:val="32"/>
          <w:lang w:val="en-US" w:eastAsia="zh-CN"/>
        </w:rPr>
        <w:t>或负责人</w:t>
      </w:r>
      <w:r>
        <w:rPr>
          <w:rFonts w:hint="eastAsia" w:ascii="方正小标宋_GBK" w:hAnsi="方正小标宋_GBK" w:eastAsia="方正小标宋_GBK"/>
          <w:b/>
          <w:color w:val="auto"/>
          <w:sz w:val="32"/>
          <w:szCs w:val="32"/>
        </w:rPr>
        <w:t>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r>
        <w:rPr>
          <w:rFonts w:hint="eastAsia" w:ascii="仿宋" w:hAnsi="仿宋" w:eastAsia="仿宋"/>
          <w:color w:val="000000"/>
          <w:sz w:val="28"/>
          <w:szCs w:val="28"/>
          <w:lang w:val="en-US" w:eastAsia="zh-CN"/>
        </w:rPr>
        <w:t>或负责人</w:t>
      </w:r>
      <w:r>
        <w:rPr>
          <w:rFonts w:hint="eastAsia" w:ascii="仿宋" w:hAnsi="仿宋" w:eastAsia="仿宋"/>
          <w:color w:val="000000"/>
          <w:sz w:val="28"/>
          <w:szCs w:val="28"/>
        </w:rPr>
        <w:t>。</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6"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w:t>
      </w:r>
      <w:r>
        <w:rPr>
          <w:rFonts w:hint="eastAsia" w:ascii="方正小标宋_GBK" w:hAnsi="方正小标宋_GBK" w:eastAsia="方正小标宋_GBK"/>
          <w:b/>
          <w:color w:val="auto"/>
          <w:sz w:val="32"/>
          <w:szCs w:val="32"/>
        </w:rPr>
        <w:t>人</w:t>
      </w:r>
      <w:r>
        <w:rPr>
          <w:rFonts w:hint="eastAsia" w:ascii="方正小标宋_GBK" w:hAnsi="方正小标宋_GBK" w:eastAsia="方正小标宋_GBK"/>
          <w:b/>
          <w:color w:val="auto"/>
          <w:sz w:val="32"/>
          <w:szCs w:val="32"/>
          <w:lang w:val="en-US" w:eastAsia="zh-CN"/>
        </w:rPr>
        <w:t>或负责人</w:t>
      </w:r>
      <w:r>
        <w:rPr>
          <w:rFonts w:hint="eastAsia" w:ascii="方正小标宋_GBK" w:hAnsi="方正小标宋_GBK" w:eastAsia="方正小标宋_GBK"/>
          <w:b/>
          <w:color w:val="auto"/>
          <w:sz w:val="32"/>
          <w:szCs w:val="32"/>
        </w:rPr>
        <w:t>授权委托证明</w:t>
      </w:r>
      <w:r>
        <w:rPr>
          <w:rFonts w:hint="eastAsia" w:ascii="方正小标宋_GBK" w:hAnsi="方正小标宋_GBK" w:eastAsia="方正小标宋_GBK"/>
          <w:b/>
          <w:sz w:val="32"/>
          <w:szCs w:val="32"/>
        </w:rPr>
        <w:t>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w:t>
      </w:r>
      <w:r>
        <w:rPr>
          <w:rFonts w:hint="eastAsia" w:ascii="仿宋" w:hAnsi="仿宋" w:eastAsia="仿宋"/>
          <w:color w:val="000000"/>
          <w:sz w:val="28"/>
          <w:szCs w:val="28"/>
          <w:lang w:val="en-US" w:eastAsia="zh-CN"/>
        </w:rPr>
        <w:t>或负责人</w:t>
      </w:r>
      <w:r>
        <w:rPr>
          <w:rFonts w:hint="eastAsia" w:ascii="仿宋" w:hAnsi="仿宋" w:eastAsia="仿宋"/>
          <w:color w:val="000000"/>
          <w:sz w:val="28"/>
          <w:szCs w:val="28"/>
        </w:rPr>
        <w:t>，现授权委托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w:t>
      </w:r>
      <w:r>
        <w:rPr>
          <w:rFonts w:hint="eastAsia" w:ascii="仿宋" w:hAnsi="仿宋" w:eastAsia="仿宋"/>
          <w:color w:val="000000"/>
          <w:sz w:val="28"/>
          <w:szCs w:val="28"/>
          <w:lang w:val="en-US" w:eastAsia="zh-CN"/>
        </w:rPr>
        <w:t>或负责人</w:t>
      </w:r>
      <w:r>
        <w:rPr>
          <w:rFonts w:hint="eastAsia" w:ascii="仿宋" w:hAnsi="仿宋" w:eastAsia="仿宋"/>
          <w:color w:val="000000"/>
          <w:sz w:val="28"/>
          <w:szCs w:val="28"/>
        </w:rPr>
        <w:t>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或负责人</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7"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8"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9" w:name="_Toc32341"/>
      <w:r>
        <w:rPr>
          <w:rFonts w:ascii="仿宋" w:hAnsi="仿宋" w:eastAsia="仿宋"/>
          <w:sz w:val="28"/>
          <w:szCs w:val="28"/>
        </w:rPr>
        <w:br w:type="page"/>
      </w:r>
    </w:p>
    <w:p>
      <w:pPr>
        <w:spacing w:line="0" w:lineRule="atLeast"/>
        <w:outlineLvl w:val="1"/>
        <w:rPr>
          <w:rFonts w:ascii="宋体" w:hAnsi="宋体"/>
          <w:szCs w:val="21"/>
        </w:rPr>
      </w:pPr>
      <w:bookmarkStart w:id="80"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9"/>
      <w:bookmarkEnd w:id="8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5"/>
      </w:pPr>
    </w:p>
    <w:p>
      <w:pPr>
        <w:spacing w:line="0" w:lineRule="atLeast"/>
        <w:outlineLvl w:val="1"/>
        <w:rPr>
          <w:rFonts w:ascii="宋体" w:hAnsi="宋体"/>
        </w:rPr>
      </w:pPr>
      <w:bookmarkStart w:id="81" w:name="_Toc100848654"/>
      <w:bookmarkStart w:id="82" w:name="_Toc106791282"/>
      <w:r>
        <w:rPr>
          <w:rFonts w:hint="eastAsia" w:ascii="宋体" w:hAnsi="宋体"/>
        </w:rPr>
        <w:t>附件15：投标文件密码</w:t>
      </w:r>
      <w:bookmarkEnd w:id="81"/>
      <w:r>
        <w:rPr>
          <w:rFonts w:hint="eastAsia" w:ascii="宋体" w:hAnsi="宋体"/>
        </w:rPr>
        <w:t>单</w:t>
      </w:r>
      <w:bookmarkEnd w:id="8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3"/>
    </w:p>
    <w:p>
      <w:pPr>
        <w:jc w:val="center"/>
        <w:rPr>
          <w:rFonts w:ascii="宋体" w:hAnsi="宋体"/>
          <w:b/>
          <w:sz w:val="32"/>
          <w:szCs w:val="32"/>
        </w:rPr>
      </w:pPr>
      <w:r>
        <w:rPr>
          <w:rFonts w:hint="eastAsia" w:ascii="宋体" w:hAnsi="宋体"/>
          <w:b/>
          <w:sz w:val="32"/>
          <w:szCs w:val="32"/>
        </w:rPr>
        <w:t>投标文件密码单</w:t>
      </w:r>
    </w:p>
    <w:p>
      <w:pPr>
        <w:pStyle w:val="15"/>
        <w:rPr>
          <w:rFonts w:ascii="仿宋" w:hAnsi="仿宋" w:eastAsia="仿宋"/>
          <w:b/>
          <w:sz w:val="28"/>
          <w:szCs w:val="28"/>
        </w:rPr>
      </w:pPr>
    </w:p>
    <w:p>
      <w:pPr>
        <w:pStyle w:val="15"/>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5"/>
        <w:rPr>
          <w:rFonts w:ascii="仿宋" w:hAnsi="仿宋" w:eastAsia="仿宋"/>
          <w:b/>
          <w:sz w:val="28"/>
          <w:szCs w:val="28"/>
        </w:rPr>
      </w:pPr>
    </w:p>
    <w:p>
      <w:pPr>
        <w:pStyle w:val="15"/>
        <w:rPr>
          <w:rFonts w:ascii="仿宋" w:hAnsi="仿宋" w:eastAsia="仿宋"/>
          <w:b/>
          <w:color w:val="FF0000"/>
          <w:sz w:val="24"/>
        </w:rPr>
      </w:pPr>
      <w:r>
        <w:rPr>
          <w:rFonts w:hint="eastAsia" w:ascii="仿宋" w:hAnsi="仿宋" w:eastAsia="仿宋"/>
          <w:b/>
          <w:color w:val="FF0000"/>
          <w:sz w:val="24"/>
        </w:rPr>
        <w:t>【特别注意】</w:t>
      </w:r>
    </w:p>
    <w:p>
      <w:pPr>
        <w:pStyle w:val="15"/>
        <w:numPr>
          <w:ilvl w:val="0"/>
          <w:numId w:val="6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5"/>
        <w:numPr>
          <w:ilvl w:val="0"/>
          <w:numId w:val="6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5"/>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1640C0C"/>
    <w:multiLevelType w:val="singleLevel"/>
    <w:tmpl w:val="91640C0C"/>
    <w:lvl w:ilvl="0" w:tentative="0">
      <w:start w:val="1"/>
      <w:numFmt w:val="decimal"/>
      <w:lvlText w:val="(%1)"/>
      <w:lvlJc w:val="left"/>
      <w:pPr>
        <w:ind w:left="425" w:hanging="425"/>
      </w:pPr>
      <w:rPr>
        <w:rFonts w:hint="default"/>
      </w:rPr>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47010A1"/>
    <w:multiLevelType w:val="singleLevel"/>
    <w:tmpl w:val="947010A1"/>
    <w:lvl w:ilvl="0" w:tentative="0">
      <w:start w:val="1"/>
      <w:numFmt w:val="decimal"/>
      <w:lvlText w:val="(%1)"/>
      <w:lvlJc w:val="left"/>
      <w:pPr>
        <w:ind w:left="425" w:hanging="425"/>
      </w:pPr>
      <w:rPr>
        <w:rFonts w:hint="default"/>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59EDFB9"/>
    <w:multiLevelType w:val="singleLevel"/>
    <w:tmpl w:val="D59EDFB9"/>
    <w:lvl w:ilvl="0" w:tentative="0">
      <w:start w:val="1"/>
      <w:numFmt w:val="decimal"/>
      <w:lvlText w:val="(%1)"/>
      <w:lvlJc w:val="left"/>
      <w:pPr>
        <w:ind w:left="425" w:hanging="425"/>
      </w:pPr>
      <w:rPr>
        <w:rFonts w:hint="default"/>
      </w:rPr>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EFDC7ACC"/>
    <w:multiLevelType w:val="singleLevel"/>
    <w:tmpl w:val="EFDC7ACC"/>
    <w:lvl w:ilvl="0" w:tentative="0">
      <w:start w:val="1"/>
      <w:numFmt w:val="decimal"/>
      <w:lvlText w:val="(%1)"/>
      <w:lvlJc w:val="left"/>
      <w:pPr>
        <w:ind w:left="425" w:hanging="425"/>
      </w:pPr>
      <w:rPr>
        <w:rFonts w:hint="default"/>
      </w:rPr>
    </w:lvl>
  </w:abstractNum>
  <w:abstractNum w:abstractNumId="17">
    <w:nsid w:val="F83C2449"/>
    <w:multiLevelType w:val="singleLevel"/>
    <w:tmpl w:val="F83C2449"/>
    <w:lvl w:ilvl="0" w:tentative="0">
      <w:start w:val="1"/>
      <w:numFmt w:val="decimal"/>
      <w:lvlText w:val="(%1)"/>
      <w:lvlJc w:val="left"/>
      <w:pPr>
        <w:ind w:left="425" w:hanging="425"/>
      </w:pPr>
      <w:rPr>
        <w:rFonts w:hint="default"/>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11D69C2C"/>
    <w:multiLevelType w:val="singleLevel"/>
    <w:tmpl w:val="11D69C2C"/>
    <w:lvl w:ilvl="0" w:tentative="0">
      <w:start w:val="1"/>
      <w:numFmt w:val="decimal"/>
      <w:suff w:val="space"/>
      <w:lvlText w:val="%1."/>
      <w:lvlJc w:val="left"/>
    </w:lvl>
  </w:abstractNum>
  <w:abstractNum w:abstractNumId="23">
    <w:nsid w:val="13485D32"/>
    <w:multiLevelType w:val="singleLevel"/>
    <w:tmpl w:val="13485D32"/>
    <w:lvl w:ilvl="0" w:tentative="0">
      <w:start w:val="1"/>
      <w:numFmt w:val="decimal"/>
      <w:lvlText w:val="(%1)"/>
      <w:lvlJc w:val="left"/>
      <w:pPr>
        <w:ind w:left="425" w:hanging="425"/>
      </w:pPr>
      <w:rPr>
        <w:rFonts w:hint="default"/>
      </w:rPr>
    </w:lvl>
  </w:abstractNum>
  <w:abstractNum w:abstractNumId="24">
    <w:nsid w:val="1735B415"/>
    <w:multiLevelType w:val="singleLevel"/>
    <w:tmpl w:val="1735B415"/>
    <w:lvl w:ilvl="0" w:tentative="0">
      <w:start w:val="1"/>
      <w:numFmt w:val="decimal"/>
      <w:lvlText w:val="(%1)"/>
      <w:lvlJc w:val="left"/>
      <w:pPr>
        <w:ind w:left="425" w:hanging="425"/>
      </w:pPr>
      <w:rPr>
        <w:rFonts w:hint="default" w:ascii="宋体" w:hAnsi="宋体" w:eastAsia="宋体" w:cs="宋体"/>
        <w:sz w:val="21"/>
        <w:szCs w:val="21"/>
      </w:rPr>
    </w:lvl>
  </w:abstractNum>
  <w:abstractNum w:abstractNumId="2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CED0192"/>
    <w:multiLevelType w:val="singleLevel"/>
    <w:tmpl w:val="1CED0192"/>
    <w:lvl w:ilvl="0" w:tentative="0">
      <w:start w:val="1"/>
      <w:numFmt w:val="decimal"/>
      <w:lvlText w:val="(%1)"/>
      <w:lvlJc w:val="left"/>
      <w:pPr>
        <w:ind w:left="425" w:hanging="425"/>
      </w:pPr>
      <w:rPr>
        <w:rFonts w:hint="default"/>
      </w:rPr>
    </w:lvl>
  </w:abstractNum>
  <w:abstractNum w:abstractNumId="29">
    <w:nsid w:val="1D9DB4C6"/>
    <w:multiLevelType w:val="singleLevel"/>
    <w:tmpl w:val="1D9DB4C6"/>
    <w:lvl w:ilvl="0" w:tentative="0">
      <w:start w:val="1"/>
      <w:numFmt w:val="decimal"/>
      <w:lvlText w:val="%1)"/>
      <w:lvlJc w:val="left"/>
      <w:pPr>
        <w:ind w:left="425" w:hanging="425"/>
      </w:pPr>
      <w:rPr>
        <w:rFonts w:hint="default" w:ascii="宋体" w:hAnsi="宋体" w:eastAsia="宋体" w:cs="宋体"/>
        <w:sz w:val="21"/>
        <w:szCs w:val="21"/>
      </w:rPr>
    </w:lvl>
  </w:abstractNum>
  <w:abstractNum w:abstractNumId="30">
    <w:nsid w:val="1E2D0B7B"/>
    <w:multiLevelType w:val="singleLevel"/>
    <w:tmpl w:val="1E2D0B7B"/>
    <w:lvl w:ilvl="0" w:tentative="0">
      <w:start w:val="1"/>
      <w:numFmt w:val="decimal"/>
      <w:lvlText w:val="(%1)"/>
      <w:lvlJc w:val="left"/>
      <w:pPr>
        <w:ind w:left="425" w:hanging="425"/>
      </w:pPr>
      <w:rPr>
        <w:rFonts w:hint="default"/>
      </w:rPr>
    </w:lvl>
  </w:abstractNum>
  <w:abstractNum w:abstractNumId="31">
    <w:nsid w:val="20AB9193"/>
    <w:multiLevelType w:val="singleLevel"/>
    <w:tmpl w:val="20AB9193"/>
    <w:lvl w:ilvl="0" w:tentative="0">
      <w:start w:val="1"/>
      <w:numFmt w:val="decimal"/>
      <w:lvlText w:val="%1."/>
      <w:lvlJc w:val="left"/>
      <w:pPr>
        <w:ind w:left="425" w:hanging="425"/>
      </w:pPr>
      <w:rPr>
        <w:rFonts w:hint="default"/>
      </w:rPr>
    </w:lvl>
  </w:abstractNum>
  <w:abstractNum w:abstractNumId="32">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3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8E10C89"/>
    <w:multiLevelType w:val="singleLevel"/>
    <w:tmpl w:val="28E10C89"/>
    <w:lvl w:ilvl="0" w:tentative="0">
      <w:start w:val="1"/>
      <w:numFmt w:val="decimal"/>
      <w:suff w:val="space"/>
      <w:lvlText w:val="%1."/>
      <w:lvlJc w:val="left"/>
    </w:lvl>
  </w:abstractNum>
  <w:abstractNum w:abstractNumId="35">
    <w:nsid w:val="2A8AFD0D"/>
    <w:multiLevelType w:val="singleLevel"/>
    <w:tmpl w:val="2A8AFD0D"/>
    <w:lvl w:ilvl="0" w:tentative="0">
      <w:start w:val="1"/>
      <w:numFmt w:val="decimal"/>
      <w:lvlText w:val="(%1)"/>
      <w:lvlJc w:val="left"/>
      <w:pPr>
        <w:ind w:left="425" w:hanging="425"/>
      </w:pPr>
      <w:rPr>
        <w:rFonts w:hint="default"/>
      </w:rPr>
    </w:lvl>
  </w:abstractNum>
  <w:abstractNum w:abstractNumId="36">
    <w:nsid w:val="2CA827D2"/>
    <w:multiLevelType w:val="singleLevel"/>
    <w:tmpl w:val="2CA827D2"/>
    <w:lvl w:ilvl="0" w:tentative="0">
      <w:start w:val="1"/>
      <w:numFmt w:val="decimal"/>
      <w:lvlText w:val="(%1)"/>
      <w:lvlJc w:val="left"/>
      <w:pPr>
        <w:ind w:left="425" w:hanging="425"/>
      </w:pPr>
      <w:rPr>
        <w:rFonts w:hint="default"/>
      </w:rPr>
    </w:lvl>
  </w:abstractNum>
  <w:abstractNum w:abstractNumId="37">
    <w:nsid w:val="30FE714B"/>
    <w:multiLevelType w:val="singleLevel"/>
    <w:tmpl w:val="30FE714B"/>
    <w:lvl w:ilvl="0" w:tentative="0">
      <w:start w:val="1"/>
      <w:numFmt w:val="decimal"/>
      <w:lvlText w:val="(%1)"/>
      <w:lvlJc w:val="left"/>
      <w:pPr>
        <w:ind w:left="425" w:hanging="425"/>
      </w:pPr>
      <w:rPr>
        <w:rFonts w:hint="default"/>
      </w:rPr>
    </w:lvl>
  </w:abstractNum>
  <w:abstractNum w:abstractNumId="3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4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7">
    <w:nsid w:val="48E4188E"/>
    <w:multiLevelType w:val="singleLevel"/>
    <w:tmpl w:val="48E4188E"/>
    <w:lvl w:ilvl="0" w:tentative="0">
      <w:start w:val="1"/>
      <w:numFmt w:val="decimal"/>
      <w:lvlText w:val="(%1)"/>
      <w:lvlJc w:val="left"/>
      <w:pPr>
        <w:ind w:left="425" w:hanging="425"/>
      </w:pPr>
      <w:rPr>
        <w:rFonts w:hint="default"/>
      </w:rPr>
    </w:lvl>
  </w:abstractNum>
  <w:abstractNum w:abstractNumId="4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745EA76"/>
    <w:multiLevelType w:val="singleLevel"/>
    <w:tmpl w:val="6745EA76"/>
    <w:lvl w:ilvl="0" w:tentative="0">
      <w:start w:val="1"/>
      <w:numFmt w:val="decimal"/>
      <w:suff w:val="nothing"/>
      <w:lvlText w:val="（%1）"/>
      <w:lvlJc w:val="left"/>
    </w:lvl>
  </w:abstractNum>
  <w:abstractNum w:abstractNumId="53">
    <w:nsid w:val="6787E0FB"/>
    <w:multiLevelType w:val="singleLevel"/>
    <w:tmpl w:val="6787E0FB"/>
    <w:lvl w:ilvl="0" w:tentative="0">
      <w:start w:val="1"/>
      <w:numFmt w:val="decimal"/>
      <w:lvlText w:val="%1)"/>
      <w:lvlJc w:val="left"/>
      <w:pPr>
        <w:ind w:left="425" w:hanging="425"/>
      </w:pPr>
      <w:rPr>
        <w:rFonts w:hint="default"/>
      </w:rPr>
    </w:lvl>
  </w:abstractNum>
  <w:abstractNum w:abstractNumId="54">
    <w:nsid w:val="67E4B31F"/>
    <w:multiLevelType w:val="singleLevel"/>
    <w:tmpl w:val="67E4B31F"/>
    <w:lvl w:ilvl="0" w:tentative="0">
      <w:start w:val="1"/>
      <w:numFmt w:val="decimal"/>
      <w:lvlText w:val="(%1)"/>
      <w:lvlJc w:val="left"/>
      <w:pPr>
        <w:ind w:left="425" w:hanging="425"/>
      </w:pPr>
      <w:rPr>
        <w:rFonts w:hint="default" w:ascii="宋体" w:hAnsi="宋体" w:eastAsia="宋体" w:cs="宋体"/>
        <w:sz w:val="21"/>
        <w:szCs w:val="21"/>
      </w:rPr>
    </w:lvl>
  </w:abstractNum>
  <w:abstractNum w:abstractNumId="5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7">
    <w:nsid w:val="75752073"/>
    <w:multiLevelType w:val="singleLevel"/>
    <w:tmpl w:val="75752073"/>
    <w:lvl w:ilvl="0" w:tentative="0">
      <w:start w:val="1"/>
      <w:numFmt w:val="decimal"/>
      <w:lvlText w:val="(%1)"/>
      <w:lvlJc w:val="left"/>
      <w:pPr>
        <w:ind w:left="425" w:hanging="425"/>
      </w:pPr>
      <w:rPr>
        <w:rFonts w:hint="default" w:ascii="宋体" w:hAnsi="宋体" w:eastAsia="宋体" w:cs="宋体"/>
        <w:sz w:val="21"/>
        <w:szCs w:val="21"/>
      </w:rPr>
    </w:lvl>
  </w:abstractNum>
  <w:abstractNum w:abstractNumId="5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9">
    <w:nsid w:val="78F4A585"/>
    <w:multiLevelType w:val="singleLevel"/>
    <w:tmpl w:val="78F4A585"/>
    <w:lvl w:ilvl="0" w:tentative="0">
      <w:start w:val="1"/>
      <w:numFmt w:val="decimal"/>
      <w:lvlText w:val="(%1)"/>
      <w:lvlJc w:val="left"/>
      <w:pPr>
        <w:ind w:left="425" w:hanging="425"/>
      </w:pPr>
      <w:rPr>
        <w:rFonts w:hint="default"/>
      </w:rPr>
    </w:lvl>
  </w:abstractNum>
  <w:abstractNum w:abstractNumId="60">
    <w:nsid w:val="7BF4C217"/>
    <w:multiLevelType w:val="singleLevel"/>
    <w:tmpl w:val="7BF4C217"/>
    <w:lvl w:ilvl="0" w:tentative="0">
      <w:start w:val="1"/>
      <w:numFmt w:val="decimal"/>
      <w:lvlText w:val="(%1)"/>
      <w:lvlJc w:val="left"/>
      <w:pPr>
        <w:ind w:left="425" w:hanging="425"/>
      </w:pPr>
      <w:rPr>
        <w:rFonts w:hint="default" w:ascii="宋体" w:hAnsi="宋体" w:eastAsia="宋体" w:cs="宋体"/>
        <w:sz w:val="21"/>
        <w:szCs w:val="21"/>
      </w:rPr>
    </w:lvl>
  </w:abstractNum>
  <w:num w:numId="1">
    <w:abstractNumId w:val="49"/>
  </w:num>
  <w:num w:numId="2">
    <w:abstractNumId w:val="56"/>
  </w:num>
  <w:num w:numId="3">
    <w:abstractNumId w:val="40"/>
  </w:num>
  <w:num w:numId="4">
    <w:abstractNumId w:val="7"/>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50"/>
  </w:num>
  <w:num w:numId="8">
    <w:abstractNumId w:val="43"/>
  </w:num>
  <w:num w:numId="9">
    <w:abstractNumId w:val="25"/>
  </w:num>
  <w:num w:numId="10">
    <w:abstractNumId w:val="60"/>
  </w:num>
  <w:num w:numId="11">
    <w:abstractNumId w:val="54"/>
  </w:num>
  <w:num w:numId="12">
    <w:abstractNumId w:val="37"/>
  </w:num>
  <w:num w:numId="13">
    <w:abstractNumId w:val="23"/>
  </w:num>
  <w:num w:numId="14">
    <w:abstractNumId w:val="59"/>
  </w:num>
  <w:num w:numId="15">
    <w:abstractNumId w:val="24"/>
  </w:num>
  <w:num w:numId="16">
    <w:abstractNumId w:val="53"/>
  </w:num>
  <w:num w:numId="17">
    <w:abstractNumId w:val="29"/>
  </w:num>
  <w:num w:numId="18">
    <w:abstractNumId w:val="10"/>
  </w:num>
  <w:num w:numId="19">
    <w:abstractNumId w:val="2"/>
  </w:num>
  <w:num w:numId="20">
    <w:abstractNumId w:val="35"/>
  </w:num>
  <w:num w:numId="21">
    <w:abstractNumId w:val="16"/>
  </w:num>
  <w:num w:numId="22">
    <w:abstractNumId w:val="9"/>
  </w:num>
  <w:num w:numId="23">
    <w:abstractNumId w:val="34"/>
  </w:num>
  <w:num w:numId="24">
    <w:abstractNumId w:val="20"/>
  </w:num>
  <w:num w:numId="25">
    <w:abstractNumId w:val="57"/>
  </w:num>
  <w:num w:numId="26">
    <w:abstractNumId w:val="27"/>
  </w:num>
  <w:num w:numId="27">
    <w:abstractNumId w:val="30"/>
  </w:num>
  <w:num w:numId="28">
    <w:abstractNumId w:val="17"/>
  </w:num>
  <w:num w:numId="29">
    <w:abstractNumId w:val="39"/>
  </w:num>
  <w:num w:numId="30">
    <w:abstractNumId w:val="52"/>
  </w:num>
  <w:num w:numId="31">
    <w:abstractNumId w:val="47"/>
  </w:num>
  <w:num w:numId="32">
    <w:abstractNumId w:val="4"/>
  </w:num>
  <w:num w:numId="33">
    <w:abstractNumId w:val="28"/>
  </w:num>
  <w:num w:numId="34">
    <w:abstractNumId w:val="36"/>
  </w:num>
  <w:num w:numId="35">
    <w:abstractNumId w:val="5"/>
  </w:num>
  <w:num w:numId="36">
    <w:abstractNumId w:val="12"/>
  </w:num>
  <w:num w:numId="37">
    <w:abstractNumId w:val="44"/>
  </w:num>
  <w:num w:numId="38">
    <w:abstractNumId w:val="41"/>
  </w:num>
  <w:num w:numId="39">
    <w:abstractNumId w:val="14"/>
  </w:num>
  <w:num w:numId="40">
    <w:abstractNumId w:val="31"/>
  </w:num>
  <w:num w:numId="41">
    <w:abstractNumId w:val="8"/>
  </w:num>
  <w:num w:numId="42">
    <w:abstractNumId w:val="51"/>
  </w:num>
  <w:num w:numId="43">
    <w:abstractNumId w:val="22"/>
  </w:num>
  <w:num w:numId="44">
    <w:abstractNumId w:val="46"/>
  </w:num>
  <w:num w:numId="45">
    <w:abstractNumId w:val="6"/>
  </w:num>
  <w:num w:numId="46">
    <w:abstractNumId w:val="32"/>
  </w:num>
  <w:num w:numId="47">
    <w:abstractNumId w:val="1"/>
  </w:num>
  <w:num w:numId="48">
    <w:abstractNumId w:val="13"/>
  </w:num>
  <w:num w:numId="49">
    <w:abstractNumId w:val="11"/>
  </w:num>
  <w:num w:numId="50">
    <w:abstractNumId w:val="58"/>
  </w:num>
  <w:num w:numId="51">
    <w:abstractNumId w:val="0"/>
  </w:num>
  <w:num w:numId="52">
    <w:abstractNumId w:val="3"/>
  </w:num>
  <w:num w:numId="53">
    <w:abstractNumId w:val="42"/>
  </w:num>
  <w:num w:numId="54">
    <w:abstractNumId w:val="15"/>
  </w:num>
  <w:num w:numId="55">
    <w:abstractNumId w:val="19"/>
  </w:num>
  <w:num w:numId="56">
    <w:abstractNumId w:val="18"/>
  </w:num>
  <w:num w:numId="57">
    <w:abstractNumId w:val="55"/>
  </w:num>
  <w:num w:numId="58">
    <w:abstractNumId w:val="45"/>
  </w:num>
  <w:num w:numId="59">
    <w:abstractNumId w:val="38"/>
  </w:num>
  <w:num w:numId="60">
    <w:abstractNumId w:val="21"/>
  </w:num>
  <w:num w:numId="61">
    <w:abstractNumId w:val="48"/>
  </w:num>
  <w:num w:numId="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Zjg3NGNhNDBjZTg3NjUxODBmMTljYWYzNDhmMzI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8E3EEA"/>
    <w:rsid w:val="01A74A7C"/>
    <w:rsid w:val="01FC168D"/>
    <w:rsid w:val="02B47C4D"/>
    <w:rsid w:val="03A21644"/>
    <w:rsid w:val="04157EF9"/>
    <w:rsid w:val="04D46768"/>
    <w:rsid w:val="053A1CC8"/>
    <w:rsid w:val="06847A53"/>
    <w:rsid w:val="06856661"/>
    <w:rsid w:val="077B4608"/>
    <w:rsid w:val="07BB74B6"/>
    <w:rsid w:val="08493DEA"/>
    <w:rsid w:val="086E4EC9"/>
    <w:rsid w:val="08A0639B"/>
    <w:rsid w:val="0AA609CD"/>
    <w:rsid w:val="0AC92141"/>
    <w:rsid w:val="0B734A64"/>
    <w:rsid w:val="0BD0799B"/>
    <w:rsid w:val="0D8F46BE"/>
    <w:rsid w:val="0DCA4CA0"/>
    <w:rsid w:val="0DD201F4"/>
    <w:rsid w:val="0E5B6B80"/>
    <w:rsid w:val="0EE973C2"/>
    <w:rsid w:val="0F016A59"/>
    <w:rsid w:val="0F4526B6"/>
    <w:rsid w:val="0F7845B9"/>
    <w:rsid w:val="0F833EAC"/>
    <w:rsid w:val="100E73A9"/>
    <w:rsid w:val="119A5F83"/>
    <w:rsid w:val="11DD23F7"/>
    <w:rsid w:val="13FF2FDC"/>
    <w:rsid w:val="14113A07"/>
    <w:rsid w:val="152B64B8"/>
    <w:rsid w:val="15740DA4"/>
    <w:rsid w:val="16DF0FD5"/>
    <w:rsid w:val="195A6BC0"/>
    <w:rsid w:val="19F26BEF"/>
    <w:rsid w:val="1A5F1D9A"/>
    <w:rsid w:val="1A762976"/>
    <w:rsid w:val="1B855FC7"/>
    <w:rsid w:val="1E180DBE"/>
    <w:rsid w:val="1FF764F0"/>
    <w:rsid w:val="227A4EED"/>
    <w:rsid w:val="228D0750"/>
    <w:rsid w:val="25A5748F"/>
    <w:rsid w:val="25D85A3C"/>
    <w:rsid w:val="26B779B4"/>
    <w:rsid w:val="26E95967"/>
    <w:rsid w:val="28A3265E"/>
    <w:rsid w:val="2AEF7FDD"/>
    <w:rsid w:val="2B925F50"/>
    <w:rsid w:val="2B9E3425"/>
    <w:rsid w:val="2BFA4386"/>
    <w:rsid w:val="2CD73EA3"/>
    <w:rsid w:val="2D7E4433"/>
    <w:rsid w:val="2D845ED0"/>
    <w:rsid w:val="2E567885"/>
    <w:rsid w:val="2E602810"/>
    <w:rsid w:val="30381F4F"/>
    <w:rsid w:val="31A50371"/>
    <w:rsid w:val="34A05B77"/>
    <w:rsid w:val="35391E95"/>
    <w:rsid w:val="371423F1"/>
    <w:rsid w:val="38AC36F6"/>
    <w:rsid w:val="3C614F5C"/>
    <w:rsid w:val="3CDD7B26"/>
    <w:rsid w:val="3D360F47"/>
    <w:rsid w:val="3D3679ED"/>
    <w:rsid w:val="3DF265C3"/>
    <w:rsid w:val="3E0755D2"/>
    <w:rsid w:val="408D7227"/>
    <w:rsid w:val="40B55E68"/>
    <w:rsid w:val="416718EC"/>
    <w:rsid w:val="430464AD"/>
    <w:rsid w:val="439D7A21"/>
    <w:rsid w:val="43D97719"/>
    <w:rsid w:val="447267E8"/>
    <w:rsid w:val="44E431E5"/>
    <w:rsid w:val="47CC3244"/>
    <w:rsid w:val="48FB0615"/>
    <w:rsid w:val="492A4A83"/>
    <w:rsid w:val="495C1F5C"/>
    <w:rsid w:val="4B553E21"/>
    <w:rsid w:val="4B8B03E4"/>
    <w:rsid w:val="4CE75E60"/>
    <w:rsid w:val="4DDF67CC"/>
    <w:rsid w:val="4EE12BFB"/>
    <w:rsid w:val="50FA6A61"/>
    <w:rsid w:val="51794BC1"/>
    <w:rsid w:val="521A36AB"/>
    <w:rsid w:val="53D25371"/>
    <w:rsid w:val="540F1FD2"/>
    <w:rsid w:val="57594B93"/>
    <w:rsid w:val="594A6990"/>
    <w:rsid w:val="5B1B3D76"/>
    <w:rsid w:val="5E215B25"/>
    <w:rsid w:val="5E5E203D"/>
    <w:rsid w:val="5E7F3C63"/>
    <w:rsid w:val="5FC60758"/>
    <w:rsid w:val="60A60070"/>
    <w:rsid w:val="6227071D"/>
    <w:rsid w:val="62E76D2F"/>
    <w:rsid w:val="62F35BF9"/>
    <w:rsid w:val="640C25AF"/>
    <w:rsid w:val="668B15A6"/>
    <w:rsid w:val="67872A62"/>
    <w:rsid w:val="683A303D"/>
    <w:rsid w:val="685D5F73"/>
    <w:rsid w:val="68E97B63"/>
    <w:rsid w:val="6A5B2F9C"/>
    <w:rsid w:val="6A6604DD"/>
    <w:rsid w:val="6B1E605C"/>
    <w:rsid w:val="6B4923F5"/>
    <w:rsid w:val="6BC01D50"/>
    <w:rsid w:val="6C5E0507"/>
    <w:rsid w:val="6C5F3ADD"/>
    <w:rsid w:val="6E3F209B"/>
    <w:rsid w:val="730374A3"/>
    <w:rsid w:val="74783A1C"/>
    <w:rsid w:val="74AB354D"/>
    <w:rsid w:val="74B05132"/>
    <w:rsid w:val="75356292"/>
    <w:rsid w:val="759B2CF5"/>
    <w:rsid w:val="76C52AAF"/>
    <w:rsid w:val="76F92D21"/>
    <w:rsid w:val="772A35DE"/>
    <w:rsid w:val="777A084C"/>
    <w:rsid w:val="77D648AE"/>
    <w:rsid w:val="78930DC9"/>
    <w:rsid w:val="789F5C38"/>
    <w:rsid w:val="798425C1"/>
    <w:rsid w:val="79BF662E"/>
    <w:rsid w:val="7A5F5F60"/>
    <w:rsid w:val="7B2952F2"/>
    <w:rsid w:val="7C303F5B"/>
    <w:rsid w:val="7EBB576E"/>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99"/>
    <w:pPr>
      <w:ind w:firstLine="900"/>
    </w:pPr>
    <w:rPr>
      <w:kern w:val="0"/>
      <w:sz w:val="20"/>
      <w:szCs w:val="20"/>
    </w:rPr>
  </w:style>
  <w:style w:type="paragraph" w:styleId="4">
    <w:name w:val="annotation text"/>
    <w:basedOn w:val="1"/>
    <w:link w:val="28"/>
    <w:unhideWhenUsed/>
    <w:qFormat/>
    <w:uiPriority w:val="99"/>
    <w:pPr>
      <w:jc w:val="left"/>
    </w:pPr>
  </w:style>
  <w:style w:type="paragraph" w:styleId="5">
    <w:name w:val="Body Text 3"/>
    <w:basedOn w:val="1"/>
    <w:unhideWhenUsed/>
    <w:qFormat/>
    <w:uiPriority w:val="99"/>
    <w:pPr>
      <w:spacing w:after="120"/>
    </w:pPr>
    <w:rPr>
      <w:sz w:val="16"/>
      <w:szCs w:val="16"/>
    </w:rPr>
  </w:style>
  <w:style w:type="paragraph" w:styleId="6">
    <w:name w:val="Body Text"/>
    <w:basedOn w:val="1"/>
    <w:qFormat/>
    <w:uiPriority w:val="0"/>
    <w:pPr>
      <w:widowControl/>
      <w:spacing w:after="220" w:line="180" w:lineRule="atLeast"/>
      <w:ind w:left="835"/>
    </w:pPr>
    <w:rPr>
      <w:rFonts w:ascii="Arial" w:hAnsi="Arial"/>
      <w:spacing w:val="-5"/>
      <w:kern w:val="0"/>
      <w:sz w:val="20"/>
    </w:rPr>
  </w:style>
  <w:style w:type="paragraph" w:styleId="7">
    <w:name w:val="toc 3"/>
    <w:basedOn w:val="1"/>
    <w:next w:val="1"/>
    <w:unhideWhenUsed/>
    <w:qFormat/>
    <w:uiPriority w:val="39"/>
    <w:pPr>
      <w:ind w:left="840" w:leftChars="400"/>
    </w:pPr>
  </w:style>
  <w:style w:type="paragraph" w:styleId="8">
    <w:name w:val="Plain Text"/>
    <w:basedOn w:val="1"/>
    <w:qFormat/>
    <w:uiPriority w:val="99"/>
    <w:rPr>
      <w:rFonts w:ascii="宋体" w:hAnsi="Courier New"/>
      <w:kern w:val="0"/>
      <w:sz w:val="20"/>
      <w:szCs w:val="20"/>
    </w:rPr>
  </w:style>
  <w:style w:type="paragraph" w:styleId="9">
    <w:name w:val="Balloon Text"/>
    <w:basedOn w:val="1"/>
    <w:link w:val="30"/>
    <w:semiHidden/>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37"/>
    <w:semiHidden/>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Body Text 2"/>
    <w:basedOn w:val="1"/>
    <w:link w:val="36"/>
    <w:qFormat/>
    <w:uiPriority w:val="0"/>
    <w:pPr>
      <w:jc w:val="left"/>
    </w:pPr>
    <w:rPr>
      <w:rFonts w:ascii="仿宋_GB2312" w:hAnsi="宋体" w:eastAsia="仿宋_GB2312"/>
    </w:rPr>
  </w:style>
  <w:style w:type="paragraph" w:styleId="16">
    <w:name w:val="Normal (Web)"/>
    <w:basedOn w:val="1"/>
    <w:unhideWhenUsed/>
    <w:qFormat/>
    <w:uiPriority w:val="99"/>
    <w:pPr>
      <w:widowControl/>
      <w:jc w:val="left"/>
    </w:pPr>
    <w:rPr>
      <w:rFonts w:ascii="宋体" w:hAnsi="宋体" w:cs="宋体"/>
      <w:kern w:val="0"/>
      <w:sz w:val="24"/>
    </w:rPr>
  </w:style>
  <w:style w:type="paragraph" w:styleId="17">
    <w:name w:val="annotation subject"/>
    <w:basedOn w:val="4"/>
    <w:next w:val="4"/>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列表段落 字符"/>
    <w:link w:val="26"/>
    <w:qFormat/>
    <w:uiPriority w:val="34"/>
    <w:rPr>
      <w:rFonts w:ascii="Times New Roman" w:hAnsi="Times New Roman"/>
      <w:szCs w:val="24"/>
    </w:rPr>
  </w:style>
  <w:style w:type="paragraph" w:styleId="26">
    <w:name w:val="List Paragraph"/>
    <w:basedOn w:val="1"/>
    <w:link w:val="25"/>
    <w:qFormat/>
    <w:uiPriority w:val="34"/>
    <w:pPr>
      <w:ind w:firstLine="420" w:firstLineChars="200"/>
    </w:pPr>
    <w:rPr>
      <w:rFonts w:eastAsiaTheme="minorEastAsia" w:cstheme="minorBidi"/>
    </w:rPr>
  </w:style>
  <w:style w:type="character" w:customStyle="1" w:styleId="27">
    <w:name w:val="批注文字 字符"/>
    <w:basedOn w:val="20"/>
    <w:semiHidden/>
    <w:qFormat/>
    <w:uiPriority w:val="99"/>
    <w:rPr>
      <w:rFonts w:ascii="Times New Roman" w:hAnsi="Times New Roman" w:eastAsia="宋体" w:cs="Times New Roman"/>
      <w:szCs w:val="24"/>
    </w:rPr>
  </w:style>
  <w:style w:type="character" w:customStyle="1" w:styleId="28">
    <w:name w:val="批注文字 字符1"/>
    <w:link w:val="4"/>
    <w:qFormat/>
    <w:uiPriority w:val="99"/>
    <w:rPr>
      <w:rFonts w:ascii="Times New Roman" w:hAnsi="Times New Roman" w:eastAsia="宋体" w:cs="Times New Roman"/>
      <w:szCs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
    <w:name w:val="批注框文本 字符"/>
    <w:basedOn w:val="20"/>
    <w:link w:val="9"/>
    <w:semiHidden/>
    <w:qFormat/>
    <w:uiPriority w:val="99"/>
    <w:rPr>
      <w:rFonts w:ascii="Times New Roman" w:hAnsi="Times New Roman" w:eastAsia="宋体" w:cs="Times New Roman"/>
      <w:sz w:val="18"/>
      <w:szCs w:val="18"/>
    </w:rPr>
  </w:style>
  <w:style w:type="character" w:customStyle="1" w:styleId="31">
    <w:name w:val="页眉 字符"/>
    <w:basedOn w:val="20"/>
    <w:link w:val="11"/>
    <w:qFormat/>
    <w:uiPriority w:val="99"/>
    <w:rPr>
      <w:rFonts w:ascii="Times New Roman" w:hAnsi="Times New Roman" w:eastAsia="宋体" w:cs="Times New Roman"/>
      <w:sz w:val="18"/>
      <w:szCs w:val="18"/>
    </w:rPr>
  </w:style>
  <w:style w:type="character" w:customStyle="1" w:styleId="32">
    <w:name w:val="页脚 字符"/>
    <w:basedOn w:val="20"/>
    <w:link w:val="10"/>
    <w:qFormat/>
    <w:uiPriority w:val="99"/>
    <w:rPr>
      <w:rFonts w:ascii="Times New Roman" w:hAnsi="Times New Roman" w:eastAsia="宋体" w:cs="Times New Roman"/>
      <w:sz w:val="18"/>
      <w:szCs w:val="18"/>
    </w:rPr>
  </w:style>
  <w:style w:type="character" w:customStyle="1" w:styleId="33">
    <w:name w:val="标题1"/>
    <w:basedOn w:val="20"/>
    <w:qFormat/>
    <w:uiPriority w:val="0"/>
  </w:style>
  <w:style w:type="character" w:customStyle="1" w:styleId="34">
    <w:name w:val="批注主题 字符"/>
    <w:basedOn w:val="28"/>
    <w:link w:val="17"/>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2 字符"/>
    <w:basedOn w:val="20"/>
    <w:link w:val="15"/>
    <w:qFormat/>
    <w:uiPriority w:val="0"/>
    <w:rPr>
      <w:rFonts w:ascii="仿宋_GB2312" w:hAnsi="宋体" w:eastAsia="仿宋_GB2312"/>
      <w:kern w:val="2"/>
      <w:sz w:val="21"/>
      <w:szCs w:val="24"/>
    </w:rPr>
  </w:style>
  <w:style w:type="character" w:customStyle="1" w:styleId="37">
    <w:name w:val="脚注文本 字符"/>
    <w:basedOn w:val="20"/>
    <w:link w:val="13"/>
    <w:semiHidden/>
    <w:qFormat/>
    <w:uiPriority w:val="99"/>
    <w:rPr>
      <w:kern w:val="2"/>
      <w:sz w:val="18"/>
      <w:szCs w:val="18"/>
    </w:rPr>
  </w:style>
  <w:style w:type="paragraph" w:customStyle="1" w:styleId="38">
    <w:name w:val="列表段落1"/>
    <w:basedOn w:val="1"/>
    <w:qFormat/>
    <w:uiPriority w:val="99"/>
    <w:pPr>
      <w:ind w:firstLine="420" w:firstLineChars="200"/>
    </w:pPr>
    <w:rPr>
      <w:sz w:val="24"/>
      <w:szCs w:val="20"/>
    </w:rPr>
  </w:style>
  <w:style w:type="character" w:customStyle="1" w:styleId="39">
    <w:name w:val="label_list"/>
    <w:qFormat/>
    <w:uiPriority w:val="99"/>
    <w:rPr>
      <w:rFonts w:cs="Times New Roman"/>
    </w:rPr>
  </w:style>
  <w:style w:type="paragraph" w:customStyle="1" w:styleId="4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19034</Words>
  <Characters>28726</Characters>
  <Lines>125</Lines>
  <Paragraphs>35</Paragraphs>
  <TotalTime>13</TotalTime>
  <ScaleCrop>false</ScaleCrop>
  <LinksUpToDate>false</LinksUpToDate>
  <CharactersWithSpaces>33171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admin</cp:lastModifiedBy>
  <dcterms:modified xsi:type="dcterms:W3CDTF">2022-08-26T09:33:50Z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