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项目名称：深圳会展中心战略发展研究课题项目</w:t>
      </w:r>
    </w:p>
    <w:p>
      <w:pPr>
        <w:tabs>
          <w:tab w:val="left" w:pos="2127"/>
          <w:tab w:val="left" w:pos="2694"/>
        </w:tabs>
        <w:spacing w:line="360" w:lineRule="auto"/>
        <w:ind w:firstLine="2030" w:firstLineChars="632"/>
        <w:rPr>
          <w:rFonts w:ascii="宋体" w:hAnsi="宋体"/>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9</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7"/>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7"/>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15"/>
          <w:rFonts w:ascii="宋体" w:hAnsi="宋体"/>
          <w:b/>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"_Toc106791253" </w:instrText>
      </w:r>
      <w:r>
        <w:fldChar w:fldCharType="separate"/>
      </w:r>
      <w:r>
        <w:rPr>
          <w:rStyle w:val="15"/>
          <w:rFonts w:ascii="宋体" w:hAnsi="宋体" w:cs="仿宋"/>
          <w:bCs/>
        </w:rPr>
        <w:t>一、</w:t>
      </w:r>
      <w:r>
        <w:rPr>
          <w:rStyle w:val="15"/>
          <w:rFonts w:ascii="宋体" w:hAnsi="宋体"/>
        </w:rPr>
        <w:t>投标人须知</w:t>
      </w:r>
      <w:r>
        <w:tab/>
      </w:r>
      <w:r>
        <w:fldChar w:fldCharType="begin"/>
      </w:r>
      <w:r>
        <w:instrText xml:space="preserve"> PAGEREF _Toc106791253 \h </w:instrText>
      </w:r>
      <w:r>
        <w:fldChar w:fldCharType="separate"/>
      </w:r>
      <w:r>
        <w:t>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"_Toc106791254" </w:instrText>
      </w:r>
      <w:r>
        <w:fldChar w:fldCharType="separate"/>
      </w:r>
      <w:r>
        <w:rPr>
          <w:rStyle w:val="15"/>
          <w:rFonts w:ascii="宋体" w:hAnsi="宋体" w:cs="仿宋"/>
          <w:bCs/>
        </w:rPr>
        <w:t>二、</w:t>
      </w:r>
      <w:r>
        <w:rPr>
          <w:rStyle w:val="15"/>
          <w:rFonts w:ascii="宋体" w:hAnsi="宋体"/>
        </w:rPr>
        <w:t>特别说明</w:t>
      </w:r>
      <w:r>
        <w:tab/>
      </w:r>
      <w:r>
        <w:fldChar w:fldCharType="begin"/>
      </w:r>
      <w:r>
        <w:instrText xml:space="preserve"> PAGEREF _Toc106791254 \h </w:instrText>
      </w:r>
      <w:r>
        <w:fldChar w:fldCharType="separate"/>
      </w:r>
      <w:r>
        <w:t>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"_Toc106791255" </w:instrText>
      </w:r>
      <w:r>
        <w:fldChar w:fldCharType="separate"/>
      </w:r>
      <w:r>
        <w:rPr>
          <w:rStyle w:val="15"/>
          <w:rFonts w:ascii="宋体" w:hAnsi="宋体" w:cs="仿宋"/>
          <w:bCs/>
        </w:rPr>
        <w:t>三、</w:t>
      </w:r>
      <w:r>
        <w:rPr>
          <w:rStyle w:val="15"/>
          <w:rFonts w:ascii="宋体" w:hAnsi="宋体"/>
        </w:rPr>
        <w:t>投标文件编制</w:t>
      </w:r>
      <w:r>
        <w:tab/>
      </w:r>
      <w:r>
        <w:fldChar w:fldCharType="begin"/>
      </w:r>
      <w:r>
        <w:instrText xml:space="preserve"> PAGEREF _Toc106791255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"_Toc106791256" </w:instrText>
      </w:r>
      <w:r>
        <w:fldChar w:fldCharType="separate"/>
      </w:r>
      <w:r>
        <w:rPr>
          <w:rStyle w:val="15"/>
          <w:rFonts w:ascii="宋体" w:hAnsi="宋体" w:cs="仿宋"/>
          <w:bCs/>
        </w:rPr>
        <w:t>四、</w:t>
      </w:r>
      <w:r>
        <w:rPr>
          <w:rStyle w:val="15"/>
          <w:rFonts w:ascii="宋体" w:hAnsi="宋体"/>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"_Toc106791257" </w:instrText>
      </w:r>
      <w:r>
        <w:fldChar w:fldCharType="separate"/>
      </w:r>
      <w:r>
        <w:rPr>
          <w:rStyle w:val="15"/>
          <w:rFonts w:ascii="宋体" w:hAnsi="宋体" w:cs="仿宋"/>
          <w:bCs/>
        </w:rPr>
        <w:t>五、</w:t>
      </w:r>
      <w:r>
        <w:rPr>
          <w:rStyle w:val="15"/>
          <w:rFonts w:ascii="宋体" w:hAnsi="宋体"/>
        </w:rPr>
        <w:t>其他项目说明资料</w:t>
      </w:r>
      <w:r>
        <w:tab/>
      </w:r>
      <w:r>
        <w:fldChar w:fldCharType="begin"/>
      </w:r>
      <w:r>
        <w:instrText xml:space="preserve"> PAGEREF _Toc106791257 \h </w:instrText>
      </w:r>
      <w:r>
        <w:fldChar w:fldCharType="separate"/>
      </w:r>
      <w:r>
        <w:t>6</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"_Toc106791258" </w:instrText>
      </w:r>
      <w:r>
        <w:fldChar w:fldCharType="separate"/>
      </w:r>
      <w:r>
        <w:rPr>
          <w:rStyle w:val="15"/>
          <w:rFonts w:ascii="宋体" w:hAnsi="宋体"/>
          <w:b/>
        </w:rPr>
        <w:t>第二部分：开标评标流程</w:t>
      </w:r>
      <w:r>
        <w:tab/>
      </w:r>
      <w:r>
        <w:fldChar w:fldCharType="begin"/>
      </w:r>
      <w:r>
        <w:instrText xml:space="preserve"> PAGEREF _Toc106791258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"_Toc106791260" </w:instrText>
      </w:r>
      <w:r>
        <w:fldChar w:fldCharType="separate"/>
      </w:r>
      <w:r>
        <w:rPr>
          <w:rStyle w:val="15"/>
          <w:rFonts w:ascii="宋体" w:hAnsi="宋体" w:cs="仿宋"/>
          <w:bCs/>
        </w:rPr>
        <w:t>六、</w:t>
      </w:r>
      <w:r>
        <w:rPr>
          <w:rStyle w:val="15"/>
        </w:rPr>
        <w:t>开标阶段</w:t>
      </w:r>
      <w:r>
        <w:tab/>
      </w:r>
      <w:r>
        <w:fldChar w:fldCharType="begin"/>
      </w:r>
      <w:r>
        <w:instrText xml:space="preserve"> PAGEREF _Toc106791260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"_Toc106791261" </w:instrText>
      </w:r>
      <w:r>
        <w:fldChar w:fldCharType="separate"/>
      </w:r>
      <w:r>
        <w:rPr>
          <w:rStyle w:val="15"/>
          <w:rFonts w:ascii="宋体" w:hAnsi="宋体" w:cs="仿宋"/>
          <w:bCs/>
        </w:rPr>
        <w:t>七、</w:t>
      </w:r>
      <w:r>
        <w:rPr>
          <w:rStyle w:val="15"/>
        </w:rPr>
        <w:t>评标阶段</w:t>
      </w:r>
      <w:r>
        <w:tab/>
      </w:r>
      <w:r>
        <w:fldChar w:fldCharType="begin"/>
      </w:r>
      <w:r>
        <w:instrText xml:space="preserve"> PAGEREF _Toc106791261 \h </w:instrText>
      </w:r>
      <w:r>
        <w:fldChar w:fldCharType="separate"/>
      </w:r>
      <w:r>
        <w:t>7</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"_Toc106791262" </w:instrText>
      </w:r>
      <w:r>
        <w:fldChar w:fldCharType="separate"/>
      </w:r>
      <w:r>
        <w:rPr>
          <w:rStyle w:val="15"/>
          <w:rFonts w:ascii="宋体" w:hAnsi="宋体"/>
          <w:b/>
        </w:rPr>
        <w:t>第三部分：评审办法</w:t>
      </w:r>
      <w:r>
        <w:tab/>
      </w:r>
      <w:r>
        <w:fldChar w:fldCharType="begin"/>
      </w:r>
      <w:r>
        <w:instrText xml:space="preserve"> PAGEREF _Toc106791262 \h </w:instrText>
      </w:r>
      <w:r>
        <w:fldChar w:fldCharType="separate"/>
      </w:r>
      <w:r>
        <w:t>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"_Toc106791263" </w:instrText>
      </w:r>
      <w:r>
        <w:fldChar w:fldCharType="separate"/>
      </w:r>
      <w:r>
        <w:rPr>
          <w:rStyle w:val="15"/>
          <w:rFonts w:ascii="宋体" w:hAnsi="宋体" w:cs="仿宋"/>
          <w:bCs/>
        </w:rPr>
        <w:t>八、</w:t>
      </w:r>
      <w:r>
        <w:rPr>
          <w:rStyle w:val="15"/>
          <w:rFonts w:ascii="宋体" w:hAnsi="宋体"/>
          <w:bCs/>
        </w:rPr>
        <w:t xml:space="preserve"> 评审办法</w:t>
      </w:r>
      <w:r>
        <w:tab/>
      </w:r>
      <w:r>
        <w:fldChar w:fldCharType="begin"/>
      </w:r>
      <w:r>
        <w:instrText xml:space="preserve"> PAGEREF _Toc106791263 \h </w:instrText>
      </w:r>
      <w:r>
        <w:fldChar w:fldCharType="separate"/>
      </w:r>
      <w:r>
        <w:t>8</w:t>
      </w:r>
      <w:r>
        <w:fldChar w:fldCharType="end"/>
      </w:r>
      <w:r>
        <w:fldChar w:fldCharType="end"/>
      </w:r>
    </w:p>
    <w:p>
      <w:pPr>
        <w:pStyle w:val="5"/>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"_Toc106791264" </w:instrText>
      </w:r>
      <w:r>
        <w:fldChar w:fldCharType="separate"/>
      </w:r>
      <w:r>
        <w:rPr>
          <w:rStyle w:val="15"/>
          <w:rFonts w:ascii="宋体" w:hAnsi="宋体"/>
        </w:rPr>
        <w:t>（一）</w:t>
      </w:r>
      <w:r>
        <w:rPr>
          <w:rStyle w:val="15"/>
          <w:rFonts w:ascii="宋体" w:hAnsi="宋体"/>
          <w:bCs/>
        </w:rPr>
        <w:t>符合性检查</w:t>
      </w:r>
      <w:r>
        <w:tab/>
      </w:r>
      <w:r>
        <w:fldChar w:fldCharType="begin"/>
      </w:r>
      <w:r>
        <w:instrText xml:space="preserve"> PAGEREF _Toc106791264 \h </w:instrText>
      </w:r>
      <w:r>
        <w:fldChar w:fldCharType="separate"/>
      </w:r>
      <w:r>
        <w:t>8</w:t>
      </w:r>
      <w:r>
        <w:fldChar w:fldCharType="end"/>
      </w:r>
      <w:r>
        <w:fldChar w:fldCharType="end"/>
      </w:r>
    </w:p>
    <w:p>
      <w:pPr>
        <w:pStyle w:val="5"/>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"_Toc106791265" </w:instrText>
      </w:r>
      <w:r>
        <w:fldChar w:fldCharType="separate"/>
      </w:r>
      <w:r>
        <w:rPr>
          <w:rStyle w:val="15"/>
          <w:rFonts w:ascii="宋体" w:hAnsi="宋体"/>
          <w:bCs/>
        </w:rPr>
        <w:t>（二）综合评议指标表</w:t>
      </w:r>
      <w:r>
        <w:tab/>
      </w:r>
      <w:r>
        <w:fldChar w:fldCharType="begin"/>
      </w:r>
      <w:r>
        <w:instrText xml:space="preserve"> PAGEREF _Toc106791265 \h </w:instrText>
      </w:r>
      <w:r>
        <w:fldChar w:fldCharType="separate"/>
      </w:r>
      <w:r>
        <w:t>10</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"_Toc106791266" </w:instrText>
      </w:r>
      <w:r>
        <w:fldChar w:fldCharType="separate"/>
      </w:r>
      <w:r>
        <w:rPr>
          <w:rStyle w:val="15"/>
          <w:rFonts w:ascii="宋体" w:hAnsi="宋体"/>
          <w:b/>
        </w:rPr>
        <w:t>第四部分：合同条款及格式</w:t>
      </w:r>
      <w:r>
        <w:tab/>
      </w:r>
      <w:r>
        <w:fldChar w:fldCharType="begin"/>
      </w:r>
      <w:r>
        <w:instrText xml:space="preserve"> PAGEREF _Toc106791266 \h </w:instrText>
      </w:r>
      <w:r>
        <w:fldChar w:fldCharType="separate"/>
      </w:r>
      <w:r>
        <w:t>12</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"_Toc106791267" </w:instrText>
      </w:r>
      <w:r>
        <w:fldChar w:fldCharType="separate"/>
      </w:r>
      <w:r>
        <w:rPr>
          <w:rStyle w:val="15"/>
          <w:b/>
        </w:rPr>
        <w:t>第五部分：参考附件</w:t>
      </w:r>
      <w:r>
        <w:tab/>
      </w:r>
      <w:r>
        <w:fldChar w:fldCharType="begin"/>
      </w:r>
      <w:r>
        <w:instrText xml:space="preserve"> PAGEREF _Toc106791267 \h </w:instrText>
      </w:r>
      <w:r>
        <w:fldChar w:fldCharType="separate"/>
      </w:r>
      <w:r>
        <w:t>17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"_Toc106791268" </w:instrText>
      </w:r>
      <w:r>
        <w:fldChar w:fldCharType="separate"/>
      </w:r>
      <w:r>
        <w:rPr>
          <w:rStyle w:val="15"/>
          <w:rFonts w:ascii="宋体" w:hAnsi="宋体"/>
        </w:rPr>
        <w:t>附件1：报名回函</w:t>
      </w:r>
      <w:r>
        <w:tab/>
      </w:r>
      <w:r>
        <w:fldChar w:fldCharType="begin"/>
      </w:r>
      <w:r>
        <w:instrText xml:space="preserve"> PAGEREF _Toc106791268 \h </w:instrText>
      </w:r>
      <w:r>
        <w:fldChar w:fldCharType="separate"/>
      </w:r>
      <w:r>
        <w:t>17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"_Toc106791269" </w:instrText>
      </w:r>
      <w:r>
        <w:fldChar w:fldCharType="separate"/>
      </w:r>
      <w:r>
        <w:rPr>
          <w:rStyle w:val="15"/>
          <w:rFonts w:ascii="宋体" w:hAnsi="宋体"/>
        </w:rPr>
        <w:t>附件2：投标函</w:t>
      </w:r>
      <w:r>
        <w:tab/>
      </w:r>
      <w:r>
        <w:fldChar w:fldCharType="begin"/>
      </w:r>
      <w:r>
        <w:instrText xml:space="preserve"> PAGEREF _Toc106791269 \h </w:instrText>
      </w:r>
      <w:r>
        <w:fldChar w:fldCharType="separate"/>
      </w:r>
      <w:r>
        <w:t>19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"_Toc106791270" </w:instrText>
      </w:r>
      <w:r>
        <w:fldChar w:fldCharType="separate"/>
      </w:r>
      <w:r>
        <w:rPr>
          <w:rStyle w:val="15"/>
          <w:rFonts w:ascii="宋体" w:hAnsi="宋体"/>
        </w:rPr>
        <w:t>附件3：投标一览表</w:t>
      </w:r>
      <w:r>
        <w:tab/>
      </w:r>
      <w:r>
        <w:fldChar w:fldCharType="begin"/>
      </w:r>
      <w:r>
        <w:instrText xml:space="preserve"> PAGEREF _Toc106791270 \h </w:instrText>
      </w:r>
      <w:r>
        <w:fldChar w:fldCharType="separate"/>
      </w:r>
      <w:r>
        <w:t>20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"_Toc106791271" </w:instrText>
      </w:r>
      <w:r>
        <w:fldChar w:fldCharType="separate"/>
      </w:r>
      <w:r>
        <w:rPr>
          <w:rStyle w:val="15"/>
          <w:rFonts w:ascii="宋体" w:hAnsi="宋体"/>
        </w:rPr>
        <w:t>附件4：考察证明</w:t>
      </w:r>
      <w:r>
        <w:tab/>
      </w:r>
      <w:r>
        <w:fldChar w:fldCharType="begin"/>
      </w:r>
      <w:r>
        <w:instrText xml:space="preserve"> PAGEREF _Toc106791271 \h </w:instrText>
      </w:r>
      <w:r>
        <w:fldChar w:fldCharType="separate"/>
      </w:r>
      <w:r>
        <w:t>21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"_Toc106791272" </w:instrText>
      </w:r>
      <w:r>
        <w:fldChar w:fldCharType="separate"/>
      </w:r>
      <w:r>
        <w:rPr>
          <w:rStyle w:val="15"/>
          <w:rFonts w:ascii="宋体" w:hAnsi="宋体"/>
        </w:rPr>
        <w:t>附件5：技术服务响应/偏离表</w:t>
      </w:r>
      <w:r>
        <w:tab/>
      </w:r>
      <w:r>
        <w:fldChar w:fldCharType="begin"/>
      </w:r>
      <w:r>
        <w:instrText xml:space="preserve"> PAGEREF _Toc106791272 \h </w:instrText>
      </w:r>
      <w:r>
        <w:fldChar w:fldCharType="separate"/>
      </w:r>
      <w:r>
        <w:t>22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"_Toc106791273" </w:instrText>
      </w:r>
      <w:r>
        <w:fldChar w:fldCharType="separate"/>
      </w:r>
      <w:r>
        <w:rPr>
          <w:rStyle w:val="15"/>
          <w:rFonts w:ascii="宋体" w:hAnsi="宋体"/>
        </w:rPr>
        <w:t>附件6：商务条款响应/偏离表</w:t>
      </w:r>
      <w:r>
        <w:tab/>
      </w:r>
      <w:r>
        <w:fldChar w:fldCharType="begin"/>
      </w:r>
      <w:r>
        <w:instrText xml:space="preserve"> PAGEREF _Toc106791273 \h </w:instrText>
      </w:r>
      <w:r>
        <w:fldChar w:fldCharType="separate"/>
      </w:r>
      <w:r>
        <w:t>23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"_Toc106791274" </w:instrText>
      </w:r>
      <w:r>
        <w:fldChar w:fldCharType="separate"/>
      </w:r>
      <w:r>
        <w:rPr>
          <w:rStyle w:val="15"/>
          <w:rFonts w:ascii="宋体" w:hAnsi="宋体"/>
        </w:rPr>
        <w:t>附件7：报价一览表（货物）（本项目不适用）</w:t>
      </w:r>
      <w:r>
        <w:tab/>
      </w:r>
      <w:r>
        <w:fldChar w:fldCharType="begin"/>
      </w:r>
      <w:r>
        <w:instrText xml:space="preserve"> PAGEREF _Toc106791274 \h </w:instrText>
      </w:r>
      <w:r>
        <w:fldChar w:fldCharType="separate"/>
      </w:r>
      <w:r>
        <w:t>24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"_Toc106791275" </w:instrText>
      </w:r>
      <w:r>
        <w:fldChar w:fldCharType="separate"/>
      </w:r>
      <w:r>
        <w:rPr>
          <w:rStyle w:val="15"/>
          <w:rFonts w:ascii="宋体" w:hAnsi="宋体"/>
        </w:rPr>
        <w:t>附件8：报价一览表（服务）</w:t>
      </w:r>
      <w:r>
        <w:tab/>
      </w:r>
      <w:r>
        <w:fldChar w:fldCharType="begin"/>
      </w:r>
      <w:r>
        <w:instrText xml:space="preserve"> PAGEREF _Toc106791275 \h </w:instrText>
      </w:r>
      <w:r>
        <w:fldChar w:fldCharType="separate"/>
      </w:r>
      <w:r>
        <w:t>25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"_Toc106791276" </w:instrText>
      </w:r>
      <w:r>
        <w:fldChar w:fldCharType="separate"/>
      </w:r>
      <w:r>
        <w:rPr>
          <w:rStyle w:val="15"/>
          <w:rFonts w:ascii="宋体" w:hAnsi="宋体"/>
        </w:rPr>
        <w:t>附件9：报价一览表（工程）（本项目不适用）</w:t>
      </w:r>
      <w:r>
        <w:tab/>
      </w:r>
      <w:r>
        <w:fldChar w:fldCharType="begin"/>
      </w:r>
      <w:r>
        <w:instrText xml:space="preserve"> PAGEREF _Toc106791276 \h </w:instrText>
      </w:r>
      <w:r>
        <w:fldChar w:fldCharType="separate"/>
      </w:r>
      <w:r>
        <w:t>26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"_Toc106791277" </w:instrText>
      </w:r>
      <w:r>
        <w:fldChar w:fldCharType="separate"/>
      </w:r>
      <w:r>
        <w:rPr>
          <w:rStyle w:val="15"/>
          <w:rFonts w:ascii="宋体" w:hAnsi="宋体"/>
        </w:rPr>
        <w:t>附件10：法定代表人证明书</w:t>
      </w:r>
      <w:r>
        <w:tab/>
      </w:r>
      <w:r>
        <w:fldChar w:fldCharType="begin"/>
      </w:r>
      <w:r>
        <w:instrText xml:space="preserve"> PAGEREF _Toc106791277 \h </w:instrText>
      </w:r>
      <w:r>
        <w:fldChar w:fldCharType="separate"/>
      </w:r>
      <w:r>
        <w:t>27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"_Toc106791278" </w:instrText>
      </w:r>
      <w:r>
        <w:fldChar w:fldCharType="separate"/>
      </w:r>
      <w:r>
        <w:rPr>
          <w:rStyle w:val="15"/>
          <w:rFonts w:ascii="宋体" w:hAnsi="宋体"/>
        </w:rPr>
        <w:t>附件11：法人授权委托证明书</w:t>
      </w:r>
      <w:r>
        <w:tab/>
      </w:r>
      <w:r>
        <w:fldChar w:fldCharType="begin"/>
      </w:r>
      <w:r>
        <w:instrText xml:space="preserve"> PAGEREF _Toc106791278 \h </w:instrText>
      </w:r>
      <w:r>
        <w:fldChar w:fldCharType="separate"/>
      </w:r>
      <w:r>
        <w:t>28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"_Toc106791279" </w:instrText>
      </w:r>
      <w:r>
        <w:fldChar w:fldCharType="separate"/>
      </w:r>
      <w:r>
        <w:rPr>
          <w:rStyle w:val="15"/>
          <w:rFonts w:ascii="宋体" w:hAnsi="宋体"/>
        </w:rPr>
        <w:t>附件12：经营业绩一览表</w:t>
      </w:r>
      <w:r>
        <w:tab/>
      </w:r>
      <w:r>
        <w:fldChar w:fldCharType="begin"/>
      </w:r>
      <w:r>
        <w:instrText xml:space="preserve"> PAGEREF _Toc106791279 \h </w:instrText>
      </w:r>
      <w:r>
        <w:fldChar w:fldCharType="separate"/>
      </w:r>
      <w:r>
        <w:t>29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"_Toc106791280" </w:instrText>
      </w:r>
      <w:r>
        <w:fldChar w:fldCharType="separate"/>
      </w:r>
      <w:r>
        <w:rPr>
          <w:rStyle w:val="15"/>
          <w:rFonts w:ascii="宋体" w:hAnsi="宋体"/>
        </w:rPr>
        <w:t>附件13：售后服务承诺书（质量保证服务承诺书）</w:t>
      </w:r>
      <w:r>
        <w:tab/>
      </w:r>
      <w:r>
        <w:fldChar w:fldCharType="begin"/>
      </w:r>
      <w:r>
        <w:instrText xml:space="preserve"> PAGEREF _Toc106791280 \h </w:instrText>
      </w:r>
      <w:r>
        <w:fldChar w:fldCharType="separate"/>
      </w:r>
      <w:r>
        <w:t>30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"_Toc106791281" </w:instrText>
      </w:r>
      <w:r>
        <w:fldChar w:fldCharType="separate"/>
      </w:r>
      <w:r>
        <w:rPr>
          <w:rStyle w:val="15"/>
          <w:rFonts w:ascii="宋体" w:hAnsi="宋体"/>
        </w:rPr>
        <w:t>附件14：履约情况及社会信誉承诺书</w:t>
      </w:r>
      <w:r>
        <w:tab/>
      </w:r>
      <w:r>
        <w:fldChar w:fldCharType="begin"/>
      </w:r>
      <w:r>
        <w:instrText xml:space="preserve"> PAGEREF _Toc106791281 \h </w:instrText>
      </w:r>
      <w:r>
        <w:fldChar w:fldCharType="separate"/>
      </w:r>
      <w:r>
        <w:t>31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"_Toc106791282" </w:instrText>
      </w:r>
      <w:r>
        <w:fldChar w:fldCharType="separate"/>
      </w:r>
      <w:r>
        <w:rPr>
          <w:rStyle w:val="15"/>
          <w:rFonts w:ascii="宋体" w:hAnsi="宋体"/>
        </w:rPr>
        <w:t>附件15：投标文件密码单</w:t>
      </w:r>
      <w:r>
        <w:tab/>
      </w:r>
      <w:r>
        <w:fldChar w:fldCharType="begin"/>
      </w:r>
      <w:r>
        <w:instrText xml:space="preserve"> PAGEREF _Toc106791282 \h </w:instrText>
      </w:r>
      <w:r>
        <w:fldChar w:fldCharType="separate"/>
      </w:r>
      <w:r>
        <w:t>32</w:t>
      </w:r>
      <w:r>
        <w:fldChar w:fldCharType="end"/>
      </w:r>
      <w:r>
        <w:fldChar w:fldCharType="end"/>
      </w:r>
    </w:p>
    <w:p>
      <w:pPr>
        <w:spacing w:line="400" w:lineRule="exact"/>
        <w:rPr>
          <w:rFonts w:ascii="宋体" w:hAnsi="宋体" w:cs="仿宋"/>
          <w:szCs w:val="21"/>
        </w:rPr>
        <w:sectPr>
          <w:footerReference r:id="rId3" w:type="default"/>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2"/>
        </w:numPr>
        <w:spacing w:before="156"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3"/>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3"/>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3"/>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1"/>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联系人：刘工</w:t>
            </w:r>
          </w:p>
          <w:p>
            <w:pPr>
              <w:wordWrap w:val="0"/>
              <w:autoSpaceDE w:val="0"/>
              <w:autoSpaceDN w:val="0"/>
              <w:adjustRightInd w:val="0"/>
              <w:snapToGrid w:val="0"/>
              <w:rPr>
                <w:rFonts w:ascii="宋体" w:hAnsi="宋体"/>
                <w:szCs w:val="21"/>
              </w:rPr>
            </w:pPr>
            <w:r>
              <w:rPr>
                <w:rFonts w:hint="eastAsia" w:ascii="宋体" w:hAnsi="宋体"/>
                <w:szCs w:val="21"/>
              </w:rPr>
              <w:t>电话：0755-82848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szCs w:val="21"/>
              </w:rPr>
            </w:pPr>
            <w:r>
              <w:rPr>
                <w:rFonts w:hint="eastAsia" w:ascii="宋体" w:hAnsi="宋体"/>
                <w:szCs w:val="21"/>
              </w:rPr>
              <w:t>传真：0755-82848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邮箱：liuxh@chtf.com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深圳会展中心战略发展研究课题项目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hint="eastAsia" w:ascii="宋体" w:hAnsi="宋体"/>
                <w:szCs w:val="21"/>
                <w:lang w:val="en-US" w:eastAsia="zh-CN"/>
              </w:rPr>
            </w:pPr>
            <w:r>
              <w:rPr>
                <w:rFonts w:hint="eastAsia" w:ascii="宋体" w:hAnsi="宋体"/>
                <w:szCs w:val="21"/>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autoSpaceDN/>
              <w:adjustRightInd/>
              <w:snapToGrid/>
              <w:jc w:val="left"/>
              <w:rPr>
                <w:rFonts w:hint="default" w:ascii="宋体" w:hAnsi="宋体"/>
                <w:szCs w:val="21"/>
                <w:lang w:val="en-US" w:eastAsia="zh-CN"/>
              </w:rPr>
            </w:pPr>
            <w:r>
              <w:rPr>
                <w:rFonts w:hint="eastAsia" w:ascii="新宋体" w:hAnsi="新宋体" w:eastAsia="新宋体" w:cs="新宋体"/>
                <w:sz w:val="21"/>
                <w:szCs w:val="21"/>
              </w:rPr>
              <w:t>深圳会展中心为促进</w:t>
            </w:r>
            <w:r>
              <w:rPr>
                <w:rFonts w:hint="eastAsia" w:ascii="新宋体" w:hAnsi="新宋体" w:eastAsia="新宋体" w:cs="新宋体"/>
                <w:sz w:val="21"/>
                <w:szCs w:val="21"/>
                <w:lang w:val="en-US" w:eastAsia="zh-CN"/>
              </w:rPr>
              <w:t>公司</w:t>
            </w:r>
            <w:r>
              <w:rPr>
                <w:rFonts w:hint="eastAsia" w:ascii="新宋体" w:hAnsi="新宋体" w:eastAsia="新宋体" w:cs="新宋体"/>
                <w:sz w:val="21"/>
                <w:szCs w:val="21"/>
              </w:rPr>
              <w:t>提质增效，</w:t>
            </w:r>
            <w:r>
              <w:rPr>
                <w:rFonts w:hint="eastAsia" w:ascii="新宋体" w:hAnsi="新宋体" w:eastAsia="新宋体" w:cs="新宋体"/>
                <w:sz w:val="21"/>
                <w:szCs w:val="21"/>
                <w:lang w:val="en-US" w:eastAsia="zh-CN"/>
              </w:rPr>
              <w:t>计划</w:t>
            </w:r>
            <w:r>
              <w:rPr>
                <w:rFonts w:hint="eastAsia" w:ascii="新宋体" w:hAnsi="新宋体" w:eastAsia="新宋体" w:cs="新宋体"/>
                <w:sz w:val="21"/>
                <w:szCs w:val="21"/>
              </w:rPr>
              <w:t>围绕会展新商业模式和所属企业经贸中心战略拓展等方面开展相关课题研究</w:t>
            </w:r>
            <w:r>
              <w:rPr>
                <w:rFonts w:hint="eastAsia" w:ascii="新宋体" w:hAnsi="新宋体" w:eastAsia="新宋体" w:cs="新宋体"/>
                <w:sz w:val="21"/>
                <w:szCs w:val="21"/>
                <w:lang w:val="en-US" w:eastAsia="zh-CN"/>
              </w:rPr>
              <w:t>。</w:t>
            </w:r>
            <w:r>
              <w:rPr>
                <w:rFonts w:hint="eastAsia" w:ascii="新宋体" w:hAnsi="新宋体" w:eastAsia="新宋体" w:cs="新宋体"/>
                <w:szCs w:val="21"/>
                <w:lang w:val="en-US" w:eastAsia="zh-CN"/>
              </w:rPr>
              <w:t>主要包括两个课题：一是研究探索会展连接交易场景；二是研究所属企业经贸中心的业务发展思路。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p>
        </w:tc>
        <w:tc>
          <w:tcPr>
            <w:tcW w:w="7029" w:type="dxa"/>
            <w:vAlign w:val="center"/>
          </w:tcPr>
          <w:p>
            <w:pPr>
              <w:autoSpaceDE w:val="0"/>
              <w:autoSpaceDN w:val="0"/>
              <w:adjustRightInd w:val="0"/>
              <w:snapToGrid w:val="0"/>
              <w:rPr>
                <w:rFonts w:hint="default" w:ascii="宋体" w:hAnsi="宋体" w:eastAsia="宋体"/>
                <w:szCs w:val="21"/>
                <w:highlight w:val="yellow"/>
                <w:lang w:val="en-US" w:eastAsia="zh-CN"/>
              </w:rPr>
            </w:pPr>
            <w:r>
              <w:rPr>
                <w:rFonts w:hint="eastAsia" w:ascii="宋体" w:hAnsi="宋体"/>
                <w:szCs w:val="21"/>
                <w:u w:val="single"/>
                <w:lang w:val="en-US" w:eastAsia="zh-CN"/>
              </w:rPr>
              <w:t>90</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https://cg.szcec.com/sharing/rTKSlZwIO，</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深圳会展中心官网采购公告栏目（</w:t>
            </w:r>
            <w:r>
              <w:fldChar w:fldCharType="begin"/>
            </w:r>
            <w:r>
              <w:instrText xml:space="preserve"> HYPERLINK "https://www.szcec.com/News/index/id/256.html" </w:instrText>
            </w:r>
            <w:r>
              <w:fldChar w:fldCharType="separate"/>
            </w:r>
            <w:r>
              <w:rPr>
                <w:rStyle w:val="15"/>
                <w:rFonts w:ascii="宋体" w:hAnsi="宋体"/>
                <w:szCs w:val="21"/>
              </w:rPr>
              <w:t>https://www.szcec.com/News/index/id/256.html</w:t>
            </w:r>
            <w:r>
              <w:rPr>
                <w:rStyle w:val="15"/>
                <w:rFonts w:ascii="宋体" w:hAnsi="宋体"/>
                <w:szCs w:val="21"/>
              </w:rPr>
              <w:fldChar w:fldCharType="end"/>
            </w:r>
            <w:r>
              <w:rPr>
                <w:rFonts w:hint="eastAsia" w:ascii="宋体" w:hAnsi="宋体"/>
                <w:szCs w:val="21"/>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https://cg.szcec.com/sharing/qwiUsGKKJ，</w:t>
            </w:r>
            <w:r>
              <w:rPr>
                <w:rFonts w:hint="eastAsia" w:ascii="宋体" w:hAnsi="宋体"/>
                <w:szCs w:val="21"/>
              </w:rPr>
              <w:t>并致电确认</w:t>
            </w:r>
            <w:bookmarkStart w:id="2" w:name="_Toc478392822"/>
            <w:bookmarkStart w:id="3" w:name="_Toc478393187"/>
            <w:bookmarkStart w:id="4" w:name="_Toc478110532"/>
            <w:r>
              <w:rPr>
                <w:rFonts w:hint="eastAsia" w:ascii="宋体" w:hAnsi="宋体"/>
                <w:szCs w:val="21"/>
              </w:rPr>
              <w:t>。</w:t>
            </w:r>
            <w:r>
              <w:rPr>
                <w:rFonts w:hint="eastAsia" w:ascii="宋体" w:hAnsi="宋体"/>
              </w:rPr>
              <w:t>注意事项如下：</w:t>
            </w:r>
          </w:p>
          <w:p>
            <w:pPr>
              <w:pStyle w:val="17"/>
              <w:numPr>
                <w:ilvl w:val="0"/>
                <w:numId w:val="4"/>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17"/>
              <w:numPr>
                <w:ilvl w:val="0"/>
                <w:numId w:val="4"/>
              </w:numPr>
              <w:ind w:left="541" w:hanging="541" w:firstLineChars="0"/>
              <w:rPr>
                <w:rFonts w:ascii="宋体" w:hAnsi="宋体" w:eastAsia="宋体"/>
                <w:szCs w:val="21"/>
              </w:rPr>
            </w:pPr>
            <w:r>
              <w:rPr>
                <w:rFonts w:hint="eastAsia" w:ascii="宋体" w:hAnsi="宋体" w:eastAsia="宋体"/>
                <w:szCs w:val="21"/>
              </w:rPr>
              <w:t>投标</w:t>
            </w:r>
            <w:r>
              <w:rPr>
                <w:rFonts w:hint="eastAsia" w:ascii="宋体" w:hAnsi="宋体" w:eastAsia="宋体"/>
                <w:szCs w:val="21"/>
                <w:lang w:val="en-US" w:eastAsia="zh-CN"/>
              </w:rPr>
              <w:t>人</w:t>
            </w:r>
            <w:r>
              <w:rPr>
                <w:rFonts w:hint="eastAsia" w:ascii="宋体" w:hAnsi="宋体" w:eastAsia="宋体"/>
                <w:szCs w:val="21"/>
              </w:rPr>
              <w:t>授权代表须熟记文件密码，否则做废标处理。投标文件递交时间截止后，不再接受任何理由的撤回或重新提交文件请求。</w:t>
            </w:r>
          </w:p>
          <w:p>
            <w:pPr>
              <w:pStyle w:val="17"/>
              <w:numPr>
                <w:ilvl w:val="0"/>
                <w:numId w:val="4"/>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17"/>
              <w:numPr>
                <w:ilvl w:val="0"/>
                <w:numId w:val="4"/>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751363088</w:t>
            </w:r>
            <w:r>
              <w:rPr>
                <w:rFonts w:hint="eastAsia" w:ascii="宋体" w:hAnsi="宋体"/>
                <w:szCs w:val="21"/>
              </w:rPr>
              <w:t>（免密，入会前必须改名为“公司简称+姓名”），届时请各投标人按采购公告要求准时提交投标文件及密码并参加在线开标。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color w:val="FF0000"/>
                <w:highlight w:val="yellow"/>
              </w:rPr>
              <w:t>https://cg.szcec.com/sharing/6sCABXrry</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kern w:val="0"/>
                <w:szCs w:val="21"/>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5"/>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不组织。可在公开招标开始后至公开招标结束前自行踏勘。</w:t>
            </w:r>
          </w:p>
          <w:p>
            <w:pPr>
              <w:numPr>
                <w:ilvl w:val="0"/>
                <w:numId w:val="5"/>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t>□组织，踏勘要求：</w:t>
            </w:r>
          </w:p>
          <w:p>
            <w:pPr>
              <w:pStyle w:val="17"/>
              <w:numPr>
                <w:ilvl w:val="0"/>
                <w:numId w:val="6"/>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17"/>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17"/>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17"/>
              <w:numPr>
                <w:ilvl w:val="0"/>
                <w:numId w:val="7"/>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17"/>
              <w:numPr>
                <w:ilvl w:val="0"/>
                <w:numId w:val="7"/>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17"/>
              <w:numPr>
                <w:ilvl w:val="0"/>
                <w:numId w:val="7"/>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17"/>
              <w:numPr>
                <w:ilvl w:val="0"/>
                <w:numId w:val="7"/>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w:t>
            </w:r>
            <w:r>
              <w:rPr>
                <w:rFonts w:hint="eastAsia" w:ascii="宋体" w:hAnsi="宋体" w:eastAsia="宋体"/>
                <w:color w:val="FF0000"/>
                <w:kern w:val="0"/>
                <w:highlight w:val="yellow"/>
              </w:rPr>
              <w:t>24小时</w:t>
            </w:r>
            <w:r>
              <w:rPr>
                <w:rFonts w:hint="eastAsia" w:ascii="宋体" w:hAnsi="宋体" w:eastAsia="宋体"/>
                <w:kern w:val="0"/>
              </w:rPr>
              <w:t>核酸检测阴性结果，投标人须至少提前一天与踏勘联系人预约。否则，将可能导致投标人不能进入踏勘现场的不利后果。投标人必须保证所安排的踏勘人员完全符合政府主管部门及招标人</w:t>
            </w:r>
            <w:r>
              <w:rPr>
                <w:rFonts w:hint="eastAsia" w:ascii="宋体" w:hAnsi="宋体" w:eastAsia="宋体"/>
                <w:kern w:val="0"/>
                <w:lang w:val="en-US" w:eastAsia="zh-CN"/>
              </w:rPr>
              <w:t>的</w:t>
            </w:r>
            <w:r>
              <w:rPr>
                <w:rFonts w:hint="eastAsia" w:ascii="宋体" w:hAnsi="宋体" w:eastAsia="宋体"/>
                <w:kern w:val="0"/>
              </w:rPr>
              <w:t>疫情防控要求，否则由此带来的一切责任和风险均由投标人</w:t>
            </w:r>
            <w:r>
              <w:rPr>
                <w:rFonts w:hint="eastAsia" w:ascii="宋体" w:hAnsi="宋体" w:eastAsia="宋体"/>
                <w:kern w:val="0"/>
                <w:lang w:val="en-US" w:eastAsia="zh-CN"/>
              </w:rPr>
              <w:t>自行承担</w:t>
            </w:r>
            <w:r>
              <w:rPr>
                <w:rFonts w:hint="eastAsia" w:ascii="宋体" w:hAnsi="宋体" w:eastAsia="宋体"/>
                <w:kern w:val="0"/>
              </w:rPr>
              <w:t>，且招标人有权拒绝未预约备案人员参加本项目踏勘活动。</w:t>
            </w:r>
            <w:r>
              <w:rPr>
                <w:rFonts w:hint="eastAsia" w:ascii="宋体" w:hAnsi="宋体" w:eastAsia="宋体"/>
                <w:b/>
                <w:color w:val="FF0000"/>
                <w:kern w:val="0"/>
              </w:rPr>
              <w:t>（特别注意：各投标人不得指派属于</w:t>
            </w:r>
            <w:r>
              <w:rPr>
                <w:rFonts w:hint="eastAsia" w:ascii="宋体" w:hAnsi="宋体" w:eastAsia="宋体"/>
                <w:b/>
                <w:color w:val="FF0000"/>
                <w:kern w:val="0"/>
                <w:lang w:val="en-US" w:eastAsia="zh-CN"/>
              </w:rPr>
              <w:t>高、中、低风险</w:t>
            </w:r>
            <w:r>
              <w:rPr>
                <w:rFonts w:hint="eastAsia" w:ascii="宋体" w:hAnsi="宋体" w:eastAsia="宋体"/>
                <w:b/>
                <w:color w:val="FF0000"/>
                <w:kern w:val="0"/>
              </w:rPr>
              <w:t>区人员作为本项目的踏勘人员）</w:t>
            </w:r>
          </w:p>
          <w:p>
            <w:pPr>
              <w:pStyle w:val="17"/>
              <w:numPr>
                <w:ilvl w:val="0"/>
                <w:numId w:val="7"/>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17"/>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17"/>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17"/>
              <w:numPr>
                <w:ilvl w:val="0"/>
                <w:numId w:val="7"/>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17"/>
              <w:numPr>
                <w:ilvl w:val="0"/>
                <w:numId w:val="8"/>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17"/>
              <w:numPr>
                <w:ilvl w:val="0"/>
                <w:numId w:val="8"/>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17"/>
              <w:numPr>
                <w:ilvl w:val="0"/>
                <w:numId w:val="9"/>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17"/>
              <w:numPr>
                <w:ilvl w:val="0"/>
                <w:numId w:val="9"/>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17"/>
              <w:numPr>
                <w:ilvl w:val="0"/>
                <w:numId w:val="9"/>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17"/>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2"/>
        </w:numPr>
        <w:spacing w:line="560" w:lineRule="exact"/>
        <w:outlineLvl w:val="1"/>
        <w:rPr>
          <w:rFonts w:ascii="宋体" w:hAnsi="宋体"/>
          <w:b/>
          <w:szCs w:val="21"/>
        </w:rPr>
      </w:pPr>
      <w:bookmarkStart w:id="6" w:name="_Toc82591927"/>
      <w:bookmarkEnd w:id="6"/>
      <w:bookmarkStart w:id="7" w:name="_Toc82684591"/>
      <w:bookmarkEnd w:id="7"/>
      <w:bookmarkStart w:id="8" w:name="_Toc82684590"/>
      <w:bookmarkEnd w:id="8"/>
      <w:bookmarkStart w:id="9" w:name="_Toc82685543"/>
      <w:bookmarkEnd w:id="9"/>
      <w:bookmarkStart w:id="10" w:name="_Toc82684706"/>
      <w:bookmarkEnd w:id="10"/>
      <w:bookmarkStart w:id="11" w:name="_Toc82685542"/>
      <w:bookmarkEnd w:id="11"/>
      <w:bookmarkStart w:id="12" w:name="_Toc82591928"/>
      <w:bookmarkEnd w:id="12"/>
      <w:bookmarkStart w:id="13" w:name="_Toc82684703"/>
      <w:bookmarkEnd w:id="13"/>
      <w:bookmarkStart w:id="14" w:name="_Toc82684588"/>
      <w:bookmarkEnd w:id="14"/>
      <w:bookmarkStart w:id="15" w:name="_Toc82684705"/>
      <w:bookmarkEnd w:id="15"/>
      <w:bookmarkStart w:id="16" w:name="_Toc82591926"/>
      <w:bookmarkEnd w:id="16"/>
      <w:bookmarkStart w:id="17" w:name="_Toc82684589"/>
      <w:bookmarkEnd w:id="17"/>
      <w:bookmarkStart w:id="18" w:name="_Toc82685541"/>
      <w:bookmarkEnd w:id="18"/>
      <w:bookmarkStart w:id="19" w:name="_Toc82685540"/>
      <w:bookmarkEnd w:id="19"/>
      <w:bookmarkStart w:id="20" w:name="_Toc82591925"/>
      <w:bookmarkEnd w:id="20"/>
      <w:bookmarkStart w:id="21" w:name="_Toc82684704"/>
      <w:bookmarkEnd w:id="21"/>
      <w:bookmarkStart w:id="22" w:name="_Toc106791254"/>
      <w:r>
        <w:rPr>
          <w:rFonts w:hint="eastAsia" w:ascii="宋体" w:hAnsi="宋体"/>
          <w:b/>
          <w:szCs w:val="21"/>
        </w:rPr>
        <w:t>特别说明</w:t>
      </w:r>
      <w:bookmarkEnd w:id="22"/>
    </w:p>
    <w:p>
      <w:pPr>
        <w:pStyle w:val="17"/>
        <w:numPr>
          <w:ilvl w:val="0"/>
          <w:numId w:val="10"/>
        </w:numPr>
        <w:spacing w:line="360" w:lineRule="auto"/>
        <w:ind w:left="0" w:firstLine="420" w:firstLineChars="0"/>
        <w:rPr>
          <w:rFonts w:ascii="宋体" w:hAnsi="宋体" w:eastAsia="宋体" w:cs="宋体"/>
          <w:szCs w:val="21"/>
        </w:rPr>
      </w:pPr>
      <w:bookmarkStart w:id="23" w:name="_Toc45028463"/>
      <w:bookmarkStart w:id="24" w:name="_Toc517278751"/>
      <w:bookmarkStart w:id="25" w:name="_Toc478387747"/>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17"/>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w:t>
      </w:r>
      <w:r>
        <w:rPr>
          <w:rFonts w:hint="eastAsia" w:ascii="宋体" w:hAnsi="宋体" w:eastAsia="宋体" w:cs="宋体"/>
          <w:szCs w:val="21"/>
          <w:highlight w:val="yellow"/>
        </w:rPr>
        <w:t>地址</w:t>
      </w:r>
      <w:r>
        <w:rPr>
          <w:rFonts w:hint="eastAsia" w:ascii="宋体" w:hAnsi="宋体" w:eastAsia="宋体" w:cs="宋体"/>
          <w:szCs w:val="21"/>
          <w:highlight w:val="yellow"/>
          <w:lang w:val="en-US" w:eastAsia="zh-CN"/>
        </w:rPr>
        <w:t>和方式</w:t>
      </w:r>
      <w:r>
        <w:rPr>
          <w:rFonts w:hint="eastAsia" w:ascii="宋体" w:hAnsi="宋体" w:eastAsia="宋体" w:cs="宋体"/>
          <w:szCs w:val="21"/>
        </w:rPr>
        <w:t>发送和接收，否则可能导致文件不被接受的不利后果。</w:t>
      </w:r>
    </w:p>
    <w:p>
      <w:pPr>
        <w:pStyle w:val="17"/>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17"/>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17"/>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17"/>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p>
      <w:pPr>
        <w:numPr>
          <w:ilvl w:val="0"/>
          <w:numId w:val="2"/>
        </w:numPr>
        <w:spacing w:line="560" w:lineRule="exact"/>
        <w:outlineLvl w:val="1"/>
        <w:rPr>
          <w:rFonts w:ascii="宋体" w:hAnsi="宋体"/>
          <w:b/>
          <w:szCs w:val="21"/>
        </w:rPr>
      </w:pPr>
      <w:bookmarkStart w:id="26" w:name="_Toc82591988"/>
      <w:bookmarkEnd w:id="26"/>
      <w:bookmarkStart w:id="27" w:name="_Toc82685545"/>
      <w:bookmarkEnd w:id="27"/>
      <w:bookmarkStart w:id="28" w:name="_Toc82591930"/>
      <w:bookmarkEnd w:id="28"/>
      <w:bookmarkStart w:id="29" w:name="_Toc82684593"/>
      <w:bookmarkEnd w:id="29"/>
      <w:bookmarkStart w:id="30" w:name="_Toc82684708"/>
      <w:bookmarkEnd w:id="30"/>
      <w:bookmarkStart w:id="31" w:name="_Toc82591987"/>
      <w:bookmarkEnd w:id="31"/>
      <w:bookmarkStart w:id="32" w:name="_Toc82591986"/>
      <w:bookmarkEnd w:id="32"/>
      <w:bookmarkStart w:id="33" w:name="_Toc82591985"/>
      <w:bookmarkEnd w:id="33"/>
      <w:bookmarkStart w:id="34" w:name="_Toc82591989"/>
      <w:bookmarkEnd w:id="34"/>
      <w:bookmarkStart w:id="35" w:name="_Toc106791255"/>
      <w:r>
        <w:rPr>
          <w:rFonts w:hint="eastAsia" w:ascii="宋体" w:hAnsi="宋体"/>
          <w:b/>
          <w:szCs w:val="21"/>
        </w:rPr>
        <w:t>投标文件编制</w:t>
      </w:r>
      <w:bookmarkEnd w:id="35"/>
    </w:p>
    <w:tbl>
      <w:tblPr>
        <w:tblStyle w:val="11"/>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9"/>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color w:val="auto"/>
              </w:rPr>
              <w:t>信用中国网站</w:t>
            </w:r>
            <w:r>
              <w:rPr>
                <w:rFonts w:hint="eastAsia" w:ascii="宋体" w:hAnsi="宋体"/>
                <w:color w:val="auto"/>
                <w:lang w:eastAsia="zh-CN"/>
              </w:rPr>
              <w:t>（</w:t>
            </w:r>
            <w:r>
              <w:rPr>
                <w:rFonts w:ascii="宋体" w:hAnsi="宋体"/>
                <w:color w:val="auto"/>
              </w:rPr>
              <w:t>www.creditchina.gov.cn</w:t>
            </w:r>
            <w:r>
              <w:rPr>
                <w:rFonts w:hint="eastAsia" w:ascii="宋体" w:hAnsi="宋体"/>
                <w:color w:val="auto"/>
                <w:lang w:eastAsia="zh-CN"/>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jc w:val="left"/>
              <w:textAlignment w:val="baseline"/>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2"/>
        </w:numPr>
        <w:spacing w:line="560" w:lineRule="exact"/>
        <w:outlineLvl w:val="1"/>
        <w:rPr>
          <w:rFonts w:ascii="宋体" w:hAnsi="宋体"/>
          <w:b/>
          <w:szCs w:val="21"/>
        </w:rPr>
      </w:pPr>
      <w:bookmarkStart w:id="36" w:name="_Toc106791256"/>
      <w:r>
        <w:rPr>
          <w:rFonts w:hint="eastAsia" w:ascii="宋体" w:hAnsi="宋体"/>
          <w:b/>
          <w:szCs w:val="21"/>
        </w:rPr>
        <w:t>项目要求及数量</w:t>
      </w:r>
      <w:bookmarkEnd w:id="36"/>
    </w:p>
    <w:tbl>
      <w:tblPr>
        <w:tblStyle w:val="11"/>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7"/>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1" w:leftChars="0" w:firstLine="0" w:firstLineChars="0"/>
            </w:pPr>
            <w:r>
              <w:rPr>
                <w:rFonts w:hint="eastAsia"/>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lang w:val="en-US" w:eastAsia="zh-CN"/>
              </w:rPr>
              <w:t>将被</w:t>
            </w:r>
            <w:r>
              <w:rPr>
                <w:rFonts w:hint="eastAsia"/>
              </w:rPr>
              <w:t>拒绝参与本项目的采购活动。）</w:t>
            </w:r>
          </w:p>
          <w:p>
            <w:pPr>
              <w:numPr>
                <w:ilvl w:val="0"/>
                <w:numId w:val="11"/>
              </w:numPr>
              <w:tabs>
                <w:tab w:val="left" w:pos="531"/>
              </w:tabs>
              <w:snapToGrid w:val="0"/>
              <w:ind w:left="-1" w:leftChars="0" w:firstLine="0"/>
              <w:rPr>
                <w:rFonts w:hint="eastAsia"/>
              </w:rPr>
            </w:pPr>
            <w:r>
              <w:rPr>
                <w:rFonts w:hint="eastAsia"/>
              </w:rPr>
              <w:t>本项目不接受联合体投标，严禁转包或非法分包。</w:t>
            </w:r>
          </w:p>
          <w:p>
            <w:pPr>
              <w:pStyle w:val="2"/>
              <w:numPr>
                <w:ilvl w:val="-1"/>
                <w:numId w:val="0"/>
              </w:numPr>
              <w:ind w:left="-1" w:firstLine="0"/>
            </w:pPr>
            <w:r>
              <w:rPr>
                <w:rFonts w:hint="eastAsia" w:ascii="宋体"/>
                <w:lang w:eastAsia="zh-CN"/>
              </w:rPr>
              <w:t>（</w:t>
            </w:r>
            <w:r>
              <w:rPr>
                <w:rFonts w:hint="eastAsia" w:ascii="宋体"/>
                <w:lang w:val="en-US" w:eastAsia="zh-CN"/>
              </w:rPr>
              <w:t>3</w:t>
            </w:r>
            <w:r>
              <w:rPr>
                <w:rFonts w:hint="eastAsia" w:ascii="宋体"/>
                <w:lang w:eastAsia="zh-CN"/>
              </w:rPr>
              <w:t>）</w:t>
            </w:r>
            <w:r>
              <w:rPr>
                <w:rFonts w:hint="eastAsia" w:ascii="Times New Roman" w:hAnsi="Times New Roman" w:eastAsia="宋体" w:cs="Times New Roman"/>
                <w:spacing w:val="0"/>
                <w:kern w:val="2"/>
                <w:sz w:val="21"/>
                <w:szCs w:val="24"/>
                <w:lang w:val="en-US" w:eastAsia="zh-CN" w:bidi="ar-SA"/>
              </w:rPr>
              <w:t>投标人应承担过企业管理咨询或产业策划及规划咨询项目经验。投标人须提供体现上述信息的相应合同的关键页复印件并加盖参加单位公章。合同关键页包含但不限于项目名称、业主方名称、合同主要内容、签订时间、甲乙双方盖章等信息。</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0" w:firstLine="0"/>
            </w:pPr>
            <w:r>
              <w:rPr>
                <w:rFonts w:hint="eastAsia"/>
              </w:rPr>
              <w:t>报价以人民币为结算币种，</w:t>
            </w:r>
            <w:r>
              <w:rPr>
                <w:rFonts w:hint="eastAsia" w:ascii="宋体" w:hAnsi="宋体" w:cs="仿宋_GB2312"/>
                <w:szCs w:val="21"/>
              </w:rPr>
              <w:t>《投标一览表》</w:t>
            </w:r>
            <w:r>
              <w:rPr>
                <w:rFonts w:hint="eastAsia"/>
              </w:rPr>
              <w:t>报价应包含税率、</w:t>
            </w:r>
            <w:r>
              <w:rPr>
                <w:rFonts w:hint="eastAsia"/>
                <w:lang w:val="en-US" w:eastAsia="zh-CN"/>
              </w:rPr>
              <w:t>税额、</w:t>
            </w:r>
            <w:r>
              <w:rPr>
                <w:rFonts w:hint="eastAsia"/>
              </w:rPr>
              <w:t>税前及税后总</w:t>
            </w:r>
            <w:r>
              <w:rPr>
                <w:rFonts w:hint="eastAsia"/>
                <w:lang w:val="en-US" w:eastAsia="zh-CN"/>
              </w:rPr>
              <w:t>金额</w:t>
            </w:r>
            <w:r>
              <w:rPr>
                <w:rFonts w:hint="eastAsia"/>
              </w:rPr>
              <w:t>。</w:t>
            </w:r>
          </w:p>
          <w:p>
            <w:pPr>
              <w:numPr>
                <w:ilvl w:val="0"/>
                <w:numId w:val="12"/>
              </w:numPr>
              <w:tabs>
                <w:tab w:val="left" w:pos="531"/>
              </w:tabs>
              <w:snapToGrid w:val="0"/>
              <w:ind w:left="0" w:firstLine="0"/>
              <w:rPr>
                <w:rFonts w:hint="eastAsia" w:ascii="宋体" w:hAnsi="宋体" w:cs="宋体"/>
                <w:szCs w:val="21"/>
              </w:rPr>
            </w:pPr>
            <w:r>
              <w:rPr>
                <w:rFonts w:hint="eastAsia"/>
              </w:rPr>
              <w:t>投标报价不得出现可选</w:t>
            </w:r>
            <w:r>
              <w:rPr>
                <w:rFonts w:hint="eastAsia" w:ascii="宋体" w:hAnsi="宋体" w:cs="宋体"/>
                <w:szCs w:val="21"/>
              </w:rPr>
              <w:t>择性的报价,含有备选方案的报价将导致废标。</w:t>
            </w:r>
          </w:p>
          <w:p>
            <w:pPr>
              <w:numPr>
                <w:ilvl w:val="0"/>
                <w:numId w:val="12"/>
              </w:numPr>
              <w:tabs>
                <w:tab w:val="left" w:pos="531"/>
              </w:tabs>
              <w:snapToGrid w:val="0"/>
              <w:ind w:left="0" w:firstLine="0"/>
            </w:pPr>
            <w:r>
              <w:rPr>
                <w:rFonts w:hint="eastAsia" w:ascii="宋体" w:hAnsi="宋体" w:cs="宋体"/>
                <w:szCs w:val="21"/>
              </w:rPr>
              <w:t>本项目为总价包干合同，</w:t>
            </w:r>
            <w:r>
              <w:rPr>
                <w:rFonts w:hint="eastAsia" w:ascii="宋体" w:hAnsi="宋体" w:cs="宋体"/>
                <w:szCs w:val="21"/>
                <w:lang w:val="en-US" w:eastAsia="zh-CN"/>
              </w:rPr>
              <w:t>投标</w:t>
            </w:r>
            <w:r>
              <w:rPr>
                <w:rFonts w:hint="eastAsia" w:ascii="宋体" w:hAnsi="宋体" w:eastAsia="宋体" w:cs="宋体"/>
                <w:sz w:val="21"/>
                <w:szCs w:val="21"/>
              </w:rPr>
              <w:t>报价</w:t>
            </w:r>
            <w:r>
              <w:rPr>
                <w:rFonts w:hint="eastAsia" w:ascii="宋体" w:hAnsi="宋体" w:cs="宋体"/>
                <w:sz w:val="21"/>
                <w:szCs w:val="21"/>
                <w:lang w:val="en-US" w:eastAsia="zh-CN"/>
              </w:rPr>
              <w:t>包括但不限于</w:t>
            </w:r>
            <w:r>
              <w:rPr>
                <w:rFonts w:hint="eastAsia" w:ascii="宋体" w:hAnsi="宋体" w:eastAsia="宋体" w:cs="宋体"/>
                <w:sz w:val="21"/>
                <w:szCs w:val="21"/>
              </w:rPr>
              <w:t>完成</w:t>
            </w:r>
            <w:r>
              <w:rPr>
                <w:rFonts w:hint="eastAsia" w:ascii="宋体" w:hAnsi="宋体" w:cs="宋体"/>
                <w:sz w:val="21"/>
                <w:szCs w:val="21"/>
                <w:lang w:val="en-US" w:eastAsia="zh-CN"/>
              </w:rPr>
              <w:t>本项目</w:t>
            </w:r>
            <w:r>
              <w:rPr>
                <w:rFonts w:hint="eastAsia" w:ascii="宋体" w:hAnsi="宋体" w:eastAsia="宋体" w:cs="宋体"/>
                <w:sz w:val="21"/>
                <w:szCs w:val="21"/>
              </w:rPr>
              <w:t>要求和成果交付</w:t>
            </w:r>
            <w:r>
              <w:rPr>
                <w:rFonts w:hint="eastAsia" w:ascii="宋体" w:hAnsi="宋体" w:cs="宋体"/>
                <w:sz w:val="21"/>
                <w:szCs w:val="21"/>
                <w:lang w:val="en-US" w:eastAsia="zh-CN"/>
              </w:rPr>
              <w:t>所需的人工、差旅、材料、增值税等</w:t>
            </w:r>
            <w:r>
              <w:rPr>
                <w:rFonts w:hint="eastAsia" w:ascii="宋体" w:hAnsi="宋体" w:eastAsia="宋体" w:cs="宋体"/>
                <w:sz w:val="21"/>
                <w:szCs w:val="21"/>
              </w:rPr>
              <w:t>所有费用,</w:t>
            </w:r>
            <w:r>
              <w:rPr>
                <w:rFonts w:hint="eastAsia" w:ascii="宋体" w:hAnsi="宋体" w:cs="宋体"/>
                <w:sz w:val="21"/>
                <w:szCs w:val="21"/>
                <w:lang w:val="en-US" w:eastAsia="zh-CN"/>
              </w:rPr>
              <w:t>招标人</w:t>
            </w:r>
            <w:r>
              <w:rPr>
                <w:rFonts w:hint="eastAsia" w:ascii="宋体" w:hAnsi="宋体" w:eastAsia="宋体" w:cs="宋体"/>
                <w:sz w:val="21"/>
                <w:szCs w:val="21"/>
              </w:rPr>
              <w:t>不再另行支付其他任何费用。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color w:val="auto"/>
                <w:szCs w:val="21"/>
                <w:highlight w:val="none"/>
              </w:rPr>
              <w:t>本项目采购控制金额为人民币</w:t>
            </w:r>
            <w:r>
              <w:rPr>
                <w:rFonts w:hint="eastAsia" w:ascii="宋体" w:hAnsi="宋体" w:cs="宋体"/>
                <w:color w:val="auto"/>
                <w:szCs w:val="21"/>
                <w:highlight w:val="none"/>
                <w:lang w:val="en-US" w:eastAsia="zh-CN"/>
              </w:rPr>
              <w:t>35</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snapToGrid/>
              <w:spacing w:line="240" w:lineRule="auto"/>
              <w:ind w:left="0" w:firstLine="0"/>
              <w:rPr>
                <w:color w:val="FF0000"/>
              </w:rPr>
            </w:pPr>
            <w:r>
              <w:rPr>
                <w:rFonts w:hint="eastAsia" w:ascii="宋体" w:hAnsi="宋体"/>
                <w:sz w:val="21"/>
                <w:szCs w:val="21"/>
              </w:rPr>
              <w:t>合同签订后支付合同总金额的</w:t>
            </w:r>
            <w:r>
              <w:rPr>
                <w:rFonts w:hint="eastAsia" w:ascii="宋体" w:hAnsi="宋体"/>
                <w:sz w:val="21"/>
                <w:szCs w:val="21"/>
                <w:lang w:val="en-US" w:eastAsia="zh-CN"/>
              </w:rPr>
              <w:t>25</w:t>
            </w:r>
            <w:r>
              <w:rPr>
                <w:rFonts w:ascii="宋体" w:hAnsi="宋体"/>
                <w:sz w:val="21"/>
                <w:szCs w:val="21"/>
              </w:rPr>
              <w:t>%；</w:t>
            </w:r>
            <w:r>
              <w:rPr>
                <w:rFonts w:hint="eastAsia" w:ascii="宋体" w:hAnsi="宋体"/>
                <w:sz w:val="21"/>
                <w:szCs w:val="21"/>
              </w:rPr>
              <w:t>项目成果经招标人验收通过后，支付合同总金额的</w:t>
            </w:r>
            <w:r>
              <w:rPr>
                <w:rFonts w:hint="eastAsia" w:ascii="宋体" w:hAnsi="宋体"/>
                <w:sz w:val="21"/>
                <w:szCs w:val="21"/>
                <w:lang w:val="en-US" w:eastAsia="zh-CN"/>
              </w:rPr>
              <w:t>75</w:t>
            </w:r>
            <w:r>
              <w:rPr>
                <w:rFonts w:ascii="宋体" w:hAnsi="宋体"/>
                <w:sz w:val="21"/>
                <w:szCs w:val="21"/>
              </w:rPr>
              <w:t>%</w:t>
            </w:r>
            <w:r>
              <w:rPr>
                <w:rFonts w:hint="eastAsia" w:ascii="宋体" w:hAnsi="宋体"/>
                <w:sz w:val="21"/>
                <w:szCs w:val="21"/>
                <w:lang w:val="en-US" w:eastAsia="zh-CN"/>
              </w:rPr>
              <w:t>。</w:t>
            </w:r>
            <w:r>
              <w:rPr>
                <w:rFonts w:hint="eastAsia" w:ascii="宋体" w:hAnsi="宋体"/>
                <w:sz w:val="21"/>
                <w:szCs w:val="21"/>
              </w:rPr>
              <w:t>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ascii="宋体" w:hAnsi="宋体" w:eastAsia="宋体"/>
                <w:sz w:val="21"/>
                <w:szCs w:val="21"/>
                <w:lang w:eastAsia="zh-CN"/>
              </w:rPr>
            </w:pPr>
            <w:r>
              <w:rPr>
                <w:rFonts w:ascii="宋体" w:hAnsi="宋体"/>
                <w:sz w:val="21"/>
                <w:szCs w:val="21"/>
              </w:rPr>
              <w:t>（1）初稿报送阶段：20</w:t>
            </w:r>
            <w:r>
              <w:rPr>
                <w:rFonts w:hint="eastAsia" w:ascii="宋体" w:hAnsi="宋体"/>
                <w:sz w:val="21"/>
                <w:szCs w:val="21"/>
                <w:lang w:val="en-US" w:eastAsia="zh-CN"/>
              </w:rPr>
              <w:t>22</w:t>
            </w:r>
            <w:r>
              <w:rPr>
                <w:rFonts w:ascii="宋体" w:hAnsi="宋体"/>
                <w:sz w:val="21"/>
                <w:szCs w:val="21"/>
              </w:rPr>
              <w:t>年</w:t>
            </w:r>
            <w:r>
              <w:rPr>
                <w:rFonts w:hint="eastAsia" w:ascii="宋体" w:hAnsi="宋体"/>
                <w:sz w:val="21"/>
                <w:szCs w:val="21"/>
                <w:lang w:val="en-US" w:eastAsia="zh-CN"/>
              </w:rPr>
              <w:t>10</w:t>
            </w:r>
            <w:r>
              <w:rPr>
                <w:rFonts w:ascii="宋体" w:hAnsi="宋体"/>
                <w:sz w:val="21"/>
                <w:szCs w:val="21"/>
              </w:rPr>
              <w:t>月底前，</w:t>
            </w:r>
            <w:r>
              <w:rPr>
                <w:rFonts w:hint="eastAsia" w:ascii="宋体" w:hAnsi="宋体"/>
                <w:sz w:val="21"/>
                <w:szCs w:val="21"/>
                <w:lang w:val="en-US" w:eastAsia="zh-CN"/>
              </w:rPr>
              <w:t>投</w:t>
            </w:r>
            <w:r>
              <w:rPr>
                <w:rFonts w:ascii="宋体" w:hAnsi="宋体"/>
                <w:sz w:val="21"/>
                <w:szCs w:val="21"/>
              </w:rPr>
              <w:t>标人</w:t>
            </w:r>
            <w:r>
              <w:rPr>
                <w:rFonts w:hint="eastAsia" w:ascii="宋体" w:hAnsi="宋体"/>
                <w:sz w:val="21"/>
                <w:szCs w:val="21"/>
                <w:lang w:val="en-US" w:eastAsia="zh-CN"/>
              </w:rPr>
              <w:t>完</w:t>
            </w:r>
            <w:r>
              <w:rPr>
                <w:rFonts w:ascii="宋体" w:hAnsi="宋体"/>
                <w:sz w:val="21"/>
                <w:szCs w:val="21"/>
              </w:rPr>
              <w:t>成</w:t>
            </w:r>
            <w:r>
              <w:rPr>
                <w:rFonts w:hint="eastAsia" w:ascii="宋体" w:hAnsi="宋体"/>
                <w:sz w:val="21"/>
                <w:szCs w:val="21"/>
                <w:lang w:eastAsia="zh-CN"/>
              </w:rPr>
              <w:t>课题</w:t>
            </w:r>
            <w:r>
              <w:rPr>
                <w:rFonts w:ascii="宋体" w:hAnsi="宋体"/>
                <w:sz w:val="21"/>
                <w:szCs w:val="21"/>
              </w:rPr>
              <w:t>报告初稿。</w:t>
            </w:r>
          </w:p>
          <w:p>
            <w:pPr>
              <w:numPr>
                <w:ilvl w:val="0"/>
                <w:numId w:val="0"/>
              </w:numPr>
              <w:tabs>
                <w:tab w:val="left" w:pos="531"/>
              </w:tabs>
              <w:snapToGrid w:val="0"/>
              <w:ind w:leftChars="0"/>
              <w:rPr>
                <w:rFonts w:hint="eastAsia" w:ascii="宋体" w:hAnsi="宋体" w:eastAsia="宋体"/>
                <w:sz w:val="21"/>
                <w:szCs w:val="21"/>
                <w:lang w:eastAsia="zh-CN"/>
              </w:rPr>
            </w:pPr>
            <w:r>
              <w:rPr>
                <w:rFonts w:ascii="宋体" w:hAnsi="宋体"/>
                <w:sz w:val="21"/>
                <w:szCs w:val="21"/>
              </w:rPr>
              <w:t>（2）完善及评估阶段：202</w:t>
            </w:r>
            <w:r>
              <w:rPr>
                <w:rFonts w:hint="eastAsia" w:ascii="宋体" w:hAnsi="宋体"/>
                <w:sz w:val="21"/>
                <w:szCs w:val="21"/>
                <w:lang w:val="en-US" w:eastAsia="zh-CN"/>
              </w:rPr>
              <w:t>2</w:t>
            </w:r>
            <w:r>
              <w:rPr>
                <w:rFonts w:ascii="宋体" w:hAnsi="宋体"/>
                <w:sz w:val="21"/>
                <w:szCs w:val="21"/>
              </w:rPr>
              <w:t>年</w:t>
            </w:r>
            <w:r>
              <w:rPr>
                <w:rFonts w:hint="eastAsia" w:ascii="宋体" w:hAnsi="宋体"/>
                <w:sz w:val="21"/>
                <w:szCs w:val="21"/>
                <w:lang w:val="en-US" w:eastAsia="zh-CN"/>
              </w:rPr>
              <w:t>11</w:t>
            </w:r>
            <w:r>
              <w:rPr>
                <w:rFonts w:ascii="宋体" w:hAnsi="宋体"/>
                <w:sz w:val="21"/>
                <w:szCs w:val="21"/>
              </w:rPr>
              <w:t>月底前，根据</w:t>
            </w:r>
            <w:r>
              <w:rPr>
                <w:rFonts w:hint="eastAsia" w:ascii="宋体" w:hAnsi="宋体"/>
                <w:sz w:val="21"/>
                <w:szCs w:val="21"/>
                <w:lang w:val="en-US" w:eastAsia="zh-CN"/>
              </w:rPr>
              <w:t>招标人</w:t>
            </w:r>
            <w:r>
              <w:rPr>
                <w:rFonts w:ascii="宋体" w:hAnsi="宋体"/>
                <w:sz w:val="21"/>
                <w:szCs w:val="21"/>
              </w:rPr>
              <w:t>要求，</w:t>
            </w:r>
            <w:r>
              <w:rPr>
                <w:rFonts w:hint="eastAsia" w:ascii="宋体" w:hAnsi="宋体"/>
                <w:sz w:val="21"/>
                <w:szCs w:val="21"/>
                <w:lang w:val="en-US" w:eastAsia="zh-CN"/>
              </w:rPr>
              <w:t>投</w:t>
            </w:r>
            <w:r>
              <w:rPr>
                <w:rFonts w:ascii="宋体" w:hAnsi="宋体"/>
                <w:sz w:val="21"/>
                <w:szCs w:val="21"/>
              </w:rPr>
              <w:t>标人及时对</w:t>
            </w:r>
            <w:r>
              <w:rPr>
                <w:rFonts w:hint="eastAsia" w:ascii="宋体" w:hAnsi="宋体"/>
                <w:sz w:val="21"/>
                <w:szCs w:val="21"/>
                <w:lang w:eastAsia="zh-CN"/>
              </w:rPr>
              <w:t>课题</w:t>
            </w:r>
            <w:r>
              <w:rPr>
                <w:rFonts w:ascii="宋体" w:hAnsi="宋体"/>
                <w:sz w:val="21"/>
                <w:szCs w:val="21"/>
              </w:rPr>
              <w:t>报告进行修改完善。</w:t>
            </w:r>
          </w:p>
          <w:p>
            <w:pPr>
              <w:numPr>
                <w:ilvl w:val="0"/>
                <w:numId w:val="0"/>
              </w:numPr>
              <w:tabs>
                <w:tab w:val="left" w:pos="531"/>
              </w:tabs>
              <w:snapToGrid w:val="0"/>
              <w:ind w:leftChars="0"/>
              <w:rPr>
                <w:rFonts w:hint="eastAsia"/>
              </w:rPr>
            </w:pPr>
            <w:r>
              <w:rPr>
                <w:rFonts w:ascii="宋体" w:hAnsi="宋体"/>
                <w:sz w:val="21"/>
                <w:szCs w:val="21"/>
              </w:rPr>
              <w:t>（3）定稿阶段：202</w:t>
            </w:r>
            <w:r>
              <w:rPr>
                <w:rFonts w:hint="eastAsia" w:ascii="宋体" w:hAnsi="宋体"/>
                <w:sz w:val="21"/>
                <w:szCs w:val="21"/>
                <w:lang w:val="en-US" w:eastAsia="zh-CN"/>
              </w:rPr>
              <w:t>2</w:t>
            </w:r>
            <w:r>
              <w:rPr>
                <w:rFonts w:ascii="宋体" w:hAnsi="宋体"/>
                <w:sz w:val="21"/>
                <w:szCs w:val="21"/>
              </w:rPr>
              <w:t>年1</w:t>
            </w:r>
            <w:r>
              <w:rPr>
                <w:rFonts w:hint="eastAsia" w:ascii="宋体" w:hAnsi="宋体"/>
                <w:sz w:val="21"/>
                <w:szCs w:val="21"/>
                <w:lang w:val="en-US" w:eastAsia="zh-CN"/>
              </w:rPr>
              <w:t>2</w:t>
            </w:r>
            <w:r>
              <w:rPr>
                <w:rFonts w:ascii="宋体" w:hAnsi="宋体"/>
                <w:sz w:val="21"/>
                <w:szCs w:val="21"/>
              </w:rPr>
              <w:t>月底前，</w:t>
            </w:r>
            <w:r>
              <w:rPr>
                <w:rFonts w:hint="eastAsia" w:ascii="宋体" w:hAnsi="宋体"/>
                <w:sz w:val="21"/>
                <w:szCs w:val="21"/>
                <w:lang w:val="en-US" w:eastAsia="zh-CN"/>
              </w:rPr>
              <w:t>投</w:t>
            </w:r>
            <w:r>
              <w:rPr>
                <w:rFonts w:ascii="宋体" w:hAnsi="宋体"/>
                <w:color w:val="auto"/>
                <w:sz w:val="21"/>
                <w:szCs w:val="21"/>
              </w:rPr>
              <w:t>标人完成</w:t>
            </w:r>
            <w:r>
              <w:rPr>
                <w:rFonts w:hint="eastAsia" w:ascii="宋体" w:hAnsi="宋体"/>
                <w:color w:val="auto"/>
                <w:sz w:val="21"/>
                <w:szCs w:val="21"/>
                <w:lang w:eastAsia="zh-CN"/>
              </w:rPr>
              <w:t>课题</w:t>
            </w:r>
            <w:r>
              <w:rPr>
                <w:rFonts w:ascii="宋体" w:hAnsi="宋体"/>
                <w:color w:val="auto"/>
                <w:sz w:val="21"/>
                <w:szCs w:val="21"/>
              </w:rPr>
              <w:t>报告定稿。</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color w:val="auto"/>
                <w:szCs w:val="21"/>
              </w:rPr>
              <w:t>项目实施要求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szCs w:val="21"/>
                <w:lang w:val="en-US" w:eastAsia="zh-CN"/>
              </w:rPr>
            </w:pPr>
            <w:r>
              <w:rPr>
                <w:rFonts w:hint="eastAsia" w:ascii="宋体" w:hAnsi="宋体"/>
                <w:szCs w:val="21"/>
                <w:lang w:val="en-US" w:eastAsia="zh-CN"/>
              </w:rPr>
              <w:t>本项目需进行两个课题研究：</w:t>
            </w:r>
          </w:p>
          <w:p>
            <w:pPr>
              <w:numPr>
                <w:ilvl w:val="0"/>
                <w:numId w:val="13"/>
              </w:numPr>
              <w:tabs>
                <w:tab w:val="left" w:pos="531"/>
              </w:tabs>
              <w:snapToGrid w:val="0"/>
              <w:rPr>
                <w:rFonts w:hint="eastAsia" w:ascii="宋体" w:hAnsi="宋体"/>
                <w:szCs w:val="21"/>
                <w:lang w:val="en-US" w:eastAsia="zh-CN"/>
              </w:rPr>
            </w:pPr>
            <w:r>
              <w:rPr>
                <w:rFonts w:hint="eastAsia" w:ascii="宋体" w:hAnsi="宋体"/>
                <w:szCs w:val="21"/>
                <w:lang w:val="en-US" w:eastAsia="zh-CN"/>
              </w:rPr>
              <w:t>探索会展连接交易场景。总结平台业务市场发展前景、成功关键要素，进行会展中心办展资源盘点、业务可行性分析、业务模式及路径分析、经济指标测算，形成结论性意见或建议。</w:t>
            </w:r>
          </w:p>
          <w:p>
            <w:pPr>
              <w:numPr>
                <w:ilvl w:val="0"/>
                <w:numId w:val="0"/>
              </w:numPr>
              <w:tabs>
                <w:tab w:val="left" w:pos="531"/>
              </w:tabs>
              <w:snapToGrid w:val="0"/>
              <w:rPr>
                <w:rFonts w:ascii="宋体" w:hAnsi="宋体"/>
                <w:color w:val="FF0000"/>
              </w:rPr>
            </w:pPr>
            <w:r>
              <w:rPr>
                <w:rFonts w:hint="eastAsia" w:ascii="宋体" w:hAnsi="宋体"/>
                <w:szCs w:val="21"/>
                <w:lang w:val="en-US" w:eastAsia="zh-CN"/>
              </w:rPr>
              <w:t>（2）研究经贸中心的业务发展思路。涉及培训公司、展览公司、电子商务公司业务拓展方案研究，分析业务经营现状、行业发展前景、市场空间、竞争对手、成功关键要素、业务合作模式及公司组建方案、可能存在的风险，提出公司战略、竞争优势、公司未来发展的建议。</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lang w:val="en-US" w:eastAsia="zh-CN"/>
              </w:rPr>
              <w:t>成果交付</w:t>
            </w:r>
          </w:p>
        </w:tc>
        <w:tc>
          <w:tcPr>
            <w:tcW w:w="743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仿宋_GB2312"/>
                <w:szCs w:val="22"/>
              </w:rPr>
            </w:pPr>
            <w:r>
              <w:rPr>
                <w:rFonts w:hint="eastAsia" w:ascii="宋体" w:hAnsi="宋体" w:cs="仿宋_GB2312"/>
                <w:szCs w:val="22"/>
              </w:rPr>
              <w:t>项目交付成果为《</w:t>
            </w:r>
            <w:r>
              <w:rPr>
                <w:rFonts w:hint="eastAsia" w:ascii="宋体" w:hAnsi="宋体"/>
                <w:szCs w:val="21"/>
                <w:lang w:val="en-US" w:eastAsia="zh-CN"/>
              </w:rPr>
              <w:t>会展连接交易场景课题</w:t>
            </w:r>
            <w:r>
              <w:rPr>
                <w:rFonts w:hint="eastAsia" w:ascii="宋体" w:hAnsi="宋体" w:cs="仿宋_GB2312"/>
                <w:szCs w:val="22"/>
              </w:rPr>
              <w:t>研究》</w:t>
            </w:r>
            <w:r>
              <w:rPr>
                <w:rFonts w:hint="eastAsia" w:ascii="宋体" w:hAnsi="宋体" w:cs="仿宋_GB2312"/>
                <w:szCs w:val="22"/>
                <w:lang w:eastAsia="zh-CN"/>
              </w:rPr>
              <w:t>、《</w:t>
            </w:r>
            <w:r>
              <w:rPr>
                <w:rFonts w:hint="eastAsia" w:ascii="宋体" w:hAnsi="宋体"/>
                <w:szCs w:val="21"/>
                <w:lang w:val="en-US" w:eastAsia="zh-CN"/>
              </w:rPr>
              <w:t>经贸中心业务发展思路研究</w:t>
            </w:r>
            <w:r>
              <w:rPr>
                <w:rFonts w:hint="eastAsia" w:ascii="宋体" w:hAnsi="宋体" w:cs="仿宋_GB2312"/>
                <w:szCs w:val="22"/>
                <w:lang w:eastAsia="zh-CN"/>
              </w:rPr>
              <w:t>》</w:t>
            </w:r>
            <w:r>
              <w:rPr>
                <w:rFonts w:hint="eastAsia" w:ascii="宋体" w:hAnsi="宋体" w:cs="仿宋_GB2312"/>
                <w:szCs w:val="22"/>
              </w:rPr>
              <w:t>报告电子版</w:t>
            </w:r>
            <w:r>
              <w:rPr>
                <w:rFonts w:hint="eastAsia" w:ascii="宋体" w:hAnsi="宋体" w:cs="仿宋_GB2312"/>
                <w:szCs w:val="22"/>
                <w:lang w:eastAsia="zh-CN"/>
              </w:rPr>
              <w:t>（</w:t>
            </w:r>
            <w:r>
              <w:rPr>
                <w:rFonts w:hint="eastAsia" w:ascii="宋体" w:hAnsi="宋体" w:cs="仿宋_GB2312"/>
                <w:szCs w:val="22"/>
              </w:rPr>
              <w:t>正文为word版本</w:t>
            </w:r>
            <w:r>
              <w:rPr>
                <w:rFonts w:hint="eastAsia" w:ascii="宋体" w:hAnsi="宋体" w:cs="仿宋_GB2312"/>
                <w:szCs w:val="22"/>
                <w:lang w:eastAsia="zh-CN"/>
              </w:rPr>
              <w:t>）及纸质版</w:t>
            </w:r>
            <w:r>
              <w:rPr>
                <w:rFonts w:hint="eastAsia" w:ascii="宋体" w:hAnsi="宋体" w:cs="仿宋_GB2312"/>
                <w:szCs w:val="22"/>
                <w:lang w:val="en-US" w:eastAsia="zh-CN"/>
              </w:rPr>
              <w:t>4套。</w:t>
            </w:r>
            <w:r>
              <w:rPr>
                <w:rFonts w:hint="eastAsia" w:ascii="宋体" w:hAnsi="宋体" w:cs="仿宋_GB2312"/>
                <w:szCs w:val="22"/>
              </w:rPr>
              <w:t>如需向招标人做专项汇报时，投标人则需制作专项汇报P</w:t>
            </w:r>
            <w:r>
              <w:rPr>
                <w:rFonts w:ascii="宋体" w:hAnsi="宋体" w:cs="仿宋_GB2312"/>
                <w:szCs w:val="22"/>
              </w:rPr>
              <w:t>PT</w:t>
            </w:r>
            <w:r>
              <w:rPr>
                <w:rFonts w:hint="eastAsia" w:ascii="宋体" w:hAnsi="宋体" w:cs="仿宋_GB2312"/>
                <w:szCs w:val="22"/>
              </w:rPr>
              <w:t>。研究报告须包含但不仅限于以下内容：</w:t>
            </w:r>
          </w:p>
          <w:p>
            <w:pPr>
              <w:spacing w:line="240" w:lineRule="atLeast"/>
              <w:jc w:val="left"/>
              <w:rPr>
                <w:rFonts w:ascii="宋体" w:hAnsi="宋体" w:cs="仿宋_GB2312"/>
                <w:szCs w:val="22"/>
              </w:rPr>
            </w:pPr>
            <w:r>
              <w:rPr>
                <w:rFonts w:hint="eastAsia" w:ascii="宋体" w:hAnsi="宋体" w:cs="仿宋_GB2312"/>
                <w:szCs w:val="22"/>
              </w:rPr>
              <w:t>（1）项目背景。</w:t>
            </w:r>
          </w:p>
          <w:p>
            <w:pPr>
              <w:spacing w:line="240" w:lineRule="atLeast"/>
              <w:jc w:val="left"/>
              <w:rPr>
                <w:rFonts w:ascii="宋体" w:hAnsi="宋体" w:cs="仿宋_GB2312"/>
                <w:szCs w:val="22"/>
              </w:rPr>
            </w:pPr>
            <w:r>
              <w:rPr>
                <w:rFonts w:hint="eastAsia" w:ascii="宋体" w:hAnsi="宋体" w:cs="仿宋_GB2312"/>
                <w:szCs w:val="22"/>
              </w:rPr>
              <w:t>（2）</w:t>
            </w:r>
            <w:r>
              <w:rPr>
                <w:rFonts w:hint="eastAsia" w:ascii="宋体" w:hAnsi="宋体" w:cs="仿宋_GB2312"/>
                <w:szCs w:val="22"/>
                <w:lang w:val="en-US" w:eastAsia="zh-CN"/>
              </w:rPr>
              <w:t>业务</w:t>
            </w:r>
            <w:r>
              <w:rPr>
                <w:rFonts w:hint="eastAsia" w:ascii="宋体" w:hAnsi="宋体" w:cs="仿宋_GB2312"/>
                <w:szCs w:val="22"/>
              </w:rPr>
              <w:t>现状。</w:t>
            </w:r>
          </w:p>
          <w:p>
            <w:pPr>
              <w:spacing w:line="240" w:lineRule="atLeast"/>
              <w:jc w:val="left"/>
              <w:rPr>
                <w:rFonts w:ascii="宋体" w:hAnsi="宋体" w:cs="仿宋_GB2312"/>
                <w:szCs w:val="22"/>
              </w:rPr>
            </w:pPr>
            <w:r>
              <w:rPr>
                <w:rFonts w:hint="eastAsia" w:ascii="宋体" w:hAnsi="宋体" w:cs="仿宋_GB2312"/>
                <w:szCs w:val="22"/>
              </w:rPr>
              <w:t>（3）</w:t>
            </w:r>
            <w:r>
              <w:rPr>
                <w:rFonts w:hint="eastAsia" w:ascii="宋体" w:hAnsi="宋体" w:cs="仿宋_GB2312"/>
                <w:szCs w:val="22"/>
                <w:lang w:val="en-US" w:eastAsia="zh-CN"/>
              </w:rPr>
              <w:t>开展</w:t>
            </w:r>
            <w:r>
              <w:rPr>
                <w:rFonts w:hint="eastAsia" w:ascii="宋体" w:hAnsi="宋体"/>
                <w:szCs w:val="21"/>
                <w:lang w:val="en-US" w:eastAsia="zh-CN"/>
              </w:rPr>
              <w:t>平台业务</w:t>
            </w:r>
            <w:r>
              <w:rPr>
                <w:rFonts w:hint="eastAsia" w:ascii="宋体" w:hAnsi="宋体" w:cs="仿宋_GB2312"/>
                <w:szCs w:val="22"/>
              </w:rPr>
              <w:t>的可行性分析。</w:t>
            </w:r>
          </w:p>
          <w:p>
            <w:pPr>
              <w:spacing w:line="240" w:lineRule="atLeast"/>
              <w:jc w:val="left"/>
              <w:rPr>
                <w:rFonts w:ascii="宋体" w:hAnsi="宋体" w:cs="仿宋_GB2312"/>
                <w:szCs w:val="22"/>
              </w:rPr>
            </w:pPr>
            <w:r>
              <w:rPr>
                <w:rFonts w:hint="eastAsia" w:ascii="宋体" w:hAnsi="宋体" w:cs="仿宋_GB2312"/>
                <w:szCs w:val="22"/>
              </w:rPr>
              <w:t>（</w:t>
            </w:r>
            <w:r>
              <w:rPr>
                <w:rFonts w:hint="eastAsia" w:ascii="宋体" w:hAnsi="宋体" w:cs="仿宋_GB2312"/>
                <w:szCs w:val="22"/>
                <w:lang w:val="en-US" w:eastAsia="zh-CN"/>
              </w:rPr>
              <w:t>4</w:t>
            </w:r>
            <w:r>
              <w:rPr>
                <w:rFonts w:hint="eastAsia" w:ascii="宋体" w:hAnsi="宋体" w:cs="仿宋_GB2312"/>
                <w:szCs w:val="22"/>
              </w:rPr>
              <w:t>）</w:t>
            </w:r>
            <w:r>
              <w:rPr>
                <w:rFonts w:hint="eastAsia" w:ascii="宋体" w:hAnsi="宋体"/>
                <w:szCs w:val="21"/>
                <w:lang w:val="en-US" w:eastAsia="zh-CN"/>
              </w:rPr>
              <w:t>经贸中心</w:t>
            </w:r>
            <w:r>
              <w:rPr>
                <w:rFonts w:hint="eastAsia" w:ascii="宋体" w:hAnsi="宋体" w:cs="仿宋_GB2312"/>
                <w:szCs w:val="22"/>
                <w:lang w:val="en-US" w:eastAsia="zh-CN"/>
              </w:rPr>
              <w:t>发展</w:t>
            </w:r>
            <w:r>
              <w:rPr>
                <w:rFonts w:hint="eastAsia" w:ascii="宋体" w:hAnsi="宋体" w:cs="仿宋_GB2312"/>
                <w:szCs w:val="22"/>
              </w:rPr>
              <w:t>路径分析。</w:t>
            </w:r>
          </w:p>
          <w:p>
            <w:pPr>
              <w:tabs>
                <w:tab w:val="left" w:pos="531"/>
              </w:tabs>
              <w:snapToGrid w:val="0"/>
              <w:rPr>
                <w:color w:val="FF0000"/>
              </w:rPr>
            </w:pPr>
            <w:r>
              <w:rPr>
                <w:rFonts w:hint="eastAsia" w:ascii="宋体" w:hAnsi="宋体" w:cs="仿宋_GB2312"/>
                <w:szCs w:val="22"/>
              </w:rPr>
              <w:t>（</w:t>
            </w:r>
            <w:r>
              <w:rPr>
                <w:rFonts w:hint="eastAsia" w:ascii="宋体" w:hAnsi="宋体" w:cs="仿宋_GB2312"/>
                <w:szCs w:val="22"/>
                <w:lang w:val="en-US" w:eastAsia="zh-CN"/>
              </w:rPr>
              <w:t>5</w:t>
            </w:r>
            <w:r>
              <w:rPr>
                <w:rFonts w:hint="eastAsia" w:ascii="宋体" w:hAnsi="宋体" w:cs="仿宋_GB2312"/>
                <w:szCs w:val="22"/>
              </w:rPr>
              <w:t>）招标人要求研究的其他相关内容。</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项目验收</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auto"/>
              </w:rPr>
            </w:pPr>
            <w:r>
              <w:rPr>
                <w:rFonts w:hint="eastAsia" w:ascii="宋体" w:hAnsi="宋体"/>
                <w:color w:val="auto"/>
              </w:rPr>
              <w:t>项目最终交付成果以</w:t>
            </w:r>
            <w:r>
              <w:rPr>
                <w:rFonts w:hint="eastAsia" w:ascii="宋体" w:hAnsi="宋体"/>
                <w:color w:val="auto"/>
                <w:lang w:val="en-US" w:eastAsia="zh-CN"/>
              </w:rPr>
              <w:t>招标人</w:t>
            </w:r>
            <w:r>
              <w:rPr>
                <w:rFonts w:hint="eastAsia" w:ascii="宋体" w:hAnsi="宋体"/>
                <w:color w:val="auto"/>
                <w:lang w:eastAsia="zh-CN"/>
              </w:rPr>
              <w:t>专家小组</w:t>
            </w:r>
            <w:r>
              <w:rPr>
                <w:rFonts w:hint="eastAsia" w:ascii="宋体" w:hAnsi="宋体"/>
                <w:color w:val="auto"/>
              </w:rPr>
              <w:t>最终审议或会签结论为验收依据，审议通过则验收合格，如审议未通过中标人有义务根据</w:t>
            </w:r>
            <w:r>
              <w:rPr>
                <w:rFonts w:hint="eastAsia" w:ascii="宋体" w:hAnsi="宋体"/>
                <w:color w:val="auto"/>
                <w:lang w:val="en-US" w:eastAsia="zh-CN"/>
              </w:rPr>
              <w:t>招标人</w:t>
            </w:r>
            <w:r>
              <w:rPr>
                <w:rFonts w:hint="eastAsia" w:ascii="宋体" w:hAnsi="宋体"/>
                <w:color w:val="auto"/>
              </w:rPr>
              <w:t>指导意见做相应调整，直到审议或会签通过为止。</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r>
              <w:rPr>
                <w:rFonts w:hint="eastAsia" w:ascii="宋体" w:hAnsi="宋体"/>
                <w:sz w:val="21"/>
                <w:szCs w:val="21"/>
              </w:rPr>
              <w:t>知识产权保护及保密要求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tabs>
                <w:tab w:val="left" w:pos="0"/>
              </w:tabs>
              <w:snapToGrid w:val="0"/>
              <w:spacing w:line="360" w:lineRule="auto"/>
              <w:ind w:left="0" w:firstLine="0"/>
              <w:jc w:val="lef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项目所有成果版权归</w:t>
            </w:r>
            <w:r>
              <w:rPr>
                <w:rFonts w:hint="eastAsia" w:ascii="宋体" w:hAnsi="宋体"/>
                <w:sz w:val="21"/>
                <w:szCs w:val="21"/>
                <w:lang w:eastAsia="zh-CN"/>
              </w:rPr>
              <w:t>招标人</w:t>
            </w:r>
            <w:r>
              <w:rPr>
                <w:rFonts w:hint="eastAsia" w:ascii="宋体" w:hAnsi="宋体"/>
                <w:sz w:val="21"/>
                <w:szCs w:val="21"/>
              </w:rPr>
              <w:t>所有。</w:t>
            </w:r>
          </w:p>
          <w:p>
            <w:pPr>
              <w:widowControl/>
              <w:numPr>
                <w:ilvl w:val="-1"/>
                <w:numId w:val="0"/>
              </w:numPr>
              <w:tabs>
                <w:tab w:val="left" w:pos="0"/>
              </w:tabs>
              <w:snapToGrid w:val="0"/>
              <w:spacing w:line="360" w:lineRule="auto"/>
              <w:ind w:left="0" w:firstLine="0"/>
              <w:jc w:val="lef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投标人必须对编制内容拥有原创知识产权，不得有模仿、抄袭等侵权行为。招标人在使用项目成果的任何一部分时，免受第三方提出的涉及侵犯其知识产权的起诉；由此所带来的任何法律和经济赔偿责任全部由投标人承担，与招标人无关。</w:t>
            </w:r>
          </w:p>
          <w:p>
            <w:pPr>
              <w:widowControl/>
              <w:numPr>
                <w:ilvl w:val="-1"/>
                <w:numId w:val="0"/>
              </w:numPr>
              <w:tabs>
                <w:tab w:val="left" w:pos="0"/>
              </w:tabs>
              <w:snapToGrid w:val="0"/>
              <w:spacing w:line="360" w:lineRule="auto"/>
              <w:ind w:left="0" w:firstLine="0"/>
              <w:jc w:val="left"/>
              <w:rPr>
                <w:rFonts w:hint="eastAsia" w:ascii="宋体" w:hAnsi="宋体"/>
                <w:color w:val="auto"/>
              </w:rPr>
            </w:pPr>
            <w:r>
              <w:rPr>
                <w:rFonts w:hint="eastAsia" w:ascii="宋体" w:hAnsi="宋体"/>
                <w:sz w:val="21"/>
                <w:szCs w:val="21"/>
                <w:lang w:eastAsia="zh-CN"/>
              </w:rPr>
              <w:t>（</w:t>
            </w:r>
            <w:r>
              <w:rPr>
                <w:rFonts w:hint="eastAsia" w:ascii="宋体" w:hAnsi="宋体"/>
                <w:sz w:val="21"/>
                <w:szCs w:val="21"/>
                <w:lang w:val="en-US" w:eastAsia="zh-CN"/>
              </w:rPr>
              <w:t>3</w:t>
            </w:r>
            <w:r>
              <w:rPr>
                <w:rFonts w:hint="eastAsia" w:ascii="宋体" w:hAnsi="宋体"/>
                <w:sz w:val="21"/>
                <w:szCs w:val="21"/>
                <w:lang w:eastAsia="zh-CN"/>
              </w:rPr>
              <w:t>）</w:t>
            </w:r>
            <w:r>
              <w:rPr>
                <w:rFonts w:hint="eastAsia" w:ascii="宋体" w:hAnsi="宋体"/>
                <w:sz w:val="21"/>
                <w:szCs w:val="21"/>
              </w:rPr>
              <w:t>招标人及中标人双方都有责任对对方提供的技术情报、资料数据及商业秘密保密。未经对方同意，任何一方不得以任何形式向第三方泄露本项目资料或在项目中接触到的资料，不得将其用于履行本合同之外的其他用途。中标人违反本条约定，给招标人造成损失的，应当</w:t>
            </w:r>
            <w:r>
              <w:rPr>
                <w:rFonts w:hint="eastAsia" w:ascii="宋体" w:hAnsi="宋体"/>
                <w:color w:val="auto"/>
                <w:sz w:val="21"/>
                <w:szCs w:val="21"/>
              </w:rPr>
              <w:t>赔偿造成的全部损失。本</w:t>
            </w:r>
            <w:r>
              <w:rPr>
                <w:rFonts w:hint="eastAsia" w:ascii="宋体" w:hAnsi="宋体"/>
                <w:sz w:val="21"/>
                <w:szCs w:val="21"/>
              </w:rPr>
              <w:t>条约定的保密义务不因本</w:t>
            </w:r>
            <w:r>
              <w:rPr>
                <w:rFonts w:hint="eastAsia" w:ascii="宋体" w:hAnsi="宋体"/>
                <w:sz w:val="21"/>
                <w:szCs w:val="21"/>
                <w:lang w:val="en-US" w:eastAsia="zh-CN"/>
              </w:rPr>
              <w:t>项目</w:t>
            </w:r>
            <w:r>
              <w:rPr>
                <w:rFonts w:hint="eastAsia" w:ascii="宋体" w:hAnsi="宋体"/>
                <w:sz w:val="21"/>
                <w:szCs w:val="21"/>
              </w:rPr>
              <w:t>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rFonts w:ascii="宋体" w:hAnsi="宋体"/>
                <w:color w:val="auto"/>
              </w:rPr>
            </w:pPr>
            <w:r>
              <w:rPr>
                <w:rFonts w:hint="eastAsia" w:ascii="宋体" w:hAnsi="宋体"/>
                <w:color w:val="auto"/>
              </w:rPr>
              <w:t>项目负责人及拟投入本项目人员一经确定，不得随意更换，除非招标人提出更换。</w:t>
            </w:r>
            <w:r>
              <w:rPr>
                <w:rFonts w:hint="eastAsia" w:ascii="宋体" w:hAnsi="宋体" w:eastAsia="宋体" w:cs="宋体"/>
                <w:color w:val="000000" w:themeColor="text1"/>
                <w:sz w:val="21"/>
                <w:szCs w:val="21"/>
                <w14:textFill>
                  <w14:solidFill>
                    <w14:schemeClr w14:val="tx1"/>
                  </w14:solidFill>
                </w14:textFill>
              </w:rPr>
              <w:t>项目团队人数不低于3人，并需经</w:t>
            </w:r>
            <w:r>
              <w:rPr>
                <w:rFonts w:hint="eastAsia" w:ascii="宋体" w:hAnsi="宋体" w:cs="宋体"/>
                <w:color w:val="000000" w:themeColor="text1"/>
                <w:sz w:val="21"/>
                <w:szCs w:val="21"/>
                <w:lang w:eastAsia="zh-CN"/>
                <w14:textFill>
                  <w14:solidFill>
                    <w14:schemeClr w14:val="tx1"/>
                  </w14:solidFill>
                </w14:textFill>
              </w:rPr>
              <w:t>招标人</w:t>
            </w:r>
            <w:r>
              <w:rPr>
                <w:rFonts w:hint="eastAsia" w:ascii="宋体" w:hAnsi="宋体" w:eastAsia="宋体" w:cs="宋体"/>
                <w:color w:val="000000" w:themeColor="text1"/>
                <w:sz w:val="21"/>
                <w:szCs w:val="21"/>
                <w14:textFill>
                  <w14:solidFill>
                    <w14:schemeClr w14:val="tx1"/>
                  </w14:solidFill>
                </w14:textFill>
              </w:rPr>
              <w:t>认可</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olor w:val="auto"/>
              </w:rPr>
              <w:t>如中标人确需更换，需取得招标人同意。</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default" w:ascii="宋体" w:hAnsi="宋体" w:eastAsia="宋体"/>
                <w:color w:val="auto"/>
                <w:lang w:val="en-US" w:eastAsia="zh-CN"/>
              </w:rPr>
            </w:pPr>
            <w:r>
              <w:rPr>
                <w:rFonts w:hint="eastAsia" w:ascii="宋体" w:hAnsi="宋体"/>
                <w:color w:val="auto"/>
                <w:lang w:val="en-US" w:eastAsia="zh-CN"/>
              </w:rPr>
              <w:t>需提供</w:t>
            </w:r>
            <w:r>
              <w:rPr>
                <w:rFonts w:hint="eastAsia" w:ascii="宋体" w:hAnsi="宋体"/>
                <w:color w:val="auto"/>
              </w:rPr>
              <w:t>针对本项目工作</w:t>
            </w:r>
            <w:r>
              <w:rPr>
                <w:rFonts w:hint="eastAsia" w:ascii="宋体" w:hAnsi="宋体"/>
                <w:color w:val="auto"/>
                <w:lang w:val="en-US" w:eastAsia="zh-CN"/>
              </w:rPr>
              <w:t>的服务承诺书</w:t>
            </w:r>
            <w:r>
              <w:rPr>
                <w:rFonts w:hint="eastAsia" w:ascii="宋体" w:hAnsi="宋体"/>
                <w:color w:val="auto"/>
              </w:rPr>
              <w:t>，包括但不仅限于文本质量、项目进度计划、响应速度、人员组织管理</w:t>
            </w:r>
            <w:r>
              <w:rPr>
                <w:rFonts w:hint="eastAsia" w:ascii="宋体" w:hAnsi="宋体"/>
                <w:color w:val="auto"/>
                <w:lang w:val="en-US" w:eastAsia="zh-CN"/>
              </w:rPr>
              <w:t>及质量控制等方面的书面承诺，保证本项目按时完成。</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bl>
    <w:p>
      <w:pPr>
        <w:numPr>
          <w:ilvl w:val="0"/>
          <w:numId w:val="2"/>
        </w:numPr>
        <w:jc w:val="left"/>
        <w:outlineLvl w:val="1"/>
        <w:rPr>
          <w:rFonts w:ascii="宋体" w:hAnsi="宋体"/>
          <w:b/>
          <w:szCs w:val="21"/>
        </w:rPr>
      </w:pPr>
      <w:bookmarkStart w:id="37" w:name="_Toc82684600"/>
      <w:bookmarkEnd w:id="37"/>
      <w:bookmarkStart w:id="38" w:name="_Toc82685552"/>
      <w:bookmarkEnd w:id="38"/>
      <w:bookmarkStart w:id="39" w:name="_Toc82591996"/>
      <w:bookmarkEnd w:id="39"/>
      <w:bookmarkStart w:id="40" w:name="_Toc82684715"/>
      <w:bookmarkEnd w:id="40"/>
      <w:bookmarkStart w:id="41" w:name="_Toc106791257"/>
      <w:r>
        <w:rPr>
          <w:rFonts w:hint="eastAsia" w:ascii="宋体" w:hAnsi="宋体"/>
          <w:b/>
          <w:szCs w:val="21"/>
        </w:rPr>
        <w:t>其他项目说明资料</w:t>
      </w:r>
      <w:bookmarkEnd w:id="41"/>
    </w:p>
    <w:p>
      <w:pPr>
        <w:widowControl/>
        <w:jc w:val="left"/>
        <w:rPr>
          <w:color w:val="FF0000"/>
          <w:highlight w:val="yellow"/>
        </w:rPr>
      </w:pPr>
      <w:r>
        <w:rPr>
          <w:rFonts w:hint="eastAsia"/>
          <w:color w:val="auto"/>
          <w:highlight w:val="none"/>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42" w:name="_Toc106791258"/>
      <w:r>
        <w:rPr>
          <w:rFonts w:hint="eastAsia" w:ascii="宋体" w:hAnsi="宋体"/>
          <w:b/>
          <w:sz w:val="32"/>
          <w:szCs w:val="32"/>
        </w:rPr>
        <w:t>第二部分：开标评标流程</w:t>
      </w:r>
      <w:bookmarkEnd w:id="42"/>
    </w:p>
    <w:p>
      <w:pPr>
        <w:numPr>
          <w:ilvl w:val="0"/>
          <w:numId w:val="2"/>
        </w:numPr>
        <w:spacing w:line="360" w:lineRule="auto"/>
        <w:outlineLvl w:val="1"/>
        <w:rPr>
          <w:b/>
        </w:rPr>
      </w:pPr>
      <w:bookmarkStart w:id="43" w:name="_Toc106791260"/>
      <w:bookmarkStart w:id="44" w:name="_Toc104994641"/>
      <w:bookmarkStart w:id="45" w:name="_Hlk104908581"/>
      <w:bookmarkStart w:id="46" w:name="_Hlk104908397"/>
      <w:r>
        <w:rPr>
          <w:rFonts w:hint="eastAsia"/>
          <w:b/>
        </w:rPr>
        <w:t>开标阶段</w:t>
      </w:r>
      <w:bookmarkEnd w:id="43"/>
      <w:bookmarkEnd w:id="44"/>
    </w:p>
    <w:bookmarkEnd w:id="45"/>
    <w:p>
      <w:pPr>
        <w:pStyle w:val="17"/>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17"/>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17"/>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17"/>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17"/>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17"/>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17"/>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17"/>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2"/>
        </w:numPr>
        <w:spacing w:line="360" w:lineRule="auto"/>
        <w:outlineLvl w:val="1"/>
        <w:rPr>
          <w:b/>
        </w:rPr>
      </w:pPr>
      <w:bookmarkStart w:id="47" w:name="_Toc106791261"/>
      <w:bookmarkStart w:id="48" w:name="_Toc104994642"/>
      <w:r>
        <w:rPr>
          <w:rFonts w:hint="eastAsia"/>
          <w:b/>
        </w:rPr>
        <w:t>评标阶段</w:t>
      </w:r>
      <w:bookmarkEnd w:id="47"/>
      <w:bookmarkEnd w:id="48"/>
    </w:p>
    <w:p>
      <w:pPr>
        <w:pStyle w:val="17"/>
        <w:numPr>
          <w:ilvl w:val="0"/>
          <w:numId w:val="15"/>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17"/>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17"/>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17"/>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17"/>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17"/>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17"/>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17"/>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bookmarkEnd w:id="46"/>
    <w:p>
      <w:pPr>
        <w:widowControl/>
        <w:jc w:val="left"/>
        <w:rPr>
          <w:rFonts w:ascii="仿宋_GB2312" w:hAnsi="宋体" w:eastAsia="仿宋_GB2312"/>
        </w:rPr>
      </w:pPr>
      <w:r>
        <w:br w:type="page"/>
      </w:r>
    </w:p>
    <w:p>
      <w:pPr>
        <w:pStyle w:val="9"/>
        <w:rPr>
          <w:rFonts w:ascii="宋体"/>
          <w:b/>
          <w:sz w:val="28"/>
        </w:rPr>
      </w:pPr>
    </w:p>
    <w:p>
      <w:pPr>
        <w:spacing w:line="360" w:lineRule="auto"/>
        <w:jc w:val="center"/>
        <w:outlineLvl w:val="0"/>
        <w:rPr>
          <w:rFonts w:ascii="宋体" w:hAnsi="宋体"/>
          <w:b/>
          <w:sz w:val="32"/>
          <w:szCs w:val="32"/>
        </w:rPr>
      </w:pPr>
      <w:bookmarkStart w:id="49" w:name="_Toc106791262"/>
      <w:r>
        <w:rPr>
          <w:rFonts w:hint="eastAsia" w:ascii="宋体" w:hAnsi="宋体"/>
          <w:b/>
          <w:sz w:val="32"/>
          <w:szCs w:val="32"/>
        </w:rPr>
        <w:t>第三部分：评审办法</w:t>
      </w:r>
      <w:bookmarkEnd w:id="49"/>
    </w:p>
    <w:p>
      <w:pPr>
        <w:numPr>
          <w:ilvl w:val="0"/>
          <w:numId w:val="2"/>
        </w:numPr>
        <w:spacing w:line="360" w:lineRule="auto"/>
        <w:outlineLvl w:val="1"/>
        <w:rPr>
          <w:rFonts w:ascii="宋体" w:hAnsi="宋体"/>
          <w:szCs w:val="21"/>
        </w:rPr>
      </w:pPr>
      <w:bookmarkStart w:id="50" w:name="_Toc106791263"/>
      <w:r>
        <w:rPr>
          <w:rFonts w:hint="eastAsia" w:ascii="宋体" w:hAnsi="宋体"/>
          <w:b/>
          <w:bCs/>
          <w:szCs w:val="21"/>
        </w:rPr>
        <w:t>评审办法</w:t>
      </w:r>
      <w:bookmarkEnd w:id="50"/>
    </w:p>
    <w:p>
      <w:pPr>
        <w:spacing w:line="360" w:lineRule="auto"/>
        <w:ind w:firstLine="420" w:firstLineChars="200"/>
        <w:rPr>
          <w:rFonts w:ascii="宋体" w:hAnsi="宋体"/>
          <w:szCs w:val="21"/>
          <w:highlight w:val="none"/>
        </w:rPr>
      </w:pPr>
      <w:r>
        <w:rPr>
          <w:rFonts w:hint="eastAsia" w:ascii="宋体" w:hAnsi="宋体"/>
          <w:szCs w:val="21"/>
        </w:rPr>
        <w:t>首先对各投标人进行符合性审查。对通过符合性审查的投标人，采用</w:t>
      </w:r>
      <w:r>
        <w:rPr>
          <w:rFonts w:hint="eastAsia" w:ascii="宋体" w:hAnsi="宋体"/>
          <w:b/>
          <w:szCs w:val="21"/>
          <w:highlight w:val="none"/>
        </w:rPr>
        <w:t>100分制综合评分法</w:t>
      </w:r>
      <w:r>
        <w:rPr>
          <w:rFonts w:hint="eastAsia" w:ascii="宋体" w:hAnsi="宋体"/>
          <w:szCs w:val="21"/>
          <w:highlight w:val="none"/>
        </w:rPr>
        <w:t>进行评分。</w:t>
      </w:r>
    </w:p>
    <w:tbl>
      <w:tblPr>
        <w:tblStyle w:val="12"/>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jc w:val="cente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30"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35</w:t>
            </w:r>
            <w:r>
              <w:rPr>
                <w:rFonts w:hint="eastAsia" w:ascii="宋体" w:hAnsi="宋体"/>
                <w:color w:val="auto"/>
                <w:highlight w:val="none"/>
              </w:rPr>
              <w:t>%</w:t>
            </w:r>
          </w:p>
        </w:tc>
        <w:tc>
          <w:tcPr>
            <w:tcW w:w="2131"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highlight w:val="none"/>
                <w:lang w:val="en-US" w:eastAsia="zh-CN"/>
              </w:rPr>
              <w:t>35</w:t>
            </w:r>
            <w:r>
              <w:rPr>
                <w:rFonts w:hint="eastAsia" w:ascii="宋体" w:hAnsi="宋体"/>
                <w:color w:val="auto"/>
                <w:highlight w:val="none"/>
              </w:rPr>
              <w:t>%</w:t>
            </w:r>
          </w:p>
        </w:tc>
        <w:tc>
          <w:tcPr>
            <w:tcW w:w="2585"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30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jc w:val="center"/>
            </w:pPr>
            <w:r>
              <w:rPr>
                <w:rFonts w:hint="eastAsia" w:ascii="宋体" w:hAnsi="宋体"/>
              </w:rPr>
              <w:t>投标人综合得分</w:t>
            </w:r>
          </w:p>
        </w:tc>
        <w:tc>
          <w:tcPr>
            <w:tcW w:w="6846" w:type="dxa"/>
            <w:gridSpan w:val="3"/>
            <w:vAlign w:val="center"/>
          </w:tcPr>
          <w:p>
            <w:pPr>
              <w:pStyle w:val="2"/>
              <w:jc w:val="center"/>
            </w:pPr>
            <w:r>
              <w:rPr>
                <w:rFonts w:hint="eastAsia" w:ascii="宋体" w:hAnsi="宋体"/>
              </w:rPr>
              <w:t>商务标得分+技术标得分+价格标得分=100</w:t>
            </w:r>
          </w:p>
        </w:tc>
      </w:tr>
    </w:tbl>
    <w:p>
      <w:pPr>
        <w:pStyle w:val="2"/>
        <w:ind w:left="0"/>
      </w:pPr>
    </w:p>
    <w:p>
      <w:pPr>
        <w:pStyle w:val="9"/>
      </w:pPr>
    </w:p>
    <w:p>
      <w:pPr>
        <w:numPr>
          <w:ilvl w:val="0"/>
          <w:numId w:val="16"/>
        </w:numPr>
        <w:spacing w:line="360" w:lineRule="auto"/>
        <w:jc w:val="left"/>
        <w:outlineLvl w:val="2"/>
        <w:rPr>
          <w:rStyle w:val="19"/>
          <w:rFonts w:ascii="宋体" w:hAnsi="宋体"/>
          <w:b/>
          <w:szCs w:val="21"/>
        </w:rPr>
      </w:pPr>
      <w:bookmarkStart w:id="51" w:name="_Toc106791264"/>
      <w:r>
        <w:rPr>
          <w:rStyle w:val="19"/>
          <w:rFonts w:hint="eastAsia" w:ascii="宋体" w:hAnsi="宋体"/>
          <w:b/>
          <w:bCs/>
          <w:szCs w:val="21"/>
        </w:rPr>
        <w:t>符合性检查</w:t>
      </w:r>
      <w:bookmarkEnd w:id="51"/>
    </w:p>
    <w:tbl>
      <w:tblPr>
        <w:tblStyle w:val="11"/>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0"/>
                <w:numId w:val="0"/>
              </w:numPr>
              <w:tabs>
                <w:tab w:val="left" w:pos="531"/>
              </w:tabs>
              <w:snapToGrid w:val="0"/>
              <w:spacing w:line="360" w:lineRule="auto"/>
              <w:ind w:left="0"/>
            </w:pPr>
            <w:r>
              <w:rPr>
                <w:rFonts w:hint="eastAsia"/>
              </w:rPr>
              <w:t>投标人是否提供以下证明文件：</w:t>
            </w:r>
          </w:p>
          <w:p>
            <w:pPr>
              <w:numPr>
                <w:ilvl w:val="-1"/>
                <w:numId w:val="0"/>
              </w:numPr>
              <w:tabs>
                <w:tab w:val="left" w:pos="531"/>
              </w:tabs>
              <w:snapToGrid w:val="0"/>
              <w:spacing w:line="360" w:lineRule="auto"/>
              <w:ind w:left="0"/>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lang w:val="en-US" w:eastAsia="zh-CN"/>
              </w:rPr>
              <w:t>将被</w:t>
            </w:r>
            <w:r>
              <w:rPr>
                <w:rFonts w:hint="eastAsia"/>
              </w:rPr>
              <w:t>拒绝参与本项目的采购活动。）</w:t>
            </w:r>
          </w:p>
          <w:p>
            <w:pPr>
              <w:numPr>
                <w:ilvl w:val="-1"/>
                <w:numId w:val="0"/>
              </w:numPr>
              <w:tabs>
                <w:tab w:val="left" w:pos="531"/>
              </w:tabs>
              <w:snapToGrid w:val="0"/>
              <w:spacing w:line="360" w:lineRule="auto"/>
              <w:ind w:left="0"/>
              <w:rPr>
                <w:rFonts w:hint="eastAsia" w:ascii="宋体"/>
                <w:lang w:eastAsia="zh-CN"/>
              </w:rPr>
            </w:pPr>
            <w:r>
              <w:rPr>
                <w:rFonts w:hint="eastAsia"/>
                <w:lang w:eastAsia="zh-CN"/>
              </w:rPr>
              <w:t>（</w:t>
            </w:r>
            <w:r>
              <w:rPr>
                <w:rFonts w:hint="eastAsia"/>
                <w:lang w:val="en-US" w:eastAsia="zh-CN"/>
              </w:rPr>
              <w:t>2</w:t>
            </w:r>
            <w:r>
              <w:rPr>
                <w:rFonts w:hint="eastAsia"/>
                <w:lang w:eastAsia="zh-CN"/>
              </w:rPr>
              <w:t>）</w:t>
            </w:r>
            <w:r>
              <w:rPr>
                <w:rFonts w:hint="eastAsia"/>
              </w:rPr>
              <w:t>本项目不接受联合体投标，严禁转包或非法分包。</w:t>
            </w:r>
          </w:p>
          <w:p>
            <w:pPr>
              <w:numPr>
                <w:ilvl w:val="-1"/>
                <w:numId w:val="0"/>
              </w:numPr>
              <w:tabs>
                <w:tab w:val="left" w:pos="531"/>
              </w:tabs>
              <w:snapToGrid w:val="0"/>
              <w:spacing w:line="360" w:lineRule="auto"/>
              <w:ind w:left="0"/>
            </w:pPr>
            <w:r>
              <w:rPr>
                <w:rFonts w:hint="eastAsia"/>
                <w:lang w:val="en-US" w:eastAsia="zh-CN"/>
              </w:rPr>
              <w:t>（3）</w:t>
            </w:r>
            <w:r>
              <w:rPr>
                <w:rFonts w:hint="eastAsia" w:ascii="Times New Roman" w:hAnsi="Times New Roman" w:eastAsia="宋体" w:cs="Times New Roman"/>
                <w:spacing w:val="0"/>
                <w:kern w:val="2"/>
                <w:sz w:val="21"/>
                <w:szCs w:val="24"/>
                <w:lang w:val="en-US" w:eastAsia="zh-CN" w:bidi="ar-SA"/>
              </w:rPr>
              <w:t>投标人应承担过企业管理咨询或产业策划及规划咨询项目经验。投标人须提供体现上述信息的相应合同的关键页复印件并加盖参加单位公章。合同关键页包含但不限于项目名称、业主方名称、合同主要内容、签订时间、甲乙双方盖章等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w:t>
            </w:r>
            <w:r>
              <w:rPr>
                <w:rFonts w:hint="eastAsia" w:ascii="宋体" w:hAnsi="宋体" w:cs="仿宋"/>
                <w:szCs w:val="21"/>
                <w:highlight w:val="none"/>
              </w:rPr>
              <w:t>报价是否高于</w:t>
            </w:r>
            <w:r>
              <w:rPr>
                <w:rFonts w:hint="eastAsia" w:ascii="宋体" w:hAnsi="宋体" w:cs="仿宋"/>
                <w:szCs w:val="21"/>
                <w:highlight w:val="none"/>
                <w:lang w:val="en-US" w:eastAsia="zh-CN"/>
              </w:rPr>
              <w:t>35</w:t>
            </w:r>
            <w:r>
              <w:rPr>
                <w:rFonts w:ascii="宋体" w:hAnsi="宋体" w:cs="仿宋"/>
                <w:szCs w:val="21"/>
                <w:highlight w:val="none"/>
              </w:rPr>
              <w:t>万元（含税）</w:t>
            </w:r>
            <w:r>
              <w:rPr>
                <w:rFonts w:hint="eastAsia" w:ascii="宋体" w:hAnsi="宋体" w:cs="仿宋"/>
                <w:szCs w:val="21"/>
                <w:highlight w:val="none"/>
              </w:rPr>
              <w:t>，超过</w:t>
            </w:r>
            <w:r>
              <w:rPr>
                <w:rFonts w:hint="eastAsia" w:ascii="宋体" w:hAnsi="宋体" w:cs="仿宋"/>
                <w:szCs w:val="21"/>
              </w:rPr>
              <w:t>上述控制金额的视为无效报价。</w:t>
            </w:r>
          </w:p>
        </w:tc>
      </w:tr>
    </w:tbl>
    <w:tbl>
      <w:tblPr>
        <w:tblStyle w:val="11"/>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6804" w:type="dxa"/>
            <w:tcBorders>
              <w:tl2br w:val="nil"/>
              <w:tr2bl w:val="nil"/>
            </w:tcBorders>
            <w:shd w:val="clear" w:color="auto" w:fill="EEEEEE"/>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商务评议项（</w:t>
            </w:r>
            <w:r>
              <w:rPr>
                <w:rFonts w:hint="eastAsia" w:ascii="宋体" w:hAnsi="宋体" w:eastAsia="宋体" w:cs="宋体"/>
                <w:color w:val="auto"/>
                <w:sz w:val="21"/>
                <w:szCs w:val="21"/>
                <w:highlight w:val="none"/>
                <w:lang w:val="en-US" w:eastAsia="zh-CN"/>
              </w:rPr>
              <w:t>35</w:t>
            </w:r>
            <w:r>
              <w:rPr>
                <w:rFonts w:hint="eastAsia" w:ascii="宋体" w:hAnsi="宋体" w:eastAsia="宋体" w:cs="宋体"/>
                <w:b/>
                <w:color w:val="auto"/>
                <w:sz w:val="21"/>
                <w:szCs w:val="21"/>
                <w:highlight w:val="none"/>
              </w:rPr>
              <w:t>分</w:t>
            </w:r>
            <w:r>
              <w:rPr>
                <w:rFonts w:hint="eastAsia" w:ascii="宋体" w:hAnsi="宋体" w:eastAsia="宋体" w:cs="宋体"/>
                <w:b/>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17"/>
              <w:numPr>
                <w:ilvl w:val="0"/>
                <w:numId w:val="17"/>
              </w:numPr>
              <w:spacing w:line="360" w:lineRule="auto"/>
              <w:ind w:firstLineChars="0"/>
              <w:jc w:val="center"/>
              <w:rPr>
                <w:rFonts w:hint="eastAsia" w:ascii="宋体" w:hAnsi="宋体" w:eastAsia="宋体" w:cs="宋体"/>
                <w:sz w:val="21"/>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FF0000"/>
                <w:sz w:val="21"/>
                <w:szCs w:val="21"/>
              </w:rPr>
            </w:pPr>
            <w:r>
              <w:rPr>
                <w:rFonts w:hint="eastAsia" w:ascii="宋体" w:hAnsi="宋体" w:eastAsia="宋体" w:cs="宋体"/>
                <w:sz w:val="21"/>
                <w:szCs w:val="21"/>
              </w:rPr>
              <w:t>综合实力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6804" w:type="dxa"/>
            <w:tcBorders>
              <w:tl2br w:val="nil"/>
              <w:tr2bl w:val="nil"/>
            </w:tcBorders>
            <w:tcMar>
              <w:top w:w="15" w:type="dxa"/>
              <w:left w:w="15" w:type="dxa"/>
              <w:bottom w:w="15" w:type="dxa"/>
              <w:right w:w="15" w:type="dxa"/>
            </w:tcMar>
            <w:vAlign w:val="center"/>
          </w:tcPr>
          <w:p>
            <w:pPr>
              <w:pStyle w:val="9"/>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投标人缴纳社保的人数</w:t>
            </w:r>
            <w:r>
              <w:rPr>
                <w:rFonts w:hint="eastAsia" w:ascii="宋体" w:hAnsi="宋体" w:eastAsia="宋体" w:cs="宋体"/>
                <w:b w:val="0"/>
                <w:bCs w:val="0"/>
                <w:color w:val="auto"/>
                <w:sz w:val="21"/>
                <w:szCs w:val="21"/>
                <w:highlight w:val="none"/>
                <w:lang w:val="en-US" w:eastAsia="zh-CN"/>
              </w:rPr>
              <w:t>进行</w:t>
            </w:r>
            <w:r>
              <w:rPr>
                <w:rFonts w:hint="eastAsia" w:ascii="宋体" w:hAnsi="宋体" w:eastAsia="宋体" w:cs="宋体"/>
                <w:b w:val="0"/>
                <w:bCs w:val="0"/>
                <w:color w:val="auto"/>
                <w:sz w:val="21"/>
                <w:szCs w:val="21"/>
                <w:highlight w:val="none"/>
              </w:rPr>
              <w:t>横向比较，最高得3分，一般得2分，最低得1分。</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投标人</w:t>
            </w:r>
            <w:r>
              <w:rPr>
                <w:rFonts w:hint="eastAsia" w:ascii="宋体" w:hAnsi="宋体" w:eastAsia="宋体" w:cs="宋体"/>
                <w:b w:val="0"/>
                <w:bCs w:val="0"/>
                <w:sz w:val="21"/>
                <w:szCs w:val="21"/>
              </w:rPr>
              <w:t>需提供所属社保机构出具的在采购公告发布当日之前3个月</w:t>
            </w:r>
            <w:r>
              <w:rPr>
                <w:rFonts w:hint="eastAsia" w:ascii="宋体" w:hAnsi="宋体" w:eastAsia="宋体" w:cs="宋体"/>
                <w:b w:val="0"/>
                <w:bCs w:val="0"/>
                <w:sz w:val="21"/>
                <w:szCs w:val="21"/>
                <w:lang w:val="en-US" w:eastAsia="zh-CN"/>
              </w:rPr>
              <w:t>内</w:t>
            </w:r>
            <w:r>
              <w:rPr>
                <w:rFonts w:hint="eastAsia" w:ascii="宋体" w:hAnsi="宋体" w:eastAsia="宋体" w:cs="宋体"/>
                <w:b w:val="0"/>
                <w:bCs w:val="0"/>
                <w:sz w:val="21"/>
                <w:szCs w:val="21"/>
              </w:rPr>
              <w:t>缴纳社保</w:t>
            </w:r>
            <w:r>
              <w:rPr>
                <w:rFonts w:hint="eastAsia" w:ascii="宋体" w:hAnsi="宋体" w:eastAsia="宋体" w:cs="宋体"/>
                <w:b w:val="0"/>
                <w:bCs w:val="0"/>
                <w:sz w:val="21"/>
                <w:szCs w:val="21"/>
                <w:lang w:eastAsia="zh-CN"/>
              </w:rPr>
              <w:t>总人数</w:t>
            </w:r>
            <w:r>
              <w:rPr>
                <w:rFonts w:hint="eastAsia" w:ascii="宋体" w:hAnsi="宋体" w:eastAsia="宋体" w:cs="宋体"/>
                <w:b w:val="0"/>
                <w:bCs w:val="0"/>
                <w:sz w:val="21"/>
                <w:szCs w:val="21"/>
              </w:rPr>
              <w:t>的有效证明材料，并加盖社保机构单位章，未按要求提供或提供不清晰导致专家无</w:t>
            </w:r>
            <w:r>
              <w:rPr>
                <w:rFonts w:hint="eastAsia" w:ascii="宋体" w:hAnsi="宋体" w:eastAsia="宋体" w:cs="宋体"/>
                <w:b w:val="0"/>
                <w:bCs w:val="0"/>
                <w:color w:val="auto"/>
                <w:sz w:val="21"/>
                <w:szCs w:val="21"/>
              </w:rPr>
              <w:t>法判断</w:t>
            </w:r>
            <w:r>
              <w:rPr>
                <w:rFonts w:hint="eastAsia" w:ascii="宋体" w:hAnsi="宋体" w:eastAsia="宋体" w:cs="宋体"/>
                <w:b w:val="0"/>
                <w:bCs w:val="0"/>
                <w:color w:val="auto"/>
                <w:sz w:val="21"/>
                <w:szCs w:val="21"/>
                <w:lang w:eastAsia="zh-CN"/>
              </w:rPr>
              <w:t>缴纳社保人数</w:t>
            </w:r>
            <w:r>
              <w:rPr>
                <w:rFonts w:hint="eastAsia" w:ascii="宋体" w:hAnsi="宋体" w:eastAsia="宋体" w:cs="宋体"/>
                <w:b w:val="0"/>
                <w:bCs w:val="0"/>
                <w:color w:val="auto"/>
                <w:sz w:val="21"/>
                <w:szCs w:val="21"/>
              </w:rPr>
              <w:t>情况，则该项得分为0分）。</w:t>
            </w:r>
          </w:p>
          <w:p>
            <w:pPr>
              <w:pStyle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投标人的成立年限</w:t>
            </w:r>
            <w:r>
              <w:rPr>
                <w:rFonts w:hint="eastAsia" w:ascii="宋体" w:hAnsi="宋体" w:eastAsia="宋体" w:cs="宋体"/>
                <w:b w:val="0"/>
                <w:bCs w:val="0"/>
                <w:color w:val="auto"/>
                <w:sz w:val="21"/>
                <w:szCs w:val="21"/>
                <w:highlight w:val="none"/>
                <w:lang w:val="en-US" w:eastAsia="zh-CN"/>
              </w:rPr>
              <w:t>进行</w:t>
            </w:r>
            <w:r>
              <w:rPr>
                <w:rFonts w:hint="eastAsia" w:ascii="宋体" w:hAnsi="宋体" w:eastAsia="宋体" w:cs="宋体"/>
                <w:b w:val="0"/>
                <w:bCs w:val="0"/>
                <w:color w:val="auto"/>
                <w:sz w:val="21"/>
                <w:szCs w:val="21"/>
                <w:highlight w:val="none"/>
              </w:rPr>
              <w:t>横向比较，最高得3分，一般得2分，最低得1分。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投标人需提供营业执照等证明成立日期资料</w:t>
            </w:r>
            <w:r>
              <w:rPr>
                <w:rFonts w:hint="eastAsia" w:ascii="宋体" w:hAnsi="宋体" w:eastAsia="宋体" w:cs="宋体"/>
                <w:b w:val="0"/>
                <w:bCs w:val="0"/>
                <w:color w:val="auto"/>
                <w:sz w:val="21"/>
                <w:szCs w:val="21"/>
                <w:highlight w:val="none"/>
                <w:lang w:eastAsia="zh-CN"/>
              </w:rPr>
              <w:t>）。</w:t>
            </w:r>
          </w:p>
          <w:p>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根据投标人2021年度账面资金进行评议：</w:t>
            </w:r>
          </w:p>
          <w:p>
            <w:pPr>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账面资金&gt;1亿</w:t>
            </w:r>
            <w:r>
              <w:rPr>
                <w:rFonts w:hint="eastAsia" w:ascii="宋体" w:hAnsi="宋体" w:eastAsia="宋体" w:cs="宋体"/>
                <w:b w:val="0"/>
                <w:bCs w:val="0"/>
                <w:color w:val="auto"/>
                <w:sz w:val="21"/>
                <w:szCs w:val="21"/>
                <w:lang w:val="en-US" w:eastAsia="zh-CN"/>
              </w:rPr>
              <w:t>元</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得</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分</w:t>
            </w:r>
            <w:r>
              <w:rPr>
                <w:rFonts w:hint="eastAsia" w:ascii="宋体" w:hAnsi="宋体" w:eastAsia="宋体" w:cs="宋体"/>
                <w:b w:val="0"/>
                <w:bCs w:val="0"/>
                <w:color w:val="auto"/>
                <w:sz w:val="21"/>
                <w:szCs w:val="21"/>
                <w:lang w:val="en-US" w:eastAsia="zh-CN"/>
              </w:rPr>
              <w:t>；</w:t>
            </w:r>
          </w:p>
          <w:p>
            <w:pPr>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2)5</w:t>
            </w:r>
            <w:r>
              <w:rPr>
                <w:rFonts w:hint="eastAsia" w:ascii="宋体" w:hAnsi="宋体" w:eastAsia="宋体" w:cs="宋体"/>
                <w:b w:val="0"/>
                <w:bCs w:val="0"/>
                <w:color w:val="auto"/>
                <w:sz w:val="21"/>
                <w:szCs w:val="21"/>
              </w:rPr>
              <w:t>00</w:t>
            </w:r>
            <w:r>
              <w:rPr>
                <w:rFonts w:hint="eastAsia" w:ascii="宋体" w:hAnsi="宋体" w:eastAsia="宋体" w:cs="宋体"/>
                <w:b w:val="0"/>
                <w:bCs w:val="0"/>
                <w:color w:val="auto"/>
                <w:sz w:val="21"/>
                <w:szCs w:val="21"/>
                <w:lang w:val="en-US" w:eastAsia="zh-CN"/>
              </w:rPr>
              <w:t>0</w:t>
            </w:r>
            <w:r>
              <w:rPr>
                <w:rFonts w:hint="eastAsia" w:ascii="宋体" w:hAnsi="宋体" w:eastAsia="宋体" w:cs="宋体"/>
                <w:b w:val="0"/>
                <w:bCs w:val="0"/>
                <w:color w:val="auto"/>
                <w:sz w:val="21"/>
                <w:szCs w:val="21"/>
              </w:rPr>
              <w:t>万</w:t>
            </w:r>
            <w:r>
              <w:rPr>
                <w:rFonts w:hint="eastAsia" w:ascii="宋体" w:hAnsi="宋体" w:eastAsia="宋体" w:cs="宋体"/>
                <w:b w:val="0"/>
                <w:bCs w:val="0"/>
                <w:color w:val="auto"/>
                <w:sz w:val="21"/>
                <w:szCs w:val="21"/>
                <w:lang w:val="en-US" w:eastAsia="zh-CN"/>
              </w:rPr>
              <w:t>元&lt;</w:t>
            </w:r>
            <w:r>
              <w:rPr>
                <w:rFonts w:hint="eastAsia" w:ascii="宋体" w:hAnsi="宋体" w:eastAsia="宋体" w:cs="宋体"/>
                <w:b w:val="0"/>
                <w:bCs w:val="0"/>
                <w:color w:val="auto"/>
                <w:sz w:val="21"/>
                <w:szCs w:val="21"/>
              </w:rPr>
              <w:t>账面资金≤1亿</w:t>
            </w:r>
            <w:r>
              <w:rPr>
                <w:rFonts w:hint="eastAsia" w:ascii="宋体" w:hAnsi="宋体" w:eastAsia="宋体" w:cs="宋体"/>
                <w:b w:val="0"/>
                <w:bCs w:val="0"/>
                <w:color w:val="auto"/>
                <w:sz w:val="21"/>
                <w:szCs w:val="21"/>
                <w:lang w:val="en-US" w:eastAsia="zh-CN"/>
              </w:rPr>
              <w:t>元，</w:t>
            </w:r>
            <w:r>
              <w:rPr>
                <w:rFonts w:hint="eastAsia" w:ascii="宋体" w:hAnsi="宋体" w:eastAsia="宋体" w:cs="宋体"/>
                <w:b w:val="0"/>
                <w:bCs w:val="0"/>
                <w:color w:val="auto"/>
                <w:sz w:val="21"/>
                <w:szCs w:val="21"/>
              </w:rPr>
              <w:t>得4分；</w:t>
            </w:r>
          </w:p>
          <w:p>
            <w:pPr>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3)2</w:t>
            </w:r>
            <w:r>
              <w:rPr>
                <w:rFonts w:hint="eastAsia" w:ascii="宋体" w:hAnsi="宋体" w:eastAsia="宋体" w:cs="宋体"/>
                <w:b w:val="0"/>
                <w:bCs w:val="0"/>
                <w:color w:val="auto"/>
                <w:sz w:val="21"/>
                <w:szCs w:val="21"/>
              </w:rPr>
              <w:t>00</w:t>
            </w:r>
            <w:r>
              <w:rPr>
                <w:rFonts w:hint="eastAsia" w:ascii="宋体" w:hAnsi="宋体" w:eastAsia="宋体" w:cs="宋体"/>
                <w:b w:val="0"/>
                <w:bCs w:val="0"/>
                <w:color w:val="auto"/>
                <w:sz w:val="21"/>
                <w:szCs w:val="21"/>
                <w:lang w:val="en-US" w:eastAsia="zh-CN"/>
              </w:rPr>
              <w:t>0万元&lt;</w:t>
            </w:r>
            <w:r>
              <w:rPr>
                <w:rFonts w:hint="eastAsia" w:ascii="宋体" w:hAnsi="宋体" w:eastAsia="宋体" w:cs="宋体"/>
                <w:b w:val="0"/>
                <w:bCs w:val="0"/>
                <w:color w:val="auto"/>
                <w:sz w:val="21"/>
                <w:szCs w:val="21"/>
              </w:rPr>
              <w:t>账面资金≤</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000万</w:t>
            </w:r>
            <w:r>
              <w:rPr>
                <w:rFonts w:hint="eastAsia" w:ascii="宋体" w:hAnsi="宋体" w:eastAsia="宋体" w:cs="宋体"/>
                <w:b w:val="0"/>
                <w:bCs w:val="0"/>
                <w:color w:val="auto"/>
                <w:sz w:val="21"/>
                <w:szCs w:val="21"/>
                <w:lang w:val="en-US" w:eastAsia="zh-CN"/>
              </w:rPr>
              <w:t>元</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得3分；</w:t>
            </w:r>
          </w:p>
          <w:p>
            <w:pPr>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50</w:t>
            </w:r>
            <w:r>
              <w:rPr>
                <w:rFonts w:hint="eastAsia" w:ascii="宋体" w:hAnsi="宋体" w:eastAsia="宋体" w:cs="宋体"/>
                <w:b w:val="0"/>
                <w:bCs w:val="0"/>
                <w:color w:val="auto"/>
                <w:sz w:val="21"/>
                <w:szCs w:val="21"/>
                <w:lang w:val="en-US" w:eastAsia="zh-CN"/>
              </w:rPr>
              <w:t>0万元&lt;</w:t>
            </w:r>
            <w:r>
              <w:rPr>
                <w:rFonts w:hint="eastAsia" w:ascii="宋体" w:hAnsi="宋体" w:eastAsia="宋体" w:cs="宋体"/>
                <w:b w:val="0"/>
                <w:bCs w:val="0"/>
                <w:color w:val="auto"/>
                <w:sz w:val="21"/>
                <w:szCs w:val="21"/>
              </w:rPr>
              <w:t>账面资金≤</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000万</w:t>
            </w:r>
            <w:r>
              <w:rPr>
                <w:rFonts w:hint="eastAsia" w:ascii="宋体" w:hAnsi="宋体" w:eastAsia="宋体" w:cs="宋体"/>
                <w:b w:val="0"/>
                <w:bCs w:val="0"/>
                <w:color w:val="auto"/>
                <w:sz w:val="21"/>
                <w:szCs w:val="21"/>
                <w:lang w:val="en-US" w:eastAsia="zh-CN"/>
              </w:rPr>
              <w:t>元</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得2分；</w:t>
            </w:r>
          </w:p>
          <w:p>
            <w:pPr>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lang w:val="en-US" w:eastAsia="zh-CN"/>
              </w:rPr>
              <w:t>5)账面资金</w:t>
            </w:r>
            <w:r>
              <w:rPr>
                <w:rFonts w:hint="eastAsia" w:ascii="宋体" w:hAnsi="宋体" w:eastAsia="宋体" w:cs="宋体"/>
                <w:b w:val="0"/>
                <w:bCs w:val="0"/>
                <w:color w:val="auto"/>
                <w:sz w:val="21"/>
                <w:szCs w:val="21"/>
              </w:rPr>
              <w:t>≤500万</w:t>
            </w:r>
            <w:r>
              <w:rPr>
                <w:rFonts w:hint="eastAsia" w:ascii="宋体" w:hAnsi="宋体" w:eastAsia="宋体" w:cs="宋体"/>
                <w:b w:val="0"/>
                <w:bCs w:val="0"/>
                <w:color w:val="auto"/>
                <w:sz w:val="21"/>
                <w:szCs w:val="21"/>
                <w:lang w:eastAsia="zh-CN"/>
              </w:rPr>
              <w:t>元</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得1分；</w:t>
            </w:r>
          </w:p>
          <w:p>
            <w:pPr>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lang w:val="en-US" w:eastAsia="zh-CN"/>
              </w:rPr>
              <w:t>根据投标人</w:t>
            </w:r>
            <w:r>
              <w:rPr>
                <w:rFonts w:hint="eastAsia" w:ascii="宋体" w:hAnsi="宋体" w:eastAsia="宋体" w:cs="宋体"/>
                <w:b w:val="0"/>
                <w:bCs w:val="0"/>
                <w:color w:val="auto"/>
                <w:sz w:val="21"/>
                <w:szCs w:val="21"/>
                <w:highlight w:val="none"/>
                <w:lang w:val="en-US" w:eastAsia="zh-CN"/>
              </w:rPr>
              <w:t>2021年度</w:t>
            </w:r>
            <w:r>
              <w:rPr>
                <w:rFonts w:hint="eastAsia" w:ascii="宋体" w:hAnsi="宋体" w:eastAsia="宋体" w:cs="宋体"/>
                <w:b w:val="0"/>
                <w:bCs w:val="0"/>
                <w:color w:val="auto"/>
                <w:sz w:val="21"/>
                <w:szCs w:val="21"/>
              </w:rPr>
              <w:t>年营业</w:t>
            </w:r>
            <w:r>
              <w:rPr>
                <w:rFonts w:hint="eastAsia" w:ascii="宋体" w:hAnsi="宋体" w:eastAsia="宋体" w:cs="宋体"/>
                <w:b w:val="0"/>
                <w:bCs w:val="0"/>
                <w:color w:val="auto"/>
                <w:sz w:val="21"/>
                <w:szCs w:val="21"/>
                <w:lang w:val="en-US" w:eastAsia="zh-CN"/>
              </w:rPr>
              <w:t>收入进行评议：</w:t>
            </w:r>
          </w:p>
          <w:p>
            <w:pPr>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1)年营业收入&gt;</w:t>
            </w:r>
            <w:r>
              <w:rPr>
                <w:rFonts w:hint="eastAsia" w:ascii="宋体" w:hAnsi="宋体" w:eastAsia="宋体" w:cs="宋体"/>
                <w:b w:val="0"/>
                <w:bCs w:val="0"/>
                <w:color w:val="auto"/>
                <w:sz w:val="21"/>
                <w:szCs w:val="21"/>
              </w:rPr>
              <w:t>1.5亿元</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得</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rPr>
              <w:t>分</w:t>
            </w:r>
            <w:r>
              <w:rPr>
                <w:rFonts w:hint="eastAsia" w:ascii="宋体" w:hAnsi="宋体" w:eastAsia="宋体" w:cs="宋体"/>
                <w:b w:val="0"/>
                <w:bCs w:val="0"/>
                <w:color w:val="auto"/>
                <w:sz w:val="21"/>
                <w:szCs w:val="21"/>
                <w:lang w:val="en-US" w:eastAsia="zh-CN"/>
              </w:rPr>
              <w:t>；</w:t>
            </w:r>
          </w:p>
          <w:p>
            <w:pPr>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1亿元≤</w:t>
            </w:r>
            <w:r>
              <w:rPr>
                <w:rFonts w:hint="eastAsia" w:ascii="宋体" w:hAnsi="宋体" w:eastAsia="宋体" w:cs="宋体"/>
                <w:color w:val="auto"/>
                <w:sz w:val="21"/>
                <w:szCs w:val="21"/>
                <w:lang w:val="en-US" w:eastAsia="zh-CN"/>
              </w:rPr>
              <w:t>年营业收入&lt;</w:t>
            </w:r>
            <w:r>
              <w:rPr>
                <w:rFonts w:hint="eastAsia" w:ascii="宋体" w:hAnsi="宋体" w:eastAsia="宋体" w:cs="宋体"/>
                <w:color w:val="auto"/>
                <w:sz w:val="21"/>
                <w:szCs w:val="21"/>
              </w:rPr>
              <w:t>1.5亿元</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得3分</w:t>
            </w:r>
            <w:r>
              <w:rPr>
                <w:rFonts w:hint="eastAsia" w:ascii="宋体" w:hAnsi="宋体" w:eastAsia="宋体" w:cs="宋体"/>
                <w:color w:val="auto"/>
                <w:sz w:val="21"/>
                <w:szCs w:val="21"/>
                <w:lang w:val="en-US" w:eastAsia="zh-CN"/>
              </w:rPr>
              <w:t>；</w:t>
            </w:r>
          </w:p>
          <w:p>
            <w:pPr>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0.5亿元≤</w:t>
            </w:r>
            <w:r>
              <w:rPr>
                <w:rFonts w:hint="eastAsia" w:ascii="宋体" w:hAnsi="宋体" w:eastAsia="宋体" w:cs="宋体"/>
                <w:color w:val="auto"/>
                <w:sz w:val="21"/>
                <w:szCs w:val="21"/>
                <w:lang w:val="en-US" w:eastAsia="zh-CN"/>
              </w:rPr>
              <w:t>年营业收入&lt;</w:t>
            </w:r>
            <w:r>
              <w:rPr>
                <w:rFonts w:hint="eastAsia" w:ascii="宋体" w:hAnsi="宋体" w:eastAsia="宋体" w:cs="宋体"/>
                <w:color w:val="auto"/>
                <w:sz w:val="21"/>
                <w:szCs w:val="21"/>
              </w:rPr>
              <w:t>1亿元</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p>
            <w:pPr>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4）年营业收入&lt;</w:t>
            </w:r>
            <w:r>
              <w:rPr>
                <w:rFonts w:hint="eastAsia" w:ascii="宋体" w:hAnsi="宋体" w:eastAsia="宋体" w:cs="宋体"/>
                <w:color w:val="auto"/>
                <w:sz w:val="21"/>
                <w:szCs w:val="21"/>
              </w:rPr>
              <w:t>0.5亿元的</w:t>
            </w:r>
            <w:r>
              <w:rPr>
                <w:rFonts w:hint="eastAsia" w:ascii="宋体" w:hAnsi="宋体" w:cs="宋体"/>
                <w:color w:val="auto"/>
                <w:sz w:val="21"/>
                <w:szCs w:val="21"/>
                <w:lang w:eastAsia="zh-CN"/>
              </w:rPr>
              <w:t>，</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第（3）、（4）项说明：</w:t>
            </w:r>
          </w:p>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(1)投标人</w:t>
            </w:r>
            <w:r>
              <w:rPr>
                <w:rFonts w:hint="eastAsia" w:ascii="宋体" w:hAnsi="宋体" w:eastAsia="宋体" w:cs="宋体"/>
                <w:color w:val="auto"/>
                <w:sz w:val="21"/>
                <w:szCs w:val="21"/>
              </w:rPr>
              <w:t>需提供第三方咨询机构出具的财务审计报告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应</w:t>
            </w:r>
            <w:r>
              <w:rPr>
                <w:rFonts w:hint="eastAsia" w:ascii="宋体" w:hAnsi="宋体" w:eastAsia="宋体" w:cs="宋体"/>
                <w:color w:val="auto"/>
                <w:sz w:val="21"/>
                <w:szCs w:val="21"/>
              </w:rPr>
              <w:t>包含账面资金的附注信息，如无附注信息的投标人需自行汇总与账面资金相关的所有资金信息并提供汇总清单，如投标人所提供资料无法判定</w:t>
            </w:r>
            <w:r>
              <w:rPr>
                <w:rFonts w:hint="eastAsia" w:ascii="宋体" w:hAnsi="宋体" w:eastAsia="宋体" w:cs="宋体"/>
                <w:color w:val="auto"/>
                <w:sz w:val="21"/>
                <w:szCs w:val="21"/>
                <w:lang w:val="en-US" w:eastAsia="zh-CN"/>
              </w:rPr>
              <w:t>2021</w:t>
            </w:r>
            <w:r>
              <w:rPr>
                <w:rFonts w:hint="eastAsia" w:ascii="宋体" w:hAnsi="宋体" w:eastAsia="宋体" w:cs="宋体"/>
                <w:color w:val="auto"/>
                <w:sz w:val="21"/>
                <w:szCs w:val="21"/>
              </w:rPr>
              <w:t>年度账面资金情况，则该项得分为0分。</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(2)投标人</w:t>
            </w:r>
            <w:r>
              <w:rPr>
                <w:rFonts w:hint="eastAsia" w:ascii="宋体" w:hAnsi="宋体" w:eastAsia="宋体" w:cs="宋体"/>
                <w:color w:val="auto"/>
                <w:sz w:val="21"/>
                <w:szCs w:val="21"/>
              </w:rPr>
              <w:t>需提供第三方咨询机构出具的财务审计报告，投标人所提供资料无法判定</w:t>
            </w:r>
            <w:r>
              <w:rPr>
                <w:rFonts w:hint="eastAsia" w:ascii="宋体" w:hAnsi="宋体" w:eastAsia="宋体" w:cs="宋体"/>
                <w:color w:val="auto"/>
                <w:sz w:val="21"/>
                <w:szCs w:val="21"/>
                <w:lang w:val="en-US" w:eastAsia="zh-CN"/>
              </w:rPr>
              <w:t>2021</w:t>
            </w:r>
            <w:r>
              <w:rPr>
                <w:rFonts w:hint="eastAsia" w:ascii="宋体" w:hAnsi="宋体" w:eastAsia="宋体" w:cs="宋体"/>
                <w:color w:val="auto"/>
                <w:sz w:val="21"/>
                <w:szCs w:val="21"/>
              </w:rPr>
              <w:t>年度企业年营业</w:t>
            </w:r>
            <w:r>
              <w:rPr>
                <w:rFonts w:hint="eastAsia" w:ascii="宋体" w:hAnsi="宋体" w:eastAsia="宋体" w:cs="宋体"/>
                <w:color w:val="auto"/>
                <w:sz w:val="21"/>
                <w:szCs w:val="21"/>
                <w:lang w:eastAsia="zh-CN"/>
              </w:rPr>
              <w:t>收入</w:t>
            </w:r>
            <w:r>
              <w:rPr>
                <w:rFonts w:hint="eastAsia" w:ascii="宋体" w:hAnsi="宋体" w:eastAsia="宋体" w:cs="宋体"/>
                <w:color w:val="auto"/>
                <w:sz w:val="21"/>
                <w:szCs w:val="21"/>
              </w:rPr>
              <w:t>，则该项得分为0分。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17"/>
              <w:numPr>
                <w:ilvl w:val="0"/>
                <w:numId w:val="17"/>
              </w:numPr>
              <w:spacing w:line="360" w:lineRule="auto"/>
              <w:ind w:firstLineChars="0"/>
              <w:jc w:val="center"/>
              <w:rPr>
                <w:rFonts w:hint="eastAsia" w:ascii="宋体" w:hAnsi="宋体" w:eastAsia="宋体" w:cs="宋体"/>
                <w:sz w:val="21"/>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FF0000"/>
                <w:sz w:val="21"/>
                <w:szCs w:val="21"/>
                <w:highlight w:val="yellow"/>
              </w:rPr>
            </w:pPr>
            <w:r>
              <w:rPr>
                <w:rFonts w:hint="eastAsia" w:ascii="宋体" w:hAnsi="宋体" w:eastAsia="宋体" w:cs="宋体"/>
                <w:color w:val="auto"/>
                <w:sz w:val="21"/>
                <w:szCs w:val="21"/>
                <w:highlight w:val="none"/>
              </w:rPr>
              <w:t>过往案例</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6804" w:type="dxa"/>
            <w:tcBorders>
              <w:tl2br w:val="nil"/>
              <w:tr2bl w:val="nil"/>
            </w:tcBorders>
            <w:tcMar>
              <w:top w:w="15" w:type="dxa"/>
              <w:left w:w="15" w:type="dxa"/>
              <w:bottom w:w="15" w:type="dxa"/>
              <w:right w:w="15" w:type="dxa"/>
            </w:tcMar>
            <w:vAlign w:val="center"/>
          </w:tcPr>
          <w:p>
            <w:pPr>
              <w:numPr>
                <w:ilvl w:val="-1"/>
                <w:numId w:val="0"/>
              </w:numPr>
              <w:snapToGrid/>
              <w:ind w:left="0" w:firstLine="0"/>
              <w:rPr>
                <w:rFonts w:hint="eastAsia" w:ascii="宋体" w:hAnsi="宋体" w:eastAsia="宋体" w:cs="宋体"/>
                <w:sz w:val="21"/>
                <w:szCs w:val="21"/>
              </w:rPr>
            </w:pPr>
            <w:r>
              <w:rPr>
                <w:rFonts w:hint="eastAsia" w:ascii="宋体" w:hAnsi="宋体" w:eastAsia="宋体" w:cs="宋体"/>
                <w:sz w:val="21"/>
                <w:szCs w:val="21"/>
                <w:lang w:val="en-US" w:eastAsia="zh-CN"/>
              </w:rPr>
              <w:t>（1）根据投标人提供的2019年1月1日至招标公告发布之日期间（以合同签订日期为准）业绩进行评议，</w:t>
            </w:r>
            <w:r>
              <w:rPr>
                <w:rFonts w:hint="eastAsia" w:ascii="宋体" w:hAnsi="宋体" w:eastAsia="宋体" w:cs="宋体"/>
                <w:sz w:val="21"/>
                <w:szCs w:val="21"/>
              </w:rPr>
              <w:t>承担过</w:t>
            </w:r>
            <w:r>
              <w:rPr>
                <w:rFonts w:hint="eastAsia" w:ascii="宋体" w:hAnsi="宋体" w:eastAsia="宋体" w:cs="宋体"/>
                <w:sz w:val="21"/>
                <w:szCs w:val="21"/>
                <w:lang w:val="en-US" w:eastAsia="zh-CN"/>
              </w:rPr>
              <w:t>企业战略</w:t>
            </w:r>
            <w:r>
              <w:rPr>
                <w:rFonts w:hint="eastAsia" w:ascii="宋体" w:hAnsi="宋体" w:eastAsia="宋体" w:cs="宋体"/>
                <w:sz w:val="21"/>
                <w:szCs w:val="21"/>
              </w:rPr>
              <w:t>研究</w:t>
            </w:r>
            <w:r>
              <w:rPr>
                <w:rFonts w:hint="eastAsia" w:ascii="宋体" w:hAnsi="宋体" w:eastAsia="宋体" w:cs="宋体"/>
                <w:sz w:val="21"/>
                <w:szCs w:val="21"/>
                <w:lang w:val="en-US" w:eastAsia="zh-CN"/>
              </w:rPr>
              <w:t>类</w:t>
            </w:r>
            <w:r>
              <w:rPr>
                <w:rFonts w:hint="eastAsia" w:ascii="宋体" w:hAnsi="宋体" w:eastAsia="宋体" w:cs="宋体"/>
                <w:sz w:val="21"/>
                <w:szCs w:val="21"/>
              </w:rPr>
              <w:t>项目，每项</w:t>
            </w:r>
            <w:r>
              <w:rPr>
                <w:rFonts w:hint="eastAsia" w:ascii="宋体" w:hAnsi="宋体" w:eastAsia="宋体" w:cs="宋体"/>
                <w:sz w:val="21"/>
                <w:szCs w:val="21"/>
                <w:lang w:val="en-US" w:eastAsia="zh-CN"/>
              </w:rPr>
              <w:t>得2</w:t>
            </w:r>
            <w:r>
              <w:rPr>
                <w:rFonts w:hint="eastAsia" w:ascii="宋体" w:hAnsi="宋体" w:eastAsia="宋体" w:cs="宋体"/>
                <w:sz w:val="21"/>
                <w:szCs w:val="21"/>
              </w:rPr>
              <w:t>分，最高</w:t>
            </w:r>
            <w:r>
              <w:rPr>
                <w:rFonts w:hint="eastAsia" w:ascii="宋体" w:hAnsi="宋体" w:eastAsia="宋体" w:cs="宋体"/>
                <w:sz w:val="21"/>
                <w:szCs w:val="21"/>
                <w:lang w:val="en-US" w:eastAsia="zh-CN"/>
              </w:rPr>
              <w:t>得10</w:t>
            </w:r>
            <w:r>
              <w:rPr>
                <w:rFonts w:hint="eastAsia" w:ascii="宋体" w:hAnsi="宋体" w:eastAsia="宋体" w:cs="宋体"/>
                <w:sz w:val="21"/>
                <w:szCs w:val="21"/>
              </w:rPr>
              <w:t>分</w:t>
            </w:r>
            <w:r>
              <w:rPr>
                <w:rFonts w:hint="eastAsia" w:ascii="宋体" w:hAnsi="宋体" w:eastAsia="宋体" w:cs="宋体"/>
                <w:sz w:val="21"/>
                <w:szCs w:val="21"/>
                <w:lang w:eastAsia="zh-CN"/>
              </w:rPr>
              <w:t>。</w:t>
            </w:r>
          </w:p>
          <w:p>
            <w:pPr>
              <w:numPr>
                <w:ilvl w:val="-1"/>
                <w:numId w:val="0"/>
              </w:numPr>
              <w:snapToGrid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（2）根据投标人提供的2019年1月1日至招标公告发布之日期间（以合同签订日期为准）业绩进行评议，</w:t>
            </w:r>
            <w:r>
              <w:rPr>
                <w:rFonts w:hint="eastAsia" w:ascii="宋体" w:hAnsi="宋体" w:eastAsia="宋体" w:cs="宋体"/>
                <w:sz w:val="21"/>
                <w:szCs w:val="21"/>
              </w:rPr>
              <w:t>承担过</w:t>
            </w:r>
            <w:r>
              <w:rPr>
                <w:rFonts w:hint="eastAsia" w:ascii="宋体" w:hAnsi="宋体" w:eastAsia="宋体" w:cs="宋体"/>
                <w:sz w:val="21"/>
                <w:szCs w:val="21"/>
                <w:lang w:val="en-US" w:eastAsia="zh-CN"/>
              </w:rPr>
              <w:t>可行性</w:t>
            </w:r>
            <w:r>
              <w:rPr>
                <w:rFonts w:hint="eastAsia" w:ascii="宋体" w:hAnsi="宋体" w:eastAsia="宋体" w:cs="宋体"/>
                <w:sz w:val="21"/>
                <w:szCs w:val="21"/>
              </w:rPr>
              <w:t>研究</w:t>
            </w:r>
            <w:r>
              <w:rPr>
                <w:rFonts w:hint="eastAsia" w:ascii="宋体" w:hAnsi="宋体" w:eastAsia="宋体" w:cs="宋体"/>
                <w:sz w:val="21"/>
                <w:szCs w:val="21"/>
                <w:lang w:val="en-US" w:eastAsia="zh-CN"/>
              </w:rPr>
              <w:t>类</w:t>
            </w:r>
            <w:r>
              <w:rPr>
                <w:rFonts w:hint="eastAsia" w:ascii="宋体" w:hAnsi="宋体" w:eastAsia="宋体" w:cs="宋体"/>
                <w:sz w:val="21"/>
                <w:szCs w:val="21"/>
              </w:rPr>
              <w:t>项目</w:t>
            </w:r>
            <w:r>
              <w:rPr>
                <w:rFonts w:hint="eastAsia" w:ascii="宋体" w:hAnsi="宋体" w:eastAsia="宋体" w:cs="宋体"/>
                <w:sz w:val="21"/>
                <w:szCs w:val="21"/>
                <w:lang w:eastAsia="zh-CN"/>
              </w:rPr>
              <w:t>，</w:t>
            </w:r>
            <w:r>
              <w:rPr>
                <w:rFonts w:hint="eastAsia" w:ascii="宋体" w:hAnsi="宋体" w:eastAsia="宋体" w:cs="宋体"/>
                <w:sz w:val="21"/>
                <w:szCs w:val="21"/>
              </w:rPr>
              <w:t>每项</w:t>
            </w:r>
            <w:r>
              <w:rPr>
                <w:rFonts w:hint="eastAsia" w:ascii="宋体" w:hAnsi="宋体" w:eastAsia="宋体" w:cs="宋体"/>
                <w:sz w:val="21"/>
                <w:szCs w:val="21"/>
                <w:lang w:val="en-US" w:eastAsia="zh-CN"/>
              </w:rPr>
              <w:t>得2</w:t>
            </w:r>
            <w:r>
              <w:rPr>
                <w:rFonts w:hint="eastAsia" w:ascii="宋体" w:hAnsi="宋体" w:eastAsia="宋体" w:cs="宋体"/>
                <w:sz w:val="21"/>
                <w:szCs w:val="21"/>
              </w:rPr>
              <w:t>分，最高</w:t>
            </w:r>
            <w:r>
              <w:rPr>
                <w:rFonts w:hint="eastAsia" w:ascii="宋体" w:hAnsi="宋体" w:eastAsia="宋体" w:cs="宋体"/>
                <w:sz w:val="21"/>
                <w:szCs w:val="21"/>
                <w:lang w:val="en-US" w:eastAsia="zh-CN"/>
              </w:rPr>
              <w:t>得10</w:t>
            </w:r>
            <w:r>
              <w:rPr>
                <w:rFonts w:hint="eastAsia" w:ascii="宋体" w:hAnsi="宋体" w:eastAsia="宋体" w:cs="宋体"/>
                <w:sz w:val="21"/>
                <w:szCs w:val="21"/>
              </w:rPr>
              <w:t>分</w:t>
            </w:r>
            <w:r>
              <w:rPr>
                <w:rFonts w:hint="eastAsia" w:ascii="宋体" w:hAnsi="宋体" w:eastAsia="宋体" w:cs="宋体"/>
                <w:sz w:val="21"/>
                <w:szCs w:val="21"/>
                <w:lang w:eastAsia="zh-CN"/>
              </w:rPr>
              <w:t>。</w:t>
            </w:r>
          </w:p>
          <w:p>
            <w:pPr>
              <w:pStyle w:val="2"/>
              <w:ind w:lef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pPr>
              <w:pStyle w:val="2"/>
              <w:ind w:left="0"/>
              <w:rPr>
                <w:rFonts w:hint="default" w:ascii="宋体" w:hAnsi="宋体" w:eastAsia="宋体" w:cs="宋体"/>
                <w:sz w:val="21"/>
                <w:szCs w:val="21"/>
                <w:lang w:val="en-US"/>
              </w:rPr>
            </w:pPr>
            <w:r>
              <w:rPr>
                <w:rFonts w:hint="eastAsia" w:ascii="宋体" w:hAnsi="宋体" w:eastAsia="宋体" w:cs="宋体"/>
                <w:color w:val="auto"/>
                <w:sz w:val="21"/>
                <w:szCs w:val="21"/>
                <w:highlight w:val="none"/>
                <w:lang w:val="en-US" w:eastAsia="zh-CN"/>
              </w:rPr>
              <w:t>投标人需提供合同签订日期、项目内容等关键页，如投标人所提供的资料无法判定的则不得分。如同一合同既涉及企业战略研究又涉及可行性研究，则可按照（1）和（2）两项评审标准独立评分（既可获得两部分内容的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hint="eastAsia" w:ascii="宋体" w:hAnsi="宋体" w:eastAsia="宋体" w:cs="宋体"/>
                <w:b/>
                <w:sz w:val="21"/>
                <w:szCs w:val="21"/>
              </w:rPr>
            </w:pPr>
          </w:p>
        </w:tc>
        <w:tc>
          <w:tcPr>
            <w:tcW w:w="8647" w:type="dxa"/>
            <w:gridSpan w:val="3"/>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b/>
                <w:color w:val="FF0000"/>
                <w:sz w:val="21"/>
                <w:szCs w:val="21"/>
                <w:highlight w:val="yellow"/>
              </w:rPr>
            </w:pPr>
            <w:r>
              <w:rPr>
                <w:rFonts w:hint="eastAsia" w:ascii="宋体" w:hAnsi="宋体" w:eastAsia="宋体" w:cs="宋体"/>
                <w:b/>
                <w:sz w:val="21"/>
                <w:szCs w:val="21"/>
              </w:rPr>
              <w:t>技术</w:t>
            </w:r>
            <w:r>
              <w:rPr>
                <w:rFonts w:hint="eastAsia" w:ascii="宋体" w:hAnsi="宋体" w:eastAsia="宋体" w:cs="宋体"/>
                <w:b/>
                <w:color w:val="auto"/>
                <w:sz w:val="21"/>
                <w:szCs w:val="21"/>
                <w:highlight w:val="none"/>
              </w:rPr>
              <w:t>服务评议项（</w:t>
            </w:r>
            <w:r>
              <w:rPr>
                <w:rFonts w:hint="eastAsia" w:ascii="宋体" w:hAnsi="宋体" w:eastAsia="宋体" w:cs="宋体"/>
                <w:color w:val="auto"/>
                <w:sz w:val="21"/>
                <w:szCs w:val="21"/>
                <w:highlight w:val="none"/>
                <w:lang w:val="en-US" w:eastAsia="zh-CN"/>
              </w:rPr>
              <w:t>35</w:t>
            </w:r>
            <w:r>
              <w:rPr>
                <w:rFonts w:hint="eastAsia" w:ascii="宋体" w:hAnsi="宋体" w:eastAsia="宋体" w:cs="宋体"/>
                <w:b/>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17"/>
              <w:numPr>
                <w:ilvl w:val="0"/>
                <w:numId w:val="18"/>
              </w:numPr>
              <w:spacing w:line="360" w:lineRule="auto"/>
              <w:ind w:firstLineChars="0"/>
              <w:jc w:val="center"/>
              <w:rPr>
                <w:rFonts w:hint="eastAsia" w:ascii="宋体" w:hAnsi="宋体" w:eastAsia="宋体" w:cs="宋体"/>
                <w:sz w:val="21"/>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6804" w:type="dxa"/>
            <w:tcBorders>
              <w:tl2br w:val="nil"/>
              <w:tr2bl w:val="nil"/>
            </w:tcBorders>
            <w:tcMar>
              <w:top w:w="15" w:type="dxa"/>
              <w:left w:w="15" w:type="dxa"/>
              <w:bottom w:w="15" w:type="dxa"/>
              <w:right w:w="15" w:type="dxa"/>
            </w:tcMar>
            <w:vAlign w:val="center"/>
          </w:tcPr>
          <w:p>
            <w:pPr>
              <w:numPr>
                <w:ilvl w:val="-1"/>
                <w:numId w:val="0"/>
              </w:numPr>
              <w:snapToGrid/>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（1）根据投标人提供的</w:t>
            </w:r>
            <w:r>
              <w:rPr>
                <w:rFonts w:hint="eastAsia" w:ascii="宋体" w:hAnsi="宋体" w:eastAsia="宋体" w:cs="宋体"/>
                <w:color w:val="auto"/>
                <w:sz w:val="21"/>
                <w:szCs w:val="21"/>
                <w:highlight w:val="none"/>
              </w:rPr>
              <w:t>服务方案和项目需求符合度进行</w:t>
            </w:r>
            <w:r>
              <w:rPr>
                <w:rFonts w:hint="eastAsia" w:ascii="宋体" w:hAnsi="宋体" w:eastAsia="宋体" w:cs="宋体"/>
                <w:color w:val="auto"/>
                <w:sz w:val="21"/>
                <w:szCs w:val="21"/>
                <w:highlight w:val="none"/>
                <w:lang w:val="en-US" w:eastAsia="zh-CN"/>
              </w:rPr>
              <w:t>横向</w:t>
            </w:r>
            <w:r>
              <w:rPr>
                <w:rFonts w:hint="eastAsia" w:ascii="宋体" w:hAnsi="宋体" w:eastAsia="宋体" w:cs="宋体"/>
                <w:color w:val="auto"/>
                <w:sz w:val="21"/>
                <w:szCs w:val="21"/>
                <w:highlight w:val="none"/>
              </w:rPr>
              <w:t>比</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，服务方案越满足项目要求，得分越高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优秀得7分，良好得5分，一般得3分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不满足不得分。</w:t>
            </w:r>
          </w:p>
          <w:p>
            <w:pPr>
              <w:numPr>
                <w:ilvl w:val="-1"/>
                <w:numId w:val="0"/>
              </w:numPr>
              <w:snapToGrid/>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（2）根据投标人提供的</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采用合适和多维度的方法理论，服务方案</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合理等维度进行评议</w:t>
            </w:r>
            <w:r>
              <w:rPr>
                <w:rFonts w:hint="eastAsia" w:ascii="宋体" w:hAnsi="宋体" w:eastAsia="宋体" w:cs="宋体"/>
                <w:color w:val="auto"/>
                <w:sz w:val="21"/>
                <w:szCs w:val="21"/>
                <w:highlight w:val="none"/>
              </w:rPr>
              <w:t>。优秀得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分，良好得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差得0分</w:t>
            </w:r>
            <w:r>
              <w:rPr>
                <w:rFonts w:hint="eastAsia" w:ascii="宋体" w:hAnsi="宋体" w:eastAsia="宋体" w:cs="宋体"/>
                <w:color w:val="auto"/>
                <w:sz w:val="21"/>
                <w:szCs w:val="21"/>
                <w:highlight w:val="none"/>
              </w:rPr>
              <w:t>。</w:t>
            </w:r>
          </w:p>
          <w:p>
            <w:pPr>
              <w:numPr>
                <w:ilvl w:val="-1"/>
                <w:numId w:val="0"/>
              </w:numPr>
              <w:snapToGrid/>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服务方案提供的输出建议</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具有针对性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实用性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具有切实的参考性和可执行性</w:t>
            </w:r>
            <w:r>
              <w:rPr>
                <w:rFonts w:hint="eastAsia" w:ascii="宋体" w:hAnsi="宋体" w:eastAsia="宋体" w:cs="宋体"/>
                <w:color w:val="auto"/>
                <w:sz w:val="21"/>
                <w:szCs w:val="21"/>
                <w:highlight w:val="none"/>
                <w:lang w:val="en-US" w:eastAsia="zh-CN"/>
              </w:rPr>
              <w:t>等维度进行评议</w:t>
            </w:r>
            <w:r>
              <w:rPr>
                <w:rFonts w:hint="eastAsia" w:ascii="宋体" w:hAnsi="宋体" w:eastAsia="宋体" w:cs="宋体"/>
                <w:color w:val="auto"/>
                <w:sz w:val="21"/>
                <w:szCs w:val="21"/>
                <w:highlight w:val="none"/>
              </w:rPr>
              <w:t>。优秀得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分，良好得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分，一般得3分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差得0分</w:t>
            </w:r>
            <w:r>
              <w:rPr>
                <w:rFonts w:hint="eastAsia" w:ascii="宋体" w:hAnsi="宋体" w:eastAsia="宋体" w:cs="宋体"/>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17"/>
              <w:numPr>
                <w:ilvl w:val="0"/>
                <w:numId w:val="18"/>
              </w:numPr>
              <w:spacing w:line="360" w:lineRule="auto"/>
              <w:ind w:firstLineChars="0"/>
              <w:jc w:val="center"/>
              <w:rPr>
                <w:rFonts w:hint="eastAsia" w:ascii="宋体" w:hAnsi="宋体" w:eastAsia="宋体" w:cs="宋体"/>
                <w:sz w:val="21"/>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人员要求</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804" w:type="dxa"/>
            <w:tcBorders>
              <w:tl2br w:val="nil"/>
              <w:tr2bl w:val="nil"/>
            </w:tcBorders>
            <w:tcMar>
              <w:top w:w="15" w:type="dxa"/>
              <w:left w:w="15" w:type="dxa"/>
              <w:bottom w:w="15" w:type="dxa"/>
              <w:right w:w="15" w:type="dxa"/>
            </w:tcMar>
            <w:vAlign w:val="center"/>
          </w:tcPr>
          <w:p>
            <w:pPr>
              <w:numPr>
                <w:ilvl w:val="0"/>
                <w:numId w:val="19"/>
              </w:numPr>
              <w:snapToGrid w:val="0"/>
              <w:rPr>
                <w:rFonts w:hint="eastAsia" w:ascii="宋体" w:hAnsi="宋体" w:eastAsia="宋体" w:cs="宋体"/>
                <w:sz w:val="21"/>
                <w:szCs w:val="21"/>
              </w:rPr>
            </w:pPr>
            <w:r>
              <w:rPr>
                <w:rFonts w:hint="eastAsia" w:ascii="宋体" w:hAnsi="宋体" w:eastAsia="宋体" w:cs="宋体"/>
                <w:sz w:val="21"/>
                <w:szCs w:val="21"/>
                <w:lang w:val="en-US" w:eastAsia="zh-CN"/>
              </w:rPr>
              <w:t>根据投标人拟派</w:t>
            </w:r>
            <w:r>
              <w:rPr>
                <w:rFonts w:hint="eastAsia" w:ascii="宋体" w:hAnsi="宋体" w:eastAsia="宋体" w:cs="宋体"/>
                <w:sz w:val="21"/>
                <w:szCs w:val="21"/>
              </w:rPr>
              <w:t>项目负责人</w:t>
            </w:r>
            <w:r>
              <w:rPr>
                <w:rFonts w:hint="eastAsia" w:ascii="宋体" w:hAnsi="宋体" w:eastAsia="宋体" w:cs="宋体"/>
                <w:sz w:val="21"/>
                <w:szCs w:val="21"/>
                <w:lang w:val="en-US" w:eastAsia="zh-CN"/>
              </w:rPr>
              <w:t>工作经验进行评议，</w:t>
            </w:r>
            <w:r>
              <w:rPr>
                <w:rFonts w:hint="eastAsia" w:ascii="宋体" w:hAnsi="宋体" w:eastAsia="宋体" w:cs="宋体"/>
                <w:sz w:val="21"/>
                <w:szCs w:val="21"/>
              </w:rPr>
              <w:t>每承担过一个会展行业的国有企业管理咨询项目，得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val="en-US" w:eastAsia="zh-CN"/>
              </w:rPr>
              <w:t>本项</w:t>
            </w:r>
            <w:r>
              <w:rPr>
                <w:rFonts w:hint="eastAsia" w:ascii="宋体" w:hAnsi="宋体" w:eastAsia="宋体" w:cs="宋体"/>
                <w:sz w:val="21"/>
                <w:szCs w:val="21"/>
              </w:rPr>
              <w:t>最高</w:t>
            </w:r>
            <w:r>
              <w:rPr>
                <w:rFonts w:hint="eastAsia" w:ascii="宋体" w:hAnsi="宋体" w:eastAsia="宋体" w:cs="宋体"/>
                <w:sz w:val="21"/>
                <w:szCs w:val="21"/>
                <w:lang w:val="en-US" w:eastAsia="zh-CN"/>
              </w:rPr>
              <w:t>得6</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需</w:t>
            </w:r>
            <w:r>
              <w:rPr>
                <w:rFonts w:hint="eastAsia" w:ascii="宋体" w:hAnsi="宋体" w:eastAsia="宋体" w:cs="宋体"/>
                <w:sz w:val="21"/>
                <w:szCs w:val="21"/>
              </w:rPr>
              <w:t>提供</w:t>
            </w:r>
            <w:r>
              <w:rPr>
                <w:rFonts w:hint="eastAsia" w:ascii="宋体" w:hAnsi="宋体" w:eastAsia="宋体" w:cs="宋体"/>
                <w:sz w:val="21"/>
                <w:szCs w:val="21"/>
                <w:lang w:val="en-US" w:eastAsia="zh-CN"/>
              </w:rPr>
              <w:t>2019年1月1日至招标公告发布之日止，能体现拟派负责人负责的有效证明资料如合同内体现负责人或验收负责人签字等，提供有效证明文件</w:t>
            </w:r>
            <w:r>
              <w:rPr>
                <w:rFonts w:hint="eastAsia" w:ascii="宋体" w:hAnsi="宋体" w:eastAsia="宋体" w:cs="宋体"/>
                <w:sz w:val="21"/>
                <w:szCs w:val="21"/>
              </w:rPr>
              <w:t>复印件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w:t>
            </w:r>
            <w:r>
              <w:rPr>
                <w:rFonts w:hint="eastAsia" w:ascii="宋体" w:hAnsi="宋体" w:eastAsia="宋体" w:cs="宋体"/>
                <w:sz w:val="21"/>
                <w:szCs w:val="21"/>
              </w:rPr>
              <w:t>加盖</w:t>
            </w:r>
            <w:r>
              <w:rPr>
                <w:rFonts w:hint="eastAsia" w:ascii="宋体" w:hAnsi="宋体" w:eastAsia="宋体" w:cs="宋体"/>
                <w:sz w:val="21"/>
                <w:szCs w:val="21"/>
                <w:lang w:val="en-US" w:eastAsia="zh-CN"/>
              </w:rPr>
              <w:t>投标人</w:t>
            </w:r>
            <w:r>
              <w:rPr>
                <w:rFonts w:hint="eastAsia" w:ascii="宋体" w:hAnsi="宋体" w:eastAsia="宋体" w:cs="宋体"/>
                <w:sz w:val="21"/>
                <w:szCs w:val="21"/>
              </w:rPr>
              <w:t>公章</w:t>
            </w:r>
            <w:r>
              <w:rPr>
                <w:rFonts w:hint="eastAsia" w:ascii="宋体" w:hAnsi="宋体" w:eastAsia="宋体" w:cs="宋体"/>
                <w:sz w:val="21"/>
                <w:szCs w:val="21"/>
                <w:lang w:eastAsia="zh-CN"/>
              </w:rPr>
              <w:t>，</w:t>
            </w:r>
            <w:r>
              <w:rPr>
                <w:rFonts w:hint="eastAsia" w:ascii="宋体" w:hAnsi="宋体" w:eastAsia="宋体" w:cs="宋体"/>
                <w:color w:val="auto"/>
                <w:sz w:val="21"/>
                <w:szCs w:val="21"/>
                <w:highlight w:val="none"/>
                <w:lang w:val="en-US" w:eastAsia="zh-CN"/>
              </w:rPr>
              <w:t>如投标人所提供的资料无法判定的则不得分</w:t>
            </w:r>
            <w:r>
              <w:rPr>
                <w:rFonts w:hint="eastAsia" w:ascii="宋体" w:hAnsi="宋体" w:eastAsia="宋体" w:cs="宋体"/>
                <w:sz w:val="21"/>
                <w:szCs w:val="21"/>
              </w:rPr>
              <w:t>）</w:t>
            </w:r>
          </w:p>
          <w:p>
            <w:pPr>
              <w:numPr>
                <w:ilvl w:val="-1"/>
                <w:numId w:val="0"/>
              </w:numPr>
              <w:tabs>
                <w:tab w:val="left" w:pos="531"/>
              </w:tabs>
              <w:snapToGrid w:val="0"/>
              <w:ind w:left="0" w:firstLine="0"/>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投标人拟派</w:t>
            </w:r>
            <w:r>
              <w:rPr>
                <w:rFonts w:hint="eastAsia" w:ascii="宋体" w:hAnsi="宋体" w:eastAsia="宋体" w:cs="宋体"/>
                <w:sz w:val="21"/>
                <w:szCs w:val="21"/>
              </w:rPr>
              <w:t>项目</w:t>
            </w:r>
            <w:r>
              <w:rPr>
                <w:rFonts w:hint="eastAsia" w:ascii="宋体" w:hAnsi="宋体" w:eastAsia="宋体" w:cs="宋体"/>
                <w:sz w:val="21"/>
                <w:szCs w:val="21"/>
                <w:lang w:val="en-US" w:eastAsia="zh-CN"/>
              </w:rPr>
              <w:t>团队</w:t>
            </w:r>
            <w:r>
              <w:rPr>
                <w:rFonts w:hint="eastAsia" w:ascii="宋体" w:hAnsi="宋体" w:eastAsia="宋体" w:cs="宋体"/>
                <w:sz w:val="21"/>
                <w:szCs w:val="21"/>
              </w:rPr>
              <w:t>人员</w:t>
            </w:r>
            <w:r>
              <w:rPr>
                <w:rFonts w:hint="eastAsia" w:ascii="宋体" w:hAnsi="宋体" w:eastAsia="宋体" w:cs="宋体"/>
                <w:sz w:val="21"/>
                <w:szCs w:val="21"/>
                <w:lang w:val="en-US" w:eastAsia="zh-CN"/>
              </w:rPr>
              <w:t>有</w:t>
            </w:r>
            <w:r>
              <w:rPr>
                <w:rFonts w:hint="eastAsia" w:ascii="宋体" w:hAnsi="宋体" w:eastAsia="宋体" w:cs="宋体"/>
                <w:sz w:val="21"/>
                <w:szCs w:val="21"/>
              </w:rPr>
              <w:t>硕士学历</w:t>
            </w:r>
            <w:r>
              <w:rPr>
                <w:rFonts w:hint="eastAsia" w:ascii="宋体" w:hAnsi="宋体" w:eastAsia="宋体" w:cs="宋体"/>
                <w:sz w:val="21"/>
                <w:szCs w:val="21"/>
                <w:lang w:val="en-US" w:eastAsia="zh-CN"/>
              </w:rPr>
              <w:t>人员，每人</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有</w:t>
            </w:r>
            <w:r>
              <w:rPr>
                <w:rFonts w:hint="eastAsia" w:ascii="宋体" w:hAnsi="宋体" w:eastAsia="宋体" w:cs="宋体"/>
                <w:sz w:val="21"/>
                <w:szCs w:val="21"/>
              </w:rPr>
              <w:t>博士</w:t>
            </w:r>
            <w:r>
              <w:rPr>
                <w:rFonts w:hint="eastAsia" w:ascii="宋体" w:hAnsi="宋体" w:eastAsia="宋体" w:cs="宋体"/>
                <w:sz w:val="21"/>
                <w:szCs w:val="21"/>
                <w:lang w:val="en-US" w:eastAsia="zh-CN"/>
              </w:rPr>
              <w:t>及</w:t>
            </w:r>
            <w:r>
              <w:rPr>
                <w:rFonts w:hint="eastAsia" w:ascii="宋体" w:hAnsi="宋体" w:eastAsia="宋体" w:cs="宋体"/>
                <w:sz w:val="21"/>
                <w:szCs w:val="21"/>
              </w:rPr>
              <w:t>以上学历</w:t>
            </w:r>
            <w:r>
              <w:rPr>
                <w:rFonts w:hint="eastAsia" w:ascii="宋体" w:hAnsi="宋体" w:eastAsia="宋体" w:cs="宋体"/>
                <w:sz w:val="21"/>
                <w:szCs w:val="21"/>
                <w:lang w:val="en-US" w:eastAsia="zh-CN"/>
              </w:rPr>
              <w:t>人员，</w:t>
            </w:r>
            <w:r>
              <w:rPr>
                <w:rFonts w:hint="eastAsia" w:ascii="宋体" w:hAnsi="宋体" w:eastAsia="宋体" w:cs="宋体"/>
                <w:sz w:val="21"/>
                <w:szCs w:val="21"/>
                <w:lang w:eastAsia="zh-CN"/>
              </w:rPr>
              <w:t>每人得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w:t>
            </w:r>
            <w:r>
              <w:rPr>
                <w:rFonts w:hint="eastAsia" w:ascii="宋体" w:hAnsi="宋体" w:eastAsia="宋体" w:cs="宋体"/>
                <w:sz w:val="21"/>
                <w:szCs w:val="21"/>
                <w:lang w:eastAsia="zh-CN"/>
              </w:rPr>
              <w:t>最高</w:t>
            </w:r>
            <w:r>
              <w:rPr>
                <w:rFonts w:hint="eastAsia" w:ascii="宋体" w:hAnsi="宋体" w:eastAsia="宋体" w:cs="宋体"/>
                <w:sz w:val="21"/>
                <w:szCs w:val="21"/>
                <w:lang w:val="en-US" w:eastAsia="zh-CN"/>
              </w:rPr>
              <w:t>得4分。</w:t>
            </w:r>
            <w:r>
              <w:rPr>
                <w:rFonts w:hint="eastAsia" w:ascii="宋体" w:hAnsi="宋体" w:eastAsia="宋体" w:cs="宋体"/>
                <w:sz w:val="21"/>
                <w:szCs w:val="21"/>
              </w:rPr>
              <w:t>（</w:t>
            </w:r>
            <w:r>
              <w:rPr>
                <w:rFonts w:hint="eastAsia" w:ascii="宋体" w:hAnsi="宋体" w:eastAsia="宋体" w:cs="宋体"/>
                <w:sz w:val="21"/>
                <w:szCs w:val="21"/>
                <w:lang w:val="en-US" w:eastAsia="zh-CN"/>
              </w:rPr>
              <w:t>需</w:t>
            </w:r>
            <w:r>
              <w:rPr>
                <w:rFonts w:hint="eastAsia" w:ascii="宋体" w:hAnsi="宋体" w:eastAsia="宋体" w:cs="宋体"/>
                <w:sz w:val="21"/>
                <w:szCs w:val="21"/>
              </w:rPr>
              <w:t>提供学历证明文件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未提供相关证明的不得分</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17"/>
              <w:numPr>
                <w:ilvl w:val="0"/>
                <w:numId w:val="18"/>
              </w:numPr>
              <w:spacing w:line="360" w:lineRule="auto"/>
              <w:ind w:firstLineChars="0"/>
              <w:jc w:val="center"/>
              <w:rPr>
                <w:rFonts w:hint="eastAsia" w:ascii="宋体" w:hAnsi="宋体" w:eastAsia="宋体" w:cs="宋体"/>
                <w:sz w:val="21"/>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服务保证</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804" w:type="dxa"/>
            <w:tcBorders>
              <w:tl2br w:val="nil"/>
              <w:tr2bl w:val="nil"/>
            </w:tcBorders>
            <w:tcMar>
              <w:top w:w="15" w:type="dxa"/>
              <w:left w:w="15" w:type="dxa"/>
              <w:bottom w:w="15" w:type="dxa"/>
              <w:right w:w="15" w:type="dxa"/>
            </w:tcMar>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针对本项目提出的质量控制、保障措施和方法等情况进行评审：</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方案详尽、措施得当，能解决实际问题的，得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numPr>
                <w:ilvl w:val="0"/>
                <w:numId w:val="20"/>
              </w:num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方案基本详尽、措施得当，能基本解决实际问题的，得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numPr>
                <w:ilvl w:val="0"/>
                <w:numId w:val="2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方案不够完整，能解决部分实际问题的，得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numPr>
                <w:ilvl w:val="0"/>
                <w:numId w:val="2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方案、措施一般，不能解决实际问题的得0分。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spacing w:before="100" w:beforeAutospacing="1" w:after="100" w:afterAutospacing="1" w:line="360" w:lineRule="auto"/>
              <w:ind w:left="247" w:hanging="247" w:hangingChars="117"/>
              <w:jc w:val="center"/>
              <w:rPr>
                <w:rFonts w:hint="eastAsia" w:ascii="宋体" w:hAnsi="宋体" w:eastAsia="宋体" w:cs="宋体"/>
                <w:b/>
                <w:sz w:val="21"/>
                <w:szCs w:val="21"/>
              </w:rPr>
            </w:pPr>
            <w:r>
              <w:rPr>
                <w:rFonts w:hint="eastAsia" w:ascii="宋体" w:hAnsi="宋体" w:eastAsia="宋体" w:cs="宋体"/>
                <w:b/>
                <w:sz w:val="21"/>
                <w:szCs w:val="21"/>
              </w:rPr>
              <w:t>价格评议项</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b/>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基准价和算法类型选择</w:t>
            </w:r>
          </w:p>
          <w:p>
            <w:pPr>
              <w:pStyle w:val="2"/>
              <w:jc w:val="center"/>
              <w:rPr>
                <w:rFonts w:hint="eastAsia" w:ascii="宋体" w:hAnsi="宋体" w:eastAsia="宋体" w:cs="宋体"/>
                <w:sz w:val="21"/>
                <w:szCs w:val="21"/>
              </w:rPr>
            </w:pPr>
            <w:r>
              <w:rPr>
                <w:rFonts w:hint="eastAsia" w:ascii="宋体" w:hAnsi="宋体" w:eastAsia="宋体" w:cs="宋体"/>
                <w:b/>
                <w:bCs/>
                <w:color w:val="FF0000"/>
                <w:sz w:val="21"/>
                <w:szCs w:val="21"/>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sz w:val="21"/>
                <w:szCs w:val="21"/>
                <w:highlight w:val="none"/>
              </w:rPr>
            </w:pPr>
          </w:p>
        </w:tc>
        <w:tc>
          <w:tcPr>
            <w:tcW w:w="1134" w:type="dxa"/>
            <w:vMerge w:val="restart"/>
            <w:tcBorders>
              <w:tl2br w:val="nil"/>
              <w:tr2bl w:val="nil"/>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基准价</w:t>
            </w:r>
          </w:p>
        </w:tc>
        <w:tc>
          <w:tcPr>
            <w:tcW w:w="7513" w:type="dxa"/>
            <w:gridSpan w:val="2"/>
            <w:tcBorders>
              <w:tl2br w:val="nil"/>
              <w:tr2bl w:val="nil"/>
            </w:tcBorders>
            <w:vAlign w:val="center"/>
          </w:tcPr>
          <w:p>
            <w:pPr>
              <w:autoSpaceDE w:val="0"/>
              <w:autoSpaceDN w:val="0"/>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各有效投标报价大于n家时，去掉一个最高和最低报价后的算术平均值乘以</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％。当有效投标报价少于n（含）家时，则以所有有效投标报价的算术平均值乘以</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sz w:val="21"/>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eastAsia="宋体" w:cs="宋体"/>
                <w:sz w:val="21"/>
                <w:szCs w:val="21"/>
                <w:highlight w:val="none"/>
              </w:rPr>
            </w:pPr>
          </w:p>
        </w:tc>
        <w:tc>
          <w:tcPr>
            <w:tcW w:w="7513" w:type="dxa"/>
            <w:gridSpan w:val="2"/>
            <w:tcBorders>
              <w:tl2br w:val="nil"/>
              <w:tr2bl w:val="nil"/>
            </w:tcBorders>
            <w:vAlign w:val="center"/>
          </w:tcPr>
          <w:p>
            <w:pPr>
              <w:spacing w:line="240" w:lineRule="atLeas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sz w:val="21"/>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eastAsia="宋体" w:cs="宋体"/>
                <w:sz w:val="21"/>
                <w:szCs w:val="21"/>
                <w:highlight w:val="none"/>
              </w:rPr>
            </w:pPr>
          </w:p>
        </w:tc>
        <w:tc>
          <w:tcPr>
            <w:tcW w:w="7513" w:type="dxa"/>
            <w:gridSpan w:val="2"/>
            <w:tcBorders>
              <w:tl2br w:val="nil"/>
              <w:tr2bl w:val="nil"/>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□有效投标报价的最低价为基价。</w:t>
            </w:r>
          </w:p>
          <w:p>
            <w:pPr>
              <w:spacing w:line="240" w:lineRule="atLeast"/>
              <w:jc w:val="left"/>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sz w:val="21"/>
                <w:szCs w:val="21"/>
                <w:highlight w:val="none"/>
              </w:rPr>
            </w:pPr>
          </w:p>
        </w:tc>
        <w:tc>
          <w:tcPr>
            <w:tcW w:w="1134" w:type="dxa"/>
            <w:vMerge w:val="restart"/>
            <w:tcBorders>
              <w:tl2br w:val="nil"/>
              <w:tr2bl w:val="nil"/>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算法类型</w:t>
            </w:r>
          </w:p>
        </w:tc>
        <w:tc>
          <w:tcPr>
            <w:tcW w:w="709" w:type="dxa"/>
            <w:tcBorders>
              <w:tl2br w:val="nil"/>
              <w:tr2bl w:val="nil"/>
            </w:tcBorders>
            <w:vAlign w:val="center"/>
          </w:tcPr>
          <w:p>
            <w:pPr>
              <w:spacing w:line="240" w:lineRule="atLeas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固定比例法</w:t>
            </w:r>
          </w:p>
        </w:tc>
        <w:tc>
          <w:tcPr>
            <w:tcW w:w="6804" w:type="dxa"/>
            <w:tcBorders>
              <w:tl2br w:val="nil"/>
              <w:tr2bl w:val="nil"/>
            </w:tcBorders>
            <w:vAlign w:val="center"/>
          </w:tcPr>
          <w:p>
            <w:pPr>
              <w:autoSpaceDE w:val="0"/>
              <w:autoSpaceDN w:val="0"/>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价格得分=M-[（｜投标价格-基准价｜/基准价）*100/N]*扣分值</w:t>
            </w:r>
          </w:p>
          <w:p>
            <w:pPr>
              <w:autoSpaceDE w:val="0"/>
              <w:autoSpaceDN w:val="0"/>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M=</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（价格评价分项满分值），N=</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，投标价格每高于N％时，扣</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分；每低于N％时，扣</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w:t>
            </w:r>
          </w:p>
          <w:p>
            <w:pPr>
              <w:spacing w:line="240" w:lineRule="atLeast"/>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sz w:val="21"/>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eastAsia="宋体" w:cs="宋体"/>
                <w:sz w:val="21"/>
                <w:szCs w:val="21"/>
                <w:highlight w:val="none"/>
              </w:rPr>
            </w:pPr>
          </w:p>
        </w:tc>
        <w:tc>
          <w:tcPr>
            <w:tcW w:w="709" w:type="dxa"/>
            <w:tcBorders>
              <w:tl2br w:val="nil"/>
              <w:tr2bl w:val="nil"/>
            </w:tcBorders>
            <w:vAlign w:val="center"/>
          </w:tcPr>
          <w:p>
            <w:pPr>
              <w:spacing w:line="240" w:lineRule="atLeas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固定乘积法</w:t>
            </w:r>
          </w:p>
        </w:tc>
        <w:tc>
          <w:tcPr>
            <w:tcW w:w="6804" w:type="dxa"/>
            <w:tcBorders>
              <w:tl2br w:val="nil"/>
              <w:tr2bl w:val="nil"/>
            </w:tcBorders>
            <w:vAlign w:val="center"/>
          </w:tcPr>
          <w:p>
            <w:pPr>
              <w:autoSpaceDE w:val="0"/>
              <w:autoSpaceDN w:val="0"/>
              <w:adjustRightInd w:val="0"/>
              <w:snapToGrid w:val="0"/>
              <w:jc w:val="left"/>
              <w:rPr>
                <w:rStyle w:val="16"/>
                <w:rFonts w:hint="eastAsia" w:ascii="宋体" w:hAnsi="宋体" w:eastAsia="宋体" w:cs="宋体"/>
                <w:sz w:val="21"/>
                <w:szCs w:val="21"/>
                <w:highlight w:val="none"/>
              </w:rPr>
            </w:pPr>
            <w:r>
              <w:rPr>
                <w:rStyle w:val="16"/>
                <w:rFonts w:hint="eastAsia" w:ascii="宋体" w:hAnsi="宋体" w:eastAsia="宋体" w:cs="宋体"/>
                <w:sz w:val="21"/>
                <w:szCs w:val="21"/>
                <w:highlight w:val="none"/>
              </w:rPr>
              <w:t>价格得分=（1-A×｜1-投标报价/Z｜）×M</w:t>
            </w:r>
          </w:p>
          <w:p>
            <w:pPr>
              <w:numPr>
                <w:ilvl w:val="0"/>
                <w:numId w:val="21"/>
              </w:numPr>
              <w:autoSpaceDE w:val="0"/>
              <w:autoSpaceDN w:val="0"/>
              <w:adjustRightInd w:val="0"/>
              <w:snapToGrid w:val="0"/>
              <w:jc w:val="left"/>
              <w:rPr>
                <w:rStyle w:val="16"/>
                <w:rFonts w:hint="eastAsia" w:ascii="宋体" w:hAnsi="宋体" w:eastAsia="宋体" w:cs="宋体"/>
                <w:sz w:val="21"/>
                <w:szCs w:val="21"/>
                <w:highlight w:val="none"/>
              </w:rPr>
            </w:pPr>
            <w:r>
              <w:rPr>
                <w:rStyle w:val="16"/>
                <w:rFonts w:hint="eastAsia" w:ascii="宋体" w:hAnsi="宋体" w:eastAsia="宋体" w:cs="宋体"/>
                <w:sz w:val="21"/>
                <w:szCs w:val="21"/>
                <w:highlight w:val="none"/>
              </w:rPr>
              <w:t xml:space="preserve">M= </w:t>
            </w:r>
            <w:r>
              <w:rPr>
                <w:rStyle w:val="16"/>
                <w:rFonts w:hint="eastAsia" w:ascii="宋体" w:hAnsi="宋体" w:eastAsia="宋体" w:cs="宋体"/>
                <w:sz w:val="21"/>
                <w:szCs w:val="21"/>
                <w:highlight w:val="none"/>
                <w:lang w:val="en-US" w:eastAsia="zh-CN"/>
              </w:rPr>
              <w:t>30</w:t>
            </w:r>
            <w:r>
              <w:rPr>
                <w:rStyle w:val="16"/>
                <w:rFonts w:hint="eastAsia" w:ascii="宋体" w:hAnsi="宋体" w:eastAsia="宋体" w:cs="宋体"/>
                <w:sz w:val="21"/>
                <w:szCs w:val="21"/>
                <w:highlight w:val="none"/>
              </w:rPr>
              <w:t>（价格评价分项满分值），Z为本次招标最佳报价（即基准价）；</w:t>
            </w:r>
          </w:p>
          <w:p>
            <w:pPr>
              <w:numPr>
                <w:ilvl w:val="0"/>
                <w:numId w:val="21"/>
              </w:numPr>
              <w:autoSpaceDE w:val="0"/>
              <w:autoSpaceDN w:val="0"/>
              <w:adjustRightInd w:val="0"/>
              <w:snapToGrid w:val="0"/>
              <w:jc w:val="left"/>
              <w:rPr>
                <w:rStyle w:val="16"/>
                <w:rFonts w:hint="eastAsia" w:ascii="宋体" w:hAnsi="宋体" w:eastAsia="宋体" w:cs="宋体"/>
                <w:sz w:val="21"/>
                <w:szCs w:val="21"/>
                <w:highlight w:val="none"/>
              </w:rPr>
            </w:pPr>
            <w:r>
              <w:rPr>
                <w:rStyle w:val="16"/>
                <w:rFonts w:hint="eastAsia" w:ascii="宋体" w:hAnsi="宋体" w:eastAsia="宋体" w:cs="宋体"/>
                <w:sz w:val="21"/>
                <w:szCs w:val="21"/>
                <w:highlight w:val="none"/>
              </w:rPr>
              <w:t>A为价格调整系数，当投标报价低于本次招标最佳报价（即基准价）时，A=0.5；当投标报价高于次招标最佳报价时，取A=1；</w:t>
            </w:r>
          </w:p>
          <w:p>
            <w:pPr>
              <w:numPr>
                <w:ilvl w:val="0"/>
                <w:numId w:val="21"/>
              </w:numPr>
              <w:jc w:val="left"/>
              <w:rPr>
                <w:rFonts w:hint="eastAsia" w:ascii="宋体" w:hAnsi="宋体" w:eastAsia="宋体" w:cs="宋体"/>
                <w:kern w:val="0"/>
                <w:sz w:val="21"/>
                <w:szCs w:val="21"/>
                <w:highlight w:val="none"/>
              </w:rPr>
            </w:pPr>
            <w:r>
              <w:rPr>
                <w:rStyle w:val="16"/>
                <w:rFonts w:hint="eastAsia" w:ascii="宋体" w:hAnsi="宋体" w:eastAsia="宋体" w:cs="宋体"/>
                <w:sz w:val="21"/>
                <w:szCs w:val="21"/>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eastAsia="宋体" w:cs="宋体"/>
                <w:sz w:val="21"/>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eastAsia="宋体" w:cs="宋体"/>
                <w:sz w:val="21"/>
                <w:szCs w:val="21"/>
                <w:highlight w:val="none"/>
              </w:rPr>
            </w:pPr>
          </w:p>
        </w:tc>
        <w:tc>
          <w:tcPr>
            <w:tcW w:w="709" w:type="dxa"/>
            <w:tcBorders>
              <w:tl2br w:val="nil"/>
              <w:tr2bl w:val="nil"/>
            </w:tcBorders>
            <w:vAlign w:val="center"/>
          </w:tcPr>
          <w:p>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其他方法</w:t>
            </w:r>
          </w:p>
        </w:tc>
        <w:tc>
          <w:tcPr>
            <w:tcW w:w="6804" w:type="dxa"/>
            <w:tcBorders>
              <w:tl2br w:val="nil"/>
              <w:tr2bl w:val="nil"/>
            </w:tcBorders>
            <w:vAlign w:val="center"/>
          </w:tcPr>
          <w:p>
            <w:pPr>
              <w:spacing w:line="240" w:lineRule="atLeast"/>
              <w:jc w:val="center"/>
              <w:rPr>
                <w:rFonts w:hint="eastAsia" w:ascii="宋体" w:hAnsi="宋体" w:eastAsia="宋体" w:cs="宋体"/>
                <w:kern w:val="0"/>
                <w:sz w:val="21"/>
                <w:szCs w:val="21"/>
                <w:highlight w:val="none"/>
              </w:rPr>
            </w:pPr>
          </w:p>
        </w:tc>
      </w:tr>
    </w:tbl>
    <w:p>
      <w:pPr>
        <w:numPr>
          <w:ilvl w:val="0"/>
          <w:numId w:val="16"/>
        </w:numPr>
        <w:spacing w:before="936" w:beforeLines="300" w:line="360" w:lineRule="auto"/>
        <w:jc w:val="left"/>
        <w:outlineLvl w:val="2"/>
        <w:rPr>
          <w:rStyle w:val="19"/>
          <w:rFonts w:ascii="宋体" w:hAnsi="宋体"/>
          <w:b/>
          <w:bCs/>
          <w:szCs w:val="21"/>
        </w:rPr>
      </w:pPr>
      <w:bookmarkStart w:id="52" w:name="_Toc106791265"/>
      <w:r>
        <w:rPr>
          <w:rStyle w:val="19"/>
          <w:rFonts w:hint="eastAsia" w:ascii="宋体" w:hAnsi="宋体"/>
          <w:b/>
          <w:bCs/>
          <w:szCs w:val="21"/>
        </w:rPr>
        <w:t>综合评议指标表</w:t>
      </w:r>
      <w:bookmarkEnd w:id="52"/>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2"/>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2"/>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3" w:name="_Toc106791266"/>
      <w:r>
        <w:rPr>
          <w:rFonts w:hint="eastAsia" w:ascii="宋体" w:hAnsi="宋体"/>
          <w:b/>
          <w:sz w:val="32"/>
          <w:szCs w:val="32"/>
        </w:rPr>
        <w:t>第四部分：合同条款及格式</w:t>
      </w:r>
      <w:bookmarkEnd w:id="53"/>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r>
        <w:rPr>
          <w:rFonts w:hint="eastAsia" w:ascii="方正小标宋_GBK" w:hAnsi="方正小标宋_GBK" w:eastAsia="方正小标宋_GBK" w:cs="方正小标宋_GBK"/>
          <w:b w:val="0"/>
          <w:bCs/>
          <w:sz w:val="32"/>
          <w:szCs w:val="32"/>
        </w:rPr>
        <w:t>深圳会展中心战略发展研究课题项目</w:t>
      </w:r>
      <w:r>
        <w:rPr>
          <w:rFonts w:hint="eastAsia" w:ascii="方正小标宋_GBK" w:hAnsi="方正小标宋_GBK" w:eastAsia="方正小标宋_GBK" w:cs="方正小标宋_GBK"/>
          <w:b w:val="0"/>
          <w:bCs/>
          <w:kern w:val="0"/>
          <w:sz w:val="32"/>
          <w:szCs w:val="32"/>
        </w:rPr>
        <w:t>合同</w:t>
      </w: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w:t>
      </w:r>
      <w:r>
        <w:rPr>
          <w:rFonts w:hint="eastAsia" w:ascii="宋体" w:hAnsi="宋体" w:eastAsia="宋体" w:cs="宋体"/>
          <w:color w:val="000000"/>
          <w:sz w:val="21"/>
          <w:szCs w:val="21"/>
          <w:u w:val="single"/>
        </w:rPr>
        <w:t xml:space="preserve">深圳会展中心管理有限责任公司 </w:t>
      </w:r>
      <w:r>
        <w:rPr>
          <w:rFonts w:hint="eastAsia" w:ascii="宋体" w:hAnsi="宋体" w:eastAsia="宋体" w:cs="宋体"/>
          <w:color w:val="000000"/>
          <w:sz w:val="21"/>
          <w:szCs w:val="21"/>
        </w:rPr>
        <w:t xml:space="preserve">     </w:t>
      </w:r>
    </w:p>
    <w:p>
      <w:pPr>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乙方：</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依据《中华人民共和国民法典》等有关法律规定，甲方委托乙方承担本协议约定的项目，经友好协商，本着平等互利和诚实信用的原则，一致同意签订本协议。</w:t>
      </w:r>
    </w:p>
    <w:p>
      <w:pPr>
        <w:pStyle w:val="3"/>
        <w:spacing w:line="360" w:lineRule="auto"/>
        <w:ind w:left="0" w:leftChars="0" w:firstLine="422" w:firstLineChars="200"/>
        <w:rPr>
          <w:rFonts w:hint="eastAsia" w:ascii="宋体" w:hAnsi="宋体" w:eastAsia="宋体" w:cs="宋体"/>
          <w:sz w:val="21"/>
          <w:szCs w:val="21"/>
        </w:rPr>
      </w:pPr>
      <w:r>
        <w:rPr>
          <w:rFonts w:hint="eastAsia" w:ascii="宋体" w:hAnsi="宋体" w:eastAsia="宋体" w:cs="宋体"/>
          <w:sz w:val="21"/>
          <w:szCs w:val="21"/>
        </w:rPr>
        <w:t>项目名称</w:t>
      </w:r>
    </w:p>
    <w:p>
      <w:pPr>
        <w:tabs>
          <w:tab w:val="left" w:pos="2325"/>
        </w:tabs>
        <w:spacing w:line="360" w:lineRule="auto"/>
        <w:ind w:left="0" w:leftChars="0" w:firstLine="420" w:firstLineChars="200"/>
        <w:rPr>
          <w:rFonts w:hint="eastAsia" w:ascii="宋体" w:hAnsi="宋体" w:eastAsia="宋体" w:cs="宋体"/>
          <w:b/>
          <w:bCs/>
          <w:sz w:val="21"/>
          <w:szCs w:val="21"/>
        </w:rPr>
      </w:pPr>
      <w:r>
        <w:rPr>
          <w:rFonts w:hint="eastAsia" w:ascii="宋体" w:hAnsi="宋体" w:eastAsia="宋体" w:cs="宋体"/>
          <w:sz w:val="21"/>
          <w:szCs w:val="21"/>
        </w:rPr>
        <w:t>深圳会展中心战略发展研究课题</w:t>
      </w:r>
    </w:p>
    <w:p>
      <w:pPr>
        <w:pStyle w:val="3"/>
        <w:spacing w:line="360" w:lineRule="auto"/>
        <w:ind w:left="0" w:leftChars="0" w:firstLine="422" w:firstLineChars="200"/>
        <w:rPr>
          <w:rFonts w:hint="eastAsia" w:ascii="宋体" w:hAnsi="宋体" w:eastAsia="宋体" w:cs="宋体"/>
          <w:sz w:val="21"/>
          <w:szCs w:val="21"/>
        </w:rPr>
      </w:pPr>
      <w:r>
        <w:rPr>
          <w:rFonts w:hint="eastAsia" w:ascii="宋体" w:hAnsi="宋体" w:eastAsia="宋体" w:cs="宋体"/>
          <w:sz w:val="21"/>
          <w:szCs w:val="21"/>
        </w:rPr>
        <w:t>项目内容</w:t>
      </w:r>
    </w:p>
    <w:p>
      <w:pPr>
        <w:pStyle w:val="17"/>
        <w:numPr>
          <w:ilvl w:val="0"/>
          <w:numId w:val="23"/>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课题一：研究探索会展连接交易场景。包括但不限于行业发展前景、市场空间、竞争对手、成功关键要素、业务模式及路径研究等方面内容。</w:t>
      </w:r>
    </w:p>
    <w:p>
      <w:pPr>
        <w:pStyle w:val="17"/>
        <w:numPr>
          <w:ilvl w:val="0"/>
          <w:numId w:val="23"/>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课题二：研究下属企业经贸中心的业务拓展可行性。涉及培训公司、展览公司、电子商务公司业务发展方案，研究内容包含：行业发展前景、市场空间、经营现状、竞争对手、成功关键要素、业务合作模式及公司组建方案、可能存在的风险。</w:t>
      </w:r>
    </w:p>
    <w:p>
      <w:pPr>
        <w:pStyle w:val="3"/>
        <w:spacing w:line="360" w:lineRule="auto"/>
        <w:ind w:left="0" w:leftChars="0" w:firstLine="422" w:firstLineChars="200"/>
        <w:rPr>
          <w:rFonts w:hint="eastAsia" w:ascii="宋体" w:hAnsi="宋体" w:eastAsia="宋体" w:cs="宋体"/>
          <w:sz w:val="21"/>
          <w:szCs w:val="21"/>
        </w:rPr>
      </w:pPr>
      <w:r>
        <w:rPr>
          <w:rFonts w:hint="eastAsia" w:ascii="宋体" w:hAnsi="宋体" w:eastAsia="宋体" w:cs="宋体"/>
          <w:sz w:val="21"/>
          <w:szCs w:val="21"/>
        </w:rPr>
        <w:t xml:space="preserve">甲方权利与义务 </w:t>
      </w:r>
    </w:p>
    <w:p>
      <w:pPr>
        <w:pStyle w:val="17"/>
        <w:numPr>
          <w:ilvl w:val="0"/>
          <w:numId w:val="24"/>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甲方应向乙方提供甲方所掌握的完成委托事项所需的相关数据、资料和文件，并保证它们的真实性、及时性和完整性。</w:t>
      </w:r>
    </w:p>
    <w:p>
      <w:pPr>
        <w:pStyle w:val="17"/>
        <w:numPr>
          <w:ilvl w:val="0"/>
          <w:numId w:val="24"/>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甲方应与乙方项目小组协作配合，共同商定乙方项目小组工作计划、督促甲方有关人员参与项目。</w:t>
      </w:r>
    </w:p>
    <w:p>
      <w:pPr>
        <w:pStyle w:val="17"/>
        <w:numPr>
          <w:ilvl w:val="0"/>
          <w:numId w:val="24"/>
        </w:numPr>
        <w:spacing w:line="360" w:lineRule="auto"/>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甲方授权乙方在指定范围内开展工作和提供研究服务。</w:t>
      </w:r>
    </w:p>
    <w:p>
      <w:pPr>
        <w:pStyle w:val="17"/>
        <w:numPr>
          <w:ilvl w:val="0"/>
          <w:numId w:val="24"/>
        </w:numPr>
        <w:spacing w:line="360" w:lineRule="auto"/>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甲方有权要求乙方保证按时交付成果，保证服务的质量，并把乙方与本项目相关的知识传授给甲方管理小组。</w:t>
      </w:r>
    </w:p>
    <w:p>
      <w:pPr>
        <w:pStyle w:val="17"/>
        <w:numPr>
          <w:ilvl w:val="0"/>
          <w:numId w:val="24"/>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甲方有权定期检查乙方工作进展情况及提出意见。</w:t>
      </w:r>
    </w:p>
    <w:p>
      <w:pPr>
        <w:pStyle w:val="17"/>
        <w:numPr>
          <w:ilvl w:val="0"/>
          <w:numId w:val="24"/>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甲方应按照本协议书约定的期限对乙方提交的方案成果进行验收。</w:t>
      </w:r>
    </w:p>
    <w:p>
      <w:pPr>
        <w:pStyle w:val="17"/>
        <w:numPr>
          <w:ilvl w:val="0"/>
          <w:numId w:val="24"/>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甲方应按照本协议书约定按期足额向乙方支付项目费用及其他应付款项。</w:t>
      </w:r>
    </w:p>
    <w:p>
      <w:pPr>
        <w:pStyle w:val="3"/>
        <w:spacing w:line="360" w:lineRule="auto"/>
        <w:ind w:left="0" w:leftChars="0" w:firstLine="422" w:firstLineChars="200"/>
        <w:rPr>
          <w:rFonts w:hint="eastAsia" w:ascii="宋体" w:hAnsi="宋体" w:eastAsia="宋体" w:cs="宋体"/>
          <w:sz w:val="21"/>
          <w:szCs w:val="21"/>
        </w:rPr>
      </w:pPr>
      <w:r>
        <w:rPr>
          <w:rFonts w:hint="eastAsia" w:ascii="宋体" w:hAnsi="宋体" w:eastAsia="宋体" w:cs="宋体"/>
          <w:sz w:val="21"/>
          <w:szCs w:val="21"/>
        </w:rPr>
        <w:t>乙方权利与义务</w:t>
      </w:r>
    </w:p>
    <w:p>
      <w:pPr>
        <w:pStyle w:val="17"/>
        <w:numPr>
          <w:ilvl w:val="0"/>
          <w:numId w:val="25"/>
        </w:numPr>
        <w:tabs>
          <w:tab w:val="left" w:pos="426"/>
        </w:tabs>
        <w:adjustRightInd w:val="0"/>
        <w:snapToGrid w:val="0"/>
        <w:spacing w:line="520" w:lineRule="exact"/>
        <w:ind w:left="0" w:leftChars="0" w:firstLine="420" w:firstLineChars="200"/>
        <w:rPr>
          <w:rFonts w:hint="eastAsia" w:ascii="宋体" w:hAnsi="宋体" w:eastAsia="宋体" w:cs="宋体"/>
          <w:color w:val="000000"/>
          <w:sz w:val="21"/>
          <w:szCs w:val="21"/>
        </w:rPr>
      </w:pPr>
      <w:r>
        <w:rPr>
          <w:rFonts w:hint="eastAsia" w:ascii="宋体" w:hAnsi="宋体" w:eastAsia="宋体" w:cs="宋体"/>
          <w:sz w:val="21"/>
          <w:szCs w:val="21"/>
        </w:rPr>
        <w:t>执行本合同规定，向甲方提供成果</w:t>
      </w:r>
      <w:r>
        <w:rPr>
          <w:rFonts w:hint="eastAsia" w:ascii="宋体" w:hAnsi="宋体" w:eastAsia="宋体" w:cs="宋体"/>
          <w:color w:val="000000" w:themeColor="text1"/>
          <w:sz w:val="21"/>
          <w:szCs w:val="21"/>
          <w14:textFill>
            <w14:solidFill>
              <w14:schemeClr w14:val="tx1"/>
            </w14:solidFill>
          </w14:textFill>
        </w:rPr>
        <w:t>主要包括：《</w:t>
      </w:r>
      <w:r>
        <w:rPr>
          <w:rFonts w:hint="eastAsia" w:ascii="宋体" w:hAnsi="宋体" w:eastAsia="宋体" w:cs="宋体"/>
          <w:sz w:val="21"/>
          <w:szCs w:val="21"/>
        </w:rPr>
        <w:t>会展连接交易场景研究报告</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经贸中心业务拓展研究报告</w:t>
      </w:r>
      <w:r>
        <w:rPr>
          <w:rFonts w:hint="eastAsia" w:ascii="宋体" w:hAnsi="宋体" w:eastAsia="宋体" w:cs="宋体"/>
          <w:color w:val="000000" w:themeColor="text1"/>
          <w:sz w:val="21"/>
          <w:szCs w:val="21"/>
          <w14:textFill>
            <w14:solidFill>
              <w14:schemeClr w14:val="tx1"/>
            </w14:solidFill>
          </w14:textFill>
        </w:rPr>
        <w:t>》。</w:t>
      </w:r>
    </w:p>
    <w:p>
      <w:pPr>
        <w:pStyle w:val="17"/>
        <w:numPr>
          <w:ilvl w:val="0"/>
          <w:numId w:val="25"/>
        </w:numPr>
        <w:tabs>
          <w:tab w:val="left" w:pos="840"/>
          <w:tab w:val="left" w:pos="1050"/>
        </w:tabs>
        <w:spacing w:line="360" w:lineRule="auto"/>
        <w:ind w:left="0" w:lef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组建项目团队开展工作，项目团队人数不低于3人，并需经甲方认可；</w:t>
      </w:r>
    </w:p>
    <w:p>
      <w:pPr>
        <w:pStyle w:val="17"/>
        <w:numPr>
          <w:ilvl w:val="0"/>
          <w:numId w:val="25"/>
        </w:numPr>
        <w:spacing w:line="360" w:lineRule="auto"/>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乙方应定期向甲方提供阶段工作成果，并征求甲方对阶段工作成果的意见，及时解答甲方询问，按照甲方意见予以修改。</w:t>
      </w:r>
    </w:p>
    <w:p>
      <w:pPr>
        <w:pStyle w:val="17"/>
        <w:numPr>
          <w:ilvl w:val="0"/>
          <w:numId w:val="25"/>
        </w:numPr>
        <w:tabs>
          <w:tab w:val="left" w:pos="426"/>
        </w:tabs>
        <w:adjustRightInd w:val="0"/>
        <w:snapToGrid w:val="0"/>
        <w:spacing w:line="520" w:lineRule="exact"/>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乙方有权要求甲方按期支付项目费用及其他应付款项，并有权要求甲方提供必要的配合与协助。</w:t>
      </w:r>
    </w:p>
    <w:p>
      <w:pPr>
        <w:pStyle w:val="17"/>
        <w:numPr>
          <w:ilvl w:val="0"/>
          <w:numId w:val="25"/>
        </w:numPr>
        <w:spacing w:line="360" w:lineRule="auto"/>
        <w:ind w:left="0" w:lef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乙方在甲方工作期间应保证人员的稳定性，在服务过程中，甲方发现乙方工作人员有不合要求的，在甲方提出更换合格人员等要求后，乙方应当及时满足甲方要求。</w:t>
      </w:r>
    </w:p>
    <w:p>
      <w:pPr>
        <w:pStyle w:val="17"/>
        <w:numPr>
          <w:ilvl w:val="0"/>
          <w:numId w:val="25"/>
        </w:numPr>
        <w:spacing w:line="360" w:lineRule="auto"/>
        <w:ind w:left="0" w:lef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乙方向甲方提交报告初稿后，在甲方不改变研究范围或条件的基础上，乙方应根据甲方意见进行修改，直至甲方确认。</w:t>
      </w:r>
    </w:p>
    <w:p>
      <w:pPr>
        <w:pStyle w:val="17"/>
        <w:numPr>
          <w:ilvl w:val="0"/>
          <w:numId w:val="25"/>
        </w:numPr>
        <w:spacing w:line="360" w:lineRule="auto"/>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乙方需配合甲方通过项目专家小组的汇报、验收。</w:t>
      </w:r>
    </w:p>
    <w:p>
      <w:pPr>
        <w:pStyle w:val="17"/>
        <w:numPr>
          <w:ilvl w:val="0"/>
          <w:numId w:val="25"/>
        </w:numPr>
        <w:spacing w:line="360" w:lineRule="auto"/>
        <w:ind w:left="0" w:lef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乙方不得将本合同项下之权利、义务转包、分包。</w:t>
      </w:r>
    </w:p>
    <w:p>
      <w:pPr>
        <w:pStyle w:val="3"/>
        <w:spacing w:line="360" w:lineRule="auto"/>
        <w:ind w:left="0" w:leftChars="0" w:firstLine="422" w:firstLineChars="200"/>
        <w:rPr>
          <w:rFonts w:hint="eastAsia" w:ascii="宋体" w:hAnsi="宋体" w:eastAsia="宋体" w:cs="宋体"/>
          <w:b w:val="0"/>
          <w:bCs w:val="0"/>
          <w:sz w:val="21"/>
          <w:szCs w:val="21"/>
        </w:rPr>
      </w:pPr>
      <w:r>
        <w:rPr>
          <w:rFonts w:hint="eastAsia" w:ascii="宋体" w:hAnsi="宋体" w:eastAsia="宋体" w:cs="宋体"/>
          <w:sz w:val="21"/>
          <w:szCs w:val="21"/>
        </w:rPr>
        <w:t>关于中止本协议后费用的约定</w:t>
      </w:r>
    </w:p>
    <w:p>
      <w:pPr>
        <w:pStyle w:val="17"/>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（一）乙方工作启动后，若甲方终止本协议，甲方已付费用，乙方不予退还。</w:t>
      </w:r>
    </w:p>
    <w:p>
      <w:pPr>
        <w:pStyle w:val="17"/>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（二）乙方向甲方汇报</w:t>
      </w:r>
      <w:r>
        <w:rPr>
          <w:rFonts w:hint="eastAsia" w:ascii="宋体" w:hAnsi="宋体" w:eastAsia="宋体" w:cs="宋体"/>
          <w:color w:val="000000" w:themeColor="text1"/>
          <w:sz w:val="21"/>
          <w:szCs w:val="21"/>
          <w14:textFill>
            <w14:solidFill>
              <w14:schemeClr w14:val="tx1"/>
            </w14:solidFill>
          </w14:textFill>
        </w:rPr>
        <w:t>成果初稿</w:t>
      </w:r>
      <w:r>
        <w:rPr>
          <w:rFonts w:hint="eastAsia" w:ascii="宋体" w:hAnsi="宋体" w:eastAsia="宋体" w:cs="宋体"/>
          <w:sz w:val="21"/>
          <w:szCs w:val="21"/>
        </w:rPr>
        <w:t>后，甲方提出终止本协议，甲方须向乙方支付合同金额的75％作为编制经费（其中含甲方已支付的费用）后，协商终止协议。</w:t>
      </w:r>
    </w:p>
    <w:p>
      <w:pPr>
        <w:pStyle w:val="17"/>
        <w:spacing w:line="360" w:lineRule="auto"/>
        <w:ind w:left="0" w:leftChars="0" w:firstLine="420" w:firstLineChars="200"/>
        <w:rPr>
          <w:rFonts w:hint="eastAsia" w:ascii="宋体" w:hAnsi="宋体" w:eastAsia="宋体" w:cs="宋体"/>
          <w:color w:val="000000"/>
          <w:kern w:val="0"/>
          <w:sz w:val="21"/>
          <w:szCs w:val="21"/>
          <w:lang w:val="zh-CN"/>
        </w:rPr>
      </w:pPr>
      <w:r>
        <w:rPr>
          <w:rFonts w:hint="eastAsia" w:ascii="宋体" w:hAnsi="宋体" w:eastAsia="宋体" w:cs="宋体"/>
          <w:sz w:val="21"/>
          <w:szCs w:val="21"/>
        </w:rPr>
        <w:t>（三）</w:t>
      </w:r>
      <w:r>
        <w:rPr>
          <w:rFonts w:hint="eastAsia" w:ascii="宋体" w:hAnsi="宋体" w:eastAsia="宋体" w:cs="宋体"/>
          <w:color w:val="000000"/>
          <w:kern w:val="0"/>
          <w:sz w:val="21"/>
          <w:szCs w:val="21"/>
          <w:lang w:val="zh-CN"/>
        </w:rPr>
        <w:t>乙方在甲方无违约情况下单方终止协议的，乙方应退还甲方已付的全部费用。</w:t>
      </w:r>
    </w:p>
    <w:p>
      <w:pPr>
        <w:pStyle w:val="3"/>
        <w:ind w:left="0" w:leftChars="0" w:firstLine="422" w:firstLineChars="200"/>
        <w:rPr>
          <w:rFonts w:hint="eastAsia" w:ascii="宋体" w:hAnsi="宋体" w:eastAsia="宋体" w:cs="宋体"/>
          <w:sz w:val="21"/>
          <w:szCs w:val="21"/>
        </w:rPr>
      </w:pPr>
      <w:r>
        <w:rPr>
          <w:rFonts w:hint="eastAsia" w:ascii="宋体" w:hAnsi="宋体" w:eastAsia="宋体" w:cs="宋体"/>
          <w:sz w:val="21"/>
          <w:szCs w:val="21"/>
        </w:rPr>
        <w:t>合同执行周期及进度安排</w:t>
      </w:r>
    </w:p>
    <w:p>
      <w:pPr>
        <w:pStyle w:val="17"/>
        <w:numPr>
          <w:ilvl w:val="0"/>
          <w:numId w:val="26"/>
        </w:numPr>
        <w:spacing w:line="360" w:lineRule="auto"/>
        <w:ind w:left="0" w:leftChars="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项目拟从</w:t>
      </w:r>
      <w:r>
        <w:rPr>
          <w:rFonts w:hint="eastAsia" w:ascii="宋体" w:hAnsi="宋体" w:eastAsia="宋体" w:cs="宋体"/>
          <w:color w:val="000000" w:themeColor="text1"/>
          <w:sz w:val="21"/>
          <w:szCs w:val="21"/>
          <w:highlight w:val="none"/>
          <w14:textFill>
            <w14:solidFill>
              <w14:schemeClr w14:val="tx1"/>
            </w14:solidFill>
          </w14:textFill>
        </w:rPr>
        <w:t>2022年</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日启动，2022年12月30日截止。</w:t>
      </w:r>
    </w:p>
    <w:p>
      <w:pPr>
        <w:pStyle w:val="17"/>
        <w:numPr>
          <w:ilvl w:val="0"/>
          <w:numId w:val="26"/>
        </w:numPr>
        <w:spacing w:line="360" w:lineRule="auto"/>
        <w:ind w:left="0" w:lef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乙方将在服务的过程中与甲方一起制定项目实施计划并根据甲方实际情况进行适当调整。</w:t>
      </w:r>
    </w:p>
    <w:p>
      <w:pPr>
        <w:pStyle w:val="17"/>
        <w:numPr>
          <w:ilvl w:val="0"/>
          <w:numId w:val="27"/>
        </w:numPr>
        <w:spacing w:line="360" w:lineRule="auto"/>
        <w:ind w:left="0" w:lef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初稿报送阶段：2022年</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月30日前，形成课题一、课题二初稿；</w:t>
      </w:r>
    </w:p>
    <w:p>
      <w:pPr>
        <w:pStyle w:val="17"/>
        <w:numPr>
          <w:ilvl w:val="0"/>
          <w:numId w:val="27"/>
        </w:numPr>
        <w:spacing w:line="360" w:lineRule="auto"/>
        <w:ind w:left="0" w:lef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完善及评估阶段：2022年</w:t>
      </w: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月30日前，乙方及时对报告进行修改完善；</w:t>
      </w:r>
    </w:p>
    <w:p>
      <w:pPr>
        <w:pStyle w:val="17"/>
        <w:numPr>
          <w:ilvl w:val="0"/>
          <w:numId w:val="27"/>
        </w:numPr>
        <w:spacing w:line="360" w:lineRule="auto"/>
        <w:ind w:left="0" w:lef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定稿阶段：2022年</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月30日前，乙方完成课题一、课题二终稿；</w:t>
      </w:r>
    </w:p>
    <w:p>
      <w:pPr>
        <w:spacing w:line="360" w:lineRule="auto"/>
        <w:ind w:left="0" w:leftChars="0"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第七条 项目验收及成果交付方式</w:t>
      </w:r>
    </w:p>
    <w:p>
      <w:pPr>
        <w:adjustRightInd w:val="0"/>
        <w:snapToGrid w:val="0"/>
        <w:spacing w:before="156" w:beforeLines="50" w:after="156" w:afterLines="50" w:line="36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（一）项目最终交付成果前，需经甲方以内部专家委员会通过完成验收，并形成书面通过验收单。</w:t>
      </w:r>
    </w:p>
    <w:p>
      <w:pPr>
        <w:spacing w:line="240" w:lineRule="atLeast"/>
        <w:ind w:firstLine="420" w:firstLineChars="200"/>
        <w:jc w:val="left"/>
        <w:rPr>
          <w:rFonts w:ascii="宋体" w:hAnsi="宋体" w:cs="仿宋_GB2312"/>
          <w:szCs w:val="22"/>
        </w:rPr>
      </w:pPr>
      <w:r>
        <w:rPr>
          <w:rFonts w:hint="eastAsia" w:ascii="宋体" w:hAnsi="宋体" w:eastAsia="宋体" w:cs="宋体"/>
          <w:sz w:val="21"/>
          <w:szCs w:val="21"/>
        </w:rPr>
        <w:t>（二）成果交付</w:t>
      </w:r>
      <w:r>
        <w:rPr>
          <w:rFonts w:hint="eastAsia" w:ascii="宋体" w:hAnsi="宋体" w:cs="宋体"/>
          <w:sz w:val="21"/>
          <w:szCs w:val="21"/>
          <w:lang w:eastAsia="zh-CN"/>
        </w:rPr>
        <w:t>及</w:t>
      </w:r>
      <w:r>
        <w:rPr>
          <w:rFonts w:hint="eastAsia" w:ascii="宋体" w:hAnsi="宋体" w:eastAsia="宋体" w:cs="宋体"/>
          <w:sz w:val="21"/>
          <w:szCs w:val="21"/>
        </w:rPr>
        <w:t>方式：</w:t>
      </w:r>
      <w:r>
        <w:rPr>
          <w:rFonts w:hint="eastAsia" w:ascii="宋体" w:hAnsi="宋体" w:cs="仿宋_GB2312"/>
          <w:szCs w:val="22"/>
        </w:rPr>
        <w:t>项目交付成果为《</w:t>
      </w:r>
      <w:r>
        <w:rPr>
          <w:rFonts w:hint="eastAsia" w:ascii="宋体" w:hAnsi="宋体"/>
          <w:szCs w:val="21"/>
          <w:lang w:val="en-US" w:eastAsia="zh-CN"/>
        </w:rPr>
        <w:t>会展连接交易场景课题</w:t>
      </w:r>
      <w:r>
        <w:rPr>
          <w:rFonts w:hint="eastAsia" w:ascii="宋体" w:hAnsi="宋体" w:cs="仿宋_GB2312"/>
          <w:szCs w:val="22"/>
        </w:rPr>
        <w:t>研究》</w:t>
      </w:r>
      <w:r>
        <w:rPr>
          <w:rFonts w:hint="eastAsia" w:ascii="宋体" w:hAnsi="宋体" w:cs="仿宋_GB2312"/>
          <w:szCs w:val="22"/>
          <w:lang w:eastAsia="zh-CN"/>
        </w:rPr>
        <w:t>、《</w:t>
      </w:r>
      <w:r>
        <w:rPr>
          <w:rFonts w:hint="eastAsia" w:ascii="宋体" w:hAnsi="宋体"/>
          <w:szCs w:val="21"/>
          <w:lang w:val="en-US" w:eastAsia="zh-CN"/>
        </w:rPr>
        <w:t>经贸中心业务发展思路研究</w:t>
      </w:r>
      <w:r>
        <w:rPr>
          <w:rFonts w:hint="eastAsia" w:ascii="宋体" w:hAnsi="宋体" w:cs="仿宋_GB2312"/>
          <w:szCs w:val="22"/>
          <w:lang w:eastAsia="zh-CN"/>
        </w:rPr>
        <w:t>》</w:t>
      </w:r>
      <w:r>
        <w:rPr>
          <w:rFonts w:hint="eastAsia" w:ascii="宋体" w:hAnsi="宋体" w:cs="仿宋_GB2312"/>
          <w:szCs w:val="22"/>
        </w:rPr>
        <w:t>报告电子版</w:t>
      </w:r>
      <w:r>
        <w:rPr>
          <w:rFonts w:hint="eastAsia" w:ascii="宋体" w:hAnsi="宋体" w:cs="仿宋_GB2312"/>
          <w:szCs w:val="22"/>
          <w:lang w:eastAsia="zh-CN"/>
        </w:rPr>
        <w:t>（</w:t>
      </w:r>
      <w:r>
        <w:rPr>
          <w:rFonts w:hint="eastAsia" w:ascii="宋体" w:hAnsi="宋体" w:cs="仿宋_GB2312"/>
          <w:szCs w:val="22"/>
        </w:rPr>
        <w:t>正文为word版本</w:t>
      </w:r>
      <w:r>
        <w:rPr>
          <w:rFonts w:hint="eastAsia" w:ascii="宋体" w:hAnsi="宋体" w:cs="仿宋_GB2312"/>
          <w:szCs w:val="22"/>
          <w:lang w:eastAsia="zh-CN"/>
        </w:rPr>
        <w:t>，无加密）及纸质版</w:t>
      </w:r>
      <w:r>
        <w:rPr>
          <w:rFonts w:hint="eastAsia" w:ascii="宋体" w:hAnsi="宋体" w:cs="仿宋_GB2312"/>
          <w:szCs w:val="22"/>
          <w:lang w:val="en-US" w:eastAsia="zh-CN"/>
        </w:rPr>
        <w:t>4套。</w:t>
      </w:r>
      <w:r>
        <w:rPr>
          <w:rFonts w:hint="eastAsia" w:ascii="宋体" w:hAnsi="宋体" w:cs="仿宋_GB2312"/>
          <w:szCs w:val="22"/>
        </w:rPr>
        <w:t>如需向招标人做专项汇报时，投标人则需制作专项汇报P</w:t>
      </w:r>
      <w:r>
        <w:rPr>
          <w:rFonts w:ascii="宋体" w:hAnsi="宋体" w:cs="仿宋_GB2312"/>
          <w:szCs w:val="22"/>
        </w:rPr>
        <w:t>PT</w:t>
      </w:r>
      <w:r>
        <w:rPr>
          <w:rFonts w:hint="eastAsia" w:ascii="宋体" w:hAnsi="宋体" w:cs="仿宋_GB2312"/>
          <w:szCs w:val="22"/>
        </w:rPr>
        <w:t>。研究报告须包含但不仅限于以下内容：</w:t>
      </w:r>
    </w:p>
    <w:p>
      <w:pPr>
        <w:spacing w:line="240" w:lineRule="atLeast"/>
        <w:ind w:firstLine="420" w:firstLineChars="200"/>
        <w:jc w:val="left"/>
        <w:rPr>
          <w:rFonts w:ascii="宋体" w:hAnsi="宋体" w:cs="仿宋_GB2312"/>
          <w:szCs w:val="22"/>
        </w:rPr>
      </w:pPr>
      <w:r>
        <w:rPr>
          <w:rFonts w:hint="eastAsia" w:ascii="宋体" w:hAnsi="宋体" w:cs="仿宋_GB2312"/>
          <w:szCs w:val="22"/>
        </w:rPr>
        <w:t>（1）项目背景。</w:t>
      </w:r>
    </w:p>
    <w:p>
      <w:pPr>
        <w:spacing w:line="240" w:lineRule="atLeast"/>
        <w:ind w:firstLine="420" w:firstLineChars="200"/>
        <w:jc w:val="left"/>
        <w:rPr>
          <w:rFonts w:ascii="宋体" w:hAnsi="宋体" w:cs="仿宋_GB2312"/>
          <w:szCs w:val="22"/>
        </w:rPr>
      </w:pPr>
      <w:r>
        <w:rPr>
          <w:rFonts w:hint="eastAsia" w:ascii="宋体" w:hAnsi="宋体" w:cs="仿宋_GB2312"/>
          <w:szCs w:val="22"/>
        </w:rPr>
        <w:t>（2）</w:t>
      </w:r>
      <w:r>
        <w:rPr>
          <w:rFonts w:hint="eastAsia" w:ascii="宋体" w:hAnsi="宋体" w:cs="仿宋_GB2312"/>
          <w:szCs w:val="22"/>
          <w:lang w:val="en-US" w:eastAsia="zh-CN"/>
        </w:rPr>
        <w:t>业务</w:t>
      </w:r>
      <w:r>
        <w:rPr>
          <w:rFonts w:hint="eastAsia" w:ascii="宋体" w:hAnsi="宋体" w:cs="仿宋_GB2312"/>
          <w:szCs w:val="22"/>
        </w:rPr>
        <w:t>现状。</w:t>
      </w:r>
    </w:p>
    <w:p>
      <w:pPr>
        <w:spacing w:line="240" w:lineRule="atLeast"/>
        <w:ind w:firstLine="420" w:firstLineChars="200"/>
        <w:jc w:val="left"/>
        <w:rPr>
          <w:rFonts w:ascii="宋体" w:hAnsi="宋体" w:cs="仿宋_GB2312"/>
          <w:szCs w:val="22"/>
        </w:rPr>
      </w:pPr>
      <w:r>
        <w:rPr>
          <w:rFonts w:hint="eastAsia" w:ascii="宋体" w:hAnsi="宋体" w:cs="仿宋_GB2312"/>
          <w:szCs w:val="22"/>
        </w:rPr>
        <w:t>（3）</w:t>
      </w:r>
      <w:r>
        <w:rPr>
          <w:rFonts w:hint="eastAsia" w:ascii="宋体" w:hAnsi="宋体" w:cs="仿宋_GB2312"/>
          <w:szCs w:val="22"/>
          <w:lang w:val="en-US" w:eastAsia="zh-CN"/>
        </w:rPr>
        <w:t>开展</w:t>
      </w:r>
      <w:r>
        <w:rPr>
          <w:rFonts w:hint="eastAsia" w:ascii="宋体" w:hAnsi="宋体"/>
          <w:szCs w:val="21"/>
          <w:lang w:val="en-US" w:eastAsia="zh-CN"/>
        </w:rPr>
        <w:t>平台业务</w:t>
      </w:r>
      <w:r>
        <w:rPr>
          <w:rFonts w:hint="eastAsia" w:ascii="宋体" w:hAnsi="宋体" w:cs="仿宋_GB2312"/>
          <w:szCs w:val="22"/>
        </w:rPr>
        <w:t>的可行性分析。</w:t>
      </w:r>
    </w:p>
    <w:p>
      <w:pPr>
        <w:spacing w:line="240" w:lineRule="atLeast"/>
        <w:ind w:firstLine="420" w:firstLineChars="200"/>
        <w:jc w:val="left"/>
        <w:rPr>
          <w:rFonts w:ascii="宋体" w:hAnsi="宋体" w:cs="仿宋_GB2312"/>
          <w:szCs w:val="22"/>
        </w:rPr>
      </w:pPr>
      <w:r>
        <w:rPr>
          <w:rFonts w:hint="eastAsia" w:ascii="宋体" w:hAnsi="宋体" w:cs="仿宋_GB2312"/>
          <w:szCs w:val="22"/>
        </w:rPr>
        <w:t>（</w:t>
      </w:r>
      <w:r>
        <w:rPr>
          <w:rFonts w:hint="eastAsia" w:ascii="宋体" w:hAnsi="宋体" w:cs="仿宋_GB2312"/>
          <w:szCs w:val="22"/>
          <w:lang w:val="en-US" w:eastAsia="zh-CN"/>
        </w:rPr>
        <w:t>4</w:t>
      </w:r>
      <w:r>
        <w:rPr>
          <w:rFonts w:hint="eastAsia" w:ascii="宋体" w:hAnsi="宋体" w:cs="仿宋_GB2312"/>
          <w:szCs w:val="22"/>
        </w:rPr>
        <w:t>）</w:t>
      </w:r>
      <w:r>
        <w:rPr>
          <w:rFonts w:hint="eastAsia" w:ascii="宋体" w:hAnsi="宋体"/>
          <w:szCs w:val="21"/>
          <w:lang w:val="en-US" w:eastAsia="zh-CN"/>
        </w:rPr>
        <w:t>经贸中心</w:t>
      </w:r>
      <w:r>
        <w:rPr>
          <w:rFonts w:hint="eastAsia" w:ascii="宋体" w:hAnsi="宋体" w:cs="仿宋_GB2312"/>
          <w:szCs w:val="22"/>
          <w:lang w:val="en-US" w:eastAsia="zh-CN"/>
        </w:rPr>
        <w:t>发展</w:t>
      </w:r>
      <w:r>
        <w:rPr>
          <w:rFonts w:hint="eastAsia" w:ascii="宋体" w:hAnsi="宋体" w:cs="仿宋_GB2312"/>
          <w:szCs w:val="22"/>
        </w:rPr>
        <w:t>路径分析。</w:t>
      </w:r>
    </w:p>
    <w:p>
      <w:pPr>
        <w:pStyle w:val="2"/>
        <w:ind w:left="0" w:leftChars="0" w:firstLine="380" w:firstLineChars="200"/>
        <w:rPr>
          <w:rFonts w:hint="eastAsia" w:ascii="宋体" w:hAnsi="宋体" w:eastAsia="宋体" w:cs="宋体"/>
          <w:sz w:val="21"/>
          <w:szCs w:val="21"/>
        </w:rPr>
      </w:pPr>
      <w:r>
        <w:rPr>
          <w:rFonts w:hint="eastAsia" w:ascii="宋体" w:hAnsi="宋体" w:cs="仿宋_GB2312"/>
          <w:szCs w:val="22"/>
        </w:rPr>
        <w:t>（</w:t>
      </w:r>
      <w:r>
        <w:rPr>
          <w:rFonts w:hint="eastAsia" w:ascii="宋体" w:hAnsi="宋体" w:cs="仿宋_GB2312"/>
          <w:szCs w:val="22"/>
          <w:lang w:val="en-US" w:eastAsia="zh-CN"/>
        </w:rPr>
        <w:t>5</w:t>
      </w:r>
      <w:r>
        <w:rPr>
          <w:rFonts w:hint="eastAsia" w:ascii="宋体" w:hAnsi="宋体" w:cs="仿宋_GB2312"/>
          <w:szCs w:val="22"/>
        </w:rPr>
        <w:t>）招标人要求研究的其他相关内容。</w:t>
      </w:r>
    </w:p>
    <w:p>
      <w:pPr>
        <w:pStyle w:val="2"/>
        <w:ind w:left="0" w:leftChars="0" w:firstLine="400" w:firstLineChars="200"/>
        <w:rPr>
          <w:rFonts w:hint="eastAsia" w:ascii="宋体" w:hAnsi="宋体" w:eastAsia="宋体" w:cs="宋体"/>
          <w:sz w:val="21"/>
          <w:szCs w:val="21"/>
        </w:rPr>
      </w:pPr>
      <w:r>
        <w:rPr>
          <w:rFonts w:hint="eastAsia" w:ascii="宋体" w:hAnsi="宋体" w:eastAsia="宋体" w:cs="宋体"/>
          <w:sz w:val="21"/>
          <w:szCs w:val="21"/>
        </w:rPr>
        <w:t>可通过电子邮件或U盘拷贝的方式提交</w:t>
      </w:r>
      <w:r>
        <w:rPr>
          <w:rFonts w:hint="eastAsia" w:ascii="宋体" w:hAnsi="宋体" w:cs="宋体"/>
          <w:sz w:val="21"/>
          <w:szCs w:val="21"/>
          <w:lang w:eastAsia="zh-CN"/>
        </w:rPr>
        <w:t>电子版</w:t>
      </w:r>
      <w:r>
        <w:rPr>
          <w:rFonts w:hint="eastAsia" w:ascii="宋体" w:hAnsi="宋体" w:eastAsia="宋体" w:cs="宋体"/>
          <w:sz w:val="21"/>
          <w:szCs w:val="21"/>
        </w:rPr>
        <w:t>给甲方，</w:t>
      </w:r>
      <w:r>
        <w:rPr>
          <w:rFonts w:hint="eastAsia" w:ascii="宋体" w:hAnsi="宋体" w:cs="宋体"/>
          <w:sz w:val="21"/>
          <w:szCs w:val="21"/>
          <w:lang w:eastAsia="zh-CN"/>
        </w:rPr>
        <w:t>纸质版通过快递或其他方式提交给甲方。</w:t>
      </w:r>
      <w:r>
        <w:rPr>
          <w:rFonts w:hint="eastAsia" w:ascii="宋体" w:hAnsi="宋体" w:eastAsia="宋体" w:cs="宋体"/>
          <w:sz w:val="21"/>
          <w:szCs w:val="21"/>
        </w:rPr>
        <w:t>甲方接收成果后以电子邮箱回复或者书面签收的方式确认。</w:t>
      </w:r>
    </w:p>
    <w:p>
      <w:pPr>
        <w:pStyle w:val="3"/>
        <w:numPr>
          <w:ilvl w:val="0"/>
          <w:numId w:val="0"/>
        </w:numPr>
        <w:spacing w:line="360" w:lineRule="auto"/>
        <w:ind w:left="0" w:leftChars="0" w:firstLine="422" w:firstLineChars="200"/>
        <w:rPr>
          <w:rFonts w:hint="eastAsia" w:ascii="宋体" w:hAnsi="宋体" w:eastAsia="宋体" w:cs="宋体"/>
          <w:b w:val="0"/>
          <w:bCs w:val="0"/>
          <w:sz w:val="21"/>
          <w:szCs w:val="21"/>
        </w:rPr>
      </w:pPr>
      <w:r>
        <w:rPr>
          <w:rFonts w:hint="eastAsia" w:ascii="宋体" w:hAnsi="宋体" w:eastAsia="宋体" w:cs="宋体"/>
          <w:sz w:val="21"/>
          <w:szCs w:val="21"/>
        </w:rPr>
        <w:t>第八条 委托费用及付款方式</w:t>
      </w:r>
    </w:p>
    <w:p>
      <w:pPr>
        <w:pStyle w:val="17"/>
        <w:numPr>
          <w:ilvl w:val="0"/>
          <w:numId w:val="28"/>
        </w:numPr>
        <w:spacing w:line="360" w:lineRule="auto"/>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委托费用</w:t>
      </w:r>
    </w:p>
    <w:p>
      <w:pPr>
        <w:pStyle w:val="17"/>
        <w:spacing w:line="360" w:lineRule="auto"/>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经协商，乙方开具发票为增值税专用发票，甲方同意向乙方以转账方式支付咨询服务费。甲方就本服务项目向乙方支付的全部服务费用（含税）为人民币</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元（大写：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sz w:val="21"/>
          <w:szCs w:val="21"/>
        </w:rPr>
        <w:t>本项目服务费用包括由乙方为完成本协议所规定的工作内容及职责和义务所发生的全部费用。</w:t>
      </w:r>
    </w:p>
    <w:p>
      <w:pPr>
        <w:pStyle w:val="17"/>
        <w:numPr>
          <w:ilvl w:val="0"/>
          <w:numId w:val="28"/>
        </w:numPr>
        <w:spacing w:line="360" w:lineRule="auto"/>
        <w:ind w:left="0" w:leftChars="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采用分期付款方式</w:t>
      </w:r>
    </w:p>
    <w:p>
      <w:pPr>
        <w:pStyle w:val="17"/>
        <w:numPr>
          <w:ilvl w:val="-1"/>
          <w:numId w:val="0"/>
        </w:numPr>
        <w:snapToGrid w:val="0"/>
        <w:spacing w:line="360" w:lineRule="auto"/>
        <w:ind w:left="0" w:leftChars="0" w:firstLine="420" w:firstLineChars="200"/>
        <w:rPr>
          <w:rFonts w:hint="eastAsia" w:ascii="宋体" w:hAnsi="宋体" w:eastAsia="宋体" w:cs="宋体"/>
          <w:color w:val="FF0000"/>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第一次支付时间：签订合同后，由乙方开具等额真实合法有效增值税专用发票后10个</w:t>
      </w:r>
      <w:r>
        <w:rPr>
          <w:rFonts w:hint="eastAsia" w:ascii="宋体" w:hAnsi="宋体" w:eastAsia="宋体" w:cs="宋体"/>
          <w:color w:val="000000" w:themeColor="text1"/>
          <w:sz w:val="21"/>
          <w:szCs w:val="21"/>
          <w:highlight w:val="none"/>
          <w14:textFill>
            <w14:solidFill>
              <w14:schemeClr w14:val="tx1"/>
            </w14:solidFill>
          </w14:textFill>
        </w:rPr>
        <w:t>工作日内一次性支付咨询服务费用金额的</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5%款项，即</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元人民帀（大写：     ）</w:t>
      </w:r>
      <w:r>
        <w:rPr>
          <w:rFonts w:hint="eastAsia" w:ascii="宋体" w:hAnsi="宋体" w:eastAsia="宋体" w:cs="宋体"/>
          <w:color w:val="000000" w:themeColor="text1"/>
          <w:sz w:val="21"/>
          <w:szCs w:val="21"/>
          <w:highlight w:val="none"/>
          <w14:textFill>
            <w14:solidFill>
              <w14:schemeClr w14:val="tx1"/>
            </w14:solidFill>
          </w14:textFill>
        </w:rPr>
        <w:t>。</w:t>
      </w:r>
    </w:p>
    <w:p>
      <w:pPr>
        <w:pStyle w:val="17"/>
        <w:spacing w:line="360" w:lineRule="auto"/>
        <w:ind w:left="0" w:leftChars="0" w:firstLine="420" w:firstLineChars="200"/>
        <w:rPr>
          <w:rFonts w:hint="eastAsia" w:ascii="宋体" w:hAnsi="宋体" w:eastAsia="宋体" w:cs="宋体"/>
          <w:color w:val="000000" w:themeColor="text1"/>
          <w:sz w:val="21"/>
          <w:szCs w:val="21"/>
          <w:highlight w:val="yellow"/>
          <w:u w:val="singl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第二次支付时间：项目完成项目终稿，并经甲方书面验收合格后，支付咨询服务费用金额的</w:t>
      </w:r>
      <w:r>
        <w:rPr>
          <w:rFonts w:hint="eastAsia" w:ascii="宋体" w:hAnsi="宋体" w:eastAsia="宋体" w:cs="宋体"/>
          <w:color w:val="000000" w:themeColor="text1"/>
          <w:sz w:val="21"/>
          <w:szCs w:val="21"/>
          <w:highlight w:val="none"/>
          <w:lang w:val="en-US" w:eastAsia="zh-CN"/>
          <w14:textFill>
            <w14:solidFill>
              <w14:schemeClr w14:val="tx1"/>
            </w14:solidFill>
          </w14:textFill>
        </w:rPr>
        <w:t>75</w:t>
      </w:r>
      <w:r>
        <w:rPr>
          <w:rFonts w:hint="eastAsia" w:ascii="宋体" w:hAnsi="宋体" w:eastAsia="宋体" w:cs="宋体"/>
          <w:color w:val="000000" w:themeColor="text1"/>
          <w:sz w:val="21"/>
          <w:szCs w:val="21"/>
          <w:highlight w:val="none"/>
          <w14:textFill>
            <w14:solidFill>
              <w14:schemeClr w14:val="tx1"/>
            </w14:solidFill>
          </w14:textFill>
        </w:rPr>
        <w:t>%款项，即</w:t>
      </w:r>
      <w:bookmarkStart w:id="54" w:name="OLE_LINK2"/>
      <w:bookmarkStart w:id="55" w:name="OLE_LINK1"/>
      <w:r>
        <w:rPr>
          <w:rFonts w:hint="eastAsia" w:ascii="宋体" w:hAnsi="宋体" w:eastAsia="宋体" w:cs="宋体"/>
          <w:color w:val="000000" w:themeColor="text1"/>
          <w:sz w:val="21"/>
          <w:szCs w:val="21"/>
          <w:highlight w:val="none"/>
          <w:u w:val="single"/>
          <w14:textFill>
            <w14:solidFill>
              <w14:schemeClr w14:val="tx1"/>
            </w14:solidFill>
          </w14:textFill>
        </w:rPr>
        <w:t xml:space="preserve">     元人民帀（大写：     ）。</w:t>
      </w:r>
      <w:bookmarkEnd w:id="54"/>
      <w:bookmarkEnd w:id="55"/>
    </w:p>
    <w:p>
      <w:pPr>
        <w:pStyle w:val="3"/>
        <w:numPr>
          <w:ilvl w:val="0"/>
          <w:numId w:val="0"/>
        </w:numPr>
        <w:spacing w:line="360" w:lineRule="auto"/>
        <w:ind w:left="0" w:leftChars="0" w:firstLine="422" w:firstLineChars="200"/>
        <w:rPr>
          <w:rFonts w:hint="eastAsia" w:ascii="宋体" w:hAnsi="宋体" w:eastAsia="宋体" w:cs="宋体"/>
          <w:b w:val="0"/>
          <w:bCs w:val="0"/>
          <w:sz w:val="21"/>
          <w:szCs w:val="21"/>
        </w:rPr>
      </w:pPr>
      <w:r>
        <w:rPr>
          <w:rFonts w:hint="eastAsia" w:ascii="宋体" w:hAnsi="宋体" w:eastAsia="宋体" w:cs="宋体"/>
          <w:sz w:val="21"/>
          <w:szCs w:val="21"/>
        </w:rPr>
        <w:t>第九条 咨询工作原则</w:t>
      </w:r>
    </w:p>
    <w:p>
      <w:pPr>
        <w:tabs>
          <w:tab w:val="left" w:pos="540"/>
        </w:tabs>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乙方所提供的书面报告应遵循国家、省、市的方针政策，符合企业实际情况。</w:t>
      </w:r>
    </w:p>
    <w:p>
      <w:pPr>
        <w:pStyle w:val="3"/>
        <w:numPr>
          <w:ilvl w:val="0"/>
          <w:numId w:val="0"/>
        </w:numPr>
        <w:spacing w:line="360" w:lineRule="auto"/>
        <w:ind w:left="0" w:leftChars="0" w:firstLine="422" w:firstLineChars="200"/>
        <w:rPr>
          <w:rFonts w:hint="eastAsia" w:ascii="宋体" w:hAnsi="宋体" w:eastAsia="宋体" w:cs="宋体"/>
          <w:b w:val="0"/>
          <w:bCs w:val="0"/>
          <w:sz w:val="21"/>
          <w:szCs w:val="21"/>
        </w:rPr>
      </w:pPr>
      <w:r>
        <w:rPr>
          <w:rFonts w:hint="eastAsia" w:ascii="宋体" w:hAnsi="宋体" w:eastAsia="宋体" w:cs="宋体"/>
          <w:sz w:val="21"/>
          <w:szCs w:val="21"/>
        </w:rPr>
        <w:t>第十条 知识产权归属</w:t>
      </w:r>
    </w:p>
    <w:p>
      <w:pPr>
        <w:adjustRightInd w:val="0"/>
        <w:snapToGrid w:val="0"/>
        <w:spacing w:before="156" w:beforeLines="50" w:after="156" w:afterLines="50"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本合同所约定实现的项目阶段性成果及最终成果的版权归甲方所有，未经甲方书面同意，乙方不得转让或许可第三方使用。项目运作过程中乙方所使用的咨询工具、相关方法论、非来源于甲方的信息资料等乙方既有的知识产权归乙方所有。乙方必须对项目成果内容拥有原创知识产权，不得有模仿、抄袭等侵权行为。甲方在使用项目成果的任何一部分内容时，免受第三方提出的涉及侵犯其知识产权的起诉，由此所带来的任何法律和经济赔偿责任全部由乙方自行承担，与甲方无关；如果由此给甲方造成损失的，乙方应向甲方赔偿。</w:t>
      </w:r>
    </w:p>
    <w:p>
      <w:pPr>
        <w:pStyle w:val="3"/>
        <w:numPr>
          <w:ilvl w:val="0"/>
          <w:numId w:val="0"/>
        </w:numPr>
        <w:ind w:left="0" w:leftChars="0" w:firstLine="422" w:firstLineChars="200"/>
        <w:rPr>
          <w:rFonts w:hint="eastAsia" w:ascii="宋体" w:hAnsi="宋体" w:eastAsia="宋体" w:cs="宋体"/>
          <w:sz w:val="21"/>
          <w:szCs w:val="21"/>
        </w:rPr>
      </w:pPr>
      <w:r>
        <w:rPr>
          <w:rFonts w:hint="eastAsia" w:ascii="宋体" w:hAnsi="宋体" w:eastAsia="宋体" w:cs="宋体"/>
          <w:sz w:val="21"/>
          <w:szCs w:val="21"/>
        </w:rPr>
        <w:t>第十一条 违约规定</w:t>
      </w:r>
    </w:p>
    <w:p>
      <w:pPr>
        <w:pStyle w:val="17"/>
        <w:numPr>
          <w:ilvl w:val="0"/>
          <w:numId w:val="29"/>
        </w:numPr>
        <w:spacing w:line="360" w:lineRule="auto"/>
        <w:ind w:left="0" w:leftChars="0"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甲方三年内不得聘请乙方咨询师为甲方员工，甲方若违约将承担一切责任。</w:t>
      </w:r>
    </w:p>
    <w:p>
      <w:pPr>
        <w:pStyle w:val="17"/>
        <w:numPr>
          <w:ilvl w:val="0"/>
          <w:numId w:val="29"/>
        </w:numPr>
        <w:spacing w:line="360" w:lineRule="auto"/>
        <w:ind w:left="0" w:leftChars="0"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乙方不能按时提交服务成果或违反本合同其他约定的，甲方有权书面催告其按本合同履行，乙方仍不改正的，甲方有权在发出书面催告之日起10个工作日后解除合同并拒付合同余款，同时乙方应将甲方已支付款项退回并赔偿甲方损失，赔偿范围包括甲方实际损失及律师费、仲裁费、差旅费、公证费等维权费用。</w:t>
      </w:r>
    </w:p>
    <w:p>
      <w:pPr>
        <w:pStyle w:val="17"/>
        <w:numPr>
          <w:ilvl w:val="0"/>
          <w:numId w:val="29"/>
        </w:numPr>
        <w:spacing w:line="360" w:lineRule="auto"/>
        <w:ind w:left="0" w:leftChars="0"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乙方应向甲方提供真实、合法、有效的工商登记、项目成员背景等材料供甲方考察。乙方应保证其提供的服务项目成果与其资质条件相符合。乙方若提供任何虚假材料的，甲方有权解除本合同，并拒付合同余款，同时乙方应将甲方已支付款项退回。</w:t>
      </w:r>
    </w:p>
    <w:p>
      <w:pPr>
        <w:pStyle w:val="3"/>
        <w:numPr>
          <w:ilvl w:val="0"/>
          <w:numId w:val="0"/>
        </w:numPr>
        <w:spacing w:line="360" w:lineRule="auto"/>
        <w:ind w:left="0" w:leftChars="0" w:firstLine="422" w:firstLineChars="200"/>
        <w:rPr>
          <w:rFonts w:hint="eastAsia" w:ascii="宋体" w:hAnsi="宋体" w:eastAsia="宋体" w:cs="宋体"/>
          <w:b w:val="0"/>
          <w:bCs w:val="0"/>
          <w:sz w:val="21"/>
          <w:szCs w:val="21"/>
        </w:rPr>
      </w:pPr>
      <w:r>
        <w:rPr>
          <w:rFonts w:hint="eastAsia" w:ascii="宋体" w:hAnsi="宋体" w:eastAsia="宋体" w:cs="宋体"/>
          <w:sz w:val="21"/>
          <w:szCs w:val="21"/>
        </w:rPr>
        <w:t>第十二条 保密原则</w:t>
      </w:r>
    </w:p>
    <w:p>
      <w:pPr>
        <w:pStyle w:val="17"/>
        <w:numPr>
          <w:ilvl w:val="0"/>
          <w:numId w:val="30"/>
        </w:numPr>
        <w:spacing w:line="360" w:lineRule="auto"/>
        <w:ind w:left="0" w:leftChars="0"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甲乙双方均承担保密义务。</w:t>
      </w:r>
    </w:p>
    <w:p>
      <w:pPr>
        <w:pStyle w:val="17"/>
        <w:numPr>
          <w:ilvl w:val="0"/>
          <w:numId w:val="30"/>
        </w:numPr>
        <w:spacing w:line="360" w:lineRule="auto"/>
        <w:ind w:left="0" w:leftChars="0"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在本协议履行期间，乙方应对甲方提供的全部文件采取妥善、合理的措施进行保密和安全保管，亦不得将甲方提供的文件、数据资料等遗失、损毁。</w:t>
      </w:r>
    </w:p>
    <w:p>
      <w:pPr>
        <w:pStyle w:val="17"/>
        <w:numPr>
          <w:ilvl w:val="0"/>
          <w:numId w:val="30"/>
        </w:numPr>
        <w:spacing w:line="360" w:lineRule="auto"/>
        <w:ind w:left="0" w:leftChars="0"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甲方对乙方提供服务期间涉及乙方知识产权方面的内容负有保密义务，未经乙方书面许可，不得以任何方式向社会和第三方透露。</w:t>
      </w:r>
    </w:p>
    <w:p>
      <w:pPr>
        <w:pStyle w:val="17"/>
        <w:numPr>
          <w:ilvl w:val="0"/>
          <w:numId w:val="30"/>
        </w:numPr>
        <w:spacing w:line="360" w:lineRule="auto"/>
        <w:ind w:left="0" w:leftChars="0"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乙方对在执行本合同期间所掌握或获得的甲方内部情况、所有资料及本合同所约定实现的成果负有保密的义务，未经甲方书面许可，不得以任何方式向社会和第三方透露。</w:t>
      </w:r>
    </w:p>
    <w:p>
      <w:pPr>
        <w:pStyle w:val="17"/>
        <w:numPr>
          <w:ilvl w:val="0"/>
          <w:numId w:val="30"/>
        </w:numPr>
        <w:ind w:left="0" w:leftChars="0"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lang w:val="zh-CN"/>
        </w:rPr>
        <w:t>因乙方未能遵守本条约定给甲方造成损失的，应按合同总金额的20%标准向甲方支付违约金，并采取有效措施消除对甲方的不利影响。</w:t>
      </w:r>
    </w:p>
    <w:p>
      <w:pPr>
        <w:pStyle w:val="3"/>
        <w:numPr>
          <w:ilvl w:val="0"/>
          <w:numId w:val="0"/>
        </w:numPr>
        <w:spacing w:line="360" w:lineRule="auto"/>
        <w:ind w:left="0" w:leftChars="0" w:firstLine="422" w:firstLineChars="200"/>
        <w:rPr>
          <w:rFonts w:hint="eastAsia" w:ascii="宋体" w:hAnsi="宋体" w:eastAsia="宋体" w:cs="宋体"/>
          <w:b w:val="0"/>
          <w:bCs w:val="0"/>
          <w:sz w:val="21"/>
          <w:szCs w:val="21"/>
        </w:rPr>
      </w:pPr>
      <w:r>
        <w:rPr>
          <w:rFonts w:hint="eastAsia" w:ascii="宋体" w:hAnsi="宋体" w:eastAsia="宋体" w:cs="宋体"/>
          <w:sz w:val="21"/>
          <w:szCs w:val="21"/>
        </w:rPr>
        <w:t>第十三条 不可抗力</w:t>
      </w:r>
    </w:p>
    <w:p>
      <w:pPr>
        <w:pStyle w:val="17"/>
        <w:numPr>
          <w:ilvl w:val="0"/>
          <w:numId w:val="31"/>
        </w:numPr>
        <w:spacing w:line="360" w:lineRule="auto"/>
        <w:ind w:left="0" w:leftChars="0"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 xml:space="preserve">下列事件可认为是不可抗力事件：战争、动乱、地震、飓风、洪水、冰雹、雪灾、重大疫情等不能预见、不能避免、不能克服的客观情况。  </w:t>
      </w:r>
    </w:p>
    <w:p>
      <w:pPr>
        <w:pStyle w:val="17"/>
        <w:numPr>
          <w:ilvl w:val="0"/>
          <w:numId w:val="31"/>
        </w:numPr>
        <w:spacing w:line="360" w:lineRule="auto"/>
        <w:ind w:left="0" w:leftChars="0"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由于不可抗力原因，使双方或任何一方不能履行协议义务时，应采取有效措施，尽量避免或减少损失，将因不可抗力造成的损失降低到最低程度。并在不可抗力发生后48小时内以书面形式通知对方，在其后10日内向对方提供有效证明文件。</w:t>
      </w:r>
    </w:p>
    <w:p>
      <w:pPr>
        <w:pStyle w:val="17"/>
        <w:numPr>
          <w:ilvl w:val="0"/>
          <w:numId w:val="31"/>
        </w:numPr>
        <w:ind w:left="0" w:leftChars="0"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lang w:val="zh-CN"/>
        </w:rPr>
        <w:t>因不可抗力致使合同无法按期履行或不能履行所造成的损失由双方各自承担。一方未尽通知义务或未采取措施避免、减少损失的，应就扩大的损失负赔偿责任。</w:t>
      </w:r>
    </w:p>
    <w:p>
      <w:pPr>
        <w:pStyle w:val="3"/>
        <w:numPr>
          <w:ilvl w:val="0"/>
          <w:numId w:val="0"/>
        </w:numPr>
        <w:spacing w:line="360" w:lineRule="auto"/>
        <w:ind w:left="0" w:leftChars="0" w:firstLine="422" w:firstLineChars="200"/>
        <w:rPr>
          <w:rFonts w:hint="eastAsia" w:ascii="宋体" w:hAnsi="宋体" w:eastAsia="宋体" w:cs="宋体"/>
          <w:b w:val="0"/>
          <w:bCs w:val="0"/>
          <w:sz w:val="21"/>
          <w:szCs w:val="21"/>
        </w:rPr>
      </w:pPr>
      <w:r>
        <w:rPr>
          <w:rFonts w:hint="eastAsia" w:ascii="宋体" w:hAnsi="宋体" w:eastAsia="宋体" w:cs="宋体"/>
          <w:sz w:val="21"/>
          <w:szCs w:val="21"/>
        </w:rPr>
        <w:t>第十四条 争议解决方式</w:t>
      </w:r>
    </w:p>
    <w:p>
      <w:pPr>
        <w:ind w:left="0" w:leftChars="0" w:firstLine="420" w:firstLineChars="200"/>
        <w:rPr>
          <w:rFonts w:hint="eastAsia" w:ascii="宋体" w:hAnsi="宋体" w:eastAsia="宋体" w:cs="宋体"/>
          <w:sz w:val="21"/>
          <w:szCs w:val="21"/>
        </w:rPr>
      </w:pPr>
      <w:r>
        <w:rPr>
          <w:rFonts w:hint="eastAsia" w:ascii="宋体" w:hAnsi="宋体" w:eastAsia="宋体" w:cs="宋体"/>
          <w:color w:val="000000"/>
          <w:sz w:val="21"/>
          <w:szCs w:val="21"/>
        </w:rPr>
        <w:t>执行本合同时若发生争议，双方协商解决。协商不成的，任何一方均有权向深圳</w:t>
      </w:r>
      <w:r>
        <w:rPr>
          <w:rFonts w:hint="eastAsia" w:ascii="宋体" w:hAnsi="宋体" w:eastAsia="宋体" w:cs="宋体"/>
          <w:color w:val="000000"/>
          <w:sz w:val="21"/>
          <w:szCs w:val="21"/>
          <w:lang w:eastAsia="zh-CN"/>
        </w:rPr>
        <w:t>市人民法院</w:t>
      </w:r>
      <w:r>
        <w:rPr>
          <w:rFonts w:hint="eastAsia" w:ascii="宋体" w:hAnsi="宋体" w:eastAsia="宋体" w:cs="宋体"/>
          <w:color w:val="000000"/>
          <w:sz w:val="21"/>
          <w:szCs w:val="21"/>
        </w:rPr>
        <w:t>申请仲裁。</w:t>
      </w:r>
    </w:p>
    <w:p>
      <w:pPr>
        <w:pStyle w:val="3"/>
        <w:numPr>
          <w:ilvl w:val="0"/>
          <w:numId w:val="0"/>
        </w:numPr>
        <w:spacing w:line="360" w:lineRule="auto"/>
        <w:ind w:left="0" w:leftChars="0" w:firstLine="422" w:firstLineChars="200"/>
        <w:rPr>
          <w:rFonts w:hint="eastAsia" w:ascii="宋体" w:hAnsi="宋体" w:eastAsia="宋体" w:cs="宋体"/>
          <w:sz w:val="21"/>
          <w:szCs w:val="21"/>
        </w:rPr>
      </w:pPr>
      <w:r>
        <w:rPr>
          <w:rFonts w:hint="eastAsia" w:ascii="宋体" w:hAnsi="宋体" w:eastAsia="宋体" w:cs="宋体"/>
          <w:sz w:val="21"/>
          <w:szCs w:val="21"/>
        </w:rPr>
        <w:t>第十五条 未尽事宜</w:t>
      </w:r>
    </w:p>
    <w:p>
      <w:pPr>
        <w:ind w:left="0" w:leftChars="0" w:firstLine="420" w:firstLineChars="200"/>
        <w:rPr>
          <w:rFonts w:hint="eastAsia" w:ascii="宋体" w:hAnsi="宋体" w:eastAsia="宋体" w:cs="宋体"/>
          <w:sz w:val="21"/>
          <w:szCs w:val="21"/>
        </w:rPr>
      </w:pPr>
      <w:r>
        <w:rPr>
          <w:rFonts w:hint="eastAsia" w:ascii="宋体" w:hAnsi="宋体" w:eastAsia="宋体" w:cs="宋体"/>
          <w:color w:val="000000"/>
          <w:sz w:val="21"/>
          <w:szCs w:val="21"/>
        </w:rPr>
        <w:t>本合同未尽事宜，由双方协商另作补充协议，补充协议与本合同具有同等法律效力。</w:t>
      </w:r>
    </w:p>
    <w:p>
      <w:pPr>
        <w:pStyle w:val="3"/>
        <w:numPr>
          <w:ilvl w:val="0"/>
          <w:numId w:val="0"/>
        </w:numPr>
        <w:spacing w:line="360" w:lineRule="auto"/>
        <w:ind w:left="0" w:leftChars="0" w:firstLine="422" w:firstLineChars="200"/>
        <w:rPr>
          <w:rFonts w:hint="eastAsia" w:ascii="宋体" w:hAnsi="宋体" w:eastAsia="宋体" w:cs="宋体"/>
          <w:color w:val="000000"/>
          <w:sz w:val="21"/>
          <w:szCs w:val="21"/>
        </w:rPr>
      </w:pPr>
      <w:r>
        <w:rPr>
          <w:rFonts w:hint="eastAsia" w:ascii="宋体" w:hAnsi="宋体" w:eastAsia="宋体" w:cs="宋体"/>
          <w:sz w:val="21"/>
          <w:szCs w:val="21"/>
        </w:rPr>
        <w:t>第十六条 合同生效</w:t>
      </w:r>
    </w:p>
    <w:p>
      <w:pPr>
        <w:pStyle w:val="17"/>
        <w:numPr>
          <w:ilvl w:val="0"/>
          <w:numId w:val="32"/>
        </w:numPr>
        <w:spacing w:line="360" w:lineRule="auto"/>
        <w:ind w:left="0" w:leftChars="0"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 xml:space="preserve">本协议经双方盖章并经法定代表人或授权代表签字之日起生效。 </w:t>
      </w:r>
    </w:p>
    <w:p>
      <w:pPr>
        <w:pStyle w:val="17"/>
        <w:numPr>
          <w:ilvl w:val="0"/>
          <w:numId w:val="32"/>
        </w:numPr>
        <w:spacing w:line="360" w:lineRule="auto"/>
        <w:ind w:left="0" w:leftChars="0"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本协议经双方协商一致，可以变更或解除协议，协议变更或解除协议应采用书面形式。</w:t>
      </w:r>
    </w:p>
    <w:p>
      <w:pPr>
        <w:pStyle w:val="17"/>
        <w:numPr>
          <w:ilvl w:val="0"/>
          <w:numId w:val="32"/>
        </w:numPr>
        <w:spacing w:line="360" w:lineRule="auto"/>
        <w:ind w:left="0" w:leftChars="0"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本协议一式陆份，甲方执 3 份，乙方执 3 份，具有同等法律效力。</w:t>
      </w:r>
    </w:p>
    <w:p>
      <w:pPr>
        <w:pStyle w:val="17"/>
        <w:numPr>
          <w:ilvl w:val="0"/>
          <w:numId w:val="32"/>
        </w:numPr>
        <w:spacing w:line="360" w:lineRule="auto"/>
        <w:ind w:left="0" w:leftChars="0"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CN"/>
        </w:rPr>
        <w:t xml:space="preserve">本协议未尽事宜，可由双方另行协商签订补充协议，补充协议与本协议具同等法律效力。 </w:t>
      </w:r>
      <w:r>
        <w:rPr>
          <w:rFonts w:hint="eastAsia" w:ascii="宋体" w:hAnsi="宋体" w:eastAsia="宋体" w:cs="宋体"/>
          <w:color w:val="000000"/>
          <w:kern w:val="0"/>
          <w:sz w:val="21"/>
          <w:szCs w:val="21"/>
        </w:rPr>
        <w:t xml:space="preserve"> </w:t>
      </w:r>
    </w:p>
    <w:p>
      <w:pPr>
        <w:pStyle w:val="17"/>
        <w:spacing w:line="360" w:lineRule="auto"/>
        <w:ind w:left="0" w:leftChars="0" w:firstLine="422" w:firstLineChars="200"/>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第十七条 送达条款</w:t>
      </w:r>
    </w:p>
    <w:p>
      <w:pPr>
        <w:spacing w:line="360" w:lineRule="auto"/>
        <w:ind w:left="0" w:leftChars="0" w:firstLine="420" w:firstLineChars="200"/>
        <w:rPr>
          <w:rFonts w:hint="eastAsia" w:ascii="宋体" w:hAnsi="宋体" w:cs="宋体"/>
          <w:color w:val="000000"/>
          <w:sz w:val="21"/>
          <w:szCs w:val="21"/>
        </w:rPr>
      </w:pPr>
      <w:r>
        <w:rPr>
          <w:rFonts w:hint="eastAsia" w:ascii="宋体" w:hAnsi="宋体" w:eastAsia="宋体" w:cs="宋体"/>
          <w:color w:val="000000"/>
          <w:sz w:val="21"/>
          <w:szCs w:val="21"/>
        </w:rPr>
        <w:t>本合同载明的联系方式（包括地址、联系人、电话）为双方约定的联系方式，若有变动，应提前书面告知对方，否则该联系方式为双方法定的送达和联系方式，一经发送至上述地址即视为送达。</w:t>
      </w:r>
    </w:p>
    <w:p>
      <w:pPr>
        <w:spacing w:line="360" w:lineRule="auto"/>
        <w:ind w:left="0" w:leftChars="0" w:firstLine="420" w:firstLineChars="200"/>
        <w:rPr>
          <w:rFonts w:hint="eastAsia" w:ascii="宋体" w:hAnsi="宋体" w:eastAsia="宋体" w:cs="宋体"/>
          <w:iCs/>
          <w:sz w:val="21"/>
          <w:szCs w:val="21"/>
        </w:rPr>
      </w:pPr>
      <w:r>
        <w:rPr>
          <w:rFonts w:hint="eastAsia" w:ascii="宋体" w:hAnsi="宋体" w:eastAsia="宋体" w:cs="宋体"/>
          <w:sz w:val="21"/>
          <w:szCs w:val="21"/>
        </w:rPr>
        <w:t>（以下无正文，为签章页</w:t>
      </w:r>
      <w:r>
        <w:rPr>
          <w:rFonts w:hint="eastAsia" w:ascii="宋体" w:hAnsi="宋体" w:eastAsia="宋体" w:cs="宋体"/>
          <w:iCs/>
          <w:sz w:val="21"/>
          <w:szCs w:val="21"/>
        </w:rPr>
        <w:t>）</w:t>
      </w:r>
    </w:p>
    <w:p>
      <w:pPr>
        <w:adjustRightInd w:val="0"/>
        <w:snapToGrid w:val="0"/>
        <w:rPr>
          <w:rFonts w:ascii="仿宋" w:hAnsi="仿宋" w:eastAsia="仿宋"/>
          <w:szCs w:val="21"/>
        </w:rPr>
      </w:pPr>
    </w:p>
    <w:p>
      <w:pPr>
        <w:adjustRightInd w:val="0"/>
        <w:snapToGrid w:val="0"/>
        <w:rPr>
          <w:rFonts w:ascii="仿宋" w:hAnsi="仿宋" w:eastAsia="仿宋"/>
          <w:szCs w:val="21"/>
        </w:rPr>
      </w:pPr>
    </w:p>
    <w:p>
      <w:pPr>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spacing w:before="312" w:beforeLines="100" w:after="312" w:afterLines="100" w:line="360" w:lineRule="auto"/>
        <w:jc w:val="center"/>
        <w:outlineLvl w:val="0"/>
        <w:rPr>
          <w:rFonts w:hint="eastAsia"/>
          <w:b/>
          <w:sz w:val="32"/>
          <w:szCs w:val="32"/>
        </w:rPr>
      </w:pPr>
      <w:bookmarkStart w:id="56" w:name="_Toc106791267"/>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56"/>
    </w:p>
    <w:p>
      <w:pPr>
        <w:spacing w:line="0" w:lineRule="atLeast"/>
        <w:outlineLvl w:val="1"/>
        <w:rPr>
          <w:rFonts w:ascii="宋体" w:hAnsi="宋体"/>
        </w:rPr>
      </w:pPr>
      <w:bookmarkStart w:id="57" w:name="_Toc106791268"/>
      <w:r>
        <w:rPr>
          <w:rFonts w:hint="eastAsia" w:ascii="宋体" w:hAnsi="宋体"/>
          <w:szCs w:val="21"/>
        </w:rPr>
        <w:t>附件1：</w:t>
      </w:r>
      <w:r>
        <w:rPr>
          <w:rFonts w:hint="eastAsia" w:ascii="宋体" w:hAnsi="宋体"/>
        </w:rPr>
        <w:t>报名回函</w:t>
      </w:r>
      <w:bookmarkEnd w:id="57"/>
    </w:p>
    <w:p>
      <w:pPr>
        <w:pStyle w:val="9"/>
      </w:pPr>
    </w:p>
    <w:p>
      <w:pPr>
        <w:pStyle w:val="10"/>
        <w:jc w:val="center"/>
        <w:rPr>
          <w:rFonts w:ascii="方正小标宋简体" w:hAnsi="方正小标宋_GBK" w:eastAsia="方正小标宋简体"/>
          <w:sz w:val="32"/>
          <w:szCs w:val="32"/>
        </w:rPr>
      </w:pPr>
      <w:r>
        <w:rPr>
          <w:rStyle w:val="14"/>
          <w:rFonts w:hint="eastAsia" w:ascii="方正小标宋简体" w:hAnsi="方正小标宋_GBK" w:eastAsia="方正小标宋简体"/>
          <w:sz w:val="32"/>
          <w:szCs w:val="32"/>
        </w:rPr>
        <w:t>关于确认参加_________________项目投标的回函</w:t>
      </w:r>
    </w:p>
    <w:p>
      <w:pPr>
        <w:pStyle w:val="10"/>
        <w:rPr>
          <w:rFonts w:ascii="微软雅黑" w:hAnsi="微软雅黑" w:eastAsia="微软雅黑"/>
          <w:sz w:val="18"/>
          <w:szCs w:val="18"/>
        </w:rPr>
      </w:pPr>
    </w:p>
    <w:p>
      <w:pPr>
        <w:pStyle w:val="10"/>
        <w:rPr>
          <w:rFonts w:ascii="微软雅黑" w:hAnsi="微软雅黑" w:eastAsia="微软雅黑"/>
          <w:sz w:val="18"/>
          <w:szCs w:val="18"/>
        </w:rPr>
      </w:pPr>
    </w:p>
    <w:p>
      <w:pPr>
        <w:pStyle w:val="10"/>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0"/>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0"/>
        <w:spacing w:after="240"/>
        <w:ind w:firstLine="616" w:firstLineChars="220"/>
        <w:rPr>
          <w:rFonts w:ascii="仿宋" w:hAnsi="仿宋" w:eastAsia="仿宋"/>
          <w:sz w:val="28"/>
          <w:szCs w:val="28"/>
        </w:rPr>
      </w:pPr>
    </w:p>
    <w:p>
      <w:pPr>
        <w:pStyle w:val="10"/>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9"/>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58" w:name="_Toc106791269"/>
      <w:r>
        <w:rPr>
          <w:rFonts w:hint="eastAsia" w:ascii="宋体" w:hAnsi="宋体"/>
          <w:szCs w:val="21"/>
        </w:rPr>
        <w:t>附件2：投标函</w:t>
      </w:r>
      <w:bookmarkEnd w:id="58"/>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9" w:name="_Toc106791270"/>
      <w:r>
        <w:rPr>
          <w:rFonts w:hint="eastAsia" w:ascii="宋体" w:hAnsi="宋体"/>
          <w:szCs w:val="21"/>
        </w:rPr>
        <w:t>附件3：投标一览表</w:t>
      </w:r>
      <w:bookmarkEnd w:id="59"/>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1" w:firstLineChars="1"/>
        <w:jc w:val="right"/>
        <w:rPr>
          <w:rFonts w:hint="eastAsia" w:eastAsia="宋体"/>
          <w:lang w:val="en-US" w:eastAsia="zh-CN"/>
        </w:rPr>
      </w:pPr>
      <w:r>
        <w:rPr>
          <w:rFonts w:hint="eastAsia" w:ascii="宋体" w:hAnsi="宋体"/>
          <w:szCs w:val="21"/>
        </w:rPr>
        <w:t>发票类型</w:t>
      </w:r>
      <w:r>
        <w:rPr>
          <w:rFonts w:hint="eastAsia" w:ascii="宋体" w:hAnsi="宋体"/>
          <w:szCs w:val="21"/>
          <w:lang w:eastAsia="zh-CN"/>
        </w:rPr>
        <w:t>：</w:t>
      </w:r>
      <w:r>
        <w:rPr>
          <w:rFonts w:hint="eastAsia" w:ascii="宋体" w:hAnsi="宋体"/>
          <w:sz w:val="21"/>
          <w:szCs w:val="21"/>
        </w:rPr>
        <w:sym w:font="Wingdings 2" w:char="00A3"/>
      </w:r>
      <w:r>
        <w:rPr>
          <w:rFonts w:hint="eastAsia" w:ascii="宋体" w:hAnsi="宋体"/>
          <w:sz w:val="21"/>
          <w:szCs w:val="21"/>
        </w:rPr>
        <w:t>增值税普通发票</w:t>
      </w:r>
      <w:r>
        <w:rPr>
          <w:rFonts w:hint="eastAsia" w:ascii="宋体" w:hAnsi="宋体"/>
          <w:sz w:val="21"/>
          <w:szCs w:val="21"/>
          <w:lang w:val="en-US" w:eastAsia="zh-CN"/>
        </w:rPr>
        <w:t xml:space="preserve">  </w:t>
      </w:r>
      <w:r>
        <w:rPr>
          <w:rFonts w:hint="eastAsia" w:ascii="宋体" w:hAnsi="宋体"/>
          <w:szCs w:val="21"/>
        </w:rPr>
        <w:t>□增值税专用发票</w:t>
      </w:r>
    </w:p>
    <w:tbl>
      <w:tblPr>
        <w:tblStyle w:val="12"/>
        <w:tblW w:w="8968"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2"/>
              <w:ind w:left="0"/>
              <w:jc w:val="center"/>
            </w:pPr>
            <w:r>
              <w:rPr>
                <w:rFonts w:hint="eastAsia"/>
              </w:rPr>
              <w:t>税前总金额</w:t>
            </w:r>
          </w:p>
          <w:p>
            <w:pPr>
              <w:pStyle w:val="2"/>
              <w:ind w:left="0"/>
              <w:jc w:val="center"/>
            </w:pPr>
            <w:r>
              <w:rPr>
                <w:rFonts w:hint="eastAsia"/>
              </w:rPr>
              <w:t>（净价）</w:t>
            </w:r>
          </w:p>
        </w:tc>
        <w:tc>
          <w:tcPr>
            <w:tcW w:w="770" w:type="dxa"/>
            <w:vAlign w:val="center"/>
          </w:tcPr>
          <w:p>
            <w:pPr>
              <w:spacing w:line="360" w:lineRule="auto"/>
              <w:jc w:val="center"/>
              <w:rPr>
                <w:rFonts w:ascii="宋体" w:hAnsi="宋体"/>
                <w:szCs w:val="21"/>
              </w:rPr>
            </w:pPr>
            <w:r>
              <w:rPr>
                <w:rFonts w:hint="eastAsia" w:ascii="宋体" w:hAnsi="宋体"/>
                <w:szCs w:val="21"/>
              </w:rPr>
              <w:t>税率</w:t>
            </w:r>
          </w:p>
        </w:tc>
        <w:tc>
          <w:tcPr>
            <w:tcW w:w="930" w:type="dxa"/>
            <w:vAlign w:val="center"/>
          </w:tcPr>
          <w:p>
            <w:pPr>
              <w:spacing w:line="360" w:lineRule="auto"/>
              <w:jc w:val="center"/>
              <w:rPr>
                <w:rFonts w:ascii="宋体" w:hAnsi="宋体"/>
                <w:szCs w:val="21"/>
              </w:rPr>
            </w:pPr>
            <w:r>
              <w:rPr>
                <w:rFonts w:hint="eastAsia" w:ascii="宋体" w:hAnsi="宋体"/>
                <w:szCs w:val="21"/>
              </w:rPr>
              <w:t>税额</w:t>
            </w:r>
          </w:p>
        </w:tc>
        <w:tc>
          <w:tcPr>
            <w:tcW w:w="1380" w:type="dxa"/>
            <w:vAlign w:val="center"/>
          </w:tcPr>
          <w:p>
            <w:pPr>
              <w:spacing w:line="360" w:lineRule="auto"/>
              <w:jc w:val="center"/>
              <w:rPr>
                <w:rFonts w:ascii="宋体" w:hAnsi="宋体"/>
                <w:szCs w:val="21"/>
              </w:rPr>
            </w:pPr>
            <w:r>
              <w:rPr>
                <w:rFonts w:hint="eastAsia" w:ascii="宋体" w:hAnsi="宋体"/>
                <w:szCs w:val="21"/>
              </w:rPr>
              <w:t>含税总金额</w:t>
            </w:r>
          </w:p>
        </w:tc>
        <w:tc>
          <w:tcPr>
            <w:tcW w:w="1330" w:type="dxa"/>
            <w:vAlign w:val="center"/>
          </w:tcPr>
          <w:p>
            <w:pPr>
              <w:spacing w:line="360" w:lineRule="auto"/>
              <w:jc w:val="center"/>
              <w:rPr>
                <w:rFonts w:ascii="宋体" w:hAnsi="宋体"/>
                <w:szCs w:val="21"/>
              </w:rPr>
            </w:pPr>
            <w:r>
              <w:rPr>
                <w:rFonts w:hint="eastAsia" w:ascii="宋体" w:hAnsi="宋体"/>
                <w:szCs w:val="21"/>
              </w:rPr>
              <w:t>工期/服务期（自然日）</w:t>
            </w:r>
          </w:p>
        </w:tc>
        <w:tc>
          <w:tcPr>
            <w:tcW w:w="2918" w:type="dxa"/>
            <w:vAlign w:val="center"/>
          </w:tcPr>
          <w:p>
            <w:r>
              <w:rPr>
                <w:rFonts w:hint="eastAsia" w:ascii="宋体" w:hAnsi="宋体"/>
                <w:szCs w:val="21"/>
              </w:rPr>
              <w:t>项目负责人</w:t>
            </w:r>
          </w:p>
          <w:p>
            <w:pPr>
              <w:spacing w:line="360" w:lineRule="auto"/>
              <w:jc w:val="center"/>
              <w:rPr>
                <w:rFonts w:ascii="宋体" w:hAnsi="宋体"/>
                <w:szCs w:val="21"/>
              </w:rPr>
            </w:pPr>
          </w:p>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7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330" w:type="dxa"/>
          </w:tcPr>
          <w:p>
            <w:pPr>
              <w:spacing w:line="360" w:lineRule="auto"/>
              <w:jc w:val="center"/>
              <w:rPr>
                <w:rFonts w:ascii="宋体" w:hAnsi="宋体"/>
                <w:szCs w:val="21"/>
              </w:rPr>
            </w:pPr>
          </w:p>
        </w:tc>
        <w:tc>
          <w:tcPr>
            <w:tcW w:w="2918"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8" w:type="dxa"/>
            <w:gridSpan w:val="6"/>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0" w:name="_Toc106791271"/>
      <w:r>
        <w:rPr>
          <w:rFonts w:hint="eastAsia" w:ascii="宋体" w:hAnsi="宋体"/>
          <w:szCs w:val="21"/>
        </w:rPr>
        <w:t>附件4：考察证明</w:t>
      </w:r>
      <w:bookmarkEnd w:id="60"/>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highlight w:val="yellow"/>
        </w:rPr>
        <w:t>202*年*月21日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1" w:name="_Toc106791272"/>
      <w:r>
        <w:rPr>
          <w:rFonts w:hint="eastAsia" w:ascii="宋体" w:hAnsi="宋体"/>
          <w:szCs w:val="21"/>
        </w:rPr>
        <w:t>附件5：技术服务响应/偏离表</w:t>
      </w:r>
      <w:bookmarkEnd w:id="6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2" w:name="_Toc211248418"/>
      <w:r>
        <w:rPr>
          <w:rFonts w:hint="eastAsia" w:ascii="方正小标宋_GBK" w:hAnsi="方正小标宋_GBK" w:eastAsia="方正小标宋_GBK"/>
          <w:b/>
          <w:sz w:val="32"/>
          <w:szCs w:val="32"/>
        </w:rPr>
        <w:t>技术服务响应/偏离表</w:t>
      </w:r>
      <w:bookmarkEnd w:id="62"/>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1"/>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3"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3"/>
      <w:bookmarkStart w:id="64" w:name="_Toc246480945"/>
      <w:bookmarkStart w:id="65" w:name="_Toc236803114"/>
      <w:r>
        <w:rPr>
          <w:rFonts w:ascii="仿宋" w:hAnsi="仿宋" w:eastAsia="仿宋"/>
          <w:sz w:val="28"/>
          <w:szCs w:val="28"/>
        </w:rPr>
        <w:br w:type="page"/>
      </w:r>
    </w:p>
    <w:p>
      <w:pPr>
        <w:spacing w:line="0" w:lineRule="atLeast"/>
        <w:outlineLvl w:val="1"/>
        <w:rPr>
          <w:rFonts w:ascii="宋体" w:hAnsi="宋体"/>
          <w:szCs w:val="21"/>
        </w:rPr>
      </w:pPr>
      <w:bookmarkStart w:id="66" w:name="_Toc106791273"/>
      <w:r>
        <w:rPr>
          <w:rFonts w:hint="eastAsia" w:ascii="宋体" w:hAnsi="宋体"/>
          <w:szCs w:val="21"/>
        </w:rPr>
        <w:t>附件6：商务条款响应/偏离表</w:t>
      </w:r>
      <w:bookmarkEnd w:id="64"/>
      <w:bookmarkEnd w:id="65"/>
      <w:bookmarkEnd w:id="6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7" w:name="_Toc211248420"/>
      <w:r>
        <w:rPr>
          <w:rFonts w:hint="eastAsia" w:ascii="方正小标宋_GBK" w:hAnsi="方正小标宋_GBK" w:eastAsia="方正小标宋_GBK"/>
          <w:b/>
          <w:sz w:val="32"/>
          <w:szCs w:val="32"/>
        </w:rPr>
        <w:t>商务条款响应/偏离表</w:t>
      </w:r>
      <w:bookmarkEnd w:id="67"/>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1"/>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商务要求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8" w:name="_Toc236803111"/>
      <w:bookmarkStart w:id="69" w:name="_Toc395883088"/>
      <w:bookmarkStart w:id="70" w:name="_Toc478387764"/>
      <w:r>
        <w:rPr>
          <w:rFonts w:ascii="仿宋" w:hAnsi="仿宋" w:eastAsia="仿宋"/>
          <w:sz w:val="28"/>
          <w:szCs w:val="28"/>
        </w:rPr>
        <w:br w:type="page"/>
      </w:r>
    </w:p>
    <w:p>
      <w:pPr>
        <w:spacing w:line="0" w:lineRule="atLeast"/>
        <w:outlineLvl w:val="1"/>
        <w:rPr>
          <w:rFonts w:ascii="宋体" w:hAnsi="宋体"/>
          <w:szCs w:val="21"/>
        </w:rPr>
      </w:pPr>
      <w:bookmarkStart w:id="71" w:name="_Toc106791274"/>
      <w:r>
        <w:rPr>
          <w:rFonts w:hint="eastAsia" w:ascii="宋体" w:hAnsi="宋体"/>
          <w:szCs w:val="21"/>
        </w:rPr>
        <w:t>附件7：报价一览表（货物）</w:t>
      </w:r>
      <w:r>
        <w:rPr>
          <w:rFonts w:hint="eastAsia" w:ascii="宋体" w:hAnsi="宋体"/>
          <w:color w:val="FF0000"/>
          <w:szCs w:val="21"/>
        </w:rPr>
        <w:t>（本项目不适用）</w:t>
      </w:r>
      <w:bookmarkEnd w:id="71"/>
    </w:p>
    <w:bookmarkEnd w:id="68"/>
    <w:bookmarkEnd w:id="69"/>
    <w:bookmarkEnd w:id="70"/>
    <w:p>
      <w:pPr>
        <w:spacing w:before="120" w:after="240"/>
        <w:jc w:val="center"/>
        <w:rPr>
          <w:rFonts w:ascii="宋体" w:hAnsi="宋体"/>
          <w:b/>
          <w:sz w:val="32"/>
          <w:szCs w:val="32"/>
        </w:rPr>
      </w:pPr>
      <w:bookmarkStart w:id="72" w:name="_Toc211248412"/>
      <w:r>
        <w:rPr>
          <w:rFonts w:hint="eastAsia" w:ascii="方正小标宋_GBK" w:hAnsi="方正小标宋_GBK" w:eastAsia="方正小标宋_GBK"/>
          <w:b/>
          <w:sz w:val="32"/>
          <w:szCs w:val="32"/>
        </w:rPr>
        <w:t>报价一览表</w:t>
      </w:r>
      <w:bookmarkEnd w:id="7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1"/>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17"/>
        <w:numPr>
          <w:ilvl w:val="1"/>
          <w:numId w:val="35"/>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17"/>
        <w:numPr>
          <w:ilvl w:val="1"/>
          <w:numId w:val="35"/>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17"/>
        <w:numPr>
          <w:ilvl w:val="1"/>
          <w:numId w:val="3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17"/>
        <w:numPr>
          <w:ilvl w:val="1"/>
          <w:numId w:val="3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3" w:name="_Toc82095917"/>
      <w:bookmarkStart w:id="74"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73"/>
    <w:bookmarkEnd w:id="74"/>
    <w:p>
      <w:pPr>
        <w:spacing w:line="0" w:lineRule="atLeast"/>
        <w:outlineLvl w:val="1"/>
        <w:rPr>
          <w:rFonts w:ascii="宋体" w:hAnsi="宋体"/>
          <w:szCs w:val="21"/>
        </w:rPr>
      </w:pPr>
      <w:bookmarkStart w:id="75" w:name="_Toc106791275"/>
      <w:r>
        <w:rPr>
          <w:rFonts w:hint="eastAsia" w:ascii="宋体" w:hAnsi="宋体"/>
          <w:szCs w:val="21"/>
        </w:rPr>
        <w:t>附件8：报价一览表（服务）</w:t>
      </w:r>
      <w:bookmarkEnd w:id="7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1"/>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17"/>
        <w:numPr>
          <w:ilvl w:val="1"/>
          <w:numId w:val="3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17"/>
        <w:numPr>
          <w:ilvl w:val="1"/>
          <w:numId w:val="3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17"/>
        <w:numPr>
          <w:ilvl w:val="1"/>
          <w:numId w:val="36"/>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76" w:name="_Toc106791276"/>
      <w:r>
        <w:rPr>
          <w:rFonts w:hint="eastAsia" w:ascii="宋体" w:hAnsi="宋体"/>
          <w:szCs w:val="21"/>
        </w:rPr>
        <w:t>附件9：报价一览表（工程）</w:t>
      </w:r>
      <w:bookmarkEnd w:id="76"/>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宋体" w:hAnsi="宋体"/>
          <w:szCs w:val="21"/>
        </w:rPr>
      </w:pP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17"/>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17"/>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17"/>
        <w:numPr>
          <w:ilvl w:val="1"/>
          <w:numId w:val="37"/>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17"/>
        <w:numPr>
          <w:ilvl w:val="1"/>
          <w:numId w:val="37"/>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7" w:name="_Toc106791277"/>
      <w:r>
        <w:rPr>
          <w:rFonts w:hint="eastAsia" w:ascii="宋体" w:hAnsi="宋体"/>
          <w:szCs w:val="21"/>
        </w:rPr>
        <w:t>附件10：法定代表人证明书</w:t>
      </w:r>
      <w:bookmarkEnd w:id="7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8"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9"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7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1"/>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0"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1" w:name="_Toc32341"/>
      <w:r>
        <w:rPr>
          <w:rFonts w:ascii="仿宋" w:hAnsi="仿宋" w:eastAsia="仿宋"/>
          <w:sz w:val="28"/>
          <w:szCs w:val="28"/>
        </w:rPr>
        <w:br w:type="page"/>
      </w:r>
    </w:p>
    <w:p>
      <w:pPr>
        <w:spacing w:line="0" w:lineRule="atLeast"/>
        <w:outlineLvl w:val="1"/>
        <w:rPr>
          <w:rFonts w:ascii="宋体" w:hAnsi="宋体"/>
          <w:szCs w:val="21"/>
        </w:rPr>
      </w:pPr>
      <w:bookmarkStart w:id="82"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1"/>
      <w:bookmarkEnd w:id="8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9"/>
      </w:pPr>
    </w:p>
    <w:p>
      <w:pPr>
        <w:spacing w:line="0" w:lineRule="atLeast"/>
        <w:outlineLvl w:val="1"/>
        <w:rPr>
          <w:rFonts w:ascii="宋体" w:hAnsi="宋体"/>
        </w:rPr>
      </w:pPr>
      <w:bookmarkStart w:id="83" w:name="_Toc100848654"/>
      <w:bookmarkStart w:id="84" w:name="_Toc106791282"/>
      <w:r>
        <w:rPr>
          <w:rFonts w:hint="eastAsia" w:ascii="宋体" w:hAnsi="宋体"/>
        </w:rPr>
        <w:t>附件15：投标文件密码</w:t>
      </w:r>
      <w:bookmarkEnd w:id="83"/>
      <w:r>
        <w:rPr>
          <w:rFonts w:hint="eastAsia" w:ascii="宋体" w:hAnsi="宋体"/>
        </w:rPr>
        <w:t>单</w:t>
      </w:r>
      <w:bookmarkEnd w:id="8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5"/>
    </w:p>
    <w:p>
      <w:pPr>
        <w:jc w:val="center"/>
        <w:rPr>
          <w:rFonts w:ascii="宋体" w:hAnsi="宋体"/>
          <w:b/>
          <w:sz w:val="32"/>
          <w:szCs w:val="32"/>
        </w:rPr>
      </w:pPr>
      <w:r>
        <w:rPr>
          <w:rFonts w:hint="eastAsia" w:ascii="宋体" w:hAnsi="宋体"/>
          <w:b/>
          <w:sz w:val="32"/>
          <w:szCs w:val="32"/>
        </w:rPr>
        <w:t>投标文件密码单</w:t>
      </w:r>
    </w:p>
    <w:p>
      <w:pPr>
        <w:pStyle w:val="9"/>
        <w:rPr>
          <w:rFonts w:ascii="仿宋" w:hAnsi="仿宋" w:eastAsia="仿宋"/>
          <w:b/>
          <w:sz w:val="28"/>
          <w:szCs w:val="28"/>
        </w:rPr>
      </w:pPr>
    </w:p>
    <w:p>
      <w:pPr>
        <w:pStyle w:val="9"/>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9"/>
        <w:rPr>
          <w:rFonts w:ascii="仿宋" w:hAnsi="仿宋" w:eastAsia="仿宋"/>
          <w:b/>
          <w:sz w:val="28"/>
          <w:szCs w:val="28"/>
        </w:rPr>
      </w:pPr>
    </w:p>
    <w:p>
      <w:pPr>
        <w:pStyle w:val="9"/>
        <w:rPr>
          <w:rFonts w:ascii="仿宋" w:hAnsi="仿宋" w:eastAsia="仿宋"/>
          <w:b/>
          <w:color w:val="FF0000"/>
          <w:sz w:val="24"/>
        </w:rPr>
      </w:pPr>
      <w:r>
        <w:rPr>
          <w:rFonts w:hint="eastAsia" w:ascii="仿宋" w:hAnsi="仿宋" w:eastAsia="仿宋"/>
          <w:b/>
          <w:color w:val="FF0000"/>
          <w:sz w:val="24"/>
        </w:rPr>
        <w:t>【特别注意】</w:t>
      </w:r>
    </w:p>
    <w:p>
      <w:pPr>
        <w:pStyle w:val="9"/>
        <w:numPr>
          <w:ilvl w:val="0"/>
          <w:numId w:val="40"/>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9"/>
        <w:numPr>
          <w:ilvl w:val="0"/>
          <w:numId w:val="40"/>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9"/>
      </w:pPr>
    </w:p>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auto"/>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3051835"/>
    <w:multiLevelType w:val="singleLevel"/>
    <w:tmpl w:val="D3051835"/>
    <w:lvl w:ilvl="0" w:tentative="0">
      <w:start w:val="1"/>
      <w:numFmt w:val="decimal"/>
      <w:suff w:val="space"/>
      <w:lvlText w:val="%1."/>
      <w:lvlJc w:val="left"/>
    </w:lvl>
  </w:abstractNum>
  <w:abstractNum w:abstractNumId="3">
    <w:nsid w:val="DAA5A57F"/>
    <w:multiLevelType w:val="singleLevel"/>
    <w:tmpl w:val="DAA5A57F"/>
    <w:lvl w:ilvl="0" w:tentative="0">
      <w:start w:val="1"/>
      <w:numFmt w:val="decimal"/>
      <w:suff w:val="space"/>
      <w:lvlText w:val="%1."/>
      <w:lvlJc w:val="left"/>
    </w:lvl>
  </w:abstractNum>
  <w:abstractNum w:abstractNumId="4">
    <w:nsid w:val="DF802076"/>
    <w:multiLevelType w:val="singleLevel"/>
    <w:tmpl w:val="DF802076"/>
    <w:lvl w:ilvl="0" w:tentative="0">
      <w:start w:val="2"/>
      <w:numFmt w:val="decimal"/>
      <w:suff w:val="nothing"/>
      <w:lvlText w:val="%1）"/>
      <w:lvlJc w:val="left"/>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E911B4"/>
    <w:multiLevelType w:val="multilevel"/>
    <w:tmpl w:val="21E911B4"/>
    <w:lvl w:ilvl="0" w:tentative="0">
      <w:start w:val="1"/>
      <w:numFmt w:val="chineseCountingThousand"/>
      <w:lvlText w:val="(%1)"/>
      <w:lvlJc w:val="left"/>
      <w:pPr>
        <w:ind w:left="420" w:hanging="136"/>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E10C89"/>
    <w:multiLevelType w:val="singleLevel"/>
    <w:tmpl w:val="28E10C89"/>
    <w:lvl w:ilvl="0" w:tentative="0">
      <w:start w:val="1"/>
      <w:numFmt w:val="decimal"/>
      <w:suff w:val="space"/>
      <w:lvlText w:val="%1."/>
      <w:lvlJc w:val="left"/>
    </w:lvl>
  </w:abstractNum>
  <w:abstractNum w:abstractNumId="15">
    <w:nsid w:val="2B424BD2"/>
    <w:multiLevelType w:val="multilevel"/>
    <w:tmpl w:val="2B424BD2"/>
    <w:lvl w:ilvl="0" w:tentative="0">
      <w:start w:val="1"/>
      <w:numFmt w:val="chineseCountingThousand"/>
      <w:lvlText w:val="(%1)"/>
      <w:lvlJc w:val="left"/>
      <w:pPr>
        <w:ind w:left="420" w:hanging="136"/>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07D659F"/>
    <w:multiLevelType w:val="multilevel"/>
    <w:tmpl w:val="307D659F"/>
    <w:lvl w:ilvl="0" w:tentative="0">
      <w:start w:val="1"/>
      <w:numFmt w:val="chineseCountingThousand"/>
      <w:lvlText w:val="(%1)"/>
      <w:lvlJc w:val="left"/>
      <w:pPr>
        <w:ind w:left="420" w:hanging="136"/>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EF57BDD"/>
    <w:multiLevelType w:val="multilevel"/>
    <w:tmpl w:val="3EF57BDD"/>
    <w:lvl w:ilvl="0" w:tentative="0">
      <w:start w:val="1"/>
      <w:numFmt w:val="decimal"/>
      <w:lvlText w:val="%1、"/>
      <w:lvlJc w:val="left"/>
      <w:pPr>
        <w:ind w:left="1124" w:hanging="420"/>
      </w:pPr>
      <w:rPr>
        <w:rFonts w:hint="eastAsia"/>
      </w:r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22">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3">
    <w:nsid w:val="47DD9340"/>
    <w:multiLevelType w:val="singleLevel"/>
    <w:tmpl w:val="47DD9340"/>
    <w:lvl w:ilvl="0" w:tentative="0">
      <w:start w:val="1"/>
      <w:numFmt w:val="decimal"/>
      <w:suff w:val="nothing"/>
      <w:lvlText w:val="（%1）"/>
      <w:lvlJc w:val="left"/>
    </w:lvl>
  </w:abstractNum>
  <w:abstractNum w:abstractNumId="24">
    <w:nsid w:val="4CFB0C7D"/>
    <w:multiLevelType w:val="multilevel"/>
    <w:tmpl w:val="4CFB0C7D"/>
    <w:lvl w:ilvl="0" w:tentative="0">
      <w:start w:val="1"/>
      <w:numFmt w:val="chineseCountingThousand"/>
      <w:lvlText w:val="(%1)"/>
      <w:lvlJc w:val="left"/>
      <w:pPr>
        <w:ind w:left="420" w:hanging="136"/>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6">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7">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07712DA"/>
    <w:multiLevelType w:val="multilevel"/>
    <w:tmpl w:val="607712DA"/>
    <w:lvl w:ilvl="0" w:tentative="0">
      <w:start w:val="1"/>
      <w:numFmt w:val="chineseCountingThousand"/>
      <w:lvlText w:val="(%1)"/>
      <w:lvlJc w:val="left"/>
      <w:pPr>
        <w:ind w:left="420" w:hanging="136"/>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43A58E4"/>
    <w:multiLevelType w:val="multilevel"/>
    <w:tmpl w:val="643A58E4"/>
    <w:lvl w:ilvl="0" w:tentative="0">
      <w:start w:val="1"/>
      <w:numFmt w:val="chineseCountingThousand"/>
      <w:pStyle w:val="3"/>
      <w:lvlText w:val="第%1条"/>
      <w:lvlJc w:val="left"/>
      <w:pPr>
        <w:ind w:left="1544" w:hanging="834"/>
      </w:pPr>
      <w:rPr>
        <w:rFonts w:hint="eastAsia" w:ascii="仿宋" w:hAnsi="仿宋" w:eastAsia="仿宋"/>
        <w:b/>
        <w:i w:val="0"/>
        <w:sz w:val="28"/>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3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6A4F259C"/>
    <w:multiLevelType w:val="multilevel"/>
    <w:tmpl w:val="6A4F259C"/>
    <w:lvl w:ilvl="0" w:tentative="0">
      <w:start w:val="1"/>
      <w:numFmt w:val="chineseCountingThousand"/>
      <w:lvlText w:val="(%1)"/>
      <w:lvlJc w:val="left"/>
      <w:pPr>
        <w:ind w:left="346" w:hanging="136"/>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3">
    <w:nsid w:val="6D470DF7"/>
    <w:multiLevelType w:val="multilevel"/>
    <w:tmpl w:val="6D470DF7"/>
    <w:lvl w:ilvl="0" w:tentative="0">
      <w:start w:val="1"/>
      <w:numFmt w:val="chineseCountingThousand"/>
      <w:lvlText w:val="(%1)"/>
      <w:lvlJc w:val="left"/>
      <w:pPr>
        <w:ind w:left="420" w:hanging="136"/>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57549BD"/>
    <w:multiLevelType w:val="multilevel"/>
    <w:tmpl w:val="757549BD"/>
    <w:lvl w:ilvl="0" w:tentative="0">
      <w:start w:val="1"/>
      <w:numFmt w:val="chineseCountingThousand"/>
      <w:lvlText w:val="(%1)"/>
      <w:lvlJc w:val="left"/>
      <w:pPr>
        <w:ind w:left="420" w:hanging="136"/>
      </w:pPr>
      <w:rPr>
        <w:rFonts w:hint="eastAsia"/>
      </w:rPr>
    </w:lvl>
    <w:lvl w:ilvl="1" w:tentative="0">
      <w:start w:val="1"/>
      <w:numFmt w:val="lowerLetter"/>
      <w:lvlText w:val="%2)"/>
      <w:lvlJc w:val="left"/>
      <w:pPr>
        <w:ind w:left="1616" w:hanging="420"/>
      </w:pPr>
    </w:lvl>
    <w:lvl w:ilvl="2" w:tentative="0">
      <w:start w:val="1"/>
      <w:numFmt w:val="lowerRoman"/>
      <w:lvlText w:val="%3."/>
      <w:lvlJc w:val="right"/>
      <w:pPr>
        <w:ind w:left="2036" w:hanging="420"/>
      </w:pPr>
    </w:lvl>
    <w:lvl w:ilvl="3" w:tentative="0">
      <w:start w:val="1"/>
      <w:numFmt w:val="decimal"/>
      <w:lvlText w:val="%4."/>
      <w:lvlJc w:val="left"/>
      <w:pPr>
        <w:ind w:left="2456" w:hanging="420"/>
      </w:pPr>
    </w:lvl>
    <w:lvl w:ilvl="4" w:tentative="0">
      <w:start w:val="1"/>
      <w:numFmt w:val="lowerLetter"/>
      <w:lvlText w:val="%5)"/>
      <w:lvlJc w:val="left"/>
      <w:pPr>
        <w:ind w:left="2876" w:hanging="420"/>
      </w:pPr>
    </w:lvl>
    <w:lvl w:ilvl="5" w:tentative="0">
      <w:start w:val="1"/>
      <w:numFmt w:val="lowerRoman"/>
      <w:lvlText w:val="%6."/>
      <w:lvlJc w:val="right"/>
      <w:pPr>
        <w:ind w:left="3296" w:hanging="420"/>
      </w:pPr>
    </w:lvl>
    <w:lvl w:ilvl="6" w:tentative="0">
      <w:start w:val="1"/>
      <w:numFmt w:val="decimal"/>
      <w:lvlText w:val="%7."/>
      <w:lvlJc w:val="left"/>
      <w:pPr>
        <w:ind w:left="3716" w:hanging="420"/>
      </w:pPr>
    </w:lvl>
    <w:lvl w:ilvl="7" w:tentative="0">
      <w:start w:val="1"/>
      <w:numFmt w:val="lowerLetter"/>
      <w:lvlText w:val="%8)"/>
      <w:lvlJc w:val="left"/>
      <w:pPr>
        <w:ind w:left="4136" w:hanging="420"/>
      </w:pPr>
    </w:lvl>
    <w:lvl w:ilvl="8" w:tentative="0">
      <w:start w:val="1"/>
      <w:numFmt w:val="lowerRoman"/>
      <w:lvlText w:val="%9."/>
      <w:lvlJc w:val="right"/>
      <w:pPr>
        <w:ind w:left="4556" w:hanging="420"/>
      </w:pPr>
    </w:lvl>
  </w:abstractNum>
  <w:abstractNum w:abstractNumId="35">
    <w:nsid w:val="7677E80D"/>
    <w:multiLevelType w:val="singleLevel"/>
    <w:tmpl w:val="7677E80D"/>
    <w:lvl w:ilvl="0" w:tentative="0">
      <w:start w:val="1"/>
      <w:numFmt w:val="decimal"/>
      <w:suff w:val="nothing"/>
      <w:lvlText w:val="（%1）"/>
      <w:lvlJc w:val="left"/>
    </w:lvl>
  </w:abstractNum>
  <w:abstractNum w:abstractNumId="36">
    <w:nsid w:val="7895415F"/>
    <w:multiLevelType w:val="multilevel"/>
    <w:tmpl w:val="7895415F"/>
    <w:lvl w:ilvl="0" w:tentative="0">
      <w:start w:val="1"/>
      <w:numFmt w:val="chineseCountingThousand"/>
      <w:lvlText w:val="(%1)"/>
      <w:lvlJc w:val="left"/>
      <w:pPr>
        <w:ind w:left="420" w:hanging="136"/>
      </w:pPr>
      <w:rPr>
        <w:rFonts w:hint="eastAsia"/>
      </w:rPr>
    </w:lvl>
    <w:lvl w:ilvl="1" w:tentative="0">
      <w:start w:val="1"/>
      <w:numFmt w:val="lowerLetter"/>
      <w:lvlText w:val="%2)"/>
      <w:lvlJc w:val="left"/>
      <w:pPr>
        <w:ind w:left="1616" w:hanging="420"/>
      </w:pPr>
    </w:lvl>
    <w:lvl w:ilvl="2" w:tentative="0">
      <w:start w:val="1"/>
      <w:numFmt w:val="lowerRoman"/>
      <w:lvlText w:val="%3."/>
      <w:lvlJc w:val="right"/>
      <w:pPr>
        <w:ind w:left="2036" w:hanging="420"/>
      </w:pPr>
    </w:lvl>
    <w:lvl w:ilvl="3" w:tentative="0">
      <w:start w:val="1"/>
      <w:numFmt w:val="decimal"/>
      <w:lvlText w:val="%4."/>
      <w:lvlJc w:val="left"/>
      <w:pPr>
        <w:ind w:left="2456" w:hanging="420"/>
      </w:pPr>
    </w:lvl>
    <w:lvl w:ilvl="4" w:tentative="0">
      <w:start w:val="1"/>
      <w:numFmt w:val="lowerLetter"/>
      <w:lvlText w:val="%5)"/>
      <w:lvlJc w:val="left"/>
      <w:pPr>
        <w:ind w:left="2876" w:hanging="420"/>
      </w:pPr>
    </w:lvl>
    <w:lvl w:ilvl="5" w:tentative="0">
      <w:start w:val="1"/>
      <w:numFmt w:val="lowerRoman"/>
      <w:lvlText w:val="%6."/>
      <w:lvlJc w:val="right"/>
      <w:pPr>
        <w:ind w:left="3296" w:hanging="420"/>
      </w:pPr>
    </w:lvl>
    <w:lvl w:ilvl="6" w:tentative="0">
      <w:start w:val="1"/>
      <w:numFmt w:val="decimal"/>
      <w:lvlText w:val="%7."/>
      <w:lvlJc w:val="left"/>
      <w:pPr>
        <w:ind w:left="3716" w:hanging="420"/>
      </w:pPr>
    </w:lvl>
    <w:lvl w:ilvl="7" w:tentative="0">
      <w:start w:val="1"/>
      <w:numFmt w:val="lowerLetter"/>
      <w:lvlText w:val="%8)"/>
      <w:lvlJc w:val="left"/>
      <w:pPr>
        <w:ind w:left="4136" w:hanging="420"/>
      </w:pPr>
    </w:lvl>
    <w:lvl w:ilvl="8" w:tentative="0">
      <w:start w:val="1"/>
      <w:numFmt w:val="lowerRoman"/>
      <w:lvlText w:val="%9."/>
      <w:lvlJc w:val="right"/>
      <w:pPr>
        <w:ind w:left="4556" w:hanging="420"/>
      </w:pPr>
    </w:lvl>
  </w:abstractNum>
  <w:abstractNum w:abstractNumId="37">
    <w:nsid w:val="7B4A4E0C"/>
    <w:multiLevelType w:val="singleLevel"/>
    <w:tmpl w:val="7B4A4E0C"/>
    <w:lvl w:ilvl="0" w:tentative="0">
      <w:start w:val="1"/>
      <w:numFmt w:val="decimal"/>
      <w:lvlText w:val="（%1）"/>
      <w:lvlJc w:val="left"/>
      <w:pPr>
        <w:ind w:left="420" w:hanging="420"/>
      </w:pPr>
      <w:rPr>
        <w:rFonts w:hint="eastAsia"/>
      </w:rPr>
    </w:lvl>
  </w:abstractNum>
  <w:abstractNum w:abstractNumId="38">
    <w:nsid w:val="7ED17433"/>
    <w:multiLevelType w:val="singleLevel"/>
    <w:tmpl w:val="7ED17433"/>
    <w:lvl w:ilvl="0" w:tentative="0">
      <w:start w:val="1"/>
      <w:numFmt w:val="decimal"/>
      <w:lvlText w:val="（%1）"/>
      <w:lvlJc w:val="left"/>
      <w:pPr>
        <w:ind w:left="420" w:hanging="420"/>
      </w:pPr>
      <w:rPr>
        <w:rFonts w:hint="eastAsia"/>
      </w:rPr>
    </w:lvl>
  </w:abstractNum>
  <w:num w:numId="1">
    <w:abstractNumId w:val="29"/>
  </w:num>
  <w:num w:numId="2">
    <w:abstractNumId w:val="26"/>
  </w:num>
  <w:num w:numId="3">
    <w:abstractNumId w:val="32"/>
  </w:num>
  <w:num w:numId="4">
    <w:abstractNumId w:val="19"/>
  </w:num>
  <w:num w:numId="5">
    <w:abstractNumId w:val="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7"/>
  </w:num>
  <w:num w:numId="9">
    <w:abstractNumId w:val="20"/>
  </w:num>
  <w:num w:numId="10">
    <w:abstractNumId w:val="9"/>
  </w:num>
  <w:num w:numId="11">
    <w:abstractNumId w:val="37"/>
  </w:num>
  <w:num w:numId="12">
    <w:abstractNumId w:val="38"/>
  </w:num>
  <w:num w:numId="13">
    <w:abstractNumId w:val="23"/>
  </w:num>
  <w:num w:numId="14">
    <w:abstractNumId w:val="2"/>
  </w:num>
  <w:num w:numId="15">
    <w:abstractNumId w:val="14"/>
  </w:num>
  <w:num w:numId="16">
    <w:abstractNumId w:val="7"/>
  </w:num>
  <w:num w:numId="17">
    <w:abstractNumId w:val="11"/>
  </w:num>
  <w:num w:numId="18">
    <w:abstractNumId w:val="18"/>
  </w:num>
  <w:num w:numId="19">
    <w:abstractNumId w:val="35"/>
  </w:num>
  <w:num w:numId="20">
    <w:abstractNumId w:val="4"/>
  </w:num>
  <w:num w:numId="21">
    <w:abstractNumId w:val="0"/>
  </w:num>
  <w:num w:numId="22">
    <w:abstractNumId w:val="3"/>
  </w:num>
  <w:num w:numId="23">
    <w:abstractNumId w:val="34"/>
  </w:num>
  <w:num w:numId="24">
    <w:abstractNumId w:val="36"/>
  </w:num>
  <w:num w:numId="25">
    <w:abstractNumId w:val="33"/>
  </w:num>
  <w:num w:numId="26">
    <w:abstractNumId w:val="15"/>
  </w:num>
  <w:num w:numId="27">
    <w:abstractNumId w:val="21"/>
  </w:num>
  <w:num w:numId="28">
    <w:abstractNumId w:val="31"/>
  </w:num>
  <w:num w:numId="29">
    <w:abstractNumId w:val="16"/>
  </w:num>
  <w:num w:numId="30">
    <w:abstractNumId w:val="12"/>
  </w:num>
  <w:num w:numId="31">
    <w:abstractNumId w:val="28"/>
  </w:num>
  <w:num w:numId="32">
    <w:abstractNumId w:val="24"/>
  </w:num>
  <w:num w:numId="33">
    <w:abstractNumId w:val="6"/>
  </w:num>
  <w:num w:numId="34">
    <w:abstractNumId w:val="5"/>
  </w:num>
  <w:num w:numId="35">
    <w:abstractNumId w:val="30"/>
  </w:num>
  <w:num w:numId="36">
    <w:abstractNumId w:val="22"/>
  </w:num>
  <w:num w:numId="37">
    <w:abstractNumId w:val="17"/>
  </w:num>
  <w:num w:numId="38">
    <w:abstractNumId w:val="8"/>
  </w:num>
  <w:num w:numId="39">
    <w:abstractNumId w:val="2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ZDgyNzllMDZjOWU0NDNkZTcxMTg4Y2I4NzBiYTMifQ=="/>
  </w:docVars>
  <w:rsids>
    <w:rsidRoot w:val="75DB5951"/>
    <w:rsid w:val="05DD16D3"/>
    <w:rsid w:val="100131FC"/>
    <w:rsid w:val="10290C8F"/>
    <w:rsid w:val="13EC5FF4"/>
    <w:rsid w:val="16F81059"/>
    <w:rsid w:val="19E020D4"/>
    <w:rsid w:val="1D7F3924"/>
    <w:rsid w:val="21626848"/>
    <w:rsid w:val="2CE35D0C"/>
    <w:rsid w:val="2F9015CA"/>
    <w:rsid w:val="43792ACE"/>
    <w:rsid w:val="44676DCB"/>
    <w:rsid w:val="44817E8C"/>
    <w:rsid w:val="44C3311C"/>
    <w:rsid w:val="45CD6658"/>
    <w:rsid w:val="4B95246F"/>
    <w:rsid w:val="5647080A"/>
    <w:rsid w:val="590F3861"/>
    <w:rsid w:val="6749261A"/>
    <w:rsid w:val="6E6C065E"/>
    <w:rsid w:val="75DB5951"/>
    <w:rsid w:val="79BE68EF"/>
    <w:rsid w:val="7C55517F"/>
    <w:rsid w:val="7F0D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1080"/>
      </w:tabs>
      <w:spacing w:line="580" w:lineRule="exact"/>
      <w:ind w:left="834"/>
      <w:outlineLvl w:val="0"/>
    </w:pPr>
    <w:rPr>
      <w:rFonts w:ascii="仿宋" w:hAnsi="仿宋" w:eastAsia="仿宋" w:cs="黑体"/>
      <w:b/>
      <w:bCs/>
      <w:color w:val="000000" w:themeColor="text1"/>
      <w:kern w:val="44"/>
      <w:sz w:val="32"/>
      <w:szCs w:val="32"/>
      <w14:textFill>
        <w14:solidFill>
          <w14:schemeClr w14:val="tx1"/>
        </w14:solidFill>
      </w14:textFill>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4">
    <w:name w:val="annotation text"/>
    <w:basedOn w:val="1"/>
    <w:qFormat/>
    <w:uiPriority w:val="0"/>
    <w:pPr>
      <w:jc w:val="left"/>
    </w:pPr>
  </w:style>
  <w:style w:type="paragraph" w:styleId="5">
    <w:name w:val="toc 3"/>
    <w:basedOn w:val="1"/>
    <w:next w:val="1"/>
    <w:unhideWhenUsed/>
    <w:qFormat/>
    <w:uiPriority w:val="39"/>
    <w:pPr>
      <w:ind w:left="840" w:leftChars="4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Body Text 2"/>
    <w:basedOn w:val="1"/>
    <w:qFormat/>
    <w:uiPriority w:val="0"/>
    <w:pPr>
      <w:jc w:val="left"/>
    </w:pPr>
    <w:rPr>
      <w:rFonts w:ascii="仿宋_GB2312" w:hAnsi="宋体" w:eastAsia="仿宋_GB2312"/>
    </w:rPr>
  </w:style>
  <w:style w:type="paragraph" w:styleId="10">
    <w:name w:val="Normal (Web)"/>
    <w:basedOn w:val="1"/>
    <w:unhideWhenUsed/>
    <w:qFormat/>
    <w:uiPriority w:val="99"/>
    <w:pPr>
      <w:widowControl/>
      <w:jc w:val="left"/>
    </w:pPr>
    <w:rPr>
      <w:rFonts w:ascii="宋体" w:hAnsi="宋体" w:cs="宋体"/>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000FF"/>
      <w:u w:val="single"/>
    </w:rPr>
  </w:style>
  <w:style w:type="character" w:styleId="16">
    <w:name w:val="annotation reference"/>
    <w:basedOn w:val="13"/>
    <w:unhideWhenUsed/>
    <w:qFormat/>
    <w:uiPriority w:val="99"/>
    <w:rPr>
      <w:sz w:val="21"/>
      <w:szCs w:val="21"/>
    </w:rPr>
  </w:style>
  <w:style w:type="paragraph" w:styleId="17">
    <w:name w:val="List Paragraph"/>
    <w:basedOn w:val="1"/>
    <w:qFormat/>
    <w:uiPriority w:val="34"/>
    <w:pPr>
      <w:ind w:firstLine="420" w:firstLineChars="200"/>
    </w:pPr>
    <w:rPr>
      <w:rFonts w:eastAsiaTheme="minorEastAsia" w:cstheme="minorBidi"/>
    </w:rPr>
  </w:style>
  <w:style w:type="paragraph" w:customStyle="1" w:styleId="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9">
    <w:name w:val="标题1"/>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15351</Words>
  <Characters>16132</Characters>
  <Lines>0</Lines>
  <Paragraphs>0</Paragraphs>
  <TotalTime>13</TotalTime>
  <ScaleCrop>false</ScaleCrop>
  <LinksUpToDate>false</LinksUpToDate>
  <CharactersWithSpaces>18413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2022-08-29T02:18:00Z</dcterms:created>
  <dc:creator>Jaelyn</dc:creator>
  <cp:lastModifiedBy>szcec</cp:lastModifiedBy>
  <dcterms:modified xsi:type="dcterms:W3CDTF">2022-09-16T07:40:31Z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0814743D324C4CC982B1D1934B5D6590</vt:lpwstr>
  </property>
</Properties>
</file>