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left" w:pos="8640"/>
        </w:tabs>
        <w:ind w:left="360" w:firstLine="0" w:firstLineChars="0"/>
        <w:rPr>
          <w:color w:val="000000" w:themeColor="text1"/>
          <w:sz w:val="30"/>
          <w:szCs w:val="30"/>
          <w:highlight w:val="yellow"/>
          <w14:textFill>
            <w14:solidFill>
              <w14:schemeClr w14:val="tx1"/>
            </w14:solidFill>
          </w14:textFill>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hint="default" w:ascii="方正小标宋_GBK" w:hAnsi="方正小标宋_GBK" w:eastAsia="方正小标宋_GBK" w:cs="方正小标宋_GBK"/>
          <w:b/>
          <w:bCs/>
          <w:sz w:val="48"/>
          <w:szCs w:val="48"/>
          <w:lang w:val="en-US" w:eastAsia="zh-CN"/>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ascii="方正小标宋_GBK" w:hAnsi="方正小标宋_GBK" w:eastAsia="方正小标宋_GBK" w:cs="方正小标宋_GBK"/>
          <w:b/>
          <w:color w:val="auto"/>
          <w:sz w:val="30"/>
          <w:szCs w:val="30"/>
          <w:highlight w:val="none"/>
        </w:rPr>
      </w:pPr>
      <w:r>
        <w:rPr>
          <w:rFonts w:hint="eastAsia" w:ascii="方正小标宋_GBK" w:hAnsi="方正小标宋_GBK" w:eastAsia="方正小标宋_GBK" w:cs="方正小标宋_GBK"/>
          <w:b/>
          <w:sz w:val="32"/>
          <w:szCs w:val="32"/>
        </w:rPr>
        <w:t>项目名称：</w:t>
      </w:r>
      <w:r>
        <w:rPr>
          <w:rFonts w:hint="eastAsia" w:ascii="方正小标宋_GBK" w:hAnsi="方正小标宋_GBK" w:eastAsia="方正小标宋_GBK" w:cs="方正小标宋_GBK"/>
          <w:b/>
          <w:color w:val="auto"/>
          <w:sz w:val="30"/>
          <w:szCs w:val="30"/>
          <w:highlight w:val="none"/>
        </w:rPr>
        <w:t>2022年-2024年高交会自媒体内容制作服务项目</w:t>
      </w:r>
    </w:p>
    <w:p>
      <w:pPr>
        <w:tabs>
          <w:tab w:val="left" w:pos="2127"/>
          <w:tab w:val="left" w:pos="2694"/>
        </w:tabs>
        <w:spacing w:line="360" w:lineRule="auto"/>
        <w:ind w:firstLine="2030" w:firstLineChars="632"/>
        <w:rPr>
          <w:rFonts w:ascii="宋体" w:hAnsi="宋体"/>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lang w:val="en-US" w:eastAsia="zh-CN"/>
        </w:rPr>
        <w:t>2</w:t>
      </w:r>
      <w:r>
        <w:rPr>
          <w:rFonts w:hint="eastAsia" w:ascii="方正小标宋_GBK" w:hAnsi="方正小标宋_GBK" w:eastAsia="方正小标宋_GBK" w:cs="方正小标宋_GBK"/>
          <w:b/>
          <w:sz w:val="32"/>
          <w:szCs w:val="32"/>
        </w:rPr>
        <w:t>年</w:t>
      </w:r>
      <w:r>
        <w:rPr>
          <w:rFonts w:hint="eastAsia" w:ascii="方正小标宋_GBK" w:hAnsi="方正小标宋_GBK" w:eastAsia="方正小标宋_GBK" w:cs="方正小标宋_GBK"/>
          <w:b/>
          <w:sz w:val="32"/>
          <w:szCs w:val="32"/>
          <w:lang w:val="en-US" w:eastAsia="zh-CN"/>
        </w:rPr>
        <w:t>9</w:t>
      </w:r>
      <w:r>
        <w:rPr>
          <w:rFonts w:hint="eastAsia" w:ascii="方正小标宋_GBK" w:hAnsi="方正小标宋_GBK" w:eastAsia="方正小标宋_GBK" w:cs="方正小标宋_GBK"/>
          <w:b/>
          <w:sz w:val="32"/>
          <w:szCs w:val="32"/>
        </w:rPr>
        <w:t>月</w:t>
      </w:r>
      <w:r>
        <w:rPr>
          <w:rFonts w:ascii="方正小标宋_GBK" w:hAnsi="方正小标宋_GBK" w:eastAsia="方正小标宋_GBK" w:cs="方正小标宋_GBK"/>
          <w:b/>
          <w:sz w:val="32"/>
          <w:szCs w:val="32"/>
        </w:rPr>
        <w:br w:type="page"/>
      </w:r>
    </w:p>
    <w:p>
      <w:pPr>
        <w:pStyle w:val="10"/>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0"/>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_Toc8978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_Toc8978 \h </w:instrText>
      </w:r>
      <w:r>
        <w:fldChar w:fldCharType="separate"/>
      </w:r>
      <w:r>
        <w:t>1</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_Toc25809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rPr>
        <w:t>投标人须知</w:t>
      </w:r>
      <w:r>
        <w:tab/>
      </w:r>
      <w:r>
        <w:fldChar w:fldCharType="begin"/>
      </w:r>
      <w:r>
        <w:instrText xml:space="preserve"> PAGEREF _Toc25809 \h </w:instrText>
      </w:r>
      <w:r>
        <w:fldChar w:fldCharType="separate"/>
      </w:r>
      <w:r>
        <w:t>1</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_Toc1067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rPr>
        <w:t>特别说明</w:t>
      </w:r>
      <w:r>
        <w:tab/>
      </w:r>
      <w:r>
        <w:fldChar w:fldCharType="begin"/>
      </w:r>
      <w:r>
        <w:instrText xml:space="preserve"> PAGEREF _Toc1067 \h </w:instrText>
      </w:r>
      <w:r>
        <w:fldChar w:fldCharType="separate"/>
      </w:r>
      <w:r>
        <w:t>2</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_Toc11210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_Toc11210 \h </w:instrText>
      </w:r>
      <w:r>
        <w:fldChar w:fldCharType="separate"/>
      </w:r>
      <w:r>
        <w:t>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_Toc18837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项目要求及数量</w:t>
      </w:r>
      <w:r>
        <w:tab/>
      </w:r>
      <w:r>
        <w:fldChar w:fldCharType="begin"/>
      </w:r>
      <w:r>
        <w:instrText xml:space="preserve"> PAGEREF _Toc18837 \h </w:instrText>
      </w:r>
      <w:r>
        <w:fldChar w:fldCharType="separate"/>
      </w:r>
      <w:r>
        <w:t>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_Toc303 </w:instrText>
      </w:r>
      <w:r>
        <w:rPr>
          <w:rFonts w:hint="eastAsia" w:ascii="宋体" w:hAnsi="宋体" w:cs="仿宋"/>
          <w:szCs w:val="21"/>
        </w:rPr>
        <w:fldChar w:fldCharType="separate"/>
      </w:r>
      <w:r>
        <w:rPr>
          <w:rFonts w:hint="eastAsia" w:ascii="宋体" w:hAnsi="宋体" w:eastAsia="宋体" w:cs="仿宋"/>
          <w:bCs/>
          <w:szCs w:val="21"/>
        </w:rPr>
        <w:t xml:space="preserve">五、 </w:t>
      </w:r>
      <w:r>
        <w:rPr>
          <w:rFonts w:hint="eastAsia" w:ascii="宋体" w:hAnsi="宋体"/>
          <w:szCs w:val="21"/>
        </w:rPr>
        <w:t>其他项目说明资料</w:t>
      </w:r>
      <w:r>
        <w:tab/>
      </w:r>
      <w:r>
        <w:fldChar w:fldCharType="begin"/>
      </w:r>
      <w:r>
        <w:instrText xml:space="preserve"> PAGEREF _Toc303 \h </w:instrText>
      </w:r>
      <w:r>
        <w:fldChar w:fldCharType="separate"/>
      </w:r>
      <w:r>
        <w:t>5</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_Toc31392 </w:instrText>
      </w:r>
      <w:r>
        <w:rPr>
          <w:rFonts w:hint="eastAsia" w:ascii="宋体" w:hAnsi="宋体" w:cs="仿宋"/>
          <w:szCs w:val="21"/>
        </w:rPr>
        <w:fldChar w:fldCharType="separate"/>
      </w:r>
      <w:r>
        <w:rPr>
          <w:rFonts w:hint="eastAsia" w:ascii="宋体" w:hAnsi="宋体"/>
          <w:szCs w:val="32"/>
        </w:rPr>
        <w:t>第二部分：开标评标流程</w:t>
      </w:r>
      <w:r>
        <w:tab/>
      </w:r>
      <w:r>
        <w:fldChar w:fldCharType="begin"/>
      </w:r>
      <w:r>
        <w:instrText xml:space="preserve"> PAGEREF _Toc31392 \h </w:instrText>
      </w:r>
      <w:r>
        <w:fldChar w:fldCharType="separate"/>
      </w:r>
      <w:r>
        <w:t>6</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_Toc29696 </w:instrText>
      </w:r>
      <w:r>
        <w:rPr>
          <w:rFonts w:hint="eastAsia" w:ascii="宋体" w:hAnsi="宋体" w:cs="仿宋"/>
          <w:szCs w:val="21"/>
        </w:rPr>
        <w:fldChar w:fldCharType="separate"/>
      </w:r>
      <w:r>
        <w:rPr>
          <w:rFonts w:hint="eastAsia" w:ascii="宋体" w:hAnsi="宋体" w:eastAsia="宋体" w:cs="仿宋"/>
          <w:bCs/>
        </w:rPr>
        <w:t xml:space="preserve">六、 </w:t>
      </w:r>
      <w:r>
        <w:rPr>
          <w:rFonts w:hint="eastAsia"/>
        </w:rPr>
        <w:t>开标阶段</w:t>
      </w:r>
      <w:r>
        <w:tab/>
      </w:r>
      <w:r>
        <w:fldChar w:fldCharType="begin"/>
      </w:r>
      <w:r>
        <w:instrText xml:space="preserve"> PAGEREF _Toc29696 \h </w:instrText>
      </w:r>
      <w:r>
        <w:fldChar w:fldCharType="separate"/>
      </w:r>
      <w:r>
        <w:t>6</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_Toc17270 </w:instrText>
      </w:r>
      <w:r>
        <w:rPr>
          <w:rFonts w:hint="eastAsia" w:ascii="宋体" w:hAnsi="宋体" w:cs="仿宋"/>
          <w:szCs w:val="21"/>
        </w:rPr>
        <w:fldChar w:fldCharType="separate"/>
      </w:r>
      <w:r>
        <w:rPr>
          <w:rFonts w:hint="eastAsia" w:ascii="宋体" w:hAnsi="宋体" w:eastAsia="宋体" w:cs="仿宋"/>
          <w:bCs/>
        </w:rPr>
        <w:t xml:space="preserve">七、 </w:t>
      </w:r>
      <w:r>
        <w:rPr>
          <w:rFonts w:hint="eastAsia"/>
        </w:rPr>
        <w:t>评标阶段</w:t>
      </w:r>
      <w:r>
        <w:tab/>
      </w:r>
      <w:r>
        <w:fldChar w:fldCharType="begin"/>
      </w:r>
      <w:r>
        <w:instrText xml:space="preserve"> PAGEREF _Toc17270 \h </w:instrText>
      </w:r>
      <w:r>
        <w:fldChar w:fldCharType="separate"/>
      </w:r>
      <w:r>
        <w:t>6</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_Toc7236 </w:instrText>
      </w:r>
      <w:r>
        <w:rPr>
          <w:rFonts w:hint="eastAsia" w:ascii="宋体" w:hAnsi="宋体" w:cs="仿宋"/>
          <w:szCs w:val="21"/>
        </w:rPr>
        <w:fldChar w:fldCharType="separate"/>
      </w:r>
      <w:r>
        <w:rPr>
          <w:rFonts w:hint="eastAsia" w:ascii="宋体" w:hAnsi="宋体"/>
          <w:szCs w:val="32"/>
        </w:rPr>
        <w:t>第三部分：评审办法</w:t>
      </w:r>
      <w:r>
        <w:tab/>
      </w:r>
      <w:r>
        <w:fldChar w:fldCharType="begin"/>
      </w:r>
      <w:r>
        <w:instrText xml:space="preserve"> PAGEREF _Toc7236 \h </w:instrText>
      </w:r>
      <w:r>
        <w:fldChar w:fldCharType="separate"/>
      </w:r>
      <w:r>
        <w:t>7</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_Toc3709 </w:instrText>
      </w:r>
      <w:r>
        <w:rPr>
          <w:rFonts w:hint="eastAsia" w:ascii="宋体" w:hAnsi="宋体" w:cs="仿宋"/>
          <w:szCs w:val="21"/>
        </w:rPr>
        <w:fldChar w:fldCharType="separate"/>
      </w:r>
      <w:r>
        <w:rPr>
          <w:rFonts w:hint="eastAsia" w:ascii="宋体" w:hAnsi="宋体" w:eastAsia="宋体" w:cs="仿宋"/>
          <w:bCs/>
          <w:szCs w:val="21"/>
        </w:rPr>
        <w:t xml:space="preserve">八、 </w:t>
      </w:r>
      <w:r>
        <w:rPr>
          <w:rFonts w:hint="eastAsia" w:ascii="宋体" w:hAnsi="宋体"/>
          <w:bCs/>
          <w:szCs w:val="21"/>
        </w:rPr>
        <w:t>评审办法</w:t>
      </w:r>
      <w:r>
        <w:tab/>
      </w:r>
      <w:r>
        <w:fldChar w:fldCharType="begin"/>
      </w:r>
      <w:r>
        <w:instrText xml:space="preserve"> PAGEREF _Toc3709 \h </w:instrText>
      </w:r>
      <w:r>
        <w:fldChar w:fldCharType="separate"/>
      </w:r>
      <w:r>
        <w:t>7</w:t>
      </w:r>
      <w:r>
        <w:fldChar w:fldCharType="end"/>
      </w:r>
      <w:r>
        <w:rPr>
          <w:rFonts w:hint="eastAsia" w:ascii="宋体" w:hAnsi="宋体" w:cs="仿宋"/>
          <w:szCs w:val="21"/>
        </w:rPr>
        <w:fldChar w:fldCharType="end"/>
      </w:r>
    </w:p>
    <w:p>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_Toc2903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rPr>
        <w:t>符合性检查</w:t>
      </w:r>
      <w:r>
        <w:tab/>
      </w:r>
      <w:r>
        <w:fldChar w:fldCharType="begin"/>
      </w:r>
      <w:r>
        <w:instrText xml:space="preserve"> PAGEREF _Toc2903 \h </w:instrText>
      </w:r>
      <w:r>
        <w:fldChar w:fldCharType="separate"/>
      </w:r>
      <w:r>
        <w:t>7</w:t>
      </w:r>
      <w:r>
        <w:fldChar w:fldCharType="end"/>
      </w:r>
      <w:r>
        <w:rPr>
          <w:rFonts w:hint="eastAsia" w:ascii="宋体" w:hAnsi="宋体" w:cs="仿宋"/>
          <w:szCs w:val="21"/>
        </w:rPr>
        <w:fldChar w:fldCharType="end"/>
      </w:r>
    </w:p>
    <w:p>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_Toc32232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综合评议指标表</w:t>
      </w:r>
      <w:r>
        <w:tab/>
      </w:r>
      <w:r>
        <w:fldChar w:fldCharType="begin"/>
      </w:r>
      <w:r>
        <w:instrText xml:space="preserve"> PAGEREF _Toc32232 \h </w:instrText>
      </w:r>
      <w:r>
        <w:fldChar w:fldCharType="separate"/>
      </w:r>
      <w:r>
        <w:t>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_Toc32708 </w:instrText>
      </w:r>
      <w:r>
        <w:rPr>
          <w:rFonts w:hint="eastAsia" w:ascii="宋体" w:hAnsi="宋体" w:cs="仿宋"/>
          <w:szCs w:val="21"/>
        </w:rPr>
        <w:fldChar w:fldCharType="separate"/>
      </w:r>
      <w:r>
        <w:rPr>
          <w:rFonts w:hint="eastAsia" w:ascii="宋体" w:hAnsi="宋体"/>
          <w:szCs w:val="32"/>
        </w:rPr>
        <w:t>第四部分：合同条款及格式</w:t>
      </w:r>
      <w:r>
        <w:tab/>
      </w:r>
      <w:r>
        <w:fldChar w:fldCharType="begin"/>
      </w:r>
      <w:r>
        <w:instrText xml:space="preserve"> PAGEREF _Toc32708 \h </w:instrText>
      </w:r>
      <w:r>
        <w:fldChar w:fldCharType="separate"/>
      </w:r>
      <w:r>
        <w:t>10</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_Toc28342 </w:instrText>
      </w:r>
      <w:r>
        <w:rPr>
          <w:rFonts w:hint="eastAsia" w:ascii="宋体" w:hAnsi="宋体" w:cs="仿宋"/>
          <w:szCs w:val="21"/>
        </w:rPr>
        <w:fldChar w:fldCharType="separate"/>
      </w:r>
      <w:r>
        <w:rPr>
          <w:rFonts w:hint="eastAsia"/>
          <w:szCs w:val="32"/>
        </w:rPr>
        <w:t>第五部分：参考附件</w:t>
      </w:r>
      <w:r>
        <w:tab/>
      </w:r>
      <w:r>
        <w:fldChar w:fldCharType="begin"/>
      </w:r>
      <w:r>
        <w:instrText xml:space="preserve"> PAGEREF _Toc28342 \h </w:instrText>
      </w:r>
      <w:r>
        <w:fldChar w:fldCharType="separate"/>
      </w:r>
      <w:r>
        <w:t>14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_Toc193 </w:instrText>
      </w:r>
      <w:r>
        <w:rPr>
          <w:rFonts w:hint="eastAsia" w:ascii="宋体" w:hAnsi="宋体" w:cs="仿宋"/>
          <w:szCs w:val="21"/>
        </w:rP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_Toc193 \h </w:instrText>
      </w:r>
      <w:r>
        <w:fldChar w:fldCharType="separate"/>
      </w:r>
      <w:r>
        <w:t>14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_Toc14503 </w:instrText>
      </w:r>
      <w:r>
        <w:rPr>
          <w:rFonts w:hint="eastAsia" w:ascii="宋体" w:hAnsi="宋体" w:cs="仿宋"/>
          <w:szCs w:val="21"/>
        </w:rPr>
        <w:fldChar w:fldCharType="separate"/>
      </w:r>
      <w:r>
        <w:rPr>
          <w:rFonts w:hint="eastAsia" w:ascii="宋体" w:hAnsi="宋体"/>
          <w:szCs w:val="21"/>
        </w:rPr>
        <w:t>附件2：投标函</w:t>
      </w:r>
      <w:r>
        <w:tab/>
      </w:r>
      <w:r>
        <w:fldChar w:fldCharType="begin"/>
      </w:r>
      <w:r>
        <w:instrText xml:space="preserve"> PAGEREF _Toc14503 \h </w:instrText>
      </w:r>
      <w:r>
        <w:fldChar w:fldCharType="separate"/>
      </w:r>
      <w:r>
        <w:t>15</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_Toc26319 </w:instrText>
      </w:r>
      <w:r>
        <w:rPr>
          <w:rFonts w:hint="eastAsia" w:ascii="宋体" w:hAnsi="宋体" w:cs="仿宋"/>
          <w:szCs w:val="21"/>
        </w:rPr>
        <w:fldChar w:fldCharType="separate"/>
      </w:r>
      <w:r>
        <w:rPr>
          <w:rFonts w:hint="eastAsia" w:ascii="宋体" w:hAnsi="宋体"/>
          <w:szCs w:val="21"/>
        </w:rPr>
        <w:t>附件3：投标一览表</w:t>
      </w:r>
      <w:r>
        <w:tab/>
      </w:r>
      <w:r>
        <w:fldChar w:fldCharType="begin"/>
      </w:r>
      <w:r>
        <w:instrText xml:space="preserve"> PAGEREF _Toc26319 \h </w:instrText>
      </w:r>
      <w:r>
        <w:fldChar w:fldCharType="separate"/>
      </w:r>
      <w:r>
        <w:t>16</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_Toc15097 </w:instrText>
      </w:r>
      <w:r>
        <w:rPr>
          <w:rFonts w:hint="eastAsia" w:ascii="宋体" w:hAnsi="宋体" w:cs="仿宋"/>
          <w:szCs w:val="21"/>
        </w:rPr>
        <w:fldChar w:fldCharType="separate"/>
      </w:r>
      <w:r>
        <w:rPr>
          <w:rFonts w:hint="eastAsia" w:ascii="宋体" w:hAnsi="宋体"/>
          <w:szCs w:val="21"/>
        </w:rPr>
        <w:t>附件4：考察证明</w:t>
      </w:r>
      <w:r>
        <w:tab/>
      </w:r>
      <w:r>
        <w:fldChar w:fldCharType="begin"/>
      </w:r>
      <w:r>
        <w:instrText xml:space="preserve"> PAGEREF _Toc15097 \h </w:instrText>
      </w:r>
      <w:r>
        <w:fldChar w:fldCharType="separate"/>
      </w:r>
      <w:r>
        <w:t>17</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_Toc16903 </w:instrText>
      </w:r>
      <w:r>
        <w:rPr>
          <w:rFonts w:hint="eastAsia" w:ascii="宋体" w:hAnsi="宋体" w:cs="仿宋"/>
          <w:szCs w:val="21"/>
        </w:rPr>
        <w:fldChar w:fldCharType="separate"/>
      </w:r>
      <w:r>
        <w:rPr>
          <w:rFonts w:hint="eastAsia" w:ascii="宋体" w:hAnsi="宋体"/>
          <w:szCs w:val="21"/>
        </w:rPr>
        <w:t>附件5：技术服务响应/偏离表</w:t>
      </w:r>
      <w:r>
        <w:tab/>
      </w:r>
      <w:r>
        <w:fldChar w:fldCharType="begin"/>
      </w:r>
      <w:r>
        <w:instrText xml:space="preserve"> PAGEREF _Toc16903 \h </w:instrText>
      </w:r>
      <w:r>
        <w:fldChar w:fldCharType="separate"/>
      </w:r>
      <w:r>
        <w:t>18</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_Toc1000 </w:instrText>
      </w:r>
      <w:r>
        <w:rPr>
          <w:rFonts w:hint="eastAsia" w:ascii="宋体" w:hAnsi="宋体" w:cs="仿宋"/>
          <w:szCs w:val="21"/>
        </w:rPr>
        <w:fldChar w:fldCharType="separate"/>
      </w:r>
      <w:r>
        <w:rPr>
          <w:rFonts w:hint="eastAsia" w:ascii="宋体" w:hAnsi="宋体"/>
          <w:szCs w:val="21"/>
        </w:rPr>
        <w:t>附件6：商务条款响应/偏离表</w:t>
      </w:r>
      <w:r>
        <w:tab/>
      </w:r>
      <w:r>
        <w:fldChar w:fldCharType="begin"/>
      </w:r>
      <w:r>
        <w:instrText xml:space="preserve"> PAGEREF _Toc1000 \h </w:instrText>
      </w:r>
      <w:r>
        <w:fldChar w:fldCharType="separate"/>
      </w:r>
      <w:r>
        <w:t>19</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_Toc21529 </w:instrText>
      </w:r>
      <w:r>
        <w:rPr>
          <w:rFonts w:hint="eastAsia" w:ascii="宋体" w:hAnsi="宋体" w:cs="仿宋"/>
          <w:szCs w:val="21"/>
        </w:rPr>
        <w:fldChar w:fldCharType="separate"/>
      </w:r>
      <w:r>
        <w:rPr>
          <w:rFonts w:hint="eastAsia" w:ascii="宋体" w:hAnsi="宋体"/>
          <w:szCs w:val="21"/>
        </w:rPr>
        <w:t>附件7：报价一览表（货物）（本项目不适用）</w:t>
      </w:r>
      <w:r>
        <w:tab/>
      </w:r>
      <w:r>
        <w:fldChar w:fldCharType="begin"/>
      </w:r>
      <w:r>
        <w:instrText xml:space="preserve"> PAGEREF _Toc21529 \h </w:instrText>
      </w:r>
      <w:r>
        <w:fldChar w:fldCharType="separate"/>
      </w:r>
      <w:r>
        <w:t>20</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_Toc4415 </w:instrText>
      </w:r>
      <w:r>
        <w:rPr>
          <w:rFonts w:hint="eastAsia" w:ascii="宋体" w:hAnsi="宋体" w:cs="仿宋"/>
          <w:szCs w:val="21"/>
        </w:rPr>
        <w:fldChar w:fldCharType="separate"/>
      </w:r>
      <w:r>
        <w:rPr>
          <w:rFonts w:hint="eastAsia" w:ascii="宋体" w:hAnsi="宋体"/>
          <w:szCs w:val="21"/>
        </w:rPr>
        <w:t>附件8：报价一览表（服务）</w:t>
      </w:r>
      <w:r>
        <w:tab/>
      </w:r>
      <w:r>
        <w:fldChar w:fldCharType="begin"/>
      </w:r>
      <w:r>
        <w:instrText xml:space="preserve"> PAGEREF _Toc4415 \h </w:instrText>
      </w:r>
      <w:r>
        <w:fldChar w:fldCharType="separate"/>
      </w:r>
      <w:r>
        <w:t>21</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_Toc17166 </w:instrText>
      </w:r>
      <w:r>
        <w:rPr>
          <w:rFonts w:hint="eastAsia" w:ascii="宋体" w:hAnsi="宋体" w:cs="仿宋"/>
          <w:szCs w:val="21"/>
        </w:rPr>
        <w:fldChar w:fldCharType="separate"/>
      </w:r>
      <w:r>
        <w:rPr>
          <w:rFonts w:hint="eastAsia" w:ascii="宋体" w:hAnsi="宋体"/>
          <w:szCs w:val="21"/>
        </w:rPr>
        <w:t>附件9：报价一览表（工程）（本项目不适用）</w:t>
      </w:r>
      <w:r>
        <w:tab/>
      </w:r>
      <w:r>
        <w:fldChar w:fldCharType="begin"/>
      </w:r>
      <w:r>
        <w:instrText xml:space="preserve"> PAGEREF _Toc17166 \h </w:instrText>
      </w:r>
      <w:r>
        <w:fldChar w:fldCharType="separate"/>
      </w:r>
      <w:r>
        <w:t>22</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_Toc23179 </w:instrText>
      </w:r>
      <w:r>
        <w:rPr>
          <w:rFonts w:hint="eastAsia" w:ascii="宋体" w:hAnsi="宋体" w:cs="仿宋"/>
          <w:szCs w:val="21"/>
        </w:rPr>
        <w:fldChar w:fldCharType="separate"/>
      </w:r>
      <w:r>
        <w:rPr>
          <w:rFonts w:hint="eastAsia" w:ascii="宋体" w:hAnsi="宋体"/>
          <w:szCs w:val="21"/>
        </w:rPr>
        <w:t>附件10：法定代表人证明书</w:t>
      </w:r>
      <w:r>
        <w:tab/>
      </w:r>
      <w:r>
        <w:fldChar w:fldCharType="begin"/>
      </w:r>
      <w:r>
        <w:instrText xml:space="preserve"> PAGEREF _Toc23179 \h </w:instrText>
      </w:r>
      <w:r>
        <w:fldChar w:fldCharType="separate"/>
      </w:r>
      <w:r>
        <w:t>23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_Toc4936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tab/>
      </w:r>
      <w:r>
        <w:fldChar w:fldCharType="begin"/>
      </w:r>
      <w:r>
        <w:instrText xml:space="preserve"> PAGEREF _Toc4936 \h </w:instrText>
      </w:r>
      <w:r>
        <w:fldChar w:fldCharType="separate"/>
      </w:r>
      <w:r>
        <w:t>24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_Toc6562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w:t>
      </w:r>
      <w:r>
        <w:tab/>
      </w:r>
      <w:r>
        <w:fldChar w:fldCharType="begin"/>
      </w:r>
      <w:r>
        <w:instrText xml:space="preserve"> PAGEREF _Toc6562 \h </w:instrText>
      </w:r>
      <w:r>
        <w:fldChar w:fldCharType="separate"/>
      </w:r>
      <w:r>
        <w:t>25</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_Toc10840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_Toc10840 \h </w:instrText>
      </w:r>
      <w:r>
        <w:fldChar w:fldCharType="separate"/>
      </w:r>
      <w:r>
        <w:t>26</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_Toc11416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_Toc11416 \h </w:instrText>
      </w:r>
      <w:r>
        <w:fldChar w:fldCharType="separate"/>
      </w:r>
      <w:r>
        <w:t>27</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_Toc27037 </w:instrText>
      </w:r>
      <w:r>
        <w:rPr>
          <w:rFonts w:hint="eastAsia" w:ascii="宋体" w:hAnsi="宋体" w:cs="仿宋"/>
          <w:szCs w:val="21"/>
        </w:rPr>
        <w:fldChar w:fldCharType="separate"/>
      </w:r>
      <w:r>
        <w:rPr>
          <w:rFonts w:hint="eastAsia" w:ascii="宋体" w:hAnsi="宋体"/>
        </w:rPr>
        <w:t>附件15：投标文件密码单</w:t>
      </w:r>
      <w:r>
        <w:tab/>
      </w:r>
      <w:r>
        <w:fldChar w:fldCharType="begin"/>
      </w:r>
      <w:r>
        <w:instrText xml:space="preserve"> PAGEREF _Toc27037 \h </w:instrText>
      </w:r>
      <w:r>
        <w:fldChar w:fldCharType="separate"/>
      </w:r>
      <w:r>
        <w:t>28</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_Toc1134 </w:instrText>
      </w:r>
      <w:r>
        <w:rPr>
          <w:rFonts w:hint="eastAsia" w:ascii="宋体" w:hAnsi="宋体" w:cs="仿宋"/>
          <w:szCs w:val="21"/>
        </w:rPr>
        <w:fldChar w:fldCharType="separate"/>
      </w:r>
      <w:r>
        <w:rPr>
          <w:rFonts w:hint="eastAsia" w:ascii="宋体" w:hAnsi="宋体"/>
        </w:rPr>
        <w:t>附件1</w:t>
      </w:r>
      <w:r>
        <w:rPr>
          <w:rFonts w:hint="eastAsia" w:ascii="宋体" w:hAnsi="宋体"/>
          <w:lang w:val="en-US" w:eastAsia="zh-CN"/>
        </w:rPr>
        <w:t>6</w:t>
      </w:r>
      <w:r>
        <w:rPr>
          <w:rFonts w:hint="eastAsia" w:ascii="宋体" w:hAnsi="宋体"/>
        </w:rPr>
        <w:t>：服务机构履约评价表</w:t>
      </w:r>
      <w:r>
        <w:tab/>
      </w:r>
      <w:r>
        <w:fldChar w:fldCharType="begin"/>
      </w:r>
      <w:r>
        <w:instrText xml:space="preserve"> PAGEREF _Toc1134 \h </w:instrText>
      </w:r>
      <w:r>
        <w:fldChar w:fldCharType="separate"/>
      </w:r>
      <w:r>
        <w:t>28</w:t>
      </w:r>
      <w:r>
        <w:fldChar w:fldCharType="end"/>
      </w:r>
      <w:r>
        <w:rPr>
          <w:rFonts w:hint="eastAsia" w:ascii="宋体" w:hAnsi="宋体" w:cs="仿宋"/>
          <w:szCs w:val="21"/>
        </w:rP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360" w:lineRule="auto"/>
        <w:jc w:val="center"/>
        <w:outlineLvl w:val="0"/>
        <w:rPr>
          <w:rFonts w:ascii="宋体" w:hAnsi="宋体"/>
          <w:b/>
          <w:sz w:val="32"/>
          <w:szCs w:val="32"/>
        </w:rPr>
      </w:pPr>
      <w:bookmarkStart w:id="0" w:name="_Toc8978"/>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25809"/>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联系人：刘工</w:t>
            </w:r>
          </w:p>
          <w:p>
            <w:pPr>
              <w:wordWrap w:val="0"/>
              <w:autoSpaceDE w:val="0"/>
              <w:autoSpaceDN w:val="0"/>
              <w:adjustRightInd w:val="0"/>
              <w:snapToGrid w:val="0"/>
              <w:rPr>
                <w:rFonts w:ascii="宋体" w:hAnsi="宋体"/>
                <w:szCs w:val="21"/>
              </w:rPr>
            </w:pPr>
            <w:r>
              <w:rPr>
                <w:rFonts w:hint="eastAsia" w:ascii="宋体" w:hAnsi="宋体"/>
                <w:szCs w:val="21"/>
              </w:rPr>
              <w:t>电话：0755-82848</w:t>
            </w:r>
            <w:r>
              <w:rPr>
                <w:rFonts w:ascii="宋体" w:hAnsi="宋体"/>
                <w:szCs w:val="21"/>
              </w:rPr>
              <w:t>8</w:t>
            </w:r>
            <w:r>
              <w:rPr>
                <w:rFonts w:hint="eastAsia" w:ascii="宋体" w:hAnsi="宋体"/>
                <w:szCs w:val="21"/>
              </w:rPr>
              <w:t>26</w:t>
            </w:r>
          </w:p>
          <w:p>
            <w:pPr>
              <w:wordWrap w:val="0"/>
              <w:autoSpaceDE w:val="0"/>
              <w:autoSpaceDN w:val="0"/>
              <w:adjustRightInd w:val="0"/>
              <w:snapToGrid w:val="0"/>
              <w:rPr>
                <w:rFonts w:ascii="宋体" w:hAnsi="宋体"/>
                <w:szCs w:val="21"/>
              </w:rPr>
            </w:pPr>
            <w:r>
              <w:rPr>
                <w:rFonts w:hint="eastAsia" w:ascii="宋体" w:hAnsi="宋体"/>
                <w:szCs w:val="21"/>
              </w:rPr>
              <w:t>传真：0755-82848</w:t>
            </w:r>
            <w:r>
              <w:rPr>
                <w:rFonts w:ascii="宋体" w:hAnsi="宋体"/>
                <w:szCs w:val="21"/>
              </w:rPr>
              <w:t>8</w:t>
            </w:r>
            <w:r>
              <w:rPr>
                <w:rFonts w:hint="eastAsia" w:ascii="宋体" w:hAnsi="宋体"/>
                <w:szCs w:val="21"/>
              </w:rPr>
              <w:t>26</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邮箱：liuxh@chtf.com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auto"/>
                <w:szCs w:val="21"/>
                <w:highlight w:val="none"/>
              </w:rPr>
              <w:t>2022年-2024年高交会自媒体内容制作服务项目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color w:val="auto"/>
                <w:szCs w:val="21"/>
                <w:highlight w:val="none"/>
              </w:rPr>
              <w:t>根据高交会宣传推广部署，寻求专业的出版社合作撰写高交会新产品、新技术、名人、名企相关文章。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none"/>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服务期</w:t>
            </w:r>
          </w:p>
        </w:tc>
        <w:tc>
          <w:tcPr>
            <w:tcW w:w="7029" w:type="dxa"/>
            <w:vAlign w:val="center"/>
          </w:tcPr>
          <w:p>
            <w:pPr>
              <w:autoSpaceDE w:val="0"/>
              <w:autoSpaceDN w:val="0"/>
              <w:adjustRightInd w:val="0"/>
              <w:snapToGrid w:val="0"/>
              <w:rPr>
                <w:rFonts w:hint="default" w:ascii="宋体" w:hAnsi="宋体"/>
                <w:color w:val="auto"/>
                <w:szCs w:val="21"/>
                <w:highlight w:val="none"/>
                <w:lang w:val="en-US"/>
              </w:rPr>
            </w:pPr>
            <w:r>
              <w:rPr>
                <w:rFonts w:hint="eastAsia" w:ascii="宋体" w:hAnsi="宋体"/>
                <w:color w:val="auto"/>
                <w:szCs w:val="21"/>
                <w:highlight w:val="no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16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https://cg.szcec.com/sharing/b6i3bqxkM</w:t>
            </w:r>
            <w:r>
              <w:rPr>
                <w:rFonts w:hint="eastAsia" w:ascii="宋体" w:hAnsi="宋体"/>
                <w:bCs/>
                <w:color w:val="FF0000"/>
                <w:highlight w:val="yellow"/>
                <w:lang w:eastAsia="zh-CN"/>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深圳会展中心官网采购公告栏目（</w:t>
            </w:r>
            <w:r>
              <w:fldChar w:fldCharType="begin"/>
            </w:r>
            <w:r>
              <w:instrText xml:space="preserve"> HYPERLINK "https://www.szcec.com/News/index/id/256.html" </w:instrText>
            </w:r>
            <w:r>
              <w:fldChar w:fldCharType="separate"/>
            </w:r>
            <w:r>
              <w:rPr>
                <w:rStyle w:val="21"/>
                <w:rFonts w:ascii="宋体" w:hAnsi="宋体"/>
                <w:szCs w:val="21"/>
              </w:rPr>
              <w:t>https://www.szcec.com/News/index/id/256.html</w:t>
            </w:r>
            <w:r>
              <w:rPr>
                <w:rStyle w:val="21"/>
                <w:rFonts w:ascii="宋体" w:hAnsi="宋体"/>
                <w:szCs w:val="21"/>
              </w:rPr>
              <w:fldChar w:fldCharType="end"/>
            </w:r>
            <w:r>
              <w:rPr>
                <w:rFonts w:hint="eastAsia" w:ascii="宋体" w:hAnsi="宋体"/>
                <w:szCs w:val="21"/>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23</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23</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26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27</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ascii="宋体" w:hAnsi="宋体"/>
                <w:szCs w:val="21"/>
              </w:rPr>
              <w:t>MS Word</w:t>
            </w:r>
            <w:r>
              <w:rPr>
                <w:rFonts w:hint="eastAsia" w:ascii="宋体" w:hAnsi="宋体"/>
                <w:szCs w:val="21"/>
              </w:rPr>
              <w:t>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https://cg.szcec.com/sharing/PC1ykhnbV，</w:t>
            </w:r>
            <w:r>
              <w:rPr>
                <w:rFonts w:hint="eastAsia" w:ascii="宋体" w:hAnsi="宋体"/>
                <w:szCs w:val="21"/>
              </w:rPr>
              <w:t>并致电确认</w:t>
            </w:r>
            <w:bookmarkStart w:id="2" w:name="_Toc478110532"/>
            <w:bookmarkStart w:id="3" w:name="_Toc478392822"/>
            <w:bookmarkStart w:id="4" w:name="_Toc478393187"/>
            <w:r>
              <w:rPr>
                <w:rFonts w:hint="eastAsia" w:ascii="宋体" w:hAnsi="宋体"/>
                <w:szCs w:val="21"/>
              </w:rPr>
              <w:t>。</w:t>
            </w:r>
            <w:r>
              <w:rPr>
                <w:rFonts w:hint="eastAsia" w:ascii="宋体" w:hAnsi="宋体"/>
              </w:rPr>
              <w:t>注意事项如下：</w:t>
            </w:r>
          </w:p>
          <w:p>
            <w:pPr>
              <w:pStyle w:val="25"/>
              <w:numPr>
                <w:ilvl w:val="0"/>
                <w:numId w:val="3"/>
              </w:numPr>
              <w:ind w:left="541" w:hanging="541"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5"/>
              <w:numPr>
                <w:ilvl w:val="0"/>
                <w:numId w:val="3"/>
              </w:numPr>
              <w:ind w:left="541" w:hanging="541" w:firstLineChars="0"/>
              <w:rPr>
                <w:rFonts w:ascii="宋体" w:hAnsi="宋体" w:eastAsia="宋体"/>
                <w:szCs w:val="21"/>
              </w:rPr>
            </w:pPr>
            <w:r>
              <w:rPr>
                <w:rFonts w:hint="eastAsia" w:ascii="宋体" w:hAnsi="宋体" w:eastAsia="宋体"/>
                <w:szCs w:val="21"/>
              </w:rPr>
              <w:t>投标</w:t>
            </w:r>
            <w:r>
              <w:rPr>
                <w:rFonts w:hint="eastAsia" w:ascii="宋体" w:hAnsi="宋体" w:eastAsia="宋体"/>
                <w:szCs w:val="21"/>
                <w:lang w:val="en-US" w:eastAsia="zh-CN"/>
              </w:rPr>
              <w:t>人</w:t>
            </w:r>
            <w:r>
              <w:rPr>
                <w:rFonts w:hint="eastAsia" w:ascii="宋体" w:hAnsi="宋体" w:eastAsia="宋体"/>
                <w:szCs w:val="21"/>
              </w:rPr>
              <w:t>授权代表须熟记文件密码，否则做废标处理。投标文件递交时间截止后，不再接受任何理由的撤回或重新提交文件请求。</w:t>
            </w:r>
          </w:p>
          <w:p>
            <w:pPr>
              <w:pStyle w:val="25"/>
              <w:numPr>
                <w:ilvl w:val="0"/>
                <w:numId w:val="3"/>
              </w:numPr>
              <w:ind w:left="541" w:hanging="541"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5"/>
              <w:numPr>
                <w:ilvl w:val="0"/>
                <w:numId w:val="3"/>
              </w:numPr>
              <w:ind w:left="541" w:hanging="541"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w:t>
            </w:r>
            <w:r>
              <w:rPr>
                <w:rFonts w:ascii="宋体" w:hAnsi="宋体" w:eastAsia="宋体"/>
                <w:szCs w:val="21"/>
              </w:rPr>
              <w:t>ord</w:t>
            </w:r>
            <w:r>
              <w:rPr>
                <w:rFonts w:hint="eastAsia" w:ascii="宋体" w:hAnsi="宋体" w:eastAsia="宋体"/>
                <w:szCs w:val="21"/>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28</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132173258</w:t>
            </w:r>
            <w:r>
              <w:rPr>
                <w:rFonts w:hint="eastAsia" w:ascii="宋体" w:hAnsi="宋体"/>
                <w:szCs w:val="21"/>
              </w:rPr>
              <w:t>（免密），届时请各投标人按采购公告要求准时提交投标文件及密码并参加在线开标。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color w:val="FF0000"/>
                <w:highlight w:val="yellow"/>
              </w:rPr>
              <w:t>https://cg.szcec.com/sharing/J0nznEOV1</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kern w:val="0"/>
                <w:szCs w:val="21"/>
              </w:rPr>
            </w:pPr>
            <w:r>
              <w:rPr>
                <w:rFonts w:hint="eastAsia" w:ascii="宋体" w:hAnsi="宋体" w:cstheme="minorBidi"/>
                <w:color w:val="auto"/>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pStyle w:val="25"/>
              <w:numPr>
                <w:ilvl w:val="0"/>
                <w:numId w:val="0"/>
              </w:numPr>
              <w:tabs>
                <w:tab w:val="left" w:pos="541"/>
              </w:tabs>
              <w:snapToGrid w:val="0"/>
              <w:rPr>
                <w:rFonts w:ascii="宋体" w:hAnsi="宋体" w:eastAsia="宋体"/>
                <w:kern w:val="0"/>
                <w:szCs w:val="21"/>
              </w:rPr>
            </w:pPr>
            <w:r>
              <w:rPr>
                <w:rFonts w:hint="eastAsia" w:ascii="宋体" w:hAnsi="宋体" w:eastAsia="宋体" w:cstheme="minorBidi"/>
                <w:color w:val="auto"/>
                <w:kern w:val="2"/>
                <w:sz w:val="21"/>
                <w:szCs w:val="21"/>
                <w:highlight w:val="none"/>
                <w:lang w:val="en-US" w:eastAsia="zh-CN" w:bidi="ar-SA"/>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pStyle w:val="25"/>
              <w:numPr>
                <w:ilvl w:val="0"/>
                <w:numId w:val="0"/>
              </w:numPr>
              <w:autoSpaceDE w:val="0"/>
              <w:autoSpaceDN w:val="0"/>
              <w:adjustRightInd w:val="0"/>
              <w:snapToGrid w:val="0"/>
              <w:ind w:leftChars="0"/>
              <w:rPr>
                <w:rFonts w:ascii="宋体" w:hAnsi="宋体" w:eastAsia="宋体" w:cs="Segoe UI Symbol"/>
                <w:kern w:val="0"/>
                <w:szCs w:val="21"/>
              </w:rPr>
            </w:pPr>
            <w:r>
              <w:rPr>
                <w:rFonts w:hint="eastAsia" w:ascii="宋体" w:hAnsi="宋体" w:eastAsia="宋体" w:cs="Segoe UI Symbol"/>
                <w:color w:val="auto"/>
                <w:kern w:val="0"/>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FF0000"/>
                <w:szCs w:val="21"/>
                <w:u w:val="singl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tc>
      </w:tr>
    </w:tbl>
    <w:p>
      <w:pPr>
        <w:numPr>
          <w:ilvl w:val="0"/>
          <w:numId w:val="1"/>
        </w:numPr>
        <w:spacing w:line="560" w:lineRule="exact"/>
        <w:outlineLvl w:val="1"/>
        <w:rPr>
          <w:rFonts w:ascii="宋体" w:hAnsi="宋体"/>
          <w:b/>
          <w:szCs w:val="21"/>
        </w:rPr>
      </w:pPr>
      <w:bookmarkStart w:id="6" w:name="_Toc82684588"/>
      <w:bookmarkEnd w:id="6"/>
      <w:bookmarkStart w:id="7" w:name="_Toc82685541"/>
      <w:bookmarkEnd w:id="7"/>
      <w:bookmarkStart w:id="8" w:name="_Toc82591925"/>
      <w:bookmarkEnd w:id="8"/>
      <w:bookmarkStart w:id="9" w:name="_Toc82591927"/>
      <w:bookmarkEnd w:id="9"/>
      <w:bookmarkStart w:id="10" w:name="_Toc82684591"/>
      <w:bookmarkEnd w:id="10"/>
      <w:bookmarkStart w:id="11" w:name="_Toc82685540"/>
      <w:bookmarkEnd w:id="11"/>
      <w:bookmarkStart w:id="12" w:name="_Toc82685543"/>
      <w:bookmarkEnd w:id="12"/>
      <w:bookmarkStart w:id="13" w:name="_Toc82684703"/>
      <w:bookmarkEnd w:id="13"/>
      <w:bookmarkStart w:id="14" w:name="_Toc82684704"/>
      <w:bookmarkEnd w:id="14"/>
      <w:bookmarkStart w:id="15" w:name="_Toc82684590"/>
      <w:bookmarkEnd w:id="15"/>
      <w:bookmarkStart w:id="16" w:name="_Toc82591928"/>
      <w:bookmarkEnd w:id="16"/>
      <w:bookmarkStart w:id="17" w:name="_Toc82685542"/>
      <w:bookmarkEnd w:id="17"/>
      <w:bookmarkStart w:id="18" w:name="_Toc82684589"/>
      <w:bookmarkEnd w:id="18"/>
      <w:bookmarkStart w:id="19" w:name="_Toc82684706"/>
      <w:bookmarkEnd w:id="19"/>
      <w:bookmarkStart w:id="20" w:name="_Toc82684705"/>
      <w:bookmarkEnd w:id="20"/>
      <w:bookmarkStart w:id="21" w:name="_Toc82591926"/>
      <w:bookmarkEnd w:id="21"/>
      <w:bookmarkStart w:id="22" w:name="_Toc1067"/>
      <w:r>
        <w:rPr>
          <w:rFonts w:hint="eastAsia" w:ascii="宋体" w:hAnsi="宋体"/>
          <w:b/>
          <w:szCs w:val="21"/>
        </w:rPr>
        <w:t>特别说明</w:t>
      </w:r>
      <w:bookmarkEnd w:id="22"/>
    </w:p>
    <w:p>
      <w:pPr>
        <w:pStyle w:val="25"/>
        <w:numPr>
          <w:ilvl w:val="0"/>
          <w:numId w:val="4"/>
        </w:numPr>
        <w:spacing w:line="360" w:lineRule="auto"/>
        <w:ind w:left="0" w:firstLine="420" w:firstLineChars="0"/>
        <w:rPr>
          <w:rFonts w:ascii="宋体" w:hAnsi="宋体" w:eastAsia="宋体" w:cs="宋体"/>
          <w:szCs w:val="21"/>
        </w:rPr>
      </w:pPr>
      <w:bookmarkStart w:id="23" w:name="_Toc478387747"/>
      <w:bookmarkStart w:id="24" w:name="_Toc45028463"/>
      <w:bookmarkStart w:id="25" w:name="_Toc517278751"/>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5"/>
        <w:numPr>
          <w:ilvl w:val="0"/>
          <w:numId w:val="4"/>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w:t>
      </w:r>
      <w:r>
        <w:rPr>
          <w:rFonts w:hint="eastAsia" w:ascii="宋体" w:hAnsi="宋体" w:eastAsia="宋体" w:cs="宋体"/>
          <w:szCs w:val="21"/>
          <w:highlight w:val="none"/>
        </w:rPr>
        <w:t>的</w:t>
      </w:r>
      <w:r>
        <w:rPr>
          <w:rFonts w:hint="eastAsia" w:ascii="宋体" w:hAnsi="宋体" w:eastAsia="宋体" w:cs="宋体"/>
          <w:color w:val="auto"/>
          <w:szCs w:val="21"/>
          <w:highlight w:val="none"/>
        </w:rPr>
        <w:t>地址</w:t>
      </w:r>
      <w:r>
        <w:rPr>
          <w:rFonts w:hint="eastAsia" w:ascii="宋体" w:hAnsi="宋体" w:eastAsia="宋体" w:cs="宋体"/>
          <w:szCs w:val="21"/>
        </w:rPr>
        <w:t>发送和接收，否则可能导致文件不被接受的不利后果。</w:t>
      </w:r>
    </w:p>
    <w:p>
      <w:pPr>
        <w:pStyle w:val="25"/>
        <w:numPr>
          <w:ilvl w:val="0"/>
          <w:numId w:val="4"/>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5"/>
        <w:numPr>
          <w:ilvl w:val="0"/>
          <w:numId w:val="4"/>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5"/>
        <w:numPr>
          <w:ilvl w:val="0"/>
          <w:numId w:val="4"/>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p>
      <w:pPr>
        <w:pStyle w:val="25"/>
        <w:numPr>
          <w:ilvl w:val="0"/>
          <w:numId w:val="4"/>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pStyle w:val="25"/>
        <w:spacing w:line="360" w:lineRule="auto"/>
        <w:ind w:left="420" w:firstLine="0" w:firstLineChars="0"/>
        <w:rPr>
          <w:rFonts w:ascii="宋体" w:hAnsi="宋体" w:eastAsia="宋体" w:cs="宋体"/>
          <w:szCs w:val="21"/>
        </w:rPr>
      </w:pPr>
    </w:p>
    <w:p>
      <w:pPr>
        <w:numPr>
          <w:ilvl w:val="0"/>
          <w:numId w:val="1"/>
        </w:numPr>
        <w:spacing w:line="560" w:lineRule="exact"/>
        <w:outlineLvl w:val="1"/>
        <w:rPr>
          <w:rFonts w:ascii="宋体" w:hAnsi="宋体"/>
          <w:b/>
          <w:szCs w:val="21"/>
        </w:rPr>
      </w:pPr>
      <w:bookmarkStart w:id="26" w:name="_Toc82591989"/>
      <w:bookmarkEnd w:id="26"/>
      <w:bookmarkStart w:id="27" w:name="_Toc82591987"/>
      <w:bookmarkEnd w:id="27"/>
      <w:bookmarkStart w:id="28" w:name="_Toc82685545"/>
      <w:bookmarkEnd w:id="28"/>
      <w:bookmarkStart w:id="29" w:name="_Toc82591985"/>
      <w:bookmarkEnd w:id="29"/>
      <w:bookmarkStart w:id="30" w:name="_Toc82591986"/>
      <w:bookmarkEnd w:id="30"/>
      <w:bookmarkStart w:id="31" w:name="_Toc82684593"/>
      <w:bookmarkEnd w:id="31"/>
      <w:bookmarkStart w:id="32" w:name="_Toc82591930"/>
      <w:bookmarkEnd w:id="32"/>
      <w:bookmarkStart w:id="33" w:name="_Toc82684708"/>
      <w:bookmarkEnd w:id="33"/>
      <w:bookmarkStart w:id="34" w:name="_Toc82591988"/>
      <w:bookmarkEnd w:id="34"/>
      <w:bookmarkStart w:id="35" w:name="_Toc11210"/>
      <w:r>
        <w:rPr>
          <w:rFonts w:hint="eastAsia" w:ascii="宋体" w:hAnsi="宋体"/>
          <w:b/>
          <w:szCs w:val="21"/>
        </w:rPr>
        <w:t>投标文件编制</w:t>
      </w:r>
      <w:bookmarkEnd w:id="35"/>
    </w:p>
    <w:tbl>
      <w:tblPr>
        <w:tblStyle w:val="1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3"/>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color w:val="auto"/>
              </w:rPr>
              <w:t>信用中国网站</w:t>
            </w:r>
            <w:r>
              <w:rPr>
                <w:rFonts w:hint="eastAsia" w:ascii="宋体" w:hAnsi="宋体"/>
                <w:color w:val="auto"/>
                <w:lang w:eastAsia="zh-CN"/>
              </w:rPr>
              <w:t>（</w:t>
            </w:r>
            <w:r>
              <w:rPr>
                <w:rFonts w:ascii="宋体" w:hAnsi="宋体"/>
                <w:color w:val="auto"/>
              </w:rPr>
              <w:t>www.creditchina.gov.cn</w:t>
            </w:r>
            <w:r>
              <w:rPr>
                <w:rFonts w:hint="eastAsia" w:ascii="宋体" w:hAnsi="宋体"/>
                <w:color w:val="auto"/>
                <w:lang w:eastAsia="zh-CN"/>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8837"/>
      <w:r>
        <w:rPr>
          <w:rFonts w:hint="eastAsia" w:ascii="宋体" w:hAnsi="宋体"/>
          <w:b/>
          <w:szCs w:val="21"/>
        </w:rPr>
        <w:t>项目要求及数量</w:t>
      </w:r>
      <w:bookmarkEnd w:id="36"/>
    </w:p>
    <w:tbl>
      <w:tblPr>
        <w:tblStyle w:val="17"/>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5"/>
              </w:numPr>
              <w:tabs>
                <w:tab w:val="left" w:pos="531"/>
              </w:tabs>
              <w:snapToGrid w:val="0"/>
              <w:rPr>
                <w:rFonts w:hint="eastAsia" w:ascii="宋体"/>
                <w:color w:val="auto"/>
                <w:highlight w:val="none"/>
              </w:rPr>
            </w:pPr>
            <w:r>
              <w:rPr>
                <w:rFonts w:hint="eastAsia" w:ascii="宋体"/>
                <w:color w:val="auto"/>
                <w:highlight w:val="none"/>
              </w:rPr>
              <w:t>投标</w:t>
            </w:r>
            <w:r>
              <w:rPr>
                <w:rFonts w:hint="eastAsia" w:ascii="宋体"/>
                <w:color w:val="auto"/>
                <w:highlight w:val="none"/>
                <w:lang w:val="en-US" w:eastAsia="zh-CN"/>
              </w:rPr>
              <w:t>人</w:t>
            </w:r>
            <w:r>
              <w:rPr>
                <w:rFonts w:hint="eastAsia" w:ascii="宋体"/>
                <w:color w:val="auto"/>
                <w:highlight w:val="none"/>
              </w:rPr>
              <w:t>应为中华人民共和国境内注册且合法运作的独立法人或具有独立承担民事责任能力的其它组织。提供营业执照或法人证明文件或登记证书扫描件或复印件（加盖投标</w:t>
            </w:r>
            <w:r>
              <w:rPr>
                <w:rFonts w:hint="eastAsia" w:ascii="宋体"/>
                <w:color w:val="auto"/>
                <w:highlight w:val="none"/>
                <w:lang w:val="en-US" w:eastAsia="zh-CN"/>
              </w:rPr>
              <w:t>人</w:t>
            </w:r>
            <w:r>
              <w:rPr>
                <w:rFonts w:hint="eastAsia" w:ascii="宋体"/>
                <w:color w:val="auto"/>
                <w:highlight w:val="none"/>
              </w:rPr>
              <w:t>公章）。</w:t>
            </w:r>
          </w:p>
          <w:p>
            <w:pPr>
              <w:numPr>
                <w:ilvl w:val="0"/>
                <w:numId w:val="5"/>
              </w:numPr>
              <w:tabs>
                <w:tab w:val="left" w:pos="531"/>
              </w:tabs>
              <w:snapToGrid w:val="0"/>
              <w:rPr>
                <w:rFonts w:ascii="宋体"/>
                <w:color w:val="auto"/>
                <w:highlight w:val="none"/>
              </w:rPr>
            </w:pPr>
            <w:r>
              <w:rPr>
                <w:rFonts w:hint="eastAsia" w:ascii="宋体"/>
                <w:color w:val="auto"/>
                <w:highlight w:val="none"/>
              </w:rPr>
              <w:t>投标</w:t>
            </w:r>
            <w:r>
              <w:rPr>
                <w:rFonts w:hint="eastAsia" w:ascii="宋体"/>
                <w:color w:val="auto"/>
                <w:highlight w:val="none"/>
                <w:lang w:val="en-US" w:eastAsia="zh-CN"/>
              </w:rPr>
              <w:t>人</w:t>
            </w:r>
            <w:r>
              <w:rPr>
                <w:rFonts w:hint="eastAsia" w:ascii="宋体"/>
                <w:color w:val="auto"/>
                <w:highlight w:val="none"/>
              </w:rPr>
              <w:t>应无未改正的经营异常信息，无违法失信记录。须提供“信用中国”网站（www.creditchina.gov.cn）“信用服务”栏查询“重大税收违法案件当事人名单”“失信被执行人”信用记录查询网页截图，被列入失信被执行人、重大税收违法案件当事人名单的，拒绝参与本项目的采购活动。</w:t>
            </w:r>
          </w:p>
          <w:p>
            <w:pPr>
              <w:numPr>
                <w:ilvl w:val="0"/>
                <w:numId w:val="5"/>
              </w:numPr>
              <w:tabs>
                <w:tab w:val="left" w:pos="531"/>
              </w:tabs>
              <w:snapToGrid w:val="0"/>
              <w:rPr>
                <w:rFonts w:ascii="宋体" w:hAnsi="宋体" w:cs="宋体"/>
                <w:color w:val="auto"/>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为纸媒企业，需</w:t>
            </w:r>
            <w:r>
              <w:rPr>
                <w:rFonts w:hint="eastAsia" w:ascii="宋体" w:hAnsi="宋体" w:cs="宋体"/>
                <w:color w:val="auto"/>
                <w:szCs w:val="21"/>
                <w:highlight w:val="none"/>
              </w:rPr>
              <w:t>提供至少1个从20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年7月1日至</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公告发布之日期间（以合同签订时间为准），自办</w:t>
            </w:r>
            <w:r>
              <w:rPr>
                <w:rFonts w:hint="eastAsia" w:ascii="宋体" w:hAnsi="宋体" w:cs="宋体"/>
                <w:color w:val="auto"/>
                <w:szCs w:val="21"/>
                <w:highlight w:val="none"/>
                <w:lang w:val="en-US" w:eastAsia="zh-CN"/>
              </w:rPr>
              <w:t>或协办</w:t>
            </w:r>
            <w:r>
              <w:rPr>
                <w:rFonts w:hint="eastAsia" w:ascii="宋体" w:hAnsi="宋体" w:cs="宋体"/>
                <w:color w:val="auto"/>
                <w:szCs w:val="21"/>
                <w:highlight w:val="none"/>
              </w:rPr>
              <w:t>的刊物</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展会日报</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企业宣传刊物的案例证明文件。可接受的证明文件包括但不限于：项目合同关键页或刊物样本、图片复印件</w:t>
            </w:r>
            <w:r>
              <w:rPr>
                <w:rFonts w:hint="eastAsia" w:ascii="宋体" w:hAnsi="宋体" w:cs="宋体"/>
                <w:color w:val="auto"/>
                <w:szCs w:val="21"/>
                <w:highlight w:val="none"/>
                <w:lang w:val="en-US" w:eastAsia="zh-CN"/>
              </w:rPr>
              <w:t>或扫描</w:t>
            </w:r>
            <w:r>
              <w:rPr>
                <w:rFonts w:hint="eastAsia" w:ascii="宋体" w:hAnsi="宋体" w:cs="宋体"/>
                <w:color w:val="auto"/>
                <w:szCs w:val="21"/>
                <w:highlight w:val="none"/>
              </w:rPr>
              <w:t>件，并加盖</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公章。</w:t>
            </w:r>
          </w:p>
          <w:p>
            <w:pPr>
              <w:numPr>
                <w:ilvl w:val="0"/>
                <w:numId w:val="5"/>
              </w:numPr>
              <w:tabs>
                <w:tab w:val="left" w:pos="531"/>
              </w:tabs>
              <w:snapToGrid w:val="0"/>
              <w:rPr>
                <w:rFonts w:ascii="宋体" w:hAnsi="宋体" w:cs="宋体"/>
                <w:color w:val="auto"/>
                <w:highlight w:val="none"/>
              </w:rPr>
            </w:pPr>
            <w:r>
              <w:rPr>
                <w:rFonts w:hint="eastAsia" w:ascii="宋体" w:hAnsi="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6"/>
              </w:numPr>
              <w:tabs>
                <w:tab w:val="left" w:pos="531"/>
              </w:tabs>
              <w:snapToGrid w:val="0"/>
              <w:ind w:left="0" w:firstLine="0"/>
              <w:rPr>
                <w:rFonts w:ascii="宋体" w:hAnsi="宋体"/>
                <w:color w:val="auto"/>
                <w:szCs w:val="21"/>
                <w:highlight w:val="none"/>
              </w:rPr>
            </w:pPr>
            <w:r>
              <w:rPr>
                <w:rFonts w:hint="eastAsia" w:ascii="宋体" w:hAnsi="宋体" w:cs="仿宋_GB2312"/>
                <w:color w:val="auto"/>
                <w:szCs w:val="21"/>
                <w:highlight w:val="none"/>
              </w:rPr>
              <w:t>报价以人民币为结算币种，</w:t>
            </w:r>
            <w:r>
              <w:rPr>
                <w:rFonts w:hint="eastAsia" w:ascii="宋体" w:hAnsi="宋体"/>
                <w:color w:val="auto"/>
                <w:szCs w:val="21"/>
                <w:highlight w:val="none"/>
              </w:rPr>
              <w:t>报价应包含</w:t>
            </w:r>
            <w:r>
              <w:rPr>
                <w:rFonts w:hint="eastAsia" w:ascii="宋体" w:hAnsi="宋体"/>
                <w:color w:val="auto"/>
                <w:szCs w:val="21"/>
                <w:highlight w:val="none"/>
                <w:lang w:val="en-US" w:eastAsia="zh-CN"/>
              </w:rPr>
              <w:t>增值</w:t>
            </w:r>
            <w:r>
              <w:rPr>
                <w:rFonts w:hint="eastAsia" w:ascii="宋体" w:hAnsi="宋体"/>
                <w:color w:val="auto"/>
                <w:szCs w:val="21"/>
                <w:highlight w:val="none"/>
              </w:rPr>
              <w:t>税率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如为港澳台地区企业为报税率</w:t>
            </w:r>
            <w:r>
              <w:rPr>
                <w:rFonts w:hint="eastAsia" w:ascii="宋体" w:hAnsi="宋体"/>
                <w:color w:val="auto"/>
                <w:szCs w:val="21"/>
                <w:highlight w:val="none"/>
                <w:lang w:eastAsia="zh-CN"/>
              </w:rPr>
              <w:t>）</w:t>
            </w:r>
            <w:r>
              <w:rPr>
                <w:rFonts w:hint="eastAsia" w:ascii="宋体" w:hAnsi="宋体"/>
                <w:color w:val="auto"/>
                <w:szCs w:val="21"/>
                <w:highlight w:val="none"/>
              </w:rPr>
              <w:t>、税前及税后的单价和总价。</w:t>
            </w:r>
          </w:p>
          <w:p>
            <w:pPr>
              <w:numPr>
                <w:ilvl w:val="0"/>
                <w:numId w:val="6"/>
              </w:numPr>
              <w:tabs>
                <w:tab w:val="left" w:pos="531"/>
              </w:tabs>
              <w:snapToGrid w:val="0"/>
              <w:ind w:left="0" w:firstLine="0"/>
              <w:rPr>
                <w:rFonts w:ascii="宋体" w:hAnsi="宋体" w:cs="仿宋_GB2312"/>
                <w:color w:val="auto"/>
                <w:szCs w:val="21"/>
                <w:highlight w:val="none"/>
              </w:rPr>
            </w:pPr>
            <w:r>
              <w:rPr>
                <w:rFonts w:hint="eastAsia" w:ascii="宋体" w:hAnsi="宋体" w:cs="仿宋_GB2312"/>
                <w:color w:val="auto"/>
                <w:szCs w:val="21"/>
                <w:highlight w:val="none"/>
              </w:rPr>
              <w:t>投标报价不得出现可选择性的报价,含有备选方案的报价将导致废标。</w:t>
            </w:r>
          </w:p>
          <w:p>
            <w:pPr>
              <w:numPr>
                <w:ilvl w:val="0"/>
                <w:numId w:val="6"/>
              </w:numPr>
              <w:tabs>
                <w:tab w:val="left" w:pos="531"/>
              </w:tabs>
              <w:snapToGrid w:val="0"/>
              <w:ind w:left="0" w:firstLine="0"/>
              <w:rPr>
                <w:color w:val="auto"/>
                <w:highlight w:val="none"/>
              </w:rPr>
            </w:pPr>
            <w:r>
              <w:rPr>
                <w:rFonts w:hint="eastAsia" w:ascii="宋体" w:hAnsi="宋体" w:cs="仿宋_GB2312"/>
                <w:color w:val="auto"/>
                <w:szCs w:val="21"/>
                <w:highlight w:val="none"/>
              </w:rPr>
              <w:t>投标报价包括但不限于策划费、稿费、编辑费、校对费</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项目管理执行费、增值税（港澳台地区企业为税费）</w:t>
            </w:r>
            <w:r>
              <w:rPr>
                <w:rFonts w:hint="eastAsia" w:ascii="宋体" w:hAnsi="宋体"/>
                <w:color w:val="auto"/>
                <w:szCs w:val="21"/>
                <w:highlight w:val="none"/>
              </w:rPr>
              <w:t>等</w:t>
            </w:r>
            <w:r>
              <w:rPr>
                <w:rFonts w:hint="eastAsia" w:ascii="宋体" w:hAnsi="宋体" w:cs="仿宋_GB2312"/>
                <w:color w:val="auto"/>
                <w:szCs w:val="21"/>
                <w:highlight w:val="none"/>
              </w:rPr>
              <w:t>完成本项目所需的全部费用。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FF0000"/>
                <w:szCs w:val="21"/>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三年</w:t>
            </w:r>
            <w:r>
              <w:rPr>
                <w:rFonts w:hint="eastAsia" w:ascii="宋体" w:hAnsi="宋体" w:cs="宋体"/>
                <w:color w:val="auto"/>
                <w:szCs w:val="21"/>
                <w:highlight w:val="none"/>
              </w:rPr>
              <w:t>采购控制金额为人民币</w:t>
            </w:r>
            <w:r>
              <w:rPr>
                <w:rFonts w:hint="eastAsia" w:ascii="宋体" w:hAnsi="宋体"/>
                <w:color w:val="auto"/>
                <w:szCs w:val="21"/>
                <w:highlight w:val="none"/>
                <w:lang w:val="en-US" w:eastAsia="zh-CN"/>
              </w:rPr>
              <w:t>30</w:t>
            </w:r>
            <w:r>
              <w:rPr>
                <w:rFonts w:ascii="宋体" w:hAnsi="宋体" w:cs="宋体"/>
                <w:color w:val="auto"/>
                <w:szCs w:val="21"/>
                <w:highlight w:val="none"/>
              </w:rPr>
              <w:t>万元（含税）</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年控制金额为10万元/年</w:t>
            </w:r>
            <w:r>
              <w:rPr>
                <w:rFonts w:ascii="宋体" w:hAnsi="宋体" w:cs="宋体"/>
                <w:color w:val="auto"/>
                <w:szCs w:val="21"/>
                <w:highlight w:val="none"/>
              </w:rPr>
              <w:t>（含税）</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合同执行</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hint="eastAsia" w:ascii="宋体" w:hAnsi="宋体" w:cs="宋体"/>
                <w:color w:val="auto"/>
                <w:szCs w:val="21"/>
                <w:highlight w:val="none"/>
              </w:rPr>
            </w:pPr>
            <w:r>
              <w:rPr>
                <w:rFonts w:hint="eastAsia" w:ascii="宋体" w:hAnsi="宋体" w:cs="宋体"/>
                <w:szCs w:val="21"/>
              </w:rPr>
              <w:t>合同服务期限为三年（1</w:t>
            </w:r>
            <w:r>
              <w:rPr>
                <w:rFonts w:ascii="宋体" w:hAnsi="宋体" w:cs="宋体"/>
                <w:szCs w:val="21"/>
              </w:rPr>
              <w:t>+</w:t>
            </w:r>
            <w:r>
              <w:rPr>
                <w:rFonts w:hint="eastAsia" w:ascii="宋体" w:hAnsi="宋体" w:cs="宋体"/>
                <w:szCs w:val="21"/>
              </w:rPr>
              <w:t>1+1模式），在第一年</w:t>
            </w:r>
            <w:r>
              <w:rPr>
                <w:rFonts w:hint="eastAsia" w:ascii="宋体" w:hAnsi="宋体" w:cs="宋体"/>
                <w:szCs w:val="21"/>
                <w:lang w:val="en-US" w:eastAsia="zh-CN"/>
              </w:rPr>
              <w:t>度结束前1个月</w:t>
            </w:r>
            <w:r>
              <w:rPr>
                <w:rFonts w:hint="eastAsia" w:ascii="宋体" w:hAnsi="宋体" w:cs="宋体"/>
                <w:szCs w:val="21"/>
              </w:rPr>
              <w:t>，招标人根据投标人的服务质量、各项承诺兑现情况等因素进行考核评</w:t>
            </w:r>
            <w:r>
              <w:rPr>
                <w:rFonts w:hint="eastAsia" w:ascii="宋体" w:hAnsi="宋体" w:cs="宋体"/>
                <w:szCs w:val="21"/>
                <w:lang w:val="en-US" w:eastAsia="zh-CN"/>
              </w:rPr>
              <w:t>审</w:t>
            </w:r>
            <w:r>
              <w:rPr>
                <w:rFonts w:hint="eastAsia" w:ascii="宋体" w:hAnsi="宋体" w:cs="宋体"/>
                <w:szCs w:val="21"/>
              </w:rPr>
              <w:t>，如考核达到优良（即考核评分达到80分或以上），则</w:t>
            </w:r>
            <w:r>
              <w:rPr>
                <w:rFonts w:hint="eastAsia" w:ascii="宋体" w:hAnsi="宋体" w:cs="宋体"/>
                <w:szCs w:val="21"/>
                <w:lang w:val="en-US" w:eastAsia="zh-CN"/>
              </w:rPr>
              <w:t>继续</w:t>
            </w:r>
            <w:r>
              <w:rPr>
                <w:rFonts w:hint="eastAsia" w:ascii="宋体" w:hAnsi="宋体" w:cs="宋体"/>
                <w:szCs w:val="21"/>
              </w:rPr>
              <w:t>执行第二年</w:t>
            </w:r>
            <w:r>
              <w:rPr>
                <w:rFonts w:hint="eastAsia" w:ascii="宋体" w:hAnsi="宋体" w:cs="宋体"/>
                <w:szCs w:val="21"/>
                <w:lang w:val="en-US" w:eastAsia="zh-CN"/>
              </w:rPr>
              <w:t>度</w:t>
            </w:r>
            <w:r>
              <w:rPr>
                <w:rFonts w:hint="eastAsia" w:ascii="宋体" w:hAnsi="宋体" w:cs="宋体"/>
                <w:szCs w:val="21"/>
              </w:rPr>
              <w:t>合同，如考核未达到优良，招标人有权在第一年服务期满时终止合同。下一年度合同以此类推。</w:t>
            </w:r>
            <w:r>
              <w:rPr>
                <w:rFonts w:hint="eastAsia" w:ascii="宋体" w:hAnsi="宋体" w:cs="宋体"/>
                <w:szCs w:val="21"/>
                <w:lang w:val="en-US" w:eastAsia="zh-CN"/>
              </w:rPr>
              <w:t>考核评审要求详见</w:t>
            </w:r>
            <w:r>
              <w:rPr>
                <w:rFonts w:hint="eastAsia" w:ascii="宋体" w:hAnsi="宋体" w:cs="宋体"/>
                <w:szCs w:val="21"/>
              </w:rPr>
              <w:t>《深圳会展中心服务机构履约评价表（服务类）》。如当年验收不合格则等同为考核不合格，招标人有权直接终止合同。</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7"/>
              </w:numPr>
              <w:tabs>
                <w:tab w:val="left" w:pos="531"/>
              </w:tabs>
              <w:snapToGrid w:val="0"/>
              <w:rPr>
                <w:rFonts w:ascii="宋体" w:hAnsi="宋体" w:cs="宋体"/>
                <w:color w:val="auto"/>
                <w:highlight w:val="none"/>
              </w:rPr>
            </w:pPr>
            <w:r>
              <w:rPr>
                <w:rFonts w:hint="eastAsia" w:hAnsi="宋体"/>
                <w:color w:val="auto"/>
                <w:szCs w:val="24"/>
                <w:highlight w:val="none"/>
              </w:rPr>
              <w:t>在双方签订合同</w:t>
            </w:r>
            <w:r>
              <w:rPr>
                <w:rFonts w:hint="eastAsia" w:hAnsi="宋体"/>
                <w:color w:val="auto"/>
                <w:szCs w:val="24"/>
                <w:highlight w:val="none"/>
                <w:lang w:val="en-US" w:eastAsia="zh-CN"/>
              </w:rPr>
              <w:t>后</w:t>
            </w:r>
            <w:r>
              <w:rPr>
                <w:rFonts w:hint="eastAsia" w:hAnsi="宋体"/>
                <w:color w:val="auto"/>
                <w:szCs w:val="24"/>
                <w:highlight w:val="none"/>
              </w:rPr>
              <w:t>支付</w:t>
            </w:r>
            <w:r>
              <w:rPr>
                <w:rFonts w:hint="eastAsia" w:ascii="宋体" w:hAnsi="宋体" w:cs="宋体"/>
                <w:color w:val="auto"/>
                <w:highlight w:val="none"/>
              </w:rPr>
              <w:t>合同总金额</w:t>
            </w:r>
            <w:r>
              <w:rPr>
                <w:rFonts w:hint="eastAsia" w:hAnsi="宋体"/>
                <w:color w:val="auto"/>
                <w:szCs w:val="24"/>
                <w:highlight w:val="none"/>
              </w:rPr>
              <w:t>的</w:t>
            </w:r>
            <w:r>
              <w:rPr>
                <w:rFonts w:hint="eastAsia" w:hAnsi="宋体"/>
                <w:color w:val="auto"/>
                <w:szCs w:val="24"/>
                <w:highlight w:val="none"/>
                <w:lang w:val="en-US" w:eastAsia="zh-CN"/>
              </w:rPr>
              <w:t>15</w:t>
            </w:r>
            <w:r>
              <w:rPr>
                <w:rFonts w:hint="eastAsia" w:hAnsi="宋体"/>
                <w:color w:val="auto"/>
                <w:szCs w:val="24"/>
                <w:highlight w:val="none"/>
              </w:rPr>
              <w:t>%</w:t>
            </w:r>
            <w:r>
              <w:rPr>
                <w:rFonts w:hint="eastAsia" w:hAnsi="宋体"/>
                <w:color w:val="auto"/>
                <w:szCs w:val="24"/>
                <w:highlight w:val="none"/>
                <w:lang w:eastAsia="zh-CN"/>
              </w:rPr>
              <w:t>。</w:t>
            </w:r>
          </w:p>
          <w:p>
            <w:pPr>
              <w:numPr>
                <w:ilvl w:val="0"/>
                <w:numId w:val="7"/>
              </w:numPr>
              <w:tabs>
                <w:tab w:val="left" w:pos="531"/>
              </w:tabs>
              <w:snapToGrid w:val="0"/>
              <w:rPr>
                <w:rFonts w:hint="eastAsia" w:ascii="宋体" w:hAnsi="宋体" w:cs="宋体"/>
                <w:color w:val="auto"/>
                <w:highlight w:val="none"/>
              </w:rPr>
            </w:pPr>
            <w:r>
              <w:rPr>
                <w:rFonts w:hint="eastAsia" w:ascii="宋体" w:hAnsi="宋体" w:cs="宋体"/>
                <w:color w:val="auto"/>
                <w:highlight w:val="none"/>
                <w:lang w:val="en-US" w:eastAsia="zh-CN"/>
              </w:rPr>
              <w:t>每年进行当年的</w:t>
            </w:r>
            <w:r>
              <w:rPr>
                <w:rFonts w:hint="eastAsia" w:ascii="宋体" w:hAnsi="宋体" w:cs="宋体"/>
                <w:color w:val="auto"/>
                <w:highlight w:val="none"/>
              </w:rPr>
              <w:t>项目验收</w:t>
            </w:r>
            <w:r>
              <w:rPr>
                <w:rFonts w:hint="eastAsia" w:ascii="宋体" w:hAnsi="宋体" w:cs="宋体"/>
                <w:color w:val="auto"/>
                <w:highlight w:val="none"/>
                <w:lang w:val="en-US" w:eastAsia="zh-CN"/>
              </w:rPr>
              <w:t>，根据完成情况进行当年费用结算</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第一年度结束时付款金额为第一年费用减去合同总金额的15%，如有扣款内容，还需扣除对应扣款，第二年、第三年在验收通过后支付当年费用，如有扣款内容，还需扣除对应扣款</w:t>
            </w:r>
            <w:r>
              <w:rPr>
                <w:rFonts w:hint="eastAsia" w:ascii="宋体" w:hAnsi="宋体" w:cs="宋体"/>
                <w:color w:val="auto"/>
                <w:highlight w:val="none"/>
              </w:rPr>
              <w:t>。</w:t>
            </w:r>
          </w:p>
          <w:p>
            <w:pPr>
              <w:numPr>
                <w:ilvl w:val="0"/>
                <w:numId w:val="7"/>
              </w:numPr>
              <w:tabs>
                <w:tab w:val="left" w:pos="531"/>
              </w:tabs>
              <w:snapToGrid w:val="0"/>
              <w:ind w:firstLine="0"/>
              <w:rPr>
                <w:rFonts w:ascii="宋体" w:hAnsi="宋体" w:cs="宋体"/>
                <w:color w:val="auto"/>
                <w:highlight w:val="none"/>
              </w:rPr>
            </w:pPr>
            <w:r>
              <w:rPr>
                <w:rFonts w:hint="eastAsia" w:ascii="宋体" w:hAnsi="宋体" w:cs="宋体"/>
                <w:color w:val="auto"/>
                <w:highlight w:val="none"/>
                <w:lang w:val="en-US" w:eastAsia="zh-CN"/>
              </w:rPr>
              <w:t>如考核未达到优良，招标人有权终止合同，</w:t>
            </w:r>
            <w:r>
              <w:rPr>
                <w:rFonts w:hint="eastAsia" w:ascii="宋体" w:hAnsi="宋体" w:cs="宋体"/>
                <w:color w:val="auto"/>
                <w:highlight w:val="none"/>
              </w:rPr>
              <w:t>在合同终止之日，根据双方沟通确认，若最终经</w:t>
            </w:r>
            <w:r>
              <w:rPr>
                <w:rFonts w:hint="eastAsia" w:ascii="宋体" w:hAnsi="宋体" w:cs="宋体"/>
                <w:color w:val="auto"/>
                <w:highlight w:val="none"/>
                <w:lang w:val="en-US" w:eastAsia="zh-CN"/>
              </w:rPr>
              <w:t>招标人</w:t>
            </w:r>
            <w:r>
              <w:rPr>
                <w:rFonts w:hint="eastAsia" w:ascii="宋体" w:hAnsi="宋体" w:cs="宋体"/>
                <w:color w:val="auto"/>
                <w:highlight w:val="none"/>
              </w:rPr>
              <w:t>审核通过的文章数量未达</w:t>
            </w:r>
            <w:r>
              <w:rPr>
                <w:rFonts w:hint="eastAsia" w:ascii="宋体" w:hAnsi="宋体" w:cs="宋体"/>
                <w:color w:val="auto"/>
                <w:highlight w:val="none"/>
                <w:lang w:val="en-US" w:eastAsia="zh-CN"/>
              </w:rPr>
              <w:t>480</w:t>
            </w:r>
            <w:r>
              <w:rPr>
                <w:rFonts w:hint="eastAsia" w:ascii="宋体" w:hAnsi="宋体" w:cs="宋体"/>
                <w:color w:val="auto"/>
                <w:highlight w:val="none"/>
              </w:rPr>
              <w:t>篇</w:t>
            </w:r>
            <w:r>
              <w:rPr>
                <w:rFonts w:hint="eastAsia" w:ascii="宋体" w:hAnsi="宋体" w:cs="宋体"/>
                <w:color w:val="auto"/>
                <w:highlight w:val="none"/>
                <w:lang w:eastAsia="zh-CN"/>
              </w:rPr>
              <w:t>（</w:t>
            </w:r>
            <w:r>
              <w:rPr>
                <w:rFonts w:hint="eastAsia" w:hAnsi="宋体" w:cs="宋体"/>
                <w:color w:val="auto"/>
                <w:highlight w:val="none"/>
                <w:lang w:val="en-US" w:eastAsia="zh-CN"/>
              </w:rPr>
              <w:t>第一年60篇，第二年及第三年均为21</w:t>
            </w:r>
            <w:r>
              <w:rPr>
                <w:rFonts w:hint="eastAsia" w:ascii="宋体" w:hAnsi="宋体" w:cs="宋体"/>
                <w:color w:val="auto"/>
                <w:highlight w:val="none"/>
                <w:lang w:val="en-US" w:eastAsia="zh-CN"/>
              </w:rPr>
              <w:t>0</w:t>
            </w:r>
            <w:r>
              <w:rPr>
                <w:rFonts w:hint="eastAsia" w:ascii="宋体" w:hAnsi="宋体" w:cs="宋体"/>
                <w:color w:val="auto"/>
                <w:highlight w:val="none"/>
              </w:rPr>
              <w:t>篇</w:t>
            </w:r>
            <w:r>
              <w:rPr>
                <w:rFonts w:hint="eastAsia" w:ascii="宋体" w:hAnsi="宋体" w:cs="宋体"/>
                <w:color w:val="auto"/>
                <w:highlight w:val="none"/>
                <w:lang w:eastAsia="zh-CN"/>
              </w:rPr>
              <w:t>）</w:t>
            </w:r>
            <w:r>
              <w:rPr>
                <w:rFonts w:hint="eastAsia" w:ascii="宋体" w:hAnsi="宋体" w:cs="宋体"/>
                <w:color w:val="auto"/>
                <w:highlight w:val="none"/>
              </w:rPr>
              <w:t>的数量要求，则根据实际审核通过的文章数量按照500元/篇的单价进行核算。若最终经甲方审核通过的文章数量未达</w:t>
            </w:r>
            <w:r>
              <w:rPr>
                <w:rFonts w:hint="eastAsia" w:ascii="宋体" w:hAnsi="宋体" w:cs="宋体"/>
                <w:color w:val="auto"/>
                <w:highlight w:val="none"/>
                <w:lang w:val="en-US" w:eastAsia="zh-CN"/>
              </w:rPr>
              <w:t>400</w:t>
            </w:r>
            <w:r>
              <w:rPr>
                <w:rFonts w:hint="eastAsia" w:ascii="宋体" w:hAnsi="宋体" w:cs="宋体"/>
                <w:color w:val="auto"/>
                <w:highlight w:val="none"/>
              </w:rPr>
              <w:t>篇，</w:t>
            </w:r>
            <w:r>
              <w:rPr>
                <w:rFonts w:hint="eastAsia" w:ascii="宋体" w:hAnsi="宋体" w:cs="宋体"/>
                <w:color w:val="auto"/>
                <w:highlight w:val="none"/>
                <w:lang w:val="en-US" w:eastAsia="zh-CN"/>
              </w:rPr>
              <w:t>中标人</w:t>
            </w:r>
            <w:r>
              <w:rPr>
                <w:rFonts w:hint="eastAsia" w:ascii="宋体" w:hAnsi="宋体" w:cs="宋体"/>
                <w:color w:val="auto"/>
                <w:highlight w:val="none"/>
              </w:rPr>
              <w:t>还需退还合同金额中的项目管理执行费用即人民币</w:t>
            </w:r>
            <w:r>
              <w:rPr>
                <w:rFonts w:hint="eastAsia" w:ascii="宋体" w:hAnsi="宋体" w:cs="宋体"/>
                <w:color w:val="auto"/>
                <w:highlight w:val="none"/>
                <w:lang w:val="en-US" w:eastAsia="zh-CN"/>
              </w:rPr>
              <w:t>肆</w:t>
            </w:r>
            <w:r>
              <w:rPr>
                <w:rFonts w:hint="eastAsia" w:ascii="宋体" w:hAnsi="宋体" w:cs="宋体"/>
                <w:color w:val="auto"/>
                <w:highlight w:val="none"/>
              </w:rPr>
              <w:t>万伍仟元整（￥</w:t>
            </w:r>
            <w:r>
              <w:rPr>
                <w:rFonts w:hint="eastAsia" w:ascii="宋体" w:hAnsi="宋体" w:cs="宋体"/>
                <w:color w:val="auto"/>
                <w:highlight w:val="none"/>
                <w:lang w:val="en-US" w:eastAsia="zh-CN"/>
              </w:rPr>
              <w:t>4</w:t>
            </w:r>
            <w:r>
              <w:rPr>
                <w:rFonts w:hint="eastAsia" w:ascii="宋体" w:hAnsi="宋体" w:cs="宋体"/>
                <w:color w:val="auto"/>
                <w:highlight w:val="none"/>
              </w:rPr>
              <w:t>5000元）。</w:t>
            </w:r>
          </w:p>
          <w:p>
            <w:pPr>
              <w:numPr>
                <w:ilvl w:val="0"/>
                <w:numId w:val="7"/>
              </w:numPr>
              <w:tabs>
                <w:tab w:val="left" w:pos="531"/>
              </w:tabs>
              <w:snapToGrid w:val="0"/>
              <w:ind w:left="0" w:firstLine="0"/>
              <w:rPr>
                <w:color w:val="FF0000"/>
              </w:rPr>
            </w:pPr>
            <w:r>
              <w:rPr>
                <w:rFonts w:hint="eastAsia" w:ascii="宋体" w:hAnsi="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color w:val="auto"/>
                <w:highlight w:val="none"/>
              </w:rPr>
              <w:t>知识产权保护</w:t>
            </w:r>
          </w:p>
        </w:tc>
        <w:tc>
          <w:tcPr>
            <w:tcW w:w="7438" w:type="dxa"/>
            <w:tcBorders>
              <w:top w:val="single" w:color="auto" w:sz="4" w:space="0"/>
              <w:left w:val="single" w:color="auto" w:sz="4" w:space="0"/>
              <w:bottom w:val="single" w:color="auto" w:sz="4" w:space="0"/>
              <w:right w:val="single" w:color="auto" w:sz="4" w:space="0"/>
            </w:tcBorders>
            <w:vAlign w:val="center"/>
          </w:tcPr>
          <w:p>
            <w:pPr>
              <w:pStyle w:val="13"/>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Cs w:val="21"/>
                <w:highlight w:val="none"/>
              </w:rPr>
              <w:t>（</w:t>
            </w:r>
            <w:r>
              <w:rPr>
                <w:rFonts w:hint="eastAsia" w:ascii="宋体" w:hAnsi="宋体" w:eastAsia="宋体" w:cs="宋体"/>
                <w:color w:val="auto"/>
                <w:kern w:val="2"/>
                <w:sz w:val="21"/>
                <w:szCs w:val="24"/>
                <w:highlight w:val="none"/>
                <w:lang w:val="en-US" w:eastAsia="zh-CN" w:bidi="ar-SA"/>
              </w:rPr>
              <w:t>1）本项目成果所有权归</w:t>
            </w:r>
            <w:r>
              <w:rPr>
                <w:rFonts w:hint="eastAsia" w:ascii="宋体" w:eastAsia="宋体" w:cs="宋体"/>
                <w:color w:val="auto"/>
                <w:kern w:val="2"/>
                <w:sz w:val="21"/>
                <w:szCs w:val="24"/>
                <w:highlight w:val="none"/>
                <w:lang w:val="en-US" w:eastAsia="zh-CN" w:bidi="ar-SA"/>
              </w:rPr>
              <w:t>招标人</w:t>
            </w:r>
            <w:r>
              <w:rPr>
                <w:rFonts w:hint="eastAsia" w:ascii="宋体" w:hAnsi="宋体" w:eastAsia="宋体" w:cs="宋体"/>
                <w:color w:val="auto"/>
                <w:kern w:val="2"/>
                <w:sz w:val="21"/>
                <w:szCs w:val="24"/>
                <w:highlight w:val="none"/>
                <w:lang w:val="en-US" w:eastAsia="zh-CN" w:bidi="ar-SA"/>
              </w:rPr>
              <w:t>所有。</w:t>
            </w:r>
          </w:p>
          <w:p>
            <w:pPr>
              <w:pStyle w:val="13"/>
              <w:rPr>
                <w:rFonts w:ascii="宋体" w:eastAsia="宋体" w:cs="宋体"/>
                <w:color w:val="FF0000"/>
                <w:highlight w:val="yellow"/>
              </w:rPr>
            </w:pPr>
            <w:r>
              <w:rPr>
                <w:rFonts w:hint="eastAsia" w:ascii="宋体" w:hAnsi="宋体" w:eastAsia="宋体" w:cs="宋体"/>
                <w:color w:val="auto"/>
                <w:kern w:val="2"/>
                <w:sz w:val="21"/>
                <w:szCs w:val="24"/>
                <w:highlight w:val="none"/>
                <w:lang w:val="en-US" w:eastAsia="zh-CN" w:bidi="ar-SA"/>
              </w:rPr>
              <w:t>（2）</w:t>
            </w:r>
            <w:r>
              <w:rPr>
                <w:rFonts w:hint="eastAsia" w:ascii="宋体" w:eastAsia="宋体" w:cs="宋体"/>
                <w:color w:val="auto"/>
                <w:kern w:val="2"/>
                <w:sz w:val="21"/>
                <w:szCs w:val="24"/>
                <w:highlight w:val="none"/>
                <w:lang w:val="en-US" w:eastAsia="zh-CN" w:bidi="ar-SA"/>
              </w:rPr>
              <w:t>中标人</w:t>
            </w:r>
            <w:r>
              <w:rPr>
                <w:rFonts w:hint="eastAsia" w:ascii="宋体" w:hAnsi="宋体" w:eastAsia="宋体" w:cs="宋体"/>
                <w:color w:val="auto"/>
                <w:kern w:val="2"/>
                <w:sz w:val="21"/>
                <w:szCs w:val="24"/>
                <w:highlight w:val="none"/>
                <w:lang w:val="en-US" w:eastAsia="zh-CN" w:bidi="ar-SA"/>
              </w:rPr>
              <w:t>必须对编写成果拥有著作版权，不得有模仿、抄袭等侵权行为，若因此所带来的经济和法律责任均由</w:t>
            </w:r>
            <w:r>
              <w:rPr>
                <w:rFonts w:hint="eastAsia" w:ascii="宋体" w:eastAsia="宋体" w:cs="宋体"/>
                <w:color w:val="auto"/>
                <w:kern w:val="2"/>
                <w:sz w:val="21"/>
                <w:szCs w:val="24"/>
                <w:highlight w:val="none"/>
                <w:lang w:val="en-US" w:eastAsia="zh-CN" w:bidi="ar-SA"/>
              </w:rPr>
              <w:t>中标人</w:t>
            </w:r>
            <w:r>
              <w:rPr>
                <w:rFonts w:hint="eastAsia" w:ascii="宋体" w:hAnsi="宋体" w:eastAsia="宋体" w:cs="宋体"/>
                <w:color w:val="auto"/>
                <w:kern w:val="2"/>
                <w:sz w:val="21"/>
                <w:szCs w:val="24"/>
                <w:highlight w:val="none"/>
                <w:lang w:val="en-US" w:eastAsia="zh-CN" w:bidi="ar-SA"/>
              </w:rPr>
              <w:t>自行承担；若给</w:t>
            </w:r>
            <w:r>
              <w:rPr>
                <w:rFonts w:hint="eastAsia" w:ascii="宋体" w:eastAsia="宋体" w:cs="宋体"/>
                <w:color w:val="auto"/>
                <w:kern w:val="2"/>
                <w:sz w:val="21"/>
                <w:szCs w:val="24"/>
                <w:highlight w:val="none"/>
                <w:lang w:val="en-US" w:eastAsia="zh-CN" w:bidi="ar-SA"/>
              </w:rPr>
              <w:t>招标</w:t>
            </w:r>
            <w:r>
              <w:rPr>
                <w:rFonts w:hint="eastAsia" w:ascii="宋体" w:hAnsi="宋体" w:eastAsia="宋体" w:cs="宋体"/>
                <w:color w:val="auto"/>
                <w:kern w:val="2"/>
                <w:sz w:val="21"/>
                <w:szCs w:val="24"/>
                <w:highlight w:val="none"/>
                <w:lang w:val="en-US" w:eastAsia="zh-CN" w:bidi="ar-SA"/>
              </w:rPr>
              <w:t>人造成损失的，</w:t>
            </w:r>
            <w:r>
              <w:rPr>
                <w:rFonts w:hint="eastAsia" w:ascii="宋体" w:eastAsia="宋体" w:cs="宋体"/>
                <w:color w:val="auto"/>
                <w:kern w:val="2"/>
                <w:sz w:val="21"/>
                <w:szCs w:val="24"/>
                <w:highlight w:val="none"/>
                <w:lang w:val="en-US" w:eastAsia="zh-CN" w:bidi="ar-SA"/>
              </w:rPr>
              <w:t>招标</w:t>
            </w:r>
            <w:r>
              <w:rPr>
                <w:rFonts w:hint="eastAsia" w:ascii="宋体" w:hAnsi="宋体" w:eastAsia="宋体" w:cs="宋体"/>
                <w:color w:val="auto"/>
                <w:kern w:val="2"/>
                <w:sz w:val="21"/>
                <w:szCs w:val="24"/>
                <w:highlight w:val="none"/>
                <w:lang w:val="en-US" w:eastAsia="zh-CN" w:bidi="ar-SA"/>
              </w:rPr>
              <w:t>人保留进一步追偿</w:t>
            </w:r>
            <w:r>
              <w:rPr>
                <w:rFonts w:hint="eastAsia" w:ascii="宋体" w:eastAsia="宋体" w:cs="宋体"/>
                <w:color w:val="auto"/>
                <w:kern w:val="2"/>
                <w:sz w:val="21"/>
                <w:szCs w:val="24"/>
                <w:highlight w:val="none"/>
                <w:lang w:val="en-US" w:eastAsia="zh-CN" w:bidi="ar-SA"/>
              </w:rPr>
              <w:t>全部损失</w:t>
            </w:r>
            <w:r>
              <w:rPr>
                <w:rFonts w:hint="eastAsia" w:ascii="宋体" w:hAnsi="宋体" w:eastAsia="宋体" w:cs="宋体"/>
                <w:color w:val="auto"/>
                <w:kern w:val="2"/>
                <w:sz w:val="21"/>
                <w:szCs w:val="24"/>
                <w:highlight w:val="none"/>
                <w:lang w:val="en-US" w:eastAsia="zh-CN" w:bidi="ar-SA"/>
              </w:rPr>
              <w:t>的权利。（详细事宜以合同条款为准）。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color w:val="auto"/>
                <w:highlight w:val="none"/>
              </w:rPr>
              <w:t>项目实施要求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6"/>
              <w:numPr>
                <w:ilvl w:val="0"/>
                <w:numId w:val="8"/>
              </w:numPr>
              <w:spacing w:before="93" w:beforeLines="30"/>
              <w:ind w:left="0" w:leftChars="0" w:firstLineChars="0"/>
              <w:rPr>
                <w:rFonts w:hint="eastAsia" w:ascii="Times New Roman" w:hAnsi="Times New Roman"/>
                <w:szCs w:val="24"/>
              </w:rPr>
            </w:pPr>
            <w:r>
              <w:rPr>
                <w:rFonts w:hint="eastAsia" w:ascii="Times New Roman" w:hAnsi="Times New Roman"/>
                <w:szCs w:val="24"/>
                <w:lang w:eastAsia="zh-CN"/>
              </w:rPr>
              <w:t>投标人</w:t>
            </w:r>
            <w:r>
              <w:rPr>
                <w:rFonts w:hint="eastAsia" w:ascii="Times New Roman" w:hAnsi="Times New Roman"/>
                <w:szCs w:val="24"/>
              </w:rPr>
              <w:t>应对高交会的发展历史、性质、内容，相关政策和方向理解透彻。</w:t>
            </w:r>
          </w:p>
          <w:p>
            <w:pPr>
              <w:pStyle w:val="6"/>
              <w:numPr>
                <w:ilvl w:val="0"/>
                <w:numId w:val="8"/>
              </w:numPr>
              <w:spacing w:before="93" w:beforeLines="30"/>
              <w:ind w:left="0" w:leftChars="0" w:firstLineChars="0"/>
              <w:rPr>
                <w:rFonts w:hint="eastAsia" w:ascii="Times New Roman" w:hAnsi="Times New Roman"/>
                <w:szCs w:val="24"/>
              </w:rPr>
            </w:pPr>
            <w:r>
              <w:rPr>
                <w:rFonts w:hint="eastAsia" w:ascii="Times New Roman" w:hAnsi="Times New Roman"/>
                <w:szCs w:val="24"/>
                <w:lang w:eastAsia="zh-CN"/>
              </w:rPr>
              <w:t>投标人</w:t>
            </w:r>
            <w:r>
              <w:rPr>
                <w:rFonts w:hint="eastAsia" w:ascii="Times New Roman" w:hAnsi="Times New Roman"/>
                <w:szCs w:val="24"/>
                <w:lang w:val="en-US" w:eastAsia="zh-CN"/>
              </w:rPr>
              <w:t>需有科技行业文章撰写经验，文章文笔优秀、立意新颖。</w:t>
            </w:r>
          </w:p>
          <w:p>
            <w:pPr>
              <w:pStyle w:val="6"/>
              <w:numPr>
                <w:ilvl w:val="0"/>
                <w:numId w:val="8"/>
              </w:numPr>
              <w:spacing w:before="93" w:beforeLines="30"/>
              <w:ind w:left="0" w:leftChars="0" w:firstLineChars="0"/>
              <w:rPr>
                <w:rFonts w:ascii="宋体" w:hAnsi="宋体"/>
                <w:color w:val="FF0000"/>
              </w:rPr>
            </w:pPr>
            <w:r>
              <w:rPr>
                <w:rFonts w:hint="eastAsia" w:ascii="Times New Roman" w:hAnsi="Times New Roman"/>
                <w:szCs w:val="24"/>
                <w:lang w:eastAsia="zh-CN"/>
              </w:rPr>
              <w:t>投标人</w:t>
            </w:r>
            <w:r>
              <w:rPr>
                <w:rFonts w:hint="eastAsia" w:ascii="Times New Roman" w:hAnsi="Times New Roman"/>
                <w:szCs w:val="24"/>
                <w:lang w:val="en-US" w:eastAsia="zh-CN"/>
              </w:rPr>
              <w:t>需</w:t>
            </w:r>
            <w:r>
              <w:rPr>
                <w:rFonts w:hint="eastAsia"/>
              </w:rPr>
              <w:t>进行策划创作方向、素材收集整理、文章撰写等相关工作，文章最终由</w:t>
            </w:r>
            <w:r>
              <w:rPr>
                <w:rFonts w:hint="eastAsia"/>
                <w:lang w:val="en-US" w:eastAsia="zh-CN"/>
              </w:rPr>
              <w:t>招标</w:t>
            </w:r>
            <w:r>
              <w:rPr>
                <w:rFonts w:hint="eastAsia"/>
              </w:rPr>
              <w:t>方决定是否采用</w:t>
            </w:r>
            <w:r>
              <w:rPr>
                <w:rFonts w:hint="eastAsia"/>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Times New Roman" w:hAnsi="Times New Roman" w:eastAsia="宋体"/>
                <w:color w:val="auto"/>
                <w:sz w:val="21"/>
                <w:szCs w:val="24"/>
                <w:highlight w:val="none"/>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6"/>
              <w:numPr>
                <w:ilvl w:val="0"/>
                <w:numId w:val="0"/>
              </w:numPr>
              <w:spacing w:before="93" w:beforeLines="30"/>
              <w:rPr>
                <w:rFonts w:hint="eastAsia" w:ascii="Times New Roman" w:hAnsi="Times New Roman"/>
                <w:szCs w:val="24"/>
              </w:rPr>
            </w:pPr>
          </w:p>
          <w:p>
            <w:pPr>
              <w:pStyle w:val="6"/>
              <w:numPr>
                <w:ilvl w:val="0"/>
                <w:numId w:val="9"/>
              </w:numPr>
              <w:spacing w:before="93" w:beforeLines="30"/>
              <w:rPr>
                <w:rFonts w:hint="eastAsia" w:ascii="Times New Roman" w:hAnsi="Times New Roman"/>
                <w:szCs w:val="24"/>
                <w:lang w:eastAsia="zh-CN"/>
              </w:rPr>
            </w:pPr>
            <w:r>
              <w:rPr>
                <w:rFonts w:hint="eastAsia" w:ascii="Times New Roman" w:hAnsi="Times New Roman"/>
                <w:szCs w:val="24"/>
              </w:rPr>
              <w:t>以“刊登在</w:t>
            </w:r>
            <w:r>
              <w:rPr>
                <w:rFonts w:hint="eastAsia" w:ascii="Times New Roman" w:hAnsi="Times New Roman"/>
                <w:szCs w:val="24"/>
                <w:lang w:val="en-US" w:eastAsia="zh-CN"/>
              </w:rPr>
              <w:t>高交会</w:t>
            </w:r>
            <w:r>
              <w:rPr>
                <w:rFonts w:hint="eastAsia" w:ascii="Times New Roman" w:hAnsi="Times New Roman"/>
                <w:szCs w:val="24"/>
              </w:rPr>
              <w:t>官方网</w:t>
            </w:r>
            <w:r>
              <w:rPr>
                <w:rFonts w:ascii="Times New Roman" w:hAnsi="Times New Roman"/>
                <w:szCs w:val="24"/>
              </w:rPr>
              <w:t>www.chtf.com</w:t>
            </w:r>
            <w:r>
              <w:rPr>
                <w:rFonts w:hint="eastAsia" w:ascii="Times New Roman" w:hAnsi="Times New Roman"/>
                <w:szCs w:val="24"/>
              </w:rPr>
              <w:t>‘亮点抢先看’栏目”作为文章被采用的标准，</w:t>
            </w:r>
            <w:r>
              <w:rPr>
                <w:rFonts w:hint="eastAsia" w:ascii="Times New Roman" w:hAnsi="Times New Roman"/>
                <w:szCs w:val="24"/>
                <w:lang w:val="en-US" w:eastAsia="zh-CN"/>
              </w:rPr>
              <w:t>高交会</w:t>
            </w:r>
            <w:r>
              <w:rPr>
                <w:rFonts w:hint="eastAsia" w:ascii="Times New Roman" w:hAnsi="Times New Roman"/>
                <w:szCs w:val="24"/>
              </w:rPr>
              <w:t>拥有文章的发表及其他使用权</w:t>
            </w:r>
            <w:r>
              <w:rPr>
                <w:rFonts w:hint="eastAsia" w:ascii="Times New Roman" w:hAnsi="Times New Roman"/>
                <w:szCs w:val="24"/>
                <w:lang w:eastAsia="zh-CN"/>
              </w:rPr>
              <w:t>。</w:t>
            </w:r>
          </w:p>
          <w:p>
            <w:pPr>
              <w:pStyle w:val="6"/>
              <w:numPr>
                <w:ilvl w:val="0"/>
                <w:numId w:val="9"/>
              </w:numPr>
              <w:spacing w:before="93" w:beforeLines="30"/>
              <w:rPr>
                <w:rFonts w:hint="eastAsia" w:ascii="Times New Roman" w:hAnsi="Times New Roman"/>
                <w:szCs w:val="24"/>
              </w:rPr>
            </w:pPr>
            <w:r>
              <w:rPr>
                <w:rFonts w:hint="eastAsia" w:ascii="Times New Roman" w:hAnsi="Times New Roman"/>
                <w:szCs w:val="24"/>
              </w:rPr>
              <w:t>保证每篇文章字数不少于</w:t>
            </w:r>
            <w:r>
              <w:rPr>
                <w:rFonts w:hint="eastAsia" w:ascii="Times New Roman" w:hAnsi="Times New Roman"/>
                <w:szCs w:val="24"/>
                <w:u w:val="none"/>
              </w:rPr>
              <w:t>500</w:t>
            </w:r>
            <w:r>
              <w:rPr>
                <w:rFonts w:hint="eastAsia" w:ascii="Times New Roman" w:hAnsi="Times New Roman"/>
                <w:szCs w:val="24"/>
              </w:rPr>
              <w:t>字，于合作期限内，撰写并被采用的文章总篇数共</w:t>
            </w:r>
            <w:r>
              <w:rPr>
                <w:rFonts w:hint="eastAsia" w:ascii="Times New Roman" w:hAnsi="Times New Roman"/>
                <w:szCs w:val="24"/>
                <w:u w:val="none"/>
                <w:lang w:val="en-US" w:eastAsia="zh-CN"/>
              </w:rPr>
              <w:t>480</w:t>
            </w:r>
            <w:r>
              <w:rPr>
                <w:rFonts w:hint="eastAsia" w:ascii="Times New Roman" w:hAnsi="Times New Roman"/>
                <w:szCs w:val="24"/>
              </w:rPr>
              <w:t>篇。</w:t>
            </w:r>
          </w:p>
          <w:p>
            <w:pPr>
              <w:pStyle w:val="6"/>
              <w:numPr>
                <w:ilvl w:val="0"/>
                <w:numId w:val="9"/>
              </w:numPr>
              <w:spacing w:before="93" w:beforeLines="30"/>
              <w:rPr>
                <w:rFonts w:hint="eastAsia" w:ascii="Times New Roman" w:hAnsi="Times New Roman"/>
                <w:szCs w:val="24"/>
              </w:rPr>
            </w:pPr>
            <w:r>
              <w:rPr>
                <w:rFonts w:hint="eastAsia" w:ascii="Times New Roman" w:hAnsi="Times New Roman"/>
                <w:szCs w:val="24"/>
                <w:lang w:val="en-US" w:eastAsia="zh-CN"/>
              </w:rPr>
              <w:t>中标人应按与招标人拟定的投放计划投放文章。各年度通过招标人</w:t>
            </w:r>
            <w:r>
              <w:rPr>
                <w:rFonts w:hint="eastAsia" w:ascii="宋体" w:hAnsi="宋体" w:cs="宋体"/>
                <w:color w:val="auto"/>
                <w:highlight w:val="none"/>
              </w:rPr>
              <w:t>审核通过的文章数量</w:t>
            </w:r>
            <w:r>
              <w:rPr>
                <w:rFonts w:hint="eastAsia" w:hAnsi="宋体" w:cs="宋体"/>
                <w:color w:val="auto"/>
                <w:highlight w:val="none"/>
                <w:lang w:val="en-US" w:eastAsia="zh-CN"/>
              </w:rPr>
              <w:t>需达到第一年60篇，第二年及第三年均为21</w:t>
            </w:r>
            <w:r>
              <w:rPr>
                <w:rFonts w:hint="eastAsia" w:ascii="宋体" w:hAnsi="宋体" w:cs="宋体"/>
                <w:color w:val="auto"/>
                <w:highlight w:val="none"/>
                <w:lang w:val="en-US" w:eastAsia="zh-CN"/>
              </w:rPr>
              <w:t>0</w:t>
            </w:r>
            <w:r>
              <w:rPr>
                <w:rFonts w:hint="eastAsia" w:ascii="宋体" w:hAnsi="宋体" w:cs="宋体"/>
                <w:color w:val="auto"/>
                <w:highlight w:val="none"/>
              </w:rPr>
              <w:t>篇</w:t>
            </w:r>
            <w:r>
              <w:rPr>
                <w:rFonts w:hint="eastAsia" w:hAnsi="宋体" w:cs="宋体"/>
                <w:color w:val="auto"/>
                <w:highlight w:val="none"/>
                <w:lang w:eastAsia="zh-CN"/>
              </w:rPr>
              <w:t>，</w:t>
            </w:r>
            <w:r>
              <w:rPr>
                <w:rFonts w:hint="eastAsia" w:hAnsi="宋体" w:cs="宋体"/>
                <w:color w:val="auto"/>
                <w:highlight w:val="none"/>
                <w:lang w:val="en-US" w:eastAsia="zh-CN"/>
              </w:rPr>
              <w:t>三年共480篇</w:t>
            </w:r>
            <w:r>
              <w:rPr>
                <w:rFonts w:hint="eastAsia" w:hAnsi="宋体" w:cs="宋体"/>
                <w:color w:val="auto"/>
                <w:highlight w:val="none"/>
                <w:lang w:eastAsia="zh-CN"/>
              </w:rPr>
              <w:t>。</w:t>
            </w:r>
            <w:r>
              <w:rPr>
                <w:rFonts w:hint="eastAsia" w:hAnsi="宋体" w:cs="宋体"/>
                <w:color w:val="auto"/>
                <w:highlight w:val="none"/>
                <w:lang w:val="en-US" w:eastAsia="zh-CN"/>
              </w:rPr>
              <w:t>未达到数量要求的按合同约定进行相应款项的扣款。</w:t>
            </w:r>
          </w:p>
          <w:p>
            <w:pPr>
              <w:tabs>
                <w:tab w:val="left" w:pos="531"/>
              </w:tabs>
              <w:snapToGrid w:val="0"/>
              <w:rPr>
                <w:color w:val="FF0000"/>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Times New Roman" w:hAnsi="Times New Roman" w:eastAsia="宋体"/>
                <w:color w:val="auto"/>
                <w:sz w:val="21"/>
                <w:szCs w:val="24"/>
                <w:highlight w:val="none"/>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pStyle w:val="6"/>
              <w:numPr>
                <w:ilvl w:val="0"/>
                <w:numId w:val="10"/>
              </w:numPr>
              <w:spacing w:before="93" w:beforeLines="30"/>
              <w:ind w:firstLine="210" w:firstLineChars="100"/>
              <w:rPr>
                <w:rFonts w:hint="eastAsia" w:ascii="Times New Roman" w:hAnsi="Times New Roman"/>
                <w:szCs w:val="24"/>
                <w:lang w:eastAsia="zh-CN"/>
              </w:rPr>
            </w:pPr>
            <w:r>
              <w:rPr>
                <w:rFonts w:hint="eastAsia" w:ascii="Times New Roman" w:hAnsi="Times New Roman"/>
                <w:szCs w:val="24"/>
                <w:lang w:eastAsia="zh-CN"/>
              </w:rPr>
              <w:t>投标人</w:t>
            </w:r>
            <w:r>
              <w:rPr>
                <w:rFonts w:hint="eastAsia" w:ascii="Times New Roman" w:hAnsi="Times New Roman"/>
                <w:szCs w:val="24"/>
                <w:lang w:val="en-US" w:eastAsia="zh-CN"/>
              </w:rPr>
              <w:t>需</w:t>
            </w:r>
            <w:r>
              <w:rPr>
                <w:rFonts w:hint="eastAsia" w:ascii="Times New Roman" w:hAnsi="Times New Roman"/>
                <w:szCs w:val="24"/>
              </w:rPr>
              <w:t>保证未被</w:t>
            </w:r>
            <w:r>
              <w:rPr>
                <w:rFonts w:hint="eastAsia" w:ascii="Times New Roman" w:hAnsi="Times New Roman"/>
                <w:szCs w:val="24"/>
                <w:lang w:val="en-US" w:eastAsia="zh-CN"/>
              </w:rPr>
              <w:t>高交会</w:t>
            </w:r>
            <w:r>
              <w:rPr>
                <w:rFonts w:hint="eastAsia" w:ascii="Times New Roman" w:hAnsi="Times New Roman"/>
                <w:szCs w:val="24"/>
              </w:rPr>
              <w:t>采用的文章，不会在其他任何场合公开场所使用</w:t>
            </w:r>
            <w:r>
              <w:rPr>
                <w:rFonts w:hint="eastAsia" w:ascii="Times New Roman" w:hAnsi="Times New Roman"/>
                <w:szCs w:val="24"/>
                <w:lang w:eastAsia="zh-CN"/>
              </w:rPr>
              <w:t>。</w:t>
            </w:r>
          </w:p>
          <w:p>
            <w:pPr>
              <w:pStyle w:val="6"/>
              <w:numPr>
                <w:ilvl w:val="0"/>
                <w:numId w:val="10"/>
              </w:numPr>
              <w:spacing w:before="93" w:beforeLines="30"/>
              <w:ind w:firstLine="210" w:firstLineChars="100"/>
              <w:rPr>
                <w:rFonts w:hint="eastAsia" w:ascii="Times New Roman" w:hAnsi="Times New Roman"/>
                <w:szCs w:val="24"/>
              </w:rPr>
            </w:pPr>
            <w:r>
              <w:rPr>
                <w:rFonts w:hint="eastAsia" w:ascii="Times New Roman" w:hAnsi="Times New Roman"/>
                <w:szCs w:val="24"/>
                <w:lang w:eastAsia="zh-CN"/>
              </w:rPr>
              <w:t>投标人</w:t>
            </w:r>
            <w:r>
              <w:rPr>
                <w:rFonts w:hint="eastAsia" w:ascii="Times New Roman" w:hAnsi="Times New Roman"/>
                <w:szCs w:val="24"/>
                <w:lang w:val="en-US" w:eastAsia="zh-CN"/>
              </w:rPr>
              <w:t>需</w:t>
            </w:r>
            <w:r>
              <w:rPr>
                <w:rFonts w:hint="eastAsia" w:ascii="Times New Roman" w:hAnsi="Times New Roman"/>
                <w:szCs w:val="24"/>
              </w:rPr>
              <w:t>保证不得将甲方提供文章的参考主题、创作素材及相关内容等任何信息泄露给第三方；因此而导致任何争议，由</w:t>
            </w:r>
            <w:r>
              <w:rPr>
                <w:rFonts w:hint="eastAsia" w:ascii="Times New Roman" w:hAnsi="Times New Roman"/>
                <w:szCs w:val="24"/>
                <w:lang w:eastAsia="zh-CN"/>
              </w:rPr>
              <w:t>投标人</w:t>
            </w:r>
            <w:r>
              <w:rPr>
                <w:rFonts w:hint="eastAsia" w:ascii="Times New Roman" w:hAnsi="Times New Roman"/>
                <w:szCs w:val="24"/>
              </w:rPr>
              <w:t>负责解决，并赔偿</w:t>
            </w:r>
            <w:r>
              <w:rPr>
                <w:rFonts w:hint="eastAsia" w:ascii="Times New Roman" w:hAnsi="Times New Roman"/>
                <w:szCs w:val="24"/>
                <w:lang w:val="en-US" w:eastAsia="zh-CN"/>
              </w:rPr>
              <w:t>招标人</w:t>
            </w:r>
            <w:r>
              <w:rPr>
                <w:rFonts w:hint="eastAsia" w:ascii="Times New Roman" w:hAnsi="Times New Roman"/>
                <w:szCs w:val="24"/>
              </w:rPr>
              <w:t>因此所遭受的一切损失</w:t>
            </w:r>
            <w:r>
              <w:rPr>
                <w:rFonts w:hint="eastAsia" w:ascii="Times New Roman" w:hAnsi="Times New Roman"/>
                <w:szCs w:val="24"/>
                <w:lang w:eastAsia="zh-CN"/>
              </w:rPr>
              <w:t>。</w:t>
            </w:r>
          </w:p>
          <w:p>
            <w:pPr>
              <w:pStyle w:val="6"/>
              <w:numPr>
                <w:ilvl w:val="0"/>
                <w:numId w:val="10"/>
              </w:numPr>
              <w:spacing w:before="93" w:beforeLines="30"/>
              <w:ind w:firstLine="210" w:firstLineChars="100"/>
              <w:rPr>
                <w:rFonts w:hint="eastAsia" w:ascii="Times New Roman" w:hAnsi="Times New Roman"/>
                <w:szCs w:val="24"/>
              </w:rPr>
            </w:pPr>
            <w:r>
              <w:rPr>
                <w:rFonts w:hint="eastAsia" w:ascii="Times New Roman" w:hAnsi="Times New Roman"/>
                <w:szCs w:val="24"/>
                <w:lang w:eastAsia="zh-CN"/>
              </w:rPr>
              <w:t>投标人</w:t>
            </w:r>
            <w:r>
              <w:rPr>
                <w:rFonts w:hint="eastAsia" w:ascii="Times New Roman" w:hAnsi="Times New Roman"/>
                <w:szCs w:val="24"/>
              </w:rPr>
              <w:t>不得以任何名义非法收受或索取高交会参展企业（个人）的财务，包括金钱、实物和其他用金钱计算数额的财产性利益</w:t>
            </w:r>
            <w:r>
              <w:rPr>
                <w:rFonts w:hint="eastAsia" w:ascii="Times New Roman" w:hAnsi="Times New Roman"/>
                <w:szCs w:val="24"/>
                <w:lang w:eastAsia="zh-CN"/>
              </w:rPr>
              <w:t>。</w:t>
            </w:r>
          </w:p>
          <w:p>
            <w:pPr>
              <w:pStyle w:val="6"/>
              <w:numPr>
                <w:ilvl w:val="0"/>
                <w:numId w:val="10"/>
              </w:numPr>
              <w:spacing w:before="93" w:beforeLines="30"/>
              <w:ind w:firstLine="210" w:firstLineChars="100"/>
              <w:rPr>
                <w:rFonts w:hint="eastAsia" w:ascii="Times New Roman" w:hAnsi="Times New Roman"/>
                <w:szCs w:val="24"/>
              </w:rPr>
            </w:pPr>
            <w:r>
              <w:rPr>
                <w:rFonts w:hint="eastAsia" w:ascii="Times New Roman" w:hAnsi="Times New Roman"/>
                <w:szCs w:val="24"/>
                <w:lang w:eastAsia="zh-CN"/>
              </w:rPr>
              <w:t>投标人</w:t>
            </w:r>
            <w:r>
              <w:rPr>
                <w:rFonts w:hint="eastAsia" w:ascii="Times New Roman" w:hAnsi="Times New Roman"/>
                <w:szCs w:val="24"/>
              </w:rPr>
              <w:t>应按照协议约定进行高交会自媒体文章撰写，不得借助合作身份从事与高交会自媒体内容制作无关的其他任何活动；</w:t>
            </w:r>
          </w:p>
          <w:p>
            <w:pPr>
              <w:pStyle w:val="6"/>
              <w:numPr>
                <w:ilvl w:val="0"/>
                <w:numId w:val="10"/>
              </w:numPr>
              <w:spacing w:before="93" w:beforeLines="30"/>
              <w:ind w:firstLine="210" w:firstLineChars="100"/>
              <w:rPr>
                <w:rFonts w:hint="eastAsia" w:ascii="Times New Roman" w:hAnsi="Times New Roman"/>
                <w:szCs w:val="24"/>
              </w:rPr>
            </w:pPr>
            <w:r>
              <w:rPr>
                <w:rFonts w:hint="eastAsia" w:ascii="Times New Roman" w:hAnsi="Times New Roman"/>
                <w:szCs w:val="24"/>
                <w:lang w:eastAsia="zh-CN"/>
              </w:rPr>
              <w:t>投标人</w:t>
            </w:r>
            <w:r>
              <w:rPr>
                <w:rFonts w:hint="eastAsia" w:ascii="Times New Roman" w:hAnsi="Times New Roman"/>
                <w:szCs w:val="24"/>
                <w:lang w:val="en-US" w:eastAsia="zh-CN"/>
              </w:rPr>
              <w:t>需</w:t>
            </w:r>
            <w:r>
              <w:rPr>
                <w:rFonts w:hint="eastAsia" w:ascii="Times New Roman" w:hAnsi="Times New Roman"/>
                <w:szCs w:val="24"/>
              </w:rPr>
              <w:t>应积极维护</w:t>
            </w:r>
            <w:r>
              <w:rPr>
                <w:rFonts w:hint="eastAsia" w:ascii="Times New Roman" w:hAnsi="Times New Roman"/>
                <w:szCs w:val="24"/>
                <w:lang w:val="en-US" w:eastAsia="zh-CN"/>
              </w:rPr>
              <w:t>高交会</w:t>
            </w:r>
            <w:r>
              <w:rPr>
                <w:rFonts w:hint="eastAsia" w:ascii="Times New Roman" w:hAnsi="Times New Roman"/>
                <w:szCs w:val="24"/>
              </w:rPr>
              <w:t>品牌形象和声誉。</w:t>
            </w:r>
          </w:p>
          <w:p>
            <w:pPr>
              <w:pStyle w:val="6"/>
              <w:numPr>
                <w:ilvl w:val="0"/>
                <w:numId w:val="10"/>
              </w:numPr>
              <w:spacing w:before="93" w:beforeLines="30"/>
              <w:ind w:firstLine="210" w:firstLineChars="100"/>
              <w:rPr>
                <w:rFonts w:hint="eastAsia" w:ascii="Times New Roman" w:hAnsi="Times New Roman"/>
                <w:szCs w:val="24"/>
              </w:rPr>
            </w:pPr>
            <w:r>
              <w:rPr>
                <w:rFonts w:ascii="宋体" w:hAnsi="宋体" w:cs="宋体"/>
                <w:szCs w:val="21"/>
              </w:rPr>
              <w:t>双方都有责任对对方提供的技术情报、资料数据及商业秘密保密。未经对方同意，任何一方不得以任何形式向第三方泄露本项目资料或在项目中接触到的资料，不得将其用于履行本合同之外的其他用途。</w:t>
            </w:r>
            <w:r>
              <w:rPr>
                <w:rFonts w:hint="eastAsia" w:ascii="宋体" w:hAnsi="宋体" w:cs="宋体"/>
                <w:szCs w:val="21"/>
              </w:rPr>
              <w:t>投标人</w:t>
            </w:r>
            <w:r>
              <w:rPr>
                <w:rFonts w:ascii="宋体" w:hAnsi="宋体" w:cs="宋体"/>
                <w:szCs w:val="21"/>
              </w:rPr>
              <w:t>违反本条约定，给招标人造成损失的，应当赔偿全部损失。本条约定的保密义务不因本合同的变更、解除、终止而受影响。</w:t>
            </w:r>
          </w:p>
          <w:p>
            <w:pPr>
              <w:tabs>
                <w:tab w:val="left" w:pos="531"/>
              </w:tabs>
              <w:snapToGrid w:val="0"/>
              <w:rPr>
                <w:rFonts w:ascii="宋体" w:hAnsi="宋体"/>
                <w:color w:val="FF0000"/>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bl>
    <w:p>
      <w:pPr>
        <w:numPr>
          <w:ilvl w:val="0"/>
          <w:numId w:val="0"/>
        </w:numPr>
        <w:jc w:val="left"/>
        <w:outlineLvl w:val="1"/>
        <w:rPr>
          <w:rFonts w:ascii="宋体" w:hAnsi="宋体"/>
          <w:b/>
          <w:szCs w:val="21"/>
        </w:rPr>
      </w:pPr>
      <w:bookmarkStart w:id="37" w:name="_Toc82591996"/>
      <w:bookmarkEnd w:id="37"/>
      <w:bookmarkStart w:id="38" w:name="_Toc82685552"/>
      <w:bookmarkEnd w:id="38"/>
      <w:bookmarkStart w:id="39" w:name="_Toc82684715"/>
      <w:bookmarkEnd w:id="39"/>
      <w:bookmarkStart w:id="40" w:name="_Toc82684600"/>
      <w:bookmarkEnd w:id="40"/>
    </w:p>
    <w:p>
      <w:pPr>
        <w:numPr>
          <w:ilvl w:val="0"/>
          <w:numId w:val="1"/>
        </w:numPr>
        <w:jc w:val="left"/>
        <w:outlineLvl w:val="1"/>
        <w:rPr>
          <w:rFonts w:ascii="宋体" w:hAnsi="宋体"/>
          <w:b/>
          <w:szCs w:val="21"/>
        </w:rPr>
      </w:pPr>
      <w:bookmarkStart w:id="41" w:name="_Toc303"/>
      <w:r>
        <w:rPr>
          <w:rFonts w:hint="eastAsia" w:ascii="宋体" w:hAnsi="宋体"/>
          <w:b/>
          <w:szCs w:val="21"/>
        </w:rPr>
        <w:t>其他项目说明资料</w:t>
      </w:r>
      <w:bookmarkEnd w:id="41"/>
    </w:p>
    <w:p>
      <w:pPr>
        <w:widowControl/>
        <w:jc w:val="left"/>
        <w:rPr>
          <w:color w:val="FF0000"/>
          <w:highlight w:val="yellow"/>
        </w:rPr>
      </w:pPr>
      <w:r>
        <w:rPr>
          <w:rFonts w:hint="eastAsia"/>
          <w:color w:val="FF0000"/>
          <w:highlight w:val="yellow"/>
          <w:lang w:val="en-US" w:eastAsia="zh-CN"/>
        </w:rPr>
        <w:t>无</w:t>
      </w:r>
      <w:r>
        <w:rPr>
          <w:color w:val="FF0000"/>
          <w:highlight w:val="yellow"/>
        </w:rPr>
        <w:br w:type="page"/>
      </w:r>
    </w:p>
    <w:p>
      <w:pPr>
        <w:spacing w:line="360" w:lineRule="auto"/>
        <w:jc w:val="center"/>
        <w:outlineLvl w:val="0"/>
        <w:rPr>
          <w:rFonts w:ascii="宋体" w:hAnsi="宋体"/>
          <w:b/>
          <w:sz w:val="32"/>
          <w:szCs w:val="32"/>
        </w:rPr>
      </w:pPr>
      <w:bookmarkStart w:id="42" w:name="_Toc31392"/>
      <w:r>
        <w:rPr>
          <w:rFonts w:hint="eastAsia" w:ascii="宋体" w:hAnsi="宋体"/>
          <w:b/>
          <w:sz w:val="32"/>
          <w:szCs w:val="32"/>
        </w:rPr>
        <w:t>第二部分：开标评标流程</w:t>
      </w:r>
      <w:bookmarkEnd w:id="42"/>
    </w:p>
    <w:p>
      <w:pPr>
        <w:numPr>
          <w:ilvl w:val="0"/>
          <w:numId w:val="1"/>
        </w:numPr>
        <w:spacing w:line="360" w:lineRule="auto"/>
        <w:outlineLvl w:val="1"/>
        <w:rPr>
          <w:b/>
        </w:rPr>
      </w:pPr>
      <w:bookmarkStart w:id="43" w:name="_Toc104994641"/>
      <w:bookmarkStart w:id="44" w:name="_Toc29696"/>
      <w:bookmarkStart w:id="45" w:name="_Hlk104908581"/>
      <w:bookmarkStart w:id="46" w:name="_Hlk104908397"/>
      <w:r>
        <w:rPr>
          <w:rFonts w:hint="eastAsia"/>
          <w:b/>
        </w:rPr>
        <w:t>开标阶段</w:t>
      </w:r>
      <w:bookmarkEnd w:id="43"/>
      <w:bookmarkEnd w:id="44"/>
    </w:p>
    <w:bookmarkEnd w:id="45"/>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7" w:name="_Toc104994642"/>
      <w:bookmarkStart w:id="48" w:name="_Toc17270"/>
      <w:r>
        <w:rPr>
          <w:rFonts w:hint="eastAsia"/>
          <w:b/>
        </w:rPr>
        <w:t>评标阶段</w:t>
      </w:r>
      <w:bookmarkEnd w:id="47"/>
      <w:bookmarkEnd w:id="48"/>
    </w:p>
    <w:p>
      <w:pPr>
        <w:pStyle w:val="25"/>
        <w:numPr>
          <w:ilvl w:val="0"/>
          <w:numId w:val="12"/>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5"/>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5"/>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5"/>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5"/>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5"/>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5"/>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5"/>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本项目招标第一候选供应商、第二候选供应商的确定及评标报告的出具。</w:t>
      </w:r>
    </w:p>
    <w:bookmarkEnd w:id="46"/>
    <w:p>
      <w:pPr>
        <w:widowControl/>
        <w:jc w:val="left"/>
        <w:rPr>
          <w:rFonts w:ascii="仿宋_GB2312" w:hAnsi="宋体" w:eastAsia="仿宋_GB2312"/>
        </w:rPr>
      </w:pPr>
      <w:r>
        <w:br w:type="page"/>
      </w:r>
    </w:p>
    <w:p>
      <w:pPr>
        <w:pStyle w:val="13"/>
        <w:rPr>
          <w:rFonts w:ascii="宋体"/>
          <w:b/>
          <w:sz w:val="28"/>
        </w:rPr>
      </w:pPr>
    </w:p>
    <w:p>
      <w:pPr>
        <w:spacing w:line="360" w:lineRule="auto"/>
        <w:jc w:val="center"/>
        <w:outlineLvl w:val="0"/>
        <w:rPr>
          <w:rFonts w:ascii="宋体" w:hAnsi="宋体"/>
          <w:b/>
          <w:sz w:val="32"/>
          <w:szCs w:val="32"/>
        </w:rPr>
      </w:pPr>
      <w:bookmarkStart w:id="49" w:name="_Toc7236"/>
      <w:r>
        <w:rPr>
          <w:rFonts w:hint="eastAsia" w:ascii="宋体" w:hAnsi="宋体"/>
          <w:b/>
          <w:sz w:val="32"/>
          <w:szCs w:val="32"/>
        </w:rPr>
        <w:t>第三部分：评审办法</w:t>
      </w:r>
      <w:bookmarkEnd w:id="49"/>
    </w:p>
    <w:p>
      <w:pPr>
        <w:numPr>
          <w:ilvl w:val="0"/>
          <w:numId w:val="1"/>
        </w:numPr>
        <w:spacing w:line="360" w:lineRule="auto"/>
        <w:outlineLvl w:val="1"/>
        <w:rPr>
          <w:rFonts w:ascii="宋体" w:hAnsi="宋体"/>
          <w:szCs w:val="21"/>
        </w:rPr>
      </w:pPr>
      <w:bookmarkStart w:id="50" w:name="_Toc3709"/>
      <w:r>
        <w:rPr>
          <w:rFonts w:hint="eastAsia" w:ascii="宋体" w:hAnsi="宋体"/>
          <w:b/>
          <w:bCs/>
          <w:szCs w:val="21"/>
        </w:rPr>
        <w:t>评审办法</w:t>
      </w:r>
      <w:bookmarkEnd w:id="50"/>
    </w:p>
    <w:p>
      <w:pPr>
        <w:spacing w:line="360" w:lineRule="auto"/>
        <w:ind w:firstLine="420" w:firstLineChars="200"/>
        <w:rPr>
          <w:rFonts w:ascii="宋体" w:hAnsi="宋体"/>
          <w:szCs w:val="21"/>
          <w:highlight w:val="none"/>
        </w:rPr>
      </w:pPr>
      <w:r>
        <w:rPr>
          <w:rFonts w:hint="eastAsia" w:ascii="宋体" w:hAnsi="宋体"/>
          <w:szCs w:val="21"/>
        </w:rPr>
        <w:t>首先对各投标人进行符合性审查。对通过符合性审查的投标人，采用</w:t>
      </w:r>
      <w:r>
        <w:rPr>
          <w:rFonts w:hint="eastAsia" w:ascii="宋体" w:hAnsi="宋体"/>
          <w:b/>
          <w:szCs w:val="21"/>
          <w:highlight w:val="none"/>
        </w:rPr>
        <w:t>100分制综合评分法</w:t>
      </w:r>
      <w:r>
        <w:rPr>
          <w:rFonts w:hint="eastAsia" w:ascii="宋体" w:hAnsi="宋体"/>
          <w:szCs w:val="21"/>
          <w:highlight w:val="none"/>
        </w:rPr>
        <w:t>进行评分。</w:t>
      </w:r>
    </w:p>
    <w:tbl>
      <w:tblPr>
        <w:tblStyle w:val="18"/>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jc w:val="center"/>
            </w:pPr>
            <w:r>
              <w:rPr>
                <w:rFonts w:hint="eastAsia" w:ascii="宋体" w:hAnsi="宋体" w:cs="仿宋"/>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rPr>
            </w:pPr>
            <w:r>
              <w:rPr>
                <w:rFonts w:hint="eastAsia" w:ascii="宋体" w:hAnsi="宋体"/>
                <w:b/>
              </w:rPr>
              <w:t>权重名称</w:t>
            </w:r>
          </w:p>
        </w:tc>
        <w:tc>
          <w:tcPr>
            <w:tcW w:w="2130" w:type="dxa"/>
            <w:vAlign w:val="center"/>
          </w:tcPr>
          <w:p>
            <w:pPr>
              <w:autoSpaceDE w:val="0"/>
              <w:autoSpaceDN w:val="0"/>
              <w:adjustRightInd w:val="0"/>
              <w:snapToGrid w:val="0"/>
              <w:jc w:val="center"/>
              <w:rPr>
                <w:rFonts w:ascii="宋体" w:hAnsi="宋体"/>
                <w:b/>
              </w:rPr>
            </w:pPr>
            <w:r>
              <w:rPr>
                <w:rFonts w:hint="eastAsia" w:ascii="宋体" w:hAnsi="宋体"/>
                <w:b/>
              </w:rPr>
              <w:t>商务标权重</w:t>
            </w:r>
          </w:p>
        </w:tc>
        <w:tc>
          <w:tcPr>
            <w:tcW w:w="2131" w:type="dxa"/>
            <w:vAlign w:val="center"/>
          </w:tcPr>
          <w:p>
            <w:pPr>
              <w:autoSpaceDE w:val="0"/>
              <w:autoSpaceDN w:val="0"/>
              <w:adjustRightInd w:val="0"/>
              <w:snapToGrid w:val="0"/>
              <w:jc w:val="center"/>
              <w:rPr>
                <w:rFonts w:ascii="宋体" w:hAnsi="宋体"/>
                <w:b/>
              </w:rPr>
            </w:pPr>
            <w:r>
              <w:rPr>
                <w:rFonts w:hint="eastAsia" w:ascii="宋体" w:hAnsi="宋体"/>
                <w:b/>
              </w:rPr>
              <w:t>技术标权重</w:t>
            </w:r>
          </w:p>
        </w:tc>
        <w:tc>
          <w:tcPr>
            <w:tcW w:w="2585" w:type="dxa"/>
            <w:vAlign w:val="center"/>
          </w:tcPr>
          <w:p>
            <w:pPr>
              <w:autoSpaceDE w:val="0"/>
              <w:autoSpaceDN w:val="0"/>
              <w:adjustRightInd w:val="0"/>
              <w:snapToGrid w:val="0"/>
              <w:jc w:val="center"/>
              <w:rPr>
                <w:rFonts w:ascii="宋体" w:hAnsi="宋体"/>
                <w:b/>
              </w:rPr>
            </w:pPr>
            <w:r>
              <w:rPr>
                <w:rFonts w:hint="eastAsia" w:ascii="宋体" w:hAnsi="宋体"/>
                <w:b/>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rPr>
            </w:pPr>
            <w:r>
              <w:rPr>
                <w:rFonts w:hint="eastAsia" w:ascii="宋体" w:hAnsi="宋体"/>
              </w:rPr>
              <w:t>权重</w:t>
            </w:r>
          </w:p>
        </w:tc>
        <w:tc>
          <w:tcPr>
            <w:tcW w:w="2130"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szCs w:val="21"/>
                <w:highlight w:val="none"/>
                <w:lang w:val="en-US" w:eastAsia="zh-CN"/>
              </w:rPr>
              <w:t>20</w:t>
            </w:r>
            <w:r>
              <w:rPr>
                <w:rFonts w:hint="eastAsia" w:ascii="宋体" w:hAnsi="宋体"/>
                <w:color w:val="auto"/>
                <w:highlight w:val="none"/>
              </w:rPr>
              <w:t>%</w:t>
            </w:r>
          </w:p>
        </w:tc>
        <w:tc>
          <w:tcPr>
            <w:tcW w:w="2131"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szCs w:val="21"/>
                <w:highlight w:val="none"/>
                <w:lang w:val="en-US" w:eastAsia="zh-CN"/>
              </w:rPr>
              <w:t>40</w:t>
            </w:r>
            <w:r>
              <w:rPr>
                <w:rFonts w:hint="eastAsia" w:ascii="宋体" w:hAnsi="宋体"/>
                <w:color w:val="auto"/>
                <w:highlight w:val="none"/>
              </w:rPr>
              <w:t>%</w:t>
            </w:r>
          </w:p>
        </w:tc>
        <w:tc>
          <w:tcPr>
            <w:tcW w:w="2585"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szCs w:val="21"/>
                <w:highlight w:val="none"/>
                <w:lang w:val="en-US" w:eastAsia="zh-CN"/>
              </w:rPr>
              <w:t>40</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pStyle w:val="2"/>
              <w:ind w:left="0"/>
              <w:jc w:val="center"/>
            </w:pPr>
            <w:r>
              <w:rPr>
                <w:rFonts w:hint="eastAsia" w:ascii="宋体" w:hAnsi="宋体"/>
              </w:rPr>
              <w:t>投标人综合得分</w:t>
            </w:r>
          </w:p>
        </w:tc>
        <w:tc>
          <w:tcPr>
            <w:tcW w:w="6846" w:type="dxa"/>
            <w:gridSpan w:val="3"/>
            <w:vAlign w:val="center"/>
          </w:tcPr>
          <w:p>
            <w:pPr>
              <w:pStyle w:val="2"/>
              <w:jc w:val="center"/>
            </w:pPr>
            <w:r>
              <w:rPr>
                <w:rFonts w:hint="eastAsia" w:ascii="宋体" w:hAnsi="宋体"/>
              </w:rPr>
              <w:t>商务标得分+技术标得分+价格标得分=100</w:t>
            </w:r>
          </w:p>
        </w:tc>
      </w:tr>
    </w:tbl>
    <w:p>
      <w:pPr>
        <w:pStyle w:val="2"/>
        <w:ind w:left="0"/>
      </w:pPr>
    </w:p>
    <w:p>
      <w:pPr>
        <w:pStyle w:val="13"/>
      </w:pPr>
    </w:p>
    <w:p>
      <w:pPr>
        <w:numPr>
          <w:ilvl w:val="0"/>
          <w:numId w:val="13"/>
        </w:numPr>
        <w:spacing w:line="360" w:lineRule="auto"/>
        <w:jc w:val="left"/>
        <w:outlineLvl w:val="2"/>
        <w:rPr>
          <w:rStyle w:val="32"/>
          <w:rFonts w:ascii="宋体" w:hAnsi="宋体"/>
          <w:b/>
          <w:szCs w:val="21"/>
        </w:rPr>
      </w:pPr>
      <w:bookmarkStart w:id="51" w:name="_Toc2903"/>
      <w:r>
        <w:rPr>
          <w:rStyle w:val="32"/>
          <w:rFonts w:hint="eastAsia" w:ascii="宋体" w:hAnsi="宋体"/>
          <w:b/>
          <w:bCs/>
          <w:szCs w:val="21"/>
        </w:rPr>
        <w:t>符合性检查</w:t>
      </w:r>
      <w:bookmarkEnd w:id="51"/>
    </w:p>
    <w:tbl>
      <w:tblPr>
        <w:tblStyle w:val="17"/>
        <w:tblW w:w="9516"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jc w:val="center"/>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numPr>
                <w:ilvl w:val="-1"/>
                <w:numId w:val="0"/>
              </w:numPr>
              <w:tabs>
                <w:tab w:val="left" w:pos="531"/>
              </w:tabs>
              <w:snapToGrid w:val="0"/>
              <w:spacing w:line="240" w:lineRule="auto"/>
              <w:ind w:left="0" w:firstLine="0"/>
              <w:rPr>
                <w:rFonts w:ascii="宋体" w:hAnsi="宋体" w:cs="仿宋"/>
                <w:color w:val="auto"/>
                <w:szCs w:val="21"/>
                <w:highlight w:val="none"/>
              </w:rPr>
            </w:pPr>
            <w:r>
              <w:rPr>
                <w:rFonts w:hint="eastAsia" w:ascii="宋体" w:hAnsi="宋体" w:cs="仿宋"/>
                <w:szCs w:val="21"/>
              </w:rPr>
              <w:t>投</w:t>
            </w:r>
            <w:r>
              <w:rPr>
                <w:rFonts w:hint="eastAsia" w:ascii="宋体" w:hAnsi="宋体" w:cs="仿宋"/>
                <w:color w:val="auto"/>
                <w:szCs w:val="21"/>
                <w:highlight w:val="none"/>
              </w:rPr>
              <w:t>标人是否提供以下证明文件：</w:t>
            </w:r>
          </w:p>
          <w:p>
            <w:pPr>
              <w:numPr>
                <w:ilvl w:val="0"/>
                <w:numId w:val="14"/>
              </w:numPr>
              <w:tabs>
                <w:tab w:val="left" w:pos="531"/>
              </w:tabs>
              <w:snapToGrid w:val="0"/>
              <w:ind w:left="425" w:hanging="425"/>
              <w:rPr>
                <w:rFonts w:hint="eastAsia" w:ascii="宋体"/>
                <w:color w:val="auto"/>
                <w:highlight w:val="none"/>
              </w:rPr>
            </w:pPr>
            <w:r>
              <w:rPr>
                <w:rFonts w:hint="eastAsia" w:ascii="宋体"/>
                <w:color w:val="auto"/>
                <w:highlight w:val="none"/>
              </w:rPr>
              <w:t>投标</w:t>
            </w:r>
            <w:r>
              <w:rPr>
                <w:rFonts w:hint="eastAsia" w:ascii="宋体"/>
                <w:color w:val="auto"/>
                <w:highlight w:val="none"/>
                <w:lang w:val="en-US" w:eastAsia="zh-CN"/>
              </w:rPr>
              <w:t>人</w:t>
            </w:r>
            <w:r>
              <w:rPr>
                <w:rFonts w:hint="eastAsia" w:ascii="宋体"/>
                <w:color w:val="auto"/>
                <w:highlight w:val="none"/>
              </w:rPr>
              <w:t>应为中华人民共和国境内注册且合法运作的独立法人或具有独立承担民事责任能力的其它组织。提供营业执照或法人证明文件或登记证书扫描件或复印件（加盖投标</w:t>
            </w:r>
            <w:r>
              <w:rPr>
                <w:rFonts w:hint="eastAsia" w:ascii="宋体"/>
                <w:color w:val="auto"/>
                <w:highlight w:val="none"/>
                <w:lang w:val="en-US" w:eastAsia="zh-CN"/>
              </w:rPr>
              <w:t>人</w:t>
            </w:r>
            <w:r>
              <w:rPr>
                <w:rFonts w:hint="eastAsia" w:ascii="宋体"/>
                <w:color w:val="auto"/>
                <w:highlight w:val="none"/>
              </w:rPr>
              <w:t>公章）。</w:t>
            </w:r>
          </w:p>
          <w:p>
            <w:pPr>
              <w:numPr>
                <w:ilvl w:val="0"/>
                <w:numId w:val="14"/>
              </w:numPr>
              <w:tabs>
                <w:tab w:val="left" w:pos="531"/>
              </w:tabs>
              <w:snapToGrid w:val="0"/>
              <w:ind w:left="425" w:hanging="425"/>
              <w:rPr>
                <w:rFonts w:ascii="宋体"/>
                <w:color w:val="auto"/>
                <w:highlight w:val="none"/>
              </w:rPr>
            </w:pPr>
            <w:r>
              <w:rPr>
                <w:rFonts w:hint="eastAsia" w:ascii="宋体"/>
                <w:color w:val="auto"/>
                <w:highlight w:val="none"/>
              </w:rPr>
              <w:t>投标</w:t>
            </w:r>
            <w:r>
              <w:rPr>
                <w:rFonts w:hint="eastAsia" w:ascii="宋体"/>
                <w:color w:val="auto"/>
                <w:highlight w:val="none"/>
                <w:lang w:val="en-US" w:eastAsia="zh-CN"/>
              </w:rPr>
              <w:t>人</w:t>
            </w:r>
            <w:r>
              <w:rPr>
                <w:rFonts w:hint="eastAsia" w:ascii="宋体"/>
                <w:color w:val="auto"/>
                <w:highlight w:val="none"/>
              </w:rPr>
              <w:t>应无未改正的经营异常信息，无违法失信记录。须提供“信用中国”网站（www.creditchina.gov.cn）“信用服务”栏查询“重大税收违法案件当事人名单”“失信被执行人”信用记录查询网页截图，被列入失信被执行人、重大税收违法案件当事人名单的，拒绝参与本项目的采购活动。</w:t>
            </w:r>
          </w:p>
          <w:p>
            <w:pPr>
              <w:numPr>
                <w:ilvl w:val="0"/>
                <w:numId w:val="14"/>
              </w:numPr>
              <w:tabs>
                <w:tab w:val="left" w:pos="531"/>
              </w:tabs>
              <w:snapToGrid w:val="0"/>
              <w:ind w:left="425" w:hanging="425"/>
              <w:rPr>
                <w:rFonts w:ascii="宋体" w:hAnsi="宋体" w:cs="宋体"/>
                <w:color w:val="auto"/>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为纸媒企业，需</w:t>
            </w:r>
            <w:r>
              <w:rPr>
                <w:rFonts w:hint="eastAsia" w:ascii="宋体" w:hAnsi="宋体" w:cs="宋体"/>
                <w:color w:val="auto"/>
                <w:szCs w:val="21"/>
                <w:highlight w:val="none"/>
              </w:rPr>
              <w:t>提供至少1个从20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年7月1日至</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公告发布之日期间（以合同签订时间为准），自办</w:t>
            </w:r>
            <w:r>
              <w:rPr>
                <w:rFonts w:hint="eastAsia" w:ascii="宋体" w:hAnsi="宋体" w:cs="宋体"/>
                <w:color w:val="auto"/>
                <w:szCs w:val="21"/>
                <w:highlight w:val="none"/>
                <w:lang w:val="en-US" w:eastAsia="zh-CN"/>
              </w:rPr>
              <w:t>或协办</w:t>
            </w:r>
            <w:r>
              <w:rPr>
                <w:rFonts w:hint="eastAsia" w:ascii="宋体" w:hAnsi="宋体" w:cs="宋体"/>
                <w:color w:val="auto"/>
                <w:szCs w:val="21"/>
                <w:highlight w:val="none"/>
              </w:rPr>
              <w:t>的刊物</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展会日报</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企业宣传刊物的案例证明文件。可接受的证明文件包括但不限于：项目合同关键页或刊物样本、图片复印件</w:t>
            </w:r>
            <w:r>
              <w:rPr>
                <w:rFonts w:hint="eastAsia" w:ascii="宋体" w:hAnsi="宋体" w:cs="宋体"/>
                <w:color w:val="auto"/>
                <w:szCs w:val="21"/>
                <w:highlight w:val="none"/>
                <w:lang w:val="en-US" w:eastAsia="zh-CN"/>
              </w:rPr>
              <w:t>或扫描</w:t>
            </w:r>
            <w:r>
              <w:rPr>
                <w:rFonts w:hint="eastAsia" w:ascii="宋体" w:hAnsi="宋体" w:cs="宋体"/>
                <w:color w:val="auto"/>
                <w:szCs w:val="21"/>
                <w:highlight w:val="none"/>
              </w:rPr>
              <w:t>件，并加盖</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公章。</w:t>
            </w:r>
          </w:p>
          <w:p>
            <w:pPr>
              <w:numPr>
                <w:ilvl w:val="0"/>
                <w:numId w:val="14"/>
              </w:numPr>
              <w:tabs>
                <w:tab w:val="left" w:pos="531"/>
              </w:tabs>
              <w:snapToGrid w:val="0"/>
              <w:spacing w:line="240" w:lineRule="auto"/>
              <w:ind w:left="425" w:hanging="425"/>
            </w:pPr>
            <w:r>
              <w:rPr>
                <w:rFonts w:hint="eastAsia" w:ascii="宋体" w:hAnsi="宋体" w:cs="宋体"/>
                <w:color w:val="auto"/>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jc w:val="center"/>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color w:val="auto"/>
                <w:szCs w:val="21"/>
                <w:highlight w:val="none"/>
                <w:lang w:val="en-US" w:eastAsia="zh-CN"/>
              </w:rPr>
              <w:t>30</w:t>
            </w:r>
            <w:r>
              <w:rPr>
                <w:rFonts w:ascii="宋体" w:hAnsi="宋体" w:cs="仿宋"/>
                <w:szCs w:val="21"/>
                <w:highlight w:val="none"/>
              </w:rPr>
              <w:t>万元</w:t>
            </w:r>
            <w:r>
              <w:rPr>
                <w:rFonts w:ascii="宋体" w:hAnsi="宋体" w:cs="仿宋"/>
                <w:szCs w:val="21"/>
              </w:rPr>
              <w:t>（含税）</w:t>
            </w:r>
            <w:r>
              <w:rPr>
                <w:rFonts w:hint="eastAsia" w:ascii="宋体" w:hAnsi="宋体" w:cs="仿宋"/>
                <w:szCs w:val="21"/>
              </w:rPr>
              <w:t>，超过上述控制金额的视为无效报价。</w:t>
            </w:r>
          </w:p>
        </w:tc>
      </w:tr>
    </w:tbl>
    <w:tbl>
      <w:tblPr>
        <w:tblStyle w:val="17"/>
        <w:tblpPr w:leftFromText="180" w:rightFromText="180" w:vertAnchor="text" w:horzAnchor="page" w:tblpX="1367" w:tblpY="463"/>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分值</w:t>
            </w:r>
          </w:p>
        </w:tc>
        <w:tc>
          <w:tcPr>
            <w:tcW w:w="6804" w:type="dxa"/>
            <w:gridSpan w:val="2"/>
            <w:tcBorders>
              <w:tl2br w:val="nil"/>
              <w:tr2bl w:val="nil"/>
            </w:tcBorders>
            <w:shd w:val="clear" w:color="auto" w:fill="EEEEEE"/>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商务评议项（</w:t>
            </w:r>
            <w:r>
              <w:rPr>
                <w:rFonts w:hint="eastAsia" w:ascii="宋体" w:hAnsi="宋体" w:cs="宋体"/>
                <w:b/>
                <w:color w:val="auto"/>
                <w:szCs w:val="21"/>
                <w:highlight w:val="none"/>
                <w:lang w:val="en-US" w:eastAsia="zh-CN"/>
              </w:rPr>
              <w:t>4</w:t>
            </w:r>
            <w:r>
              <w:rPr>
                <w:rFonts w:hint="eastAsia" w:ascii="宋体" w:hAnsi="宋体" w:cs="宋体"/>
                <w:color w:val="auto"/>
                <w:szCs w:val="21"/>
                <w:highlight w:val="none"/>
                <w:lang w:val="en-US" w:eastAsia="zh-CN"/>
              </w:rPr>
              <w:t>0</w:t>
            </w:r>
            <w:r>
              <w:rPr>
                <w:rFonts w:hint="eastAsia" w:ascii="宋体" w:hAnsi="宋体" w:cs="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5"/>
              <w:numPr>
                <w:ilvl w:val="0"/>
                <w:numId w:val="15"/>
              </w:numPr>
              <w:spacing w:line="360" w:lineRule="auto"/>
              <w:ind w:firstLineChars="0"/>
              <w:jc w:val="center"/>
              <w:rPr>
                <w:rFonts w:hint="eastAsia" w:ascii="宋体" w:hAnsi="宋体" w:eastAsia="宋体" w:cs="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cs="宋体"/>
                <w:color w:val="auto"/>
                <w:szCs w:val="21"/>
                <w:highlight w:val="none"/>
              </w:rPr>
            </w:pPr>
            <w:r>
              <w:rPr>
                <w:rFonts w:hint="eastAsia" w:ascii="宋体" w:hAnsi="宋体" w:eastAsia="宋体" w:cs="宋体"/>
                <w:color w:val="auto"/>
                <w:sz w:val="21"/>
                <w:szCs w:val="21"/>
                <w:highlight w:val="none"/>
              </w:rPr>
              <w:t>办刊资质及以往相关业务情况</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25"/>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 w:val="21"/>
                <w:szCs w:val="21"/>
                <w:highlight w:val="none"/>
              </w:rPr>
              <w:t>有自己的媒体渠道和发行刊物。根据刊物发行量和办刊年资评议：</w:t>
            </w:r>
          </w:p>
          <w:p>
            <w:pPr>
              <w:pStyle w:val="25"/>
              <w:numPr>
                <w:ilvl w:val="0"/>
                <w:numId w:val="16"/>
              </w:numPr>
              <w:spacing w:line="360" w:lineRule="auto"/>
              <w:ind w:left="420" w:hanging="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刊物年资高于5年</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5分，刊物年资3年-4年</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3分，刊物年资1年-2年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pStyle w:val="25"/>
              <w:numPr>
                <w:ilvl w:val="0"/>
                <w:numId w:val="16"/>
              </w:numPr>
              <w:spacing w:line="360" w:lineRule="auto"/>
              <w:ind w:left="420" w:hanging="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发行量高于20万/份（含）</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5分，发行量低于20万/份高于10万/份（含）</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3分，发行量低于10万/份</w:t>
            </w:r>
            <w:r>
              <w:rPr>
                <w:rFonts w:hint="eastAsia" w:ascii="宋体" w:hAnsi="宋体" w:eastAsia="宋体" w:cs="宋体"/>
                <w:color w:val="auto"/>
                <w:sz w:val="21"/>
                <w:szCs w:val="21"/>
                <w:highlight w:val="none"/>
                <w:lang w:val="en-US" w:eastAsia="zh-CN"/>
              </w:rPr>
              <w:t>得1分，未</w:t>
            </w:r>
            <w:r>
              <w:rPr>
                <w:rFonts w:hint="eastAsia" w:ascii="宋体" w:hAnsi="宋体" w:eastAsia="宋体" w:cs="宋体"/>
                <w:color w:val="auto"/>
                <w:sz w:val="21"/>
                <w:szCs w:val="21"/>
                <w:highlight w:val="none"/>
              </w:rPr>
              <w:t>提供刊物0分。</w:t>
            </w:r>
          </w:p>
          <w:p>
            <w:pPr>
              <w:pStyle w:val="25"/>
              <w:numPr>
                <w:ilvl w:val="0"/>
                <w:numId w:val="16"/>
              </w:numPr>
              <w:spacing w:line="360" w:lineRule="auto"/>
              <w:ind w:left="420" w:hanging="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持有刊物出版许可证并提供许可证复印件加盖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公章，得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0分。</w:t>
            </w:r>
          </w:p>
          <w:p>
            <w:pPr>
              <w:pStyle w:val="25"/>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需提供公司202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年年报证明发行量和办刊年资，未提供者或所提供资料无法证明发行量和办刊年资的，不得分。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5"/>
              <w:numPr>
                <w:ilvl w:val="0"/>
                <w:numId w:val="15"/>
              </w:numPr>
              <w:spacing w:line="360" w:lineRule="auto"/>
              <w:ind w:firstLineChars="0"/>
              <w:jc w:val="center"/>
              <w:rPr>
                <w:rFonts w:hint="eastAsia" w:ascii="宋体" w:hAnsi="宋体" w:eastAsia="宋体" w:cs="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文章撰写水平</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widowControl/>
              <w:spacing w:line="360" w:lineRule="auto"/>
              <w:ind w:right="30" w:righ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投标人提供2篇</w:t>
            </w:r>
            <w:r>
              <w:rPr>
                <w:rFonts w:hint="eastAsia" w:ascii="宋体" w:hAnsi="宋体" w:cs="宋体"/>
                <w:color w:val="auto"/>
                <w:kern w:val="0"/>
                <w:sz w:val="21"/>
                <w:szCs w:val="21"/>
                <w:highlight w:val="none"/>
                <w:lang w:val="en-US" w:eastAsia="zh-CN"/>
              </w:rPr>
              <w:t>已发表过的文章，</w:t>
            </w: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kern w:val="0"/>
                <w:sz w:val="21"/>
                <w:szCs w:val="21"/>
                <w:highlight w:val="none"/>
                <w:lang w:val="en-US" w:eastAsia="zh-CN"/>
              </w:rPr>
              <w:t>已发表过的文章案例</w:t>
            </w:r>
            <w:r>
              <w:rPr>
                <w:rFonts w:hint="eastAsia" w:ascii="宋体" w:hAnsi="宋体" w:eastAsia="宋体" w:cs="宋体"/>
                <w:color w:val="auto"/>
                <w:kern w:val="0"/>
                <w:sz w:val="21"/>
                <w:szCs w:val="21"/>
                <w:highlight w:val="none"/>
              </w:rPr>
              <w:t>进行评分，涵盖</w:t>
            </w:r>
            <w:r>
              <w:rPr>
                <w:rFonts w:hint="eastAsia" w:ascii="宋体" w:hAnsi="宋体" w:eastAsia="宋体" w:cs="宋体"/>
                <w:color w:val="auto"/>
                <w:kern w:val="0"/>
                <w:sz w:val="21"/>
                <w:szCs w:val="21"/>
                <w:highlight w:val="none"/>
                <w:lang w:val="en-US" w:eastAsia="zh-CN"/>
              </w:rPr>
              <w:t>科技行业，有高交会</w:t>
            </w:r>
            <w:r>
              <w:rPr>
                <w:rFonts w:hint="eastAsia" w:ascii="宋体" w:hAnsi="宋体" w:eastAsia="宋体" w:cs="宋体"/>
                <w:color w:val="auto"/>
                <w:kern w:val="0"/>
                <w:sz w:val="21"/>
                <w:szCs w:val="21"/>
                <w:highlight w:val="none"/>
              </w:rPr>
              <w:t>新产品新技术</w:t>
            </w:r>
            <w:r>
              <w:rPr>
                <w:rFonts w:hint="eastAsia" w:ascii="宋体" w:hAnsi="宋体" w:eastAsia="宋体" w:cs="宋体"/>
                <w:color w:val="auto"/>
                <w:kern w:val="0"/>
                <w:sz w:val="21"/>
                <w:szCs w:val="21"/>
                <w:highlight w:val="none"/>
                <w:lang w:val="en-US" w:eastAsia="zh-CN"/>
              </w:rPr>
              <w:t>相关文章撰写经验，文笔优秀、文章</w:t>
            </w:r>
            <w:r>
              <w:rPr>
                <w:rFonts w:hint="eastAsia" w:ascii="宋体" w:hAnsi="宋体" w:eastAsia="宋体" w:cs="宋体"/>
                <w:color w:val="auto"/>
                <w:kern w:val="0"/>
                <w:sz w:val="21"/>
                <w:szCs w:val="21"/>
                <w:highlight w:val="none"/>
              </w:rPr>
              <w:t>新颖的得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涵盖</w:t>
            </w:r>
            <w:r>
              <w:rPr>
                <w:rFonts w:hint="eastAsia" w:ascii="宋体" w:hAnsi="宋体" w:eastAsia="宋体" w:cs="宋体"/>
                <w:color w:val="auto"/>
                <w:kern w:val="0"/>
                <w:sz w:val="21"/>
                <w:szCs w:val="21"/>
                <w:highlight w:val="none"/>
                <w:lang w:val="en-US" w:eastAsia="zh-CN"/>
              </w:rPr>
              <w:t>科技行业，无高交会</w:t>
            </w:r>
            <w:r>
              <w:rPr>
                <w:rFonts w:hint="eastAsia" w:ascii="宋体" w:hAnsi="宋体" w:eastAsia="宋体" w:cs="宋体"/>
                <w:color w:val="auto"/>
                <w:kern w:val="0"/>
                <w:sz w:val="21"/>
                <w:szCs w:val="21"/>
                <w:highlight w:val="none"/>
              </w:rPr>
              <w:t>新产品新技术</w:t>
            </w:r>
            <w:r>
              <w:rPr>
                <w:rFonts w:hint="eastAsia" w:ascii="宋体" w:hAnsi="宋体" w:eastAsia="宋体" w:cs="宋体"/>
                <w:color w:val="auto"/>
                <w:kern w:val="0"/>
                <w:sz w:val="21"/>
                <w:szCs w:val="21"/>
                <w:highlight w:val="none"/>
                <w:lang w:val="en-US" w:eastAsia="zh-CN"/>
              </w:rPr>
              <w:t>相关文章撰写经验，文笔优秀、文章</w:t>
            </w:r>
            <w:r>
              <w:rPr>
                <w:rFonts w:hint="eastAsia" w:ascii="宋体" w:hAnsi="宋体" w:eastAsia="宋体" w:cs="宋体"/>
                <w:color w:val="auto"/>
                <w:kern w:val="0"/>
                <w:sz w:val="21"/>
                <w:szCs w:val="21"/>
                <w:highlight w:val="none"/>
              </w:rPr>
              <w:t>新颖的得</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无科技行业文章撰写经验，无高交会</w:t>
            </w:r>
            <w:r>
              <w:rPr>
                <w:rFonts w:hint="eastAsia" w:ascii="宋体" w:hAnsi="宋体" w:eastAsia="宋体" w:cs="宋体"/>
                <w:color w:val="auto"/>
                <w:kern w:val="0"/>
                <w:sz w:val="21"/>
                <w:szCs w:val="21"/>
                <w:highlight w:val="none"/>
              </w:rPr>
              <w:t>新产品新技术</w:t>
            </w:r>
            <w:r>
              <w:rPr>
                <w:rFonts w:hint="eastAsia" w:ascii="宋体" w:hAnsi="宋体" w:eastAsia="宋体" w:cs="宋体"/>
                <w:color w:val="auto"/>
                <w:kern w:val="0"/>
                <w:sz w:val="21"/>
                <w:szCs w:val="21"/>
                <w:highlight w:val="none"/>
                <w:lang w:val="en-US" w:eastAsia="zh-CN"/>
              </w:rPr>
              <w:t>相关文章撰写经验，但文笔优秀、文章新颖的</w:t>
            </w:r>
            <w:r>
              <w:rPr>
                <w:rFonts w:hint="eastAsia" w:ascii="宋体" w:hAnsi="宋体" w:eastAsia="宋体" w:cs="宋体"/>
                <w:color w:val="auto"/>
                <w:kern w:val="0"/>
                <w:sz w:val="21"/>
                <w:szCs w:val="21"/>
                <w:highlight w:val="none"/>
              </w:rPr>
              <w:t>得3分，未提供者或所提供资料不符合需求的得0分。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hint="eastAsia" w:ascii="宋体" w:hAnsi="宋体" w:cs="宋体"/>
                <w:b/>
                <w:color w:val="auto"/>
                <w:szCs w:val="21"/>
                <w:highlight w:val="none"/>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技术服务评议项（</w:t>
            </w:r>
            <w:r>
              <w:rPr>
                <w:rFonts w:hint="eastAsia" w:ascii="宋体" w:hAnsi="宋体" w:cs="宋体"/>
                <w:b/>
                <w:color w:val="auto"/>
                <w:szCs w:val="21"/>
                <w:highlight w:val="none"/>
                <w:lang w:val="en-US" w:eastAsia="zh-CN"/>
              </w:rPr>
              <w:t>20</w:t>
            </w:r>
            <w:r>
              <w:rPr>
                <w:rFonts w:hint="eastAsia" w:ascii="宋体" w:hAnsi="宋体" w:cs="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1"/>
                <w:numId w:val="0"/>
              </w:numPr>
              <w:spacing w:line="360" w:lineRule="auto"/>
              <w:ind w:left="0" w:firstLine="0" w:firstLineChars="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项目规划</w:t>
            </w:r>
            <w:r>
              <w:rPr>
                <w:rFonts w:hint="eastAsia" w:ascii="宋体" w:hAnsi="宋体" w:eastAsia="宋体" w:cs="宋体"/>
                <w:color w:val="auto"/>
                <w:sz w:val="21"/>
                <w:szCs w:val="21"/>
                <w:highlight w:val="none"/>
                <w:lang w:val="en-US" w:eastAsia="zh-CN"/>
              </w:rPr>
              <w:t>与思路</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widowControl/>
              <w:spacing w:line="360" w:lineRule="auto"/>
              <w:ind w:right="30"/>
              <w:jc w:val="left"/>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所提交的策划方案中对高交会的了解程度、以及对高交会品牌推广有计划性的思路情况综合评议，</w:t>
            </w:r>
            <w:r>
              <w:rPr>
                <w:rFonts w:hint="eastAsia" w:ascii="宋体" w:hAnsi="宋体" w:cs="宋体"/>
                <w:color w:val="auto"/>
                <w:kern w:val="0"/>
                <w:sz w:val="21"/>
                <w:szCs w:val="21"/>
                <w:highlight w:val="none"/>
                <w:lang w:val="en-US" w:eastAsia="zh-CN"/>
              </w:rPr>
              <w:t>策划方案</w:t>
            </w:r>
            <w:r>
              <w:rPr>
                <w:rFonts w:hint="eastAsia" w:ascii="宋体" w:hAnsi="宋体" w:eastAsia="宋体" w:cs="宋体"/>
                <w:color w:val="auto"/>
                <w:kern w:val="0"/>
                <w:sz w:val="21"/>
                <w:szCs w:val="21"/>
                <w:highlight w:val="none"/>
              </w:rPr>
              <w:t>对高交会定位准确，推广思路清晰，优秀得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0分，良得</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分，中得</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val="en-US" w:eastAsia="zh-CN"/>
              </w:rPr>
              <w:t>一般5</w:t>
            </w:r>
            <w:r>
              <w:rPr>
                <w:rFonts w:hint="eastAsia" w:ascii="宋体" w:hAnsi="宋体" w:eastAsia="宋体" w:cs="宋体"/>
                <w:color w:val="auto"/>
                <w:kern w:val="0"/>
                <w:sz w:val="21"/>
                <w:szCs w:val="21"/>
                <w:highlight w:val="none"/>
              </w:rPr>
              <w:t>分，对高交会描述错误</w:t>
            </w:r>
            <w:r>
              <w:rPr>
                <w:rFonts w:hint="eastAsia" w:ascii="宋体" w:hAnsi="宋体" w:eastAsia="宋体" w:cs="宋体"/>
                <w:color w:val="auto"/>
                <w:kern w:val="0"/>
                <w:sz w:val="21"/>
                <w:szCs w:val="21"/>
                <w:highlight w:val="none"/>
                <w:lang w:val="en-US" w:eastAsia="zh-CN"/>
              </w:rPr>
              <w:t>或水平较差</w:t>
            </w:r>
            <w:r>
              <w:rPr>
                <w:rFonts w:hint="eastAsia" w:ascii="宋体" w:hAnsi="宋体" w:eastAsia="宋体" w:cs="宋体"/>
                <w:color w:val="auto"/>
                <w:kern w:val="0"/>
                <w:sz w:val="21"/>
                <w:szCs w:val="21"/>
                <w:highlight w:val="none"/>
              </w:rPr>
              <w:t>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spacing w:before="100" w:beforeAutospacing="1" w:after="100" w:afterAutospacing="1" w:line="360" w:lineRule="auto"/>
              <w:ind w:left="247" w:hanging="247" w:hangingChars="117"/>
              <w:jc w:val="center"/>
              <w:rPr>
                <w:rFonts w:hint="eastAsia" w:ascii="宋体" w:hAnsi="宋体" w:cs="宋体"/>
                <w:b/>
                <w:color w:val="auto"/>
                <w:szCs w:val="21"/>
                <w:highlight w:val="none"/>
              </w:rPr>
            </w:pPr>
            <w:r>
              <w:rPr>
                <w:rFonts w:hint="eastAsia" w:ascii="宋体" w:hAnsi="宋体" w:cs="宋体"/>
                <w:b/>
                <w:color w:val="auto"/>
                <w:szCs w:val="21"/>
                <w:highlight w:val="none"/>
              </w:rPr>
              <w:t>价格评议项（</w:t>
            </w:r>
            <w:r>
              <w:rPr>
                <w:rFonts w:hint="eastAsia" w:ascii="宋体" w:hAnsi="宋体" w:cs="宋体"/>
                <w:b/>
                <w:color w:val="auto"/>
                <w:szCs w:val="21"/>
                <w:highlight w:val="none"/>
                <w:lang w:val="en-US" w:eastAsia="zh-CN"/>
              </w:rPr>
              <w:t>40</w:t>
            </w:r>
            <w:r>
              <w:rPr>
                <w:rFonts w:hint="eastAsia" w:ascii="宋体" w:hAnsi="宋体" w:cs="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hint="eastAsia" w:ascii="宋体" w:hAnsi="宋体" w:cs="宋体"/>
                <w:color w:val="auto"/>
                <w:szCs w:val="21"/>
                <w:highlight w:val="none"/>
              </w:rPr>
            </w:pPr>
            <w:r>
              <w:rPr>
                <w:rFonts w:hint="eastAsia" w:ascii="宋体" w:hAnsi="宋体" w:cs="宋体"/>
                <w:b/>
                <w:color w:val="auto"/>
                <w:szCs w:val="21"/>
                <w:highlight w:val="none"/>
              </w:rPr>
              <w:t>基准价和算法类型选择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cs="宋体"/>
                <w:color w:val="auto"/>
                <w:szCs w:val="21"/>
                <w:highlight w:val="none"/>
              </w:rPr>
            </w:pPr>
          </w:p>
        </w:tc>
        <w:tc>
          <w:tcPr>
            <w:tcW w:w="1134" w:type="dxa"/>
            <w:vMerge w:val="restart"/>
            <w:tcBorders>
              <w:tl2br w:val="nil"/>
              <w:tr2bl w:val="nil"/>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bCs/>
                <w:color w:val="auto"/>
                <w:szCs w:val="21"/>
                <w:highlight w:val="none"/>
              </w:rPr>
              <w:t>基准价</w:t>
            </w:r>
          </w:p>
        </w:tc>
        <w:tc>
          <w:tcPr>
            <w:tcW w:w="7513" w:type="dxa"/>
            <w:gridSpan w:val="3"/>
            <w:tcBorders>
              <w:tl2br w:val="nil"/>
              <w:tr2bl w:val="nil"/>
            </w:tcBorders>
            <w:vAlign w:val="center"/>
          </w:tcPr>
          <w:p>
            <w:pPr>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□各有效投标报价大于n家时，去掉一个最高和最低报价后的算术平均值乘以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％。当有效投标报价少于n（含）家时，则以所有有效投标报价的算术平均值乘以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cs="宋体"/>
                <w:color w:val="auto"/>
                <w:szCs w:val="21"/>
                <w:highlight w:val="none"/>
              </w:rPr>
            </w:pPr>
          </w:p>
        </w:tc>
        <w:tc>
          <w:tcPr>
            <w:tcW w:w="1134" w:type="dxa"/>
            <w:vMerge w:val="continue"/>
            <w:tcBorders>
              <w:tl2br w:val="nil"/>
              <w:tr2bl w:val="nil"/>
            </w:tcBorders>
            <w:vAlign w:val="center"/>
          </w:tcPr>
          <w:p>
            <w:pPr>
              <w:spacing w:line="360" w:lineRule="auto"/>
              <w:jc w:val="center"/>
              <w:rPr>
                <w:rFonts w:hint="eastAsia" w:ascii="宋体" w:hAnsi="宋体" w:cs="宋体"/>
                <w:color w:val="auto"/>
                <w:szCs w:val="21"/>
                <w:highlight w:val="none"/>
              </w:rPr>
            </w:pPr>
          </w:p>
        </w:tc>
        <w:tc>
          <w:tcPr>
            <w:tcW w:w="7513" w:type="dxa"/>
            <w:gridSpan w:val="3"/>
            <w:tcBorders>
              <w:tl2br w:val="nil"/>
              <w:tr2bl w:val="nil"/>
            </w:tcBorders>
            <w:vAlign w:val="center"/>
          </w:tcPr>
          <w:p>
            <w:pPr>
              <w:spacing w:line="240" w:lineRule="atLeast"/>
              <w:jc w:val="left"/>
              <w:rPr>
                <w:rFonts w:hint="eastAsia" w:ascii="宋体" w:hAnsi="宋体" w:cs="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cs="宋体"/>
                <w:color w:val="auto"/>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cs="宋体"/>
                <w:color w:val="auto"/>
                <w:szCs w:val="21"/>
                <w:highlight w:val="none"/>
              </w:rPr>
            </w:pPr>
          </w:p>
        </w:tc>
        <w:tc>
          <w:tcPr>
            <w:tcW w:w="1134" w:type="dxa"/>
            <w:vMerge w:val="continue"/>
            <w:tcBorders>
              <w:tl2br w:val="nil"/>
              <w:tr2bl w:val="nil"/>
            </w:tcBorders>
            <w:vAlign w:val="center"/>
          </w:tcPr>
          <w:p>
            <w:pPr>
              <w:spacing w:line="360" w:lineRule="auto"/>
              <w:jc w:val="center"/>
              <w:rPr>
                <w:rFonts w:hint="eastAsia" w:ascii="宋体" w:hAnsi="宋体" w:cs="宋体"/>
                <w:color w:val="auto"/>
                <w:szCs w:val="21"/>
                <w:highlight w:val="none"/>
              </w:rPr>
            </w:pPr>
          </w:p>
        </w:tc>
        <w:tc>
          <w:tcPr>
            <w:tcW w:w="7513" w:type="dxa"/>
            <w:gridSpan w:val="3"/>
            <w:tcBorders>
              <w:tl2br w:val="nil"/>
              <w:tr2bl w:val="nil"/>
            </w:tcBorders>
            <w:vAlign w:val="center"/>
          </w:tcPr>
          <w:p>
            <w:pPr>
              <w:spacing w:line="240" w:lineRule="atLeast"/>
              <w:jc w:val="left"/>
              <w:rPr>
                <w:rFonts w:hint="eastAsia" w:ascii="宋体" w:hAnsi="宋体" w:cs="宋体"/>
                <w:color w:val="auto"/>
                <w:szCs w:val="21"/>
                <w:highlight w:val="none"/>
              </w:rPr>
            </w:pPr>
            <w:r>
              <w:rPr>
                <w:rFonts w:hint="eastAsia" w:ascii="宋体" w:hAnsi="宋体" w:cs="宋体"/>
                <w:color w:val="auto"/>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cs="宋体"/>
                <w:color w:val="auto"/>
                <w:szCs w:val="21"/>
                <w:highlight w:val="none"/>
              </w:rPr>
            </w:pPr>
          </w:p>
        </w:tc>
        <w:tc>
          <w:tcPr>
            <w:tcW w:w="1134" w:type="dxa"/>
            <w:vMerge w:val="continue"/>
            <w:tcBorders>
              <w:tl2br w:val="nil"/>
              <w:tr2bl w:val="nil"/>
            </w:tcBorders>
            <w:vAlign w:val="center"/>
          </w:tcPr>
          <w:p>
            <w:pPr>
              <w:spacing w:line="360" w:lineRule="auto"/>
              <w:jc w:val="center"/>
              <w:rPr>
                <w:rFonts w:hint="eastAsia" w:ascii="宋体" w:hAnsi="宋体" w:cs="宋体"/>
                <w:color w:val="auto"/>
                <w:szCs w:val="21"/>
                <w:highlight w:val="none"/>
              </w:rPr>
            </w:pPr>
          </w:p>
        </w:tc>
        <w:tc>
          <w:tcPr>
            <w:tcW w:w="7513" w:type="dxa"/>
            <w:gridSpan w:val="3"/>
            <w:tcBorders>
              <w:tl2br w:val="nil"/>
              <w:tr2bl w:val="nil"/>
            </w:tcBorders>
            <w:vAlign w:val="center"/>
          </w:tcPr>
          <w:p>
            <w:pPr>
              <w:spacing w:line="240" w:lineRule="atLeast"/>
              <w:jc w:val="left"/>
              <w:rPr>
                <w:rFonts w:hint="eastAsia" w:ascii="宋体" w:hAnsi="宋体" w:cs="宋体"/>
                <w:color w:val="auto"/>
                <w:szCs w:val="21"/>
                <w:highlight w:val="none"/>
              </w:rPr>
            </w:pPr>
            <w:r>
              <w:rPr>
                <w:rFonts w:hint="eastAsia" w:ascii="宋体" w:hAnsi="宋体" w:cs="宋体"/>
                <w:color w:val="auto"/>
                <w:szCs w:val="21"/>
                <w:highlight w:val="none"/>
              </w:rPr>
              <w:t>投标人报价是指投标净价金额。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cs="宋体"/>
                <w:color w:val="auto"/>
                <w:szCs w:val="21"/>
                <w:highlight w:val="none"/>
              </w:rPr>
            </w:pPr>
          </w:p>
        </w:tc>
        <w:tc>
          <w:tcPr>
            <w:tcW w:w="1134" w:type="dxa"/>
            <w:vMerge w:val="restart"/>
            <w:tcBorders>
              <w:tl2br w:val="nil"/>
              <w:tr2bl w:val="nil"/>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bCs/>
                <w:color w:val="auto"/>
                <w:szCs w:val="21"/>
                <w:highlight w:val="none"/>
              </w:rPr>
              <w:t>算法类型</w:t>
            </w:r>
          </w:p>
        </w:tc>
        <w:tc>
          <w:tcPr>
            <w:tcW w:w="1563" w:type="dxa"/>
            <w:gridSpan w:val="2"/>
            <w:tcBorders>
              <w:tl2br w:val="nil"/>
              <w:tr2bl w:val="nil"/>
            </w:tcBorders>
            <w:vAlign w:val="center"/>
          </w:tcPr>
          <w:p>
            <w:pPr>
              <w:spacing w:line="240" w:lineRule="atLeast"/>
              <w:jc w:val="center"/>
              <w:rPr>
                <w:rFonts w:hint="eastAsia" w:ascii="宋体" w:hAnsi="宋体" w:cs="宋体"/>
                <w:color w:val="auto"/>
                <w:kern w:val="0"/>
                <w:szCs w:val="21"/>
                <w:highlight w:val="none"/>
              </w:rPr>
            </w:pPr>
            <w:r>
              <w:rPr>
                <w:rFonts w:hint="eastAsia" w:ascii="宋体" w:hAnsi="宋体" w:cs="宋体"/>
                <w:color w:val="auto"/>
                <w:szCs w:val="21"/>
                <w:highlight w:val="none"/>
              </w:rPr>
              <w:t>□固定比例法</w:t>
            </w:r>
          </w:p>
        </w:tc>
        <w:tc>
          <w:tcPr>
            <w:tcW w:w="5950" w:type="dxa"/>
            <w:tcBorders>
              <w:tl2br w:val="nil"/>
              <w:tr2bl w:val="nil"/>
            </w:tcBorders>
            <w:vAlign w:val="center"/>
          </w:tcPr>
          <w:p>
            <w:pPr>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价格得分=M-[（｜投标价格-基准价｜/基准价）*100/N]*扣分值</w:t>
            </w:r>
          </w:p>
          <w:p>
            <w:pPr>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（价格评价分项满分值），N=</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，投标价格每高于N％时，扣</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分；每低于N％时，扣</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p>
            <w:pPr>
              <w:spacing w:line="240" w:lineRule="atLeast"/>
              <w:jc w:val="left"/>
              <w:rPr>
                <w:rFonts w:hint="eastAsia" w:ascii="宋体" w:hAnsi="宋体" w:cs="宋体"/>
                <w:color w:val="auto"/>
                <w:kern w:val="0"/>
                <w:szCs w:val="21"/>
                <w:highlight w:val="none"/>
              </w:rPr>
            </w:pPr>
            <w:r>
              <w:rPr>
                <w:rFonts w:hint="eastAsia" w:ascii="宋体" w:hAnsi="宋体" w:cs="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cs="宋体"/>
                <w:color w:val="auto"/>
                <w:szCs w:val="21"/>
                <w:highlight w:val="none"/>
              </w:rPr>
            </w:pPr>
          </w:p>
        </w:tc>
        <w:tc>
          <w:tcPr>
            <w:tcW w:w="1134" w:type="dxa"/>
            <w:vMerge w:val="continue"/>
            <w:tcBorders>
              <w:tl2br w:val="nil"/>
              <w:tr2bl w:val="nil"/>
            </w:tcBorders>
            <w:vAlign w:val="center"/>
          </w:tcPr>
          <w:p>
            <w:pPr>
              <w:spacing w:line="360" w:lineRule="auto"/>
              <w:jc w:val="center"/>
              <w:rPr>
                <w:rFonts w:hint="eastAsia" w:ascii="宋体" w:hAnsi="宋体" w:cs="宋体"/>
                <w:color w:val="auto"/>
                <w:szCs w:val="21"/>
                <w:highlight w:val="none"/>
              </w:rPr>
            </w:pPr>
          </w:p>
        </w:tc>
        <w:tc>
          <w:tcPr>
            <w:tcW w:w="1563" w:type="dxa"/>
            <w:gridSpan w:val="2"/>
            <w:tcBorders>
              <w:tl2br w:val="nil"/>
              <w:tr2bl w:val="nil"/>
            </w:tcBorders>
            <w:vAlign w:val="center"/>
          </w:tcPr>
          <w:p>
            <w:pPr>
              <w:spacing w:line="240" w:lineRule="atLeast"/>
              <w:jc w:val="center"/>
              <w:rPr>
                <w:rFonts w:hint="eastAsia" w:ascii="宋体" w:hAnsi="宋体" w:cs="宋体"/>
                <w:color w:val="auto"/>
                <w:kern w:val="0"/>
                <w:szCs w:val="21"/>
                <w:highlight w:val="none"/>
              </w:rPr>
            </w:pPr>
            <w:r>
              <w:rPr>
                <w:rFonts w:hint="eastAsia" w:ascii="宋体" w:hAnsi="宋体" w:cs="宋体"/>
                <w:color w:val="auto"/>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22"/>
                <w:rFonts w:hint="eastAsia" w:ascii="宋体" w:hAnsi="宋体" w:cs="宋体"/>
                <w:color w:val="auto"/>
                <w:highlight w:val="none"/>
              </w:rPr>
            </w:pPr>
            <w:r>
              <w:rPr>
                <w:rStyle w:val="22"/>
                <w:rFonts w:hint="eastAsia" w:ascii="宋体" w:hAnsi="宋体" w:cs="宋体"/>
                <w:color w:val="auto"/>
                <w:highlight w:val="none"/>
              </w:rPr>
              <w:t>价格得分=（1-A×｜1-投标报价/Z｜）×M</w:t>
            </w:r>
          </w:p>
          <w:p>
            <w:pPr>
              <w:numPr>
                <w:ilvl w:val="0"/>
                <w:numId w:val="17"/>
              </w:numPr>
              <w:autoSpaceDE w:val="0"/>
              <w:autoSpaceDN w:val="0"/>
              <w:adjustRightInd w:val="0"/>
              <w:snapToGrid w:val="0"/>
              <w:jc w:val="left"/>
              <w:rPr>
                <w:rStyle w:val="22"/>
                <w:rFonts w:hint="eastAsia" w:ascii="宋体" w:hAnsi="宋体" w:cs="宋体"/>
                <w:color w:val="auto"/>
                <w:highlight w:val="none"/>
              </w:rPr>
            </w:pPr>
            <w:r>
              <w:rPr>
                <w:rStyle w:val="22"/>
                <w:rFonts w:hint="eastAsia" w:ascii="宋体" w:hAnsi="宋体" w:cs="宋体"/>
                <w:color w:val="auto"/>
                <w:highlight w:val="none"/>
              </w:rPr>
              <w:t xml:space="preserve">M= </w:t>
            </w:r>
            <w:r>
              <w:rPr>
                <w:rFonts w:hint="eastAsia" w:ascii="宋体" w:hAnsi="宋体" w:cs="宋体"/>
                <w:color w:val="auto"/>
                <w:szCs w:val="21"/>
                <w:highlight w:val="none"/>
              </w:rPr>
              <w:t>××</w:t>
            </w:r>
            <w:r>
              <w:rPr>
                <w:rStyle w:val="22"/>
                <w:rFonts w:hint="eastAsia" w:ascii="宋体" w:hAnsi="宋体" w:cs="宋体"/>
                <w:color w:val="auto"/>
                <w:highlight w:val="none"/>
              </w:rPr>
              <w:t xml:space="preserve"> （价格评价分项满分值），Z为本次招标最佳报价（即基准价）；</w:t>
            </w:r>
          </w:p>
          <w:p>
            <w:pPr>
              <w:numPr>
                <w:ilvl w:val="0"/>
                <w:numId w:val="17"/>
              </w:numPr>
              <w:autoSpaceDE w:val="0"/>
              <w:autoSpaceDN w:val="0"/>
              <w:adjustRightInd w:val="0"/>
              <w:snapToGrid w:val="0"/>
              <w:jc w:val="left"/>
              <w:rPr>
                <w:rStyle w:val="22"/>
                <w:rFonts w:hint="eastAsia" w:ascii="宋体" w:hAnsi="宋体" w:cs="宋体"/>
                <w:color w:val="auto"/>
                <w:highlight w:val="none"/>
              </w:rPr>
            </w:pPr>
            <w:r>
              <w:rPr>
                <w:rStyle w:val="22"/>
                <w:rFonts w:hint="eastAsia" w:ascii="宋体" w:hAnsi="宋体" w:cs="宋体"/>
                <w:color w:val="auto"/>
                <w:highlight w:val="none"/>
              </w:rPr>
              <w:t>A为价格调整系数，当投标报价低于本次招标最佳报价（即基准价）时，A=0.5；当投标报价高于次招标最佳报价时，取A=1；</w:t>
            </w:r>
          </w:p>
          <w:p>
            <w:pPr>
              <w:numPr>
                <w:ilvl w:val="0"/>
                <w:numId w:val="17"/>
              </w:numPr>
              <w:jc w:val="left"/>
              <w:rPr>
                <w:rFonts w:hint="eastAsia" w:ascii="宋体" w:hAnsi="宋体" w:cs="宋体"/>
                <w:color w:val="auto"/>
                <w:kern w:val="0"/>
                <w:szCs w:val="21"/>
                <w:highlight w:val="none"/>
              </w:rPr>
            </w:pPr>
            <w:r>
              <w:rPr>
                <w:rStyle w:val="22"/>
                <w:rFonts w:hint="eastAsia" w:ascii="宋体" w:hAnsi="宋体" w:cs="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hint="eastAsia" w:ascii="宋体" w:hAnsi="宋体" w:cs="宋体"/>
                <w:color w:val="auto"/>
                <w:szCs w:val="21"/>
                <w:highlight w:val="none"/>
              </w:rPr>
            </w:pPr>
          </w:p>
        </w:tc>
        <w:tc>
          <w:tcPr>
            <w:tcW w:w="1134" w:type="dxa"/>
            <w:vMerge w:val="continue"/>
            <w:tcBorders>
              <w:tl2br w:val="nil"/>
              <w:tr2bl w:val="nil"/>
            </w:tcBorders>
            <w:vAlign w:val="center"/>
          </w:tcPr>
          <w:p>
            <w:pPr>
              <w:spacing w:line="360" w:lineRule="auto"/>
              <w:jc w:val="center"/>
              <w:rPr>
                <w:rFonts w:hint="eastAsia" w:ascii="宋体" w:hAnsi="宋体" w:cs="宋体"/>
                <w:color w:val="auto"/>
                <w:szCs w:val="21"/>
                <w:highlight w:val="none"/>
              </w:rPr>
            </w:pPr>
          </w:p>
        </w:tc>
        <w:tc>
          <w:tcPr>
            <w:tcW w:w="1563" w:type="dxa"/>
            <w:gridSpan w:val="2"/>
            <w:tcBorders>
              <w:tl2br w:val="nil"/>
              <w:tr2bl w:val="nil"/>
            </w:tcBorders>
            <w:vAlign w:val="center"/>
          </w:tcPr>
          <w:p>
            <w:pPr>
              <w:spacing w:line="240" w:lineRule="atLeast"/>
              <w:jc w:val="center"/>
              <w:rPr>
                <w:rFonts w:hint="eastAsia" w:ascii="宋体" w:hAnsi="宋体" w:cs="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cs="宋体"/>
                <w:color w:val="auto"/>
                <w:szCs w:val="21"/>
                <w:highlight w:val="none"/>
              </w:rPr>
              <w:t>其他方法</w:t>
            </w:r>
          </w:p>
        </w:tc>
        <w:tc>
          <w:tcPr>
            <w:tcW w:w="5950" w:type="dxa"/>
            <w:tcBorders>
              <w:tl2br w:val="nil"/>
              <w:tr2bl w:val="nil"/>
            </w:tcBorders>
            <w:vAlign w:val="center"/>
          </w:tcPr>
          <w:p>
            <w:pPr>
              <w:widowControl w:val="0"/>
              <w:autoSpaceDE w:val="0"/>
              <w:autoSpaceDN w:val="0"/>
              <w:adjustRightInd w:val="0"/>
              <w:snapToGrid w:val="0"/>
              <w:ind w:firstLine="0" w:firstLineChars="0"/>
              <w:jc w:val="left"/>
              <w:rPr>
                <w:rStyle w:val="22"/>
                <w:rFonts w:hint="eastAsia" w:ascii="宋体" w:hAnsi="宋体"/>
                <w:color w:val="auto"/>
                <w:szCs w:val="21"/>
                <w:highlight w:val="none"/>
              </w:rPr>
            </w:pPr>
            <w:r>
              <w:rPr>
                <w:rStyle w:val="22"/>
                <w:rFonts w:hint="eastAsia" w:ascii="宋体" w:hAnsi="宋体"/>
                <w:color w:val="auto"/>
                <w:szCs w:val="21"/>
                <w:highlight w:val="none"/>
              </w:rPr>
              <w:t>价格得分=（1-|投标报价-基准价|÷基准价）×价格权重分</w:t>
            </w:r>
          </w:p>
          <w:p>
            <w:pPr>
              <w:spacing w:line="240" w:lineRule="atLeast"/>
              <w:jc w:val="left"/>
              <w:rPr>
                <w:rFonts w:hint="eastAsia" w:ascii="宋体" w:hAnsi="宋体" w:cs="宋体"/>
                <w:color w:val="auto"/>
                <w:kern w:val="0"/>
                <w:szCs w:val="21"/>
                <w:highlight w:val="none"/>
              </w:rPr>
            </w:pPr>
            <w:r>
              <w:rPr>
                <w:rStyle w:val="22"/>
                <w:rFonts w:hint="eastAsia" w:ascii="宋体" w:hAnsi="宋体"/>
                <w:color w:val="auto"/>
                <w:szCs w:val="21"/>
                <w:highlight w:val="none"/>
              </w:rPr>
              <w:t>说明：报价最接近基准价的投标人价格分最高，价格分保留至小数点后两位。</w:t>
            </w:r>
          </w:p>
        </w:tc>
      </w:tr>
    </w:tbl>
    <w:p>
      <w:pPr>
        <w:numPr>
          <w:ilvl w:val="0"/>
          <w:numId w:val="13"/>
        </w:numPr>
        <w:spacing w:before="936" w:beforeLines="300" w:line="360" w:lineRule="auto"/>
        <w:jc w:val="left"/>
        <w:outlineLvl w:val="2"/>
        <w:rPr>
          <w:rStyle w:val="32"/>
          <w:rFonts w:ascii="宋体" w:hAnsi="宋体"/>
          <w:b/>
          <w:bCs/>
          <w:szCs w:val="21"/>
        </w:rPr>
      </w:pPr>
      <w:bookmarkStart w:id="52" w:name="_Toc32232"/>
      <w:r>
        <w:rPr>
          <w:rStyle w:val="32"/>
          <w:rFonts w:hint="eastAsia" w:ascii="宋体" w:hAnsi="宋体"/>
          <w:b/>
          <w:bCs/>
          <w:szCs w:val="21"/>
        </w:rPr>
        <w:t>综合评议指标表</w:t>
      </w:r>
      <w:bookmarkEnd w:id="52"/>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8"/>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8"/>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3" w:name="_Toc32708"/>
      <w:r>
        <w:rPr>
          <w:rFonts w:hint="eastAsia" w:ascii="宋体" w:hAnsi="宋体"/>
          <w:b/>
          <w:sz w:val="32"/>
          <w:szCs w:val="32"/>
        </w:rPr>
        <w:t>第四部分：合同条款及格式</w:t>
      </w:r>
      <w:bookmarkEnd w:id="53"/>
    </w:p>
    <w:p>
      <w:pPr>
        <w:jc w:val="center"/>
        <w:rPr>
          <w:rFonts w:ascii="方正小标宋简体" w:hAnsi="方正小标宋简体" w:eastAsia="方正小标宋简体" w:cs="方正小标宋简体"/>
          <w:bCs/>
          <w:kern w:val="0"/>
          <w:sz w:val="28"/>
          <w:szCs w:val="28"/>
        </w:rPr>
      </w:pPr>
    </w:p>
    <w:p>
      <w:pPr>
        <w:jc w:val="center"/>
        <w:rPr>
          <w:rFonts w:hint="eastAsia" w:ascii="方正小标宋简体" w:hAnsi="方正小标宋简体" w:eastAsia="方正小标宋简体" w:cs="方正小标宋简体"/>
          <w:bCs/>
          <w:kern w:val="0"/>
          <w:sz w:val="28"/>
          <w:szCs w:val="28"/>
        </w:rPr>
      </w:pPr>
      <w:r>
        <w:rPr>
          <w:rFonts w:hint="eastAsia" w:ascii="方正小标宋简体" w:hAnsi="方正小标宋简体" w:eastAsia="方正小标宋简体" w:cs="方正小标宋简体"/>
          <w:bCs/>
          <w:kern w:val="0"/>
          <w:sz w:val="28"/>
          <w:szCs w:val="28"/>
        </w:rPr>
        <w:t>2022年-2024年高交会</w:t>
      </w:r>
    </w:p>
    <w:p>
      <w:pPr>
        <w:jc w:val="center"/>
        <w:rPr>
          <w:rFonts w:ascii="宋体" w:hAnsi="宋体"/>
          <w:szCs w:val="21"/>
        </w:rPr>
      </w:pPr>
      <w:r>
        <w:rPr>
          <w:rFonts w:hint="eastAsia" w:ascii="方正小标宋简体" w:hAnsi="方正小标宋简体" w:eastAsia="方正小标宋简体" w:cs="方正小标宋简体"/>
          <w:bCs/>
          <w:kern w:val="0"/>
          <w:sz w:val="28"/>
          <w:szCs w:val="28"/>
          <w:lang w:val="en-US" w:eastAsia="zh-CN"/>
        </w:rPr>
        <w:t>自媒体</w:t>
      </w:r>
      <w:r>
        <w:rPr>
          <w:rFonts w:hint="eastAsia" w:ascii="方正小标宋简体" w:hAnsi="方正小标宋简体" w:eastAsia="方正小标宋简体" w:cs="方正小标宋简体"/>
          <w:bCs/>
          <w:kern w:val="0"/>
          <w:sz w:val="28"/>
          <w:szCs w:val="28"/>
        </w:rPr>
        <w:t>内容制作合作协议（仅供参考）</w:t>
      </w:r>
    </w:p>
    <w:p>
      <w:pPr>
        <w:ind w:firstLine="420" w:firstLineChars="200"/>
        <w:jc w:val="left"/>
        <w:rPr>
          <w:rFonts w:ascii="宋体" w:hAnsi="宋体"/>
          <w:szCs w:val="21"/>
        </w:rPr>
      </w:pPr>
    </w:p>
    <w:p>
      <w:pPr>
        <w:pStyle w:val="6"/>
        <w:spacing w:before="93" w:beforeLines="30"/>
        <w:ind w:firstLine="420" w:firstLineChars="200"/>
        <w:rPr>
          <w:rFonts w:hint="eastAsia" w:ascii="新宋体" w:hAnsi="新宋体" w:eastAsia="新宋体"/>
          <w:szCs w:val="21"/>
        </w:rPr>
      </w:pPr>
      <w:r>
        <w:rPr>
          <w:rFonts w:hint="eastAsia" w:ascii="新宋体" w:hAnsi="新宋体" w:eastAsia="新宋体"/>
          <w:szCs w:val="21"/>
        </w:rPr>
        <w:t xml:space="preserve">甲方:     </w:t>
      </w:r>
      <w:r>
        <w:rPr>
          <w:rFonts w:hint="eastAsia" w:ascii="新宋体" w:hAnsi="新宋体" w:eastAsia="新宋体"/>
          <w:szCs w:val="21"/>
          <w:lang w:val="en-US" w:eastAsia="zh-CN"/>
        </w:rPr>
        <w:t xml:space="preserve">                          </w:t>
      </w:r>
      <w:r>
        <w:rPr>
          <w:rFonts w:hint="eastAsia" w:ascii="新宋体" w:hAnsi="新宋体" w:eastAsia="新宋体"/>
          <w:szCs w:val="21"/>
        </w:rPr>
        <w:t xml:space="preserve">    乙方: </w:t>
      </w:r>
    </w:p>
    <w:p>
      <w:pPr>
        <w:pStyle w:val="6"/>
        <w:spacing w:before="93" w:beforeLines="30"/>
        <w:ind w:firstLine="420" w:firstLineChars="200"/>
        <w:rPr>
          <w:rFonts w:hint="eastAsia" w:ascii="新宋体" w:hAnsi="新宋体" w:eastAsia="新宋体"/>
          <w:szCs w:val="21"/>
        </w:rPr>
      </w:pPr>
      <w:r>
        <w:rPr>
          <w:rFonts w:hint="eastAsia" w:ascii="新宋体" w:hAnsi="新宋体" w:eastAsia="新宋体"/>
          <w:szCs w:val="21"/>
        </w:rPr>
        <w:t xml:space="preserve">地址:    </w:t>
      </w:r>
      <w:r>
        <w:rPr>
          <w:rFonts w:hint="eastAsia" w:ascii="新宋体" w:hAnsi="新宋体" w:eastAsia="新宋体"/>
          <w:szCs w:val="21"/>
          <w:lang w:val="en-US" w:eastAsia="zh-CN"/>
        </w:rPr>
        <w:t xml:space="preserve">                          </w:t>
      </w:r>
      <w:r>
        <w:rPr>
          <w:rFonts w:hint="eastAsia" w:ascii="新宋体" w:hAnsi="新宋体" w:eastAsia="新宋体"/>
          <w:szCs w:val="21"/>
        </w:rPr>
        <w:t xml:space="preserve">     地址: </w:t>
      </w:r>
    </w:p>
    <w:p>
      <w:pPr>
        <w:pStyle w:val="6"/>
        <w:spacing w:before="93" w:beforeLines="30"/>
        <w:ind w:firstLine="420" w:firstLineChars="200"/>
        <w:rPr>
          <w:rFonts w:hint="eastAsia" w:ascii="新宋体" w:hAnsi="新宋体" w:eastAsia="新宋体"/>
          <w:szCs w:val="21"/>
        </w:rPr>
      </w:pPr>
      <w:r>
        <w:rPr>
          <w:rFonts w:hint="eastAsia" w:ascii="新宋体" w:hAnsi="新宋体" w:eastAsia="新宋体"/>
          <w:szCs w:val="21"/>
        </w:rPr>
        <w:t xml:space="preserve">法定代表人：  </w:t>
      </w:r>
      <w:r>
        <w:rPr>
          <w:rFonts w:hint="eastAsia" w:ascii="新宋体" w:hAnsi="新宋体" w:eastAsia="新宋体"/>
          <w:szCs w:val="21"/>
        </w:rPr>
        <w:tab/>
      </w:r>
      <w:r>
        <w:rPr>
          <w:rFonts w:hint="eastAsia" w:ascii="新宋体" w:hAnsi="新宋体" w:eastAsia="新宋体"/>
          <w:szCs w:val="21"/>
        </w:rPr>
        <w:tab/>
      </w:r>
      <w:r>
        <w:rPr>
          <w:rFonts w:hint="eastAsia" w:ascii="新宋体" w:hAnsi="新宋体" w:eastAsia="新宋体"/>
          <w:szCs w:val="21"/>
        </w:rPr>
        <w:tab/>
      </w:r>
      <w:r>
        <w:rPr>
          <w:rFonts w:hint="eastAsia" w:ascii="新宋体" w:hAnsi="新宋体" w:eastAsia="新宋体"/>
          <w:szCs w:val="21"/>
        </w:rPr>
        <w:tab/>
      </w:r>
      <w:r>
        <w:rPr>
          <w:rFonts w:hint="eastAsia" w:ascii="新宋体" w:hAnsi="新宋体" w:eastAsia="新宋体"/>
          <w:szCs w:val="21"/>
        </w:rPr>
        <w:tab/>
      </w:r>
      <w:r>
        <w:rPr>
          <w:rFonts w:hint="eastAsia" w:ascii="新宋体" w:hAnsi="新宋体" w:eastAsia="新宋体"/>
          <w:szCs w:val="21"/>
          <w:lang w:val="en-US" w:eastAsia="zh-CN"/>
        </w:rPr>
        <w:t xml:space="preserve">     </w:t>
      </w:r>
      <w:r>
        <w:rPr>
          <w:rFonts w:hint="eastAsia" w:ascii="新宋体" w:hAnsi="新宋体" w:eastAsia="新宋体"/>
          <w:szCs w:val="21"/>
        </w:rPr>
        <w:t xml:space="preserve">   负责人：</w:t>
      </w:r>
    </w:p>
    <w:p>
      <w:pPr>
        <w:pStyle w:val="6"/>
        <w:spacing w:before="93" w:beforeLines="30"/>
        <w:ind w:firstLine="420" w:firstLineChars="200"/>
        <w:rPr>
          <w:rFonts w:hint="eastAsia" w:ascii="新宋体" w:hAnsi="新宋体" w:eastAsia="新宋体"/>
          <w:szCs w:val="21"/>
        </w:rPr>
      </w:pPr>
      <w:r>
        <w:rPr>
          <w:rFonts w:hint="eastAsia" w:ascii="新宋体" w:hAnsi="新宋体" w:eastAsia="新宋体"/>
          <w:szCs w:val="21"/>
        </w:rPr>
        <w:t xml:space="preserve">联系人:        </w:t>
      </w:r>
      <w:r>
        <w:rPr>
          <w:rFonts w:hint="eastAsia" w:ascii="新宋体" w:hAnsi="新宋体" w:eastAsia="新宋体"/>
          <w:szCs w:val="21"/>
          <w:lang w:val="en-US" w:eastAsia="zh-CN"/>
        </w:rPr>
        <w:t xml:space="preserve">                        </w:t>
      </w:r>
      <w:r>
        <w:rPr>
          <w:rFonts w:hint="eastAsia" w:ascii="新宋体" w:hAnsi="新宋体" w:eastAsia="新宋体"/>
          <w:szCs w:val="21"/>
        </w:rPr>
        <w:t xml:space="preserve"> 联系人:  </w:t>
      </w:r>
    </w:p>
    <w:p>
      <w:pPr>
        <w:spacing w:line="440" w:lineRule="exact"/>
        <w:rPr>
          <w:rFonts w:ascii="宋体" w:hAnsi="宋体"/>
          <w:szCs w:val="21"/>
        </w:rPr>
      </w:pPr>
      <w:r>
        <w:rPr>
          <w:rFonts w:hint="eastAsia" w:ascii="新宋体" w:hAnsi="新宋体" w:eastAsia="新宋体"/>
          <w:szCs w:val="21"/>
        </w:rPr>
        <w:t xml:space="preserve">      </w:t>
      </w:r>
    </w:p>
    <w:p>
      <w:pPr>
        <w:pStyle w:val="13"/>
      </w:pPr>
    </w:p>
    <w:p>
      <w:pPr>
        <w:pStyle w:val="6"/>
        <w:spacing w:before="93" w:beforeLines="30"/>
        <w:ind w:firstLine="420" w:firstLineChars="200"/>
        <w:rPr>
          <w:rFonts w:hint="eastAsia" w:ascii="Times New Roman" w:hAnsi="Times New Roman"/>
          <w:szCs w:val="24"/>
        </w:rPr>
      </w:pPr>
      <w:r>
        <w:rPr>
          <w:rFonts w:hint="eastAsia" w:ascii="Times New Roman" w:hAnsi="Times New Roman"/>
          <w:szCs w:val="24"/>
        </w:rPr>
        <w:t>甲乙双方经过友好协商，本着真诚合作、平等互利的原则，就甲方聘请乙方制作2022年-2024年中国国际高新技术成果交易会（以下简称“</w:t>
      </w:r>
      <w:bookmarkStart w:id="54" w:name="OLE_LINK1"/>
      <w:bookmarkStart w:id="55" w:name="OLE_LINK2"/>
      <w:r>
        <w:rPr>
          <w:rFonts w:hint="eastAsia" w:ascii="Times New Roman" w:hAnsi="Times New Roman"/>
          <w:szCs w:val="24"/>
        </w:rPr>
        <w:t>高交会</w:t>
      </w:r>
      <w:bookmarkEnd w:id="54"/>
      <w:bookmarkEnd w:id="55"/>
      <w:r>
        <w:rPr>
          <w:rFonts w:hint="eastAsia" w:ascii="Times New Roman" w:hAnsi="Times New Roman"/>
          <w:szCs w:val="24"/>
        </w:rPr>
        <w:t>”）官网“亮点抢先看”内容的有关合作事宜达成如下协议：</w:t>
      </w:r>
    </w:p>
    <w:p>
      <w:pPr>
        <w:pStyle w:val="6"/>
        <w:spacing w:before="93" w:beforeLines="30"/>
        <w:ind w:firstLine="420" w:firstLineChars="200"/>
        <w:rPr>
          <w:rFonts w:hint="eastAsia" w:ascii="Times New Roman" w:hAnsi="Times New Roman"/>
          <w:szCs w:val="24"/>
        </w:rPr>
      </w:pPr>
    </w:p>
    <w:p>
      <w:pPr>
        <w:pStyle w:val="6"/>
        <w:spacing w:before="93" w:beforeLines="30"/>
        <w:rPr>
          <w:rFonts w:hint="eastAsia" w:ascii="Times New Roman" w:hAnsi="Times New Roman"/>
          <w:b/>
          <w:szCs w:val="24"/>
        </w:rPr>
      </w:pPr>
      <w:r>
        <w:rPr>
          <w:rFonts w:hint="eastAsia" w:ascii="Times New Roman" w:hAnsi="Times New Roman"/>
          <w:szCs w:val="24"/>
        </w:rPr>
        <w:t xml:space="preserve">  </w:t>
      </w:r>
      <w:r>
        <w:rPr>
          <w:rFonts w:hint="eastAsia" w:ascii="Times New Roman" w:hAnsi="Times New Roman"/>
          <w:b/>
          <w:szCs w:val="24"/>
        </w:rPr>
        <w:t>1.合作内容：</w:t>
      </w:r>
    </w:p>
    <w:p>
      <w:pPr>
        <w:pStyle w:val="6"/>
        <w:spacing w:before="93" w:beforeLines="30"/>
        <w:ind w:firstLine="210" w:firstLineChars="100"/>
        <w:rPr>
          <w:rFonts w:ascii="Times New Roman" w:hAnsi="Times New Roman"/>
          <w:szCs w:val="24"/>
        </w:rPr>
      </w:pPr>
      <w:r>
        <w:rPr>
          <w:rFonts w:hint="eastAsia" w:ascii="Times New Roman" w:hAnsi="Times New Roman"/>
          <w:szCs w:val="24"/>
        </w:rPr>
        <w:t>1.1甲方邀请乙方为2022年-2024年高交会制作官网“亮点抢先看”内容相关事宜的合作单位；</w:t>
      </w:r>
    </w:p>
    <w:p>
      <w:pPr>
        <w:pStyle w:val="6"/>
        <w:spacing w:before="93" w:beforeLines="30"/>
        <w:ind w:left="630" w:leftChars="100" w:hanging="420" w:hangingChars="200"/>
        <w:rPr>
          <w:rFonts w:hint="eastAsia" w:ascii="Times New Roman" w:hAnsi="Times New Roman"/>
          <w:szCs w:val="24"/>
        </w:rPr>
      </w:pPr>
      <w:r>
        <w:rPr>
          <w:rFonts w:ascii="Times New Roman" w:hAnsi="Times New Roman"/>
          <w:szCs w:val="24"/>
        </w:rPr>
        <w:t>1.2</w:t>
      </w:r>
      <w:r>
        <w:rPr>
          <w:rFonts w:hint="eastAsia" w:ascii="Times New Roman" w:hAnsi="Times New Roman"/>
          <w:szCs w:val="24"/>
        </w:rPr>
        <w:t>甲方要求乙方在2022年-2024年期间，创作符合甲方要求的文章</w:t>
      </w:r>
      <w:r>
        <w:rPr>
          <w:rFonts w:hint="eastAsia" w:ascii="Times New Roman" w:hAnsi="Times New Roman"/>
          <w:szCs w:val="24"/>
          <w:u w:val="single"/>
          <w:lang w:val="en-US" w:eastAsia="zh-CN"/>
        </w:rPr>
        <w:t>480</w:t>
      </w:r>
      <w:r>
        <w:rPr>
          <w:rFonts w:hint="eastAsia" w:ascii="Times New Roman" w:hAnsi="Times New Roman"/>
          <w:szCs w:val="24"/>
          <w:u w:val="single"/>
        </w:rPr>
        <w:t>篇</w:t>
      </w:r>
      <w:r>
        <w:rPr>
          <w:rFonts w:hint="eastAsia" w:ascii="Times New Roman" w:hAnsi="Times New Roman"/>
          <w:szCs w:val="24"/>
        </w:rPr>
        <w:t>；</w:t>
      </w:r>
    </w:p>
    <w:p>
      <w:pPr>
        <w:pStyle w:val="6"/>
        <w:spacing w:before="93" w:beforeLines="30"/>
        <w:ind w:left="630" w:leftChars="100" w:hanging="420" w:hangingChars="200"/>
        <w:rPr>
          <w:rFonts w:hint="eastAsia" w:ascii="Times New Roman" w:hAnsi="Times New Roman"/>
          <w:szCs w:val="24"/>
        </w:rPr>
      </w:pPr>
    </w:p>
    <w:p>
      <w:pPr>
        <w:pStyle w:val="6"/>
        <w:spacing w:before="93" w:beforeLines="30"/>
        <w:ind w:firstLine="158" w:firstLineChars="75"/>
        <w:rPr>
          <w:rFonts w:hint="eastAsia" w:hAnsi="宋体"/>
          <w:b/>
          <w:bCs/>
          <w:szCs w:val="21"/>
        </w:rPr>
      </w:pPr>
      <w:r>
        <w:rPr>
          <w:rFonts w:hint="eastAsia" w:hAnsi="宋体"/>
          <w:b/>
          <w:bCs/>
          <w:szCs w:val="21"/>
        </w:rPr>
        <w:t>2.双方具体责任：</w:t>
      </w:r>
    </w:p>
    <w:p>
      <w:pPr>
        <w:pStyle w:val="6"/>
        <w:spacing w:before="93" w:beforeLines="30"/>
        <w:ind w:firstLine="157" w:firstLineChars="75"/>
        <w:rPr>
          <w:rFonts w:hint="eastAsia" w:ascii="Times New Roman" w:hAnsi="Times New Roman"/>
          <w:szCs w:val="24"/>
        </w:rPr>
      </w:pPr>
      <w:r>
        <w:rPr>
          <w:rFonts w:hint="eastAsia" w:ascii="Times New Roman" w:hAnsi="Times New Roman"/>
          <w:szCs w:val="24"/>
        </w:rPr>
        <w:t>2.1甲方责任：</w:t>
      </w:r>
    </w:p>
    <w:p>
      <w:pPr>
        <w:pStyle w:val="6"/>
        <w:spacing w:before="93" w:beforeLines="30"/>
        <w:ind w:firstLine="157" w:firstLineChars="75"/>
        <w:rPr>
          <w:rFonts w:hint="eastAsia" w:ascii="Times New Roman" w:hAnsi="Times New Roman"/>
          <w:szCs w:val="24"/>
        </w:rPr>
      </w:pPr>
      <w:r>
        <w:rPr>
          <w:rFonts w:hint="eastAsia" w:ascii="Times New Roman" w:hAnsi="Times New Roman"/>
          <w:szCs w:val="24"/>
        </w:rPr>
        <w:t>2.1.1甲方应积极配合乙方，提供自媒体文章的创作素材及相关内容；</w:t>
      </w:r>
    </w:p>
    <w:p>
      <w:pPr>
        <w:pStyle w:val="6"/>
        <w:spacing w:before="93" w:beforeLines="30"/>
        <w:ind w:left="683" w:leftChars="75" w:hanging="525" w:hangingChars="250"/>
        <w:rPr>
          <w:rFonts w:hint="eastAsia" w:ascii="Times New Roman" w:hAnsi="Times New Roman"/>
          <w:szCs w:val="24"/>
        </w:rPr>
      </w:pPr>
      <w:r>
        <w:rPr>
          <w:rFonts w:hint="eastAsia" w:ascii="Times New Roman" w:hAnsi="Times New Roman"/>
          <w:szCs w:val="24"/>
        </w:rPr>
        <w:t>2.1.2甲方对乙方组织提供自媒体文章进行全面、及时的审核和监测，甲方有权要求乙方按甲方审核要求对文章提出修改建议，使得文章最终符合甲方的要求；</w:t>
      </w:r>
    </w:p>
    <w:p>
      <w:pPr>
        <w:pStyle w:val="6"/>
        <w:spacing w:before="93" w:beforeLines="30"/>
        <w:ind w:left="683" w:leftChars="75" w:hanging="525" w:hangingChars="250"/>
        <w:rPr>
          <w:rFonts w:hint="eastAsia" w:ascii="Times New Roman" w:hAnsi="Times New Roman"/>
          <w:szCs w:val="24"/>
        </w:rPr>
      </w:pPr>
      <w:r>
        <w:rPr>
          <w:rFonts w:hint="eastAsia" w:ascii="Times New Roman" w:hAnsi="Times New Roman"/>
          <w:szCs w:val="24"/>
        </w:rPr>
        <w:t>2.1.3甲方以“刊登在甲方官方网</w:t>
      </w:r>
      <w:r>
        <w:rPr>
          <w:rFonts w:ascii="Times New Roman" w:hAnsi="Times New Roman"/>
          <w:szCs w:val="24"/>
        </w:rPr>
        <w:t>www.chtf.com</w:t>
      </w:r>
      <w:r>
        <w:rPr>
          <w:rFonts w:hint="eastAsia" w:ascii="Times New Roman" w:hAnsi="Times New Roman"/>
          <w:szCs w:val="24"/>
        </w:rPr>
        <w:t>‘亮点抢先看’栏目”作为文章被采用的标准，甲方至此拥有文章的发表及其他使用权；</w:t>
      </w:r>
    </w:p>
    <w:p>
      <w:pPr>
        <w:pStyle w:val="6"/>
        <w:spacing w:before="93" w:beforeLines="30"/>
        <w:ind w:firstLine="157" w:firstLineChars="75"/>
        <w:rPr>
          <w:rFonts w:hint="eastAsia" w:ascii="Times New Roman" w:hAnsi="Times New Roman"/>
          <w:szCs w:val="24"/>
        </w:rPr>
      </w:pPr>
      <w:r>
        <w:rPr>
          <w:rFonts w:hint="eastAsia" w:ascii="Times New Roman" w:hAnsi="Times New Roman"/>
          <w:szCs w:val="24"/>
        </w:rPr>
        <w:t>2.1.4甲方保证未被甲方采用的文章，甲方不会在其它任何公开场所使用；</w:t>
      </w:r>
    </w:p>
    <w:p>
      <w:pPr>
        <w:pStyle w:val="6"/>
        <w:spacing w:before="93" w:beforeLines="30"/>
        <w:ind w:firstLine="157" w:firstLineChars="75"/>
        <w:rPr>
          <w:rFonts w:hint="eastAsia"/>
        </w:rPr>
      </w:pPr>
      <w:r>
        <w:rPr>
          <w:rFonts w:hint="eastAsia" w:ascii="Times New Roman" w:hAnsi="Times New Roman"/>
          <w:szCs w:val="24"/>
        </w:rPr>
        <w:t>2.1.5</w:t>
      </w:r>
      <w:r>
        <w:rPr>
          <w:rFonts w:hint="eastAsia"/>
        </w:rPr>
        <w:t>甲方应按协议约定准时向乙方支付合作费用。</w:t>
      </w:r>
    </w:p>
    <w:p>
      <w:pPr>
        <w:pStyle w:val="6"/>
        <w:spacing w:before="93" w:beforeLines="30"/>
        <w:ind w:firstLine="157" w:firstLineChars="75"/>
        <w:rPr>
          <w:rFonts w:hint="eastAsia"/>
        </w:rPr>
      </w:pPr>
    </w:p>
    <w:p>
      <w:pPr>
        <w:pStyle w:val="6"/>
        <w:tabs>
          <w:tab w:val="center" w:pos="5181"/>
        </w:tabs>
        <w:spacing w:before="93" w:beforeLines="30"/>
        <w:ind w:firstLine="157" w:firstLineChars="75"/>
        <w:rPr>
          <w:rFonts w:hint="eastAsia" w:ascii="Times New Roman" w:hAnsi="Times New Roman"/>
          <w:szCs w:val="24"/>
        </w:rPr>
      </w:pPr>
      <w:r>
        <w:rPr>
          <w:rFonts w:hint="eastAsia" w:ascii="Times New Roman" w:hAnsi="Times New Roman"/>
          <w:szCs w:val="24"/>
        </w:rPr>
        <w:t>2.2乙方责任：</w:t>
      </w:r>
    </w:p>
    <w:p>
      <w:pPr>
        <w:pStyle w:val="6"/>
        <w:spacing w:before="93" w:beforeLines="30"/>
        <w:ind w:left="899" w:leftChars="75" w:hanging="741" w:hangingChars="353"/>
        <w:rPr>
          <w:rFonts w:ascii="Times New Roman" w:hAnsi="Times New Roman"/>
          <w:szCs w:val="24"/>
        </w:rPr>
      </w:pPr>
      <w:r>
        <w:rPr>
          <w:rFonts w:hint="eastAsia" w:ascii="Times New Roman" w:hAnsi="Times New Roman"/>
          <w:szCs w:val="24"/>
        </w:rPr>
        <w:t>2.2.1 保证每篇文章字数不少于</w:t>
      </w:r>
      <w:r>
        <w:rPr>
          <w:rFonts w:hint="eastAsia" w:ascii="Times New Roman" w:hAnsi="Times New Roman"/>
          <w:szCs w:val="24"/>
          <w:u w:val="single"/>
        </w:rPr>
        <w:t>500</w:t>
      </w:r>
      <w:r>
        <w:rPr>
          <w:rFonts w:hint="eastAsia" w:ascii="Times New Roman" w:hAnsi="Times New Roman"/>
          <w:szCs w:val="24"/>
        </w:rPr>
        <w:t>字，于合作期限内，撰写并被甲方采用的文章总篇数共</w:t>
      </w:r>
      <w:r>
        <w:rPr>
          <w:rFonts w:hint="eastAsia" w:ascii="Times New Roman" w:hAnsi="Times New Roman"/>
          <w:szCs w:val="24"/>
          <w:u w:val="single"/>
          <w:lang w:val="en-US" w:eastAsia="zh-CN"/>
        </w:rPr>
        <w:t>480</w:t>
      </w:r>
      <w:r>
        <w:rPr>
          <w:rFonts w:hint="eastAsia" w:ascii="Times New Roman" w:hAnsi="Times New Roman"/>
          <w:szCs w:val="24"/>
        </w:rPr>
        <w:t>篇。</w:t>
      </w:r>
    </w:p>
    <w:p>
      <w:pPr>
        <w:pStyle w:val="6"/>
        <w:spacing w:before="93" w:beforeLines="30"/>
        <w:ind w:left="945" w:leftChars="100" w:hanging="735" w:hangingChars="350"/>
        <w:rPr>
          <w:rFonts w:hint="eastAsia"/>
        </w:rPr>
      </w:pPr>
      <w:r>
        <w:rPr>
          <w:rFonts w:hint="eastAsia" w:ascii="Times New Roman" w:hAnsi="Times New Roman"/>
          <w:szCs w:val="24"/>
        </w:rPr>
        <w:t xml:space="preserve">2.2.2 </w:t>
      </w:r>
      <w:r>
        <w:rPr>
          <w:rFonts w:hint="eastAsia"/>
        </w:rPr>
        <w:t>策划创作方向、素材收集整理、文章撰写等相关工作，由乙方进行，但需由甲方审核，文章最终由甲方决定是否采用；</w:t>
      </w:r>
    </w:p>
    <w:p>
      <w:pPr>
        <w:pStyle w:val="6"/>
        <w:spacing w:before="93" w:beforeLines="30"/>
        <w:ind w:firstLine="210" w:firstLineChars="100"/>
        <w:rPr>
          <w:rFonts w:hint="eastAsia" w:ascii="Times New Roman" w:hAnsi="Times New Roman"/>
          <w:szCs w:val="24"/>
        </w:rPr>
      </w:pPr>
      <w:r>
        <w:rPr>
          <w:rFonts w:hint="eastAsia" w:ascii="Times New Roman" w:hAnsi="Times New Roman"/>
          <w:szCs w:val="24"/>
        </w:rPr>
        <w:t>2.2.3 乙方保证未被甲方采用的文章，乙方不会在其他任何场合公开场所使用；</w:t>
      </w:r>
    </w:p>
    <w:p>
      <w:pPr>
        <w:pStyle w:val="6"/>
        <w:spacing w:before="93" w:beforeLines="30"/>
        <w:ind w:left="840" w:leftChars="100" w:hanging="630" w:hangingChars="300"/>
        <w:rPr>
          <w:rFonts w:hint="eastAsia" w:ascii="Times New Roman" w:hAnsi="Times New Roman"/>
          <w:szCs w:val="24"/>
        </w:rPr>
      </w:pPr>
      <w:r>
        <w:rPr>
          <w:rFonts w:hint="eastAsia" w:ascii="Times New Roman" w:hAnsi="Times New Roman"/>
          <w:szCs w:val="24"/>
        </w:rPr>
        <w:t>2.2.4 乙方保证不得将甲方提供文章的参考主题、创作素材及相关内容等任何信息泄露给第三方；因此而导致任何争议，由乙方负责解决，并赔偿甲方因此所遭受的一切损失；</w:t>
      </w:r>
    </w:p>
    <w:p>
      <w:pPr>
        <w:pStyle w:val="6"/>
        <w:spacing w:before="93" w:beforeLines="30"/>
        <w:ind w:left="840" w:leftChars="100" w:hanging="630" w:hangingChars="300"/>
        <w:rPr>
          <w:rFonts w:hint="eastAsia" w:ascii="Times New Roman" w:hAnsi="Times New Roman"/>
          <w:szCs w:val="24"/>
        </w:rPr>
      </w:pPr>
      <w:r>
        <w:rPr>
          <w:rFonts w:hint="eastAsia" w:ascii="Times New Roman" w:hAnsi="Times New Roman"/>
          <w:szCs w:val="24"/>
        </w:rPr>
        <w:t>2.2.5 乙方不得以任何名义非法收受或索取高交会参展企业（个人）的财务，包括金钱、实物和其他用金钱计算数额的财产性利益；</w:t>
      </w:r>
    </w:p>
    <w:p>
      <w:pPr>
        <w:pStyle w:val="6"/>
        <w:spacing w:before="93" w:beforeLines="30"/>
        <w:ind w:left="840" w:leftChars="100" w:hanging="630" w:hangingChars="300"/>
        <w:rPr>
          <w:rFonts w:hint="eastAsia" w:ascii="Times New Roman" w:hAnsi="Times New Roman"/>
          <w:szCs w:val="24"/>
        </w:rPr>
      </w:pPr>
      <w:r>
        <w:rPr>
          <w:rFonts w:hint="eastAsia" w:ascii="Times New Roman" w:hAnsi="Times New Roman"/>
          <w:szCs w:val="24"/>
        </w:rPr>
        <w:t>2.2.6 乙方应按照协议约定进行高交会自媒体文章撰写，不得借助合作身份从事与高交会自媒体内容制作无关的其他任何活动；</w:t>
      </w:r>
    </w:p>
    <w:p>
      <w:pPr>
        <w:pStyle w:val="6"/>
        <w:spacing w:before="93" w:beforeLines="30"/>
        <w:ind w:firstLine="210" w:firstLineChars="100"/>
        <w:rPr>
          <w:rFonts w:hint="eastAsia" w:ascii="Times New Roman" w:hAnsi="Times New Roman"/>
          <w:szCs w:val="24"/>
        </w:rPr>
      </w:pPr>
      <w:r>
        <w:rPr>
          <w:rFonts w:hint="eastAsia" w:ascii="Times New Roman" w:hAnsi="Times New Roman"/>
          <w:szCs w:val="24"/>
        </w:rPr>
        <w:t>2.2.7 乙方应积极维护甲方品牌形象和声誉。</w:t>
      </w:r>
    </w:p>
    <w:p>
      <w:pPr>
        <w:pStyle w:val="6"/>
        <w:spacing w:before="93" w:beforeLines="30"/>
        <w:ind w:firstLine="210" w:firstLineChars="100"/>
        <w:rPr>
          <w:rFonts w:hint="eastAsia" w:ascii="Times New Roman" w:hAnsi="Times New Roman"/>
          <w:szCs w:val="24"/>
        </w:rPr>
      </w:pPr>
    </w:p>
    <w:p>
      <w:pPr>
        <w:pStyle w:val="6"/>
        <w:spacing w:before="93" w:beforeLines="30"/>
        <w:ind w:firstLine="158" w:firstLineChars="75"/>
        <w:rPr>
          <w:rFonts w:hint="eastAsia" w:hAnsi="宋体"/>
          <w:b/>
          <w:bCs/>
          <w:szCs w:val="21"/>
        </w:rPr>
      </w:pPr>
      <w:r>
        <w:rPr>
          <w:rFonts w:hint="eastAsia" w:hAnsi="宋体"/>
          <w:b/>
          <w:bCs/>
          <w:szCs w:val="21"/>
        </w:rPr>
        <w:t>3.合作费用及期限：</w:t>
      </w:r>
    </w:p>
    <w:p>
      <w:pPr>
        <w:pStyle w:val="6"/>
        <w:spacing w:before="93" w:beforeLines="30"/>
        <w:ind w:left="540" w:leftChars="76" w:hanging="380" w:hangingChars="181"/>
        <w:rPr>
          <w:rFonts w:hint="eastAsia" w:hAnsi="宋体"/>
          <w:szCs w:val="24"/>
        </w:rPr>
      </w:pPr>
      <w:r>
        <w:rPr>
          <w:rFonts w:hint="eastAsia" w:ascii="Times New Roman" w:hAnsi="Times New Roman"/>
          <w:szCs w:val="24"/>
        </w:rPr>
        <w:t>3.1</w:t>
      </w:r>
      <w:r>
        <w:rPr>
          <w:rFonts w:hint="eastAsia" w:hAnsi="宋体"/>
          <w:szCs w:val="24"/>
        </w:rPr>
        <w:t>合同金额：</w:t>
      </w:r>
      <w:r>
        <w:rPr>
          <w:rFonts w:hint="eastAsia" w:hAnsi="宋体"/>
        </w:rPr>
        <w:t>人民币</w:t>
      </w:r>
      <w:r>
        <w:rPr>
          <w:rFonts w:hint="eastAsia" w:hAnsi="宋体"/>
          <w:u w:val="single"/>
          <w:lang w:val="en-US" w:eastAsia="zh-CN"/>
        </w:rPr>
        <w:t>XXX</w:t>
      </w:r>
      <w:r>
        <w:rPr>
          <w:rFonts w:hint="eastAsia" w:hAnsi="宋体"/>
        </w:rPr>
        <w:t>元整（￥</w:t>
      </w:r>
      <w:r>
        <w:rPr>
          <w:rFonts w:hint="eastAsia" w:hAnsi="宋体"/>
          <w:u w:val="single"/>
          <w:lang w:val="en-US" w:eastAsia="zh-CN"/>
        </w:rPr>
        <w:t>XXX</w:t>
      </w:r>
      <w:r>
        <w:rPr>
          <w:rFonts w:hint="eastAsia" w:hAnsi="宋体"/>
        </w:rPr>
        <w:t>）</w:t>
      </w:r>
      <w:r>
        <w:rPr>
          <w:rFonts w:hint="eastAsia" w:hAnsi="宋体"/>
          <w:szCs w:val="24"/>
        </w:rPr>
        <w:t>。在双方签订合同的十</w:t>
      </w:r>
      <w:r>
        <w:rPr>
          <w:rFonts w:hint="eastAsia" w:hAnsi="宋体"/>
          <w:szCs w:val="24"/>
          <w:lang w:val="en-US" w:eastAsia="zh-CN"/>
        </w:rPr>
        <w:t>四</w:t>
      </w:r>
      <w:r>
        <w:rPr>
          <w:rFonts w:hint="eastAsia" w:hAnsi="宋体"/>
          <w:szCs w:val="24"/>
        </w:rPr>
        <w:t>个工作日之内支付所需金额的50%：</w:t>
      </w:r>
      <w:r>
        <w:rPr>
          <w:rFonts w:hint="eastAsia" w:hAnsi="宋体"/>
        </w:rPr>
        <w:t>人民币</w:t>
      </w:r>
      <w:r>
        <w:rPr>
          <w:rFonts w:hint="eastAsia" w:hAnsi="宋体"/>
          <w:u w:val="single"/>
          <w:lang w:val="en-US" w:eastAsia="zh-CN"/>
        </w:rPr>
        <w:t>XXX</w:t>
      </w:r>
      <w:r>
        <w:rPr>
          <w:rFonts w:hint="eastAsia" w:hAnsi="宋体"/>
        </w:rPr>
        <w:t>元整，</w:t>
      </w:r>
      <w:r>
        <w:rPr>
          <w:rFonts w:hint="eastAsia" w:hAnsi="宋体"/>
          <w:szCs w:val="24"/>
        </w:rPr>
        <w:t>即￥</w:t>
      </w:r>
      <w:r>
        <w:rPr>
          <w:rFonts w:hint="eastAsia" w:hAnsi="宋体"/>
          <w:szCs w:val="24"/>
          <w:u w:val="single"/>
        </w:rPr>
        <w:t xml:space="preserve"> </w:t>
      </w:r>
      <w:r>
        <w:rPr>
          <w:rFonts w:hint="eastAsia" w:hAnsi="宋体"/>
          <w:szCs w:val="24"/>
          <w:u w:val="single"/>
          <w:lang w:val="en-US" w:eastAsia="zh-CN"/>
        </w:rPr>
        <w:t>XXX</w:t>
      </w:r>
      <w:r>
        <w:rPr>
          <w:rFonts w:hint="eastAsia" w:hAnsi="宋体"/>
          <w:szCs w:val="24"/>
          <w:u w:val="single"/>
        </w:rPr>
        <w:t>元</w:t>
      </w:r>
      <w:r>
        <w:rPr>
          <w:rFonts w:hint="eastAsia" w:hAnsi="宋体"/>
          <w:szCs w:val="24"/>
        </w:rPr>
        <w:t>；在双方确定合同100%完成后十</w:t>
      </w:r>
      <w:r>
        <w:rPr>
          <w:rFonts w:hint="eastAsia" w:hAnsi="宋体"/>
          <w:szCs w:val="24"/>
          <w:lang w:val="en-US" w:eastAsia="zh-CN"/>
        </w:rPr>
        <w:t>四</w:t>
      </w:r>
      <w:r>
        <w:rPr>
          <w:rFonts w:hint="eastAsia" w:hAnsi="宋体"/>
          <w:szCs w:val="24"/>
        </w:rPr>
        <w:t>个工作日之内，由甲方支付剩余的50%：</w:t>
      </w:r>
      <w:r>
        <w:rPr>
          <w:rFonts w:hint="eastAsia" w:hAnsi="宋体"/>
        </w:rPr>
        <w:t>人民币</w:t>
      </w:r>
      <w:r>
        <w:rPr>
          <w:rFonts w:hint="eastAsia" w:hAnsi="宋体"/>
          <w:u w:val="single"/>
          <w:lang w:val="en-US" w:eastAsia="zh-CN"/>
        </w:rPr>
        <w:t>XXX</w:t>
      </w:r>
      <w:r>
        <w:rPr>
          <w:rFonts w:hint="eastAsia" w:hAnsi="宋体"/>
        </w:rPr>
        <w:t>元整，</w:t>
      </w:r>
      <w:r>
        <w:rPr>
          <w:rFonts w:hint="eastAsia" w:hAnsi="宋体"/>
          <w:szCs w:val="24"/>
        </w:rPr>
        <w:t>即￥</w:t>
      </w:r>
      <w:r>
        <w:rPr>
          <w:rFonts w:hint="eastAsia" w:hAnsi="宋体"/>
          <w:szCs w:val="24"/>
          <w:u w:val="single"/>
          <w:lang w:val="en-US" w:eastAsia="zh-CN"/>
        </w:rPr>
        <w:t>XXX</w:t>
      </w:r>
      <w:r>
        <w:rPr>
          <w:rFonts w:hint="eastAsia" w:hAnsi="宋体"/>
          <w:szCs w:val="24"/>
          <w:u w:val="single"/>
        </w:rPr>
        <w:t xml:space="preserve"> 元</w:t>
      </w:r>
      <w:r>
        <w:rPr>
          <w:rFonts w:hint="eastAsia" w:hAnsi="宋体"/>
          <w:szCs w:val="24"/>
        </w:rPr>
        <w:t>。项目费用清单如下：</w:t>
      </w:r>
    </w:p>
    <w:tbl>
      <w:tblPr>
        <w:tblStyle w:val="17"/>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1418"/>
        <w:gridCol w:w="1134"/>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5"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rPr>
              <w:t>项目内容</w:t>
            </w:r>
          </w:p>
        </w:tc>
        <w:tc>
          <w:tcPr>
            <w:tcW w:w="1418"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rPr>
              <w:t>单价</w:t>
            </w:r>
          </w:p>
        </w:tc>
        <w:tc>
          <w:tcPr>
            <w:tcW w:w="1134"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rPr>
              <w:t>数量</w:t>
            </w:r>
          </w:p>
        </w:tc>
        <w:tc>
          <w:tcPr>
            <w:tcW w:w="1523"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rPr>
              <w:t>费用小计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5805"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rPr>
              <w:t>自媒体文章</w:t>
            </w:r>
          </w:p>
        </w:tc>
        <w:tc>
          <w:tcPr>
            <w:tcW w:w="1418"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rPr>
              <w:t>￥500元/篇</w:t>
            </w:r>
          </w:p>
        </w:tc>
        <w:tc>
          <w:tcPr>
            <w:tcW w:w="1134"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lang w:val="en-US" w:eastAsia="zh-CN"/>
              </w:rPr>
              <w:t>480</w:t>
            </w:r>
            <w:r>
              <w:rPr>
                <w:rFonts w:hint="eastAsia" w:ascii="Times New Roman" w:hAnsi="Times New Roman"/>
                <w:szCs w:val="24"/>
              </w:rPr>
              <w:t>篇</w:t>
            </w:r>
          </w:p>
        </w:tc>
        <w:tc>
          <w:tcPr>
            <w:tcW w:w="1523"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rPr>
              <w:t>￥</w:t>
            </w:r>
            <w:r>
              <w:rPr>
                <w:rFonts w:hint="eastAsia" w:ascii="Times New Roman" w:hAnsi="Times New Roman"/>
                <w:szCs w:val="24"/>
                <w:lang w:val="en-US" w:eastAsia="zh-CN"/>
              </w:rPr>
              <w:t>XX</w:t>
            </w:r>
            <w:r>
              <w:rPr>
                <w:rFonts w:hint="eastAsia" w:ascii="Times New Roman" w:hAnsi="Times New Roman"/>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5805"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rPr>
              <w:t>项目管理执行（客户沟通、出稿的制定与执行）</w:t>
            </w:r>
          </w:p>
        </w:tc>
        <w:tc>
          <w:tcPr>
            <w:tcW w:w="1418"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rPr>
              <w:t>￥5000元/月</w:t>
            </w:r>
          </w:p>
        </w:tc>
        <w:tc>
          <w:tcPr>
            <w:tcW w:w="1134"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lang w:val="en-US" w:eastAsia="zh-CN"/>
              </w:rPr>
              <w:t>9</w:t>
            </w:r>
            <w:r>
              <w:rPr>
                <w:rFonts w:hint="eastAsia" w:ascii="Times New Roman" w:hAnsi="Times New Roman"/>
                <w:szCs w:val="24"/>
              </w:rPr>
              <w:t>个月</w:t>
            </w:r>
          </w:p>
        </w:tc>
        <w:tc>
          <w:tcPr>
            <w:tcW w:w="1523"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rPr>
              <w:t>￥</w:t>
            </w:r>
            <w:r>
              <w:rPr>
                <w:rFonts w:hint="eastAsia" w:ascii="Times New Roman" w:hAnsi="Times New Roman"/>
                <w:szCs w:val="24"/>
                <w:lang w:val="en-US" w:eastAsia="zh-CN"/>
              </w:rPr>
              <w:t>XX</w:t>
            </w:r>
            <w:r>
              <w:rPr>
                <w:rFonts w:hint="eastAsia" w:ascii="Times New Roman" w:hAnsi="Times New Roman"/>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7" w:type="dxa"/>
            <w:gridSpan w:val="3"/>
            <w:noWrap w:val="0"/>
            <w:vAlign w:val="top"/>
          </w:tcPr>
          <w:p>
            <w:pPr>
              <w:pStyle w:val="6"/>
              <w:spacing w:before="93" w:beforeLines="30"/>
              <w:jc w:val="center"/>
              <w:rPr>
                <w:rFonts w:hint="eastAsia" w:ascii="Times New Roman" w:hAnsi="Times New Roman"/>
                <w:szCs w:val="24"/>
              </w:rPr>
            </w:pPr>
            <w:r>
              <w:rPr>
                <w:rFonts w:hint="eastAsia" w:ascii="Times New Roman" w:hAnsi="Times New Roman"/>
                <w:szCs w:val="24"/>
              </w:rPr>
              <w:t>合   计</w:t>
            </w:r>
          </w:p>
        </w:tc>
        <w:tc>
          <w:tcPr>
            <w:tcW w:w="1523" w:type="dxa"/>
            <w:noWrap w:val="0"/>
            <w:vAlign w:val="top"/>
          </w:tcPr>
          <w:p>
            <w:pPr>
              <w:pStyle w:val="6"/>
              <w:spacing w:before="93" w:beforeLines="30"/>
              <w:rPr>
                <w:rFonts w:hint="eastAsia" w:ascii="Times New Roman" w:hAnsi="Times New Roman"/>
                <w:szCs w:val="24"/>
              </w:rPr>
            </w:pPr>
            <w:r>
              <w:rPr>
                <w:rFonts w:hint="eastAsia" w:ascii="Times New Roman" w:hAnsi="Times New Roman"/>
                <w:szCs w:val="24"/>
              </w:rPr>
              <w:t>￥</w:t>
            </w:r>
            <w:r>
              <w:rPr>
                <w:rFonts w:hint="eastAsia" w:ascii="Times New Roman" w:hAnsi="Times New Roman"/>
                <w:szCs w:val="24"/>
                <w:lang w:val="en-US" w:eastAsia="zh-CN"/>
              </w:rPr>
              <w:t>XX</w:t>
            </w:r>
            <w:r>
              <w:rPr>
                <w:rFonts w:hint="eastAsia" w:ascii="Times New Roman" w:hAnsi="Times New Roman"/>
                <w:szCs w:val="24"/>
              </w:rPr>
              <w:t>元</w:t>
            </w:r>
          </w:p>
        </w:tc>
      </w:tr>
    </w:tbl>
    <w:p>
      <w:pPr>
        <w:pStyle w:val="6"/>
        <w:spacing w:before="93" w:beforeLines="30"/>
        <w:ind w:left="540" w:leftChars="76" w:hanging="380" w:hangingChars="181"/>
        <w:rPr>
          <w:rFonts w:hint="eastAsia" w:ascii="Times New Roman" w:hAnsi="Times New Roman"/>
          <w:szCs w:val="24"/>
        </w:rPr>
      </w:pPr>
    </w:p>
    <w:p>
      <w:pPr>
        <w:pStyle w:val="6"/>
        <w:spacing w:before="93" w:beforeLines="30"/>
        <w:ind w:firstLine="157" w:firstLineChars="75"/>
        <w:rPr>
          <w:rFonts w:hint="eastAsia" w:ascii="Times New Roman" w:hAnsi="Times New Roman"/>
          <w:szCs w:val="24"/>
        </w:rPr>
      </w:pPr>
      <w:r>
        <w:rPr>
          <w:rFonts w:hint="eastAsia" w:ascii="Times New Roman" w:hAnsi="Times New Roman"/>
          <w:szCs w:val="24"/>
        </w:rPr>
        <w:t>3.2合作期限：20</w:t>
      </w:r>
      <w:r>
        <w:rPr>
          <w:rFonts w:hint="eastAsia" w:ascii="Times New Roman" w:hAnsi="Times New Roman"/>
          <w:szCs w:val="24"/>
          <w:lang w:val="en-US" w:eastAsia="zh-CN"/>
        </w:rPr>
        <w:t>22</w:t>
      </w:r>
      <w:r>
        <w:rPr>
          <w:rFonts w:hint="eastAsia" w:ascii="Times New Roman" w:hAnsi="Times New Roman"/>
          <w:szCs w:val="24"/>
        </w:rPr>
        <w:t>年</w:t>
      </w:r>
      <w:r>
        <w:rPr>
          <w:rFonts w:hint="eastAsia" w:ascii="Times New Roman" w:hAnsi="Times New Roman"/>
          <w:szCs w:val="24"/>
          <w:lang w:val="en-US" w:eastAsia="zh-CN"/>
        </w:rPr>
        <w:t>X</w:t>
      </w:r>
      <w:r>
        <w:rPr>
          <w:rFonts w:hint="eastAsia" w:ascii="Times New Roman" w:hAnsi="Times New Roman"/>
          <w:szCs w:val="24"/>
        </w:rPr>
        <w:t>月</w:t>
      </w:r>
      <w:r>
        <w:rPr>
          <w:rFonts w:hint="eastAsia" w:ascii="Times New Roman" w:hAnsi="Times New Roman"/>
          <w:szCs w:val="24"/>
          <w:lang w:val="en-US" w:eastAsia="zh-CN"/>
        </w:rPr>
        <w:t>X</w:t>
      </w:r>
      <w:r>
        <w:rPr>
          <w:rFonts w:hint="eastAsia" w:ascii="Times New Roman" w:hAnsi="Times New Roman"/>
          <w:szCs w:val="24"/>
        </w:rPr>
        <w:t>日至20</w:t>
      </w:r>
      <w:r>
        <w:rPr>
          <w:rFonts w:hint="eastAsia" w:ascii="Times New Roman" w:hAnsi="Times New Roman"/>
          <w:szCs w:val="24"/>
          <w:lang w:val="en-US" w:eastAsia="zh-CN"/>
        </w:rPr>
        <w:t>24</w:t>
      </w:r>
      <w:r>
        <w:rPr>
          <w:rFonts w:hint="eastAsia" w:ascii="Times New Roman" w:hAnsi="Times New Roman"/>
          <w:szCs w:val="24"/>
        </w:rPr>
        <w:t>年</w:t>
      </w:r>
      <w:r>
        <w:rPr>
          <w:rFonts w:hint="eastAsia" w:ascii="Times New Roman" w:hAnsi="Times New Roman"/>
          <w:szCs w:val="24"/>
          <w:lang w:val="en-US" w:eastAsia="zh-CN"/>
        </w:rPr>
        <w:t>X</w:t>
      </w:r>
      <w:r>
        <w:rPr>
          <w:rFonts w:hint="eastAsia" w:ascii="Times New Roman" w:hAnsi="Times New Roman"/>
          <w:szCs w:val="24"/>
        </w:rPr>
        <w:t>月</w:t>
      </w:r>
      <w:r>
        <w:rPr>
          <w:rFonts w:hint="eastAsia" w:ascii="Times New Roman" w:hAnsi="Times New Roman"/>
          <w:szCs w:val="24"/>
          <w:lang w:val="en-US" w:eastAsia="zh-CN"/>
        </w:rPr>
        <w:t>X</w:t>
      </w:r>
      <w:r>
        <w:rPr>
          <w:rFonts w:hint="eastAsia" w:ascii="Times New Roman" w:hAnsi="Times New Roman"/>
          <w:szCs w:val="24"/>
        </w:rPr>
        <w:t>日。</w:t>
      </w:r>
    </w:p>
    <w:p>
      <w:pPr>
        <w:pStyle w:val="6"/>
        <w:spacing w:before="93" w:beforeLines="30"/>
        <w:ind w:firstLine="157" w:firstLineChars="75"/>
        <w:rPr>
          <w:rFonts w:hint="eastAsia" w:ascii="Times New Roman" w:hAnsi="Times New Roman"/>
          <w:szCs w:val="24"/>
        </w:rPr>
      </w:pPr>
      <w:r>
        <w:rPr>
          <w:rFonts w:hint="eastAsia" w:ascii="Times New Roman" w:hAnsi="Times New Roman"/>
          <w:szCs w:val="24"/>
        </w:rPr>
        <w:t>3.3乙方账号信息</w:t>
      </w:r>
    </w:p>
    <w:p>
      <w:pPr>
        <w:pStyle w:val="6"/>
        <w:spacing w:before="93" w:beforeLines="30"/>
        <w:ind w:firstLine="157" w:firstLineChars="75"/>
        <w:rPr>
          <w:rFonts w:hint="eastAsia" w:hAnsi="宋体"/>
          <w:szCs w:val="21"/>
        </w:rPr>
      </w:pPr>
      <w:r>
        <w:rPr>
          <w:rFonts w:hint="eastAsia" w:hAnsi="宋体"/>
          <w:szCs w:val="21"/>
        </w:rPr>
        <w:t xml:space="preserve"> 开户名：</w:t>
      </w:r>
    </w:p>
    <w:p>
      <w:pPr>
        <w:pStyle w:val="6"/>
        <w:spacing w:before="93" w:beforeLines="30"/>
        <w:ind w:firstLine="157" w:firstLineChars="75"/>
        <w:rPr>
          <w:rFonts w:hint="eastAsia" w:hAnsi="宋体"/>
          <w:szCs w:val="21"/>
        </w:rPr>
      </w:pPr>
      <w:r>
        <w:rPr>
          <w:rFonts w:hint="eastAsia" w:hAnsi="宋体"/>
          <w:szCs w:val="21"/>
        </w:rPr>
        <w:t xml:space="preserve"> 开户行：</w:t>
      </w:r>
    </w:p>
    <w:p>
      <w:pPr>
        <w:pStyle w:val="6"/>
        <w:spacing w:before="93" w:beforeLines="30"/>
        <w:ind w:firstLine="157" w:firstLineChars="75"/>
        <w:rPr>
          <w:rFonts w:hint="eastAsia" w:hAnsi="宋体"/>
          <w:szCs w:val="21"/>
        </w:rPr>
      </w:pPr>
      <w:r>
        <w:rPr>
          <w:rFonts w:hint="eastAsia" w:hAnsi="宋体"/>
          <w:szCs w:val="21"/>
        </w:rPr>
        <w:t xml:space="preserve"> 账户:  </w:t>
      </w:r>
    </w:p>
    <w:p>
      <w:pPr>
        <w:pStyle w:val="6"/>
        <w:spacing w:before="93" w:beforeLines="30"/>
        <w:ind w:firstLine="158" w:firstLineChars="75"/>
        <w:rPr>
          <w:rFonts w:hint="eastAsia" w:hAnsi="宋体"/>
          <w:b/>
          <w:bCs/>
          <w:szCs w:val="21"/>
        </w:rPr>
      </w:pPr>
      <w:r>
        <w:rPr>
          <w:rFonts w:hint="eastAsia" w:hAnsi="宋体"/>
          <w:b/>
          <w:bCs/>
          <w:szCs w:val="21"/>
        </w:rPr>
        <w:t>4．违约条款</w:t>
      </w:r>
    </w:p>
    <w:p>
      <w:pPr>
        <w:spacing w:before="93" w:beforeLines="30"/>
        <w:ind w:firstLine="176" w:firstLineChars="84"/>
      </w:pPr>
      <w:r>
        <w:rPr>
          <w:rFonts w:hint="eastAsia"/>
        </w:rPr>
        <w:t>4.1甲乙双方应正当行使权利、履行义务，保证本协议的顺利进行。</w:t>
      </w:r>
    </w:p>
    <w:p>
      <w:pPr>
        <w:spacing w:before="93" w:beforeLines="30"/>
        <w:ind w:firstLine="176" w:firstLineChars="84"/>
        <w:rPr>
          <w:rFonts w:hint="eastAsia"/>
          <w:highlight w:val="yellow"/>
        </w:rPr>
      </w:pPr>
      <w:r>
        <w:rPr>
          <w:rFonts w:hint="eastAsia"/>
        </w:rPr>
        <w:t>4.2在合同终止之日，根据双方沟通确认，若最终经甲方审核通过的文章数量未达</w:t>
      </w:r>
      <w:r>
        <w:rPr>
          <w:rFonts w:hint="eastAsia"/>
          <w:lang w:val="en-US" w:eastAsia="zh-CN"/>
        </w:rPr>
        <w:t>480</w:t>
      </w:r>
      <w:r>
        <w:rPr>
          <w:rFonts w:hint="eastAsia"/>
        </w:rPr>
        <w:t>篇的数量要求，则根据实际审核通过的文章数量按照500元/篇的单价进行核算。若最终经甲方审核通过的文章数量未达</w:t>
      </w:r>
      <w:r>
        <w:rPr>
          <w:rFonts w:hint="eastAsia"/>
          <w:lang w:val="en-US" w:eastAsia="zh-CN"/>
        </w:rPr>
        <w:t>400</w:t>
      </w:r>
      <w:r>
        <w:rPr>
          <w:rFonts w:hint="eastAsia"/>
        </w:rPr>
        <w:t>篇，乙方还需退还合同金额中的项目管理执行费用即人民币壹万伍仟元整（￥</w:t>
      </w:r>
      <w:r>
        <w:rPr>
          <w:rFonts w:hint="eastAsia"/>
          <w:lang w:val="en-US" w:eastAsia="zh-CN"/>
        </w:rPr>
        <w:t>4</w:t>
      </w:r>
      <w:r>
        <w:rPr>
          <w:rFonts w:hint="eastAsia"/>
        </w:rPr>
        <w:t>5000元）。</w:t>
      </w:r>
    </w:p>
    <w:p>
      <w:pPr>
        <w:spacing w:before="93" w:beforeLines="30"/>
        <w:ind w:left="594" w:leftChars="83" w:hanging="420" w:hangingChars="200"/>
        <w:rPr>
          <w:rFonts w:hint="eastAsia"/>
        </w:rPr>
      </w:pPr>
      <w:r>
        <w:rPr>
          <w:rFonts w:hint="eastAsia"/>
        </w:rPr>
        <w:t>4.3任何一方违反本协议项下的任何规定（不包括文章数量规定），均应当承担违约责任，向另一方支付合同总额_</w:t>
      </w:r>
      <w:r>
        <w:rPr>
          <w:rFonts w:hint="eastAsia"/>
          <w:u w:val="single"/>
        </w:rPr>
        <w:t>10</w:t>
      </w:r>
      <w:r>
        <w:rPr>
          <w:rFonts w:hint="eastAsia"/>
        </w:rPr>
        <w:t>_%的违约金；给对方造成损失的，应赔偿对方由此所产生的直接经济损失。</w:t>
      </w:r>
    </w:p>
    <w:p>
      <w:pPr>
        <w:spacing w:before="93" w:beforeLines="30"/>
        <w:ind w:left="594" w:leftChars="83" w:hanging="420" w:hangingChars="200"/>
        <w:rPr>
          <w:rFonts w:hint="eastAsia"/>
        </w:rPr>
      </w:pPr>
    </w:p>
    <w:p>
      <w:pPr>
        <w:spacing w:before="93" w:beforeLines="30"/>
        <w:ind w:right="-328" w:rightChars="-156" w:firstLine="177" w:firstLineChars="84"/>
        <w:rPr>
          <w:rFonts w:hint="eastAsia" w:ascii="宋体" w:hAnsi="宋体"/>
          <w:b/>
          <w:bCs/>
          <w:szCs w:val="21"/>
        </w:rPr>
      </w:pPr>
      <w:r>
        <w:rPr>
          <w:rFonts w:hint="eastAsia" w:ascii="宋体" w:hAnsi="宋体"/>
          <w:b/>
          <w:bCs/>
          <w:szCs w:val="21"/>
        </w:rPr>
        <w:t>5．不可抗力</w:t>
      </w:r>
    </w:p>
    <w:p>
      <w:pPr>
        <w:spacing w:before="93" w:beforeLines="30"/>
        <w:ind w:left="489" w:leftChars="83" w:hanging="315" w:hangingChars="150"/>
        <w:rPr>
          <w:rFonts w:hint="eastAsia"/>
        </w:rPr>
      </w:pPr>
      <w:r>
        <w:rPr>
          <w:rFonts w:hint="eastAsia"/>
        </w:rPr>
        <w:t>5.1如协议一方延迟履行或未能履行其本协议中列明之义务，但该延迟履行或未能履行是因不可抗力而引起，且在该不可抗力排除后第一时间通知了对方，并提供有效证明，该方不被视为违反本协议。</w:t>
      </w:r>
    </w:p>
    <w:p>
      <w:pPr>
        <w:spacing w:before="93" w:beforeLines="30"/>
        <w:ind w:firstLine="176" w:firstLineChars="84"/>
        <w:rPr>
          <w:rFonts w:hint="eastAsia"/>
        </w:rPr>
      </w:pPr>
      <w:r>
        <w:rPr>
          <w:rFonts w:hint="eastAsia"/>
        </w:rPr>
        <w:t>5.2如该不可抗力导致本次活动被延迟，则该被延迟的活动将重新安排于甲方所决定的最早可能日期执行。</w:t>
      </w:r>
    </w:p>
    <w:p>
      <w:pPr>
        <w:spacing w:before="93" w:beforeLines="30"/>
        <w:ind w:left="489" w:leftChars="83" w:hanging="315" w:hangingChars="150"/>
        <w:rPr>
          <w:rFonts w:hint="eastAsia"/>
        </w:rPr>
      </w:pPr>
      <w:r>
        <w:rPr>
          <w:rFonts w:hint="eastAsia"/>
        </w:rPr>
        <w:t>5.3本协议项下的不可抗力是指：</w:t>
      </w:r>
      <w:r>
        <w:t>无法预见、无法避免且无法克服</w:t>
      </w:r>
      <w:r>
        <w:rPr>
          <w:rFonts w:hint="eastAsia"/>
        </w:rPr>
        <w:t>的客观事实</w:t>
      </w:r>
      <w:r>
        <w:t>，包括但不限于天灾、洪水、地震、瘟疫、战争</w:t>
      </w:r>
      <w:r>
        <w:rPr>
          <w:rFonts w:hint="eastAsia"/>
        </w:rPr>
        <w:t>和军事行动</w:t>
      </w:r>
      <w:r>
        <w:t>（无论是否宣战）、恐怖袭击、蓄意的破坏活动、政府行为等</w:t>
      </w:r>
      <w:r>
        <w:rPr>
          <w:rFonts w:hint="eastAsia"/>
        </w:rPr>
        <w:t>。</w:t>
      </w:r>
    </w:p>
    <w:p>
      <w:pPr>
        <w:spacing w:before="93" w:beforeLines="30"/>
        <w:ind w:left="489" w:leftChars="83" w:hanging="315" w:hangingChars="150"/>
        <w:rPr>
          <w:rFonts w:hint="eastAsia"/>
        </w:rPr>
      </w:pPr>
    </w:p>
    <w:p>
      <w:pPr>
        <w:spacing w:before="93" w:beforeLines="30"/>
        <w:ind w:right="-328" w:rightChars="-156" w:firstLine="177" w:firstLineChars="84"/>
        <w:rPr>
          <w:rFonts w:hint="eastAsia"/>
          <w:b/>
          <w:bCs/>
        </w:rPr>
      </w:pPr>
      <w:r>
        <w:rPr>
          <w:rFonts w:hint="eastAsia" w:ascii="宋体" w:hAnsi="宋体"/>
          <w:b/>
          <w:bCs/>
          <w:szCs w:val="21"/>
        </w:rPr>
        <w:t>6．</w:t>
      </w:r>
      <w:r>
        <w:rPr>
          <w:rFonts w:hint="eastAsia" w:ascii="宋体" w:cs="宋体"/>
          <w:b/>
          <w:bCs/>
        </w:rPr>
        <w:t>声明及保证</w:t>
      </w:r>
    </w:p>
    <w:p>
      <w:pPr>
        <w:spacing w:before="93" w:beforeLines="30"/>
        <w:ind w:right="-328" w:rightChars="-156" w:firstLine="176" w:firstLineChars="84"/>
        <w:rPr>
          <w:rFonts w:hint="eastAsia"/>
        </w:rPr>
      </w:pPr>
      <w:r>
        <w:rPr>
          <w:rFonts w:hint="eastAsia"/>
          <w:szCs w:val="21"/>
        </w:rPr>
        <w:t>6.1</w:t>
      </w:r>
      <w:r>
        <w:rPr>
          <w:rFonts w:hint="eastAsia" w:cs="宋体"/>
        </w:rPr>
        <w:t>双方互相向对方声明、保证如下：</w:t>
      </w:r>
    </w:p>
    <w:p>
      <w:pPr>
        <w:numPr>
          <w:ilvl w:val="0"/>
          <w:numId w:val="19"/>
        </w:numPr>
        <w:spacing w:before="93" w:beforeLines="30"/>
        <w:ind w:left="0" w:firstLine="176" w:firstLineChars="84"/>
        <w:rPr>
          <w:rFonts w:hint="eastAsia" w:cs="宋体"/>
        </w:rPr>
      </w:pPr>
      <w:r>
        <w:rPr>
          <w:rFonts w:hint="eastAsia" w:cs="宋体"/>
        </w:rPr>
        <w:t>本方为合法设立并有效存续的独立法人机构；</w:t>
      </w:r>
    </w:p>
    <w:p>
      <w:pPr>
        <w:numPr>
          <w:ilvl w:val="0"/>
          <w:numId w:val="19"/>
        </w:numPr>
        <w:spacing w:before="93" w:beforeLines="30"/>
        <w:ind w:left="0" w:firstLine="176" w:firstLineChars="84"/>
        <w:rPr>
          <w:rFonts w:hint="eastAsia"/>
        </w:rPr>
      </w:pPr>
      <w:r>
        <w:rPr>
          <w:rFonts w:hint="eastAsia" w:cs="宋体"/>
        </w:rPr>
        <w:t>本方有资格从事本协议下之合作，而该合作符合其经营范围之规定；</w:t>
      </w:r>
    </w:p>
    <w:p>
      <w:pPr>
        <w:numPr>
          <w:ilvl w:val="0"/>
          <w:numId w:val="19"/>
        </w:numPr>
        <w:spacing w:before="93" w:beforeLines="30"/>
        <w:ind w:left="0" w:firstLine="176" w:firstLineChars="84"/>
        <w:rPr>
          <w:rFonts w:hint="eastAsia"/>
        </w:rPr>
      </w:pPr>
      <w:r>
        <w:rPr>
          <w:rFonts w:hint="eastAsia" w:cs="宋体"/>
        </w:rPr>
        <w:t>本方授权代表已获得充分授权可代表本方签署本协议；</w:t>
      </w:r>
    </w:p>
    <w:p>
      <w:pPr>
        <w:numPr>
          <w:ilvl w:val="0"/>
          <w:numId w:val="19"/>
        </w:numPr>
        <w:tabs>
          <w:tab w:val="left" w:pos="-540"/>
          <w:tab w:val="clear" w:pos="825"/>
        </w:tabs>
        <w:spacing w:before="93" w:beforeLines="30"/>
        <w:ind w:left="898" w:leftChars="85" w:hangingChars="343"/>
        <w:rPr>
          <w:rFonts w:hint="eastAsia"/>
        </w:rPr>
      </w:pPr>
      <w:r>
        <w:rPr>
          <w:rFonts w:hint="eastAsia" w:cs="宋体"/>
        </w:rPr>
        <w:t>本方有能力履行本方于本协议下之义务，并且履行本协议义务行为不违反任何对其有约束力的法律文件之限制。</w:t>
      </w:r>
    </w:p>
    <w:p>
      <w:pPr>
        <w:spacing w:before="93" w:beforeLines="30"/>
        <w:ind w:left="539" w:leftChars="83" w:hanging="365" w:hangingChars="174"/>
      </w:pPr>
      <w:r>
        <w:rPr>
          <w:rFonts w:hint="eastAsia" w:cs="宋体"/>
        </w:rPr>
        <w:t>6.2</w:t>
      </w:r>
      <w:r>
        <w:rPr>
          <w:rFonts w:hint="eastAsia"/>
        </w:rPr>
        <w:t>甲方保证所提供内容（包括文字、图片、视频等）的著作权人（如甲方不是直接著作权人，由乙方另行征得直接著作人同意）同意其著作无偿提供予本次创作撰写使用。（著作权人包括：参展厂商、公司、甲方等）</w:t>
      </w:r>
    </w:p>
    <w:p>
      <w:pPr>
        <w:spacing w:before="93" w:beforeLines="30"/>
        <w:ind w:left="539" w:leftChars="83" w:hanging="365" w:hangingChars="174"/>
        <w:rPr>
          <w:rFonts w:hint="eastAsia"/>
        </w:rPr>
      </w:pPr>
      <w:r>
        <w:rPr>
          <w:rFonts w:hint="eastAsia"/>
        </w:rPr>
        <w:t>6.3乙方保证其撰写的所有文章</w:t>
      </w:r>
      <w:r>
        <w:rPr>
          <w:rStyle w:val="22"/>
          <w:rFonts w:hint="eastAsia"/>
        </w:rPr>
        <w:t>(含发表的和未发表的)</w:t>
      </w:r>
      <w:r>
        <w:rPr>
          <w:rFonts w:hint="eastAsia"/>
        </w:rPr>
        <w:t>的著作权、使用权归甲方，如由此给甲方造成损失的，均由乙方赔偿。乙方拥有相应作品的署名权。</w:t>
      </w:r>
    </w:p>
    <w:p>
      <w:pPr>
        <w:spacing w:before="93" w:beforeLines="30"/>
        <w:ind w:left="489" w:leftChars="83" w:hanging="315" w:hangingChars="150"/>
        <w:rPr>
          <w:rFonts w:hint="eastAsia"/>
        </w:rPr>
      </w:pPr>
      <w:r>
        <w:rPr>
          <w:rFonts w:hint="eastAsia"/>
        </w:rPr>
        <w:t>6.4甲方保证乙方使用甲方提供的信息不构成对任何第三方任何权利的侵犯，或对任何第三方承担责任。同时甲方保证其签订、履行本协议不构成对第三方的违约或对第三方任何权利的侵犯，或对任何第三方承担责任。</w:t>
      </w:r>
    </w:p>
    <w:p>
      <w:pPr>
        <w:spacing w:before="93" w:beforeLines="30"/>
        <w:ind w:left="539" w:leftChars="83" w:hanging="365" w:hangingChars="174"/>
        <w:rPr>
          <w:rFonts w:hint="eastAsia"/>
        </w:rPr>
      </w:pPr>
      <w:r>
        <w:rPr>
          <w:rFonts w:hint="eastAsia" w:cs="宋体"/>
        </w:rPr>
        <w:t xml:space="preserve">6.5 </w:t>
      </w:r>
      <w:r>
        <w:rPr>
          <w:rFonts w:hint="eastAsia"/>
        </w:rPr>
        <w:t>因甲方提供的信息违反任何法律法规或者侵犯任何第三方的合法权益(包括但不限于侵犯第三方的著作权和/或其他人身、财产权利)而导致任何争议、投诉、索赔、诉讼等后果，由甲方负责解决，并赔偿乙方因此所遭受的一切损失。</w:t>
      </w:r>
    </w:p>
    <w:p>
      <w:pPr>
        <w:spacing w:before="93" w:beforeLines="30"/>
        <w:ind w:left="489" w:leftChars="83" w:hanging="315" w:hangingChars="150"/>
        <w:rPr>
          <w:rFonts w:hint="eastAsia"/>
        </w:rPr>
      </w:pPr>
      <w:r>
        <w:rPr>
          <w:rFonts w:hint="eastAsia"/>
        </w:rPr>
        <w:t>6.6无论甲方因何种原因丧失或可能丧失信息的合法使用权，甲方应立即书面通知乙方，并采取有效措施使乙方免于任何形式的投诉、侵权指控、争议、诉讼、索赔。否则由此造成的任何争议、投诉、索赔、诉讼等后果，由甲方负责解决，并赔偿乙方由此所遭受的一切损失；甲方通知乙方后，乙方若继续使用而造成的任何争议、投诉、索赔、诉讼等后果，由乙方承担责任，并赔偿甲方由此所遭受的一切损失。</w:t>
      </w:r>
    </w:p>
    <w:p>
      <w:pPr>
        <w:spacing w:before="93" w:beforeLines="30"/>
        <w:ind w:left="489" w:leftChars="83" w:hanging="315" w:hangingChars="150"/>
        <w:rPr>
          <w:rFonts w:hint="eastAsia"/>
        </w:rPr>
      </w:pPr>
      <w:r>
        <w:rPr>
          <w:rFonts w:hint="eastAsia"/>
        </w:rPr>
        <w:t>6.7 乙方保证其稿件制作过程及制作完成的稿件内容不涉及对任何第三方合法权益的侵犯，若产生任何侵权行为，由乙方承担，并赔偿甲方因此所遭受的一切损失。</w:t>
      </w:r>
    </w:p>
    <w:p>
      <w:pPr>
        <w:spacing w:before="93" w:beforeLines="30"/>
        <w:ind w:left="489" w:leftChars="83" w:hanging="315" w:hangingChars="150"/>
        <w:rPr>
          <w:rFonts w:hint="eastAsia"/>
        </w:rPr>
      </w:pPr>
    </w:p>
    <w:p>
      <w:pPr>
        <w:spacing w:before="93" w:beforeLines="30"/>
        <w:ind w:firstLine="176" w:firstLineChars="84"/>
        <w:rPr>
          <w:rFonts w:hint="eastAsia" w:ascii="宋体"/>
          <w:b/>
          <w:bCs/>
        </w:rPr>
      </w:pPr>
      <w:r>
        <w:rPr>
          <w:rFonts w:hint="eastAsia"/>
        </w:rPr>
        <w:t>7.</w:t>
      </w:r>
      <w:r>
        <w:rPr>
          <w:rFonts w:hint="eastAsia" w:ascii="宋体" w:cs="宋体"/>
          <w:b/>
          <w:bCs/>
        </w:rPr>
        <w:t>保密</w:t>
      </w:r>
    </w:p>
    <w:p>
      <w:pPr>
        <w:spacing w:before="93" w:beforeLines="30"/>
        <w:ind w:left="489" w:leftChars="83" w:hanging="315" w:hangingChars="150"/>
        <w:rPr>
          <w:rFonts w:hint="eastAsia" w:ascii="宋体" w:cs="宋体"/>
        </w:rPr>
      </w:pPr>
      <w:r>
        <w:rPr>
          <w:rFonts w:hint="eastAsia"/>
        </w:rPr>
        <w:t>7.1</w:t>
      </w:r>
      <w:r>
        <w:rPr>
          <w:rFonts w:hint="eastAsia" w:cs="宋体"/>
        </w:rPr>
        <w:t>未</w:t>
      </w:r>
      <w:r>
        <w:rPr>
          <w:rFonts w:hint="eastAsia" w:ascii="宋体" w:cs="宋体"/>
        </w:rPr>
        <w:t>经对方许可，任何一方不得向第三方（有关法律、法规、证券交易所规则和政府、证券交易所或其他监管机构、双方的法律、会计、商业及其他顾问、雇员除外）泄露本</w:t>
      </w:r>
      <w:r>
        <w:rPr>
          <w:rFonts w:hint="eastAsia" w:ascii="宋体" w:hAnsi="宋体" w:cs="宋体"/>
        </w:rPr>
        <w:t>协议</w:t>
      </w:r>
      <w:r>
        <w:rPr>
          <w:rFonts w:hint="eastAsia" w:ascii="宋体" w:cs="宋体"/>
        </w:rPr>
        <w:t>的条款的任何内容和本</w:t>
      </w:r>
      <w:r>
        <w:rPr>
          <w:rFonts w:hint="eastAsia" w:ascii="宋体" w:hAnsi="宋体" w:cs="宋体"/>
        </w:rPr>
        <w:t>协议</w:t>
      </w:r>
      <w:r>
        <w:rPr>
          <w:rFonts w:hint="eastAsia" w:ascii="宋体" w:cs="宋体"/>
        </w:rPr>
        <w:t>的签订和履行情况，以及通过签订和履行本</w:t>
      </w:r>
      <w:r>
        <w:rPr>
          <w:rFonts w:hint="eastAsia" w:ascii="宋体" w:hAnsi="宋体" w:cs="宋体"/>
        </w:rPr>
        <w:t>协议</w:t>
      </w:r>
      <w:r>
        <w:rPr>
          <w:rFonts w:hint="eastAsia" w:ascii="宋体" w:cs="宋体"/>
        </w:rPr>
        <w:t>而获知的对方及对方关联公司的任何信息。</w:t>
      </w:r>
    </w:p>
    <w:p>
      <w:pPr>
        <w:spacing w:before="93" w:beforeLines="30"/>
        <w:ind w:firstLine="176" w:firstLineChars="84"/>
        <w:rPr>
          <w:rFonts w:hint="eastAsia" w:ascii="宋体" w:cs="宋体"/>
        </w:rPr>
      </w:pPr>
      <w:r>
        <w:rPr>
          <w:rFonts w:hint="eastAsia"/>
        </w:rPr>
        <w:t>7.2本协议有效期及终止后2年内，本保密条款仍具有法律效力。</w:t>
      </w:r>
    </w:p>
    <w:p>
      <w:pPr>
        <w:spacing w:before="93" w:beforeLines="30"/>
        <w:ind w:left="489" w:leftChars="83" w:hanging="315" w:hangingChars="150"/>
        <w:rPr>
          <w:rFonts w:hint="eastAsia"/>
        </w:rPr>
      </w:pPr>
      <w:r>
        <w:rPr>
          <w:rFonts w:hint="eastAsia"/>
        </w:rPr>
        <w:t>7.3 除本协议规定之工作所需外，未经对方事先书面同意，不得擅自复制、使用对方的商标、标识、商业信息及其他资料。</w:t>
      </w:r>
    </w:p>
    <w:p>
      <w:pPr>
        <w:spacing w:before="93" w:beforeLines="30"/>
        <w:ind w:left="489" w:leftChars="83" w:hanging="315" w:hangingChars="150"/>
        <w:rPr>
          <w:rFonts w:hint="eastAsia"/>
        </w:rPr>
      </w:pPr>
    </w:p>
    <w:p>
      <w:pPr>
        <w:spacing w:before="93" w:beforeLines="30"/>
        <w:ind w:firstLine="177" w:firstLineChars="84"/>
        <w:rPr>
          <w:rFonts w:hint="eastAsia" w:ascii="宋体"/>
          <w:b/>
          <w:bCs/>
        </w:rPr>
      </w:pPr>
      <w:r>
        <w:rPr>
          <w:rFonts w:hint="eastAsia"/>
          <w:b/>
          <w:bCs/>
        </w:rPr>
        <w:t>8．</w:t>
      </w:r>
      <w:r>
        <w:rPr>
          <w:rFonts w:hint="eastAsia" w:ascii="宋体" w:hAnsi="宋体" w:cs="宋体"/>
          <w:b/>
          <w:bCs/>
        </w:rPr>
        <w:t>争议解决和适用法律</w:t>
      </w:r>
    </w:p>
    <w:p>
      <w:pPr>
        <w:spacing w:before="93" w:beforeLines="30"/>
        <w:ind w:left="489" w:leftChars="83" w:hanging="315" w:hangingChars="150"/>
        <w:rPr>
          <w:rFonts w:hint="eastAsia"/>
        </w:rPr>
      </w:pPr>
      <w:r>
        <w:rPr>
          <w:rFonts w:hint="eastAsia"/>
        </w:rPr>
        <w:t>8.1如双方就本协议内容或其执行发生任何争议，双方应进行友好协商；协商无效时，诉至甲方所在地的人民法院。</w:t>
      </w:r>
    </w:p>
    <w:p>
      <w:pPr>
        <w:spacing w:before="93" w:beforeLines="30"/>
        <w:ind w:firstLine="176" w:firstLineChars="84"/>
        <w:rPr>
          <w:rFonts w:hint="eastAsia"/>
        </w:rPr>
      </w:pPr>
      <w:r>
        <w:rPr>
          <w:rFonts w:hint="eastAsia"/>
        </w:rPr>
        <w:t>8.2本协议的订立、执行和解释及争议的解决均应适用中华人民共和国法律。</w:t>
      </w:r>
    </w:p>
    <w:p>
      <w:pPr>
        <w:spacing w:before="93" w:beforeLines="30"/>
        <w:ind w:firstLine="176" w:firstLineChars="84"/>
        <w:rPr>
          <w:rFonts w:hint="eastAsia"/>
        </w:rPr>
      </w:pPr>
    </w:p>
    <w:p>
      <w:pPr>
        <w:spacing w:before="93" w:beforeLines="30"/>
        <w:ind w:firstLine="177" w:firstLineChars="84"/>
        <w:rPr>
          <w:rFonts w:hint="eastAsia" w:ascii="宋体" w:hAnsi="宋体"/>
          <w:b/>
          <w:bCs/>
        </w:rPr>
      </w:pPr>
      <w:r>
        <w:rPr>
          <w:rFonts w:hint="eastAsia" w:ascii="宋体" w:hAnsi="宋体"/>
          <w:b/>
          <w:bCs/>
        </w:rPr>
        <w:t>9．其他</w:t>
      </w:r>
    </w:p>
    <w:p>
      <w:pPr>
        <w:spacing w:before="93" w:beforeLines="30"/>
        <w:ind w:firstLine="176" w:firstLineChars="84"/>
        <w:rPr>
          <w:rFonts w:hint="eastAsia"/>
        </w:rPr>
      </w:pPr>
      <w:r>
        <w:rPr>
          <w:rFonts w:hint="eastAsia"/>
        </w:rPr>
        <w:t>9.1本协议未尽事宜，由双方协商解决或另行签署补充协议。</w:t>
      </w:r>
    </w:p>
    <w:p>
      <w:pPr>
        <w:spacing w:before="93" w:beforeLines="30"/>
        <w:ind w:firstLine="176" w:firstLineChars="84"/>
        <w:rPr>
          <w:rFonts w:hint="eastAsia"/>
        </w:rPr>
      </w:pPr>
      <w:r>
        <w:rPr>
          <w:rFonts w:hint="eastAsia"/>
        </w:rPr>
        <w:t>9.2本协议自双方法定代表人或其授权代表签字并加盖单位公章之日起生效。</w:t>
      </w:r>
    </w:p>
    <w:p>
      <w:pPr>
        <w:spacing w:before="93" w:beforeLines="30"/>
        <w:ind w:firstLine="176" w:firstLineChars="84"/>
        <w:rPr>
          <w:rFonts w:hint="eastAsia"/>
        </w:rPr>
      </w:pPr>
      <w:r>
        <w:rPr>
          <w:rFonts w:hint="eastAsia"/>
        </w:rPr>
        <w:t>9.3本协议正本一式4份，甲方执3份，乙方执1份，具有同等法律效力。</w:t>
      </w:r>
    </w:p>
    <w:p>
      <w:pPr>
        <w:spacing w:before="93" w:beforeLines="30"/>
        <w:ind w:firstLine="176" w:firstLineChars="84"/>
        <w:rPr>
          <w:rFonts w:hint="eastAsia"/>
        </w:rPr>
      </w:pPr>
      <w:r>
        <w:rPr>
          <w:rFonts w:hint="eastAsia"/>
        </w:rPr>
        <w:t>9.4本</w:t>
      </w:r>
      <w:r>
        <w:rPr>
          <w:rFonts w:hint="eastAsia" w:ascii="宋体" w:hAnsi="宋体" w:cs="宋体"/>
        </w:rPr>
        <w:t>协议</w:t>
      </w:r>
      <w:r>
        <w:rPr>
          <w:rFonts w:hint="eastAsia"/>
        </w:rPr>
        <w:t>的注解、附件、补充</w:t>
      </w:r>
      <w:r>
        <w:rPr>
          <w:rFonts w:hint="eastAsia" w:ascii="宋体" w:hAnsi="宋体" w:cs="宋体"/>
        </w:rPr>
        <w:t>协议</w:t>
      </w:r>
      <w:r>
        <w:rPr>
          <w:rFonts w:hint="eastAsia"/>
        </w:rPr>
        <w:t>为本</w:t>
      </w:r>
      <w:r>
        <w:rPr>
          <w:rFonts w:hint="eastAsia" w:ascii="宋体" w:hAnsi="宋体" w:cs="宋体"/>
        </w:rPr>
        <w:t>协议</w:t>
      </w:r>
      <w:r>
        <w:rPr>
          <w:rFonts w:hint="eastAsia"/>
        </w:rPr>
        <w:t>组成部分，与本</w:t>
      </w:r>
      <w:r>
        <w:rPr>
          <w:rFonts w:hint="eastAsia" w:ascii="宋体" w:hAnsi="宋体" w:cs="宋体"/>
        </w:rPr>
        <w:t>协议</w:t>
      </w:r>
      <w:r>
        <w:rPr>
          <w:rFonts w:hint="eastAsia"/>
        </w:rPr>
        <w:t>具有同等法律效力。</w:t>
      </w:r>
    </w:p>
    <w:p>
      <w:pPr>
        <w:spacing w:before="93" w:beforeLines="30"/>
        <w:ind w:firstLine="176" w:firstLineChars="84"/>
        <w:rPr>
          <w:rFonts w:hint="eastAsia" w:ascii="宋体"/>
        </w:rPr>
      </w:pPr>
      <w:r>
        <w:rPr>
          <w:rFonts w:hint="eastAsia"/>
        </w:rPr>
        <w:t>9.5双方之间的任何通知均按本合同落款处的联系方式进行，如联系方式发生变化，应立即书面通知对方。</w:t>
      </w:r>
    </w:p>
    <w:p>
      <w:pPr>
        <w:spacing w:before="93" w:beforeLines="30"/>
        <w:ind w:firstLine="176" w:firstLineChars="84"/>
        <w:rPr>
          <w:rFonts w:hint="eastAsia" w:cs="宋体"/>
        </w:rPr>
      </w:pPr>
      <w:r>
        <w:rPr>
          <w:rFonts w:hint="eastAsia" w:cs="宋体"/>
        </w:rPr>
        <w:t>（本行以下无正文）</w:t>
      </w:r>
    </w:p>
    <w:p>
      <w:pPr>
        <w:pStyle w:val="13"/>
      </w:pPr>
    </w:p>
    <w:p>
      <w:pPr>
        <w:pStyle w:val="13"/>
      </w:pPr>
    </w:p>
    <w:p>
      <w:pPr>
        <w:pStyle w:val="13"/>
      </w:pPr>
    </w:p>
    <w:p>
      <w:pPr>
        <w:pStyle w:val="13"/>
      </w:pPr>
    </w:p>
    <w:p>
      <w:pPr>
        <w:pStyle w:val="13"/>
      </w:pPr>
    </w:p>
    <w:p>
      <w:pPr>
        <w:pStyle w:val="13"/>
      </w:pPr>
    </w:p>
    <w:p>
      <w:pPr>
        <w:pStyle w:val="13"/>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2"/>
        <w:gridCol w:w="3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2" w:type="dxa"/>
          </w:tcPr>
          <w:p>
            <w:pPr>
              <w:pStyle w:val="13"/>
              <w:rPr>
                <w:rFonts w:ascii="宋体" w:eastAsia="宋体"/>
                <w:szCs w:val="21"/>
              </w:rPr>
            </w:pPr>
            <w:r>
              <w:rPr>
                <w:rFonts w:hint="eastAsia" w:ascii="宋体" w:eastAsia="宋体"/>
                <w:szCs w:val="21"/>
              </w:rPr>
              <w:t>甲方（公章）：深圳会展中心管理有限责任公司</w:t>
            </w:r>
          </w:p>
          <w:p>
            <w:pPr>
              <w:pStyle w:val="13"/>
              <w:rPr>
                <w:rFonts w:ascii="宋体" w:eastAsia="宋体"/>
                <w:szCs w:val="21"/>
                <w:u w:val="single"/>
              </w:rPr>
            </w:pPr>
            <w:r>
              <w:rPr>
                <w:rFonts w:hint="eastAsia" w:ascii="宋体" w:eastAsia="宋体"/>
                <w:szCs w:val="21"/>
              </w:rPr>
              <w:t>甲方代表：</w:t>
            </w:r>
            <w:r>
              <w:rPr>
                <w:rFonts w:ascii="宋体" w:eastAsia="宋体"/>
                <w:szCs w:val="21"/>
                <w:u w:val="single"/>
              </w:rPr>
              <w:t xml:space="preserve">                  </w:t>
            </w:r>
          </w:p>
          <w:p>
            <w:pPr>
              <w:pStyle w:val="13"/>
              <w:rPr>
                <w:rFonts w:ascii="宋体" w:eastAsia="宋体"/>
                <w:szCs w:val="21"/>
                <w:u w:val="single"/>
              </w:rPr>
            </w:pPr>
            <w:r>
              <w:rPr>
                <w:rFonts w:hint="eastAsia" w:ascii="宋体" w:eastAsia="宋体"/>
                <w:szCs w:val="21"/>
              </w:rPr>
              <w:t>联系电话：</w:t>
            </w:r>
            <w:r>
              <w:rPr>
                <w:rFonts w:ascii="宋体" w:eastAsia="宋体"/>
                <w:szCs w:val="21"/>
                <w:u w:val="single"/>
              </w:rPr>
              <w:t xml:space="preserve">                  </w:t>
            </w:r>
          </w:p>
          <w:p>
            <w:pPr>
              <w:pStyle w:val="13"/>
              <w:rPr>
                <w:rFonts w:ascii="宋体" w:eastAsia="宋体"/>
              </w:rPr>
            </w:pPr>
          </w:p>
        </w:tc>
        <w:tc>
          <w:tcPr>
            <w:tcW w:w="3334" w:type="dxa"/>
          </w:tcPr>
          <w:p>
            <w:pPr>
              <w:pStyle w:val="13"/>
              <w:rPr>
                <w:rFonts w:ascii="宋体" w:eastAsia="宋体"/>
                <w:szCs w:val="21"/>
                <w:u w:val="single"/>
              </w:rPr>
            </w:pPr>
            <w:r>
              <w:rPr>
                <w:rFonts w:hint="eastAsia" w:ascii="宋体" w:eastAsia="宋体"/>
                <w:szCs w:val="21"/>
              </w:rPr>
              <w:t>乙方（公章）：</w:t>
            </w:r>
            <w:r>
              <w:rPr>
                <w:rFonts w:ascii="宋体" w:eastAsia="宋体"/>
                <w:szCs w:val="21"/>
                <w:u w:val="single"/>
              </w:rPr>
              <w:t xml:space="preserve">         </w:t>
            </w:r>
            <w:r>
              <w:rPr>
                <w:rFonts w:hint="eastAsia" w:ascii="宋体" w:eastAsia="宋体"/>
                <w:szCs w:val="21"/>
                <w:u w:val="single"/>
              </w:rPr>
              <w:t xml:space="preserve">    </w:t>
            </w:r>
            <w:r>
              <w:rPr>
                <w:rFonts w:ascii="宋体" w:eastAsia="宋体"/>
                <w:szCs w:val="21"/>
                <w:u w:val="single"/>
              </w:rPr>
              <w:t xml:space="preserve">         </w:t>
            </w:r>
          </w:p>
          <w:p>
            <w:pPr>
              <w:pStyle w:val="13"/>
              <w:rPr>
                <w:rFonts w:ascii="宋体" w:eastAsia="宋体"/>
                <w:szCs w:val="21"/>
                <w:u w:val="single"/>
              </w:rPr>
            </w:pPr>
            <w:r>
              <w:rPr>
                <w:rFonts w:hint="eastAsia" w:ascii="宋体" w:eastAsia="宋体"/>
                <w:szCs w:val="21"/>
              </w:rPr>
              <w:t>乙方代表：</w:t>
            </w:r>
            <w:r>
              <w:rPr>
                <w:rFonts w:ascii="宋体" w:eastAsia="宋体"/>
                <w:szCs w:val="21"/>
                <w:u w:val="single"/>
              </w:rPr>
              <w:t xml:space="preserve">                  </w:t>
            </w:r>
          </w:p>
          <w:p>
            <w:pPr>
              <w:pStyle w:val="13"/>
              <w:rPr>
                <w:rFonts w:ascii="宋体" w:eastAsia="宋体"/>
                <w:szCs w:val="21"/>
                <w:u w:val="single"/>
              </w:rPr>
            </w:pPr>
            <w:r>
              <w:rPr>
                <w:rFonts w:hint="eastAsia" w:ascii="宋体" w:eastAsia="宋体"/>
                <w:szCs w:val="21"/>
              </w:rPr>
              <w:t>联系电话：</w:t>
            </w:r>
            <w:r>
              <w:rPr>
                <w:rFonts w:ascii="宋体" w:eastAsia="宋体"/>
                <w:szCs w:val="21"/>
                <w:u w:val="single"/>
              </w:rPr>
              <w:t xml:space="preserve">                  </w:t>
            </w:r>
          </w:p>
          <w:p>
            <w:pPr>
              <w:pStyle w:val="13"/>
              <w:rPr>
                <w:rFonts w:ascii="宋体" w:eastAsia="宋体"/>
              </w:rPr>
            </w:pPr>
          </w:p>
        </w:tc>
      </w:tr>
    </w:tbl>
    <w:p>
      <w:pPr>
        <w:widowControl/>
        <w:jc w:val="left"/>
        <w:rPr>
          <w:b/>
          <w:sz w:val="32"/>
          <w:szCs w:val="32"/>
        </w:rPr>
      </w:pPr>
      <w:r>
        <w:rPr>
          <w:b/>
          <w:sz w:val="32"/>
          <w:szCs w:val="32"/>
        </w:rPr>
        <w:br w:type="page"/>
      </w:r>
    </w:p>
    <w:p>
      <w:pPr>
        <w:spacing w:before="312" w:beforeLines="100" w:after="312" w:afterLines="100" w:line="360" w:lineRule="auto"/>
        <w:jc w:val="center"/>
        <w:outlineLvl w:val="0"/>
        <w:rPr>
          <w:rFonts w:ascii="仿宋" w:hAnsi="仿宋" w:eastAsia="仿宋"/>
          <w:sz w:val="32"/>
          <w:szCs w:val="32"/>
        </w:rPr>
      </w:pPr>
      <w:bookmarkStart w:id="56" w:name="_Toc28342"/>
      <w:r>
        <w:rPr>
          <w:rFonts w:hint="eastAsia"/>
          <w:b/>
          <w:sz w:val="32"/>
          <w:szCs w:val="32"/>
        </w:rPr>
        <w:t>第五部分：参考附件</w:t>
      </w:r>
      <w:bookmarkEnd w:id="56"/>
    </w:p>
    <w:p>
      <w:pPr>
        <w:spacing w:line="0" w:lineRule="atLeast"/>
        <w:outlineLvl w:val="1"/>
        <w:rPr>
          <w:rFonts w:ascii="宋体" w:hAnsi="宋体"/>
        </w:rPr>
      </w:pPr>
      <w:bookmarkStart w:id="57" w:name="_Toc193"/>
      <w:r>
        <w:rPr>
          <w:rFonts w:hint="eastAsia" w:ascii="宋体" w:hAnsi="宋体"/>
          <w:szCs w:val="21"/>
        </w:rPr>
        <w:t>附件1：</w:t>
      </w:r>
      <w:r>
        <w:rPr>
          <w:rFonts w:hint="eastAsia" w:ascii="宋体" w:hAnsi="宋体"/>
        </w:rPr>
        <w:t>报名回函</w:t>
      </w:r>
      <w:bookmarkEnd w:id="57"/>
    </w:p>
    <w:p>
      <w:pPr>
        <w:pStyle w:val="13"/>
      </w:pPr>
    </w:p>
    <w:p>
      <w:pPr>
        <w:pStyle w:val="14"/>
        <w:jc w:val="center"/>
        <w:rPr>
          <w:rFonts w:ascii="方正小标宋简体" w:hAnsi="方正小标宋_GBK" w:eastAsia="方正小标宋简体"/>
          <w:sz w:val="32"/>
          <w:szCs w:val="32"/>
        </w:rPr>
      </w:pPr>
      <w:r>
        <w:rPr>
          <w:rStyle w:val="20"/>
          <w:rFonts w:hint="eastAsia" w:ascii="方正小标宋简体" w:hAnsi="方正小标宋_GBK" w:eastAsia="方正小标宋简体"/>
          <w:sz w:val="32"/>
          <w:szCs w:val="32"/>
        </w:rPr>
        <w:t>关于确认参加_________________项目投标的回函</w:t>
      </w:r>
    </w:p>
    <w:p>
      <w:pPr>
        <w:pStyle w:val="14"/>
        <w:rPr>
          <w:rFonts w:ascii="微软雅黑" w:hAnsi="微软雅黑" w:eastAsia="微软雅黑"/>
          <w:sz w:val="18"/>
          <w:szCs w:val="18"/>
        </w:rPr>
      </w:pPr>
    </w:p>
    <w:p>
      <w:pPr>
        <w:pStyle w:val="14"/>
        <w:rPr>
          <w:rFonts w:ascii="微软雅黑" w:hAnsi="微软雅黑" w:eastAsia="微软雅黑"/>
          <w:sz w:val="18"/>
          <w:szCs w:val="18"/>
        </w:rPr>
      </w:pPr>
    </w:p>
    <w:p>
      <w:pPr>
        <w:pStyle w:val="14"/>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4"/>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4"/>
        <w:spacing w:after="240"/>
        <w:ind w:firstLine="616" w:firstLineChars="220"/>
        <w:rPr>
          <w:rFonts w:ascii="仿宋" w:hAnsi="仿宋" w:eastAsia="仿宋"/>
          <w:sz w:val="28"/>
          <w:szCs w:val="28"/>
        </w:rPr>
      </w:pPr>
    </w:p>
    <w:p>
      <w:pPr>
        <w:pStyle w:val="14"/>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3"/>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widowControl/>
        <w:jc w:val="left"/>
        <w:rPr>
          <w:b/>
          <w:szCs w:val="21"/>
        </w:rPr>
      </w:pPr>
      <w:r>
        <w:rPr>
          <w:b/>
          <w:szCs w:val="21"/>
        </w:rPr>
        <w:br w:type="page"/>
      </w:r>
    </w:p>
    <w:p>
      <w:pPr>
        <w:pStyle w:val="8"/>
        <w:rPr>
          <w:b/>
          <w:sz w:val="21"/>
          <w:szCs w:val="21"/>
        </w:rPr>
      </w:pPr>
    </w:p>
    <w:p>
      <w:pPr>
        <w:spacing w:line="0" w:lineRule="atLeast"/>
        <w:outlineLvl w:val="1"/>
        <w:rPr>
          <w:rFonts w:ascii="宋体" w:hAnsi="宋体"/>
          <w:szCs w:val="21"/>
        </w:rPr>
      </w:pPr>
      <w:bookmarkStart w:id="58" w:name="_Toc14503"/>
      <w:r>
        <w:rPr>
          <w:rFonts w:hint="eastAsia" w:ascii="宋体" w:hAnsi="宋体"/>
          <w:szCs w:val="21"/>
        </w:rPr>
        <w:t>附件2：投标函</w:t>
      </w:r>
      <w:bookmarkEnd w:id="58"/>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9" w:name="_Toc26319"/>
      <w:r>
        <w:rPr>
          <w:rFonts w:hint="eastAsia" w:ascii="宋体" w:hAnsi="宋体"/>
          <w:szCs w:val="21"/>
        </w:rPr>
        <w:t>附件3：投标一览表</w:t>
      </w:r>
      <w:bookmarkEnd w:id="59"/>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tbl>
      <w:tblPr>
        <w:tblStyle w:val="18"/>
        <w:tblW w:w="8614"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770"/>
        <w:gridCol w:w="930"/>
        <w:gridCol w:w="1380"/>
        <w:gridCol w:w="1330"/>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pStyle w:val="2"/>
              <w:ind w:left="0"/>
              <w:jc w:val="center"/>
            </w:pPr>
            <w:r>
              <w:rPr>
                <w:rFonts w:hint="eastAsia"/>
              </w:rPr>
              <w:t>税前总金额</w:t>
            </w:r>
          </w:p>
          <w:p>
            <w:pPr>
              <w:pStyle w:val="2"/>
              <w:ind w:left="0"/>
              <w:jc w:val="center"/>
            </w:pPr>
            <w:r>
              <w:rPr>
                <w:rFonts w:hint="eastAsia"/>
              </w:rPr>
              <w:t>（净价）</w:t>
            </w:r>
          </w:p>
        </w:tc>
        <w:tc>
          <w:tcPr>
            <w:tcW w:w="770" w:type="dxa"/>
            <w:vAlign w:val="center"/>
          </w:tcPr>
          <w:p>
            <w:pPr>
              <w:spacing w:line="360" w:lineRule="auto"/>
              <w:jc w:val="center"/>
              <w:rPr>
                <w:rFonts w:ascii="宋体" w:hAnsi="宋体"/>
                <w:szCs w:val="21"/>
              </w:rPr>
            </w:pPr>
            <w:r>
              <w:rPr>
                <w:rFonts w:hint="eastAsia" w:ascii="宋体" w:hAnsi="宋体"/>
                <w:szCs w:val="21"/>
              </w:rPr>
              <w:t>税率</w:t>
            </w:r>
          </w:p>
        </w:tc>
        <w:tc>
          <w:tcPr>
            <w:tcW w:w="930" w:type="dxa"/>
            <w:vAlign w:val="center"/>
          </w:tcPr>
          <w:p>
            <w:pPr>
              <w:spacing w:line="360" w:lineRule="auto"/>
              <w:jc w:val="center"/>
              <w:rPr>
                <w:rFonts w:ascii="宋体" w:hAnsi="宋体"/>
                <w:szCs w:val="21"/>
              </w:rPr>
            </w:pPr>
            <w:r>
              <w:rPr>
                <w:rFonts w:hint="eastAsia" w:ascii="宋体" w:hAnsi="宋体"/>
                <w:szCs w:val="21"/>
              </w:rPr>
              <w:t>税额</w:t>
            </w:r>
          </w:p>
        </w:tc>
        <w:tc>
          <w:tcPr>
            <w:tcW w:w="1380" w:type="dxa"/>
            <w:vAlign w:val="center"/>
          </w:tcPr>
          <w:p>
            <w:pPr>
              <w:spacing w:line="360" w:lineRule="auto"/>
              <w:jc w:val="center"/>
              <w:rPr>
                <w:rFonts w:ascii="宋体" w:hAnsi="宋体"/>
                <w:szCs w:val="21"/>
              </w:rPr>
            </w:pPr>
            <w:r>
              <w:rPr>
                <w:rFonts w:hint="eastAsia" w:ascii="宋体" w:hAnsi="宋体"/>
                <w:szCs w:val="21"/>
              </w:rPr>
              <w:t>含税总金额</w:t>
            </w:r>
          </w:p>
        </w:tc>
        <w:tc>
          <w:tcPr>
            <w:tcW w:w="1330" w:type="dxa"/>
            <w:vAlign w:val="center"/>
          </w:tcPr>
          <w:p>
            <w:pPr>
              <w:spacing w:line="360" w:lineRule="auto"/>
              <w:jc w:val="center"/>
              <w:rPr>
                <w:rFonts w:ascii="宋体" w:hAnsi="宋体"/>
                <w:szCs w:val="21"/>
              </w:rPr>
            </w:pPr>
            <w:r>
              <w:rPr>
                <w:rFonts w:hint="eastAsia" w:ascii="宋体" w:hAnsi="宋体"/>
                <w:szCs w:val="21"/>
              </w:rPr>
              <w:t>工期/服务期（自然日）</w:t>
            </w:r>
          </w:p>
        </w:tc>
        <w:tc>
          <w:tcPr>
            <w:tcW w:w="2564" w:type="dxa"/>
            <w:vAlign w:val="center"/>
          </w:tcPr>
          <w:p>
            <w:pPr>
              <w:spacing w:line="360" w:lineRule="auto"/>
              <w:jc w:val="center"/>
              <w:rPr>
                <w:rFonts w:ascii="宋体" w:hAnsi="宋体"/>
                <w:szCs w:val="21"/>
              </w:rPr>
            </w:pPr>
            <w:r>
              <w:rPr>
                <w:rFonts w:hint="eastAsia" w:ascii="宋体" w:hAnsi="宋体"/>
                <w:szCs w:val="21"/>
              </w:rPr>
              <w:t>项目负责人</w:t>
            </w:r>
          </w:p>
          <w:p>
            <w:pPr>
              <w:spacing w:line="360" w:lineRule="auto"/>
              <w:jc w:val="center"/>
              <w:rPr>
                <w:rFonts w:ascii="宋体" w:hAnsi="宋体"/>
                <w:szCs w:val="21"/>
              </w:rPr>
            </w:pPr>
            <w:r>
              <w:rPr>
                <w:rFonts w:hint="eastAsia" w:ascii="宋体" w:hAnsi="宋体"/>
                <w:szCs w:val="21"/>
              </w:rPr>
              <w:t>（资质证书）</w:t>
            </w:r>
          </w:p>
          <w:p>
            <w:pPr>
              <w:spacing w:line="360" w:lineRule="auto"/>
              <w:jc w:val="both"/>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spacing w:line="360" w:lineRule="auto"/>
              <w:jc w:val="center"/>
              <w:rPr>
                <w:rFonts w:ascii="宋体" w:hAnsi="宋体"/>
                <w:szCs w:val="21"/>
              </w:rPr>
            </w:pPr>
          </w:p>
        </w:tc>
        <w:tc>
          <w:tcPr>
            <w:tcW w:w="770" w:type="dxa"/>
          </w:tcPr>
          <w:p>
            <w:pPr>
              <w:spacing w:line="360" w:lineRule="auto"/>
              <w:jc w:val="center"/>
              <w:rPr>
                <w:rFonts w:ascii="宋体" w:hAnsi="宋体"/>
                <w:szCs w:val="21"/>
              </w:rPr>
            </w:pPr>
          </w:p>
        </w:tc>
        <w:tc>
          <w:tcPr>
            <w:tcW w:w="930" w:type="dxa"/>
          </w:tcPr>
          <w:p>
            <w:pPr>
              <w:spacing w:line="360" w:lineRule="auto"/>
              <w:jc w:val="center"/>
              <w:rPr>
                <w:rFonts w:ascii="宋体" w:hAnsi="宋体"/>
                <w:szCs w:val="21"/>
              </w:rPr>
            </w:pPr>
          </w:p>
        </w:tc>
        <w:tc>
          <w:tcPr>
            <w:tcW w:w="1380" w:type="dxa"/>
          </w:tcPr>
          <w:p>
            <w:pPr>
              <w:spacing w:line="360" w:lineRule="auto"/>
              <w:jc w:val="center"/>
              <w:rPr>
                <w:rFonts w:ascii="宋体" w:hAnsi="宋体"/>
                <w:szCs w:val="21"/>
              </w:rPr>
            </w:pPr>
          </w:p>
        </w:tc>
        <w:tc>
          <w:tcPr>
            <w:tcW w:w="1330" w:type="dxa"/>
          </w:tcPr>
          <w:p>
            <w:pPr>
              <w:spacing w:line="360" w:lineRule="auto"/>
              <w:jc w:val="center"/>
              <w:rPr>
                <w:rFonts w:ascii="宋体" w:hAnsi="宋体"/>
                <w:szCs w:val="21"/>
              </w:rPr>
            </w:pPr>
          </w:p>
        </w:tc>
        <w:tc>
          <w:tcPr>
            <w:tcW w:w="25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4" w:type="dxa"/>
            <w:gridSpan w:val="6"/>
          </w:tcPr>
          <w:p>
            <w:pPr>
              <w:spacing w:line="360" w:lineRule="auto"/>
              <w:rPr>
                <w:rFonts w:ascii="宋体" w:hAnsi="宋体"/>
                <w:szCs w:val="21"/>
              </w:rPr>
            </w:pPr>
            <w:r>
              <w:rPr>
                <w:rFonts w:hint="eastAsia" w:ascii="宋体" w:hAnsi="宋体"/>
                <w:szCs w:val="21"/>
              </w:rPr>
              <w:t>投标人备注：</w:t>
            </w: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60" w:name="_Toc15097"/>
      <w:r>
        <w:rPr>
          <w:rFonts w:hint="eastAsia" w:ascii="宋体" w:hAnsi="宋体"/>
          <w:szCs w:val="21"/>
        </w:rPr>
        <w:t>附件4：考察证明</w:t>
      </w:r>
      <w:bookmarkEnd w:id="60"/>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jc w:val="left"/>
        <w:rPr>
          <w:rFonts w:ascii="仿宋" w:hAnsi="仿宋" w:eastAsia="仿宋"/>
          <w:sz w:val="28"/>
          <w:szCs w:val="28"/>
        </w:rPr>
      </w:pPr>
      <w:r>
        <w:rPr>
          <w:rFonts w:hint="eastAsia" w:ascii="仿宋" w:hAnsi="仿宋" w:eastAsia="仿宋"/>
          <w:sz w:val="28"/>
          <w:szCs w:val="28"/>
        </w:rPr>
        <w:t xml:space="preserve">    已于</w:t>
      </w:r>
      <w:r>
        <w:rPr>
          <w:rFonts w:hint="eastAsia" w:ascii="仿宋" w:hAnsi="仿宋" w:eastAsia="仿宋"/>
          <w:b/>
          <w:sz w:val="28"/>
          <w:szCs w:val="28"/>
          <w:highlight w:val="yellow"/>
        </w:rPr>
        <w:t>202*年*月21日</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关于*项目的现场考察</w:t>
      </w:r>
      <w:r>
        <w:rPr>
          <w:rFonts w:hint="eastAsia" w:ascii="仿宋" w:hAnsi="仿宋" w:eastAsia="仿宋"/>
          <w:sz w:val="28"/>
          <w:szCs w:val="28"/>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1" w:name="_Toc16903"/>
      <w:r>
        <w:rPr>
          <w:rFonts w:hint="eastAsia" w:ascii="宋体" w:hAnsi="宋体"/>
          <w:szCs w:val="21"/>
        </w:rPr>
        <w:t>附件5：技术服务响应/偏离表</w:t>
      </w:r>
      <w:bookmarkEnd w:id="61"/>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2" w:name="_Toc211248418"/>
      <w:r>
        <w:rPr>
          <w:rFonts w:hint="eastAsia" w:ascii="方正小标宋_GBK" w:hAnsi="方正小标宋_GBK" w:eastAsia="方正小标宋_GBK"/>
          <w:b/>
          <w:sz w:val="32"/>
          <w:szCs w:val="32"/>
        </w:rPr>
        <w:t>技术服务响应/偏离表</w:t>
      </w:r>
      <w:bookmarkEnd w:id="62"/>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7"/>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spacing w:line="0" w:lineRule="atLeast"/>
              <w:jc w:val="center"/>
              <w:rPr>
                <w:rFonts w:ascii="仿宋" w:hAnsi="仿宋" w:eastAsia="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3"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3"/>
      <w:bookmarkStart w:id="64" w:name="_Toc246480945"/>
      <w:bookmarkStart w:id="65" w:name="_Toc236803114"/>
      <w:r>
        <w:rPr>
          <w:rFonts w:ascii="仿宋" w:hAnsi="仿宋" w:eastAsia="仿宋"/>
          <w:sz w:val="28"/>
          <w:szCs w:val="28"/>
        </w:rPr>
        <w:br w:type="page"/>
      </w:r>
    </w:p>
    <w:p>
      <w:pPr>
        <w:spacing w:line="0" w:lineRule="atLeast"/>
        <w:outlineLvl w:val="1"/>
        <w:rPr>
          <w:rFonts w:ascii="宋体" w:hAnsi="宋体"/>
          <w:szCs w:val="21"/>
        </w:rPr>
      </w:pPr>
      <w:bookmarkStart w:id="66" w:name="_Toc1000"/>
      <w:r>
        <w:rPr>
          <w:rFonts w:hint="eastAsia" w:ascii="宋体" w:hAnsi="宋体"/>
          <w:szCs w:val="21"/>
        </w:rPr>
        <w:t>附件6：商务条款响应/偏离表</w:t>
      </w:r>
      <w:bookmarkEnd w:id="64"/>
      <w:bookmarkEnd w:id="65"/>
      <w:bookmarkEnd w:id="6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7" w:name="_Toc211248420"/>
      <w:r>
        <w:rPr>
          <w:rFonts w:hint="eastAsia" w:ascii="方正小标宋_GBK" w:hAnsi="方正小标宋_GBK" w:eastAsia="方正小标宋_GBK"/>
          <w:b/>
          <w:sz w:val="32"/>
          <w:szCs w:val="32"/>
        </w:rPr>
        <w:t>商务条款响应/偏离表</w:t>
      </w:r>
      <w:bookmarkEnd w:id="67"/>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7"/>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8" w:name="_Toc478387764"/>
      <w:bookmarkStart w:id="69" w:name="_Toc236803111"/>
      <w:bookmarkStart w:id="70" w:name="_Toc395883088"/>
      <w:r>
        <w:rPr>
          <w:rFonts w:ascii="仿宋" w:hAnsi="仿宋" w:eastAsia="仿宋"/>
          <w:sz w:val="28"/>
          <w:szCs w:val="28"/>
        </w:rPr>
        <w:br w:type="page"/>
      </w:r>
    </w:p>
    <w:p>
      <w:pPr>
        <w:spacing w:line="0" w:lineRule="atLeast"/>
        <w:outlineLvl w:val="1"/>
        <w:rPr>
          <w:rFonts w:ascii="宋体" w:hAnsi="宋体"/>
          <w:szCs w:val="21"/>
        </w:rPr>
      </w:pPr>
      <w:bookmarkStart w:id="71" w:name="_Toc21529"/>
      <w:r>
        <w:rPr>
          <w:rFonts w:hint="eastAsia" w:ascii="宋体" w:hAnsi="宋体"/>
          <w:szCs w:val="21"/>
        </w:rPr>
        <w:t>附件7：报价一览表（货物）</w:t>
      </w:r>
      <w:r>
        <w:rPr>
          <w:rFonts w:hint="eastAsia" w:ascii="宋体" w:hAnsi="宋体"/>
          <w:color w:val="FF0000"/>
          <w:szCs w:val="21"/>
        </w:rPr>
        <w:t>（本项目不适用）</w:t>
      </w:r>
      <w:bookmarkEnd w:id="71"/>
    </w:p>
    <w:bookmarkEnd w:id="68"/>
    <w:bookmarkEnd w:id="69"/>
    <w:bookmarkEnd w:id="70"/>
    <w:p>
      <w:pPr>
        <w:spacing w:before="120" w:after="240"/>
        <w:jc w:val="center"/>
        <w:rPr>
          <w:rFonts w:ascii="宋体" w:hAnsi="宋体"/>
          <w:b/>
          <w:sz w:val="32"/>
          <w:szCs w:val="32"/>
        </w:rPr>
      </w:pPr>
      <w:bookmarkStart w:id="72" w:name="_Toc211248412"/>
      <w:r>
        <w:rPr>
          <w:rFonts w:hint="eastAsia" w:ascii="方正小标宋_GBK" w:hAnsi="方正小标宋_GBK" w:eastAsia="方正小标宋_GBK"/>
          <w:b/>
          <w:sz w:val="32"/>
          <w:szCs w:val="32"/>
        </w:rPr>
        <w:t>报价一览表</w:t>
      </w:r>
      <w:bookmarkEnd w:id="72"/>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5"/>
        <w:numPr>
          <w:ilvl w:val="1"/>
          <w:numId w:val="22"/>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22"/>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5"/>
        <w:numPr>
          <w:ilvl w:val="1"/>
          <w:numId w:val="22"/>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5"/>
        <w:numPr>
          <w:ilvl w:val="1"/>
          <w:numId w:val="22"/>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3" w:name="_Toc82359026"/>
      <w:bookmarkStart w:id="74" w:name="_Toc82095917"/>
      <w:r>
        <w:rPr>
          <w:rFonts w:hint="eastAsia" w:ascii="仿宋" w:hAnsi="仿宋" w:eastAsia="仿宋"/>
          <w:sz w:val="28"/>
          <w:szCs w:val="28"/>
        </w:rPr>
        <w:t>报价日期：_________年____月____日</w:t>
      </w:r>
      <w:r>
        <w:rPr>
          <w:rFonts w:ascii="仿宋" w:hAnsi="仿宋" w:eastAsia="仿宋"/>
          <w:sz w:val="28"/>
          <w:szCs w:val="28"/>
        </w:rPr>
        <w:br w:type="page"/>
      </w:r>
    </w:p>
    <w:bookmarkEnd w:id="73"/>
    <w:bookmarkEnd w:id="74"/>
    <w:p>
      <w:pPr>
        <w:spacing w:line="0" w:lineRule="atLeast"/>
        <w:outlineLvl w:val="1"/>
        <w:rPr>
          <w:rFonts w:ascii="宋体" w:hAnsi="宋体"/>
          <w:szCs w:val="21"/>
        </w:rPr>
      </w:pPr>
      <w:bookmarkStart w:id="75" w:name="_Toc4415"/>
      <w:r>
        <w:rPr>
          <w:rFonts w:hint="eastAsia" w:ascii="宋体" w:hAnsi="宋体"/>
          <w:szCs w:val="21"/>
        </w:rPr>
        <w:t>附件8：报价一览表（服务）</w:t>
      </w:r>
      <w:bookmarkEnd w:id="75"/>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5"/>
        <w:numPr>
          <w:ilvl w:val="1"/>
          <w:numId w:val="23"/>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5"/>
        <w:numPr>
          <w:ilvl w:val="1"/>
          <w:numId w:val="23"/>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5"/>
        <w:numPr>
          <w:ilvl w:val="1"/>
          <w:numId w:val="23"/>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76" w:name="_Toc17166"/>
      <w:r>
        <w:rPr>
          <w:rFonts w:hint="eastAsia" w:ascii="宋体" w:hAnsi="宋体"/>
          <w:szCs w:val="21"/>
        </w:rPr>
        <w:t>附件9：报价一览表（工程）</w:t>
      </w:r>
      <w:r>
        <w:rPr>
          <w:rFonts w:hint="eastAsia" w:ascii="宋体" w:hAnsi="宋体"/>
          <w:color w:val="FF0000"/>
          <w:szCs w:val="21"/>
        </w:rPr>
        <w:t>（本项目不适用）</w:t>
      </w:r>
      <w:bookmarkEnd w:id="76"/>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5"/>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5"/>
        <w:numPr>
          <w:ilvl w:val="1"/>
          <w:numId w:val="24"/>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5"/>
        <w:numPr>
          <w:ilvl w:val="1"/>
          <w:numId w:val="24"/>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7" w:name="_Toc23179"/>
      <w:r>
        <w:rPr>
          <w:rFonts w:hint="eastAsia" w:ascii="宋体" w:hAnsi="宋体"/>
          <w:szCs w:val="21"/>
        </w:rPr>
        <w:t>附件10：法定代表人证明书</w:t>
      </w:r>
      <w:bookmarkEnd w:id="7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78" w:name="_Toc4936"/>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8"/>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79" w:name="_Toc6562"/>
      <w:r>
        <w:rPr>
          <w:rFonts w:hint="eastAsia" w:ascii="宋体" w:hAnsi="宋体"/>
          <w:szCs w:val="21"/>
        </w:rPr>
        <w:t>附件</w:t>
      </w:r>
      <w:r>
        <w:rPr>
          <w:rFonts w:ascii="宋体" w:hAnsi="宋体"/>
          <w:szCs w:val="21"/>
        </w:rPr>
        <w:t>1</w:t>
      </w:r>
      <w:r>
        <w:rPr>
          <w:rFonts w:hint="eastAsia" w:ascii="宋体" w:hAnsi="宋体"/>
          <w:szCs w:val="21"/>
        </w:rPr>
        <w:t>2：经营业绩一览表</w:t>
      </w:r>
      <w:bookmarkEnd w:id="79"/>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7"/>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0" w:name="_Toc10840"/>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0"/>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1" w:name="_Toc32341"/>
      <w:r>
        <w:rPr>
          <w:rFonts w:ascii="仿宋" w:hAnsi="仿宋" w:eastAsia="仿宋"/>
          <w:sz w:val="28"/>
          <w:szCs w:val="28"/>
        </w:rPr>
        <w:br w:type="page"/>
      </w:r>
    </w:p>
    <w:p>
      <w:pPr>
        <w:spacing w:line="0" w:lineRule="atLeast"/>
        <w:outlineLvl w:val="1"/>
        <w:rPr>
          <w:rFonts w:ascii="宋体" w:hAnsi="宋体"/>
          <w:szCs w:val="21"/>
        </w:rPr>
      </w:pPr>
      <w:bookmarkStart w:id="82" w:name="_Toc11416"/>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1"/>
      <w:bookmarkEnd w:id="82"/>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3"/>
      </w:pPr>
    </w:p>
    <w:p>
      <w:pPr>
        <w:spacing w:line="0" w:lineRule="atLeast"/>
        <w:outlineLvl w:val="1"/>
        <w:rPr>
          <w:rFonts w:ascii="宋体" w:hAnsi="宋体"/>
        </w:rPr>
      </w:pPr>
      <w:bookmarkStart w:id="83" w:name="_Toc100848654"/>
      <w:bookmarkStart w:id="84" w:name="_Toc27037"/>
      <w:r>
        <w:rPr>
          <w:rFonts w:hint="eastAsia" w:ascii="宋体" w:hAnsi="宋体"/>
        </w:rPr>
        <w:t>附件15：投标文件密码</w:t>
      </w:r>
      <w:bookmarkEnd w:id="83"/>
      <w:r>
        <w:rPr>
          <w:rFonts w:hint="eastAsia" w:ascii="宋体" w:hAnsi="宋体"/>
        </w:rPr>
        <w:t>单</w:t>
      </w:r>
      <w:bookmarkEnd w:id="84"/>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5"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5"/>
    </w:p>
    <w:p>
      <w:pPr>
        <w:jc w:val="center"/>
        <w:rPr>
          <w:rFonts w:ascii="宋体" w:hAnsi="宋体"/>
          <w:b/>
          <w:sz w:val="32"/>
          <w:szCs w:val="32"/>
        </w:rPr>
      </w:pPr>
      <w:r>
        <w:rPr>
          <w:rFonts w:hint="eastAsia" w:ascii="宋体" w:hAnsi="宋体"/>
          <w:b/>
          <w:sz w:val="32"/>
          <w:szCs w:val="32"/>
        </w:rPr>
        <w:t>投标文件密码单</w:t>
      </w:r>
    </w:p>
    <w:p>
      <w:pPr>
        <w:pStyle w:val="13"/>
        <w:rPr>
          <w:rFonts w:ascii="仿宋" w:hAnsi="仿宋" w:eastAsia="仿宋"/>
          <w:b/>
          <w:sz w:val="28"/>
          <w:szCs w:val="28"/>
        </w:rPr>
      </w:pPr>
    </w:p>
    <w:p>
      <w:pPr>
        <w:pStyle w:val="13"/>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3"/>
        <w:rPr>
          <w:rFonts w:ascii="仿宋" w:hAnsi="仿宋" w:eastAsia="仿宋"/>
          <w:b/>
          <w:sz w:val="28"/>
          <w:szCs w:val="28"/>
        </w:rPr>
      </w:pPr>
    </w:p>
    <w:p>
      <w:pPr>
        <w:pStyle w:val="13"/>
        <w:rPr>
          <w:rFonts w:ascii="仿宋" w:hAnsi="仿宋" w:eastAsia="仿宋"/>
          <w:b/>
          <w:color w:val="FF0000"/>
          <w:sz w:val="24"/>
        </w:rPr>
      </w:pPr>
      <w:r>
        <w:rPr>
          <w:rFonts w:hint="eastAsia" w:ascii="仿宋" w:hAnsi="仿宋" w:eastAsia="仿宋"/>
          <w:b/>
          <w:color w:val="FF0000"/>
          <w:sz w:val="24"/>
        </w:rPr>
        <w:t>【特别注意】</w:t>
      </w:r>
    </w:p>
    <w:p>
      <w:pPr>
        <w:pStyle w:val="13"/>
        <w:numPr>
          <w:ilvl w:val="0"/>
          <w:numId w:val="27"/>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3"/>
        <w:numPr>
          <w:ilvl w:val="0"/>
          <w:numId w:val="27"/>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3"/>
      </w:pPr>
    </w:p>
    <w:p>
      <w:pPr>
        <w:spacing w:line="0" w:lineRule="atLeast"/>
        <w:outlineLvl w:val="1"/>
        <w:rPr>
          <w:rFonts w:hint="eastAsia" w:ascii="宋体" w:hAnsi="宋体"/>
        </w:rPr>
      </w:pPr>
      <w:bookmarkStart w:id="86" w:name="_Toc1134"/>
      <w:r>
        <w:rPr>
          <w:rFonts w:hint="eastAsia" w:ascii="宋体" w:hAnsi="宋体"/>
        </w:rPr>
        <w:t>附件1</w:t>
      </w:r>
      <w:r>
        <w:rPr>
          <w:rFonts w:hint="eastAsia" w:ascii="宋体" w:hAnsi="宋体"/>
          <w:lang w:val="en-US" w:eastAsia="zh-CN"/>
        </w:rPr>
        <w:t>6</w:t>
      </w:r>
      <w:r>
        <w:rPr>
          <w:rFonts w:hint="eastAsia" w:ascii="宋体" w:hAnsi="宋体"/>
        </w:rPr>
        <w:t>：服务机构履约评价表</w:t>
      </w:r>
      <w:bookmarkEnd w:id="86"/>
    </w:p>
    <w:p>
      <w:pPr>
        <w:pStyle w:val="2"/>
      </w:pPr>
    </w:p>
    <w:p>
      <w:pPr>
        <w:spacing w:line="44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服务机构履约评价表</w:t>
      </w:r>
    </w:p>
    <w:p>
      <w:pPr>
        <w:spacing w:line="560" w:lineRule="exact"/>
        <w:jc w:val="center"/>
        <w:rPr>
          <w:rFonts w:hint="eastAsia" w:ascii="黑体" w:hAnsi="黑体" w:eastAsia="黑体" w:cs="黑体"/>
          <w:spacing w:val="-6"/>
          <w:sz w:val="30"/>
          <w:szCs w:val="30"/>
        </w:rPr>
      </w:pPr>
      <w:r>
        <w:rPr>
          <w:rFonts w:hint="eastAsia" w:ascii="黑体" w:hAnsi="黑体" w:eastAsia="黑体" w:cs="黑体"/>
          <w:spacing w:val="-6"/>
          <w:sz w:val="30"/>
          <w:szCs w:val="30"/>
        </w:rPr>
        <w:t>（服务类适用）</w:t>
      </w:r>
    </w:p>
    <w:p>
      <w:pPr>
        <w:jc w:val="center"/>
        <w:rPr>
          <w:rFonts w:ascii="宋体" w:hAnsi="宋体" w:eastAsia="宋体" w:cs="宋体"/>
          <w:b/>
          <w:kern w:val="0"/>
          <w:sz w:val="15"/>
          <w:szCs w:val="32"/>
        </w:rPr>
      </w:pPr>
    </w:p>
    <w:tbl>
      <w:tblPr>
        <w:tblStyle w:val="17"/>
        <w:tblW w:w="0" w:type="auto"/>
        <w:jc w:val="center"/>
        <w:tblLayout w:type="autofit"/>
        <w:tblCellMar>
          <w:top w:w="0" w:type="dxa"/>
          <w:left w:w="108" w:type="dxa"/>
          <w:bottom w:w="0" w:type="dxa"/>
          <w:right w:w="108" w:type="dxa"/>
        </w:tblCellMar>
      </w:tblPr>
      <w:tblGrid>
        <w:gridCol w:w="881"/>
        <w:gridCol w:w="507"/>
        <w:gridCol w:w="934"/>
        <w:gridCol w:w="2856"/>
        <w:gridCol w:w="1313"/>
        <w:gridCol w:w="142"/>
        <w:gridCol w:w="142"/>
        <w:gridCol w:w="142"/>
        <w:gridCol w:w="886"/>
        <w:gridCol w:w="719"/>
      </w:tblGrid>
      <w:tr>
        <w:tblPrEx>
          <w:tblCellMar>
            <w:top w:w="0" w:type="dxa"/>
            <w:left w:w="108" w:type="dxa"/>
            <w:bottom w:w="0" w:type="dxa"/>
            <w:right w:w="108" w:type="dxa"/>
          </w:tblCellMar>
        </w:tblPrEx>
        <w:trPr>
          <w:trHeight w:val="336" w:hRule="atLeast"/>
          <w:jc w:val="center"/>
        </w:trPr>
        <w:tc>
          <w:tcPr>
            <w:tcW w:w="0" w:type="auto"/>
            <w:gridSpan w:val="10"/>
            <w:tcBorders>
              <w:top w:val="single" w:color="auto" w:sz="8" w:space="0"/>
              <w:left w:val="single" w:color="auto" w:sz="8" w:space="0"/>
              <w:bottom w:val="single" w:color="auto" w:sz="8" w:space="0"/>
              <w:right w:val="single" w:color="000000" w:sz="8" w:space="0"/>
            </w:tcBorders>
            <w:shd w:val="clear" w:color="auto" w:fill="D9D9D9"/>
            <w:noWrap w:val="0"/>
            <w:vAlign w:val="center"/>
          </w:tcPr>
          <w:p>
            <w:pPr>
              <w:spacing w:line="240" w:lineRule="atLeast"/>
              <w:rPr>
                <w:rFonts w:ascii="宋体" w:hAnsi="宋体" w:eastAsia="宋体"/>
                <w:b/>
                <w:szCs w:val="21"/>
              </w:rPr>
            </w:pPr>
            <w:r>
              <w:rPr>
                <w:rFonts w:hint="eastAsia" w:ascii="宋体" w:hAnsi="宋体" w:eastAsia="宋体"/>
                <w:b/>
                <w:szCs w:val="21"/>
              </w:rPr>
              <w:t>基本信息</w:t>
            </w: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黑体" w:hAnsi="宋体" w:eastAsia="黑体" w:cs="宋体"/>
                <w:sz w:val="24"/>
              </w:rPr>
            </w:pPr>
            <w:r>
              <w:rPr>
                <w:rFonts w:hint="eastAsia" w:ascii="宋体" w:hAnsi="宋体" w:eastAsia="宋体"/>
                <w:szCs w:val="21"/>
              </w:rPr>
              <w:t>服务机构名称</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rPr>
                <w:rFonts w:ascii="黑体" w:hAnsi="宋体" w:eastAsia="黑体" w:cs="宋体"/>
                <w:sz w:val="24"/>
              </w:rPr>
            </w:pP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黑体" w:hAnsi="宋体" w:eastAsia="黑体" w:cs="宋体"/>
                <w:sz w:val="24"/>
              </w:rPr>
            </w:pPr>
            <w:r>
              <w:rPr>
                <w:rFonts w:hint="eastAsia" w:ascii="宋体" w:hAnsi="宋体" w:eastAsia="宋体"/>
                <w:szCs w:val="21"/>
              </w:rPr>
              <w:t>中标时间</w:t>
            </w:r>
          </w:p>
        </w:tc>
        <w:tc>
          <w:tcPr>
            <w:tcW w:w="0" w:type="auto"/>
            <w:gridSpan w:val="4"/>
            <w:tcBorders>
              <w:top w:val="single" w:color="auto" w:sz="8" w:space="0"/>
              <w:left w:val="single" w:color="auto" w:sz="8" w:space="0"/>
              <w:bottom w:val="single" w:color="auto" w:sz="8" w:space="0"/>
              <w:right w:val="single" w:color="000000" w:sz="8" w:space="0"/>
            </w:tcBorders>
            <w:noWrap w:val="0"/>
            <w:vAlign w:val="center"/>
          </w:tcPr>
          <w:p>
            <w:pPr>
              <w:rPr>
                <w:rFonts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ascii="宋体" w:hAnsi="宋体" w:eastAsia="宋体"/>
                <w:szCs w:val="21"/>
              </w:rPr>
              <w:t>合同名称</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rPr>
                <w:rFonts w:hint="eastAsia" w:ascii="黑体" w:hAnsi="宋体" w:eastAsia="黑体" w:cs="宋体"/>
                <w:sz w:val="24"/>
              </w:rPr>
            </w:pP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hint="eastAsia" w:ascii="宋体" w:hAnsi="宋体" w:eastAsia="宋体"/>
                <w:szCs w:val="21"/>
              </w:rPr>
              <w:t>合同签订时间</w:t>
            </w:r>
          </w:p>
        </w:tc>
        <w:tc>
          <w:tcPr>
            <w:tcW w:w="0" w:type="auto"/>
            <w:gridSpan w:val="4"/>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p>
        </w:tc>
      </w:tr>
      <w:tr>
        <w:tblPrEx>
          <w:tblCellMar>
            <w:top w:w="0" w:type="dxa"/>
            <w:left w:w="108" w:type="dxa"/>
            <w:bottom w:w="0" w:type="dxa"/>
            <w:right w:w="108" w:type="dxa"/>
          </w:tblCellMar>
        </w:tblPrEx>
        <w:trPr>
          <w:trHeight w:val="1662"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黑体" w:hAnsi="宋体" w:eastAsia="黑体" w:cs="宋体"/>
                <w:sz w:val="24"/>
              </w:rPr>
            </w:pPr>
            <w:r>
              <w:rPr>
                <w:rFonts w:hint="eastAsia" w:ascii="宋体" w:hAnsi="宋体" w:eastAsia="宋体"/>
                <w:szCs w:val="21"/>
              </w:rPr>
              <w:t>合同范围内容概要</w:t>
            </w:r>
          </w:p>
        </w:tc>
        <w:tc>
          <w:tcPr>
            <w:tcW w:w="0" w:type="auto"/>
            <w:gridSpan w:val="8"/>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lang w:val="en-US" w:eastAsia="zh-CN"/>
              </w:rPr>
            </w:pPr>
            <w:r>
              <w:rPr>
                <w:rFonts w:hint="eastAsia" w:ascii="黑体" w:hAnsi="宋体" w:eastAsia="黑体" w:cs="宋体"/>
                <w:sz w:val="24"/>
                <w:lang w:val="en-US" w:eastAsia="zh-CN"/>
              </w:rPr>
              <w:t>2022年（1）以“刊登在高交会官方网www.chtf.com‘亮点抢先看’栏目”作为文章被采用的标准，高交会至此拥有文章的发表及其他使用权。</w:t>
            </w:r>
          </w:p>
          <w:p>
            <w:pPr>
              <w:rPr>
                <w:rFonts w:hint="default" w:ascii="黑体" w:hAnsi="宋体" w:eastAsia="黑体" w:cs="宋体"/>
                <w:sz w:val="24"/>
                <w:lang w:val="en-US" w:eastAsia="zh-CN"/>
              </w:rPr>
            </w:pPr>
            <w:r>
              <w:rPr>
                <w:rFonts w:hint="eastAsia" w:ascii="黑体" w:hAnsi="宋体" w:eastAsia="黑体" w:cs="宋体"/>
                <w:sz w:val="24"/>
                <w:lang w:val="en-US" w:eastAsia="zh-CN"/>
              </w:rPr>
              <w:t>（2）保证每篇文章字数不少于500字，于合作期限内，撰写并被采用的文章总篇数共60篇。</w:t>
            </w: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宋体" w:hAnsi="宋体" w:eastAsia="宋体"/>
                <w:szCs w:val="21"/>
              </w:rPr>
            </w:pPr>
            <w:r>
              <w:rPr>
                <w:rFonts w:hint="eastAsia" w:ascii="宋体" w:hAnsi="宋体" w:eastAsia="宋体"/>
                <w:szCs w:val="21"/>
              </w:rPr>
              <w:t>服务机构项目组成员构成</w:t>
            </w:r>
          </w:p>
        </w:tc>
        <w:tc>
          <w:tcPr>
            <w:tcW w:w="0" w:type="auto"/>
            <w:gridSpan w:val="8"/>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宋体" w:hAnsi="宋体" w:eastAsia="宋体"/>
                <w:szCs w:val="21"/>
              </w:rPr>
            </w:pPr>
            <w:r>
              <w:rPr>
                <w:rFonts w:hint="eastAsia" w:ascii="宋体" w:hAnsi="宋体" w:eastAsia="宋体"/>
                <w:szCs w:val="21"/>
              </w:rPr>
              <w:t>合同金额</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rPr>
                <w:rFonts w:hint="eastAsia" w:ascii="黑体" w:hAnsi="宋体" w:eastAsia="黑体" w:cs="宋体"/>
                <w:sz w:val="24"/>
              </w:rPr>
            </w:pPr>
            <w:r>
              <w:rPr>
                <w:rFonts w:ascii="宋体" w:hAnsi="宋体" w:eastAsia="宋体"/>
                <w:szCs w:val="21"/>
              </w:rPr>
              <w:t>人民币</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万元</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hint="eastAsia" w:ascii="宋体" w:hAnsi="宋体" w:eastAsia="宋体"/>
                <w:szCs w:val="21"/>
              </w:rPr>
              <w:t>结算金额</w:t>
            </w:r>
          </w:p>
        </w:tc>
        <w:tc>
          <w:tcPr>
            <w:tcW w:w="0" w:type="auto"/>
            <w:gridSpan w:val="4"/>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r>
              <w:rPr>
                <w:rFonts w:ascii="宋体" w:hAnsi="宋体" w:eastAsia="宋体"/>
                <w:szCs w:val="21"/>
              </w:rPr>
              <w:t>人民币</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万元</w:t>
            </w: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宋体" w:hAnsi="宋体" w:eastAsia="宋体"/>
                <w:szCs w:val="21"/>
              </w:rPr>
            </w:pPr>
            <w:r>
              <w:rPr>
                <w:rFonts w:hint="eastAsia" w:ascii="宋体" w:hAnsi="宋体" w:eastAsia="宋体"/>
                <w:szCs w:val="21"/>
              </w:rPr>
              <w:t>合同服务期</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rPr>
                <w:rFonts w:hint="eastAsia" w:ascii="黑体" w:hAnsi="宋体" w:eastAsia="黑体" w:cs="宋体"/>
                <w:sz w:val="24"/>
              </w:rPr>
            </w:pP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日历</w:t>
            </w:r>
            <w:r>
              <w:rPr>
                <w:rFonts w:ascii="宋体" w:hAnsi="宋体" w:eastAsia="宋体"/>
                <w:szCs w:val="21"/>
              </w:rPr>
              <w:t>日</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hint="eastAsia" w:ascii="宋体" w:hAnsi="宋体" w:eastAsia="宋体"/>
                <w:szCs w:val="21"/>
              </w:rPr>
              <w:t>验收时间</w:t>
            </w:r>
          </w:p>
        </w:tc>
        <w:tc>
          <w:tcPr>
            <w:tcW w:w="0" w:type="auto"/>
            <w:gridSpan w:val="4"/>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r>
              <w:rPr>
                <w:rFonts w:hint="eastAsia" w:ascii="宋体" w:hAnsi="宋体" w:eastAsia="宋体"/>
                <w:szCs w:val="21"/>
              </w:rPr>
              <w:t>_____年____月___日</w:t>
            </w:r>
          </w:p>
        </w:tc>
      </w:tr>
      <w:tr>
        <w:tblPrEx>
          <w:tblCellMar>
            <w:top w:w="0" w:type="dxa"/>
            <w:left w:w="108" w:type="dxa"/>
            <w:bottom w:w="0" w:type="dxa"/>
            <w:right w:w="108" w:type="dxa"/>
          </w:tblCellMar>
        </w:tblPrEx>
        <w:trPr>
          <w:trHeight w:val="379" w:hRule="atLeast"/>
          <w:jc w:val="center"/>
        </w:trPr>
        <w:tc>
          <w:tcPr>
            <w:tcW w:w="0" w:type="auto"/>
            <w:gridSpan w:val="10"/>
            <w:tcBorders>
              <w:top w:val="single" w:color="auto" w:sz="8" w:space="0"/>
              <w:left w:val="single" w:color="auto" w:sz="8" w:space="0"/>
              <w:bottom w:val="single" w:color="auto" w:sz="8" w:space="0"/>
              <w:right w:val="single" w:color="000000" w:sz="8" w:space="0"/>
            </w:tcBorders>
            <w:shd w:val="clear" w:color="auto" w:fill="D9D9D9"/>
            <w:noWrap w:val="0"/>
            <w:vAlign w:val="center"/>
          </w:tcPr>
          <w:p>
            <w:pPr>
              <w:spacing w:line="240" w:lineRule="atLeast"/>
              <w:jc w:val="left"/>
              <w:rPr>
                <w:rFonts w:hint="eastAsia" w:ascii="宋体" w:hAnsi="宋体" w:eastAsia="宋体"/>
                <w:b/>
                <w:bCs/>
                <w:szCs w:val="21"/>
              </w:rPr>
            </w:pPr>
            <w:r>
              <w:rPr>
                <w:rFonts w:hint="eastAsia" w:ascii="宋体" w:hAnsi="宋体" w:eastAsia="宋体"/>
                <w:b/>
                <w:bCs/>
                <w:szCs w:val="21"/>
              </w:rPr>
              <w:t>评价标准</w:t>
            </w:r>
          </w:p>
        </w:tc>
      </w:tr>
      <w:tr>
        <w:tblPrEx>
          <w:tblCellMar>
            <w:top w:w="0" w:type="dxa"/>
            <w:left w:w="108" w:type="dxa"/>
            <w:bottom w:w="0" w:type="dxa"/>
            <w:right w:w="108" w:type="dxa"/>
          </w:tblCellMar>
        </w:tblPrEx>
        <w:trPr>
          <w:trHeight w:val="572" w:hRule="atLeast"/>
          <w:jc w:val="center"/>
        </w:trPr>
        <w:tc>
          <w:tcPr>
            <w:tcW w:w="0" w:type="auto"/>
            <w:gridSpan w:val="3"/>
            <w:tcBorders>
              <w:top w:val="single" w:color="auto" w:sz="8" w:space="0"/>
              <w:left w:val="single" w:color="auto" w:sz="8" w:space="0"/>
              <w:bottom w:val="single" w:color="auto" w:sz="4" w:space="0"/>
              <w:right w:val="single" w:color="auto" w:sz="4"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评 价 指 标</w:t>
            </w:r>
          </w:p>
        </w:tc>
        <w:tc>
          <w:tcPr>
            <w:tcW w:w="0" w:type="auto"/>
            <w:tcBorders>
              <w:top w:val="single" w:color="auto" w:sz="8" w:space="0"/>
              <w:left w:val="nil"/>
              <w:bottom w:val="single" w:color="auto" w:sz="4" w:space="0"/>
              <w:right w:val="single" w:color="auto" w:sz="4"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评  分  内  容</w:t>
            </w:r>
          </w:p>
        </w:tc>
        <w:tc>
          <w:tcPr>
            <w:tcW w:w="0" w:type="auto"/>
            <w:tcBorders>
              <w:top w:val="nil"/>
              <w:left w:val="nil"/>
              <w:bottom w:val="single" w:color="auto" w:sz="4" w:space="0"/>
              <w:right w:val="single" w:color="auto" w:sz="4" w:space="0"/>
            </w:tcBorders>
            <w:noWrap w:val="0"/>
            <w:vAlign w:val="center"/>
          </w:tcPr>
          <w:p>
            <w:pPr>
              <w:spacing w:line="260" w:lineRule="exact"/>
              <w:rPr>
                <w:rFonts w:ascii="宋体" w:hAnsi="宋体" w:eastAsia="宋体" w:cs="宋体"/>
                <w:szCs w:val="21"/>
              </w:rPr>
            </w:pPr>
            <w:r>
              <w:rPr>
                <w:rFonts w:hint="eastAsia" w:ascii="宋体" w:hAnsi="宋体" w:eastAsia="宋体" w:cs="宋体"/>
                <w:szCs w:val="21"/>
              </w:rPr>
              <w:t>分值</w:t>
            </w:r>
          </w:p>
        </w:tc>
        <w:tc>
          <w:tcPr>
            <w:tcW w:w="0" w:type="auto"/>
            <w:gridSpan w:val="4"/>
            <w:tcBorders>
              <w:top w:val="single" w:color="auto" w:sz="8" w:space="0"/>
              <w:left w:val="nil"/>
              <w:bottom w:val="single" w:color="auto" w:sz="4" w:space="0"/>
              <w:right w:val="single" w:color="000000" w:sz="4" w:space="0"/>
            </w:tcBorders>
            <w:noWrap w:val="0"/>
            <w:vAlign w:val="center"/>
          </w:tcPr>
          <w:p>
            <w:pPr>
              <w:spacing w:line="260" w:lineRule="exact"/>
              <w:rPr>
                <w:rFonts w:ascii="宋体" w:hAnsi="宋体" w:eastAsia="宋体" w:cs="宋体"/>
                <w:szCs w:val="21"/>
              </w:rPr>
            </w:pPr>
            <w:r>
              <w:rPr>
                <w:rFonts w:hint="eastAsia" w:ascii="宋体" w:hAnsi="宋体" w:eastAsia="宋体" w:cs="宋体"/>
                <w:szCs w:val="21"/>
              </w:rPr>
              <w:t>扣分</w:t>
            </w:r>
            <w:r>
              <w:rPr>
                <w:rFonts w:hint="eastAsia" w:ascii="宋体" w:hAnsi="宋体" w:eastAsia="宋体" w:cs="宋体"/>
                <w:sz w:val="16"/>
                <w:szCs w:val="16"/>
              </w:rPr>
              <w:t>（最小扣分单位为0.5分，最多不超过该项分值）</w:t>
            </w:r>
          </w:p>
        </w:tc>
        <w:tc>
          <w:tcPr>
            <w:tcW w:w="0" w:type="auto"/>
            <w:tcBorders>
              <w:top w:val="single" w:color="auto" w:sz="8" w:space="0"/>
              <w:left w:val="nil"/>
              <w:bottom w:val="single" w:color="auto" w:sz="4" w:space="0"/>
              <w:right w:val="single" w:color="000000" w:sz="8"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37" w:hRule="atLeast"/>
          <w:jc w:val="center"/>
        </w:trPr>
        <w:tc>
          <w:tcPr>
            <w:tcW w:w="0" w:type="auto"/>
            <w:vMerge w:val="restart"/>
            <w:tcBorders>
              <w:top w:val="nil"/>
              <w:left w:val="single" w:color="auto" w:sz="8" w:space="0"/>
              <w:right w:val="single" w:color="auto" w:sz="4" w:space="0"/>
            </w:tcBorders>
            <w:noWrap w:val="0"/>
            <w:textDirection w:val="tbRlV"/>
            <w:vAlign w:val="center"/>
          </w:tcPr>
          <w:p>
            <w:pPr>
              <w:spacing w:line="300" w:lineRule="exact"/>
              <w:ind w:firstLine="360"/>
              <w:jc w:val="center"/>
              <w:rPr>
                <w:rFonts w:ascii="黑体" w:hAnsi="宋体" w:eastAsia="黑体" w:cs="宋体"/>
                <w:sz w:val="24"/>
              </w:rPr>
            </w:pPr>
            <w:r>
              <w:rPr>
                <w:rFonts w:hint="eastAsia" w:ascii="黑体" w:hAnsi="宋体" w:eastAsia="黑体" w:cs="宋体"/>
                <w:sz w:val="24"/>
              </w:rPr>
              <w:t>服务过程（40分）</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0"/>
              </w:rPr>
            </w:pPr>
            <w:r>
              <w:rPr>
                <w:rFonts w:hint="eastAsia" w:ascii="宋体" w:hAnsi="宋体" w:eastAsia="宋体" w:cs="宋体"/>
                <w:sz w:val="20"/>
              </w:rPr>
              <w:t>工作</w:t>
            </w:r>
          </w:p>
          <w:p>
            <w:pPr>
              <w:spacing w:line="300" w:lineRule="exact"/>
              <w:jc w:val="center"/>
              <w:rPr>
                <w:rFonts w:ascii="宋体" w:hAnsi="宋体" w:eastAsia="宋体" w:cs="宋体"/>
                <w:sz w:val="20"/>
              </w:rPr>
            </w:pPr>
            <w:r>
              <w:rPr>
                <w:rFonts w:hint="eastAsia" w:ascii="宋体" w:hAnsi="宋体" w:eastAsia="宋体" w:cs="宋体"/>
                <w:sz w:val="20"/>
              </w:rPr>
              <w:t>能力</w:t>
            </w:r>
          </w:p>
        </w:tc>
        <w:tc>
          <w:tcPr>
            <w:tcW w:w="0" w:type="auto"/>
            <w:vMerge w:val="restart"/>
            <w:tcBorders>
              <w:top w:val="nil"/>
              <w:left w:val="single" w:color="auto" w:sz="4" w:space="0"/>
              <w:bottom w:val="single" w:color="000000" w:sz="4" w:space="0"/>
              <w:right w:val="single" w:color="auto" w:sz="4" w:space="0"/>
            </w:tcBorders>
            <w:noWrap w:val="0"/>
            <w:vAlign w:val="center"/>
          </w:tcPr>
          <w:p>
            <w:pPr>
              <w:spacing w:line="300" w:lineRule="exact"/>
              <w:jc w:val="center"/>
              <w:rPr>
                <w:rFonts w:ascii="宋体" w:hAnsi="宋体" w:eastAsia="宋体" w:cs="宋体"/>
                <w:sz w:val="20"/>
              </w:rPr>
            </w:pPr>
            <w:r>
              <w:rPr>
                <w:rFonts w:hint="eastAsia" w:ascii="宋体" w:hAnsi="宋体" w:eastAsia="宋体" w:cs="宋体"/>
                <w:sz w:val="20"/>
              </w:rPr>
              <w:t>工作</w:t>
            </w:r>
          </w:p>
          <w:p>
            <w:pPr>
              <w:spacing w:line="300" w:lineRule="exact"/>
              <w:jc w:val="center"/>
              <w:rPr>
                <w:rFonts w:ascii="宋体" w:hAnsi="宋体" w:eastAsia="宋体" w:cs="宋体"/>
                <w:sz w:val="20"/>
              </w:rPr>
            </w:pPr>
            <w:r>
              <w:rPr>
                <w:rFonts w:hint="eastAsia" w:ascii="宋体" w:hAnsi="宋体" w:eastAsia="宋体" w:cs="宋体"/>
                <w:sz w:val="20"/>
              </w:rPr>
              <w:t>效率</w:t>
            </w:r>
          </w:p>
        </w:tc>
        <w:tc>
          <w:tcPr>
            <w:tcW w:w="0" w:type="auto"/>
            <w:tcBorders>
              <w:top w:val="single" w:color="auto" w:sz="4" w:space="0"/>
              <w:left w:val="nil"/>
              <w:bottom w:val="single" w:color="auto" w:sz="4" w:space="0"/>
              <w:right w:val="single" w:color="auto" w:sz="4" w:space="0"/>
            </w:tcBorders>
            <w:noWrap w:val="0"/>
            <w:vAlign w:val="center"/>
          </w:tcPr>
          <w:p>
            <w:pPr>
              <w:spacing w:line="300" w:lineRule="exact"/>
              <w:ind w:firstLine="357"/>
              <w:jc w:val="left"/>
              <w:rPr>
                <w:rFonts w:ascii="宋体" w:hAnsi="宋体" w:eastAsia="宋体" w:cs="宋体"/>
                <w:szCs w:val="21"/>
              </w:rPr>
            </w:pPr>
            <w:r>
              <w:rPr>
                <w:rFonts w:hint="eastAsia" w:ascii="宋体" w:hAnsi="宋体" w:eastAsia="宋体" w:cs="宋体"/>
                <w:szCs w:val="21"/>
              </w:rPr>
              <w:t>1.是否按时完成各项工作任务</w:t>
            </w:r>
          </w:p>
        </w:tc>
        <w:tc>
          <w:tcPr>
            <w:tcW w:w="0" w:type="auto"/>
            <w:tcBorders>
              <w:top w:val="nil"/>
              <w:left w:val="nil"/>
              <w:bottom w:val="single" w:color="auto" w:sz="4" w:space="0"/>
              <w:right w:val="single" w:color="auto" w:sz="4" w:space="0"/>
            </w:tcBorders>
            <w:noWrap w:val="0"/>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8</w:t>
            </w:r>
          </w:p>
        </w:tc>
        <w:tc>
          <w:tcPr>
            <w:tcW w:w="0" w:type="auto"/>
            <w:gridSpan w:val="4"/>
            <w:tcBorders>
              <w:top w:val="single" w:color="auto" w:sz="4" w:space="0"/>
              <w:left w:val="nil"/>
              <w:bottom w:val="single" w:color="auto" w:sz="4" w:space="0"/>
              <w:right w:val="single" w:color="000000" w:sz="4" w:space="0"/>
            </w:tcBorders>
            <w:noWrap w:val="0"/>
            <w:vAlign w:val="center"/>
          </w:tcPr>
          <w:p>
            <w:pPr>
              <w:spacing w:line="300" w:lineRule="exact"/>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spacing w:line="300" w:lineRule="exact"/>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416"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sz w:val="20"/>
              </w:rPr>
            </w:pPr>
          </w:p>
        </w:tc>
        <w:tc>
          <w:tcPr>
            <w:tcW w:w="0" w:type="auto"/>
            <w:tcBorders>
              <w:top w:val="single" w:color="auto" w:sz="4" w:space="0"/>
              <w:left w:val="nil"/>
              <w:bottom w:val="single" w:color="auto" w:sz="4" w:space="0"/>
              <w:right w:val="single" w:color="000000" w:sz="4" w:space="0"/>
            </w:tcBorders>
            <w:noWrap w:val="0"/>
            <w:vAlign w:val="center"/>
          </w:tcPr>
          <w:p>
            <w:pPr>
              <w:spacing w:line="260" w:lineRule="exact"/>
              <w:ind w:firstLine="357"/>
              <w:jc w:val="left"/>
              <w:rPr>
                <w:rFonts w:hint="default"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文字质量是否符合要求</w:t>
            </w:r>
          </w:p>
        </w:tc>
        <w:tc>
          <w:tcPr>
            <w:tcW w:w="0" w:type="auto"/>
            <w:tcBorders>
              <w:top w:val="nil"/>
              <w:left w:val="nil"/>
              <w:bottom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630"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 w:val="20"/>
              </w:rPr>
            </w:pPr>
            <w:r>
              <w:rPr>
                <w:rFonts w:hint="eastAsia" w:ascii="宋体" w:hAnsi="宋体" w:eastAsia="宋体" w:cs="宋体"/>
                <w:sz w:val="20"/>
              </w:rPr>
              <w:t>配合</w:t>
            </w:r>
          </w:p>
          <w:p>
            <w:pPr>
              <w:jc w:val="center"/>
              <w:rPr>
                <w:rFonts w:ascii="宋体" w:hAnsi="宋体" w:eastAsia="宋体" w:cs="宋体"/>
                <w:sz w:val="20"/>
              </w:rPr>
            </w:pPr>
            <w:r>
              <w:rPr>
                <w:rFonts w:hint="eastAsia" w:ascii="宋体" w:hAnsi="宋体" w:eastAsia="宋体" w:cs="宋体"/>
                <w:sz w:val="20"/>
              </w:rPr>
              <w:t>程度</w:t>
            </w:r>
          </w:p>
        </w:tc>
        <w:tc>
          <w:tcPr>
            <w:tcW w:w="0" w:type="auto"/>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0"/>
              </w:rPr>
            </w:pPr>
            <w:r>
              <w:rPr>
                <w:rFonts w:hint="eastAsia" w:ascii="宋体" w:hAnsi="宋体" w:eastAsia="宋体" w:cs="宋体"/>
                <w:sz w:val="20"/>
              </w:rPr>
              <w:t>沟通</w:t>
            </w:r>
          </w:p>
          <w:p>
            <w:pPr>
              <w:jc w:val="center"/>
              <w:rPr>
                <w:rFonts w:hint="eastAsia" w:ascii="宋体" w:hAnsi="宋体" w:eastAsia="宋体" w:cs="宋体"/>
                <w:sz w:val="20"/>
              </w:rPr>
            </w:pPr>
            <w:r>
              <w:rPr>
                <w:rFonts w:hint="eastAsia" w:ascii="宋体" w:hAnsi="宋体" w:eastAsia="宋体" w:cs="宋体"/>
                <w:sz w:val="20"/>
              </w:rPr>
              <w:t>主动</w:t>
            </w:r>
          </w:p>
          <w:p>
            <w:pPr>
              <w:jc w:val="center"/>
              <w:rPr>
                <w:rFonts w:ascii="宋体" w:hAnsi="宋体" w:eastAsia="宋体" w:cs="宋体"/>
                <w:sz w:val="20"/>
              </w:rPr>
            </w:pPr>
            <w:r>
              <w:rPr>
                <w:rFonts w:hint="eastAsia" w:ascii="宋体" w:hAnsi="宋体" w:eastAsia="宋体" w:cs="宋体"/>
                <w:sz w:val="20"/>
              </w:rPr>
              <w:t>性</w:t>
            </w: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57"/>
              <w:jc w:val="left"/>
              <w:rPr>
                <w:rFonts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.是否及时就项目开展进度、情况进行沟通</w:t>
            </w:r>
          </w:p>
        </w:tc>
        <w:tc>
          <w:tcPr>
            <w:tcW w:w="0" w:type="auto"/>
            <w:tcBorders>
              <w:top w:val="nil"/>
              <w:left w:val="nil"/>
              <w:bottom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630"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tcBorders>
              <w:top w:val="single" w:color="auto" w:sz="4" w:space="0"/>
              <w:left w:val="nil"/>
              <w:bottom w:val="single" w:color="auto" w:sz="4" w:space="0"/>
              <w:right w:val="single" w:color="000000" w:sz="4" w:space="0"/>
            </w:tcBorders>
            <w:noWrap w:val="0"/>
            <w:vAlign w:val="center"/>
          </w:tcPr>
          <w:p>
            <w:pPr>
              <w:spacing w:line="260" w:lineRule="exact"/>
              <w:ind w:firstLine="357"/>
              <w:jc w:val="left"/>
              <w:rPr>
                <w:rFonts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.是否及时回馈委托方提出的意见、问题等，并主动提供有关建议等</w:t>
            </w:r>
          </w:p>
        </w:tc>
        <w:tc>
          <w:tcPr>
            <w:tcW w:w="0" w:type="auto"/>
            <w:tcBorders>
              <w:top w:val="nil"/>
              <w:left w:val="nil"/>
              <w:bottom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630"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57"/>
              <w:jc w:val="left"/>
              <w:rPr>
                <w:rFonts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.在对重大事项得出结论前是否与有关方面进行了充分的沟通</w:t>
            </w:r>
          </w:p>
        </w:tc>
        <w:tc>
          <w:tcPr>
            <w:tcW w:w="0" w:type="auto"/>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630"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restart"/>
            <w:tcBorders>
              <w:top w:val="nil"/>
              <w:left w:val="single" w:color="auto" w:sz="4" w:space="0"/>
              <w:bottom w:val="single" w:color="auto" w:sz="4" w:space="0"/>
              <w:right w:val="single" w:color="auto" w:sz="4" w:space="0"/>
            </w:tcBorders>
            <w:noWrap w:val="0"/>
            <w:vAlign w:val="center"/>
          </w:tcPr>
          <w:p>
            <w:pPr>
              <w:rPr>
                <w:rFonts w:ascii="宋体" w:hAnsi="宋体" w:eastAsia="宋体" w:cs="宋体"/>
                <w:sz w:val="20"/>
              </w:rPr>
            </w:pPr>
            <w:r>
              <w:rPr>
                <w:rFonts w:hint="eastAsia" w:ascii="宋体" w:hAnsi="宋体" w:eastAsia="宋体" w:cs="宋体"/>
                <w:sz w:val="20"/>
              </w:rPr>
              <w:t>沟通能力</w:t>
            </w: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60"/>
              <w:jc w:val="left"/>
              <w:rPr>
                <w:rFonts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.服务机构工作人员能否准确理解委托方的意图</w:t>
            </w:r>
          </w:p>
        </w:tc>
        <w:tc>
          <w:tcPr>
            <w:tcW w:w="0" w:type="auto"/>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895"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60"/>
              <w:jc w:val="left"/>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.服务机构工作人员表达或表述是否清晰无误，善于沟通</w:t>
            </w:r>
          </w:p>
        </w:tc>
        <w:tc>
          <w:tcPr>
            <w:tcW w:w="0" w:type="auto"/>
            <w:tcBorders>
              <w:top w:val="nil"/>
              <w:left w:val="nil"/>
              <w:bottom w:val="single" w:color="auto" w:sz="4" w:space="0"/>
              <w:right w:val="single" w:color="auto" w:sz="4" w:space="0"/>
            </w:tcBorders>
            <w:noWrap w:val="0"/>
            <w:vAlign w:val="center"/>
          </w:tcPr>
          <w:p>
            <w:pPr>
              <w:spacing w:line="2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1409" w:hRule="atLeast"/>
          <w:jc w:val="center"/>
        </w:trPr>
        <w:tc>
          <w:tcPr>
            <w:tcW w:w="0" w:type="auto"/>
            <w:tcBorders>
              <w:top w:val="single" w:color="auto" w:sz="4" w:space="0"/>
              <w:left w:val="single" w:color="auto" w:sz="8" w:space="0"/>
              <w:bottom w:val="double" w:color="000000" w:sz="6" w:space="0"/>
              <w:right w:val="single" w:color="auto" w:sz="4" w:space="0"/>
            </w:tcBorders>
            <w:noWrap w:val="0"/>
            <w:textDirection w:val="tbRlV"/>
            <w:vAlign w:val="center"/>
          </w:tcPr>
          <w:p>
            <w:pPr>
              <w:ind w:firstLine="360"/>
              <w:jc w:val="center"/>
              <w:rPr>
                <w:rFonts w:ascii="黑体" w:hAnsi="宋体" w:eastAsia="黑体" w:cs="宋体"/>
                <w:sz w:val="24"/>
              </w:rPr>
            </w:pPr>
            <w:r>
              <w:rPr>
                <w:rFonts w:hint="eastAsia" w:ascii="黑体" w:hAnsi="宋体" w:eastAsia="黑体" w:cs="宋体"/>
                <w:sz w:val="24"/>
              </w:rPr>
              <w:t>服务成果（60分）</w:t>
            </w:r>
          </w:p>
        </w:tc>
        <w:tc>
          <w:tcPr>
            <w:tcW w:w="0" w:type="auto"/>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完整性</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文章数量</w:t>
            </w: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60"/>
              <w:rPr>
                <w:rFonts w:hint="default" w:ascii="宋体" w:hAnsi="宋体" w:eastAsia="宋体" w:cs="宋体"/>
                <w:szCs w:val="21"/>
                <w:lang w:val="en-US" w:eastAsia="zh-CN"/>
              </w:rPr>
            </w:pPr>
            <w:r>
              <w:rPr>
                <w:rFonts w:hint="eastAsia" w:ascii="宋体" w:hAnsi="宋体" w:eastAsia="宋体" w:cs="宋体"/>
                <w:szCs w:val="21"/>
                <w:lang w:val="en-US" w:eastAsia="zh-CN"/>
              </w:rPr>
              <w:t>9</w:t>
            </w:r>
            <w:r>
              <w:rPr>
                <w:rFonts w:hint="eastAsia" w:ascii="宋体" w:hAnsi="宋体" w:eastAsia="宋体" w:cs="宋体"/>
                <w:szCs w:val="21"/>
              </w:rPr>
              <w:t>.</w:t>
            </w:r>
            <w:r>
              <w:rPr>
                <w:rFonts w:hint="eastAsia" w:ascii="宋体" w:hAnsi="宋体" w:eastAsia="宋体" w:cs="宋体"/>
                <w:szCs w:val="21"/>
                <w:lang w:val="en-US" w:eastAsia="zh-CN"/>
              </w:rPr>
              <w:t>是否</w:t>
            </w:r>
            <w:r>
              <w:rPr>
                <w:rFonts w:hint="eastAsia" w:ascii="宋体" w:hAnsi="宋体" w:eastAsia="宋体" w:cs="宋体"/>
                <w:szCs w:val="21"/>
              </w:rPr>
              <w:t>撰写并被采用的文章总篇数共60篇</w:t>
            </w: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Cs w:val="21"/>
                <w:lang w:val="en-US" w:eastAsia="zh-CN"/>
              </w:rPr>
            </w:pPr>
            <w:r>
              <w:rPr>
                <w:rFonts w:hint="eastAsia" w:ascii="宋体" w:hAnsi="宋体" w:eastAsia="宋体" w:cs="宋体"/>
                <w:szCs w:val="21"/>
              </w:rPr>
              <w:t>6</w:t>
            </w:r>
            <w:r>
              <w:rPr>
                <w:rFonts w:hint="eastAsia" w:ascii="宋体" w:hAnsi="宋体" w:eastAsia="宋体" w:cs="宋体"/>
                <w:szCs w:val="21"/>
                <w:lang w:val="en-US" w:eastAsia="zh-CN"/>
              </w:rPr>
              <w:t>0</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808" w:hRule="atLeast"/>
          <w:jc w:val="center"/>
        </w:trPr>
        <w:tc>
          <w:tcPr>
            <w:tcW w:w="0" w:type="auto"/>
            <w:vMerge w:val="restart"/>
            <w:tcBorders>
              <w:top w:val="nil"/>
              <w:left w:val="single" w:color="auto" w:sz="8" w:space="0"/>
              <w:bottom w:val="single" w:color="000000" w:sz="4" w:space="0"/>
              <w:right w:val="single" w:color="auto" w:sz="4" w:space="0"/>
            </w:tcBorders>
            <w:noWrap w:val="0"/>
            <w:textDirection w:val="tbRlV"/>
            <w:vAlign w:val="center"/>
          </w:tcPr>
          <w:p>
            <w:pPr>
              <w:spacing w:line="260" w:lineRule="exact"/>
              <w:ind w:firstLine="360"/>
              <w:jc w:val="center"/>
              <w:rPr>
                <w:rFonts w:hint="eastAsia" w:ascii="黑体" w:hAnsi="宋体" w:eastAsia="黑体" w:cs="宋体"/>
                <w:sz w:val="24"/>
                <w:lang w:val="en-US" w:eastAsia="zh-CN"/>
              </w:rPr>
            </w:pPr>
            <w:r>
              <w:rPr>
                <w:rFonts w:hint="eastAsia" w:ascii="黑体" w:hAnsi="宋体" w:eastAsia="黑体" w:cs="宋体"/>
                <w:sz w:val="24"/>
              </w:rPr>
              <w:t>附</w:t>
            </w:r>
            <w:r>
              <w:rPr>
                <w:rFonts w:hint="eastAsia" w:ascii="黑体" w:hAnsi="宋体" w:eastAsia="黑体" w:cs="宋体"/>
                <w:sz w:val="24"/>
                <w:lang w:val="en-US" w:eastAsia="zh-CN"/>
              </w:rPr>
              <w:t>加</w:t>
            </w:r>
          </w:p>
        </w:tc>
        <w:tc>
          <w:tcPr>
            <w:tcW w:w="0" w:type="auto"/>
            <w:gridSpan w:val="2"/>
            <w:tcBorders>
              <w:top w:val="double" w:color="auto" w:sz="6" w:space="0"/>
              <w:left w:val="nil"/>
              <w:bottom w:val="single" w:color="auto" w:sz="4" w:space="0"/>
              <w:right w:val="single" w:color="000000" w:sz="4"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附加分</w:t>
            </w:r>
          </w:p>
        </w:tc>
        <w:tc>
          <w:tcPr>
            <w:tcW w:w="0" w:type="auto"/>
            <w:tcBorders>
              <w:top w:val="double" w:color="auto" w:sz="4" w:space="0"/>
              <w:left w:val="nil"/>
              <w:bottom w:val="single" w:color="auto" w:sz="4" w:space="0"/>
              <w:right w:val="single" w:color="auto" w:sz="4" w:space="0"/>
            </w:tcBorders>
            <w:noWrap w:val="0"/>
            <w:vAlign w:val="center"/>
          </w:tcPr>
          <w:p>
            <w:pPr>
              <w:spacing w:line="260" w:lineRule="exact"/>
              <w:ind w:firstLine="360"/>
              <w:rPr>
                <w:rFonts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rPr>
              <w:t>.具有针对性、较高参考价值的意见或建议有几条</w:t>
            </w:r>
            <w:r>
              <w:rPr>
                <w:rFonts w:hint="eastAsia" w:ascii="宋体" w:hAnsi="宋体" w:eastAsia="宋体" w:cs="宋体"/>
                <w:szCs w:val="21"/>
                <w:lang w:eastAsia="zh-CN"/>
              </w:rPr>
              <w:t>，</w:t>
            </w:r>
            <w:r>
              <w:rPr>
                <w:rFonts w:hint="eastAsia" w:ascii="宋体" w:hAnsi="宋体" w:eastAsia="宋体" w:cs="宋体"/>
                <w:szCs w:val="21"/>
                <w:lang w:val="en-US" w:eastAsia="zh-CN"/>
              </w:rPr>
              <w:t>包括增值服务</w:t>
            </w:r>
            <w:r>
              <w:rPr>
                <w:rFonts w:hint="eastAsia" w:ascii="宋体" w:hAnsi="宋体" w:eastAsia="宋体" w:cs="宋体"/>
                <w:szCs w:val="21"/>
              </w:rPr>
              <w:t>（每条5分，得分=条数×5）</w:t>
            </w:r>
          </w:p>
        </w:tc>
        <w:tc>
          <w:tcPr>
            <w:tcW w:w="0" w:type="auto"/>
            <w:tcBorders>
              <w:top w:val="double" w:color="auto" w:sz="4" w:space="0"/>
              <w:left w:val="nil"/>
              <w:bottom w:val="single" w:color="auto" w:sz="4" w:space="0"/>
              <w:right w:val="single" w:color="auto" w:sz="4" w:space="0"/>
            </w:tcBorders>
            <w:noWrap w:val="0"/>
            <w:vAlign w:val="center"/>
          </w:tcPr>
          <w:p>
            <w:pPr>
              <w:spacing w:line="260" w:lineRule="exact"/>
              <w:jc w:val="center"/>
              <w:rPr>
                <w:rFonts w:ascii="宋体" w:hAnsi="宋体" w:eastAsia="宋体" w:cs="宋体"/>
                <w:color w:val="000000"/>
                <w:szCs w:val="21"/>
              </w:rPr>
            </w:pPr>
            <w:r>
              <w:rPr>
                <w:rFonts w:hint="eastAsia" w:ascii="宋体" w:hAnsi="宋体" w:eastAsia="宋体" w:cs="宋体"/>
                <w:color w:val="000000"/>
                <w:szCs w:val="21"/>
              </w:rPr>
              <w:t>得分</w:t>
            </w:r>
          </w:p>
        </w:tc>
        <w:tc>
          <w:tcPr>
            <w:tcW w:w="0" w:type="auto"/>
            <w:gridSpan w:val="4"/>
            <w:tcBorders>
              <w:top w:val="double" w:color="auto" w:sz="4" w:space="0"/>
              <w:left w:val="nil"/>
              <w:bottom w:val="single" w:color="auto" w:sz="4" w:space="0"/>
              <w:right w:val="single" w:color="000000" w:sz="4" w:space="0"/>
            </w:tcBorders>
            <w:noWrap w:val="0"/>
            <w:vAlign w:val="center"/>
          </w:tcPr>
          <w:p>
            <w:pPr>
              <w:spacing w:line="260" w:lineRule="exact"/>
              <w:jc w:val="center"/>
              <w:rPr>
                <w:rFonts w:ascii="宋体" w:hAnsi="宋体" w:eastAsia="宋体" w:cs="宋体"/>
                <w:color w:val="000000"/>
                <w:szCs w:val="21"/>
              </w:rPr>
            </w:pPr>
            <w:r>
              <w:rPr>
                <w:rFonts w:hint="eastAsia" w:ascii="宋体" w:hAnsi="宋体" w:eastAsia="宋体" w:cs="宋体"/>
                <w:color w:val="000000"/>
                <w:szCs w:val="21"/>
              </w:rPr>
              <w:t>条数</w:t>
            </w:r>
          </w:p>
        </w:tc>
        <w:tc>
          <w:tcPr>
            <w:tcW w:w="0" w:type="auto"/>
            <w:tcBorders>
              <w:top w:val="nil"/>
              <w:left w:val="nil"/>
              <w:bottom w:val="single" w:color="auto" w:sz="4" w:space="0"/>
              <w:right w:val="single" w:color="000000" w:sz="8" w:space="0"/>
            </w:tcBorders>
            <w:noWrap w:val="0"/>
            <w:vAlign w:val="center"/>
          </w:tcPr>
          <w:p>
            <w:pPr>
              <w:spacing w:line="260" w:lineRule="exact"/>
              <w:jc w:val="center"/>
              <w:rPr>
                <w:rFonts w:ascii="宋体" w:hAnsi="宋体" w:eastAsia="宋体" w:cs="宋体"/>
                <w:sz w:val="20"/>
              </w:rPr>
            </w:pPr>
            <w:r>
              <w:rPr>
                <w:rFonts w:hint="eastAsia" w:ascii="宋体" w:hAnsi="宋体" w:eastAsia="宋体" w:cs="宋体"/>
                <w:sz w:val="20"/>
              </w:rPr>
              <w:t>不设上限分数</w:t>
            </w:r>
          </w:p>
        </w:tc>
      </w:tr>
      <w:tr>
        <w:tblPrEx>
          <w:tblCellMar>
            <w:top w:w="0" w:type="dxa"/>
            <w:left w:w="108" w:type="dxa"/>
            <w:bottom w:w="0" w:type="dxa"/>
            <w:right w:w="108" w:type="dxa"/>
          </w:tblCellMar>
        </w:tblPrEx>
        <w:trPr>
          <w:trHeight w:val="663" w:hRule="atLeast"/>
          <w:jc w:val="center"/>
        </w:trPr>
        <w:tc>
          <w:tcPr>
            <w:tcW w:w="0" w:type="auto"/>
            <w:vMerge w:val="continue"/>
            <w:tcBorders>
              <w:top w:val="nil"/>
              <w:left w:val="single" w:color="auto" w:sz="8" w:space="0"/>
              <w:bottom w:val="single" w:color="000000" w:sz="4" w:space="0"/>
              <w:right w:val="single" w:color="auto" w:sz="4" w:space="0"/>
            </w:tcBorders>
            <w:noWrap w:val="0"/>
            <w:vAlign w:val="center"/>
          </w:tcPr>
          <w:p>
            <w:pPr>
              <w:widowControl/>
              <w:jc w:val="left"/>
              <w:rPr>
                <w:rFonts w:ascii="黑体" w:hAnsi="宋体" w:eastAsia="黑体" w:cs="宋体"/>
                <w:sz w:val="24"/>
              </w:rPr>
            </w:pPr>
          </w:p>
        </w:tc>
        <w:tc>
          <w:tcPr>
            <w:tcW w:w="0" w:type="auto"/>
            <w:gridSpan w:val="2"/>
            <w:tcBorders>
              <w:top w:val="single" w:color="auto" w:sz="4" w:space="0"/>
              <w:left w:val="nil"/>
              <w:bottom w:val="single" w:color="auto" w:sz="4" w:space="0"/>
              <w:right w:val="single" w:color="000000" w:sz="4"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一票否决项</w:t>
            </w:r>
          </w:p>
        </w:tc>
        <w:tc>
          <w:tcPr>
            <w:tcW w:w="0" w:type="auto"/>
            <w:gridSpan w:val="2"/>
            <w:tcBorders>
              <w:top w:val="single" w:color="auto" w:sz="4" w:space="0"/>
              <w:left w:val="nil"/>
              <w:bottom w:val="single" w:color="auto" w:sz="4" w:space="0"/>
              <w:right w:val="single" w:color="auto" w:sz="4" w:space="0"/>
            </w:tcBorders>
            <w:noWrap w:val="0"/>
            <w:vAlign w:val="center"/>
          </w:tcPr>
          <w:p>
            <w:pPr>
              <w:numPr>
                <w:ilvl w:val="0"/>
                <w:numId w:val="28"/>
              </w:numPr>
              <w:spacing w:line="260" w:lineRule="exact"/>
              <w:ind w:firstLine="360"/>
              <w:rPr>
                <w:rFonts w:hint="eastAsia" w:ascii="宋体" w:hAnsi="宋体" w:eastAsia="宋体" w:cs="宋体"/>
                <w:szCs w:val="21"/>
                <w:lang w:val="en-US" w:eastAsia="zh-CN"/>
              </w:rPr>
            </w:pPr>
            <w:r>
              <w:rPr>
                <w:rFonts w:hint="eastAsia" w:ascii="宋体" w:hAnsi="宋体" w:eastAsia="宋体" w:cs="宋体"/>
                <w:szCs w:val="21"/>
                <w:lang w:val="en-US" w:eastAsia="zh-CN"/>
              </w:rPr>
              <w:t>违反服务承诺</w:t>
            </w:r>
          </w:p>
          <w:p>
            <w:pPr>
              <w:numPr>
                <w:ilvl w:val="0"/>
                <w:numId w:val="0"/>
              </w:num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（1）需保证未被高交会采用的文章，不会在其他任何场合公开场所使用。</w:t>
            </w:r>
          </w:p>
          <w:p>
            <w:p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（2）需保证不得将甲方提供文章的参考主题、创作素材及相关内容等任何信息泄露给第三方；因此而导致任何争议，由投标人负责解决，并赔偿招标人因此所遭受的一切损失。</w:t>
            </w:r>
          </w:p>
          <w:p>
            <w:p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（3）不得以任何名义非法收受或索取高交会参展企业（个人）的财务，包括金钱、实物和其他用金钱计算数额的财产性利益。</w:t>
            </w:r>
          </w:p>
          <w:p>
            <w:p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（4）应按照协议约定进行高交会自媒体文章撰写，不得借助合作身份从事与高交会自媒体内容制作无关的其他任何活动；</w:t>
            </w:r>
          </w:p>
          <w:p>
            <w:p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（5）需应积极维护高交会品牌形象和声誉。</w:t>
            </w:r>
          </w:p>
          <w:p>
            <w:pPr>
              <w:spacing w:line="260" w:lineRule="exact"/>
              <w:rPr>
                <w:rFonts w:hint="default" w:ascii="宋体" w:hAnsi="宋体" w:eastAsia="宋体" w:cs="宋体"/>
                <w:szCs w:val="21"/>
                <w:lang w:val="en-US" w:eastAsia="zh-CN"/>
              </w:rPr>
            </w:pPr>
            <w:r>
              <w:rPr>
                <w:rFonts w:hint="eastAsia" w:ascii="宋体" w:hAnsi="宋体" w:eastAsia="宋体" w:cs="宋体"/>
                <w:szCs w:val="21"/>
                <w:lang w:val="en-US" w:eastAsia="zh-CN"/>
              </w:rPr>
              <w:t>（6）对对方提供的技术情报、资料数据及商业秘密保密。未经对方同意，任何一方不得以任何形式向第三方泄露本项目资料或在项目中接触到的资料，不得将其用于履行本合同之外的其他用途。</w:t>
            </w:r>
          </w:p>
        </w:tc>
        <w:tc>
          <w:tcPr>
            <w:tcW w:w="0" w:type="auto"/>
            <w:gridSpan w:val="3"/>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color w:val="000000"/>
                <w:szCs w:val="21"/>
              </w:rPr>
            </w:pPr>
            <w:r>
              <w:rPr>
                <w:rFonts w:hint="eastAsia" w:ascii="宋体" w:hAnsi="宋体" w:eastAsia="宋体" w:cs="宋体"/>
                <w:color w:val="000000"/>
                <w:szCs w:val="21"/>
              </w:rPr>
              <w:t>是</w:t>
            </w:r>
          </w:p>
        </w:tc>
        <w:tc>
          <w:tcPr>
            <w:tcW w:w="0" w:type="auto"/>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color w:val="000000"/>
                <w:szCs w:val="21"/>
              </w:rPr>
            </w:pPr>
            <w:r>
              <w:rPr>
                <w:rFonts w:hint="eastAsia" w:ascii="宋体" w:hAnsi="宋体" w:eastAsia="宋体" w:cs="宋体"/>
                <w:color w:val="000000"/>
                <w:szCs w:val="21"/>
              </w:rPr>
              <w:t>否</w:t>
            </w:r>
          </w:p>
        </w:tc>
        <w:tc>
          <w:tcPr>
            <w:tcW w:w="0" w:type="auto"/>
            <w:tcBorders>
              <w:top w:val="single" w:color="auto" w:sz="4" w:space="0"/>
              <w:left w:val="nil"/>
              <w:bottom w:val="single" w:color="auto" w:sz="4" w:space="0"/>
              <w:right w:val="single" w:color="000000" w:sz="8" w:space="0"/>
            </w:tcBorders>
            <w:noWrap w:val="0"/>
            <w:vAlign w:val="center"/>
          </w:tcPr>
          <w:p>
            <w:pPr>
              <w:spacing w:line="260" w:lineRule="exact"/>
              <w:jc w:val="center"/>
              <w:rPr>
                <w:rFonts w:ascii="宋体" w:hAnsi="宋体" w:eastAsia="宋体" w:cs="宋体"/>
                <w:sz w:val="20"/>
              </w:rPr>
            </w:pPr>
            <w:r>
              <w:rPr>
                <w:rFonts w:hint="eastAsia" w:ascii="宋体" w:hAnsi="宋体" w:eastAsia="宋体" w:cs="宋体"/>
                <w:sz w:val="20"/>
              </w:rPr>
              <w:t>如有则直接评定为差</w:t>
            </w:r>
          </w:p>
        </w:tc>
      </w:tr>
      <w:tr>
        <w:tblPrEx>
          <w:tblCellMar>
            <w:top w:w="0" w:type="dxa"/>
            <w:left w:w="108" w:type="dxa"/>
            <w:bottom w:w="0" w:type="dxa"/>
            <w:right w:w="108" w:type="dxa"/>
          </w:tblCellMar>
        </w:tblPrEx>
        <w:trPr>
          <w:trHeight w:val="462" w:hRule="atLeast"/>
          <w:jc w:val="center"/>
        </w:trPr>
        <w:tc>
          <w:tcPr>
            <w:tcW w:w="0" w:type="auto"/>
            <w:tcBorders>
              <w:top w:val="nil"/>
              <w:left w:val="single" w:color="auto" w:sz="8" w:space="0"/>
              <w:bottom w:val="single" w:color="000000" w:sz="4" w:space="0"/>
              <w:right w:val="single" w:color="auto" w:sz="4" w:space="0"/>
            </w:tcBorders>
            <w:noWrap w:val="0"/>
            <w:vAlign w:val="center"/>
          </w:tcPr>
          <w:p>
            <w:pPr>
              <w:spacing w:line="260" w:lineRule="exact"/>
              <w:ind w:firstLine="360"/>
              <w:rPr>
                <w:rFonts w:ascii="黑体" w:hAnsi="宋体" w:eastAsia="黑体" w:cs="宋体"/>
                <w:sz w:val="24"/>
              </w:rPr>
            </w:pPr>
          </w:p>
        </w:tc>
        <w:tc>
          <w:tcPr>
            <w:tcW w:w="0" w:type="auto"/>
            <w:gridSpan w:val="9"/>
            <w:tcBorders>
              <w:top w:val="single" w:color="auto" w:sz="4" w:space="0"/>
              <w:left w:val="nil"/>
              <w:bottom w:val="single" w:color="auto" w:sz="4" w:space="0"/>
              <w:right w:val="single" w:color="000000" w:sz="8" w:space="0"/>
            </w:tcBorders>
            <w:noWrap w:val="0"/>
            <w:vAlign w:val="center"/>
          </w:tcPr>
          <w:p>
            <w:pPr>
              <w:spacing w:line="260" w:lineRule="exact"/>
              <w:jc w:val="center"/>
              <w:rPr>
                <w:rFonts w:ascii="宋体" w:hAnsi="宋体" w:eastAsia="宋体" w:cs="宋体"/>
                <w:sz w:val="24"/>
              </w:rPr>
            </w:pPr>
            <w:r>
              <w:rPr>
                <w:rFonts w:hint="eastAsia" w:ascii="宋体" w:hAnsi="宋体" w:eastAsia="宋体" w:cs="宋体"/>
                <w:sz w:val="24"/>
              </w:rPr>
              <w:t>合计得分：</w:t>
            </w:r>
          </w:p>
        </w:tc>
      </w:tr>
      <w:tr>
        <w:tblPrEx>
          <w:tblCellMar>
            <w:top w:w="0" w:type="dxa"/>
            <w:left w:w="108" w:type="dxa"/>
            <w:bottom w:w="0" w:type="dxa"/>
            <w:right w:w="108" w:type="dxa"/>
          </w:tblCellMar>
        </w:tblPrEx>
        <w:trPr>
          <w:trHeight w:val="530" w:hRule="atLeast"/>
          <w:jc w:val="center"/>
        </w:trPr>
        <w:tc>
          <w:tcPr>
            <w:tcW w:w="0" w:type="auto"/>
            <w:gridSpan w:val="2"/>
            <w:vMerge w:val="restart"/>
            <w:tcBorders>
              <w:top w:val="single" w:color="auto" w:sz="8" w:space="0"/>
              <w:left w:val="single" w:color="auto" w:sz="8" w:space="0"/>
              <w:bottom w:val="single" w:color="000000" w:sz="8" w:space="0"/>
              <w:right w:val="single" w:color="000000" w:sz="8" w:space="0"/>
            </w:tcBorders>
            <w:noWrap w:val="0"/>
            <w:vAlign w:val="center"/>
          </w:tcPr>
          <w:p>
            <w:pPr>
              <w:jc w:val="center"/>
              <w:rPr>
                <w:rFonts w:ascii="黑体" w:hAnsi="宋体" w:eastAsia="黑体" w:cs="宋体"/>
                <w:sz w:val="24"/>
              </w:rPr>
            </w:pPr>
            <w:r>
              <w:rPr>
                <w:rFonts w:hint="eastAsia" w:ascii="黑体" w:hAnsi="宋体" w:eastAsia="黑体" w:cs="宋体"/>
                <w:sz w:val="24"/>
              </w:rPr>
              <w:t>评价档次</w:t>
            </w:r>
          </w:p>
        </w:tc>
        <w:tc>
          <w:tcPr>
            <w:tcW w:w="0" w:type="auto"/>
            <w:tcBorders>
              <w:top w:val="single" w:color="auto" w:sz="8" w:space="0"/>
              <w:left w:val="nil"/>
              <w:bottom w:val="single" w:color="auto" w:sz="8" w:space="0"/>
              <w:right w:val="single" w:color="000000" w:sz="8" w:space="0"/>
            </w:tcBorders>
            <w:noWrap w:val="0"/>
            <w:vAlign w:val="center"/>
          </w:tcPr>
          <w:p>
            <w:pPr>
              <w:jc w:val="center"/>
              <w:rPr>
                <w:rFonts w:ascii="宋体" w:hAnsi="宋体" w:eastAsia="宋体" w:cs="宋体"/>
                <w:szCs w:val="21"/>
              </w:rPr>
            </w:pPr>
            <w:r>
              <w:rPr>
                <w:rFonts w:hint="eastAsia" w:ascii="宋体" w:hAnsi="宋体" w:eastAsia="宋体" w:cs="宋体"/>
                <w:szCs w:val="21"/>
              </w:rPr>
              <w:t>优秀（</w:t>
            </w:r>
            <w:r>
              <w:rPr>
                <w:rFonts w:ascii="宋体" w:hAnsi="宋体" w:eastAsia="宋体"/>
                <w:color w:val="767171"/>
                <w:szCs w:val="21"/>
              </w:rPr>
              <w:t>≥</w:t>
            </w:r>
            <w:r>
              <w:rPr>
                <w:rFonts w:hint="eastAsia" w:ascii="宋体" w:hAnsi="宋体" w:eastAsia="宋体" w:cs="宋体"/>
                <w:szCs w:val="21"/>
              </w:rPr>
              <w:t>90分）</w:t>
            </w:r>
          </w:p>
        </w:tc>
        <w:tc>
          <w:tcPr>
            <w:tcW w:w="0" w:type="auto"/>
            <w:tcBorders>
              <w:top w:val="single" w:color="auto" w:sz="8" w:space="0"/>
              <w:left w:val="nil"/>
              <w:bottom w:val="single" w:color="auto" w:sz="8" w:space="0"/>
              <w:right w:val="single" w:color="000000" w:sz="8" w:space="0"/>
            </w:tcBorders>
            <w:noWrap w:val="0"/>
            <w:vAlign w:val="center"/>
          </w:tcPr>
          <w:p>
            <w:pPr>
              <w:jc w:val="center"/>
              <w:rPr>
                <w:rFonts w:ascii="宋体" w:hAnsi="宋体" w:eastAsia="宋体" w:cs="宋体"/>
                <w:szCs w:val="21"/>
              </w:rPr>
            </w:pPr>
            <w:r>
              <w:rPr>
                <w:rFonts w:hint="eastAsia" w:ascii="宋体" w:hAnsi="宋体" w:eastAsia="宋体" w:cs="宋体"/>
                <w:szCs w:val="21"/>
              </w:rPr>
              <w:t>良好（</w:t>
            </w:r>
            <w:r>
              <w:rPr>
                <w:rFonts w:hint="eastAsia" w:ascii="宋体" w:hAnsi="宋体" w:eastAsia="宋体"/>
                <w:color w:val="767171"/>
                <w:szCs w:val="21"/>
              </w:rPr>
              <w:t>90&gt;X</w:t>
            </w:r>
            <w:r>
              <w:rPr>
                <w:rFonts w:ascii="宋体" w:hAnsi="宋体" w:eastAsia="宋体"/>
                <w:color w:val="767171"/>
                <w:szCs w:val="21"/>
              </w:rPr>
              <w:t>≥80</w:t>
            </w:r>
            <w:r>
              <w:rPr>
                <w:rFonts w:hint="eastAsia" w:ascii="宋体" w:hAnsi="宋体" w:eastAsia="宋体" w:cs="宋体"/>
                <w:szCs w:val="21"/>
              </w:rPr>
              <w:t>）</w:t>
            </w:r>
          </w:p>
        </w:tc>
        <w:tc>
          <w:tcPr>
            <w:tcW w:w="0" w:type="auto"/>
            <w:gridSpan w:val="3"/>
            <w:tcBorders>
              <w:top w:val="single" w:color="auto" w:sz="8" w:space="0"/>
              <w:left w:val="nil"/>
              <w:bottom w:val="single" w:color="auto" w:sz="8" w:space="0"/>
              <w:right w:val="single" w:color="auto" w:sz="8" w:space="0"/>
            </w:tcBorders>
            <w:noWrap w:val="0"/>
            <w:vAlign w:val="center"/>
          </w:tcPr>
          <w:p>
            <w:pPr>
              <w:ind w:firstLine="360"/>
              <w:jc w:val="center"/>
              <w:rPr>
                <w:rFonts w:ascii="宋体" w:hAnsi="宋体" w:eastAsia="宋体" w:cs="宋体"/>
                <w:szCs w:val="21"/>
              </w:rPr>
            </w:pPr>
            <w:r>
              <w:rPr>
                <w:rFonts w:hint="eastAsia" w:ascii="宋体" w:hAnsi="宋体" w:eastAsia="宋体" w:cs="宋体"/>
                <w:szCs w:val="21"/>
              </w:rPr>
              <w:t>合格（</w:t>
            </w:r>
            <w:r>
              <w:rPr>
                <w:rFonts w:hint="eastAsia" w:ascii="宋体" w:hAnsi="宋体" w:eastAsia="宋体"/>
                <w:color w:val="767171"/>
                <w:szCs w:val="21"/>
              </w:rPr>
              <w:t>80&gt;</w:t>
            </w:r>
            <w:r>
              <w:rPr>
                <w:rFonts w:ascii="宋体" w:hAnsi="宋体" w:eastAsia="宋体"/>
                <w:color w:val="767171"/>
                <w:szCs w:val="21"/>
              </w:rPr>
              <w:t>X≥6</w:t>
            </w:r>
            <w:r>
              <w:rPr>
                <w:rFonts w:hint="eastAsia" w:ascii="宋体" w:hAnsi="宋体" w:eastAsia="宋体"/>
                <w:color w:val="767171"/>
                <w:szCs w:val="21"/>
              </w:rPr>
              <w:t>0</w:t>
            </w:r>
            <w:r>
              <w:rPr>
                <w:rFonts w:hint="eastAsia" w:ascii="宋体" w:hAnsi="宋体" w:eastAsia="宋体" w:cs="宋体"/>
                <w:szCs w:val="21"/>
              </w:rPr>
              <w:t>）</w:t>
            </w:r>
          </w:p>
        </w:tc>
        <w:tc>
          <w:tcPr>
            <w:tcW w:w="0" w:type="auto"/>
            <w:gridSpan w:val="3"/>
            <w:tcBorders>
              <w:top w:val="single" w:color="auto" w:sz="8" w:space="0"/>
              <w:left w:val="nil"/>
              <w:bottom w:val="single" w:color="auto" w:sz="8" w:space="0"/>
              <w:right w:val="single" w:color="auto" w:sz="8" w:space="0"/>
            </w:tcBorders>
            <w:noWrap w:val="0"/>
            <w:vAlign w:val="center"/>
          </w:tcPr>
          <w:p>
            <w:pPr>
              <w:ind w:firstLine="360"/>
              <w:jc w:val="center"/>
              <w:rPr>
                <w:rFonts w:ascii="宋体" w:hAnsi="宋体" w:eastAsia="宋体" w:cs="宋体"/>
                <w:szCs w:val="21"/>
              </w:rPr>
            </w:pPr>
            <w:r>
              <w:rPr>
                <w:rFonts w:hint="eastAsia" w:ascii="宋体" w:hAnsi="宋体" w:eastAsia="宋体" w:cs="宋体"/>
                <w:szCs w:val="21"/>
              </w:rPr>
              <w:t>不合格（</w:t>
            </w:r>
            <w:r>
              <w:rPr>
                <w:rFonts w:ascii="宋体" w:hAnsi="宋体" w:eastAsia="宋体" w:cs="宋体"/>
                <w:szCs w:val="21"/>
              </w:rPr>
              <w:t>＜60</w:t>
            </w:r>
            <w:r>
              <w:rPr>
                <w:rFonts w:hint="eastAsia" w:ascii="宋体" w:hAnsi="宋体" w:eastAsia="宋体" w:cs="宋体"/>
                <w:szCs w:val="21"/>
              </w:rPr>
              <w:t>分）</w:t>
            </w:r>
          </w:p>
        </w:tc>
      </w:tr>
      <w:tr>
        <w:tblPrEx>
          <w:tblCellMar>
            <w:top w:w="0" w:type="dxa"/>
            <w:left w:w="108" w:type="dxa"/>
            <w:bottom w:w="0" w:type="dxa"/>
            <w:right w:w="108" w:type="dxa"/>
          </w:tblCellMar>
        </w:tblPrEx>
        <w:trPr>
          <w:trHeight w:val="566" w:hRule="atLeast"/>
          <w:jc w:val="center"/>
        </w:trPr>
        <w:tc>
          <w:tcPr>
            <w:tcW w:w="0" w:type="auto"/>
            <w:gridSpan w:val="2"/>
            <w:vMerge w:val="continue"/>
            <w:tcBorders>
              <w:top w:val="single" w:color="auto" w:sz="8" w:space="0"/>
              <w:left w:val="single" w:color="auto" w:sz="8" w:space="0"/>
              <w:bottom w:val="single" w:color="auto" w:sz="12" w:space="0"/>
              <w:right w:val="single" w:color="000000" w:sz="8" w:space="0"/>
            </w:tcBorders>
            <w:noWrap w:val="0"/>
            <w:vAlign w:val="center"/>
          </w:tcPr>
          <w:p>
            <w:pPr>
              <w:widowControl/>
              <w:jc w:val="left"/>
              <w:rPr>
                <w:rFonts w:ascii="黑体" w:hAnsi="宋体" w:eastAsia="黑体" w:cs="宋体"/>
                <w:sz w:val="24"/>
              </w:rPr>
            </w:pPr>
          </w:p>
        </w:tc>
        <w:tc>
          <w:tcPr>
            <w:tcW w:w="0" w:type="auto"/>
            <w:tcBorders>
              <w:top w:val="nil"/>
              <w:left w:val="nil"/>
              <w:bottom w:val="single" w:color="auto" w:sz="12" w:space="0"/>
              <w:right w:val="single" w:color="000000" w:sz="8" w:space="0"/>
            </w:tcBorders>
            <w:noWrap w:val="0"/>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0" w:type="auto"/>
            <w:tcBorders>
              <w:top w:val="single" w:color="auto" w:sz="8" w:space="0"/>
              <w:left w:val="nil"/>
              <w:bottom w:val="single" w:color="auto" w:sz="12" w:space="0"/>
              <w:right w:val="single" w:color="000000" w:sz="8" w:space="0"/>
            </w:tcBorders>
            <w:noWrap w:val="0"/>
            <w:vAlign w:val="center"/>
          </w:tcPr>
          <w:p>
            <w:pPr>
              <w:ind w:firstLine="360"/>
              <w:jc w:val="center"/>
              <w:rPr>
                <w:rFonts w:eastAsia="宋体"/>
                <w:szCs w:val="21"/>
              </w:rPr>
            </w:pPr>
          </w:p>
        </w:tc>
        <w:tc>
          <w:tcPr>
            <w:tcW w:w="0" w:type="auto"/>
            <w:gridSpan w:val="3"/>
            <w:tcBorders>
              <w:top w:val="single" w:color="auto" w:sz="8" w:space="0"/>
              <w:left w:val="nil"/>
              <w:bottom w:val="single" w:color="auto" w:sz="12" w:space="0"/>
              <w:right w:val="single" w:color="auto" w:sz="8" w:space="0"/>
            </w:tcBorders>
            <w:noWrap w:val="0"/>
            <w:vAlign w:val="center"/>
          </w:tcPr>
          <w:p>
            <w:pPr>
              <w:ind w:firstLine="360"/>
              <w:jc w:val="center"/>
              <w:rPr>
                <w:rFonts w:eastAsia="宋体"/>
                <w:szCs w:val="21"/>
              </w:rPr>
            </w:pPr>
            <w:r>
              <w:rPr>
                <w:rFonts w:hint="eastAsia" w:eastAsia="宋体"/>
                <w:szCs w:val="21"/>
              </w:rPr>
              <w:t>　</w:t>
            </w:r>
          </w:p>
        </w:tc>
        <w:tc>
          <w:tcPr>
            <w:tcW w:w="0" w:type="auto"/>
            <w:gridSpan w:val="3"/>
            <w:tcBorders>
              <w:top w:val="single" w:color="auto" w:sz="8" w:space="0"/>
              <w:left w:val="nil"/>
              <w:bottom w:val="single" w:color="auto" w:sz="12" w:space="0"/>
              <w:right w:val="single" w:color="auto" w:sz="8" w:space="0"/>
            </w:tcBorders>
            <w:noWrap w:val="0"/>
            <w:vAlign w:val="center"/>
          </w:tcPr>
          <w:p>
            <w:pPr>
              <w:ind w:firstLine="360"/>
              <w:jc w:val="center"/>
              <w:rPr>
                <w:rFonts w:eastAsia="宋体"/>
                <w:szCs w:val="21"/>
              </w:rPr>
            </w:pPr>
            <w:r>
              <w:rPr>
                <w:rFonts w:hint="eastAsia" w:eastAsia="宋体"/>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26" w:hRule="atLeast"/>
          <w:jc w:val="center"/>
        </w:trPr>
        <w:tc>
          <w:tcPr>
            <w:tcW w:w="0" w:type="auto"/>
            <w:gridSpan w:val="10"/>
            <w:tcBorders>
              <w:top w:val="single" w:color="auto" w:sz="12" w:space="0"/>
              <w:bottom w:val="single" w:color="auto" w:sz="12" w:space="0"/>
            </w:tcBorders>
            <w:shd w:val="clear" w:color="auto" w:fill="D9D9D9"/>
            <w:noWrap w:val="0"/>
            <w:vAlign w:val="center"/>
          </w:tcPr>
          <w:p>
            <w:pPr>
              <w:spacing w:line="240" w:lineRule="atLeast"/>
              <w:jc w:val="left"/>
              <w:rPr>
                <w:rFonts w:ascii="宋体" w:hAnsi="宋体" w:eastAsia="宋体"/>
                <w:b/>
                <w:bCs/>
                <w:szCs w:val="21"/>
              </w:rPr>
            </w:pPr>
            <w:r>
              <w:rPr>
                <w:rFonts w:ascii="宋体" w:hAnsi="宋体" w:eastAsia="宋体"/>
                <w:b/>
                <w:bCs/>
                <w:szCs w:val="21"/>
              </w:rPr>
              <w:t>补充评价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471" w:hRule="atLeast"/>
          <w:jc w:val="center"/>
        </w:trPr>
        <w:tc>
          <w:tcPr>
            <w:tcW w:w="0" w:type="auto"/>
            <w:gridSpan w:val="2"/>
            <w:tcBorders>
              <w:top w:val="single" w:color="auto" w:sz="12" w:space="0"/>
              <w:bottom w:val="single" w:color="auto" w:sz="12" w:space="0"/>
            </w:tcBorders>
            <w:noWrap w:val="0"/>
            <w:vAlign w:val="center"/>
          </w:tcPr>
          <w:p>
            <w:pPr>
              <w:spacing w:line="240" w:lineRule="atLeast"/>
              <w:rPr>
                <w:rFonts w:hint="eastAsia" w:ascii="宋体" w:hAnsi="宋体" w:eastAsia="宋体"/>
                <w:szCs w:val="21"/>
              </w:rPr>
            </w:pPr>
            <w:r>
              <w:rPr>
                <w:rFonts w:hint="eastAsia" w:ascii="宋体" w:hAnsi="宋体" w:eastAsia="宋体"/>
                <w:szCs w:val="21"/>
              </w:rPr>
              <w:t>其他补充评价</w:t>
            </w:r>
          </w:p>
        </w:tc>
        <w:tc>
          <w:tcPr>
            <w:tcW w:w="0" w:type="auto"/>
            <w:gridSpan w:val="8"/>
            <w:tcBorders>
              <w:top w:val="single" w:color="auto" w:sz="12" w:space="0"/>
              <w:bottom w:val="single" w:color="auto" w:sz="12" w:space="0"/>
            </w:tcBorders>
            <w:noWrap w:val="0"/>
            <w:vAlign w:val="center"/>
          </w:tcPr>
          <w:p>
            <w:pPr>
              <w:tabs>
                <w:tab w:val="left" w:pos="1695"/>
              </w:tabs>
              <w:spacing w:line="240" w:lineRule="atLeast"/>
              <w:jc w:val="center"/>
              <w:rPr>
                <w:rFonts w:ascii="宋体" w:hAnsi="宋体" w:eastAsia="宋体"/>
                <w:bCs/>
                <w:szCs w:val="21"/>
              </w:rPr>
            </w:pPr>
            <w:r>
              <w:rPr>
                <w:rFonts w:hint="eastAsia" w:ascii="宋体" w:hAnsi="宋体" w:eastAsia="宋体"/>
                <w:color w:val="767171"/>
                <w:szCs w:val="21"/>
              </w:rPr>
              <w:t>（如有，请填写）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13" w:hRule="atLeast"/>
          <w:jc w:val="center"/>
        </w:trPr>
        <w:tc>
          <w:tcPr>
            <w:tcW w:w="0" w:type="auto"/>
            <w:gridSpan w:val="10"/>
            <w:tcBorders>
              <w:top w:val="single" w:color="auto" w:sz="12" w:space="0"/>
              <w:bottom w:val="single" w:color="auto" w:sz="12" w:space="0"/>
            </w:tcBorders>
            <w:shd w:val="clear" w:color="auto" w:fill="D9D9D9"/>
            <w:noWrap w:val="0"/>
            <w:vAlign w:val="center"/>
          </w:tcPr>
          <w:p>
            <w:pPr>
              <w:spacing w:line="240" w:lineRule="atLeast"/>
              <w:jc w:val="left"/>
              <w:rPr>
                <w:rFonts w:ascii="宋体" w:hAnsi="宋体" w:eastAsia="宋体"/>
                <w:b/>
                <w:bCs/>
                <w:szCs w:val="21"/>
              </w:rPr>
            </w:pPr>
            <w:r>
              <w:rPr>
                <w:rFonts w:hint="eastAsia" w:ascii="宋体" w:hAnsi="宋体" w:eastAsia="宋体"/>
                <w:b/>
                <w:bCs/>
                <w:szCs w:val="21"/>
              </w:rPr>
              <w:t>综合评价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055" w:hRule="atLeast"/>
          <w:jc w:val="center"/>
        </w:trPr>
        <w:tc>
          <w:tcPr>
            <w:tcW w:w="0" w:type="auto"/>
            <w:gridSpan w:val="2"/>
            <w:tcBorders>
              <w:top w:val="single" w:color="auto" w:sz="12" w:space="0"/>
              <w:bottom w:val="double" w:color="auto" w:sz="4" w:space="0"/>
            </w:tcBorders>
            <w:noWrap w:val="0"/>
            <w:vAlign w:val="center"/>
          </w:tcPr>
          <w:p>
            <w:pPr>
              <w:spacing w:line="240" w:lineRule="atLeast"/>
              <w:rPr>
                <w:rFonts w:hint="eastAsia" w:ascii="宋体" w:hAnsi="宋体" w:eastAsia="宋体"/>
                <w:szCs w:val="21"/>
              </w:rPr>
            </w:pPr>
            <w:r>
              <w:rPr>
                <w:rFonts w:hint="eastAsia" w:ascii="宋体" w:hAnsi="宋体" w:eastAsia="宋体"/>
                <w:szCs w:val="21"/>
              </w:rPr>
              <w:t>评价结论</w:t>
            </w:r>
          </w:p>
        </w:tc>
        <w:tc>
          <w:tcPr>
            <w:tcW w:w="0" w:type="auto"/>
            <w:gridSpan w:val="8"/>
            <w:tcBorders>
              <w:top w:val="single" w:color="auto" w:sz="12" w:space="0"/>
              <w:bottom w:val="double" w:color="auto" w:sz="4" w:space="0"/>
            </w:tcBorders>
            <w:noWrap w:val="0"/>
            <w:vAlign w:val="center"/>
          </w:tcPr>
          <w:p>
            <w:pPr>
              <w:spacing w:line="240" w:lineRule="atLeast"/>
              <w:jc w:val="left"/>
              <w:rPr>
                <w:rFonts w:ascii="宋体" w:hAnsi="宋体" w:eastAsia="宋体"/>
                <w:bCs/>
                <w:szCs w:val="21"/>
              </w:rPr>
            </w:pPr>
            <w:r>
              <w:rPr>
                <w:rFonts w:hint="eastAsia" w:ascii="宋体" w:hAnsi="宋体" w:eastAsia="宋体"/>
                <w:bCs/>
                <w:szCs w:val="21"/>
              </w:rPr>
              <w:t>总体评价意见：</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240" w:lineRule="atLeast"/>
              <w:jc w:val="left"/>
              <w:rPr>
                <w:rFonts w:hint="eastAsia" w:ascii="宋体" w:hAnsi="宋体" w:eastAsia="宋体"/>
                <w:bCs/>
                <w:szCs w:val="21"/>
              </w:rPr>
            </w:pPr>
          </w:p>
          <w:p>
            <w:pPr>
              <w:spacing w:line="240" w:lineRule="atLeast"/>
              <w:jc w:val="left"/>
              <w:rPr>
                <w:rFonts w:ascii="宋体" w:hAnsi="宋体" w:eastAsia="宋体"/>
                <w:bCs/>
                <w:szCs w:val="21"/>
              </w:rPr>
            </w:pPr>
            <w:r>
              <w:rPr>
                <w:rFonts w:hint="eastAsia" w:ascii="宋体" w:hAnsi="宋体" w:eastAsia="宋体"/>
                <w:bCs/>
                <w:szCs w:val="21"/>
              </w:rPr>
              <w:t>评估成为本单位：□ 推荐</w:t>
            </w:r>
            <w:r>
              <w:rPr>
                <w:rFonts w:ascii="宋体" w:hAnsi="宋体" w:eastAsia="宋体"/>
                <w:bCs/>
                <w:szCs w:val="21"/>
              </w:rPr>
              <w:t>服务机构</w:t>
            </w:r>
            <w:r>
              <w:rPr>
                <w:rFonts w:hint="eastAsia" w:ascii="宋体" w:hAnsi="宋体" w:eastAsia="宋体"/>
                <w:bCs/>
                <w:szCs w:val="21"/>
              </w:rPr>
              <w:t xml:space="preserve"> </w:t>
            </w:r>
            <w:r>
              <w:rPr>
                <w:rFonts w:ascii="宋体" w:hAnsi="宋体" w:eastAsia="宋体"/>
                <w:bCs/>
                <w:szCs w:val="21"/>
              </w:rPr>
              <w:t xml:space="preserve"> </w:t>
            </w:r>
            <w:r>
              <w:rPr>
                <w:rFonts w:hint="eastAsia" w:ascii="宋体" w:hAnsi="宋体" w:eastAsia="宋体"/>
                <w:bCs/>
                <w:szCs w:val="21"/>
              </w:rPr>
              <w:t>□ 不合格服务机构</w:t>
            </w:r>
          </w:p>
          <w:p>
            <w:pPr>
              <w:spacing w:line="240" w:lineRule="atLeast"/>
              <w:jc w:val="left"/>
              <w:rPr>
                <w:rFonts w:ascii="宋体" w:hAnsi="宋体" w:eastAsia="宋体"/>
                <w:szCs w:val="21"/>
                <w:u w:val="single"/>
              </w:rPr>
            </w:pPr>
            <w:r>
              <w:rPr>
                <w:rFonts w:hint="eastAsia" w:ascii="宋体" w:hAnsi="宋体" w:eastAsia="宋体"/>
                <w:bCs/>
                <w:szCs w:val="21"/>
              </w:rPr>
              <w:t>项目负责人签字（单位签章</w:t>
            </w:r>
            <w:r>
              <w:rPr>
                <w:rFonts w:ascii="宋体" w:hAnsi="宋体" w:eastAsia="宋体"/>
                <w:bCs/>
                <w:szCs w:val="21"/>
              </w:rPr>
              <w:t>）</w:t>
            </w:r>
            <w:r>
              <w:rPr>
                <w:rFonts w:hint="eastAsia" w:ascii="宋体" w:hAnsi="宋体" w:eastAsia="宋体"/>
                <w:bCs/>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tabs>
                <w:tab w:val="center" w:pos="3817"/>
              </w:tabs>
              <w:spacing w:line="240" w:lineRule="atLeast"/>
              <w:jc w:val="left"/>
              <w:rPr>
                <w:rFonts w:hint="eastAsia" w:ascii="宋体" w:hAnsi="宋体" w:eastAsia="宋体"/>
                <w:bCs/>
                <w:szCs w:val="21"/>
              </w:rPr>
            </w:pPr>
            <w:r>
              <w:rPr>
                <w:rFonts w:hint="eastAsia" w:ascii="宋体" w:hAnsi="宋体" w:eastAsia="宋体"/>
                <w:szCs w:val="21"/>
              </w:rPr>
              <w:t>日期：        年    月     日</w:t>
            </w:r>
          </w:p>
        </w:tc>
      </w:tr>
    </w:tbl>
    <w:p>
      <w:pPr>
        <w:tabs>
          <w:tab w:val="left" w:pos="1644"/>
        </w:tabs>
        <w:rPr>
          <w:rFonts w:ascii="宋体" w:hAnsi="宋体" w:eastAsia="宋体" w:cs="宋体"/>
          <w:sz w:val="24"/>
        </w:rPr>
      </w:pPr>
    </w:p>
    <w:p>
      <w:pPr>
        <w:rPr>
          <w:rFonts w:eastAsia="宋体"/>
        </w:rPr>
      </w:pPr>
    </w:p>
    <w:p>
      <w:pPr>
        <w:spacing w:line="44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服务机构履约评价表</w:t>
      </w:r>
    </w:p>
    <w:p>
      <w:pPr>
        <w:spacing w:line="560" w:lineRule="exact"/>
        <w:jc w:val="center"/>
        <w:rPr>
          <w:rFonts w:hint="eastAsia" w:ascii="黑体" w:hAnsi="黑体" w:eastAsia="黑体" w:cs="黑体"/>
          <w:spacing w:val="-6"/>
          <w:sz w:val="30"/>
          <w:szCs w:val="30"/>
        </w:rPr>
      </w:pPr>
      <w:r>
        <w:rPr>
          <w:rFonts w:hint="eastAsia" w:ascii="黑体" w:hAnsi="黑体" w:eastAsia="黑体" w:cs="黑体"/>
          <w:spacing w:val="-6"/>
          <w:sz w:val="30"/>
          <w:szCs w:val="30"/>
        </w:rPr>
        <w:t>（服务类适用）</w:t>
      </w:r>
    </w:p>
    <w:p>
      <w:pPr>
        <w:jc w:val="center"/>
        <w:rPr>
          <w:rFonts w:ascii="宋体" w:hAnsi="宋体" w:eastAsia="宋体" w:cs="宋体"/>
          <w:b/>
          <w:kern w:val="0"/>
          <w:sz w:val="15"/>
          <w:szCs w:val="32"/>
        </w:rPr>
      </w:pPr>
    </w:p>
    <w:tbl>
      <w:tblPr>
        <w:tblStyle w:val="17"/>
        <w:tblW w:w="0" w:type="auto"/>
        <w:jc w:val="center"/>
        <w:tblLayout w:type="autofit"/>
        <w:tblCellMar>
          <w:top w:w="0" w:type="dxa"/>
          <w:left w:w="108" w:type="dxa"/>
          <w:bottom w:w="0" w:type="dxa"/>
          <w:right w:w="108" w:type="dxa"/>
        </w:tblCellMar>
      </w:tblPr>
      <w:tblGrid>
        <w:gridCol w:w="881"/>
        <w:gridCol w:w="507"/>
        <w:gridCol w:w="934"/>
        <w:gridCol w:w="2856"/>
        <w:gridCol w:w="1313"/>
        <w:gridCol w:w="142"/>
        <w:gridCol w:w="142"/>
        <w:gridCol w:w="142"/>
        <w:gridCol w:w="886"/>
        <w:gridCol w:w="719"/>
      </w:tblGrid>
      <w:tr>
        <w:tblPrEx>
          <w:tblCellMar>
            <w:top w:w="0" w:type="dxa"/>
            <w:left w:w="108" w:type="dxa"/>
            <w:bottom w:w="0" w:type="dxa"/>
            <w:right w:w="108" w:type="dxa"/>
          </w:tblCellMar>
        </w:tblPrEx>
        <w:trPr>
          <w:trHeight w:val="336" w:hRule="atLeast"/>
          <w:jc w:val="center"/>
        </w:trPr>
        <w:tc>
          <w:tcPr>
            <w:tcW w:w="0" w:type="auto"/>
            <w:gridSpan w:val="10"/>
            <w:tcBorders>
              <w:top w:val="single" w:color="auto" w:sz="8" w:space="0"/>
              <w:left w:val="single" w:color="auto" w:sz="8" w:space="0"/>
              <w:bottom w:val="single" w:color="auto" w:sz="8" w:space="0"/>
              <w:right w:val="single" w:color="000000" w:sz="8" w:space="0"/>
            </w:tcBorders>
            <w:shd w:val="clear" w:color="auto" w:fill="D9D9D9"/>
            <w:noWrap w:val="0"/>
            <w:vAlign w:val="center"/>
          </w:tcPr>
          <w:p>
            <w:pPr>
              <w:spacing w:line="240" w:lineRule="atLeast"/>
              <w:rPr>
                <w:rFonts w:ascii="宋体" w:hAnsi="宋体" w:eastAsia="宋体"/>
                <w:b/>
                <w:szCs w:val="21"/>
              </w:rPr>
            </w:pPr>
            <w:r>
              <w:rPr>
                <w:rFonts w:hint="eastAsia" w:ascii="宋体" w:hAnsi="宋体" w:eastAsia="宋体"/>
                <w:b/>
                <w:szCs w:val="21"/>
              </w:rPr>
              <w:t>基本信息</w:t>
            </w: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黑体" w:hAnsi="宋体" w:eastAsia="黑体" w:cs="宋体"/>
                <w:sz w:val="24"/>
              </w:rPr>
            </w:pPr>
            <w:r>
              <w:rPr>
                <w:rFonts w:hint="eastAsia" w:ascii="宋体" w:hAnsi="宋体" w:eastAsia="宋体"/>
                <w:szCs w:val="21"/>
              </w:rPr>
              <w:t>服务机构名称</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rPr>
                <w:rFonts w:ascii="黑体" w:hAnsi="宋体" w:eastAsia="黑体" w:cs="宋体"/>
                <w:sz w:val="24"/>
              </w:rPr>
            </w:pP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黑体" w:hAnsi="宋体" w:eastAsia="黑体" w:cs="宋体"/>
                <w:sz w:val="24"/>
              </w:rPr>
            </w:pPr>
            <w:r>
              <w:rPr>
                <w:rFonts w:hint="eastAsia" w:ascii="宋体" w:hAnsi="宋体" w:eastAsia="宋体"/>
                <w:szCs w:val="21"/>
              </w:rPr>
              <w:t>中标时间</w:t>
            </w:r>
          </w:p>
        </w:tc>
        <w:tc>
          <w:tcPr>
            <w:tcW w:w="0" w:type="auto"/>
            <w:gridSpan w:val="4"/>
            <w:tcBorders>
              <w:top w:val="single" w:color="auto" w:sz="8" w:space="0"/>
              <w:left w:val="single" w:color="auto" w:sz="8" w:space="0"/>
              <w:bottom w:val="single" w:color="auto" w:sz="8" w:space="0"/>
              <w:right w:val="single" w:color="000000" w:sz="8" w:space="0"/>
            </w:tcBorders>
            <w:noWrap w:val="0"/>
            <w:vAlign w:val="center"/>
          </w:tcPr>
          <w:p>
            <w:pPr>
              <w:rPr>
                <w:rFonts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ascii="宋体" w:hAnsi="宋体" w:eastAsia="宋体"/>
                <w:szCs w:val="21"/>
              </w:rPr>
              <w:t>合同名称</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rPr>
                <w:rFonts w:hint="eastAsia" w:ascii="黑体" w:hAnsi="宋体" w:eastAsia="黑体" w:cs="宋体"/>
                <w:sz w:val="24"/>
              </w:rPr>
            </w:pP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hint="eastAsia" w:ascii="宋体" w:hAnsi="宋体" w:eastAsia="宋体"/>
                <w:szCs w:val="21"/>
              </w:rPr>
              <w:t>合同签订时间</w:t>
            </w:r>
          </w:p>
        </w:tc>
        <w:tc>
          <w:tcPr>
            <w:tcW w:w="0" w:type="auto"/>
            <w:gridSpan w:val="4"/>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p>
        </w:tc>
      </w:tr>
      <w:tr>
        <w:tblPrEx>
          <w:tblCellMar>
            <w:top w:w="0" w:type="dxa"/>
            <w:left w:w="108" w:type="dxa"/>
            <w:bottom w:w="0" w:type="dxa"/>
            <w:right w:w="108" w:type="dxa"/>
          </w:tblCellMar>
        </w:tblPrEx>
        <w:trPr>
          <w:trHeight w:val="1662"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黑体" w:hAnsi="宋体" w:eastAsia="黑体" w:cs="宋体"/>
                <w:sz w:val="24"/>
              </w:rPr>
            </w:pPr>
            <w:r>
              <w:rPr>
                <w:rFonts w:hint="eastAsia" w:ascii="宋体" w:hAnsi="宋体" w:eastAsia="宋体"/>
                <w:szCs w:val="21"/>
              </w:rPr>
              <w:t>合同范围内容概要</w:t>
            </w:r>
          </w:p>
        </w:tc>
        <w:tc>
          <w:tcPr>
            <w:tcW w:w="0" w:type="auto"/>
            <w:gridSpan w:val="8"/>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lang w:val="en-US" w:eastAsia="zh-CN"/>
              </w:rPr>
            </w:pPr>
            <w:r>
              <w:rPr>
                <w:rFonts w:hint="eastAsia" w:ascii="黑体" w:hAnsi="宋体" w:eastAsia="黑体" w:cs="宋体"/>
                <w:sz w:val="24"/>
                <w:lang w:val="en-US" w:eastAsia="zh-CN"/>
              </w:rPr>
              <w:t>2023年（1）以“刊登在高交会官方网www.chtf.com‘亮点抢先看’栏目”作为文章被采用的标准，高交会至此拥有文章的发表及其他使用权。</w:t>
            </w:r>
          </w:p>
          <w:p>
            <w:pPr>
              <w:rPr>
                <w:rFonts w:hint="default" w:ascii="黑体" w:hAnsi="宋体" w:eastAsia="黑体" w:cs="宋体"/>
                <w:sz w:val="24"/>
                <w:lang w:val="en-US" w:eastAsia="zh-CN"/>
              </w:rPr>
            </w:pPr>
            <w:r>
              <w:rPr>
                <w:rFonts w:hint="eastAsia" w:ascii="黑体" w:hAnsi="宋体" w:eastAsia="黑体" w:cs="宋体"/>
                <w:sz w:val="24"/>
                <w:lang w:val="en-US" w:eastAsia="zh-CN"/>
              </w:rPr>
              <w:t>（2）保证每篇文章字数不少于500字，于合作期限内，撰写并被采用的文章总篇数共210篇。</w:t>
            </w: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宋体" w:hAnsi="宋体" w:eastAsia="宋体"/>
                <w:szCs w:val="21"/>
              </w:rPr>
            </w:pPr>
            <w:r>
              <w:rPr>
                <w:rFonts w:hint="eastAsia" w:ascii="宋体" w:hAnsi="宋体" w:eastAsia="宋体"/>
                <w:szCs w:val="21"/>
              </w:rPr>
              <w:t>服务机构项目组成员构成</w:t>
            </w:r>
          </w:p>
        </w:tc>
        <w:tc>
          <w:tcPr>
            <w:tcW w:w="0" w:type="auto"/>
            <w:gridSpan w:val="8"/>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宋体" w:hAnsi="宋体" w:eastAsia="宋体"/>
                <w:szCs w:val="21"/>
              </w:rPr>
            </w:pPr>
            <w:r>
              <w:rPr>
                <w:rFonts w:hint="eastAsia" w:ascii="宋体" w:hAnsi="宋体" w:eastAsia="宋体"/>
                <w:szCs w:val="21"/>
              </w:rPr>
              <w:t>合同金额</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rPr>
                <w:rFonts w:hint="eastAsia" w:ascii="黑体" w:hAnsi="宋体" w:eastAsia="黑体" w:cs="宋体"/>
                <w:sz w:val="24"/>
              </w:rPr>
            </w:pPr>
            <w:r>
              <w:rPr>
                <w:rFonts w:ascii="宋体" w:hAnsi="宋体" w:eastAsia="宋体"/>
                <w:szCs w:val="21"/>
              </w:rPr>
              <w:t>人民币</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万元</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hint="eastAsia" w:ascii="宋体" w:hAnsi="宋体" w:eastAsia="宋体"/>
                <w:szCs w:val="21"/>
              </w:rPr>
              <w:t>结算金额</w:t>
            </w:r>
          </w:p>
        </w:tc>
        <w:tc>
          <w:tcPr>
            <w:tcW w:w="0" w:type="auto"/>
            <w:gridSpan w:val="4"/>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r>
              <w:rPr>
                <w:rFonts w:ascii="宋体" w:hAnsi="宋体" w:eastAsia="宋体"/>
                <w:szCs w:val="21"/>
              </w:rPr>
              <w:t>人民币</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万元</w:t>
            </w: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宋体" w:hAnsi="宋体" w:eastAsia="宋体"/>
                <w:szCs w:val="21"/>
              </w:rPr>
            </w:pPr>
            <w:r>
              <w:rPr>
                <w:rFonts w:hint="eastAsia" w:ascii="宋体" w:hAnsi="宋体" w:eastAsia="宋体"/>
                <w:szCs w:val="21"/>
              </w:rPr>
              <w:t>合同服务期</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rPr>
                <w:rFonts w:hint="eastAsia" w:ascii="黑体" w:hAnsi="宋体" w:eastAsia="黑体" w:cs="宋体"/>
                <w:sz w:val="24"/>
              </w:rPr>
            </w:pP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日历</w:t>
            </w:r>
            <w:r>
              <w:rPr>
                <w:rFonts w:ascii="宋体" w:hAnsi="宋体" w:eastAsia="宋体"/>
                <w:szCs w:val="21"/>
              </w:rPr>
              <w:t>日</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hint="eastAsia" w:ascii="宋体" w:hAnsi="宋体" w:eastAsia="宋体"/>
                <w:szCs w:val="21"/>
              </w:rPr>
              <w:t>验收时间</w:t>
            </w:r>
          </w:p>
        </w:tc>
        <w:tc>
          <w:tcPr>
            <w:tcW w:w="0" w:type="auto"/>
            <w:gridSpan w:val="4"/>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r>
              <w:rPr>
                <w:rFonts w:hint="eastAsia" w:ascii="宋体" w:hAnsi="宋体" w:eastAsia="宋体"/>
                <w:szCs w:val="21"/>
              </w:rPr>
              <w:t>_____年____月___日</w:t>
            </w:r>
          </w:p>
        </w:tc>
      </w:tr>
      <w:tr>
        <w:tblPrEx>
          <w:tblCellMar>
            <w:top w:w="0" w:type="dxa"/>
            <w:left w:w="108" w:type="dxa"/>
            <w:bottom w:w="0" w:type="dxa"/>
            <w:right w:w="108" w:type="dxa"/>
          </w:tblCellMar>
        </w:tblPrEx>
        <w:trPr>
          <w:trHeight w:val="379" w:hRule="atLeast"/>
          <w:jc w:val="center"/>
        </w:trPr>
        <w:tc>
          <w:tcPr>
            <w:tcW w:w="0" w:type="auto"/>
            <w:gridSpan w:val="10"/>
            <w:tcBorders>
              <w:top w:val="single" w:color="auto" w:sz="8" w:space="0"/>
              <w:left w:val="single" w:color="auto" w:sz="8" w:space="0"/>
              <w:bottom w:val="single" w:color="auto" w:sz="8" w:space="0"/>
              <w:right w:val="single" w:color="000000" w:sz="8" w:space="0"/>
            </w:tcBorders>
            <w:shd w:val="clear" w:color="auto" w:fill="D9D9D9"/>
            <w:noWrap w:val="0"/>
            <w:vAlign w:val="center"/>
          </w:tcPr>
          <w:p>
            <w:pPr>
              <w:spacing w:line="240" w:lineRule="atLeast"/>
              <w:jc w:val="left"/>
              <w:rPr>
                <w:rFonts w:hint="eastAsia" w:ascii="宋体" w:hAnsi="宋体" w:eastAsia="宋体"/>
                <w:b/>
                <w:bCs/>
                <w:szCs w:val="21"/>
              </w:rPr>
            </w:pPr>
            <w:r>
              <w:rPr>
                <w:rFonts w:hint="eastAsia" w:ascii="宋体" w:hAnsi="宋体" w:eastAsia="宋体"/>
                <w:b/>
                <w:bCs/>
                <w:szCs w:val="21"/>
              </w:rPr>
              <w:t>评价标准</w:t>
            </w:r>
          </w:p>
        </w:tc>
      </w:tr>
      <w:tr>
        <w:tblPrEx>
          <w:tblCellMar>
            <w:top w:w="0" w:type="dxa"/>
            <w:left w:w="108" w:type="dxa"/>
            <w:bottom w:w="0" w:type="dxa"/>
            <w:right w:w="108" w:type="dxa"/>
          </w:tblCellMar>
        </w:tblPrEx>
        <w:trPr>
          <w:trHeight w:val="572" w:hRule="atLeast"/>
          <w:jc w:val="center"/>
        </w:trPr>
        <w:tc>
          <w:tcPr>
            <w:tcW w:w="0" w:type="auto"/>
            <w:gridSpan w:val="3"/>
            <w:tcBorders>
              <w:top w:val="single" w:color="auto" w:sz="8" w:space="0"/>
              <w:left w:val="single" w:color="auto" w:sz="8" w:space="0"/>
              <w:bottom w:val="single" w:color="auto" w:sz="4" w:space="0"/>
              <w:right w:val="single" w:color="auto" w:sz="4"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评 价 指 标</w:t>
            </w:r>
          </w:p>
        </w:tc>
        <w:tc>
          <w:tcPr>
            <w:tcW w:w="0" w:type="auto"/>
            <w:tcBorders>
              <w:top w:val="single" w:color="auto" w:sz="8" w:space="0"/>
              <w:left w:val="nil"/>
              <w:bottom w:val="single" w:color="auto" w:sz="4" w:space="0"/>
              <w:right w:val="single" w:color="auto" w:sz="4"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评  分  内  容</w:t>
            </w:r>
          </w:p>
        </w:tc>
        <w:tc>
          <w:tcPr>
            <w:tcW w:w="0" w:type="auto"/>
            <w:tcBorders>
              <w:top w:val="nil"/>
              <w:left w:val="nil"/>
              <w:bottom w:val="single" w:color="auto" w:sz="4" w:space="0"/>
              <w:right w:val="single" w:color="auto" w:sz="4" w:space="0"/>
            </w:tcBorders>
            <w:noWrap w:val="0"/>
            <w:vAlign w:val="center"/>
          </w:tcPr>
          <w:p>
            <w:pPr>
              <w:spacing w:line="260" w:lineRule="exact"/>
              <w:rPr>
                <w:rFonts w:ascii="宋体" w:hAnsi="宋体" w:eastAsia="宋体" w:cs="宋体"/>
                <w:szCs w:val="21"/>
              </w:rPr>
            </w:pPr>
            <w:r>
              <w:rPr>
                <w:rFonts w:hint="eastAsia" w:ascii="宋体" w:hAnsi="宋体" w:eastAsia="宋体" w:cs="宋体"/>
                <w:szCs w:val="21"/>
              </w:rPr>
              <w:t>分值</w:t>
            </w:r>
          </w:p>
        </w:tc>
        <w:tc>
          <w:tcPr>
            <w:tcW w:w="0" w:type="auto"/>
            <w:gridSpan w:val="4"/>
            <w:tcBorders>
              <w:top w:val="single" w:color="auto" w:sz="8" w:space="0"/>
              <w:left w:val="nil"/>
              <w:bottom w:val="single" w:color="auto" w:sz="4" w:space="0"/>
              <w:right w:val="single" w:color="000000" w:sz="4" w:space="0"/>
            </w:tcBorders>
            <w:noWrap w:val="0"/>
            <w:vAlign w:val="center"/>
          </w:tcPr>
          <w:p>
            <w:pPr>
              <w:spacing w:line="260" w:lineRule="exact"/>
              <w:rPr>
                <w:rFonts w:ascii="宋体" w:hAnsi="宋体" w:eastAsia="宋体" w:cs="宋体"/>
                <w:szCs w:val="21"/>
              </w:rPr>
            </w:pPr>
            <w:r>
              <w:rPr>
                <w:rFonts w:hint="eastAsia" w:ascii="宋体" w:hAnsi="宋体" w:eastAsia="宋体" w:cs="宋体"/>
                <w:szCs w:val="21"/>
              </w:rPr>
              <w:t>扣分</w:t>
            </w:r>
            <w:r>
              <w:rPr>
                <w:rFonts w:hint="eastAsia" w:ascii="宋体" w:hAnsi="宋体" w:eastAsia="宋体" w:cs="宋体"/>
                <w:sz w:val="16"/>
                <w:szCs w:val="16"/>
              </w:rPr>
              <w:t>（最小扣分单位为0.5分，最多不超过该项分值）</w:t>
            </w:r>
          </w:p>
        </w:tc>
        <w:tc>
          <w:tcPr>
            <w:tcW w:w="0" w:type="auto"/>
            <w:tcBorders>
              <w:top w:val="single" w:color="auto" w:sz="8" w:space="0"/>
              <w:left w:val="nil"/>
              <w:bottom w:val="single" w:color="auto" w:sz="4" w:space="0"/>
              <w:right w:val="single" w:color="000000" w:sz="8"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37" w:hRule="atLeast"/>
          <w:jc w:val="center"/>
        </w:trPr>
        <w:tc>
          <w:tcPr>
            <w:tcW w:w="0" w:type="auto"/>
            <w:vMerge w:val="restart"/>
            <w:tcBorders>
              <w:top w:val="nil"/>
              <w:left w:val="single" w:color="auto" w:sz="8" w:space="0"/>
              <w:right w:val="single" w:color="auto" w:sz="4" w:space="0"/>
            </w:tcBorders>
            <w:noWrap w:val="0"/>
            <w:textDirection w:val="tbRlV"/>
            <w:vAlign w:val="center"/>
          </w:tcPr>
          <w:p>
            <w:pPr>
              <w:spacing w:line="300" w:lineRule="exact"/>
              <w:ind w:firstLine="360"/>
              <w:jc w:val="center"/>
              <w:rPr>
                <w:rFonts w:ascii="黑体" w:hAnsi="宋体" w:eastAsia="黑体" w:cs="宋体"/>
                <w:sz w:val="24"/>
              </w:rPr>
            </w:pPr>
            <w:r>
              <w:rPr>
                <w:rFonts w:hint="eastAsia" w:ascii="黑体" w:hAnsi="宋体" w:eastAsia="黑体" w:cs="宋体"/>
                <w:sz w:val="24"/>
              </w:rPr>
              <w:t>服务过程（40分）</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0"/>
              </w:rPr>
            </w:pPr>
            <w:r>
              <w:rPr>
                <w:rFonts w:hint="eastAsia" w:ascii="宋体" w:hAnsi="宋体" w:eastAsia="宋体" w:cs="宋体"/>
                <w:sz w:val="20"/>
              </w:rPr>
              <w:t>工作</w:t>
            </w:r>
          </w:p>
          <w:p>
            <w:pPr>
              <w:spacing w:line="300" w:lineRule="exact"/>
              <w:jc w:val="center"/>
              <w:rPr>
                <w:rFonts w:ascii="宋体" w:hAnsi="宋体" w:eastAsia="宋体" w:cs="宋体"/>
                <w:sz w:val="20"/>
              </w:rPr>
            </w:pPr>
            <w:r>
              <w:rPr>
                <w:rFonts w:hint="eastAsia" w:ascii="宋体" w:hAnsi="宋体" w:eastAsia="宋体" w:cs="宋体"/>
                <w:sz w:val="20"/>
              </w:rPr>
              <w:t>能力</w:t>
            </w:r>
          </w:p>
        </w:tc>
        <w:tc>
          <w:tcPr>
            <w:tcW w:w="0" w:type="auto"/>
            <w:vMerge w:val="restart"/>
            <w:tcBorders>
              <w:top w:val="nil"/>
              <w:left w:val="single" w:color="auto" w:sz="4" w:space="0"/>
              <w:bottom w:val="single" w:color="000000" w:sz="4" w:space="0"/>
              <w:right w:val="single" w:color="auto" w:sz="4" w:space="0"/>
            </w:tcBorders>
            <w:noWrap w:val="0"/>
            <w:vAlign w:val="center"/>
          </w:tcPr>
          <w:p>
            <w:pPr>
              <w:spacing w:line="300" w:lineRule="exact"/>
              <w:jc w:val="center"/>
              <w:rPr>
                <w:rFonts w:ascii="宋体" w:hAnsi="宋体" w:eastAsia="宋体" w:cs="宋体"/>
                <w:sz w:val="20"/>
              </w:rPr>
            </w:pPr>
            <w:r>
              <w:rPr>
                <w:rFonts w:hint="eastAsia" w:ascii="宋体" w:hAnsi="宋体" w:eastAsia="宋体" w:cs="宋体"/>
                <w:sz w:val="20"/>
              </w:rPr>
              <w:t>工作</w:t>
            </w:r>
          </w:p>
          <w:p>
            <w:pPr>
              <w:spacing w:line="300" w:lineRule="exact"/>
              <w:jc w:val="center"/>
              <w:rPr>
                <w:rFonts w:ascii="宋体" w:hAnsi="宋体" w:eastAsia="宋体" w:cs="宋体"/>
                <w:sz w:val="20"/>
              </w:rPr>
            </w:pPr>
            <w:r>
              <w:rPr>
                <w:rFonts w:hint="eastAsia" w:ascii="宋体" w:hAnsi="宋体" w:eastAsia="宋体" w:cs="宋体"/>
                <w:sz w:val="20"/>
              </w:rPr>
              <w:t>效率</w:t>
            </w:r>
          </w:p>
        </w:tc>
        <w:tc>
          <w:tcPr>
            <w:tcW w:w="0" w:type="auto"/>
            <w:tcBorders>
              <w:top w:val="single" w:color="auto" w:sz="4" w:space="0"/>
              <w:left w:val="nil"/>
              <w:bottom w:val="single" w:color="auto" w:sz="4" w:space="0"/>
              <w:right w:val="single" w:color="auto" w:sz="4" w:space="0"/>
            </w:tcBorders>
            <w:noWrap w:val="0"/>
            <w:vAlign w:val="center"/>
          </w:tcPr>
          <w:p>
            <w:pPr>
              <w:spacing w:line="300" w:lineRule="exact"/>
              <w:ind w:firstLine="357"/>
              <w:jc w:val="left"/>
              <w:rPr>
                <w:rFonts w:ascii="宋体" w:hAnsi="宋体" w:eastAsia="宋体" w:cs="宋体"/>
                <w:szCs w:val="21"/>
              </w:rPr>
            </w:pPr>
            <w:r>
              <w:rPr>
                <w:rFonts w:hint="eastAsia" w:ascii="宋体" w:hAnsi="宋体" w:eastAsia="宋体" w:cs="宋体"/>
                <w:szCs w:val="21"/>
              </w:rPr>
              <w:t>1.是否按时完成各项工作任务</w:t>
            </w:r>
          </w:p>
        </w:tc>
        <w:tc>
          <w:tcPr>
            <w:tcW w:w="0" w:type="auto"/>
            <w:tcBorders>
              <w:top w:val="nil"/>
              <w:left w:val="nil"/>
              <w:bottom w:val="single" w:color="auto" w:sz="4" w:space="0"/>
              <w:right w:val="single" w:color="auto" w:sz="4" w:space="0"/>
            </w:tcBorders>
            <w:noWrap w:val="0"/>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8</w:t>
            </w:r>
          </w:p>
        </w:tc>
        <w:tc>
          <w:tcPr>
            <w:tcW w:w="0" w:type="auto"/>
            <w:gridSpan w:val="4"/>
            <w:tcBorders>
              <w:top w:val="single" w:color="auto" w:sz="4" w:space="0"/>
              <w:left w:val="nil"/>
              <w:bottom w:val="single" w:color="auto" w:sz="4" w:space="0"/>
              <w:right w:val="single" w:color="000000" w:sz="4" w:space="0"/>
            </w:tcBorders>
            <w:noWrap w:val="0"/>
            <w:vAlign w:val="center"/>
          </w:tcPr>
          <w:p>
            <w:pPr>
              <w:spacing w:line="300" w:lineRule="exact"/>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spacing w:line="300" w:lineRule="exact"/>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416"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sz w:val="20"/>
              </w:rPr>
            </w:pPr>
          </w:p>
        </w:tc>
        <w:tc>
          <w:tcPr>
            <w:tcW w:w="0" w:type="auto"/>
            <w:tcBorders>
              <w:top w:val="single" w:color="auto" w:sz="4" w:space="0"/>
              <w:left w:val="nil"/>
              <w:bottom w:val="single" w:color="auto" w:sz="4" w:space="0"/>
              <w:right w:val="single" w:color="000000" w:sz="4" w:space="0"/>
            </w:tcBorders>
            <w:noWrap w:val="0"/>
            <w:vAlign w:val="center"/>
          </w:tcPr>
          <w:p>
            <w:pPr>
              <w:spacing w:line="260" w:lineRule="exact"/>
              <w:ind w:firstLine="357"/>
              <w:jc w:val="left"/>
              <w:rPr>
                <w:rFonts w:hint="default"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文字质量是否符合要求</w:t>
            </w:r>
          </w:p>
        </w:tc>
        <w:tc>
          <w:tcPr>
            <w:tcW w:w="0" w:type="auto"/>
            <w:tcBorders>
              <w:top w:val="nil"/>
              <w:left w:val="nil"/>
              <w:bottom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630"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 w:val="20"/>
              </w:rPr>
            </w:pPr>
            <w:r>
              <w:rPr>
                <w:rFonts w:hint="eastAsia" w:ascii="宋体" w:hAnsi="宋体" w:eastAsia="宋体" w:cs="宋体"/>
                <w:sz w:val="20"/>
              </w:rPr>
              <w:t>配合</w:t>
            </w:r>
          </w:p>
          <w:p>
            <w:pPr>
              <w:jc w:val="center"/>
              <w:rPr>
                <w:rFonts w:ascii="宋体" w:hAnsi="宋体" w:eastAsia="宋体" w:cs="宋体"/>
                <w:sz w:val="20"/>
              </w:rPr>
            </w:pPr>
            <w:r>
              <w:rPr>
                <w:rFonts w:hint="eastAsia" w:ascii="宋体" w:hAnsi="宋体" w:eastAsia="宋体" w:cs="宋体"/>
                <w:sz w:val="20"/>
              </w:rPr>
              <w:t>程度</w:t>
            </w:r>
          </w:p>
        </w:tc>
        <w:tc>
          <w:tcPr>
            <w:tcW w:w="0" w:type="auto"/>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0"/>
              </w:rPr>
            </w:pPr>
            <w:r>
              <w:rPr>
                <w:rFonts w:hint="eastAsia" w:ascii="宋体" w:hAnsi="宋体" w:eastAsia="宋体" w:cs="宋体"/>
                <w:sz w:val="20"/>
              </w:rPr>
              <w:t>沟通</w:t>
            </w:r>
          </w:p>
          <w:p>
            <w:pPr>
              <w:jc w:val="center"/>
              <w:rPr>
                <w:rFonts w:hint="eastAsia" w:ascii="宋体" w:hAnsi="宋体" w:eastAsia="宋体" w:cs="宋体"/>
                <w:sz w:val="20"/>
              </w:rPr>
            </w:pPr>
            <w:r>
              <w:rPr>
                <w:rFonts w:hint="eastAsia" w:ascii="宋体" w:hAnsi="宋体" w:eastAsia="宋体" w:cs="宋体"/>
                <w:sz w:val="20"/>
              </w:rPr>
              <w:t>主动</w:t>
            </w:r>
          </w:p>
          <w:p>
            <w:pPr>
              <w:jc w:val="center"/>
              <w:rPr>
                <w:rFonts w:ascii="宋体" w:hAnsi="宋体" w:eastAsia="宋体" w:cs="宋体"/>
                <w:sz w:val="20"/>
              </w:rPr>
            </w:pPr>
            <w:r>
              <w:rPr>
                <w:rFonts w:hint="eastAsia" w:ascii="宋体" w:hAnsi="宋体" w:eastAsia="宋体" w:cs="宋体"/>
                <w:sz w:val="20"/>
              </w:rPr>
              <w:t>性</w:t>
            </w: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57"/>
              <w:jc w:val="left"/>
              <w:rPr>
                <w:rFonts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.是否及时就项目开展进度、情况进行沟通</w:t>
            </w:r>
          </w:p>
        </w:tc>
        <w:tc>
          <w:tcPr>
            <w:tcW w:w="0" w:type="auto"/>
            <w:tcBorders>
              <w:top w:val="nil"/>
              <w:left w:val="nil"/>
              <w:bottom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630"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tcBorders>
              <w:top w:val="single" w:color="auto" w:sz="4" w:space="0"/>
              <w:left w:val="nil"/>
              <w:bottom w:val="single" w:color="auto" w:sz="4" w:space="0"/>
              <w:right w:val="single" w:color="000000" w:sz="4" w:space="0"/>
            </w:tcBorders>
            <w:noWrap w:val="0"/>
            <w:vAlign w:val="center"/>
          </w:tcPr>
          <w:p>
            <w:pPr>
              <w:spacing w:line="260" w:lineRule="exact"/>
              <w:ind w:firstLine="357"/>
              <w:jc w:val="left"/>
              <w:rPr>
                <w:rFonts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.是否及时回馈委托方提出的意见、问题等，并主动提供有关建议等</w:t>
            </w:r>
          </w:p>
        </w:tc>
        <w:tc>
          <w:tcPr>
            <w:tcW w:w="0" w:type="auto"/>
            <w:tcBorders>
              <w:top w:val="nil"/>
              <w:left w:val="nil"/>
              <w:bottom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630"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57"/>
              <w:jc w:val="left"/>
              <w:rPr>
                <w:rFonts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.在对重大事项得出结论前是否与有关方面进行了充分的沟通</w:t>
            </w:r>
          </w:p>
        </w:tc>
        <w:tc>
          <w:tcPr>
            <w:tcW w:w="0" w:type="auto"/>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630"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restart"/>
            <w:tcBorders>
              <w:top w:val="nil"/>
              <w:left w:val="single" w:color="auto" w:sz="4" w:space="0"/>
              <w:bottom w:val="single" w:color="auto" w:sz="4" w:space="0"/>
              <w:right w:val="single" w:color="auto" w:sz="4" w:space="0"/>
            </w:tcBorders>
            <w:noWrap w:val="0"/>
            <w:vAlign w:val="center"/>
          </w:tcPr>
          <w:p>
            <w:pPr>
              <w:rPr>
                <w:rFonts w:ascii="宋体" w:hAnsi="宋体" w:eastAsia="宋体" w:cs="宋体"/>
                <w:sz w:val="20"/>
              </w:rPr>
            </w:pPr>
            <w:r>
              <w:rPr>
                <w:rFonts w:hint="eastAsia" w:ascii="宋体" w:hAnsi="宋体" w:eastAsia="宋体" w:cs="宋体"/>
                <w:sz w:val="20"/>
              </w:rPr>
              <w:t>沟通能力</w:t>
            </w: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60"/>
              <w:jc w:val="left"/>
              <w:rPr>
                <w:rFonts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.服务机构工作人员能否准确理解委托方的意图</w:t>
            </w:r>
          </w:p>
        </w:tc>
        <w:tc>
          <w:tcPr>
            <w:tcW w:w="0" w:type="auto"/>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895"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60"/>
              <w:jc w:val="left"/>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.服务机构工作人员表达或表述是否清晰无误，善于沟通</w:t>
            </w:r>
          </w:p>
        </w:tc>
        <w:tc>
          <w:tcPr>
            <w:tcW w:w="0" w:type="auto"/>
            <w:tcBorders>
              <w:top w:val="nil"/>
              <w:left w:val="nil"/>
              <w:bottom w:val="single" w:color="auto" w:sz="4" w:space="0"/>
              <w:right w:val="single" w:color="auto" w:sz="4" w:space="0"/>
            </w:tcBorders>
            <w:noWrap w:val="0"/>
            <w:vAlign w:val="center"/>
          </w:tcPr>
          <w:p>
            <w:pPr>
              <w:spacing w:line="2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1409" w:hRule="atLeast"/>
          <w:jc w:val="center"/>
        </w:trPr>
        <w:tc>
          <w:tcPr>
            <w:tcW w:w="0" w:type="auto"/>
            <w:tcBorders>
              <w:top w:val="single" w:color="auto" w:sz="4" w:space="0"/>
              <w:left w:val="single" w:color="auto" w:sz="8" w:space="0"/>
              <w:bottom w:val="double" w:color="000000" w:sz="6" w:space="0"/>
              <w:right w:val="single" w:color="auto" w:sz="4" w:space="0"/>
            </w:tcBorders>
            <w:noWrap w:val="0"/>
            <w:textDirection w:val="tbRlV"/>
            <w:vAlign w:val="center"/>
          </w:tcPr>
          <w:p>
            <w:pPr>
              <w:ind w:firstLine="360"/>
              <w:jc w:val="center"/>
              <w:rPr>
                <w:rFonts w:ascii="黑体" w:hAnsi="宋体" w:eastAsia="黑体" w:cs="宋体"/>
                <w:sz w:val="24"/>
              </w:rPr>
            </w:pPr>
            <w:r>
              <w:rPr>
                <w:rFonts w:hint="eastAsia" w:ascii="黑体" w:hAnsi="宋体" w:eastAsia="黑体" w:cs="宋体"/>
                <w:sz w:val="24"/>
              </w:rPr>
              <w:t>服务成果（60分）</w:t>
            </w:r>
          </w:p>
        </w:tc>
        <w:tc>
          <w:tcPr>
            <w:tcW w:w="0" w:type="auto"/>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完整性</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文章数量</w:t>
            </w: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60"/>
              <w:rPr>
                <w:rFonts w:hint="default" w:ascii="宋体" w:hAnsi="宋体" w:eastAsia="宋体" w:cs="宋体"/>
                <w:szCs w:val="21"/>
                <w:lang w:val="en-US" w:eastAsia="zh-CN"/>
              </w:rPr>
            </w:pPr>
            <w:r>
              <w:rPr>
                <w:rFonts w:hint="eastAsia" w:ascii="宋体" w:hAnsi="宋体" w:eastAsia="宋体" w:cs="宋体"/>
                <w:szCs w:val="21"/>
                <w:lang w:val="en-US" w:eastAsia="zh-CN"/>
              </w:rPr>
              <w:t>9</w:t>
            </w:r>
            <w:r>
              <w:rPr>
                <w:rFonts w:hint="eastAsia" w:ascii="宋体" w:hAnsi="宋体" w:eastAsia="宋体" w:cs="宋体"/>
                <w:szCs w:val="21"/>
              </w:rPr>
              <w:t>.</w:t>
            </w:r>
            <w:r>
              <w:rPr>
                <w:rFonts w:hint="eastAsia" w:ascii="宋体" w:hAnsi="宋体" w:eastAsia="宋体" w:cs="宋体"/>
                <w:szCs w:val="21"/>
                <w:lang w:val="en-US" w:eastAsia="zh-CN"/>
              </w:rPr>
              <w:t>是否</w:t>
            </w:r>
            <w:r>
              <w:rPr>
                <w:rFonts w:hint="eastAsia" w:ascii="宋体" w:hAnsi="宋体" w:eastAsia="宋体" w:cs="宋体"/>
                <w:szCs w:val="21"/>
              </w:rPr>
              <w:t>撰写并被采用的文章总篇数共</w:t>
            </w:r>
            <w:r>
              <w:rPr>
                <w:rFonts w:hint="eastAsia" w:ascii="宋体" w:hAnsi="宋体" w:cs="宋体"/>
                <w:szCs w:val="21"/>
                <w:lang w:val="en-US" w:eastAsia="zh-CN"/>
              </w:rPr>
              <w:t>210</w:t>
            </w:r>
            <w:r>
              <w:rPr>
                <w:rFonts w:hint="eastAsia" w:ascii="宋体" w:hAnsi="宋体" w:eastAsia="宋体" w:cs="宋体"/>
                <w:szCs w:val="21"/>
              </w:rPr>
              <w:t>篇</w:t>
            </w: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r>
              <w:rPr>
                <w:rFonts w:hint="eastAsia" w:ascii="宋体" w:hAnsi="宋体" w:eastAsia="宋体" w:cs="宋体"/>
                <w:szCs w:val="21"/>
                <w:lang w:val="en-US" w:eastAsia="zh-CN"/>
              </w:rPr>
              <w:t>0</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808" w:hRule="atLeast"/>
          <w:jc w:val="center"/>
        </w:trPr>
        <w:tc>
          <w:tcPr>
            <w:tcW w:w="0" w:type="auto"/>
            <w:vMerge w:val="restart"/>
            <w:tcBorders>
              <w:top w:val="nil"/>
              <w:left w:val="single" w:color="auto" w:sz="8" w:space="0"/>
              <w:bottom w:val="single" w:color="000000" w:sz="4" w:space="0"/>
              <w:right w:val="single" w:color="auto" w:sz="4" w:space="0"/>
            </w:tcBorders>
            <w:noWrap w:val="0"/>
            <w:textDirection w:val="tbRlV"/>
            <w:vAlign w:val="center"/>
          </w:tcPr>
          <w:p>
            <w:pPr>
              <w:spacing w:line="260" w:lineRule="exact"/>
              <w:ind w:firstLine="360"/>
              <w:jc w:val="center"/>
              <w:rPr>
                <w:rFonts w:hint="eastAsia" w:ascii="黑体" w:hAnsi="宋体" w:eastAsia="黑体" w:cs="宋体"/>
                <w:sz w:val="24"/>
                <w:lang w:val="en-US" w:eastAsia="zh-CN"/>
              </w:rPr>
            </w:pPr>
            <w:r>
              <w:rPr>
                <w:rFonts w:hint="eastAsia" w:ascii="黑体" w:hAnsi="宋体" w:eastAsia="黑体" w:cs="宋体"/>
                <w:sz w:val="24"/>
              </w:rPr>
              <w:t>附</w:t>
            </w:r>
            <w:r>
              <w:rPr>
                <w:rFonts w:hint="eastAsia" w:ascii="黑体" w:hAnsi="宋体" w:eastAsia="黑体" w:cs="宋体"/>
                <w:sz w:val="24"/>
                <w:lang w:val="en-US" w:eastAsia="zh-CN"/>
              </w:rPr>
              <w:t>加</w:t>
            </w:r>
          </w:p>
        </w:tc>
        <w:tc>
          <w:tcPr>
            <w:tcW w:w="0" w:type="auto"/>
            <w:gridSpan w:val="2"/>
            <w:tcBorders>
              <w:top w:val="double" w:color="auto" w:sz="6" w:space="0"/>
              <w:left w:val="nil"/>
              <w:bottom w:val="single" w:color="auto" w:sz="4" w:space="0"/>
              <w:right w:val="single" w:color="000000" w:sz="4"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附加分</w:t>
            </w:r>
          </w:p>
        </w:tc>
        <w:tc>
          <w:tcPr>
            <w:tcW w:w="0" w:type="auto"/>
            <w:tcBorders>
              <w:top w:val="double" w:color="auto" w:sz="4" w:space="0"/>
              <w:left w:val="nil"/>
              <w:bottom w:val="single" w:color="auto" w:sz="4" w:space="0"/>
              <w:right w:val="single" w:color="auto" w:sz="4" w:space="0"/>
            </w:tcBorders>
            <w:noWrap w:val="0"/>
            <w:vAlign w:val="center"/>
          </w:tcPr>
          <w:p>
            <w:pPr>
              <w:spacing w:line="260" w:lineRule="exact"/>
              <w:ind w:firstLine="360"/>
              <w:rPr>
                <w:rFonts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rPr>
              <w:t>.具有针对性、较高参考价值的意见或建议有几条</w:t>
            </w:r>
            <w:r>
              <w:rPr>
                <w:rFonts w:hint="eastAsia" w:ascii="宋体" w:hAnsi="宋体" w:eastAsia="宋体" w:cs="宋体"/>
                <w:szCs w:val="21"/>
                <w:lang w:eastAsia="zh-CN"/>
              </w:rPr>
              <w:t>，</w:t>
            </w:r>
            <w:r>
              <w:rPr>
                <w:rFonts w:hint="eastAsia" w:ascii="宋体" w:hAnsi="宋体" w:eastAsia="宋体" w:cs="宋体"/>
                <w:szCs w:val="21"/>
                <w:lang w:val="en-US" w:eastAsia="zh-CN"/>
              </w:rPr>
              <w:t>包括增值服务</w:t>
            </w:r>
            <w:r>
              <w:rPr>
                <w:rFonts w:hint="eastAsia" w:ascii="宋体" w:hAnsi="宋体" w:eastAsia="宋体" w:cs="宋体"/>
                <w:szCs w:val="21"/>
              </w:rPr>
              <w:t>（每条5分，得分=条数×5）</w:t>
            </w:r>
          </w:p>
        </w:tc>
        <w:tc>
          <w:tcPr>
            <w:tcW w:w="0" w:type="auto"/>
            <w:tcBorders>
              <w:top w:val="double" w:color="auto" w:sz="4" w:space="0"/>
              <w:left w:val="nil"/>
              <w:bottom w:val="single" w:color="auto" w:sz="4" w:space="0"/>
              <w:right w:val="single" w:color="auto" w:sz="4" w:space="0"/>
            </w:tcBorders>
            <w:noWrap w:val="0"/>
            <w:vAlign w:val="center"/>
          </w:tcPr>
          <w:p>
            <w:pPr>
              <w:spacing w:line="260" w:lineRule="exact"/>
              <w:jc w:val="center"/>
              <w:rPr>
                <w:rFonts w:ascii="宋体" w:hAnsi="宋体" w:eastAsia="宋体" w:cs="宋体"/>
                <w:color w:val="000000"/>
                <w:szCs w:val="21"/>
              </w:rPr>
            </w:pPr>
            <w:r>
              <w:rPr>
                <w:rFonts w:hint="eastAsia" w:ascii="宋体" w:hAnsi="宋体" w:eastAsia="宋体" w:cs="宋体"/>
                <w:color w:val="000000"/>
                <w:szCs w:val="21"/>
              </w:rPr>
              <w:t>得分</w:t>
            </w:r>
          </w:p>
        </w:tc>
        <w:tc>
          <w:tcPr>
            <w:tcW w:w="0" w:type="auto"/>
            <w:gridSpan w:val="4"/>
            <w:tcBorders>
              <w:top w:val="double" w:color="auto" w:sz="4" w:space="0"/>
              <w:left w:val="nil"/>
              <w:bottom w:val="single" w:color="auto" w:sz="4" w:space="0"/>
              <w:right w:val="single" w:color="000000" w:sz="4" w:space="0"/>
            </w:tcBorders>
            <w:noWrap w:val="0"/>
            <w:vAlign w:val="center"/>
          </w:tcPr>
          <w:p>
            <w:pPr>
              <w:spacing w:line="260" w:lineRule="exact"/>
              <w:jc w:val="center"/>
              <w:rPr>
                <w:rFonts w:ascii="宋体" w:hAnsi="宋体" w:eastAsia="宋体" w:cs="宋体"/>
                <w:color w:val="000000"/>
                <w:szCs w:val="21"/>
              </w:rPr>
            </w:pPr>
            <w:r>
              <w:rPr>
                <w:rFonts w:hint="eastAsia" w:ascii="宋体" w:hAnsi="宋体" w:eastAsia="宋体" w:cs="宋体"/>
                <w:color w:val="000000"/>
                <w:szCs w:val="21"/>
              </w:rPr>
              <w:t>条数</w:t>
            </w:r>
          </w:p>
        </w:tc>
        <w:tc>
          <w:tcPr>
            <w:tcW w:w="0" w:type="auto"/>
            <w:tcBorders>
              <w:top w:val="nil"/>
              <w:left w:val="nil"/>
              <w:bottom w:val="single" w:color="auto" w:sz="4" w:space="0"/>
              <w:right w:val="single" w:color="000000" w:sz="8" w:space="0"/>
            </w:tcBorders>
            <w:noWrap w:val="0"/>
            <w:vAlign w:val="center"/>
          </w:tcPr>
          <w:p>
            <w:pPr>
              <w:spacing w:line="260" w:lineRule="exact"/>
              <w:jc w:val="center"/>
              <w:rPr>
                <w:rFonts w:ascii="宋体" w:hAnsi="宋体" w:eastAsia="宋体" w:cs="宋体"/>
                <w:sz w:val="20"/>
              </w:rPr>
            </w:pPr>
            <w:r>
              <w:rPr>
                <w:rFonts w:hint="eastAsia" w:ascii="宋体" w:hAnsi="宋体" w:eastAsia="宋体" w:cs="宋体"/>
                <w:sz w:val="20"/>
              </w:rPr>
              <w:t>不设上限分数</w:t>
            </w:r>
          </w:p>
        </w:tc>
      </w:tr>
      <w:tr>
        <w:tblPrEx>
          <w:tblCellMar>
            <w:top w:w="0" w:type="dxa"/>
            <w:left w:w="108" w:type="dxa"/>
            <w:bottom w:w="0" w:type="dxa"/>
            <w:right w:w="108" w:type="dxa"/>
          </w:tblCellMar>
        </w:tblPrEx>
        <w:trPr>
          <w:trHeight w:val="663" w:hRule="atLeast"/>
          <w:jc w:val="center"/>
        </w:trPr>
        <w:tc>
          <w:tcPr>
            <w:tcW w:w="0" w:type="auto"/>
            <w:vMerge w:val="continue"/>
            <w:tcBorders>
              <w:top w:val="nil"/>
              <w:left w:val="single" w:color="auto" w:sz="8" w:space="0"/>
              <w:bottom w:val="single" w:color="000000" w:sz="4" w:space="0"/>
              <w:right w:val="single" w:color="auto" w:sz="4" w:space="0"/>
            </w:tcBorders>
            <w:noWrap w:val="0"/>
            <w:vAlign w:val="center"/>
          </w:tcPr>
          <w:p>
            <w:pPr>
              <w:widowControl/>
              <w:jc w:val="left"/>
              <w:rPr>
                <w:rFonts w:ascii="黑体" w:hAnsi="宋体" w:eastAsia="黑体" w:cs="宋体"/>
                <w:sz w:val="24"/>
              </w:rPr>
            </w:pPr>
          </w:p>
        </w:tc>
        <w:tc>
          <w:tcPr>
            <w:tcW w:w="0" w:type="auto"/>
            <w:gridSpan w:val="2"/>
            <w:tcBorders>
              <w:top w:val="single" w:color="auto" w:sz="4" w:space="0"/>
              <w:left w:val="nil"/>
              <w:bottom w:val="single" w:color="auto" w:sz="4" w:space="0"/>
              <w:right w:val="single" w:color="000000" w:sz="4"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一票否决项</w:t>
            </w:r>
          </w:p>
        </w:tc>
        <w:tc>
          <w:tcPr>
            <w:tcW w:w="0" w:type="auto"/>
            <w:gridSpan w:val="2"/>
            <w:tcBorders>
              <w:top w:val="single" w:color="auto" w:sz="4" w:space="0"/>
              <w:left w:val="nil"/>
              <w:bottom w:val="single" w:color="auto" w:sz="4" w:space="0"/>
              <w:right w:val="single" w:color="auto" w:sz="4" w:space="0"/>
            </w:tcBorders>
            <w:noWrap w:val="0"/>
            <w:vAlign w:val="center"/>
          </w:tcPr>
          <w:p>
            <w:pPr>
              <w:numPr>
                <w:ilvl w:val="0"/>
                <w:numId w:val="28"/>
              </w:numPr>
              <w:spacing w:line="260" w:lineRule="exact"/>
              <w:ind w:firstLine="360"/>
              <w:rPr>
                <w:rFonts w:hint="eastAsia" w:ascii="宋体" w:hAnsi="宋体" w:eastAsia="宋体" w:cs="宋体"/>
                <w:szCs w:val="21"/>
                <w:lang w:val="en-US" w:eastAsia="zh-CN"/>
              </w:rPr>
            </w:pPr>
            <w:r>
              <w:rPr>
                <w:rFonts w:hint="eastAsia" w:ascii="宋体" w:hAnsi="宋体" w:eastAsia="宋体" w:cs="宋体"/>
                <w:szCs w:val="21"/>
                <w:lang w:val="en-US" w:eastAsia="zh-CN"/>
              </w:rPr>
              <w:t>违反服务承诺</w:t>
            </w:r>
          </w:p>
          <w:p>
            <w:pPr>
              <w:numPr>
                <w:ilvl w:val="0"/>
                <w:numId w:val="0"/>
              </w:num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（1）需保证未被高交会采用的文章，不会在其他任何场合公开场所使用。</w:t>
            </w:r>
          </w:p>
          <w:p>
            <w:p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（2）需保证不得将甲方提供文章的参考主题、创作素材及相关内容等任何信息泄露给第三方；因此而导致任何争议，由投标人负责解决，并赔偿招标人因此所遭受的一切损失。</w:t>
            </w:r>
          </w:p>
          <w:p>
            <w:p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（3）不得以任何名义非法收受或索取高交会参展企业（个人）的财务，包括金钱、实物和其他用金钱计算数额的财产性利益。</w:t>
            </w:r>
          </w:p>
          <w:p>
            <w:p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（4）应按照协议约定进行高交会自媒体文章撰写，不得借助合作身份从事与高交会自媒体内容制作无关的其他任何活动；</w:t>
            </w:r>
          </w:p>
          <w:p>
            <w:p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（5）需应积极维护高交会品牌形象和声誉。</w:t>
            </w:r>
          </w:p>
          <w:p>
            <w:pPr>
              <w:spacing w:line="260" w:lineRule="exact"/>
              <w:rPr>
                <w:rFonts w:hint="default" w:ascii="宋体" w:hAnsi="宋体" w:eastAsia="宋体" w:cs="宋体"/>
                <w:szCs w:val="21"/>
                <w:lang w:val="en-US" w:eastAsia="zh-CN"/>
              </w:rPr>
            </w:pPr>
            <w:r>
              <w:rPr>
                <w:rFonts w:hint="eastAsia" w:ascii="宋体" w:hAnsi="宋体" w:eastAsia="宋体" w:cs="宋体"/>
                <w:szCs w:val="21"/>
                <w:lang w:val="en-US" w:eastAsia="zh-CN"/>
              </w:rPr>
              <w:t>（6）对对方提供的技术情报、资料数据及商业秘密保密。未经对方同意，任何一方不得以任何形式向第三方泄露本项目资料或在项目中接触到的资料，不得将其用于履行本合同之外的其他用途。</w:t>
            </w:r>
          </w:p>
        </w:tc>
        <w:tc>
          <w:tcPr>
            <w:tcW w:w="0" w:type="auto"/>
            <w:gridSpan w:val="3"/>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color w:val="000000"/>
                <w:szCs w:val="21"/>
              </w:rPr>
            </w:pPr>
            <w:r>
              <w:rPr>
                <w:rFonts w:hint="eastAsia" w:ascii="宋体" w:hAnsi="宋体" w:eastAsia="宋体" w:cs="宋体"/>
                <w:color w:val="000000"/>
                <w:szCs w:val="21"/>
              </w:rPr>
              <w:t>是</w:t>
            </w:r>
          </w:p>
        </w:tc>
        <w:tc>
          <w:tcPr>
            <w:tcW w:w="0" w:type="auto"/>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color w:val="000000"/>
                <w:szCs w:val="21"/>
              </w:rPr>
            </w:pPr>
            <w:r>
              <w:rPr>
                <w:rFonts w:hint="eastAsia" w:ascii="宋体" w:hAnsi="宋体" w:eastAsia="宋体" w:cs="宋体"/>
                <w:color w:val="000000"/>
                <w:szCs w:val="21"/>
              </w:rPr>
              <w:t>否</w:t>
            </w:r>
          </w:p>
        </w:tc>
        <w:tc>
          <w:tcPr>
            <w:tcW w:w="0" w:type="auto"/>
            <w:tcBorders>
              <w:top w:val="single" w:color="auto" w:sz="4" w:space="0"/>
              <w:left w:val="nil"/>
              <w:bottom w:val="single" w:color="auto" w:sz="4" w:space="0"/>
              <w:right w:val="single" w:color="000000" w:sz="8" w:space="0"/>
            </w:tcBorders>
            <w:noWrap w:val="0"/>
            <w:vAlign w:val="center"/>
          </w:tcPr>
          <w:p>
            <w:pPr>
              <w:spacing w:line="260" w:lineRule="exact"/>
              <w:jc w:val="center"/>
              <w:rPr>
                <w:rFonts w:ascii="宋体" w:hAnsi="宋体" w:eastAsia="宋体" w:cs="宋体"/>
                <w:sz w:val="20"/>
              </w:rPr>
            </w:pPr>
            <w:r>
              <w:rPr>
                <w:rFonts w:hint="eastAsia" w:ascii="宋体" w:hAnsi="宋体" w:eastAsia="宋体" w:cs="宋体"/>
                <w:sz w:val="20"/>
              </w:rPr>
              <w:t>如有则直接评定为差</w:t>
            </w:r>
          </w:p>
        </w:tc>
      </w:tr>
      <w:tr>
        <w:tblPrEx>
          <w:tblCellMar>
            <w:top w:w="0" w:type="dxa"/>
            <w:left w:w="108" w:type="dxa"/>
            <w:bottom w:w="0" w:type="dxa"/>
            <w:right w:w="108" w:type="dxa"/>
          </w:tblCellMar>
        </w:tblPrEx>
        <w:trPr>
          <w:trHeight w:val="462" w:hRule="atLeast"/>
          <w:jc w:val="center"/>
        </w:trPr>
        <w:tc>
          <w:tcPr>
            <w:tcW w:w="0" w:type="auto"/>
            <w:tcBorders>
              <w:top w:val="nil"/>
              <w:left w:val="single" w:color="auto" w:sz="8" w:space="0"/>
              <w:bottom w:val="single" w:color="000000" w:sz="4" w:space="0"/>
              <w:right w:val="single" w:color="auto" w:sz="4" w:space="0"/>
            </w:tcBorders>
            <w:noWrap w:val="0"/>
            <w:vAlign w:val="center"/>
          </w:tcPr>
          <w:p>
            <w:pPr>
              <w:spacing w:line="260" w:lineRule="exact"/>
              <w:ind w:firstLine="360"/>
              <w:rPr>
                <w:rFonts w:ascii="黑体" w:hAnsi="宋体" w:eastAsia="黑体" w:cs="宋体"/>
                <w:sz w:val="24"/>
              </w:rPr>
            </w:pPr>
          </w:p>
        </w:tc>
        <w:tc>
          <w:tcPr>
            <w:tcW w:w="0" w:type="auto"/>
            <w:gridSpan w:val="9"/>
            <w:tcBorders>
              <w:top w:val="single" w:color="auto" w:sz="4" w:space="0"/>
              <w:left w:val="nil"/>
              <w:bottom w:val="single" w:color="auto" w:sz="4" w:space="0"/>
              <w:right w:val="single" w:color="000000" w:sz="8" w:space="0"/>
            </w:tcBorders>
            <w:noWrap w:val="0"/>
            <w:vAlign w:val="center"/>
          </w:tcPr>
          <w:p>
            <w:pPr>
              <w:spacing w:line="260" w:lineRule="exact"/>
              <w:jc w:val="center"/>
              <w:rPr>
                <w:rFonts w:ascii="宋体" w:hAnsi="宋体" w:eastAsia="宋体" w:cs="宋体"/>
                <w:sz w:val="24"/>
              </w:rPr>
            </w:pPr>
            <w:r>
              <w:rPr>
                <w:rFonts w:hint="eastAsia" w:ascii="宋体" w:hAnsi="宋体" w:eastAsia="宋体" w:cs="宋体"/>
                <w:sz w:val="24"/>
              </w:rPr>
              <w:t>合计得分：</w:t>
            </w:r>
          </w:p>
        </w:tc>
      </w:tr>
      <w:tr>
        <w:tblPrEx>
          <w:tblCellMar>
            <w:top w:w="0" w:type="dxa"/>
            <w:left w:w="108" w:type="dxa"/>
            <w:bottom w:w="0" w:type="dxa"/>
            <w:right w:w="108" w:type="dxa"/>
          </w:tblCellMar>
        </w:tblPrEx>
        <w:trPr>
          <w:trHeight w:val="530" w:hRule="atLeast"/>
          <w:jc w:val="center"/>
        </w:trPr>
        <w:tc>
          <w:tcPr>
            <w:tcW w:w="0" w:type="auto"/>
            <w:gridSpan w:val="2"/>
            <w:vMerge w:val="restart"/>
            <w:tcBorders>
              <w:top w:val="single" w:color="auto" w:sz="8" w:space="0"/>
              <w:left w:val="single" w:color="auto" w:sz="8" w:space="0"/>
              <w:bottom w:val="single" w:color="000000" w:sz="8" w:space="0"/>
              <w:right w:val="single" w:color="000000" w:sz="8" w:space="0"/>
            </w:tcBorders>
            <w:noWrap w:val="0"/>
            <w:vAlign w:val="center"/>
          </w:tcPr>
          <w:p>
            <w:pPr>
              <w:jc w:val="center"/>
              <w:rPr>
                <w:rFonts w:ascii="黑体" w:hAnsi="宋体" w:eastAsia="黑体" w:cs="宋体"/>
                <w:sz w:val="24"/>
              </w:rPr>
            </w:pPr>
            <w:r>
              <w:rPr>
                <w:rFonts w:hint="eastAsia" w:ascii="黑体" w:hAnsi="宋体" w:eastAsia="黑体" w:cs="宋体"/>
                <w:sz w:val="24"/>
              </w:rPr>
              <w:t>评价档次</w:t>
            </w:r>
          </w:p>
        </w:tc>
        <w:tc>
          <w:tcPr>
            <w:tcW w:w="0" w:type="auto"/>
            <w:tcBorders>
              <w:top w:val="single" w:color="auto" w:sz="8" w:space="0"/>
              <w:left w:val="nil"/>
              <w:bottom w:val="single" w:color="auto" w:sz="8" w:space="0"/>
              <w:right w:val="single" w:color="000000" w:sz="8" w:space="0"/>
            </w:tcBorders>
            <w:noWrap w:val="0"/>
            <w:vAlign w:val="center"/>
          </w:tcPr>
          <w:p>
            <w:pPr>
              <w:jc w:val="center"/>
              <w:rPr>
                <w:rFonts w:ascii="宋体" w:hAnsi="宋体" w:eastAsia="宋体" w:cs="宋体"/>
                <w:szCs w:val="21"/>
              </w:rPr>
            </w:pPr>
            <w:r>
              <w:rPr>
                <w:rFonts w:hint="eastAsia" w:ascii="宋体" w:hAnsi="宋体" w:eastAsia="宋体" w:cs="宋体"/>
                <w:szCs w:val="21"/>
              </w:rPr>
              <w:t>优秀（</w:t>
            </w:r>
            <w:r>
              <w:rPr>
                <w:rFonts w:ascii="宋体" w:hAnsi="宋体" w:eastAsia="宋体"/>
                <w:color w:val="767171"/>
                <w:szCs w:val="21"/>
              </w:rPr>
              <w:t>≥</w:t>
            </w:r>
            <w:r>
              <w:rPr>
                <w:rFonts w:hint="eastAsia" w:ascii="宋体" w:hAnsi="宋体" w:eastAsia="宋体" w:cs="宋体"/>
                <w:szCs w:val="21"/>
              </w:rPr>
              <w:t>90分）</w:t>
            </w:r>
          </w:p>
        </w:tc>
        <w:tc>
          <w:tcPr>
            <w:tcW w:w="0" w:type="auto"/>
            <w:tcBorders>
              <w:top w:val="single" w:color="auto" w:sz="8" w:space="0"/>
              <w:left w:val="nil"/>
              <w:bottom w:val="single" w:color="auto" w:sz="8" w:space="0"/>
              <w:right w:val="single" w:color="000000" w:sz="8" w:space="0"/>
            </w:tcBorders>
            <w:noWrap w:val="0"/>
            <w:vAlign w:val="center"/>
          </w:tcPr>
          <w:p>
            <w:pPr>
              <w:jc w:val="center"/>
              <w:rPr>
                <w:rFonts w:ascii="宋体" w:hAnsi="宋体" w:eastAsia="宋体" w:cs="宋体"/>
                <w:szCs w:val="21"/>
              </w:rPr>
            </w:pPr>
            <w:r>
              <w:rPr>
                <w:rFonts w:hint="eastAsia" w:ascii="宋体" w:hAnsi="宋体" w:eastAsia="宋体" w:cs="宋体"/>
                <w:szCs w:val="21"/>
              </w:rPr>
              <w:t>良好（</w:t>
            </w:r>
            <w:r>
              <w:rPr>
                <w:rFonts w:hint="eastAsia" w:ascii="宋体" w:hAnsi="宋体" w:eastAsia="宋体"/>
                <w:color w:val="767171"/>
                <w:szCs w:val="21"/>
              </w:rPr>
              <w:t>90&gt;X</w:t>
            </w:r>
            <w:r>
              <w:rPr>
                <w:rFonts w:ascii="宋体" w:hAnsi="宋体" w:eastAsia="宋体"/>
                <w:color w:val="767171"/>
                <w:szCs w:val="21"/>
              </w:rPr>
              <w:t>≥80</w:t>
            </w:r>
            <w:r>
              <w:rPr>
                <w:rFonts w:hint="eastAsia" w:ascii="宋体" w:hAnsi="宋体" w:eastAsia="宋体" w:cs="宋体"/>
                <w:szCs w:val="21"/>
              </w:rPr>
              <w:t>）</w:t>
            </w:r>
          </w:p>
        </w:tc>
        <w:tc>
          <w:tcPr>
            <w:tcW w:w="0" w:type="auto"/>
            <w:gridSpan w:val="3"/>
            <w:tcBorders>
              <w:top w:val="single" w:color="auto" w:sz="8" w:space="0"/>
              <w:left w:val="nil"/>
              <w:bottom w:val="single" w:color="auto" w:sz="8" w:space="0"/>
              <w:right w:val="single" w:color="auto" w:sz="8" w:space="0"/>
            </w:tcBorders>
            <w:noWrap w:val="0"/>
            <w:vAlign w:val="center"/>
          </w:tcPr>
          <w:p>
            <w:pPr>
              <w:ind w:firstLine="360"/>
              <w:jc w:val="center"/>
              <w:rPr>
                <w:rFonts w:ascii="宋体" w:hAnsi="宋体" w:eastAsia="宋体" w:cs="宋体"/>
                <w:szCs w:val="21"/>
              </w:rPr>
            </w:pPr>
            <w:r>
              <w:rPr>
                <w:rFonts w:hint="eastAsia" w:ascii="宋体" w:hAnsi="宋体" w:eastAsia="宋体" w:cs="宋体"/>
                <w:szCs w:val="21"/>
              </w:rPr>
              <w:t>合格（</w:t>
            </w:r>
            <w:r>
              <w:rPr>
                <w:rFonts w:hint="eastAsia" w:ascii="宋体" w:hAnsi="宋体" w:eastAsia="宋体"/>
                <w:color w:val="767171"/>
                <w:szCs w:val="21"/>
              </w:rPr>
              <w:t>80&gt;</w:t>
            </w:r>
            <w:r>
              <w:rPr>
                <w:rFonts w:ascii="宋体" w:hAnsi="宋体" w:eastAsia="宋体"/>
                <w:color w:val="767171"/>
                <w:szCs w:val="21"/>
              </w:rPr>
              <w:t>X≥6</w:t>
            </w:r>
            <w:r>
              <w:rPr>
                <w:rFonts w:hint="eastAsia" w:ascii="宋体" w:hAnsi="宋体" w:eastAsia="宋体"/>
                <w:color w:val="767171"/>
                <w:szCs w:val="21"/>
              </w:rPr>
              <w:t>0</w:t>
            </w:r>
            <w:r>
              <w:rPr>
                <w:rFonts w:hint="eastAsia" w:ascii="宋体" w:hAnsi="宋体" w:eastAsia="宋体" w:cs="宋体"/>
                <w:szCs w:val="21"/>
              </w:rPr>
              <w:t>）</w:t>
            </w:r>
          </w:p>
        </w:tc>
        <w:tc>
          <w:tcPr>
            <w:tcW w:w="0" w:type="auto"/>
            <w:gridSpan w:val="3"/>
            <w:tcBorders>
              <w:top w:val="single" w:color="auto" w:sz="8" w:space="0"/>
              <w:left w:val="nil"/>
              <w:bottom w:val="single" w:color="auto" w:sz="8" w:space="0"/>
              <w:right w:val="single" w:color="auto" w:sz="8" w:space="0"/>
            </w:tcBorders>
            <w:noWrap w:val="0"/>
            <w:vAlign w:val="center"/>
          </w:tcPr>
          <w:p>
            <w:pPr>
              <w:ind w:firstLine="360"/>
              <w:jc w:val="center"/>
              <w:rPr>
                <w:rFonts w:ascii="宋体" w:hAnsi="宋体" w:eastAsia="宋体" w:cs="宋体"/>
                <w:szCs w:val="21"/>
              </w:rPr>
            </w:pPr>
            <w:r>
              <w:rPr>
                <w:rFonts w:hint="eastAsia" w:ascii="宋体" w:hAnsi="宋体" w:eastAsia="宋体" w:cs="宋体"/>
                <w:szCs w:val="21"/>
              </w:rPr>
              <w:t>不合格（</w:t>
            </w:r>
            <w:r>
              <w:rPr>
                <w:rFonts w:ascii="宋体" w:hAnsi="宋体" w:eastAsia="宋体" w:cs="宋体"/>
                <w:szCs w:val="21"/>
              </w:rPr>
              <w:t>＜60</w:t>
            </w:r>
            <w:r>
              <w:rPr>
                <w:rFonts w:hint="eastAsia" w:ascii="宋体" w:hAnsi="宋体" w:eastAsia="宋体" w:cs="宋体"/>
                <w:szCs w:val="21"/>
              </w:rPr>
              <w:t>分）</w:t>
            </w:r>
          </w:p>
        </w:tc>
      </w:tr>
      <w:tr>
        <w:tblPrEx>
          <w:tblCellMar>
            <w:top w:w="0" w:type="dxa"/>
            <w:left w:w="108" w:type="dxa"/>
            <w:bottom w:w="0" w:type="dxa"/>
            <w:right w:w="108" w:type="dxa"/>
          </w:tblCellMar>
        </w:tblPrEx>
        <w:trPr>
          <w:trHeight w:val="566" w:hRule="atLeast"/>
          <w:jc w:val="center"/>
        </w:trPr>
        <w:tc>
          <w:tcPr>
            <w:tcW w:w="0" w:type="auto"/>
            <w:gridSpan w:val="2"/>
            <w:vMerge w:val="continue"/>
            <w:tcBorders>
              <w:top w:val="single" w:color="auto" w:sz="8" w:space="0"/>
              <w:left w:val="single" w:color="auto" w:sz="8" w:space="0"/>
              <w:bottom w:val="single" w:color="auto" w:sz="12" w:space="0"/>
              <w:right w:val="single" w:color="000000" w:sz="8" w:space="0"/>
            </w:tcBorders>
            <w:noWrap w:val="0"/>
            <w:vAlign w:val="center"/>
          </w:tcPr>
          <w:p>
            <w:pPr>
              <w:widowControl/>
              <w:jc w:val="left"/>
              <w:rPr>
                <w:rFonts w:ascii="黑体" w:hAnsi="宋体" w:eastAsia="黑体" w:cs="宋体"/>
                <w:sz w:val="24"/>
              </w:rPr>
            </w:pPr>
          </w:p>
        </w:tc>
        <w:tc>
          <w:tcPr>
            <w:tcW w:w="0" w:type="auto"/>
            <w:tcBorders>
              <w:top w:val="nil"/>
              <w:left w:val="nil"/>
              <w:bottom w:val="single" w:color="auto" w:sz="12" w:space="0"/>
              <w:right w:val="single" w:color="000000" w:sz="8" w:space="0"/>
            </w:tcBorders>
            <w:noWrap w:val="0"/>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0" w:type="auto"/>
            <w:tcBorders>
              <w:top w:val="single" w:color="auto" w:sz="8" w:space="0"/>
              <w:left w:val="nil"/>
              <w:bottom w:val="single" w:color="auto" w:sz="12" w:space="0"/>
              <w:right w:val="single" w:color="000000" w:sz="8" w:space="0"/>
            </w:tcBorders>
            <w:noWrap w:val="0"/>
            <w:vAlign w:val="center"/>
          </w:tcPr>
          <w:p>
            <w:pPr>
              <w:ind w:firstLine="360"/>
              <w:jc w:val="center"/>
              <w:rPr>
                <w:rFonts w:eastAsia="宋体"/>
                <w:szCs w:val="21"/>
              </w:rPr>
            </w:pPr>
          </w:p>
        </w:tc>
        <w:tc>
          <w:tcPr>
            <w:tcW w:w="0" w:type="auto"/>
            <w:gridSpan w:val="3"/>
            <w:tcBorders>
              <w:top w:val="single" w:color="auto" w:sz="8" w:space="0"/>
              <w:left w:val="nil"/>
              <w:bottom w:val="single" w:color="auto" w:sz="12" w:space="0"/>
              <w:right w:val="single" w:color="auto" w:sz="8" w:space="0"/>
            </w:tcBorders>
            <w:noWrap w:val="0"/>
            <w:vAlign w:val="center"/>
          </w:tcPr>
          <w:p>
            <w:pPr>
              <w:ind w:firstLine="360"/>
              <w:jc w:val="center"/>
              <w:rPr>
                <w:rFonts w:eastAsia="宋体"/>
                <w:szCs w:val="21"/>
              </w:rPr>
            </w:pPr>
            <w:r>
              <w:rPr>
                <w:rFonts w:hint="eastAsia" w:eastAsia="宋体"/>
                <w:szCs w:val="21"/>
              </w:rPr>
              <w:t>　</w:t>
            </w:r>
          </w:p>
        </w:tc>
        <w:tc>
          <w:tcPr>
            <w:tcW w:w="0" w:type="auto"/>
            <w:gridSpan w:val="3"/>
            <w:tcBorders>
              <w:top w:val="single" w:color="auto" w:sz="8" w:space="0"/>
              <w:left w:val="nil"/>
              <w:bottom w:val="single" w:color="auto" w:sz="12" w:space="0"/>
              <w:right w:val="single" w:color="auto" w:sz="8" w:space="0"/>
            </w:tcBorders>
            <w:noWrap w:val="0"/>
            <w:vAlign w:val="center"/>
          </w:tcPr>
          <w:p>
            <w:pPr>
              <w:ind w:firstLine="360"/>
              <w:jc w:val="center"/>
              <w:rPr>
                <w:rFonts w:eastAsia="宋体"/>
                <w:szCs w:val="21"/>
              </w:rPr>
            </w:pPr>
            <w:r>
              <w:rPr>
                <w:rFonts w:hint="eastAsia" w:eastAsia="宋体"/>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26" w:hRule="atLeast"/>
          <w:jc w:val="center"/>
        </w:trPr>
        <w:tc>
          <w:tcPr>
            <w:tcW w:w="0" w:type="auto"/>
            <w:gridSpan w:val="10"/>
            <w:tcBorders>
              <w:top w:val="single" w:color="auto" w:sz="12" w:space="0"/>
              <w:bottom w:val="single" w:color="auto" w:sz="12" w:space="0"/>
            </w:tcBorders>
            <w:shd w:val="clear" w:color="auto" w:fill="D9D9D9"/>
            <w:noWrap w:val="0"/>
            <w:vAlign w:val="center"/>
          </w:tcPr>
          <w:p>
            <w:pPr>
              <w:spacing w:line="240" w:lineRule="atLeast"/>
              <w:jc w:val="left"/>
              <w:rPr>
                <w:rFonts w:ascii="宋体" w:hAnsi="宋体" w:eastAsia="宋体"/>
                <w:b/>
                <w:bCs/>
                <w:szCs w:val="21"/>
              </w:rPr>
            </w:pPr>
            <w:r>
              <w:rPr>
                <w:rFonts w:ascii="宋体" w:hAnsi="宋体" w:eastAsia="宋体"/>
                <w:b/>
                <w:bCs/>
                <w:szCs w:val="21"/>
              </w:rPr>
              <w:t>补充评价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471" w:hRule="atLeast"/>
          <w:jc w:val="center"/>
        </w:trPr>
        <w:tc>
          <w:tcPr>
            <w:tcW w:w="0" w:type="auto"/>
            <w:gridSpan w:val="2"/>
            <w:tcBorders>
              <w:top w:val="single" w:color="auto" w:sz="12" w:space="0"/>
              <w:bottom w:val="single" w:color="auto" w:sz="12" w:space="0"/>
            </w:tcBorders>
            <w:noWrap w:val="0"/>
            <w:vAlign w:val="center"/>
          </w:tcPr>
          <w:p>
            <w:pPr>
              <w:spacing w:line="240" w:lineRule="atLeast"/>
              <w:rPr>
                <w:rFonts w:hint="eastAsia" w:ascii="宋体" w:hAnsi="宋体" w:eastAsia="宋体"/>
                <w:szCs w:val="21"/>
              </w:rPr>
            </w:pPr>
            <w:r>
              <w:rPr>
                <w:rFonts w:hint="eastAsia" w:ascii="宋体" w:hAnsi="宋体" w:eastAsia="宋体"/>
                <w:szCs w:val="21"/>
              </w:rPr>
              <w:t>其他补充评价</w:t>
            </w:r>
          </w:p>
        </w:tc>
        <w:tc>
          <w:tcPr>
            <w:tcW w:w="0" w:type="auto"/>
            <w:gridSpan w:val="8"/>
            <w:tcBorders>
              <w:top w:val="single" w:color="auto" w:sz="12" w:space="0"/>
              <w:bottom w:val="single" w:color="auto" w:sz="12" w:space="0"/>
            </w:tcBorders>
            <w:noWrap w:val="0"/>
            <w:vAlign w:val="center"/>
          </w:tcPr>
          <w:p>
            <w:pPr>
              <w:tabs>
                <w:tab w:val="left" w:pos="1695"/>
              </w:tabs>
              <w:spacing w:line="240" w:lineRule="atLeast"/>
              <w:jc w:val="center"/>
              <w:rPr>
                <w:rFonts w:ascii="宋体" w:hAnsi="宋体" w:eastAsia="宋体"/>
                <w:bCs/>
                <w:szCs w:val="21"/>
              </w:rPr>
            </w:pPr>
            <w:r>
              <w:rPr>
                <w:rFonts w:hint="eastAsia" w:ascii="宋体" w:hAnsi="宋体" w:eastAsia="宋体"/>
                <w:color w:val="767171"/>
                <w:szCs w:val="21"/>
              </w:rPr>
              <w:t>（如有，请填写）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13" w:hRule="atLeast"/>
          <w:jc w:val="center"/>
        </w:trPr>
        <w:tc>
          <w:tcPr>
            <w:tcW w:w="0" w:type="auto"/>
            <w:gridSpan w:val="10"/>
            <w:tcBorders>
              <w:top w:val="single" w:color="auto" w:sz="12" w:space="0"/>
              <w:bottom w:val="single" w:color="auto" w:sz="12" w:space="0"/>
            </w:tcBorders>
            <w:shd w:val="clear" w:color="auto" w:fill="D9D9D9"/>
            <w:noWrap w:val="0"/>
            <w:vAlign w:val="center"/>
          </w:tcPr>
          <w:p>
            <w:pPr>
              <w:spacing w:line="240" w:lineRule="atLeast"/>
              <w:jc w:val="left"/>
              <w:rPr>
                <w:rFonts w:ascii="宋体" w:hAnsi="宋体" w:eastAsia="宋体"/>
                <w:b/>
                <w:bCs/>
                <w:szCs w:val="21"/>
              </w:rPr>
            </w:pPr>
            <w:r>
              <w:rPr>
                <w:rFonts w:hint="eastAsia" w:ascii="宋体" w:hAnsi="宋体" w:eastAsia="宋体"/>
                <w:b/>
                <w:bCs/>
                <w:szCs w:val="21"/>
              </w:rPr>
              <w:t>综合评价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055" w:hRule="atLeast"/>
          <w:jc w:val="center"/>
        </w:trPr>
        <w:tc>
          <w:tcPr>
            <w:tcW w:w="0" w:type="auto"/>
            <w:gridSpan w:val="2"/>
            <w:tcBorders>
              <w:top w:val="single" w:color="auto" w:sz="12" w:space="0"/>
              <w:bottom w:val="double" w:color="auto" w:sz="4" w:space="0"/>
            </w:tcBorders>
            <w:noWrap w:val="0"/>
            <w:vAlign w:val="center"/>
          </w:tcPr>
          <w:p>
            <w:pPr>
              <w:spacing w:line="240" w:lineRule="atLeast"/>
              <w:rPr>
                <w:rFonts w:hint="eastAsia" w:ascii="宋体" w:hAnsi="宋体" w:eastAsia="宋体"/>
                <w:szCs w:val="21"/>
              </w:rPr>
            </w:pPr>
            <w:r>
              <w:rPr>
                <w:rFonts w:hint="eastAsia" w:ascii="宋体" w:hAnsi="宋体" w:eastAsia="宋体"/>
                <w:szCs w:val="21"/>
              </w:rPr>
              <w:t>评价结论</w:t>
            </w:r>
          </w:p>
        </w:tc>
        <w:tc>
          <w:tcPr>
            <w:tcW w:w="0" w:type="auto"/>
            <w:gridSpan w:val="8"/>
            <w:tcBorders>
              <w:top w:val="single" w:color="auto" w:sz="12" w:space="0"/>
              <w:bottom w:val="double" w:color="auto" w:sz="4" w:space="0"/>
            </w:tcBorders>
            <w:noWrap w:val="0"/>
            <w:vAlign w:val="center"/>
          </w:tcPr>
          <w:p>
            <w:pPr>
              <w:spacing w:line="240" w:lineRule="atLeast"/>
              <w:jc w:val="left"/>
              <w:rPr>
                <w:rFonts w:ascii="宋体" w:hAnsi="宋体" w:eastAsia="宋体"/>
                <w:bCs/>
                <w:szCs w:val="21"/>
              </w:rPr>
            </w:pPr>
            <w:r>
              <w:rPr>
                <w:rFonts w:hint="eastAsia" w:ascii="宋体" w:hAnsi="宋体" w:eastAsia="宋体"/>
                <w:bCs/>
                <w:szCs w:val="21"/>
              </w:rPr>
              <w:t>总体评价意见：</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240" w:lineRule="atLeast"/>
              <w:jc w:val="left"/>
              <w:rPr>
                <w:rFonts w:hint="eastAsia" w:ascii="宋体" w:hAnsi="宋体" w:eastAsia="宋体"/>
                <w:bCs/>
                <w:szCs w:val="21"/>
              </w:rPr>
            </w:pPr>
          </w:p>
          <w:p>
            <w:pPr>
              <w:spacing w:line="240" w:lineRule="atLeast"/>
              <w:jc w:val="left"/>
              <w:rPr>
                <w:rFonts w:ascii="宋体" w:hAnsi="宋体" w:eastAsia="宋体"/>
                <w:bCs/>
                <w:szCs w:val="21"/>
              </w:rPr>
            </w:pPr>
            <w:r>
              <w:rPr>
                <w:rFonts w:hint="eastAsia" w:ascii="宋体" w:hAnsi="宋体" w:eastAsia="宋体"/>
                <w:bCs/>
                <w:szCs w:val="21"/>
              </w:rPr>
              <w:t>评估成为本单位：□ 推荐</w:t>
            </w:r>
            <w:r>
              <w:rPr>
                <w:rFonts w:ascii="宋体" w:hAnsi="宋体" w:eastAsia="宋体"/>
                <w:bCs/>
                <w:szCs w:val="21"/>
              </w:rPr>
              <w:t>服务机构</w:t>
            </w:r>
            <w:r>
              <w:rPr>
                <w:rFonts w:hint="eastAsia" w:ascii="宋体" w:hAnsi="宋体" w:eastAsia="宋体"/>
                <w:bCs/>
                <w:szCs w:val="21"/>
              </w:rPr>
              <w:t xml:space="preserve"> </w:t>
            </w:r>
            <w:r>
              <w:rPr>
                <w:rFonts w:ascii="宋体" w:hAnsi="宋体" w:eastAsia="宋体"/>
                <w:bCs/>
                <w:szCs w:val="21"/>
              </w:rPr>
              <w:t xml:space="preserve"> </w:t>
            </w:r>
            <w:r>
              <w:rPr>
                <w:rFonts w:hint="eastAsia" w:ascii="宋体" w:hAnsi="宋体" w:eastAsia="宋体"/>
                <w:bCs/>
                <w:szCs w:val="21"/>
              </w:rPr>
              <w:t>□ 不合格服务机构</w:t>
            </w:r>
          </w:p>
          <w:p>
            <w:pPr>
              <w:spacing w:line="240" w:lineRule="atLeast"/>
              <w:jc w:val="left"/>
              <w:rPr>
                <w:rFonts w:ascii="宋体" w:hAnsi="宋体" w:eastAsia="宋体"/>
                <w:szCs w:val="21"/>
                <w:u w:val="single"/>
              </w:rPr>
            </w:pPr>
            <w:r>
              <w:rPr>
                <w:rFonts w:hint="eastAsia" w:ascii="宋体" w:hAnsi="宋体" w:eastAsia="宋体"/>
                <w:bCs/>
                <w:szCs w:val="21"/>
              </w:rPr>
              <w:t>项目负责人签字（单位签章</w:t>
            </w:r>
            <w:r>
              <w:rPr>
                <w:rFonts w:ascii="宋体" w:hAnsi="宋体" w:eastAsia="宋体"/>
                <w:bCs/>
                <w:szCs w:val="21"/>
              </w:rPr>
              <w:t>）</w:t>
            </w:r>
            <w:r>
              <w:rPr>
                <w:rFonts w:hint="eastAsia" w:ascii="宋体" w:hAnsi="宋体" w:eastAsia="宋体"/>
                <w:bCs/>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tabs>
                <w:tab w:val="center" w:pos="3817"/>
              </w:tabs>
              <w:spacing w:line="240" w:lineRule="atLeast"/>
              <w:jc w:val="left"/>
              <w:rPr>
                <w:rFonts w:hint="eastAsia" w:ascii="宋体" w:hAnsi="宋体" w:eastAsia="宋体"/>
                <w:bCs/>
                <w:szCs w:val="21"/>
              </w:rPr>
            </w:pPr>
            <w:r>
              <w:rPr>
                <w:rFonts w:hint="eastAsia" w:ascii="宋体" w:hAnsi="宋体" w:eastAsia="宋体"/>
                <w:szCs w:val="21"/>
              </w:rPr>
              <w:t>日期：        年    月     日</w:t>
            </w:r>
          </w:p>
        </w:tc>
      </w:tr>
    </w:tbl>
    <w:p>
      <w:pPr>
        <w:tabs>
          <w:tab w:val="left" w:pos="1644"/>
        </w:tabs>
        <w:rPr>
          <w:rFonts w:ascii="宋体" w:hAnsi="宋体" w:eastAsia="宋体" w:cs="宋体"/>
          <w:sz w:val="24"/>
        </w:rPr>
      </w:pPr>
    </w:p>
    <w:p>
      <w:pPr>
        <w:rPr>
          <w:rFonts w:eastAsia="宋体"/>
        </w:rPr>
      </w:pPr>
    </w:p>
    <w:p>
      <w:pPr>
        <w:pStyle w:val="13"/>
      </w:pPr>
    </w:p>
    <w:p>
      <w:pPr>
        <w:spacing w:line="44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服务机构履约评价表</w:t>
      </w:r>
    </w:p>
    <w:p>
      <w:pPr>
        <w:spacing w:line="560" w:lineRule="exact"/>
        <w:jc w:val="center"/>
        <w:rPr>
          <w:rFonts w:hint="eastAsia" w:ascii="黑体" w:hAnsi="黑体" w:eastAsia="黑体" w:cs="黑体"/>
          <w:spacing w:val="-6"/>
          <w:sz w:val="30"/>
          <w:szCs w:val="30"/>
        </w:rPr>
      </w:pPr>
      <w:r>
        <w:rPr>
          <w:rFonts w:hint="eastAsia" w:ascii="黑体" w:hAnsi="黑体" w:eastAsia="黑体" w:cs="黑体"/>
          <w:spacing w:val="-6"/>
          <w:sz w:val="30"/>
          <w:szCs w:val="30"/>
        </w:rPr>
        <w:t>（服务类适用）</w:t>
      </w:r>
    </w:p>
    <w:p>
      <w:pPr>
        <w:jc w:val="center"/>
        <w:rPr>
          <w:rFonts w:ascii="宋体" w:hAnsi="宋体" w:eastAsia="宋体" w:cs="宋体"/>
          <w:b/>
          <w:kern w:val="0"/>
          <w:sz w:val="15"/>
          <w:szCs w:val="32"/>
        </w:rPr>
      </w:pPr>
    </w:p>
    <w:tbl>
      <w:tblPr>
        <w:tblStyle w:val="17"/>
        <w:tblW w:w="0" w:type="auto"/>
        <w:jc w:val="center"/>
        <w:tblLayout w:type="autofit"/>
        <w:tblCellMar>
          <w:top w:w="0" w:type="dxa"/>
          <w:left w:w="108" w:type="dxa"/>
          <w:bottom w:w="0" w:type="dxa"/>
          <w:right w:w="108" w:type="dxa"/>
        </w:tblCellMar>
      </w:tblPr>
      <w:tblGrid>
        <w:gridCol w:w="881"/>
        <w:gridCol w:w="507"/>
        <w:gridCol w:w="934"/>
        <w:gridCol w:w="2856"/>
        <w:gridCol w:w="1313"/>
        <w:gridCol w:w="142"/>
        <w:gridCol w:w="142"/>
        <w:gridCol w:w="142"/>
        <w:gridCol w:w="886"/>
        <w:gridCol w:w="719"/>
      </w:tblGrid>
      <w:tr>
        <w:tblPrEx>
          <w:tblCellMar>
            <w:top w:w="0" w:type="dxa"/>
            <w:left w:w="108" w:type="dxa"/>
            <w:bottom w:w="0" w:type="dxa"/>
            <w:right w:w="108" w:type="dxa"/>
          </w:tblCellMar>
        </w:tblPrEx>
        <w:trPr>
          <w:trHeight w:val="336" w:hRule="atLeast"/>
          <w:jc w:val="center"/>
        </w:trPr>
        <w:tc>
          <w:tcPr>
            <w:tcW w:w="0" w:type="auto"/>
            <w:gridSpan w:val="10"/>
            <w:tcBorders>
              <w:top w:val="single" w:color="auto" w:sz="8" w:space="0"/>
              <w:left w:val="single" w:color="auto" w:sz="8" w:space="0"/>
              <w:bottom w:val="single" w:color="auto" w:sz="8" w:space="0"/>
              <w:right w:val="single" w:color="000000" w:sz="8" w:space="0"/>
            </w:tcBorders>
            <w:shd w:val="clear" w:color="auto" w:fill="D9D9D9"/>
            <w:noWrap w:val="0"/>
            <w:vAlign w:val="center"/>
          </w:tcPr>
          <w:p>
            <w:pPr>
              <w:spacing w:line="240" w:lineRule="atLeast"/>
              <w:rPr>
                <w:rFonts w:ascii="宋体" w:hAnsi="宋体" w:eastAsia="宋体"/>
                <w:b/>
                <w:szCs w:val="21"/>
              </w:rPr>
            </w:pPr>
            <w:r>
              <w:rPr>
                <w:rFonts w:hint="eastAsia" w:ascii="宋体" w:hAnsi="宋体" w:eastAsia="宋体"/>
                <w:b/>
                <w:szCs w:val="21"/>
              </w:rPr>
              <w:t>基本信息</w:t>
            </w: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黑体" w:hAnsi="宋体" w:eastAsia="黑体" w:cs="宋体"/>
                <w:sz w:val="24"/>
              </w:rPr>
            </w:pPr>
            <w:r>
              <w:rPr>
                <w:rFonts w:hint="eastAsia" w:ascii="宋体" w:hAnsi="宋体" w:eastAsia="宋体"/>
                <w:szCs w:val="21"/>
              </w:rPr>
              <w:t>服务机构名称</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rPr>
                <w:rFonts w:ascii="黑体" w:hAnsi="宋体" w:eastAsia="黑体" w:cs="宋体"/>
                <w:sz w:val="24"/>
              </w:rPr>
            </w:pP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黑体" w:hAnsi="宋体" w:eastAsia="黑体" w:cs="宋体"/>
                <w:sz w:val="24"/>
              </w:rPr>
            </w:pPr>
            <w:r>
              <w:rPr>
                <w:rFonts w:hint="eastAsia" w:ascii="宋体" w:hAnsi="宋体" w:eastAsia="宋体"/>
                <w:szCs w:val="21"/>
              </w:rPr>
              <w:t>中标时间</w:t>
            </w:r>
          </w:p>
        </w:tc>
        <w:tc>
          <w:tcPr>
            <w:tcW w:w="0" w:type="auto"/>
            <w:gridSpan w:val="4"/>
            <w:tcBorders>
              <w:top w:val="single" w:color="auto" w:sz="8" w:space="0"/>
              <w:left w:val="single" w:color="auto" w:sz="8" w:space="0"/>
              <w:bottom w:val="single" w:color="auto" w:sz="8" w:space="0"/>
              <w:right w:val="single" w:color="000000" w:sz="8" w:space="0"/>
            </w:tcBorders>
            <w:noWrap w:val="0"/>
            <w:vAlign w:val="center"/>
          </w:tcPr>
          <w:p>
            <w:pPr>
              <w:rPr>
                <w:rFonts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ascii="宋体" w:hAnsi="宋体" w:eastAsia="宋体"/>
                <w:szCs w:val="21"/>
              </w:rPr>
              <w:t>合同名称</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rPr>
                <w:rFonts w:hint="eastAsia" w:ascii="黑体" w:hAnsi="宋体" w:eastAsia="黑体" w:cs="宋体"/>
                <w:sz w:val="24"/>
              </w:rPr>
            </w:pP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hint="eastAsia" w:ascii="宋体" w:hAnsi="宋体" w:eastAsia="宋体"/>
                <w:szCs w:val="21"/>
              </w:rPr>
              <w:t>合同签订时间</w:t>
            </w:r>
          </w:p>
        </w:tc>
        <w:tc>
          <w:tcPr>
            <w:tcW w:w="0" w:type="auto"/>
            <w:gridSpan w:val="4"/>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p>
        </w:tc>
      </w:tr>
      <w:tr>
        <w:tblPrEx>
          <w:tblCellMar>
            <w:top w:w="0" w:type="dxa"/>
            <w:left w:w="108" w:type="dxa"/>
            <w:bottom w:w="0" w:type="dxa"/>
            <w:right w:w="108" w:type="dxa"/>
          </w:tblCellMar>
        </w:tblPrEx>
        <w:trPr>
          <w:trHeight w:val="1662"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黑体" w:hAnsi="宋体" w:eastAsia="黑体" w:cs="宋体"/>
                <w:sz w:val="24"/>
              </w:rPr>
            </w:pPr>
            <w:r>
              <w:rPr>
                <w:rFonts w:hint="eastAsia" w:ascii="宋体" w:hAnsi="宋体" w:eastAsia="宋体"/>
                <w:szCs w:val="21"/>
              </w:rPr>
              <w:t>合同范围内容概要</w:t>
            </w:r>
          </w:p>
        </w:tc>
        <w:tc>
          <w:tcPr>
            <w:tcW w:w="0" w:type="auto"/>
            <w:gridSpan w:val="8"/>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lang w:val="en-US" w:eastAsia="zh-CN"/>
              </w:rPr>
            </w:pPr>
            <w:r>
              <w:rPr>
                <w:rFonts w:hint="eastAsia" w:ascii="黑体" w:hAnsi="宋体" w:eastAsia="黑体" w:cs="宋体"/>
                <w:sz w:val="24"/>
                <w:lang w:val="en-US" w:eastAsia="zh-CN"/>
              </w:rPr>
              <w:t>2024年（1）以“刊登在高交会官方网www.chtf.com‘亮点抢先看’栏目”作为文章被采用的标准，高交会至此拥有文章的发表及其他使用权。</w:t>
            </w:r>
          </w:p>
          <w:p>
            <w:pPr>
              <w:rPr>
                <w:rFonts w:hint="default" w:ascii="黑体" w:hAnsi="宋体" w:eastAsia="黑体" w:cs="宋体"/>
                <w:sz w:val="24"/>
                <w:lang w:val="en-US" w:eastAsia="zh-CN"/>
              </w:rPr>
            </w:pPr>
            <w:r>
              <w:rPr>
                <w:rFonts w:hint="eastAsia" w:ascii="黑体" w:hAnsi="宋体" w:eastAsia="黑体" w:cs="宋体"/>
                <w:sz w:val="24"/>
                <w:lang w:val="en-US" w:eastAsia="zh-CN"/>
              </w:rPr>
              <w:t>（2）保证每篇文章字数不少于500字，于合作期限内，撰写并被采用的文章总篇数共210篇。</w:t>
            </w: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宋体" w:hAnsi="宋体" w:eastAsia="宋体"/>
                <w:szCs w:val="21"/>
              </w:rPr>
            </w:pPr>
            <w:r>
              <w:rPr>
                <w:rFonts w:hint="eastAsia" w:ascii="宋体" w:hAnsi="宋体" w:eastAsia="宋体"/>
                <w:szCs w:val="21"/>
              </w:rPr>
              <w:t>服务机构项目组成员构成</w:t>
            </w:r>
          </w:p>
        </w:tc>
        <w:tc>
          <w:tcPr>
            <w:tcW w:w="0" w:type="auto"/>
            <w:gridSpan w:val="8"/>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宋体" w:hAnsi="宋体" w:eastAsia="宋体"/>
                <w:szCs w:val="21"/>
              </w:rPr>
            </w:pPr>
            <w:r>
              <w:rPr>
                <w:rFonts w:hint="eastAsia" w:ascii="宋体" w:hAnsi="宋体" w:eastAsia="宋体"/>
                <w:szCs w:val="21"/>
              </w:rPr>
              <w:t>合同金额</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rPr>
                <w:rFonts w:hint="eastAsia" w:ascii="黑体" w:hAnsi="宋体" w:eastAsia="黑体" w:cs="宋体"/>
                <w:sz w:val="24"/>
              </w:rPr>
            </w:pPr>
            <w:r>
              <w:rPr>
                <w:rFonts w:ascii="宋体" w:hAnsi="宋体" w:eastAsia="宋体"/>
                <w:szCs w:val="21"/>
              </w:rPr>
              <w:t>人民币</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万元</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hint="eastAsia" w:ascii="宋体" w:hAnsi="宋体" w:eastAsia="宋体"/>
                <w:szCs w:val="21"/>
              </w:rPr>
              <w:t>结算金额</w:t>
            </w:r>
          </w:p>
        </w:tc>
        <w:tc>
          <w:tcPr>
            <w:tcW w:w="0" w:type="auto"/>
            <w:gridSpan w:val="4"/>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r>
              <w:rPr>
                <w:rFonts w:ascii="宋体" w:hAnsi="宋体" w:eastAsia="宋体"/>
                <w:szCs w:val="21"/>
              </w:rPr>
              <w:t>人民币</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万元</w:t>
            </w:r>
          </w:p>
        </w:tc>
      </w:tr>
      <w:tr>
        <w:tblPrEx>
          <w:tblCellMar>
            <w:top w:w="0" w:type="dxa"/>
            <w:left w:w="108" w:type="dxa"/>
            <w:bottom w:w="0" w:type="dxa"/>
            <w:right w:w="108" w:type="dxa"/>
          </w:tblCellMar>
        </w:tblPrEx>
        <w:trPr>
          <w:trHeight w:val="556" w:hRule="atLeast"/>
          <w:jc w:val="center"/>
        </w:trPr>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tLeast"/>
              <w:jc w:val="center"/>
              <w:rPr>
                <w:rFonts w:hint="eastAsia" w:ascii="宋体" w:hAnsi="宋体" w:eastAsia="宋体"/>
                <w:szCs w:val="21"/>
              </w:rPr>
            </w:pPr>
            <w:r>
              <w:rPr>
                <w:rFonts w:hint="eastAsia" w:ascii="宋体" w:hAnsi="宋体" w:eastAsia="宋体"/>
                <w:szCs w:val="21"/>
              </w:rPr>
              <w:t>合同服务期</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rPr>
                <w:rFonts w:hint="eastAsia" w:ascii="黑体" w:hAnsi="宋体" w:eastAsia="黑体" w:cs="宋体"/>
                <w:sz w:val="24"/>
              </w:rPr>
            </w:pP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日历</w:t>
            </w:r>
            <w:r>
              <w:rPr>
                <w:rFonts w:ascii="宋体" w:hAnsi="宋体" w:eastAsia="宋体"/>
                <w:szCs w:val="21"/>
              </w:rPr>
              <w:t>日</w:t>
            </w:r>
          </w:p>
        </w:tc>
        <w:tc>
          <w:tcPr>
            <w:tcW w:w="0" w:type="auto"/>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宋体" w:eastAsia="黑体" w:cs="宋体"/>
                <w:sz w:val="24"/>
              </w:rPr>
            </w:pPr>
            <w:r>
              <w:rPr>
                <w:rFonts w:hint="eastAsia" w:ascii="宋体" w:hAnsi="宋体" w:eastAsia="宋体"/>
                <w:szCs w:val="21"/>
              </w:rPr>
              <w:t>验收时间</w:t>
            </w:r>
          </w:p>
        </w:tc>
        <w:tc>
          <w:tcPr>
            <w:tcW w:w="0" w:type="auto"/>
            <w:gridSpan w:val="4"/>
            <w:tcBorders>
              <w:top w:val="single" w:color="auto" w:sz="8" w:space="0"/>
              <w:left w:val="single" w:color="auto" w:sz="8" w:space="0"/>
              <w:bottom w:val="single" w:color="auto" w:sz="8" w:space="0"/>
              <w:right w:val="single" w:color="000000" w:sz="8" w:space="0"/>
            </w:tcBorders>
            <w:noWrap w:val="0"/>
            <w:vAlign w:val="center"/>
          </w:tcPr>
          <w:p>
            <w:pPr>
              <w:rPr>
                <w:rFonts w:hint="eastAsia" w:ascii="黑体" w:hAnsi="宋体" w:eastAsia="黑体" w:cs="宋体"/>
                <w:sz w:val="24"/>
              </w:rPr>
            </w:pPr>
            <w:r>
              <w:rPr>
                <w:rFonts w:hint="eastAsia" w:ascii="宋体" w:hAnsi="宋体" w:eastAsia="宋体"/>
                <w:szCs w:val="21"/>
              </w:rPr>
              <w:t>_____年____月___日</w:t>
            </w:r>
          </w:p>
        </w:tc>
      </w:tr>
      <w:tr>
        <w:tblPrEx>
          <w:tblCellMar>
            <w:top w:w="0" w:type="dxa"/>
            <w:left w:w="108" w:type="dxa"/>
            <w:bottom w:w="0" w:type="dxa"/>
            <w:right w:w="108" w:type="dxa"/>
          </w:tblCellMar>
        </w:tblPrEx>
        <w:trPr>
          <w:trHeight w:val="379" w:hRule="atLeast"/>
          <w:jc w:val="center"/>
        </w:trPr>
        <w:tc>
          <w:tcPr>
            <w:tcW w:w="0" w:type="auto"/>
            <w:gridSpan w:val="10"/>
            <w:tcBorders>
              <w:top w:val="single" w:color="auto" w:sz="8" w:space="0"/>
              <w:left w:val="single" w:color="auto" w:sz="8" w:space="0"/>
              <w:bottom w:val="single" w:color="auto" w:sz="8" w:space="0"/>
              <w:right w:val="single" w:color="000000" w:sz="8" w:space="0"/>
            </w:tcBorders>
            <w:shd w:val="clear" w:color="auto" w:fill="D9D9D9"/>
            <w:noWrap w:val="0"/>
            <w:vAlign w:val="center"/>
          </w:tcPr>
          <w:p>
            <w:pPr>
              <w:spacing w:line="240" w:lineRule="atLeast"/>
              <w:jc w:val="left"/>
              <w:rPr>
                <w:rFonts w:hint="eastAsia" w:ascii="宋体" w:hAnsi="宋体" w:eastAsia="宋体"/>
                <w:b/>
                <w:bCs/>
                <w:szCs w:val="21"/>
              </w:rPr>
            </w:pPr>
            <w:r>
              <w:rPr>
                <w:rFonts w:hint="eastAsia" w:ascii="宋体" w:hAnsi="宋体" w:eastAsia="宋体"/>
                <w:b/>
                <w:bCs/>
                <w:szCs w:val="21"/>
              </w:rPr>
              <w:t>评价标准</w:t>
            </w:r>
          </w:p>
        </w:tc>
      </w:tr>
      <w:tr>
        <w:tblPrEx>
          <w:tblCellMar>
            <w:top w:w="0" w:type="dxa"/>
            <w:left w:w="108" w:type="dxa"/>
            <w:bottom w:w="0" w:type="dxa"/>
            <w:right w:w="108" w:type="dxa"/>
          </w:tblCellMar>
        </w:tblPrEx>
        <w:trPr>
          <w:trHeight w:val="572" w:hRule="atLeast"/>
          <w:jc w:val="center"/>
        </w:trPr>
        <w:tc>
          <w:tcPr>
            <w:tcW w:w="0" w:type="auto"/>
            <w:gridSpan w:val="3"/>
            <w:tcBorders>
              <w:top w:val="single" w:color="auto" w:sz="8" w:space="0"/>
              <w:left w:val="single" w:color="auto" w:sz="8" w:space="0"/>
              <w:bottom w:val="single" w:color="auto" w:sz="4" w:space="0"/>
              <w:right w:val="single" w:color="auto" w:sz="4"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评 价 指 标</w:t>
            </w:r>
          </w:p>
        </w:tc>
        <w:tc>
          <w:tcPr>
            <w:tcW w:w="0" w:type="auto"/>
            <w:tcBorders>
              <w:top w:val="single" w:color="auto" w:sz="8" w:space="0"/>
              <w:left w:val="nil"/>
              <w:bottom w:val="single" w:color="auto" w:sz="4" w:space="0"/>
              <w:right w:val="single" w:color="auto" w:sz="4"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评  分  内  容</w:t>
            </w:r>
          </w:p>
        </w:tc>
        <w:tc>
          <w:tcPr>
            <w:tcW w:w="0" w:type="auto"/>
            <w:tcBorders>
              <w:top w:val="nil"/>
              <w:left w:val="nil"/>
              <w:bottom w:val="single" w:color="auto" w:sz="4" w:space="0"/>
              <w:right w:val="single" w:color="auto" w:sz="4" w:space="0"/>
            </w:tcBorders>
            <w:noWrap w:val="0"/>
            <w:vAlign w:val="center"/>
          </w:tcPr>
          <w:p>
            <w:pPr>
              <w:spacing w:line="260" w:lineRule="exact"/>
              <w:rPr>
                <w:rFonts w:ascii="宋体" w:hAnsi="宋体" w:eastAsia="宋体" w:cs="宋体"/>
                <w:szCs w:val="21"/>
              </w:rPr>
            </w:pPr>
            <w:r>
              <w:rPr>
                <w:rFonts w:hint="eastAsia" w:ascii="宋体" w:hAnsi="宋体" w:eastAsia="宋体" w:cs="宋体"/>
                <w:szCs w:val="21"/>
              </w:rPr>
              <w:t>分值</w:t>
            </w:r>
          </w:p>
        </w:tc>
        <w:tc>
          <w:tcPr>
            <w:tcW w:w="0" w:type="auto"/>
            <w:gridSpan w:val="4"/>
            <w:tcBorders>
              <w:top w:val="single" w:color="auto" w:sz="8" w:space="0"/>
              <w:left w:val="nil"/>
              <w:bottom w:val="single" w:color="auto" w:sz="4" w:space="0"/>
              <w:right w:val="single" w:color="000000" w:sz="4" w:space="0"/>
            </w:tcBorders>
            <w:noWrap w:val="0"/>
            <w:vAlign w:val="center"/>
          </w:tcPr>
          <w:p>
            <w:pPr>
              <w:spacing w:line="260" w:lineRule="exact"/>
              <w:rPr>
                <w:rFonts w:ascii="宋体" w:hAnsi="宋体" w:eastAsia="宋体" w:cs="宋体"/>
                <w:szCs w:val="21"/>
              </w:rPr>
            </w:pPr>
            <w:r>
              <w:rPr>
                <w:rFonts w:hint="eastAsia" w:ascii="宋体" w:hAnsi="宋体" w:eastAsia="宋体" w:cs="宋体"/>
                <w:szCs w:val="21"/>
              </w:rPr>
              <w:t>扣分</w:t>
            </w:r>
            <w:r>
              <w:rPr>
                <w:rFonts w:hint="eastAsia" w:ascii="宋体" w:hAnsi="宋体" w:eastAsia="宋体" w:cs="宋体"/>
                <w:sz w:val="16"/>
                <w:szCs w:val="16"/>
              </w:rPr>
              <w:t>（最小扣分单位为0.5分，最多不超过该项分值）</w:t>
            </w:r>
          </w:p>
        </w:tc>
        <w:tc>
          <w:tcPr>
            <w:tcW w:w="0" w:type="auto"/>
            <w:tcBorders>
              <w:top w:val="single" w:color="auto" w:sz="8" w:space="0"/>
              <w:left w:val="nil"/>
              <w:bottom w:val="single" w:color="auto" w:sz="4" w:space="0"/>
              <w:right w:val="single" w:color="000000" w:sz="8"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37" w:hRule="atLeast"/>
          <w:jc w:val="center"/>
        </w:trPr>
        <w:tc>
          <w:tcPr>
            <w:tcW w:w="0" w:type="auto"/>
            <w:vMerge w:val="restart"/>
            <w:tcBorders>
              <w:top w:val="nil"/>
              <w:left w:val="single" w:color="auto" w:sz="8" w:space="0"/>
              <w:right w:val="single" w:color="auto" w:sz="4" w:space="0"/>
            </w:tcBorders>
            <w:noWrap w:val="0"/>
            <w:textDirection w:val="tbRlV"/>
            <w:vAlign w:val="center"/>
          </w:tcPr>
          <w:p>
            <w:pPr>
              <w:spacing w:line="300" w:lineRule="exact"/>
              <w:ind w:firstLine="360"/>
              <w:jc w:val="center"/>
              <w:rPr>
                <w:rFonts w:ascii="黑体" w:hAnsi="宋体" w:eastAsia="黑体" w:cs="宋体"/>
                <w:sz w:val="24"/>
              </w:rPr>
            </w:pPr>
            <w:r>
              <w:rPr>
                <w:rFonts w:hint="eastAsia" w:ascii="黑体" w:hAnsi="宋体" w:eastAsia="黑体" w:cs="宋体"/>
                <w:sz w:val="24"/>
              </w:rPr>
              <w:t>服务过程（40分）</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0"/>
              </w:rPr>
            </w:pPr>
            <w:r>
              <w:rPr>
                <w:rFonts w:hint="eastAsia" w:ascii="宋体" w:hAnsi="宋体" w:eastAsia="宋体" w:cs="宋体"/>
                <w:sz w:val="20"/>
              </w:rPr>
              <w:t>工作</w:t>
            </w:r>
          </w:p>
          <w:p>
            <w:pPr>
              <w:spacing w:line="300" w:lineRule="exact"/>
              <w:jc w:val="center"/>
              <w:rPr>
                <w:rFonts w:ascii="宋体" w:hAnsi="宋体" w:eastAsia="宋体" w:cs="宋体"/>
                <w:sz w:val="20"/>
              </w:rPr>
            </w:pPr>
            <w:r>
              <w:rPr>
                <w:rFonts w:hint="eastAsia" w:ascii="宋体" w:hAnsi="宋体" w:eastAsia="宋体" w:cs="宋体"/>
                <w:sz w:val="20"/>
              </w:rPr>
              <w:t>能力</w:t>
            </w:r>
          </w:p>
        </w:tc>
        <w:tc>
          <w:tcPr>
            <w:tcW w:w="0" w:type="auto"/>
            <w:vMerge w:val="restart"/>
            <w:tcBorders>
              <w:top w:val="nil"/>
              <w:left w:val="single" w:color="auto" w:sz="4" w:space="0"/>
              <w:bottom w:val="single" w:color="000000" w:sz="4" w:space="0"/>
              <w:right w:val="single" w:color="auto" w:sz="4" w:space="0"/>
            </w:tcBorders>
            <w:noWrap w:val="0"/>
            <w:vAlign w:val="center"/>
          </w:tcPr>
          <w:p>
            <w:pPr>
              <w:spacing w:line="300" w:lineRule="exact"/>
              <w:jc w:val="center"/>
              <w:rPr>
                <w:rFonts w:ascii="宋体" w:hAnsi="宋体" w:eastAsia="宋体" w:cs="宋体"/>
                <w:sz w:val="20"/>
              </w:rPr>
            </w:pPr>
            <w:r>
              <w:rPr>
                <w:rFonts w:hint="eastAsia" w:ascii="宋体" w:hAnsi="宋体" w:eastAsia="宋体" w:cs="宋体"/>
                <w:sz w:val="20"/>
              </w:rPr>
              <w:t>工作</w:t>
            </w:r>
          </w:p>
          <w:p>
            <w:pPr>
              <w:spacing w:line="300" w:lineRule="exact"/>
              <w:jc w:val="center"/>
              <w:rPr>
                <w:rFonts w:ascii="宋体" w:hAnsi="宋体" w:eastAsia="宋体" w:cs="宋体"/>
                <w:sz w:val="20"/>
              </w:rPr>
            </w:pPr>
            <w:r>
              <w:rPr>
                <w:rFonts w:hint="eastAsia" w:ascii="宋体" w:hAnsi="宋体" w:eastAsia="宋体" w:cs="宋体"/>
                <w:sz w:val="20"/>
              </w:rPr>
              <w:t>效率</w:t>
            </w:r>
          </w:p>
        </w:tc>
        <w:tc>
          <w:tcPr>
            <w:tcW w:w="0" w:type="auto"/>
            <w:tcBorders>
              <w:top w:val="single" w:color="auto" w:sz="4" w:space="0"/>
              <w:left w:val="nil"/>
              <w:bottom w:val="single" w:color="auto" w:sz="4" w:space="0"/>
              <w:right w:val="single" w:color="auto" w:sz="4" w:space="0"/>
            </w:tcBorders>
            <w:noWrap w:val="0"/>
            <w:vAlign w:val="center"/>
          </w:tcPr>
          <w:p>
            <w:pPr>
              <w:spacing w:line="300" w:lineRule="exact"/>
              <w:ind w:firstLine="357"/>
              <w:jc w:val="left"/>
              <w:rPr>
                <w:rFonts w:ascii="宋体" w:hAnsi="宋体" w:eastAsia="宋体" w:cs="宋体"/>
                <w:szCs w:val="21"/>
              </w:rPr>
            </w:pPr>
            <w:r>
              <w:rPr>
                <w:rFonts w:hint="eastAsia" w:ascii="宋体" w:hAnsi="宋体" w:eastAsia="宋体" w:cs="宋体"/>
                <w:szCs w:val="21"/>
              </w:rPr>
              <w:t>1.是否按时完成各项工作任务</w:t>
            </w:r>
          </w:p>
        </w:tc>
        <w:tc>
          <w:tcPr>
            <w:tcW w:w="0" w:type="auto"/>
            <w:tcBorders>
              <w:top w:val="nil"/>
              <w:left w:val="nil"/>
              <w:bottom w:val="single" w:color="auto" w:sz="4" w:space="0"/>
              <w:right w:val="single" w:color="auto" w:sz="4" w:space="0"/>
            </w:tcBorders>
            <w:noWrap w:val="0"/>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8</w:t>
            </w:r>
          </w:p>
        </w:tc>
        <w:tc>
          <w:tcPr>
            <w:tcW w:w="0" w:type="auto"/>
            <w:gridSpan w:val="4"/>
            <w:tcBorders>
              <w:top w:val="single" w:color="auto" w:sz="4" w:space="0"/>
              <w:left w:val="nil"/>
              <w:bottom w:val="single" w:color="auto" w:sz="4" w:space="0"/>
              <w:right w:val="single" w:color="000000" w:sz="4" w:space="0"/>
            </w:tcBorders>
            <w:noWrap w:val="0"/>
            <w:vAlign w:val="center"/>
          </w:tcPr>
          <w:p>
            <w:pPr>
              <w:spacing w:line="300" w:lineRule="exact"/>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spacing w:line="300" w:lineRule="exact"/>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416"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sz w:val="20"/>
              </w:rPr>
            </w:pPr>
          </w:p>
        </w:tc>
        <w:tc>
          <w:tcPr>
            <w:tcW w:w="0" w:type="auto"/>
            <w:tcBorders>
              <w:top w:val="single" w:color="auto" w:sz="4" w:space="0"/>
              <w:left w:val="nil"/>
              <w:bottom w:val="single" w:color="auto" w:sz="4" w:space="0"/>
              <w:right w:val="single" w:color="000000" w:sz="4" w:space="0"/>
            </w:tcBorders>
            <w:noWrap w:val="0"/>
            <w:vAlign w:val="center"/>
          </w:tcPr>
          <w:p>
            <w:pPr>
              <w:spacing w:line="260" w:lineRule="exact"/>
              <w:ind w:firstLine="357"/>
              <w:jc w:val="left"/>
              <w:rPr>
                <w:rFonts w:hint="default"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文字质量是否符合要求</w:t>
            </w:r>
          </w:p>
        </w:tc>
        <w:tc>
          <w:tcPr>
            <w:tcW w:w="0" w:type="auto"/>
            <w:tcBorders>
              <w:top w:val="nil"/>
              <w:left w:val="nil"/>
              <w:bottom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630"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 w:val="20"/>
              </w:rPr>
            </w:pPr>
            <w:r>
              <w:rPr>
                <w:rFonts w:hint="eastAsia" w:ascii="宋体" w:hAnsi="宋体" w:eastAsia="宋体" w:cs="宋体"/>
                <w:sz w:val="20"/>
              </w:rPr>
              <w:t>配合</w:t>
            </w:r>
          </w:p>
          <w:p>
            <w:pPr>
              <w:jc w:val="center"/>
              <w:rPr>
                <w:rFonts w:ascii="宋体" w:hAnsi="宋体" w:eastAsia="宋体" w:cs="宋体"/>
                <w:sz w:val="20"/>
              </w:rPr>
            </w:pPr>
            <w:r>
              <w:rPr>
                <w:rFonts w:hint="eastAsia" w:ascii="宋体" w:hAnsi="宋体" w:eastAsia="宋体" w:cs="宋体"/>
                <w:sz w:val="20"/>
              </w:rPr>
              <w:t>程度</w:t>
            </w:r>
          </w:p>
        </w:tc>
        <w:tc>
          <w:tcPr>
            <w:tcW w:w="0" w:type="auto"/>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0"/>
              </w:rPr>
            </w:pPr>
            <w:r>
              <w:rPr>
                <w:rFonts w:hint="eastAsia" w:ascii="宋体" w:hAnsi="宋体" w:eastAsia="宋体" w:cs="宋体"/>
                <w:sz w:val="20"/>
              </w:rPr>
              <w:t>沟通</w:t>
            </w:r>
          </w:p>
          <w:p>
            <w:pPr>
              <w:jc w:val="center"/>
              <w:rPr>
                <w:rFonts w:hint="eastAsia" w:ascii="宋体" w:hAnsi="宋体" w:eastAsia="宋体" w:cs="宋体"/>
                <w:sz w:val="20"/>
              </w:rPr>
            </w:pPr>
            <w:r>
              <w:rPr>
                <w:rFonts w:hint="eastAsia" w:ascii="宋体" w:hAnsi="宋体" w:eastAsia="宋体" w:cs="宋体"/>
                <w:sz w:val="20"/>
              </w:rPr>
              <w:t>主动</w:t>
            </w:r>
          </w:p>
          <w:p>
            <w:pPr>
              <w:jc w:val="center"/>
              <w:rPr>
                <w:rFonts w:ascii="宋体" w:hAnsi="宋体" w:eastAsia="宋体" w:cs="宋体"/>
                <w:sz w:val="20"/>
              </w:rPr>
            </w:pPr>
            <w:r>
              <w:rPr>
                <w:rFonts w:hint="eastAsia" w:ascii="宋体" w:hAnsi="宋体" w:eastAsia="宋体" w:cs="宋体"/>
                <w:sz w:val="20"/>
              </w:rPr>
              <w:t>性</w:t>
            </w: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57"/>
              <w:jc w:val="left"/>
              <w:rPr>
                <w:rFonts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.是否及时就项目开展进度、情况进行沟通</w:t>
            </w:r>
          </w:p>
        </w:tc>
        <w:tc>
          <w:tcPr>
            <w:tcW w:w="0" w:type="auto"/>
            <w:tcBorders>
              <w:top w:val="nil"/>
              <w:left w:val="nil"/>
              <w:bottom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630"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tcBorders>
              <w:top w:val="single" w:color="auto" w:sz="4" w:space="0"/>
              <w:left w:val="nil"/>
              <w:bottom w:val="single" w:color="auto" w:sz="4" w:space="0"/>
              <w:right w:val="single" w:color="000000" w:sz="4" w:space="0"/>
            </w:tcBorders>
            <w:noWrap w:val="0"/>
            <w:vAlign w:val="center"/>
          </w:tcPr>
          <w:p>
            <w:pPr>
              <w:spacing w:line="260" w:lineRule="exact"/>
              <w:ind w:firstLine="357"/>
              <w:jc w:val="left"/>
              <w:rPr>
                <w:rFonts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.是否及时回馈委托方提出的意见、问题等，并主动提供有关建议等</w:t>
            </w:r>
          </w:p>
        </w:tc>
        <w:tc>
          <w:tcPr>
            <w:tcW w:w="0" w:type="auto"/>
            <w:tcBorders>
              <w:top w:val="nil"/>
              <w:left w:val="nil"/>
              <w:bottom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630"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57"/>
              <w:jc w:val="left"/>
              <w:rPr>
                <w:rFonts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.在对重大事项得出结论前是否与有关方面进行了充分的沟通</w:t>
            </w:r>
          </w:p>
        </w:tc>
        <w:tc>
          <w:tcPr>
            <w:tcW w:w="0" w:type="auto"/>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630"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restart"/>
            <w:tcBorders>
              <w:top w:val="nil"/>
              <w:left w:val="single" w:color="auto" w:sz="4" w:space="0"/>
              <w:bottom w:val="single" w:color="auto" w:sz="4" w:space="0"/>
              <w:right w:val="single" w:color="auto" w:sz="4" w:space="0"/>
            </w:tcBorders>
            <w:noWrap w:val="0"/>
            <w:vAlign w:val="center"/>
          </w:tcPr>
          <w:p>
            <w:pPr>
              <w:rPr>
                <w:rFonts w:ascii="宋体" w:hAnsi="宋体" w:eastAsia="宋体" w:cs="宋体"/>
                <w:sz w:val="20"/>
              </w:rPr>
            </w:pPr>
            <w:r>
              <w:rPr>
                <w:rFonts w:hint="eastAsia" w:ascii="宋体" w:hAnsi="宋体" w:eastAsia="宋体" w:cs="宋体"/>
                <w:sz w:val="20"/>
              </w:rPr>
              <w:t>沟通能力</w:t>
            </w: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60"/>
              <w:jc w:val="left"/>
              <w:rPr>
                <w:rFonts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.服务机构工作人员能否准确理解委托方的意图</w:t>
            </w:r>
          </w:p>
        </w:tc>
        <w:tc>
          <w:tcPr>
            <w:tcW w:w="0" w:type="auto"/>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895" w:hRule="atLeast"/>
          <w:jc w:val="center"/>
        </w:trPr>
        <w:tc>
          <w:tcPr>
            <w:tcW w:w="0" w:type="auto"/>
            <w:vMerge w:val="continue"/>
            <w:tcBorders>
              <w:left w:val="single" w:color="auto" w:sz="8" w:space="0"/>
              <w:right w:val="single" w:color="auto" w:sz="4" w:space="0"/>
            </w:tcBorders>
            <w:noWrap w:val="0"/>
            <w:vAlign w:val="center"/>
          </w:tcPr>
          <w:p>
            <w:pPr>
              <w:widowControl/>
              <w:jc w:val="left"/>
              <w:rPr>
                <w:rFonts w:ascii="黑体" w:hAnsi="宋体" w:eastAsia="黑体" w:cs="宋体"/>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sz w:val="20"/>
              </w:rPr>
            </w:pP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60"/>
              <w:jc w:val="left"/>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.服务机构工作人员表达或表述是否清晰无误，善于沟通</w:t>
            </w:r>
          </w:p>
        </w:tc>
        <w:tc>
          <w:tcPr>
            <w:tcW w:w="0" w:type="auto"/>
            <w:tcBorders>
              <w:top w:val="nil"/>
              <w:left w:val="nil"/>
              <w:bottom w:val="single" w:color="auto" w:sz="4" w:space="0"/>
              <w:right w:val="single" w:color="auto" w:sz="4" w:space="0"/>
            </w:tcBorders>
            <w:noWrap w:val="0"/>
            <w:vAlign w:val="center"/>
          </w:tcPr>
          <w:p>
            <w:pPr>
              <w:spacing w:line="2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1409" w:hRule="atLeast"/>
          <w:jc w:val="center"/>
        </w:trPr>
        <w:tc>
          <w:tcPr>
            <w:tcW w:w="0" w:type="auto"/>
            <w:tcBorders>
              <w:top w:val="single" w:color="auto" w:sz="4" w:space="0"/>
              <w:left w:val="single" w:color="auto" w:sz="8" w:space="0"/>
              <w:bottom w:val="double" w:color="000000" w:sz="6" w:space="0"/>
              <w:right w:val="single" w:color="auto" w:sz="4" w:space="0"/>
            </w:tcBorders>
            <w:noWrap w:val="0"/>
            <w:textDirection w:val="tbRlV"/>
            <w:vAlign w:val="center"/>
          </w:tcPr>
          <w:p>
            <w:pPr>
              <w:ind w:firstLine="360"/>
              <w:jc w:val="center"/>
              <w:rPr>
                <w:rFonts w:ascii="黑体" w:hAnsi="宋体" w:eastAsia="黑体" w:cs="宋体"/>
                <w:sz w:val="24"/>
              </w:rPr>
            </w:pPr>
            <w:r>
              <w:rPr>
                <w:rFonts w:hint="eastAsia" w:ascii="黑体" w:hAnsi="宋体" w:eastAsia="黑体" w:cs="宋体"/>
                <w:sz w:val="24"/>
              </w:rPr>
              <w:t>服务成果（60分）</w:t>
            </w:r>
          </w:p>
        </w:tc>
        <w:tc>
          <w:tcPr>
            <w:tcW w:w="0" w:type="auto"/>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完整性</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文章数量</w:t>
            </w: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ind w:firstLine="360"/>
              <w:rPr>
                <w:rFonts w:hint="default" w:ascii="宋体" w:hAnsi="宋体" w:eastAsia="宋体" w:cs="宋体"/>
                <w:szCs w:val="21"/>
                <w:lang w:val="en-US" w:eastAsia="zh-CN"/>
              </w:rPr>
            </w:pPr>
            <w:r>
              <w:rPr>
                <w:rFonts w:hint="eastAsia" w:ascii="宋体" w:hAnsi="宋体" w:eastAsia="宋体" w:cs="宋体"/>
                <w:szCs w:val="21"/>
                <w:lang w:val="en-US" w:eastAsia="zh-CN"/>
              </w:rPr>
              <w:t>9</w:t>
            </w:r>
            <w:r>
              <w:rPr>
                <w:rFonts w:hint="eastAsia" w:ascii="宋体" w:hAnsi="宋体" w:eastAsia="宋体" w:cs="宋体"/>
                <w:szCs w:val="21"/>
              </w:rPr>
              <w:t>.</w:t>
            </w:r>
            <w:r>
              <w:rPr>
                <w:rFonts w:hint="eastAsia" w:ascii="宋体" w:hAnsi="宋体" w:eastAsia="宋体" w:cs="宋体"/>
                <w:szCs w:val="21"/>
                <w:lang w:val="en-US" w:eastAsia="zh-CN"/>
              </w:rPr>
              <w:t>是否</w:t>
            </w:r>
            <w:r>
              <w:rPr>
                <w:rFonts w:hint="eastAsia" w:ascii="宋体" w:hAnsi="宋体" w:eastAsia="宋体" w:cs="宋体"/>
                <w:szCs w:val="21"/>
              </w:rPr>
              <w:t>撰写并被采用的文章总篇数共</w:t>
            </w:r>
            <w:r>
              <w:rPr>
                <w:rFonts w:hint="eastAsia" w:ascii="宋体" w:hAnsi="宋体" w:cs="宋体"/>
                <w:szCs w:val="21"/>
                <w:lang w:val="en-US" w:eastAsia="zh-CN"/>
              </w:rPr>
              <w:t>21</w:t>
            </w:r>
            <w:r>
              <w:rPr>
                <w:rFonts w:hint="eastAsia" w:ascii="宋体" w:hAnsi="宋体" w:eastAsia="宋体" w:cs="宋体"/>
                <w:szCs w:val="21"/>
              </w:rPr>
              <w:t>0篇</w:t>
            </w:r>
          </w:p>
        </w:tc>
        <w:tc>
          <w:tcPr>
            <w:tcW w:w="0" w:type="auto"/>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Cs w:val="21"/>
                <w:lang w:val="en-US" w:eastAsia="zh-CN"/>
              </w:rPr>
            </w:pPr>
            <w:r>
              <w:rPr>
                <w:rFonts w:hint="eastAsia" w:ascii="宋体" w:hAnsi="宋体" w:eastAsia="宋体" w:cs="宋体"/>
                <w:szCs w:val="21"/>
              </w:rPr>
              <w:t>6</w:t>
            </w:r>
            <w:r>
              <w:rPr>
                <w:rFonts w:hint="eastAsia" w:ascii="宋体" w:hAnsi="宋体" w:eastAsia="宋体" w:cs="宋体"/>
                <w:szCs w:val="21"/>
                <w:lang w:val="en-US" w:eastAsia="zh-CN"/>
              </w:rPr>
              <w:t>0</w:t>
            </w:r>
          </w:p>
        </w:tc>
        <w:tc>
          <w:tcPr>
            <w:tcW w:w="0" w:type="auto"/>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扣分</w:t>
            </w:r>
          </w:p>
        </w:tc>
        <w:tc>
          <w:tcPr>
            <w:tcW w:w="0" w:type="auto"/>
            <w:tcBorders>
              <w:top w:val="single" w:color="auto" w:sz="4" w:space="0"/>
              <w:left w:val="nil"/>
              <w:bottom w:val="single" w:color="auto" w:sz="4" w:space="0"/>
              <w:right w:val="single" w:color="000000" w:sz="8" w:space="0"/>
            </w:tcBorders>
            <w:noWrap w:val="0"/>
            <w:vAlign w:val="center"/>
          </w:tcPr>
          <w:p>
            <w:pPr>
              <w:ind w:firstLine="360"/>
              <w:jc w:val="center"/>
              <w:rPr>
                <w:rFonts w:ascii="宋体" w:hAnsi="宋体" w:eastAsia="宋体" w:cs="宋体"/>
                <w:sz w:val="20"/>
              </w:rPr>
            </w:pPr>
            <w:r>
              <w:rPr>
                <w:rFonts w:hint="eastAsia" w:ascii="宋体" w:hAnsi="宋体" w:eastAsia="宋体" w:cs="宋体"/>
                <w:sz w:val="20"/>
              </w:rPr>
              <w:t>　</w:t>
            </w:r>
          </w:p>
        </w:tc>
      </w:tr>
      <w:tr>
        <w:tblPrEx>
          <w:tblCellMar>
            <w:top w:w="0" w:type="dxa"/>
            <w:left w:w="108" w:type="dxa"/>
            <w:bottom w:w="0" w:type="dxa"/>
            <w:right w:w="108" w:type="dxa"/>
          </w:tblCellMar>
        </w:tblPrEx>
        <w:trPr>
          <w:trHeight w:val="808" w:hRule="atLeast"/>
          <w:jc w:val="center"/>
        </w:trPr>
        <w:tc>
          <w:tcPr>
            <w:tcW w:w="0" w:type="auto"/>
            <w:vMerge w:val="restart"/>
            <w:tcBorders>
              <w:top w:val="nil"/>
              <w:left w:val="single" w:color="auto" w:sz="8" w:space="0"/>
              <w:bottom w:val="single" w:color="000000" w:sz="4" w:space="0"/>
              <w:right w:val="single" w:color="auto" w:sz="4" w:space="0"/>
            </w:tcBorders>
            <w:noWrap w:val="0"/>
            <w:textDirection w:val="tbRlV"/>
            <w:vAlign w:val="center"/>
          </w:tcPr>
          <w:p>
            <w:pPr>
              <w:spacing w:line="260" w:lineRule="exact"/>
              <w:ind w:firstLine="360"/>
              <w:jc w:val="center"/>
              <w:rPr>
                <w:rFonts w:hint="eastAsia" w:ascii="黑体" w:hAnsi="宋体" w:eastAsia="黑体" w:cs="宋体"/>
                <w:sz w:val="24"/>
                <w:lang w:val="en-US" w:eastAsia="zh-CN"/>
              </w:rPr>
            </w:pPr>
            <w:r>
              <w:rPr>
                <w:rFonts w:hint="eastAsia" w:ascii="黑体" w:hAnsi="宋体" w:eastAsia="黑体" w:cs="宋体"/>
                <w:sz w:val="24"/>
              </w:rPr>
              <w:t>附</w:t>
            </w:r>
            <w:r>
              <w:rPr>
                <w:rFonts w:hint="eastAsia" w:ascii="黑体" w:hAnsi="宋体" w:eastAsia="黑体" w:cs="宋体"/>
                <w:sz w:val="24"/>
                <w:lang w:val="en-US" w:eastAsia="zh-CN"/>
              </w:rPr>
              <w:t>加</w:t>
            </w:r>
          </w:p>
        </w:tc>
        <w:tc>
          <w:tcPr>
            <w:tcW w:w="0" w:type="auto"/>
            <w:gridSpan w:val="2"/>
            <w:tcBorders>
              <w:top w:val="double" w:color="auto" w:sz="6" w:space="0"/>
              <w:left w:val="nil"/>
              <w:bottom w:val="single" w:color="auto" w:sz="4" w:space="0"/>
              <w:right w:val="single" w:color="000000" w:sz="4"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附加分</w:t>
            </w:r>
          </w:p>
        </w:tc>
        <w:tc>
          <w:tcPr>
            <w:tcW w:w="0" w:type="auto"/>
            <w:tcBorders>
              <w:top w:val="double" w:color="auto" w:sz="4" w:space="0"/>
              <w:left w:val="nil"/>
              <w:bottom w:val="single" w:color="auto" w:sz="4" w:space="0"/>
              <w:right w:val="single" w:color="auto" w:sz="4" w:space="0"/>
            </w:tcBorders>
            <w:noWrap w:val="0"/>
            <w:vAlign w:val="center"/>
          </w:tcPr>
          <w:p>
            <w:pPr>
              <w:spacing w:line="260" w:lineRule="exact"/>
              <w:ind w:firstLine="360"/>
              <w:rPr>
                <w:rFonts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rPr>
              <w:t>.具有针对性、较高参考价值的意见或建议有几条</w:t>
            </w:r>
            <w:r>
              <w:rPr>
                <w:rFonts w:hint="eastAsia" w:ascii="宋体" w:hAnsi="宋体" w:eastAsia="宋体" w:cs="宋体"/>
                <w:szCs w:val="21"/>
                <w:lang w:eastAsia="zh-CN"/>
              </w:rPr>
              <w:t>，</w:t>
            </w:r>
            <w:r>
              <w:rPr>
                <w:rFonts w:hint="eastAsia" w:ascii="宋体" w:hAnsi="宋体" w:eastAsia="宋体" w:cs="宋体"/>
                <w:szCs w:val="21"/>
                <w:lang w:val="en-US" w:eastAsia="zh-CN"/>
              </w:rPr>
              <w:t>包括增值服务</w:t>
            </w:r>
            <w:r>
              <w:rPr>
                <w:rFonts w:hint="eastAsia" w:ascii="宋体" w:hAnsi="宋体" w:eastAsia="宋体" w:cs="宋体"/>
                <w:szCs w:val="21"/>
              </w:rPr>
              <w:t>（每条5分，得分=条数×5）</w:t>
            </w:r>
          </w:p>
        </w:tc>
        <w:tc>
          <w:tcPr>
            <w:tcW w:w="0" w:type="auto"/>
            <w:tcBorders>
              <w:top w:val="double" w:color="auto" w:sz="4" w:space="0"/>
              <w:left w:val="nil"/>
              <w:bottom w:val="single" w:color="auto" w:sz="4" w:space="0"/>
              <w:right w:val="single" w:color="auto" w:sz="4" w:space="0"/>
            </w:tcBorders>
            <w:noWrap w:val="0"/>
            <w:vAlign w:val="center"/>
          </w:tcPr>
          <w:p>
            <w:pPr>
              <w:spacing w:line="260" w:lineRule="exact"/>
              <w:jc w:val="center"/>
              <w:rPr>
                <w:rFonts w:ascii="宋体" w:hAnsi="宋体" w:eastAsia="宋体" w:cs="宋体"/>
                <w:color w:val="000000"/>
                <w:szCs w:val="21"/>
              </w:rPr>
            </w:pPr>
            <w:r>
              <w:rPr>
                <w:rFonts w:hint="eastAsia" w:ascii="宋体" w:hAnsi="宋体" w:eastAsia="宋体" w:cs="宋体"/>
                <w:color w:val="000000"/>
                <w:szCs w:val="21"/>
              </w:rPr>
              <w:t>得分</w:t>
            </w:r>
          </w:p>
        </w:tc>
        <w:tc>
          <w:tcPr>
            <w:tcW w:w="0" w:type="auto"/>
            <w:gridSpan w:val="4"/>
            <w:tcBorders>
              <w:top w:val="double" w:color="auto" w:sz="4" w:space="0"/>
              <w:left w:val="nil"/>
              <w:bottom w:val="single" w:color="auto" w:sz="4" w:space="0"/>
              <w:right w:val="single" w:color="000000" w:sz="4" w:space="0"/>
            </w:tcBorders>
            <w:noWrap w:val="0"/>
            <w:vAlign w:val="center"/>
          </w:tcPr>
          <w:p>
            <w:pPr>
              <w:spacing w:line="260" w:lineRule="exact"/>
              <w:jc w:val="center"/>
              <w:rPr>
                <w:rFonts w:ascii="宋体" w:hAnsi="宋体" w:eastAsia="宋体" w:cs="宋体"/>
                <w:color w:val="000000"/>
                <w:szCs w:val="21"/>
              </w:rPr>
            </w:pPr>
            <w:r>
              <w:rPr>
                <w:rFonts w:hint="eastAsia" w:ascii="宋体" w:hAnsi="宋体" w:eastAsia="宋体" w:cs="宋体"/>
                <w:color w:val="000000"/>
                <w:szCs w:val="21"/>
              </w:rPr>
              <w:t>条数</w:t>
            </w:r>
          </w:p>
        </w:tc>
        <w:tc>
          <w:tcPr>
            <w:tcW w:w="0" w:type="auto"/>
            <w:tcBorders>
              <w:top w:val="nil"/>
              <w:left w:val="nil"/>
              <w:bottom w:val="single" w:color="auto" w:sz="4" w:space="0"/>
              <w:right w:val="single" w:color="000000" w:sz="8" w:space="0"/>
            </w:tcBorders>
            <w:noWrap w:val="0"/>
            <w:vAlign w:val="center"/>
          </w:tcPr>
          <w:p>
            <w:pPr>
              <w:spacing w:line="260" w:lineRule="exact"/>
              <w:jc w:val="center"/>
              <w:rPr>
                <w:rFonts w:ascii="宋体" w:hAnsi="宋体" w:eastAsia="宋体" w:cs="宋体"/>
                <w:sz w:val="20"/>
              </w:rPr>
            </w:pPr>
            <w:r>
              <w:rPr>
                <w:rFonts w:hint="eastAsia" w:ascii="宋体" w:hAnsi="宋体" w:eastAsia="宋体" w:cs="宋体"/>
                <w:sz w:val="20"/>
              </w:rPr>
              <w:t>不设上限分数</w:t>
            </w:r>
          </w:p>
        </w:tc>
      </w:tr>
      <w:tr>
        <w:trPr>
          <w:trHeight w:val="663" w:hRule="atLeast"/>
          <w:jc w:val="center"/>
        </w:trPr>
        <w:tc>
          <w:tcPr>
            <w:tcW w:w="0" w:type="auto"/>
            <w:vMerge w:val="continue"/>
            <w:tcBorders>
              <w:top w:val="nil"/>
              <w:left w:val="single" w:color="auto" w:sz="8" w:space="0"/>
              <w:bottom w:val="single" w:color="000000" w:sz="4" w:space="0"/>
              <w:right w:val="single" w:color="auto" w:sz="4" w:space="0"/>
            </w:tcBorders>
            <w:noWrap w:val="0"/>
            <w:vAlign w:val="center"/>
          </w:tcPr>
          <w:p>
            <w:pPr>
              <w:widowControl/>
              <w:jc w:val="left"/>
              <w:rPr>
                <w:rFonts w:ascii="黑体" w:hAnsi="宋体" w:eastAsia="黑体" w:cs="宋体"/>
                <w:sz w:val="24"/>
              </w:rPr>
            </w:pPr>
          </w:p>
        </w:tc>
        <w:tc>
          <w:tcPr>
            <w:tcW w:w="0" w:type="auto"/>
            <w:gridSpan w:val="2"/>
            <w:tcBorders>
              <w:top w:val="single" w:color="auto" w:sz="4" w:space="0"/>
              <w:left w:val="nil"/>
              <w:bottom w:val="single" w:color="auto" w:sz="4" w:space="0"/>
              <w:right w:val="single" w:color="000000" w:sz="4" w:space="0"/>
            </w:tcBorders>
            <w:noWrap w:val="0"/>
            <w:vAlign w:val="center"/>
          </w:tcPr>
          <w:p>
            <w:pPr>
              <w:spacing w:line="260" w:lineRule="exact"/>
              <w:jc w:val="center"/>
              <w:rPr>
                <w:rFonts w:ascii="宋体" w:hAnsi="宋体" w:eastAsia="宋体" w:cs="宋体"/>
                <w:szCs w:val="21"/>
              </w:rPr>
            </w:pPr>
            <w:r>
              <w:rPr>
                <w:rFonts w:hint="eastAsia" w:ascii="宋体" w:hAnsi="宋体" w:eastAsia="宋体" w:cs="宋体"/>
                <w:szCs w:val="21"/>
              </w:rPr>
              <w:t>一票否决项</w:t>
            </w:r>
          </w:p>
        </w:tc>
        <w:tc>
          <w:tcPr>
            <w:tcW w:w="0" w:type="auto"/>
            <w:gridSpan w:val="2"/>
            <w:tcBorders>
              <w:top w:val="single" w:color="auto" w:sz="4" w:space="0"/>
              <w:left w:val="nil"/>
              <w:bottom w:val="single" w:color="auto" w:sz="4" w:space="0"/>
              <w:right w:val="single" w:color="auto" w:sz="4" w:space="0"/>
            </w:tcBorders>
            <w:noWrap w:val="0"/>
            <w:vAlign w:val="center"/>
          </w:tcPr>
          <w:p>
            <w:pPr>
              <w:numPr>
                <w:ilvl w:val="0"/>
                <w:numId w:val="28"/>
              </w:numPr>
              <w:spacing w:line="260" w:lineRule="exact"/>
              <w:ind w:firstLine="360"/>
              <w:rPr>
                <w:rFonts w:hint="eastAsia" w:ascii="宋体" w:hAnsi="宋体" w:eastAsia="宋体" w:cs="宋体"/>
                <w:szCs w:val="21"/>
                <w:lang w:val="en-US" w:eastAsia="zh-CN"/>
              </w:rPr>
            </w:pPr>
            <w:r>
              <w:rPr>
                <w:rFonts w:hint="eastAsia" w:ascii="宋体" w:hAnsi="宋体" w:eastAsia="宋体" w:cs="宋体"/>
                <w:szCs w:val="21"/>
                <w:lang w:val="en-US" w:eastAsia="zh-CN"/>
              </w:rPr>
              <w:t>违反服务承诺</w:t>
            </w:r>
          </w:p>
          <w:p>
            <w:pPr>
              <w:numPr>
                <w:ilvl w:val="0"/>
                <w:numId w:val="0"/>
              </w:num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（1）需保证未被高交会采用的文章，不会在其他任何场合公开场所使用。</w:t>
            </w:r>
          </w:p>
          <w:p>
            <w:p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（2）需保证不得将甲方提供文章的参考主题、创作素材及相关内容等任何信息泄露给第三方；因此而导致任何争议，由投标人负责解决，并赔偿招标人因此所遭受的一切损失。</w:t>
            </w:r>
          </w:p>
          <w:p>
            <w:p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（3）不得以任何名义非法收受或索取高交会参展企业（个人）的财务，包括金钱、实物和其他用金钱计算数额的财产性利益。</w:t>
            </w:r>
          </w:p>
          <w:p>
            <w:p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（4）应按照协议约定进行高交会自媒体文章撰写，不得借助合作身份从事与高交会自媒体内容制作无关的其他任何活动；</w:t>
            </w:r>
          </w:p>
          <w:p>
            <w:pPr>
              <w:spacing w:line="2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（5）需应积极维护高交会品牌形象和声誉。</w:t>
            </w:r>
          </w:p>
          <w:p>
            <w:pPr>
              <w:spacing w:line="260" w:lineRule="exact"/>
              <w:rPr>
                <w:rFonts w:hint="default" w:ascii="宋体" w:hAnsi="宋体" w:eastAsia="宋体" w:cs="宋体"/>
                <w:szCs w:val="21"/>
                <w:lang w:val="en-US" w:eastAsia="zh-CN"/>
              </w:rPr>
            </w:pPr>
            <w:r>
              <w:rPr>
                <w:rFonts w:hint="eastAsia" w:ascii="宋体" w:hAnsi="宋体" w:eastAsia="宋体" w:cs="宋体"/>
                <w:szCs w:val="21"/>
                <w:lang w:val="en-US" w:eastAsia="zh-CN"/>
              </w:rPr>
              <w:t>（6）对对方提供的技术情报、资料数据及商业秘密保密。未经对方同意，任何一方不得以任何形式向第三方泄露本项目资料或在项目中接触到的资料，不得将其用于履行本合同之外的其他用途。</w:t>
            </w:r>
          </w:p>
        </w:tc>
        <w:tc>
          <w:tcPr>
            <w:tcW w:w="0" w:type="auto"/>
            <w:gridSpan w:val="3"/>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color w:val="000000"/>
                <w:szCs w:val="21"/>
              </w:rPr>
            </w:pPr>
            <w:r>
              <w:rPr>
                <w:rFonts w:hint="eastAsia" w:ascii="宋体" w:hAnsi="宋体" w:eastAsia="宋体" w:cs="宋体"/>
                <w:color w:val="000000"/>
                <w:szCs w:val="21"/>
              </w:rPr>
              <w:t>是</w:t>
            </w:r>
          </w:p>
        </w:tc>
        <w:tc>
          <w:tcPr>
            <w:tcW w:w="0" w:type="auto"/>
            <w:tcBorders>
              <w:top w:val="nil"/>
              <w:left w:val="nil"/>
              <w:bottom w:val="single" w:color="auto" w:sz="4" w:space="0"/>
              <w:right w:val="single" w:color="auto" w:sz="4" w:space="0"/>
            </w:tcBorders>
            <w:noWrap w:val="0"/>
            <w:vAlign w:val="center"/>
          </w:tcPr>
          <w:p>
            <w:pPr>
              <w:spacing w:line="260" w:lineRule="exact"/>
              <w:jc w:val="center"/>
              <w:rPr>
                <w:rFonts w:ascii="宋体" w:hAnsi="宋体" w:eastAsia="宋体" w:cs="宋体"/>
                <w:color w:val="000000"/>
                <w:szCs w:val="21"/>
              </w:rPr>
            </w:pPr>
            <w:r>
              <w:rPr>
                <w:rFonts w:hint="eastAsia" w:ascii="宋体" w:hAnsi="宋体" w:eastAsia="宋体" w:cs="宋体"/>
                <w:color w:val="000000"/>
                <w:szCs w:val="21"/>
              </w:rPr>
              <w:t>否</w:t>
            </w:r>
          </w:p>
        </w:tc>
        <w:tc>
          <w:tcPr>
            <w:tcW w:w="0" w:type="auto"/>
            <w:tcBorders>
              <w:top w:val="single" w:color="auto" w:sz="4" w:space="0"/>
              <w:left w:val="nil"/>
              <w:bottom w:val="single" w:color="auto" w:sz="4" w:space="0"/>
              <w:right w:val="single" w:color="000000" w:sz="8" w:space="0"/>
            </w:tcBorders>
            <w:noWrap w:val="0"/>
            <w:vAlign w:val="center"/>
          </w:tcPr>
          <w:p>
            <w:pPr>
              <w:spacing w:line="260" w:lineRule="exact"/>
              <w:jc w:val="center"/>
              <w:rPr>
                <w:rFonts w:ascii="宋体" w:hAnsi="宋体" w:eastAsia="宋体" w:cs="宋体"/>
                <w:sz w:val="20"/>
              </w:rPr>
            </w:pPr>
            <w:r>
              <w:rPr>
                <w:rFonts w:hint="eastAsia" w:ascii="宋体" w:hAnsi="宋体" w:eastAsia="宋体" w:cs="宋体"/>
                <w:sz w:val="20"/>
              </w:rPr>
              <w:t>如有则直接评定为差</w:t>
            </w:r>
          </w:p>
        </w:tc>
      </w:tr>
      <w:tr>
        <w:tblPrEx>
          <w:tblCellMar>
            <w:top w:w="0" w:type="dxa"/>
            <w:left w:w="108" w:type="dxa"/>
            <w:bottom w:w="0" w:type="dxa"/>
            <w:right w:w="108" w:type="dxa"/>
          </w:tblCellMar>
        </w:tblPrEx>
        <w:trPr>
          <w:trHeight w:val="462" w:hRule="atLeast"/>
          <w:jc w:val="center"/>
        </w:trPr>
        <w:tc>
          <w:tcPr>
            <w:tcW w:w="0" w:type="auto"/>
            <w:tcBorders>
              <w:top w:val="nil"/>
              <w:left w:val="single" w:color="auto" w:sz="8" w:space="0"/>
              <w:bottom w:val="single" w:color="000000" w:sz="4" w:space="0"/>
              <w:right w:val="single" w:color="auto" w:sz="4" w:space="0"/>
            </w:tcBorders>
            <w:noWrap w:val="0"/>
            <w:vAlign w:val="center"/>
          </w:tcPr>
          <w:p>
            <w:pPr>
              <w:spacing w:line="260" w:lineRule="exact"/>
              <w:ind w:firstLine="360"/>
              <w:rPr>
                <w:rFonts w:ascii="黑体" w:hAnsi="宋体" w:eastAsia="黑体" w:cs="宋体"/>
                <w:sz w:val="24"/>
              </w:rPr>
            </w:pPr>
          </w:p>
        </w:tc>
        <w:tc>
          <w:tcPr>
            <w:tcW w:w="0" w:type="auto"/>
            <w:gridSpan w:val="9"/>
            <w:tcBorders>
              <w:top w:val="single" w:color="auto" w:sz="4" w:space="0"/>
              <w:left w:val="nil"/>
              <w:bottom w:val="single" w:color="auto" w:sz="4" w:space="0"/>
              <w:right w:val="single" w:color="000000" w:sz="8" w:space="0"/>
            </w:tcBorders>
            <w:noWrap w:val="0"/>
            <w:vAlign w:val="center"/>
          </w:tcPr>
          <w:p>
            <w:pPr>
              <w:spacing w:line="260" w:lineRule="exact"/>
              <w:jc w:val="center"/>
              <w:rPr>
                <w:rFonts w:ascii="宋体" w:hAnsi="宋体" w:eastAsia="宋体" w:cs="宋体"/>
                <w:sz w:val="24"/>
              </w:rPr>
            </w:pPr>
            <w:r>
              <w:rPr>
                <w:rFonts w:hint="eastAsia" w:ascii="宋体" w:hAnsi="宋体" w:eastAsia="宋体" w:cs="宋体"/>
                <w:sz w:val="24"/>
              </w:rPr>
              <w:t>合计得分：</w:t>
            </w:r>
          </w:p>
        </w:tc>
      </w:tr>
      <w:tr>
        <w:tblPrEx>
          <w:tblCellMar>
            <w:top w:w="0" w:type="dxa"/>
            <w:left w:w="108" w:type="dxa"/>
            <w:bottom w:w="0" w:type="dxa"/>
            <w:right w:w="108" w:type="dxa"/>
          </w:tblCellMar>
        </w:tblPrEx>
        <w:trPr>
          <w:trHeight w:val="530" w:hRule="atLeast"/>
          <w:jc w:val="center"/>
        </w:trPr>
        <w:tc>
          <w:tcPr>
            <w:tcW w:w="0" w:type="auto"/>
            <w:gridSpan w:val="2"/>
            <w:vMerge w:val="restart"/>
            <w:tcBorders>
              <w:top w:val="single" w:color="auto" w:sz="8" w:space="0"/>
              <w:left w:val="single" w:color="auto" w:sz="8" w:space="0"/>
              <w:bottom w:val="single" w:color="000000" w:sz="8" w:space="0"/>
              <w:right w:val="single" w:color="000000" w:sz="8" w:space="0"/>
            </w:tcBorders>
            <w:noWrap w:val="0"/>
            <w:vAlign w:val="center"/>
          </w:tcPr>
          <w:p>
            <w:pPr>
              <w:jc w:val="center"/>
              <w:rPr>
                <w:rFonts w:ascii="黑体" w:hAnsi="宋体" w:eastAsia="黑体" w:cs="宋体"/>
                <w:sz w:val="24"/>
              </w:rPr>
            </w:pPr>
            <w:r>
              <w:rPr>
                <w:rFonts w:hint="eastAsia" w:ascii="黑体" w:hAnsi="宋体" w:eastAsia="黑体" w:cs="宋体"/>
                <w:sz w:val="24"/>
              </w:rPr>
              <w:t>评价档次</w:t>
            </w:r>
          </w:p>
        </w:tc>
        <w:tc>
          <w:tcPr>
            <w:tcW w:w="0" w:type="auto"/>
            <w:tcBorders>
              <w:top w:val="single" w:color="auto" w:sz="8" w:space="0"/>
              <w:left w:val="nil"/>
              <w:bottom w:val="single" w:color="auto" w:sz="8" w:space="0"/>
              <w:right w:val="single" w:color="000000" w:sz="8" w:space="0"/>
            </w:tcBorders>
            <w:noWrap w:val="0"/>
            <w:vAlign w:val="center"/>
          </w:tcPr>
          <w:p>
            <w:pPr>
              <w:jc w:val="center"/>
              <w:rPr>
                <w:rFonts w:ascii="宋体" w:hAnsi="宋体" w:eastAsia="宋体" w:cs="宋体"/>
                <w:szCs w:val="21"/>
              </w:rPr>
            </w:pPr>
            <w:r>
              <w:rPr>
                <w:rFonts w:hint="eastAsia" w:ascii="宋体" w:hAnsi="宋体" w:eastAsia="宋体" w:cs="宋体"/>
                <w:szCs w:val="21"/>
              </w:rPr>
              <w:t>优秀（</w:t>
            </w:r>
            <w:r>
              <w:rPr>
                <w:rFonts w:ascii="宋体" w:hAnsi="宋体" w:eastAsia="宋体"/>
                <w:color w:val="767171"/>
                <w:szCs w:val="21"/>
              </w:rPr>
              <w:t>≥</w:t>
            </w:r>
            <w:r>
              <w:rPr>
                <w:rFonts w:hint="eastAsia" w:ascii="宋体" w:hAnsi="宋体" w:eastAsia="宋体" w:cs="宋体"/>
                <w:szCs w:val="21"/>
              </w:rPr>
              <w:t>90分）</w:t>
            </w:r>
          </w:p>
        </w:tc>
        <w:tc>
          <w:tcPr>
            <w:tcW w:w="0" w:type="auto"/>
            <w:tcBorders>
              <w:top w:val="single" w:color="auto" w:sz="8" w:space="0"/>
              <w:left w:val="nil"/>
              <w:bottom w:val="single" w:color="auto" w:sz="8" w:space="0"/>
              <w:right w:val="single" w:color="000000" w:sz="8" w:space="0"/>
            </w:tcBorders>
            <w:noWrap w:val="0"/>
            <w:vAlign w:val="center"/>
          </w:tcPr>
          <w:p>
            <w:pPr>
              <w:jc w:val="center"/>
              <w:rPr>
                <w:rFonts w:ascii="宋体" w:hAnsi="宋体" w:eastAsia="宋体" w:cs="宋体"/>
                <w:szCs w:val="21"/>
              </w:rPr>
            </w:pPr>
            <w:r>
              <w:rPr>
                <w:rFonts w:hint="eastAsia" w:ascii="宋体" w:hAnsi="宋体" w:eastAsia="宋体" w:cs="宋体"/>
                <w:szCs w:val="21"/>
              </w:rPr>
              <w:t>良好（</w:t>
            </w:r>
            <w:r>
              <w:rPr>
                <w:rFonts w:hint="eastAsia" w:ascii="宋体" w:hAnsi="宋体" w:eastAsia="宋体"/>
                <w:color w:val="767171"/>
                <w:szCs w:val="21"/>
              </w:rPr>
              <w:t>90&gt;X</w:t>
            </w:r>
            <w:r>
              <w:rPr>
                <w:rFonts w:ascii="宋体" w:hAnsi="宋体" w:eastAsia="宋体"/>
                <w:color w:val="767171"/>
                <w:szCs w:val="21"/>
              </w:rPr>
              <w:t>≥80</w:t>
            </w:r>
            <w:r>
              <w:rPr>
                <w:rFonts w:hint="eastAsia" w:ascii="宋体" w:hAnsi="宋体" w:eastAsia="宋体" w:cs="宋体"/>
                <w:szCs w:val="21"/>
              </w:rPr>
              <w:t>）</w:t>
            </w:r>
          </w:p>
        </w:tc>
        <w:tc>
          <w:tcPr>
            <w:tcW w:w="0" w:type="auto"/>
            <w:gridSpan w:val="3"/>
            <w:tcBorders>
              <w:top w:val="single" w:color="auto" w:sz="8" w:space="0"/>
              <w:left w:val="nil"/>
              <w:bottom w:val="single" w:color="auto" w:sz="8" w:space="0"/>
              <w:right w:val="single" w:color="auto" w:sz="8" w:space="0"/>
            </w:tcBorders>
            <w:noWrap w:val="0"/>
            <w:vAlign w:val="center"/>
          </w:tcPr>
          <w:p>
            <w:pPr>
              <w:ind w:firstLine="360"/>
              <w:jc w:val="center"/>
              <w:rPr>
                <w:rFonts w:ascii="宋体" w:hAnsi="宋体" w:eastAsia="宋体" w:cs="宋体"/>
                <w:szCs w:val="21"/>
              </w:rPr>
            </w:pPr>
            <w:r>
              <w:rPr>
                <w:rFonts w:hint="eastAsia" w:ascii="宋体" w:hAnsi="宋体" w:eastAsia="宋体" w:cs="宋体"/>
                <w:szCs w:val="21"/>
              </w:rPr>
              <w:t>合格（</w:t>
            </w:r>
            <w:r>
              <w:rPr>
                <w:rFonts w:hint="eastAsia" w:ascii="宋体" w:hAnsi="宋体" w:eastAsia="宋体"/>
                <w:color w:val="767171"/>
                <w:szCs w:val="21"/>
              </w:rPr>
              <w:t>80&gt;</w:t>
            </w:r>
            <w:r>
              <w:rPr>
                <w:rFonts w:ascii="宋体" w:hAnsi="宋体" w:eastAsia="宋体"/>
                <w:color w:val="767171"/>
                <w:szCs w:val="21"/>
              </w:rPr>
              <w:t>X≥6</w:t>
            </w:r>
            <w:r>
              <w:rPr>
                <w:rFonts w:hint="eastAsia" w:ascii="宋体" w:hAnsi="宋体" w:eastAsia="宋体"/>
                <w:color w:val="767171"/>
                <w:szCs w:val="21"/>
              </w:rPr>
              <w:t>0</w:t>
            </w:r>
            <w:r>
              <w:rPr>
                <w:rFonts w:hint="eastAsia" w:ascii="宋体" w:hAnsi="宋体" w:eastAsia="宋体" w:cs="宋体"/>
                <w:szCs w:val="21"/>
              </w:rPr>
              <w:t>）</w:t>
            </w:r>
          </w:p>
        </w:tc>
        <w:tc>
          <w:tcPr>
            <w:tcW w:w="0" w:type="auto"/>
            <w:gridSpan w:val="3"/>
            <w:tcBorders>
              <w:top w:val="single" w:color="auto" w:sz="8" w:space="0"/>
              <w:left w:val="nil"/>
              <w:bottom w:val="single" w:color="auto" w:sz="8" w:space="0"/>
              <w:right w:val="single" w:color="auto" w:sz="8" w:space="0"/>
            </w:tcBorders>
            <w:noWrap w:val="0"/>
            <w:vAlign w:val="center"/>
          </w:tcPr>
          <w:p>
            <w:pPr>
              <w:ind w:firstLine="360"/>
              <w:jc w:val="center"/>
              <w:rPr>
                <w:rFonts w:ascii="宋体" w:hAnsi="宋体" w:eastAsia="宋体" w:cs="宋体"/>
                <w:szCs w:val="21"/>
              </w:rPr>
            </w:pPr>
            <w:r>
              <w:rPr>
                <w:rFonts w:hint="eastAsia" w:ascii="宋体" w:hAnsi="宋体" w:eastAsia="宋体" w:cs="宋体"/>
                <w:szCs w:val="21"/>
              </w:rPr>
              <w:t>不合格（</w:t>
            </w:r>
            <w:r>
              <w:rPr>
                <w:rFonts w:ascii="宋体" w:hAnsi="宋体" w:eastAsia="宋体" w:cs="宋体"/>
                <w:szCs w:val="21"/>
              </w:rPr>
              <w:t>＜60</w:t>
            </w:r>
            <w:r>
              <w:rPr>
                <w:rFonts w:hint="eastAsia" w:ascii="宋体" w:hAnsi="宋体" w:eastAsia="宋体" w:cs="宋体"/>
                <w:szCs w:val="21"/>
              </w:rPr>
              <w:t>分）</w:t>
            </w:r>
          </w:p>
        </w:tc>
      </w:tr>
      <w:tr>
        <w:tblPrEx>
          <w:tblCellMar>
            <w:top w:w="0" w:type="dxa"/>
            <w:left w:w="108" w:type="dxa"/>
            <w:bottom w:w="0" w:type="dxa"/>
            <w:right w:w="108" w:type="dxa"/>
          </w:tblCellMar>
        </w:tblPrEx>
        <w:trPr>
          <w:trHeight w:val="566" w:hRule="atLeast"/>
          <w:jc w:val="center"/>
        </w:trPr>
        <w:tc>
          <w:tcPr>
            <w:tcW w:w="0" w:type="auto"/>
            <w:gridSpan w:val="2"/>
            <w:vMerge w:val="continue"/>
            <w:tcBorders>
              <w:top w:val="single" w:color="auto" w:sz="8" w:space="0"/>
              <w:left w:val="single" w:color="auto" w:sz="8" w:space="0"/>
              <w:bottom w:val="single" w:color="auto" w:sz="12" w:space="0"/>
              <w:right w:val="single" w:color="000000" w:sz="8" w:space="0"/>
            </w:tcBorders>
            <w:noWrap w:val="0"/>
            <w:vAlign w:val="center"/>
          </w:tcPr>
          <w:p>
            <w:pPr>
              <w:widowControl/>
              <w:jc w:val="left"/>
              <w:rPr>
                <w:rFonts w:ascii="黑体" w:hAnsi="宋体" w:eastAsia="黑体" w:cs="宋体"/>
                <w:sz w:val="24"/>
              </w:rPr>
            </w:pPr>
          </w:p>
        </w:tc>
        <w:tc>
          <w:tcPr>
            <w:tcW w:w="0" w:type="auto"/>
            <w:tcBorders>
              <w:top w:val="nil"/>
              <w:left w:val="nil"/>
              <w:bottom w:val="single" w:color="auto" w:sz="12" w:space="0"/>
              <w:right w:val="single" w:color="000000" w:sz="8" w:space="0"/>
            </w:tcBorders>
            <w:noWrap w:val="0"/>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0" w:type="auto"/>
            <w:tcBorders>
              <w:top w:val="single" w:color="auto" w:sz="8" w:space="0"/>
              <w:left w:val="nil"/>
              <w:bottom w:val="single" w:color="auto" w:sz="12" w:space="0"/>
              <w:right w:val="single" w:color="000000" w:sz="8" w:space="0"/>
            </w:tcBorders>
            <w:noWrap w:val="0"/>
            <w:vAlign w:val="center"/>
          </w:tcPr>
          <w:p>
            <w:pPr>
              <w:ind w:firstLine="360"/>
              <w:jc w:val="center"/>
              <w:rPr>
                <w:rFonts w:eastAsia="宋体"/>
                <w:szCs w:val="21"/>
              </w:rPr>
            </w:pPr>
          </w:p>
        </w:tc>
        <w:tc>
          <w:tcPr>
            <w:tcW w:w="0" w:type="auto"/>
            <w:gridSpan w:val="3"/>
            <w:tcBorders>
              <w:top w:val="single" w:color="auto" w:sz="8" w:space="0"/>
              <w:left w:val="nil"/>
              <w:bottom w:val="single" w:color="auto" w:sz="12" w:space="0"/>
              <w:right w:val="single" w:color="auto" w:sz="8" w:space="0"/>
            </w:tcBorders>
            <w:noWrap w:val="0"/>
            <w:vAlign w:val="center"/>
          </w:tcPr>
          <w:p>
            <w:pPr>
              <w:ind w:firstLine="360"/>
              <w:jc w:val="center"/>
              <w:rPr>
                <w:rFonts w:eastAsia="宋体"/>
                <w:szCs w:val="21"/>
              </w:rPr>
            </w:pPr>
            <w:r>
              <w:rPr>
                <w:rFonts w:hint="eastAsia" w:eastAsia="宋体"/>
                <w:szCs w:val="21"/>
              </w:rPr>
              <w:t>　</w:t>
            </w:r>
          </w:p>
        </w:tc>
        <w:tc>
          <w:tcPr>
            <w:tcW w:w="0" w:type="auto"/>
            <w:gridSpan w:val="3"/>
            <w:tcBorders>
              <w:top w:val="single" w:color="auto" w:sz="8" w:space="0"/>
              <w:left w:val="nil"/>
              <w:bottom w:val="single" w:color="auto" w:sz="12" w:space="0"/>
              <w:right w:val="single" w:color="auto" w:sz="8" w:space="0"/>
            </w:tcBorders>
            <w:noWrap w:val="0"/>
            <w:vAlign w:val="center"/>
          </w:tcPr>
          <w:p>
            <w:pPr>
              <w:ind w:firstLine="360"/>
              <w:jc w:val="center"/>
              <w:rPr>
                <w:rFonts w:eastAsia="宋体"/>
                <w:szCs w:val="21"/>
              </w:rPr>
            </w:pPr>
            <w:r>
              <w:rPr>
                <w:rFonts w:hint="eastAsia" w:eastAsia="宋体"/>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26" w:hRule="atLeast"/>
          <w:jc w:val="center"/>
        </w:trPr>
        <w:tc>
          <w:tcPr>
            <w:tcW w:w="0" w:type="auto"/>
            <w:gridSpan w:val="10"/>
            <w:tcBorders>
              <w:top w:val="single" w:color="auto" w:sz="12" w:space="0"/>
              <w:bottom w:val="single" w:color="auto" w:sz="12" w:space="0"/>
            </w:tcBorders>
            <w:shd w:val="clear" w:color="auto" w:fill="D9D9D9"/>
            <w:noWrap w:val="0"/>
            <w:vAlign w:val="center"/>
          </w:tcPr>
          <w:p>
            <w:pPr>
              <w:spacing w:line="240" w:lineRule="atLeast"/>
              <w:jc w:val="left"/>
              <w:rPr>
                <w:rFonts w:ascii="宋体" w:hAnsi="宋体" w:eastAsia="宋体"/>
                <w:b/>
                <w:bCs/>
                <w:szCs w:val="21"/>
              </w:rPr>
            </w:pPr>
            <w:r>
              <w:rPr>
                <w:rFonts w:ascii="宋体" w:hAnsi="宋体" w:eastAsia="宋体"/>
                <w:b/>
                <w:bCs/>
                <w:szCs w:val="21"/>
              </w:rPr>
              <w:t>补充评价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471" w:hRule="atLeast"/>
          <w:jc w:val="center"/>
        </w:trPr>
        <w:tc>
          <w:tcPr>
            <w:tcW w:w="0" w:type="auto"/>
            <w:gridSpan w:val="2"/>
            <w:tcBorders>
              <w:top w:val="single" w:color="auto" w:sz="12" w:space="0"/>
              <w:bottom w:val="single" w:color="auto" w:sz="12" w:space="0"/>
            </w:tcBorders>
            <w:noWrap w:val="0"/>
            <w:vAlign w:val="center"/>
          </w:tcPr>
          <w:p>
            <w:pPr>
              <w:spacing w:line="240" w:lineRule="atLeast"/>
              <w:rPr>
                <w:rFonts w:hint="eastAsia" w:ascii="宋体" w:hAnsi="宋体" w:eastAsia="宋体"/>
                <w:szCs w:val="21"/>
              </w:rPr>
            </w:pPr>
            <w:r>
              <w:rPr>
                <w:rFonts w:hint="eastAsia" w:ascii="宋体" w:hAnsi="宋体" w:eastAsia="宋体"/>
                <w:szCs w:val="21"/>
              </w:rPr>
              <w:t>其他补充评价</w:t>
            </w:r>
          </w:p>
        </w:tc>
        <w:tc>
          <w:tcPr>
            <w:tcW w:w="0" w:type="auto"/>
            <w:gridSpan w:val="8"/>
            <w:tcBorders>
              <w:top w:val="single" w:color="auto" w:sz="12" w:space="0"/>
              <w:bottom w:val="single" w:color="auto" w:sz="12" w:space="0"/>
            </w:tcBorders>
            <w:noWrap w:val="0"/>
            <w:vAlign w:val="center"/>
          </w:tcPr>
          <w:p>
            <w:pPr>
              <w:tabs>
                <w:tab w:val="left" w:pos="1695"/>
              </w:tabs>
              <w:spacing w:line="240" w:lineRule="atLeast"/>
              <w:jc w:val="center"/>
              <w:rPr>
                <w:rFonts w:ascii="宋体" w:hAnsi="宋体" w:eastAsia="宋体"/>
                <w:bCs/>
                <w:szCs w:val="21"/>
              </w:rPr>
            </w:pPr>
            <w:r>
              <w:rPr>
                <w:rFonts w:hint="eastAsia" w:ascii="宋体" w:hAnsi="宋体" w:eastAsia="宋体"/>
                <w:color w:val="767171"/>
                <w:szCs w:val="21"/>
              </w:rPr>
              <w:t>（如有，请填写）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13" w:hRule="atLeast"/>
          <w:jc w:val="center"/>
        </w:trPr>
        <w:tc>
          <w:tcPr>
            <w:tcW w:w="0" w:type="auto"/>
            <w:gridSpan w:val="10"/>
            <w:tcBorders>
              <w:top w:val="single" w:color="auto" w:sz="12" w:space="0"/>
              <w:bottom w:val="single" w:color="auto" w:sz="12" w:space="0"/>
            </w:tcBorders>
            <w:shd w:val="clear" w:color="auto" w:fill="D9D9D9"/>
            <w:noWrap w:val="0"/>
            <w:vAlign w:val="center"/>
          </w:tcPr>
          <w:p>
            <w:pPr>
              <w:spacing w:line="240" w:lineRule="atLeast"/>
              <w:jc w:val="left"/>
              <w:rPr>
                <w:rFonts w:ascii="宋体" w:hAnsi="宋体" w:eastAsia="宋体"/>
                <w:b/>
                <w:bCs/>
                <w:szCs w:val="21"/>
              </w:rPr>
            </w:pPr>
            <w:r>
              <w:rPr>
                <w:rFonts w:hint="eastAsia" w:ascii="宋体" w:hAnsi="宋体" w:eastAsia="宋体"/>
                <w:b/>
                <w:bCs/>
                <w:szCs w:val="21"/>
              </w:rPr>
              <w:t>综合评价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055" w:hRule="atLeast"/>
          <w:jc w:val="center"/>
        </w:trPr>
        <w:tc>
          <w:tcPr>
            <w:tcW w:w="0" w:type="auto"/>
            <w:gridSpan w:val="2"/>
            <w:tcBorders>
              <w:top w:val="single" w:color="auto" w:sz="12" w:space="0"/>
              <w:bottom w:val="double" w:color="auto" w:sz="4" w:space="0"/>
            </w:tcBorders>
            <w:noWrap w:val="0"/>
            <w:vAlign w:val="center"/>
          </w:tcPr>
          <w:p>
            <w:pPr>
              <w:spacing w:line="240" w:lineRule="atLeast"/>
              <w:rPr>
                <w:rFonts w:hint="eastAsia" w:ascii="宋体" w:hAnsi="宋体" w:eastAsia="宋体"/>
                <w:szCs w:val="21"/>
              </w:rPr>
            </w:pPr>
            <w:r>
              <w:rPr>
                <w:rFonts w:hint="eastAsia" w:ascii="宋体" w:hAnsi="宋体" w:eastAsia="宋体"/>
                <w:szCs w:val="21"/>
              </w:rPr>
              <w:t>评价结论</w:t>
            </w:r>
          </w:p>
        </w:tc>
        <w:tc>
          <w:tcPr>
            <w:tcW w:w="0" w:type="auto"/>
            <w:gridSpan w:val="8"/>
            <w:tcBorders>
              <w:top w:val="single" w:color="auto" w:sz="12" w:space="0"/>
              <w:bottom w:val="double" w:color="auto" w:sz="4" w:space="0"/>
            </w:tcBorders>
            <w:noWrap w:val="0"/>
            <w:vAlign w:val="center"/>
          </w:tcPr>
          <w:p>
            <w:pPr>
              <w:spacing w:line="240" w:lineRule="atLeast"/>
              <w:jc w:val="left"/>
              <w:rPr>
                <w:rFonts w:ascii="宋体" w:hAnsi="宋体" w:eastAsia="宋体"/>
                <w:bCs/>
                <w:szCs w:val="21"/>
              </w:rPr>
            </w:pPr>
            <w:r>
              <w:rPr>
                <w:rFonts w:hint="eastAsia" w:ascii="宋体" w:hAnsi="宋体" w:eastAsia="宋体"/>
                <w:bCs/>
                <w:szCs w:val="21"/>
              </w:rPr>
              <w:t>总体评价意见：</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240" w:lineRule="atLeast"/>
              <w:jc w:val="left"/>
              <w:rPr>
                <w:rFonts w:hint="eastAsia" w:ascii="宋体" w:hAnsi="宋体" w:eastAsia="宋体"/>
                <w:bCs/>
                <w:szCs w:val="21"/>
              </w:rPr>
            </w:pPr>
          </w:p>
          <w:p>
            <w:pPr>
              <w:spacing w:line="240" w:lineRule="atLeast"/>
              <w:jc w:val="left"/>
              <w:rPr>
                <w:rFonts w:ascii="宋体" w:hAnsi="宋体" w:eastAsia="宋体"/>
                <w:bCs/>
                <w:szCs w:val="21"/>
              </w:rPr>
            </w:pPr>
            <w:r>
              <w:rPr>
                <w:rFonts w:hint="eastAsia" w:ascii="宋体" w:hAnsi="宋体" w:eastAsia="宋体"/>
                <w:bCs/>
                <w:szCs w:val="21"/>
              </w:rPr>
              <w:t>评估成为本单位：□ 推荐</w:t>
            </w:r>
            <w:r>
              <w:rPr>
                <w:rFonts w:ascii="宋体" w:hAnsi="宋体" w:eastAsia="宋体"/>
                <w:bCs/>
                <w:szCs w:val="21"/>
              </w:rPr>
              <w:t>服务机构</w:t>
            </w:r>
            <w:r>
              <w:rPr>
                <w:rFonts w:hint="eastAsia" w:ascii="宋体" w:hAnsi="宋体" w:eastAsia="宋体"/>
                <w:bCs/>
                <w:szCs w:val="21"/>
              </w:rPr>
              <w:t xml:space="preserve"> </w:t>
            </w:r>
            <w:r>
              <w:rPr>
                <w:rFonts w:ascii="宋体" w:hAnsi="宋体" w:eastAsia="宋体"/>
                <w:bCs/>
                <w:szCs w:val="21"/>
              </w:rPr>
              <w:t xml:space="preserve"> </w:t>
            </w:r>
            <w:r>
              <w:rPr>
                <w:rFonts w:hint="eastAsia" w:ascii="宋体" w:hAnsi="宋体" w:eastAsia="宋体"/>
                <w:bCs/>
                <w:szCs w:val="21"/>
              </w:rPr>
              <w:t>□ 不合格服务机构</w:t>
            </w:r>
          </w:p>
          <w:p>
            <w:pPr>
              <w:spacing w:line="240" w:lineRule="atLeast"/>
              <w:jc w:val="left"/>
              <w:rPr>
                <w:rFonts w:ascii="宋体" w:hAnsi="宋体" w:eastAsia="宋体"/>
                <w:szCs w:val="21"/>
                <w:u w:val="single"/>
              </w:rPr>
            </w:pPr>
            <w:r>
              <w:rPr>
                <w:rFonts w:hint="eastAsia" w:ascii="宋体" w:hAnsi="宋体" w:eastAsia="宋体"/>
                <w:bCs/>
                <w:szCs w:val="21"/>
              </w:rPr>
              <w:t>项目负责人签字（单位签章</w:t>
            </w:r>
            <w:r>
              <w:rPr>
                <w:rFonts w:ascii="宋体" w:hAnsi="宋体" w:eastAsia="宋体"/>
                <w:bCs/>
                <w:szCs w:val="21"/>
              </w:rPr>
              <w:t>）</w:t>
            </w:r>
            <w:r>
              <w:rPr>
                <w:rFonts w:hint="eastAsia" w:ascii="宋体" w:hAnsi="宋体" w:eastAsia="宋体"/>
                <w:bCs/>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tabs>
                <w:tab w:val="center" w:pos="3817"/>
              </w:tabs>
              <w:spacing w:line="240" w:lineRule="atLeast"/>
              <w:jc w:val="left"/>
              <w:rPr>
                <w:rFonts w:hint="eastAsia" w:ascii="宋体" w:hAnsi="宋体" w:eastAsia="宋体"/>
                <w:bCs/>
                <w:szCs w:val="21"/>
              </w:rPr>
            </w:pPr>
            <w:r>
              <w:rPr>
                <w:rFonts w:hint="eastAsia" w:ascii="宋体" w:hAnsi="宋体" w:eastAsia="宋体"/>
                <w:szCs w:val="21"/>
              </w:rPr>
              <w:t>日期：        年    月     日</w:t>
            </w:r>
          </w:p>
        </w:tc>
      </w:tr>
    </w:tbl>
    <w:p>
      <w:pPr>
        <w:tabs>
          <w:tab w:val="left" w:pos="1644"/>
        </w:tabs>
        <w:rPr>
          <w:rFonts w:ascii="宋体" w:hAnsi="宋体" w:eastAsia="宋体" w:cs="宋体"/>
          <w:sz w:val="24"/>
        </w:rPr>
      </w:pPr>
    </w:p>
    <w:p>
      <w:pPr>
        <w:rPr>
          <w:rFonts w:eastAsia="宋体"/>
        </w:rPr>
      </w:pPr>
    </w:p>
    <w:p>
      <w:pPr>
        <w:pStyle w:val="13"/>
      </w:pPr>
    </w:p>
    <w:p>
      <w:pPr>
        <w:pStyle w:val="13"/>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A2548"/>
    <w:multiLevelType w:val="singleLevel"/>
    <w:tmpl w:val="876A2548"/>
    <w:lvl w:ilvl="0" w:tentative="0">
      <w:start w:val="1"/>
      <w:numFmt w:val="decimal"/>
      <w:suff w:val="nothing"/>
      <w:lvlText w:val="（%1）"/>
      <w:lvlJc w:val="left"/>
    </w:lvl>
  </w:abstractNum>
  <w:abstractNum w:abstractNumId="1">
    <w:nsid w:val="A2281775"/>
    <w:multiLevelType w:val="singleLevel"/>
    <w:tmpl w:val="A2281775"/>
    <w:lvl w:ilvl="0" w:tentative="0">
      <w:start w:val="1"/>
      <w:numFmt w:val="decimal"/>
      <w:suff w:val="space"/>
      <w:lvlText w:val="%1."/>
      <w:lvlJc w:val="left"/>
    </w:lvl>
  </w:abstractNum>
  <w:abstractNum w:abstractNumId="2">
    <w:nsid w:val="C4C73C40"/>
    <w:multiLevelType w:val="singleLevel"/>
    <w:tmpl w:val="C4C73C40"/>
    <w:lvl w:ilvl="0" w:tentative="0">
      <w:start w:val="1"/>
      <w:numFmt w:val="decimal"/>
      <w:suff w:val="nothing"/>
      <w:lvlText w:val="（%1）"/>
      <w:lvlJc w:val="left"/>
      <w:pPr>
        <w:ind w:left="0"/>
      </w:pPr>
    </w:lvl>
  </w:abstractNum>
  <w:abstractNum w:abstractNumId="3">
    <w:nsid w:val="D3051835"/>
    <w:multiLevelType w:val="singleLevel"/>
    <w:tmpl w:val="D3051835"/>
    <w:lvl w:ilvl="0" w:tentative="0">
      <w:start w:val="1"/>
      <w:numFmt w:val="decimal"/>
      <w:suff w:val="space"/>
      <w:lvlText w:val="%1."/>
      <w:lvlJc w:val="left"/>
    </w:lvl>
  </w:abstractNum>
  <w:abstractNum w:abstractNumId="4">
    <w:nsid w:val="DAA5A57F"/>
    <w:multiLevelType w:val="singleLevel"/>
    <w:tmpl w:val="DAA5A57F"/>
    <w:lvl w:ilvl="0" w:tentative="0">
      <w:start w:val="1"/>
      <w:numFmt w:val="decimal"/>
      <w:suff w:val="space"/>
      <w:lvlText w:val="%1."/>
      <w:lvlJc w:val="left"/>
    </w:lvl>
  </w:abstractNum>
  <w:abstractNum w:abstractNumId="5">
    <w:nsid w:val="EF7D0A04"/>
    <w:multiLevelType w:val="singleLevel"/>
    <w:tmpl w:val="EF7D0A04"/>
    <w:lvl w:ilvl="0" w:tentative="0">
      <w:start w:val="11"/>
      <w:numFmt w:val="decimal"/>
      <w:lvlText w:val="%1."/>
      <w:lvlJc w:val="left"/>
      <w:pPr>
        <w:tabs>
          <w:tab w:val="left" w:pos="312"/>
        </w:tabs>
      </w:pPr>
    </w:lvl>
  </w:abstractNum>
  <w:abstractNum w:abstractNumId="6">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multilevel"/>
    <w:tmpl w:val="00000008"/>
    <w:lvl w:ilvl="0" w:tentative="0">
      <w:start w:val="1"/>
      <w:numFmt w:val="lowerLetter"/>
      <w:lvlText w:val="（%1）"/>
      <w:lvlJc w:val="left"/>
      <w:pPr>
        <w:tabs>
          <w:tab w:val="left" w:pos="825"/>
        </w:tabs>
        <w:ind w:left="825" w:hanging="720"/>
      </w:pPr>
      <w:rPr>
        <w:rFonts w:hint="eastAsia"/>
      </w:rPr>
    </w:lvl>
    <w:lvl w:ilvl="1" w:tentative="0">
      <w:start w:val="1"/>
      <w:numFmt w:val="decimal"/>
      <w:lvlText w:val="%2、"/>
      <w:lvlJc w:val="left"/>
      <w:pPr>
        <w:tabs>
          <w:tab w:val="left" w:pos="885"/>
        </w:tabs>
        <w:ind w:left="885" w:hanging="360"/>
      </w:pPr>
      <w:rPr>
        <w:rFonts w:hint="eastAsia"/>
      </w:r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8">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3"/>
    <w:multiLevelType w:val="singleLevel"/>
    <w:tmpl w:val="00000013"/>
    <w:lvl w:ilvl="0" w:tentative="0">
      <w:start w:val="1"/>
      <w:numFmt w:val="decimal"/>
      <w:lvlText w:val="%1."/>
      <w:lvlJc w:val="left"/>
      <w:pPr>
        <w:ind w:left="420" w:hanging="420"/>
      </w:pPr>
    </w:lvl>
  </w:abstractNum>
  <w:abstractNum w:abstractNumId="11">
    <w:nsid w:val="05954CD2"/>
    <w:multiLevelType w:val="multilevel"/>
    <w:tmpl w:val="05954CD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426081A"/>
    <w:multiLevelType w:val="singleLevel"/>
    <w:tmpl w:val="1426081A"/>
    <w:lvl w:ilvl="0" w:tentative="0">
      <w:start w:val="1"/>
      <w:numFmt w:val="decimal"/>
      <w:lvlText w:val="(%1)"/>
      <w:lvlJc w:val="left"/>
      <w:pPr>
        <w:ind w:left="425" w:hanging="425"/>
      </w:pPr>
      <w:rPr>
        <w:rFonts w:hint="default"/>
      </w:rPr>
    </w:lvl>
  </w:abstractNum>
  <w:abstractNum w:abstractNumId="13">
    <w:nsid w:val="151812D2"/>
    <w:multiLevelType w:val="singleLevel"/>
    <w:tmpl w:val="151812D2"/>
    <w:lvl w:ilvl="0" w:tentative="0">
      <w:start w:val="1"/>
      <w:numFmt w:val="decimal"/>
      <w:suff w:val="nothing"/>
      <w:lvlText w:val="（%1）"/>
      <w:lvlJc w:val="left"/>
    </w:lvl>
  </w:abstractNum>
  <w:abstractNum w:abstractNumId="14">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6">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1305886"/>
    <w:multiLevelType w:val="singleLevel"/>
    <w:tmpl w:val="21305886"/>
    <w:lvl w:ilvl="0" w:tentative="0">
      <w:start w:val="1"/>
      <w:numFmt w:val="decimal"/>
      <w:lvlText w:val="（%1）"/>
      <w:lvlJc w:val="left"/>
      <w:pPr>
        <w:ind w:left="420" w:hanging="420"/>
      </w:pPr>
      <w:rPr>
        <w:rFonts w:hint="eastAsia"/>
      </w:rPr>
    </w:lvl>
  </w:abstractNum>
  <w:abstractNum w:abstractNumId="18">
    <w:nsid w:val="28E10C89"/>
    <w:multiLevelType w:val="singleLevel"/>
    <w:tmpl w:val="28E10C89"/>
    <w:lvl w:ilvl="0" w:tentative="0">
      <w:start w:val="1"/>
      <w:numFmt w:val="decimal"/>
      <w:suff w:val="space"/>
      <w:lvlText w:val="%1."/>
      <w:lvlJc w:val="left"/>
    </w:lvl>
  </w:abstractNum>
  <w:abstractNum w:abstractNumId="1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2">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3">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4">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5">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6">
    <w:nsid w:val="7B4A4E0C"/>
    <w:multiLevelType w:val="singleLevel"/>
    <w:tmpl w:val="7B4A4E0C"/>
    <w:lvl w:ilvl="0" w:tentative="0">
      <w:start w:val="1"/>
      <w:numFmt w:val="decimal"/>
      <w:lvlText w:val="（%1）"/>
      <w:lvlJc w:val="left"/>
      <w:pPr>
        <w:ind w:left="420" w:hanging="420"/>
      </w:pPr>
      <w:rPr>
        <w:rFonts w:hint="default"/>
        <w:color w:val="auto"/>
      </w:rPr>
    </w:lvl>
  </w:abstractNum>
  <w:abstractNum w:abstractNumId="27">
    <w:nsid w:val="7ED17433"/>
    <w:multiLevelType w:val="singleLevel"/>
    <w:tmpl w:val="7ED17433"/>
    <w:lvl w:ilvl="0" w:tentative="0">
      <w:start w:val="1"/>
      <w:numFmt w:val="decimal"/>
      <w:lvlText w:val="（%1）"/>
      <w:lvlJc w:val="left"/>
      <w:pPr>
        <w:ind w:left="420" w:hanging="420"/>
      </w:pPr>
      <w:rPr>
        <w:rFonts w:hint="eastAsia"/>
      </w:rPr>
    </w:lvl>
  </w:abstractNum>
  <w:num w:numId="1">
    <w:abstractNumId w:val="23"/>
  </w:num>
  <w:num w:numId="2">
    <w:abstractNumId w:val="25"/>
  </w:num>
  <w:num w:numId="3">
    <w:abstractNumId w:val="20"/>
  </w:num>
  <w:num w:numId="4">
    <w:abstractNumId w:val="14"/>
  </w:num>
  <w:num w:numId="5">
    <w:abstractNumId w:val="26"/>
  </w:num>
  <w:num w:numId="6">
    <w:abstractNumId w:val="27"/>
  </w:num>
  <w:num w:numId="7">
    <w:abstractNumId w:val="17"/>
  </w:num>
  <w:num w:numId="8">
    <w:abstractNumId w:val="2"/>
  </w:num>
  <w:num w:numId="9">
    <w:abstractNumId w:val="0"/>
  </w:num>
  <w:num w:numId="10">
    <w:abstractNumId w:val="13"/>
  </w:num>
  <w:num w:numId="11">
    <w:abstractNumId w:val="3"/>
  </w:num>
  <w:num w:numId="12">
    <w:abstractNumId w:val="18"/>
  </w:num>
  <w:num w:numId="13">
    <w:abstractNumId w:val="9"/>
  </w:num>
  <w:num w:numId="14">
    <w:abstractNumId w:val="12"/>
  </w:num>
  <w:num w:numId="15">
    <w:abstractNumId w:val="16"/>
  </w:num>
  <w:num w:numId="16">
    <w:abstractNumId w:val="11"/>
  </w:num>
  <w:num w:numId="17">
    <w:abstractNumId w:val="1"/>
  </w:num>
  <w:num w:numId="18">
    <w:abstractNumId w:val="4"/>
  </w:num>
  <w:num w:numId="19">
    <w:abstractNumId w:val="7"/>
  </w:num>
  <w:num w:numId="20">
    <w:abstractNumId w:val="8"/>
  </w:num>
  <w:num w:numId="21">
    <w:abstractNumId w:val="6"/>
  </w:num>
  <w:num w:numId="22">
    <w:abstractNumId w:val="24"/>
  </w:num>
  <w:num w:numId="23">
    <w:abstractNumId w:val="21"/>
  </w:num>
  <w:num w:numId="24">
    <w:abstractNumId w:val="19"/>
  </w:num>
  <w:num w:numId="25">
    <w:abstractNumId w:val="10"/>
  </w:num>
  <w:num w:numId="26">
    <w:abstractNumId w:val="22"/>
  </w:num>
  <w:num w:numId="27">
    <w:abstractNumId w:val="1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0ZDgyNzllMDZjOWU0NDNkZTcxMTg4Y2I4NzBiYTM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B02A3"/>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163D"/>
    <w:rsid w:val="001723D2"/>
    <w:rsid w:val="00174846"/>
    <w:rsid w:val="00180E0D"/>
    <w:rsid w:val="001959E5"/>
    <w:rsid w:val="001978B2"/>
    <w:rsid w:val="001A282A"/>
    <w:rsid w:val="001A6C5B"/>
    <w:rsid w:val="001E204B"/>
    <w:rsid w:val="001E44D2"/>
    <w:rsid w:val="001F14F2"/>
    <w:rsid w:val="001F279E"/>
    <w:rsid w:val="0020628E"/>
    <w:rsid w:val="00206999"/>
    <w:rsid w:val="0022465E"/>
    <w:rsid w:val="00233E0E"/>
    <w:rsid w:val="00252697"/>
    <w:rsid w:val="00253531"/>
    <w:rsid w:val="00292E63"/>
    <w:rsid w:val="002963F2"/>
    <w:rsid w:val="002A1B14"/>
    <w:rsid w:val="002B743A"/>
    <w:rsid w:val="002C49F2"/>
    <w:rsid w:val="003158DE"/>
    <w:rsid w:val="0032368E"/>
    <w:rsid w:val="003255E6"/>
    <w:rsid w:val="003300CC"/>
    <w:rsid w:val="00337D03"/>
    <w:rsid w:val="003436BC"/>
    <w:rsid w:val="00354484"/>
    <w:rsid w:val="003545D1"/>
    <w:rsid w:val="00356F92"/>
    <w:rsid w:val="0037679F"/>
    <w:rsid w:val="003823A8"/>
    <w:rsid w:val="00397C1E"/>
    <w:rsid w:val="003A09E6"/>
    <w:rsid w:val="003B01FB"/>
    <w:rsid w:val="003D0358"/>
    <w:rsid w:val="003E6092"/>
    <w:rsid w:val="003E66A3"/>
    <w:rsid w:val="003E7621"/>
    <w:rsid w:val="003F1E01"/>
    <w:rsid w:val="004235D9"/>
    <w:rsid w:val="00427D5D"/>
    <w:rsid w:val="00441F17"/>
    <w:rsid w:val="00460C20"/>
    <w:rsid w:val="004707D2"/>
    <w:rsid w:val="00471ED2"/>
    <w:rsid w:val="00476C96"/>
    <w:rsid w:val="004775EE"/>
    <w:rsid w:val="00492F1D"/>
    <w:rsid w:val="004A0594"/>
    <w:rsid w:val="004A0D6B"/>
    <w:rsid w:val="004A7C1F"/>
    <w:rsid w:val="004B0D64"/>
    <w:rsid w:val="004B24F9"/>
    <w:rsid w:val="004D1901"/>
    <w:rsid w:val="004D58FC"/>
    <w:rsid w:val="004D5AC3"/>
    <w:rsid w:val="004D6F70"/>
    <w:rsid w:val="004E3802"/>
    <w:rsid w:val="004E3A19"/>
    <w:rsid w:val="004E40C8"/>
    <w:rsid w:val="004E4541"/>
    <w:rsid w:val="004E7657"/>
    <w:rsid w:val="004F2ED2"/>
    <w:rsid w:val="004F63E5"/>
    <w:rsid w:val="00506B6D"/>
    <w:rsid w:val="00544B6E"/>
    <w:rsid w:val="00550A0A"/>
    <w:rsid w:val="00565EDC"/>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23E99"/>
    <w:rsid w:val="0084470A"/>
    <w:rsid w:val="00845DE7"/>
    <w:rsid w:val="00857F72"/>
    <w:rsid w:val="00866C0E"/>
    <w:rsid w:val="00867C56"/>
    <w:rsid w:val="00870B22"/>
    <w:rsid w:val="00874BB5"/>
    <w:rsid w:val="00895D5D"/>
    <w:rsid w:val="008A0193"/>
    <w:rsid w:val="008B2C67"/>
    <w:rsid w:val="008C44DE"/>
    <w:rsid w:val="008E05E5"/>
    <w:rsid w:val="008F03B4"/>
    <w:rsid w:val="0090721F"/>
    <w:rsid w:val="00915BDD"/>
    <w:rsid w:val="00926702"/>
    <w:rsid w:val="00927979"/>
    <w:rsid w:val="00937F12"/>
    <w:rsid w:val="00943245"/>
    <w:rsid w:val="0094528D"/>
    <w:rsid w:val="00960B05"/>
    <w:rsid w:val="00963D73"/>
    <w:rsid w:val="00976465"/>
    <w:rsid w:val="0098029E"/>
    <w:rsid w:val="0098263B"/>
    <w:rsid w:val="00982922"/>
    <w:rsid w:val="00991233"/>
    <w:rsid w:val="009953F9"/>
    <w:rsid w:val="009A37EC"/>
    <w:rsid w:val="009A699B"/>
    <w:rsid w:val="009A6EF3"/>
    <w:rsid w:val="009B7189"/>
    <w:rsid w:val="009C0135"/>
    <w:rsid w:val="009E25C8"/>
    <w:rsid w:val="009E2781"/>
    <w:rsid w:val="009E3D67"/>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30244"/>
    <w:rsid w:val="00C5180D"/>
    <w:rsid w:val="00C53AB0"/>
    <w:rsid w:val="00C53D1D"/>
    <w:rsid w:val="00C61FB2"/>
    <w:rsid w:val="00C6530D"/>
    <w:rsid w:val="00C72E08"/>
    <w:rsid w:val="00C76FD5"/>
    <w:rsid w:val="00C84C10"/>
    <w:rsid w:val="00C9460F"/>
    <w:rsid w:val="00C95195"/>
    <w:rsid w:val="00CB0006"/>
    <w:rsid w:val="00CB1DEF"/>
    <w:rsid w:val="00CC73DA"/>
    <w:rsid w:val="00CD24C8"/>
    <w:rsid w:val="00CD4DCE"/>
    <w:rsid w:val="00CE24CE"/>
    <w:rsid w:val="00CE34F4"/>
    <w:rsid w:val="00CE5F16"/>
    <w:rsid w:val="00CF3F58"/>
    <w:rsid w:val="00D13594"/>
    <w:rsid w:val="00D2411A"/>
    <w:rsid w:val="00D4224E"/>
    <w:rsid w:val="00D43550"/>
    <w:rsid w:val="00D629CE"/>
    <w:rsid w:val="00D83CA2"/>
    <w:rsid w:val="00D83CC0"/>
    <w:rsid w:val="00D84553"/>
    <w:rsid w:val="00D8470E"/>
    <w:rsid w:val="00D955EB"/>
    <w:rsid w:val="00DB1C4E"/>
    <w:rsid w:val="00DB7D95"/>
    <w:rsid w:val="00DD544D"/>
    <w:rsid w:val="00DE54DF"/>
    <w:rsid w:val="00DE5E4C"/>
    <w:rsid w:val="00DE7DDC"/>
    <w:rsid w:val="00E107EC"/>
    <w:rsid w:val="00E11738"/>
    <w:rsid w:val="00E12957"/>
    <w:rsid w:val="00E27F91"/>
    <w:rsid w:val="00E31BD7"/>
    <w:rsid w:val="00E45D07"/>
    <w:rsid w:val="00E677C6"/>
    <w:rsid w:val="00E70687"/>
    <w:rsid w:val="00E710FC"/>
    <w:rsid w:val="00E75726"/>
    <w:rsid w:val="00E86CB7"/>
    <w:rsid w:val="00E928C6"/>
    <w:rsid w:val="00EA0513"/>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467E3"/>
    <w:rsid w:val="00F47201"/>
    <w:rsid w:val="00F525B8"/>
    <w:rsid w:val="00F53D25"/>
    <w:rsid w:val="00F64816"/>
    <w:rsid w:val="00F73354"/>
    <w:rsid w:val="00FA092E"/>
    <w:rsid w:val="00FA63B5"/>
    <w:rsid w:val="00FA6D58"/>
    <w:rsid w:val="00FD52D3"/>
    <w:rsid w:val="00FE72DF"/>
    <w:rsid w:val="00FF2F91"/>
    <w:rsid w:val="01EE3F35"/>
    <w:rsid w:val="02B47C4D"/>
    <w:rsid w:val="04D46768"/>
    <w:rsid w:val="053A1CC8"/>
    <w:rsid w:val="06856661"/>
    <w:rsid w:val="077B4608"/>
    <w:rsid w:val="07BB74B6"/>
    <w:rsid w:val="07E36B4F"/>
    <w:rsid w:val="08493DEA"/>
    <w:rsid w:val="086E4EC9"/>
    <w:rsid w:val="0B094A92"/>
    <w:rsid w:val="0B734A64"/>
    <w:rsid w:val="0DD201F4"/>
    <w:rsid w:val="0F4526B6"/>
    <w:rsid w:val="0F9C7C22"/>
    <w:rsid w:val="152B64B8"/>
    <w:rsid w:val="15740DA4"/>
    <w:rsid w:val="1624772B"/>
    <w:rsid w:val="167370B5"/>
    <w:rsid w:val="17A4532A"/>
    <w:rsid w:val="195A6BC0"/>
    <w:rsid w:val="1A7E3F9C"/>
    <w:rsid w:val="1E3542A9"/>
    <w:rsid w:val="1FEB1C49"/>
    <w:rsid w:val="227A4EED"/>
    <w:rsid w:val="228D0750"/>
    <w:rsid w:val="25A5748F"/>
    <w:rsid w:val="25D72DB2"/>
    <w:rsid w:val="25D85A3C"/>
    <w:rsid w:val="26E95967"/>
    <w:rsid w:val="29CD3262"/>
    <w:rsid w:val="29F245E4"/>
    <w:rsid w:val="2B9E3425"/>
    <w:rsid w:val="2BFA4386"/>
    <w:rsid w:val="2C1B62D4"/>
    <w:rsid w:val="2C8E24C0"/>
    <w:rsid w:val="2CD73EA3"/>
    <w:rsid w:val="2D807AA5"/>
    <w:rsid w:val="2D845ED0"/>
    <w:rsid w:val="2F181B53"/>
    <w:rsid w:val="30381F4F"/>
    <w:rsid w:val="30BC0775"/>
    <w:rsid w:val="32D163B6"/>
    <w:rsid w:val="34A05B77"/>
    <w:rsid w:val="36323683"/>
    <w:rsid w:val="38AC36F6"/>
    <w:rsid w:val="3CD94D9C"/>
    <w:rsid w:val="3D3679ED"/>
    <w:rsid w:val="3EC64F16"/>
    <w:rsid w:val="3F1156C8"/>
    <w:rsid w:val="40857E29"/>
    <w:rsid w:val="408D7227"/>
    <w:rsid w:val="416718EC"/>
    <w:rsid w:val="417C08E0"/>
    <w:rsid w:val="439D7A21"/>
    <w:rsid w:val="43D97719"/>
    <w:rsid w:val="447267E8"/>
    <w:rsid w:val="44E431E5"/>
    <w:rsid w:val="492A4A83"/>
    <w:rsid w:val="4937054A"/>
    <w:rsid w:val="495C1F5C"/>
    <w:rsid w:val="4B8B03E4"/>
    <w:rsid w:val="4DDF67CC"/>
    <w:rsid w:val="4EE12BFB"/>
    <w:rsid w:val="50FA6A61"/>
    <w:rsid w:val="51794BC1"/>
    <w:rsid w:val="52A52684"/>
    <w:rsid w:val="53D25371"/>
    <w:rsid w:val="540F1FD2"/>
    <w:rsid w:val="57594B93"/>
    <w:rsid w:val="58297B01"/>
    <w:rsid w:val="594A6990"/>
    <w:rsid w:val="5A113E8D"/>
    <w:rsid w:val="5A3B59C8"/>
    <w:rsid w:val="5BC561DE"/>
    <w:rsid w:val="60A60070"/>
    <w:rsid w:val="640C25AF"/>
    <w:rsid w:val="65622F6B"/>
    <w:rsid w:val="6587558E"/>
    <w:rsid w:val="683A303D"/>
    <w:rsid w:val="68E97B63"/>
    <w:rsid w:val="6A5B2F9C"/>
    <w:rsid w:val="6B1E605C"/>
    <w:rsid w:val="6C5E0507"/>
    <w:rsid w:val="6CF41325"/>
    <w:rsid w:val="6DF43B33"/>
    <w:rsid w:val="6E3F209B"/>
    <w:rsid w:val="70B315BA"/>
    <w:rsid w:val="722B59B6"/>
    <w:rsid w:val="74783A1C"/>
    <w:rsid w:val="74AB354D"/>
    <w:rsid w:val="74B05132"/>
    <w:rsid w:val="76C52AAF"/>
    <w:rsid w:val="772A35DE"/>
    <w:rsid w:val="798425C1"/>
    <w:rsid w:val="79BF662E"/>
    <w:rsid w:val="7B2952F2"/>
    <w:rsid w:val="7B991AD4"/>
    <w:rsid w:val="7DE81128"/>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7"/>
    <w:unhideWhenUsed/>
    <w:qFormat/>
    <w:uiPriority w:val="99"/>
    <w:pPr>
      <w:jc w:val="left"/>
    </w:pPr>
  </w:style>
  <w:style w:type="paragraph" w:styleId="4">
    <w:name w:val="Body Text Indent"/>
    <w:basedOn w:val="1"/>
    <w:qFormat/>
    <w:uiPriority w:val="99"/>
    <w:pPr>
      <w:ind w:firstLine="900"/>
    </w:pPr>
    <w:rPr>
      <w:kern w:val="0"/>
      <w:sz w:val="20"/>
      <w:szCs w:val="20"/>
    </w:rPr>
  </w:style>
  <w:style w:type="paragraph" w:styleId="5">
    <w:name w:val="toc 3"/>
    <w:basedOn w:val="1"/>
    <w:next w:val="1"/>
    <w:unhideWhenUsed/>
    <w:qFormat/>
    <w:uiPriority w:val="39"/>
    <w:pPr>
      <w:ind w:left="840" w:leftChars="400"/>
    </w:pPr>
  </w:style>
  <w:style w:type="paragraph" w:styleId="6">
    <w:name w:val="Plain Text"/>
    <w:basedOn w:val="1"/>
    <w:qFormat/>
    <w:uiPriority w:val="0"/>
    <w:rPr>
      <w:rFonts w:ascii="宋体" w:hAnsi="Courier New"/>
      <w:szCs w:val="20"/>
    </w:rPr>
  </w:style>
  <w:style w:type="paragraph" w:styleId="7">
    <w:name w:val="Balloon Text"/>
    <w:basedOn w:val="1"/>
    <w:link w:val="29"/>
    <w:semiHidden/>
    <w:unhideWhenUsed/>
    <w:qFormat/>
    <w:uiPriority w:val="99"/>
    <w:rPr>
      <w:sz w:val="18"/>
      <w:szCs w:val="18"/>
    </w:rPr>
  </w:style>
  <w:style w:type="paragraph" w:styleId="8">
    <w:name w:val="footer"/>
    <w:basedOn w:val="1"/>
    <w:link w:val="31"/>
    <w:unhideWhenUsed/>
    <w:qFormat/>
    <w:uiPriority w:val="99"/>
    <w:pPr>
      <w:tabs>
        <w:tab w:val="center" w:pos="4153"/>
        <w:tab w:val="right" w:pos="8306"/>
      </w:tabs>
      <w:snapToGrid w:val="0"/>
      <w:jc w:val="left"/>
    </w:pPr>
    <w:rPr>
      <w:sz w:val="18"/>
      <w:szCs w:val="18"/>
    </w:rPr>
  </w:style>
  <w:style w:type="paragraph" w:styleId="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6"/>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Body Text 2"/>
    <w:basedOn w:val="1"/>
    <w:link w:val="35"/>
    <w:qFormat/>
    <w:uiPriority w:val="0"/>
    <w:pPr>
      <w:jc w:val="left"/>
    </w:pPr>
    <w:rPr>
      <w:rFonts w:ascii="仿宋_GB2312" w:hAnsi="宋体" w:eastAsia="仿宋_GB2312"/>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annotation subject"/>
    <w:basedOn w:val="3"/>
    <w:next w:val="3"/>
    <w:link w:val="33"/>
    <w:semiHidden/>
    <w:unhideWhenUsed/>
    <w:qFormat/>
    <w:uiPriority w:val="99"/>
    <w:rPr>
      <w:b/>
      <w:bCs/>
    </w:rPr>
  </w:style>
  <w:style w:type="paragraph" w:styleId="16">
    <w:name w:val="Body Text First Indent 2"/>
    <w:basedOn w:val="4"/>
    <w:qFormat/>
    <w:uiPriority w:val="0"/>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Hyperlink"/>
    <w:basedOn w:val="19"/>
    <w:unhideWhenUsed/>
    <w:qFormat/>
    <w:uiPriority w:val="99"/>
    <w:rPr>
      <w:color w:val="0000FF"/>
      <w:u w:val="single"/>
    </w:rPr>
  </w:style>
  <w:style w:type="character" w:styleId="22">
    <w:name w:val="annotation reference"/>
    <w:basedOn w:val="19"/>
    <w:unhideWhenUsed/>
    <w:qFormat/>
    <w:uiPriority w:val="99"/>
    <w:rPr>
      <w:sz w:val="21"/>
      <w:szCs w:val="21"/>
    </w:rPr>
  </w:style>
  <w:style w:type="character" w:styleId="23">
    <w:name w:val="footnote reference"/>
    <w:basedOn w:val="19"/>
    <w:semiHidden/>
    <w:unhideWhenUsed/>
    <w:qFormat/>
    <w:uiPriority w:val="99"/>
    <w:rPr>
      <w:vertAlign w:val="superscript"/>
    </w:rPr>
  </w:style>
  <w:style w:type="character" w:customStyle="1" w:styleId="24">
    <w:name w:val="列表段落 字符"/>
    <w:link w:val="25"/>
    <w:qFormat/>
    <w:uiPriority w:val="34"/>
    <w:rPr>
      <w:rFonts w:ascii="Times New Roman" w:hAnsi="Times New Roman"/>
      <w:szCs w:val="24"/>
    </w:rPr>
  </w:style>
  <w:style w:type="paragraph" w:styleId="25">
    <w:name w:val="List Paragraph"/>
    <w:basedOn w:val="1"/>
    <w:link w:val="24"/>
    <w:qFormat/>
    <w:uiPriority w:val="34"/>
    <w:pPr>
      <w:ind w:firstLine="420" w:firstLineChars="200"/>
    </w:pPr>
    <w:rPr>
      <w:rFonts w:eastAsiaTheme="minorEastAsia" w:cstheme="minorBidi"/>
    </w:rPr>
  </w:style>
  <w:style w:type="character" w:customStyle="1" w:styleId="26">
    <w:name w:val="批注文字 字符"/>
    <w:basedOn w:val="19"/>
    <w:semiHidden/>
    <w:qFormat/>
    <w:uiPriority w:val="99"/>
    <w:rPr>
      <w:rFonts w:ascii="Times New Roman" w:hAnsi="Times New Roman" w:eastAsia="宋体" w:cs="Times New Roman"/>
      <w:szCs w:val="24"/>
    </w:rPr>
  </w:style>
  <w:style w:type="character" w:customStyle="1" w:styleId="27">
    <w:name w:val="批注文字 字符1"/>
    <w:link w:val="3"/>
    <w:qFormat/>
    <w:uiPriority w:val="99"/>
    <w:rPr>
      <w:rFonts w:ascii="Times New Roman" w:hAnsi="Times New Roman" w:eastAsia="宋体" w:cs="Times New Roman"/>
      <w:szCs w:val="24"/>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9">
    <w:name w:val="批注框文本 字符"/>
    <w:basedOn w:val="19"/>
    <w:link w:val="7"/>
    <w:semiHidden/>
    <w:qFormat/>
    <w:uiPriority w:val="99"/>
    <w:rPr>
      <w:rFonts w:ascii="Times New Roman" w:hAnsi="Times New Roman" w:eastAsia="宋体" w:cs="Times New Roman"/>
      <w:sz w:val="18"/>
      <w:szCs w:val="18"/>
    </w:rPr>
  </w:style>
  <w:style w:type="character" w:customStyle="1" w:styleId="30">
    <w:name w:val="页眉 字符"/>
    <w:basedOn w:val="19"/>
    <w:link w:val="9"/>
    <w:qFormat/>
    <w:uiPriority w:val="99"/>
    <w:rPr>
      <w:rFonts w:ascii="Times New Roman" w:hAnsi="Times New Roman" w:eastAsia="宋体" w:cs="Times New Roman"/>
      <w:sz w:val="18"/>
      <w:szCs w:val="18"/>
    </w:rPr>
  </w:style>
  <w:style w:type="character" w:customStyle="1" w:styleId="31">
    <w:name w:val="页脚 字符"/>
    <w:basedOn w:val="19"/>
    <w:link w:val="8"/>
    <w:qFormat/>
    <w:uiPriority w:val="99"/>
    <w:rPr>
      <w:rFonts w:ascii="Times New Roman" w:hAnsi="Times New Roman" w:eastAsia="宋体" w:cs="Times New Roman"/>
      <w:sz w:val="18"/>
      <w:szCs w:val="18"/>
    </w:rPr>
  </w:style>
  <w:style w:type="character" w:customStyle="1" w:styleId="32">
    <w:name w:val="标题1"/>
    <w:basedOn w:val="19"/>
    <w:qFormat/>
    <w:uiPriority w:val="0"/>
  </w:style>
  <w:style w:type="character" w:customStyle="1" w:styleId="33">
    <w:name w:val="批注主题 字符"/>
    <w:basedOn w:val="27"/>
    <w:link w:val="15"/>
    <w:semiHidden/>
    <w:qFormat/>
    <w:uiPriority w:val="99"/>
    <w:rPr>
      <w:rFonts w:ascii="Times New Roman" w:hAnsi="Times New Roman" w:eastAsia="宋体" w:cs="Times New Roman"/>
      <w:b/>
      <w:bCs/>
      <w:szCs w:val="24"/>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正文文本 2 字符"/>
    <w:basedOn w:val="19"/>
    <w:link w:val="13"/>
    <w:qFormat/>
    <w:uiPriority w:val="0"/>
    <w:rPr>
      <w:rFonts w:ascii="仿宋_GB2312" w:hAnsi="宋体" w:eastAsia="仿宋_GB2312"/>
      <w:kern w:val="2"/>
      <w:sz w:val="21"/>
      <w:szCs w:val="24"/>
    </w:rPr>
  </w:style>
  <w:style w:type="character" w:customStyle="1" w:styleId="36">
    <w:name w:val="脚注文本 字符"/>
    <w:basedOn w:val="19"/>
    <w:link w:val="11"/>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774389-02AD-434D-948A-72B222D2C047}">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16405</Words>
  <Characters>17555</Characters>
  <Lines>125</Lines>
  <Paragraphs>35</Paragraphs>
  <TotalTime>6</TotalTime>
  <ScaleCrop>false</ScaleCrop>
  <LinksUpToDate>false</LinksUpToDate>
  <CharactersWithSpaces>20375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2022-06-23T09:28:00Z</dcterms:created>
  <dc:creator>Tony Young</dc:creator>
  <cp:lastModifiedBy>szcec</cp:lastModifiedBy>
  <dcterms:modified xsi:type="dcterms:W3CDTF">2022-09-16T08:15:31Z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42D3E9F67C49493FA0704B9D922A04BC</vt:lpwstr>
  </property>
</Properties>
</file>