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left" w:pos="8640"/>
        </w:tabs>
        <w:ind w:left="360" w:firstLine="0" w:firstLineChars="0"/>
        <w:rPr>
          <w:sz w:val="30"/>
          <w:szCs w:val="30"/>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项目名称：深圳会展中心2022-2023年度《中国国际高新技术成果交易会会刊》编印服务项目</w:t>
      </w:r>
    </w:p>
    <w:p>
      <w:pPr>
        <w:spacing w:line="360" w:lineRule="auto"/>
        <w:jc w:val="center"/>
        <w:rPr>
          <w:rFonts w:ascii="方正小标宋_GBK" w:hAnsi="方正小标宋_GBK" w:eastAsia="方正小标宋_GBK" w:cs="方正小标宋_GBK"/>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2年10月</w:t>
      </w:r>
      <w:r>
        <w:rPr>
          <w:rFonts w:ascii="方正小标宋_GBK" w:hAnsi="方正小标宋_GBK" w:eastAsia="方正小标宋_GBK" w:cs="方正小标宋_GBK"/>
          <w:b/>
          <w:sz w:val="32"/>
          <w:szCs w:val="32"/>
        </w:rPr>
        <w:br w:type="page"/>
      </w:r>
    </w:p>
    <w:p>
      <w:pPr>
        <w:pStyle w:val="11"/>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1"/>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"_Toc106791252" </w:instrText>
      </w:r>
      <w:r>
        <w:fldChar w:fldCharType="separate"/>
      </w:r>
      <w:r>
        <w:rPr>
          <w:rStyle w:val="21"/>
          <w:rFonts w:ascii="宋体" w:hAnsi="宋体"/>
          <w:b/>
          <w:color w:val="auto"/>
        </w:rPr>
        <w:t>第一部分 项目要求</w:t>
      </w:r>
      <w:r>
        <w:tab/>
      </w:r>
      <w:r>
        <w:fldChar w:fldCharType="begin"/>
      </w:r>
      <w:r>
        <w:instrText xml:space="preserve"> PAGEREF _Toc106791252 \h </w:instrText>
      </w:r>
      <w:r>
        <w:fldChar w:fldCharType="separate"/>
      </w:r>
      <w:r>
        <w:t>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"_Toc106791253" </w:instrText>
      </w:r>
      <w:r>
        <w:fldChar w:fldCharType="separate"/>
      </w:r>
      <w:r>
        <w:rPr>
          <w:rStyle w:val="21"/>
          <w:rFonts w:ascii="宋体" w:hAnsi="宋体" w:cs="仿宋"/>
          <w:bCs/>
          <w:color w:val="auto"/>
        </w:rPr>
        <w:t>一、</w:t>
      </w:r>
      <w:r>
        <w:rPr>
          <w:rStyle w:val="21"/>
          <w:rFonts w:ascii="宋体" w:hAnsi="宋体"/>
          <w:color w:val="auto"/>
        </w:rPr>
        <w:t>投标人须知</w:t>
      </w:r>
      <w:r>
        <w:tab/>
      </w:r>
      <w:r>
        <w:fldChar w:fldCharType="begin"/>
      </w:r>
      <w:r>
        <w:instrText xml:space="preserve"> PAGEREF _Toc106791253 \h </w:instrText>
      </w:r>
      <w:r>
        <w:fldChar w:fldCharType="separate"/>
      </w:r>
      <w:r>
        <w:t>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"_Toc106791254" </w:instrText>
      </w:r>
      <w:r>
        <w:fldChar w:fldCharType="separate"/>
      </w:r>
      <w:r>
        <w:rPr>
          <w:rStyle w:val="21"/>
          <w:rFonts w:ascii="宋体" w:hAnsi="宋体" w:cs="仿宋"/>
          <w:bCs/>
          <w:color w:val="auto"/>
        </w:rPr>
        <w:t>二、</w:t>
      </w:r>
      <w:r>
        <w:rPr>
          <w:rStyle w:val="21"/>
          <w:rFonts w:ascii="宋体" w:hAnsi="宋体"/>
          <w:color w:val="auto"/>
        </w:rPr>
        <w:t>特别说明</w:t>
      </w:r>
      <w:r>
        <w:tab/>
      </w:r>
      <w:r>
        <w:fldChar w:fldCharType="begin"/>
      </w:r>
      <w:r>
        <w:instrText xml:space="preserve"> PAGEREF _Toc106791254 \h </w:instrText>
      </w:r>
      <w:r>
        <w:fldChar w:fldCharType="separate"/>
      </w:r>
      <w:r>
        <w:t>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"_Toc106791255" </w:instrText>
      </w:r>
      <w:r>
        <w:fldChar w:fldCharType="separate"/>
      </w:r>
      <w:r>
        <w:rPr>
          <w:rStyle w:val="21"/>
          <w:rFonts w:ascii="宋体" w:hAnsi="宋体" w:cs="仿宋"/>
          <w:bCs/>
          <w:color w:val="auto"/>
        </w:rPr>
        <w:t>三、</w:t>
      </w:r>
      <w:r>
        <w:rPr>
          <w:rStyle w:val="21"/>
          <w:rFonts w:ascii="宋体" w:hAnsi="宋体"/>
          <w:color w:val="auto"/>
        </w:rPr>
        <w:t>投标文件编制</w:t>
      </w:r>
      <w:r>
        <w:tab/>
      </w:r>
      <w:r>
        <w:fldChar w:fldCharType="begin"/>
      </w:r>
      <w:r>
        <w:instrText xml:space="preserve"> PAGEREF _Toc106791255 \h </w:instrText>
      </w:r>
      <w:r>
        <w:fldChar w:fldCharType="separate"/>
      </w:r>
      <w:r>
        <w:t>4</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"_Toc106791256" </w:instrText>
      </w:r>
      <w:r>
        <w:fldChar w:fldCharType="separate"/>
      </w:r>
      <w:r>
        <w:rPr>
          <w:rStyle w:val="21"/>
          <w:rFonts w:ascii="宋体" w:hAnsi="宋体" w:cs="仿宋"/>
          <w:bCs/>
          <w:color w:val="auto"/>
        </w:rPr>
        <w:t>四、</w:t>
      </w:r>
      <w:r>
        <w:rPr>
          <w:rStyle w:val="21"/>
          <w:rFonts w:ascii="宋体" w:hAnsi="宋体"/>
          <w:color w:val="auto"/>
        </w:rPr>
        <w:t>项目要求及数量</w:t>
      </w:r>
      <w:r>
        <w:tab/>
      </w:r>
      <w:r>
        <w:fldChar w:fldCharType="begin"/>
      </w:r>
      <w:r>
        <w:instrText xml:space="preserve"> PAGEREF _Toc106791256 \h </w:instrText>
      </w:r>
      <w:r>
        <w:fldChar w:fldCharType="separate"/>
      </w:r>
      <w:r>
        <w:t>4</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"_Toc106791257" </w:instrText>
      </w:r>
      <w:r>
        <w:fldChar w:fldCharType="separate"/>
      </w:r>
      <w:r>
        <w:rPr>
          <w:rStyle w:val="21"/>
          <w:rFonts w:ascii="宋体" w:hAnsi="宋体" w:cs="仿宋"/>
          <w:bCs/>
          <w:color w:val="auto"/>
        </w:rPr>
        <w:t>五、</w:t>
      </w:r>
      <w:r>
        <w:rPr>
          <w:rStyle w:val="21"/>
          <w:rFonts w:ascii="宋体" w:hAnsi="宋体"/>
          <w:color w:val="auto"/>
        </w:rPr>
        <w:t>其他项目说明资料</w:t>
      </w:r>
      <w:r>
        <w:tab/>
      </w:r>
      <w:r>
        <w:fldChar w:fldCharType="begin"/>
      </w:r>
      <w:r>
        <w:instrText xml:space="preserve"> PAGEREF _Toc106791257 \h </w:instrText>
      </w:r>
      <w:r>
        <w:fldChar w:fldCharType="separate"/>
      </w:r>
      <w:r>
        <w:t>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"_Toc106791258" </w:instrText>
      </w:r>
      <w:r>
        <w:fldChar w:fldCharType="separate"/>
      </w:r>
      <w:r>
        <w:rPr>
          <w:rStyle w:val="21"/>
          <w:rFonts w:ascii="宋体" w:hAnsi="宋体"/>
          <w:b/>
          <w:color w:val="auto"/>
        </w:rPr>
        <w:t>第二部分：开标评标流程</w:t>
      </w:r>
      <w:r>
        <w:tab/>
      </w:r>
      <w:r>
        <w:fldChar w:fldCharType="begin"/>
      </w:r>
      <w:r>
        <w:instrText xml:space="preserve"> PAGEREF _Toc106791258 \h </w:instrText>
      </w:r>
      <w:r>
        <w:fldChar w:fldCharType="separate"/>
      </w:r>
      <w:r>
        <w:t>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"_Toc106791260" </w:instrText>
      </w:r>
      <w:r>
        <w:fldChar w:fldCharType="separate"/>
      </w:r>
      <w:r>
        <w:rPr>
          <w:rStyle w:val="21"/>
          <w:rFonts w:ascii="宋体" w:hAnsi="宋体" w:cs="仿宋"/>
          <w:bCs/>
          <w:color w:val="auto"/>
        </w:rPr>
        <w:t>六、</w:t>
      </w:r>
      <w:r>
        <w:rPr>
          <w:rStyle w:val="21"/>
          <w:color w:val="auto"/>
        </w:rPr>
        <w:t>开标阶段</w:t>
      </w:r>
      <w:r>
        <w:tab/>
      </w:r>
      <w:r>
        <w:fldChar w:fldCharType="begin"/>
      </w:r>
      <w:r>
        <w:instrText xml:space="preserve"> PAGEREF _Toc106791260 \h </w:instrText>
      </w:r>
      <w:r>
        <w:fldChar w:fldCharType="separate"/>
      </w:r>
      <w:r>
        <w:t>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"_Toc106791261" </w:instrText>
      </w:r>
      <w:r>
        <w:fldChar w:fldCharType="separate"/>
      </w:r>
      <w:r>
        <w:rPr>
          <w:rStyle w:val="21"/>
          <w:rFonts w:ascii="宋体" w:hAnsi="宋体" w:cs="仿宋"/>
          <w:bCs/>
          <w:color w:val="auto"/>
        </w:rPr>
        <w:t>七、</w:t>
      </w:r>
      <w:r>
        <w:rPr>
          <w:rStyle w:val="21"/>
          <w:color w:val="auto"/>
        </w:rPr>
        <w:t>评标阶段</w:t>
      </w:r>
      <w:r>
        <w:tab/>
      </w:r>
      <w:r>
        <w:fldChar w:fldCharType="begin"/>
      </w:r>
      <w:r>
        <w:instrText xml:space="preserve"> PAGEREF _Toc106791261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"_Toc106791262" </w:instrText>
      </w:r>
      <w:r>
        <w:fldChar w:fldCharType="separate"/>
      </w:r>
      <w:r>
        <w:rPr>
          <w:rStyle w:val="21"/>
          <w:rFonts w:ascii="宋体" w:hAnsi="宋体"/>
          <w:b/>
          <w:color w:val="auto"/>
        </w:rPr>
        <w:t>第三部分：评审办法</w:t>
      </w:r>
      <w:r>
        <w:tab/>
      </w:r>
      <w:r>
        <w:fldChar w:fldCharType="begin"/>
      </w:r>
      <w:r>
        <w:instrText xml:space="preserve"> PAGEREF _Toc106791262 \h </w:instrText>
      </w:r>
      <w:r>
        <w:fldChar w:fldCharType="separate"/>
      </w:r>
      <w:r>
        <w:t>8</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"_Toc106791263" </w:instrText>
      </w:r>
      <w:r>
        <w:fldChar w:fldCharType="separate"/>
      </w:r>
      <w:r>
        <w:rPr>
          <w:rStyle w:val="21"/>
          <w:rFonts w:ascii="宋体" w:hAnsi="宋体" w:cs="仿宋"/>
          <w:bCs/>
          <w:color w:val="auto"/>
        </w:rPr>
        <w:t>八、</w:t>
      </w:r>
      <w:r>
        <w:rPr>
          <w:rStyle w:val="21"/>
          <w:rFonts w:ascii="宋体" w:hAnsi="宋体"/>
          <w:bCs/>
          <w:color w:val="auto"/>
        </w:rPr>
        <w:t xml:space="preserve"> 评审办法</w:t>
      </w:r>
      <w:r>
        <w:tab/>
      </w:r>
      <w:r>
        <w:fldChar w:fldCharType="begin"/>
      </w:r>
      <w:r>
        <w:instrText xml:space="preserve"> PAGEREF _Toc106791263 \h </w:instrText>
      </w:r>
      <w:r>
        <w:fldChar w:fldCharType="separate"/>
      </w:r>
      <w:r>
        <w:t>8</w:t>
      </w:r>
      <w:r>
        <w:fldChar w:fldCharType="end"/>
      </w:r>
      <w:r>
        <w:fldChar w:fldCharType="end"/>
      </w:r>
    </w:p>
    <w:p>
      <w:pPr>
        <w:pStyle w:val="7"/>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"_Toc106791264" </w:instrText>
      </w:r>
      <w:r>
        <w:fldChar w:fldCharType="separate"/>
      </w:r>
      <w:r>
        <w:rPr>
          <w:rStyle w:val="21"/>
          <w:rFonts w:ascii="宋体" w:hAnsi="宋体"/>
          <w:color w:val="auto"/>
        </w:rPr>
        <w:t>（一）</w:t>
      </w:r>
      <w:r>
        <w:rPr>
          <w:rStyle w:val="21"/>
          <w:rFonts w:ascii="宋体" w:hAnsi="宋体"/>
          <w:bCs/>
          <w:color w:val="auto"/>
        </w:rPr>
        <w:t>符合性检查</w:t>
      </w:r>
      <w:r>
        <w:tab/>
      </w:r>
      <w:r>
        <w:fldChar w:fldCharType="begin"/>
      </w:r>
      <w:r>
        <w:instrText xml:space="preserve"> PAGEREF _Toc106791264 \h </w:instrText>
      </w:r>
      <w:r>
        <w:fldChar w:fldCharType="separate"/>
      </w:r>
      <w:r>
        <w:t>8</w:t>
      </w:r>
      <w:r>
        <w:fldChar w:fldCharType="end"/>
      </w:r>
      <w:r>
        <w:fldChar w:fldCharType="end"/>
      </w:r>
    </w:p>
    <w:p>
      <w:pPr>
        <w:pStyle w:val="7"/>
        <w:tabs>
          <w:tab w:val="right" w:leader="dot" w:pos="8296"/>
        </w:tabs>
        <w:ind w:left="0" w:leftChars="0" w:firstLine="420" w:firstLineChars="200"/>
        <w:rPr>
          <w:rFonts w:asciiTheme="minorHAnsi" w:hAnsiTheme="minorHAnsi" w:eastAsiaTheme="minorEastAsia" w:cstheme="minorBidi"/>
          <w:szCs w:val="22"/>
        </w:rPr>
      </w:pPr>
      <w:r>
        <w:fldChar w:fldCharType="begin"/>
      </w:r>
      <w:r>
        <w:instrText xml:space="preserve"> HYPERLINK \l "_Toc106791265" </w:instrText>
      </w:r>
      <w:r>
        <w:fldChar w:fldCharType="separate"/>
      </w:r>
      <w:r>
        <w:rPr>
          <w:rStyle w:val="21"/>
          <w:rFonts w:ascii="宋体" w:hAnsi="宋体"/>
          <w:bCs/>
          <w:color w:val="auto"/>
        </w:rPr>
        <w:t>（二）综合评议指标表</w:t>
      </w:r>
      <w:r>
        <w:tab/>
      </w:r>
      <w:r>
        <w:fldChar w:fldCharType="begin"/>
      </w:r>
      <w:r>
        <w:instrText xml:space="preserve"> PAGEREF _Toc106791265 \h </w:instrText>
      </w:r>
      <w:r>
        <w:fldChar w:fldCharType="separate"/>
      </w:r>
      <w:r>
        <w:t>10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"_Toc106791266" </w:instrText>
      </w:r>
      <w:r>
        <w:fldChar w:fldCharType="separate"/>
      </w:r>
      <w:r>
        <w:rPr>
          <w:rStyle w:val="21"/>
          <w:rFonts w:ascii="宋体" w:hAnsi="宋体"/>
          <w:b/>
          <w:color w:val="auto"/>
        </w:rPr>
        <w:t>第四部分：合同条款及格式</w:t>
      </w:r>
      <w:r>
        <w:tab/>
      </w:r>
      <w:r>
        <w:fldChar w:fldCharType="begin"/>
      </w:r>
      <w:r>
        <w:instrText xml:space="preserve"> PAGEREF _Toc106791266 \h </w:instrText>
      </w:r>
      <w:r>
        <w:fldChar w:fldCharType="separate"/>
      </w:r>
      <w:r>
        <w:t>11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"_Toc106791267" </w:instrText>
      </w:r>
      <w:r>
        <w:fldChar w:fldCharType="separate"/>
      </w:r>
      <w:r>
        <w:rPr>
          <w:rStyle w:val="21"/>
          <w:b/>
          <w:color w:val="auto"/>
        </w:rPr>
        <w:t>第五部分：参考附件</w:t>
      </w:r>
      <w:r>
        <w:tab/>
      </w:r>
      <w:r>
        <w:fldChar w:fldCharType="begin"/>
      </w:r>
      <w:r>
        <w:instrText xml:space="preserve"> PAGEREF _Toc106791267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"_Toc106791268" </w:instrText>
      </w:r>
      <w:r>
        <w:fldChar w:fldCharType="separate"/>
      </w:r>
      <w:r>
        <w:rPr>
          <w:rStyle w:val="21"/>
          <w:rFonts w:ascii="宋体" w:hAnsi="宋体"/>
          <w:color w:val="auto"/>
        </w:rPr>
        <w:t>附件1：报名回函</w:t>
      </w:r>
      <w:r>
        <w:tab/>
      </w:r>
      <w:r>
        <w:fldChar w:fldCharType="begin"/>
      </w:r>
      <w:r>
        <w:instrText xml:space="preserve"> PAGEREF _Toc106791268 \h </w:instrText>
      </w:r>
      <w:r>
        <w:fldChar w:fldCharType="separate"/>
      </w:r>
      <w:r>
        <w:t>12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"_Toc106791269" </w:instrText>
      </w:r>
      <w:r>
        <w:fldChar w:fldCharType="separate"/>
      </w:r>
      <w:r>
        <w:rPr>
          <w:rStyle w:val="21"/>
          <w:rFonts w:ascii="宋体" w:hAnsi="宋体"/>
          <w:color w:val="auto"/>
        </w:rPr>
        <w:t>附件2：投标函</w:t>
      </w:r>
      <w:r>
        <w:tab/>
      </w:r>
      <w:r>
        <w:fldChar w:fldCharType="begin"/>
      </w:r>
      <w:r>
        <w:instrText xml:space="preserve"> PAGEREF _Toc106791269 \h </w:instrText>
      </w:r>
      <w:r>
        <w:fldChar w:fldCharType="separate"/>
      </w:r>
      <w:r>
        <w:t>13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"_Toc106791270" </w:instrText>
      </w:r>
      <w:r>
        <w:fldChar w:fldCharType="separate"/>
      </w:r>
      <w:r>
        <w:rPr>
          <w:rStyle w:val="21"/>
          <w:rFonts w:ascii="宋体" w:hAnsi="宋体"/>
          <w:color w:val="auto"/>
        </w:rPr>
        <w:t>附件3：投标一览表</w:t>
      </w:r>
      <w:r>
        <w:tab/>
      </w:r>
      <w:r>
        <w:fldChar w:fldCharType="begin"/>
      </w:r>
      <w:r>
        <w:instrText xml:space="preserve"> PAGEREF _Toc106791270 \h </w:instrText>
      </w:r>
      <w:r>
        <w:fldChar w:fldCharType="separate"/>
      </w:r>
      <w:r>
        <w:t>14</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"_Toc106791271" </w:instrText>
      </w:r>
      <w:r>
        <w:fldChar w:fldCharType="separate"/>
      </w:r>
      <w:r>
        <w:rPr>
          <w:rStyle w:val="21"/>
          <w:rFonts w:ascii="宋体" w:hAnsi="宋体"/>
          <w:color w:val="auto"/>
        </w:rPr>
        <w:t>附件4：考察证明</w:t>
      </w:r>
      <w:r>
        <w:rPr>
          <w:rFonts w:hint="eastAsia" w:ascii="宋体" w:hAnsi="宋体"/>
          <w:szCs w:val="21"/>
        </w:rPr>
        <w:t>（本项目不适用）</w:t>
      </w:r>
      <w:r>
        <w:tab/>
      </w:r>
      <w:r>
        <w:fldChar w:fldCharType="begin"/>
      </w:r>
      <w:r>
        <w:instrText xml:space="preserve"> PAGEREF _Toc106791271 \h </w:instrText>
      </w:r>
      <w:r>
        <w:fldChar w:fldCharType="separate"/>
      </w:r>
      <w:r>
        <w:t>15</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"_Toc106791272" </w:instrText>
      </w:r>
      <w:r>
        <w:fldChar w:fldCharType="separate"/>
      </w:r>
      <w:r>
        <w:rPr>
          <w:rStyle w:val="21"/>
          <w:rFonts w:ascii="宋体" w:hAnsi="宋体"/>
          <w:color w:val="auto"/>
        </w:rPr>
        <w:t>附件5：技术服务响应/偏离表</w:t>
      </w:r>
      <w:r>
        <w:tab/>
      </w:r>
      <w:r>
        <w:fldChar w:fldCharType="begin"/>
      </w:r>
      <w:r>
        <w:instrText xml:space="preserve"> PAGEREF _Toc106791272 \h </w:instrText>
      </w:r>
      <w:r>
        <w:fldChar w:fldCharType="separate"/>
      </w:r>
      <w:r>
        <w:t>16</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"_Toc106791273" </w:instrText>
      </w:r>
      <w:r>
        <w:fldChar w:fldCharType="separate"/>
      </w:r>
      <w:r>
        <w:rPr>
          <w:rStyle w:val="21"/>
          <w:rFonts w:ascii="宋体" w:hAnsi="宋体"/>
          <w:color w:val="auto"/>
        </w:rPr>
        <w:t>附件6：商务条款响应/偏离表</w:t>
      </w:r>
      <w:r>
        <w:tab/>
      </w:r>
      <w:r>
        <w:fldChar w:fldCharType="begin"/>
      </w:r>
      <w:r>
        <w:instrText xml:space="preserve"> PAGEREF _Toc106791273 \h </w:instrText>
      </w:r>
      <w:r>
        <w:fldChar w:fldCharType="separate"/>
      </w:r>
      <w:r>
        <w:t>17</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"_Toc106791274" </w:instrText>
      </w:r>
      <w:r>
        <w:fldChar w:fldCharType="separate"/>
      </w:r>
      <w:r>
        <w:rPr>
          <w:rStyle w:val="21"/>
          <w:rFonts w:ascii="宋体" w:hAnsi="宋体"/>
          <w:color w:val="auto"/>
        </w:rPr>
        <w:t>附件7：报价一览表（货物）（本项目不适用）</w:t>
      </w:r>
      <w:r>
        <w:tab/>
      </w:r>
      <w:r>
        <w:fldChar w:fldCharType="begin"/>
      </w:r>
      <w:r>
        <w:instrText xml:space="preserve"> PAGEREF _Toc106791274 \h </w:instrText>
      </w:r>
      <w:r>
        <w:fldChar w:fldCharType="separate"/>
      </w:r>
      <w:r>
        <w:t>18</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"_Toc106791275" </w:instrText>
      </w:r>
      <w:r>
        <w:fldChar w:fldCharType="separate"/>
      </w:r>
      <w:r>
        <w:rPr>
          <w:rStyle w:val="21"/>
          <w:rFonts w:ascii="宋体" w:hAnsi="宋体"/>
          <w:color w:val="auto"/>
        </w:rPr>
        <w:t>附件8：报价一览表（服务）</w:t>
      </w:r>
      <w:r>
        <w:tab/>
      </w:r>
      <w:r>
        <w:fldChar w:fldCharType="begin"/>
      </w:r>
      <w:r>
        <w:instrText xml:space="preserve"> PAGEREF _Toc106791275 \h </w:instrText>
      </w:r>
      <w:r>
        <w:fldChar w:fldCharType="separate"/>
      </w:r>
      <w:r>
        <w:t>19</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"_Toc106791276" </w:instrText>
      </w:r>
      <w:r>
        <w:fldChar w:fldCharType="separate"/>
      </w:r>
      <w:r>
        <w:rPr>
          <w:rStyle w:val="21"/>
          <w:rFonts w:ascii="宋体" w:hAnsi="宋体"/>
          <w:color w:val="auto"/>
        </w:rPr>
        <w:t>附件9：报价一览表（工程）（本项目不适用）</w:t>
      </w:r>
      <w:r>
        <w:tab/>
      </w:r>
      <w:r>
        <w:fldChar w:fldCharType="begin"/>
      </w:r>
      <w:r>
        <w:instrText xml:space="preserve"> PAGEREF _Toc106791276 \h </w:instrText>
      </w:r>
      <w:r>
        <w:fldChar w:fldCharType="separate"/>
      </w:r>
      <w:r>
        <w:t>20</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"_Toc106791277" </w:instrText>
      </w:r>
      <w:r>
        <w:fldChar w:fldCharType="separate"/>
      </w:r>
      <w:r>
        <w:rPr>
          <w:rStyle w:val="21"/>
          <w:rFonts w:ascii="宋体" w:hAnsi="宋体"/>
          <w:color w:val="auto"/>
        </w:rPr>
        <w:t>附件10：法定代表人证明书</w:t>
      </w:r>
      <w:r>
        <w:tab/>
      </w:r>
      <w:r>
        <w:fldChar w:fldCharType="begin"/>
      </w:r>
      <w:r>
        <w:instrText xml:space="preserve"> PAGEREF _Toc106791277 \h </w:instrText>
      </w:r>
      <w:r>
        <w:fldChar w:fldCharType="separate"/>
      </w:r>
      <w:r>
        <w:t>21</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"_Toc106791278" </w:instrText>
      </w:r>
      <w:r>
        <w:fldChar w:fldCharType="separate"/>
      </w:r>
      <w:r>
        <w:rPr>
          <w:rStyle w:val="21"/>
          <w:rFonts w:ascii="宋体" w:hAnsi="宋体"/>
          <w:color w:val="auto"/>
        </w:rPr>
        <w:t>附件11：法人授权委托证明书</w:t>
      </w:r>
      <w:r>
        <w:tab/>
      </w:r>
      <w:r>
        <w:fldChar w:fldCharType="begin"/>
      </w:r>
      <w:r>
        <w:instrText xml:space="preserve"> PAGEREF _Toc106791278 \h </w:instrText>
      </w:r>
      <w:r>
        <w:fldChar w:fldCharType="separate"/>
      </w:r>
      <w:r>
        <w:t>22</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"_Toc106791279" </w:instrText>
      </w:r>
      <w:r>
        <w:fldChar w:fldCharType="separate"/>
      </w:r>
      <w:r>
        <w:rPr>
          <w:rStyle w:val="21"/>
          <w:rFonts w:ascii="宋体" w:hAnsi="宋体"/>
          <w:color w:val="auto"/>
        </w:rPr>
        <w:t>附件12：经营业绩一览表</w:t>
      </w:r>
      <w:r>
        <w:tab/>
      </w:r>
      <w:r>
        <w:fldChar w:fldCharType="begin"/>
      </w:r>
      <w:r>
        <w:instrText xml:space="preserve"> PAGEREF _Toc106791279 \h </w:instrText>
      </w:r>
      <w:r>
        <w:fldChar w:fldCharType="separate"/>
      </w:r>
      <w:r>
        <w:t>23</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"_Toc106791280" </w:instrText>
      </w:r>
      <w:r>
        <w:fldChar w:fldCharType="separate"/>
      </w:r>
      <w:r>
        <w:rPr>
          <w:rStyle w:val="21"/>
          <w:rFonts w:ascii="宋体" w:hAnsi="宋体"/>
          <w:color w:val="auto"/>
        </w:rPr>
        <w:t>附件13：售后服务承诺书（质量保证服务承诺书）</w:t>
      </w:r>
      <w:r>
        <w:tab/>
      </w:r>
      <w:r>
        <w:fldChar w:fldCharType="begin"/>
      </w:r>
      <w:r>
        <w:instrText xml:space="preserve"> PAGEREF _Toc106791280 \h </w:instrText>
      </w:r>
      <w:r>
        <w:fldChar w:fldCharType="separate"/>
      </w:r>
      <w:r>
        <w:t>24</w:t>
      </w:r>
      <w:r>
        <w:fldChar w:fldCharType="end"/>
      </w:r>
      <w:r>
        <w:fldChar w:fldCharType="end"/>
      </w:r>
    </w:p>
    <w:p>
      <w:pPr>
        <w:pStyle w:val="13"/>
        <w:tabs>
          <w:tab w:val="right" w:leader="dot" w:pos="8296"/>
        </w:tabs>
        <w:rPr>
          <w:rFonts w:asciiTheme="minorHAnsi" w:hAnsiTheme="minorHAnsi" w:eastAsiaTheme="minorEastAsia" w:cstheme="minorBidi"/>
          <w:szCs w:val="22"/>
        </w:rPr>
      </w:pPr>
      <w:r>
        <w:fldChar w:fldCharType="begin"/>
      </w:r>
      <w:r>
        <w:instrText xml:space="preserve"> HYPERLINK \l "_Toc106791281" </w:instrText>
      </w:r>
      <w:r>
        <w:fldChar w:fldCharType="separate"/>
      </w:r>
      <w:r>
        <w:rPr>
          <w:rStyle w:val="21"/>
          <w:rFonts w:ascii="宋体" w:hAnsi="宋体"/>
          <w:color w:val="auto"/>
        </w:rPr>
        <w:t>附件14：履约情况及社会信誉承诺书</w:t>
      </w:r>
      <w:r>
        <w:tab/>
      </w:r>
      <w:r>
        <w:fldChar w:fldCharType="begin"/>
      </w:r>
      <w:r>
        <w:instrText xml:space="preserve"> PAGEREF _Toc106791281 \h </w:instrText>
      </w:r>
      <w:r>
        <w:fldChar w:fldCharType="separate"/>
      </w:r>
      <w:r>
        <w:t>25</w:t>
      </w:r>
      <w:r>
        <w:fldChar w:fldCharType="end"/>
      </w:r>
      <w:r>
        <w:fldChar w:fldCharType="end"/>
      </w:r>
    </w:p>
    <w:p>
      <w:pPr>
        <w:pStyle w:val="13"/>
        <w:tabs>
          <w:tab w:val="right" w:leader="dot" w:pos="8296"/>
        </w:tabs>
        <w:rPr>
          <w:rFonts w:asciiTheme="minorHAnsi" w:hAnsiTheme="minorHAnsi" w:cstheme="minorBidi"/>
          <w:szCs w:val="22"/>
        </w:rPr>
      </w:pPr>
      <w:r>
        <w:fldChar w:fldCharType="begin"/>
      </w:r>
      <w:r>
        <w:instrText xml:space="preserve"> HYPERLINK \l "_Toc106791282" </w:instrText>
      </w:r>
      <w:r>
        <w:fldChar w:fldCharType="separate"/>
      </w:r>
      <w:r>
        <w:rPr>
          <w:rStyle w:val="21"/>
          <w:rFonts w:ascii="宋体" w:hAnsi="宋体"/>
          <w:color w:val="auto"/>
        </w:rPr>
        <w:t>附件15：投标文件密码单</w:t>
      </w:r>
      <w:r>
        <w:tab/>
      </w:r>
      <w:r>
        <w:rPr>
          <w:rFonts w:hint="eastAsia"/>
        </w:rPr>
        <w:t>2</w:t>
      </w:r>
      <w:r>
        <w:rPr>
          <w:rFonts w:hint="eastAsia"/>
        </w:rPr>
        <w:fldChar w:fldCharType="end"/>
      </w:r>
      <w:r>
        <w:rPr>
          <w:rFonts w:hint="eastAsia"/>
        </w:rPr>
        <w:t>6</w:t>
      </w:r>
    </w:p>
    <w:p>
      <w:pPr>
        <w:pStyle w:val="11"/>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r>
        <w:rPr>
          <w:rFonts w:hint="eastAsia" w:ascii="宋体" w:hAnsi="宋体" w:cs="仿宋"/>
          <w:szCs w:val="21"/>
        </w:rPr>
        <w:t xml:space="preserve">    </w:t>
      </w:r>
      <w:r>
        <w:rPr>
          <w:rStyle w:val="39"/>
        </w:rPr>
        <w:t>附件16：供应商履约评价表（一般服务类适用）.............................................................27</w:t>
      </w:r>
      <w:r>
        <w:tab/>
      </w:r>
    </w:p>
    <w:p>
      <w:pPr>
        <w:spacing w:line="360" w:lineRule="auto"/>
        <w:jc w:val="center"/>
        <w:outlineLvl w:val="0"/>
        <w:rPr>
          <w:rFonts w:ascii="宋体" w:hAnsi="宋体"/>
          <w:b/>
          <w:sz w:val="32"/>
          <w:szCs w:val="32"/>
        </w:rPr>
      </w:pPr>
      <w:bookmarkStart w:id="0" w:name="_Toc106791252"/>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06791253"/>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7"/>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联系人：区女士</w:t>
            </w:r>
          </w:p>
          <w:p>
            <w:pPr>
              <w:wordWrap w:val="0"/>
              <w:autoSpaceDE w:val="0"/>
              <w:autoSpaceDN w:val="0"/>
              <w:adjustRightInd w:val="0"/>
              <w:snapToGrid w:val="0"/>
              <w:rPr>
                <w:rFonts w:ascii="宋体" w:hAnsi="宋体"/>
                <w:szCs w:val="21"/>
              </w:rPr>
            </w:pPr>
            <w:r>
              <w:rPr>
                <w:rFonts w:hint="eastAsia" w:ascii="宋体" w:hAnsi="宋体"/>
                <w:szCs w:val="21"/>
              </w:rPr>
              <w:t>电话：0755-82848795</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邮箱：ouwx@chtf.com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深圳会展中心2022-2023年度《中国国际高新技术成果交易会会刊》编印服务项目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eastAsia="仿宋"/>
                <w:i/>
                <w:szCs w:val="21"/>
              </w:rPr>
            </w:pPr>
            <w:r>
              <w:rPr>
                <w:rFonts w:hint="eastAsia" w:ascii="宋体" w:hAnsi="宋体"/>
                <w:szCs w:val="21"/>
              </w:rPr>
              <w:t>2022年度《第二十四届中国国际高新技术成果交易会会刊》和2023年度《第二十五届中国国际高新技术成果交易会会刊》（以下简称《会刊》）是该两届高交会唯一的正式会刊类刊物，各包括两个独立的版本：中文版和英文版，《会刊》文字资料由招标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服务期分为两个周期，服务天数合共37个日历日，具体如下:</w:t>
            </w:r>
          </w:p>
          <w:p>
            <w:pPr>
              <w:autoSpaceDE w:val="0"/>
              <w:autoSpaceDN w:val="0"/>
              <w:adjustRightInd w:val="0"/>
              <w:snapToGrid w:val="0"/>
              <w:rPr>
                <w:rFonts w:ascii="宋体" w:hAnsi="宋体"/>
                <w:szCs w:val="21"/>
              </w:rPr>
            </w:pPr>
            <w:r>
              <w:rPr>
                <w:rFonts w:hint="eastAsia" w:ascii="宋体" w:hAnsi="宋体"/>
                <w:szCs w:val="21"/>
              </w:rPr>
              <w:t>（1）第一期为2022年第二十四届高交会展前17个日历日（暂定从2022年10月28日至11月13日，期间包含设计、印刷及交货时间，具体日期以招标人确定为准）；</w:t>
            </w:r>
          </w:p>
          <w:p>
            <w:pPr>
              <w:autoSpaceDE w:val="0"/>
              <w:autoSpaceDN w:val="0"/>
              <w:adjustRightInd w:val="0"/>
              <w:snapToGrid w:val="0"/>
              <w:rPr>
                <w:rFonts w:ascii="宋体" w:hAnsi="宋体"/>
                <w:szCs w:val="21"/>
              </w:rPr>
            </w:pPr>
            <w:r>
              <w:rPr>
                <w:rFonts w:hint="eastAsia" w:ascii="宋体" w:hAnsi="宋体"/>
                <w:szCs w:val="21"/>
              </w:rPr>
              <w:t>（2）第二期为2023年第二十五届高交会展前20个日历日，期间包含设计、印刷及交货时间，具体日期以招标人确定为准。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2022-10-12 17:00（北京时间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highlight w:val="yellow"/>
              </w:rPr>
              <w:t>https://cg.szcec.com/sharing/vkSyzRtEP</w:t>
            </w:r>
            <w:r>
              <w:rPr>
                <w:rFonts w:hint="eastAsia" w:ascii="宋体" w:hAnsi="宋体"/>
                <w:bCs/>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深圳会展中心官网采购公告栏目下载:</w:t>
            </w:r>
          </w:p>
          <w:p>
            <w:pPr>
              <w:autoSpaceDE w:val="0"/>
              <w:autoSpaceDN w:val="0"/>
              <w:adjustRightInd w:val="0"/>
              <w:snapToGrid w:val="0"/>
              <w:rPr>
                <w:rFonts w:ascii="宋体" w:hAnsi="宋体"/>
                <w:szCs w:val="21"/>
              </w:rPr>
            </w:pPr>
            <w:r>
              <w:rPr>
                <w:rFonts w:hint="eastAsia" w:ascii="宋体" w:hAnsi="宋体"/>
                <w:szCs w:val="21"/>
              </w:rPr>
              <w:t>（</w:t>
            </w:r>
            <w:r>
              <w:fldChar w:fldCharType="begin"/>
            </w:r>
            <w:r>
              <w:instrText xml:space="preserve"> HYPERLINK "https://www.szcec.com/News/index/id/256.html" </w:instrText>
            </w:r>
            <w:r>
              <w:fldChar w:fldCharType="separate"/>
            </w:r>
            <w:r>
              <w:rPr>
                <w:rStyle w:val="21"/>
                <w:rFonts w:ascii="宋体" w:hAnsi="宋体"/>
                <w:szCs w:val="21"/>
              </w:rPr>
              <w:t>https://www.szcec.com/News/index/id/256.html</w:t>
            </w:r>
            <w:r>
              <w:rPr>
                <w:rStyle w:val="21"/>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highlight w:val="yellow"/>
              </w:rPr>
              <w:t>2022-10-19 17:00（北京时间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2022-10-20 17:00（北京时间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2022-10-21 17:00（北京时间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2022-10-22 17:00（北京时间</w:t>
            </w:r>
            <w:r>
              <w:rPr>
                <w:rFonts w:ascii="宋体" w:hAnsi="宋体"/>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highlight w:val="yellow"/>
              </w:rPr>
              <w:t>https://cg.szcec.com/sharing/sErFoPsgc</w:t>
            </w:r>
            <w:r>
              <w:rPr>
                <w:rFonts w:hint="eastAsia" w:ascii="宋体" w:hAnsi="宋体"/>
                <w:bCs/>
              </w:rPr>
              <w:t>，</w:t>
            </w:r>
            <w:r>
              <w:rPr>
                <w:rFonts w:hint="eastAsia" w:ascii="宋体" w:hAnsi="宋体"/>
                <w:szCs w:val="21"/>
              </w:rPr>
              <w:t>并致电确认</w:t>
            </w:r>
            <w:bookmarkStart w:id="2" w:name="_Toc478392822"/>
            <w:bookmarkStart w:id="3" w:name="_Toc478393187"/>
            <w:bookmarkStart w:id="4" w:name="_Toc478110532"/>
            <w:r>
              <w:rPr>
                <w:rFonts w:hint="eastAsia" w:ascii="宋体" w:hAnsi="宋体"/>
                <w:szCs w:val="21"/>
              </w:rPr>
              <w:t>。</w:t>
            </w:r>
            <w:r>
              <w:rPr>
                <w:rFonts w:hint="eastAsia" w:ascii="宋体" w:hAnsi="宋体"/>
              </w:rPr>
              <w:t>注意事项如下：</w:t>
            </w:r>
          </w:p>
          <w:p>
            <w:pPr>
              <w:pStyle w:val="25"/>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szCs w:val="21"/>
              </w:rPr>
              <w:t>建议</w:t>
            </w:r>
            <w:r>
              <w:rPr>
                <w:rFonts w:hint="eastAsia" w:ascii="宋体" w:hAnsi="宋体" w:eastAsia="宋体"/>
                <w:b/>
                <w:bCs/>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5"/>
              <w:numPr>
                <w:ilvl w:val="0"/>
                <w:numId w:val="3"/>
              </w:numPr>
              <w:ind w:left="541" w:hanging="541" w:firstLineChars="0"/>
              <w:rPr>
                <w:rFonts w:ascii="宋体" w:hAnsi="宋体" w:eastAsia="宋体"/>
                <w:szCs w:val="21"/>
              </w:rPr>
            </w:pPr>
            <w:r>
              <w:rPr>
                <w:rFonts w:hint="eastAsia" w:ascii="宋体" w:hAnsi="宋体" w:eastAsia="宋体"/>
                <w:szCs w:val="21"/>
              </w:rPr>
              <w:t>投标人授权代表须熟记文件密码，否则做废标处理。投标文件递交时间截止后，不再接受任何理由的撤回或重新提交文件请求。</w:t>
            </w:r>
          </w:p>
          <w:p>
            <w:pPr>
              <w:pStyle w:val="25"/>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5"/>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highlight w:val="yellow"/>
              </w:rPr>
              <w:t>2022-10-24 09:30（北京时间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yellow"/>
              </w:rPr>
              <w:t>腾讯会议号：</w:t>
            </w:r>
            <w:r>
              <w:rPr>
                <w:rFonts w:ascii="宋体" w:hAnsi="宋体" w:eastAsia="宋体" w:cs="宋体"/>
                <w:sz w:val="24"/>
                <w:szCs w:val="24"/>
                <w:highlight w:val="yellow"/>
              </w:rPr>
              <w:t>767-285-743</w:t>
            </w:r>
            <w:r>
              <w:rPr>
                <w:rFonts w:hint="eastAsia" w:ascii="宋体" w:hAnsi="宋体"/>
                <w:szCs w:val="21"/>
              </w:rPr>
              <w:t>（免密，入会前必须改名为“公司简称+姓名”），届时请各投标人按采购公告要求准时提交投标文件及密码并参加在线开标。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highlight w:val="yellow"/>
              </w:rPr>
              <w:t>https://cg.szcec.com/sharing/rS1cLQJIG</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Segoe UI Symbol"/>
                <w:kern w:val="0"/>
                <w:szCs w:val="21"/>
              </w:rPr>
              <w:sym w:font="Wingdings 2" w:char="0052"/>
            </w:r>
            <w:r>
              <w:rPr>
                <w:rFonts w:hint="eastAsia" w:ascii="宋体" w:hAnsi="宋体" w:cstheme="minorBidi"/>
                <w:kern w:val="0"/>
                <w:szCs w:val="21"/>
              </w:rPr>
              <w:t>不组织。可在本项目招标公告发布后至报名（文件获取）时间截止前自行踏勘。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sym w:font="Wingdings 2" w:char="00A3"/>
            </w:r>
            <w:r>
              <w:rPr>
                <w:rFonts w:hint="eastAsia" w:ascii="宋体" w:hAnsi="宋体" w:cstheme="minorBidi"/>
                <w:kern w:val="0"/>
                <w:szCs w:val="21"/>
              </w:rPr>
              <w:t>组织，踏勘要求：</w:t>
            </w:r>
          </w:p>
          <w:p>
            <w:pPr>
              <w:pStyle w:val="25"/>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5"/>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5"/>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5"/>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5"/>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5"/>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5"/>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hint="eastAsia" w:ascii="宋体" w:hAnsi="宋体" w:eastAsia="宋体"/>
                <w:b/>
                <w:color w:val="FF0000"/>
                <w:kern w:val="0"/>
              </w:rPr>
              <w:t>（特别注意：各投标人不得指派属于高、中、低风险区人员作为本项目的踏勘人员）</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5"/>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5"/>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p>
          <w:p>
            <w:pPr>
              <w:pStyle w:val="25"/>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5"/>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ascii="宋体" w:hAnsi="宋体" w:eastAsia="宋体" w:cs="Segoe UI Symbol"/>
                <w:kern w:val="0"/>
                <w:szCs w:val="21"/>
                <w:u w:val="single"/>
              </w:rPr>
              <w:t>/</w:t>
            </w:r>
            <w:r>
              <w:rPr>
                <w:rFonts w:hint="eastAsia" w:ascii="宋体" w:hAnsi="宋体" w:eastAsia="宋体" w:cs="Segoe UI Symbol"/>
                <w:kern w:val="0"/>
                <w:szCs w:val="21"/>
              </w:rPr>
              <w:t>元</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□银行转账□现金</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hint="eastAsia" w:ascii="宋体" w:hAnsi="宋体" w:cs="Segoe UI Symbol"/>
                <w:kern w:val="0"/>
                <w:szCs w:val="21"/>
                <w:u w:val="single"/>
              </w:rPr>
              <w:t>／</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hint="eastAsia" w:ascii="宋体" w:hAnsi="宋体" w:cs="Segoe UI Symbol"/>
                <w:kern w:val="0"/>
                <w:szCs w:val="21"/>
                <w:u w:val="single"/>
              </w:rPr>
              <w:t>／</w:t>
            </w:r>
          </w:p>
          <w:p>
            <w:pPr>
              <w:pStyle w:val="25"/>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pPr>
            <w:r>
              <w:rPr/>
              <w:sym w:font="Wingdings 2" w:char="0052"/>
            </w:r>
            <w:r>
              <w:rPr>
                <w:rFonts w:hint="eastAsia"/>
              </w:rPr>
              <w:t>不要求递交投标样品</w:t>
            </w:r>
          </w:p>
          <w:p>
            <w:pPr>
              <w:autoSpaceDE w:val="0"/>
              <w:autoSpaceDN w:val="0"/>
              <w:adjustRightInd w:val="0"/>
              <w:snapToGrid w:val="0"/>
              <w:jc w:val="left"/>
            </w:pPr>
            <w:r>
              <w:rPr>
                <w:rFonts w:hint="eastAsia"/>
              </w:rPr>
              <w:sym w:font="Wingdings 2" w:char="00A3"/>
            </w:r>
            <w:r>
              <w:rPr>
                <w:rFonts w:hint="eastAsia"/>
              </w:rPr>
              <w:t>递交投标样品，具体要求：</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255"/>
          <w:numId w:val="0"/>
        </w:numPr>
        <w:spacing w:line="560" w:lineRule="exact"/>
        <w:outlineLvl w:val="1"/>
        <w:rPr>
          <w:rFonts w:ascii="宋体" w:hAnsi="宋体"/>
          <w:b/>
          <w:szCs w:val="21"/>
        </w:rPr>
      </w:pPr>
      <w:bookmarkStart w:id="6" w:name="_Toc82591927"/>
      <w:bookmarkEnd w:id="6"/>
      <w:bookmarkStart w:id="7" w:name="_Toc82684706"/>
      <w:bookmarkEnd w:id="7"/>
      <w:bookmarkStart w:id="8" w:name="_Toc82684705"/>
      <w:bookmarkEnd w:id="8"/>
      <w:bookmarkStart w:id="9" w:name="_Toc82685540"/>
      <w:bookmarkEnd w:id="9"/>
      <w:bookmarkStart w:id="10" w:name="_Toc82684704"/>
      <w:bookmarkEnd w:id="10"/>
      <w:bookmarkStart w:id="11" w:name="_Toc82591925"/>
      <w:bookmarkEnd w:id="11"/>
      <w:bookmarkStart w:id="12" w:name="_Toc82684589"/>
      <w:bookmarkEnd w:id="12"/>
      <w:bookmarkStart w:id="13" w:name="_Toc82591928"/>
      <w:bookmarkEnd w:id="13"/>
      <w:bookmarkStart w:id="14" w:name="_Toc82685543"/>
      <w:bookmarkEnd w:id="14"/>
      <w:bookmarkStart w:id="15" w:name="_Toc82685542"/>
      <w:bookmarkEnd w:id="15"/>
      <w:bookmarkStart w:id="16" w:name="_Toc82684591"/>
      <w:bookmarkEnd w:id="16"/>
      <w:bookmarkStart w:id="17" w:name="_Toc82684588"/>
      <w:bookmarkEnd w:id="17"/>
      <w:bookmarkStart w:id="18" w:name="_Toc82684703"/>
      <w:bookmarkEnd w:id="18"/>
      <w:bookmarkStart w:id="19" w:name="_Toc82684590"/>
      <w:bookmarkEnd w:id="19"/>
      <w:bookmarkStart w:id="20" w:name="_Toc82591926"/>
      <w:bookmarkEnd w:id="20"/>
      <w:bookmarkStart w:id="21" w:name="_Toc82685541"/>
      <w:bookmarkEnd w:id="21"/>
      <w:bookmarkStart w:id="22" w:name="_Toc106791254"/>
    </w:p>
    <w:p>
      <w:pPr>
        <w:numPr>
          <w:ilvl w:val="0"/>
          <w:numId w:val="1"/>
        </w:numPr>
        <w:spacing w:line="560" w:lineRule="exact"/>
        <w:outlineLvl w:val="1"/>
        <w:rPr>
          <w:rFonts w:ascii="宋体" w:hAnsi="宋体"/>
          <w:b/>
          <w:szCs w:val="21"/>
        </w:rPr>
      </w:pPr>
      <w:r>
        <w:rPr>
          <w:rFonts w:hint="eastAsia" w:ascii="宋体" w:hAnsi="宋体"/>
          <w:b/>
          <w:szCs w:val="21"/>
        </w:rPr>
        <w:t>特别说明</w:t>
      </w:r>
      <w:bookmarkEnd w:id="22"/>
    </w:p>
    <w:p>
      <w:pPr>
        <w:pStyle w:val="25"/>
        <w:numPr>
          <w:ilvl w:val="255"/>
          <w:numId w:val="0"/>
        </w:numPr>
        <w:spacing w:line="360" w:lineRule="auto"/>
        <w:ind w:firstLine="420" w:firstLineChars="200"/>
        <w:rPr>
          <w:rFonts w:ascii="宋体" w:hAnsi="宋体" w:eastAsia="宋体" w:cs="宋体"/>
          <w:szCs w:val="21"/>
        </w:rPr>
      </w:pPr>
      <w:bookmarkStart w:id="23" w:name="_Toc45028463"/>
      <w:bookmarkStart w:id="24" w:name="_Toc478387747"/>
      <w:bookmarkStart w:id="25" w:name="_Toc517278751"/>
      <w:r>
        <w:rPr>
          <w:rFonts w:hint="eastAsia" w:ascii="宋体" w:hAnsi="宋体" w:eastAsia="宋体" w:cs="宋体"/>
          <w:szCs w:val="21"/>
        </w:rPr>
        <w:t>1、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5"/>
        <w:numPr>
          <w:ilvl w:val="255"/>
          <w:numId w:val="0"/>
        </w:numPr>
        <w:spacing w:line="360" w:lineRule="auto"/>
        <w:ind w:firstLine="420" w:firstLineChars="200"/>
        <w:rPr>
          <w:rFonts w:ascii="宋体" w:hAnsi="宋体" w:eastAsia="宋体" w:cs="宋体"/>
          <w:szCs w:val="21"/>
        </w:rPr>
      </w:pPr>
      <w:r>
        <w:rPr>
          <w:rFonts w:hint="eastAsia" w:ascii="宋体" w:hAnsi="宋体" w:eastAsia="宋体" w:cs="宋体"/>
          <w:szCs w:val="21"/>
        </w:rPr>
        <w:t>2、本项目涉及的所有往来资料文件均需通过招标人报名回函上指定的地址和方式发送和接收，否则可能导致文件不被接受的不利后果。</w:t>
      </w:r>
    </w:p>
    <w:p>
      <w:pPr>
        <w:pStyle w:val="25"/>
        <w:numPr>
          <w:ilvl w:val="255"/>
          <w:numId w:val="0"/>
        </w:numPr>
        <w:spacing w:line="360" w:lineRule="auto"/>
        <w:ind w:firstLine="420" w:firstLineChars="200"/>
        <w:rPr>
          <w:rFonts w:ascii="宋体" w:hAnsi="宋体" w:eastAsia="宋体" w:cs="宋体"/>
          <w:szCs w:val="21"/>
        </w:rPr>
      </w:pPr>
      <w:r>
        <w:rPr>
          <w:rFonts w:hint="eastAsia" w:ascii="宋体" w:hAnsi="宋体" w:eastAsia="宋体" w:cs="宋体"/>
          <w:szCs w:val="21"/>
        </w:rPr>
        <w:t>3、参与本项目投标，投标人无需交纳投标保证金。如有意参与本项目投标，请在招标公告规定的报名截止时间前，按照要求的方式提交报名回函并致电确认，招标人只接受报名成功的投标人参加投标。</w:t>
      </w:r>
    </w:p>
    <w:p>
      <w:pPr>
        <w:pStyle w:val="25"/>
        <w:numPr>
          <w:ilvl w:val="255"/>
          <w:numId w:val="0"/>
        </w:numPr>
        <w:spacing w:line="360" w:lineRule="auto"/>
        <w:ind w:firstLine="420" w:firstLineChars="200"/>
        <w:rPr>
          <w:rFonts w:ascii="宋体" w:hAnsi="宋体" w:eastAsia="宋体" w:cs="宋体"/>
          <w:szCs w:val="21"/>
        </w:rPr>
      </w:pPr>
      <w:r>
        <w:rPr>
          <w:rFonts w:hint="eastAsia" w:ascii="宋体" w:hAnsi="宋体" w:eastAsia="宋体" w:cs="宋体"/>
          <w:szCs w:val="21"/>
        </w:rPr>
        <w:t>4、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5"/>
        <w:numPr>
          <w:ilvl w:val="255"/>
          <w:numId w:val="0"/>
        </w:numPr>
        <w:spacing w:line="360" w:lineRule="auto"/>
        <w:ind w:firstLine="420" w:firstLineChars="200"/>
        <w:rPr>
          <w:rFonts w:ascii="宋体" w:hAnsi="宋体" w:eastAsia="宋体" w:cs="宋体"/>
          <w:szCs w:val="21"/>
        </w:rPr>
      </w:pPr>
      <w:r>
        <w:rPr>
          <w:rFonts w:hint="eastAsia" w:ascii="宋体" w:hAnsi="宋体" w:eastAsia="宋体" w:cs="宋体"/>
          <w:szCs w:val="21"/>
        </w:rPr>
        <w:t>5、“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5"/>
        <w:numPr>
          <w:ilvl w:val="255"/>
          <w:numId w:val="0"/>
        </w:numPr>
        <w:spacing w:line="360" w:lineRule="auto"/>
        <w:ind w:firstLine="420" w:firstLineChars="200"/>
        <w:rPr>
          <w:rFonts w:ascii="宋体" w:hAnsi="宋体" w:eastAsia="宋体" w:cs="宋体"/>
          <w:szCs w:val="21"/>
        </w:rPr>
      </w:pPr>
      <w:r>
        <w:rPr>
          <w:rFonts w:hint="eastAsia" w:ascii="宋体" w:hAnsi="宋体" w:eastAsia="宋体" w:cs="宋体"/>
          <w:szCs w:val="21"/>
        </w:rPr>
        <w:t>6、当本项目《报价一览表》上的投标报价与《投标一览表》不一致时，以《投标一览表》为准。</w:t>
      </w:r>
    </w:p>
    <w:bookmarkEnd w:id="23"/>
    <w:bookmarkEnd w:id="24"/>
    <w:bookmarkEnd w:id="25"/>
    <w:p>
      <w:pPr>
        <w:pStyle w:val="25"/>
        <w:spacing w:line="360" w:lineRule="auto"/>
        <w:ind w:left="420" w:firstLine="0" w:firstLineChars="0"/>
        <w:rPr>
          <w:rFonts w:ascii="宋体" w:hAnsi="宋体" w:eastAsia="宋体" w:cs="宋体"/>
          <w:szCs w:val="21"/>
        </w:rPr>
      </w:pPr>
    </w:p>
    <w:p>
      <w:pPr>
        <w:spacing w:line="560" w:lineRule="exact"/>
        <w:outlineLvl w:val="1"/>
        <w:rPr>
          <w:rFonts w:ascii="宋体" w:hAnsi="宋体"/>
          <w:b/>
          <w:szCs w:val="21"/>
        </w:rPr>
      </w:pPr>
      <w:bookmarkStart w:id="26" w:name="_Toc82591987"/>
      <w:bookmarkEnd w:id="26"/>
      <w:bookmarkStart w:id="27" w:name="_Toc82684708"/>
      <w:bookmarkEnd w:id="27"/>
      <w:bookmarkStart w:id="28" w:name="_Toc82591989"/>
      <w:bookmarkEnd w:id="28"/>
      <w:bookmarkStart w:id="29" w:name="_Toc82591988"/>
      <w:bookmarkEnd w:id="29"/>
      <w:bookmarkStart w:id="30" w:name="_Toc82685545"/>
      <w:bookmarkEnd w:id="30"/>
      <w:bookmarkStart w:id="31" w:name="_Toc82591986"/>
      <w:bookmarkEnd w:id="31"/>
      <w:bookmarkStart w:id="32" w:name="_Toc82684593"/>
      <w:bookmarkEnd w:id="32"/>
      <w:bookmarkStart w:id="33" w:name="_Toc82591930"/>
      <w:bookmarkEnd w:id="33"/>
      <w:bookmarkStart w:id="34" w:name="_Toc82591985"/>
      <w:bookmarkEnd w:id="34"/>
      <w:bookmarkStart w:id="35" w:name="_Toc106791255"/>
    </w:p>
    <w:p>
      <w:pPr>
        <w:spacing w:line="560" w:lineRule="exact"/>
        <w:outlineLvl w:val="1"/>
        <w:rPr>
          <w:rFonts w:ascii="宋体" w:hAnsi="宋体"/>
          <w:b/>
          <w:szCs w:val="21"/>
        </w:rPr>
      </w:pPr>
    </w:p>
    <w:p>
      <w:p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r>
        <w:rPr>
          <w:rFonts w:hint="eastAsia" w:ascii="宋体" w:hAnsi="宋体"/>
          <w:b/>
          <w:szCs w:val="21"/>
        </w:rPr>
        <w:t>投标文件编制</w:t>
      </w:r>
      <w:bookmarkEnd w:id="35"/>
    </w:p>
    <w:tbl>
      <w:tblPr>
        <w:tblStyle w:val="17"/>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4"/>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p>
        </w:tc>
      </w:tr>
    </w:tbl>
    <w:p>
      <w:pPr>
        <w:spacing w:line="560" w:lineRule="exact"/>
        <w:outlineLvl w:val="1"/>
        <w:rPr>
          <w:rFonts w:ascii="宋体" w:hAnsi="宋体"/>
          <w:b/>
          <w:szCs w:val="21"/>
        </w:rPr>
      </w:pPr>
      <w:bookmarkStart w:id="36" w:name="_Toc106791256"/>
    </w:p>
    <w:p>
      <w:pPr>
        <w:pStyle w:val="2"/>
        <w:ind w:firstLine="422"/>
        <w:rPr>
          <w:rFonts w:ascii="宋体" w:hAnsi="宋体"/>
          <w:b/>
          <w:szCs w:val="21"/>
        </w:rPr>
      </w:pPr>
    </w:p>
    <w:p>
      <w:pPr>
        <w:pStyle w:val="2"/>
        <w:ind w:firstLine="422"/>
        <w:rPr>
          <w:rFonts w:ascii="宋体" w:hAnsi="宋体"/>
          <w:b/>
          <w:szCs w:val="21"/>
        </w:rPr>
      </w:pPr>
    </w:p>
    <w:p>
      <w:pPr>
        <w:pStyle w:val="2"/>
        <w:ind w:firstLine="422"/>
        <w:rPr>
          <w:rFonts w:ascii="宋体" w:hAnsi="宋体"/>
          <w:b/>
          <w:szCs w:val="21"/>
        </w:rPr>
      </w:pPr>
    </w:p>
    <w:p>
      <w:pPr>
        <w:pStyle w:val="2"/>
        <w:ind w:firstLine="422"/>
        <w:rPr>
          <w:rFonts w:ascii="宋体" w:hAnsi="宋体"/>
          <w:b/>
          <w:szCs w:val="21"/>
        </w:rPr>
      </w:pPr>
    </w:p>
    <w:p>
      <w:pPr>
        <w:pStyle w:val="2"/>
        <w:ind w:firstLine="422"/>
        <w:rPr>
          <w:rFonts w:ascii="宋体" w:hAnsi="宋体"/>
          <w:b/>
          <w:szCs w:val="21"/>
        </w:rPr>
      </w:pPr>
    </w:p>
    <w:p>
      <w:pPr>
        <w:pStyle w:val="2"/>
        <w:ind w:firstLine="422"/>
        <w:rPr>
          <w:rFonts w:ascii="宋体" w:hAnsi="宋体"/>
          <w:b/>
          <w:szCs w:val="21"/>
        </w:rPr>
      </w:pPr>
    </w:p>
    <w:p>
      <w:pPr>
        <w:pStyle w:val="2"/>
        <w:ind w:firstLine="422"/>
        <w:rPr>
          <w:rFonts w:ascii="宋体" w:hAnsi="宋体"/>
          <w:b/>
          <w:szCs w:val="21"/>
        </w:rPr>
      </w:pPr>
    </w:p>
    <w:p>
      <w:pPr>
        <w:pStyle w:val="2"/>
        <w:ind w:firstLine="422"/>
        <w:rPr>
          <w:rFonts w:ascii="宋体" w:hAnsi="宋体"/>
          <w:b/>
          <w:szCs w:val="21"/>
        </w:rPr>
      </w:pPr>
    </w:p>
    <w:p>
      <w:pPr>
        <w:pStyle w:val="2"/>
        <w:ind w:firstLine="422"/>
        <w:rPr>
          <w:rFonts w:ascii="宋体" w:hAnsi="宋体"/>
          <w:b/>
          <w:szCs w:val="21"/>
        </w:rPr>
      </w:pPr>
    </w:p>
    <w:p>
      <w:pPr>
        <w:pStyle w:val="2"/>
        <w:ind w:firstLine="422"/>
        <w:rPr>
          <w:rFonts w:ascii="宋体" w:hAnsi="宋体"/>
          <w:b/>
          <w:szCs w:val="21"/>
        </w:rPr>
      </w:pPr>
    </w:p>
    <w:p>
      <w:pPr>
        <w:pStyle w:val="2"/>
        <w:ind w:firstLine="422"/>
        <w:rPr>
          <w:rFonts w:ascii="宋体" w:hAnsi="宋体"/>
          <w:b/>
          <w:szCs w:val="21"/>
        </w:rPr>
      </w:pPr>
    </w:p>
    <w:p>
      <w:pPr>
        <w:spacing w:line="560" w:lineRule="exact"/>
        <w:outlineLvl w:val="1"/>
        <w:rPr>
          <w:rFonts w:ascii="宋体" w:hAnsi="宋体"/>
          <w:b/>
          <w:szCs w:val="21"/>
        </w:rPr>
      </w:pPr>
      <w:r>
        <w:rPr>
          <w:rFonts w:hint="eastAsia" w:ascii="宋体" w:hAnsi="宋体"/>
          <w:b/>
          <w:szCs w:val="21"/>
        </w:rPr>
        <w:t>四、项目要求及数量</w:t>
      </w:r>
      <w:bookmarkEnd w:id="36"/>
    </w:p>
    <w:tbl>
      <w:tblPr>
        <w:tblStyle w:val="17"/>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0" w:firstLine="0"/>
              <w:rPr>
                <w:rFonts w:ascii="宋体"/>
              </w:rPr>
            </w:pP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9"/>
              </w:numPr>
              <w:tabs>
                <w:tab w:val="left" w:pos="531"/>
              </w:tabs>
              <w:snapToGrid w:val="0"/>
              <w:ind w:left="1" w:firstLine="0"/>
            </w:pPr>
            <w:r>
              <w:rPr>
                <w:rFonts w:hint="eastAsia"/>
              </w:rPr>
              <w:t>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255"/>
                <w:numId w:val="0"/>
              </w:numPr>
              <w:tabs>
                <w:tab w:val="left" w:pos="531"/>
              </w:tabs>
              <w:snapToGrid w:val="0"/>
              <w:rPr>
                <w:rFonts w:ascii="宋体" w:hAnsi="宋体" w:cs="宋体"/>
                <w:szCs w:val="21"/>
              </w:rPr>
            </w:pPr>
            <w:r>
              <w:rPr>
                <w:rFonts w:hint="eastAsia" w:ascii="宋体"/>
              </w:rPr>
              <w:t>（3）</w:t>
            </w:r>
            <w:r>
              <w:rPr>
                <w:rFonts w:hint="eastAsia" w:ascii="宋体" w:hAnsi="宋体" w:cs="宋体"/>
                <w:szCs w:val="21"/>
              </w:rPr>
              <w:t>投标人须具有《印刷经营许可证》，上述认证须提供扫描件并加盖投标人公章。</w:t>
            </w:r>
          </w:p>
          <w:p>
            <w:pPr>
              <w:tabs>
                <w:tab w:val="left" w:pos="531"/>
              </w:tabs>
              <w:snapToGrid w:val="0"/>
              <w:rPr>
                <w:rFonts w:ascii="宋体" w:hAnsi="宋体" w:cs="宋体"/>
              </w:rPr>
            </w:pPr>
            <w:r>
              <w:rPr>
                <w:rFonts w:hint="eastAsia" w:ascii="宋体" w:hAnsi="宋体" w:cs="宋体"/>
                <w:szCs w:val="21"/>
              </w:rPr>
              <w:t>（4）本项目不接受联合体投标，严禁转包或非法分包。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szCs w:val="21"/>
              </w:rPr>
            </w:pPr>
            <w:r>
              <w:rPr>
                <w:rFonts w:hint="eastAsia" w:ascii="宋体" w:hAnsi="宋体" w:cs="仿宋_GB2312"/>
                <w:szCs w:val="21"/>
              </w:rPr>
              <w:t>报价以人民币为结算币种，《投标一览表》</w:t>
            </w:r>
            <w:r>
              <w:rPr>
                <w:rFonts w:hint="eastAsia" w:ascii="宋体" w:hAnsi="宋体"/>
                <w:szCs w:val="21"/>
              </w:rPr>
              <w:t>应包含税率、税额、税前及税后总金额。</w:t>
            </w:r>
          </w:p>
          <w:p>
            <w:pPr>
              <w:numPr>
                <w:ilvl w:val="0"/>
                <w:numId w:val="10"/>
              </w:numPr>
              <w:tabs>
                <w:tab w:val="left" w:pos="531"/>
              </w:tabs>
              <w:snapToGrid w:val="0"/>
              <w:ind w:left="0" w:firstLine="0"/>
              <w:rPr>
                <w:rFonts w:ascii="宋体" w:hAnsi="宋体"/>
                <w:szCs w:val="21"/>
              </w:rPr>
            </w:pPr>
            <w:r>
              <w:rPr>
                <w:rFonts w:hint="eastAsia" w:ascii="宋体" w:hAnsi="宋体"/>
                <w:szCs w:val="21"/>
              </w:rPr>
              <w:t>鉴于本项目的特殊性，采取阶梯式报价（详见附件8）。</w:t>
            </w:r>
          </w:p>
          <w:p>
            <w:pPr>
              <w:numPr>
                <w:ilvl w:val="0"/>
                <w:numId w:val="10"/>
              </w:numPr>
              <w:tabs>
                <w:tab w:val="left" w:pos="531"/>
              </w:tabs>
              <w:snapToGrid w:val="0"/>
              <w:ind w:left="0" w:firstLine="0"/>
              <w:rPr>
                <w:rFonts w:ascii="宋体" w:hAnsi="宋体"/>
                <w:szCs w:val="21"/>
              </w:rPr>
            </w:pPr>
            <w:r>
              <w:rPr>
                <w:rFonts w:hint="eastAsia" w:ascii="宋体" w:hAnsi="宋体"/>
                <w:szCs w:val="21"/>
              </w:rPr>
              <w:t>价格评议分值，以</w:t>
            </w:r>
            <w:r>
              <w:rPr>
                <w:rFonts w:hint="eastAsia" w:ascii="宋体" w:hAnsi="宋体"/>
                <w:szCs w:val="21"/>
                <w:lang w:eastAsia="zh-CN"/>
              </w:rPr>
              <w:t>《</w:t>
            </w:r>
            <w:r>
              <w:rPr>
                <w:rFonts w:hint="eastAsia" w:ascii="宋体" w:hAnsi="宋体"/>
                <w:szCs w:val="21"/>
              </w:rPr>
              <w:t>投标一览表</w:t>
            </w:r>
            <w:r>
              <w:rPr>
                <w:rFonts w:hint="eastAsia" w:ascii="宋体" w:hAnsi="宋体"/>
                <w:szCs w:val="21"/>
                <w:lang w:eastAsia="zh-CN"/>
              </w:rPr>
              <w:t>》</w:t>
            </w:r>
            <w:r>
              <w:rPr>
                <w:rFonts w:hint="eastAsia" w:ascii="宋体" w:hAnsi="宋体"/>
                <w:szCs w:val="21"/>
              </w:rPr>
              <w:t>价格作为评审依据。</w:t>
            </w:r>
          </w:p>
          <w:p>
            <w:pPr>
              <w:numPr>
                <w:ilvl w:val="0"/>
                <w:numId w:val="10"/>
              </w:numPr>
              <w:tabs>
                <w:tab w:val="left" w:pos="531"/>
              </w:tabs>
              <w:snapToGrid w:val="0"/>
              <w:ind w:left="0" w:firstLine="0"/>
              <w:rPr>
                <w:rFonts w:ascii="宋体" w:hAnsi="宋体"/>
                <w:szCs w:val="21"/>
              </w:rPr>
            </w:pPr>
            <w:r>
              <w:rPr>
                <w:rFonts w:hint="eastAsia" w:ascii="宋体" w:hAnsi="宋体" w:cs="仿宋_GB2312"/>
                <w:szCs w:val="21"/>
              </w:rPr>
              <w:t>投标报价为包干价，包含但不限于</w:t>
            </w:r>
            <w:r>
              <w:rPr>
                <w:rFonts w:hint="eastAsia" w:ascii="宋体" w:hAnsi="宋体"/>
                <w:szCs w:val="21"/>
              </w:rPr>
              <w:t>《会刊》设计、印刷、包装、装卸运输、人工、保密等</w:t>
            </w:r>
            <w:r>
              <w:rPr>
                <w:rFonts w:hint="eastAsia" w:ascii="宋体" w:hAnsi="宋体" w:cs="仿宋_GB2312"/>
                <w:szCs w:val="21"/>
              </w:rPr>
              <w:t>完成本项目所需的全部费用。</w:t>
            </w:r>
          </w:p>
          <w:p>
            <w:pPr>
              <w:numPr>
                <w:ilvl w:val="0"/>
                <w:numId w:val="10"/>
              </w:numPr>
              <w:tabs>
                <w:tab w:val="left" w:pos="531"/>
              </w:tabs>
              <w:snapToGrid w:val="0"/>
              <w:ind w:left="0" w:firstLine="0"/>
              <w:rPr>
                <w:rFonts w:ascii="宋体" w:hAnsi="宋体"/>
                <w:szCs w:val="21"/>
              </w:rPr>
            </w:pPr>
            <w:r>
              <w:rPr>
                <w:rFonts w:hint="eastAsia" w:ascii="宋体" w:hAnsi="宋体"/>
                <w:szCs w:val="21"/>
              </w:rPr>
              <w:t>若制作数量有变化，最终结算价格为税后单价乘以实际制作数量。</w:t>
            </w:r>
            <w:r>
              <w:rPr>
                <w:rFonts w:hint="eastAsia" w:ascii="宋体" w:hAnsi="宋体" w:cs="仿宋_GB2312"/>
                <w:szCs w:val="21"/>
              </w:rPr>
              <w:t>招标人不再另行支付其他任何费用。</w:t>
            </w:r>
          </w:p>
          <w:p>
            <w:pPr>
              <w:numPr>
                <w:ilvl w:val="0"/>
                <w:numId w:val="10"/>
              </w:numPr>
              <w:tabs>
                <w:tab w:val="left" w:pos="531"/>
              </w:tabs>
              <w:snapToGrid w:val="0"/>
              <w:ind w:left="0" w:firstLine="0"/>
            </w:pPr>
            <w:r>
              <w:rPr>
                <w:rFonts w:hint="eastAsia" w:ascii="宋体" w:hAnsi="宋体"/>
                <w:szCs w:val="21"/>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ascii="宋体" w:hAnsi="宋体" w:cs="宋体"/>
                <w:szCs w:val="21"/>
              </w:rPr>
            </w:pPr>
            <w:r>
              <w:rPr>
                <w:rFonts w:hint="eastAsia" w:ascii="宋体" w:hAnsi="宋体" w:cs="宋体"/>
                <w:szCs w:val="21"/>
              </w:rPr>
              <w:t>本项目采购控制金额为人民币</w:t>
            </w:r>
            <w:r>
              <w:rPr>
                <w:rFonts w:hint="eastAsia" w:ascii="宋体" w:hAnsi="宋体"/>
                <w:szCs w:val="21"/>
              </w:rPr>
              <w:t>37.6</w:t>
            </w:r>
            <w:r>
              <w:rPr>
                <w:rFonts w:ascii="宋体" w:hAnsi="宋体" w:cs="宋体"/>
                <w:szCs w:val="21"/>
              </w:rPr>
              <w:t>万元（含</w:t>
            </w:r>
            <w:r>
              <w:rPr>
                <w:rFonts w:hint="eastAsia" w:ascii="宋体" w:hAnsi="宋体" w:cs="宋体"/>
                <w:szCs w:val="21"/>
              </w:rPr>
              <w:t>增值</w:t>
            </w:r>
            <w:r>
              <w:rPr>
                <w:rFonts w:ascii="宋体" w:hAnsi="宋体" w:cs="宋体"/>
                <w:szCs w:val="21"/>
              </w:rPr>
              <w:t>税</w:t>
            </w:r>
            <w:r>
              <w:rPr>
                <w:rFonts w:hint="eastAsia" w:ascii="宋体" w:hAnsi="宋体" w:cs="宋体"/>
                <w:szCs w:val="21"/>
              </w:rPr>
              <w:t>)，分为2022年度、2023年度两期，每期控制金额分别为18.8万元，报价超过上述控制金额的投标文件作废标处理。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pPr>
            <w:r>
              <w:rPr>
                <w:rFonts w:hint="eastAsia"/>
              </w:rPr>
              <w:t>（1）双方签订合同后，每期按照招标人的验收要求验收完毕后，以实际验收数量及合同单价，20个工作日一次性支付当期款项。</w:t>
            </w:r>
          </w:p>
          <w:p>
            <w:pPr>
              <w:numPr>
                <w:ilvl w:val="255"/>
                <w:numId w:val="0"/>
              </w:numPr>
              <w:tabs>
                <w:tab w:val="left" w:pos="531"/>
              </w:tabs>
              <w:snapToGrid w:val="0"/>
            </w:pPr>
            <w:r>
              <w:rPr>
                <w:rFonts w:hint="eastAsia"/>
              </w:rPr>
              <w:t>（</w:t>
            </w:r>
            <w:r>
              <w:rPr>
                <w:rFonts w:hint="eastAsia"/>
                <w:lang w:val="en-US" w:eastAsia="zh-CN"/>
              </w:rPr>
              <w:t>2</w:t>
            </w:r>
            <w:r>
              <w:rPr>
                <w:rFonts w:hint="eastAsia"/>
              </w:rPr>
              <w:t>）中标单位须在招标人进行上述付款前提供相应金额且有效等额的增值税发票，详细付款事宜以合同条款为准。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rPr>
            </w:pPr>
            <w:r>
              <w:rPr>
                <w:rFonts w:hint="eastAsia" w:ascii="宋体" w:hAnsi="宋体"/>
              </w:rPr>
              <w:t>（1）项目设计时间为自接到中标通知书之日起6个日历日内，印刷时间为自完成项目设计之日起10个日历日内，具体日期安排以招标人最终确定为准。</w:t>
            </w:r>
          </w:p>
          <w:p>
            <w:pPr>
              <w:numPr>
                <w:ilvl w:val="255"/>
                <w:numId w:val="0"/>
              </w:numPr>
              <w:tabs>
                <w:tab w:val="left" w:pos="531"/>
              </w:tabs>
              <w:snapToGrid w:val="0"/>
              <w:rPr>
                <w:rFonts w:ascii="宋体" w:hAnsi="宋体"/>
              </w:rPr>
            </w:pPr>
            <w:r>
              <w:rPr>
                <w:rFonts w:hint="eastAsia" w:ascii="宋体" w:hAnsi="宋体"/>
              </w:rPr>
              <w:t>（2）第一期成果交付时间为2022年11月13日，一次性交付全部数量的中英文版《会刊》至招标人指定地点。</w:t>
            </w:r>
          </w:p>
          <w:p>
            <w:pPr>
              <w:pStyle w:val="2"/>
              <w:ind w:left="0" w:leftChars="0" w:firstLine="0" w:firstLineChars="0"/>
            </w:pPr>
            <w:r>
              <w:rPr>
                <w:rFonts w:hint="eastAsia" w:ascii="宋体" w:hAnsi="宋体"/>
              </w:rPr>
              <w:t>（3）第二期项目设计时长、印刷时长基本一致，成果交付时间以招标人最终确认为准。</w:t>
            </w:r>
          </w:p>
          <w:p>
            <w:pPr>
              <w:numPr>
                <w:ilvl w:val="255"/>
                <w:numId w:val="0"/>
              </w:numPr>
              <w:tabs>
                <w:tab w:val="left" w:pos="531"/>
              </w:tabs>
              <w:snapToGrid w:val="0"/>
              <w:rPr>
                <w:rFonts w:ascii="宋体" w:cs="宋体"/>
              </w:rPr>
            </w:pPr>
            <w:r>
              <w:rPr>
                <w:rFonts w:hint="eastAsia" w:ascii="宋体" w:hAnsi="宋体"/>
              </w:rPr>
              <w:t>（</w:t>
            </w:r>
            <w:r>
              <w:rPr>
                <w:rFonts w:hint="eastAsia" w:ascii="宋体" w:hAnsi="宋体"/>
                <w:lang w:val="en-US" w:eastAsia="zh-CN"/>
              </w:rPr>
              <w:t>4</w:t>
            </w:r>
            <w:bookmarkStart w:id="83" w:name="_GoBack"/>
            <w:bookmarkEnd w:id="83"/>
            <w:r>
              <w:rPr>
                <w:rFonts w:hint="eastAsia" w:ascii="宋体" w:hAnsi="宋体"/>
              </w:rPr>
              <w:t>）如因招标人原因造成项目延迟，具体交付时间由双方协商确定。</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pPr>
            <w:r>
              <w:rPr>
                <w:rFonts w:hint="eastAsia"/>
              </w:rPr>
              <w:t>中标单位交付的成果包括</w:t>
            </w:r>
            <w:r>
              <w:rPr>
                <w:rFonts w:hint="eastAsia" w:ascii="宋体" w:hAnsi="宋体"/>
              </w:rPr>
              <w:t>中英文版《会刊》及</w:t>
            </w:r>
            <w:r>
              <w:rPr>
                <w:rFonts w:hint="eastAsia"/>
              </w:rPr>
              <w:t>《会刊》最终设计稿电子文档。</w:t>
            </w:r>
          </w:p>
          <w:p>
            <w:pPr>
              <w:numPr>
                <w:ilvl w:val="0"/>
                <w:numId w:val="11"/>
              </w:numPr>
              <w:tabs>
                <w:tab w:val="left" w:pos="531"/>
              </w:tabs>
              <w:snapToGrid w:val="0"/>
            </w:pPr>
            <w:r>
              <w:rPr>
                <w:rFonts w:hint="eastAsia"/>
              </w:rPr>
              <w:t>招标人对整批中英文版《会刊》印刷的质量及数量进行核验。中标单位必须保证印刷品质。印刷工艺满足国家和地方相关规范、标准及环保要求。</w:t>
            </w:r>
          </w:p>
          <w:p>
            <w:pPr>
              <w:numPr>
                <w:ilvl w:val="255"/>
                <w:numId w:val="0"/>
              </w:numPr>
              <w:tabs>
                <w:tab w:val="left" w:pos="531"/>
              </w:tabs>
              <w:snapToGrid w:val="0"/>
            </w:pPr>
            <w:r>
              <w:rPr>
                <w:rFonts w:hint="eastAsia"/>
              </w:rPr>
              <w:t>（3）《会刊》最终设计稿电子文档，均以原始设计电子文件（indd、cdr或ai等格式）和PDF文件提交。</w:t>
            </w:r>
          </w:p>
          <w:p>
            <w:pPr>
              <w:tabs>
                <w:tab w:val="left" w:pos="531"/>
              </w:tabs>
              <w:snapToGrid w:val="0"/>
            </w:pPr>
            <w:r>
              <w:rPr>
                <w:rFonts w:hint="eastAsia"/>
              </w:rPr>
              <w:t>（4）《会刊》拼版完毕进行数码样与蓝纸打印，核对无误后进行上机打实样，中标单位将实样递交至招标人指定地点，经招标人指定负责人验收合格后方可开机印刷。</w:t>
            </w:r>
          </w:p>
          <w:p>
            <w:pPr>
              <w:numPr>
                <w:ilvl w:val="255"/>
                <w:numId w:val="0"/>
              </w:numPr>
              <w:tabs>
                <w:tab w:val="left" w:pos="531"/>
              </w:tabs>
              <w:snapToGrid w:val="0"/>
            </w:pPr>
            <w:r>
              <w:rPr>
                <w:rFonts w:hint="eastAsia"/>
              </w:rPr>
              <w:t>（</w:t>
            </w:r>
            <w:r>
              <w:rPr>
                <w:rFonts w:hint="eastAsia"/>
                <w:lang w:val="en-US" w:eastAsia="zh-CN"/>
              </w:rPr>
              <w:t>5</w:t>
            </w:r>
            <w:r>
              <w:rPr>
                <w:rFonts w:hint="eastAsia"/>
              </w:rPr>
              <w:t>）付印前中标单位须向招标人提供《会刊》的完整样书并由招标人确认、封样，招标人将按样书印刷效果验收。如不能达到品质要求，招标人有权退回所有印刷成品，中标单位须保证在规定的时间内按封样的印刷品质重新印刷并交货。如中标单位第一次实样打样不能满足招标人要求，需按照招标人修改意见进行第二次实样打样，若第二次实样打样仍不能满足要求，招标人有权解除合同。</w:t>
            </w:r>
          </w:p>
          <w:p>
            <w:pPr>
              <w:pStyle w:val="2"/>
              <w:ind w:left="0" w:leftChars="0" w:firstLine="0" w:firstLineChars="0"/>
            </w:pPr>
            <w:r>
              <w:rPr>
                <w:rFonts w:hint="eastAsia" w:ascii="宋体" w:hAnsi="宋体"/>
                <w:szCs w:val="21"/>
              </w:rPr>
              <w:t>（</w:t>
            </w:r>
            <w:r>
              <w:rPr>
                <w:rFonts w:hint="eastAsia" w:ascii="宋体" w:hAnsi="宋体"/>
                <w:szCs w:val="21"/>
                <w:lang w:val="en-US" w:eastAsia="zh-CN"/>
              </w:rPr>
              <w:t>6</w:t>
            </w:r>
            <w:r>
              <w:rPr>
                <w:rFonts w:hint="eastAsia" w:ascii="宋体" w:hAnsi="宋体"/>
                <w:szCs w:val="21"/>
              </w:rPr>
              <w:t>）中标单位将成品送至指定的地点后，招标人3个日历日内验收。对不合格成品，中标单位应在3个日历日内予以换货。如中标单位不予更换或不及时更换或更换后仍不合格，招标人将拒收该批次成品，并有权对此前已接受的部分或全部成品予以退回，保留追究中标单位违约权利。</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版权归属</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rPr>
            </w:pPr>
            <w:r>
              <w:rPr>
                <w:rFonts w:hint="eastAsia" w:ascii="宋体" w:hAnsi="宋体"/>
              </w:rPr>
              <w:t>（1）本项目成果所有权归招标人所有。</w:t>
            </w:r>
          </w:p>
          <w:p>
            <w:pPr>
              <w:numPr>
                <w:ilvl w:val="255"/>
                <w:numId w:val="0"/>
              </w:numPr>
              <w:tabs>
                <w:tab w:val="left" w:pos="531"/>
              </w:tabs>
              <w:snapToGrid w:val="0"/>
              <w:rPr>
                <w:rFonts w:ascii="宋体" w:hAnsi="宋体"/>
              </w:rPr>
            </w:pPr>
            <w:r>
              <w:rPr>
                <w:rFonts w:hint="eastAsia" w:ascii="宋体" w:hAnsi="宋体"/>
              </w:rPr>
              <w:t>（2）中标单位必须对设计成果拥有原创性，不得有模仿、抄袭等侵权行为，因此所带来的法律责任与招标人无关。若因此所带来的一切经济和法律责任均由中标单位自行承担；若给招标人造成损失的，招标人保留进一步追偿的权利。</w:t>
            </w:r>
          </w:p>
          <w:p>
            <w:pPr>
              <w:numPr>
                <w:ilvl w:val="255"/>
                <w:numId w:val="0"/>
              </w:numPr>
              <w:tabs>
                <w:tab w:val="left" w:pos="531"/>
              </w:tabs>
              <w:snapToGrid w:val="0"/>
              <w:rPr>
                <w:rFonts w:ascii="宋体" w:hAnsi="宋体"/>
              </w:rPr>
            </w:pPr>
            <w:r>
              <w:rPr>
                <w:rFonts w:hint="eastAsia" w:ascii="宋体" w:hAnsi="宋体"/>
              </w:rPr>
              <w:t>（3）招标人在中华人民共和国境内使用该技术的任何一部分时，免受第三方提出的侵犯其专利权等一切起诉。</w:t>
            </w:r>
          </w:p>
          <w:p>
            <w:pPr>
              <w:numPr>
                <w:ilvl w:val="255"/>
                <w:numId w:val="0"/>
              </w:numPr>
              <w:tabs>
                <w:tab w:val="left" w:pos="531"/>
              </w:tabs>
              <w:snapToGrid w:val="0"/>
              <w:rPr>
                <w:rFonts w:ascii="宋体" w:hAnsi="宋体"/>
              </w:rPr>
            </w:pPr>
            <w:r>
              <w:rPr>
                <w:rFonts w:hint="eastAsia" w:ascii="宋体" w:hAnsi="宋体"/>
              </w:rPr>
              <w:t>（4）中标单位承诺不私自使用或外泄项目印制过程中使用的信息、数据等商业机密。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特别约定</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snapToGrid w:val="0"/>
              <w:rPr>
                <w:rFonts w:ascii="宋体" w:hAnsi="宋体"/>
              </w:rPr>
            </w:pPr>
            <w:r>
              <w:rPr>
                <w:rFonts w:hint="eastAsia" w:ascii="宋体" w:hAnsi="宋体"/>
              </w:rPr>
              <w:t>（1）合同服务模式为1+1模式。在第一个服务期满后一个月，招标人根据中标单位的服务质量、各项承诺执行情况等因素进行考核评估，如考核达到优良（即考核评分达到80分或以上），且下届高交会《会刊》编印要求基本不变，则执行第二年合同。如考核未达到优良或下届高交会《会刊》编印要求发生较大变化，则招标人有权在第一个服务期满时终止合同。具体考核办法详见文件附件《供应商履约评价表（一般服务类适用）》。</w:t>
            </w:r>
          </w:p>
          <w:p>
            <w:pPr>
              <w:numPr>
                <w:ilvl w:val="255"/>
                <w:numId w:val="0"/>
              </w:numPr>
              <w:snapToGrid w:val="0"/>
              <w:rPr>
                <w:rFonts w:ascii="宋体" w:hAnsi="宋体"/>
              </w:rPr>
            </w:pPr>
            <w:r>
              <w:rPr>
                <w:rFonts w:hint="eastAsia" w:ascii="宋体" w:hAnsi="宋体"/>
              </w:rPr>
              <w:t>（2）如第一年度、第二年度本招标文件中约定的相关参数（《会刊》印刷数量、编印实施时间）因不可抗力或政府政策等原因而发生变化的，如前期有发生费用,双方以实际发生情况进行协商，如有必要，以签订补充协议进行约定。</w:t>
            </w:r>
          </w:p>
          <w:p>
            <w:pPr>
              <w:numPr>
                <w:ilvl w:val="255"/>
                <w:numId w:val="0"/>
              </w:numPr>
              <w:tabs>
                <w:tab w:val="left" w:pos="531"/>
              </w:tabs>
              <w:snapToGrid w:val="0"/>
              <w:rPr>
                <w:rFonts w:ascii="宋体" w:hAnsi="宋体"/>
              </w:rPr>
            </w:pPr>
            <w:r>
              <w:rPr>
                <w:rFonts w:hint="eastAsia" w:ascii="宋体" w:hAnsi="宋体"/>
              </w:rPr>
              <w:t>（3）在合同履行过程中，</w:t>
            </w:r>
            <w:r>
              <w:rPr>
                <w:rFonts w:hint="eastAsia" w:ascii="宋体" w:hAnsi="宋体"/>
                <w:szCs w:val="21"/>
              </w:rPr>
              <w:t>发生不可抗力阻碍了合同的正常履行，双方互不负违约责任，但应采取积极措施防止损失的扩大，并及时提供充分的证明文件给对方。待不可抗力对合同的影响消除后，应继续履行合同，如因不可抗力造成合同不能履行的，双方皆可终止或解除合同。</w:t>
            </w:r>
          </w:p>
          <w:p>
            <w:pPr>
              <w:numPr>
                <w:ilvl w:val="255"/>
                <w:numId w:val="0"/>
              </w:numPr>
              <w:tabs>
                <w:tab w:val="left" w:pos="531"/>
              </w:tabs>
              <w:snapToGrid w:val="0"/>
              <w:rPr>
                <w:rFonts w:ascii="宋体" w:hAnsi="宋体"/>
                <w:color w:val="FF0000"/>
              </w:rPr>
            </w:pPr>
            <w:r>
              <w:rPr>
                <w:rFonts w:hint="eastAsia" w:ascii="宋体" w:hAnsi="宋体"/>
              </w:rPr>
              <w:t>（4）在合同履行过程中，中标单位如因不可抗力因素影响合同的执行，必须及时通知招标人，以便做好充分的准备，避免更大损失的发生。否则，招标人保留追偿损失的权利。</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9</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项目负责</w:t>
            </w:r>
          </w:p>
          <w:p>
            <w:pPr>
              <w:jc w:val="center"/>
            </w:pPr>
            <w:r>
              <w:rPr>
                <w:rFonts w:hint="eastAsia"/>
              </w:rPr>
              <w:t>团队要求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szCs w:val="21"/>
              </w:rPr>
            </w:pPr>
            <w:r>
              <w:rPr>
                <w:rFonts w:hint="eastAsia"/>
                <w:szCs w:val="21"/>
              </w:rPr>
              <w:t>项目</w:t>
            </w:r>
            <w:r>
              <w:rPr>
                <w:rFonts w:hint="eastAsia" w:ascii="宋体" w:hAnsi="宋体"/>
                <w:szCs w:val="21"/>
              </w:rPr>
              <w:t>经理</w:t>
            </w:r>
            <w:r>
              <w:rPr>
                <w:rFonts w:hint="eastAsia"/>
                <w:szCs w:val="21"/>
              </w:rPr>
              <w:t>要求：</w:t>
            </w:r>
          </w:p>
          <w:p>
            <w:pPr>
              <w:pStyle w:val="6"/>
              <w:numPr>
                <w:ilvl w:val="255"/>
                <w:numId w:val="0"/>
              </w:numPr>
              <w:spacing w:after="0" w:line="240" w:lineRule="auto"/>
              <w:ind w:firstLine="400" w:firstLineChars="200"/>
              <w:rPr>
                <w:sz w:val="21"/>
                <w:szCs w:val="21"/>
              </w:rPr>
            </w:pPr>
            <w:r>
              <w:rPr>
                <w:rFonts w:hint="eastAsia"/>
                <w:sz w:val="21"/>
                <w:szCs w:val="21"/>
              </w:rPr>
              <w:t>投标人须为《会刊》编印项目设置专职项目经理一名，项目经理需符合以下条件：能与招标人就本项目全程良好沟通与协调；有印刷品的设计制作的相关工作经验背景；熟悉掌握印刷品的技术和方法；有担任大型书刊编印项目经理的经历（提供相应证明材料并加盖参加单位公章）；项目经理须在本项目上投入100％的工作精力，除非计划内工作已经完成并得到各方确认；项目经理现场技术服务咨询回答准确。</w:t>
            </w:r>
          </w:p>
          <w:p>
            <w:pPr>
              <w:pStyle w:val="6"/>
              <w:numPr>
                <w:ilvl w:val="255"/>
                <w:numId w:val="0"/>
              </w:numPr>
              <w:spacing w:after="0" w:line="240" w:lineRule="auto"/>
              <w:ind w:firstLine="400" w:firstLineChars="200"/>
              <w:rPr>
                <w:sz w:val="21"/>
                <w:szCs w:val="21"/>
              </w:rPr>
            </w:pPr>
            <w:r>
              <w:rPr>
                <w:rFonts w:hint="eastAsia"/>
                <w:sz w:val="21"/>
                <w:szCs w:val="21"/>
              </w:rPr>
              <w:t>项目经理一经指定，不得随意更换。如中标单位提出更换请求时，需取得招标人书面同意方可更换；如招标人要求更换时，参加单位须及时按要求更换符合要求的项目经理。</w:t>
            </w:r>
          </w:p>
          <w:p>
            <w:pPr>
              <w:numPr>
                <w:ilvl w:val="0"/>
                <w:numId w:val="12"/>
              </w:numPr>
              <w:tabs>
                <w:tab w:val="left" w:pos="531"/>
              </w:tabs>
              <w:snapToGrid w:val="0"/>
              <w:rPr>
                <w:szCs w:val="21"/>
              </w:rPr>
            </w:pPr>
            <w:r>
              <w:rPr>
                <w:rFonts w:hint="eastAsia"/>
                <w:szCs w:val="21"/>
              </w:rPr>
              <w:t>设计人员要求：</w:t>
            </w:r>
          </w:p>
          <w:p>
            <w:pPr>
              <w:pStyle w:val="6"/>
              <w:numPr>
                <w:ilvl w:val="255"/>
                <w:numId w:val="0"/>
              </w:numPr>
              <w:spacing w:after="0"/>
              <w:ind w:firstLine="400" w:firstLineChars="200"/>
              <w:rPr>
                <w:sz w:val="21"/>
                <w:szCs w:val="21"/>
              </w:rPr>
            </w:pPr>
            <w:r>
              <w:rPr>
                <w:rFonts w:hint="eastAsia"/>
                <w:sz w:val="21"/>
                <w:szCs w:val="21"/>
              </w:rPr>
              <w:t>投标人须有自己的设计、印刷和售后服务人员。本项目的设计环节，招标人须同时提供三名设计人员进行《会刊》的设计，以保证按期完成设计任务。</w:t>
            </w:r>
          </w:p>
          <w:p>
            <w:pPr>
              <w:pStyle w:val="6"/>
              <w:numPr>
                <w:ilvl w:val="255"/>
                <w:numId w:val="0"/>
              </w:numPr>
              <w:spacing w:after="0" w:line="240" w:lineRule="auto"/>
              <w:ind w:firstLine="400" w:firstLineChars="200"/>
              <w:rPr>
                <w:sz w:val="21"/>
                <w:szCs w:val="21"/>
              </w:rPr>
            </w:pPr>
            <w:r>
              <w:rPr>
                <w:rFonts w:hint="eastAsia"/>
                <w:sz w:val="21"/>
                <w:szCs w:val="21"/>
              </w:rPr>
              <w:t>设计人员须符合以下条件：有印刷品的设计工作经验背景；熟悉掌握平面设计的技术和方法；有担任大型书刊设计项目设计师的经历（提供相应证明材料，包含但不限于能体现设计师水平的大型书刊设计稿或会刊设计作品主要部分的打印件、各获奖证书、参展证明复印件等，证明资料加盖参加单位公章）；设计人员须在本项目上投入100％的工作精力，除非计划内工作已经完成并得到各方确认。</w:t>
            </w:r>
          </w:p>
          <w:p>
            <w:pPr>
              <w:pStyle w:val="6"/>
              <w:numPr>
                <w:ilvl w:val="255"/>
                <w:numId w:val="0"/>
              </w:numPr>
              <w:spacing w:after="0"/>
              <w:ind w:firstLine="400" w:firstLineChars="200"/>
              <w:rPr>
                <w:sz w:val="21"/>
                <w:szCs w:val="21"/>
              </w:rPr>
            </w:pPr>
            <w:r>
              <w:rPr>
                <w:rFonts w:hint="eastAsia"/>
                <w:sz w:val="21"/>
                <w:szCs w:val="21"/>
              </w:rPr>
              <w:t>在征得招标人同意的情况下，中标单位可以更换设计人员，但须满足在设计期内始终有3名设计人员同时工作。招标人可提出更换设计人员。</w:t>
            </w:r>
          </w:p>
          <w:p>
            <w:pPr>
              <w:numPr>
                <w:ilvl w:val="0"/>
                <w:numId w:val="12"/>
              </w:numPr>
              <w:tabs>
                <w:tab w:val="left" w:pos="531"/>
              </w:tabs>
              <w:snapToGrid w:val="0"/>
              <w:rPr>
                <w:szCs w:val="21"/>
              </w:rPr>
            </w:pPr>
            <w:r>
              <w:rPr>
                <w:rFonts w:hint="eastAsia"/>
                <w:szCs w:val="21"/>
              </w:rPr>
              <w:t>现场办公要求：</w:t>
            </w:r>
          </w:p>
          <w:p>
            <w:pPr>
              <w:numPr>
                <w:ilvl w:val="255"/>
                <w:numId w:val="0"/>
              </w:numPr>
              <w:tabs>
                <w:tab w:val="left" w:pos="531"/>
              </w:tabs>
              <w:snapToGrid w:val="0"/>
              <w:ind w:firstLine="420" w:firstLineChars="200"/>
              <w:rPr>
                <w:szCs w:val="21"/>
              </w:rPr>
            </w:pPr>
            <w:r>
              <w:rPr>
                <w:rFonts w:hint="eastAsia"/>
                <w:szCs w:val="21"/>
              </w:rPr>
              <w:t>本项目设计后期至付印前（暂定：2022年10月29日-11月2日、2023年第二十五届高交会展前14-18天），中标单位须安排不少于2名设计师携相关设备到招标人提供的办公场地办公，保证按期完成设计环节的工作任务。</w:t>
            </w:r>
          </w:p>
          <w:p>
            <w:pPr>
              <w:numPr>
                <w:ilvl w:val="0"/>
                <w:numId w:val="12"/>
              </w:numPr>
              <w:tabs>
                <w:tab w:val="left" w:pos="531"/>
              </w:tabs>
              <w:snapToGrid w:val="0"/>
              <w:rPr>
                <w:szCs w:val="21"/>
              </w:rPr>
            </w:pPr>
            <w:r>
              <w:rPr>
                <w:rFonts w:hint="eastAsia"/>
                <w:szCs w:val="21"/>
              </w:rPr>
              <w:t>提交资料：</w:t>
            </w:r>
          </w:p>
          <w:p>
            <w:pPr>
              <w:numPr>
                <w:ilvl w:val="255"/>
                <w:numId w:val="0"/>
              </w:numPr>
              <w:tabs>
                <w:tab w:val="left" w:pos="531"/>
              </w:tabs>
              <w:snapToGrid w:val="0"/>
              <w:ind w:firstLine="420" w:firstLineChars="200"/>
              <w:rPr>
                <w:szCs w:val="21"/>
              </w:rPr>
            </w:pPr>
            <w:r>
              <w:rPr>
                <w:rFonts w:hint="eastAsia"/>
                <w:szCs w:val="21"/>
              </w:rPr>
              <w:t>投标人拟投入本项目的项目负责人及设计人员应为该单位在岗人员，须提供上述人员在该单位参保的、时间自采购公告发布当日起往前顺推连续3个月的有效社保证明材料，并加盖投标人公章。(如公告日上一个月的社保材料因社保部门原因暂时无法取得，则可以往前顺延一个月。如受疫情影响，行政主管部门准许企业延期缴纳疫情期间社保的，可自延期缴纳报备之月起向前顺推三个月的社保清单)</w:t>
            </w:r>
          </w:p>
          <w:p>
            <w:pPr>
              <w:numPr>
                <w:ilvl w:val="255"/>
                <w:numId w:val="0"/>
              </w:numPr>
              <w:tabs>
                <w:tab w:val="left" w:pos="531"/>
              </w:tabs>
              <w:snapToGrid w:val="0"/>
              <w:rPr>
                <w:rFonts w:ascii="宋体" w:hAnsi="宋体"/>
                <w:color w:val="FF0000"/>
              </w:rPr>
            </w:pPr>
            <w:r>
              <w:rPr>
                <w:rFonts w:hint="eastAsia"/>
                <w:szCs w:val="21"/>
              </w:rPr>
              <w:t>（5）未按要求提供或提供不清晰的，证明材料作无效处理。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10</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jc w:val="left"/>
              <w:rPr>
                <w:szCs w:val="21"/>
              </w:rPr>
            </w:pPr>
            <w:r>
              <w:rPr>
                <w:rFonts w:hint="eastAsia"/>
                <w:szCs w:val="21"/>
              </w:rPr>
              <w:t>投标人须提交项目的服务方案，内容包括但不限于处理流程、人员与设施安排、设计后期现场办公安排、应急处理方案、技术保障措施、服务响应速度及具体的服务承诺等方面的内容。</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应急方案</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szCs w:val="21"/>
              </w:rPr>
            </w:pPr>
            <w:r>
              <w:rPr>
                <w:rFonts w:hint="eastAsia" w:ascii="宋体" w:hAnsi="宋体"/>
                <w:szCs w:val="21"/>
              </w:rPr>
              <w:t>投标人应建立项目负责人制度。保证有专人负责印刷事宜，包括联系、出厂质检等，对印刷服务问题确保在12小时内处理完毕。</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高交会《会刊》编印服务项目工作内容</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255"/>
                <w:numId w:val="0"/>
              </w:numPr>
              <w:snapToGrid w:val="0"/>
            </w:pPr>
            <w:r>
              <w:rPr>
                <w:rFonts w:hint="eastAsia"/>
              </w:rPr>
              <w:t>（1）基本要求：投标人须提供《会刊》的编辑和设计服务、印刷《会刊》的成品，并提供《会刊》设计稿的电子文档。</w:t>
            </w:r>
          </w:p>
          <w:p>
            <w:pPr>
              <w:pStyle w:val="2"/>
              <w:numPr>
                <w:ilvl w:val="255"/>
                <w:numId w:val="0"/>
              </w:numPr>
              <w:snapToGrid w:val="0"/>
            </w:pPr>
            <w:r>
              <w:rPr>
                <w:rFonts w:hint="eastAsia"/>
              </w:rPr>
              <w:t>（2）招标人提供会刊设计封面文件、LOGO文件以及内文项目内容；投标人按照招标人提出的设计要求设计。</w:t>
            </w:r>
          </w:p>
          <w:p>
            <w:pPr>
              <w:pStyle w:val="2"/>
              <w:numPr>
                <w:ilvl w:val="255"/>
                <w:numId w:val="0"/>
              </w:numPr>
              <w:snapToGrid w:val="0"/>
            </w:pPr>
            <w:r>
              <w:rPr>
                <w:rFonts w:hint="eastAsia"/>
              </w:rPr>
              <w:t>（3）</w:t>
            </w:r>
            <w:r>
              <w:t>具体内容包括</w:t>
            </w:r>
            <w:r>
              <w:rPr>
                <w:rFonts w:hint="eastAsia"/>
              </w:rPr>
              <w:t>：领导致辞、高交会简介、展区平面图、项目配对洽谈活动候选项目、论坛议程、super-SUPER专题活动、高交会展商信息及应急安全科技展、人才高交会展商信息等。其中，高交会展商数量约2000-3000家（以最终确认的报名数量为准），信息内容包含：单位名称、单位地址、联系人、电话、传真、邮箱、网站、项目/产品名称、展馆及展位号等。</w:t>
            </w:r>
          </w:p>
          <w:p>
            <w:pPr>
              <w:pStyle w:val="2"/>
              <w:ind w:left="0" w:leftChars="0" w:firstLine="0" w:firstLineChars="0"/>
              <w:rPr>
                <w:rFonts w:ascii="宋体" w:hAnsi="宋体"/>
                <w:szCs w:val="21"/>
              </w:rPr>
            </w:pPr>
            <w:r>
              <w:rPr>
                <w:rFonts w:hint="eastAsia" w:ascii="宋体" w:hAnsi="宋体"/>
                <w:szCs w:val="21"/>
              </w:rPr>
              <w:t>（4）中标单位设计初稿后，配合招标人完成第一校、二校、三校的内容校对。招标人经内容校对后，提出的内容增减、修改部分等要求，中标单位需要及时处理，完成后第一时间交付招标人再次确认，确保内容正确性。</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计划印制</w:t>
            </w:r>
          </w:p>
          <w:p>
            <w:pPr>
              <w:jc w:val="center"/>
              <w:rPr>
                <w:rFonts w:ascii="宋体" w:hAnsi="宋体" w:cs="宋体"/>
                <w:szCs w:val="21"/>
              </w:rPr>
            </w:pPr>
            <w:r>
              <w:rPr>
                <w:rFonts w:hint="eastAsia"/>
              </w:rPr>
              <w:t>数量</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rPr>
            </w:pPr>
            <w:r>
              <w:rPr>
                <w:rFonts w:hint="eastAsia" w:ascii="宋体" w:hAnsi="宋体"/>
              </w:rPr>
              <w:t>（1）2022年度《第二十四届中国国际高新技术成果交易会会刊》中文版5700册、英文版1000册。（预估）</w:t>
            </w:r>
          </w:p>
          <w:p>
            <w:pPr>
              <w:tabs>
                <w:tab w:val="left" w:pos="531"/>
              </w:tabs>
              <w:snapToGrid w:val="0"/>
            </w:pPr>
            <w:r>
              <w:rPr>
                <w:rFonts w:hint="eastAsia" w:ascii="宋体" w:hAnsi="宋体"/>
              </w:rPr>
              <w:t>（2）2023年度《第二十五届中国国际高新技术成果交易会会刊》中文版5700册、英文版1000册。（预估）</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规格及材料</w:t>
            </w:r>
          </w:p>
          <w:p>
            <w:pPr>
              <w:jc w:val="center"/>
              <w:rPr>
                <w:rFonts w:ascii="宋体" w:hAnsi="宋体" w:cs="宋体"/>
                <w:szCs w:val="21"/>
              </w:rPr>
            </w:pPr>
            <w:r>
              <w:rPr>
                <w:rFonts w:hint="eastAsia"/>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rPr>
            </w:pPr>
            <w:r>
              <w:rPr>
                <w:rFonts w:hint="eastAsia" w:ascii="宋体" w:hAnsi="宋体"/>
                <w:szCs w:val="21"/>
              </w:rPr>
              <w:t>成品尺寸12cm×21.5cm，内页采用80g哑粉纸，封面封底采用200g哑粉纸单面过哑胶，双面四色彩印，线胶装。其中，内页数量最终以高交会展商数量及设计方案为准。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rPr>
              <w:t>印刷要求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3"/>
              </w:numPr>
              <w:tabs>
                <w:tab w:val="left" w:pos="531"/>
              </w:tabs>
              <w:snapToGrid w:val="0"/>
              <w:rPr>
                <w:rFonts w:ascii="宋体" w:hAnsi="宋体"/>
                <w:szCs w:val="21"/>
              </w:rPr>
            </w:pPr>
            <w:r>
              <w:rPr>
                <w:rFonts w:hint="eastAsia" w:ascii="宋体" w:hAnsi="宋体"/>
                <w:szCs w:val="21"/>
              </w:rPr>
              <w:t>内容要求：文字与图案完整清楚、内容正确、位置准确、页码正确、标签准确；</w:t>
            </w:r>
          </w:p>
          <w:p>
            <w:pPr>
              <w:numPr>
                <w:ilvl w:val="0"/>
                <w:numId w:val="13"/>
              </w:numPr>
              <w:tabs>
                <w:tab w:val="left" w:pos="531"/>
              </w:tabs>
              <w:snapToGrid w:val="0"/>
              <w:rPr>
                <w:rFonts w:ascii="宋体" w:hAnsi="宋体"/>
              </w:rPr>
            </w:pPr>
            <w:r>
              <w:rPr>
                <w:rFonts w:hint="eastAsia" w:ascii="宋体" w:hAnsi="宋体"/>
                <w:szCs w:val="21"/>
              </w:rPr>
              <w:t>工艺要求：版面干净、墨色均匀、清晰度高，光泽度好，且做到同批同色版面清晰、材料无误、纸张平滑、装订整齐、包装结实；</w:t>
            </w:r>
          </w:p>
          <w:p>
            <w:pPr>
              <w:numPr>
                <w:ilvl w:val="0"/>
                <w:numId w:val="13"/>
              </w:numPr>
              <w:tabs>
                <w:tab w:val="left" w:pos="531"/>
              </w:tabs>
              <w:snapToGrid w:val="0"/>
              <w:rPr>
                <w:rFonts w:ascii="宋体" w:hAnsi="宋体"/>
              </w:rPr>
            </w:pPr>
            <w:r>
              <w:rPr>
                <w:rFonts w:hint="eastAsia" w:ascii="宋体" w:hAnsi="宋体"/>
                <w:szCs w:val="21"/>
              </w:rPr>
              <w:t>尺寸要求：尺寸划一。</w:t>
            </w:r>
          </w:p>
          <w:p>
            <w:pPr>
              <w:numPr>
                <w:ilvl w:val="0"/>
                <w:numId w:val="13"/>
              </w:numPr>
              <w:tabs>
                <w:tab w:val="left" w:pos="531"/>
              </w:tabs>
              <w:snapToGrid w:val="0"/>
              <w:rPr>
                <w:rFonts w:ascii="宋体" w:hAnsi="宋体"/>
              </w:rPr>
            </w:pPr>
            <w:r>
              <w:rPr>
                <w:rFonts w:hint="eastAsia" w:ascii="宋体" w:hAnsi="宋体"/>
                <w:szCs w:val="21"/>
              </w:rPr>
              <w:t>设计方案可委托投标人协助完成，并由招标人确定。</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8"/>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0"/>
              </w:tabs>
              <w:snapToGrid w:val="0"/>
              <w:rPr>
                <w:rFonts w:ascii="宋体" w:hAnsi="宋体"/>
                <w:szCs w:val="21"/>
              </w:rPr>
            </w:pPr>
            <w:r>
              <w:rPr>
                <w:rFonts w:hint="eastAsia" w:ascii="宋体" w:hAnsi="宋体"/>
                <w:szCs w:val="21"/>
              </w:rPr>
              <w:t>投标人应提交完整的本项目工作方案，内容包括但不限于: 印制方案、项目管理团队及管控流程、生产进度及工艺流程安排、应急预案等等。</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不可偏离</w:t>
            </w:r>
          </w:p>
        </w:tc>
      </w:tr>
    </w:tbl>
    <w:p>
      <w:pPr>
        <w:jc w:val="left"/>
        <w:outlineLvl w:val="1"/>
        <w:rPr>
          <w:rFonts w:ascii="宋体" w:hAnsi="宋体"/>
          <w:b/>
          <w:szCs w:val="21"/>
        </w:rPr>
      </w:pPr>
      <w:bookmarkStart w:id="37" w:name="_Toc82684600"/>
      <w:bookmarkEnd w:id="37"/>
      <w:bookmarkStart w:id="38" w:name="_Toc82591996"/>
      <w:bookmarkEnd w:id="38"/>
      <w:bookmarkStart w:id="39" w:name="_Toc82685552"/>
      <w:bookmarkEnd w:id="39"/>
      <w:bookmarkStart w:id="40" w:name="_Toc82684715"/>
      <w:bookmarkEnd w:id="40"/>
      <w:bookmarkStart w:id="41" w:name="_Toc106791257"/>
    </w:p>
    <w:p>
      <w:pPr>
        <w:jc w:val="left"/>
        <w:outlineLvl w:val="1"/>
        <w:rPr>
          <w:rFonts w:ascii="宋体" w:hAnsi="宋体"/>
          <w:b/>
          <w:szCs w:val="21"/>
        </w:rPr>
      </w:pPr>
      <w:r>
        <w:rPr>
          <w:rFonts w:hint="eastAsia" w:ascii="宋体" w:hAnsi="宋体"/>
          <w:b/>
          <w:szCs w:val="21"/>
        </w:rPr>
        <w:t>五、其他项目说明资料</w:t>
      </w:r>
      <w:bookmarkEnd w:id="41"/>
    </w:p>
    <w:p>
      <w:pPr>
        <w:widowControl/>
        <w:jc w:val="left"/>
      </w:pPr>
    </w:p>
    <w:p>
      <w:pPr>
        <w:widowControl/>
        <w:ind w:firstLine="420" w:firstLineChars="200"/>
        <w:jc w:val="left"/>
      </w:pPr>
      <w:r>
        <w:rPr>
          <w:rFonts w:hint="eastAsia"/>
        </w:rPr>
        <w:t>无</w:t>
      </w:r>
      <w:r>
        <w:br w:type="page"/>
      </w:r>
    </w:p>
    <w:p>
      <w:pPr>
        <w:spacing w:line="360" w:lineRule="auto"/>
        <w:jc w:val="center"/>
        <w:outlineLvl w:val="0"/>
        <w:rPr>
          <w:rFonts w:ascii="宋体" w:hAnsi="宋体"/>
          <w:b/>
          <w:sz w:val="32"/>
          <w:szCs w:val="32"/>
        </w:rPr>
      </w:pPr>
      <w:bookmarkStart w:id="42" w:name="_Toc106791258"/>
      <w:r>
        <w:rPr>
          <w:rFonts w:hint="eastAsia" w:ascii="宋体" w:hAnsi="宋体"/>
          <w:b/>
          <w:sz w:val="32"/>
          <w:szCs w:val="32"/>
        </w:rPr>
        <w:t>第二部分：开标评标流程</w:t>
      </w:r>
      <w:bookmarkEnd w:id="42"/>
    </w:p>
    <w:p>
      <w:pPr>
        <w:spacing w:line="360" w:lineRule="auto"/>
        <w:outlineLvl w:val="1"/>
        <w:rPr>
          <w:b/>
        </w:rPr>
      </w:pPr>
      <w:bookmarkStart w:id="43" w:name="_Toc104994641"/>
      <w:bookmarkStart w:id="44" w:name="_Toc106791260"/>
      <w:bookmarkStart w:id="45" w:name="_Hlk104908581"/>
      <w:bookmarkStart w:id="46" w:name="_Hlk104908397"/>
      <w:r>
        <w:rPr>
          <w:rFonts w:hint="eastAsia"/>
          <w:b/>
        </w:rPr>
        <w:t>六、开标阶段</w:t>
      </w:r>
      <w:bookmarkEnd w:id="43"/>
      <w:bookmarkEnd w:id="44"/>
    </w:p>
    <w:bookmarkEnd w:id="45"/>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5"/>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spacing w:line="360" w:lineRule="auto"/>
        <w:outlineLvl w:val="1"/>
        <w:rPr>
          <w:b/>
        </w:rPr>
      </w:pPr>
      <w:bookmarkStart w:id="47" w:name="_Toc106791261"/>
      <w:bookmarkStart w:id="48" w:name="_Toc104994642"/>
      <w:r>
        <w:rPr>
          <w:rFonts w:hint="eastAsia"/>
          <w:b/>
        </w:rPr>
        <w:t>七、评标阶段</w:t>
      </w:r>
      <w:bookmarkEnd w:id="47"/>
      <w:bookmarkEnd w:id="48"/>
    </w:p>
    <w:p>
      <w:pPr>
        <w:pStyle w:val="25"/>
        <w:numPr>
          <w:ilvl w:val="0"/>
          <w:numId w:val="15"/>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5"/>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本项目招标第一中标候选投标人、第二候选投标人的确定及评标报告的出具。</w:t>
      </w:r>
    </w:p>
    <w:bookmarkEnd w:id="46"/>
    <w:p>
      <w:pPr>
        <w:widowControl/>
        <w:jc w:val="left"/>
        <w:rPr>
          <w:rFonts w:ascii="宋体"/>
          <w:b/>
          <w:sz w:val="28"/>
        </w:rPr>
      </w:pPr>
      <w:r>
        <w:br w:type="page"/>
      </w:r>
    </w:p>
    <w:p>
      <w:pPr>
        <w:spacing w:line="360" w:lineRule="auto"/>
        <w:jc w:val="center"/>
        <w:outlineLvl w:val="0"/>
        <w:rPr>
          <w:rFonts w:ascii="宋体" w:hAnsi="宋体"/>
          <w:b/>
          <w:sz w:val="32"/>
          <w:szCs w:val="32"/>
        </w:rPr>
      </w:pPr>
      <w:bookmarkStart w:id="49" w:name="_Toc106791262"/>
      <w:r>
        <w:rPr>
          <w:rFonts w:hint="eastAsia" w:ascii="宋体" w:hAnsi="宋体"/>
          <w:b/>
          <w:sz w:val="32"/>
          <w:szCs w:val="32"/>
        </w:rPr>
        <w:t>第三部分：评审办法</w:t>
      </w:r>
      <w:bookmarkEnd w:id="49"/>
    </w:p>
    <w:p>
      <w:pPr>
        <w:spacing w:line="360" w:lineRule="auto"/>
        <w:outlineLvl w:val="1"/>
        <w:rPr>
          <w:rFonts w:ascii="宋体" w:hAnsi="宋体"/>
          <w:szCs w:val="21"/>
        </w:rPr>
      </w:pPr>
      <w:bookmarkStart w:id="50" w:name="_Toc106791263"/>
      <w:r>
        <w:rPr>
          <w:rFonts w:hint="eastAsia" w:ascii="宋体" w:hAnsi="宋体"/>
          <w:b/>
          <w:bCs/>
          <w:szCs w:val="21"/>
        </w:rPr>
        <w:t>八、评审办法</w:t>
      </w:r>
      <w:bookmarkEnd w:id="50"/>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rPr>
        <w:t>100分制综合评分法</w:t>
      </w:r>
      <w:r>
        <w:rPr>
          <w:rFonts w:hint="eastAsia" w:ascii="宋体" w:hAnsi="宋体"/>
          <w:szCs w:val="21"/>
        </w:rPr>
        <w:t>进行评分。</w:t>
      </w:r>
    </w:p>
    <w:tbl>
      <w:tblPr>
        <w:tblStyle w:val="18"/>
        <w:tblpPr w:leftFromText="180" w:rightFromText="180" w:vertAnchor="text" w:horzAnchor="page" w:tblpX="1311" w:tblpY="337"/>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6"/>
              <w:jc w:val="cente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30"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31"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585"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30" w:type="dxa"/>
            <w:vAlign w:val="center"/>
          </w:tcPr>
          <w:p>
            <w:pPr>
              <w:autoSpaceDE w:val="0"/>
              <w:autoSpaceDN w:val="0"/>
              <w:adjustRightInd w:val="0"/>
              <w:snapToGrid w:val="0"/>
              <w:jc w:val="center"/>
              <w:rPr>
                <w:rFonts w:ascii="宋体" w:hAnsi="宋体"/>
              </w:rPr>
            </w:pPr>
            <w:r>
              <w:rPr>
                <w:rFonts w:hint="eastAsia" w:ascii="宋体" w:hAnsi="宋体"/>
                <w:szCs w:val="21"/>
              </w:rPr>
              <w:t>30</w:t>
            </w:r>
            <w:r>
              <w:rPr>
                <w:rFonts w:hint="eastAsia" w:ascii="宋体" w:hAnsi="宋体"/>
              </w:rPr>
              <w:t>%</w:t>
            </w:r>
          </w:p>
        </w:tc>
        <w:tc>
          <w:tcPr>
            <w:tcW w:w="2131" w:type="dxa"/>
            <w:vAlign w:val="center"/>
          </w:tcPr>
          <w:p>
            <w:pPr>
              <w:autoSpaceDE w:val="0"/>
              <w:autoSpaceDN w:val="0"/>
              <w:adjustRightInd w:val="0"/>
              <w:snapToGrid w:val="0"/>
              <w:jc w:val="center"/>
              <w:rPr>
                <w:rFonts w:ascii="宋体" w:hAnsi="宋体"/>
              </w:rPr>
            </w:pPr>
            <w:r>
              <w:rPr>
                <w:rFonts w:hint="eastAsia" w:ascii="宋体" w:hAnsi="宋体"/>
                <w:szCs w:val="21"/>
              </w:rPr>
              <w:t>40</w:t>
            </w:r>
            <w:r>
              <w:rPr>
                <w:rFonts w:hint="eastAsia" w:ascii="宋体" w:hAnsi="宋体"/>
              </w:rPr>
              <w:t>%</w:t>
            </w:r>
          </w:p>
        </w:tc>
        <w:tc>
          <w:tcPr>
            <w:tcW w:w="2585" w:type="dxa"/>
            <w:vAlign w:val="center"/>
          </w:tcPr>
          <w:p>
            <w:pPr>
              <w:autoSpaceDE w:val="0"/>
              <w:autoSpaceDN w:val="0"/>
              <w:adjustRightInd w:val="0"/>
              <w:snapToGrid w:val="0"/>
              <w:jc w:val="center"/>
              <w:rPr>
                <w:rFonts w:ascii="宋体" w:hAnsi="宋体"/>
              </w:rPr>
            </w:pPr>
            <w:r>
              <w:rPr>
                <w:rFonts w:hint="eastAsia" w:ascii="宋体" w:hAnsi="宋体"/>
                <w:szCs w:val="21"/>
              </w:rPr>
              <w:t>30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dxa"/>
            <w:vAlign w:val="center"/>
          </w:tcPr>
          <w:p>
            <w:pPr>
              <w:pStyle w:val="6"/>
              <w:ind w:left="0"/>
              <w:jc w:val="center"/>
            </w:pPr>
            <w:r>
              <w:rPr>
                <w:rFonts w:hint="eastAsia" w:ascii="宋体" w:hAnsi="宋体"/>
              </w:rPr>
              <w:t>投标人综合得分</w:t>
            </w:r>
          </w:p>
        </w:tc>
        <w:tc>
          <w:tcPr>
            <w:tcW w:w="6846" w:type="dxa"/>
            <w:gridSpan w:val="3"/>
            <w:vAlign w:val="center"/>
          </w:tcPr>
          <w:p>
            <w:pPr>
              <w:pStyle w:val="6"/>
              <w:jc w:val="center"/>
            </w:pPr>
            <w:r>
              <w:rPr>
                <w:rFonts w:hint="eastAsia" w:ascii="宋体" w:hAnsi="宋体"/>
              </w:rPr>
              <w:t>商务标得分+技术标得分+价格标得分=100</w:t>
            </w:r>
          </w:p>
        </w:tc>
      </w:tr>
    </w:tbl>
    <w:p>
      <w:pPr>
        <w:pStyle w:val="6"/>
        <w:ind w:left="0"/>
      </w:pPr>
    </w:p>
    <w:p>
      <w:pPr>
        <w:pStyle w:val="14"/>
      </w:pPr>
    </w:p>
    <w:p>
      <w:pPr>
        <w:numPr>
          <w:ilvl w:val="0"/>
          <w:numId w:val="16"/>
        </w:numPr>
        <w:spacing w:line="360" w:lineRule="auto"/>
        <w:jc w:val="left"/>
        <w:outlineLvl w:val="2"/>
        <w:rPr>
          <w:rStyle w:val="32"/>
          <w:rFonts w:ascii="宋体" w:hAnsi="宋体"/>
          <w:b/>
          <w:szCs w:val="21"/>
        </w:rPr>
      </w:pPr>
      <w:bookmarkStart w:id="51" w:name="_Toc106791264"/>
      <w:r>
        <w:rPr>
          <w:rStyle w:val="32"/>
          <w:rFonts w:hint="eastAsia" w:ascii="宋体" w:hAnsi="宋体"/>
          <w:b/>
          <w:bCs/>
          <w:szCs w:val="21"/>
        </w:rPr>
        <w:t>符合性检查</w:t>
      </w:r>
      <w:bookmarkEnd w:id="51"/>
    </w:p>
    <w:tbl>
      <w:tblPr>
        <w:tblStyle w:val="17"/>
        <w:tblW w:w="9516"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jc w:val="center"/>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153" w:hRule="atLeast"/>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073" w:hRule="atLeast"/>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rPr>
                <w:rFonts w:ascii="宋体" w:hAnsi="宋体" w:cs="仿宋"/>
                <w:szCs w:val="21"/>
              </w:rPr>
            </w:pPr>
            <w:r>
              <w:rPr>
                <w:rFonts w:hint="eastAsia" w:ascii="宋体" w:hAnsi="宋体" w:cs="仿宋_GB2312"/>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3669" w:hRule="atLeast"/>
          <w:tblCellSpacing w:w="0" w:type="dxa"/>
          <w:jc w:val="center"/>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255"/>
                <w:numId w:val="0"/>
              </w:numPr>
              <w:tabs>
                <w:tab w:val="left" w:pos="531"/>
              </w:tabs>
              <w:snapToGrid w:val="0"/>
              <w:rPr>
                <w:rFonts w:ascii="宋体"/>
              </w:rPr>
            </w:pPr>
            <w:r>
              <w:rPr>
                <w:rFonts w:hint="eastAsia" w:ascii="宋体" w:hAnsi="宋体" w:cs="仿宋_GB2312"/>
                <w:szCs w:val="21"/>
              </w:rPr>
              <w:t>（1）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255"/>
                <w:numId w:val="0"/>
              </w:numPr>
              <w:tabs>
                <w:tab w:val="left" w:pos="531"/>
              </w:tabs>
              <w:snapToGrid w:val="0"/>
              <w:ind w:left="1"/>
            </w:pPr>
            <w:r>
              <w:rPr>
                <w:rFonts w:hint="eastAsia"/>
              </w:rPr>
              <w:t>（2）投标人代表必须是投标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p>
          <w:p>
            <w:pPr>
              <w:numPr>
                <w:ilvl w:val="255"/>
                <w:numId w:val="0"/>
              </w:numPr>
              <w:tabs>
                <w:tab w:val="left" w:pos="531"/>
              </w:tabs>
              <w:snapToGrid w:val="0"/>
              <w:rPr>
                <w:rFonts w:ascii="宋体" w:hAnsi="宋体" w:cs="宋体"/>
                <w:szCs w:val="21"/>
              </w:rPr>
            </w:pPr>
            <w:r>
              <w:rPr>
                <w:rFonts w:hint="eastAsia" w:ascii="宋体"/>
              </w:rPr>
              <w:t>（3）</w:t>
            </w:r>
            <w:r>
              <w:rPr>
                <w:rFonts w:hint="eastAsia" w:ascii="宋体" w:hAnsi="宋体" w:cs="宋体"/>
                <w:szCs w:val="21"/>
              </w:rPr>
              <w:t>投标人须具有《印刷经营许可证》，上述认证须提供扫描件并加盖投标人公章。</w:t>
            </w:r>
          </w:p>
          <w:p>
            <w:pPr>
              <w:numPr>
                <w:ilvl w:val="255"/>
                <w:numId w:val="0"/>
              </w:numPr>
              <w:tabs>
                <w:tab w:val="left" w:pos="531"/>
              </w:tabs>
              <w:snapToGrid w:val="0"/>
            </w:pPr>
            <w:r>
              <w:rPr>
                <w:rFonts w:hint="eastAsia" w:ascii="宋体" w:hAnsi="宋体" w:cs="宋体"/>
                <w:szCs w:val="21"/>
              </w:rPr>
              <w:t>（4）本项目不接受联合体投标，严禁转包或非法分包。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873" w:hRule="atLeast"/>
          <w:tblCellSpacing w:w="0" w:type="dxa"/>
          <w:jc w:val="center"/>
        </w:trPr>
        <w:tc>
          <w:tcPr>
            <w:tcW w:w="1881" w:type="dxa"/>
            <w:tcBorders>
              <w:tl2br w:val="nil"/>
              <w:tr2bl w:val="nil"/>
            </w:tcBorders>
            <w:vAlign w:val="center"/>
          </w:tcPr>
          <w:p>
            <w:pPr>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rPr>
                <w:rFonts w:ascii="宋体" w:hAnsi="宋体" w:cs="仿宋"/>
                <w:szCs w:val="21"/>
              </w:rPr>
            </w:pPr>
            <w:r>
              <w:rPr>
                <w:rFonts w:hint="eastAsia" w:ascii="宋体" w:hAnsi="宋体" w:cs="宋体"/>
                <w:szCs w:val="21"/>
              </w:rPr>
              <w:t>本项目采购控制金额为人民币</w:t>
            </w:r>
            <w:r>
              <w:rPr>
                <w:rFonts w:hint="eastAsia" w:ascii="宋体" w:hAnsi="宋体"/>
                <w:szCs w:val="21"/>
              </w:rPr>
              <w:t>37.6</w:t>
            </w:r>
            <w:r>
              <w:rPr>
                <w:rFonts w:ascii="宋体" w:hAnsi="宋体" w:cs="宋体"/>
                <w:szCs w:val="21"/>
              </w:rPr>
              <w:t>万元（含</w:t>
            </w:r>
            <w:r>
              <w:rPr>
                <w:rFonts w:hint="eastAsia" w:ascii="宋体" w:hAnsi="宋体" w:cs="宋体"/>
                <w:szCs w:val="21"/>
              </w:rPr>
              <w:t>增值</w:t>
            </w:r>
            <w:r>
              <w:rPr>
                <w:rFonts w:ascii="宋体" w:hAnsi="宋体" w:cs="宋体"/>
                <w:szCs w:val="21"/>
              </w:rPr>
              <w:t>税</w:t>
            </w:r>
            <w:r>
              <w:rPr>
                <w:rFonts w:hint="eastAsia" w:ascii="宋体" w:hAnsi="宋体" w:cs="宋体"/>
                <w:szCs w:val="21"/>
              </w:rPr>
              <w:t>)，分为2022年度、2023年度两期，每期控制金额分别为18.8万元，报价超过上述控制金额的投标文件作废标处理。</w:t>
            </w:r>
          </w:p>
        </w:tc>
      </w:tr>
    </w:tbl>
    <w:p>
      <w:pPr>
        <w:numPr>
          <w:ilvl w:val="255"/>
          <w:numId w:val="0"/>
        </w:numPr>
        <w:spacing w:line="360" w:lineRule="auto"/>
        <w:jc w:val="left"/>
        <w:outlineLvl w:val="2"/>
        <w:rPr>
          <w:rStyle w:val="32"/>
          <w:rFonts w:ascii="宋体" w:hAnsi="宋体"/>
          <w:b/>
          <w:bCs/>
          <w:szCs w:val="21"/>
        </w:rPr>
      </w:pPr>
      <w:bookmarkStart w:id="52" w:name="_Toc114675512"/>
      <w:bookmarkStart w:id="53" w:name="_Toc106791265"/>
    </w:p>
    <w:p>
      <w:pPr>
        <w:numPr>
          <w:ilvl w:val="255"/>
          <w:numId w:val="0"/>
        </w:numPr>
        <w:spacing w:line="360" w:lineRule="auto"/>
        <w:jc w:val="left"/>
        <w:outlineLvl w:val="2"/>
        <w:rPr>
          <w:rStyle w:val="32"/>
          <w:rFonts w:ascii="宋体" w:hAnsi="宋体"/>
          <w:b/>
          <w:bCs/>
          <w:szCs w:val="21"/>
        </w:rPr>
      </w:pPr>
      <w:r>
        <w:rPr>
          <w:rStyle w:val="32"/>
          <w:rFonts w:hint="eastAsia" w:ascii="宋体" w:hAnsi="宋体"/>
          <w:b/>
          <w:bCs/>
          <w:szCs w:val="21"/>
        </w:rPr>
        <w:t>（二）不可偏离项检查</w:t>
      </w:r>
      <w:bookmarkEnd w:id="52"/>
    </w:p>
    <w:p>
      <w:pPr>
        <w:pStyle w:val="6"/>
      </w:pPr>
      <w:r>
        <w:rPr>
          <w:rFonts w:hint="eastAsia"/>
        </w:rPr>
        <w:t>检查内容详见第四条《项目要求》之（一）《商务需求》、（二）技术/服务需求。</w:t>
      </w:r>
    </w:p>
    <w:p>
      <w:pPr>
        <w:spacing w:before="936" w:beforeLines="300" w:line="360" w:lineRule="auto"/>
        <w:jc w:val="left"/>
        <w:outlineLvl w:val="2"/>
      </w:pPr>
      <w:r>
        <w:rPr>
          <w:rStyle w:val="32"/>
          <w:rFonts w:hint="eastAsia" w:ascii="宋体" w:hAnsi="宋体"/>
          <w:b/>
          <w:bCs/>
          <w:szCs w:val="21"/>
        </w:rPr>
        <w:t>（三）综合评议指标表</w:t>
      </w:r>
      <w:bookmarkEnd w:id="53"/>
    </w:p>
    <w:tbl>
      <w:tblPr>
        <w:tblStyle w:val="17"/>
        <w:tblpPr w:leftFromText="180" w:rightFromText="180" w:vertAnchor="text" w:horzAnchor="page" w:tblpX="1367" w:tblpY="463"/>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商务评议项（30分）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7" w:hRule="atLeast"/>
          <w:tblCellSpacing w:w="0" w:type="dxa"/>
        </w:trPr>
        <w:tc>
          <w:tcPr>
            <w:tcW w:w="704" w:type="dxa"/>
            <w:tcBorders>
              <w:tl2br w:val="nil"/>
              <w:tr2bl w:val="nil"/>
            </w:tcBorders>
            <w:vAlign w:val="center"/>
          </w:tcPr>
          <w:p>
            <w:pPr>
              <w:pStyle w:val="25"/>
              <w:numPr>
                <w:ilvl w:val="0"/>
                <w:numId w:val="1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rPr>
                <w:rFonts w:ascii="宋体" w:hAnsi="宋体"/>
                <w:szCs w:val="21"/>
              </w:rPr>
            </w:pPr>
            <w:r>
              <w:rPr>
                <w:rFonts w:hint="eastAsia"/>
              </w:rPr>
              <w:t>综合实力</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u w:val="single"/>
              </w:rPr>
            </w:pPr>
            <w:r>
              <w:rPr>
                <w:rFonts w:hint="eastAsia"/>
              </w:rPr>
              <w:t>10分</w:t>
            </w:r>
          </w:p>
        </w:tc>
        <w:tc>
          <w:tcPr>
            <w:tcW w:w="6804" w:type="dxa"/>
            <w:gridSpan w:val="2"/>
            <w:tcBorders>
              <w:tl2br w:val="nil"/>
              <w:tr2bl w:val="nil"/>
            </w:tcBorders>
            <w:tcMar>
              <w:top w:w="15" w:type="dxa"/>
              <w:left w:w="15" w:type="dxa"/>
              <w:bottom w:w="15" w:type="dxa"/>
              <w:right w:w="15" w:type="dxa"/>
            </w:tcMar>
            <w:vAlign w:val="center"/>
          </w:tcPr>
          <w:p>
            <w:pPr>
              <w:tabs>
                <w:tab w:val="left" w:pos="665"/>
              </w:tabs>
              <w:snapToGrid w:val="0"/>
              <w:rPr>
                <w:rFonts w:ascii="宋体" w:hAnsi="宋体"/>
                <w:szCs w:val="21"/>
              </w:rPr>
            </w:pPr>
            <w:r>
              <w:rPr>
                <w:rFonts w:hint="eastAsia" w:ascii="宋体" w:hAnsi="宋体"/>
                <w:szCs w:val="21"/>
              </w:rPr>
              <w:t>根据投标人资质条件、信誉、企业实力等方面综合评议，综合实力越强，分数越高。优秀10-8分，良好7-4分，其余3-1分。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5" w:hRule="atLeast"/>
          <w:tblCellSpacing w:w="0" w:type="dxa"/>
        </w:trPr>
        <w:tc>
          <w:tcPr>
            <w:tcW w:w="704" w:type="dxa"/>
            <w:tcBorders>
              <w:tl2br w:val="nil"/>
              <w:tr2bl w:val="nil"/>
            </w:tcBorders>
            <w:vAlign w:val="center"/>
          </w:tcPr>
          <w:p>
            <w:pPr>
              <w:pStyle w:val="25"/>
              <w:numPr>
                <w:ilvl w:val="0"/>
                <w:numId w:val="17"/>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rPr>
              <w:t>企业业绩</w:t>
            </w:r>
          </w:p>
        </w:tc>
        <w:tc>
          <w:tcPr>
            <w:tcW w:w="709" w:type="dxa"/>
            <w:tcBorders>
              <w:tl2br w:val="nil"/>
              <w:tr2bl w:val="nil"/>
            </w:tcBorders>
            <w:tcMar>
              <w:top w:w="15" w:type="dxa"/>
              <w:left w:w="15" w:type="dxa"/>
              <w:bottom w:w="15" w:type="dxa"/>
              <w:right w:w="15" w:type="dxa"/>
            </w:tcMar>
            <w:vAlign w:val="center"/>
          </w:tcPr>
          <w:p>
            <w:pPr>
              <w:jc w:val="center"/>
              <w:rPr>
                <w:rFonts w:ascii="宋体" w:hAnsi="宋体"/>
                <w:szCs w:val="21"/>
                <w:u w:val="single"/>
              </w:rPr>
            </w:pPr>
            <w:r>
              <w:rPr>
                <w:rFonts w:hint="eastAsia"/>
              </w:rPr>
              <w:t>20分</w:t>
            </w:r>
          </w:p>
        </w:tc>
        <w:tc>
          <w:tcPr>
            <w:tcW w:w="6804" w:type="dxa"/>
            <w:gridSpan w:val="2"/>
            <w:tcBorders>
              <w:tl2br w:val="nil"/>
              <w:tr2bl w:val="nil"/>
            </w:tcBorders>
            <w:tcMar>
              <w:top w:w="15" w:type="dxa"/>
              <w:left w:w="15" w:type="dxa"/>
              <w:bottom w:w="15" w:type="dxa"/>
              <w:right w:w="15" w:type="dxa"/>
            </w:tcMar>
            <w:vAlign w:val="center"/>
          </w:tcPr>
          <w:p>
            <w:pPr>
              <w:numPr>
                <w:ilvl w:val="255"/>
                <w:numId w:val="0"/>
              </w:numPr>
              <w:tabs>
                <w:tab w:val="left" w:pos="665"/>
              </w:tabs>
              <w:snapToGrid w:val="0"/>
              <w:rPr>
                <w:rFonts w:ascii="宋体" w:hAnsi="宋体"/>
                <w:szCs w:val="21"/>
              </w:rPr>
            </w:pPr>
            <w:r>
              <w:rPr>
                <w:rFonts w:hint="eastAsia" w:ascii="宋体" w:hAnsi="宋体"/>
                <w:szCs w:val="21"/>
              </w:rPr>
              <w:t>（1）根据投标人近三年（时间自2019年9月1日至本项目公告发布之日）印刷方面（包括但不限于书刊、画册、产品包装盒、海报招贴）同类业绩合计数进行排名，第一名得15-13分，第二名得12-9分，第三名得8-5分，其余得2分。投标人须提供相关业绩汇总金额及对应业绩合同关键页（包含但不限于：项目名称、业主方名称、服务内容、合同金额、签订时间、履约地点、甲乙双方盖章等信息）并加盖投标人公章。</w:t>
            </w:r>
          </w:p>
          <w:p>
            <w:pPr>
              <w:tabs>
                <w:tab w:val="left" w:pos="665"/>
              </w:tabs>
              <w:snapToGrid w:val="0"/>
              <w:rPr>
                <w:rFonts w:ascii="宋体" w:hAnsi="宋体"/>
                <w:szCs w:val="21"/>
              </w:rPr>
            </w:pPr>
            <w:r>
              <w:rPr>
                <w:rFonts w:hint="eastAsia" w:ascii="宋体" w:hAnsi="宋体"/>
                <w:szCs w:val="21"/>
              </w:rPr>
              <w:t>（2）上述业绩中，有展（博）览会或大型会议、论坛会刊设计印刷同类业绩，且单项业绩超过20万元的，每项业绩可加1分，满分5分。投标人须提供相关业绩汇总金额及对应业绩合同关键页（包含但不限于：项目名称、业主方名称、服务内容、合同金额、签订时间、履约地点、甲乙双方盖章等信息）并加盖投标人公章。</w:t>
            </w:r>
          </w:p>
          <w:p>
            <w:pPr>
              <w:tabs>
                <w:tab w:val="left" w:pos="665"/>
              </w:tabs>
              <w:snapToGrid w:val="0"/>
              <w:rPr>
                <w:rFonts w:ascii="宋体"/>
              </w:rPr>
            </w:pPr>
            <w:r>
              <w:rPr>
                <w:rFonts w:hint="eastAsia" w:ascii="宋体" w:hAnsi="宋体"/>
                <w:szCs w:val="21"/>
              </w:rPr>
              <w:t>（3）上述评议投标人未提供或提供的相关证明文件不清晰、不完整或不符合要求的，该项不得分。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技术服务评议项（40分</w:t>
            </w:r>
            <w:r>
              <w:rPr>
                <w:rFonts w:ascii="宋体" w:hAnsi="宋体"/>
                <w:b/>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31" w:hRule="atLeast"/>
          <w:tblCellSpacing w:w="0" w:type="dxa"/>
        </w:trPr>
        <w:tc>
          <w:tcPr>
            <w:tcW w:w="704" w:type="dxa"/>
            <w:tcBorders>
              <w:tl2br w:val="nil"/>
              <w:tr2bl w:val="nil"/>
            </w:tcBorders>
            <w:vAlign w:val="center"/>
          </w:tcPr>
          <w:p>
            <w:pPr>
              <w:pStyle w:val="25"/>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20分</w:t>
            </w:r>
          </w:p>
        </w:tc>
        <w:tc>
          <w:tcPr>
            <w:tcW w:w="6804" w:type="dxa"/>
            <w:gridSpan w:val="2"/>
            <w:tcBorders>
              <w:tl2br w:val="nil"/>
              <w:tr2bl w:val="nil"/>
            </w:tcBorders>
            <w:tcMar>
              <w:top w:w="15" w:type="dxa"/>
              <w:left w:w="15" w:type="dxa"/>
              <w:bottom w:w="15" w:type="dxa"/>
              <w:right w:w="15" w:type="dxa"/>
            </w:tcMar>
            <w:vAlign w:val="center"/>
          </w:tcPr>
          <w:p>
            <w:pPr>
              <w:widowControl/>
              <w:numPr>
                <w:ilvl w:val="0"/>
                <w:numId w:val="19"/>
              </w:numPr>
              <w:snapToGrid w:val="0"/>
            </w:pPr>
            <w:r>
              <w:rPr>
                <w:rFonts w:hint="eastAsia"/>
              </w:rPr>
              <w:t>投标人根据招标人的采购需求，提出服务方案。以该方案设计的科学性、全面性、项目条款响应程度及作出承诺进行评议。优秀得 15-13分，良好得12-9分，一般得8-5分，其他得2分。</w:t>
            </w:r>
          </w:p>
          <w:p>
            <w:pPr>
              <w:pStyle w:val="2"/>
              <w:numPr>
                <w:ilvl w:val="255"/>
                <w:numId w:val="0"/>
              </w:numPr>
            </w:pPr>
            <w:r>
              <w:rPr>
                <w:rFonts w:hint="eastAsia"/>
              </w:rPr>
              <w:t>（2）</w:t>
            </w:r>
            <w:r>
              <w:rPr>
                <w:rFonts w:hint="eastAsia" w:ascii="宋体" w:hAnsi="宋体"/>
                <w:szCs w:val="21"/>
              </w:rPr>
              <w:t>投标人在提出满足于本项目采购需求的服务方案以外，提出优化方案，并作出相应服务承诺。优秀可加 5-4分，良好可加1-3分，其他得0分。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99" w:hRule="atLeast"/>
          <w:tblCellSpacing w:w="0" w:type="dxa"/>
        </w:trPr>
        <w:tc>
          <w:tcPr>
            <w:tcW w:w="704" w:type="dxa"/>
            <w:tcBorders>
              <w:tl2br w:val="nil"/>
              <w:tr2bl w:val="nil"/>
            </w:tcBorders>
            <w:vAlign w:val="center"/>
          </w:tcPr>
          <w:p>
            <w:pPr>
              <w:pStyle w:val="25"/>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pPr>
            <w:r>
              <w:rPr>
                <w:rFonts w:hint="eastAsia"/>
              </w:rPr>
              <w:t>应急方案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4分</w:t>
            </w:r>
          </w:p>
        </w:tc>
        <w:tc>
          <w:tcPr>
            <w:tcW w:w="6804" w:type="dxa"/>
            <w:gridSpan w:val="2"/>
            <w:tcBorders>
              <w:tl2br w:val="nil"/>
              <w:tr2bl w:val="nil"/>
            </w:tcBorders>
            <w:tcMar>
              <w:top w:w="15" w:type="dxa"/>
              <w:left w:w="15" w:type="dxa"/>
              <w:bottom w:w="15" w:type="dxa"/>
              <w:right w:w="15" w:type="dxa"/>
            </w:tcMar>
            <w:vAlign w:val="center"/>
          </w:tcPr>
          <w:p>
            <w:pPr>
              <w:widowControl/>
              <w:numPr>
                <w:ilvl w:val="255"/>
                <w:numId w:val="0"/>
              </w:numPr>
              <w:snapToGrid w:val="0"/>
              <w:rPr>
                <w:rFonts w:ascii="宋体" w:hAnsi="宋体" w:cs="宋体"/>
                <w:kern w:val="0"/>
                <w:szCs w:val="21"/>
              </w:rPr>
            </w:pPr>
            <w:r>
              <w:rPr>
                <w:rFonts w:hint="eastAsia" w:ascii="宋体" w:hAnsi="宋体"/>
                <w:szCs w:val="21"/>
              </w:rPr>
              <w:t>投标人根据本项目的特点，作出相应的应急处理方案。优秀得 4分，良好得3分，一般得2分，其他得0分。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tblCellSpacing w:w="0" w:type="dxa"/>
        </w:trPr>
        <w:tc>
          <w:tcPr>
            <w:tcW w:w="704" w:type="dxa"/>
            <w:tcBorders>
              <w:tl2br w:val="nil"/>
              <w:tr2bl w:val="nil"/>
            </w:tcBorders>
            <w:vAlign w:val="center"/>
          </w:tcPr>
          <w:p>
            <w:pPr>
              <w:pStyle w:val="25"/>
              <w:numPr>
                <w:ilvl w:val="0"/>
                <w:numId w:val="18"/>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jc w:val="center"/>
            </w:pPr>
            <w:r>
              <w:rPr>
                <w:rFonts w:hint="eastAsia"/>
              </w:rPr>
              <w:t>项目团队</w:t>
            </w:r>
          </w:p>
        </w:tc>
        <w:tc>
          <w:tcPr>
            <w:tcW w:w="709" w:type="dxa"/>
            <w:tcBorders>
              <w:tl2br w:val="nil"/>
              <w:tr2bl w:val="nil"/>
            </w:tcBorders>
            <w:tcMar>
              <w:top w:w="15" w:type="dxa"/>
              <w:left w:w="15" w:type="dxa"/>
              <w:bottom w:w="15" w:type="dxa"/>
              <w:right w:w="15" w:type="dxa"/>
            </w:tcMar>
            <w:vAlign w:val="center"/>
          </w:tcPr>
          <w:p>
            <w:pPr>
              <w:jc w:val="center"/>
            </w:pPr>
            <w:r>
              <w:rPr>
                <w:rFonts w:hint="eastAsia"/>
              </w:rPr>
              <w:t>16分</w:t>
            </w:r>
          </w:p>
        </w:tc>
        <w:tc>
          <w:tcPr>
            <w:tcW w:w="6804" w:type="dxa"/>
            <w:gridSpan w:val="2"/>
            <w:tcBorders>
              <w:tl2br w:val="nil"/>
              <w:tr2bl w:val="nil"/>
            </w:tcBorders>
            <w:tcMar>
              <w:top w:w="15" w:type="dxa"/>
              <w:left w:w="15" w:type="dxa"/>
              <w:bottom w:w="15" w:type="dxa"/>
              <w:right w:w="15" w:type="dxa"/>
            </w:tcMar>
            <w:vAlign w:val="center"/>
          </w:tcPr>
          <w:p>
            <w:pPr>
              <w:numPr>
                <w:ilvl w:val="0"/>
                <w:numId w:val="20"/>
              </w:numPr>
              <w:tabs>
                <w:tab w:val="left" w:pos="665"/>
              </w:tabs>
              <w:snapToGrid w:val="0"/>
              <w:rPr>
                <w:rFonts w:ascii="宋体" w:hAnsi="宋体"/>
                <w:szCs w:val="21"/>
              </w:rPr>
            </w:pPr>
            <w:r>
              <w:rPr>
                <w:rFonts w:hint="eastAsia" w:ascii="宋体" w:hAnsi="宋体"/>
                <w:szCs w:val="21"/>
              </w:rPr>
              <w:t>根据项目经理工作经验、资质水平、所负责过的大型书刊编印项目（特别是展（博）览会会刊项目）等多方面综合评议，优秀5分，良好4分，一般3分，其余0分。</w:t>
            </w:r>
          </w:p>
          <w:p>
            <w:pPr>
              <w:numPr>
                <w:ilvl w:val="255"/>
                <w:numId w:val="0"/>
              </w:numPr>
              <w:tabs>
                <w:tab w:val="left" w:pos="665"/>
              </w:tabs>
              <w:snapToGrid w:val="0"/>
              <w:ind w:firstLine="420" w:firstLineChars="200"/>
              <w:rPr>
                <w:rFonts w:ascii="宋体" w:hAnsi="宋体"/>
                <w:szCs w:val="21"/>
              </w:rPr>
            </w:pPr>
            <w:r>
              <w:rPr>
                <w:rFonts w:hint="eastAsia" w:ascii="宋体" w:hAnsi="宋体"/>
                <w:szCs w:val="21"/>
              </w:rPr>
              <w:t>投标人须提供项目经理曾以项目经理身份参与过的相关项目清单</w:t>
            </w:r>
            <w:r>
              <w:rPr>
                <w:rFonts w:hint="eastAsia"/>
              </w:rPr>
              <w:t>及对应业绩合同关键页（包含但不限于：项目名称、业主方名称、服务内容、合同金额、签订时间、履约地点、甲乙双方盖章等信息）并加盖投标人公章。</w:t>
            </w:r>
            <w:r>
              <w:rPr>
                <w:rFonts w:hint="eastAsia"/>
                <w:szCs w:val="21"/>
              </w:rPr>
              <w:t>投标人提供的资料须足以证明项目成果为该项目经理负责，如所提供</w:t>
            </w:r>
            <w:r>
              <w:rPr>
                <w:rFonts w:hint="eastAsia" w:ascii="宋体"/>
              </w:rPr>
              <w:t>证明文件</w:t>
            </w:r>
            <w:r>
              <w:rPr>
                <w:rFonts w:hint="eastAsia"/>
                <w:szCs w:val="21"/>
              </w:rPr>
              <w:t>无法判断涉及人员的，该项不得分。</w:t>
            </w:r>
          </w:p>
          <w:p>
            <w:pPr>
              <w:numPr>
                <w:ilvl w:val="0"/>
                <w:numId w:val="20"/>
              </w:numPr>
              <w:tabs>
                <w:tab w:val="left" w:pos="665"/>
              </w:tabs>
              <w:snapToGrid w:val="0"/>
            </w:pPr>
            <w:r>
              <w:rPr>
                <w:rFonts w:hint="eastAsia" w:ascii="宋体" w:hAnsi="宋体"/>
                <w:szCs w:val="21"/>
              </w:rPr>
              <w:t>根据主设计师设计经验、获奖情况、展出所属领域、项目知名度及影响力等综合资质水平比较进行评议，优秀5分，良好4分，一般3分，其余0分。</w:t>
            </w:r>
          </w:p>
          <w:p>
            <w:pPr>
              <w:numPr>
                <w:ilvl w:val="255"/>
                <w:numId w:val="0"/>
              </w:numPr>
              <w:tabs>
                <w:tab w:val="left" w:pos="665"/>
              </w:tabs>
              <w:snapToGrid w:val="0"/>
              <w:ind w:firstLine="420" w:firstLineChars="200"/>
              <w:rPr>
                <w:rFonts w:ascii="宋体" w:hAnsi="宋体"/>
                <w:szCs w:val="21"/>
              </w:rPr>
            </w:pPr>
            <w:r>
              <w:rPr>
                <w:rFonts w:hint="eastAsia" w:ascii="宋体" w:hAnsi="宋体"/>
                <w:szCs w:val="21"/>
              </w:rPr>
              <w:t>有展（博）览会会刊类设计作品的，以合计数排名，第一可加2分，第二名可加1分，其余不得分；</w:t>
            </w:r>
          </w:p>
          <w:p>
            <w:pPr>
              <w:numPr>
                <w:ilvl w:val="255"/>
                <w:numId w:val="0"/>
              </w:numPr>
              <w:tabs>
                <w:tab w:val="left" w:pos="665"/>
              </w:tabs>
              <w:snapToGrid w:val="0"/>
              <w:ind w:firstLine="420" w:firstLineChars="200"/>
              <w:rPr>
                <w:rFonts w:ascii="宋体" w:hAnsi="宋体"/>
                <w:szCs w:val="21"/>
              </w:rPr>
            </w:pPr>
            <w:r>
              <w:rPr>
                <w:rFonts w:hint="eastAsia" w:ascii="宋体" w:hAnsi="宋体"/>
                <w:szCs w:val="21"/>
              </w:rPr>
              <w:t>有国内外设计行业获奖情况的，以合计数排名，第一名可加2分，第二名可加1分，其余不得分；</w:t>
            </w:r>
          </w:p>
          <w:p>
            <w:pPr>
              <w:numPr>
                <w:ilvl w:val="255"/>
                <w:numId w:val="0"/>
              </w:numPr>
              <w:tabs>
                <w:tab w:val="left" w:pos="665"/>
              </w:tabs>
              <w:snapToGrid w:val="0"/>
              <w:ind w:firstLine="420" w:firstLineChars="200"/>
              <w:rPr>
                <w:rFonts w:ascii="宋体" w:hAnsi="宋体"/>
                <w:szCs w:val="21"/>
              </w:rPr>
            </w:pPr>
            <w:r>
              <w:rPr>
                <w:rFonts w:hint="eastAsia" w:ascii="宋体" w:hAnsi="宋体"/>
                <w:szCs w:val="21"/>
              </w:rPr>
              <w:t>有设计作品在国内外展（博）览会展出的，以合计数排名，第一名可加2分，第二名可加1分，其余不得分。</w:t>
            </w:r>
          </w:p>
          <w:p>
            <w:pPr>
              <w:numPr>
                <w:ilvl w:val="255"/>
                <w:numId w:val="0"/>
              </w:numPr>
              <w:tabs>
                <w:tab w:val="left" w:pos="665"/>
              </w:tabs>
              <w:snapToGrid w:val="0"/>
              <w:rPr>
                <w:szCs w:val="21"/>
              </w:rPr>
            </w:pPr>
            <w:r>
              <w:rPr>
                <w:rFonts w:hint="eastAsia"/>
                <w:szCs w:val="21"/>
              </w:rPr>
              <w:t>投标人提供的资料须足以证明项目（获奖）成果为主设计师主理，</w:t>
            </w:r>
            <w:r>
              <w:rPr>
                <w:rFonts w:hint="eastAsia"/>
              </w:rPr>
              <w:t>并加盖投标人公章；</w:t>
            </w:r>
            <w:r>
              <w:rPr>
                <w:rFonts w:hint="eastAsia"/>
                <w:szCs w:val="21"/>
              </w:rPr>
              <w:t>如所提供</w:t>
            </w:r>
            <w:r>
              <w:rPr>
                <w:rFonts w:hint="eastAsia" w:ascii="宋体"/>
              </w:rPr>
              <w:t>证明文件</w:t>
            </w:r>
            <w:r>
              <w:rPr>
                <w:rFonts w:hint="eastAsia"/>
                <w:szCs w:val="21"/>
              </w:rPr>
              <w:t>无法判断涉及人员的，该项不得分。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价格评议项（30分</w:t>
            </w:r>
            <w:r>
              <w:rPr>
                <w:rFonts w:ascii="宋体" w:hAnsi="宋体"/>
                <w:b/>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标报价大于n家时，去掉一个最高和最低报价后的算术平均值乘以％。当有效投标报价少于n（含）家时，则以所有有效投标报价的算术平均值乘以％。n=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□有效投标报价的最低价为基价。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7513" w:type="dxa"/>
            <w:gridSpan w:val="3"/>
            <w:tcBorders>
              <w:tl2br w:val="nil"/>
              <w:tr2bl w:val="nil"/>
            </w:tcBorders>
            <w:vAlign w:val="center"/>
          </w:tcPr>
          <w:p>
            <w:pPr>
              <w:spacing w:line="240" w:lineRule="atLeast"/>
              <w:jc w:val="left"/>
              <w:rPr>
                <w:rFonts w:ascii="宋体" w:hAnsi="宋体"/>
                <w:szCs w:val="21"/>
              </w:rPr>
            </w:pPr>
            <w:r>
              <w:rPr>
                <w:rFonts w:hint="eastAsia" w:ascii="宋体" w:hAnsi="宋体"/>
                <w:szCs w:val="21"/>
              </w:rPr>
              <w:t>有效投标报价是指投标净价金额。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sym w:font="Wingdings 2" w:char="00A3"/>
            </w: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M=（价格评价分项满分值），N=，投标价格每高于N％时，扣分；每低于N％时，扣分；</w:t>
            </w:r>
          </w:p>
          <w:p>
            <w:pPr>
              <w:spacing w:line="240" w:lineRule="atLeast"/>
              <w:jc w:val="left"/>
              <w:rPr>
                <w:rFonts w:ascii="宋体" w:cs="宋体"/>
                <w:kern w:val="0"/>
                <w:szCs w:val="21"/>
              </w:rPr>
            </w:pPr>
            <w:r>
              <w:rPr>
                <w:rFonts w:hint="eastAsia" w:ascii="宋体" w:hAnsi="宋体"/>
                <w:szCs w:val="21"/>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cs="宋体"/>
                <w:kern w:val="0"/>
                <w:szCs w:val="21"/>
              </w:rPr>
            </w:pPr>
            <w:r>
              <w:rPr>
                <w:rFonts w:hint="eastAsia" w:ascii="宋体" w:hAnsi="宋体"/>
                <w:szCs w:val="21"/>
              </w:rPr>
              <w:t>□固定乘积法</w:t>
            </w:r>
          </w:p>
        </w:tc>
        <w:tc>
          <w:tcPr>
            <w:tcW w:w="5950" w:type="dxa"/>
            <w:tcBorders>
              <w:tl2br w:val="nil"/>
              <w:tr2bl w:val="nil"/>
            </w:tcBorders>
            <w:vAlign w:val="center"/>
          </w:tcPr>
          <w:p>
            <w:pPr>
              <w:autoSpaceDE w:val="0"/>
              <w:autoSpaceDN w:val="0"/>
              <w:adjustRightInd w:val="0"/>
              <w:snapToGrid w:val="0"/>
              <w:jc w:val="left"/>
              <w:rPr>
                <w:rStyle w:val="22"/>
                <w:rFonts w:ascii="宋体" w:hAnsi="宋体"/>
              </w:rPr>
            </w:pPr>
            <w:r>
              <w:rPr>
                <w:rStyle w:val="22"/>
                <w:rFonts w:hint="eastAsia" w:ascii="宋体" w:hAnsi="宋体"/>
              </w:rPr>
              <w:t>价格得分=（1-A×｜1-投标报价/Z｜）×M</w:t>
            </w:r>
          </w:p>
          <w:p>
            <w:pPr>
              <w:numPr>
                <w:ilvl w:val="0"/>
                <w:numId w:val="21"/>
              </w:numPr>
              <w:autoSpaceDE w:val="0"/>
              <w:autoSpaceDN w:val="0"/>
              <w:adjustRightInd w:val="0"/>
              <w:snapToGrid w:val="0"/>
              <w:jc w:val="left"/>
              <w:rPr>
                <w:rStyle w:val="22"/>
                <w:rFonts w:ascii="宋体" w:hAnsi="宋体"/>
              </w:rPr>
            </w:pPr>
            <w:r>
              <w:rPr>
                <w:rStyle w:val="22"/>
                <w:rFonts w:hint="eastAsia" w:ascii="宋体" w:hAnsi="宋体"/>
              </w:rPr>
              <w:t xml:space="preserve">M= </w:t>
            </w:r>
            <w:r>
              <w:rPr>
                <w:rFonts w:hint="eastAsia" w:ascii="宋体" w:hAnsi="宋体"/>
                <w:szCs w:val="21"/>
              </w:rPr>
              <w:t>××</w:t>
            </w:r>
            <w:r>
              <w:rPr>
                <w:rStyle w:val="22"/>
                <w:rFonts w:hint="eastAsia" w:ascii="宋体" w:hAnsi="宋体"/>
              </w:rPr>
              <w:t xml:space="preserve"> （价格评价分项满分值），Z为本次招标最佳报价（即基准价）；</w:t>
            </w:r>
          </w:p>
          <w:p>
            <w:pPr>
              <w:numPr>
                <w:ilvl w:val="0"/>
                <w:numId w:val="21"/>
              </w:numPr>
              <w:autoSpaceDE w:val="0"/>
              <w:autoSpaceDN w:val="0"/>
              <w:adjustRightInd w:val="0"/>
              <w:snapToGrid w:val="0"/>
              <w:jc w:val="left"/>
              <w:rPr>
                <w:rStyle w:val="22"/>
                <w:rFonts w:ascii="宋体" w:hAnsi="宋体"/>
              </w:rPr>
            </w:pPr>
            <w:r>
              <w:rPr>
                <w:rStyle w:val="22"/>
                <w:rFonts w:hint="eastAsia" w:ascii="宋体" w:hAnsi="宋体"/>
              </w:rPr>
              <w:t>A为价格调整系数，当投标报价低于本次招标最佳报价（即基准价）时，A=0.5；当投标报价高于次招标最佳报价时，取A=1；</w:t>
            </w:r>
          </w:p>
          <w:p>
            <w:pPr>
              <w:numPr>
                <w:ilvl w:val="0"/>
                <w:numId w:val="21"/>
              </w:numPr>
              <w:jc w:val="left"/>
              <w:rPr>
                <w:rFonts w:ascii="宋体" w:cs="宋体"/>
                <w:kern w:val="0"/>
                <w:szCs w:val="21"/>
              </w:rPr>
            </w:pPr>
            <w:r>
              <w:rPr>
                <w:rStyle w:val="22"/>
                <w:rFonts w:hint="eastAsia" w:ascii="宋体" w:hAnsi="宋体"/>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rPr>
            </w:pPr>
          </w:p>
        </w:tc>
        <w:tc>
          <w:tcPr>
            <w:tcW w:w="1134" w:type="dxa"/>
            <w:vMerge w:val="continue"/>
            <w:tcBorders>
              <w:tl2br w:val="nil"/>
              <w:tr2bl w:val="nil"/>
            </w:tcBorders>
            <w:vAlign w:val="center"/>
          </w:tcPr>
          <w:p>
            <w:pPr>
              <w:spacing w:line="360" w:lineRule="auto"/>
              <w:jc w:val="center"/>
              <w:rPr>
                <w:rFonts w:ascii="宋体" w:hAnsi="宋体"/>
                <w:szCs w:val="21"/>
              </w:rPr>
            </w:pPr>
          </w:p>
        </w:tc>
        <w:tc>
          <w:tcPr>
            <w:tcW w:w="1563"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tcBorders>
              <w:tl2br w:val="nil"/>
              <w:tr2bl w:val="nil"/>
            </w:tcBorders>
            <w:vAlign w:val="center"/>
          </w:tcPr>
          <w:p>
            <w:pPr>
              <w:widowControl/>
              <w:ind w:right="30"/>
              <w:jc w:val="left"/>
            </w:pPr>
            <w:r>
              <w:rPr>
                <w:rFonts w:hint="eastAsia"/>
              </w:rPr>
              <w:t>价格得分=（1-｜投标报价-基准价｜</w:t>
            </w:r>
            <w:r>
              <w:t>÷</w:t>
            </w:r>
            <w:r>
              <w:rPr>
                <w:rFonts w:hint="eastAsia"/>
              </w:rPr>
              <w:t>基准价）</w:t>
            </w:r>
            <w:r>
              <w:t>×</w:t>
            </w:r>
            <w:r>
              <w:rPr>
                <w:rFonts w:hint="eastAsia"/>
              </w:rPr>
              <w:t>价格权重分</w:t>
            </w:r>
          </w:p>
          <w:p>
            <w:pPr>
              <w:spacing w:line="240" w:lineRule="atLeast"/>
              <w:jc w:val="left"/>
              <w:rPr>
                <w:rFonts w:ascii="宋体" w:cs="宋体"/>
                <w:kern w:val="0"/>
                <w:szCs w:val="21"/>
              </w:rPr>
            </w:pPr>
            <w:r>
              <w:rPr>
                <w:rFonts w:hint="eastAsia"/>
              </w:rPr>
              <w:t>说明：报价最接近基准价的投标人价格分最高，价格分保留至小数点后两位。</w:t>
            </w:r>
          </w:p>
        </w:tc>
      </w:tr>
    </w:tbl>
    <w:p>
      <w:pPr>
        <w:pStyle w:val="6"/>
        <w:ind w:left="0"/>
      </w:pPr>
    </w:p>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2"/>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4" w:name="_Toc106791266"/>
      <w:r>
        <w:rPr>
          <w:rFonts w:hint="eastAsia" w:ascii="宋体" w:hAnsi="宋体"/>
          <w:b/>
          <w:sz w:val="32"/>
          <w:szCs w:val="32"/>
        </w:rPr>
        <w:t>第四部分：合同条款及格式</w:t>
      </w:r>
      <w:bookmarkEnd w:id="54"/>
    </w:p>
    <w:p>
      <w:pPr>
        <w:jc w:val="center"/>
        <w:rPr>
          <w:rFonts w:ascii="方正小标宋简体" w:hAnsi="方正小标宋简体" w:eastAsia="方正小标宋简体" w:cs="方正小标宋简体"/>
          <w:bCs/>
          <w:kern w:val="0"/>
          <w:sz w:val="28"/>
          <w:szCs w:val="28"/>
        </w:rPr>
      </w:pPr>
    </w:p>
    <w:p>
      <w:pPr>
        <w:jc w:val="center"/>
        <w:rPr>
          <w:rFonts w:hint="eastAsia"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深圳会展中心2022-2023年度《中国国际高新技术成果交易会会刊》</w:t>
      </w:r>
    </w:p>
    <w:p>
      <w:pPr>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编印服务项目</w:t>
      </w:r>
      <w:r>
        <w:rPr>
          <w:rFonts w:hint="eastAsia" w:ascii="方正小标宋简体" w:hAnsi="方正小标宋简体" w:eastAsia="方正小标宋简体" w:cs="方正小标宋简体"/>
          <w:bCs/>
          <w:kern w:val="0"/>
          <w:sz w:val="28"/>
          <w:szCs w:val="28"/>
          <w:lang w:val="en-US" w:eastAsia="zh-CN"/>
        </w:rPr>
        <w:t>合同</w:t>
      </w:r>
    </w:p>
    <w:p>
      <w:pPr>
        <w:ind w:firstLine="420" w:firstLineChars="200"/>
        <w:jc w:val="left"/>
        <w:rPr>
          <w:rFonts w:ascii="宋体" w:hAnsi="宋体"/>
          <w:szCs w:val="21"/>
        </w:rPr>
      </w:pPr>
    </w:p>
    <w:p>
      <w:pPr>
        <w:jc w:val="left"/>
        <w:rPr>
          <w:rFonts w:ascii="仿宋_GB2312" w:hAnsi="仿宋_GB2312" w:eastAsia="仿宋_GB2312" w:cs="仿宋_GB2312"/>
        </w:rPr>
      </w:pPr>
    </w:p>
    <w:p>
      <w:pPr>
        <w:jc w:val="center"/>
        <w:rPr>
          <w:rFonts w:ascii="方正小标宋简体" w:hAnsi="方正小标宋简体" w:eastAsia="方正小标宋简体" w:cs="方正小标宋简体"/>
          <w:bCs/>
          <w:kern w:val="0"/>
          <w:sz w:val="28"/>
          <w:szCs w:val="28"/>
        </w:rPr>
      </w:pPr>
      <w:r>
        <w:rPr>
          <w:rFonts w:hint="eastAsia" w:ascii="方正小标宋简体" w:hAnsi="方正小标宋简体" w:eastAsia="方正小标宋简体" w:cs="方正小标宋简体"/>
          <w:bCs/>
          <w:kern w:val="0"/>
          <w:sz w:val="28"/>
          <w:szCs w:val="28"/>
        </w:rPr>
        <w:t>（后续根据招标结果补充拟定）</w:t>
      </w:r>
    </w:p>
    <w:p>
      <w:pPr>
        <w:spacing w:line="440" w:lineRule="exact"/>
        <w:rPr>
          <w:rFonts w:ascii="宋体" w:hAnsi="宋体"/>
          <w:szCs w:val="21"/>
        </w:rPr>
      </w:pPr>
    </w:p>
    <w:p>
      <w:pPr>
        <w:pStyle w:val="14"/>
      </w:pPr>
    </w:p>
    <w:p>
      <w:pPr>
        <w:pStyle w:val="14"/>
        <w:rPr>
          <w:rFonts w:ascii="宋体" w:eastAsia="宋体" w:cs="宋体"/>
        </w:rPr>
      </w:pPr>
    </w:p>
    <w:p>
      <w:pPr>
        <w:pStyle w:val="14"/>
      </w:pPr>
    </w:p>
    <w:p>
      <w:pPr>
        <w:pStyle w:val="14"/>
      </w:pPr>
    </w:p>
    <w:p>
      <w:pPr>
        <w:pStyle w:val="14"/>
      </w:pPr>
    </w:p>
    <w:p>
      <w:pPr>
        <w:pStyle w:val="14"/>
      </w:pPr>
    </w:p>
    <w:p>
      <w:pPr>
        <w:pStyle w:val="14"/>
      </w:pPr>
    </w:p>
    <w:p>
      <w:pPr>
        <w:widowControl/>
        <w:jc w:val="left"/>
        <w:rPr>
          <w:b/>
          <w:sz w:val="32"/>
          <w:szCs w:val="32"/>
        </w:rPr>
      </w:pPr>
      <w:r>
        <w:rPr>
          <w:b/>
          <w:sz w:val="32"/>
          <w:szCs w:val="32"/>
        </w:rPr>
        <w:br w:type="page"/>
      </w:r>
    </w:p>
    <w:p>
      <w:pPr>
        <w:spacing w:before="312" w:beforeLines="100" w:after="312" w:afterLines="100" w:line="360" w:lineRule="auto"/>
        <w:jc w:val="center"/>
        <w:outlineLvl w:val="0"/>
        <w:rPr>
          <w:rFonts w:ascii="仿宋" w:hAnsi="仿宋" w:eastAsia="仿宋"/>
          <w:sz w:val="32"/>
          <w:szCs w:val="32"/>
        </w:rPr>
      </w:pPr>
      <w:bookmarkStart w:id="55" w:name="_Toc106791267"/>
      <w:r>
        <w:rPr>
          <w:rFonts w:hint="eastAsia"/>
          <w:b/>
          <w:sz w:val="32"/>
          <w:szCs w:val="32"/>
        </w:rPr>
        <w:t>第五部分：参考附件</w:t>
      </w:r>
      <w:bookmarkEnd w:id="55"/>
    </w:p>
    <w:p>
      <w:pPr>
        <w:spacing w:line="0" w:lineRule="atLeast"/>
        <w:outlineLvl w:val="1"/>
        <w:rPr>
          <w:rFonts w:ascii="宋体" w:hAnsi="宋体"/>
        </w:rPr>
      </w:pPr>
      <w:bookmarkStart w:id="56" w:name="_Toc106791268"/>
      <w:r>
        <w:rPr>
          <w:rFonts w:hint="eastAsia" w:ascii="宋体" w:hAnsi="宋体"/>
          <w:szCs w:val="21"/>
        </w:rPr>
        <w:t>附件1：</w:t>
      </w:r>
      <w:r>
        <w:rPr>
          <w:rFonts w:hint="eastAsia" w:ascii="宋体" w:hAnsi="宋体"/>
        </w:rPr>
        <w:t>报名回函</w:t>
      </w:r>
      <w:bookmarkEnd w:id="56"/>
    </w:p>
    <w:p>
      <w:pPr>
        <w:pStyle w:val="14"/>
      </w:pPr>
    </w:p>
    <w:p>
      <w:pPr>
        <w:pStyle w:val="15"/>
        <w:jc w:val="center"/>
        <w:rPr>
          <w:rFonts w:ascii="方正小标宋简体" w:hAnsi="方正小标宋_GBK" w:eastAsia="方正小标宋简体"/>
          <w:sz w:val="32"/>
          <w:szCs w:val="32"/>
        </w:rPr>
      </w:pPr>
      <w:r>
        <w:rPr>
          <w:rStyle w:val="20"/>
          <w:rFonts w:hint="eastAsia" w:ascii="方正小标宋简体" w:hAnsi="方正小标宋_GBK" w:eastAsia="方正小标宋简体"/>
          <w:sz w:val="32"/>
          <w:szCs w:val="32"/>
        </w:rPr>
        <w:t>关于确认参加_________________项目投标的回函</w:t>
      </w:r>
    </w:p>
    <w:p>
      <w:pPr>
        <w:pStyle w:val="15"/>
        <w:rPr>
          <w:rFonts w:ascii="微软雅黑" w:hAnsi="微软雅黑" w:eastAsia="微软雅黑"/>
          <w:sz w:val="18"/>
          <w:szCs w:val="18"/>
        </w:rPr>
      </w:pPr>
    </w:p>
    <w:p>
      <w:pPr>
        <w:pStyle w:val="15"/>
        <w:rPr>
          <w:rFonts w:ascii="微软雅黑" w:hAnsi="微软雅黑" w:eastAsia="微软雅黑"/>
          <w:sz w:val="18"/>
          <w:szCs w:val="18"/>
        </w:rPr>
      </w:pPr>
    </w:p>
    <w:p>
      <w:pPr>
        <w:pStyle w:val="15"/>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5"/>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rPr>
        <w:t>必须为本项目的授权代表</w:t>
      </w:r>
      <w:r>
        <w:rPr>
          <w:rFonts w:hint="eastAsia" w:ascii="仿宋" w:hAnsi="仿宋" w:eastAsia="仿宋"/>
        </w:rPr>
        <w:t>）</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rPr>
        <w:t>固定电话</w:t>
      </w:r>
      <w:r>
        <w:rPr>
          <w:rFonts w:hint="eastAsia" w:ascii="仿宋" w:hAnsi="仿宋" w:eastAsia="仿宋"/>
        </w:rPr>
        <w:t>）</w:t>
      </w:r>
    </w:p>
    <w:p>
      <w:pPr>
        <w:pStyle w:val="15"/>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rPr>
        <w:t>所有往来文件需通过此邮箱收发</w:t>
      </w:r>
      <w:r>
        <w:rPr>
          <w:rFonts w:hint="eastAsia" w:ascii="仿宋" w:hAnsi="仿宋" w:eastAsia="仿宋"/>
        </w:rPr>
        <w:t>）</w:t>
      </w:r>
    </w:p>
    <w:p>
      <w:pPr>
        <w:pStyle w:val="15"/>
        <w:spacing w:after="240"/>
        <w:ind w:firstLine="616" w:firstLineChars="220"/>
        <w:rPr>
          <w:rFonts w:ascii="仿宋" w:hAnsi="仿宋" w:eastAsia="仿宋"/>
          <w:sz w:val="28"/>
          <w:szCs w:val="28"/>
        </w:rPr>
      </w:pPr>
    </w:p>
    <w:p>
      <w:pPr>
        <w:pStyle w:val="15"/>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4"/>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rFonts w:ascii="宋体" w:hAnsi="宋体"/>
          <w:b/>
          <w:sz w:val="21"/>
          <w:szCs w:val="21"/>
        </w:rPr>
      </w:pPr>
    </w:p>
    <w:p>
      <w:pPr>
        <w:pStyle w:val="9"/>
        <w:rPr>
          <w:rFonts w:ascii="宋体" w:hAnsi="宋体"/>
          <w:b/>
          <w:sz w:val="21"/>
          <w:szCs w:val="21"/>
        </w:rPr>
      </w:pPr>
      <w:r>
        <w:rPr>
          <w:rFonts w:hint="eastAsia" w:ascii="宋体" w:hAnsi="宋体"/>
          <w:b/>
          <w:sz w:val="21"/>
          <w:szCs w:val="21"/>
        </w:rPr>
        <w:t>注：1.本件电子档及盖章后的扫描件按要求上传至指定地址；</w:t>
      </w:r>
    </w:p>
    <w:p>
      <w:pPr>
        <w:pStyle w:val="9"/>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widowControl/>
        <w:jc w:val="left"/>
        <w:rPr>
          <w:b/>
          <w:szCs w:val="21"/>
        </w:rPr>
      </w:pPr>
      <w:r>
        <w:rPr>
          <w:b/>
          <w:szCs w:val="21"/>
        </w:rPr>
        <w:br w:type="page"/>
      </w:r>
    </w:p>
    <w:p>
      <w:pPr>
        <w:pStyle w:val="9"/>
        <w:rPr>
          <w:b/>
          <w:sz w:val="21"/>
          <w:szCs w:val="21"/>
        </w:rPr>
      </w:pPr>
    </w:p>
    <w:p>
      <w:pPr>
        <w:spacing w:line="0" w:lineRule="atLeast"/>
        <w:outlineLvl w:val="1"/>
        <w:rPr>
          <w:rFonts w:ascii="宋体" w:hAnsi="宋体"/>
          <w:szCs w:val="21"/>
        </w:rPr>
      </w:pPr>
      <w:bookmarkStart w:id="57" w:name="_Toc106791269"/>
      <w:r>
        <w:rPr>
          <w:rFonts w:hint="eastAsia" w:ascii="宋体" w:hAnsi="宋体"/>
          <w:szCs w:val="21"/>
        </w:rPr>
        <w:t>附件2：投标函</w:t>
      </w:r>
      <w:bookmarkEnd w:id="57"/>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8" w:name="_Toc106791270"/>
      <w:r>
        <w:rPr>
          <w:rFonts w:hint="eastAsia" w:ascii="宋体" w:hAnsi="宋体"/>
          <w:szCs w:val="21"/>
        </w:rPr>
        <w:t>附件3：投标一览表</w:t>
      </w:r>
      <w:bookmarkEnd w:id="58"/>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6"/>
        <w:spacing w:after="0" w:line="240" w:lineRule="auto"/>
        <w:ind w:left="-2" w:leftChars="-1" w:firstLine="2" w:firstLineChars="1"/>
        <w:jc w:val="left"/>
        <w:rPr>
          <w:rFonts w:ascii="宋体" w:hAnsi="宋体"/>
          <w:spacing w:val="0"/>
          <w:kern w:val="2"/>
          <w:sz w:val="21"/>
          <w:szCs w:val="21"/>
        </w:rPr>
      </w:pPr>
      <w:r>
        <w:rPr>
          <w:rFonts w:hint="eastAsia" w:ascii="宋体" w:hAnsi="宋体"/>
          <w:spacing w:val="0"/>
          <w:kern w:val="2"/>
          <w:sz w:val="21"/>
          <w:szCs w:val="21"/>
        </w:rPr>
        <w:t>发票类型：</w:t>
      </w:r>
      <w:r>
        <w:rPr>
          <w:rFonts w:hint="eastAsia" w:ascii="宋体" w:hAnsi="宋体"/>
          <w:spacing w:val="0"/>
          <w:kern w:val="2"/>
          <w:sz w:val="21"/>
          <w:szCs w:val="21"/>
        </w:rPr>
        <w:sym w:font="Wingdings 2" w:char="00A3"/>
      </w:r>
      <w:r>
        <w:rPr>
          <w:rFonts w:hint="eastAsia" w:ascii="宋体" w:hAnsi="宋体"/>
          <w:spacing w:val="0"/>
          <w:kern w:val="2"/>
          <w:sz w:val="21"/>
          <w:szCs w:val="21"/>
        </w:rPr>
        <w:t>增值税普通发票  □增值税专用发票</w:t>
      </w:r>
    </w:p>
    <w:p>
      <w:pPr>
        <w:pStyle w:val="6"/>
        <w:spacing w:after="0" w:line="240" w:lineRule="auto"/>
        <w:ind w:left="-2" w:leftChars="-1" w:firstLine="2" w:firstLineChars="1"/>
        <w:jc w:val="left"/>
        <w:rPr>
          <w:rFonts w:ascii="宋体" w:hAnsi="宋体" w:cs="宋体"/>
          <w:spacing w:val="0"/>
          <w:kern w:val="2"/>
          <w:sz w:val="21"/>
          <w:szCs w:val="21"/>
        </w:rPr>
      </w:pPr>
    </w:p>
    <w:tbl>
      <w:tblPr>
        <w:tblStyle w:val="18"/>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770"/>
        <w:gridCol w:w="930"/>
        <w:gridCol w:w="1380"/>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6"/>
              <w:ind w:left="0"/>
              <w:jc w:val="center"/>
            </w:pPr>
            <w:r>
              <w:rPr>
                <w:rFonts w:hint="eastAsia"/>
              </w:rPr>
              <w:t>税前总金额</w:t>
            </w:r>
          </w:p>
          <w:p>
            <w:pPr>
              <w:pStyle w:val="6"/>
              <w:ind w:left="0"/>
              <w:jc w:val="center"/>
            </w:pPr>
            <w:r>
              <w:rPr>
                <w:rFonts w:hint="eastAsia"/>
              </w:rPr>
              <w:t>（净价）</w:t>
            </w:r>
          </w:p>
        </w:tc>
        <w:tc>
          <w:tcPr>
            <w:tcW w:w="770" w:type="dxa"/>
            <w:vAlign w:val="center"/>
          </w:tcPr>
          <w:p>
            <w:pPr>
              <w:spacing w:line="360" w:lineRule="auto"/>
              <w:jc w:val="center"/>
              <w:rPr>
                <w:rFonts w:ascii="宋体" w:hAnsi="宋体"/>
                <w:szCs w:val="21"/>
              </w:rPr>
            </w:pPr>
            <w:r>
              <w:rPr>
                <w:rFonts w:hint="eastAsia" w:ascii="宋体" w:hAnsi="宋体"/>
                <w:szCs w:val="21"/>
              </w:rPr>
              <w:t>税率</w:t>
            </w:r>
          </w:p>
        </w:tc>
        <w:tc>
          <w:tcPr>
            <w:tcW w:w="930" w:type="dxa"/>
            <w:vAlign w:val="center"/>
          </w:tcPr>
          <w:p>
            <w:pPr>
              <w:spacing w:line="360" w:lineRule="auto"/>
              <w:jc w:val="center"/>
              <w:rPr>
                <w:rFonts w:ascii="宋体" w:hAnsi="宋体"/>
                <w:szCs w:val="21"/>
              </w:rPr>
            </w:pPr>
            <w:r>
              <w:rPr>
                <w:rFonts w:hint="eastAsia" w:ascii="宋体" w:hAnsi="宋体"/>
                <w:szCs w:val="21"/>
              </w:rPr>
              <w:t>税额</w:t>
            </w:r>
          </w:p>
        </w:tc>
        <w:tc>
          <w:tcPr>
            <w:tcW w:w="1380" w:type="dxa"/>
            <w:vAlign w:val="center"/>
          </w:tcPr>
          <w:p>
            <w:pPr>
              <w:spacing w:line="360" w:lineRule="auto"/>
              <w:jc w:val="center"/>
              <w:rPr>
                <w:rFonts w:ascii="宋体" w:hAnsi="宋体"/>
                <w:szCs w:val="21"/>
              </w:rPr>
            </w:pPr>
            <w:r>
              <w:rPr>
                <w:rFonts w:hint="eastAsia" w:ascii="宋体" w:hAnsi="宋体"/>
                <w:szCs w:val="21"/>
              </w:rPr>
              <w:t>含税总金额</w:t>
            </w:r>
          </w:p>
        </w:tc>
        <w:tc>
          <w:tcPr>
            <w:tcW w:w="4600"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770" w:type="dxa"/>
          </w:tcPr>
          <w:p>
            <w:pPr>
              <w:spacing w:line="360" w:lineRule="auto"/>
              <w:jc w:val="center"/>
              <w:rPr>
                <w:rFonts w:ascii="宋体" w:hAnsi="宋体"/>
                <w:szCs w:val="21"/>
              </w:rPr>
            </w:pPr>
          </w:p>
        </w:tc>
        <w:tc>
          <w:tcPr>
            <w:tcW w:w="930" w:type="dxa"/>
          </w:tcPr>
          <w:p>
            <w:pPr>
              <w:spacing w:line="360" w:lineRule="auto"/>
              <w:jc w:val="center"/>
              <w:rPr>
                <w:rFonts w:ascii="宋体" w:hAnsi="宋体"/>
                <w:szCs w:val="21"/>
              </w:rPr>
            </w:pPr>
          </w:p>
        </w:tc>
        <w:tc>
          <w:tcPr>
            <w:tcW w:w="1380" w:type="dxa"/>
          </w:tcPr>
          <w:p>
            <w:pPr>
              <w:spacing w:line="360" w:lineRule="auto"/>
              <w:jc w:val="center"/>
              <w:rPr>
                <w:rFonts w:ascii="宋体" w:hAnsi="宋体"/>
                <w:szCs w:val="21"/>
              </w:rPr>
            </w:pPr>
          </w:p>
        </w:tc>
        <w:tc>
          <w:tcPr>
            <w:tcW w:w="4600" w:type="dxa"/>
          </w:tcPr>
          <w:p>
            <w:pPr>
              <w:spacing w:line="360" w:lineRule="auto"/>
              <w:jc w:val="center"/>
            </w:pPr>
            <w:r>
              <w:rPr>
                <w:rFonts w:hint="eastAsia"/>
              </w:rPr>
              <w:t>按照标书最高数量</w:t>
            </w:r>
            <w:r>
              <w:rPr>
                <w:rFonts w:hint="eastAsia"/>
                <w:lang w:eastAsia="zh-CN"/>
              </w:rPr>
              <w:t>（</w:t>
            </w:r>
            <w:r>
              <w:rPr>
                <w:rFonts w:hint="eastAsia"/>
              </w:rPr>
              <w:t>中文版5700册*2、英文版1000册*2</w:t>
            </w:r>
            <w:r>
              <w:rPr>
                <w:rFonts w:hint="eastAsia"/>
                <w:lang w:eastAsia="zh-CN"/>
              </w:rPr>
              <w:t>）</w:t>
            </w:r>
            <w:r>
              <w:rPr>
                <w:rFonts w:hint="eastAsia"/>
              </w:rPr>
              <w:t>填报总价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5"/>
          </w:tcPr>
          <w:p>
            <w:pPr>
              <w:spacing w:line="360" w:lineRule="auto"/>
              <w:rPr>
                <w:rFonts w:ascii="宋体" w:hAnsi="宋体"/>
                <w:szCs w:val="21"/>
              </w:rPr>
            </w:pPr>
            <w:r>
              <w:rPr>
                <w:rFonts w:hint="eastAsia" w:ascii="宋体" w:hAnsi="宋体"/>
                <w:szCs w:val="21"/>
              </w:rPr>
              <w:t>投标人备注：</w:t>
            </w:r>
          </w:p>
        </w:tc>
      </w:tr>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6"/>
        <w:ind w:left="0"/>
        <w:rPr>
          <w:rFonts w:ascii="宋体" w:hAnsi="宋体"/>
          <w:szCs w:val="21"/>
        </w:rPr>
      </w:pPr>
    </w:p>
    <w:p>
      <w:pPr>
        <w:pStyle w:val="6"/>
        <w:ind w:left="0"/>
        <w:rPr>
          <w:rFonts w:ascii="宋体" w:hAnsi="宋体"/>
          <w:szCs w:val="21"/>
        </w:rPr>
      </w:pPr>
    </w:p>
    <w:p>
      <w:pPr>
        <w:pStyle w:val="6"/>
        <w:ind w:left="0"/>
        <w:rPr>
          <w:rFonts w:ascii="宋体" w:hAnsi="宋体"/>
          <w:szCs w:val="21"/>
        </w:rPr>
      </w:pPr>
    </w:p>
    <w:p>
      <w:pPr>
        <w:pStyle w:val="6"/>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59" w:name="_Toc106791271"/>
      <w:r>
        <w:rPr>
          <w:rFonts w:hint="eastAsia" w:ascii="宋体" w:hAnsi="宋体"/>
          <w:szCs w:val="21"/>
        </w:rPr>
        <w:t>附件4：考察证明</w:t>
      </w:r>
      <w:bookmarkEnd w:id="59"/>
      <w:r>
        <w:rPr>
          <w:rFonts w:hint="eastAsia" w:ascii="宋体" w:hAnsi="宋体"/>
          <w:szCs w:val="21"/>
        </w:rPr>
        <w:t>（本项目不适用）</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你单位已于</w:t>
      </w:r>
      <w:r>
        <w:rPr>
          <w:rFonts w:hint="eastAsia" w:ascii="仿宋" w:hAnsi="仿宋" w:eastAsia="仿宋"/>
          <w:b/>
          <w:sz w:val="28"/>
          <w:szCs w:val="28"/>
          <w:u w:val="single"/>
        </w:rPr>
        <w:t xml:space="preserve">      </w:t>
      </w:r>
      <w:r>
        <w:rPr>
          <w:rFonts w:hint="eastAsia" w:ascii="仿宋" w:hAnsi="仿宋" w:eastAsia="仿宋"/>
          <w:bCs/>
          <w:sz w:val="28"/>
          <w:szCs w:val="28"/>
        </w:rPr>
        <w:t>年</w:t>
      </w:r>
      <w:r>
        <w:rPr>
          <w:rFonts w:hint="eastAsia" w:ascii="仿宋" w:hAnsi="仿宋" w:eastAsia="仿宋"/>
          <w:bCs/>
          <w:sz w:val="28"/>
          <w:szCs w:val="28"/>
          <w:u w:val="single"/>
        </w:rPr>
        <w:t xml:space="preserve">  </w:t>
      </w:r>
      <w:r>
        <w:rPr>
          <w:rFonts w:hint="eastAsia" w:ascii="仿宋" w:hAnsi="仿宋" w:eastAsia="仿宋"/>
          <w:bCs/>
          <w:sz w:val="28"/>
          <w:szCs w:val="28"/>
        </w:rPr>
        <w:t>月</w:t>
      </w:r>
      <w:r>
        <w:rPr>
          <w:rFonts w:hint="eastAsia" w:ascii="仿宋" w:hAnsi="仿宋" w:eastAsia="仿宋"/>
          <w:bCs/>
          <w:sz w:val="28"/>
          <w:szCs w:val="28"/>
          <w:u w:val="single"/>
        </w:rPr>
        <w:t xml:space="preserve">  </w:t>
      </w:r>
      <w:r>
        <w:rPr>
          <w:rFonts w:hint="eastAsia" w:ascii="仿宋" w:hAnsi="仿宋" w:eastAsia="仿宋"/>
          <w:bCs/>
          <w:sz w:val="28"/>
          <w:szCs w:val="28"/>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w:t>
      </w:r>
      <w:r>
        <w:rPr>
          <w:rFonts w:hint="eastAsia" w:ascii="仿宋" w:hAnsi="仿宋" w:eastAsia="仿宋"/>
          <w:b/>
          <w:sz w:val="28"/>
          <w:szCs w:val="28"/>
          <w:u w:val="single"/>
        </w:rPr>
        <w:t xml:space="preserve">                           </w:t>
      </w:r>
      <w:r>
        <w:rPr>
          <w:rFonts w:hint="eastAsia" w:ascii="仿宋" w:hAnsi="仿宋" w:eastAsia="仿宋"/>
          <w:b/>
          <w:sz w:val="28"/>
          <w:szCs w:val="28"/>
        </w:rPr>
        <w:t>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0" w:name="_Toc106791272"/>
      <w:r>
        <w:rPr>
          <w:rFonts w:hint="eastAsia" w:ascii="宋体" w:hAnsi="宋体"/>
          <w:szCs w:val="21"/>
        </w:rPr>
        <w:t>附件5：技术服务响应/偏离表</w:t>
      </w:r>
      <w:bookmarkEnd w:id="60"/>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1" w:name="_Toc211248418"/>
      <w:r>
        <w:rPr>
          <w:rFonts w:hint="eastAsia" w:ascii="方正小标宋_GBK" w:hAnsi="方正小标宋_GBK" w:eastAsia="方正小标宋_GBK"/>
          <w:b/>
          <w:sz w:val="32"/>
          <w:szCs w:val="32"/>
        </w:rPr>
        <w:t>技术服务响应/偏离表</w:t>
      </w:r>
      <w:bookmarkEnd w:id="61"/>
    </w:p>
    <w:p>
      <w:pPr>
        <w:spacing w:line="360" w:lineRule="auto"/>
        <w:rPr>
          <w:rFonts w:ascii="仿宋" w:hAnsi="仿宋" w:eastAsia="仿宋"/>
          <w:sz w:val="28"/>
          <w:szCs w:val="28"/>
          <w:u w:val="single"/>
        </w:rPr>
      </w:pPr>
      <w:r>
        <w:rPr>
          <w:rFonts w:hint="eastAsia" w:ascii="仿宋" w:hAnsi="仿宋" w:eastAsia="仿宋"/>
          <w:sz w:val="28"/>
          <w:szCs w:val="28"/>
        </w:rPr>
        <w:t>投标人名称：</w:t>
      </w:r>
    </w:p>
    <w:tbl>
      <w:tblPr>
        <w:tblStyle w:val="17"/>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3"/>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sz w:val="28"/>
          <w:szCs w:val="28"/>
        </w:rPr>
        <w:t>“不可偏离项”响应内容</w:t>
      </w:r>
      <w:r>
        <w:rPr>
          <w:rFonts w:hint="eastAsia" w:ascii="仿宋" w:hAnsi="仿宋" w:eastAsia="仿宋"/>
          <w:sz w:val="28"/>
          <w:szCs w:val="28"/>
        </w:rPr>
        <w:t>涉及偏离内容</w:t>
      </w:r>
      <w:r>
        <w:rPr>
          <w:rFonts w:ascii="仿宋" w:hAnsi="仿宋" w:eastAsia="仿宋"/>
          <w:sz w:val="28"/>
          <w:szCs w:val="28"/>
        </w:rPr>
        <w:t>的，视同偏离本项目要求，该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w:t>
      </w:r>
      <w:r>
        <w:rPr>
          <w:rFonts w:ascii="仿宋" w:hAnsi="仿宋" w:eastAsia="仿宋"/>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u w:val="single"/>
        </w:rPr>
      </w:pPr>
      <w:bookmarkStart w:id="62"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2"/>
      <w:bookmarkStart w:id="63" w:name="_Toc236803114"/>
      <w:bookmarkStart w:id="64" w:name="_Toc246480945"/>
      <w:r>
        <w:rPr>
          <w:rFonts w:ascii="仿宋" w:hAnsi="仿宋" w:eastAsia="仿宋"/>
          <w:sz w:val="28"/>
          <w:szCs w:val="28"/>
        </w:rPr>
        <w:br w:type="page"/>
      </w:r>
    </w:p>
    <w:p>
      <w:pPr>
        <w:spacing w:line="0" w:lineRule="atLeast"/>
        <w:outlineLvl w:val="1"/>
        <w:rPr>
          <w:rFonts w:ascii="宋体" w:hAnsi="宋体"/>
          <w:szCs w:val="21"/>
        </w:rPr>
      </w:pPr>
      <w:bookmarkStart w:id="65" w:name="_Toc106791273"/>
      <w:r>
        <w:rPr>
          <w:rFonts w:hint="eastAsia" w:ascii="宋体" w:hAnsi="宋体"/>
          <w:szCs w:val="21"/>
        </w:rPr>
        <w:t>附件6：商务条款响应/偏离表</w:t>
      </w:r>
      <w:bookmarkEnd w:id="63"/>
      <w:bookmarkEnd w:id="64"/>
      <w:bookmarkEnd w:id="65"/>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6" w:name="_Toc211248420"/>
      <w:r>
        <w:rPr>
          <w:rFonts w:hint="eastAsia" w:ascii="方正小标宋_GBK" w:hAnsi="方正小标宋_GBK" w:eastAsia="方正小标宋_GBK"/>
          <w:b/>
          <w:sz w:val="32"/>
          <w:szCs w:val="32"/>
        </w:rPr>
        <w:t>商务条款响应/偏离表</w:t>
      </w:r>
      <w:bookmarkEnd w:id="66"/>
    </w:p>
    <w:p>
      <w:pPr>
        <w:spacing w:line="360" w:lineRule="auto"/>
        <w:rPr>
          <w:rFonts w:ascii="仿宋" w:hAnsi="仿宋" w:eastAsia="仿宋"/>
          <w:sz w:val="30"/>
          <w:szCs w:val="30"/>
        </w:rPr>
      </w:pPr>
      <w:r>
        <w:rPr>
          <w:rFonts w:hint="eastAsia" w:ascii="仿宋" w:hAnsi="仿宋" w:eastAsia="仿宋"/>
          <w:sz w:val="30"/>
          <w:szCs w:val="30"/>
        </w:rPr>
        <w:t>投标人名称：</w:t>
      </w:r>
    </w:p>
    <w:tbl>
      <w:tblPr>
        <w:tblStyle w:val="17"/>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171"/>
        <w:gridCol w:w="2870"/>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4128"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4111"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3171"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287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3171" w:type="dxa"/>
          </w:tcPr>
          <w:p>
            <w:pPr>
              <w:spacing w:line="400" w:lineRule="exact"/>
              <w:rPr>
                <w:rFonts w:ascii="仿宋" w:hAnsi="仿宋" w:eastAsia="仿宋"/>
                <w:sz w:val="30"/>
                <w:szCs w:val="30"/>
              </w:rPr>
            </w:pPr>
          </w:p>
        </w:tc>
        <w:tc>
          <w:tcPr>
            <w:tcW w:w="2870"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3171" w:type="dxa"/>
          </w:tcPr>
          <w:p>
            <w:pPr>
              <w:spacing w:line="400" w:lineRule="exact"/>
              <w:jc w:val="left"/>
              <w:rPr>
                <w:rFonts w:ascii="仿宋" w:hAnsi="仿宋" w:eastAsia="仿宋"/>
                <w:sz w:val="30"/>
                <w:szCs w:val="30"/>
              </w:rPr>
            </w:pPr>
          </w:p>
        </w:tc>
        <w:tc>
          <w:tcPr>
            <w:tcW w:w="2870"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3171" w:type="dxa"/>
          </w:tcPr>
          <w:p>
            <w:pPr>
              <w:spacing w:line="400" w:lineRule="exact"/>
              <w:jc w:val="left"/>
              <w:rPr>
                <w:rFonts w:ascii="仿宋" w:hAnsi="仿宋" w:eastAsia="仿宋"/>
                <w:sz w:val="30"/>
                <w:szCs w:val="30"/>
              </w:rPr>
            </w:pPr>
          </w:p>
        </w:tc>
        <w:tc>
          <w:tcPr>
            <w:tcW w:w="2870"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4"/>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3171" w:type="dxa"/>
          </w:tcPr>
          <w:p>
            <w:pPr>
              <w:spacing w:line="400" w:lineRule="exact"/>
              <w:jc w:val="left"/>
              <w:rPr>
                <w:rFonts w:ascii="仿宋" w:hAnsi="仿宋" w:eastAsia="仿宋"/>
                <w:bCs/>
                <w:sz w:val="30"/>
                <w:szCs w:val="30"/>
              </w:rPr>
            </w:pPr>
          </w:p>
        </w:tc>
        <w:tc>
          <w:tcPr>
            <w:tcW w:w="2870"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sz w:val="28"/>
          <w:szCs w:val="28"/>
        </w:rPr>
        <w:t>“不可偏离项”响应内容为“有”的，视同偏离本项目要求，该</w:t>
      </w:r>
      <w:r>
        <w:rPr>
          <w:rFonts w:hint="eastAsia" w:ascii="仿宋" w:hAnsi="仿宋" w:eastAsia="仿宋"/>
          <w:sz w:val="28"/>
          <w:szCs w:val="28"/>
        </w:rPr>
        <w:t>投标</w:t>
      </w:r>
      <w:r>
        <w:rPr>
          <w:rFonts w:ascii="仿宋" w:hAnsi="仿宋" w:eastAsia="仿宋"/>
          <w:sz w:val="28"/>
          <w:szCs w:val="28"/>
        </w:rPr>
        <w:t>文件不能通过</w:t>
      </w:r>
      <w:r>
        <w:rPr>
          <w:rFonts w:hint="eastAsia" w:ascii="仿宋" w:hAnsi="仿宋" w:eastAsia="仿宋"/>
          <w:sz w:val="28"/>
          <w:szCs w:val="28"/>
        </w:rPr>
        <w:t>不可偏离项检查</w:t>
      </w:r>
      <w:r>
        <w:rPr>
          <w:rFonts w:ascii="仿宋" w:hAnsi="仿宋" w:eastAsia="仿宋"/>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sz w:val="28"/>
          <w:szCs w:val="28"/>
        </w:rPr>
        <w:t xml:space="preserve"> 响应结果优于（或高于）本项目需求的，可在《说明》栏中作出</w:t>
      </w:r>
      <w:r>
        <w:rPr>
          <w:rFonts w:hint="eastAsia" w:ascii="仿宋" w:hAnsi="仿宋" w:eastAsia="仿宋"/>
          <w:sz w:val="28"/>
          <w:szCs w:val="28"/>
        </w:rPr>
        <w:t>优于（或高于）本项目需求的</w:t>
      </w:r>
      <w:r>
        <w:rPr>
          <w:rFonts w:ascii="仿宋" w:hAnsi="仿宋" w:eastAsia="仿宋"/>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7" w:name="_Toc236803111"/>
      <w:bookmarkStart w:id="68" w:name="_Toc395883088"/>
      <w:bookmarkStart w:id="69" w:name="_Toc478387764"/>
      <w:r>
        <w:rPr>
          <w:rFonts w:ascii="仿宋" w:hAnsi="仿宋" w:eastAsia="仿宋"/>
          <w:sz w:val="28"/>
          <w:szCs w:val="28"/>
        </w:rPr>
        <w:br w:type="page"/>
      </w:r>
    </w:p>
    <w:p>
      <w:pPr>
        <w:spacing w:line="0" w:lineRule="atLeast"/>
        <w:outlineLvl w:val="1"/>
        <w:rPr>
          <w:rFonts w:ascii="宋体" w:hAnsi="宋体"/>
          <w:szCs w:val="21"/>
        </w:rPr>
      </w:pPr>
      <w:bookmarkStart w:id="70" w:name="_Toc106791274"/>
      <w:r>
        <w:rPr>
          <w:rFonts w:hint="eastAsia" w:ascii="宋体" w:hAnsi="宋体"/>
          <w:szCs w:val="21"/>
        </w:rPr>
        <w:t>附件7：报价一览表（货物）</w:t>
      </w:r>
      <w:bookmarkEnd w:id="70"/>
      <w:r>
        <w:rPr>
          <w:rFonts w:hint="eastAsia" w:ascii="宋体" w:hAnsi="宋体"/>
          <w:szCs w:val="21"/>
        </w:rPr>
        <w:t>（本项目不适用）</w:t>
      </w:r>
    </w:p>
    <w:bookmarkEnd w:id="67"/>
    <w:bookmarkEnd w:id="68"/>
    <w:bookmarkEnd w:id="69"/>
    <w:p>
      <w:pPr>
        <w:spacing w:before="120" w:after="240"/>
        <w:jc w:val="center"/>
        <w:rPr>
          <w:rFonts w:ascii="宋体" w:hAnsi="宋体"/>
          <w:b/>
          <w:sz w:val="32"/>
          <w:szCs w:val="32"/>
        </w:rPr>
      </w:pPr>
      <w:bookmarkStart w:id="71" w:name="_Toc211248412"/>
      <w:r>
        <w:rPr>
          <w:rFonts w:hint="eastAsia" w:ascii="方正小标宋_GBK" w:hAnsi="方正小标宋_GBK" w:eastAsia="方正小标宋_GBK"/>
          <w:b/>
          <w:sz w:val="32"/>
          <w:szCs w:val="32"/>
        </w:rPr>
        <w:t>报价一览表（货物）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含税单价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jc w:val="center"/>
              <w:rPr>
                <w:rFonts w:ascii="仿宋" w:hAnsi="仿宋" w:eastAsia="仿宋"/>
                <w:sz w:val="28"/>
                <w:szCs w:val="28"/>
              </w:rPr>
            </w:pPr>
          </w:p>
        </w:tc>
        <w:tc>
          <w:tcPr>
            <w:tcW w:w="850"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jc w:val="center"/>
              <w:rPr>
                <w:rFonts w:ascii="仿宋" w:hAnsi="仿宋" w:eastAsia="仿宋"/>
                <w:sz w:val="28"/>
                <w:szCs w:val="28"/>
              </w:rPr>
            </w:pPr>
          </w:p>
        </w:tc>
        <w:tc>
          <w:tcPr>
            <w:tcW w:w="850"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jc w:val="center"/>
              <w:rPr>
                <w:rFonts w:ascii="仿宋" w:hAnsi="仿宋" w:eastAsia="仿宋"/>
                <w:sz w:val="28"/>
                <w:szCs w:val="28"/>
              </w:rPr>
            </w:pPr>
          </w:p>
        </w:tc>
        <w:tc>
          <w:tcPr>
            <w:tcW w:w="850"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jc w:val="center"/>
              <w:rPr>
                <w:rFonts w:ascii="仿宋" w:hAnsi="仿宋" w:eastAsia="仿宋"/>
                <w:sz w:val="28"/>
                <w:szCs w:val="28"/>
              </w:rPr>
            </w:pPr>
          </w:p>
        </w:tc>
        <w:tc>
          <w:tcPr>
            <w:tcW w:w="850"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jc w:val="center"/>
              <w:rPr>
                <w:rFonts w:ascii="仿宋" w:hAnsi="仿宋" w:eastAsia="仿宋"/>
                <w:sz w:val="28"/>
                <w:szCs w:val="28"/>
              </w:rPr>
            </w:pPr>
          </w:p>
        </w:tc>
        <w:tc>
          <w:tcPr>
            <w:tcW w:w="850"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jc w:val="center"/>
              <w:rPr>
                <w:rFonts w:ascii="仿宋" w:hAnsi="仿宋" w:eastAsia="仿宋"/>
                <w:sz w:val="28"/>
                <w:szCs w:val="28"/>
              </w:rPr>
            </w:pPr>
          </w:p>
        </w:tc>
        <w:tc>
          <w:tcPr>
            <w:tcW w:w="850" w:type="dxa"/>
            <w:vAlign w:val="center"/>
          </w:tcPr>
          <w:p>
            <w:pPr>
              <w:autoSpaceDE w:val="0"/>
              <w:autoSpaceDN w:val="0"/>
              <w:adjustRightInd w:val="0"/>
              <w:jc w:val="center"/>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5"/>
        <w:numPr>
          <w:ilvl w:val="1"/>
          <w:numId w:val="25"/>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5"/>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5"/>
        <w:numPr>
          <w:ilvl w:val="1"/>
          <w:numId w:val="25"/>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r>
        <w:rPr>
          <w:rFonts w:hint="eastAsia" w:ascii="仿宋" w:hAnsi="仿宋" w:eastAsia="仿宋"/>
          <w:sz w:val="28"/>
          <w:szCs w:val="28"/>
        </w:rPr>
        <w:t>报价日期：_________年____月____日</w:t>
      </w:r>
      <w:r>
        <w:rPr>
          <w:rFonts w:ascii="仿宋" w:hAnsi="仿宋" w:eastAsia="仿宋"/>
          <w:sz w:val="28"/>
          <w:szCs w:val="28"/>
        </w:rPr>
        <w:br w:type="page"/>
      </w:r>
    </w:p>
    <w:bookmarkEnd w:id="71"/>
    <w:p>
      <w:pPr>
        <w:spacing w:line="0" w:lineRule="atLeast"/>
        <w:outlineLvl w:val="1"/>
        <w:rPr>
          <w:rFonts w:ascii="宋体" w:hAnsi="宋体"/>
          <w:szCs w:val="21"/>
        </w:rPr>
      </w:pPr>
      <w:bookmarkStart w:id="72" w:name="_Toc106791275"/>
      <w:r>
        <w:rPr>
          <w:rFonts w:hint="eastAsia" w:ascii="宋体" w:hAnsi="宋体"/>
          <w:szCs w:val="21"/>
        </w:rPr>
        <w:t>附件8：报价一览表（服务）</w:t>
      </w:r>
      <w:bookmarkEnd w:id="7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ind w:left="1400" w:hanging="1400" w:hangingChars="500"/>
        <w:rPr>
          <w:rFonts w:hint="eastAsia" w:ascii="仿宋" w:hAnsi="仿宋" w:eastAsia="仿宋"/>
          <w:b/>
          <w:bCs/>
          <w:sz w:val="28"/>
          <w:szCs w:val="28"/>
          <w:u w:val="single"/>
        </w:rPr>
      </w:pPr>
      <w:r>
        <w:rPr>
          <w:rFonts w:hint="eastAsia" w:ascii="仿宋" w:hAnsi="仿宋" w:eastAsia="仿宋"/>
          <w:sz w:val="28"/>
          <w:szCs w:val="28"/>
        </w:rPr>
        <w:t>项目名称：</w:t>
      </w:r>
      <w:r>
        <w:rPr>
          <w:rFonts w:hint="eastAsia" w:ascii="仿宋" w:hAnsi="仿宋" w:eastAsia="仿宋"/>
          <w:b/>
          <w:bCs/>
          <w:sz w:val="28"/>
          <w:szCs w:val="28"/>
          <w:u w:val="single"/>
        </w:rPr>
        <w:t>深圳会展中心2022-2023年度《中国国际高新技术成果交易会会刊》</w:t>
      </w:r>
    </w:p>
    <w:p>
      <w:pPr>
        <w:spacing w:after="80"/>
        <w:ind w:left="1401" w:leftChars="667" w:firstLine="0" w:firstLineChars="0"/>
        <w:rPr>
          <w:rFonts w:ascii="仿宋" w:hAnsi="仿宋" w:eastAsia="仿宋"/>
          <w:sz w:val="28"/>
          <w:szCs w:val="28"/>
          <w:u w:val="single"/>
        </w:rPr>
      </w:pPr>
      <w:r>
        <w:rPr>
          <w:rFonts w:hint="eastAsia" w:ascii="仿宋" w:hAnsi="仿宋" w:eastAsia="仿宋"/>
          <w:b/>
          <w:bCs/>
          <w:sz w:val="28"/>
          <w:szCs w:val="28"/>
          <w:u w:val="single"/>
        </w:rPr>
        <w:t xml:space="preserve">编印服务项目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7"/>
        <w:tblpPr w:leftFromText="180" w:rightFromText="180" w:vertAnchor="text" w:horzAnchor="margin" w:tblpXSpec="center" w:tblpY="367"/>
        <w:tblW w:w="9919" w:type="dxa"/>
        <w:tblInd w:w="0" w:type="dxa"/>
        <w:tblLayout w:type="fixed"/>
        <w:tblCellMar>
          <w:top w:w="0" w:type="dxa"/>
          <w:left w:w="42" w:type="dxa"/>
          <w:bottom w:w="0" w:type="dxa"/>
          <w:right w:w="42" w:type="dxa"/>
        </w:tblCellMar>
      </w:tblPr>
      <w:tblGrid>
        <w:gridCol w:w="564"/>
        <w:gridCol w:w="3015"/>
        <w:gridCol w:w="905"/>
        <w:gridCol w:w="573"/>
        <w:gridCol w:w="846"/>
        <w:gridCol w:w="1275"/>
        <w:gridCol w:w="1417"/>
        <w:gridCol w:w="1324"/>
      </w:tblGrid>
      <w:tr>
        <w:tblPrEx>
          <w:tblCellMar>
            <w:top w:w="0" w:type="dxa"/>
            <w:left w:w="42" w:type="dxa"/>
            <w:bottom w:w="0" w:type="dxa"/>
            <w:right w:w="42" w:type="dxa"/>
          </w:tblCellMar>
        </w:tblPrEx>
        <w:trPr>
          <w:cantSplit/>
          <w:trHeight w:val="509" w:hRule="atLeast"/>
        </w:trPr>
        <w:tc>
          <w:tcPr>
            <w:tcW w:w="564"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301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905"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含税</w:t>
            </w:r>
          </w:p>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小计金额</w:t>
            </w:r>
          </w:p>
        </w:tc>
        <w:tc>
          <w:tcPr>
            <w:tcW w:w="132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64"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1</w:t>
            </w:r>
          </w:p>
        </w:tc>
        <w:tc>
          <w:tcPr>
            <w:tcW w:w="3015"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中文版《会刊》</w:t>
            </w:r>
          </w:p>
        </w:tc>
        <w:tc>
          <w:tcPr>
            <w:tcW w:w="90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册</w:t>
            </w:r>
          </w:p>
        </w:tc>
        <w:tc>
          <w:tcPr>
            <w:tcW w:w="846"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5700</w:t>
            </w: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324" w:type="dxa"/>
            <w:vMerge w:val="restart"/>
            <w:tcBorders>
              <w:top w:val="single" w:color="auto" w:sz="6" w:space="0"/>
              <w:left w:val="single" w:color="auto" w:sz="4" w:space="0"/>
              <w:right w:val="single" w:color="auto" w:sz="6" w:space="0"/>
            </w:tcBorders>
            <w:vAlign w:val="center"/>
          </w:tcPr>
          <w:p>
            <w:pPr>
              <w:jc w:val="right"/>
              <w:rPr>
                <w:rFonts w:ascii="仿宋" w:hAnsi="仿宋" w:eastAsia="仿宋"/>
                <w:sz w:val="28"/>
                <w:szCs w:val="28"/>
              </w:rPr>
            </w:pPr>
            <w:r>
              <w:rPr>
                <w:rFonts w:hint="eastAsia" w:ascii="仿宋" w:hAnsi="仿宋" w:eastAsia="仿宋"/>
                <w:sz w:val="28"/>
                <w:szCs w:val="28"/>
              </w:rPr>
              <w:t>浮动数量</w:t>
            </w:r>
          </w:p>
        </w:tc>
      </w:tr>
      <w:tr>
        <w:tblPrEx>
          <w:tblCellMar>
            <w:top w:w="0" w:type="dxa"/>
            <w:left w:w="42" w:type="dxa"/>
            <w:bottom w:w="0" w:type="dxa"/>
            <w:right w:w="42" w:type="dxa"/>
          </w:tblCellMar>
        </w:tblPrEx>
        <w:trPr>
          <w:cantSplit/>
          <w:trHeight w:val="552" w:hRule="atLeast"/>
        </w:trPr>
        <w:tc>
          <w:tcPr>
            <w:tcW w:w="564"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3015"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90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册</w:t>
            </w:r>
          </w:p>
        </w:tc>
        <w:tc>
          <w:tcPr>
            <w:tcW w:w="846"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3000</w:t>
            </w: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324" w:type="dxa"/>
            <w:vMerge w:val="continue"/>
            <w:tcBorders>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60" w:hRule="atLeast"/>
        </w:trPr>
        <w:tc>
          <w:tcPr>
            <w:tcW w:w="564"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2</w:t>
            </w:r>
          </w:p>
        </w:tc>
        <w:tc>
          <w:tcPr>
            <w:tcW w:w="3015" w:type="dxa"/>
            <w:vMerge w:val="restart"/>
            <w:tcBorders>
              <w:top w:val="single" w:color="auto" w:sz="6" w:space="0"/>
              <w:left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英文版《会刊》</w:t>
            </w:r>
          </w:p>
        </w:tc>
        <w:tc>
          <w:tcPr>
            <w:tcW w:w="90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册</w:t>
            </w:r>
          </w:p>
        </w:tc>
        <w:tc>
          <w:tcPr>
            <w:tcW w:w="846"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1000</w:t>
            </w: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324" w:type="dxa"/>
            <w:vMerge w:val="restart"/>
            <w:tcBorders>
              <w:top w:val="single" w:color="auto" w:sz="6" w:space="0"/>
              <w:left w:val="single" w:color="auto" w:sz="4" w:space="0"/>
              <w:right w:val="single" w:color="auto" w:sz="6" w:space="0"/>
            </w:tcBorders>
            <w:vAlign w:val="center"/>
          </w:tcPr>
          <w:p>
            <w:pPr>
              <w:jc w:val="right"/>
              <w:rPr>
                <w:rFonts w:ascii="仿宋" w:hAnsi="仿宋" w:eastAsia="仿宋"/>
                <w:sz w:val="28"/>
                <w:szCs w:val="28"/>
              </w:rPr>
            </w:pPr>
            <w:r>
              <w:rPr>
                <w:rFonts w:hint="eastAsia" w:ascii="仿宋" w:hAnsi="仿宋" w:eastAsia="仿宋"/>
                <w:sz w:val="28"/>
                <w:szCs w:val="28"/>
              </w:rPr>
              <w:t>浮动数量</w:t>
            </w:r>
          </w:p>
        </w:tc>
      </w:tr>
      <w:tr>
        <w:tblPrEx>
          <w:tblCellMar>
            <w:top w:w="0" w:type="dxa"/>
            <w:left w:w="42" w:type="dxa"/>
            <w:bottom w:w="0" w:type="dxa"/>
            <w:right w:w="42" w:type="dxa"/>
          </w:tblCellMar>
        </w:tblPrEx>
        <w:trPr>
          <w:cantSplit/>
          <w:trHeight w:val="560" w:hRule="atLeast"/>
        </w:trPr>
        <w:tc>
          <w:tcPr>
            <w:tcW w:w="564" w:type="dxa"/>
            <w:vMerge w:val="continue"/>
            <w:tcBorders>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3015" w:type="dxa"/>
            <w:vMerge w:val="continue"/>
            <w:tcBorders>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90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r>
              <w:rPr>
                <w:rFonts w:hint="eastAsia" w:ascii="仿宋" w:hAnsi="仿宋" w:eastAsia="仿宋"/>
                <w:sz w:val="28"/>
                <w:szCs w:val="28"/>
              </w:rPr>
              <w:t>册</w:t>
            </w:r>
          </w:p>
        </w:tc>
        <w:tc>
          <w:tcPr>
            <w:tcW w:w="846"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500</w:t>
            </w: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324" w:type="dxa"/>
            <w:vMerge w:val="continue"/>
            <w:tcBorders>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39" w:hRule="atLeast"/>
        </w:trPr>
        <w:tc>
          <w:tcPr>
            <w:tcW w:w="56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3015"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90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32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39" w:hRule="atLeast"/>
        </w:trPr>
        <w:tc>
          <w:tcPr>
            <w:tcW w:w="56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3015"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90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32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39" w:hRule="atLeast"/>
        </w:trPr>
        <w:tc>
          <w:tcPr>
            <w:tcW w:w="56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3015"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90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32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539" w:hRule="atLeast"/>
        </w:trPr>
        <w:tc>
          <w:tcPr>
            <w:tcW w:w="564"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3015"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28"/>
                <w:szCs w:val="28"/>
              </w:rPr>
            </w:pPr>
          </w:p>
        </w:tc>
        <w:tc>
          <w:tcPr>
            <w:tcW w:w="905"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28"/>
                <w:szCs w:val="28"/>
              </w:rPr>
            </w:pPr>
          </w:p>
        </w:tc>
        <w:tc>
          <w:tcPr>
            <w:tcW w:w="132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28"/>
                <w:szCs w:val="28"/>
              </w:rPr>
            </w:pPr>
          </w:p>
        </w:tc>
      </w:tr>
      <w:tr>
        <w:tblPrEx>
          <w:tblCellMar>
            <w:top w:w="0" w:type="dxa"/>
            <w:left w:w="42" w:type="dxa"/>
            <w:bottom w:w="0" w:type="dxa"/>
            <w:right w:w="42" w:type="dxa"/>
          </w:tblCellMar>
        </w:tblPrEx>
        <w:trPr>
          <w:cantSplit/>
          <w:trHeight w:val="340" w:hRule="atLeast"/>
        </w:trPr>
        <w:tc>
          <w:tcPr>
            <w:tcW w:w="7178"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32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5"/>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5"/>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5"/>
        <w:numPr>
          <w:ilvl w:val="1"/>
          <w:numId w:val="26"/>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pStyle w:val="25"/>
        <w:numPr>
          <w:ilvl w:val="1"/>
          <w:numId w:val="26"/>
        </w:numPr>
        <w:spacing w:line="400" w:lineRule="exact"/>
        <w:ind w:left="851" w:hanging="425" w:firstLineChars="0"/>
        <w:rPr>
          <w:rFonts w:hint="eastAsia" w:ascii="仿宋" w:hAnsi="仿宋" w:eastAsia="仿宋"/>
          <w:bCs/>
          <w:sz w:val="30"/>
          <w:szCs w:val="30"/>
        </w:rPr>
      </w:pPr>
      <w:r>
        <w:rPr>
          <w:rFonts w:hint="eastAsia" w:ascii="仿宋" w:hAnsi="仿宋" w:eastAsia="仿宋"/>
          <w:bCs/>
          <w:sz w:val="30"/>
          <w:szCs w:val="30"/>
        </w:rPr>
        <w:t>以上报价适用于</w:t>
      </w:r>
      <w:r>
        <w:rPr>
          <w:rFonts w:hint="eastAsia" w:ascii="仿宋" w:hAnsi="仿宋" w:eastAsia="仿宋" w:cs="Times New Roman"/>
          <w:sz w:val="30"/>
          <w:szCs w:val="30"/>
        </w:rPr>
        <w:t>20</w:t>
      </w:r>
      <w:r>
        <w:rPr>
          <w:rFonts w:hint="eastAsia" w:ascii="仿宋" w:hAnsi="仿宋" w:eastAsia="仿宋" w:cs="Times New Roman"/>
          <w:sz w:val="30"/>
          <w:szCs w:val="30"/>
          <w:lang w:val="en-US" w:eastAsia="zh-CN"/>
        </w:rPr>
        <w:t>22</w:t>
      </w:r>
      <w:r>
        <w:rPr>
          <w:rFonts w:hint="eastAsia" w:ascii="仿宋" w:hAnsi="仿宋" w:eastAsia="仿宋" w:cs="Times New Roman"/>
          <w:sz w:val="30"/>
          <w:szCs w:val="30"/>
        </w:rPr>
        <w:t>年、2023年两期</w:t>
      </w:r>
      <w:r>
        <w:rPr>
          <w:rFonts w:hint="eastAsia" w:ascii="仿宋" w:hAnsi="仿宋" w:eastAsia="仿宋" w:cs="Times New Roman"/>
          <w:sz w:val="30"/>
          <w:szCs w:val="30"/>
          <w:lang w:val="en-US" w:eastAsia="zh-CN"/>
        </w:rPr>
        <w:t>的结算</w:t>
      </w:r>
      <w:r>
        <w:rPr>
          <w:rFonts w:hint="eastAsia" w:ascii="仿宋" w:hAnsi="仿宋" w:eastAsia="仿宋" w:cs="Times New Roman"/>
          <w:sz w:val="30"/>
          <w:szCs w:val="30"/>
        </w:rPr>
        <w:t>。</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u w:val="single"/>
        </w:rPr>
        <w:t xml:space="preserve">                        </w:t>
      </w:r>
      <w:r>
        <w:rPr>
          <w:rFonts w:hint="eastAsia" w:ascii="仿宋" w:hAnsi="仿宋" w:eastAsia="仿宋"/>
          <w:sz w:val="30"/>
          <w:szCs w:val="30"/>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73" w:name="_Toc106791276"/>
      <w:r>
        <w:rPr>
          <w:rFonts w:hint="eastAsia" w:ascii="宋体" w:hAnsi="宋体"/>
          <w:szCs w:val="21"/>
        </w:rPr>
        <w:t>附件9：报价一览表（工程）</w:t>
      </w:r>
      <w:bookmarkEnd w:id="73"/>
      <w:r>
        <w:rPr>
          <w:rStyle w:val="21"/>
          <w:rFonts w:ascii="宋体" w:hAnsi="宋体"/>
          <w:color w:val="auto"/>
        </w:rPr>
        <w:t>（本项目不适用）</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116"/>
        <w:gridCol w:w="1346"/>
        <w:gridCol w:w="854"/>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11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1346"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含税综合单价</w:t>
            </w:r>
          </w:p>
        </w:tc>
        <w:tc>
          <w:tcPr>
            <w:tcW w:w="854"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824"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116" w:type="dxa"/>
            <w:vAlign w:val="center"/>
          </w:tcPr>
          <w:p>
            <w:pPr>
              <w:spacing w:line="400" w:lineRule="exact"/>
              <w:rPr>
                <w:rFonts w:ascii="仿宋" w:hAnsi="仿宋" w:eastAsia="仿宋"/>
                <w:bCs/>
                <w:sz w:val="28"/>
                <w:szCs w:val="28"/>
              </w:rPr>
            </w:pPr>
          </w:p>
        </w:tc>
        <w:tc>
          <w:tcPr>
            <w:tcW w:w="1346" w:type="dxa"/>
            <w:vAlign w:val="center"/>
          </w:tcPr>
          <w:p>
            <w:pPr>
              <w:spacing w:line="400" w:lineRule="exact"/>
              <w:rPr>
                <w:rFonts w:ascii="仿宋" w:hAnsi="仿宋" w:eastAsia="仿宋"/>
                <w:bCs/>
                <w:sz w:val="28"/>
                <w:szCs w:val="28"/>
              </w:rPr>
            </w:pPr>
          </w:p>
        </w:tc>
        <w:tc>
          <w:tcPr>
            <w:tcW w:w="854" w:type="dxa"/>
            <w:vAlign w:val="center"/>
          </w:tcPr>
          <w:p>
            <w:pPr>
              <w:spacing w:line="400" w:lineRule="exact"/>
              <w:rPr>
                <w:rFonts w:ascii="仿宋" w:hAnsi="仿宋" w:eastAsia="仿宋"/>
                <w:bCs/>
                <w:sz w:val="28"/>
                <w:szCs w:val="28"/>
              </w:rPr>
            </w:pPr>
          </w:p>
        </w:tc>
        <w:tc>
          <w:tcPr>
            <w:tcW w:w="824"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116" w:type="dxa"/>
            <w:vAlign w:val="center"/>
          </w:tcPr>
          <w:p>
            <w:pPr>
              <w:spacing w:line="400" w:lineRule="exact"/>
              <w:rPr>
                <w:rFonts w:ascii="仿宋" w:hAnsi="仿宋" w:eastAsia="仿宋"/>
                <w:bCs/>
                <w:sz w:val="28"/>
                <w:szCs w:val="28"/>
              </w:rPr>
            </w:pPr>
          </w:p>
        </w:tc>
        <w:tc>
          <w:tcPr>
            <w:tcW w:w="1346" w:type="dxa"/>
            <w:vAlign w:val="center"/>
          </w:tcPr>
          <w:p>
            <w:pPr>
              <w:spacing w:line="400" w:lineRule="exact"/>
              <w:rPr>
                <w:rFonts w:ascii="仿宋" w:hAnsi="仿宋" w:eastAsia="仿宋"/>
                <w:bCs/>
                <w:sz w:val="28"/>
                <w:szCs w:val="28"/>
              </w:rPr>
            </w:pPr>
          </w:p>
        </w:tc>
        <w:tc>
          <w:tcPr>
            <w:tcW w:w="854" w:type="dxa"/>
            <w:vAlign w:val="center"/>
          </w:tcPr>
          <w:p>
            <w:pPr>
              <w:spacing w:line="400" w:lineRule="exact"/>
              <w:rPr>
                <w:rFonts w:ascii="仿宋" w:hAnsi="仿宋" w:eastAsia="仿宋"/>
                <w:bCs/>
                <w:sz w:val="28"/>
                <w:szCs w:val="28"/>
              </w:rPr>
            </w:pPr>
          </w:p>
        </w:tc>
        <w:tc>
          <w:tcPr>
            <w:tcW w:w="824"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116" w:type="dxa"/>
            <w:vAlign w:val="center"/>
          </w:tcPr>
          <w:p>
            <w:pPr>
              <w:spacing w:line="400" w:lineRule="exact"/>
              <w:rPr>
                <w:rFonts w:ascii="仿宋" w:hAnsi="仿宋" w:eastAsia="仿宋"/>
                <w:bCs/>
                <w:sz w:val="28"/>
                <w:szCs w:val="28"/>
              </w:rPr>
            </w:pPr>
          </w:p>
        </w:tc>
        <w:tc>
          <w:tcPr>
            <w:tcW w:w="1346" w:type="dxa"/>
            <w:vAlign w:val="center"/>
          </w:tcPr>
          <w:p>
            <w:pPr>
              <w:spacing w:line="400" w:lineRule="exact"/>
              <w:rPr>
                <w:rFonts w:ascii="仿宋" w:hAnsi="仿宋" w:eastAsia="仿宋"/>
                <w:bCs/>
                <w:sz w:val="28"/>
                <w:szCs w:val="28"/>
              </w:rPr>
            </w:pPr>
          </w:p>
        </w:tc>
        <w:tc>
          <w:tcPr>
            <w:tcW w:w="854" w:type="dxa"/>
            <w:vAlign w:val="center"/>
          </w:tcPr>
          <w:p>
            <w:pPr>
              <w:spacing w:line="400" w:lineRule="exact"/>
              <w:rPr>
                <w:rFonts w:ascii="仿宋" w:hAnsi="仿宋" w:eastAsia="仿宋"/>
                <w:bCs/>
                <w:sz w:val="28"/>
                <w:szCs w:val="28"/>
              </w:rPr>
            </w:pPr>
          </w:p>
        </w:tc>
        <w:tc>
          <w:tcPr>
            <w:tcW w:w="824"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116" w:type="dxa"/>
            <w:vAlign w:val="center"/>
          </w:tcPr>
          <w:p>
            <w:pPr>
              <w:spacing w:line="400" w:lineRule="exact"/>
              <w:rPr>
                <w:rFonts w:ascii="仿宋" w:hAnsi="仿宋" w:eastAsia="仿宋"/>
                <w:bCs/>
                <w:sz w:val="28"/>
                <w:szCs w:val="28"/>
              </w:rPr>
            </w:pPr>
          </w:p>
        </w:tc>
        <w:tc>
          <w:tcPr>
            <w:tcW w:w="1346" w:type="dxa"/>
            <w:vAlign w:val="center"/>
          </w:tcPr>
          <w:p>
            <w:pPr>
              <w:spacing w:line="400" w:lineRule="exact"/>
              <w:rPr>
                <w:rFonts w:ascii="仿宋" w:hAnsi="仿宋" w:eastAsia="仿宋"/>
                <w:bCs/>
                <w:sz w:val="28"/>
                <w:szCs w:val="28"/>
              </w:rPr>
            </w:pPr>
          </w:p>
        </w:tc>
        <w:tc>
          <w:tcPr>
            <w:tcW w:w="854" w:type="dxa"/>
            <w:vAlign w:val="center"/>
          </w:tcPr>
          <w:p>
            <w:pPr>
              <w:spacing w:line="400" w:lineRule="exact"/>
              <w:rPr>
                <w:rFonts w:ascii="仿宋" w:hAnsi="仿宋" w:eastAsia="仿宋"/>
                <w:bCs/>
                <w:sz w:val="28"/>
                <w:szCs w:val="28"/>
              </w:rPr>
            </w:pPr>
          </w:p>
        </w:tc>
        <w:tc>
          <w:tcPr>
            <w:tcW w:w="824"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116" w:type="dxa"/>
            <w:vAlign w:val="center"/>
          </w:tcPr>
          <w:p>
            <w:pPr>
              <w:spacing w:line="400" w:lineRule="exact"/>
              <w:rPr>
                <w:rFonts w:ascii="仿宋" w:hAnsi="仿宋" w:eastAsia="仿宋"/>
                <w:bCs/>
                <w:sz w:val="28"/>
                <w:szCs w:val="28"/>
              </w:rPr>
            </w:pPr>
          </w:p>
        </w:tc>
        <w:tc>
          <w:tcPr>
            <w:tcW w:w="1346" w:type="dxa"/>
            <w:vAlign w:val="center"/>
          </w:tcPr>
          <w:p>
            <w:pPr>
              <w:spacing w:line="400" w:lineRule="exact"/>
              <w:rPr>
                <w:rFonts w:ascii="仿宋" w:hAnsi="仿宋" w:eastAsia="仿宋"/>
                <w:bCs/>
                <w:sz w:val="28"/>
                <w:szCs w:val="28"/>
              </w:rPr>
            </w:pPr>
          </w:p>
        </w:tc>
        <w:tc>
          <w:tcPr>
            <w:tcW w:w="854" w:type="dxa"/>
            <w:vAlign w:val="center"/>
          </w:tcPr>
          <w:p>
            <w:pPr>
              <w:spacing w:line="400" w:lineRule="exact"/>
              <w:rPr>
                <w:rFonts w:ascii="仿宋" w:hAnsi="仿宋" w:eastAsia="仿宋"/>
                <w:bCs/>
                <w:sz w:val="28"/>
                <w:szCs w:val="28"/>
              </w:rPr>
            </w:pPr>
          </w:p>
        </w:tc>
        <w:tc>
          <w:tcPr>
            <w:tcW w:w="824"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116" w:type="dxa"/>
            <w:vAlign w:val="center"/>
          </w:tcPr>
          <w:p>
            <w:pPr>
              <w:spacing w:line="400" w:lineRule="exact"/>
              <w:rPr>
                <w:rFonts w:ascii="仿宋" w:hAnsi="仿宋" w:eastAsia="仿宋"/>
                <w:bCs/>
                <w:sz w:val="28"/>
                <w:szCs w:val="28"/>
              </w:rPr>
            </w:pPr>
          </w:p>
        </w:tc>
        <w:tc>
          <w:tcPr>
            <w:tcW w:w="1346" w:type="dxa"/>
            <w:vAlign w:val="center"/>
          </w:tcPr>
          <w:p>
            <w:pPr>
              <w:spacing w:line="400" w:lineRule="exact"/>
              <w:rPr>
                <w:rFonts w:ascii="仿宋" w:hAnsi="仿宋" w:eastAsia="仿宋"/>
                <w:bCs/>
                <w:sz w:val="28"/>
                <w:szCs w:val="28"/>
              </w:rPr>
            </w:pPr>
          </w:p>
        </w:tc>
        <w:tc>
          <w:tcPr>
            <w:tcW w:w="854" w:type="dxa"/>
            <w:vAlign w:val="center"/>
          </w:tcPr>
          <w:p>
            <w:pPr>
              <w:spacing w:line="400" w:lineRule="exact"/>
              <w:rPr>
                <w:rFonts w:ascii="仿宋" w:hAnsi="仿宋" w:eastAsia="仿宋"/>
                <w:bCs/>
                <w:sz w:val="28"/>
                <w:szCs w:val="28"/>
              </w:rPr>
            </w:pPr>
          </w:p>
        </w:tc>
        <w:tc>
          <w:tcPr>
            <w:tcW w:w="824"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116" w:type="dxa"/>
            <w:vAlign w:val="center"/>
          </w:tcPr>
          <w:p>
            <w:pPr>
              <w:spacing w:line="400" w:lineRule="exact"/>
              <w:rPr>
                <w:rFonts w:ascii="仿宋" w:hAnsi="仿宋" w:eastAsia="仿宋"/>
                <w:bCs/>
                <w:sz w:val="28"/>
                <w:szCs w:val="28"/>
              </w:rPr>
            </w:pPr>
          </w:p>
        </w:tc>
        <w:tc>
          <w:tcPr>
            <w:tcW w:w="1346" w:type="dxa"/>
            <w:vAlign w:val="center"/>
          </w:tcPr>
          <w:p>
            <w:pPr>
              <w:spacing w:line="400" w:lineRule="exact"/>
              <w:rPr>
                <w:rFonts w:ascii="仿宋" w:hAnsi="仿宋" w:eastAsia="仿宋"/>
                <w:bCs/>
                <w:sz w:val="28"/>
                <w:szCs w:val="28"/>
              </w:rPr>
            </w:pPr>
          </w:p>
        </w:tc>
        <w:tc>
          <w:tcPr>
            <w:tcW w:w="854" w:type="dxa"/>
            <w:vAlign w:val="center"/>
          </w:tcPr>
          <w:p>
            <w:pPr>
              <w:spacing w:line="400" w:lineRule="exact"/>
              <w:rPr>
                <w:rFonts w:ascii="仿宋" w:hAnsi="仿宋" w:eastAsia="仿宋"/>
                <w:bCs/>
                <w:sz w:val="28"/>
                <w:szCs w:val="28"/>
              </w:rPr>
            </w:pPr>
          </w:p>
        </w:tc>
        <w:tc>
          <w:tcPr>
            <w:tcW w:w="824"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539"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854" w:type="dxa"/>
            <w:vAlign w:val="center"/>
          </w:tcPr>
          <w:p>
            <w:pPr>
              <w:spacing w:line="400" w:lineRule="exact"/>
              <w:rPr>
                <w:rFonts w:ascii="仿宋" w:hAnsi="仿宋" w:eastAsia="仿宋"/>
                <w:bCs/>
                <w:sz w:val="28"/>
                <w:szCs w:val="28"/>
              </w:rPr>
            </w:pPr>
          </w:p>
        </w:tc>
        <w:tc>
          <w:tcPr>
            <w:tcW w:w="824"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5"/>
        <w:numPr>
          <w:ilvl w:val="1"/>
          <w:numId w:val="27"/>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5"/>
        <w:numPr>
          <w:ilvl w:val="1"/>
          <w:numId w:val="27"/>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5"/>
        <w:numPr>
          <w:ilvl w:val="1"/>
          <w:numId w:val="27"/>
        </w:numPr>
        <w:spacing w:line="400" w:lineRule="exact"/>
        <w:ind w:firstLineChars="0"/>
        <w:rPr>
          <w:rFonts w:ascii="仿宋_GB2312" w:hAnsi="宋体" w:eastAsia="仿宋_GB2312"/>
          <w:sz w:val="28"/>
          <w:szCs w:val="28"/>
        </w:rPr>
      </w:pPr>
      <w:r>
        <w:rPr>
          <w:rFonts w:hint="eastAsia" w:ascii="仿宋" w:hAnsi="仿宋" w:eastAsia="仿宋"/>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4" w:name="_Toc106791277"/>
      <w:r>
        <w:rPr>
          <w:rFonts w:hint="eastAsia" w:ascii="宋体" w:hAnsi="宋体"/>
          <w:szCs w:val="21"/>
        </w:rPr>
        <w:t>附件10：法定代表人证明书</w:t>
      </w:r>
      <w:bookmarkEnd w:id="7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sz w:val="28"/>
          <w:szCs w:val="28"/>
        </w:rPr>
      </w:pPr>
      <w:r>
        <w:rPr>
          <w:rFonts w:hint="eastAsia" w:ascii="仿宋" w:hAnsi="仿宋" w:eastAsia="仿宋"/>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sz w:val="28"/>
          <w:szCs w:val="28"/>
        </w:rPr>
      </w:pPr>
    </w:p>
    <w:p>
      <w:pPr>
        <w:snapToGrid w:val="0"/>
        <w:spacing w:line="288" w:lineRule="auto"/>
        <w:ind w:firstLine="570"/>
        <w:rPr>
          <w:rFonts w:ascii="仿宋" w:hAnsi="仿宋" w:eastAsia="仿宋"/>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rPr>
      </w:pPr>
      <w:r>
        <w:rPr>
          <w:rFonts w:ascii="仿宋_GB2312" w:hAnsi="宋体" w:eastAsia="仿宋_GB2312"/>
          <w:b/>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4445" t="4445" r="11430" b="508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AOF6TTNgIAAJU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QlR5Ymd&#10;8k30JcZG7uKwHaZ2bKF5JCIRxmmmXSahA/zBWU+TXPPwfS9QcWY+OmrG+XyxSKOflcVyVZKCx5bt&#10;sUU4SVA1j5yN4lUc12XvUe86ijS238ElNbDVmdqU6pjV1Haa1sz4tFlpHY717PXrb7L5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ByXLzaAAAACgEAAA8AAAAAAAAAAQAgAAAAIgAAAGRycy9kb3du&#10;cmV2LnhtbFBLAQIUABQAAAAIAIdO4kAOF6TTNgIAAJUEAAAOAAAAAAAAAAEAIAAAACkBAABkcnMv&#10;ZTJvRG9jLnhtbFBLBQYAAAAABgAGAFkBAADR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4445" t="4445" r="11430" b="508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LE5gy2wAAAAoBAAAPAAAAAAAAAAEAIAAAACIAAABkcnMvZG93&#10;bnJldi54bWxQSwECFAAUAAAACACHTuJAy2dm4TYCAACVBAAADgAAAAAAAAABACAAAAAqAQAAZHJz&#10;L2Uyb0RvYy54bWxQSwUGAAAAAAYABgBZAQAA0g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rPr>
        <w:br w:type="page"/>
      </w:r>
    </w:p>
    <w:p>
      <w:pPr>
        <w:spacing w:line="0" w:lineRule="atLeast"/>
        <w:outlineLvl w:val="1"/>
        <w:rPr>
          <w:rFonts w:ascii="宋体" w:hAnsi="宋体"/>
          <w:szCs w:val="21"/>
        </w:rPr>
      </w:pPr>
      <w:bookmarkStart w:id="75" w:name="_Toc106791278"/>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rPr>
      </w:pPr>
      <w:r>
        <w:rPr>
          <w:rFonts w:ascii="仿宋_GB2312" w:hAnsi="宋体" w:eastAsia="仿宋_GB2312"/>
        </w:rPr>
        <w:br w:type="page"/>
      </w:r>
    </w:p>
    <w:p>
      <w:pPr>
        <w:spacing w:line="0" w:lineRule="atLeast"/>
        <w:outlineLvl w:val="1"/>
        <w:rPr>
          <w:rFonts w:ascii="宋体" w:hAnsi="宋体"/>
          <w:szCs w:val="21"/>
        </w:rPr>
      </w:pPr>
      <w:bookmarkStart w:id="76" w:name="_Toc106791279"/>
      <w:r>
        <w:rPr>
          <w:rFonts w:hint="eastAsia" w:ascii="宋体" w:hAnsi="宋体"/>
          <w:szCs w:val="21"/>
        </w:rPr>
        <w:t>附件</w:t>
      </w:r>
      <w:r>
        <w:rPr>
          <w:rFonts w:ascii="宋体" w:hAnsi="宋体"/>
          <w:szCs w:val="21"/>
        </w:rPr>
        <w:t>1</w:t>
      </w:r>
      <w:r>
        <w:rPr>
          <w:rFonts w:hint="eastAsia" w:ascii="宋体" w:hAnsi="宋体"/>
          <w:szCs w:val="21"/>
        </w:rPr>
        <w:t>2：经营业绩一览表</w:t>
      </w:r>
      <w:bookmarkEnd w:id="7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7"/>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sz w:val="30"/>
          <w:szCs w:val="30"/>
        </w:rPr>
        <w:br w:type="page"/>
      </w:r>
    </w:p>
    <w:p>
      <w:pPr>
        <w:spacing w:line="0" w:lineRule="atLeast"/>
        <w:outlineLvl w:val="1"/>
        <w:rPr>
          <w:rFonts w:ascii="宋体" w:hAnsi="宋体"/>
          <w:szCs w:val="21"/>
        </w:rPr>
      </w:pPr>
      <w:bookmarkStart w:id="77" w:name="_Toc106791280"/>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7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28"/>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sz w:val="28"/>
          <w:szCs w:val="28"/>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8248"/>
          <w:tab w:val="left" w:pos="9368"/>
        </w:tabs>
        <w:ind w:left="-66"/>
        <w:rPr>
          <w:rFonts w:ascii="仿宋" w:hAnsi="仿宋" w:eastAsia="仿宋"/>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78" w:name="_Toc32341"/>
      <w:r>
        <w:rPr>
          <w:rFonts w:ascii="仿宋" w:hAnsi="仿宋" w:eastAsia="仿宋"/>
          <w:sz w:val="28"/>
          <w:szCs w:val="28"/>
        </w:rPr>
        <w:br w:type="page"/>
      </w:r>
    </w:p>
    <w:p>
      <w:pPr>
        <w:spacing w:line="0" w:lineRule="atLeast"/>
        <w:outlineLvl w:val="1"/>
        <w:rPr>
          <w:rFonts w:ascii="宋体" w:hAnsi="宋体"/>
          <w:szCs w:val="21"/>
        </w:rPr>
      </w:pPr>
      <w:bookmarkStart w:id="79" w:name="_Toc106791281"/>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78"/>
      <w:bookmarkEnd w:id="7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29"/>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以上承诺如有虚假，你方有权取消我方中标资格，我方同意给你方造成的损失予以赔偿。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2"/>
      </w:pPr>
    </w:p>
    <w:p>
      <w:pPr>
        <w:pStyle w:val="2"/>
      </w:pPr>
    </w:p>
    <w:p>
      <w:pPr>
        <w:pStyle w:val="2"/>
      </w:pPr>
    </w:p>
    <w:p>
      <w:pPr>
        <w:pStyle w:val="2"/>
      </w:pPr>
    </w:p>
    <w:p>
      <w:pPr>
        <w:pStyle w:val="2"/>
      </w:pPr>
    </w:p>
    <w:p>
      <w:pPr>
        <w:pStyle w:val="14"/>
      </w:pPr>
    </w:p>
    <w:p>
      <w:pPr>
        <w:spacing w:line="0" w:lineRule="atLeast"/>
        <w:outlineLvl w:val="1"/>
        <w:rPr>
          <w:rFonts w:ascii="宋体" w:hAnsi="宋体"/>
        </w:rPr>
      </w:pPr>
      <w:bookmarkStart w:id="80" w:name="_Toc100848654"/>
      <w:bookmarkStart w:id="81" w:name="_Toc106791282"/>
      <w:r>
        <w:rPr>
          <w:rFonts w:hint="eastAsia" w:ascii="宋体" w:hAnsi="宋体"/>
        </w:rPr>
        <w:t>附件15：投标文件密码</w:t>
      </w:r>
      <w:bookmarkEnd w:id="80"/>
      <w:r>
        <w:rPr>
          <w:rFonts w:hint="eastAsia" w:ascii="宋体" w:hAnsi="宋体"/>
        </w:rPr>
        <w:t>单</w:t>
      </w:r>
      <w:bookmarkEnd w:id="81"/>
    </w:p>
    <w:p>
      <w:pPr>
        <w:spacing w:line="360" w:lineRule="auto"/>
        <w:jc w:val="center"/>
        <w:rPr>
          <w:rFonts w:ascii="宋体" w:hAnsi="宋体"/>
          <w:b/>
          <w:sz w:val="44"/>
          <w:szCs w:val="44"/>
        </w:rPr>
      </w:pPr>
    </w:p>
    <w:p>
      <w:pPr>
        <w:jc w:val="center"/>
        <w:rPr>
          <w:rFonts w:ascii="宋体" w:hAnsi="宋体"/>
          <w:b/>
          <w:sz w:val="32"/>
          <w:szCs w:val="32"/>
        </w:rPr>
      </w:pPr>
      <w:bookmarkStart w:id="82" w:name="_Hlk66864759"/>
      <w:r>
        <w:rPr>
          <w:rFonts w:hint="eastAsia" w:ascii="宋体" w:hAnsi="宋体"/>
          <w:b/>
          <w:sz w:val="32"/>
          <w:szCs w:val="32"/>
        </w:rPr>
        <w:t>_</w:t>
      </w:r>
      <w:r>
        <w:rPr>
          <w:rFonts w:ascii="宋体" w:hAnsi="宋体"/>
          <w:b/>
          <w:sz w:val="32"/>
          <w:szCs w:val="32"/>
        </w:rPr>
        <w:t>________________________________</w:t>
      </w:r>
      <w:r>
        <w:rPr>
          <w:rFonts w:hint="eastAsia" w:ascii="宋体" w:hAnsi="宋体"/>
          <w:b/>
          <w:sz w:val="32"/>
          <w:szCs w:val="32"/>
        </w:rPr>
        <w:t>项目</w:t>
      </w:r>
      <w:bookmarkEnd w:id="82"/>
    </w:p>
    <w:p>
      <w:pPr>
        <w:jc w:val="center"/>
        <w:rPr>
          <w:rFonts w:ascii="宋体" w:hAnsi="宋体"/>
          <w:b/>
          <w:sz w:val="32"/>
          <w:szCs w:val="32"/>
        </w:rPr>
      </w:pPr>
      <w:r>
        <w:rPr>
          <w:rFonts w:hint="eastAsia" w:ascii="宋体" w:hAnsi="宋体"/>
          <w:b/>
          <w:sz w:val="32"/>
          <w:szCs w:val="32"/>
        </w:rPr>
        <w:t>投标文件密码单</w:t>
      </w:r>
    </w:p>
    <w:p>
      <w:pPr>
        <w:pStyle w:val="14"/>
        <w:rPr>
          <w:rFonts w:ascii="仿宋" w:hAnsi="仿宋" w:eastAsia="仿宋"/>
          <w:b/>
          <w:sz w:val="28"/>
          <w:szCs w:val="28"/>
        </w:rPr>
      </w:pPr>
    </w:p>
    <w:p>
      <w:pPr>
        <w:pStyle w:val="14"/>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4"/>
        <w:rPr>
          <w:rFonts w:ascii="仿宋" w:hAnsi="仿宋" w:eastAsia="仿宋"/>
          <w:b/>
          <w:sz w:val="28"/>
          <w:szCs w:val="28"/>
        </w:rPr>
      </w:pPr>
    </w:p>
    <w:p>
      <w:pPr>
        <w:pStyle w:val="14"/>
        <w:rPr>
          <w:rFonts w:ascii="仿宋" w:hAnsi="仿宋" w:eastAsia="仿宋"/>
          <w:b/>
          <w:sz w:val="24"/>
        </w:rPr>
      </w:pPr>
      <w:r>
        <w:rPr>
          <w:rFonts w:hint="eastAsia" w:ascii="仿宋" w:hAnsi="仿宋" w:eastAsia="仿宋"/>
          <w:b/>
          <w:sz w:val="24"/>
        </w:rPr>
        <w:t>【特别注意】</w:t>
      </w:r>
    </w:p>
    <w:p>
      <w:pPr>
        <w:pStyle w:val="14"/>
        <w:numPr>
          <w:ilvl w:val="0"/>
          <w:numId w:val="30"/>
        </w:numPr>
        <w:rPr>
          <w:rFonts w:ascii="仿宋" w:hAnsi="仿宋" w:eastAsia="仿宋"/>
          <w:sz w:val="24"/>
        </w:rPr>
      </w:pPr>
      <w:r>
        <w:rPr>
          <w:rFonts w:hint="eastAsia" w:ascii="仿宋" w:hAnsi="仿宋" w:eastAsia="仿宋"/>
          <w:sz w:val="24"/>
        </w:rPr>
        <w:t>密码区分大小写，且不得使用易与数字混淆的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4"/>
        <w:numPr>
          <w:ilvl w:val="0"/>
          <w:numId w:val="30"/>
        </w:numPr>
        <w:rPr>
          <w:rFonts w:ascii="仿宋" w:hAnsi="仿宋" w:eastAsia="仿宋"/>
          <w:b/>
          <w:sz w:val="24"/>
        </w:rPr>
      </w:pPr>
      <w:r>
        <w:rPr>
          <w:rFonts w:hint="eastAsia" w:ascii="仿宋" w:hAnsi="仿宋" w:eastAsia="仿宋"/>
          <w:sz w:val="24"/>
        </w:rPr>
        <w:t>本单请严格按招标文件要求的时间和方式提交（切勿同投标文件一起提交）。</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spacing w:line="0" w:lineRule="atLeast"/>
        <w:jc w:val="left"/>
        <w:outlineLvl w:val="1"/>
        <w:rPr>
          <w:rFonts w:ascii="宋体" w:hAnsi="宋体"/>
        </w:rPr>
      </w:pPr>
      <w:r>
        <w:rPr>
          <w:rFonts w:hint="eastAsia" w:ascii="宋体" w:hAnsi="宋体"/>
        </w:rPr>
        <w:t>附件16：供应商履约评价表（一般服务类适用）</w:t>
      </w:r>
    </w:p>
    <w:p>
      <w:pPr>
        <w:pStyle w:val="14"/>
      </w:pPr>
    </w:p>
    <w:p>
      <w:pPr>
        <w:pStyle w:val="14"/>
      </w:pPr>
    </w:p>
    <w:p>
      <w:pPr>
        <w:spacing w:line="44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供应商履约评价表</w:t>
      </w:r>
    </w:p>
    <w:p>
      <w:pPr>
        <w:spacing w:line="560" w:lineRule="exact"/>
        <w:jc w:val="center"/>
        <w:rPr>
          <w:rFonts w:ascii="黑体" w:hAnsi="黑体" w:eastAsia="黑体" w:cs="黑体"/>
          <w:spacing w:val="-6"/>
          <w:sz w:val="30"/>
          <w:szCs w:val="30"/>
        </w:rPr>
      </w:pPr>
      <w:r>
        <w:rPr>
          <w:rFonts w:hint="eastAsia" w:ascii="黑体" w:hAnsi="黑体" w:eastAsia="黑体" w:cs="黑体"/>
          <w:spacing w:val="-6"/>
          <w:sz w:val="30"/>
          <w:szCs w:val="30"/>
        </w:rPr>
        <w:t>（一般服务类适用）</w:t>
      </w:r>
    </w:p>
    <w:p>
      <w:pPr>
        <w:jc w:val="center"/>
        <w:rPr>
          <w:rFonts w:ascii="宋体" w:hAnsi="宋体" w:cs="宋体"/>
          <w:b/>
          <w:kern w:val="0"/>
          <w:sz w:val="15"/>
          <w:szCs w:val="32"/>
        </w:rPr>
      </w:pPr>
    </w:p>
    <w:tbl>
      <w:tblPr>
        <w:tblStyle w:val="17"/>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ascii="宋体" w:hAnsi="宋体"/>
                <w:szCs w:val="21"/>
              </w:rPr>
            </w:pPr>
            <w:r>
              <w:rPr>
                <w:rFonts w:hint="eastAsia" w:ascii="宋体" w:hAnsi="宋体"/>
                <w:szCs w:val="21"/>
              </w:rPr>
              <w:t>结算金额</w:t>
            </w:r>
          </w:p>
        </w:tc>
        <w:tc>
          <w:tcPr>
            <w:tcW w:w="3544"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ascii="宋体" w:hAnsi="宋体"/>
                <w:szCs w:val="21"/>
              </w:rPr>
            </w:pPr>
            <w:r>
              <w:rPr>
                <w:rFonts w:hint="eastAsia" w:ascii="宋体" w:hAnsi="宋体"/>
                <w:szCs w:val="21"/>
              </w:rPr>
              <w:t>验收时间</w:t>
            </w:r>
          </w:p>
        </w:tc>
        <w:tc>
          <w:tcPr>
            <w:tcW w:w="3544"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559"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cs="宋体"/>
                <w:sz w:val="20"/>
              </w:rPr>
            </w:pPr>
            <w:r>
              <w:rPr>
                <w:rFonts w:hint="eastAsia" w:ascii="宋体" w:hAnsi="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cs="宋体"/>
                <w:szCs w:val="21"/>
              </w:rPr>
            </w:pPr>
            <w:r>
              <w:rPr>
                <w:rFonts w:hint="eastAsia" w:ascii="宋体" w:hAnsi="宋体" w:cs="宋体"/>
                <w:szCs w:val="21"/>
              </w:rPr>
              <w:t>工作效率</w:t>
            </w: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425"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胜任能力</w:t>
            </w: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是否存在对同一事项（如差错、修改意见、疑问及需进一步了解的情况、需进一步分析的事项、服务态度、服务事项、服务要求等）进行多次整改才能得到最终结果或改正的情况</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配合程度</w:t>
            </w: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沟通主动性</w:t>
            </w: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是否及时就项目开展进度、情况进行沟通</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425"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沟通能力</w:t>
            </w: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职业操守</w:t>
            </w:r>
          </w:p>
        </w:tc>
        <w:tc>
          <w:tcPr>
            <w:tcW w:w="708"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工作态度</w:t>
            </w: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restart"/>
            <w:tcBorders>
              <w:tl2br w:val="nil"/>
              <w:tr2bl w:val="nil"/>
            </w:tcBorders>
            <w:vAlign w:val="center"/>
          </w:tcPr>
          <w:p>
            <w:pPr>
              <w:widowControl/>
              <w:jc w:val="left"/>
              <w:rPr>
                <w:rFonts w:ascii="宋体" w:hAnsi="宋体" w:cs="宋体"/>
                <w:szCs w:val="21"/>
              </w:rPr>
            </w:pPr>
            <w:r>
              <w:rPr>
                <w:rFonts w:hint="eastAsia" w:ascii="宋体" w:hAnsi="宋体" w:cs="宋体"/>
                <w:szCs w:val="21"/>
              </w:rPr>
              <w:t>职业道德</w:t>
            </w: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 w:val="20"/>
              </w:rPr>
            </w:pPr>
          </w:p>
        </w:tc>
        <w:tc>
          <w:tcPr>
            <w:tcW w:w="708" w:type="dxa"/>
            <w:vMerge w:val="continue"/>
            <w:tcBorders>
              <w:tl2br w:val="nil"/>
              <w:tr2bl w:val="nil"/>
            </w:tcBorders>
            <w:vAlign w:val="center"/>
          </w:tcPr>
          <w:p>
            <w:pPr>
              <w:widowControl/>
              <w:jc w:val="left"/>
              <w:rPr>
                <w:rFonts w:ascii="宋体" w:hAnsi="宋体" w:cs="宋体"/>
                <w:sz w:val="20"/>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425"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cs="宋体"/>
                <w:szCs w:val="21"/>
              </w:rPr>
            </w:pPr>
          </w:p>
        </w:tc>
        <w:tc>
          <w:tcPr>
            <w:tcW w:w="708" w:type="dxa"/>
            <w:vMerge w:val="continue"/>
            <w:tcBorders>
              <w:tl2br w:val="nil"/>
              <w:tr2bl w:val="nil"/>
            </w:tcBorders>
            <w:vAlign w:val="center"/>
          </w:tcPr>
          <w:p>
            <w:pPr>
              <w:jc w:val="center"/>
              <w:rPr>
                <w:rFonts w:ascii="宋体" w:hAnsi="宋体" w:cs="宋体"/>
                <w:szCs w:val="21"/>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是否按要求提交相关的工作成果或服务总结报告</w:t>
            </w: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spacing w:line="300" w:lineRule="exact"/>
              <w:rPr>
                <w:rFonts w:ascii="黑体" w:hAnsi="宋体" w:eastAsia="黑体" w:cs="宋体"/>
                <w:sz w:val="24"/>
              </w:rPr>
            </w:pPr>
            <w:r>
              <w:rPr>
                <w:rFonts w:hint="eastAsia" w:ascii="黑体" w:hAnsi="宋体" w:eastAsia="黑体" w:cs="宋体"/>
                <w:sz w:val="24"/>
              </w:rPr>
              <w:t>服务细则（</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cs="宋体"/>
                <w:szCs w:val="21"/>
              </w:rPr>
            </w:pPr>
            <w:r>
              <w:rPr>
                <w:rFonts w:hint="eastAsia" w:ascii="宋体" w:hAnsi="宋体" w:cs="宋体"/>
                <w:szCs w:val="21"/>
              </w:rPr>
              <w:t>专用条款</w:t>
            </w:r>
          </w:p>
        </w:tc>
        <w:tc>
          <w:tcPr>
            <w:tcW w:w="708" w:type="dxa"/>
            <w:vMerge w:val="restart"/>
            <w:tcBorders>
              <w:tl2br w:val="nil"/>
              <w:tr2bl w:val="nil"/>
            </w:tcBorders>
            <w:vAlign w:val="center"/>
          </w:tcPr>
          <w:p>
            <w:pPr>
              <w:jc w:val="center"/>
              <w:rPr>
                <w:rFonts w:ascii="宋体" w:hAnsi="宋体" w:cs="宋体"/>
                <w:szCs w:val="21"/>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是否发生过涉及安全的责任事故</w:t>
            </w:r>
          </w:p>
        </w:tc>
        <w:tc>
          <w:tcPr>
            <w:tcW w:w="425" w:type="dxa"/>
            <w:tcBorders>
              <w:tl2br w:val="nil"/>
              <w:tr2bl w:val="nil"/>
            </w:tcBorders>
            <w:vAlign w:val="center"/>
          </w:tcPr>
          <w:p>
            <w:pPr>
              <w:spacing w:line="260" w:lineRule="exact"/>
              <w:jc w:val="center"/>
              <w:rPr>
                <w:rFonts w:ascii="宋体" w:hAnsi="宋体" w:cs="宋体" w:eastAsiaTheme="minorEastAsia"/>
                <w:szCs w:val="21"/>
              </w:rPr>
            </w:pPr>
            <w:r>
              <w:rPr>
                <w:rFonts w:hint="eastAsia" w:ascii="宋体" w:hAnsi="宋体" w:cs="宋体"/>
                <w:szCs w:val="21"/>
              </w:rPr>
              <w:t>5</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（根据项目特点增加专用评价条款，分值可做相应调整）</w:t>
            </w:r>
          </w:p>
        </w:tc>
        <w:tc>
          <w:tcPr>
            <w:tcW w:w="425" w:type="dxa"/>
            <w:tcBorders>
              <w:tl2br w:val="nil"/>
              <w:tr2bl w:val="nil"/>
            </w:tcBorders>
            <w:vAlign w:val="center"/>
          </w:tcPr>
          <w:p>
            <w:pPr>
              <w:spacing w:line="260" w:lineRule="exact"/>
              <w:jc w:val="center"/>
              <w:rPr>
                <w:rFonts w:ascii="宋体" w:hAnsi="宋体" w:cs="宋体" w:eastAsiaTheme="minorEastAsia"/>
                <w:szCs w:val="21"/>
              </w:rPr>
            </w:pPr>
            <w:r>
              <w:rPr>
                <w:rFonts w:hint="eastAsia" w:ascii="宋体" w:hAnsi="宋体" w:cs="宋体"/>
                <w:szCs w:val="21"/>
              </w:rPr>
              <w:t>7</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p>
        </w:tc>
        <w:tc>
          <w:tcPr>
            <w:tcW w:w="425"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59"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5"/>
              <w:numPr>
                <w:ilvl w:val="0"/>
                <w:numId w:val="31"/>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如有则直接评定为差</w:t>
            </w:r>
            <w:r>
              <w:rPr>
                <w:rFonts w:hint="eastAsia" w:ascii="宋体" w:hAnsi="宋体" w:cs="宋体"/>
                <w:szCs w:val="21"/>
              </w:rPr>
              <w:t>）</w:t>
            </w:r>
          </w:p>
        </w:tc>
        <w:tc>
          <w:tcPr>
            <w:tcW w:w="425" w:type="dxa"/>
            <w:tcBorders>
              <w:tl2br w:val="nil"/>
              <w:tr2bl w:val="nil"/>
            </w:tcBorders>
            <w:vAlign w:val="center"/>
          </w:tcPr>
          <w:p>
            <w:pPr>
              <w:jc w:val="center"/>
              <w:rPr>
                <w:rFonts w:ascii="宋体" w:hAnsi="宋体" w:cs="宋体"/>
                <w:szCs w:val="21"/>
              </w:rPr>
            </w:pPr>
            <w:r>
              <w:rPr>
                <w:rFonts w:hint="eastAsia" w:ascii="宋体" w:hAnsi="宋体" w:cs="宋体"/>
                <w:szCs w:val="21"/>
              </w:rPr>
              <w:t>是</w:t>
            </w:r>
          </w:p>
        </w:tc>
        <w:tc>
          <w:tcPr>
            <w:tcW w:w="1559" w:type="dxa"/>
            <w:tcBorders>
              <w:tl2br w:val="nil"/>
              <w:tr2bl w:val="nil"/>
            </w:tcBorders>
            <w:vAlign w:val="center"/>
          </w:tcPr>
          <w:p>
            <w:pPr>
              <w:spacing w:line="300" w:lineRule="exact"/>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2"/>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pStyle w:val="14"/>
      </w:pPr>
    </w:p>
    <w:sectPr>
      <w:footerReference r:id="rId4" w:type="default"/>
      <w:pgSz w:w="11906" w:h="16838"/>
      <w:pgMar w:top="907" w:right="907" w:bottom="907" w:left="907" w:header="851" w:footer="408"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9"/>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281775"/>
    <w:multiLevelType w:val="singleLevel"/>
    <w:tmpl w:val="A2281775"/>
    <w:lvl w:ilvl="0" w:tentative="0">
      <w:start w:val="1"/>
      <w:numFmt w:val="decimal"/>
      <w:suff w:val="space"/>
      <w:lvlText w:val="%1."/>
      <w:lvlJc w:val="left"/>
    </w:lvl>
  </w:abstractNum>
  <w:abstractNum w:abstractNumId="1">
    <w:nsid w:val="C065590D"/>
    <w:multiLevelType w:val="singleLevel"/>
    <w:tmpl w:val="C065590D"/>
    <w:lvl w:ilvl="0" w:tentative="0">
      <w:start w:val="1"/>
      <w:numFmt w:val="decimal"/>
      <w:suff w:val="nothing"/>
      <w:lvlText w:val="（%1）"/>
      <w:lvlJc w:val="left"/>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3051835"/>
    <w:multiLevelType w:val="singleLevel"/>
    <w:tmpl w:val="D3051835"/>
    <w:lvl w:ilvl="0" w:tentative="0">
      <w:start w:val="1"/>
      <w:numFmt w:val="decimal"/>
      <w:suff w:val="space"/>
      <w:lvlText w:val="%1."/>
      <w:lvlJc w:val="left"/>
    </w:lvl>
  </w:abstractNum>
  <w:abstractNum w:abstractNumId="4">
    <w:nsid w:val="DAA5A57F"/>
    <w:multiLevelType w:val="singleLevel"/>
    <w:tmpl w:val="DAA5A57F"/>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01019FC"/>
    <w:multiLevelType w:val="singleLevel"/>
    <w:tmpl w:val="001019FC"/>
    <w:lvl w:ilvl="0" w:tentative="0">
      <w:start w:val="1"/>
      <w:numFmt w:val="decimal"/>
      <w:suff w:val="nothing"/>
      <w:lvlText w:val="（%1）"/>
      <w:lvlJc w:val="left"/>
    </w:lvl>
  </w:abstractNum>
  <w:abstractNum w:abstractNumId="10">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1">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388BF5"/>
    <w:multiLevelType w:val="singleLevel"/>
    <w:tmpl w:val="25388BF5"/>
    <w:lvl w:ilvl="0" w:tentative="0">
      <w:start w:val="1"/>
      <w:numFmt w:val="decimal"/>
      <w:suff w:val="nothing"/>
      <w:lvlText w:val="（%1）"/>
      <w:lvlJc w:val="left"/>
    </w:lvl>
  </w:abstractNum>
  <w:abstractNum w:abstractNumId="13">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E10C89"/>
    <w:multiLevelType w:val="singleLevel"/>
    <w:tmpl w:val="28E10C89"/>
    <w:lvl w:ilvl="0" w:tentative="0">
      <w:start w:val="1"/>
      <w:numFmt w:val="decimal"/>
      <w:suff w:val="space"/>
      <w:lvlText w:val="%1."/>
      <w:lvlJc w:val="left"/>
    </w:lvl>
  </w:abstractNum>
  <w:abstractNum w:abstractNumId="15">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0">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1">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22">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7999269"/>
    <w:multiLevelType w:val="singleLevel"/>
    <w:tmpl w:val="57999269"/>
    <w:lvl w:ilvl="0" w:tentative="0">
      <w:start w:val="1"/>
      <w:numFmt w:val="decimal"/>
      <w:suff w:val="nothing"/>
      <w:lvlText w:val="（%1）"/>
      <w:lvlJc w:val="left"/>
    </w:lvl>
  </w:abstractNum>
  <w:abstractNum w:abstractNumId="24">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6">
    <w:nsid w:val="78BC279F"/>
    <w:multiLevelType w:val="multilevel"/>
    <w:tmpl w:val="78BC279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B4A4E0C"/>
    <w:multiLevelType w:val="singleLevel"/>
    <w:tmpl w:val="7B4A4E0C"/>
    <w:lvl w:ilvl="0" w:tentative="0">
      <w:start w:val="1"/>
      <w:numFmt w:val="decimal"/>
      <w:lvlText w:val="（%1）"/>
      <w:lvlJc w:val="left"/>
      <w:pPr>
        <w:ind w:left="420" w:hanging="420"/>
      </w:pPr>
      <w:rPr>
        <w:rFonts w:hint="default"/>
        <w:color w:val="auto"/>
      </w:rPr>
    </w:lvl>
  </w:abstractNum>
  <w:abstractNum w:abstractNumId="29">
    <w:nsid w:val="7ED17433"/>
    <w:multiLevelType w:val="singleLevel"/>
    <w:tmpl w:val="7ED17433"/>
    <w:lvl w:ilvl="0" w:tentative="0">
      <w:start w:val="1"/>
      <w:numFmt w:val="decimal"/>
      <w:lvlText w:val="（%1）"/>
      <w:lvlJc w:val="left"/>
      <w:pPr>
        <w:ind w:left="420" w:hanging="420"/>
      </w:pPr>
      <w:rPr>
        <w:rFonts w:hint="eastAsia"/>
      </w:rPr>
    </w:lvl>
  </w:abstractNum>
  <w:num w:numId="1">
    <w:abstractNumId w:val="21"/>
  </w:num>
  <w:num w:numId="2">
    <w:abstractNumId w:val="25"/>
  </w:num>
  <w:num w:numId="3">
    <w:abstractNumId w:val="17"/>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8"/>
  </w:num>
  <w:num w:numId="9">
    <w:abstractNumId w:val="28"/>
  </w:num>
  <w:num w:numId="10">
    <w:abstractNumId w:val="29"/>
  </w:num>
  <w:num w:numId="11">
    <w:abstractNumId w:val="12"/>
  </w:num>
  <w:num w:numId="12">
    <w:abstractNumId w:val="26"/>
  </w:num>
  <w:num w:numId="13">
    <w:abstractNumId w:val="9"/>
  </w:num>
  <w:num w:numId="14">
    <w:abstractNumId w:val="3"/>
  </w:num>
  <w:num w:numId="15">
    <w:abstractNumId w:val="14"/>
  </w:num>
  <w:num w:numId="16">
    <w:abstractNumId w:val="7"/>
  </w:num>
  <w:num w:numId="17">
    <w:abstractNumId w:val="11"/>
  </w:num>
  <w:num w:numId="18">
    <w:abstractNumId w:val="16"/>
  </w:num>
  <w:num w:numId="19">
    <w:abstractNumId w:val="1"/>
  </w:num>
  <w:num w:numId="20">
    <w:abstractNumId w:val="23"/>
  </w:num>
  <w:num w:numId="21">
    <w:abstractNumId w:val="0"/>
  </w:num>
  <w:num w:numId="22">
    <w:abstractNumId w:val="4"/>
  </w:num>
  <w:num w:numId="23">
    <w:abstractNumId w:val="6"/>
  </w:num>
  <w:num w:numId="24">
    <w:abstractNumId w:val="5"/>
  </w:num>
  <w:num w:numId="25">
    <w:abstractNumId w:val="24"/>
  </w:num>
  <w:num w:numId="26">
    <w:abstractNumId w:val="19"/>
  </w:num>
  <w:num w:numId="27">
    <w:abstractNumId w:val="15"/>
  </w:num>
  <w:num w:numId="28">
    <w:abstractNumId w:val="8"/>
  </w:num>
  <w:num w:numId="29">
    <w:abstractNumId w:val="20"/>
  </w:num>
  <w:num w:numId="30">
    <w:abstractNumId w:val="1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zMTAwZDIzZDMyYjk1NTQwMGQwYmZiMjE4NmFiNzE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B02A3"/>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73DB"/>
    <w:rsid w:val="00160106"/>
    <w:rsid w:val="00162AA4"/>
    <w:rsid w:val="0017163D"/>
    <w:rsid w:val="001723D2"/>
    <w:rsid w:val="00174846"/>
    <w:rsid w:val="00180E0D"/>
    <w:rsid w:val="001959E5"/>
    <w:rsid w:val="001978B2"/>
    <w:rsid w:val="001A282A"/>
    <w:rsid w:val="001A6C5B"/>
    <w:rsid w:val="001E204B"/>
    <w:rsid w:val="001E3A6B"/>
    <w:rsid w:val="001E44D2"/>
    <w:rsid w:val="001F14F2"/>
    <w:rsid w:val="001F279E"/>
    <w:rsid w:val="0020628E"/>
    <w:rsid w:val="00206999"/>
    <w:rsid w:val="0022465E"/>
    <w:rsid w:val="00233E0E"/>
    <w:rsid w:val="00252697"/>
    <w:rsid w:val="00253531"/>
    <w:rsid w:val="00292E63"/>
    <w:rsid w:val="002963F2"/>
    <w:rsid w:val="002A1B14"/>
    <w:rsid w:val="002B0208"/>
    <w:rsid w:val="002B743A"/>
    <w:rsid w:val="002C49F2"/>
    <w:rsid w:val="00302F8B"/>
    <w:rsid w:val="003123CA"/>
    <w:rsid w:val="003158DE"/>
    <w:rsid w:val="0032368E"/>
    <w:rsid w:val="003255E6"/>
    <w:rsid w:val="003300CC"/>
    <w:rsid w:val="00337D03"/>
    <w:rsid w:val="003436BC"/>
    <w:rsid w:val="00354484"/>
    <w:rsid w:val="003545D1"/>
    <w:rsid w:val="00356F92"/>
    <w:rsid w:val="0037679F"/>
    <w:rsid w:val="003823A8"/>
    <w:rsid w:val="00397C1E"/>
    <w:rsid w:val="003A09E6"/>
    <w:rsid w:val="003B01FB"/>
    <w:rsid w:val="003D0358"/>
    <w:rsid w:val="003E6092"/>
    <w:rsid w:val="003E66A3"/>
    <w:rsid w:val="003E7621"/>
    <w:rsid w:val="003F1E01"/>
    <w:rsid w:val="004235D9"/>
    <w:rsid w:val="00427D5D"/>
    <w:rsid w:val="00441F17"/>
    <w:rsid w:val="0045243C"/>
    <w:rsid w:val="00460C20"/>
    <w:rsid w:val="004615CE"/>
    <w:rsid w:val="004707D2"/>
    <w:rsid w:val="00471ED2"/>
    <w:rsid w:val="00476C96"/>
    <w:rsid w:val="004775EE"/>
    <w:rsid w:val="00492F1D"/>
    <w:rsid w:val="004A0594"/>
    <w:rsid w:val="004A0D6B"/>
    <w:rsid w:val="004A7C1F"/>
    <w:rsid w:val="004B0D64"/>
    <w:rsid w:val="004B24F9"/>
    <w:rsid w:val="004D1901"/>
    <w:rsid w:val="004D58FC"/>
    <w:rsid w:val="004D5AC3"/>
    <w:rsid w:val="004D6F70"/>
    <w:rsid w:val="004E3802"/>
    <w:rsid w:val="004E3A19"/>
    <w:rsid w:val="004E40C8"/>
    <w:rsid w:val="004E4541"/>
    <w:rsid w:val="004E7657"/>
    <w:rsid w:val="004F2ED2"/>
    <w:rsid w:val="004F63E5"/>
    <w:rsid w:val="00506B6D"/>
    <w:rsid w:val="00544B6E"/>
    <w:rsid w:val="00550A0A"/>
    <w:rsid w:val="00564512"/>
    <w:rsid w:val="00565EDC"/>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151DC"/>
    <w:rsid w:val="00621681"/>
    <w:rsid w:val="00630585"/>
    <w:rsid w:val="006311FC"/>
    <w:rsid w:val="00632039"/>
    <w:rsid w:val="006333BC"/>
    <w:rsid w:val="006404C3"/>
    <w:rsid w:val="006635D2"/>
    <w:rsid w:val="00664471"/>
    <w:rsid w:val="00681577"/>
    <w:rsid w:val="006815B1"/>
    <w:rsid w:val="00682543"/>
    <w:rsid w:val="00687753"/>
    <w:rsid w:val="006901E1"/>
    <w:rsid w:val="006942FF"/>
    <w:rsid w:val="006A4FED"/>
    <w:rsid w:val="006A7113"/>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5EB2"/>
    <w:rsid w:val="007347D6"/>
    <w:rsid w:val="007542A8"/>
    <w:rsid w:val="007559E5"/>
    <w:rsid w:val="00760715"/>
    <w:rsid w:val="00761E68"/>
    <w:rsid w:val="007672EE"/>
    <w:rsid w:val="0076763C"/>
    <w:rsid w:val="007744CB"/>
    <w:rsid w:val="0077621A"/>
    <w:rsid w:val="00781DFA"/>
    <w:rsid w:val="00782E08"/>
    <w:rsid w:val="00790A8A"/>
    <w:rsid w:val="007933D2"/>
    <w:rsid w:val="007C02CE"/>
    <w:rsid w:val="007C3EB8"/>
    <w:rsid w:val="007C50B2"/>
    <w:rsid w:val="00803FA2"/>
    <w:rsid w:val="008117C1"/>
    <w:rsid w:val="00823E99"/>
    <w:rsid w:val="008324C7"/>
    <w:rsid w:val="0084470A"/>
    <w:rsid w:val="00845DE7"/>
    <w:rsid w:val="00857F72"/>
    <w:rsid w:val="00866C0E"/>
    <w:rsid w:val="00867C56"/>
    <w:rsid w:val="00870B22"/>
    <w:rsid w:val="00874BB5"/>
    <w:rsid w:val="00895D5D"/>
    <w:rsid w:val="008A0193"/>
    <w:rsid w:val="008B2C67"/>
    <w:rsid w:val="008C44DE"/>
    <w:rsid w:val="008E05E5"/>
    <w:rsid w:val="008F03B4"/>
    <w:rsid w:val="0090721F"/>
    <w:rsid w:val="00915BDD"/>
    <w:rsid w:val="00926702"/>
    <w:rsid w:val="00927979"/>
    <w:rsid w:val="00937F12"/>
    <w:rsid w:val="00943245"/>
    <w:rsid w:val="0094528D"/>
    <w:rsid w:val="00960B05"/>
    <w:rsid w:val="00963D73"/>
    <w:rsid w:val="00976465"/>
    <w:rsid w:val="0098029E"/>
    <w:rsid w:val="0098263B"/>
    <w:rsid w:val="00982922"/>
    <w:rsid w:val="00991233"/>
    <w:rsid w:val="009953F9"/>
    <w:rsid w:val="009A37EC"/>
    <w:rsid w:val="009A699B"/>
    <w:rsid w:val="009A6EF3"/>
    <w:rsid w:val="009B7189"/>
    <w:rsid w:val="009C0135"/>
    <w:rsid w:val="009E25C8"/>
    <w:rsid w:val="009E2781"/>
    <w:rsid w:val="009E3D67"/>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1CBE"/>
    <w:rsid w:val="00AC7FB5"/>
    <w:rsid w:val="00AD0743"/>
    <w:rsid w:val="00AE1E1D"/>
    <w:rsid w:val="00AE2EB3"/>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84C10"/>
    <w:rsid w:val="00C9460F"/>
    <w:rsid w:val="00C95195"/>
    <w:rsid w:val="00CB0006"/>
    <w:rsid w:val="00CB1DEF"/>
    <w:rsid w:val="00CB4A7C"/>
    <w:rsid w:val="00CC4C3D"/>
    <w:rsid w:val="00CC73DA"/>
    <w:rsid w:val="00CD24C8"/>
    <w:rsid w:val="00CD4DCE"/>
    <w:rsid w:val="00CE24CE"/>
    <w:rsid w:val="00CE34F4"/>
    <w:rsid w:val="00CE5F16"/>
    <w:rsid w:val="00CE6C38"/>
    <w:rsid w:val="00CF3F58"/>
    <w:rsid w:val="00D019E4"/>
    <w:rsid w:val="00D13594"/>
    <w:rsid w:val="00D2411A"/>
    <w:rsid w:val="00D4224E"/>
    <w:rsid w:val="00D43550"/>
    <w:rsid w:val="00D629CE"/>
    <w:rsid w:val="00D83CA2"/>
    <w:rsid w:val="00D83CC0"/>
    <w:rsid w:val="00D84553"/>
    <w:rsid w:val="00D8470E"/>
    <w:rsid w:val="00D955EB"/>
    <w:rsid w:val="00D971A9"/>
    <w:rsid w:val="00DB1C4E"/>
    <w:rsid w:val="00DB7D95"/>
    <w:rsid w:val="00DD544D"/>
    <w:rsid w:val="00DE54DF"/>
    <w:rsid w:val="00DE5E4C"/>
    <w:rsid w:val="00DE7DDC"/>
    <w:rsid w:val="00E107EC"/>
    <w:rsid w:val="00E11738"/>
    <w:rsid w:val="00E12957"/>
    <w:rsid w:val="00E27F91"/>
    <w:rsid w:val="00E31BD7"/>
    <w:rsid w:val="00E45D07"/>
    <w:rsid w:val="00E677C6"/>
    <w:rsid w:val="00E70687"/>
    <w:rsid w:val="00E710FC"/>
    <w:rsid w:val="00E75726"/>
    <w:rsid w:val="00E86CB7"/>
    <w:rsid w:val="00E928C6"/>
    <w:rsid w:val="00EA0513"/>
    <w:rsid w:val="00EC45B1"/>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67E3"/>
    <w:rsid w:val="00F47201"/>
    <w:rsid w:val="00F525B8"/>
    <w:rsid w:val="00F53D25"/>
    <w:rsid w:val="00F64816"/>
    <w:rsid w:val="00F73354"/>
    <w:rsid w:val="00FA092E"/>
    <w:rsid w:val="00FA63B5"/>
    <w:rsid w:val="00FA6D58"/>
    <w:rsid w:val="00FD52D3"/>
    <w:rsid w:val="00FE72DF"/>
    <w:rsid w:val="00FF2F91"/>
    <w:rsid w:val="014F75DF"/>
    <w:rsid w:val="017D4A1C"/>
    <w:rsid w:val="01E64343"/>
    <w:rsid w:val="020570A9"/>
    <w:rsid w:val="02B47C4D"/>
    <w:rsid w:val="03051984"/>
    <w:rsid w:val="03443858"/>
    <w:rsid w:val="0357794A"/>
    <w:rsid w:val="041851C5"/>
    <w:rsid w:val="043B18D4"/>
    <w:rsid w:val="04D46768"/>
    <w:rsid w:val="053A1CC8"/>
    <w:rsid w:val="06543448"/>
    <w:rsid w:val="06856661"/>
    <w:rsid w:val="077B4608"/>
    <w:rsid w:val="079E1BA5"/>
    <w:rsid w:val="07BB74B6"/>
    <w:rsid w:val="08493DEA"/>
    <w:rsid w:val="086E4EC9"/>
    <w:rsid w:val="092C6536"/>
    <w:rsid w:val="0B030DF0"/>
    <w:rsid w:val="0B734A64"/>
    <w:rsid w:val="0C82704D"/>
    <w:rsid w:val="0DD201F4"/>
    <w:rsid w:val="0E3E5767"/>
    <w:rsid w:val="0E4272F3"/>
    <w:rsid w:val="0F4526B6"/>
    <w:rsid w:val="0FC419ED"/>
    <w:rsid w:val="0FCF2828"/>
    <w:rsid w:val="107E4A0B"/>
    <w:rsid w:val="10F26BDC"/>
    <w:rsid w:val="11941558"/>
    <w:rsid w:val="124B08C3"/>
    <w:rsid w:val="12537E3F"/>
    <w:rsid w:val="128D6C4E"/>
    <w:rsid w:val="13220903"/>
    <w:rsid w:val="13442FCB"/>
    <w:rsid w:val="140219E2"/>
    <w:rsid w:val="145C1873"/>
    <w:rsid w:val="14BC5882"/>
    <w:rsid w:val="1505030B"/>
    <w:rsid w:val="152B64B8"/>
    <w:rsid w:val="15740DA4"/>
    <w:rsid w:val="15A97235"/>
    <w:rsid w:val="166501F3"/>
    <w:rsid w:val="195A6BC0"/>
    <w:rsid w:val="19A7575F"/>
    <w:rsid w:val="1A28630E"/>
    <w:rsid w:val="1ADF6049"/>
    <w:rsid w:val="1AEC23C3"/>
    <w:rsid w:val="1B2E24BD"/>
    <w:rsid w:val="1BDF4762"/>
    <w:rsid w:val="1BE219D3"/>
    <w:rsid w:val="1EB10653"/>
    <w:rsid w:val="20315043"/>
    <w:rsid w:val="22721B2C"/>
    <w:rsid w:val="227A4EED"/>
    <w:rsid w:val="228D0750"/>
    <w:rsid w:val="22BF51CC"/>
    <w:rsid w:val="23D45DCE"/>
    <w:rsid w:val="258459A0"/>
    <w:rsid w:val="25A46DBF"/>
    <w:rsid w:val="25A5748F"/>
    <w:rsid w:val="25D85A3C"/>
    <w:rsid w:val="26792B67"/>
    <w:rsid w:val="26E92BE5"/>
    <w:rsid w:val="26E95967"/>
    <w:rsid w:val="273D00F1"/>
    <w:rsid w:val="276C44E7"/>
    <w:rsid w:val="283B26CC"/>
    <w:rsid w:val="29907C6A"/>
    <w:rsid w:val="29FC771F"/>
    <w:rsid w:val="2A9379E1"/>
    <w:rsid w:val="2B9E3425"/>
    <w:rsid w:val="2BFA4386"/>
    <w:rsid w:val="2CD73EA3"/>
    <w:rsid w:val="2D845ED0"/>
    <w:rsid w:val="2D88036C"/>
    <w:rsid w:val="2DC90E95"/>
    <w:rsid w:val="2F7905B6"/>
    <w:rsid w:val="30381F4F"/>
    <w:rsid w:val="30A73953"/>
    <w:rsid w:val="30AB5860"/>
    <w:rsid w:val="30E65649"/>
    <w:rsid w:val="30F30F57"/>
    <w:rsid w:val="31743963"/>
    <w:rsid w:val="33893286"/>
    <w:rsid w:val="34A05B77"/>
    <w:rsid w:val="352273E2"/>
    <w:rsid w:val="35B6373F"/>
    <w:rsid w:val="35CB4D86"/>
    <w:rsid w:val="36642807"/>
    <w:rsid w:val="36736FFD"/>
    <w:rsid w:val="36B77FD3"/>
    <w:rsid w:val="379C734C"/>
    <w:rsid w:val="389C366B"/>
    <w:rsid w:val="38AC36F6"/>
    <w:rsid w:val="39716EDA"/>
    <w:rsid w:val="39E40D1F"/>
    <w:rsid w:val="3A7955A2"/>
    <w:rsid w:val="3B74225F"/>
    <w:rsid w:val="3BEE7A07"/>
    <w:rsid w:val="3C9927F3"/>
    <w:rsid w:val="3CB66723"/>
    <w:rsid w:val="3CC457EB"/>
    <w:rsid w:val="3CEA4D15"/>
    <w:rsid w:val="3CFA43D8"/>
    <w:rsid w:val="3D1B0D71"/>
    <w:rsid w:val="3D3679ED"/>
    <w:rsid w:val="3D781389"/>
    <w:rsid w:val="3EBA268C"/>
    <w:rsid w:val="3F1D602F"/>
    <w:rsid w:val="3F5428DA"/>
    <w:rsid w:val="3F996DE7"/>
    <w:rsid w:val="400C4391"/>
    <w:rsid w:val="405F22D7"/>
    <w:rsid w:val="408D7227"/>
    <w:rsid w:val="40FE5783"/>
    <w:rsid w:val="416718EC"/>
    <w:rsid w:val="41C44DF2"/>
    <w:rsid w:val="42757BB6"/>
    <w:rsid w:val="42C42FC9"/>
    <w:rsid w:val="439D7A21"/>
    <w:rsid w:val="43D97719"/>
    <w:rsid w:val="441E2FFB"/>
    <w:rsid w:val="447267E8"/>
    <w:rsid w:val="4473591E"/>
    <w:rsid w:val="44E431E5"/>
    <w:rsid w:val="44F353A2"/>
    <w:rsid w:val="45EF6106"/>
    <w:rsid w:val="46236565"/>
    <w:rsid w:val="46AC38B6"/>
    <w:rsid w:val="47645AEB"/>
    <w:rsid w:val="479C7387"/>
    <w:rsid w:val="47FC5A7E"/>
    <w:rsid w:val="4851557F"/>
    <w:rsid w:val="492A4A83"/>
    <w:rsid w:val="495C1F5C"/>
    <w:rsid w:val="49CE47DD"/>
    <w:rsid w:val="4A391D0A"/>
    <w:rsid w:val="4A4C26FC"/>
    <w:rsid w:val="4A7C580C"/>
    <w:rsid w:val="4AC80D97"/>
    <w:rsid w:val="4AFC1427"/>
    <w:rsid w:val="4B0324BA"/>
    <w:rsid w:val="4B08664A"/>
    <w:rsid w:val="4B67203F"/>
    <w:rsid w:val="4B8B03E4"/>
    <w:rsid w:val="4BCE15A9"/>
    <w:rsid w:val="4BEE4A59"/>
    <w:rsid w:val="4C173926"/>
    <w:rsid w:val="4C3E7E86"/>
    <w:rsid w:val="4DDF67CC"/>
    <w:rsid w:val="4E19322E"/>
    <w:rsid w:val="4EE12BFB"/>
    <w:rsid w:val="4F1B65F0"/>
    <w:rsid w:val="504608B1"/>
    <w:rsid w:val="508E30F2"/>
    <w:rsid w:val="50FA6A61"/>
    <w:rsid w:val="51165E00"/>
    <w:rsid w:val="51794BC1"/>
    <w:rsid w:val="51D93BBF"/>
    <w:rsid w:val="5243557E"/>
    <w:rsid w:val="524E3438"/>
    <w:rsid w:val="52DE30AC"/>
    <w:rsid w:val="53207AF1"/>
    <w:rsid w:val="53752881"/>
    <w:rsid w:val="53CF78DA"/>
    <w:rsid w:val="53D25371"/>
    <w:rsid w:val="540F1FD2"/>
    <w:rsid w:val="54502464"/>
    <w:rsid w:val="546C77A8"/>
    <w:rsid w:val="55571991"/>
    <w:rsid w:val="557A36D9"/>
    <w:rsid w:val="567D134F"/>
    <w:rsid w:val="57044ED0"/>
    <w:rsid w:val="57594B93"/>
    <w:rsid w:val="57706AD2"/>
    <w:rsid w:val="594A6990"/>
    <w:rsid w:val="5A0D20E0"/>
    <w:rsid w:val="5C076027"/>
    <w:rsid w:val="5CB350ED"/>
    <w:rsid w:val="5D082632"/>
    <w:rsid w:val="5F775F5F"/>
    <w:rsid w:val="5FE0449E"/>
    <w:rsid w:val="609A530A"/>
    <w:rsid w:val="60A60070"/>
    <w:rsid w:val="61224FA2"/>
    <w:rsid w:val="627A3CB9"/>
    <w:rsid w:val="62980BE6"/>
    <w:rsid w:val="62A04CB7"/>
    <w:rsid w:val="63742CFD"/>
    <w:rsid w:val="640C25AF"/>
    <w:rsid w:val="64310802"/>
    <w:rsid w:val="648A7972"/>
    <w:rsid w:val="649F5D6E"/>
    <w:rsid w:val="64BD5CFB"/>
    <w:rsid w:val="6514451F"/>
    <w:rsid w:val="65216A13"/>
    <w:rsid w:val="65DB6C03"/>
    <w:rsid w:val="662C1564"/>
    <w:rsid w:val="66923B56"/>
    <w:rsid w:val="670C1539"/>
    <w:rsid w:val="681E7FBC"/>
    <w:rsid w:val="683A303D"/>
    <w:rsid w:val="687C07E7"/>
    <w:rsid w:val="68E97B63"/>
    <w:rsid w:val="69422D28"/>
    <w:rsid w:val="698E0480"/>
    <w:rsid w:val="6A5B2F9C"/>
    <w:rsid w:val="6B1E605C"/>
    <w:rsid w:val="6B7654F5"/>
    <w:rsid w:val="6BC154C5"/>
    <w:rsid w:val="6C256950"/>
    <w:rsid w:val="6C5E0507"/>
    <w:rsid w:val="6C731A2C"/>
    <w:rsid w:val="6C743D4B"/>
    <w:rsid w:val="6CBB5D00"/>
    <w:rsid w:val="6CFE5604"/>
    <w:rsid w:val="6D2555A0"/>
    <w:rsid w:val="6DBC6653"/>
    <w:rsid w:val="6E3F209B"/>
    <w:rsid w:val="6ED23FDC"/>
    <w:rsid w:val="70A47E91"/>
    <w:rsid w:val="710F3023"/>
    <w:rsid w:val="727948FA"/>
    <w:rsid w:val="72B41919"/>
    <w:rsid w:val="738A5347"/>
    <w:rsid w:val="73DC20C1"/>
    <w:rsid w:val="73EE0D3F"/>
    <w:rsid w:val="74783A1C"/>
    <w:rsid w:val="74951326"/>
    <w:rsid w:val="74AB354D"/>
    <w:rsid w:val="74B05132"/>
    <w:rsid w:val="75630E61"/>
    <w:rsid w:val="758C1DF3"/>
    <w:rsid w:val="75BE05D0"/>
    <w:rsid w:val="75C5101E"/>
    <w:rsid w:val="76C52AAF"/>
    <w:rsid w:val="772A35DE"/>
    <w:rsid w:val="772F4D7B"/>
    <w:rsid w:val="775C30ED"/>
    <w:rsid w:val="788A1131"/>
    <w:rsid w:val="79520B8D"/>
    <w:rsid w:val="798425C1"/>
    <w:rsid w:val="79BF662E"/>
    <w:rsid w:val="79EA4C16"/>
    <w:rsid w:val="79FA6499"/>
    <w:rsid w:val="7A101547"/>
    <w:rsid w:val="7A6D61CF"/>
    <w:rsid w:val="7B2952F2"/>
    <w:rsid w:val="7B2A16F1"/>
    <w:rsid w:val="7B3E4223"/>
    <w:rsid w:val="7B73190E"/>
    <w:rsid w:val="7BAE1B6F"/>
    <w:rsid w:val="7D6E4CE9"/>
    <w:rsid w:val="7D784E61"/>
    <w:rsid w:val="7E183232"/>
    <w:rsid w:val="7E93243A"/>
    <w:rsid w:val="7EC325A1"/>
    <w:rsid w:val="7EE07A24"/>
    <w:rsid w:val="7F5834AE"/>
    <w:rsid w:val="7F6843B9"/>
    <w:rsid w:val="7F9364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8"/>
    <w:qFormat/>
    <w:uiPriority w:val="9"/>
    <w:pPr>
      <w:keepNext/>
      <w:keepLines/>
      <w:spacing w:before="340" w:after="330" w:line="576" w:lineRule="auto"/>
      <w:outlineLvl w:val="0"/>
    </w:pPr>
    <w:rPr>
      <w:b/>
      <w:kern w:val="44"/>
      <w:sz w:val="4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semiHidden/>
    <w:qFormat/>
    <w:uiPriority w:val="0"/>
    <w:pPr>
      <w:ind w:left="-2" w:leftChars="-1" w:firstLine="420" w:firstLineChars="200"/>
    </w:pPr>
  </w:style>
  <w:style w:type="paragraph" w:styleId="5">
    <w:name w:val="annotation text"/>
    <w:basedOn w:val="1"/>
    <w:link w:val="27"/>
    <w:unhideWhenUsed/>
    <w:qFormat/>
    <w:uiPriority w:val="99"/>
    <w:pPr>
      <w:jc w:val="left"/>
    </w:pPr>
  </w:style>
  <w:style w:type="paragraph" w:styleId="6">
    <w:name w:val="Body Text"/>
    <w:basedOn w:val="1"/>
    <w:qFormat/>
    <w:uiPriority w:val="0"/>
    <w:pPr>
      <w:widowControl/>
      <w:spacing w:after="220" w:line="180" w:lineRule="atLeast"/>
      <w:ind w:left="835"/>
    </w:pPr>
    <w:rPr>
      <w:rFonts w:ascii="Arial" w:hAnsi="Arial"/>
      <w:spacing w:val="-5"/>
      <w:kern w:val="0"/>
      <w:sz w:val="20"/>
    </w:rPr>
  </w:style>
  <w:style w:type="paragraph" w:styleId="7">
    <w:name w:val="toc 3"/>
    <w:basedOn w:val="1"/>
    <w:next w:val="1"/>
    <w:unhideWhenUsed/>
    <w:qFormat/>
    <w:uiPriority w:val="39"/>
    <w:pPr>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31"/>
    <w:unhideWhenUsed/>
    <w:qFormat/>
    <w:uiPriority w:val="99"/>
    <w:pPr>
      <w:tabs>
        <w:tab w:val="center" w:pos="4153"/>
        <w:tab w:val="right" w:pos="8306"/>
      </w:tabs>
      <w:snapToGrid w:val="0"/>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6"/>
    <w:semiHidden/>
    <w:unhideWhenUsed/>
    <w:qFormat/>
    <w:uiPriority w:val="99"/>
    <w:pPr>
      <w:snapToGrid w:val="0"/>
      <w:jc w:val="left"/>
    </w:pPr>
    <w:rPr>
      <w:sz w:val="18"/>
      <w:szCs w:val="18"/>
    </w:rPr>
  </w:style>
  <w:style w:type="paragraph" w:styleId="13">
    <w:name w:val="toc 2"/>
    <w:basedOn w:val="1"/>
    <w:next w:val="1"/>
    <w:link w:val="39"/>
    <w:unhideWhenUsed/>
    <w:qFormat/>
    <w:uiPriority w:val="39"/>
    <w:pPr>
      <w:ind w:left="420" w:leftChars="200"/>
    </w:pPr>
  </w:style>
  <w:style w:type="paragraph" w:styleId="14">
    <w:name w:val="Body Text 2"/>
    <w:basedOn w:val="1"/>
    <w:link w:val="35"/>
    <w:qFormat/>
    <w:uiPriority w:val="0"/>
    <w:pPr>
      <w:jc w:val="left"/>
    </w:pPr>
    <w:rPr>
      <w:rFonts w:ascii="仿宋_GB2312" w:hAnsi="宋体" w:eastAsia="仿宋_GB2312"/>
    </w:rPr>
  </w:style>
  <w:style w:type="paragraph" w:styleId="15">
    <w:name w:val="Normal (Web)"/>
    <w:basedOn w:val="1"/>
    <w:unhideWhenUsed/>
    <w:qFormat/>
    <w:uiPriority w:val="99"/>
    <w:pPr>
      <w:widowControl/>
      <w:jc w:val="left"/>
    </w:pPr>
    <w:rPr>
      <w:rFonts w:ascii="宋体" w:hAnsi="宋体" w:cs="宋体"/>
      <w:kern w:val="0"/>
      <w:sz w:val="24"/>
    </w:rPr>
  </w:style>
  <w:style w:type="paragraph" w:styleId="16">
    <w:name w:val="annotation subject"/>
    <w:basedOn w:val="5"/>
    <w:next w:val="5"/>
    <w:link w:val="33"/>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Hyperlink"/>
    <w:basedOn w:val="19"/>
    <w:unhideWhenUsed/>
    <w:qFormat/>
    <w:uiPriority w:val="99"/>
    <w:rPr>
      <w:color w:val="0000FF"/>
      <w:u w:val="single"/>
    </w:rPr>
  </w:style>
  <w:style w:type="character" w:styleId="22">
    <w:name w:val="annotation reference"/>
    <w:basedOn w:val="19"/>
    <w:unhideWhenUsed/>
    <w:qFormat/>
    <w:uiPriority w:val="99"/>
    <w:rPr>
      <w:sz w:val="21"/>
      <w:szCs w:val="21"/>
    </w:rPr>
  </w:style>
  <w:style w:type="character" w:styleId="23">
    <w:name w:val="footnote reference"/>
    <w:basedOn w:val="19"/>
    <w:semiHidden/>
    <w:unhideWhenUsed/>
    <w:qFormat/>
    <w:uiPriority w:val="99"/>
    <w:rPr>
      <w:vertAlign w:val="superscript"/>
    </w:rPr>
  </w:style>
  <w:style w:type="character" w:customStyle="1" w:styleId="24">
    <w:name w:val="列表段落 字符"/>
    <w:link w:val="25"/>
    <w:qFormat/>
    <w:uiPriority w:val="34"/>
    <w:rPr>
      <w:rFonts w:ascii="Times New Roman" w:hAnsi="Times New Roman"/>
      <w:szCs w:val="24"/>
    </w:rPr>
  </w:style>
  <w:style w:type="paragraph" w:styleId="25">
    <w:name w:val="List Paragraph"/>
    <w:basedOn w:val="1"/>
    <w:link w:val="24"/>
    <w:qFormat/>
    <w:uiPriority w:val="34"/>
    <w:pPr>
      <w:ind w:firstLine="420" w:firstLineChars="200"/>
    </w:pPr>
    <w:rPr>
      <w:rFonts w:eastAsiaTheme="minorEastAsia" w:cstheme="minorBidi"/>
    </w:rPr>
  </w:style>
  <w:style w:type="character" w:customStyle="1" w:styleId="26">
    <w:name w:val="批注文字 字符"/>
    <w:basedOn w:val="19"/>
    <w:semiHidden/>
    <w:qFormat/>
    <w:uiPriority w:val="99"/>
    <w:rPr>
      <w:rFonts w:ascii="Times New Roman" w:hAnsi="Times New Roman" w:eastAsia="宋体" w:cs="Times New Roman"/>
      <w:szCs w:val="24"/>
    </w:rPr>
  </w:style>
  <w:style w:type="character" w:customStyle="1" w:styleId="27">
    <w:name w:val="批注文字 字符1"/>
    <w:link w:val="5"/>
    <w:qFormat/>
    <w:uiPriority w:val="99"/>
    <w:rPr>
      <w:rFonts w:ascii="Times New Roman" w:hAnsi="Times New Roman" w:eastAsia="宋体" w:cs="Times New Roman"/>
      <w:szCs w:val="24"/>
    </w:rPr>
  </w:style>
  <w:style w:type="paragraph" w:customStyle="1" w:styleId="2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9">
    <w:name w:val="批注框文本 字符"/>
    <w:basedOn w:val="19"/>
    <w:link w:val="8"/>
    <w:semiHidden/>
    <w:qFormat/>
    <w:uiPriority w:val="99"/>
    <w:rPr>
      <w:rFonts w:ascii="Times New Roman" w:hAnsi="Times New Roman" w:eastAsia="宋体" w:cs="Times New Roman"/>
      <w:sz w:val="18"/>
      <w:szCs w:val="18"/>
    </w:rPr>
  </w:style>
  <w:style w:type="character" w:customStyle="1" w:styleId="30">
    <w:name w:val="页眉 字符"/>
    <w:basedOn w:val="19"/>
    <w:link w:val="10"/>
    <w:qFormat/>
    <w:uiPriority w:val="99"/>
    <w:rPr>
      <w:rFonts w:ascii="Times New Roman" w:hAnsi="Times New Roman" w:eastAsia="宋体" w:cs="Times New Roman"/>
      <w:sz w:val="18"/>
      <w:szCs w:val="18"/>
    </w:rPr>
  </w:style>
  <w:style w:type="character" w:customStyle="1" w:styleId="31">
    <w:name w:val="页脚 字符"/>
    <w:basedOn w:val="19"/>
    <w:link w:val="9"/>
    <w:qFormat/>
    <w:uiPriority w:val="99"/>
    <w:rPr>
      <w:rFonts w:ascii="Times New Roman" w:hAnsi="Times New Roman" w:eastAsia="宋体" w:cs="Times New Roman"/>
      <w:sz w:val="18"/>
      <w:szCs w:val="18"/>
    </w:rPr>
  </w:style>
  <w:style w:type="character" w:customStyle="1" w:styleId="32">
    <w:name w:val="标题1"/>
    <w:basedOn w:val="19"/>
    <w:qFormat/>
    <w:uiPriority w:val="0"/>
  </w:style>
  <w:style w:type="character" w:customStyle="1" w:styleId="33">
    <w:name w:val="批注主题 字符"/>
    <w:basedOn w:val="27"/>
    <w:link w:val="16"/>
    <w:semiHidden/>
    <w:qFormat/>
    <w:uiPriority w:val="99"/>
    <w:rPr>
      <w:rFonts w:ascii="Times New Roman" w:hAnsi="Times New Roman" w:eastAsia="宋体" w:cs="Times New Roman"/>
      <w:b/>
      <w:bCs/>
      <w:szCs w:val="24"/>
    </w:rPr>
  </w:style>
  <w:style w:type="paragraph" w:customStyle="1" w:styleId="3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5">
    <w:name w:val="正文文本 2 字符"/>
    <w:basedOn w:val="19"/>
    <w:link w:val="14"/>
    <w:qFormat/>
    <w:uiPriority w:val="0"/>
    <w:rPr>
      <w:rFonts w:ascii="仿宋_GB2312" w:hAnsi="宋体" w:eastAsia="仿宋_GB2312"/>
      <w:kern w:val="2"/>
      <w:sz w:val="21"/>
      <w:szCs w:val="24"/>
    </w:rPr>
  </w:style>
  <w:style w:type="character" w:customStyle="1" w:styleId="36">
    <w:name w:val="脚注文本 字符"/>
    <w:basedOn w:val="19"/>
    <w:link w:val="12"/>
    <w:semiHidden/>
    <w:qFormat/>
    <w:uiPriority w:val="99"/>
    <w:rPr>
      <w:kern w:val="2"/>
      <w:sz w:val="18"/>
      <w:szCs w:val="18"/>
    </w:rPr>
  </w:style>
  <w:style w:type="paragraph" w:customStyle="1" w:styleId="37">
    <w:name w:val="Body Text First Indent1"/>
    <w:qFormat/>
    <w:uiPriority w:val="0"/>
    <w:pPr>
      <w:widowControl w:val="0"/>
      <w:tabs>
        <w:tab w:val="left" w:pos="0"/>
      </w:tabs>
      <w:spacing w:after="120" w:line="360" w:lineRule="auto"/>
      <w:ind w:firstLine="309" w:firstLineChars="100"/>
      <w:outlineLvl w:val="0"/>
    </w:pPr>
    <w:rPr>
      <w:rFonts w:ascii="Times New Roman" w:hAnsi="Times New Roman" w:eastAsia="宋体" w:cs="Times New Roman"/>
      <w:color w:val="000000"/>
      <w:kern w:val="28"/>
      <w:sz w:val="21"/>
      <w:szCs w:val="24"/>
      <w:lang w:val="en-US" w:eastAsia="zh-CN" w:bidi="ar-SA"/>
    </w:rPr>
  </w:style>
  <w:style w:type="character" w:customStyle="1" w:styleId="38">
    <w:name w:val="标题 1 字符"/>
    <w:link w:val="4"/>
    <w:qFormat/>
    <w:uiPriority w:val="0"/>
    <w:rPr>
      <w:b/>
      <w:kern w:val="44"/>
      <w:sz w:val="44"/>
    </w:rPr>
  </w:style>
  <w:style w:type="character" w:customStyle="1" w:styleId="39">
    <w:name w:val="TOC 2 字符"/>
    <w:link w:val="13"/>
    <w:qFormat/>
    <w:uiPriority w:val="3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1A80FA-2C60-41CA-A814-AB4E111D98A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3360</Words>
  <Characters>19155</Characters>
  <Lines>159</Lines>
  <Paragraphs>44</Paragraphs>
  <TotalTime>10</TotalTime>
  <ScaleCrop>false</ScaleCrop>
  <LinksUpToDate>false</LinksUpToDate>
  <CharactersWithSpaces>22471</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2022-10-12T00:52:00Z</dcterms:created>
  <dc:creator>Tony Young</dc:creator>
  <cp:lastModifiedBy>宛</cp:lastModifiedBy>
  <cp:lastPrinted>2022-08-23T08:13:00Z</cp:lastPrinted>
  <dcterms:modified xsi:type="dcterms:W3CDTF">2022-10-12T07:26:00Z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56DBCBC96E1D494B863A454C7A06A8C9</vt:lpwstr>
  </property>
</Properties>
</file>