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tabs>
          <w:tab w:val="left" w:pos="8640"/>
        </w:tabs>
        <w:ind w:left="360" w:firstLine="0" w:firstLineChars="0"/>
        <w:rPr>
          <w:color w:val="000000" w:themeColor="text1"/>
          <w:sz w:val="30"/>
          <w:szCs w:val="30"/>
          <w:highlight w:val="yellow"/>
          <w14:textFill>
            <w14:solidFill>
              <w14:schemeClr w14:val="tx1"/>
            </w14:solidFill>
          </w14:textFill>
        </w:rPr>
      </w:pPr>
    </w:p>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ascii="方正小标宋_GBK" w:hAnsi="方正小标宋_GBK" w:eastAsia="方正小标宋_GBK" w:cs="方正小标宋_GBK"/>
          <w:b/>
          <w:bCs/>
          <w:sz w:val="48"/>
          <w:szCs w:val="48"/>
        </w:rPr>
      </w:pPr>
    </w:p>
    <w:p>
      <w:pPr>
        <w:spacing w:line="0" w:lineRule="atLeast"/>
        <w:jc w:val="center"/>
        <w:rPr>
          <w:rFonts w:ascii="宋体" w:hAnsi="宋体"/>
          <w:b/>
          <w:sz w:val="72"/>
          <w:szCs w:val="72"/>
        </w:rPr>
      </w:pPr>
      <w:r>
        <w:rPr>
          <w:rFonts w:hint="eastAsia" w:ascii="方正小标宋_GBK" w:hAnsi="方正小标宋_GBK" w:eastAsia="方正小标宋_GBK" w:cs="方正小标宋_GBK"/>
          <w:b/>
          <w:bCs/>
          <w:sz w:val="72"/>
          <w:szCs w:val="72"/>
        </w:rPr>
        <w:t>招标文件</w:t>
      </w:r>
    </w:p>
    <w:p>
      <w:pPr>
        <w:jc w:val="center"/>
        <w:rPr>
          <w:b/>
          <w:sz w:val="72"/>
        </w:rPr>
      </w:pPr>
    </w:p>
    <w:p>
      <w:pPr>
        <w:spacing w:line="360" w:lineRule="auto"/>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项目名称：深圳会展中心2022-2024年度</w:t>
      </w:r>
    </w:p>
    <w:p>
      <w:pPr>
        <w:spacing w:line="360" w:lineRule="auto"/>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高交会新产品新技术发布活动项目</w:t>
      </w:r>
    </w:p>
    <w:p>
      <w:pPr>
        <w:pStyle w:val="22"/>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pStyle w:val="11"/>
        <w:rPr>
          <w:rFonts w:ascii="宋体"/>
          <w:b/>
          <w:sz w:val="32"/>
          <w:szCs w:val="32"/>
        </w:rPr>
      </w:pPr>
    </w:p>
    <w:p>
      <w:pPr>
        <w:pStyle w:val="11"/>
        <w:rPr>
          <w:rFonts w:ascii="宋体"/>
          <w:b/>
          <w:sz w:val="32"/>
          <w:szCs w:val="32"/>
        </w:rPr>
      </w:pPr>
    </w:p>
    <w:p>
      <w:pPr>
        <w:pStyle w:val="11"/>
        <w:rPr>
          <w:rFonts w:ascii="宋体"/>
          <w:b/>
          <w:sz w:val="32"/>
          <w:szCs w:val="32"/>
        </w:rPr>
      </w:pPr>
    </w:p>
    <w:p>
      <w:pPr>
        <w:pStyle w:val="11"/>
        <w:rPr>
          <w:rFonts w:ascii="宋体"/>
          <w:b/>
          <w:sz w:val="32"/>
          <w:szCs w:val="32"/>
        </w:rPr>
      </w:pPr>
    </w:p>
    <w:p>
      <w:pPr>
        <w:pStyle w:val="11"/>
        <w:rPr>
          <w:rFonts w:ascii="宋体"/>
          <w:b/>
          <w:sz w:val="32"/>
          <w:szCs w:val="32"/>
        </w:rPr>
      </w:pPr>
    </w:p>
    <w:p>
      <w:pPr>
        <w:pStyle w:val="11"/>
        <w:rPr>
          <w:rFonts w:ascii="宋体"/>
          <w:b/>
          <w:sz w:val="32"/>
          <w:szCs w:val="32"/>
        </w:rPr>
      </w:pPr>
    </w:p>
    <w:p>
      <w:pPr>
        <w:pStyle w:val="11"/>
        <w:rPr>
          <w:rFonts w:ascii="宋体"/>
          <w:b/>
          <w:sz w:val="32"/>
          <w:szCs w:val="32"/>
        </w:rPr>
      </w:pPr>
    </w:p>
    <w:p>
      <w:pPr>
        <w:pStyle w:val="11"/>
        <w:rPr>
          <w:rFonts w:ascii="宋体"/>
          <w:b/>
          <w:sz w:val="32"/>
          <w:szCs w:val="32"/>
        </w:rPr>
      </w:pPr>
    </w:p>
    <w:p>
      <w:pPr>
        <w:pStyle w:val="11"/>
        <w:rPr>
          <w:rFonts w:ascii="宋体"/>
          <w:b/>
          <w:sz w:val="32"/>
          <w:szCs w:val="32"/>
        </w:rPr>
      </w:pPr>
    </w:p>
    <w:p>
      <w:pPr>
        <w:pStyle w:val="11"/>
        <w:rPr>
          <w:rFonts w:ascii="宋体"/>
          <w:b/>
          <w:sz w:val="32"/>
          <w:szCs w:val="32"/>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widowControl/>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rPr>
        <w:t>2年10月</w:t>
      </w:r>
      <w:r>
        <w:rPr>
          <w:rFonts w:ascii="方正小标宋_GBK" w:hAnsi="方正小标宋_GBK" w:eastAsia="方正小标宋_GBK" w:cs="方正小标宋_GBK"/>
          <w:b/>
          <w:sz w:val="32"/>
          <w:szCs w:val="32"/>
        </w:rPr>
        <w:br w:type="page"/>
      </w:r>
    </w:p>
    <w:p>
      <w:pPr>
        <w:pStyle w:val="9"/>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306"/>
        </w:tabs>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"_Toc24962" </w:instrText>
      </w:r>
      <w:r>
        <w:fldChar w:fldCharType="separate"/>
      </w:r>
      <w:r>
        <w:rPr>
          <w:rFonts w:hint="eastAsia" w:ascii="宋体" w:hAnsi="宋体"/>
          <w:szCs w:val="32"/>
        </w:rPr>
        <w:t>第一部分 项目要求</w:t>
      </w:r>
      <w:r>
        <w:tab/>
      </w:r>
      <w:r>
        <w:fldChar w:fldCharType="begin"/>
      </w:r>
      <w:r>
        <w:instrText xml:space="preserve"> PAGEREF _Toc24962 \h </w:instrText>
      </w:r>
      <w:r>
        <w:fldChar w:fldCharType="separate"/>
      </w:r>
      <w:r>
        <w:t>1</w:t>
      </w:r>
      <w:r>
        <w:fldChar w:fldCharType="end"/>
      </w:r>
      <w:r>
        <w:fldChar w:fldCharType="end"/>
      </w:r>
    </w:p>
    <w:p>
      <w:pPr>
        <w:pStyle w:val="10"/>
        <w:tabs>
          <w:tab w:val="right" w:leader="dot" w:pos="8306"/>
        </w:tabs>
      </w:pPr>
      <w:r>
        <w:fldChar w:fldCharType="begin"/>
      </w:r>
      <w:r>
        <w:instrText xml:space="preserve"> HYPERLINK \l "_Toc648" </w:instrText>
      </w:r>
      <w:r>
        <w:fldChar w:fldCharType="separate"/>
      </w:r>
      <w:r>
        <w:rPr>
          <w:rFonts w:hint="eastAsia" w:ascii="宋体" w:hAnsi="宋体" w:cs="仿宋"/>
          <w:bCs/>
          <w:szCs w:val="21"/>
        </w:rPr>
        <w:t xml:space="preserve">一、 </w:t>
      </w:r>
      <w:r>
        <w:rPr>
          <w:rFonts w:hint="eastAsia" w:ascii="宋体" w:hAnsi="宋体"/>
          <w:szCs w:val="21"/>
        </w:rPr>
        <w:t>投标人须知</w:t>
      </w:r>
      <w:r>
        <w:tab/>
      </w:r>
      <w:r>
        <w:fldChar w:fldCharType="begin"/>
      </w:r>
      <w:r>
        <w:instrText xml:space="preserve"> PAGEREF _Toc648 \h </w:instrText>
      </w:r>
      <w:r>
        <w:fldChar w:fldCharType="separate"/>
      </w:r>
      <w:r>
        <w:t>1</w:t>
      </w:r>
      <w:r>
        <w:fldChar w:fldCharType="end"/>
      </w:r>
      <w:r>
        <w:fldChar w:fldCharType="end"/>
      </w:r>
    </w:p>
    <w:p>
      <w:pPr>
        <w:pStyle w:val="10"/>
        <w:tabs>
          <w:tab w:val="right" w:leader="dot" w:pos="8306"/>
        </w:tabs>
      </w:pPr>
      <w:r>
        <w:fldChar w:fldCharType="begin"/>
      </w:r>
      <w:r>
        <w:instrText xml:space="preserve"> HYPERLINK \l "_Toc32401" </w:instrText>
      </w:r>
      <w:r>
        <w:fldChar w:fldCharType="separate"/>
      </w:r>
      <w:r>
        <w:rPr>
          <w:rFonts w:hint="eastAsia" w:ascii="宋体" w:hAnsi="宋体" w:cs="仿宋"/>
          <w:bCs/>
          <w:szCs w:val="21"/>
        </w:rPr>
        <w:t xml:space="preserve">二、 </w:t>
      </w:r>
      <w:r>
        <w:rPr>
          <w:rFonts w:hint="eastAsia" w:ascii="宋体" w:hAnsi="宋体"/>
          <w:szCs w:val="21"/>
        </w:rPr>
        <w:t>特别说明</w:t>
      </w:r>
      <w:r>
        <w:tab/>
      </w:r>
      <w:r>
        <w:fldChar w:fldCharType="begin"/>
      </w:r>
      <w:r>
        <w:instrText xml:space="preserve"> PAGEREF _Toc32401 \h </w:instrText>
      </w:r>
      <w:r>
        <w:fldChar w:fldCharType="separate"/>
      </w:r>
      <w:r>
        <w:t>3</w:t>
      </w:r>
      <w:r>
        <w:fldChar w:fldCharType="end"/>
      </w:r>
      <w:r>
        <w:fldChar w:fldCharType="end"/>
      </w:r>
    </w:p>
    <w:p>
      <w:pPr>
        <w:pStyle w:val="10"/>
        <w:tabs>
          <w:tab w:val="right" w:leader="dot" w:pos="8306"/>
        </w:tabs>
      </w:pPr>
      <w:r>
        <w:fldChar w:fldCharType="begin"/>
      </w:r>
      <w:r>
        <w:instrText xml:space="preserve"> HYPERLINK \l "_Toc9754" </w:instrText>
      </w:r>
      <w:r>
        <w:fldChar w:fldCharType="separate"/>
      </w:r>
      <w:r>
        <w:rPr>
          <w:rFonts w:hint="eastAsia" w:ascii="宋体" w:hAnsi="宋体" w:cs="仿宋"/>
          <w:bCs/>
          <w:szCs w:val="21"/>
        </w:rPr>
        <w:t xml:space="preserve">三、 </w:t>
      </w:r>
      <w:r>
        <w:rPr>
          <w:rFonts w:hint="eastAsia" w:ascii="宋体" w:hAnsi="宋体"/>
          <w:szCs w:val="21"/>
        </w:rPr>
        <w:t>投标文件编制</w:t>
      </w:r>
      <w:r>
        <w:tab/>
      </w:r>
      <w:r>
        <w:fldChar w:fldCharType="begin"/>
      </w:r>
      <w:r>
        <w:instrText xml:space="preserve"> PAGEREF _Toc9754 \h </w:instrText>
      </w:r>
      <w:r>
        <w:fldChar w:fldCharType="separate"/>
      </w:r>
      <w:r>
        <w:t>3</w:t>
      </w:r>
      <w:r>
        <w:fldChar w:fldCharType="end"/>
      </w:r>
      <w:r>
        <w:fldChar w:fldCharType="end"/>
      </w:r>
    </w:p>
    <w:p>
      <w:pPr>
        <w:pStyle w:val="10"/>
        <w:tabs>
          <w:tab w:val="right" w:leader="dot" w:pos="8306"/>
        </w:tabs>
      </w:pPr>
      <w:r>
        <w:fldChar w:fldCharType="begin"/>
      </w:r>
      <w:r>
        <w:instrText xml:space="preserve"> HYPERLINK \l "_Toc29123" </w:instrText>
      </w:r>
      <w:r>
        <w:fldChar w:fldCharType="separate"/>
      </w:r>
      <w:r>
        <w:rPr>
          <w:rFonts w:hint="eastAsia" w:ascii="宋体" w:hAnsi="宋体" w:cs="仿宋"/>
          <w:bCs/>
          <w:szCs w:val="21"/>
        </w:rPr>
        <w:t xml:space="preserve">四、 </w:t>
      </w:r>
      <w:r>
        <w:rPr>
          <w:rFonts w:hint="eastAsia" w:ascii="宋体" w:hAnsi="宋体"/>
          <w:szCs w:val="21"/>
        </w:rPr>
        <w:t>项目要求及数量</w:t>
      </w:r>
      <w:r>
        <w:tab/>
      </w:r>
      <w:r>
        <w:fldChar w:fldCharType="begin"/>
      </w:r>
      <w:r>
        <w:instrText xml:space="preserve"> PAGEREF _Toc29123 \h </w:instrText>
      </w:r>
      <w:r>
        <w:fldChar w:fldCharType="separate"/>
      </w:r>
      <w:r>
        <w:t>4</w:t>
      </w:r>
      <w:r>
        <w:fldChar w:fldCharType="end"/>
      </w:r>
      <w:r>
        <w:fldChar w:fldCharType="end"/>
      </w:r>
    </w:p>
    <w:p>
      <w:pPr>
        <w:pStyle w:val="10"/>
        <w:tabs>
          <w:tab w:val="right" w:leader="dot" w:pos="8306"/>
        </w:tabs>
      </w:pPr>
      <w:r>
        <w:fldChar w:fldCharType="begin"/>
      </w:r>
      <w:r>
        <w:instrText xml:space="preserve"> HYPERLINK \l "_Toc18538" </w:instrText>
      </w:r>
      <w:r>
        <w:fldChar w:fldCharType="separate"/>
      </w:r>
      <w:r>
        <w:rPr>
          <w:rFonts w:hint="eastAsia" w:ascii="宋体" w:hAnsi="宋体" w:cs="仿宋"/>
          <w:bCs/>
          <w:szCs w:val="21"/>
        </w:rPr>
        <w:t xml:space="preserve">五、 </w:t>
      </w:r>
      <w:r>
        <w:rPr>
          <w:rFonts w:hint="eastAsia" w:ascii="宋体" w:hAnsi="宋体"/>
          <w:szCs w:val="21"/>
        </w:rPr>
        <w:t>其他项目说明资料</w:t>
      </w:r>
      <w:r>
        <w:tab/>
      </w:r>
      <w:r>
        <w:fldChar w:fldCharType="begin"/>
      </w:r>
      <w:r>
        <w:instrText xml:space="preserve"> PAGEREF _Toc18538 \h </w:instrText>
      </w:r>
      <w:r>
        <w:fldChar w:fldCharType="separate"/>
      </w:r>
      <w:r>
        <w:t>8</w:t>
      </w:r>
      <w:r>
        <w:fldChar w:fldCharType="end"/>
      </w:r>
      <w:r>
        <w:fldChar w:fldCharType="end"/>
      </w:r>
    </w:p>
    <w:p>
      <w:pPr>
        <w:pStyle w:val="9"/>
        <w:tabs>
          <w:tab w:val="right" w:leader="dot" w:pos="8306"/>
        </w:tabs>
      </w:pPr>
      <w:r>
        <w:fldChar w:fldCharType="begin"/>
      </w:r>
      <w:r>
        <w:instrText xml:space="preserve"> HYPERLINK \l "_Toc22084" </w:instrText>
      </w:r>
      <w:r>
        <w:fldChar w:fldCharType="separate"/>
      </w:r>
      <w:r>
        <w:rPr>
          <w:rFonts w:hint="eastAsia" w:ascii="宋体" w:hAnsi="宋体"/>
          <w:szCs w:val="32"/>
        </w:rPr>
        <w:t>第二部分：开标流程</w:t>
      </w:r>
      <w:r>
        <w:tab/>
      </w:r>
      <w:r>
        <w:fldChar w:fldCharType="begin"/>
      </w:r>
      <w:r>
        <w:instrText xml:space="preserve"> PAGEREF _Toc22084 \h </w:instrText>
      </w:r>
      <w:r>
        <w:fldChar w:fldCharType="separate"/>
      </w:r>
      <w:r>
        <w:t>8</w:t>
      </w:r>
      <w:r>
        <w:fldChar w:fldCharType="end"/>
      </w:r>
      <w:r>
        <w:fldChar w:fldCharType="end"/>
      </w:r>
    </w:p>
    <w:p>
      <w:pPr>
        <w:pStyle w:val="10"/>
        <w:tabs>
          <w:tab w:val="right" w:leader="dot" w:pos="8306"/>
        </w:tabs>
      </w:pPr>
      <w:r>
        <w:fldChar w:fldCharType="begin"/>
      </w:r>
      <w:r>
        <w:instrText xml:space="preserve"> HYPERLINK \l "_Toc31541" </w:instrText>
      </w:r>
      <w:r>
        <w:fldChar w:fldCharType="separate"/>
      </w:r>
      <w:r>
        <w:rPr>
          <w:rFonts w:hint="eastAsia" w:ascii="宋体" w:hAnsi="宋体" w:cs="仿宋"/>
          <w:bCs/>
          <w:szCs w:val="21"/>
        </w:rPr>
        <w:t xml:space="preserve">六、 </w:t>
      </w:r>
      <w:r>
        <w:rPr>
          <w:rFonts w:hint="eastAsia" w:ascii="宋体" w:hAnsi="宋体"/>
          <w:szCs w:val="21"/>
        </w:rPr>
        <w:t>开标流程</w:t>
      </w:r>
      <w:r>
        <w:tab/>
      </w:r>
      <w:r>
        <w:fldChar w:fldCharType="begin"/>
      </w:r>
      <w:r>
        <w:instrText xml:space="preserve"> PAGEREF _Toc31541 \h </w:instrText>
      </w:r>
      <w:r>
        <w:fldChar w:fldCharType="separate"/>
      </w:r>
      <w:r>
        <w:t>8</w:t>
      </w:r>
      <w:r>
        <w:fldChar w:fldCharType="end"/>
      </w:r>
      <w:r>
        <w:fldChar w:fldCharType="end"/>
      </w:r>
    </w:p>
    <w:p>
      <w:pPr>
        <w:pStyle w:val="9"/>
        <w:tabs>
          <w:tab w:val="right" w:leader="dot" w:pos="8306"/>
        </w:tabs>
      </w:pPr>
      <w:r>
        <w:fldChar w:fldCharType="begin"/>
      </w:r>
      <w:r>
        <w:instrText xml:space="preserve"> HYPERLINK \l "_Toc21780" </w:instrText>
      </w:r>
      <w:r>
        <w:fldChar w:fldCharType="separate"/>
      </w:r>
      <w:r>
        <w:rPr>
          <w:rFonts w:hint="eastAsia" w:ascii="宋体" w:hAnsi="宋体"/>
          <w:szCs w:val="32"/>
        </w:rPr>
        <w:t>第三部分：评审办法</w:t>
      </w:r>
      <w:r>
        <w:tab/>
      </w:r>
      <w:r>
        <w:fldChar w:fldCharType="begin"/>
      </w:r>
      <w:r>
        <w:instrText xml:space="preserve"> PAGEREF _Toc21780 \h </w:instrText>
      </w:r>
      <w:r>
        <w:fldChar w:fldCharType="separate"/>
      </w:r>
      <w:r>
        <w:t>9</w:t>
      </w:r>
      <w:r>
        <w:fldChar w:fldCharType="end"/>
      </w:r>
      <w:r>
        <w:fldChar w:fldCharType="end"/>
      </w:r>
    </w:p>
    <w:p>
      <w:pPr>
        <w:pStyle w:val="10"/>
        <w:tabs>
          <w:tab w:val="right" w:leader="dot" w:pos="8306"/>
        </w:tabs>
      </w:pPr>
      <w:r>
        <w:fldChar w:fldCharType="begin"/>
      </w:r>
      <w:r>
        <w:instrText xml:space="preserve"> HYPERLINK \l "_Toc4304" </w:instrText>
      </w:r>
      <w:r>
        <w:fldChar w:fldCharType="separate"/>
      </w:r>
      <w:r>
        <w:rPr>
          <w:rFonts w:hint="eastAsia" w:ascii="宋体" w:hAnsi="宋体" w:cs="仿宋"/>
          <w:bCs/>
          <w:szCs w:val="21"/>
        </w:rPr>
        <w:t xml:space="preserve">七、 </w:t>
      </w:r>
      <w:r>
        <w:rPr>
          <w:rFonts w:hint="eastAsia" w:ascii="宋体" w:hAnsi="宋体"/>
          <w:bCs/>
          <w:szCs w:val="21"/>
        </w:rPr>
        <w:t>评审办法</w:t>
      </w:r>
      <w:r>
        <w:tab/>
      </w:r>
      <w:r>
        <w:fldChar w:fldCharType="begin"/>
      </w:r>
      <w:r>
        <w:instrText xml:space="preserve"> PAGEREF _Toc4304 \h </w:instrText>
      </w:r>
      <w:r>
        <w:fldChar w:fldCharType="separate"/>
      </w:r>
      <w:r>
        <w:t>9</w:t>
      </w:r>
      <w:r>
        <w:fldChar w:fldCharType="end"/>
      </w:r>
      <w:r>
        <w:fldChar w:fldCharType="end"/>
      </w:r>
    </w:p>
    <w:p>
      <w:pPr>
        <w:pStyle w:val="5"/>
        <w:tabs>
          <w:tab w:val="right" w:leader="dot" w:pos="8306"/>
        </w:tabs>
      </w:pPr>
      <w:r>
        <w:fldChar w:fldCharType="begin"/>
      </w:r>
      <w:r>
        <w:instrText xml:space="preserve"> HYPERLINK \l "_Toc22336" </w:instrText>
      </w:r>
      <w:r>
        <w:fldChar w:fldCharType="separate"/>
      </w:r>
      <w:r>
        <w:rPr>
          <w:rFonts w:ascii="宋体" w:hAnsi="宋体"/>
          <w:szCs w:val="21"/>
        </w:rPr>
        <w:t xml:space="preserve">（一） </w:t>
      </w:r>
      <w:r>
        <w:rPr>
          <w:rFonts w:hint="eastAsia" w:ascii="宋体" w:hAnsi="宋体"/>
          <w:bCs/>
          <w:szCs w:val="21"/>
        </w:rPr>
        <w:t>符合性检查</w:t>
      </w:r>
      <w:r>
        <w:tab/>
      </w:r>
      <w:r>
        <w:fldChar w:fldCharType="begin"/>
      </w:r>
      <w:r>
        <w:instrText xml:space="preserve"> PAGEREF _Toc22336 \h </w:instrText>
      </w:r>
      <w:r>
        <w:fldChar w:fldCharType="separate"/>
      </w:r>
      <w:r>
        <w:t>9</w:t>
      </w:r>
      <w:r>
        <w:fldChar w:fldCharType="end"/>
      </w:r>
      <w:r>
        <w:fldChar w:fldCharType="end"/>
      </w:r>
    </w:p>
    <w:p>
      <w:pPr>
        <w:pStyle w:val="5"/>
        <w:tabs>
          <w:tab w:val="right" w:leader="dot" w:pos="8306"/>
        </w:tabs>
      </w:pPr>
      <w:r>
        <w:fldChar w:fldCharType="begin"/>
      </w:r>
      <w:r>
        <w:instrText xml:space="preserve"> HYPERLINK \l "_Toc22007" </w:instrText>
      </w:r>
      <w:r>
        <w:fldChar w:fldCharType="separate"/>
      </w:r>
      <w:r>
        <w:rPr>
          <w:rFonts w:ascii="宋体" w:hAnsi="宋体"/>
          <w:bCs/>
          <w:szCs w:val="21"/>
        </w:rPr>
        <w:t xml:space="preserve">（二） </w:t>
      </w:r>
      <w:r>
        <w:rPr>
          <w:rFonts w:hint="eastAsia" w:ascii="宋体" w:hAnsi="宋体"/>
          <w:bCs/>
          <w:szCs w:val="21"/>
        </w:rPr>
        <w:t>综合评议指标表</w:t>
      </w:r>
      <w:r>
        <w:tab/>
      </w:r>
      <w:r>
        <w:fldChar w:fldCharType="begin"/>
      </w:r>
      <w:r>
        <w:instrText xml:space="preserve"> PAGEREF _Toc22007 \h </w:instrText>
      </w:r>
      <w:r>
        <w:fldChar w:fldCharType="separate"/>
      </w:r>
      <w:r>
        <w:t>9</w:t>
      </w:r>
      <w:r>
        <w:fldChar w:fldCharType="end"/>
      </w:r>
      <w:r>
        <w:fldChar w:fldCharType="end"/>
      </w:r>
    </w:p>
    <w:p>
      <w:pPr>
        <w:pStyle w:val="9"/>
        <w:tabs>
          <w:tab w:val="right" w:leader="dot" w:pos="8306"/>
        </w:tabs>
      </w:pPr>
      <w:r>
        <w:fldChar w:fldCharType="begin"/>
      </w:r>
      <w:r>
        <w:instrText xml:space="preserve"> HYPERLINK \l "_Toc26348" </w:instrText>
      </w:r>
      <w:r>
        <w:fldChar w:fldCharType="separate"/>
      </w:r>
      <w:r>
        <w:rPr>
          <w:rFonts w:hint="eastAsia" w:ascii="宋体" w:hAnsi="宋体"/>
          <w:szCs w:val="32"/>
        </w:rPr>
        <w:t>第四部分：合同条款及格式</w:t>
      </w:r>
      <w:r>
        <w:tab/>
      </w:r>
      <w:r>
        <w:fldChar w:fldCharType="begin"/>
      </w:r>
      <w:r>
        <w:instrText xml:space="preserve"> PAGEREF _Toc26348 \h </w:instrText>
      </w:r>
      <w:r>
        <w:fldChar w:fldCharType="separate"/>
      </w:r>
      <w:r>
        <w:t>13</w:t>
      </w:r>
      <w:r>
        <w:fldChar w:fldCharType="end"/>
      </w:r>
      <w:r>
        <w:fldChar w:fldCharType="end"/>
      </w:r>
    </w:p>
    <w:p>
      <w:pPr>
        <w:pStyle w:val="9"/>
        <w:tabs>
          <w:tab w:val="right" w:leader="dot" w:pos="8306"/>
        </w:tabs>
      </w:pPr>
      <w:r>
        <w:fldChar w:fldCharType="begin"/>
      </w:r>
      <w:r>
        <w:instrText xml:space="preserve"> HYPERLINK \l "_Toc17198" </w:instrText>
      </w:r>
      <w:r>
        <w:fldChar w:fldCharType="separate"/>
      </w:r>
      <w:r>
        <w:rPr>
          <w:rFonts w:hint="eastAsia"/>
          <w:szCs w:val="32"/>
        </w:rPr>
        <w:t>第五部分：参考附件</w:t>
      </w:r>
      <w:r>
        <w:tab/>
      </w:r>
      <w:r>
        <w:fldChar w:fldCharType="begin"/>
      </w:r>
      <w:r>
        <w:instrText xml:space="preserve"> PAGEREF _Toc17198 \h </w:instrText>
      </w:r>
      <w:r>
        <w:fldChar w:fldCharType="separate"/>
      </w:r>
      <w:r>
        <w:t>19</w:t>
      </w:r>
      <w:r>
        <w:fldChar w:fldCharType="end"/>
      </w:r>
      <w:r>
        <w:fldChar w:fldCharType="end"/>
      </w:r>
    </w:p>
    <w:p>
      <w:pPr>
        <w:pStyle w:val="10"/>
        <w:tabs>
          <w:tab w:val="right" w:leader="dot" w:pos="8306"/>
        </w:tabs>
      </w:pPr>
      <w:r>
        <w:fldChar w:fldCharType="begin"/>
      </w:r>
      <w:r>
        <w:instrText xml:space="preserve"> HYPERLINK \l "_Toc7610" </w:instrText>
      </w:r>
      <w:r>
        <w:fldChar w:fldCharType="separate"/>
      </w:r>
      <w:r>
        <w:rPr>
          <w:rFonts w:hint="eastAsia" w:ascii="宋体" w:hAnsi="宋体"/>
          <w:szCs w:val="21"/>
        </w:rPr>
        <w:t>附件1：</w:t>
      </w:r>
      <w:r>
        <w:rPr>
          <w:rFonts w:hint="eastAsia" w:ascii="宋体" w:hAnsi="宋体"/>
        </w:rPr>
        <w:t>报名回函</w:t>
      </w:r>
      <w:r>
        <w:tab/>
      </w:r>
      <w:r>
        <w:fldChar w:fldCharType="begin"/>
      </w:r>
      <w:r>
        <w:instrText xml:space="preserve"> PAGEREF _Toc7610 \h </w:instrText>
      </w:r>
      <w:r>
        <w:fldChar w:fldCharType="separate"/>
      </w:r>
      <w:r>
        <w:t>19</w:t>
      </w:r>
      <w:r>
        <w:fldChar w:fldCharType="end"/>
      </w:r>
      <w:r>
        <w:fldChar w:fldCharType="end"/>
      </w:r>
    </w:p>
    <w:p>
      <w:pPr>
        <w:pStyle w:val="10"/>
        <w:tabs>
          <w:tab w:val="right" w:leader="dot" w:pos="8306"/>
        </w:tabs>
      </w:pPr>
      <w:r>
        <w:fldChar w:fldCharType="begin"/>
      </w:r>
      <w:r>
        <w:instrText xml:space="preserve"> HYPERLINK \l "_Toc10768" </w:instrText>
      </w:r>
      <w:r>
        <w:fldChar w:fldCharType="separate"/>
      </w:r>
      <w:r>
        <w:rPr>
          <w:rFonts w:hint="eastAsia" w:ascii="宋体" w:hAnsi="宋体"/>
          <w:szCs w:val="21"/>
        </w:rPr>
        <w:t>附件2：投标函</w:t>
      </w:r>
      <w:r>
        <w:tab/>
      </w:r>
      <w:r>
        <w:fldChar w:fldCharType="begin"/>
      </w:r>
      <w:r>
        <w:instrText xml:space="preserve"> PAGEREF _Toc10768 \h </w:instrText>
      </w:r>
      <w:r>
        <w:fldChar w:fldCharType="separate"/>
      </w:r>
      <w:r>
        <w:t>20</w:t>
      </w:r>
      <w:r>
        <w:fldChar w:fldCharType="end"/>
      </w:r>
      <w:r>
        <w:fldChar w:fldCharType="end"/>
      </w:r>
    </w:p>
    <w:p>
      <w:pPr>
        <w:pStyle w:val="10"/>
        <w:tabs>
          <w:tab w:val="right" w:leader="dot" w:pos="8306"/>
        </w:tabs>
      </w:pPr>
      <w:r>
        <w:fldChar w:fldCharType="begin"/>
      </w:r>
      <w:r>
        <w:instrText xml:space="preserve"> HYPERLINK \l "_Toc13134" </w:instrText>
      </w:r>
      <w:r>
        <w:fldChar w:fldCharType="separate"/>
      </w:r>
      <w:r>
        <w:rPr>
          <w:rFonts w:hint="eastAsia" w:ascii="宋体" w:hAnsi="宋体"/>
          <w:szCs w:val="21"/>
        </w:rPr>
        <w:t>附件3：投标一览表</w:t>
      </w:r>
      <w:r>
        <w:tab/>
      </w:r>
      <w:r>
        <w:fldChar w:fldCharType="begin"/>
      </w:r>
      <w:r>
        <w:instrText xml:space="preserve"> PAGEREF _Toc13134 \h </w:instrText>
      </w:r>
      <w:r>
        <w:fldChar w:fldCharType="separate"/>
      </w:r>
      <w:r>
        <w:t>21</w:t>
      </w:r>
      <w:r>
        <w:fldChar w:fldCharType="end"/>
      </w:r>
      <w:r>
        <w:fldChar w:fldCharType="end"/>
      </w:r>
    </w:p>
    <w:p>
      <w:pPr>
        <w:pStyle w:val="10"/>
        <w:tabs>
          <w:tab w:val="right" w:leader="dot" w:pos="8306"/>
        </w:tabs>
      </w:pPr>
      <w:r>
        <w:fldChar w:fldCharType="begin"/>
      </w:r>
      <w:r>
        <w:instrText xml:space="preserve"> HYPERLINK \l "_Toc17990" </w:instrText>
      </w:r>
      <w:r>
        <w:fldChar w:fldCharType="separate"/>
      </w:r>
      <w:r>
        <w:rPr>
          <w:rFonts w:hint="eastAsia" w:ascii="宋体" w:hAnsi="宋体"/>
          <w:szCs w:val="21"/>
        </w:rPr>
        <w:t>附件4：考察证明</w:t>
      </w:r>
      <w:r>
        <w:tab/>
      </w:r>
      <w:r>
        <w:fldChar w:fldCharType="begin"/>
      </w:r>
      <w:r>
        <w:instrText xml:space="preserve"> PAGEREF _Toc17990 \h </w:instrText>
      </w:r>
      <w:r>
        <w:fldChar w:fldCharType="separate"/>
      </w:r>
      <w:r>
        <w:t>22</w:t>
      </w:r>
      <w:r>
        <w:fldChar w:fldCharType="end"/>
      </w:r>
      <w:r>
        <w:fldChar w:fldCharType="end"/>
      </w:r>
    </w:p>
    <w:p>
      <w:pPr>
        <w:pStyle w:val="10"/>
        <w:tabs>
          <w:tab w:val="right" w:leader="dot" w:pos="8306"/>
        </w:tabs>
      </w:pPr>
      <w:r>
        <w:fldChar w:fldCharType="begin"/>
      </w:r>
      <w:r>
        <w:instrText xml:space="preserve"> HYPERLINK \l "_Toc5370" </w:instrText>
      </w:r>
      <w:r>
        <w:fldChar w:fldCharType="separate"/>
      </w:r>
      <w:r>
        <w:rPr>
          <w:rFonts w:hint="eastAsia" w:ascii="宋体" w:hAnsi="宋体"/>
          <w:szCs w:val="21"/>
        </w:rPr>
        <w:t>附件5：技术服务响应/偏离表</w:t>
      </w:r>
      <w:r>
        <w:tab/>
      </w:r>
      <w:r>
        <w:fldChar w:fldCharType="begin"/>
      </w:r>
      <w:r>
        <w:instrText xml:space="preserve"> PAGEREF _Toc5370 \h </w:instrText>
      </w:r>
      <w:r>
        <w:fldChar w:fldCharType="separate"/>
      </w:r>
      <w:r>
        <w:t>23</w:t>
      </w:r>
      <w:r>
        <w:fldChar w:fldCharType="end"/>
      </w:r>
      <w:r>
        <w:fldChar w:fldCharType="end"/>
      </w:r>
    </w:p>
    <w:p>
      <w:pPr>
        <w:pStyle w:val="10"/>
        <w:tabs>
          <w:tab w:val="right" w:leader="dot" w:pos="8306"/>
        </w:tabs>
      </w:pPr>
      <w:r>
        <w:fldChar w:fldCharType="begin"/>
      </w:r>
      <w:r>
        <w:instrText xml:space="preserve"> HYPERLINK \l "_Toc5879" </w:instrText>
      </w:r>
      <w:r>
        <w:fldChar w:fldCharType="separate"/>
      </w:r>
      <w:r>
        <w:rPr>
          <w:rFonts w:hint="eastAsia" w:ascii="宋体" w:hAnsi="宋体"/>
          <w:szCs w:val="21"/>
        </w:rPr>
        <w:t>附件6：商务条款响应/偏离表</w:t>
      </w:r>
      <w:r>
        <w:tab/>
      </w:r>
      <w:r>
        <w:fldChar w:fldCharType="begin"/>
      </w:r>
      <w:r>
        <w:instrText xml:space="preserve"> PAGEREF _Toc5879 \h </w:instrText>
      </w:r>
      <w:r>
        <w:fldChar w:fldCharType="separate"/>
      </w:r>
      <w:r>
        <w:t>24</w:t>
      </w:r>
      <w:r>
        <w:fldChar w:fldCharType="end"/>
      </w:r>
      <w:r>
        <w:fldChar w:fldCharType="end"/>
      </w:r>
    </w:p>
    <w:p>
      <w:pPr>
        <w:pStyle w:val="10"/>
        <w:tabs>
          <w:tab w:val="right" w:leader="dot" w:pos="8306"/>
        </w:tabs>
      </w:pPr>
      <w:r>
        <w:fldChar w:fldCharType="begin"/>
      </w:r>
      <w:r>
        <w:instrText xml:space="preserve"> HYPERLINK \l "_Toc30690" </w:instrText>
      </w:r>
      <w:r>
        <w:fldChar w:fldCharType="separate"/>
      </w:r>
      <w:r>
        <w:rPr>
          <w:rFonts w:hint="eastAsia" w:ascii="宋体" w:hAnsi="宋体"/>
          <w:szCs w:val="21"/>
        </w:rPr>
        <w:t>附件7：报价一览表（货物）（本项目不适用）</w:t>
      </w:r>
      <w:r>
        <w:tab/>
      </w:r>
      <w:r>
        <w:fldChar w:fldCharType="begin"/>
      </w:r>
      <w:r>
        <w:instrText xml:space="preserve"> PAGEREF _Toc30690 \h </w:instrText>
      </w:r>
      <w:r>
        <w:fldChar w:fldCharType="separate"/>
      </w:r>
      <w:r>
        <w:t>25</w:t>
      </w:r>
      <w:r>
        <w:fldChar w:fldCharType="end"/>
      </w:r>
      <w:r>
        <w:fldChar w:fldCharType="end"/>
      </w:r>
    </w:p>
    <w:p>
      <w:pPr>
        <w:pStyle w:val="10"/>
        <w:tabs>
          <w:tab w:val="right" w:leader="dot" w:pos="8306"/>
        </w:tabs>
      </w:pPr>
      <w:r>
        <w:fldChar w:fldCharType="begin"/>
      </w:r>
      <w:r>
        <w:instrText xml:space="preserve"> HYPERLINK \l "_Toc19694" </w:instrText>
      </w:r>
      <w:r>
        <w:fldChar w:fldCharType="separate"/>
      </w:r>
      <w:r>
        <w:rPr>
          <w:rFonts w:hint="eastAsia" w:ascii="宋体" w:hAnsi="宋体"/>
          <w:szCs w:val="21"/>
        </w:rPr>
        <w:t>附件8：报价一览表（服务）</w:t>
      </w:r>
      <w:r>
        <w:tab/>
      </w:r>
      <w:r>
        <w:fldChar w:fldCharType="begin"/>
      </w:r>
      <w:r>
        <w:instrText xml:space="preserve"> PAGEREF _Toc19694 \h </w:instrText>
      </w:r>
      <w:r>
        <w:fldChar w:fldCharType="separate"/>
      </w:r>
      <w:r>
        <w:t>26</w:t>
      </w:r>
      <w:r>
        <w:fldChar w:fldCharType="end"/>
      </w:r>
      <w:r>
        <w:fldChar w:fldCharType="end"/>
      </w:r>
    </w:p>
    <w:p>
      <w:pPr>
        <w:pStyle w:val="10"/>
        <w:tabs>
          <w:tab w:val="right" w:leader="dot" w:pos="8306"/>
        </w:tabs>
      </w:pPr>
      <w:r>
        <w:fldChar w:fldCharType="begin"/>
      </w:r>
      <w:r>
        <w:instrText xml:space="preserve"> HYPERLINK \l "_Toc8463" </w:instrText>
      </w:r>
      <w:r>
        <w:fldChar w:fldCharType="separate"/>
      </w:r>
      <w:r>
        <w:rPr>
          <w:rFonts w:hint="eastAsia" w:ascii="宋体" w:hAnsi="宋体"/>
          <w:szCs w:val="21"/>
        </w:rPr>
        <w:t>附件9：报价一览表（工程）（本项目不适用）</w:t>
      </w:r>
      <w:r>
        <w:tab/>
      </w:r>
      <w:r>
        <w:fldChar w:fldCharType="begin"/>
      </w:r>
      <w:r>
        <w:instrText xml:space="preserve"> PAGEREF _Toc8463 \h </w:instrText>
      </w:r>
      <w:r>
        <w:fldChar w:fldCharType="separate"/>
      </w:r>
      <w:r>
        <w:t>27</w:t>
      </w:r>
      <w:r>
        <w:fldChar w:fldCharType="end"/>
      </w:r>
      <w:r>
        <w:fldChar w:fldCharType="end"/>
      </w:r>
    </w:p>
    <w:p>
      <w:pPr>
        <w:pStyle w:val="10"/>
        <w:tabs>
          <w:tab w:val="right" w:leader="dot" w:pos="8306"/>
        </w:tabs>
      </w:pPr>
      <w:r>
        <w:fldChar w:fldCharType="begin"/>
      </w:r>
      <w:r>
        <w:instrText xml:space="preserve"> HYPERLINK \l "_Toc15056" </w:instrText>
      </w:r>
      <w:r>
        <w:fldChar w:fldCharType="separate"/>
      </w:r>
      <w:r>
        <w:rPr>
          <w:rFonts w:hint="eastAsia" w:ascii="宋体" w:hAnsi="宋体"/>
          <w:szCs w:val="21"/>
        </w:rPr>
        <w:t>附件10：法定代表人证明书</w:t>
      </w:r>
      <w:r>
        <w:tab/>
      </w:r>
      <w:r>
        <w:fldChar w:fldCharType="begin"/>
      </w:r>
      <w:r>
        <w:instrText xml:space="preserve"> PAGEREF _Toc15056 \h </w:instrText>
      </w:r>
      <w:r>
        <w:fldChar w:fldCharType="separate"/>
      </w:r>
      <w:r>
        <w:t>29</w:t>
      </w:r>
      <w:r>
        <w:fldChar w:fldCharType="end"/>
      </w:r>
      <w:r>
        <w:fldChar w:fldCharType="end"/>
      </w:r>
    </w:p>
    <w:p>
      <w:pPr>
        <w:pStyle w:val="10"/>
        <w:tabs>
          <w:tab w:val="right" w:leader="dot" w:pos="8306"/>
        </w:tabs>
      </w:pPr>
      <w:r>
        <w:fldChar w:fldCharType="begin"/>
      </w:r>
      <w:r>
        <w:instrText xml:space="preserve"> HYPERLINK \l "_Toc15179" </w:instrText>
      </w:r>
      <w:r>
        <w:fldChar w:fldCharType="separate"/>
      </w:r>
      <w:r>
        <w:rPr>
          <w:rFonts w:hint="eastAsia" w:ascii="宋体" w:hAnsi="宋体"/>
          <w:szCs w:val="21"/>
        </w:rPr>
        <w:t>附件</w:t>
      </w:r>
      <w:r>
        <w:rPr>
          <w:rFonts w:ascii="宋体" w:hAnsi="宋体"/>
          <w:szCs w:val="21"/>
        </w:rPr>
        <w:t>1</w:t>
      </w:r>
      <w:r>
        <w:rPr>
          <w:rFonts w:hint="eastAsia" w:ascii="宋体" w:hAnsi="宋体"/>
          <w:szCs w:val="21"/>
        </w:rPr>
        <w:t>1：法人授权委托证明书</w:t>
      </w:r>
      <w:r>
        <w:tab/>
      </w:r>
      <w:r>
        <w:fldChar w:fldCharType="begin"/>
      </w:r>
      <w:r>
        <w:instrText xml:space="preserve"> PAGEREF _Toc15179 \h </w:instrText>
      </w:r>
      <w:r>
        <w:fldChar w:fldCharType="separate"/>
      </w:r>
      <w:r>
        <w:t>30</w:t>
      </w:r>
      <w:r>
        <w:fldChar w:fldCharType="end"/>
      </w:r>
      <w:r>
        <w:fldChar w:fldCharType="end"/>
      </w:r>
    </w:p>
    <w:p>
      <w:pPr>
        <w:pStyle w:val="10"/>
        <w:tabs>
          <w:tab w:val="right" w:leader="dot" w:pos="8306"/>
        </w:tabs>
      </w:pPr>
      <w:r>
        <w:fldChar w:fldCharType="begin"/>
      </w:r>
      <w:r>
        <w:instrText xml:space="preserve"> HYPERLINK \l "_Toc24595" </w:instrText>
      </w:r>
      <w:r>
        <w:fldChar w:fldCharType="separate"/>
      </w:r>
      <w:r>
        <w:rPr>
          <w:rFonts w:hint="eastAsia" w:ascii="宋体" w:hAnsi="宋体"/>
          <w:szCs w:val="21"/>
        </w:rPr>
        <w:t>附件</w:t>
      </w:r>
      <w:r>
        <w:rPr>
          <w:rFonts w:ascii="宋体" w:hAnsi="宋体"/>
          <w:szCs w:val="21"/>
        </w:rPr>
        <w:t>1</w:t>
      </w:r>
      <w:r>
        <w:rPr>
          <w:rFonts w:hint="eastAsia" w:ascii="宋体" w:hAnsi="宋体"/>
          <w:szCs w:val="21"/>
        </w:rPr>
        <w:t>2：经营业绩一览表</w:t>
      </w:r>
      <w:r>
        <w:tab/>
      </w:r>
      <w:r>
        <w:fldChar w:fldCharType="begin"/>
      </w:r>
      <w:r>
        <w:instrText xml:space="preserve"> PAGEREF _Toc24595 \h </w:instrText>
      </w:r>
      <w:r>
        <w:fldChar w:fldCharType="separate"/>
      </w:r>
      <w:r>
        <w:t>31</w:t>
      </w:r>
      <w:r>
        <w:fldChar w:fldCharType="end"/>
      </w:r>
      <w:r>
        <w:fldChar w:fldCharType="end"/>
      </w:r>
    </w:p>
    <w:p>
      <w:pPr>
        <w:pStyle w:val="10"/>
        <w:tabs>
          <w:tab w:val="right" w:leader="dot" w:pos="8306"/>
        </w:tabs>
      </w:pPr>
      <w:r>
        <w:fldChar w:fldCharType="begin"/>
      </w:r>
      <w:r>
        <w:instrText xml:space="preserve"> HYPERLINK \l "_Toc4290" </w:instrText>
      </w:r>
      <w:r>
        <w:fldChar w:fldCharType="separate"/>
      </w:r>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r>
        <w:tab/>
      </w:r>
      <w:r>
        <w:fldChar w:fldCharType="begin"/>
      </w:r>
      <w:r>
        <w:instrText xml:space="preserve"> PAGEREF _Toc4290 \h </w:instrText>
      </w:r>
      <w:r>
        <w:fldChar w:fldCharType="separate"/>
      </w:r>
      <w:r>
        <w:t>32</w:t>
      </w:r>
      <w:r>
        <w:fldChar w:fldCharType="end"/>
      </w:r>
      <w:r>
        <w:fldChar w:fldCharType="end"/>
      </w:r>
    </w:p>
    <w:p>
      <w:pPr>
        <w:pStyle w:val="10"/>
        <w:tabs>
          <w:tab w:val="right" w:leader="dot" w:pos="8306"/>
        </w:tabs>
      </w:pPr>
      <w:r>
        <w:fldChar w:fldCharType="begin"/>
      </w:r>
      <w:r>
        <w:instrText xml:space="preserve"> HYPERLINK \l "_Toc11411" </w:instrText>
      </w:r>
      <w:r>
        <w:fldChar w:fldCharType="separate"/>
      </w:r>
      <w:r>
        <w:rPr>
          <w:rFonts w:hint="eastAsia" w:ascii="宋体" w:hAnsi="宋体"/>
          <w:szCs w:val="21"/>
        </w:rPr>
        <w:t>附件</w:t>
      </w:r>
      <w:r>
        <w:rPr>
          <w:rFonts w:ascii="宋体" w:hAnsi="宋体"/>
          <w:szCs w:val="21"/>
        </w:rPr>
        <w:t>1</w:t>
      </w:r>
      <w:r>
        <w:rPr>
          <w:rFonts w:hint="eastAsia" w:ascii="宋体" w:hAnsi="宋体"/>
          <w:szCs w:val="21"/>
        </w:rPr>
        <w:t>4：履约情况及社会信誉承诺书</w:t>
      </w:r>
      <w:r>
        <w:tab/>
      </w:r>
      <w:r>
        <w:fldChar w:fldCharType="begin"/>
      </w:r>
      <w:r>
        <w:instrText xml:space="preserve"> PAGEREF _Toc11411 \h </w:instrText>
      </w:r>
      <w:r>
        <w:fldChar w:fldCharType="separate"/>
      </w:r>
      <w:r>
        <w:t>33</w:t>
      </w:r>
      <w:r>
        <w:fldChar w:fldCharType="end"/>
      </w:r>
      <w:r>
        <w:fldChar w:fldCharType="end"/>
      </w:r>
    </w:p>
    <w:p>
      <w:pPr>
        <w:pStyle w:val="10"/>
        <w:tabs>
          <w:tab w:val="right" w:leader="dot" w:pos="8306"/>
        </w:tabs>
      </w:pPr>
      <w:r>
        <w:fldChar w:fldCharType="begin"/>
      </w:r>
      <w:r>
        <w:instrText xml:space="preserve"> HYPERLINK \l "_Toc28341" </w:instrText>
      </w:r>
      <w:r>
        <w:fldChar w:fldCharType="separate"/>
      </w:r>
      <w:r>
        <w:rPr>
          <w:rFonts w:hint="eastAsia" w:ascii="宋体" w:hAnsi="宋体"/>
        </w:rPr>
        <w:t>附件1</w:t>
      </w:r>
      <w:r>
        <w:rPr>
          <w:rFonts w:ascii="宋体" w:hAnsi="宋体"/>
        </w:rPr>
        <w:t>5</w:t>
      </w:r>
      <w:r>
        <w:rPr>
          <w:rFonts w:hint="eastAsia" w:ascii="宋体" w:hAnsi="宋体"/>
        </w:rPr>
        <w:t>：投标文件密码</w:t>
      </w:r>
      <w:r>
        <w:tab/>
      </w:r>
      <w:r>
        <w:fldChar w:fldCharType="begin"/>
      </w:r>
      <w:r>
        <w:instrText xml:space="preserve"> PAGEREF _Toc28341 \h </w:instrText>
      </w:r>
      <w:r>
        <w:fldChar w:fldCharType="separate"/>
      </w:r>
      <w:r>
        <w:t>34</w:t>
      </w:r>
      <w:r>
        <w:fldChar w:fldCharType="end"/>
      </w:r>
      <w:r>
        <w:fldChar w:fldCharType="end"/>
      </w:r>
    </w:p>
    <w:p>
      <w:pPr>
        <w:spacing w:line="400" w:lineRule="exact"/>
        <w:rPr>
          <w:rFonts w:ascii="宋体" w:hAnsi="宋体" w:cs="仿宋"/>
          <w:szCs w:val="21"/>
        </w:rPr>
        <w:sectPr>
          <w:footerReference r:id="rId3"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24962"/>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648"/>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联系人：刘女士</w:t>
            </w:r>
          </w:p>
          <w:p>
            <w:pPr>
              <w:wordWrap w:val="0"/>
              <w:autoSpaceDE w:val="0"/>
              <w:autoSpaceDN w:val="0"/>
              <w:adjustRightInd w:val="0"/>
              <w:snapToGrid w:val="0"/>
              <w:rPr>
                <w:rFonts w:ascii="宋体" w:hAnsi="宋体"/>
                <w:szCs w:val="21"/>
              </w:rPr>
            </w:pPr>
            <w:r>
              <w:rPr>
                <w:rFonts w:hint="eastAsia" w:ascii="宋体" w:hAnsi="宋体"/>
                <w:szCs w:val="21"/>
              </w:rPr>
              <w:t>电话：0755-82848826</w:t>
            </w:r>
          </w:p>
          <w:p>
            <w:pPr>
              <w:wordWrap w:val="0"/>
              <w:autoSpaceDE w:val="0"/>
              <w:autoSpaceDN w:val="0"/>
              <w:adjustRightInd w:val="0"/>
              <w:snapToGrid w:val="0"/>
              <w:rPr>
                <w:rFonts w:ascii="宋体" w:hAnsi="宋体"/>
                <w:szCs w:val="21"/>
              </w:rPr>
            </w:pPr>
            <w:r>
              <w:rPr>
                <w:rFonts w:hint="eastAsia" w:ascii="宋体" w:hAnsi="宋体"/>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邮箱：1771389354@qq.com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wordWrap w:val="0"/>
              <w:autoSpaceDE w:val="0"/>
              <w:autoSpaceDN w:val="0"/>
              <w:adjustRightInd w:val="0"/>
              <w:snapToGrid w:val="0"/>
              <w:jc w:val="center"/>
              <w:rPr>
                <w:rFonts w:ascii="宋体" w:hAnsi="宋体"/>
                <w:szCs w:val="21"/>
              </w:rPr>
            </w:pPr>
            <w:r>
              <w:rPr>
                <w:rFonts w:hint="eastAsia" w:ascii="宋体" w:hAnsi="宋体"/>
                <w:szCs w:val="21"/>
              </w:rPr>
              <w:t>项目名称</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深圳会展中心2022-2024年度高交会新产品新技术发布活动项目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FF0000"/>
                <w:szCs w:val="21"/>
                <w:highlight w:val="yellow"/>
              </w:rPr>
            </w:pPr>
            <w:r>
              <w:rPr>
                <w:rFonts w:hint="eastAsia" w:ascii="宋体" w:hAnsi="宋体"/>
                <w:szCs w:val="21"/>
              </w:rPr>
              <w:t>为持续提升高交会新产品新技术发布活动活动的专业程度与服务品质，</w:t>
            </w:r>
            <w:r>
              <w:rPr>
                <w:rFonts w:hAnsi="宋体" w:cstheme="minorBidi"/>
                <w:szCs w:val="21"/>
              </w:rPr>
              <w:t>拟</w:t>
            </w:r>
            <w:r>
              <w:rPr>
                <w:rFonts w:hint="eastAsia" w:hAnsi="宋体" w:cstheme="minorBidi"/>
                <w:szCs w:val="21"/>
              </w:rPr>
              <w:t>引进一家优秀的会议组织机构，由其提供专业会务活动与</w:t>
            </w:r>
            <w:r>
              <w:rPr>
                <w:rFonts w:hint="eastAsia" w:ascii="宋体" w:hAnsi="宋体"/>
                <w:szCs w:val="21"/>
              </w:rPr>
              <w:t>媒体</w:t>
            </w:r>
            <w:r>
              <w:rPr>
                <w:rFonts w:hint="eastAsia" w:hAnsi="宋体" w:cstheme="minorBidi"/>
                <w:szCs w:val="21"/>
              </w:rPr>
              <w:t>宣传推广服务。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深圳市福田区福华三路深圳会展中心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highlight w:val="none"/>
              </w:rPr>
              <w:t>2</w:t>
            </w:r>
            <w:r>
              <w:rPr>
                <w:rFonts w:ascii="宋体" w:hAnsi="宋体"/>
                <w:szCs w:val="21"/>
                <w:highlight w:val="none"/>
              </w:rPr>
              <w:t>02</w:t>
            </w: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lang w:val="en-US" w:eastAsia="zh-CN"/>
              </w:rPr>
              <w:t>10</w:t>
            </w:r>
            <w:r>
              <w:rPr>
                <w:rFonts w:ascii="宋体" w:hAnsi="宋体"/>
                <w:szCs w:val="21"/>
                <w:highlight w:val="none"/>
              </w:rPr>
              <w:t>-</w:t>
            </w:r>
            <w:r>
              <w:rPr>
                <w:rFonts w:hint="eastAsia" w:ascii="宋体" w:hAnsi="宋体"/>
                <w:szCs w:val="21"/>
                <w:highlight w:val="none"/>
                <w:lang w:val="en-US" w:eastAsia="zh-CN"/>
              </w:rPr>
              <w:t>12</w:t>
            </w:r>
            <w:r>
              <w:rPr>
                <w:rFonts w:ascii="宋体" w:hAnsi="宋体"/>
                <w:szCs w:val="21"/>
                <w:highlight w:val="none"/>
              </w:rPr>
              <w:t xml:space="preserve"> </w:t>
            </w:r>
            <w:r>
              <w:rPr>
                <w:rFonts w:hint="eastAsia" w:ascii="宋体" w:hAnsi="宋体"/>
                <w:szCs w:val="21"/>
                <w:highlight w:val="none"/>
                <w:lang w:val="en-US" w:eastAsia="zh-CN"/>
              </w:rPr>
              <w:t>17</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lang w:val="en-US" w:eastAsia="zh-CN"/>
              </w:rPr>
              <w:t>30</w:t>
            </w:r>
            <w:r>
              <w:rPr>
                <w:rFonts w:hint="eastAsia" w:ascii="宋体" w:hAnsi="宋体"/>
                <w:szCs w:val="21"/>
                <w:highlight w:val="none"/>
              </w:rPr>
              <w:t>（北京时间</w:t>
            </w:r>
            <w:r>
              <w:rPr>
                <w:rFonts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https://cg.szcec.com/sharing/001Wffy05，</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深圳会展中心官网（www.szcec.com）下载。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highlight w:val="yellow"/>
              </w:rPr>
            </w:pPr>
            <w:r>
              <w:rPr>
                <w:rFonts w:hint="eastAsia" w:ascii="宋体" w:hAnsi="宋体"/>
                <w:szCs w:val="21"/>
                <w:highlight w:val="none"/>
              </w:rPr>
              <w:t>2</w:t>
            </w:r>
            <w:r>
              <w:rPr>
                <w:rFonts w:ascii="宋体" w:hAnsi="宋体"/>
                <w:szCs w:val="21"/>
                <w:highlight w:val="none"/>
              </w:rPr>
              <w:t>02</w:t>
            </w: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lang w:val="en-US" w:eastAsia="zh-CN"/>
              </w:rPr>
              <w:t>10</w:t>
            </w:r>
            <w:r>
              <w:rPr>
                <w:rFonts w:ascii="宋体" w:hAnsi="宋体"/>
                <w:szCs w:val="21"/>
                <w:highlight w:val="none"/>
              </w:rPr>
              <w:t>-</w:t>
            </w:r>
            <w:r>
              <w:rPr>
                <w:rFonts w:hint="eastAsia" w:ascii="宋体" w:hAnsi="宋体"/>
                <w:szCs w:val="21"/>
                <w:highlight w:val="none"/>
                <w:lang w:val="en-US" w:eastAsia="zh-CN"/>
              </w:rPr>
              <w:t>20</w:t>
            </w:r>
            <w:r>
              <w:rPr>
                <w:rFonts w:ascii="宋体" w:hAnsi="宋体"/>
                <w:szCs w:val="21"/>
                <w:highlight w:val="none"/>
              </w:rPr>
              <w:t xml:space="preserve"> </w:t>
            </w:r>
            <w:r>
              <w:rPr>
                <w:rFonts w:hint="eastAsia" w:ascii="宋体" w:hAnsi="宋体"/>
                <w:szCs w:val="21"/>
                <w:highlight w:val="none"/>
                <w:lang w:val="en-US" w:eastAsia="zh-CN"/>
              </w:rPr>
              <w:t>17</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lang w:val="en-US" w:eastAsia="zh-CN"/>
              </w:rPr>
              <w:t>00</w:t>
            </w:r>
            <w:r>
              <w:rPr>
                <w:rFonts w:hint="eastAsia" w:ascii="宋体" w:hAnsi="宋体"/>
                <w:szCs w:val="21"/>
                <w:highlight w:val="none"/>
              </w:rPr>
              <w:t>（北京时间</w:t>
            </w:r>
            <w:r>
              <w:rPr>
                <w:rFonts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highlight w:val="none"/>
              </w:rPr>
              <w:t>2</w:t>
            </w:r>
            <w:r>
              <w:rPr>
                <w:rFonts w:ascii="宋体" w:hAnsi="宋体"/>
                <w:szCs w:val="21"/>
                <w:highlight w:val="none"/>
              </w:rPr>
              <w:t>02</w:t>
            </w: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lang w:val="en-US" w:eastAsia="zh-CN"/>
              </w:rPr>
              <w:t>10</w:t>
            </w:r>
            <w:r>
              <w:rPr>
                <w:rFonts w:ascii="宋体" w:hAnsi="宋体"/>
                <w:szCs w:val="21"/>
                <w:highlight w:val="none"/>
              </w:rPr>
              <w:t>-</w:t>
            </w:r>
            <w:r>
              <w:rPr>
                <w:rFonts w:hint="eastAsia" w:ascii="宋体" w:hAnsi="宋体"/>
                <w:szCs w:val="21"/>
                <w:highlight w:val="none"/>
                <w:lang w:val="en-US" w:eastAsia="zh-CN"/>
              </w:rPr>
              <w:t>20</w:t>
            </w:r>
            <w:r>
              <w:rPr>
                <w:rFonts w:ascii="宋体" w:hAnsi="宋体"/>
                <w:szCs w:val="21"/>
                <w:highlight w:val="none"/>
              </w:rPr>
              <w:t xml:space="preserve"> </w:t>
            </w:r>
            <w:r>
              <w:rPr>
                <w:rFonts w:hint="eastAsia" w:ascii="宋体" w:hAnsi="宋体"/>
                <w:szCs w:val="21"/>
                <w:highlight w:val="none"/>
                <w:lang w:val="en-US" w:eastAsia="zh-CN"/>
              </w:rPr>
              <w:t>17</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lang w:val="en-US" w:eastAsia="zh-CN"/>
              </w:rPr>
              <w:t>00</w:t>
            </w:r>
            <w:r>
              <w:rPr>
                <w:rFonts w:hint="eastAsia" w:ascii="宋体" w:hAnsi="宋体"/>
                <w:szCs w:val="21"/>
                <w:highlight w:val="none"/>
              </w:rPr>
              <w:t>（北京时间</w:t>
            </w:r>
            <w:r>
              <w:rPr>
                <w:rFonts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highlight w:val="none"/>
              </w:rPr>
              <w:t>2</w:t>
            </w:r>
            <w:r>
              <w:rPr>
                <w:rFonts w:ascii="宋体" w:hAnsi="宋体"/>
                <w:szCs w:val="21"/>
                <w:highlight w:val="none"/>
              </w:rPr>
              <w:t>02</w:t>
            </w: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lang w:val="en-US" w:eastAsia="zh-CN"/>
              </w:rPr>
              <w:t>10</w:t>
            </w:r>
            <w:r>
              <w:rPr>
                <w:rFonts w:ascii="宋体" w:hAnsi="宋体"/>
                <w:szCs w:val="21"/>
                <w:highlight w:val="none"/>
              </w:rPr>
              <w:t>-</w:t>
            </w:r>
            <w:r>
              <w:rPr>
                <w:rFonts w:hint="eastAsia" w:ascii="宋体" w:hAnsi="宋体"/>
                <w:szCs w:val="21"/>
                <w:highlight w:val="none"/>
                <w:lang w:val="en-US" w:eastAsia="zh-CN"/>
              </w:rPr>
              <w:t>21</w:t>
            </w:r>
            <w:r>
              <w:rPr>
                <w:rFonts w:ascii="宋体" w:hAnsi="宋体"/>
                <w:szCs w:val="21"/>
                <w:highlight w:val="none"/>
              </w:rPr>
              <w:t xml:space="preserve"> </w:t>
            </w:r>
            <w:r>
              <w:rPr>
                <w:rFonts w:hint="eastAsia" w:ascii="宋体" w:hAnsi="宋体"/>
                <w:szCs w:val="21"/>
                <w:highlight w:val="none"/>
                <w:lang w:val="en-US" w:eastAsia="zh-CN"/>
              </w:rPr>
              <w:t>17</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lang w:val="en-US" w:eastAsia="zh-CN"/>
              </w:rPr>
              <w:t>00</w:t>
            </w:r>
            <w:r>
              <w:rPr>
                <w:rFonts w:hint="eastAsia" w:ascii="宋体" w:hAnsi="宋体"/>
                <w:szCs w:val="21"/>
                <w:highlight w:val="none"/>
              </w:rPr>
              <w:t>（北京时间</w:t>
            </w:r>
            <w:r>
              <w:rPr>
                <w:rFonts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highlight w:val="none"/>
              </w:rPr>
              <w:t>2</w:t>
            </w:r>
            <w:r>
              <w:rPr>
                <w:rFonts w:ascii="宋体" w:hAnsi="宋体"/>
                <w:szCs w:val="21"/>
                <w:highlight w:val="none"/>
              </w:rPr>
              <w:t>02</w:t>
            </w: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lang w:val="en-US" w:eastAsia="zh-CN"/>
              </w:rPr>
              <w:t>10</w:t>
            </w:r>
            <w:r>
              <w:rPr>
                <w:rFonts w:ascii="宋体" w:hAnsi="宋体"/>
                <w:szCs w:val="21"/>
                <w:highlight w:val="none"/>
              </w:rPr>
              <w:t>-</w:t>
            </w:r>
            <w:r>
              <w:rPr>
                <w:rFonts w:hint="eastAsia" w:ascii="宋体" w:hAnsi="宋体"/>
                <w:szCs w:val="21"/>
                <w:highlight w:val="none"/>
                <w:lang w:val="en-US" w:eastAsia="zh-CN"/>
              </w:rPr>
              <w:t>24</w:t>
            </w:r>
            <w:r>
              <w:rPr>
                <w:rFonts w:ascii="宋体" w:hAnsi="宋体"/>
                <w:szCs w:val="21"/>
                <w:highlight w:val="none"/>
              </w:rPr>
              <w:t xml:space="preserve"> </w:t>
            </w:r>
            <w:r>
              <w:rPr>
                <w:rFonts w:hint="eastAsia" w:ascii="宋体" w:hAnsi="宋体"/>
                <w:szCs w:val="21"/>
                <w:highlight w:val="none"/>
                <w:lang w:val="en-US" w:eastAsia="zh-CN"/>
              </w:rPr>
              <w:t>17</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lang w:val="en-US" w:eastAsia="zh-CN"/>
              </w:rPr>
              <w:t>00</w:t>
            </w:r>
            <w:r>
              <w:rPr>
                <w:rFonts w:hint="eastAsia" w:ascii="宋体" w:hAnsi="宋体"/>
                <w:szCs w:val="21"/>
                <w:highlight w:val="none"/>
              </w:rPr>
              <w:t>（北京时间</w:t>
            </w:r>
            <w:r>
              <w:rPr>
                <w:rFonts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w:t>
            </w:r>
            <w:r>
              <w:rPr>
                <w:rFonts w:ascii="宋体" w:hAnsi="宋体"/>
                <w:szCs w:val="21"/>
              </w:rPr>
              <w:t>MS Word</w:t>
            </w:r>
            <w:r>
              <w:rPr>
                <w:rFonts w:hint="eastAsia" w:ascii="宋体" w:hAnsi="宋体"/>
                <w:szCs w:val="21"/>
              </w:rPr>
              <w:t>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https://cg.szcec.com/sharing/CMyPM5KIx，</w:t>
            </w:r>
            <w:r>
              <w:rPr>
                <w:rFonts w:hint="eastAsia" w:ascii="宋体" w:hAnsi="宋体"/>
                <w:szCs w:val="21"/>
              </w:rPr>
              <w:t>并致电确认，</w:t>
            </w:r>
            <w:bookmarkStart w:id="2" w:name="_Toc478110532"/>
            <w:bookmarkStart w:id="3" w:name="_Toc478392822"/>
            <w:bookmarkStart w:id="4" w:name="_Toc478393187"/>
            <w:r>
              <w:rPr>
                <w:rFonts w:hint="eastAsia" w:ascii="宋体" w:hAnsi="宋体"/>
              </w:rPr>
              <w:t>注意事项：</w:t>
            </w:r>
          </w:p>
          <w:p>
            <w:pPr>
              <w:pStyle w:val="22"/>
              <w:numPr>
                <w:ilvl w:val="0"/>
                <w:numId w:val="3"/>
              </w:numPr>
              <w:ind w:left="541" w:hanging="541" w:firstLineChars="0"/>
              <w:rPr>
                <w:rFonts w:ascii="宋体" w:hAnsi="宋体" w:eastAsia="宋体"/>
                <w:szCs w:val="21"/>
              </w:rPr>
            </w:pPr>
            <w:bookmarkStart w:id="5" w:name="_Hlk60498011"/>
            <w:r>
              <w:rPr>
                <w:rFonts w:hint="eastAsia" w:ascii="宋体" w:hAnsi="宋体" w:eastAsia="宋体"/>
                <w:szCs w:val="21"/>
              </w:rPr>
              <w:t>为便于开标时的解密操作，响应文件（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szCs w:val="21"/>
              </w:rPr>
              <w:t>建议采用</w:t>
            </w:r>
            <w:r>
              <w:rPr>
                <w:rFonts w:hint="eastAsia" w:ascii="宋体" w:hAnsi="宋体" w:eastAsia="宋体"/>
                <w:szCs w:val="21"/>
              </w:rPr>
              <w:t>winRAR或winzip等常用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2"/>
              <w:numPr>
                <w:ilvl w:val="0"/>
                <w:numId w:val="3"/>
              </w:numPr>
              <w:ind w:left="541" w:hanging="541" w:firstLineChars="0"/>
              <w:rPr>
                <w:rFonts w:ascii="宋体" w:hAnsi="宋体" w:eastAsia="宋体"/>
                <w:szCs w:val="21"/>
              </w:rPr>
            </w:pPr>
            <w:r>
              <w:rPr>
                <w:rFonts w:hint="eastAsia" w:ascii="宋体" w:hAnsi="宋体" w:eastAsia="宋体"/>
                <w:szCs w:val="21"/>
              </w:rPr>
              <w:t>投标人授权代表须熟记文件密码，并在开标时按照招标</w:t>
            </w:r>
            <w:r>
              <w:rPr>
                <w:rFonts w:hint="eastAsia" w:ascii="宋体" w:hAnsi="宋体" w:eastAsia="宋体"/>
                <w:szCs w:val="21"/>
                <w:shd w:val="clear" w:color="FFFFFF" w:fill="D9D9D9"/>
              </w:rPr>
              <w:t>人现场指令</w:t>
            </w:r>
            <w:r>
              <w:rPr>
                <w:rFonts w:hint="eastAsia" w:ascii="宋体" w:hAnsi="宋体" w:eastAsia="宋体"/>
              </w:rPr>
              <w:t>将投标文件解密密码（详见附件1</w:t>
            </w:r>
            <w:r>
              <w:rPr>
                <w:rFonts w:ascii="宋体" w:hAnsi="宋体" w:eastAsia="宋体"/>
              </w:rPr>
              <w:t>5</w:t>
            </w:r>
            <w:r>
              <w:rPr>
                <w:rFonts w:hint="eastAsia" w:ascii="宋体" w:hAnsi="宋体" w:eastAsia="宋体"/>
              </w:rPr>
              <w:t>）上传至</w:t>
            </w:r>
            <w:r>
              <w:rPr>
                <w:rFonts w:hint="eastAsia" w:ascii="宋体" w:hAnsi="宋体"/>
                <w:bCs/>
                <w:color w:val="FF0000"/>
                <w:highlight w:val="yellow"/>
              </w:rPr>
              <w:t>https://cg.szcec.com/sharing/78pZXC1ay，</w:t>
            </w:r>
            <w:r>
              <w:rPr>
                <w:rFonts w:hint="eastAsia" w:ascii="宋体" w:hAnsi="宋体" w:eastAsia="宋体"/>
                <w:szCs w:val="21"/>
              </w:rPr>
              <w:t>（为确保开评标工作的保密性并兼顾效率，密码早发、晚发的，均可能导致废标的不利后果）。</w:t>
            </w:r>
          </w:p>
          <w:p>
            <w:pPr>
              <w:pStyle w:val="22"/>
              <w:numPr>
                <w:ilvl w:val="0"/>
                <w:numId w:val="3"/>
              </w:numPr>
              <w:ind w:left="541" w:hanging="541"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2"/>
              <w:numPr>
                <w:ilvl w:val="0"/>
                <w:numId w:val="3"/>
              </w:numPr>
              <w:ind w:left="541" w:hanging="541"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版）文件为准，W</w:t>
            </w:r>
            <w:r>
              <w:rPr>
                <w:rFonts w:ascii="宋体" w:hAnsi="宋体" w:eastAsia="宋体"/>
                <w:szCs w:val="21"/>
              </w:rPr>
              <w:t>ord</w:t>
            </w:r>
            <w:r>
              <w:rPr>
                <w:rFonts w:hint="eastAsia" w:ascii="宋体" w:hAnsi="宋体" w:eastAsia="宋体"/>
                <w:szCs w:val="21"/>
              </w:rPr>
              <w:t>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highlight w:val="none"/>
              </w:rPr>
              <w:t>2</w:t>
            </w:r>
            <w:r>
              <w:rPr>
                <w:rFonts w:ascii="宋体" w:hAnsi="宋体"/>
                <w:szCs w:val="21"/>
                <w:highlight w:val="none"/>
              </w:rPr>
              <w:t>02</w:t>
            </w: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lang w:val="en-US" w:eastAsia="zh-CN"/>
              </w:rPr>
              <w:t>10</w:t>
            </w:r>
            <w:r>
              <w:rPr>
                <w:rFonts w:ascii="宋体" w:hAnsi="宋体"/>
                <w:szCs w:val="21"/>
                <w:highlight w:val="none"/>
              </w:rPr>
              <w:t>-</w:t>
            </w:r>
            <w:r>
              <w:rPr>
                <w:rFonts w:hint="eastAsia" w:ascii="宋体" w:hAnsi="宋体"/>
                <w:szCs w:val="21"/>
                <w:highlight w:val="none"/>
                <w:lang w:val="en-US" w:eastAsia="zh-CN"/>
              </w:rPr>
              <w:t>25</w:t>
            </w:r>
            <w:r>
              <w:rPr>
                <w:rFonts w:ascii="宋体" w:hAnsi="宋体"/>
                <w:szCs w:val="21"/>
                <w:highlight w:val="none"/>
              </w:rPr>
              <w:t xml:space="preserve"> </w:t>
            </w:r>
            <w:r>
              <w:rPr>
                <w:rFonts w:hint="eastAsia" w:ascii="宋体" w:hAnsi="宋体"/>
                <w:szCs w:val="21"/>
                <w:highlight w:val="none"/>
                <w:lang w:val="en-US" w:eastAsia="zh-CN"/>
              </w:rPr>
              <w:t>14</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lang w:val="en-US" w:eastAsia="zh-CN"/>
              </w:rPr>
              <w:t>30</w:t>
            </w:r>
            <w:r>
              <w:rPr>
                <w:rFonts w:hint="eastAsia" w:ascii="宋体" w:hAnsi="宋体"/>
                <w:szCs w:val="21"/>
                <w:highlight w:val="none"/>
              </w:rPr>
              <w:t>（北京时间</w:t>
            </w:r>
            <w:r>
              <w:rPr>
                <w:rFonts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深圳会展中心指定视频会议室，会议室编号：</w:t>
            </w:r>
            <w:r>
              <w:rPr>
                <w:rFonts w:hint="eastAsia" w:ascii="宋体" w:hAnsi="宋体"/>
                <w:szCs w:val="21"/>
                <w:lang w:val="en-US" w:eastAsia="zh-CN"/>
              </w:rPr>
              <w:t>817691026。</w:t>
            </w:r>
            <w:r>
              <w:rPr>
                <w:rFonts w:hint="eastAsia" w:ascii="宋体" w:hAnsi="宋体"/>
                <w:szCs w:val="21"/>
              </w:rPr>
              <w:t>届时请各投标人按采购公告要求准时提交响应文件并参加在线开标。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szCs w:val="21"/>
              </w:rPr>
            </w:pPr>
            <w:r>
              <w:rPr>
                <w:rFonts w:hint="eastAsia" w:ascii="宋体" w:hAnsi="宋体"/>
                <w:kern w:val="0"/>
                <w:szCs w:val="21"/>
              </w:rPr>
              <w:sym w:font="Wingdings 2" w:char="0052"/>
            </w:r>
            <w:r>
              <w:rPr>
                <w:rFonts w:hint="eastAsia" w:ascii="宋体" w:hAnsi="宋体" w:cstheme="minorBidi"/>
                <w:szCs w:val="21"/>
              </w:rPr>
              <w:t>不接受</w:t>
            </w:r>
          </w:p>
          <w:p>
            <w:pPr>
              <w:autoSpaceDE w:val="0"/>
              <w:autoSpaceDN w:val="0"/>
              <w:adjustRightInd w:val="0"/>
              <w:snapToGrid w:val="0"/>
              <w:rPr>
                <w:rFonts w:ascii="宋体" w:hAnsi="宋体"/>
                <w:kern w:val="0"/>
                <w:szCs w:val="21"/>
              </w:rPr>
            </w:pPr>
            <w:r>
              <w:rPr>
                <w:rFonts w:hint="eastAsia" w:ascii="宋体" w:hAnsi="宋体" w:cstheme="minorBidi"/>
                <w:szCs w:val="21"/>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theme="minorBidi"/>
                <w:kern w:val="0"/>
                <w:szCs w:val="21"/>
              </w:rPr>
              <w:sym w:font="Wingdings 2" w:char="0052"/>
            </w:r>
            <w:r>
              <w:rPr>
                <w:rFonts w:hint="eastAsia" w:ascii="宋体" w:hAnsi="宋体" w:cstheme="minorBidi"/>
                <w:kern w:val="0"/>
                <w:szCs w:val="21"/>
              </w:rPr>
              <w:t>不组织。可在公开招标开始后至公开招标结束前自行踏勘。</w:t>
            </w:r>
          </w:p>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theme="minorBidi"/>
                <w:kern w:val="0"/>
                <w:szCs w:val="21"/>
              </w:rPr>
              <w:t>□组织，踏勘要求：</w:t>
            </w:r>
          </w:p>
          <w:p>
            <w:pPr>
              <w:pStyle w:val="22"/>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2"/>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2"/>
              <w:tabs>
                <w:tab w:val="left" w:pos="541"/>
              </w:tabs>
              <w:snapToGrid w:val="0"/>
              <w:spacing w:after="156" w:afterLines="5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2"/>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××邀请投标人人员察看现场并讲解项目需求；投标人应指派完全符合疫情防控要求的人员参加本项目的现场踏勘。</w:t>
            </w:r>
          </w:p>
          <w:p>
            <w:pPr>
              <w:pStyle w:val="22"/>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2"/>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2"/>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鉴</w:t>
            </w:r>
            <w:r>
              <w:rPr>
                <w:rFonts w:hint="eastAsia" w:ascii="宋体" w:hAnsi="宋体" w:eastAsia="宋体"/>
                <w:kern w:val="0"/>
              </w:rPr>
              <w:t>于疫情防控要求，所有入场人员需持24小时核酸检测阴性结果，投标人须至少提前一天与踏勘联系人预约。否则，将可能导致投标人不能进入踏勘现场的不利后果。投标人必须保证所安排的踏勘人员完全符合政府主管部门及招标人疫情防控要求，否则由此带来的一切责任和风险均由投标人负责。且招标人有权拒绝未预约备案人员参加本项目踏勘活动。</w:t>
            </w:r>
            <w:r>
              <w:rPr>
                <w:rFonts w:hint="eastAsia" w:ascii="宋体" w:hAnsi="宋体" w:eastAsia="宋体"/>
                <w:b/>
                <w:kern w:val="0"/>
              </w:rPr>
              <w:t>（特别注意：各投标人不得指派属于高、中风险地区人员作为本项目的踏勘人员）</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2"/>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w:t>
            </w:r>
          </w:p>
          <w:p>
            <w:pPr>
              <w:pStyle w:val="22"/>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2"/>
              <w:tabs>
                <w:tab w:val="left" w:pos="541"/>
              </w:tabs>
              <w:snapToGrid w:val="0"/>
              <w:ind w:firstLine="0"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2"/>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sym w:font="Wingdings 2" w:char="0052"/>
            </w:r>
            <w:r>
              <w:rPr>
                <w:rFonts w:hint="eastAsia" w:ascii="宋体" w:hAnsi="宋体" w:eastAsia="宋体" w:cs="Segoe UI Symbol"/>
                <w:kern w:val="0"/>
                <w:szCs w:val="21"/>
              </w:rPr>
              <w:t>不要求</w:t>
            </w:r>
          </w:p>
          <w:p>
            <w:pPr>
              <w:pStyle w:val="22"/>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t>□要求</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hint="eastAsia" w:ascii="宋体" w:hAnsi="宋体" w:eastAsia="宋体" w:cs="Segoe UI Symbol"/>
                <w:kern w:val="0"/>
                <w:szCs w:val="21"/>
                <w:u w:val="single"/>
              </w:rPr>
              <w:t xml:space="preserve"> </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szCs w:val="21"/>
              </w:rPr>
            </w:pPr>
            <w:r>
              <w:rPr>
                <w:rFonts w:ascii="Segoe UI Symbol" w:hAnsi="Segoe UI Symbol" w:cs="Segoe UI Symbol"/>
                <w:szCs w:val="21"/>
              </w:rPr>
              <w:t>☑</w:t>
            </w:r>
            <w:r>
              <w:rPr>
                <w:rFonts w:hint="eastAsia" w:ascii="宋体" w:hAnsi="宋体"/>
                <w:szCs w:val="21"/>
              </w:rPr>
              <w:t>不要求递交投标样品</w:t>
            </w:r>
          </w:p>
          <w:p>
            <w:pPr>
              <w:autoSpaceDE w:val="0"/>
              <w:autoSpaceDN w:val="0"/>
              <w:adjustRightInd w:val="0"/>
              <w:snapToGrid w:val="0"/>
              <w:jc w:val="left"/>
              <w:rPr>
                <w:rFonts w:ascii="宋体" w:hAnsi="宋体"/>
                <w:szCs w:val="21"/>
                <w:u w:val="single"/>
              </w:rPr>
            </w:pPr>
            <w:r>
              <w:rPr>
                <w:rFonts w:hint="eastAsia" w:ascii="宋体" w:hAnsi="宋体"/>
                <w:szCs w:val="21"/>
              </w:rPr>
              <w:t>□递交投标样品，具体要求：</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kern w:val="0"/>
                <w:szCs w:val="21"/>
              </w:rPr>
            </w:pPr>
            <w:r>
              <w:rPr>
                <w:rFonts w:ascii="Segoe UI Symbol" w:hAnsi="Segoe UI Symbol" w:cs="Segoe UI Symbol"/>
                <w:szCs w:val="21"/>
              </w:rPr>
              <w:t>☑</w:t>
            </w:r>
            <w:r>
              <w:rPr>
                <w:rFonts w:hint="eastAsia" w:ascii="宋体" w:hAnsi="宋体" w:cs="Segoe UI Symbol"/>
                <w:kern w:val="0"/>
                <w:szCs w:val="21"/>
              </w:rPr>
              <w:t>综合评分法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□最低价法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□其他：</w:t>
            </w:r>
            <w:r>
              <w:rPr>
                <w:rFonts w:hint="eastAsia" w:ascii="宋体" w:hAnsi="宋体" w:cs="Segoe UI Symbol"/>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szCs w:val="21"/>
              </w:rPr>
            </w:pPr>
            <w:r>
              <w:rPr>
                <w:rFonts w:ascii="Segoe UI Symbol" w:hAnsi="Segoe UI Symbol" w:cs="Segoe UI Symbol"/>
                <w:szCs w:val="21"/>
              </w:rPr>
              <w:t>☑</w:t>
            </w:r>
            <w:r>
              <w:rPr>
                <w:rFonts w:hint="eastAsia" w:ascii="宋体" w:hAnsi="宋体" w:cs="Segoe UI Symbol"/>
                <w:kern w:val="0"/>
                <w:szCs w:val="21"/>
              </w:rPr>
              <w:t>内部招标评标</w:t>
            </w:r>
            <w:r>
              <w:rPr>
                <w:rFonts w:ascii="宋体" w:hAnsi="宋体" w:cs="Segoe UI Symbol"/>
                <w:kern w:val="0"/>
                <w:szCs w:val="21"/>
              </w:rPr>
              <w:t>小组推荐的中标候选人数</w:t>
            </w:r>
            <w:r>
              <w:rPr>
                <w:rFonts w:hint="eastAsia" w:ascii="宋体" w:hAnsi="宋体" w:cs="Segoe UI Symbol"/>
                <w:kern w:val="0"/>
                <w:szCs w:val="21"/>
              </w:rPr>
              <w:t>：</w:t>
            </w:r>
            <w:r>
              <w:rPr>
                <w:rFonts w:hint="eastAsia" w:ascii="宋体" w:hAnsi="宋体" w:cs="Segoe UI Symbol"/>
                <w:kern w:val="0"/>
                <w:szCs w:val="21"/>
                <w:u w:val="single"/>
              </w:rPr>
              <w:t xml:space="preserve">  1  个</w:t>
            </w:r>
            <w:r>
              <w:rPr>
                <w:rFonts w:hint="eastAsia" w:ascii="宋体" w:hAnsi="宋体" w:cs="Segoe UI Symbol"/>
                <w:kern w:val="0"/>
                <w:szCs w:val="21"/>
              </w:rPr>
              <w:t>。</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w:t>
            </w:r>
            <w:r>
              <w:rPr>
                <w:rFonts w:hint="eastAsia" w:ascii="宋体" w:hAnsi="宋体" w:cs="宋体"/>
                <w:szCs w:val="21"/>
              </w:rPr>
              <w:t>适用于采用</w:t>
            </w:r>
            <w:r>
              <w:rPr>
                <w:rFonts w:hint="eastAsia" w:ascii="宋体" w:hAnsi="宋体" w:cs="宋体"/>
                <w:b/>
                <w:bCs/>
                <w:szCs w:val="21"/>
              </w:rPr>
              <w:t>综合评分法</w:t>
            </w:r>
            <w:r>
              <w:rPr>
                <w:rFonts w:hint="eastAsia" w:ascii="宋体" w:hAnsi="宋体" w:cs="宋体"/>
                <w:szCs w:val="21"/>
              </w:rPr>
              <w:t>、</w:t>
            </w:r>
            <w:r>
              <w:rPr>
                <w:rFonts w:hint="eastAsia" w:ascii="宋体" w:hAnsi="宋体" w:cs="宋体"/>
                <w:b/>
                <w:bCs/>
                <w:szCs w:val="21"/>
              </w:rPr>
              <w:t>最低价法</w:t>
            </w:r>
            <w:r>
              <w:rPr>
                <w:rFonts w:hint="eastAsia" w:ascii="宋体" w:hAnsi="宋体" w:cs="宋体"/>
                <w:bCs/>
                <w:szCs w:val="21"/>
              </w:rPr>
              <w:t>）</w:t>
            </w:r>
          </w:p>
        </w:tc>
      </w:tr>
    </w:tbl>
    <w:p>
      <w:pPr>
        <w:numPr>
          <w:ilvl w:val="0"/>
          <w:numId w:val="1"/>
        </w:numPr>
        <w:spacing w:line="560" w:lineRule="exact"/>
        <w:outlineLvl w:val="1"/>
        <w:rPr>
          <w:rFonts w:ascii="宋体" w:hAnsi="宋体"/>
          <w:b/>
          <w:szCs w:val="21"/>
        </w:rPr>
      </w:pPr>
      <w:bookmarkStart w:id="6" w:name="_Toc82684704"/>
      <w:bookmarkEnd w:id="6"/>
      <w:bookmarkStart w:id="7" w:name="_Toc82685541"/>
      <w:bookmarkEnd w:id="7"/>
      <w:bookmarkStart w:id="8" w:name="_Toc82685543"/>
      <w:bookmarkEnd w:id="8"/>
      <w:bookmarkStart w:id="9" w:name="_Toc82684705"/>
      <w:bookmarkEnd w:id="9"/>
      <w:bookmarkStart w:id="10" w:name="_Toc82685540"/>
      <w:bookmarkEnd w:id="10"/>
      <w:bookmarkStart w:id="11" w:name="_Toc82684591"/>
      <w:bookmarkEnd w:id="11"/>
      <w:bookmarkStart w:id="12" w:name="_Toc82684588"/>
      <w:bookmarkEnd w:id="12"/>
      <w:bookmarkStart w:id="13" w:name="_Toc82591927"/>
      <w:bookmarkEnd w:id="13"/>
      <w:bookmarkStart w:id="14" w:name="_Toc82684706"/>
      <w:bookmarkEnd w:id="14"/>
      <w:bookmarkStart w:id="15" w:name="_Toc82684589"/>
      <w:bookmarkEnd w:id="15"/>
      <w:bookmarkStart w:id="16" w:name="_Toc82685542"/>
      <w:bookmarkEnd w:id="16"/>
      <w:bookmarkStart w:id="17" w:name="_Toc82684703"/>
      <w:bookmarkEnd w:id="17"/>
      <w:bookmarkStart w:id="18" w:name="_Toc82591928"/>
      <w:bookmarkEnd w:id="18"/>
      <w:bookmarkStart w:id="19" w:name="_Toc82591926"/>
      <w:bookmarkEnd w:id="19"/>
      <w:bookmarkStart w:id="20" w:name="_Toc82591925"/>
      <w:bookmarkEnd w:id="20"/>
      <w:bookmarkStart w:id="21" w:name="_Toc82684590"/>
      <w:bookmarkEnd w:id="21"/>
      <w:bookmarkStart w:id="22" w:name="_Toc32401"/>
      <w:r>
        <w:rPr>
          <w:rFonts w:hint="eastAsia" w:ascii="宋体" w:hAnsi="宋体"/>
          <w:b/>
          <w:szCs w:val="21"/>
        </w:rPr>
        <w:t>特别说明</w:t>
      </w:r>
      <w:bookmarkEnd w:id="22"/>
    </w:p>
    <w:p>
      <w:pPr>
        <w:pStyle w:val="22"/>
        <w:numPr>
          <w:ilvl w:val="0"/>
          <w:numId w:val="9"/>
        </w:numPr>
        <w:spacing w:line="360" w:lineRule="auto"/>
        <w:ind w:left="0" w:firstLine="420" w:firstLineChars="0"/>
        <w:rPr>
          <w:rFonts w:ascii="宋体" w:hAnsi="宋体" w:eastAsia="宋体" w:cs="宋体"/>
          <w:szCs w:val="21"/>
        </w:rPr>
      </w:pPr>
      <w:bookmarkStart w:id="23" w:name="_Toc517278751"/>
      <w:bookmarkStart w:id="24" w:name="_Toc478387747"/>
      <w:bookmarkStart w:id="25" w:name="_Toc45028463"/>
      <w:r>
        <w:rPr>
          <w:rFonts w:hint="eastAsia" w:ascii="宋体" w:hAnsi="宋体" w:eastAsia="宋体" w:cs="宋体"/>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本项目涉及的所有往来资料文件均需通过招标人报名回函上指定的电子邮箱发送和接收，否则可能导致文件不被接受的不利后果。</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3"/>
    <w:bookmarkEnd w:id="24"/>
    <w:bookmarkEnd w:id="25"/>
    <w:p>
      <w:pPr>
        <w:pStyle w:val="22"/>
        <w:spacing w:line="360" w:lineRule="auto"/>
        <w:ind w:left="420" w:firstLine="0" w:firstLineChars="0"/>
        <w:rPr>
          <w:rFonts w:ascii="宋体" w:hAnsi="宋体" w:eastAsia="宋体" w:cs="宋体"/>
          <w:szCs w:val="21"/>
        </w:rPr>
      </w:pPr>
    </w:p>
    <w:p>
      <w:pPr>
        <w:pStyle w:val="22"/>
        <w:spacing w:line="360" w:lineRule="auto"/>
        <w:ind w:left="420" w:firstLine="0" w:firstLineChars="0"/>
        <w:rPr>
          <w:rFonts w:ascii="宋体" w:hAnsi="宋体" w:eastAsia="宋体" w:cs="宋体"/>
          <w:szCs w:val="21"/>
        </w:rPr>
      </w:pPr>
    </w:p>
    <w:p>
      <w:pPr>
        <w:numPr>
          <w:ilvl w:val="0"/>
          <w:numId w:val="1"/>
        </w:numPr>
        <w:spacing w:line="560" w:lineRule="exact"/>
        <w:outlineLvl w:val="1"/>
        <w:rPr>
          <w:rFonts w:ascii="宋体" w:hAnsi="宋体"/>
          <w:b/>
          <w:szCs w:val="21"/>
        </w:rPr>
      </w:pPr>
      <w:bookmarkStart w:id="26" w:name="_Toc82591987"/>
      <w:bookmarkEnd w:id="26"/>
      <w:bookmarkStart w:id="27" w:name="_Toc82684708"/>
      <w:bookmarkEnd w:id="27"/>
      <w:bookmarkStart w:id="28" w:name="_Toc82591930"/>
      <w:bookmarkEnd w:id="28"/>
      <w:bookmarkStart w:id="29" w:name="_Toc82685545"/>
      <w:bookmarkEnd w:id="29"/>
      <w:bookmarkStart w:id="30" w:name="_Toc82684593"/>
      <w:bookmarkEnd w:id="30"/>
      <w:bookmarkStart w:id="31" w:name="_Toc82591985"/>
      <w:bookmarkEnd w:id="31"/>
      <w:bookmarkStart w:id="32" w:name="_Toc82591988"/>
      <w:bookmarkEnd w:id="32"/>
      <w:bookmarkStart w:id="33" w:name="_Toc82591989"/>
      <w:bookmarkEnd w:id="33"/>
      <w:bookmarkStart w:id="34" w:name="_Toc82591986"/>
      <w:bookmarkEnd w:id="34"/>
      <w:bookmarkStart w:id="35" w:name="_Toc9754"/>
      <w:r>
        <w:rPr>
          <w:rFonts w:hint="eastAsia" w:ascii="宋体" w:hAnsi="宋体"/>
          <w:b/>
          <w:szCs w:val="21"/>
        </w:rPr>
        <w:t>投标文件编制</w:t>
      </w:r>
      <w:bookmarkEnd w:id="35"/>
    </w:p>
    <w:tbl>
      <w:tblPr>
        <w:tblStyle w:val="1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hint="eastAsia"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953"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项目团队负责人简介、社保证明资料或与中标单位签订的劳务合同复印件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bCs/>
                <w:snapToGrid w:val="0"/>
                <w:kern w:val="0"/>
                <w:szCs w:val="21"/>
              </w:rPr>
            </w:pPr>
            <w:r>
              <w:rPr>
                <w:rFonts w:hint="eastAsia" w:ascii="宋体" w:hAnsi="宋体"/>
                <w:bCs/>
                <w:snapToGrid w:val="0"/>
                <w:kern w:val="0"/>
                <w:szCs w:val="21"/>
              </w:rPr>
              <w:t>编制内容：</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29123"/>
      <w:r>
        <w:rPr>
          <w:rFonts w:hint="eastAsia" w:ascii="宋体" w:hAnsi="宋体"/>
          <w:b/>
          <w:szCs w:val="21"/>
        </w:rPr>
        <w:t>项目要求及数量</w:t>
      </w:r>
      <w:bookmarkEnd w:id="36"/>
    </w:p>
    <w:tbl>
      <w:tblPr>
        <w:tblStyle w:val="15"/>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rPr>
                <w:rFonts w:ascii="宋体"/>
                <w:color w:val="auto"/>
              </w:rPr>
            </w:pPr>
            <w:bookmarkStart w:id="37" w:name="OLE_LINK4"/>
            <w:bookmarkStart w:id="38" w:name="OLE_LINK3"/>
            <w:r>
              <w:rPr>
                <w:rFonts w:hint="eastAsia" w:ascii="宋体"/>
                <w:color w:val="auto"/>
              </w:rPr>
              <w:t>投标人应为中华人民共和国境内注册且合法运作的独立法人或具有独立承担民事责任能力的其它组织。提供营业执照或法人证明文件或登记证书扫描件或复印件（加盖投标人公章）。</w:t>
            </w:r>
          </w:p>
          <w:p>
            <w:pPr>
              <w:numPr>
                <w:ilvl w:val="0"/>
                <w:numId w:val="10"/>
              </w:numPr>
              <w:tabs>
                <w:tab w:val="left" w:pos="531"/>
              </w:tabs>
              <w:snapToGrid w:val="0"/>
              <w:rPr>
                <w:rFonts w:ascii="宋体"/>
                <w:color w:val="auto"/>
              </w:rPr>
            </w:pPr>
            <w:r>
              <w:rPr>
                <w:rFonts w:hint="eastAsia" w:ascii="宋体"/>
                <w:color w:val="auto"/>
              </w:rPr>
              <w:t>投标人应无未改正的经营异常信息，无违法失信记录。须提供“信用中国”网站（www.creditchina.gov.cn）“信用服务”栏查询“重大税收违法案件当事人名单”“失信被执行人”信用记录查询网页截图，被列入失信被执行人、重大税收违法案件当事人名单的，拒绝参与本项目的采购活动。</w:t>
            </w:r>
          </w:p>
          <w:bookmarkEnd w:id="37"/>
          <w:bookmarkEnd w:id="38"/>
          <w:p>
            <w:pPr>
              <w:numPr>
                <w:ilvl w:val="0"/>
                <w:numId w:val="10"/>
              </w:numPr>
              <w:tabs>
                <w:tab w:val="left" w:pos="531"/>
              </w:tabs>
              <w:snapToGrid w:val="0"/>
              <w:rPr>
                <w:rFonts w:ascii="宋体"/>
                <w:color w:val="auto"/>
              </w:rPr>
            </w:pPr>
            <w:r>
              <w:rPr>
                <w:rFonts w:hint="eastAsia" w:ascii="宋体"/>
                <w:color w:val="auto"/>
              </w:rPr>
              <w:t>投标人代表必须是投标单位的法定代表人或负责人或持有法定代表人或负责人亲自签署的法人或负责人授权委托证明书的人员。（提供法定代表人或负责人证明书、法人或负责人授权委托证明书，如单位法定代表人或负责人为本项目授权代表，则仅提供法定代表人或负责人证明书及身份证复印件，各证明书须加盖公章，身份证原件备查）。</w:t>
            </w:r>
          </w:p>
          <w:p>
            <w:pPr>
              <w:numPr>
                <w:ilvl w:val="0"/>
                <w:numId w:val="10"/>
              </w:numPr>
              <w:tabs>
                <w:tab w:val="left" w:pos="531"/>
              </w:tabs>
              <w:snapToGrid w:val="0"/>
              <w:ind w:left="0" w:firstLine="0"/>
              <w:rPr>
                <w:rFonts w:ascii="宋体" w:hAnsi="宋体" w:cs="宋体"/>
              </w:rPr>
            </w:pPr>
            <w:r>
              <w:rPr>
                <w:rFonts w:hint="eastAsia" w:ascii="宋体" w:hAnsi="宋体" w:cs="宋体"/>
                <w:szCs w:val="21"/>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业绩要求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rPr>
                <w:rFonts w:ascii="宋体" w:hAnsi="宋体" w:cs="宋体"/>
                <w:szCs w:val="21"/>
              </w:rPr>
            </w:pPr>
            <w:r>
              <w:rPr>
                <w:rFonts w:hint="eastAsia" w:ascii="宋体" w:hAnsi="宋体" w:cs="宋体"/>
                <w:szCs w:val="21"/>
              </w:rPr>
              <w:t>投标人需提供近三年（从2019年8月1日至招标公告发布之日，以合同签订时间为准）参与组织或作为主办/协办/承办单位的会议活动项目案例。（须提供案例合同关键页复印件或扫描件包含但不限于项目名称、业主方名称、合同主要内容、签订时间、履约地点、甲乙双方盖章等信息复印件。文件需加盖投标单位公章。）</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yellow"/>
              </w:rPr>
            </w:pPr>
            <w:r>
              <w:rPr>
                <w:rFonts w:hint="eastAsia" w:ascii="宋体" w:hAnsi="宋体" w:cs="宋体"/>
                <w:szCs w:val="21"/>
              </w:rPr>
              <w:t>项目周期</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rPr>
                <w:rFonts w:ascii="宋体" w:hAnsi="宋体" w:cs="宋体"/>
                <w:szCs w:val="21"/>
              </w:rPr>
            </w:pPr>
            <w:r>
              <w:rPr>
                <w:rFonts w:hint="eastAsia" w:ascii="宋体" w:hAnsi="宋体" w:cs="宋体"/>
                <w:szCs w:val="21"/>
              </w:rPr>
              <w:t>合同服务期限三年（1+1+1模式），在第一年高交会结束后，采购人根据中标单位的服务质量、各项承诺兑现情况等因素进行考核评估，如考核达到优良（即考核评分达到80分或以上），则执行第二年合同，如考核未达到优良，招标人有权在第一年服务期满时终止合同。第三年度合同执行方式参考以上办法。具体参考方法见附件《服务机构履约评价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rFonts w:ascii="宋体" w:hAnsi="宋体"/>
                <w:szCs w:val="21"/>
              </w:rPr>
            </w:pPr>
            <w:r>
              <w:rPr>
                <w:rFonts w:hint="eastAsia" w:ascii="宋体" w:hAnsi="宋体" w:cs="仿宋_GB2312"/>
                <w:szCs w:val="21"/>
              </w:rPr>
              <w:t>本项目报价以人民币为结算币种、含增值税。投标人须在投标文件中提供《报价一览表》（须含详细的服务分项报价，年度报价与项目总报价）。</w:t>
            </w:r>
          </w:p>
          <w:p>
            <w:pPr>
              <w:numPr>
                <w:ilvl w:val="0"/>
                <w:numId w:val="11"/>
              </w:numPr>
              <w:tabs>
                <w:tab w:val="left" w:pos="531"/>
              </w:tabs>
              <w:snapToGrid w:val="0"/>
              <w:rPr>
                <w:rFonts w:ascii="宋体" w:hAnsi="宋体"/>
                <w:szCs w:val="21"/>
              </w:rPr>
            </w:pPr>
            <w:r>
              <w:rPr>
                <w:rFonts w:hint="eastAsia" w:ascii="宋体" w:hAnsi="宋体"/>
                <w:szCs w:val="21"/>
              </w:rPr>
              <w:t>本项目每年报价可分为两部分，新产品新技术发布活动服务费和精品发布活动媒体服务费：</w:t>
            </w:r>
          </w:p>
          <w:p>
            <w:pPr>
              <w:pStyle w:val="22"/>
              <w:snapToGrid w:val="0"/>
              <w:ind w:firstLine="420" w:firstLineChars="200"/>
              <w:rPr>
                <w:rFonts w:ascii="宋体" w:hAnsi="宋体" w:eastAsia="宋体"/>
                <w:szCs w:val="21"/>
              </w:rPr>
            </w:pPr>
            <w:r>
              <w:rPr>
                <w:rFonts w:hint="eastAsia" w:ascii="宋体" w:hAnsi="宋体" w:eastAsia="宋体"/>
                <w:szCs w:val="21"/>
              </w:rPr>
              <w:t>①新产品新技术发布活动服务费：因场次不确定，按实际举办场次数量十场为一梯度进行阶梯式报价；其中实际场次≤</w:t>
            </w:r>
            <w:r>
              <w:rPr>
                <w:rFonts w:ascii="宋体" w:hAnsi="宋体" w:eastAsia="宋体"/>
                <w:szCs w:val="21"/>
              </w:rPr>
              <w:t>30</w:t>
            </w:r>
            <w:r>
              <w:rPr>
                <w:rFonts w:hint="eastAsia" w:ascii="宋体" w:hAnsi="宋体" w:eastAsia="宋体"/>
                <w:szCs w:val="21"/>
              </w:rPr>
              <w:t>场为基础服务费；设置封顶价格，实际场次超过70场后不再增加费用。（总报价以封顶价格作为计算标准）</w:t>
            </w:r>
          </w:p>
          <w:p>
            <w:pPr>
              <w:numPr>
                <w:ilvl w:val="255"/>
                <w:numId w:val="0"/>
              </w:numPr>
              <w:tabs>
                <w:tab w:val="left" w:pos="531"/>
              </w:tabs>
              <w:snapToGrid w:val="0"/>
              <w:ind w:firstLine="420" w:firstLineChars="200"/>
              <w:rPr>
                <w:rFonts w:ascii="宋体" w:hAnsi="宋体" w:cs="仿宋_GB2312"/>
                <w:szCs w:val="21"/>
              </w:rPr>
            </w:pPr>
            <w:r>
              <w:rPr>
                <w:rFonts w:hint="eastAsia" w:ascii="宋体" w:hAnsi="宋体"/>
                <w:szCs w:val="21"/>
              </w:rPr>
              <w:t>②精品发布活动媒体服务费：按照15场精品发布活动所要求的媒体服务内容进行分项报价，但必须提供此项服务整体报价。</w:t>
            </w:r>
          </w:p>
          <w:p>
            <w:pPr>
              <w:numPr>
                <w:ilvl w:val="0"/>
                <w:numId w:val="11"/>
              </w:numPr>
              <w:tabs>
                <w:tab w:val="left" w:pos="531"/>
              </w:tabs>
              <w:snapToGrid w:val="0"/>
              <w:ind w:left="0" w:firstLine="0"/>
              <w:rPr>
                <w:rFonts w:ascii="宋体" w:hAnsi="宋体" w:cs="仿宋_GB2312"/>
                <w:szCs w:val="21"/>
              </w:rPr>
            </w:pPr>
            <w:r>
              <w:rPr>
                <w:rFonts w:hint="eastAsia" w:ascii="宋体" w:hAnsi="宋体"/>
                <w:szCs w:val="21"/>
              </w:rPr>
              <w:t>投标人的总报价为完成采购文件及合同条款所规定的工作内容的各项费用的总和，</w:t>
            </w:r>
            <w:r>
              <w:rPr>
                <w:rFonts w:hint="eastAsia" w:ascii="宋体" w:hAnsi="宋体" w:cs="仿宋_GB2312"/>
                <w:szCs w:val="21"/>
              </w:rPr>
              <w:t>投标报价包括</w:t>
            </w:r>
            <w:r>
              <w:rPr>
                <w:rFonts w:hint="eastAsia" w:ascii="宋体" w:hAnsi="宋体"/>
                <w:szCs w:val="21"/>
              </w:rPr>
              <w:t>但不限于会务服务费、宣传推广费、劳务费、差旅费、增值税费等完成本项目所需的全部费用；因中标人组织管理原因导致的额外支出，均由中标人自行承担，招标人不再支付其他任何费用。</w:t>
            </w:r>
          </w:p>
          <w:p>
            <w:pPr>
              <w:numPr>
                <w:ilvl w:val="0"/>
                <w:numId w:val="11"/>
              </w:numPr>
              <w:tabs>
                <w:tab w:val="left" w:pos="531"/>
              </w:tabs>
              <w:snapToGrid w:val="0"/>
              <w:ind w:left="0" w:firstLine="0"/>
              <w:rPr>
                <w:rFonts w:ascii="宋体" w:hAnsi="宋体"/>
                <w:szCs w:val="21"/>
              </w:rPr>
            </w:pPr>
            <w:r>
              <w:rPr>
                <w:rFonts w:hint="eastAsia" w:ascii="宋体" w:hAnsi="宋体" w:cs="仿宋_GB2312"/>
                <w:szCs w:val="21"/>
              </w:rPr>
              <w:t>投标报价不得出现可选择性的报价,含有备选方案的报价将导致废标。</w:t>
            </w:r>
          </w:p>
          <w:p>
            <w:pPr>
              <w:numPr>
                <w:ilvl w:val="0"/>
                <w:numId w:val="11"/>
              </w:numPr>
              <w:tabs>
                <w:tab w:val="left" w:pos="531"/>
              </w:tabs>
              <w:snapToGrid w:val="0"/>
              <w:ind w:left="0" w:firstLine="0"/>
            </w:pPr>
            <w:r>
              <w:rPr>
                <w:rFonts w:hint="eastAsia" w:ascii="宋体" w:hAnsi="宋体"/>
                <w:szCs w:val="21"/>
              </w:rPr>
              <w:t>参与本次公开招标的费用由投标人自理。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pPr>
            <w:r>
              <w:rPr>
                <w:rFonts w:hint="eastAsia"/>
              </w:rPr>
              <w:t>本项目单年控制金额为15万元(含增值税)，三年总控制金额为人民币45万元(含增值税)，报价超过上述控制金额的投标文件作废标处理。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rPr>
                <w:rFonts w:ascii="宋体" w:hAnsi="宋体"/>
                <w:szCs w:val="21"/>
              </w:rPr>
            </w:pPr>
            <w:r>
              <w:rPr>
                <w:rFonts w:hint="eastAsia" w:ascii="宋体" w:hAnsi="宋体"/>
                <w:szCs w:val="21"/>
              </w:rPr>
              <w:t>（</w:t>
            </w:r>
            <w:r>
              <w:rPr>
                <w:rFonts w:ascii="宋体" w:hAnsi="宋体"/>
                <w:szCs w:val="21"/>
              </w:rPr>
              <w:t>1）</w:t>
            </w:r>
            <w:r>
              <w:rPr>
                <w:rFonts w:hint="eastAsia" w:ascii="宋体" w:hAnsi="宋体" w:eastAsia="宋体"/>
                <w:szCs w:val="21"/>
              </w:rPr>
              <w:t>根据当届高交会结束后中标单位提交的总结报告与活动进行中的抽查结果确定项目工作完成情况，主要指标为：实际举办的新产品新技术发布活动与精品发布活动的场次、精品发布活动的媒体服务实际提供情况。中标单位应及时提供包括但不限于参会企业名单及活动排期、工作总结、新闻报道链接或截屏清单、现场照片、媒体清单、到场记者签到表等相关资料，并配合采购人对项目进行验收；中标单位与报名展商沟通与培训情况、社区推广信息群发情况以微信</w:t>
            </w:r>
            <w:r>
              <w:rPr>
                <w:rFonts w:ascii="宋体" w:hAnsi="宋体" w:eastAsia="宋体"/>
                <w:szCs w:val="21"/>
              </w:rPr>
              <w:t>/QQ</w:t>
            </w:r>
            <w:r>
              <w:rPr>
                <w:rFonts w:hint="eastAsia" w:ascii="宋体" w:hAnsi="宋体" w:eastAsia="宋体"/>
                <w:szCs w:val="21"/>
              </w:rPr>
              <w:t>等社交媒体的聊天截屏作为验收抽查依据。</w:t>
            </w:r>
          </w:p>
          <w:p>
            <w:pPr>
              <w:pStyle w:val="22"/>
              <w:ind w:firstLine="0" w:firstLineChars="0"/>
              <w:rPr>
                <w:rFonts w:hint="eastAsia" w:ascii="宋体" w:hAnsi="宋体" w:eastAsia="宋体"/>
                <w:szCs w:val="21"/>
              </w:rPr>
            </w:pPr>
            <w:r>
              <w:rPr>
                <w:rFonts w:hint="eastAsia" w:ascii="宋体" w:hAnsi="宋体"/>
                <w:szCs w:val="21"/>
              </w:rPr>
              <w:t>（</w:t>
            </w:r>
            <w:r>
              <w:rPr>
                <w:rFonts w:ascii="宋体" w:hAnsi="宋体" w:eastAsia="宋体"/>
                <w:szCs w:val="21"/>
              </w:rPr>
              <w:t>2）</w:t>
            </w:r>
            <w:r>
              <w:rPr>
                <w:rFonts w:hint="eastAsia" w:ascii="宋体" w:hAnsi="宋体" w:eastAsia="宋体"/>
                <w:szCs w:val="21"/>
              </w:rPr>
              <w:t>如由于招标人原因（如报名单位数量不足、会议场地及设施不足等）或不可抗力导致活动实际场次、规模、形式等要素有所调整，则根据实际情况按照合同规定标准进行最终费用结算。</w:t>
            </w:r>
          </w:p>
          <w:p>
            <w:pPr>
              <w:pStyle w:val="22"/>
              <w:ind w:firstLine="0" w:firstLineChars="0"/>
              <w:rPr>
                <w:rFonts w:hint="eastAsia" w:ascii="宋体" w:hAnsi="宋体" w:eastAsia="宋体"/>
                <w:szCs w:val="21"/>
              </w:rPr>
            </w:pPr>
            <w:r>
              <w:rPr>
                <w:rFonts w:hint="eastAsia" w:ascii="宋体" w:hAnsi="宋体" w:eastAsia="宋体"/>
                <w:szCs w:val="21"/>
                <w:lang w:eastAsia="zh-CN"/>
              </w:rPr>
              <w:t>（</w:t>
            </w:r>
            <w:r>
              <w:rPr>
                <w:rFonts w:hint="eastAsia" w:ascii="宋体" w:hAnsi="宋体" w:eastAsia="宋体"/>
                <w:szCs w:val="21"/>
                <w:lang w:val="en-US" w:eastAsia="zh-CN"/>
              </w:rPr>
              <w:t>3</w:t>
            </w:r>
            <w:r>
              <w:rPr>
                <w:rFonts w:hint="eastAsia" w:ascii="宋体" w:hAnsi="宋体" w:eastAsia="宋体"/>
                <w:szCs w:val="21"/>
                <w:lang w:eastAsia="zh-CN"/>
              </w:rPr>
              <w:t>）</w:t>
            </w:r>
            <w:r>
              <w:rPr>
                <w:rFonts w:hint="eastAsia" w:ascii="宋体" w:hAnsi="宋体" w:eastAsia="宋体"/>
                <w:szCs w:val="21"/>
                <w:lang w:val="en-US" w:eastAsia="zh-CN"/>
              </w:rPr>
              <w:t>如精品发布活动媒体服务实际提供情况（包括但不限于撰稿数量、发稿数量、实际到场媒体数量）与中标人实际承诺情况不符，将根据合同规定及报价扣除相应款项。</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付款方式</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ind w:right="28"/>
              <w:jc w:val="left"/>
            </w:pPr>
            <w:r>
              <w:rPr>
                <w:rFonts w:hint="eastAsia"/>
              </w:rPr>
              <w:t>（1）每年中标单位完成合同规定的服务后应及时提供验收与总结报告作为结算标准，验收完成后招标人根据</w:t>
            </w:r>
            <w:r>
              <w:rPr>
                <w:rFonts w:hint="eastAsia"/>
                <w:lang w:val="en-US" w:eastAsia="zh-CN"/>
              </w:rPr>
              <w:t>中标人实际服务内容、数量，</w:t>
            </w:r>
            <w:r>
              <w:rPr>
                <w:rFonts w:hint="eastAsia"/>
              </w:rPr>
              <w:t>双方确认结算金额，以银行转账的方式一次性支付本项目当年应付款项。</w:t>
            </w:r>
          </w:p>
          <w:p>
            <w:pPr>
              <w:widowControl/>
              <w:ind w:right="28"/>
              <w:jc w:val="left"/>
            </w:pPr>
            <w:r>
              <w:rPr>
                <w:rFonts w:hint="eastAsia"/>
              </w:rPr>
              <w:t>（2）招标人支付合同款项前，中标单位需提供全额有效增值税发票。</w:t>
            </w:r>
          </w:p>
          <w:p>
            <w:pPr>
              <w:widowControl/>
              <w:ind w:right="28"/>
              <w:jc w:val="left"/>
            </w:pPr>
            <w:r>
              <w:rPr>
                <w:rFonts w:hint="eastAsia"/>
              </w:rPr>
              <w:t>（3）有关付款详细事宜以合同条款为准。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7</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ind w:right="28"/>
              <w:jc w:val="center"/>
            </w:pPr>
            <w:r>
              <w:rPr>
                <w:rFonts w:hint="eastAsia" w:ascii="宋体" w:hAnsi="宋体" w:cs="宋体"/>
                <w:szCs w:val="21"/>
              </w:rPr>
              <w:t>特别要求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ind w:right="28"/>
              <w:jc w:val="left"/>
            </w:pPr>
            <w:r>
              <w:rPr>
                <w:rFonts w:hint="eastAsia"/>
              </w:rPr>
              <w:t>（1）如因不可抗力导致当届高交会停止举办的，自通知发布之时起合同自动终止并解除，当年投标人因如约履行本项目合同而实际发生的直接费用，招标人可按实予以结算。同时，招标人不再承担投标人由此造成的其他间接费用和损失，投标人亦不得再就上述事项进行任何形式的索赔。</w:t>
            </w:r>
          </w:p>
          <w:p>
            <w:pPr>
              <w:widowControl/>
              <w:ind w:right="28"/>
              <w:jc w:val="left"/>
            </w:pPr>
            <w:r>
              <w:rPr>
                <w:rFonts w:hint="eastAsia"/>
              </w:rPr>
              <w:t>（2）如因不可抗力导致当届高交会会期或其它相关事项发生变动的，投标人须无条件配合调整相关服务（如增减服务内容、延期等），同时签订相应的补充协议。</w:t>
            </w:r>
          </w:p>
          <w:p>
            <w:pPr>
              <w:widowControl/>
              <w:ind w:right="28"/>
              <w:jc w:val="left"/>
            </w:pPr>
            <w:r>
              <w:rPr>
                <w:rFonts w:hint="eastAsia"/>
              </w:rPr>
              <w:t>（3）投标人为本项目所需服务领域内的专业企业，参与本项目投标即视为了解并熟知与本项目相关的一切法律法规、规章制度及行业规范，因此投标人应承担在本项目服务过程中的全部法律风险及其损失赔偿责任，上述风险及责任并不因招标人的任何审核意见而免除。</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center"/>
              <w:rPr>
                <w:rFonts w:ascii="宋体" w:hAnsi="宋体" w:cs="仿宋_GB2312"/>
                <w:szCs w:val="21"/>
              </w:rPr>
            </w:pPr>
            <w:r>
              <w:rPr>
                <w:rFonts w:hint="eastAsia" w:ascii="宋体" w:hAnsi="宋体" w:cs="仿宋_GB2312"/>
                <w:szCs w:val="21"/>
              </w:rPr>
              <w:t>服务内容</w:t>
            </w:r>
          </w:p>
          <w:p>
            <w:pPr>
              <w:tabs>
                <w:tab w:val="left" w:pos="531"/>
              </w:tabs>
              <w:snapToGrid w:val="0"/>
              <w:jc w:val="center"/>
              <w:rPr>
                <w:rFonts w:ascii="宋体" w:hAnsi="宋体" w:cs="仿宋_GB2312"/>
                <w:szCs w:val="21"/>
              </w:rPr>
            </w:pPr>
            <w:r>
              <w:rPr>
                <w:rFonts w:hint="eastAsia" w:ascii="宋体" w:hAnsi="宋体" w:cs="仿宋_GB2312"/>
                <w:szCs w:val="21"/>
              </w:rPr>
              <w:t>概述</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jc w:val="left"/>
              <w:rPr>
                <w:rFonts w:ascii="宋体" w:hAnsi="宋体" w:cs="仿宋_GB2312"/>
                <w:szCs w:val="21"/>
              </w:rPr>
            </w:pPr>
            <w:r>
              <w:rPr>
                <w:rFonts w:hint="eastAsia" w:ascii="宋体" w:hAnsi="宋体" w:cs="仿宋_GB2312"/>
                <w:szCs w:val="21"/>
              </w:rPr>
              <w:t>活动时间：2022-2024年高交会会期，一般为11月中旬，时长为5天（以实际发生为准）</w:t>
            </w:r>
          </w:p>
          <w:p>
            <w:pPr>
              <w:numPr>
                <w:ilvl w:val="0"/>
                <w:numId w:val="12"/>
              </w:numPr>
              <w:tabs>
                <w:tab w:val="left" w:pos="531"/>
              </w:tabs>
              <w:snapToGrid w:val="0"/>
              <w:jc w:val="left"/>
              <w:rPr>
                <w:rFonts w:ascii="宋体" w:hAnsi="宋体" w:cs="仿宋_GB2312"/>
                <w:szCs w:val="21"/>
              </w:rPr>
            </w:pPr>
            <w:r>
              <w:rPr>
                <w:rFonts w:hint="eastAsia" w:ascii="宋体" w:hAnsi="宋体" w:cs="仿宋_GB2312"/>
                <w:szCs w:val="21"/>
              </w:rPr>
              <w:t>活动数量：每届新产品新技术发布活动的场次数量根据展商报名情况而定，不做硬性要求，预计总数量不超过70场；从中挑选15场作为精品发布活动，组织行业媒体进行采编报道。</w:t>
            </w:r>
          </w:p>
          <w:p>
            <w:pPr>
              <w:numPr>
                <w:ilvl w:val="0"/>
                <w:numId w:val="12"/>
              </w:numPr>
              <w:tabs>
                <w:tab w:val="left" w:pos="531"/>
              </w:tabs>
              <w:snapToGrid w:val="0"/>
              <w:jc w:val="left"/>
              <w:rPr>
                <w:rFonts w:ascii="宋体" w:hAnsi="宋体" w:cs="仿宋_GB2312"/>
                <w:szCs w:val="21"/>
              </w:rPr>
            </w:pPr>
            <w:r>
              <w:rPr>
                <w:rFonts w:hint="eastAsia" w:ascii="宋体" w:hAnsi="宋体" w:cs="仿宋_GB2312"/>
                <w:szCs w:val="21"/>
              </w:rPr>
              <w:t>服务地点：预计招标人每届高交会将提供3个活动场地。</w:t>
            </w:r>
          </w:p>
          <w:p>
            <w:pPr>
              <w:numPr>
                <w:ilvl w:val="0"/>
                <w:numId w:val="12"/>
              </w:numPr>
              <w:tabs>
                <w:tab w:val="left" w:pos="531"/>
              </w:tabs>
              <w:snapToGrid w:val="0"/>
              <w:jc w:val="left"/>
              <w:rPr>
                <w:rFonts w:ascii="宋体" w:hAnsi="宋体" w:cs="仿宋_GB2312"/>
                <w:szCs w:val="21"/>
              </w:rPr>
            </w:pPr>
            <w:r>
              <w:rPr>
                <w:rFonts w:hint="eastAsia" w:ascii="宋体" w:hAnsi="宋体" w:cs="仿宋_GB2312"/>
                <w:szCs w:val="21"/>
              </w:rPr>
              <w:t>服务内容：</w:t>
            </w:r>
          </w:p>
          <w:p>
            <w:pPr>
              <w:tabs>
                <w:tab w:val="left" w:pos="531"/>
              </w:tabs>
              <w:snapToGrid w:val="0"/>
              <w:ind w:firstLine="420" w:firstLineChars="200"/>
              <w:jc w:val="left"/>
              <w:rPr>
                <w:rFonts w:ascii="宋体" w:hAnsi="宋体" w:cs="仿宋_GB2312"/>
                <w:szCs w:val="21"/>
              </w:rPr>
            </w:pPr>
            <w:r>
              <w:rPr>
                <w:rFonts w:hint="eastAsia" w:ascii="宋体" w:hAnsi="宋体" w:cs="仿宋_GB2312"/>
                <w:szCs w:val="21"/>
              </w:rPr>
              <w:t>①本项目前期服务工作包括但不限于：配合招标人完成对活动报名展商的前期筛选，并根据招标人所组织的专家评审结果，确认15场精品发布活动的发布单位；报名筛选确认后，完成对报名展商的洽谈、辅导与服务，并做好主题分类及活动排期、宣传推广、专业观众组织、媒体组织等工作。</w:t>
            </w:r>
          </w:p>
          <w:p>
            <w:pPr>
              <w:tabs>
                <w:tab w:val="left" w:pos="531"/>
              </w:tabs>
              <w:snapToGrid w:val="0"/>
              <w:ind w:firstLine="420" w:firstLineChars="200"/>
              <w:jc w:val="left"/>
              <w:rPr>
                <w:rFonts w:ascii="宋体" w:hAnsi="宋体" w:cs="仿宋_GB2312"/>
                <w:szCs w:val="21"/>
              </w:rPr>
            </w:pPr>
            <w:r>
              <w:rPr>
                <w:rFonts w:hint="eastAsia" w:ascii="宋体" w:hAnsi="宋体" w:cs="仿宋_GB2312"/>
                <w:szCs w:val="21"/>
              </w:rPr>
              <w:t>②本项目会务服务工作包括但不限于：协助招标人完成活动场地搭建施工监管及设备安装调试（施工搭建及设备供应商由招标人另行指定）；向发布单位收集演讲材料及物料、会场控制与管理、媒体服务、观众引流、摄影记录、新闻稿撰写与发布、会后素材整理等工作。</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center"/>
              <w:rPr>
                <w:rFonts w:ascii="宋体" w:hAnsi="宋体" w:cs="仿宋_GB2312"/>
                <w:szCs w:val="21"/>
              </w:rPr>
            </w:pPr>
            <w:r>
              <w:rPr>
                <w:rFonts w:hint="eastAsia" w:ascii="宋体" w:hAnsi="宋体" w:cs="仿宋_GB2312"/>
                <w:szCs w:val="21"/>
              </w:rPr>
              <w:t>服务要求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left"/>
            </w:pPr>
            <w:r>
              <w:rPr>
                <w:rFonts w:hint="eastAsia"/>
              </w:rPr>
              <w:t>（1）中标单位每年须提交当届高交会新产品新技术发布活动服务工作的具体方案提交给招标人审核，内容包括但不限于服务时间规划、工作步骤、人员安排、各阶段执行方案、宣传推广方案与具体计划安排表、媒体及观众组织方案、应急预案等。其中应急预案应包括但不限于疫情防控、突发事件、安全应急、意识形态等方面的处置预案等。</w:t>
            </w:r>
          </w:p>
          <w:p>
            <w:pPr>
              <w:tabs>
                <w:tab w:val="left" w:pos="531"/>
              </w:tabs>
              <w:snapToGrid w:val="0"/>
              <w:jc w:val="left"/>
            </w:pPr>
            <w:r>
              <w:rPr>
                <w:rFonts w:hint="eastAsia"/>
              </w:rPr>
              <w:t>（2）活动推广：撰写原创会前推广文章通稿至少1篇，投放媒体渠道不少于10个，共计发稿量不少于10篇。</w:t>
            </w:r>
          </w:p>
          <w:p>
            <w:pPr>
              <w:widowControl/>
              <w:tabs>
                <w:tab w:val="left" w:pos="531"/>
              </w:tabs>
              <w:snapToGrid w:val="0"/>
              <w:jc w:val="left"/>
            </w:pPr>
            <w:r>
              <w:rPr>
                <w:rFonts w:hint="eastAsia"/>
              </w:rPr>
              <w:t>（3）精品发布活动媒体服务要求：每场活动至少需有新闻采编人员1名、摄影人员1名（自带设备）、到场记者10名（来自不同类型的媒体，包括但不限于门户网站媒体，与高交会相关的行业媒体，本地媒体等）；会后确保每场精品活动至少有1篇原创新闻通稿、10篇媒体发布稿，15场活动共计撰写原创新闻通稿不少于15篇、媒体发稿数量不少于150篇。所有媒体稿件应在精品发布活动结束后48小时内发出。</w:t>
            </w:r>
          </w:p>
          <w:p>
            <w:pPr>
              <w:widowControl/>
              <w:tabs>
                <w:tab w:val="left" w:pos="531"/>
              </w:tabs>
              <w:snapToGrid w:val="0"/>
              <w:jc w:val="left"/>
            </w:pPr>
            <w:r>
              <w:rPr>
                <w:rFonts w:hint="eastAsia"/>
              </w:rPr>
              <w:t>（4）中标方根据所提供的新产品新技术发布活动服务方案执行相关会务服务与媒体宣传工作，执行过程中须定期汇报（月报形式，自当届高交会开始前一个月起改为周报）。</w:t>
            </w:r>
          </w:p>
          <w:p>
            <w:pPr>
              <w:tabs>
                <w:tab w:val="left" w:pos="531"/>
              </w:tabs>
              <w:snapToGrid w:val="0"/>
              <w:jc w:val="left"/>
            </w:pPr>
            <w:r>
              <w:rPr>
                <w:rFonts w:hint="eastAsia"/>
              </w:rPr>
              <w:t>（5）中标单位须做好活动的文字资料、视频、照片的收集整理。每年服务结束后应把筛选后的资料通过光盘的形式存储并交付招标人进行保管。</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center"/>
              <w:rPr>
                <w:rFonts w:ascii="宋体" w:hAnsi="宋体" w:cs="仿宋_GB2312"/>
                <w:szCs w:val="21"/>
              </w:rPr>
            </w:pPr>
            <w:r>
              <w:rPr>
                <w:rFonts w:hint="eastAsia" w:ascii="宋体" w:hAnsi="宋体" w:cs="仿宋_GB2312"/>
                <w:szCs w:val="21"/>
              </w:rPr>
              <w:t>时间要求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4"/>
              <w:tabs>
                <w:tab w:val="left" w:pos="531"/>
              </w:tabs>
              <w:snapToGrid w:val="0"/>
              <w:ind w:left="0" w:leftChars="0" w:firstLine="0" w:firstLineChars="0"/>
              <w:jc w:val="left"/>
              <w:rPr>
                <w:rFonts w:ascii="宋体" w:hAnsi="宋体" w:cs="仿宋_GB2312"/>
                <w:szCs w:val="21"/>
              </w:rPr>
            </w:pPr>
            <w:r>
              <w:rPr>
                <w:rFonts w:hint="eastAsia" w:ascii="宋体" w:hAnsi="宋体" w:cs="仿宋_GB2312"/>
                <w:szCs w:val="21"/>
              </w:rPr>
              <w:t>关键时间节点：</w:t>
            </w:r>
          </w:p>
          <w:p>
            <w:pPr>
              <w:pStyle w:val="22"/>
              <w:numPr>
                <w:ilvl w:val="0"/>
                <w:numId w:val="13"/>
              </w:numPr>
              <w:snapToGrid w:val="0"/>
              <w:ind w:left="360" w:hanging="360" w:firstLineChars="0"/>
              <w:jc w:val="left"/>
              <w:rPr>
                <w:rFonts w:ascii="宋体" w:hAnsi="宋体"/>
              </w:rPr>
            </w:pPr>
            <w:r>
              <w:rPr>
                <w:rFonts w:hint="eastAsia" w:ascii="宋体" w:hAnsi="宋体" w:eastAsia="宋体"/>
              </w:rPr>
              <w:t>当届活动报名启动时间以大会安排为准，报名截止后应立即开始报名展商沟通、演讲嘉宾培训等相关会务工作；并配合招标人进行精品场次的确定。</w:t>
            </w:r>
          </w:p>
          <w:p>
            <w:pPr>
              <w:pStyle w:val="14"/>
              <w:numPr>
                <w:ilvl w:val="0"/>
                <w:numId w:val="13"/>
              </w:numPr>
              <w:tabs>
                <w:tab w:val="left" w:pos="531"/>
              </w:tabs>
              <w:snapToGrid w:val="0"/>
              <w:ind w:left="0" w:leftChars="0" w:firstLine="0" w:firstLineChars="0"/>
              <w:jc w:val="left"/>
              <w:rPr>
                <w:rFonts w:ascii="宋体" w:hAnsi="宋体" w:cs="仿宋_GB2312"/>
                <w:szCs w:val="21"/>
              </w:rPr>
            </w:pPr>
            <w:r>
              <w:rPr>
                <w:rFonts w:hint="eastAsia" w:ascii="宋体" w:hAnsi="宋体" w:cs="仿宋_GB2312"/>
                <w:szCs w:val="21"/>
              </w:rPr>
              <w:t>前期推广活动最迟应在当届高交会新产品新技术发布活动报名开始前一周启动。前期宣传软文最迟应在当届高交会报名截止日15个日前完成撰写、编辑与投放（须经招标人确认方可投放）工作。</w:t>
            </w:r>
          </w:p>
          <w:p>
            <w:pPr>
              <w:pStyle w:val="14"/>
              <w:numPr>
                <w:ilvl w:val="0"/>
                <w:numId w:val="13"/>
              </w:numPr>
              <w:tabs>
                <w:tab w:val="left" w:pos="531"/>
              </w:tabs>
              <w:snapToGrid w:val="0"/>
              <w:ind w:left="0" w:leftChars="0" w:firstLine="0" w:firstLineChars="0"/>
              <w:jc w:val="left"/>
              <w:rPr>
                <w:rFonts w:ascii="宋体" w:hAnsi="宋体" w:cs="仿宋_GB2312"/>
                <w:szCs w:val="21"/>
              </w:rPr>
            </w:pPr>
            <w:r>
              <w:rPr>
                <w:rFonts w:hint="eastAsia" w:ascii="宋体" w:hAnsi="宋体" w:cs="仿宋_GB2312"/>
                <w:szCs w:val="21"/>
              </w:rPr>
              <w:t>为保证服务时效性，每年高交会开始前一个月，中标单位须派至少一人驻点现场提供服务。</w:t>
            </w:r>
          </w:p>
          <w:p>
            <w:pPr>
              <w:pStyle w:val="14"/>
              <w:numPr>
                <w:ilvl w:val="0"/>
                <w:numId w:val="13"/>
              </w:numPr>
              <w:tabs>
                <w:tab w:val="left" w:pos="531"/>
              </w:tabs>
              <w:snapToGrid w:val="0"/>
              <w:ind w:left="0" w:leftChars="0" w:firstLine="0" w:firstLineChars="0"/>
              <w:jc w:val="left"/>
              <w:rPr>
                <w:rFonts w:ascii="宋体" w:hAnsi="宋体" w:cs="仿宋_GB2312"/>
                <w:szCs w:val="21"/>
              </w:rPr>
            </w:pPr>
            <w:r>
              <w:rPr>
                <w:rFonts w:hint="eastAsia" w:ascii="宋体" w:hAnsi="宋体" w:cs="仿宋_GB2312"/>
                <w:szCs w:val="21"/>
              </w:rPr>
              <w:t>大会开始前两周内开始配合招标人完成活动场地搭建施工监管与设备安装调试；活动日程的拟定与调整等相关会务工作；</w:t>
            </w:r>
            <w:r>
              <w:rPr>
                <w:rFonts w:hint="eastAsia" w:ascii="宋体" w:hAnsi="宋体"/>
              </w:rPr>
              <w:t>最迟须在高交会开幕一天前完成现场执行人员培训，现场设备调试，并完成大会日程最终确认。</w:t>
            </w:r>
          </w:p>
          <w:p>
            <w:pPr>
              <w:pStyle w:val="14"/>
              <w:numPr>
                <w:ilvl w:val="0"/>
                <w:numId w:val="13"/>
              </w:numPr>
              <w:tabs>
                <w:tab w:val="left" w:pos="531"/>
              </w:tabs>
              <w:snapToGrid w:val="0"/>
              <w:ind w:left="0" w:leftChars="0" w:firstLine="0" w:firstLineChars="0"/>
              <w:jc w:val="left"/>
              <w:rPr>
                <w:rFonts w:ascii="宋体" w:hAnsi="宋体" w:cs="仿宋_GB2312"/>
                <w:szCs w:val="21"/>
              </w:rPr>
            </w:pPr>
            <w:r>
              <w:rPr>
                <w:rFonts w:hint="eastAsia" w:ascii="宋体" w:hAnsi="宋体"/>
                <w:lang w:val="zh-CN"/>
              </w:rPr>
              <w:t>精品发布活动媒体服务</w:t>
            </w:r>
            <w:r>
              <w:rPr>
                <w:rFonts w:hint="eastAsia" w:ascii="宋体" w:hAnsi="宋体"/>
              </w:rPr>
              <w:t>的所有媒体稿件，须在</w:t>
            </w:r>
            <w:r>
              <w:rPr>
                <w:rFonts w:hint="eastAsia" w:ascii="宋体" w:hAnsi="宋体"/>
                <w:lang w:val="zh-CN"/>
              </w:rPr>
              <w:t>该场</w:t>
            </w:r>
            <w:r>
              <w:rPr>
                <w:rFonts w:hint="eastAsia" w:ascii="宋体" w:hAnsi="宋体"/>
              </w:rPr>
              <w:t>精品发布活动结束后48小时内发出。</w:t>
            </w:r>
          </w:p>
          <w:p>
            <w:pPr>
              <w:pStyle w:val="14"/>
              <w:numPr>
                <w:ilvl w:val="0"/>
                <w:numId w:val="13"/>
              </w:numPr>
              <w:tabs>
                <w:tab w:val="left" w:pos="531"/>
              </w:tabs>
              <w:snapToGrid w:val="0"/>
              <w:ind w:left="0" w:leftChars="0" w:firstLine="0" w:firstLineChars="0"/>
              <w:jc w:val="left"/>
              <w:rPr>
                <w:rFonts w:ascii="宋体" w:hAnsi="宋体" w:cs="仿宋_GB2312"/>
                <w:szCs w:val="21"/>
              </w:rPr>
            </w:pPr>
            <w:r>
              <w:rPr>
                <w:rFonts w:hint="eastAsia" w:ascii="宋体" w:hAnsi="宋体" w:cs="仿宋_GB2312"/>
                <w:szCs w:val="21"/>
              </w:rPr>
              <w:t>当年活动结束后，中标单位需配合招标人进行验收结算，并在15天内提供活动总结报告与结算清单。</w:t>
            </w:r>
          </w:p>
          <w:p>
            <w:pPr>
              <w:pStyle w:val="14"/>
              <w:numPr>
                <w:ilvl w:val="0"/>
                <w:numId w:val="13"/>
              </w:numPr>
              <w:tabs>
                <w:tab w:val="left" w:pos="531"/>
              </w:tabs>
              <w:snapToGrid w:val="0"/>
              <w:ind w:left="0" w:leftChars="0" w:firstLine="0" w:firstLineChars="0"/>
              <w:jc w:val="left"/>
              <w:rPr>
                <w:rFonts w:ascii="宋体" w:hAnsi="宋体" w:cs="仿宋_GB2312"/>
                <w:szCs w:val="21"/>
              </w:rPr>
            </w:pPr>
            <w:r>
              <w:rPr>
                <w:rFonts w:hint="eastAsia" w:ascii="宋体" w:hAnsi="宋体" w:cs="仿宋_GB2312"/>
                <w:szCs w:val="21"/>
              </w:rPr>
              <w:t>中标单位需按照招标人要求，根据不同工作阶段及时以书面的形式汇报本项目进度并提交相关资料，保证信息能够及时更新</w:t>
            </w:r>
            <w:r>
              <w:rPr>
                <w:rFonts w:hint="eastAsia" w:ascii="宋体" w:hAnsi="宋体"/>
              </w:rPr>
              <w:t>（月报形式，自当届高交会开幕前一个月起改为周报）</w:t>
            </w:r>
            <w:r>
              <w:rPr>
                <w:rFonts w:hint="eastAsia" w:ascii="宋体" w:hAnsi="宋体" w:cs="仿宋_GB2312"/>
                <w:szCs w:val="21"/>
              </w:rPr>
              <w:t>。</w:t>
            </w:r>
          </w:p>
          <w:p>
            <w:pPr>
              <w:tabs>
                <w:tab w:val="left" w:pos="531"/>
              </w:tabs>
              <w:snapToGrid w:val="0"/>
              <w:jc w:val="left"/>
              <w:rPr>
                <w:rFonts w:ascii="宋体" w:hAnsi="宋体" w:cs="仿宋_GB2312"/>
                <w:szCs w:val="21"/>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center"/>
              <w:rPr>
                <w:rFonts w:ascii="宋体" w:hAnsi="宋体" w:cs="仿宋_GB2312"/>
                <w:szCs w:val="21"/>
              </w:rPr>
            </w:pPr>
            <w:r>
              <w:rPr>
                <w:rFonts w:hint="eastAsia" w:ascii="宋体" w:hAnsi="宋体" w:cs="仿宋_GB2312"/>
                <w:szCs w:val="21"/>
              </w:rPr>
              <w:t>团队成员</w:t>
            </w:r>
          </w:p>
          <w:p>
            <w:pPr>
              <w:tabs>
                <w:tab w:val="left" w:pos="531"/>
              </w:tabs>
              <w:snapToGrid w:val="0"/>
              <w:jc w:val="center"/>
              <w:rPr>
                <w:rFonts w:ascii="宋体" w:hAnsi="宋体" w:cs="仿宋_GB2312"/>
                <w:szCs w:val="21"/>
              </w:rPr>
            </w:pPr>
            <w:r>
              <w:rPr>
                <w:rFonts w:hint="eastAsia" w:ascii="宋体" w:hAnsi="宋体" w:cs="仿宋_GB2312"/>
                <w:szCs w:val="21"/>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4"/>
              <w:tabs>
                <w:tab w:val="left" w:pos="531"/>
              </w:tabs>
              <w:snapToGrid w:val="0"/>
              <w:ind w:left="0" w:leftChars="0" w:firstLine="0" w:firstLineChars="0"/>
              <w:jc w:val="left"/>
              <w:rPr>
                <w:rFonts w:ascii="宋体" w:hAnsi="宋体" w:cs="仿宋_GB2312"/>
                <w:szCs w:val="21"/>
              </w:rPr>
            </w:pPr>
            <w:r>
              <w:rPr>
                <w:rFonts w:hint="eastAsia" w:ascii="宋体" w:hAnsi="宋体" w:cs="仿宋_GB2312"/>
                <w:szCs w:val="21"/>
              </w:rPr>
              <w:t>（1）项目负责人：投标单位须指定项目负责人，由其负责联络、协调及跟进本项目具体实施过程，并按要求及时反馈相关工作进展。投标单位须提供该负责人以下资料信息（均需加盖公章）：</w:t>
            </w:r>
          </w:p>
          <w:p>
            <w:pPr>
              <w:pStyle w:val="14"/>
              <w:tabs>
                <w:tab w:val="left" w:pos="531"/>
              </w:tabs>
              <w:snapToGrid w:val="0"/>
              <w:ind w:left="0" w:leftChars="0" w:firstLine="0" w:firstLineChars="0"/>
              <w:jc w:val="left"/>
              <w:rPr>
                <w:rFonts w:ascii="宋体" w:hAnsi="宋体" w:cs="仿宋_GB2312"/>
                <w:szCs w:val="21"/>
              </w:rPr>
            </w:pPr>
            <w:r>
              <w:rPr>
                <w:rFonts w:hint="eastAsia" w:ascii="宋体" w:hAnsi="宋体" w:cs="仿宋_GB2312"/>
                <w:szCs w:val="21"/>
              </w:rPr>
              <w:t>①姓名、电话、职务、相关职称（如有）、工作经验、近三年（2019年8月1日至招标公告发布之日）曾参与过与本项目类似的工作经历；</w:t>
            </w:r>
          </w:p>
          <w:p>
            <w:pPr>
              <w:pStyle w:val="14"/>
              <w:tabs>
                <w:tab w:val="left" w:pos="531"/>
              </w:tabs>
              <w:snapToGrid w:val="0"/>
              <w:ind w:left="0" w:leftChars="0" w:firstLine="0" w:firstLineChars="0"/>
              <w:jc w:val="left"/>
              <w:rPr>
                <w:rFonts w:ascii="宋体" w:hAnsi="宋体" w:cs="仿宋_GB2312"/>
                <w:szCs w:val="21"/>
              </w:rPr>
            </w:pPr>
            <w:r>
              <w:rPr>
                <w:rFonts w:hint="eastAsia" w:ascii="宋体" w:hAnsi="宋体" w:cs="仿宋_GB2312"/>
                <w:szCs w:val="21"/>
              </w:rPr>
              <w:t>②身份证复印件；</w:t>
            </w:r>
          </w:p>
          <w:p>
            <w:pPr>
              <w:pStyle w:val="14"/>
              <w:tabs>
                <w:tab w:val="left" w:pos="531"/>
              </w:tabs>
              <w:snapToGrid w:val="0"/>
              <w:ind w:left="0" w:leftChars="0" w:firstLine="0" w:firstLineChars="0"/>
              <w:jc w:val="left"/>
              <w:rPr>
                <w:rFonts w:ascii="宋体" w:hAnsi="宋体" w:cs="仿宋_GB2312"/>
                <w:szCs w:val="21"/>
              </w:rPr>
            </w:pPr>
            <w:r>
              <w:rPr>
                <w:rFonts w:hint="eastAsia" w:ascii="宋体" w:hAnsi="宋体" w:cs="仿宋_GB2312"/>
                <w:szCs w:val="21"/>
              </w:rPr>
              <w:t>③</w:t>
            </w:r>
            <w:r>
              <w:rPr>
                <w:rFonts w:hint="eastAsia" w:ascii="宋体" w:hAnsi="宋体"/>
              </w:rPr>
              <w:t>由投标人所购买的近三个月社保清单证明（如在招标公告日上一个月的社保材料因社保部门原因暂时无法取得，则可以往前顺推一个月）或者</w:t>
            </w:r>
            <w:r>
              <w:rPr>
                <w:rFonts w:hint="eastAsia" w:ascii="宋体" w:hAnsi="宋体"/>
                <w:color w:val="000000" w:themeColor="text1"/>
                <w14:textFill>
                  <w14:solidFill>
                    <w14:schemeClr w14:val="tx1"/>
                  </w14:solidFill>
                </w14:textFill>
              </w:rPr>
              <w:t>与投标人签署的劳务合同关键页复印件，且劳务合同信息中须包含该项目负责人姓名与身份证号码、劳务双方签字盖章且劳务关系处于有效期内</w:t>
            </w:r>
            <w:r>
              <w:rPr>
                <w:rFonts w:hint="eastAsia" w:ascii="宋体" w:hAnsi="宋体"/>
              </w:rPr>
              <w:t>。（社保证明与劳务合同可二选一）</w:t>
            </w:r>
          </w:p>
          <w:p>
            <w:pPr>
              <w:pStyle w:val="14"/>
              <w:tabs>
                <w:tab w:val="left" w:pos="531"/>
              </w:tabs>
              <w:snapToGrid w:val="0"/>
              <w:ind w:left="0" w:leftChars="0" w:firstLine="0" w:firstLineChars="0"/>
              <w:jc w:val="left"/>
              <w:rPr>
                <w:rFonts w:ascii="宋体" w:hAnsi="宋体" w:cs="仿宋_GB2312"/>
                <w:szCs w:val="21"/>
              </w:rPr>
            </w:pPr>
            <w:r>
              <w:rPr>
                <w:rFonts w:hint="eastAsia" w:ascii="宋体" w:hAnsi="宋体" w:cs="仿宋_GB2312"/>
                <w:szCs w:val="21"/>
              </w:rPr>
              <w:t>（2）项目团队成员：</w:t>
            </w:r>
          </w:p>
          <w:p>
            <w:pPr>
              <w:pStyle w:val="14"/>
              <w:tabs>
                <w:tab w:val="left" w:pos="531"/>
              </w:tabs>
              <w:snapToGrid w:val="0"/>
              <w:ind w:left="0" w:leftChars="0" w:firstLine="0" w:firstLineChars="0"/>
              <w:jc w:val="left"/>
            </w:pPr>
            <w:r>
              <w:rPr>
                <w:rFonts w:hint="eastAsia" w:ascii="宋体" w:hAnsi="宋体" w:cs="仿宋_GB2312"/>
                <w:szCs w:val="21"/>
              </w:rPr>
              <w:t>①负责活动前期筹备的核心团</w:t>
            </w:r>
            <w:r>
              <w:rPr>
                <w:rFonts w:hint="eastAsia"/>
              </w:rPr>
              <w:t>队成员不得少于2人（含项目负责人）</w:t>
            </w:r>
            <w:r>
              <w:rPr>
                <w:rFonts w:hint="eastAsia"/>
                <w:lang w:eastAsia="zh-CN"/>
              </w:rPr>
              <w:t>，</w:t>
            </w:r>
            <w:r>
              <w:rPr>
                <w:rFonts w:hint="eastAsia"/>
                <w:lang w:val="en-US" w:eastAsia="zh-CN"/>
              </w:rPr>
              <w:t>提供核心团队人员清单</w:t>
            </w:r>
            <w:r>
              <w:rPr>
                <w:rFonts w:hint="eastAsia"/>
              </w:rPr>
              <w:t>；</w:t>
            </w:r>
          </w:p>
          <w:p>
            <w:pPr>
              <w:pStyle w:val="14"/>
              <w:tabs>
                <w:tab w:val="left" w:pos="531"/>
              </w:tabs>
              <w:snapToGrid w:val="0"/>
              <w:ind w:left="0" w:leftChars="0" w:firstLine="0" w:firstLineChars="0"/>
              <w:jc w:val="left"/>
              <w:rPr>
                <w:rFonts w:hint="eastAsia"/>
              </w:rPr>
            </w:pPr>
            <w:r>
              <w:rPr>
                <w:rFonts w:hint="eastAsia" w:ascii="宋体" w:hAnsi="宋体" w:cs="仿宋_GB2312"/>
                <w:szCs w:val="21"/>
              </w:rPr>
              <w:t>②</w:t>
            </w:r>
            <w:r>
              <w:rPr>
                <w:rFonts w:hint="eastAsia"/>
              </w:rPr>
              <w:t>每个会议场地前期筹备不少于2人；媒体服务不少于1人；会务管理不少于1人。现场会务执行人员不少于</w:t>
            </w:r>
            <w:r>
              <w:t>3</w:t>
            </w:r>
            <w:r>
              <w:rPr>
                <w:rFonts w:hint="eastAsia"/>
              </w:rPr>
              <w:t>人（其中场控1人、演讲人服务1人、观众/媒体服务1人）、主持人1人（以上岗位可根据实际情况出现合理重复交叉）。</w:t>
            </w:r>
          </w:p>
          <w:p>
            <w:pPr>
              <w:pStyle w:val="14"/>
              <w:numPr>
                <w:ilvl w:val="-1"/>
                <w:numId w:val="0"/>
              </w:numPr>
              <w:tabs>
                <w:tab w:val="left" w:pos="531"/>
              </w:tabs>
              <w:snapToGrid w:val="0"/>
              <w:ind w:left="0" w:leftChars="0" w:firstLine="0" w:firstLineChars="0"/>
              <w:jc w:val="left"/>
              <w:rPr>
                <w:rFonts w:hint="default" w:eastAsia="宋体"/>
                <w:lang w:val="en-US" w:eastAsia="zh-CN"/>
              </w:rPr>
            </w:pPr>
            <w:r>
              <w:rPr>
                <w:rFonts w:hint="eastAsia"/>
                <w:lang w:eastAsia="zh-CN"/>
              </w:rPr>
              <w:t>（</w:t>
            </w:r>
            <w:r>
              <w:rPr>
                <w:rFonts w:hint="eastAsia"/>
                <w:lang w:val="en-US" w:eastAsia="zh-CN"/>
              </w:rPr>
              <w:t>3</w:t>
            </w:r>
            <w:r>
              <w:rPr>
                <w:rFonts w:hint="eastAsia"/>
                <w:lang w:eastAsia="zh-CN"/>
              </w:rPr>
              <w:t>）</w:t>
            </w:r>
            <w:r>
              <w:rPr>
                <w:rFonts w:hint="eastAsia"/>
                <w:lang w:val="en-US" w:eastAsia="zh-CN"/>
              </w:rPr>
              <w:t>项目核心团队成员一经确认不得轻易更换，如确需更换需提前征得招标人同意。</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center"/>
              <w:rPr>
                <w:rFonts w:ascii="宋体" w:hAnsi="宋体" w:cs="仿宋_GB2312"/>
                <w:szCs w:val="21"/>
              </w:rPr>
            </w:pPr>
            <w:r>
              <w:rPr>
                <w:rFonts w:hint="eastAsia" w:ascii="宋体" w:hAnsi="宋体" w:cs="仿宋_GB2312"/>
                <w:szCs w:val="21"/>
              </w:rPr>
              <w:t>增值服务</w:t>
            </w:r>
          </w:p>
        </w:tc>
        <w:tc>
          <w:tcPr>
            <w:tcW w:w="7438" w:type="dxa"/>
            <w:tcBorders>
              <w:top w:val="single" w:color="auto" w:sz="4" w:space="0"/>
              <w:left w:val="single" w:color="auto" w:sz="4" w:space="0"/>
              <w:bottom w:val="single" w:color="auto" w:sz="4" w:space="0"/>
              <w:right w:val="single" w:color="auto" w:sz="4" w:space="0"/>
            </w:tcBorders>
            <w:vAlign w:val="center"/>
          </w:tcPr>
          <w:p>
            <w:pPr>
              <w:pStyle w:val="14"/>
              <w:tabs>
                <w:tab w:val="left" w:pos="531"/>
              </w:tabs>
              <w:snapToGrid w:val="0"/>
              <w:ind w:left="0" w:leftChars="0" w:firstLine="0" w:firstLineChars="0"/>
              <w:jc w:val="left"/>
              <w:rPr>
                <w:rFonts w:ascii="宋体" w:hAnsi="宋体" w:cs="仿宋_GB2312"/>
                <w:szCs w:val="21"/>
              </w:rPr>
            </w:pPr>
            <w:r>
              <w:rPr>
                <w:rFonts w:hint="eastAsia" w:ascii="宋体" w:hAnsi="宋体" w:cs="宋体"/>
                <w:szCs w:val="21"/>
              </w:rPr>
              <w:t>鼓励投标人结合自有资源，提供本项目相关增值服务（包括但不限于活动会前</w:t>
            </w:r>
            <w:r>
              <w:rPr>
                <w:rFonts w:hint="eastAsia"/>
              </w:rPr>
              <w:t>社群推广、本项目基础要求以外的专业观众组织/媒体组织/原创推广文章/媒体投放量等）</w:t>
            </w:r>
            <w:r>
              <w:rPr>
                <w:rFonts w:hint="eastAsia" w:ascii="宋体" w:hAnsi="宋体" w:cs="宋体"/>
                <w:szCs w:val="21"/>
              </w:rPr>
              <w:t>，以提升本项目宣传内容和范围，提升宣传效果。形式、内容由投标人结合自有资源拟定，但需突出提升本项目执行效果的专业性、合理性及有效性。</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6</w:t>
            </w:r>
          </w:p>
        </w:tc>
        <w:tc>
          <w:tcPr>
            <w:tcW w:w="1341"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center"/>
              <w:rPr>
                <w:rFonts w:ascii="宋体" w:hAnsi="宋体" w:cs="仿宋_GB2312"/>
                <w:szCs w:val="21"/>
              </w:rPr>
            </w:pPr>
            <w:r>
              <w:rPr>
                <w:rFonts w:hint="eastAsia" w:ascii="宋体" w:hAnsi="宋体" w:cs="仿宋_GB2312"/>
                <w:szCs w:val="21"/>
              </w:rPr>
              <w:t>知识产权</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left"/>
              <w:rPr>
                <w:rFonts w:ascii="宋体" w:hAnsi="宋体" w:cs="仿宋_GB2312"/>
                <w:szCs w:val="21"/>
              </w:rPr>
            </w:pPr>
            <w:r>
              <w:rPr>
                <w:rFonts w:hint="eastAsia" w:ascii="宋体" w:hAnsi="宋体" w:cs="仿宋_GB2312"/>
                <w:szCs w:val="21"/>
              </w:rPr>
              <w:t>（1）</w:t>
            </w:r>
            <w:r>
              <w:rPr>
                <w:rFonts w:hint="eastAsia" w:ascii="宋体" w:hAnsi="宋体" w:cs="仿宋_GB2312"/>
                <w:szCs w:val="21"/>
              </w:rPr>
              <w:tab/>
            </w:r>
            <w:r>
              <w:rPr>
                <w:rFonts w:hint="eastAsia" w:ascii="宋体" w:hAnsi="宋体" w:cs="仿宋_GB2312"/>
                <w:szCs w:val="21"/>
              </w:rPr>
              <w:t>招标人拥有包括新产品新技术发布活动名称、LOGO、背景板设计、文字、图片等相关资料的知识产权。</w:t>
            </w:r>
          </w:p>
          <w:p>
            <w:pPr>
              <w:tabs>
                <w:tab w:val="left" w:pos="531"/>
              </w:tabs>
              <w:snapToGrid w:val="0"/>
              <w:jc w:val="left"/>
              <w:rPr>
                <w:rFonts w:ascii="宋体" w:hAnsi="宋体" w:cs="仿宋_GB2312"/>
                <w:szCs w:val="21"/>
              </w:rPr>
            </w:pPr>
            <w:r>
              <w:rPr>
                <w:rFonts w:hint="eastAsia" w:ascii="宋体" w:hAnsi="宋体" w:cs="仿宋_GB2312"/>
                <w:szCs w:val="21"/>
              </w:rPr>
              <w:t>（2）中标单位针对本项目采购范围内研发的成果，所有权归招标人所有。</w:t>
            </w:r>
          </w:p>
          <w:p>
            <w:pPr>
              <w:tabs>
                <w:tab w:val="left" w:pos="531"/>
              </w:tabs>
              <w:snapToGrid w:val="0"/>
              <w:jc w:val="left"/>
              <w:rPr>
                <w:rFonts w:ascii="宋体" w:hAnsi="宋体" w:cs="仿宋_GB2312"/>
                <w:szCs w:val="21"/>
              </w:rPr>
            </w:pPr>
            <w:r>
              <w:rPr>
                <w:rFonts w:hint="eastAsia" w:ascii="宋体" w:hAnsi="宋体" w:cs="仿宋_GB2312"/>
                <w:szCs w:val="21"/>
              </w:rPr>
              <w:t>（3）中标单位必须对设计与文案等拥有原创性，不得有模仿、抄袭等侵权行为，并且所提供的设计方案及相关图文资料须不涉及侵权第三方权益。若因侵犯第三方合法权利（包括但不限于著作权、商标权、专利权、专有技术或商业秘密）所带来的法律责任以及造成的损失均由中标单位承担，招标人不承担任何责任。若招标人因此造成损失的，由中标单位承担赔偿责任。</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保密要求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tabs>
                <w:tab w:val="left" w:pos="531"/>
              </w:tabs>
              <w:snapToGrid w:val="0"/>
              <w:jc w:val="left"/>
              <w:rPr>
                <w:rFonts w:ascii="宋体" w:hAnsi="宋体" w:cs="宋体"/>
                <w:szCs w:val="21"/>
              </w:rPr>
            </w:pPr>
            <w:r>
              <w:rPr>
                <w:rFonts w:hint="eastAsia" w:ascii="宋体" w:hAnsi="宋体" w:cs="宋体"/>
                <w:szCs w:val="21"/>
              </w:rPr>
              <w:t>双方都有责任对对方提供的技术情报、资料数据及商业秘密保密。未经对方同意，任何一方不得以任何形式向第三方泄露本项目资料或在项目中接触到的资料，不得将其用于履行本合同之外的其他用途。中标单位违反本条约定，给招标人造成损失的，应当赔偿全部损失。本条约定的保密义务不因本合同的变更、解除、终止而受影响。</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8</w:t>
            </w:r>
          </w:p>
        </w:tc>
        <w:tc>
          <w:tcPr>
            <w:tcW w:w="1341"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center"/>
              <w:rPr>
                <w:rFonts w:ascii="宋体" w:hAnsi="宋体" w:cs="仿宋_GB2312"/>
                <w:szCs w:val="21"/>
              </w:rPr>
            </w:pPr>
            <w:r>
              <w:rPr>
                <w:rFonts w:hint="eastAsia" w:ascii="宋体" w:hAnsi="宋体" w:cs="仿宋_GB2312"/>
                <w:szCs w:val="21"/>
              </w:rPr>
              <w:t>其他</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jc w:val="left"/>
              <w:rPr>
                <w:rFonts w:ascii="宋体" w:hAnsi="宋体" w:cs="仿宋_GB2312"/>
                <w:szCs w:val="21"/>
              </w:rPr>
            </w:pPr>
            <w:r>
              <w:rPr>
                <w:rFonts w:hint="eastAsia" w:ascii="宋体" w:hAnsi="宋体" w:cs="仿宋_GB2312"/>
                <w:szCs w:val="21"/>
              </w:rPr>
              <w:t>（1）投标人需承诺对现场会务执行工作人员进行相关培训，包括但不仅限于服务技能、安全要求、防疫要求等。</w:t>
            </w:r>
          </w:p>
          <w:p>
            <w:pPr>
              <w:numPr>
                <w:ilvl w:val="255"/>
                <w:numId w:val="0"/>
              </w:numPr>
              <w:tabs>
                <w:tab w:val="left" w:pos="531"/>
              </w:tabs>
              <w:snapToGrid w:val="0"/>
              <w:jc w:val="left"/>
              <w:rPr>
                <w:rFonts w:ascii="宋体" w:hAnsi="宋体" w:cs="仿宋_GB2312"/>
                <w:szCs w:val="21"/>
              </w:rPr>
            </w:pPr>
            <w:r>
              <w:rPr>
                <w:rFonts w:hint="eastAsia" w:ascii="宋体" w:hAnsi="宋体" w:cs="仿宋_GB2312"/>
                <w:szCs w:val="21"/>
              </w:rPr>
              <w:t>（2）投标人不得自行授权委托或聘请第三方机构从事本项目的服务活动。如果确有需要与第三方机构合作，需提出书面申请并经招标人同意后方可实施。</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不可偏离</w:t>
            </w:r>
          </w:p>
        </w:tc>
      </w:tr>
    </w:tbl>
    <w:p>
      <w:pPr>
        <w:numPr>
          <w:ilvl w:val="0"/>
          <w:numId w:val="1"/>
        </w:numPr>
        <w:spacing w:before="312" w:beforeLines="100" w:line="480" w:lineRule="auto"/>
        <w:jc w:val="left"/>
        <w:outlineLvl w:val="1"/>
        <w:rPr>
          <w:rFonts w:ascii="宋体" w:hAnsi="宋体"/>
          <w:b/>
          <w:szCs w:val="21"/>
        </w:rPr>
      </w:pPr>
      <w:bookmarkStart w:id="39" w:name="_Toc82685552"/>
      <w:bookmarkEnd w:id="39"/>
      <w:bookmarkStart w:id="40" w:name="_Toc82591996"/>
      <w:bookmarkEnd w:id="40"/>
      <w:bookmarkStart w:id="41" w:name="_Toc82684600"/>
      <w:bookmarkEnd w:id="41"/>
      <w:bookmarkStart w:id="42" w:name="_Toc82684715"/>
      <w:bookmarkEnd w:id="42"/>
      <w:bookmarkStart w:id="43" w:name="_Toc18538"/>
      <w:r>
        <w:rPr>
          <w:rFonts w:hint="eastAsia" w:ascii="宋体" w:hAnsi="宋体"/>
          <w:b/>
          <w:szCs w:val="21"/>
        </w:rPr>
        <w:t>其他项目说明资料</w:t>
      </w:r>
      <w:bookmarkEnd w:id="43"/>
    </w:p>
    <w:p>
      <w:pPr>
        <w:spacing w:line="44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服务机构履约评价表</w:t>
      </w:r>
    </w:p>
    <w:p>
      <w:pPr>
        <w:spacing w:line="560" w:lineRule="exact"/>
        <w:jc w:val="center"/>
        <w:rPr>
          <w:rFonts w:ascii="黑体" w:hAnsi="黑体" w:eastAsia="黑体" w:cs="黑体"/>
          <w:spacing w:val="-6"/>
          <w:sz w:val="30"/>
          <w:szCs w:val="30"/>
        </w:rPr>
      </w:pPr>
      <w:r>
        <w:rPr>
          <w:rFonts w:hint="eastAsia" w:ascii="黑体" w:hAnsi="黑体" w:eastAsia="黑体" w:cs="黑体"/>
          <w:spacing w:val="-6"/>
          <w:sz w:val="30"/>
          <w:szCs w:val="30"/>
        </w:rPr>
        <w:t>（服务类适用）</w:t>
      </w:r>
    </w:p>
    <w:p>
      <w:pPr>
        <w:jc w:val="center"/>
        <w:rPr>
          <w:rFonts w:ascii="宋体" w:hAnsi="宋体" w:cs="宋体"/>
          <w:b/>
          <w:kern w:val="0"/>
          <w:sz w:val="15"/>
          <w:szCs w:val="32"/>
        </w:rPr>
      </w:pPr>
    </w:p>
    <w:tbl>
      <w:tblPr>
        <w:tblStyle w:val="15"/>
        <w:tblW w:w="10065" w:type="dxa"/>
        <w:jc w:val="center"/>
        <w:tblLayout w:type="fixed"/>
        <w:tblCellMar>
          <w:top w:w="0" w:type="dxa"/>
          <w:left w:w="108" w:type="dxa"/>
          <w:bottom w:w="0" w:type="dxa"/>
          <w:right w:w="108" w:type="dxa"/>
        </w:tblCellMar>
      </w:tblPr>
      <w:tblGrid>
        <w:gridCol w:w="707"/>
        <w:gridCol w:w="817"/>
        <w:gridCol w:w="40"/>
        <w:gridCol w:w="222"/>
        <w:gridCol w:w="128"/>
        <w:gridCol w:w="350"/>
        <w:gridCol w:w="1620"/>
        <w:gridCol w:w="2320"/>
        <w:gridCol w:w="593"/>
        <w:gridCol w:w="850"/>
        <w:gridCol w:w="11"/>
        <w:gridCol w:w="105"/>
        <w:gridCol w:w="178"/>
        <w:gridCol w:w="414"/>
        <w:gridCol w:w="222"/>
        <w:gridCol w:w="629"/>
        <w:gridCol w:w="859"/>
      </w:tblGrid>
      <w:tr>
        <w:tblPrEx>
          <w:tblCellMar>
            <w:top w:w="0" w:type="dxa"/>
            <w:left w:w="108" w:type="dxa"/>
            <w:bottom w:w="0" w:type="dxa"/>
            <w:right w:w="108" w:type="dxa"/>
          </w:tblCellMar>
        </w:tblPrEx>
        <w:trPr>
          <w:trHeight w:val="336" w:hRule="atLeast"/>
          <w:jc w:val="center"/>
        </w:trPr>
        <w:tc>
          <w:tcPr>
            <w:tcW w:w="10065" w:type="dxa"/>
            <w:gridSpan w:val="17"/>
            <w:tcBorders>
              <w:top w:val="single" w:color="auto" w:sz="8" w:space="0"/>
              <w:left w:val="single" w:color="auto" w:sz="8" w:space="0"/>
              <w:bottom w:val="single" w:color="auto" w:sz="8" w:space="0"/>
              <w:right w:val="single" w:color="000000" w:sz="8" w:space="0"/>
            </w:tcBorders>
            <w:shd w:val="clear" w:color="auto" w:fill="D9D9D9"/>
            <w:vAlign w:val="center"/>
          </w:tcPr>
          <w:p>
            <w:pPr>
              <w:spacing w:line="240" w:lineRule="atLeast"/>
              <w:rPr>
                <w:rFonts w:ascii="宋体" w:hAnsi="宋体"/>
                <w:b/>
                <w:szCs w:val="21"/>
              </w:rPr>
            </w:pPr>
            <w:r>
              <w:rPr>
                <w:rFonts w:hint="eastAsia" w:ascii="宋体" w:hAnsi="宋体"/>
                <w:b/>
                <w:szCs w:val="21"/>
              </w:rPr>
              <w:t>基本信息</w:t>
            </w:r>
          </w:p>
        </w:tc>
      </w:tr>
      <w:tr>
        <w:tblPrEx>
          <w:tblCellMar>
            <w:top w:w="0" w:type="dxa"/>
            <w:left w:w="108" w:type="dxa"/>
            <w:bottom w:w="0" w:type="dxa"/>
            <w:right w:w="108" w:type="dxa"/>
          </w:tblCellMar>
        </w:tblPrEx>
        <w:trPr>
          <w:trHeight w:val="556" w:hRule="atLeast"/>
          <w:jc w:val="center"/>
        </w:trPr>
        <w:tc>
          <w:tcPr>
            <w:tcW w:w="1524"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黑体" w:hAnsi="宋体" w:eastAsia="黑体" w:cs="宋体"/>
                <w:sz w:val="24"/>
              </w:rPr>
            </w:pPr>
            <w:r>
              <w:rPr>
                <w:rFonts w:hint="eastAsia" w:ascii="宋体" w:hAnsi="宋体"/>
                <w:szCs w:val="21"/>
              </w:rPr>
              <w:t>服务机构名称</w:t>
            </w:r>
          </w:p>
        </w:tc>
        <w:tc>
          <w:tcPr>
            <w:tcW w:w="4680" w:type="dxa"/>
            <w:gridSpan w:val="6"/>
            <w:tcBorders>
              <w:top w:val="single" w:color="auto" w:sz="8" w:space="0"/>
              <w:left w:val="single" w:color="auto" w:sz="8" w:space="0"/>
              <w:bottom w:val="single" w:color="auto" w:sz="8" w:space="0"/>
              <w:right w:val="single" w:color="auto" w:sz="8" w:space="0"/>
            </w:tcBorders>
            <w:vAlign w:val="center"/>
          </w:tcPr>
          <w:p>
            <w:pPr>
              <w:rPr>
                <w:rFonts w:ascii="黑体" w:hAnsi="宋体" w:eastAsia="黑体" w:cs="宋体"/>
                <w:sz w:val="24"/>
              </w:rPr>
            </w:pPr>
          </w:p>
        </w:tc>
        <w:tc>
          <w:tcPr>
            <w:tcW w:w="155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黑体" w:hAnsi="宋体" w:eastAsia="黑体" w:cs="宋体"/>
                <w:sz w:val="24"/>
              </w:rPr>
            </w:pPr>
            <w:r>
              <w:rPr>
                <w:rFonts w:hint="eastAsia" w:ascii="宋体" w:hAnsi="宋体"/>
                <w:szCs w:val="21"/>
              </w:rPr>
              <w:t>中标时间</w:t>
            </w:r>
          </w:p>
        </w:tc>
        <w:tc>
          <w:tcPr>
            <w:tcW w:w="2302" w:type="dxa"/>
            <w:gridSpan w:val="5"/>
            <w:tcBorders>
              <w:top w:val="single" w:color="auto" w:sz="8" w:space="0"/>
              <w:left w:val="single" w:color="auto" w:sz="8" w:space="0"/>
              <w:bottom w:val="single" w:color="auto" w:sz="8" w:space="0"/>
              <w:right w:val="single" w:color="000000" w:sz="8" w:space="0"/>
            </w:tcBorders>
            <w:vAlign w:val="center"/>
          </w:tcPr>
          <w:p>
            <w:pPr>
              <w:rPr>
                <w:rFonts w:ascii="黑体" w:hAnsi="宋体" w:eastAsia="黑体" w:cs="宋体"/>
                <w:sz w:val="24"/>
              </w:rPr>
            </w:pPr>
          </w:p>
        </w:tc>
      </w:tr>
      <w:tr>
        <w:tblPrEx>
          <w:tblCellMar>
            <w:top w:w="0" w:type="dxa"/>
            <w:left w:w="108" w:type="dxa"/>
            <w:bottom w:w="0" w:type="dxa"/>
            <w:right w:w="108" w:type="dxa"/>
          </w:tblCellMar>
        </w:tblPrEx>
        <w:trPr>
          <w:trHeight w:val="556" w:hRule="atLeast"/>
          <w:jc w:val="center"/>
        </w:trPr>
        <w:tc>
          <w:tcPr>
            <w:tcW w:w="1524"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黑体" w:hAnsi="宋体" w:eastAsia="黑体" w:cs="宋体"/>
                <w:sz w:val="24"/>
              </w:rPr>
            </w:pPr>
            <w:r>
              <w:rPr>
                <w:rFonts w:ascii="宋体" w:hAnsi="宋体"/>
                <w:szCs w:val="21"/>
              </w:rPr>
              <w:t>合同名称</w:t>
            </w:r>
          </w:p>
        </w:tc>
        <w:tc>
          <w:tcPr>
            <w:tcW w:w="4680" w:type="dxa"/>
            <w:gridSpan w:val="6"/>
            <w:tcBorders>
              <w:top w:val="single" w:color="auto" w:sz="8" w:space="0"/>
              <w:left w:val="single" w:color="auto" w:sz="8" w:space="0"/>
              <w:bottom w:val="single" w:color="auto" w:sz="8" w:space="0"/>
              <w:right w:val="single" w:color="auto" w:sz="8" w:space="0"/>
            </w:tcBorders>
            <w:vAlign w:val="center"/>
          </w:tcPr>
          <w:p>
            <w:pPr>
              <w:rPr>
                <w:rFonts w:ascii="黑体" w:hAnsi="宋体" w:eastAsia="黑体" w:cs="宋体"/>
                <w:sz w:val="24"/>
              </w:rPr>
            </w:pPr>
          </w:p>
        </w:tc>
        <w:tc>
          <w:tcPr>
            <w:tcW w:w="155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黑体" w:hAnsi="宋体" w:eastAsia="黑体" w:cs="宋体"/>
                <w:sz w:val="24"/>
              </w:rPr>
            </w:pPr>
            <w:r>
              <w:rPr>
                <w:rFonts w:hint="eastAsia" w:ascii="宋体" w:hAnsi="宋体"/>
                <w:szCs w:val="21"/>
              </w:rPr>
              <w:t>合同签订时间</w:t>
            </w:r>
          </w:p>
        </w:tc>
        <w:tc>
          <w:tcPr>
            <w:tcW w:w="2302" w:type="dxa"/>
            <w:gridSpan w:val="5"/>
            <w:tcBorders>
              <w:top w:val="single" w:color="auto" w:sz="8" w:space="0"/>
              <w:left w:val="single" w:color="auto" w:sz="8" w:space="0"/>
              <w:bottom w:val="single" w:color="auto" w:sz="8" w:space="0"/>
              <w:right w:val="single" w:color="000000" w:sz="8" w:space="0"/>
            </w:tcBorders>
            <w:vAlign w:val="center"/>
          </w:tcPr>
          <w:p>
            <w:pPr>
              <w:rPr>
                <w:rFonts w:ascii="黑体" w:hAnsi="宋体" w:eastAsia="黑体" w:cs="宋体"/>
                <w:sz w:val="24"/>
              </w:rPr>
            </w:pPr>
          </w:p>
        </w:tc>
      </w:tr>
      <w:tr>
        <w:tblPrEx>
          <w:tblCellMar>
            <w:top w:w="0" w:type="dxa"/>
            <w:left w:w="108" w:type="dxa"/>
            <w:bottom w:w="0" w:type="dxa"/>
            <w:right w:w="108" w:type="dxa"/>
          </w:tblCellMar>
        </w:tblPrEx>
        <w:trPr>
          <w:trHeight w:val="1662" w:hRule="atLeast"/>
          <w:jc w:val="center"/>
        </w:trPr>
        <w:tc>
          <w:tcPr>
            <w:tcW w:w="1524" w:type="dxa"/>
            <w:gridSpan w:val="2"/>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ascii="黑体" w:hAnsi="宋体" w:eastAsia="黑体" w:cs="宋体"/>
                <w:sz w:val="24"/>
              </w:rPr>
            </w:pPr>
            <w:r>
              <w:rPr>
                <w:rFonts w:hint="eastAsia" w:ascii="宋体" w:hAnsi="宋体"/>
                <w:szCs w:val="21"/>
              </w:rPr>
              <w:t>合同范围内容概要</w:t>
            </w:r>
          </w:p>
        </w:tc>
        <w:tc>
          <w:tcPr>
            <w:tcW w:w="8541" w:type="dxa"/>
            <w:gridSpan w:val="15"/>
            <w:tcBorders>
              <w:top w:val="single" w:color="auto" w:sz="8" w:space="0"/>
              <w:left w:val="single" w:color="auto" w:sz="8" w:space="0"/>
              <w:bottom w:val="single" w:color="auto" w:sz="8" w:space="0"/>
              <w:right w:val="single" w:color="000000" w:sz="8" w:space="0"/>
            </w:tcBorders>
            <w:vAlign w:val="center"/>
          </w:tcPr>
          <w:p>
            <w:pPr>
              <w:rPr>
                <w:rFonts w:ascii="黑体" w:hAnsi="宋体" w:eastAsia="黑体" w:cs="宋体"/>
                <w:sz w:val="24"/>
              </w:rPr>
            </w:pPr>
          </w:p>
        </w:tc>
      </w:tr>
      <w:tr>
        <w:tblPrEx>
          <w:tblCellMar>
            <w:top w:w="0" w:type="dxa"/>
            <w:left w:w="108" w:type="dxa"/>
            <w:bottom w:w="0" w:type="dxa"/>
            <w:right w:w="108" w:type="dxa"/>
          </w:tblCellMar>
        </w:tblPrEx>
        <w:trPr>
          <w:trHeight w:val="556" w:hRule="atLeast"/>
          <w:jc w:val="center"/>
        </w:trPr>
        <w:tc>
          <w:tcPr>
            <w:tcW w:w="1524" w:type="dxa"/>
            <w:gridSpan w:val="2"/>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ascii="宋体" w:hAnsi="宋体"/>
                <w:szCs w:val="21"/>
              </w:rPr>
            </w:pPr>
            <w:r>
              <w:rPr>
                <w:rFonts w:hint="eastAsia" w:ascii="宋体" w:hAnsi="宋体"/>
                <w:szCs w:val="21"/>
              </w:rPr>
              <w:t>服务机构项目组成员构成</w:t>
            </w:r>
          </w:p>
        </w:tc>
        <w:tc>
          <w:tcPr>
            <w:tcW w:w="8541" w:type="dxa"/>
            <w:gridSpan w:val="15"/>
            <w:tcBorders>
              <w:top w:val="single" w:color="auto" w:sz="8" w:space="0"/>
              <w:left w:val="single" w:color="auto" w:sz="8" w:space="0"/>
              <w:bottom w:val="single" w:color="auto" w:sz="8" w:space="0"/>
              <w:right w:val="single" w:color="000000" w:sz="8" w:space="0"/>
            </w:tcBorders>
            <w:vAlign w:val="center"/>
          </w:tcPr>
          <w:p>
            <w:pPr>
              <w:rPr>
                <w:rFonts w:ascii="黑体" w:hAnsi="宋体" w:eastAsia="黑体" w:cs="宋体"/>
                <w:sz w:val="24"/>
              </w:rPr>
            </w:pPr>
          </w:p>
        </w:tc>
      </w:tr>
      <w:tr>
        <w:tblPrEx>
          <w:tblCellMar>
            <w:top w:w="0" w:type="dxa"/>
            <w:left w:w="108" w:type="dxa"/>
            <w:bottom w:w="0" w:type="dxa"/>
            <w:right w:w="108" w:type="dxa"/>
          </w:tblCellMar>
        </w:tblPrEx>
        <w:trPr>
          <w:trHeight w:val="556" w:hRule="atLeast"/>
          <w:jc w:val="center"/>
        </w:trPr>
        <w:tc>
          <w:tcPr>
            <w:tcW w:w="1524" w:type="dxa"/>
            <w:gridSpan w:val="2"/>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ascii="宋体" w:hAnsi="宋体"/>
                <w:szCs w:val="21"/>
              </w:rPr>
            </w:pPr>
            <w:r>
              <w:rPr>
                <w:rFonts w:hint="eastAsia" w:ascii="宋体" w:hAnsi="宋体"/>
                <w:szCs w:val="21"/>
              </w:rPr>
              <w:t>合同金额</w:t>
            </w:r>
          </w:p>
        </w:tc>
        <w:tc>
          <w:tcPr>
            <w:tcW w:w="4680" w:type="dxa"/>
            <w:gridSpan w:val="6"/>
            <w:tcBorders>
              <w:top w:val="single" w:color="auto" w:sz="8" w:space="0"/>
              <w:left w:val="single" w:color="auto" w:sz="8" w:space="0"/>
              <w:bottom w:val="single" w:color="auto" w:sz="8" w:space="0"/>
              <w:right w:val="single" w:color="auto" w:sz="8" w:space="0"/>
            </w:tcBorders>
            <w:vAlign w:val="center"/>
          </w:tcPr>
          <w:p>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c>
          <w:tcPr>
            <w:tcW w:w="155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黑体" w:hAnsi="宋体" w:eastAsia="黑体" w:cs="宋体"/>
                <w:sz w:val="24"/>
              </w:rPr>
            </w:pPr>
            <w:r>
              <w:rPr>
                <w:rFonts w:hint="eastAsia" w:ascii="宋体" w:hAnsi="宋体"/>
                <w:szCs w:val="21"/>
              </w:rPr>
              <w:t>结算金额</w:t>
            </w:r>
          </w:p>
        </w:tc>
        <w:tc>
          <w:tcPr>
            <w:tcW w:w="2302" w:type="dxa"/>
            <w:gridSpan w:val="5"/>
            <w:tcBorders>
              <w:top w:val="single" w:color="auto" w:sz="8" w:space="0"/>
              <w:left w:val="single" w:color="auto" w:sz="8" w:space="0"/>
              <w:bottom w:val="single" w:color="auto" w:sz="8" w:space="0"/>
              <w:right w:val="single" w:color="000000" w:sz="8" w:space="0"/>
            </w:tcBorders>
            <w:vAlign w:val="center"/>
          </w:tcPr>
          <w:p>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r>
      <w:tr>
        <w:tblPrEx>
          <w:tblCellMar>
            <w:top w:w="0" w:type="dxa"/>
            <w:left w:w="108" w:type="dxa"/>
            <w:bottom w:w="0" w:type="dxa"/>
            <w:right w:w="108" w:type="dxa"/>
          </w:tblCellMar>
        </w:tblPrEx>
        <w:trPr>
          <w:trHeight w:val="556" w:hRule="atLeast"/>
          <w:jc w:val="center"/>
        </w:trPr>
        <w:tc>
          <w:tcPr>
            <w:tcW w:w="1524" w:type="dxa"/>
            <w:gridSpan w:val="2"/>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ascii="宋体" w:hAnsi="宋体"/>
                <w:szCs w:val="21"/>
              </w:rPr>
            </w:pPr>
            <w:r>
              <w:rPr>
                <w:rFonts w:hint="eastAsia" w:ascii="宋体" w:hAnsi="宋体"/>
                <w:szCs w:val="21"/>
              </w:rPr>
              <w:t>合同服务期</w:t>
            </w:r>
          </w:p>
        </w:tc>
        <w:tc>
          <w:tcPr>
            <w:tcW w:w="4680" w:type="dxa"/>
            <w:gridSpan w:val="6"/>
            <w:tcBorders>
              <w:top w:val="single" w:color="auto" w:sz="8" w:space="0"/>
              <w:left w:val="single" w:color="auto" w:sz="8" w:space="0"/>
              <w:bottom w:val="single" w:color="auto" w:sz="8" w:space="0"/>
              <w:right w:val="single" w:color="auto" w:sz="8" w:space="0"/>
            </w:tcBorders>
            <w:vAlign w:val="center"/>
          </w:tcPr>
          <w:p>
            <w:pPr>
              <w:rPr>
                <w:rFonts w:ascii="黑体" w:hAnsi="宋体" w:eastAsia="黑体" w:cs="宋体"/>
                <w:sz w:val="24"/>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日历</w:t>
            </w:r>
            <w:r>
              <w:rPr>
                <w:rFonts w:ascii="宋体" w:hAnsi="宋体"/>
                <w:szCs w:val="21"/>
              </w:rPr>
              <w:t>日</w:t>
            </w:r>
          </w:p>
        </w:tc>
        <w:tc>
          <w:tcPr>
            <w:tcW w:w="155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黑体" w:hAnsi="宋体" w:eastAsia="黑体" w:cs="宋体"/>
                <w:sz w:val="24"/>
              </w:rPr>
            </w:pPr>
            <w:r>
              <w:rPr>
                <w:rFonts w:hint="eastAsia" w:ascii="宋体" w:hAnsi="宋体"/>
                <w:szCs w:val="21"/>
              </w:rPr>
              <w:t>验收时间</w:t>
            </w:r>
          </w:p>
        </w:tc>
        <w:tc>
          <w:tcPr>
            <w:tcW w:w="2302" w:type="dxa"/>
            <w:gridSpan w:val="5"/>
            <w:tcBorders>
              <w:top w:val="single" w:color="auto" w:sz="8" w:space="0"/>
              <w:left w:val="single" w:color="auto" w:sz="8" w:space="0"/>
              <w:bottom w:val="single" w:color="auto" w:sz="8" w:space="0"/>
              <w:right w:val="single" w:color="000000" w:sz="8" w:space="0"/>
            </w:tcBorders>
            <w:vAlign w:val="center"/>
          </w:tcPr>
          <w:p>
            <w:pPr>
              <w:rPr>
                <w:rFonts w:ascii="黑体" w:hAnsi="宋体" w:eastAsia="黑体" w:cs="宋体"/>
                <w:sz w:val="24"/>
              </w:rPr>
            </w:pPr>
            <w:r>
              <w:rPr>
                <w:rFonts w:hint="eastAsia" w:ascii="宋体" w:hAnsi="宋体"/>
                <w:szCs w:val="21"/>
              </w:rPr>
              <w:t>_____年____月___日</w:t>
            </w:r>
          </w:p>
        </w:tc>
      </w:tr>
      <w:tr>
        <w:tblPrEx>
          <w:tblCellMar>
            <w:top w:w="0" w:type="dxa"/>
            <w:left w:w="108" w:type="dxa"/>
            <w:bottom w:w="0" w:type="dxa"/>
            <w:right w:w="108" w:type="dxa"/>
          </w:tblCellMar>
        </w:tblPrEx>
        <w:trPr>
          <w:trHeight w:val="379" w:hRule="atLeast"/>
          <w:jc w:val="center"/>
        </w:trPr>
        <w:tc>
          <w:tcPr>
            <w:tcW w:w="10065" w:type="dxa"/>
            <w:gridSpan w:val="17"/>
            <w:tcBorders>
              <w:top w:val="single" w:color="auto" w:sz="8" w:space="0"/>
              <w:left w:val="single" w:color="auto" w:sz="8" w:space="0"/>
              <w:bottom w:val="single" w:color="auto" w:sz="8" w:space="0"/>
              <w:right w:val="single" w:color="000000" w:sz="8" w:space="0"/>
            </w:tcBorders>
            <w:shd w:val="clear" w:color="auto" w:fill="D9D9D9"/>
            <w:vAlign w:val="center"/>
          </w:tcPr>
          <w:p>
            <w:pPr>
              <w:spacing w:line="240" w:lineRule="atLeast"/>
              <w:jc w:val="left"/>
              <w:rPr>
                <w:rFonts w:ascii="宋体" w:hAnsi="宋体"/>
                <w:b/>
                <w:bCs/>
                <w:szCs w:val="21"/>
              </w:rPr>
            </w:pPr>
            <w:r>
              <w:rPr>
                <w:rFonts w:hint="eastAsia" w:ascii="宋体" w:hAnsi="宋体"/>
                <w:b/>
                <w:bCs/>
                <w:szCs w:val="21"/>
              </w:rPr>
              <w:t>评价标准</w:t>
            </w:r>
          </w:p>
        </w:tc>
      </w:tr>
      <w:tr>
        <w:tblPrEx>
          <w:tblCellMar>
            <w:top w:w="0" w:type="dxa"/>
            <w:left w:w="108" w:type="dxa"/>
            <w:bottom w:w="0" w:type="dxa"/>
            <w:right w:w="108" w:type="dxa"/>
          </w:tblCellMar>
        </w:tblPrEx>
        <w:trPr>
          <w:trHeight w:val="572" w:hRule="atLeast"/>
          <w:jc w:val="center"/>
        </w:trPr>
        <w:tc>
          <w:tcPr>
            <w:tcW w:w="2264" w:type="dxa"/>
            <w:gridSpan w:val="6"/>
            <w:tcBorders>
              <w:top w:val="single" w:color="auto" w:sz="8" w:space="0"/>
              <w:left w:val="single" w:color="auto" w:sz="8" w:space="0"/>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评 价 指 标</w:t>
            </w:r>
          </w:p>
        </w:tc>
        <w:tc>
          <w:tcPr>
            <w:tcW w:w="4533" w:type="dxa"/>
            <w:gridSpan w:val="3"/>
            <w:tcBorders>
              <w:top w:val="single" w:color="auto" w:sz="8" w:space="0"/>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评  分  内  容</w:t>
            </w:r>
          </w:p>
        </w:tc>
        <w:tc>
          <w:tcPr>
            <w:tcW w:w="850" w:type="dxa"/>
            <w:tcBorders>
              <w:top w:val="nil"/>
              <w:left w:val="nil"/>
              <w:bottom w:val="single" w:color="auto" w:sz="4" w:space="0"/>
              <w:right w:val="single" w:color="auto" w:sz="4" w:space="0"/>
            </w:tcBorders>
            <w:vAlign w:val="center"/>
          </w:tcPr>
          <w:p>
            <w:pPr>
              <w:spacing w:line="260" w:lineRule="exact"/>
              <w:rPr>
                <w:rFonts w:ascii="宋体" w:hAnsi="宋体" w:cs="宋体"/>
                <w:szCs w:val="21"/>
              </w:rPr>
            </w:pPr>
            <w:r>
              <w:rPr>
                <w:rFonts w:hint="eastAsia" w:ascii="宋体" w:hAnsi="宋体" w:cs="宋体"/>
                <w:szCs w:val="21"/>
              </w:rPr>
              <w:t>分值</w:t>
            </w:r>
          </w:p>
        </w:tc>
        <w:tc>
          <w:tcPr>
            <w:tcW w:w="1559" w:type="dxa"/>
            <w:gridSpan w:val="6"/>
            <w:tcBorders>
              <w:top w:val="single" w:color="auto" w:sz="8" w:space="0"/>
              <w:left w:val="nil"/>
              <w:bottom w:val="single" w:color="auto" w:sz="4" w:space="0"/>
              <w:right w:val="single" w:color="000000" w:sz="4" w:space="0"/>
            </w:tcBorders>
            <w:vAlign w:val="center"/>
          </w:tcPr>
          <w:p>
            <w:pPr>
              <w:spacing w:line="260" w:lineRule="exact"/>
              <w:rPr>
                <w:rFonts w:ascii="宋体" w:hAnsi="宋体" w:cs="宋体"/>
                <w:szCs w:val="21"/>
              </w:rPr>
            </w:pPr>
            <w:r>
              <w:rPr>
                <w:rFonts w:hint="eastAsia" w:ascii="宋体" w:hAnsi="宋体" w:cs="宋体"/>
                <w:szCs w:val="21"/>
              </w:rPr>
              <w:t>扣分</w:t>
            </w:r>
            <w:r>
              <w:rPr>
                <w:rFonts w:hint="eastAsia" w:ascii="宋体" w:hAnsi="宋体" w:cs="宋体"/>
                <w:sz w:val="16"/>
                <w:szCs w:val="16"/>
              </w:rPr>
              <w:t>（最小扣分单位为0.5分，最多不超过该项分值）</w:t>
            </w:r>
          </w:p>
        </w:tc>
        <w:tc>
          <w:tcPr>
            <w:tcW w:w="859" w:type="dxa"/>
            <w:tcBorders>
              <w:top w:val="single" w:color="auto" w:sz="8" w:space="0"/>
              <w:left w:val="nil"/>
              <w:bottom w:val="single" w:color="auto" w:sz="4" w:space="0"/>
              <w:right w:val="single" w:color="000000" w:sz="8" w:space="0"/>
            </w:tcBorders>
            <w:vAlign w:val="center"/>
          </w:tcPr>
          <w:p>
            <w:pPr>
              <w:spacing w:line="260" w:lineRule="exact"/>
              <w:jc w:val="center"/>
              <w:rPr>
                <w:rFonts w:ascii="宋体" w:hAnsi="宋体" w:cs="宋体"/>
                <w:szCs w:val="21"/>
              </w:rPr>
            </w:pPr>
            <w:r>
              <w:rPr>
                <w:rFonts w:hint="eastAsia" w:ascii="宋体" w:hAnsi="宋体" w:cs="宋体"/>
                <w:szCs w:val="21"/>
              </w:rPr>
              <w:t>备注</w:t>
            </w:r>
          </w:p>
        </w:tc>
      </w:tr>
      <w:tr>
        <w:tblPrEx>
          <w:tblCellMar>
            <w:top w:w="0" w:type="dxa"/>
            <w:left w:w="108" w:type="dxa"/>
            <w:bottom w:w="0" w:type="dxa"/>
            <w:right w:w="108" w:type="dxa"/>
          </w:tblCellMar>
        </w:tblPrEx>
        <w:trPr>
          <w:trHeight w:val="437" w:hRule="atLeast"/>
          <w:jc w:val="center"/>
        </w:trPr>
        <w:tc>
          <w:tcPr>
            <w:tcW w:w="707" w:type="dxa"/>
            <w:vMerge w:val="restart"/>
            <w:tcBorders>
              <w:top w:val="nil"/>
              <w:left w:val="single" w:color="auto" w:sz="8" w:space="0"/>
              <w:right w:val="single" w:color="auto" w:sz="4" w:space="0"/>
            </w:tcBorders>
            <w:textDirection w:val="tbRlV"/>
            <w:vAlign w:val="center"/>
          </w:tcPr>
          <w:p>
            <w:pPr>
              <w:spacing w:line="300" w:lineRule="exact"/>
              <w:ind w:firstLine="360"/>
              <w:jc w:val="center"/>
              <w:rPr>
                <w:rFonts w:ascii="黑体" w:hAnsi="宋体" w:eastAsia="黑体" w:cs="宋体"/>
                <w:sz w:val="24"/>
              </w:rPr>
            </w:pPr>
            <w:r>
              <w:rPr>
                <w:rFonts w:hint="eastAsia" w:ascii="黑体" w:hAnsi="宋体" w:eastAsia="黑体" w:cs="宋体"/>
                <w:sz w:val="24"/>
              </w:rPr>
              <w:t>服务过程（40分）</w:t>
            </w:r>
          </w:p>
        </w:tc>
        <w:tc>
          <w:tcPr>
            <w:tcW w:w="817"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0"/>
              </w:rPr>
            </w:pPr>
            <w:r>
              <w:rPr>
                <w:rFonts w:hint="eastAsia" w:ascii="宋体" w:hAnsi="宋体" w:cs="宋体"/>
                <w:sz w:val="20"/>
              </w:rPr>
              <w:t>工作</w:t>
            </w:r>
          </w:p>
          <w:p>
            <w:pPr>
              <w:spacing w:line="300" w:lineRule="exact"/>
              <w:jc w:val="center"/>
              <w:rPr>
                <w:rFonts w:ascii="宋体" w:hAnsi="宋体" w:cs="宋体"/>
                <w:sz w:val="20"/>
              </w:rPr>
            </w:pPr>
            <w:r>
              <w:rPr>
                <w:rFonts w:hint="eastAsia" w:ascii="宋体" w:hAnsi="宋体" w:cs="宋体"/>
                <w:sz w:val="20"/>
              </w:rPr>
              <w:t>能力</w:t>
            </w:r>
          </w:p>
        </w:tc>
        <w:tc>
          <w:tcPr>
            <w:tcW w:w="740" w:type="dxa"/>
            <w:gridSpan w:val="4"/>
            <w:vMerge w:val="restart"/>
            <w:tcBorders>
              <w:top w:val="nil"/>
              <w:left w:val="single" w:color="auto" w:sz="4" w:space="0"/>
              <w:bottom w:val="single" w:color="000000" w:sz="4" w:space="0"/>
              <w:right w:val="single" w:color="auto" w:sz="4" w:space="0"/>
            </w:tcBorders>
            <w:vAlign w:val="center"/>
          </w:tcPr>
          <w:p>
            <w:pPr>
              <w:spacing w:line="300" w:lineRule="exact"/>
              <w:jc w:val="center"/>
              <w:rPr>
                <w:rFonts w:ascii="宋体" w:hAnsi="宋体" w:cs="宋体"/>
                <w:sz w:val="20"/>
              </w:rPr>
            </w:pPr>
            <w:r>
              <w:rPr>
                <w:rFonts w:hint="eastAsia" w:ascii="宋体" w:hAnsi="宋体" w:cs="宋体"/>
                <w:sz w:val="20"/>
              </w:rPr>
              <w:t>工作</w:t>
            </w:r>
          </w:p>
          <w:p>
            <w:pPr>
              <w:spacing w:line="300" w:lineRule="exact"/>
              <w:jc w:val="center"/>
              <w:rPr>
                <w:rFonts w:ascii="宋体" w:hAnsi="宋体" w:cs="宋体"/>
                <w:sz w:val="20"/>
              </w:rPr>
            </w:pPr>
            <w:r>
              <w:rPr>
                <w:rFonts w:hint="eastAsia" w:ascii="宋体" w:hAnsi="宋体" w:cs="宋体"/>
                <w:sz w:val="20"/>
              </w:rPr>
              <w:t>效率</w:t>
            </w:r>
          </w:p>
        </w:tc>
        <w:tc>
          <w:tcPr>
            <w:tcW w:w="4533" w:type="dxa"/>
            <w:gridSpan w:val="3"/>
            <w:tcBorders>
              <w:top w:val="single" w:color="auto" w:sz="4" w:space="0"/>
              <w:left w:val="nil"/>
              <w:bottom w:val="single" w:color="auto" w:sz="4" w:space="0"/>
              <w:right w:val="single" w:color="auto" w:sz="4" w:space="0"/>
            </w:tcBorders>
            <w:vAlign w:val="center"/>
          </w:tcPr>
          <w:p>
            <w:pPr>
              <w:spacing w:line="300" w:lineRule="exact"/>
              <w:ind w:firstLine="357"/>
              <w:jc w:val="left"/>
              <w:rPr>
                <w:rFonts w:ascii="宋体" w:hAnsi="宋体" w:cs="宋体"/>
                <w:szCs w:val="21"/>
              </w:rPr>
            </w:pPr>
            <w:r>
              <w:rPr>
                <w:rFonts w:hint="eastAsia" w:ascii="宋体" w:hAnsi="宋体" w:cs="宋体"/>
                <w:szCs w:val="21"/>
              </w:rPr>
              <w:t>1.是否按时完成各项工作任务</w:t>
            </w:r>
          </w:p>
        </w:tc>
        <w:tc>
          <w:tcPr>
            <w:tcW w:w="850" w:type="dxa"/>
            <w:tcBorders>
              <w:top w:val="nil"/>
              <w:left w:val="nil"/>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3</w:t>
            </w:r>
          </w:p>
        </w:tc>
        <w:tc>
          <w:tcPr>
            <w:tcW w:w="1559" w:type="dxa"/>
            <w:gridSpan w:val="6"/>
            <w:tcBorders>
              <w:top w:val="single" w:color="auto" w:sz="4" w:space="0"/>
              <w:left w:val="nil"/>
              <w:bottom w:val="single" w:color="auto"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spacing w:line="300" w:lineRule="exact"/>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416"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000000" w:sz="4" w:space="0"/>
            </w:tcBorders>
            <w:vAlign w:val="center"/>
          </w:tcPr>
          <w:p>
            <w:pPr>
              <w:spacing w:line="260" w:lineRule="exact"/>
              <w:ind w:firstLine="357"/>
              <w:jc w:val="left"/>
              <w:rPr>
                <w:rFonts w:ascii="宋体" w:hAnsi="宋体" w:cs="宋体"/>
                <w:szCs w:val="21"/>
              </w:rPr>
            </w:pPr>
            <w:r>
              <w:rPr>
                <w:rFonts w:hint="eastAsia" w:ascii="宋体" w:hAnsi="宋体" w:cs="宋体"/>
                <w:szCs w:val="21"/>
              </w:rPr>
              <w:t>2.能否按照计划进度开展工作</w:t>
            </w:r>
          </w:p>
        </w:tc>
        <w:tc>
          <w:tcPr>
            <w:tcW w:w="8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422"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0"/>
              </w:rPr>
            </w:pPr>
            <w:r>
              <w:rPr>
                <w:rFonts w:hint="eastAsia" w:ascii="宋体" w:hAnsi="宋体" w:cs="宋体"/>
                <w:sz w:val="20"/>
              </w:rPr>
              <w:t>胜任</w:t>
            </w:r>
          </w:p>
          <w:p>
            <w:pPr>
              <w:jc w:val="center"/>
              <w:rPr>
                <w:rFonts w:ascii="宋体" w:hAnsi="宋体" w:cs="宋体"/>
                <w:sz w:val="20"/>
              </w:rPr>
            </w:pPr>
            <w:r>
              <w:rPr>
                <w:rFonts w:hint="eastAsia" w:ascii="宋体" w:hAnsi="宋体" w:cs="宋体"/>
                <w:sz w:val="20"/>
              </w:rPr>
              <w:t>能力</w:t>
            </w:r>
          </w:p>
        </w:tc>
        <w:tc>
          <w:tcPr>
            <w:tcW w:w="4533" w:type="dxa"/>
            <w:gridSpan w:val="3"/>
            <w:tcBorders>
              <w:top w:val="single" w:color="auto" w:sz="4" w:space="0"/>
              <w:left w:val="nil"/>
              <w:bottom w:val="single" w:color="auto" w:sz="4" w:space="0"/>
              <w:right w:val="single" w:color="000000" w:sz="4" w:space="0"/>
            </w:tcBorders>
            <w:vAlign w:val="center"/>
          </w:tcPr>
          <w:p>
            <w:pPr>
              <w:spacing w:line="260" w:lineRule="exact"/>
              <w:ind w:firstLine="357"/>
              <w:jc w:val="left"/>
              <w:rPr>
                <w:rFonts w:ascii="宋体" w:hAnsi="宋体" w:cs="宋体"/>
                <w:szCs w:val="21"/>
              </w:rPr>
            </w:pPr>
            <w:r>
              <w:rPr>
                <w:rFonts w:hint="eastAsia" w:ascii="宋体" w:hAnsi="宋体" w:cs="宋体"/>
                <w:szCs w:val="21"/>
              </w:rPr>
              <w:t>3.现场工作期间，工作人数、人员资质等是否达到委托要求</w:t>
            </w:r>
          </w:p>
        </w:tc>
        <w:tc>
          <w:tcPr>
            <w:tcW w:w="8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444"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000000" w:sz="4" w:space="0"/>
            </w:tcBorders>
            <w:vAlign w:val="center"/>
          </w:tcPr>
          <w:p>
            <w:pPr>
              <w:spacing w:line="260" w:lineRule="exact"/>
              <w:ind w:firstLine="357"/>
              <w:jc w:val="left"/>
              <w:rPr>
                <w:rFonts w:ascii="宋体" w:hAnsi="宋体" w:cs="宋体"/>
                <w:szCs w:val="21"/>
              </w:rPr>
            </w:pPr>
            <w:r>
              <w:rPr>
                <w:rFonts w:hint="eastAsia" w:ascii="宋体" w:hAnsi="宋体" w:cs="宋体"/>
                <w:szCs w:val="21"/>
              </w:rPr>
              <w:t>4.每位工作人员是否具备与中介项目相匹配的专业知识</w:t>
            </w:r>
          </w:p>
        </w:tc>
        <w:tc>
          <w:tcPr>
            <w:tcW w:w="8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1266"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57"/>
              <w:jc w:val="left"/>
              <w:rPr>
                <w:rFonts w:ascii="宋体" w:hAnsi="宋体" w:cs="宋体"/>
                <w:szCs w:val="21"/>
              </w:rPr>
            </w:pPr>
            <w:r>
              <w:rPr>
                <w:rFonts w:hint="eastAsia" w:ascii="宋体" w:hAnsi="宋体" w:cs="宋体"/>
                <w:szCs w:val="21"/>
              </w:rPr>
              <w:t>5.是否存在对同一事项（如差错、修改意见、疑问及需进一步了解的情况、需进一步分析的事项等）进行多次修改才得到最终结果的情况</w:t>
            </w:r>
          </w:p>
        </w:tc>
        <w:tc>
          <w:tcPr>
            <w:tcW w:w="8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30"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rPr>
            </w:pPr>
            <w:r>
              <w:rPr>
                <w:rFonts w:hint="eastAsia" w:ascii="宋体" w:hAnsi="宋体" w:cs="宋体"/>
                <w:sz w:val="20"/>
              </w:rPr>
              <w:t>配合</w:t>
            </w:r>
          </w:p>
          <w:p>
            <w:pPr>
              <w:jc w:val="center"/>
              <w:rPr>
                <w:rFonts w:ascii="宋体" w:hAnsi="宋体" w:cs="宋体"/>
                <w:sz w:val="20"/>
              </w:rPr>
            </w:pPr>
            <w:r>
              <w:rPr>
                <w:rFonts w:hint="eastAsia" w:ascii="宋体" w:hAnsi="宋体" w:cs="宋体"/>
                <w:sz w:val="20"/>
              </w:rPr>
              <w:t>程度</w:t>
            </w:r>
          </w:p>
        </w:tc>
        <w:tc>
          <w:tcPr>
            <w:tcW w:w="740" w:type="dxa"/>
            <w:gridSpan w:val="4"/>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 w:val="20"/>
              </w:rPr>
            </w:pPr>
            <w:r>
              <w:rPr>
                <w:rFonts w:hint="eastAsia" w:ascii="宋体" w:hAnsi="宋体" w:cs="宋体"/>
                <w:sz w:val="20"/>
              </w:rPr>
              <w:t>沟通</w:t>
            </w:r>
          </w:p>
          <w:p>
            <w:pPr>
              <w:jc w:val="center"/>
              <w:rPr>
                <w:rFonts w:ascii="宋体" w:hAnsi="宋体" w:cs="宋体"/>
                <w:sz w:val="20"/>
              </w:rPr>
            </w:pPr>
            <w:r>
              <w:rPr>
                <w:rFonts w:hint="eastAsia" w:ascii="宋体" w:hAnsi="宋体" w:cs="宋体"/>
                <w:sz w:val="20"/>
              </w:rPr>
              <w:t>主动</w:t>
            </w:r>
          </w:p>
          <w:p>
            <w:pPr>
              <w:jc w:val="center"/>
              <w:rPr>
                <w:rFonts w:ascii="宋体" w:hAnsi="宋体" w:cs="宋体"/>
                <w:sz w:val="20"/>
              </w:rPr>
            </w:pPr>
            <w:r>
              <w:rPr>
                <w:rFonts w:hint="eastAsia" w:ascii="宋体" w:hAnsi="宋体" w:cs="宋体"/>
                <w:sz w:val="20"/>
              </w:rPr>
              <w:t>性</w:t>
            </w: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57"/>
              <w:jc w:val="left"/>
              <w:rPr>
                <w:rFonts w:ascii="宋体" w:hAnsi="宋体" w:cs="宋体"/>
                <w:szCs w:val="21"/>
              </w:rPr>
            </w:pPr>
            <w:r>
              <w:rPr>
                <w:rFonts w:hint="eastAsia" w:ascii="宋体" w:hAnsi="宋体" w:cs="宋体"/>
                <w:szCs w:val="21"/>
              </w:rPr>
              <w:t>6.是否及时就项目开展进度、情况进行沟通</w:t>
            </w:r>
          </w:p>
        </w:tc>
        <w:tc>
          <w:tcPr>
            <w:tcW w:w="8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30"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000000" w:sz="4" w:space="0"/>
            </w:tcBorders>
            <w:vAlign w:val="center"/>
          </w:tcPr>
          <w:p>
            <w:pPr>
              <w:spacing w:line="260" w:lineRule="exact"/>
              <w:ind w:firstLine="357"/>
              <w:jc w:val="left"/>
              <w:rPr>
                <w:rFonts w:ascii="宋体" w:hAnsi="宋体" w:cs="宋体"/>
                <w:szCs w:val="21"/>
              </w:rPr>
            </w:pPr>
            <w:r>
              <w:rPr>
                <w:rFonts w:hint="eastAsia" w:ascii="宋体" w:hAnsi="宋体" w:cs="宋体"/>
                <w:szCs w:val="21"/>
              </w:rPr>
              <w:t>7.是否及时回馈委托方提出的意见、问题等，并主动提供有关建议等</w:t>
            </w:r>
          </w:p>
        </w:tc>
        <w:tc>
          <w:tcPr>
            <w:tcW w:w="8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30"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57"/>
              <w:jc w:val="left"/>
              <w:rPr>
                <w:rFonts w:ascii="宋体" w:hAnsi="宋体" w:cs="宋体"/>
                <w:szCs w:val="21"/>
              </w:rPr>
            </w:pPr>
            <w:r>
              <w:rPr>
                <w:rFonts w:hint="eastAsia" w:ascii="宋体" w:hAnsi="宋体" w:cs="宋体"/>
                <w:szCs w:val="21"/>
              </w:rPr>
              <w:t>8.在对重大事项得出结论前是否与有关方面进行了充分的沟通</w:t>
            </w:r>
          </w:p>
        </w:tc>
        <w:tc>
          <w:tcPr>
            <w:tcW w:w="850" w:type="dxa"/>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30"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restart"/>
            <w:tcBorders>
              <w:top w:val="nil"/>
              <w:left w:val="single" w:color="auto" w:sz="4" w:space="0"/>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沟通能力</w:t>
            </w: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jc w:val="left"/>
              <w:rPr>
                <w:rFonts w:ascii="宋体" w:hAnsi="宋体" w:cs="宋体"/>
                <w:szCs w:val="21"/>
              </w:rPr>
            </w:pPr>
            <w:r>
              <w:rPr>
                <w:rFonts w:hint="eastAsia" w:ascii="宋体" w:hAnsi="宋体" w:cs="宋体"/>
                <w:szCs w:val="21"/>
              </w:rPr>
              <w:t>9.服务机构工作人员能否准确理解委托方的意图</w:t>
            </w:r>
          </w:p>
        </w:tc>
        <w:tc>
          <w:tcPr>
            <w:tcW w:w="850" w:type="dxa"/>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895"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jc w:val="left"/>
              <w:rPr>
                <w:rFonts w:ascii="宋体" w:hAnsi="宋体" w:cs="宋体"/>
                <w:szCs w:val="21"/>
              </w:rPr>
            </w:pPr>
            <w:r>
              <w:rPr>
                <w:rFonts w:hint="eastAsia" w:ascii="宋体" w:hAnsi="宋体" w:cs="宋体"/>
                <w:szCs w:val="21"/>
              </w:rPr>
              <w:t>10.服务机构工作人员表达或表述是否清晰无误，善于沟通</w:t>
            </w:r>
          </w:p>
        </w:tc>
        <w:tc>
          <w:tcPr>
            <w:tcW w:w="850" w:type="dxa"/>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718"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rPr>
            </w:pPr>
            <w:r>
              <w:rPr>
                <w:rFonts w:hint="eastAsia" w:ascii="宋体" w:hAnsi="宋体" w:cs="宋体"/>
                <w:sz w:val="20"/>
              </w:rPr>
              <w:t>职业</w:t>
            </w:r>
          </w:p>
          <w:p>
            <w:pPr>
              <w:jc w:val="center"/>
              <w:rPr>
                <w:rFonts w:ascii="宋体" w:hAnsi="宋体" w:cs="宋体"/>
                <w:sz w:val="20"/>
              </w:rPr>
            </w:pPr>
            <w:r>
              <w:rPr>
                <w:rFonts w:hint="eastAsia" w:ascii="宋体" w:hAnsi="宋体" w:cs="宋体"/>
                <w:sz w:val="20"/>
              </w:rPr>
              <w:t>操守</w:t>
            </w:r>
          </w:p>
        </w:tc>
        <w:tc>
          <w:tcPr>
            <w:tcW w:w="740" w:type="dxa"/>
            <w:gridSpan w:val="4"/>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rPr>
            </w:pPr>
            <w:r>
              <w:rPr>
                <w:rFonts w:hint="eastAsia" w:ascii="宋体" w:hAnsi="宋体" w:cs="宋体"/>
                <w:sz w:val="20"/>
              </w:rPr>
              <w:t>工作态度</w:t>
            </w: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jc w:val="left"/>
              <w:rPr>
                <w:rFonts w:ascii="宋体" w:hAnsi="宋体" w:cs="宋体"/>
                <w:szCs w:val="21"/>
              </w:rPr>
            </w:pPr>
            <w:r>
              <w:rPr>
                <w:rFonts w:hint="eastAsia" w:ascii="宋体" w:hAnsi="宋体" w:cs="宋体"/>
                <w:szCs w:val="21"/>
              </w:rPr>
              <w:t>11.服务机构工作团队对事项的描述、问题的定性和数据的确定等是否合理谨慎</w:t>
            </w:r>
          </w:p>
        </w:tc>
        <w:tc>
          <w:tcPr>
            <w:tcW w:w="85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12"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jc w:val="left"/>
              <w:rPr>
                <w:rFonts w:ascii="宋体" w:hAnsi="宋体" w:cs="宋体"/>
                <w:szCs w:val="21"/>
              </w:rPr>
            </w:pPr>
            <w:r>
              <w:rPr>
                <w:rFonts w:hint="eastAsia" w:ascii="宋体" w:hAnsi="宋体" w:cs="宋体"/>
                <w:szCs w:val="21"/>
              </w:rPr>
              <w:t>12.服务机构工作团队对事项的描述、问题的定性和数据的确定等是否客观真实</w:t>
            </w:r>
          </w:p>
        </w:tc>
        <w:tc>
          <w:tcPr>
            <w:tcW w:w="85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12"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restart"/>
            <w:tcBorders>
              <w:top w:val="single" w:color="auto" w:sz="4" w:space="0"/>
              <w:left w:val="single" w:color="auto" w:sz="4" w:space="0"/>
              <w:right w:val="single" w:color="auto" w:sz="4" w:space="0"/>
            </w:tcBorders>
            <w:vAlign w:val="center"/>
          </w:tcPr>
          <w:p>
            <w:pPr>
              <w:widowControl/>
              <w:jc w:val="left"/>
              <w:rPr>
                <w:rFonts w:ascii="宋体" w:hAnsi="宋体" w:cs="宋体"/>
                <w:sz w:val="20"/>
              </w:rPr>
            </w:pPr>
            <w:r>
              <w:rPr>
                <w:rFonts w:hint="eastAsia" w:ascii="宋体" w:hAnsi="宋体" w:cs="宋体"/>
                <w:sz w:val="20"/>
              </w:rPr>
              <w:t>职业道德</w:t>
            </w: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13.服务机构工作人员能否对执业过程中获得的信息保密</w:t>
            </w:r>
          </w:p>
        </w:tc>
        <w:tc>
          <w:tcPr>
            <w:tcW w:w="85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3</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p>
        </w:tc>
      </w:tr>
      <w:tr>
        <w:tblPrEx>
          <w:tblCellMar>
            <w:top w:w="0" w:type="dxa"/>
            <w:left w:w="108" w:type="dxa"/>
            <w:bottom w:w="0" w:type="dxa"/>
            <w:right w:w="108" w:type="dxa"/>
          </w:tblCellMar>
        </w:tblPrEx>
        <w:trPr>
          <w:trHeight w:val="1165" w:hRule="atLeast"/>
          <w:jc w:val="center"/>
        </w:trPr>
        <w:tc>
          <w:tcPr>
            <w:tcW w:w="707" w:type="dxa"/>
            <w:vMerge w:val="continue"/>
            <w:tcBorders>
              <w:left w:val="single" w:color="auto" w:sz="8" w:space="0"/>
              <w:bottom w:val="single" w:color="auto" w:sz="4" w:space="0"/>
              <w:right w:val="single" w:color="auto" w:sz="4" w:space="0"/>
            </w:tcBorders>
            <w:vAlign w:val="center"/>
          </w:tcPr>
          <w:p>
            <w:pPr>
              <w:widowControl/>
              <w:jc w:val="left"/>
              <w:rPr>
                <w:rFonts w:ascii="黑体" w:hAnsi="宋体" w:eastAsia="黑体" w:cs="宋体"/>
                <w:sz w:val="24"/>
              </w:rPr>
            </w:pPr>
          </w:p>
        </w:tc>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14.服务机构工作人员能否坚持独立、客观、公正的立场</w:t>
            </w:r>
          </w:p>
        </w:tc>
        <w:tc>
          <w:tcPr>
            <w:tcW w:w="85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3</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p>
        </w:tc>
      </w:tr>
      <w:tr>
        <w:tblPrEx>
          <w:tblCellMar>
            <w:top w:w="0" w:type="dxa"/>
            <w:left w:w="108" w:type="dxa"/>
            <w:bottom w:w="0" w:type="dxa"/>
            <w:right w:w="108" w:type="dxa"/>
          </w:tblCellMar>
        </w:tblPrEx>
        <w:trPr>
          <w:trHeight w:val="699" w:hRule="atLeast"/>
          <w:jc w:val="center"/>
        </w:trPr>
        <w:tc>
          <w:tcPr>
            <w:tcW w:w="707" w:type="dxa"/>
            <w:vMerge w:val="restart"/>
            <w:tcBorders>
              <w:top w:val="single" w:color="auto" w:sz="4" w:space="0"/>
              <w:left w:val="single" w:color="auto" w:sz="8" w:space="0"/>
              <w:bottom w:val="double" w:color="000000" w:sz="6" w:space="0"/>
              <w:right w:val="single" w:color="auto" w:sz="4" w:space="0"/>
            </w:tcBorders>
            <w:textDirection w:val="tbRlV"/>
            <w:vAlign w:val="center"/>
          </w:tcPr>
          <w:p>
            <w:pPr>
              <w:ind w:firstLine="360"/>
              <w:jc w:val="center"/>
              <w:rPr>
                <w:rFonts w:ascii="黑体" w:hAnsi="宋体" w:eastAsia="黑体" w:cs="宋体"/>
                <w:sz w:val="24"/>
              </w:rPr>
            </w:pPr>
            <w:r>
              <w:rPr>
                <w:rFonts w:hint="eastAsia" w:ascii="黑体" w:hAnsi="宋体" w:eastAsia="黑体" w:cs="宋体"/>
                <w:sz w:val="24"/>
              </w:rPr>
              <w:t>服务成果（60分）</w:t>
            </w:r>
          </w:p>
        </w:tc>
        <w:tc>
          <w:tcPr>
            <w:tcW w:w="817" w:type="dxa"/>
            <w:vMerge w:val="restart"/>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规范性</w:t>
            </w:r>
          </w:p>
        </w:tc>
        <w:tc>
          <w:tcPr>
            <w:tcW w:w="740" w:type="dxa"/>
            <w:gridSpan w:val="4"/>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格式     与      文字</w:t>
            </w: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15.报告或相关材料的格式是否符合委托要求</w:t>
            </w:r>
          </w:p>
        </w:tc>
        <w:tc>
          <w:tcPr>
            <w:tcW w:w="861"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73"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16.报告或相关材料表内表间数据的勾稽关系是否正确</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55"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17.文字表述是否清晰，易产生歧义的内容是否不多于3处</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65"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18.报告或相关材料中的错别字、笔误等是否不多于5处</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802"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19.报告或相关材料中是否存在一个或多个表格不符合委托要求</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30"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完整性</w:t>
            </w:r>
          </w:p>
        </w:tc>
        <w:tc>
          <w:tcPr>
            <w:tcW w:w="740" w:type="dxa"/>
            <w:gridSpan w:val="4"/>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内容     与      成果</w:t>
            </w: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20.是否完成协议规定的具体服务内容</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709"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21.是否按要求提交相关的工作成果或达到预期目标</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30"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restart"/>
            <w:tcBorders>
              <w:top w:val="single" w:color="auto" w:sz="4" w:space="0"/>
              <w:left w:val="single" w:color="auto" w:sz="4" w:space="0"/>
              <w:bottom w:val="nil"/>
              <w:right w:val="single" w:color="000000" w:sz="4" w:space="0"/>
            </w:tcBorders>
            <w:vAlign w:val="center"/>
          </w:tcPr>
          <w:p>
            <w:pPr>
              <w:jc w:val="center"/>
              <w:rPr>
                <w:rFonts w:ascii="宋体" w:hAnsi="宋体" w:cs="宋体"/>
                <w:szCs w:val="21"/>
              </w:rPr>
            </w:pPr>
            <w:r>
              <w:rPr>
                <w:rFonts w:hint="eastAsia" w:ascii="宋体" w:hAnsi="宋体" w:cs="宋体"/>
                <w:szCs w:val="21"/>
              </w:rPr>
              <w:t>建设性</w:t>
            </w:r>
          </w:p>
        </w:tc>
        <w:tc>
          <w:tcPr>
            <w:tcW w:w="740" w:type="dxa"/>
            <w:gridSpan w:val="4"/>
            <w:vMerge w:val="restart"/>
            <w:tcBorders>
              <w:top w:val="nil"/>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分析      与      建议</w:t>
            </w: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22.工作成果是否具有较深入的情况分析和较高的质量</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88"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nil"/>
              <w:right w:val="single" w:color="auto" w:sz="4" w:space="0"/>
            </w:tcBorders>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23.是否存在对问题定性或有关表述等含糊不清或不客观真实等情况</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68"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nil"/>
              <w:right w:val="single" w:color="auto" w:sz="4" w:space="0"/>
            </w:tcBorders>
            <w:vAlign w:val="center"/>
          </w:tcPr>
          <w:p>
            <w:pPr>
              <w:widowControl/>
              <w:jc w:val="left"/>
              <w:rPr>
                <w:rFonts w:ascii="宋体" w:hAnsi="宋体" w:cs="宋体"/>
                <w:szCs w:val="21"/>
              </w:rPr>
            </w:pPr>
          </w:p>
        </w:tc>
        <w:tc>
          <w:tcPr>
            <w:tcW w:w="4533" w:type="dxa"/>
            <w:gridSpan w:val="3"/>
            <w:tcBorders>
              <w:top w:val="single" w:color="auto" w:sz="4" w:space="0"/>
              <w:left w:val="nil"/>
              <w:bottom w:val="doub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24.是否存在无充分依据或数据进行情况分析、原因剖析、判断预测等情况</w:t>
            </w:r>
          </w:p>
        </w:tc>
        <w:tc>
          <w:tcPr>
            <w:tcW w:w="861" w:type="dxa"/>
            <w:gridSpan w:val="2"/>
            <w:tcBorders>
              <w:top w:val="single" w:color="auto" w:sz="4" w:space="0"/>
              <w:left w:val="nil"/>
              <w:bottom w:val="doub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doub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double" w:color="auto" w:sz="6"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808" w:hRule="atLeast"/>
          <w:jc w:val="center"/>
        </w:trPr>
        <w:tc>
          <w:tcPr>
            <w:tcW w:w="707" w:type="dxa"/>
            <w:vMerge w:val="restart"/>
            <w:tcBorders>
              <w:top w:val="nil"/>
              <w:left w:val="single" w:color="auto" w:sz="8" w:space="0"/>
              <w:bottom w:val="single" w:color="000000" w:sz="4" w:space="0"/>
              <w:right w:val="single" w:color="auto" w:sz="4" w:space="0"/>
            </w:tcBorders>
            <w:textDirection w:val="tbRlV"/>
            <w:vAlign w:val="center"/>
          </w:tcPr>
          <w:p>
            <w:pPr>
              <w:spacing w:line="260" w:lineRule="exact"/>
              <w:ind w:firstLine="360"/>
              <w:jc w:val="center"/>
              <w:rPr>
                <w:rFonts w:ascii="黑体" w:hAnsi="宋体" w:eastAsia="黑体" w:cs="宋体"/>
                <w:sz w:val="24"/>
              </w:rPr>
            </w:pPr>
            <w:r>
              <w:rPr>
                <w:rFonts w:hint="eastAsia" w:ascii="黑体" w:hAnsi="宋体" w:eastAsia="黑体" w:cs="宋体"/>
                <w:sz w:val="24"/>
              </w:rPr>
              <w:t>附加</w:t>
            </w:r>
          </w:p>
        </w:tc>
        <w:tc>
          <w:tcPr>
            <w:tcW w:w="1557" w:type="dxa"/>
            <w:gridSpan w:val="5"/>
            <w:tcBorders>
              <w:top w:val="double" w:color="auto" w:sz="6" w:space="0"/>
              <w:left w:val="nil"/>
              <w:bottom w:val="single" w:color="auto" w:sz="4" w:space="0"/>
              <w:right w:val="single" w:color="000000" w:sz="4" w:space="0"/>
            </w:tcBorders>
            <w:vAlign w:val="center"/>
          </w:tcPr>
          <w:p>
            <w:pPr>
              <w:spacing w:line="260" w:lineRule="exact"/>
              <w:jc w:val="center"/>
              <w:rPr>
                <w:rFonts w:ascii="宋体" w:hAnsi="宋体" w:cs="宋体"/>
                <w:szCs w:val="21"/>
              </w:rPr>
            </w:pPr>
            <w:r>
              <w:rPr>
                <w:rFonts w:hint="eastAsia" w:ascii="宋体" w:hAnsi="宋体" w:cs="宋体"/>
                <w:szCs w:val="21"/>
              </w:rPr>
              <w:t>附加分</w:t>
            </w:r>
          </w:p>
        </w:tc>
        <w:tc>
          <w:tcPr>
            <w:tcW w:w="4533" w:type="dxa"/>
            <w:gridSpan w:val="3"/>
            <w:tcBorders>
              <w:top w:val="doub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25.具有针对性、较高参考价值的意见或建议有几条（每条5分，得分=条数×5）</w:t>
            </w:r>
          </w:p>
        </w:tc>
        <w:tc>
          <w:tcPr>
            <w:tcW w:w="861" w:type="dxa"/>
            <w:gridSpan w:val="2"/>
            <w:tcBorders>
              <w:top w:val="double" w:color="auto" w:sz="4" w:space="0"/>
              <w:left w:val="nil"/>
              <w:bottom w:val="single" w:color="auto" w:sz="4" w:space="0"/>
              <w:right w:val="single" w:color="auto" w:sz="4" w:space="0"/>
            </w:tcBorders>
            <w:vAlign w:val="center"/>
          </w:tcPr>
          <w:p>
            <w:pPr>
              <w:spacing w:line="260" w:lineRule="exact"/>
              <w:jc w:val="center"/>
              <w:rPr>
                <w:rFonts w:ascii="宋体" w:hAnsi="宋体" w:cs="宋体"/>
                <w:color w:val="000000"/>
                <w:szCs w:val="21"/>
              </w:rPr>
            </w:pPr>
            <w:r>
              <w:rPr>
                <w:rFonts w:hint="eastAsia" w:ascii="宋体" w:hAnsi="宋体" w:cs="宋体"/>
                <w:color w:val="000000"/>
                <w:szCs w:val="21"/>
              </w:rPr>
              <w:t>得分</w:t>
            </w:r>
          </w:p>
        </w:tc>
        <w:tc>
          <w:tcPr>
            <w:tcW w:w="1548" w:type="dxa"/>
            <w:gridSpan w:val="5"/>
            <w:tcBorders>
              <w:top w:val="double" w:color="auto" w:sz="4" w:space="0"/>
              <w:left w:val="nil"/>
              <w:bottom w:val="single" w:color="auto" w:sz="4" w:space="0"/>
              <w:right w:val="single" w:color="000000" w:sz="4" w:space="0"/>
            </w:tcBorders>
            <w:vAlign w:val="center"/>
          </w:tcPr>
          <w:p>
            <w:pPr>
              <w:spacing w:line="260" w:lineRule="exact"/>
              <w:jc w:val="center"/>
              <w:rPr>
                <w:rFonts w:ascii="宋体" w:hAnsi="宋体" w:cs="宋体"/>
                <w:color w:val="000000"/>
                <w:szCs w:val="21"/>
              </w:rPr>
            </w:pPr>
            <w:r>
              <w:rPr>
                <w:rFonts w:hint="eastAsia" w:ascii="宋体" w:hAnsi="宋体" w:cs="宋体"/>
                <w:color w:val="000000"/>
                <w:szCs w:val="21"/>
              </w:rPr>
              <w:t>条数</w:t>
            </w:r>
          </w:p>
        </w:tc>
        <w:tc>
          <w:tcPr>
            <w:tcW w:w="859" w:type="dxa"/>
            <w:tcBorders>
              <w:top w:val="nil"/>
              <w:left w:val="nil"/>
              <w:bottom w:val="single" w:color="auto" w:sz="4" w:space="0"/>
              <w:right w:val="single" w:color="000000" w:sz="8" w:space="0"/>
            </w:tcBorders>
            <w:vAlign w:val="center"/>
          </w:tcPr>
          <w:p>
            <w:pPr>
              <w:spacing w:line="260" w:lineRule="exact"/>
              <w:jc w:val="center"/>
              <w:rPr>
                <w:rFonts w:ascii="宋体" w:hAnsi="宋体" w:cs="宋体"/>
                <w:sz w:val="20"/>
              </w:rPr>
            </w:pPr>
            <w:r>
              <w:rPr>
                <w:rFonts w:hint="eastAsia" w:ascii="宋体" w:hAnsi="宋体" w:cs="宋体"/>
                <w:sz w:val="20"/>
              </w:rPr>
              <w:t>不设上限分数</w:t>
            </w:r>
          </w:p>
        </w:tc>
      </w:tr>
      <w:tr>
        <w:tblPrEx>
          <w:tblCellMar>
            <w:top w:w="0" w:type="dxa"/>
            <w:left w:w="108" w:type="dxa"/>
            <w:bottom w:w="0" w:type="dxa"/>
            <w:right w:w="108" w:type="dxa"/>
          </w:tblCellMar>
        </w:tblPrEx>
        <w:trPr>
          <w:trHeight w:val="968" w:hRule="atLeast"/>
          <w:jc w:val="center"/>
        </w:trPr>
        <w:tc>
          <w:tcPr>
            <w:tcW w:w="707" w:type="dxa"/>
            <w:vMerge w:val="continue"/>
            <w:tcBorders>
              <w:top w:val="nil"/>
              <w:left w:val="single" w:color="auto" w:sz="8" w:space="0"/>
              <w:bottom w:val="single" w:color="000000" w:sz="4" w:space="0"/>
              <w:right w:val="single" w:color="auto" w:sz="4" w:space="0"/>
            </w:tcBorders>
            <w:vAlign w:val="center"/>
          </w:tcPr>
          <w:p>
            <w:pPr>
              <w:widowControl/>
              <w:jc w:val="left"/>
              <w:rPr>
                <w:rFonts w:ascii="黑体" w:hAnsi="宋体" w:eastAsia="黑体" w:cs="宋体"/>
                <w:sz w:val="24"/>
              </w:rPr>
            </w:pPr>
          </w:p>
        </w:tc>
        <w:tc>
          <w:tcPr>
            <w:tcW w:w="857" w:type="dxa"/>
            <w:gridSpan w:val="2"/>
            <w:tcBorders>
              <w:top w:val="nil"/>
              <w:left w:val="nil"/>
              <w:bottom w:val="single" w:color="auto" w:sz="4" w:space="0"/>
              <w:right w:val="nil"/>
            </w:tcBorders>
            <w:vAlign w:val="center"/>
          </w:tcPr>
          <w:p>
            <w:pPr>
              <w:widowControl/>
              <w:jc w:val="left"/>
              <w:rPr>
                <w:rFonts w:ascii="宋体" w:hAnsi="宋体" w:cs="宋体"/>
                <w:kern w:val="0"/>
                <w:sz w:val="24"/>
              </w:rPr>
            </w:pPr>
          </w:p>
        </w:tc>
        <w:tc>
          <w:tcPr>
            <w:tcW w:w="350" w:type="dxa"/>
            <w:gridSpan w:val="2"/>
            <w:tcBorders>
              <w:top w:val="nil"/>
              <w:left w:val="nil"/>
              <w:bottom w:val="single" w:color="auto" w:sz="4" w:space="0"/>
              <w:right w:val="nil"/>
            </w:tcBorders>
            <w:vAlign w:val="center"/>
          </w:tcPr>
          <w:p>
            <w:pPr>
              <w:widowControl/>
              <w:jc w:val="left"/>
              <w:rPr>
                <w:rFonts w:ascii="宋体" w:hAnsi="宋体" w:cs="宋体"/>
                <w:kern w:val="0"/>
                <w:sz w:val="24"/>
              </w:rPr>
            </w:pPr>
          </w:p>
        </w:tc>
        <w:tc>
          <w:tcPr>
            <w:tcW w:w="35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4533" w:type="dxa"/>
            <w:gridSpan w:val="3"/>
            <w:tcBorders>
              <w:top w:val="single" w:color="auto" w:sz="4" w:space="0"/>
              <w:left w:val="nil"/>
              <w:bottom w:val="single" w:color="auto" w:sz="4" w:space="0"/>
              <w:right w:val="single" w:color="000000" w:sz="4" w:space="0"/>
            </w:tcBorders>
            <w:vAlign w:val="center"/>
          </w:tcPr>
          <w:p>
            <w:pPr>
              <w:spacing w:line="260" w:lineRule="exact"/>
              <w:ind w:firstLine="360"/>
              <w:rPr>
                <w:rFonts w:ascii="宋体" w:hAnsi="宋体" w:cs="宋体"/>
                <w:szCs w:val="21"/>
              </w:rPr>
            </w:pPr>
            <w:r>
              <w:rPr>
                <w:rFonts w:hint="eastAsia" w:ascii="宋体" w:hAnsi="宋体" w:cs="宋体"/>
                <w:szCs w:val="21"/>
              </w:rPr>
              <w:t>26.报告或相关材料得到公司领导(或同级别其他领导)批示好评（每条批示20分，得分=条数×20）</w:t>
            </w:r>
          </w:p>
        </w:tc>
        <w:tc>
          <w:tcPr>
            <w:tcW w:w="861"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919" w:type="dxa"/>
            <w:gridSpan w:val="4"/>
            <w:tcBorders>
              <w:top w:val="nil"/>
              <w:left w:val="nil"/>
              <w:bottom w:val="single" w:color="auto" w:sz="4" w:space="0"/>
              <w:right w:val="nil"/>
            </w:tcBorders>
            <w:vAlign w:val="center"/>
          </w:tcPr>
          <w:p>
            <w:pPr>
              <w:spacing w:line="260" w:lineRule="exact"/>
              <w:ind w:firstLine="360"/>
              <w:jc w:val="center"/>
              <w:rPr>
                <w:rFonts w:ascii="宋体" w:hAnsi="宋体" w:cs="宋体"/>
                <w:color w:val="000000"/>
                <w:szCs w:val="21"/>
              </w:rPr>
            </w:pPr>
            <w:r>
              <w:rPr>
                <w:rFonts w:hint="eastAsia" w:ascii="宋体" w:hAnsi="宋体" w:cs="宋体"/>
                <w:color w:val="000000"/>
                <w:szCs w:val="21"/>
              </w:rPr>
              <w:t>　</w:t>
            </w:r>
          </w:p>
        </w:tc>
        <w:tc>
          <w:tcPr>
            <w:tcW w:w="62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859" w:type="dxa"/>
            <w:tcBorders>
              <w:top w:val="nil"/>
              <w:left w:val="nil"/>
              <w:bottom w:val="single" w:color="auto" w:sz="4" w:space="0"/>
              <w:right w:val="single" w:color="000000" w:sz="8" w:space="0"/>
            </w:tcBorders>
            <w:vAlign w:val="center"/>
          </w:tcPr>
          <w:p>
            <w:pPr>
              <w:spacing w:line="260" w:lineRule="exact"/>
              <w:jc w:val="center"/>
              <w:rPr>
                <w:rFonts w:ascii="宋体" w:hAnsi="宋体" w:cs="宋体"/>
                <w:sz w:val="20"/>
              </w:rPr>
            </w:pPr>
            <w:r>
              <w:rPr>
                <w:rFonts w:hint="eastAsia" w:ascii="宋体" w:hAnsi="宋体" w:cs="宋体"/>
                <w:sz w:val="20"/>
              </w:rPr>
              <w:t>不设上限分数</w:t>
            </w:r>
          </w:p>
        </w:tc>
      </w:tr>
      <w:tr>
        <w:tblPrEx>
          <w:tblCellMar>
            <w:top w:w="0" w:type="dxa"/>
            <w:left w:w="108" w:type="dxa"/>
            <w:bottom w:w="0" w:type="dxa"/>
            <w:right w:w="108" w:type="dxa"/>
          </w:tblCellMar>
        </w:tblPrEx>
        <w:trPr>
          <w:trHeight w:val="663" w:hRule="atLeast"/>
          <w:jc w:val="center"/>
        </w:trPr>
        <w:tc>
          <w:tcPr>
            <w:tcW w:w="707" w:type="dxa"/>
            <w:vMerge w:val="continue"/>
            <w:tcBorders>
              <w:top w:val="nil"/>
              <w:left w:val="single" w:color="auto" w:sz="8" w:space="0"/>
              <w:bottom w:val="single" w:color="000000" w:sz="4" w:space="0"/>
              <w:right w:val="single" w:color="auto" w:sz="4" w:space="0"/>
            </w:tcBorders>
            <w:vAlign w:val="center"/>
          </w:tcPr>
          <w:p>
            <w:pPr>
              <w:widowControl/>
              <w:jc w:val="left"/>
              <w:rPr>
                <w:rFonts w:ascii="黑体" w:hAnsi="宋体" w:eastAsia="黑体" w:cs="宋体"/>
                <w:sz w:val="24"/>
              </w:rPr>
            </w:pPr>
          </w:p>
        </w:tc>
        <w:tc>
          <w:tcPr>
            <w:tcW w:w="1557" w:type="dxa"/>
            <w:gridSpan w:val="5"/>
            <w:tcBorders>
              <w:top w:val="single" w:color="auto" w:sz="4" w:space="0"/>
              <w:left w:val="nil"/>
              <w:bottom w:val="single" w:color="auto" w:sz="4" w:space="0"/>
              <w:right w:val="single" w:color="000000" w:sz="4" w:space="0"/>
            </w:tcBorders>
            <w:vAlign w:val="center"/>
          </w:tcPr>
          <w:p>
            <w:pPr>
              <w:spacing w:line="260" w:lineRule="exact"/>
              <w:jc w:val="center"/>
              <w:rPr>
                <w:rFonts w:ascii="宋体" w:hAnsi="宋体" w:cs="宋体"/>
                <w:szCs w:val="21"/>
              </w:rPr>
            </w:pPr>
            <w:r>
              <w:rPr>
                <w:rFonts w:hint="eastAsia" w:ascii="宋体" w:hAnsi="宋体" w:cs="宋体"/>
                <w:szCs w:val="21"/>
              </w:rPr>
              <w:t>一票否决项</w:t>
            </w:r>
          </w:p>
        </w:tc>
        <w:tc>
          <w:tcPr>
            <w:tcW w:w="5394" w:type="dxa"/>
            <w:gridSpan w:val="5"/>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27.服务机构工作人员存在违反办法中明确禁止事项的行为</w:t>
            </w:r>
          </w:p>
        </w:tc>
        <w:tc>
          <w:tcPr>
            <w:tcW w:w="697" w:type="dxa"/>
            <w:gridSpan w:val="3"/>
            <w:tcBorders>
              <w:top w:val="nil"/>
              <w:left w:val="nil"/>
              <w:bottom w:val="single" w:color="auto" w:sz="4" w:space="0"/>
              <w:right w:val="single" w:color="auto" w:sz="4" w:space="0"/>
            </w:tcBorders>
            <w:vAlign w:val="center"/>
          </w:tcPr>
          <w:p>
            <w:pPr>
              <w:spacing w:line="260" w:lineRule="exact"/>
              <w:jc w:val="center"/>
              <w:rPr>
                <w:rFonts w:ascii="宋体" w:hAnsi="宋体" w:cs="宋体"/>
                <w:color w:val="000000"/>
                <w:szCs w:val="21"/>
              </w:rPr>
            </w:pPr>
            <w:r>
              <w:rPr>
                <w:rFonts w:hint="eastAsia" w:ascii="宋体" w:hAnsi="宋体" w:cs="宋体"/>
                <w:color w:val="000000"/>
                <w:szCs w:val="21"/>
              </w:rPr>
              <w:t>是</w:t>
            </w:r>
          </w:p>
        </w:tc>
        <w:tc>
          <w:tcPr>
            <w:tcW w:w="85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color w:val="000000"/>
                <w:szCs w:val="21"/>
              </w:rPr>
            </w:pPr>
            <w:r>
              <w:rPr>
                <w:rFonts w:hint="eastAsia" w:ascii="宋体" w:hAnsi="宋体" w:cs="宋体"/>
                <w:color w:val="000000"/>
                <w:szCs w:val="21"/>
              </w:rPr>
              <w:t>否</w:t>
            </w:r>
          </w:p>
        </w:tc>
        <w:tc>
          <w:tcPr>
            <w:tcW w:w="859" w:type="dxa"/>
            <w:tcBorders>
              <w:top w:val="single" w:color="auto" w:sz="4" w:space="0"/>
              <w:left w:val="nil"/>
              <w:bottom w:val="single" w:color="auto" w:sz="4" w:space="0"/>
              <w:right w:val="single" w:color="000000" w:sz="8" w:space="0"/>
            </w:tcBorders>
            <w:vAlign w:val="center"/>
          </w:tcPr>
          <w:p>
            <w:pPr>
              <w:spacing w:line="260" w:lineRule="exact"/>
              <w:jc w:val="center"/>
              <w:rPr>
                <w:rFonts w:ascii="宋体" w:hAnsi="宋体" w:cs="宋体"/>
                <w:sz w:val="20"/>
              </w:rPr>
            </w:pPr>
            <w:r>
              <w:rPr>
                <w:rFonts w:hint="eastAsia" w:ascii="宋体" w:hAnsi="宋体" w:cs="宋体"/>
                <w:sz w:val="20"/>
              </w:rPr>
              <w:t>如有则直接评定为差</w:t>
            </w:r>
          </w:p>
        </w:tc>
      </w:tr>
      <w:tr>
        <w:tblPrEx>
          <w:tblCellMar>
            <w:top w:w="0" w:type="dxa"/>
            <w:left w:w="108" w:type="dxa"/>
            <w:bottom w:w="0" w:type="dxa"/>
            <w:right w:w="108" w:type="dxa"/>
          </w:tblCellMar>
        </w:tblPrEx>
        <w:trPr>
          <w:trHeight w:val="462" w:hRule="atLeast"/>
          <w:jc w:val="center"/>
        </w:trPr>
        <w:tc>
          <w:tcPr>
            <w:tcW w:w="707" w:type="dxa"/>
            <w:tcBorders>
              <w:top w:val="nil"/>
              <w:left w:val="single" w:color="auto" w:sz="8" w:space="0"/>
              <w:bottom w:val="single" w:color="000000" w:sz="4" w:space="0"/>
              <w:right w:val="single" w:color="auto" w:sz="4" w:space="0"/>
            </w:tcBorders>
            <w:vAlign w:val="center"/>
          </w:tcPr>
          <w:p>
            <w:pPr>
              <w:spacing w:line="260" w:lineRule="exact"/>
              <w:ind w:firstLine="360"/>
              <w:rPr>
                <w:rFonts w:ascii="黑体" w:hAnsi="宋体" w:eastAsia="黑体" w:cs="宋体"/>
                <w:sz w:val="24"/>
              </w:rPr>
            </w:pPr>
          </w:p>
        </w:tc>
        <w:tc>
          <w:tcPr>
            <w:tcW w:w="9358" w:type="dxa"/>
            <w:gridSpan w:val="16"/>
            <w:tcBorders>
              <w:top w:val="single" w:color="auto" w:sz="4" w:space="0"/>
              <w:left w:val="nil"/>
              <w:bottom w:val="single" w:color="auto" w:sz="4" w:space="0"/>
              <w:right w:val="single" w:color="000000" w:sz="8" w:space="0"/>
            </w:tcBorders>
            <w:vAlign w:val="center"/>
          </w:tcPr>
          <w:p>
            <w:pPr>
              <w:spacing w:line="260" w:lineRule="exact"/>
              <w:jc w:val="center"/>
              <w:rPr>
                <w:rFonts w:ascii="宋体" w:hAnsi="宋体" w:cs="宋体"/>
                <w:sz w:val="24"/>
              </w:rPr>
            </w:pPr>
            <w:r>
              <w:rPr>
                <w:rFonts w:hint="eastAsia" w:ascii="宋体" w:hAnsi="宋体" w:cs="宋体"/>
                <w:sz w:val="24"/>
              </w:rPr>
              <w:t>合计得分：</w:t>
            </w:r>
          </w:p>
        </w:tc>
      </w:tr>
      <w:tr>
        <w:tblPrEx>
          <w:tblCellMar>
            <w:top w:w="0" w:type="dxa"/>
            <w:left w:w="108" w:type="dxa"/>
            <w:bottom w:w="0" w:type="dxa"/>
            <w:right w:w="108" w:type="dxa"/>
          </w:tblCellMar>
        </w:tblPrEx>
        <w:trPr>
          <w:trHeight w:val="530" w:hRule="atLeast"/>
          <w:jc w:val="center"/>
        </w:trPr>
        <w:tc>
          <w:tcPr>
            <w:tcW w:w="1786" w:type="dxa"/>
            <w:gridSpan w:val="4"/>
            <w:vMerge w:val="restart"/>
            <w:tcBorders>
              <w:top w:val="single" w:color="auto" w:sz="8" w:space="0"/>
              <w:left w:val="single" w:color="auto" w:sz="8" w:space="0"/>
              <w:bottom w:val="single" w:color="000000" w:sz="8" w:space="0"/>
              <w:right w:val="single" w:color="000000" w:sz="8" w:space="0"/>
            </w:tcBorders>
            <w:vAlign w:val="center"/>
          </w:tcPr>
          <w:p>
            <w:pPr>
              <w:jc w:val="center"/>
              <w:rPr>
                <w:rFonts w:ascii="黑体" w:hAnsi="宋体" w:eastAsia="黑体" w:cs="宋体"/>
                <w:sz w:val="24"/>
              </w:rPr>
            </w:pPr>
            <w:r>
              <w:rPr>
                <w:rFonts w:hint="eastAsia" w:ascii="黑体" w:hAnsi="宋体" w:eastAsia="黑体" w:cs="宋体"/>
                <w:sz w:val="24"/>
              </w:rPr>
              <w:t>评价档次</w:t>
            </w:r>
          </w:p>
        </w:tc>
        <w:tc>
          <w:tcPr>
            <w:tcW w:w="2098" w:type="dxa"/>
            <w:gridSpan w:val="3"/>
            <w:tcBorders>
              <w:top w:val="single" w:color="auto" w:sz="8" w:space="0"/>
              <w:left w:val="nil"/>
              <w:bottom w:val="single" w:color="auto" w:sz="8" w:space="0"/>
              <w:right w:val="single" w:color="000000" w:sz="8" w:space="0"/>
            </w:tcBorders>
            <w:vAlign w:val="center"/>
          </w:tcPr>
          <w:p>
            <w:pPr>
              <w:jc w:val="center"/>
              <w:rPr>
                <w:rFonts w:ascii="宋体" w:hAnsi="宋体" w:cs="宋体"/>
                <w:szCs w:val="21"/>
              </w:rPr>
            </w:pPr>
            <w:r>
              <w:rPr>
                <w:rFonts w:hint="eastAsia" w:ascii="宋体" w:hAnsi="宋体" w:cs="宋体"/>
                <w:szCs w:val="21"/>
              </w:rPr>
              <w:t>优秀（</w:t>
            </w:r>
            <w:r>
              <w:rPr>
                <w:rFonts w:ascii="宋体" w:hAnsi="宋体"/>
                <w:color w:val="767171"/>
                <w:szCs w:val="21"/>
              </w:rPr>
              <w:t>≥</w:t>
            </w:r>
            <w:r>
              <w:rPr>
                <w:rFonts w:hint="eastAsia" w:ascii="宋体" w:hAnsi="宋体" w:cs="宋体"/>
                <w:szCs w:val="21"/>
              </w:rPr>
              <w:t>90分）</w:t>
            </w:r>
          </w:p>
        </w:tc>
        <w:tc>
          <w:tcPr>
            <w:tcW w:w="2320" w:type="dxa"/>
            <w:tcBorders>
              <w:top w:val="single" w:color="auto" w:sz="8" w:space="0"/>
              <w:left w:val="nil"/>
              <w:bottom w:val="single" w:color="auto" w:sz="8" w:space="0"/>
              <w:right w:val="single" w:color="000000" w:sz="8" w:space="0"/>
            </w:tcBorders>
            <w:vAlign w:val="center"/>
          </w:tcPr>
          <w:p>
            <w:pPr>
              <w:jc w:val="center"/>
              <w:rPr>
                <w:rFonts w:ascii="宋体" w:hAnsi="宋体" w:cs="宋体"/>
                <w:szCs w:val="21"/>
              </w:rPr>
            </w:pPr>
            <w:r>
              <w:rPr>
                <w:rFonts w:hint="eastAsia" w:ascii="宋体" w:hAnsi="宋体" w:cs="宋体"/>
                <w:szCs w:val="21"/>
              </w:rPr>
              <w:t>良好（</w:t>
            </w:r>
            <w:r>
              <w:rPr>
                <w:rFonts w:hint="eastAsia" w:ascii="宋体" w:hAnsi="宋体"/>
                <w:color w:val="767171"/>
                <w:szCs w:val="21"/>
              </w:rPr>
              <w:t>90&gt;X</w:t>
            </w:r>
            <w:r>
              <w:rPr>
                <w:rFonts w:ascii="宋体" w:hAnsi="宋体"/>
                <w:color w:val="767171"/>
                <w:szCs w:val="21"/>
              </w:rPr>
              <w:t>≥80</w:t>
            </w:r>
            <w:r>
              <w:rPr>
                <w:rFonts w:hint="eastAsia" w:ascii="宋体" w:hAnsi="宋体" w:cs="宋体"/>
                <w:szCs w:val="21"/>
              </w:rPr>
              <w:t>）</w:t>
            </w:r>
          </w:p>
        </w:tc>
        <w:tc>
          <w:tcPr>
            <w:tcW w:w="1737" w:type="dxa"/>
            <w:gridSpan w:val="5"/>
            <w:tcBorders>
              <w:top w:val="single" w:color="auto" w:sz="8" w:space="0"/>
              <w:left w:val="nil"/>
              <w:bottom w:val="single" w:color="auto" w:sz="8" w:space="0"/>
              <w:right w:val="single" w:color="auto" w:sz="8" w:space="0"/>
            </w:tcBorders>
            <w:vAlign w:val="center"/>
          </w:tcPr>
          <w:p>
            <w:pPr>
              <w:ind w:firstLine="360"/>
              <w:jc w:val="center"/>
              <w:rPr>
                <w:rFonts w:ascii="宋体" w:hAnsi="宋体" w:cs="宋体"/>
                <w:szCs w:val="21"/>
              </w:rPr>
            </w:pPr>
            <w:r>
              <w:rPr>
                <w:rFonts w:hint="eastAsia" w:ascii="宋体" w:hAnsi="宋体" w:cs="宋体"/>
                <w:szCs w:val="21"/>
              </w:rPr>
              <w:t>合格（</w:t>
            </w:r>
            <w:r>
              <w:rPr>
                <w:rFonts w:hint="eastAsia" w:ascii="宋体" w:hAnsi="宋体"/>
                <w:color w:val="767171"/>
                <w:szCs w:val="21"/>
              </w:rPr>
              <w:t>80&gt;</w:t>
            </w:r>
            <w:r>
              <w:rPr>
                <w:rFonts w:ascii="宋体" w:hAnsi="宋体"/>
                <w:color w:val="767171"/>
                <w:szCs w:val="21"/>
              </w:rPr>
              <w:t>X≥6</w:t>
            </w:r>
            <w:r>
              <w:rPr>
                <w:rFonts w:hint="eastAsia" w:ascii="宋体" w:hAnsi="宋体"/>
                <w:color w:val="767171"/>
                <w:szCs w:val="21"/>
              </w:rPr>
              <w:t>0</w:t>
            </w:r>
            <w:r>
              <w:rPr>
                <w:rFonts w:hint="eastAsia" w:ascii="宋体" w:hAnsi="宋体" w:cs="宋体"/>
                <w:szCs w:val="21"/>
              </w:rPr>
              <w:t>）</w:t>
            </w:r>
          </w:p>
        </w:tc>
        <w:tc>
          <w:tcPr>
            <w:tcW w:w="2124" w:type="dxa"/>
            <w:gridSpan w:val="4"/>
            <w:tcBorders>
              <w:top w:val="single" w:color="auto" w:sz="8" w:space="0"/>
              <w:left w:val="nil"/>
              <w:bottom w:val="single" w:color="auto" w:sz="8" w:space="0"/>
              <w:right w:val="single" w:color="auto" w:sz="8" w:space="0"/>
            </w:tcBorders>
            <w:vAlign w:val="center"/>
          </w:tcPr>
          <w:p>
            <w:pPr>
              <w:ind w:firstLine="360"/>
              <w:jc w:val="center"/>
              <w:rPr>
                <w:rFonts w:ascii="宋体" w:hAnsi="宋体" w:cs="宋体"/>
                <w:szCs w:val="21"/>
              </w:rPr>
            </w:pPr>
            <w:r>
              <w:rPr>
                <w:rFonts w:hint="eastAsia" w:ascii="宋体" w:hAnsi="宋体" w:cs="宋体"/>
                <w:szCs w:val="21"/>
              </w:rPr>
              <w:t>不合格（</w:t>
            </w:r>
            <w:r>
              <w:rPr>
                <w:rFonts w:ascii="宋体" w:hAnsi="宋体" w:cs="宋体"/>
                <w:szCs w:val="21"/>
              </w:rPr>
              <w:t>＜60</w:t>
            </w:r>
            <w:r>
              <w:rPr>
                <w:rFonts w:hint="eastAsia" w:ascii="宋体" w:hAnsi="宋体" w:cs="宋体"/>
                <w:szCs w:val="21"/>
              </w:rPr>
              <w:t>分）</w:t>
            </w:r>
          </w:p>
        </w:tc>
      </w:tr>
      <w:tr>
        <w:tblPrEx>
          <w:tblCellMar>
            <w:top w:w="0" w:type="dxa"/>
            <w:left w:w="108" w:type="dxa"/>
            <w:bottom w:w="0" w:type="dxa"/>
            <w:right w:w="108" w:type="dxa"/>
          </w:tblCellMar>
        </w:tblPrEx>
        <w:trPr>
          <w:trHeight w:val="566" w:hRule="atLeast"/>
          <w:jc w:val="center"/>
        </w:trPr>
        <w:tc>
          <w:tcPr>
            <w:tcW w:w="1786" w:type="dxa"/>
            <w:gridSpan w:val="4"/>
            <w:vMerge w:val="continue"/>
            <w:tcBorders>
              <w:top w:val="single" w:color="auto" w:sz="8" w:space="0"/>
              <w:left w:val="single" w:color="auto" w:sz="8" w:space="0"/>
              <w:bottom w:val="single" w:color="auto" w:sz="12" w:space="0"/>
              <w:right w:val="single" w:color="000000" w:sz="8" w:space="0"/>
            </w:tcBorders>
            <w:vAlign w:val="center"/>
          </w:tcPr>
          <w:p>
            <w:pPr>
              <w:widowControl/>
              <w:jc w:val="left"/>
              <w:rPr>
                <w:rFonts w:ascii="黑体" w:hAnsi="宋体" w:eastAsia="黑体" w:cs="宋体"/>
                <w:sz w:val="24"/>
              </w:rPr>
            </w:pPr>
          </w:p>
        </w:tc>
        <w:tc>
          <w:tcPr>
            <w:tcW w:w="2098" w:type="dxa"/>
            <w:gridSpan w:val="3"/>
            <w:tcBorders>
              <w:top w:val="nil"/>
              <w:left w:val="nil"/>
              <w:bottom w:val="single" w:color="auto" w:sz="12" w:space="0"/>
              <w:right w:val="single" w:color="000000" w:sz="8" w:space="0"/>
            </w:tcBorders>
            <w:vAlign w:val="center"/>
          </w:tcPr>
          <w:p>
            <w:pPr>
              <w:ind w:firstLine="360"/>
              <w:jc w:val="center"/>
              <w:rPr>
                <w:rFonts w:ascii="黑体" w:hAnsi="宋体" w:eastAsia="黑体" w:cs="宋体"/>
                <w:sz w:val="24"/>
              </w:rPr>
            </w:pPr>
            <w:r>
              <w:rPr>
                <w:rFonts w:hint="eastAsia" w:ascii="黑体" w:hAnsi="宋体" w:eastAsia="黑体" w:cs="宋体"/>
                <w:sz w:val="24"/>
              </w:rPr>
              <w:t>　</w:t>
            </w:r>
          </w:p>
        </w:tc>
        <w:tc>
          <w:tcPr>
            <w:tcW w:w="2320" w:type="dxa"/>
            <w:tcBorders>
              <w:top w:val="single" w:color="auto" w:sz="8" w:space="0"/>
              <w:left w:val="nil"/>
              <w:bottom w:val="single" w:color="auto" w:sz="12" w:space="0"/>
              <w:right w:val="single" w:color="000000" w:sz="8" w:space="0"/>
            </w:tcBorders>
            <w:vAlign w:val="center"/>
          </w:tcPr>
          <w:p>
            <w:pPr>
              <w:ind w:firstLine="360"/>
              <w:jc w:val="center"/>
              <w:rPr>
                <w:szCs w:val="21"/>
              </w:rPr>
            </w:pPr>
          </w:p>
        </w:tc>
        <w:tc>
          <w:tcPr>
            <w:tcW w:w="1737" w:type="dxa"/>
            <w:gridSpan w:val="5"/>
            <w:tcBorders>
              <w:top w:val="single" w:color="auto" w:sz="8" w:space="0"/>
              <w:left w:val="nil"/>
              <w:bottom w:val="single" w:color="auto" w:sz="12" w:space="0"/>
              <w:right w:val="single" w:color="auto" w:sz="8" w:space="0"/>
            </w:tcBorders>
            <w:vAlign w:val="center"/>
          </w:tcPr>
          <w:p>
            <w:pPr>
              <w:ind w:firstLine="360"/>
              <w:jc w:val="center"/>
              <w:rPr>
                <w:szCs w:val="21"/>
              </w:rPr>
            </w:pPr>
            <w:r>
              <w:rPr>
                <w:rFonts w:hint="eastAsia"/>
                <w:szCs w:val="21"/>
              </w:rPr>
              <w:t>　</w:t>
            </w:r>
          </w:p>
        </w:tc>
        <w:tc>
          <w:tcPr>
            <w:tcW w:w="2124" w:type="dxa"/>
            <w:gridSpan w:val="4"/>
            <w:tcBorders>
              <w:top w:val="single" w:color="auto" w:sz="8" w:space="0"/>
              <w:left w:val="nil"/>
              <w:bottom w:val="single" w:color="auto" w:sz="12" w:space="0"/>
              <w:right w:val="single" w:color="auto" w:sz="8" w:space="0"/>
            </w:tcBorders>
            <w:vAlign w:val="center"/>
          </w:tcPr>
          <w:p>
            <w:pPr>
              <w:ind w:firstLine="360"/>
              <w:jc w:val="center"/>
              <w:rPr>
                <w:szCs w:val="21"/>
              </w:rPr>
            </w:pPr>
            <w:r>
              <w:rPr>
                <w:rFonts w:hint="eastAsia"/>
                <w:szCs w:val="21"/>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26" w:hRule="atLeast"/>
          <w:jc w:val="center"/>
        </w:trPr>
        <w:tc>
          <w:tcPr>
            <w:tcW w:w="10065" w:type="dxa"/>
            <w:gridSpan w:val="17"/>
            <w:tcBorders>
              <w:top w:val="single" w:color="auto" w:sz="12" w:space="0"/>
              <w:bottom w:val="single" w:color="auto" w:sz="12" w:space="0"/>
            </w:tcBorders>
            <w:shd w:val="clear" w:color="auto" w:fill="D9D9D9"/>
            <w:vAlign w:val="center"/>
          </w:tcPr>
          <w:p>
            <w:pPr>
              <w:spacing w:line="240" w:lineRule="atLeast"/>
              <w:jc w:val="left"/>
              <w:rPr>
                <w:rFonts w:ascii="宋体" w:hAnsi="宋体"/>
                <w:b/>
                <w:bCs/>
                <w:szCs w:val="21"/>
              </w:rPr>
            </w:pPr>
            <w:r>
              <w:rPr>
                <w:rFonts w:ascii="宋体" w:hAnsi="宋体"/>
                <w:b/>
                <w:bCs/>
                <w:szCs w:val="21"/>
              </w:rPr>
              <w:t>补充评价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471" w:hRule="atLeast"/>
          <w:jc w:val="center"/>
        </w:trPr>
        <w:tc>
          <w:tcPr>
            <w:tcW w:w="1524" w:type="dxa"/>
            <w:gridSpan w:val="2"/>
            <w:tcBorders>
              <w:top w:val="single" w:color="auto" w:sz="12" w:space="0"/>
              <w:bottom w:val="single" w:color="auto" w:sz="12" w:space="0"/>
            </w:tcBorders>
            <w:vAlign w:val="center"/>
          </w:tcPr>
          <w:p>
            <w:pPr>
              <w:spacing w:line="240" w:lineRule="atLeast"/>
              <w:rPr>
                <w:rFonts w:ascii="宋体" w:hAnsi="宋体"/>
                <w:szCs w:val="21"/>
              </w:rPr>
            </w:pPr>
            <w:r>
              <w:rPr>
                <w:rFonts w:hint="eastAsia" w:ascii="宋体" w:hAnsi="宋体"/>
                <w:szCs w:val="21"/>
              </w:rPr>
              <w:t>其他补充评价</w:t>
            </w:r>
          </w:p>
        </w:tc>
        <w:tc>
          <w:tcPr>
            <w:tcW w:w="8541" w:type="dxa"/>
            <w:gridSpan w:val="15"/>
            <w:tcBorders>
              <w:top w:val="single" w:color="auto" w:sz="12" w:space="0"/>
              <w:bottom w:val="single" w:color="auto" w:sz="12" w:space="0"/>
            </w:tcBorders>
            <w:vAlign w:val="center"/>
          </w:tcPr>
          <w:p>
            <w:pPr>
              <w:tabs>
                <w:tab w:val="left" w:pos="1695"/>
              </w:tabs>
              <w:spacing w:line="240" w:lineRule="atLeast"/>
              <w:jc w:val="center"/>
              <w:rPr>
                <w:rFonts w:ascii="宋体" w:hAnsi="宋体"/>
                <w:bCs/>
                <w:szCs w:val="21"/>
              </w:rPr>
            </w:pPr>
            <w:r>
              <w:rPr>
                <w:rFonts w:hint="eastAsia" w:ascii="宋体" w:hAnsi="宋体"/>
                <w:color w:val="767171"/>
                <w:szCs w:val="21"/>
              </w:rPr>
              <w:t>（如有，请填写）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13" w:hRule="atLeast"/>
          <w:jc w:val="center"/>
        </w:trPr>
        <w:tc>
          <w:tcPr>
            <w:tcW w:w="10065" w:type="dxa"/>
            <w:gridSpan w:val="17"/>
            <w:tcBorders>
              <w:top w:val="single" w:color="auto" w:sz="12" w:space="0"/>
              <w:bottom w:val="single" w:color="auto" w:sz="12" w:space="0"/>
            </w:tcBorders>
            <w:shd w:val="clear" w:color="auto" w:fill="D9D9D9"/>
            <w:vAlign w:val="center"/>
          </w:tcPr>
          <w:p>
            <w:pPr>
              <w:spacing w:line="240" w:lineRule="atLeast"/>
              <w:jc w:val="left"/>
              <w:rPr>
                <w:rFonts w:ascii="宋体" w:hAnsi="宋体"/>
                <w:b/>
                <w:bCs/>
                <w:szCs w:val="21"/>
              </w:rPr>
            </w:pPr>
            <w:r>
              <w:rPr>
                <w:rFonts w:hint="eastAsia" w:ascii="宋体" w:hAnsi="宋体"/>
                <w:b/>
                <w:bCs/>
                <w:szCs w:val="21"/>
              </w:rPr>
              <w:t>综合评价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055" w:hRule="atLeast"/>
          <w:jc w:val="center"/>
        </w:trPr>
        <w:tc>
          <w:tcPr>
            <w:tcW w:w="1524" w:type="dxa"/>
            <w:gridSpan w:val="2"/>
            <w:tcBorders>
              <w:top w:val="single" w:color="auto" w:sz="12" w:space="0"/>
              <w:bottom w:val="double" w:color="auto" w:sz="4" w:space="0"/>
            </w:tcBorders>
            <w:vAlign w:val="center"/>
          </w:tcPr>
          <w:p>
            <w:pPr>
              <w:spacing w:line="240" w:lineRule="atLeast"/>
              <w:rPr>
                <w:rFonts w:ascii="宋体" w:hAnsi="宋体"/>
                <w:szCs w:val="21"/>
              </w:rPr>
            </w:pPr>
            <w:r>
              <w:rPr>
                <w:rFonts w:hint="eastAsia" w:ascii="宋体" w:hAnsi="宋体"/>
                <w:szCs w:val="21"/>
              </w:rPr>
              <w:t>评价结论</w:t>
            </w:r>
          </w:p>
        </w:tc>
        <w:tc>
          <w:tcPr>
            <w:tcW w:w="8541" w:type="dxa"/>
            <w:gridSpan w:val="15"/>
            <w:tcBorders>
              <w:top w:val="single" w:color="auto" w:sz="12" w:space="0"/>
              <w:bottom w:val="double" w:color="auto" w:sz="4" w:space="0"/>
            </w:tcBorders>
            <w:vAlign w:val="center"/>
          </w:tcPr>
          <w:p>
            <w:pPr>
              <w:spacing w:line="240" w:lineRule="atLeast"/>
              <w:jc w:val="left"/>
              <w:rPr>
                <w:rFonts w:ascii="宋体" w:hAnsi="宋体"/>
                <w:bCs/>
                <w:szCs w:val="21"/>
              </w:rPr>
            </w:pPr>
            <w:r>
              <w:rPr>
                <w:rFonts w:hint="eastAsia" w:ascii="宋体" w:hAnsi="宋体"/>
                <w:bCs/>
                <w:szCs w:val="21"/>
              </w:rPr>
              <w:t>总体评价意见：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240" w:lineRule="atLeast"/>
              <w:jc w:val="left"/>
              <w:rPr>
                <w:rFonts w:ascii="宋体" w:hAnsi="宋体"/>
                <w:bCs/>
                <w:szCs w:val="21"/>
              </w:rPr>
            </w:pPr>
          </w:p>
          <w:p>
            <w:pPr>
              <w:spacing w:line="240" w:lineRule="atLeast"/>
              <w:jc w:val="left"/>
              <w:rPr>
                <w:rFonts w:ascii="宋体" w:hAnsi="宋体"/>
                <w:bCs/>
                <w:szCs w:val="21"/>
              </w:rPr>
            </w:pPr>
            <w:r>
              <w:rPr>
                <w:rFonts w:hint="eastAsia" w:ascii="宋体" w:hAnsi="宋体"/>
                <w:bCs/>
                <w:szCs w:val="21"/>
              </w:rPr>
              <w:t>评估成为本单位：□ 推荐</w:t>
            </w:r>
            <w:r>
              <w:rPr>
                <w:rFonts w:ascii="宋体" w:hAnsi="宋体"/>
                <w:bCs/>
                <w:szCs w:val="21"/>
              </w:rPr>
              <w:t>服务机构</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不合格服务机构</w:t>
            </w:r>
          </w:p>
          <w:p>
            <w:pPr>
              <w:spacing w:line="240" w:lineRule="atLeast"/>
              <w:jc w:val="left"/>
              <w:rPr>
                <w:rFonts w:ascii="宋体" w:hAnsi="宋体"/>
                <w:szCs w:val="21"/>
                <w:u w:val="single"/>
              </w:rPr>
            </w:pPr>
            <w:r>
              <w:rPr>
                <w:rFonts w:hint="eastAsia" w:ascii="宋体" w:hAnsi="宋体"/>
                <w:bCs/>
                <w:szCs w:val="21"/>
              </w:rPr>
              <w:t>项目负责人签字（单位签章</w:t>
            </w:r>
            <w:r>
              <w:rPr>
                <w:rFonts w:ascii="宋体" w:hAnsi="宋体"/>
                <w:bCs/>
                <w:szCs w:val="21"/>
              </w:rPr>
              <w:t>）</w:t>
            </w:r>
            <w:r>
              <w:rPr>
                <w:rFonts w:hint="eastAsia" w:ascii="宋体" w:hAnsi="宋体"/>
                <w:bCs/>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tabs>
                <w:tab w:val="center" w:pos="3817"/>
              </w:tabs>
              <w:spacing w:line="240" w:lineRule="atLeast"/>
              <w:jc w:val="left"/>
              <w:rPr>
                <w:rFonts w:ascii="宋体" w:hAnsi="宋体"/>
                <w:bCs/>
                <w:szCs w:val="21"/>
              </w:rPr>
            </w:pPr>
            <w:r>
              <w:rPr>
                <w:rFonts w:hint="eastAsia" w:ascii="宋体" w:hAnsi="宋体"/>
                <w:szCs w:val="21"/>
              </w:rPr>
              <w:t>日期：        年    月     日</w:t>
            </w:r>
          </w:p>
        </w:tc>
      </w:tr>
    </w:tbl>
    <w:p>
      <w:pPr>
        <w:tabs>
          <w:tab w:val="left" w:pos="1644"/>
        </w:tabs>
        <w:rPr>
          <w:rFonts w:ascii="宋体" w:hAnsi="宋体" w:cs="宋体"/>
          <w:sz w:val="24"/>
        </w:rPr>
      </w:pPr>
    </w:p>
    <w:p/>
    <w:p>
      <w:pPr>
        <w:pStyle w:val="11"/>
        <w:rPr>
          <w:rFonts w:ascii="宋体" w:eastAsia="宋体" w:cs="仿宋_GB2312"/>
          <w:szCs w:val="21"/>
        </w:rPr>
      </w:pPr>
    </w:p>
    <w:p>
      <w:pPr>
        <w:pStyle w:val="11"/>
        <w:rPr>
          <w:rFonts w:ascii="宋体" w:eastAsia="宋体" w:cs="仿宋_GB2312"/>
          <w:szCs w:val="21"/>
        </w:rPr>
      </w:pPr>
    </w:p>
    <w:p>
      <w:pPr>
        <w:pStyle w:val="11"/>
        <w:rPr>
          <w:rFonts w:ascii="宋体"/>
          <w:b/>
          <w:szCs w:val="21"/>
        </w:rPr>
      </w:pPr>
    </w:p>
    <w:p>
      <w:pPr>
        <w:pStyle w:val="11"/>
        <w:rPr>
          <w:rFonts w:ascii="宋体"/>
          <w:b/>
          <w:szCs w:val="21"/>
        </w:rPr>
      </w:pPr>
    </w:p>
    <w:p>
      <w:pPr>
        <w:pStyle w:val="11"/>
        <w:rPr>
          <w:rFonts w:ascii="宋体"/>
          <w:b/>
          <w:szCs w:val="21"/>
        </w:rPr>
      </w:pPr>
    </w:p>
    <w:p>
      <w:pPr>
        <w:pStyle w:val="11"/>
        <w:rPr>
          <w:rFonts w:ascii="宋体"/>
          <w:b/>
          <w:szCs w:val="21"/>
        </w:rPr>
      </w:pPr>
    </w:p>
    <w:p>
      <w:pPr>
        <w:pStyle w:val="11"/>
        <w:rPr>
          <w:rFonts w:ascii="宋体"/>
          <w:b/>
          <w:szCs w:val="21"/>
        </w:rPr>
      </w:pPr>
    </w:p>
    <w:p>
      <w:pPr>
        <w:pStyle w:val="11"/>
        <w:rPr>
          <w:rFonts w:ascii="宋体"/>
          <w:b/>
          <w:szCs w:val="21"/>
        </w:rPr>
      </w:pPr>
    </w:p>
    <w:p>
      <w:pPr>
        <w:pStyle w:val="11"/>
        <w:rPr>
          <w:rFonts w:ascii="宋体"/>
          <w:b/>
          <w:szCs w:val="21"/>
        </w:rPr>
      </w:pPr>
    </w:p>
    <w:p>
      <w:pPr>
        <w:pStyle w:val="11"/>
        <w:rPr>
          <w:rFonts w:ascii="宋体"/>
          <w:b/>
          <w:szCs w:val="21"/>
        </w:rPr>
      </w:pPr>
    </w:p>
    <w:p>
      <w:pPr>
        <w:pStyle w:val="11"/>
        <w:rPr>
          <w:rFonts w:ascii="宋体"/>
          <w:b/>
          <w:szCs w:val="21"/>
        </w:rPr>
      </w:pPr>
    </w:p>
    <w:p>
      <w:pPr>
        <w:pStyle w:val="11"/>
        <w:rPr>
          <w:rFonts w:ascii="宋体"/>
          <w:b/>
          <w:szCs w:val="21"/>
        </w:rPr>
      </w:pPr>
    </w:p>
    <w:p>
      <w:pPr>
        <w:pStyle w:val="11"/>
        <w:rPr>
          <w:rFonts w:ascii="宋体"/>
          <w:b/>
          <w:szCs w:val="21"/>
        </w:rPr>
      </w:pPr>
    </w:p>
    <w:p>
      <w:pPr>
        <w:pStyle w:val="11"/>
        <w:rPr>
          <w:rFonts w:ascii="宋体"/>
          <w:b/>
          <w:szCs w:val="21"/>
        </w:rPr>
      </w:pPr>
    </w:p>
    <w:p>
      <w:pPr>
        <w:pStyle w:val="11"/>
        <w:rPr>
          <w:rFonts w:ascii="宋体"/>
          <w:b/>
          <w:szCs w:val="21"/>
        </w:rPr>
      </w:pPr>
    </w:p>
    <w:p>
      <w:pPr>
        <w:pStyle w:val="11"/>
        <w:rPr>
          <w:rFonts w:ascii="宋体"/>
          <w:b/>
          <w:szCs w:val="21"/>
        </w:rPr>
      </w:pPr>
    </w:p>
    <w:p>
      <w:pPr>
        <w:pStyle w:val="11"/>
        <w:rPr>
          <w:rFonts w:ascii="宋体"/>
          <w:b/>
          <w:szCs w:val="21"/>
        </w:rPr>
      </w:pPr>
    </w:p>
    <w:p>
      <w:pPr>
        <w:spacing w:line="400" w:lineRule="exact"/>
        <w:jc w:val="center"/>
        <w:outlineLvl w:val="0"/>
        <w:rPr>
          <w:rFonts w:ascii="宋体" w:hAnsi="宋体"/>
          <w:b/>
          <w:sz w:val="32"/>
          <w:szCs w:val="32"/>
        </w:rPr>
      </w:pPr>
      <w:bookmarkStart w:id="44" w:name="_Toc22084"/>
      <w:r>
        <w:rPr>
          <w:rFonts w:hint="eastAsia" w:ascii="宋体" w:hAnsi="宋体"/>
          <w:b/>
          <w:sz w:val="32"/>
          <w:szCs w:val="32"/>
        </w:rPr>
        <w:t>第二部分：开标流程</w:t>
      </w:r>
      <w:bookmarkEnd w:id="44"/>
    </w:p>
    <w:p>
      <w:pPr>
        <w:numPr>
          <w:ilvl w:val="0"/>
          <w:numId w:val="1"/>
        </w:numPr>
        <w:spacing w:line="360" w:lineRule="auto"/>
        <w:outlineLvl w:val="1"/>
        <w:rPr>
          <w:rFonts w:ascii="宋体" w:hAnsi="宋体"/>
          <w:b/>
          <w:szCs w:val="21"/>
        </w:rPr>
      </w:pPr>
      <w:bookmarkStart w:id="45" w:name="_Toc31541"/>
      <w:r>
        <w:rPr>
          <w:rFonts w:hint="eastAsia" w:ascii="宋体" w:hAnsi="宋体"/>
          <w:b/>
          <w:szCs w:val="21"/>
        </w:rPr>
        <w:t>开标流程</w:t>
      </w:r>
      <w:bookmarkEnd w:id="45"/>
    </w:p>
    <w:p>
      <w:pPr>
        <w:pStyle w:val="22"/>
        <w:numPr>
          <w:ilvl w:val="0"/>
          <w:numId w:val="14"/>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投标人按要求准时进入视频会议室；</w:t>
      </w:r>
    </w:p>
    <w:p>
      <w:pPr>
        <w:pStyle w:val="22"/>
        <w:numPr>
          <w:ilvl w:val="0"/>
          <w:numId w:val="14"/>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投标人按时发送文件密码至招标联系人邮箱；</w:t>
      </w:r>
    </w:p>
    <w:p>
      <w:pPr>
        <w:pStyle w:val="22"/>
        <w:numPr>
          <w:ilvl w:val="0"/>
          <w:numId w:val="14"/>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宣布开标开始，宣读开标注意事项、流程；</w:t>
      </w:r>
    </w:p>
    <w:p>
      <w:pPr>
        <w:pStyle w:val="22"/>
        <w:numPr>
          <w:ilvl w:val="0"/>
          <w:numId w:val="14"/>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评标小组组长主持评标；</w:t>
      </w:r>
    </w:p>
    <w:p>
      <w:pPr>
        <w:pStyle w:val="22"/>
        <w:numPr>
          <w:ilvl w:val="0"/>
          <w:numId w:val="14"/>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招标人解密投标文件。</w:t>
      </w:r>
    </w:p>
    <w:p>
      <w:pPr>
        <w:pStyle w:val="22"/>
        <w:numPr>
          <w:ilvl w:val="0"/>
          <w:numId w:val="14"/>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现场公开唱标。</w:t>
      </w:r>
    </w:p>
    <w:p>
      <w:pPr>
        <w:pStyle w:val="22"/>
        <w:numPr>
          <w:ilvl w:val="0"/>
          <w:numId w:val="14"/>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投标文件及密码发送符合要求的投标人即可离开视频会议室；</w:t>
      </w:r>
    </w:p>
    <w:p>
      <w:pPr>
        <w:pStyle w:val="22"/>
        <w:numPr>
          <w:ilvl w:val="0"/>
          <w:numId w:val="14"/>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响应文件的完整性检验和投标人基本情况的符合性审查；</w:t>
      </w:r>
    </w:p>
    <w:p>
      <w:pPr>
        <w:pStyle w:val="22"/>
        <w:numPr>
          <w:ilvl w:val="0"/>
          <w:numId w:val="14"/>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商务及技术需求响应性评定；</w:t>
      </w:r>
    </w:p>
    <w:p>
      <w:pPr>
        <w:pStyle w:val="22"/>
        <w:numPr>
          <w:ilvl w:val="0"/>
          <w:numId w:val="14"/>
        </w:numPr>
        <w:tabs>
          <w:tab w:val="left" w:pos="720"/>
          <w:tab w:val="left" w:pos="851"/>
          <w:tab w:val="left" w:pos="993"/>
        </w:tabs>
        <w:spacing w:line="360" w:lineRule="auto"/>
        <w:ind w:left="720" w:firstLine="430" w:firstLineChars="205"/>
        <w:rPr>
          <w:rFonts w:ascii="宋体" w:hAnsi="宋体" w:eastAsia="宋体"/>
          <w:szCs w:val="21"/>
        </w:rPr>
      </w:pPr>
      <w:r>
        <w:rPr>
          <w:rFonts w:hint="eastAsia" w:ascii="宋体" w:hAnsi="宋体" w:eastAsia="宋体"/>
          <w:szCs w:val="21"/>
        </w:rPr>
        <w:t>评标小组成员采用有记名方式按综合评议指标评分；</w:t>
      </w:r>
    </w:p>
    <w:p>
      <w:pPr>
        <w:pStyle w:val="22"/>
        <w:numPr>
          <w:ilvl w:val="0"/>
          <w:numId w:val="14"/>
        </w:numPr>
        <w:tabs>
          <w:tab w:val="left" w:pos="720"/>
          <w:tab w:val="left" w:pos="851"/>
          <w:tab w:val="left" w:pos="993"/>
        </w:tabs>
        <w:spacing w:line="360" w:lineRule="auto"/>
        <w:ind w:left="720" w:firstLine="430" w:firstLineChars="205"/>
        <w:rPr>
          <w:rFonts w:ascii="宋体" w:hAnsi="宋体" w:eastAsia="宋体"/>
          <w:szCs w:val="21"/>
        </w:rPr>
      </w:pPr>
      <w:r>
        <w:rPr>
          <w:rFonts w:hint="eastAsia" w:ascii="宋体" w:hAnsi="宋体" w:eastAsia="宋体"/>
          <w:szCs w:val="21"/>
        </w:rPr>
        <w:t>综合评分的计算和排序；</w:t>
      </w:r>
    </w:p>
    <w:p>
      <w:pPr>
        <w:pStyle w:val="22"/>
        <w:numPr>
          <w:ilvl w:val="0"/>
          <w:numId w:val="14"/>
        </w:numPr>
        <w:tabs>
          <w:tab w:val="left" w:pos="720"/>
          <w:tab w:val="left" w:pos="851"/>
          <w:tab w:val="left" w:pos="993"/>
        </w:tabs>
        <w:spacing w:line="360" w:lineRule="auto"/>
        <w:ind w:left="720" w:firstLine="430" w:firstLineChars="205"/>
        <w:rPr>
          <w:rFonts w:ascii="宋体" w:hAnsi="宋体" w:eastAsia="宋体"/>
          <w:szCs w:val="21"/>
        </w:rPr>
      </w:pPr>
      <w:r>
        <w:rPr>
          <w:rFonts w:hint="eastAsia" w:ascii="宋体" w:hAnsi="宋体" w:eastAsia="宋体"/>
          <w:szCs w:val="21"/>
        </w:rPr>
        <w:t>本项目招标第一候选供应商、备选供应商的确定及报告的出具。</w:t>
      </w:r>
    </w:p>
    <w:p>
      <w:pPr>
        <w:spacing w:line="360" w:lineRule="auto"/>
        <w:jc w:val="center"/>
        <w:outlineLvl w:val="0"/>
        <w:rPr>
          <w:rFonts w:ascii="宋体" w:hAnsi="宋体"/>
          <w:b/>
          <w:sz w:val="32"/>
          <w:szCs w:val="32"/>
        </w:rPr>
      </w:pPr>
      <w:r>
        <w:rPr>
          <w:rFonts w:ascii="宋体" w:hAnsi="宋体"/>
          <w:b/>
          <w:sz w:val="28"/>
        </w:rPr>
        <w:br w:type="page"/>
      </w:r>
      <w:bookmarkStart w:id="46" w:name="_Toc21780"/>
      <w:r>
        <w:rPr>
          <w:rFonts w:hint="eastAsia" w:ascii="宋体" w:hAnsi="宋体"/>
          <w:b/>
          <w:sz w:val="32"/>
          <w:szCs w:val="32"/>
        </w:rPr>
        <w:t>第三部分：评审办法</w:t>
      </w:r>
      <w:bookmarkEnd w:id="46"/>
    </w:p>
    <w:p>
      <w:pPr>
        <w:numPr>
          <w:ilvl w:val="0"/>
          <w:numId w:val="1"/>
        </w:numPr>
        <w:spacing w:line="360" w:lineRule="auto"/>
        <w:outlineLvl w:val="1"/>
        <w:rPr>
          <w:rFonts w:ascii="宋体" w:hAnsi="宋体"/>
          <w:szCs w:val="21"/>
        </w:rPr>
      </w:pPr>
      <w:bookmarkStart w:id="47" w:name="_Toc4304"/>
      <w:r>
        <w:rPr>
          <w:rFonts w:hint="eastAsia" w:ascii="宋体" w:hAnsi="宋体"/>
          <w:b/>
          <w:bCs/>
          <w:szCs w:val="21"/>
        </w:rPr>
        <w:t>评审办法</w:t>
      </w:r>
      <w:bookmarkEnd w:id="47"/>
    </w:p>
    <w:p>
      <w:pPr>
        <w:spacing w:line="360" w:lineRule="auto"/>
        <w:ind w:firstLine="420" w:firstLineChars="200"/>
        <w:rPr>
          <w:rFonts w:ascii="宋体" w:hAnsi="宋体"/>
          <w:szCs w:val="21"/>
        </w:rPr>
      </w:pPr>
      <w:r>
        <w:rPr>
          <w:rFonts w:hint="eastAsia" w:ascii="宋体" w:hAnsi="宋体"/>
          <w:szCs w:val="21"/>
        </w:rPr>
        <w:t>首先对各投标人进行符合性审查。对通过符合性审查的投标人，采用</w:t>
      </w:r>
      <w:r>
        <w:rPr>
          <w:rFonts w:hint="eastAsia" w:ascii="宋体" w:hAnsi="宋体"/>
          <w:b/>
          <w:szCs w:val="21"/>
        </w:rPr>
        <w:t>100分制综合评分法</w:t>
      </w:r>
      <w:r>
        <w:rPr>
          <w:rFonts w:hint="eastAsia" w:ascii="宋体" w:hAnsi="宋体"/>
          <w:szCs w:val="21"/>
        </w:rPr>
        <w:t>进行评分。</w:t>
      </w:r>
    </w:p>
    <w:tbl>
      <w:tblPr>
        <w:tblStyle w:val="15"/>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8"/>
        <w:gridCol w:w="2158"/>
        <w:gridCol w:w="2159"/>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517" w:type="dxa"/>
            <w:gridSpan w:val="4"/>
            <w:shd w:val="clear" w:color="auto" w:fill="E7E6E6" w:themeFill="background2"/>
            <w:vAlign w:val="center"/>
          </w:tcPr>
          <w:p>
            <w:pPr>
              <w:autoSpaceDE w:val="0"/>
              <w:autoSpaceDN w:val="0"/>
              <w:adjustRightInd w:val="0"/>
              <w:snapToGrid w:val="0"/>
              <w:jc w:val="center"/>
              <w:rPr>
                <w:rFonts w:ascii="宋体" w:hAnsi="宋体"/>
                <w:b/>
                <w:sz w:val="32"/>
                <w:szCs w:val="32"/>
              </w:rPr>
            </w:pPr>
            <w:r>
              <w:rPr>
                <w:rFonts w:hint="eastAsia" w:ascii="宋体" w:hAnsi="宋体" w:cs="仿宋"/>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38" w:type="dxa"/>
            <w:vAlign w:val="center"/>
          </w:tcPr>
          <w:p>
            <w:pPr>
              <w:autoSpaceDE w:val="0"/>
              <w:autoSpaceDN w:val="0"/>
              <w:adjustRightInd w:val="0"/>
              <w:snapToGrid w:val="0"/>
              <w:jc w:val="center"/>
              <w:rPr>
                <w:rFonts w:ascii="宋体" w:hAnsi="宋体"/>
                <w:b/>
              </w:rPr>
            </w:pPr>
            <w:r>
              <w:rPr>
                <w:rFonts w:hint="eastAsia" w:ascii="宋体" w:hAnsi="宋体"/>
                <w:b/>
              </w:rPr>
              <w:t>权重名称</w:t>
            </w:r>
          </w:p>
        </w:tc>
        <w:tc>
          <w:tcPr>
            <w:tcW w:w="2158" w:type="dxa"/>
            <w:vAlign w:val="center"/>
          </w:tcPr>
          <w:p>
            <w:pPr>
              <w:autoSpaceDE w:val="0"/>
              <w:autoSpaceDN w:val="0"/>
              <w:adjustRightInd w:val="0"/>
              <w:snapToGrid w:val="0"/>
              <w:jc w:val="center"/>
              <w:rPr>
                <w:rFonts w:ascii="宋体" w:hAnsi="宋体"/>
                <w:b/>
              </w:rPr>
            </w:pPr>
            <w:r>
              <w:rPr>
                <w:rFonts w:hint="eastAsia" w:ascii="宋体" w:hAnsi="宋体"/>
                <w:b/>
              </w:rPr>
              <w:t>商务标权重</w:t>
            </w:r>
          </w:p>
        </w:tc>
        <w:tc>
          <w:tcPr>
            <w:tcW w:w="2159" w:type="dxa"/>
            <w:vAlign w:val="center"/>
          </w:tcPr>
          <w:p>
            <w:pPr>
              <w:autoSpaceDE w:val="0"/>
              <w:autoSpaceDN w:val="0"/>
              <w:adjustRightInd w:val="0"/>
              <w:snapToGrid w:val="0"/>
              <w:jc w:val="center"/>
              <w:rPr>
                <w:rFonts w:ascii="宋体" w:hAnsi="宋体"/>
                <w:b/>
              </w:rPr>
            </w:pPr>
            <w:r>
              <w:rPr>
                <w:rFonts w:hint="eastAsia" w:ascii="宋体" w:hAnsi="宋体"/>
                <w:b/>
              </w:rPr>
              <w:t>技术标权重</w:t>
            </w:r>
          </w:p>
        </w:tc>
        <w:tc>
          <w:tcPr>
            <w:tcW w:w="2662" w:type="dxa"/>
            <w:vAlign w:val="center"/>
          </w:tcPr>
          <w:p>
            <w:pPr>
              <w:autoSpaceDE w:val="0"/>
              <w:autoSpaceDN w:val="0"/>
              <w:adjustRightInd w:val="0"/>
              <w:snapToGrid w:val="0"/>
              <w:jc w:val="center"/>
              <w:rPr>
                <w:rFonts w:ascii="宋体" w:hAnsi="宋体"/>
                <w:b/>
              </w:rPr>
            </w:pPr>
            <w:r>
              <w:rPr>
                <w:rFonts w:hint="eastAsia" w:ascii="宋体" w:hAnsi="宋体"/>
                <w:b/>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38" w:type="dxa"/>
            <w:vAlign w:val="center"/>
          </w:tcPr>
          <w:p>
            <w:pPr>
              <w:autoSpaceDE w:val="0"/>
              <w:autoSpaceDN w:val="0"/>
              <w:adjustRightInd w:val="0"/>
              <w:snapToGrid w:val="0"/>
              <w:jc w:val="center"/>
              <w:rPr>
                <w:rFonts w:ascii="宋体" w:hAnsi="宋体"/>
              </w:rPr>
            </w:pPr>
            <w:r>
              <w:rPr>
                <w:rFonts w:hint="eastAsia" w:ascii="宋体" w:hAnsi="宋体"/>
              </w:rPr>
              <w:t>权重</w:t>
            </w:r>
          </w:p>
        </w:tc>
        <w:tc>
          <w:tcPr>
            <w:tcW w:w="2158" w:type="dxa"/>
            <w:vAlign w:val="center"/>
          </w:tcPr>
          <w:p>
            <w:pPr>
              <w:autoSpaceDE w:val="0"/>
              <w:autoSpaceDN w:val="0"/>
              <w:adjustRightInd w:val="0"/>
              <w:snapToGrid w:val="0"/>
              <w:jc w:val="center"/>
              <w:rPr>
                <w:rFonts w:ascii="宋体" w:hAnsi="宋体"/>
              </w:rPr>
            </w:pPr>
            <w:r>
              <w:rPr>
                <w:rFonts w:hint="eastAsia" w:ascii="宋体" w:hAnsi="宋体"/>
                <w:szCs w:val="21"/>
              </w:rPr>
              <w:t>30</w:t>
            </w:r>
            <w:r>
              <w:rPr>
                <w:rFonts w:hint="eastAsia" w:ascii="宋体" w:hAnsi="宋体"/>
              </w:rPr>
              <w:t>%</w:t>
            </w:r>
          </w:p>
        </w:tc>
        <w:tc>
          <w:tcPr>
            <w:tcW w:w="2159" w:type="dxa"/>
            <w:vAlign w:val="center"/>
          </w:tcPr>
          <w:p>
            <w:pPr>
              <w:autoSpaceDE w:val="0"/>
              <w:autoSpaceDN w:val="0"/>
              <w:adjustRightInd w:val="0"/>
              <w:snapToGrid w:val="0"/>
              <w:jc w:val="center"/>
              <w:rPr>
                <w:rFonts w:ascii="宋体" w:hAnsi="宋体"/>
              </w:rPr>
            </w:pPr>
            <w:r>
              <w:rPr>
                <w:rFonts w:hint="eastAsia" w:ascii="宋体" w:hAnsi="宋体"/>
                <w:szCs w:val="21"/>
              </w:rPr>
              <w:t>40</w:t>
            </w:r>
            <w:r>
              <w:rPr>
                <w:rFonts w:hint="eastAsia" w:ascii="宋体" w:hAnsi="宋体"/>
              </w:rPr>
              <w:t>%</w:t>
            </w:r>
          </w:p>
        </w:tc>
        <w:tc>
          <w:tcPr>
            <w:tcW w:w="2662" w:type="dxa"/>
            <w:vAlign w:val="center"/>
          </w:tcPr>
          <w:p>
            <w:pPr>
              <w:autoSpaceDE w:val="0"/>
              <w:autoSpaceDN w:val="0"/>
              <w:adjustRightInd w:val="0"/>
              <w:snapToGrid w:val="0"/>
              <w:jc w:val="center"/>
              <w:rPr>
                <w:rFonts w:ascii="宋体" w:hAnsi="宋体"/>
              </w:rPr>
            </w:pPr>
            <w:r>
              <w:rPr>
                <w:rFonts w:hint="eastAsia" w:ascii="宋体" w:hAnsi="宋体"/>
                <w:szCs w:val="21"/>
              </w:rPr>
              <w:t>30</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38" w:type="dxa"/>
            <w:vAlign w:val="center"/>
          </w:tcPr>
          <w:p>
            <w:pPr>
              <w:autoSpaceDE w:val="0"/>
              <w:autoSpaceDN w:val="0"/>
              <w:adjustRightInd w:val="0"/>
              <w:snapToGrid w:val="0"/>
              <w:jc w:val="center"/>
              <w:rPr>
                <w:rFonts w:ascii="宋体" w:hAnsi="宋体"/>
              </w:rPr>
            </w:pPr>
            <w:r>
              <w:rPr>
                <w:rFonts w:hint="eastAsia" w:ascii="宋体" w:hAnsi="宋体"/>
              </w:rPr>
              <w:t>投标人综合得分</w:t>
            </w:r>
          </w:p>
        </w:tc>
        <w:tc>
          <w:tcPr>
            <w:tcW w:w="6979" w:type="dxa"/>
            <w:gridSpan w:val="3"/>
            <w:vAlign w:val="center"/>
          </w:tcPr>
          <w:p>
            <w:pPr>
              <w:autoSpaceDE w:val="0"/>
              <w:autoSpaceDN w:val="0"/>
              <w:adjustRightInd w:val="0"/>
              <w:snapToGrid w:val="0"/>
              <w:jc w:val="center"/>
              <w:rPr>
                <w:rFonts w:ascii="宋体" w:hAnsi="宋体"/>
              </w:rPr>
            </w:pPr>
            <w:r>
              <w:rPr>
                <w:rFonts w:hint="eastAsia" w:ascii="宋体" w:hAnsi="宋体"/>
              </w:rPr>
              <w:t>商务标得分+技术标得分+价格标得分=100</w:t>
            </w:r>
          </w:p>
        </w:tc>
      </w:tr>
    </w:tbl>
    <w:p>
      <w:pPr>
        <w:pStyle w:val="11"/>
      </w:pPr>
    </w:p>
    <w:p>
      <w:pPr>
        <w:numPr>
          <w:ilvl w:val="0"/>
          <w:numId w:val="15"/>
        </w:numPr>
        <w:spacing w:line="360" w:lineRule="auto"/>
        <w:jc w:val="left"/>
        <w:outlineLvl w:val="2"/>
        <w:rPr>
          <w:rStyle w:val="29"/>
          <w:rFonts w:ascii="宋体" w:hAnsi="宋体"/>
          <w:b/>
          <w:szCs w:val="21"/>
        </w:rPr>
      </w:pPr>
      <w:bookmarkStart w:id="48" w:name="_Toc22336"/>
      <w:r>
        <w:rPr>
          <w:rStyle w:val="29"/>
          <w:rFonts w:hint="eastAsia" w:ascii="宋体" w:hAnsi="宋体"/>
          <w:b/>
          <w:bCs/>
          <w:szCs w:val="21"/>
        </w:rPr>
        <w:t>符合性检查</w:t>
      </w:r>
      <w:bookmarkEnd w:id="48"/>
    </w:p>
    <w:tbl>
      <w:tblPr>
        <w:tblStyle w:val="15"/>
        <w:tblW w:w="951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825"/>
        <w:gridCol w:w="7691"/>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82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91"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jc w:val="center"/>
        </w:trPr>
        <w:tc>
          <w:tcPr>
            <w:tcW w:w="1825"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Cs w:val="21"/>
              </w:rPr>
            </w:pPr>
            <w:r>
              <w:rPr>
                <w:rFonts w:hint="eastAsia" w:ascii="宋体" w:hAnsi="宋体" w:cs="仿宋"/>
                <w:szCs w:val="21"/>
              </w:rPr>
              <w:t>响应文件</w:t>
            </w:r>
          </w:p>
        </w:tc>
        <w:tc>
          <w:tcPr>
            <w:tcW w:w="7691"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仿宋"/>
                <w:bCs/>
                <w:szCs w:val="21"/>
              </w:rPr>
            </w:pPr>
            <w:r>
              <w:rPr>
                <w:rFonts w:hint="eastAsia" w:ascii="宋体" w:hAnsi="宋体" w:cs="仿宋"/>
                <w:bCs/>
                <w:szCs w:val="21"/>
              </w:rPr>
              <w:t>（1）投标人提交的响应文件是否按要求编制目录、加密。</w:t>
            </w:r>
          </w:p>
          <w:p>
            <w:pPr>
              <w:spacing w:line="360" w:lineRule="auto"/>
              <w:rPr>
                <w:rFonts w:ascii="宋体" w:hAnsi="宋体" w:cs="仿宋"/>
                <w:bCs/>
                <w:szCs w:val="21"/>
              </w:rPr>
            </w:pPr>
            <w:r>
              <w:rPr>
                <w:rFonts w:hint="eastAsia" w:ascii="宋体" w:hAnsi="宋体" w:cs="仿宋"/>
                <w:bCs/>
                <w:szCs w:val="21"/>
              </w:rPr>
              <w:t>（2）投标文件的加密密码在按要求发送至招标人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w:t>
            </w:r>
          </w:p>
          <w:p>
            <w:pPr>
              <w:spacing w:line="360" w:lineRule="auto"/>
              <w:rPr>
                <w:rFonts w:ascii="宋体" w:hAnsi="宋体" w:cs="仿宋"/>
                <w:szCs w:val="21"/>
              </w:rPr>
            </w:pPr>
            <w:r>
              <w:rPr>
                <w:rFonts w:hint="eastAsia" w:ascii="宋体" w:hAnsi="宋体" w:cs="仿宋"/>
                <w:bCs/>
                <w:szCs w:val="21"/>
              </w:rPr>
              <w:t>（3）投标人必须提供由法人代表或其书面授权人签署并加盖投标人公章的投标响应文件</w:t>
            </w:r>
            <w:r>
              <w:rPr>
                <w:rFonts w:hint="eastAsia" w:ascii="宋体" w:hAnsi="宋体" w:cs="仿宋"/>
                <w:szCs w:val="21"/>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25"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91"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仿宋"/>
                <w:szCs w:val="21"/>
              </w:rPr>
            </w:pPr>
            <w:r>
              <w:rPr>
                <w:rFonts w:hint="eastAsia" w:ascii="宋体" w:hAnsi="宋体" w:cs="宋体"/>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25"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91"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仿宋"/>
                <w:color w:val="auto"/>
                <w:szCs w:val="21"/>
              </w:rPr>
            </w:pPr>
            <w:r>
              <w:rPr>
                <w:rFonts w:hint="eastAsia" w:ascii="宋体" w:hAnsi="宋体" w:cs="仿宋"/>
                <w:szCs w:val="21"/>
              </w:rPr>
              <w:t>投标人</w:t>
            </w:r>
            <w:r>
              <w:rPr>
                <w:rFonts w:hint="eastAsia" w:ascii="宋体" w:hAnsi="宋体" w:cs="仿宋"/>
                <w:color w:val="auto"/>
                <w:szCs w:val="21"/>
              </w:rPr>
              <w:t>是否提供以下证明文件：</w:t>
            </w:r>
          </w:p>
          <w:p>
            <w:pPr>
              <w:numPr>
                <w:ilvl w:val="0"/>
                <w:numId w:val="16"/>
              </w:numPr>
              <w:tabs>
                <w:tab w:val="left" w:pos="531"/>
              </w:tabs>
              <w:snapToGrid w:val="0"/>
              <w:ind w:left="0" w:firstLine="420"/>
              <w:rPr>
                <w:rFonts w:ascii="宋体"/>
                <w:color w:val="auto"/>
              </w:rPr>
            </w:pPr>
            <w:r>
              <w:rPr>
                <w:rFonts w:hint="eastAsia" w:ascii="宋体"/>
                <w:color w:val="auto"/>
              </w:rPr>
              <w:t>投标人应为中华人民共和国境内注册且合法运作的独立法人或具有独立承担民事责任能力的其它组织。提供营业执照或法人证明文件或登记证书扫描件或复印件（加盖投标人公章）。</w:t>
            </w:r>
          </w:p>
          <w:p>
            <w:pPr>
              <w:numPr>
                <w:ilvl w:val="0"/>
                <w:numId w:val="16"/>
              </w:numPr>
              <w:tabs>
                <w:tab w:val="left" w:pos="531"/>
              </w:tabs>
              <w:snapToGrid w:val="0"/>
              <w:ind w:left="0" w:firstLine="420"/>
              <w:rPr>
                <w:rFonts w:ascii="宋体"/>
                <w:color w:val="auto"/>
              </w:rPr>
            </w:pPr>
            <w:r>
              <w:rPr>
                <w:rFonts w:hint="eastAsia" w:ascii="宋体"/>
                <w:color w:val="auto"/>
              </w:rPr>
              <w:t>投标人应无未改正的经营异常信息，无违法失信记录。须提供“信用中国”网站（www.creditchina.gov.cn）“信用服务”栏查询“重大税收违法案件当事人名单”“失信被执行人”信用记录查询网页截图，被列入失信被执行人、重大税收违法案件当事人名单的，拒绝参与本项目的采购活动。</w:t>
            </w:r>
          </w:p>
          <w:p>
            <w:pPr>
              <w:numPr>
                <w:ilvl w:val="255"/>
                <w:numId w:val="0"/>
              </w:numPr>
              <w:tabs>
                <w:tab w:val="left" w:pos="531"/>
              </w:tabs>
              <w:snapToGrid w:val="0"/>
              <w:spacing w:line="240" w:lineRule="auto"/>
              <w:ind w:firstLine="420" w:firstLineChars="200"/>
              <w:rPr>
                <w:rFonts w:ascii="宋体" w:hAnsi="宋体" w:cs="仿宋"/>
                <w:szCs w:val="21"/>
              </w:rPr>
            </w:pPr>
            <w:r>
              <w:rPr>
                <w:rFonts w:hint="eastAsia" w:ascii="宋体" w:hAnsi="宋体" w:cs="仿宋"/>
                <w:color w:val="auto"/>
                <w:szCs w:val="21"/>
              </w:rPr>
              <w:t>（3）是否为联合体投标，是否存在转包或非法分包行为。</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825"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color w:val="FF0000"/>
                <w:szCs w:val="21"/>
                <w:highlight w:val="yellow"/>
              </w:rPr>
            </w:pPr>
            <w:r>
              <w:rPr>
                <w:rFonts w:hint="eastAsia" w:ascii="宋体" w:hAnsi="宋体" w:cs="仿宋"/>
                <w:szCs w:val="21"/>
              </w:rPr>
              <w:t>控制金额</w:t>
            </w:r>
          </w:p>
        </w:tc>
        <w:tc>
          <w:tcPr>
            <w:tcW w:w="7691"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仿宋"/>
                <w:szCs w:val="21"/>
              </w:rPr>
            </w:pPr>
            <w:r>
              <w:rPr>
                <w:rFonts w:hint="eastAsia"/>
              </w:rPr>
              <w:t>本项目单年控制金额为15万元(含增值税)，三年总控制金额为人民币45万元(含增值税)，报价超过上述控制金额的投标文件作废标处理。</w:t>
            </w:r>
          </w:p>
        </w:tc>
      </w:tr>
    </w:tbl>
    <w:p>
      <w:pPr>
        <w:numPr>
          <w:ilvl w:val="0"/>
          <w:numId w:val="15"/>
        </w:numPr>
        <w:spacing w:before="936" w:beforeLines="300" w:line="360" w:lineRule="auto"/>
        <w:jc w:val="left"/>
        <w:outlineLvl w:val="2"/>
        <w:rPr>
          <w:rStyle w:val="29"/>
          <w:rFonts w:ascii="宋体" w:hAnsi="宋体"/>
          <w:b/>
          <w:bCs/>
          <w:szCs w:val="21"/>
        </w:rPr>
      </w:pPr>
      <w:bookmarkStart w:id="49" w:name="_Toc22007"/>
      <w:r>
        <w:rPr>
          <w:rStyle w:val="29"/>
          <w:rFonts w:hint="eastAsia" w:ascii="宋体" w:hAnsi="宋体"/>
          <w:b/>
          <w:bCs/>
          <w:szCs w:val="21"/>
        </w:rPr>
        <w:t>综合评议指标表</w:t>
      </w:r>
      <w:bookmarkEnd w:id="49"/>
    </w:p>
    <w:tbl>
      <w:tblPr>
        <w:tblStyle w:val="15"/>
        <w:tblW w:w="9351" w:type="dxa"/>
        <w:jc w:val="center"/>
        <w:tblCellSpacing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blCellSpacing w:w="0" w:type="dxa"/>
          <w:jc w:val="center"/>
        </w:trPr>
        <w:tc>
          <w:tcPr>
            <w:tcW w:w="704" w:type="dxa"/>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right w:val="dotted" w:color="auto" w:sz="4" w:space="0"/>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left w:val="dotted" w:color="auto" w:sz="4" w:space="0"/>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blCellSpacing w:w="0" w:type="dxa"/>
          <w:jc w:val="center"/>
        </w:trPr>
        <w:tc>
          <w:tcPr>
            <w:tcW w:w="9351" w:type="dxa"/>
            <w:gridSpan w:val="5"/>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szCs w:val="21"/>
              </w:rPr>
              <w:t>2</w:t>
            </w:r>
            <w:r>
              <w:rPr>
                <w:rFonts w:hint="eastAsia" w:ascii="宋体" w:hAnsi="宋体"/>
                <w:szCs w:val="21"/>
                <w:lang w:val="en-US" w:eastAsia="zh-CN"/>
              </w:rPr>
              <w:t>7</w:t>
            </w:r>
            <w:r>
              <w:rPr>
                <w:rFonts w:hint="eastAsia" w:ascii="宋体" w:hAnsi="宋体"/>
                <w:b/>
                <w:szCs w:val="21"/>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vAlign w:val="center"/>
          </w:tcPr>
          <w:p>
            <w:pPr>
              <w:pStyle w:val="22"/>
              <w:numPr>
                <w:ilvl w:val="0"/>
                <w:numId w:val="17"/>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20" w:lineRule="exact"/>
              <w:jc w:val="center"/>
            </w:pPr>
            <w:r>
              <w:rPr>
                <w:rFonts w:hint="eastAsia" w:ascii="宋体" w:hAnsi="宋体" w:cs="宋体"/>
                <w:szCs w:val="21"/>
              </w:rPr>
              <w:t>综合资质</w:t>
            </w:r>
          </w:p>
        </w:tc>
        <w:tc>
          <w:tcPr>
            <w:tcW w:w="709" w:type="dxa"/>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lang w:val="en-US" w:eastAsia="zh-CN"/>
              </w:rPr>
              <w:t>6</w:t>
            </w:r>
            <w:r>
              <w:rPr>
                <w:rFonts w:hint="eastAsia" w:ascii="宋体" w:hAnsi="宋体"/>
                <w:szCs w:val="21"/>
              </w:rPr>
              <w:t>分</w:t>
            </w:r>
          </w:p>
        </w:tc>
        <w:tc>
          <w:tcPr>
            <w:tcW w:w="6804" w:type="dxa"/>
            <w:gridSpan w:val="2"/>
            <w:tcMar>
              <w:top w:w="15" w:type="dxa"/>
              <w:left w:w="15" w:type="dxa"/>
              <w:bottom w:w="15" w:type="dxa"/>
              <w:right w:w="15" w:type="dxa"/>
            </w:tcMar>
            <w:vAlign w:val="center"/>
          </w:tcPr>
          <w:p>
            <w:pPr>
              <w:pStyle w:val="3"/>
              <w:rPr>
                <w:rFonts w:ascii="宋体" w:hAnsi="宋体" w:cs="宋体"/>
                <w:kern w:val="0"/>
                <w:szCs w:val="21"/>
              </w:rPr>
            </w:pPr>
            <w:r>
              <w:rPr>
                <w:rFonts w:hint="eastAsia" w:ascii="宋体" w:hAnsi="宋体" w:cs="宋体"/>
                <w:kern w:val="0"/>
                <w:szCs w:val="21"/>
              </w:rPr>
              <w:t>根据投标人的注册年限、注册资金进行综合比较，总分为</w:t>
            </w:r>
            <w:r>
              <w:rPr>
                <w:rFonts w:hint="eastAsia" w:ascii="宋体" w:hAnsi="宋体" w:cs="宋体"/>
                <w:kern w:val="0"/>
                <w:szCs w:val="21"/>
                <w:lang w:val="en-US" w:eastAsia="zh-CN"/>
              </w:rPr>
              <w:t>6</w:t>
            </w:r>
            <w:r>
              <w:rPr>
                <w:rFonts w:hint="eastAsia" w:ascii="宋体" w:hAnsi="宋体" w:cs="宋体"/>
                <w:kern w:val="0"/>
                <w:szCs w:val="21"/>
              </w:rPr>
              <w:t>分：</w:t>
            </w:r>
          </w:p>
          <w:p>
            <w:pPr>
              <w:pStyle w:val="3"/>
              <w:rPr>
                <w:rFonts w:ascii="宋体" w:hAnsi="宋体" w:cs="宋体"/>
                <w:kern w:val="0"/>
                <w:szCs w:val="21"/>
              </w:rPr>
            </w:pPr>
            <w:r>
              <w:rPr>
                <w:rFonts w:hint="eastAsia" w:ascii="宋体" w:hAnsi="宋体" w:cs="宋体"/>
                <w:kern w:val="0"/>
                <w:szCs w:val="21"/>
              </w:rPr>
              <w:t>优秀得</w:t>
            </w:r>
            <w:r>
              <w:rPr>
                <w:rFonts w:hint="eastAsia" w:ascii="宋体" w:hAnsi="宋体" w:cs="宋体"/>
                <w:kern w:val="0"/>
                <w:szCs w:val="21"/>
                <w:lang w:val="en-US" w:eastAsia="zh-CN"/>
              </w:rPr>
              <w:t>5</w:t>
            </w:r>
            <w:r>
              <w:rPr>
                <w:rFonts w:hint="eastAsia" w:ascii="宋体" w:hAnsi="宋体" w:cs="宋体"/>
                <w:kern w:val="0"/>
                <w:szCs w:val="21"/>
              </w:rPr>
              <w:t>-</w:t>
            </w:r>
            <w:r>
              <w:rPr>
                <w:rFonts w:hint="eastAsia" w:ascii="宋体" w:hAnsi="宋体" w:cs="宋体"/>
                <w:kern w:val="0"/>
                <w:szCs w:val="21"/>
                <w:lang w:val="en-US" w:eastAsia="zh-CN"/>
              </w:rPr>
              <w:t>6</w:t>
            </w:r>
            <w:r>
              <w:rPr>
                <w:rFonts w:hint="eastAsia" w:ascii="宋体" w:hAnsi="宋体" w:cs="宋体"/>
                <w:kern w:val="0"/>
                <w:szCs w:val="21"/>
              </w:rPr>
              <w:t>分，良好得</w:t>
            </w:r>
            <w:r>
              <w:rPr>
                <w:rFonts w:hint="eastAsia" w:ascii="宋体" w:hAnsi="宋体" w:cs="宋体"/>
                <w:kern w:val="0"/>
                <w:szCs w:val="21"/>
                <w:lang w:val="en-US" w:eastAsia="zh-CN"/>
              </w:rPr>
              <w:t>3</w:t>
            </w:r>
            <w:r>
              <w:rPr>
                <w:rFonts w:hint="eastAsia" w:ascii="宋体" w:hAnsi="宋体" w:cs="宋体"/>
                <w:kern w:val="0"/>
                <w:szCs w:val="21"/>
              </w:rPr>
              <w:t>-</w:t>
            </w:r>
            <w:r>
              <w:rPr>
                <w:rFonts w:hint="eastAsia" w:ascii="宋体" w:hAnsi="宋体" w:cs="宋体"/>
                <w:kern w:val="0"/>
                <w:szCs w:val="21"/>
                <w:lang w:val="en-US" w:eastAsia="zh-CN"/>
              </w:rPr>
              <w:t>4</w:t>
            </w:r>
            <w:r>
              <w:rPr>
                <w:rFonts w:hint="eastAsia" w:ascii="宋体" w:hAnsi="宋体" w:cs="宋体"/>
                <w:kern w:val="0"/>
                <w:szCs w:val="21"/>
              </w:rPr>
              <w:t>分，一般得1</w:t>
            </w:r>
            <w:r>
              <w:rPr>
                <w:rFonts w:hint="eastAsia" w:ascii="宋体" w:hAnsi="宋体" w:cs="宋体"/>
                <w:kern w:val="0"/>
                <w:szCs w:val="21"/>
                <w:lang w:val="en-US" w:eastAsia="zh-CN"/>
              </w:rPr>
              <w:t>-2</w:t>
            </w:r>
            <w:r>
              <w:rPr>
                <w:rFonts w:hint="eastAsia" w:ascii="宋体" w:hAnsi="宋体" w:cs="宋体"/>
                <w:kern w:val="0"/>
                <w:szCs w:val="21"/>
              </w:rPr>
              <w:t>分，无不得分。</w:t>
            </w:r>
          </w:p>
          <w:p>
            <w:pPr>
              <w:snapToGrid w:val="0"/>
              <w:rPr>
                <w:rFonts w:ascii="宋体" w:hAnsi="宋体"/>
                <w:szCs w:val="21"/>
              </w:rPr>
            </w:pPr>
            <w:r>
              <w:rPr>
                <w:rFonts w:hint="eastAsia" w:ascii="宋体" w:cs="宋体"/>
                <w:kern w:val="0"/>
                <w:szCs w:val="21"/>
              </w:rPr>
              <w:t>备注：以各投标人所提供企业简介、国家信用信息公示系统等能体现投标人公司的规模等情况进行综合排名作为评审依据的资料（以上证明资料均需加盖投标人公章）。</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0" w:hRule="atLeast"/>
          <w:tblCellSpacing w:w="0" w:type="dxa"/>
          <w:jc w:val="center"/>
        </w:trPr>
        <w:tc>
          <w:tcPr>
            <w:tcW w:w="704" w:type="dxa"/>
            <w:vAlign w:val="center"/>
          </w:tcPr>
          <w:p>
            <w:pPr>
              <w:pStyle w:val="22"/>
              <w:numPr>
                <w:ilvl w:val="0"/>
                <w:numId w:val="17"/>
              </w:numPr>
              <w:spacing w:line="360" w:lineRule="auto"/>
              <w:ind w:firstLineChars="0"/>
              <w:jc w:val="center"/>
              <w:rPr>
                <w:rFonts w:ascii="宋体" w:hAnsi="宋体" w:eastAsia="宋体"/>
                <w:szCs w:val="21"/>
                <w:highlight w:val="none"/>
              </w:rPr>
            </w:pPr>
          </w:p>
        </w:tc>
        <w:tc>
          <w:tcPr>
            <w:tcW w:w="1134" w:type="dxa"/>
            <w:tcMar>
              <w:top w:w="15" w:type="dxa"/>
              <w:left w:w="15" w:type="dxa"/>
              <w:bottom w:w="15" w:type="dxa"/>
              <w:right w:w="15" w:type="dxa"/>
            </w:tcMar>
            <w:vAlign w:val="center"/>
          </w:tcPr>
          <w:p>
            <w:pPr>
              <w:spacing w:line="320" w:lineRule="exact"/>
              <w:jc w:val="center"/>
              <w:rPr>
                <w:rFonts w:ascii="宋体" w:hAnsi="宋体"/>
                <w:color w:val="FF0000"/>
                <w:szCs w:val="21"/>
                <w:highlight w:val="none"/>
              </w:rPr>
            </w:pPr>
            <w:r>
              <w:rPr>
                <w:rFonts w:hint="eastAsia" w:ascii="宋体" w:hAnsi="宋体" w:cs="宋体"/>
                <w:szCs w:val="21"/>
                <w:highlight w:val="none"/>
              </w:rPr>
              <w:t>业绩</w:t>
            </w:r>
          </w:p>
        </w:tc>
        <w:tc>
          <w:tcPr>
            <w:tcW w:w="709" w:type="dxa"/>
            <w:tcMar>
              <w:top w:w="15" w:type="dxa"/>
              <w:left w:w="15" w:type="dxa"/>
              <w:bottom w:w="15" w:type="dxa"/>
              <w:right w:w="15" w:type="dxa"/>
            </w:tcMar>
            <w:vAlign w:val="center"/>
          </w:tcPr>
          <w:p>
            <w:pPr>
              <w:spacing w:line="360" w:lineRule="auto"/>
              <w:jc w:val="center"/>
              <w:rPr>
                <w:rFonts w:ascii="宋体" w:hAnsi="宋体"/>
                <w:color w:val="FF0000"/>
                <w:szCs w:val="21"/>
                <w:highlight w:val="none"/>
              </w:rPr>
            </w:pPr>
            <w:r>
              <w:rPr>
                <w:rFonts w:hint="eastAsia" w:ascii="宋体" w:hAnsi="宋体"/>
                <w:szCs w:val="21"/>
                <w:highlight w:val="none"/>
              </w:rPr>
              <w:t>18分</w:t>
            </w:r>
          </w:p>
        </w:tc>
        <w:tc>
          <w:tcPr>
            <w:tcW w:w="6804" w:type="dxa"/>
            <w:gridSpan w:val="2"/>
            <w:tcMar>
              <w:top w:w="15" w:type="dxa"/>
              <w:left w:w="15" w:type="dxa"/>
              <w:bottom w:w="15" w:type="dxa"/>
              <w:right w:w="15" w:type="dxa"/>
            </w:tcMar>
            <w:vAlign w:val="center"/>
          </w:tcPr>
          <w:p>
            <w:pPr>
              <w:numPr>
                <w:ilvl w:val="0"/>
                <w:numId w:val="18"/>
              </w:numPr>
              <w:rPr>
                <w:rFonts w:ascii="宋体" w:hAnsi="宋体" w:cs="宋体"/>
                <w:szCs w:val="21"/>
                <w:highlight w:val="none"/>
              </w:rPr>
            </w:pPr>
            <w:r>
              <w:rPr>
                <w:rFonts w:hint="eastAsia"/>
                <w:highlight w:val="none"/>
              </w:rPr>
              <w:t>根据</w:t>
            </w:r>
            <w:r>
              <w:rPr>
                <w:rFonts w:hint="eastAsia" w:ascii="宋体" w:hAnsi="宋体"/>
                <w:highlight w:val="none"/>
              </w:rPr>
              <w:t>投标人提供近三年（从2019年8月1日至招标公告发布之日，以合同签订时间为准）参与组织或作为主办/协办/承办单位的</w:t>
            </w:r>
            <w:r>
              <w:rPr>
                <w:rFonts w:hint="eastAsia" w:ascii="宋体" w:hAnsi="宋体" w:cs="宋体"/>
                <w:kern w:val="0"/>
                <w:szCs w:val="21"/>
                <w:highlight w:val="none"/>
              </w:rPr>
              <w:t>科技类</w:t>
            </w:r>
            <w:r>
              <w:rPr>
                <w:rFonts w:hint="eastAsia" w:ascii="宋体" w:hAnsi="宋体" w:cs="宋体"/>
                <w:kern w:val="0"/>
                <w:szCs w:val="21"/>
                <w:highlight w:val="none"/>
                <w:lang w:val="en-US" w:eastAsia="zh-CN"/>
              </w:rPr>
              <w:t>且</w:t>
            </w:r>
            <w:r>
              <w:rPr>
                <w:rFonts w:hint="eastAsia" w:ascii="宋体" w:hAnsi="宋体" w:cs="宋体"/>
                <w:kern w:val="0"/>
                <w:szCs w:val="21"/>
                <w:highlight w:val="none"/>
              </w:rPr>
              <w:t>合同总金额不少于8万人民币（含税）</w:t>
            </w:r>
            <w:r>
              <w:rPr>
                <w:rFonts w:hint="eastAsia" w:ascii="宋体" w:hAnsi="宋体" w:cs="宋体"/>
                <w:kern w:val="0"/>
                <w:szCs w:val="21"/>
                <w:highlight w:val="none"/>
                <w:lang w:val="en-US" w:eastAsia="zh-CN"/>
              </w:rPr>
              <w:t>的</w:t>
            </w:r>
            <w:r>
              <w:rPr>
                <w:rFonts w:hint="eastAsia" w:ascii="宋体" w:hAnsi="宋体"/>
                <w:highlight w:val="none"/>
              </w:rPr>
              <w:t>会议活动项目案例。（须提供</w:t>
            </w:r>
            <w:r>
              <w:rPr>
                <w:rFonts w:hint="eastAsia" w:ascii="宋体" w:hAnsi="宋体"/>
                <w:highlight w:val="none"/>
                <w:lang w:val="en-US" w:eastAsia="zh-CN"/>
              </w:rPr>
              <w:t>合同关键页，内容</w:t>
            </w:r>
            <w:r>
              <w:rPr>
                <w:rFonts w:hint="eastAsia" w:ascii="宋体" w:hAnsi="宋体"/>
                <w:highlight w:val="none"/>
              </w:rPr>
              <w:t>包含但不限于项目名称、业主方名称、合同主要内容、签订时间、履约地点、甲乙双方盖章等信息的合同关键页复印件。加盖投标单位公章。）</w:t>
            </w:r>
            <w:r>
              <w:rPr>
                <w:rFonts w:hint="eastAsia" w:ascii="宋体" w:hAnsi="宋体"/>
                <w:highlight w:val="none"/>
                <w:lang w:eastAsia="zh-CN"/>
              </w:rPr>
              <w:t>。</w:t>
            </w:r>
            <w:r>
              <w:rPr>
                <w:rFonts w:hint="eastAsia" w:ascii="宋体" w:hAnsi="宋体"/>
                <w:highlight w:val="none"/>
                <w:lang w:val="en-US" w:eastAsia="zh-CN"/>
              </w:rPr>
              <w:t>对</w:t>
            </w:r>
            <w:r>
              <w:rPr>
                <w:rFonts w:hint="eastAsia" w:ascii="宋体" w:hAnsi="宋体"/>
                <w:highlight w:val="none"/>
              </w:rPr>
              <w:t>符合要求的业绩合同</w:t>
            </w:r>
            <w:r>
              <w:rPr>
                <w:rFonts w:hint="eastAsia" w:ascii="宋体" w:hAnsi="宋体" w:cs="宋体"/>
                <w:kern w:val="0"/>
                <w:szCs w:val="21"/>
                <w:highlight w:val="none"/>
              </w:rPr>
              <w:t>进行计分：每份</w:t>
            </w:r>
            <w:r>
              <w:rPr>
                <w:rFonts w:hint="eastAsia" w:ascii="宋体" w:hAnsi="宋体" w:cs="宋体"/>
                <w:kern w:val="0"/>
                <w:szCs w:val="21"/>
                <w:highlight w:val="none"/>
                <w:lang w:val="en-US" w:eastAsia="zh-CN"/>
              </w:rPr>
              <w:t>符合上述内容的</w:t>
            </w:r>
            <w:r>
              <w:rPr>
                <w:rFonts w:hint="eastAsia" w:ascii="宋体" w:hAnsi="宋体" w:cs="宋体"/>
                <w:kern w:val="0"/>
                <w:szCs w:val="21"/>
                <w:highlight w:val="none"/>
              </w:rPr>
              <w:t>合同得2分；</w:t>
            </w:r>
          </w:p>
          <w:p>
            <w:pPr>
              <w:numPr>
                <w:ilvl w:val="0"/>
                <w:numId w:val="18"/>
              </w:numPr>
              <w:rPr>
                <w:highlight w:val="none"/>
              </w:rPr>
            </w:pPr>
            <w:r>
              <w:rPr>
                <w:rFonts w:hint="eastAsia" w:ascii="宋体" w:hAnsi="宋体" w:cs="宋体"/>
                <w:kern w:val="0"/>
                <w:szCs w:val="21"/>
                <w:highlight w:val="none"/>
              </w:rPr>
              <w:t>如上述业绩合同为国家级（最高主办单位为国家部委或省级政府）项目，则每份</w:t>
            </w:r>
            <w:r>
              <w:rPr>
                <w:rFonts w:hint="eastAsia" w:ascii="宋体" w:hAnsi="宋体" w:cs="宋体"/>
                <w:kern w:val="0"/>
                <w:szCs w:val="21"/>
                <w:highlight w:val="none"/>
                <w:lang w:val="en-US" w:eastAsia="zh-CN"/>
              </w:rPr>
              <w:t>业绩合同</w:t>
            </w:r>
            <w:r>
              <w:rPr>
                <w:rFonts w:hint="eastAsia" w:ascii="宋体" w:hAnsi="宋体" w:cs="宋体"/>
                <w:kern w:val="0"/>
                <w:szCs w:val="21"/>
                <w:highlight w:val="none"/>
              </w:rPr>
              <w:t>额外加1分。其余情况不计分。</w:t>
            </w:r>
          </w:p>
          <w:p>
            <w:pPr>
              <w:numPr>
                <w:ilvl w:val="255"/>
                <w:numId w:val="0"/>
              </w:numPr>
              <w:rPr>
                <w:highlight w:val="none"/>
              </w:rPr>
            </w:pPr>
            <w:r>
              <w:rPr>
                <w:rFonts w:hint="eastAsia"/>
                <w:highlight w:val="none"/>
              </w:rPr>
              <w:t>说明：</w:t>
            </w:r>
          </w:p>
          <w:p>
            <w:pPr>
              <w:numPr>
                <w:ilvl w:val="255"/>
                <w:numId w:val="0"/>
              </w:numPr>
              <w:rPr>
                <w:rFonts w:ascii="宋体" w:hAnsi="宋体" w:cs="宋体"/>
                <w:szCs w:val="21"/>
                <w:highlight w:val="none"/>
              </w:rPr>
            </w:pPr>
            <w:r>
              <w:rPr>
                <w:rFonts w:hint="eastAsia" w:ascii="宋体" w:hAnsi="宋体"/>
                <w:highlight w:val="none"/>
              </w:rPr>
              <w:t>（1）</w:t>
            </w:r>
            <w:r>
              <w:rPr>
                <w:rFonts w:hint="eastAsia" w:ascii="宋体" w:hAnsi="宋体" w:cs="宋体"/>
                <w:kern w:val="0"/>
                <w:szCs w:val="21"/>
                <w:highlight w:val="none"/>
              </w:rPr>
              <w:t>此项</w:t>
            </w:r>
            <w:r>
              <w:rPr>
                <w:rFonts w:hint="eastAsia" w:ascii="宋体" w:hAnsi="宋体" w:cs="宋体"/>
                <w:kern w:val="0"/>
                <w:szCs w:val="21"/>
                <w:highlight w:val="none"/>
                <w:lang w:val="en-US" w:eastAsia="zh-CN"/>
              </w:rPr>
              <w:t>业绩评分</w:t>
            </w:r>
            <w:r>
              <w:rPr>
                <w:rFonts w:hint="eastAsia" w:ascii="宋体" w:hAnsi="宋体" w:cs="宋体"/>
                <w:kern w:val="0"/>
                <w:szCs w:val="21"/>
                <w:highlight w:val="none"/>
              </w:rPr>
              <w:t>最高18分</w:t>
            </w:r>
          </w:p>
          <w:p>
            <w:pPr>
              <w:numPr>
                <w:ilvl w:val="255"/>
                <w:numId w:val="0"/>
              </w:numPr>
              <w:rPr>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）未提供或提供的相关证明文件不清晰、不完整的，不得分。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vAlign w:val="center"/>
          </w:tcPr>
          <w:p>
            <w:pPr>
              <w:pStyle w:val="22"/>
              <w:numPr>
                <w:ilvl w:val="0"/>
                <w:numId w:val="17"/>
              </w:numPr>
              <w:spacing w:line="360" w:lineRule="auto"/>
              <w:ind w:firstLineChars="0"/>
              <w:jc w:val="center"/>
              <w:rPr>
                <w:rFonts w:ascii="宋体" w:hAnsi="宋体" w:eastAsia="宋体"/>
                <w:szCs w:val="21"/>
                <w:highlight w:val="none"/>
              </w:rPr>
            </w:pPr>
          </w:p>
        </w:tc>
        <w:tc>
          <w:tcPr>
            <w:tcW w:w="1134" w:type="dxa"/>
            <w:tcMar>
              <w:top w:w="15" w:type="dxa"/>
              <w:left w:w="15" w:type="dxa"/>
              <w:bottom w:w="15" w:type="dxa"/>
              <w:right w:w="15" w:type="dxa"/>
            </w:tcMar>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信誉情况</w:t>
            </w:r>
          </w:p>
        </w:tc>
        <w:tc>
          <w:tcPr>
            <w:tcW w:w="709" w:type="dxa"/>
            <w:tcMar>
              <w:top w:w="15" w:type="dxa"/>
              <w:left w:w="15" w:type="dxa"/>
              <w:bottom w:w="15" w:type="dxa"/>
              <w:right w:w="15" w:type="dxa"/>
            </w:tcMar>
            <w:vAlign w:val="center"/>
          </w:tcPr>
          <w:p>
            <w:pPr>
              <w:spacing w:line="360" w:lineRule="auto"/>
              <w:jc w:val="center"/>
              <w:rPr>
                <w:rFonts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分</w:t>
            </w:r>
          </w:p>
        </w:tc>
        <w:tc>
          <w:tcPr>
            <w:tcW w:w="6804" w:type="dxa"/>
            <w:gridSpan w:val="2"/>
            <w:tcMar>
              <w:top w:w="15" w:type="dxa"/>
              <w:left w:w="15" w:type="dxa"/>
              <w:bottom w:w="15" w:type="dxa"/>
              <w:right w:w="15" w:type="dxa"/>
            </w:tcMar>
            <w:vAlign w:val="center"/>
          </w:tcPr>
          <w:p>
            <w:pPr>
              <w:pStyle w:val="22"/>
              <w:numPr>
                <w:ilvl w:val="255"/>
                <w:numId w:val="0"/>
              </w:numPr>
              <w:snapToGrid w:val="0"/>
              <w:rPr>
                <w:rFonts w:ascii="宋体" w:hAnsi="宋体"/>
                <w:highlight w:val="none"/>
              </w:rPr>
            </w:pPr>
            <w:r>
              <w:rPr>
                <w:rFonts w:hint="eastAsia" w:ascii="宋体" w:hAnsi="宋体" w:eastAsia="宋体" w:cs="Times New Roman"/>
                <w:kern w:val="0"/>
                <w:szCs w:val="21"/>
                <w:highlight w:val="none"/>
              </w:rPr>
              <w:t>根据投标人</w:t>
            </w:r>
            <w:r>
              <w:rPr>
                <w:rFonts w:hint="eastAsia" w:ascii="宋体" w:hAnsi="宋体" w:eastAsia="宋体" w:cs="Times New Roman"/>
                <w:highlight w:val="none"/>
              </w:rPr>
              <w:t>从</w:t>
            </w:r>
            <w:r>
              <w:rPr>
                <w:rFonts w:ascii="宋体" w:hAnsi="宋体" w:eastAsia="宋体" w:cs="Times New Roman"/>
                <w:highlight w:val="none"/>
              </w:rPr>
              <w:t>20</w:t>
            </w:r>
            <w:r>
              <w:rPr>
                <w:rFonts w:hint="eastAsia" w:ascii="宋体" w:hAnsi="宋体" w:eastAsia="宋体" w:cs="Times New Roman"/>
                <w:highlight w:val="none"/>
                <w:lang w:val="en-US" w:eastAsia="zh-CN"/>
              </w:rPr>
              <w:t>20</w:t>
            </w:r>
            <w:r>
              <w:rPr>
                <w:rFonts w:ascii="宋体" w:hAnsi="宋体" w:eastAsia="宋体" w:cs="Times New Roman"/>
                <w:highlight w:val="none"/>
              </w:rPr>
              <w:t>年</w:t>
            </w:r>
            <w:r>
              <w:rPr>
                <w:rFonts w:hint="eastAsia" w:ascii="宋体" w:hAnsi="宋体" w:eastAsia="宋体" w:cs="Times New Roman"/>
                <w:highlight w:val="none"/>
                <w:lang w:val="en-US" w:eastAsia="zh-CN"/>
              </w:rPr>
              <w:t>起</w:t>
            </w:r>
            <w:r>
              <w:rPr>
                <w:rFonts w:hint="eastAsia" w:ascii="宋体" w:hAnsi="宋体" w:eastAsia="宋体" w:cs="Times New Roman"/>
                <w:kern w:val="0"/>
                <w:szCs w:val="21"/>
                <w:highlight w:val="none"/>
              </w:rPr>
              <w:t>获得</w:t>
            </w:r>
            <w:r>
              <w:rPr>
                <w:rFonts w:hint="eastAsia" w:ascii="宋体" w:hAnsi="宋体" w:eastAsia="宋体" w:cs="Times New Roman"/>
                <w:highlight w:val="none"/>
              </w:rPr>
              <w:t>活动主办方或上级主管单位或相关行业协会授予的感谢信、表扬信、证书、奖项等数量</w:t>
            </w:r>
            <w:r>
              <w:rPr>
                <w:rFonts w:hint="eastAsia" w:ascii="宋体" w:hAnsi="宋体" w:eastAsia="宋体" w:cs="Times New Roman"/>
                <w:kern w:val="0"/>
                <w:szCs w:val="21"/>
                <w:highlight w:val="none"/>
              </w:rPr>
              <w:t>进行比较：第一名得</w:t>
            </w:r>
            <w:r>
              <w:rPr>
                <w:rFonts w:ascii="宋体" w:hAnsi="宋体" w:eastAsia="宋体" w:cs="Times New Roman"/>
                <w:kern w:val="0"/>
                <w:szCs w:val="21"/>
                <w:highlight w:val="none"/>
              </w:rPr>
              <w:t>3</w:t>
            </w:r>
            <w:r>
              <w:rPr>
                <w:rFonts w:hint="eastAsia" w:ascii="宋体" w:hAnsi="宋体" w:eastAsia="宋体" w:cs="Times New Roman"/>
                <w:kern w:val="0"/>
                <w:szCs w:val="21"/>
                <w:highlight w:val="none"/>
              </w:rPr>
              <w:t>分，第二名得</w:t>
            </w:r>
            <w:r>
              <w:rPr>
                <w:rFonts w:ascii="宋体" w:hAnsi="宋体" w:eastAsia="宋体" w:cs="Times New Roman"/>
                <w:kern w:val="0"/>
                <w:szCs w:val="21"/>
                <w:highlight w:val="none"/>
              </w:rPr>
              <w:t>2</w:t>
            </w:r>
            <w:r>
              <w:rPr>
                <w:rFonts w:hint="eastAsia" w:ascii="宋体" w:hAnsi="宋体" w:eastAsia="宋体" w:cs="Times New Roman"/>
                <w:kern w:val="0"/>
                <w:szCs w:val="21"/>
                <w:highlight w:val="none"/>
              </w:rPr>
              <w:t>分，第三名得</w:t>
            </w:r>
            <w:r>
              <w:rPr>
                <w:rFonts w:ascii="宋体" w:hAnsi="宋体" w:eastAsia="宋体" w:cs="Times New Roman"/>
                <w:kern w:val="0"/>
                <w:szCs w:val="21"/>
                <w:highlight w:val="none"/>
              </w:rPr>
              <w:t>1</w:t>
            </w:r>
            <w:r>
              <w:rPr>
                <w:rFonts w:hint="eastAsia" w:ascii="宋体" w:hAnsi="宋体" w:eastAsia="宋体" w:cs="Times New Roman"/>
                <w:kern w:val="0"/>
                <w:szCs w:val="21"/>
                <w:highlight w:val="none"/>
              </w:rPr>
              <w:t>分，无或无法判断</w:t>
            </w:r>
            <w:r>
              <w:rPr>
                <w:rFonts w:ascii="宋体" w:hAnsi="宋体" w:eastAsia="宋体" w:cs="Times New Roman"/>
                <w:kern w:val="0"/>
                <w:szCs w:val="21"/>
                <w:highlight w:val="none"/>
              </w:rPr>
              <w:t>0分。</w:t>
            </w:r>
          </w:p>
          <w:p>
            <w:pPr>
              <w:pStyle w:val="22"/>
              <w:numPr>
                <w:ilvl w:val="255"/>
                <w:numId w:val="0"/>
              </w:numPr>
              <w:snapToGrid w:val="0"/>
              <w:rPr>
                <w:rFonts w:ascii="宋体" w:hAnsi="宋体"/>
                <w:highlight w:val="none"/>
              </w:rPr>
            </w:pPr>
          </w:p>
          <w:p>
            <w:pPr>
              <w:pStyle w:val="22"/>
              <w:snapToGrid w:val="0"/>
              <w:ind w:firstLine="0" w:firstLineChars="0"/>
              <w:rPr>
                <w:rFonts w:ascii="宋体" w:hAnsi="宋体"/>
                <w:highlight w:val="none"/>
              </w:rPr>
            </w:pPr>
            <w:r>
              <w:rPr>
                <w:rFonts w:hint="eastAsia" w:ascii="宋体" w:hAnsi="宋体" w:eastAsia="宋体" w:cs="Times New Roman"/>
                <w:highlight w:val="none"/>
              </w:rPr>
              <w:t>说明：</w:t>
            </w:r>
          </w:p>
          <w:p>
            <w:pPr>
              <w:pStyle w:val="22"/>
              <w:numPr>
                <w:ilvl w:val="255"/>
                <w:numId w:val="0"/>
              </w:numPr>
              <w:snapToGrid w:val="0"/>
              <w:ind w:left="0" w:firstLine="0" w:firstLineChars="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1</w:t>
            </w:r>
            <w:r>
              <w:rPr>
                <w:rFonts w:hint="eastAsia" w:ascii="宋体" w:hAnsi="宋体" w:eastAsia="宋体" w:cs="Times New Roman"/>
                <w:highlight w:val="none"/>
              </w:rPr>
              <w:t>）投标人须提供由活动案例中主办方或上级主管单位或相关行业协会授予的感谢信、表扬信、证书、奖项等证明文件。需提供以上荣誉情况汇总清单，以上文件均需加盖投标单位公章。</w:t>
            </w:r>
          </w:p>
          <w:p>
            <w:pPr>
              <w:pStyle w:val="22"/>
              <w:numPr>
                <w:ilvl w:val="255"/>
                <w:numId w:val="0"/>
              </w:numPr>
              <w:snapToGrid w:val="0"/>
              <w:ind w:firstLine="0" w:firstLineChars="0"/>
              <w:rPr>
                <w:rFonts w:hint="eastAsia"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2</w:t>
            </w:r>
            <w:r>
              <w:rPr>
                <w:rFonts w:hint="eastAsia" w:ascii="宋体" w:hAnsi="宋体" w:eastAsia="宋体" w:cs="Times New Roman"/>
                <w:highlight w:val="none"/>
              </w:rPr>
              <w:t>）</w:t>
            </w:r>
            <w:r>
              <w:rPr>
                <w:rFonts w:hint="eastAsia" w:ascii="宋体" w:hAnsi="宋体" w:eastAsia="宋体" w:cs="Times New Roman"/>
                <w:highlight w:val="none"/>
                <w:lang w:val="en-US" w:eastAsia="zh-CN"/>
              </w:rPr>
              <w:t>投标人须为证明文件提供检索清单。</w:t>
            </w:r>
            <w:r>
              <w:rPr>
                <w:rFonts w:hint="eastAsia" w:ascii="宋体" w:hAnsi="宋体" w:eastAsia="宋体" w:cs="Times New Roman"/>
                <w:highlight w:val="none"/>
              </w:rPr>
              <w:t>同一项目且同一年份</w:t>
            </w:r>
            <w:r>
              <w:rPr>
                <w:rFonts w:ascii="宋体" w:hAnsi="宋体" w:eastAsia="宋体" w:cs="Times New Roman"/>
                <w:highlight w:val="none"/>
              </w:rPr>
              <w:t>/届次的不同证明文件视作1份。</w:t>
            </w:r>
          </w:p>
          <w:p>
            <w:pPr>
              <w:pStyle w:val="22"/>
              <w:numPr>
                <w:ilvl w:val="255"/>
                <w:numId w:val="0"/>
              </w:numPr>
              <w:snapToGrid w:val="0"/>
              <w:ind w:left="0" w:leftChars="0" w:firstLine="0" w:firstLineChars="0"/>
              <w:rPr>
                <w:highlight w:val="none"/>
              </w:rPr>
            </w:pPr>
            <w:r>
              <w:rPr>
                <w:rFonts w:hint="eastAsia" w:ascii="宋体" w:hAnsi="宋体" w:eastAsia="宋体" w:cs="Times New Roman"/>
                <w:highlight w:val="none"/>
              </w:rPr>
              <w:t>（3）未提供证明资料、未按要求提供资料的或提供的相关证明文件因不清晰、不完整等原因无法判断的均得0分。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tcPr>
          <w:p>
            <w:pPr>
              <w:spacing w:line="360" w:lineRule="auto"/>
              <w:jc w:val="center"/>
              <w:rPr>
                <w:rFonts w:ascii="宋体" w:hAnsi="宋体"/>
                <w:b/>
                <w:szCs w:val="21"/>
              </w:rPr>
            </w:pPr>
          </w:p>
        </w:tc>
        <w:tc>
          <w:tcPr>
            <w:tcW w:w="8647" w:type="dxa"/>
            <w:gridSpan w:val="4"/>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rPr>
              <w:t>技术服务评议项（</w:t>
            </w:r>
            <w:r>
              <w:rPr>
                <w:rFonts w:hint="eastAsia" w:ascii="宋体" w:hAnsi="宋体"/>
                <w:szCs w:val="21"/>
              </w:rPr>
              <w:t>4</w:t>
            </w:r>
            <w:r>
              <w:rPr>
                <w:rFonts w:hint="eastAsia" w:ascii="宋体" w:hAnsi="宋体"/>
                <w:szCs w:val="21"/>
                <w:lang w:val="en-US" w:eastAsia="zh-CN"/>
              </w:rPr>
              <w:t>3</w:t>
            </w:r>
            <w:r>
              <w:rPr>
                <w:rFonts w:ascii="宋体" w:hAnsi="宋体"/>
                <w:b/>
                <w:szCs w:val="21"/>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3" w:hRule="atLeast"/>
          <w:tblCellSpacing w:w="0" w:type="dxa"/>
          <w:jc w:val="center"/>
        </w:trPr>
        <w:tc>
          <w:tcPr>
            <w:tcW w:w="704" w:type="dxa"/>
            <w:vAlign w:val="center"/>
          </w:tcPr>
          <w:p>
            <w:pPr>
              <w:pStyle w:val="22"/>
              <w:numPr>
                <w:ilvl w:val="0"/>
                <w:numId w:val="19"/>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20" w:lineRule="exact"/>
              <w:jc w:val="center"/>
            </w:pPr>
            <w:r>
              <w:rPr>
                <w:rFonts w:hint="eastAsia"/>
              </w:rPr>
              <w:t>整体服务方案</w:t>
            </w:r>
          </w:p>
        </w:tc>
        <w:tc>
          <w:tcPr>
            <w:tcW w:w="709" w:type="dxa"/>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20分</w:t>
            </w:r>
          </w:p>
        </w:tc>
        <w:tc>
          <w:tcPr>
            <w:tcW w:w="6804" w:type="dxa"/>
            <w:gridSpan w:val="2"/>
            <w:tcMar>
              <w:top w:w="15" w:type="dxa"/>
              <w:left w:w="15" w:type="dxa"/>
              <w:bottom w:w="15" w:type="dxa"/>
              <w:right w:w="15" w:type="dxa"/>
            </w:tcMar>
            <w:vAlign w:val="center"/>
          </w:tcPr>
          <w:p>
            <w:pPr>
              <w:jc w:val="left"/>
            </w:pPr>
            <w:r>
              <w:rPr>
                <w:rFonts w:hint="eastAsia"/>
              </w:rPr>
              <w:t>以下（1）+（2）+（3）合计为本项得分：</w:t>
            </w:r>
          </w:p>
          <w:p>
            <w:pPr>
              <w:jc w:val="left"/>
            </w:pPr>
            <w:r>
              <w:rPr>
                <w:rFonts w:hint="eastAsia"/>
              </w:rPr>
              <w:t>（1）对项目整体服务方案的具体细节与各环节要点的安排（包括但不限于服务时间规划、工作步骤、人员安排、各阶段执行方案、宣传推广方案与具体计划安排表、媒体及观众组织方案等）进行综合比较，</w:t>
            </w:r>
            <w:r>
              <w:rPr>
                <w:rFonts w:hint="eastAsia" w:ascii="宋体" w:cs="宋体"/>
                <w:kern w:val="0"/>
                <w:szCs w:val="21"/>
              </w:rPr>
              <w:t>由评委酌情给分</w:t>
            </w:r>
            <w:r>
              <w:rPr>
                <w:rFonts w:hint="eastAsia"/>
              </w:rPr>
              <w:t>：</w:t>
            </w:r>
          </w:p>
          <w:p>
            <w:pPr>
              <w:jc w:val="left"/>
            </w:pPr>
            <w:r>
              <w:rPr>
                <w:rFonts w:hint="eastAsia"/>
              </w:rPr>
              <w:t>①项目计划详细规范，整体项目进度的时间安排非常合理，人员安排分工明确，服务计划与方案完整，得8</w:t>
            </w:r>
            <w:r>
              <w:rPr>
                <w:rFonts w:hint="eastAsia" w:ascii="宋体" w:hAnsi="宋体" w:cs="宋体"/>
                <w:kern w:val="0"/>
                <w:szCs w:val="21"/>
              </w:rPr>
              <w:t>-</w:t>
            </w:r>
            <w:r>
              <w:rPr>
                <w:rFonts w:hint="eastAsia"/>
              </w:rPr>
              <w:t>10分；</w:t>
            </w:r>
          </w:p>
          <w:p>
            <w:pPr>
              <w:jc w:val="left"/>
            </w:pPr>
            <w:r>
              <w:rPr>
                <w:rFonts w:hint="eastAsia"/>
              </w:rPr>
              <w:t>②项目计划基本明确，进度的时间安排把控基本合理，制定了详细的服务计划与方案，人员安排基本符合项目要求，得5</w:t>
            </w:r>
            <w:r>
              <w:rPr>
                <w:rFonts w:hint="eastAsia" w:ascii="宋体" w:hAnsi="宋体" w:cs="宋体"/>
                <w:kern w:val="0"/>
                <w:szCs w:val="21"/>
              </w:rPr>
              <w:t>-</w:t>
            </w:r>
            <w:r>
              <w:rPr>
                <w:rFonts w:hint="eastAsia"/>
              </w:rPr>
              <w:t>7分；</w:t>
            </w:r>
          </w:p>
          <w:p>
            <w:pPr>
              <w:jc w:val="left"/>
            </w:pPr>
            <w:r>
              <w:rPr>
                <w:rFonts w:hint="eastAsia"/>
              </w:rPr>
              <w:t>③项目计划不完善，时间把控一般，人员安排不明确，服务方案不完善，得1</w:t>
            </w:r>
            <w:r>
              <w:rPr>
                <w:rFonts w:hint="eastAsia" w:ascii="宋体" w:hAnsi="宋体" w:cs="宋体"/>
                <w:kern w:val="0"/>
                <w:szCs w:val="21"/>
              </w:rPr>
              <w:t>-</w:t>
            </w:r>
            <w:r>
              <w:rPr>
                <w:rFonts w:hint="eastAsia"/>
              </w:rPr>
              <w:t>4分；</w:t>
            </w:r>
          </w:p>
          <w:p>
            <w:pPr>
              <w:jc w:val="left"/>
            </w:pPr>
            <w:r>
              <w:rPr>
                <w:rFonts w:hint="eastAsia"/>
              </w:rPr>
              <w:t>④完全不能满足项目需求，得0分。</w:t>
            </w:r>
          </w:p>
          <w:p>
            <w:pPr>
              <w:jc w:val="left"/>
            </w:pPr>
            <w:r>
              <w:rPr>
                <w:rFonts w:hint="eastAsia"/>
              </w:rPr>
              <w:t>（2）</w:t>
            </w:r>
            <w:r>
              <w:rPr>
                <w:rFonts w:hint="eastAsia" w:ascii="宋体" w:cs="宋体"/>
                <w:kern w:val="0"/>
                <w:szCs w:val="21"/>
              </w:rPr>
              <w:t>根据应急预案，以疫情防控及突发事件应对措施、安全与保卫措施、意识形态控制等要点为依据，</w:t>
            </w:r>
            <w:r>
              <w:rPr>
                <w:rFonts w:hint="eastAsia"/>
              </w:rPr>
              <w:t>优秀得6</w:t>
            </w:r>
            <w:r>
              <w:rPr>
                <w:rFonts w:hint="eastAsia" w:ascii="宋体" w:hAnsi="宋体" w:cs="宋体"/>
                <w:kern w:val="0"/>
                <w:szCs w:val="21"/>
              </w:rPr>
              <w:t>-</w:t>
            </w:r>
            <w:r>
              <w:rPr>
                <w:rFonts w:hint="eastAsia"/>
              </w:rPr>
              <w:t>7分，良得4</w:t>
            </w:r>
            <w:r>
              <w:rPr>
                <w:rFonts w:hint="eastAsia" w:ascii="宋体" w:hAnsi="宋体" w:cs="宋体"/>
                <w:kern w:val="0"/>
                <w:szCs w:val="21"/>
              </w:rPr>
              <w:t>-</w:t>
            </w:r>
            <w:r>
              <w:rPr>
                <w:rFonts w:hint="eastAsia"/>
              </w:rPr>
              <w:t>5分，一般得1</w:t>
            </w:r>
            <w:r>
              <w:rPr>
                <w:rFonts w:hint="eastAsia" w:ascii="宋体" w:hAnsi="宋体" w:cs="宋体"/>
                <w:kern w:val="0"/>
                <w:szCs w:val="21"/>
              </w:rPr>
              <w:t>-</w:t>
            </w:r>
            <w:r>
              <w:rPr>
                <w:rFonts w:hint="eastAsia"/>
              </w:rPr>
              <w:t>3分，差或未提及得0分。</w:t>
            </w:r>
          </w:p>
          <w:p>
            <w:pPr>
              <w:jc w:val="left"/>
              <w:rPr>
                <w:rFonts w:ascii="宋体" w:hAnsi="宋体" w:cs="宋体"/>
                <w:szCs w:val="21"/>
              </w:rPr>
            </w:pPr>
            <w:r>
              <w:rPr>
                <w:rFonts w:hint="eastAsia"/>
              </w:rPr>
              <w:t>（3）根据投标人的服务承诺、质量保证措施和增值服务（如活动会前社群推广、本项目基础要求以外的专业观众组织/媒体组织/原创推广文章/媒体投放量等）内容的有效性、合理性等进行综合比较。优秀得3分，良好得2分，一般得1分，未提及得0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497" w:hRule="atLeast"/>
          <w:tblCellSpacing w:w="0" w:type="dxa"/>
          <w:jc w:val="center"/>
          <w:ins w:id="0" w:author="lenovo" w:date="2022-10-08T17:09:00Z"/>
        </w:trPr>
        <w:tc>
          <w:tcPr>
            <w:tcW w:w="704" w:type="dxa"/>
            <w:vAlign w:val="center"/>
          </w:tcPr>
          <w:p>
            <w:pPr>
              <w:pStyle w:val="22"/>
              <w:numPr>
                <w:ilvl w:val="0"/>
                <w:numId w:val="19"/>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2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精品发布活媒体推广服务</w:t>
            </w:r>
          </w:p>
        </w:tc>
        <w:tc>
          <w:tcPr>
            <w:tcW w:w="709" w:type="dxa"/>
            <w:tcMar>
              <w:top w:w="15" w:type="dxa"/>
              <w:left w:w="15" w:type="dxa"/>
              <w:bottom w:w="15" w:type="dxa"/>
              <w:right w:w="15" w:type="dxa"/>
            </w:tcMar>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5</w:t>
            </w:r>
          </w:p>
        </w:tc>
        <w:tc>
          <w:tcPr>
            <w:tcW w:w="6804" w:type="dxa"/>
            <w:gridSpan w:val="2"/>
            <w:tcMar>
              <w:top w:w="15" w:type="dxa"/>
              <w:left w:w="15" w:type="dxa"/>
              <w:bottom w:w="15" w:type="dxa"/>
              <w:right w:w="15" w:type="dxa"/>
            </w:tcMar>
            <w:vAlign w:val="center"/>
          </w:tcPr>
          <w:p>
            <w:pPr>
              <w:jc w:val="left"/>
            </w:pPr>
            <w:r>
              <w:rPr>
                <w:rFonts w:hint="eastAsia"/>
              </w:rPr>
              <w:t>以下（1）+（2）合计为本项得分：</w:t>
            </w:r>
          </w:p>
          <w:p>
            <w:pPr>
              <w:numPr>
                <w:ilvl w:val="0"/>
                <w:numId w:val="20"/>
              </w:numPr>
              <w:jc w:val="left"/>
            </w:pPr>
            <w:r>
              <w:rPr>
                <w:rFonts w:hint="eastAsia"/>
              </w:rPr>
              <w:t>对精品发布活动媒体推广服务方案具体细节与各环节要点的安排（包括但不限于原创通稿数量、投放数量、投放排期、各阶段执行方案等）进行综合比较，</w:t>
            </w:r>
            <w:r>
              <w:rPr>
                <w:rFonts w:hint="eastAsia" w:ascii="Times New Roman" w:cs="Times New Roman"/>
                <w:kern w:val="2"/>
                <w:szCs w:val="24"/>
              </w:rPr>
              <w:t>由评委酌情给分</w:t>
            </w:r>
            <w:r>
              <w:rPr>
                <w:rFonts w:hint="eastAsia"/>
              </w:rPr>
              <w:t>：</w:t>
            </w:r>
          </w:p>
          <w:p>
            <w:pPr>
              <w:jc w:val="left"/>
            </w:pPr>
            <w:r>
              <w:rPr>
                <w:rFonts w:hint="eastAsia"/>
              </w:rPr>
              <w:t>①方案完善，计划详细规范，整体时间安排非常合理，包含详细的媒体投放计划安排表，得7</w:t>
            </w:r>
            <w:r>
              <w:rPr>
                <w:rFonts w:hint="eastAsia" w:ascii="宋体" w:hAnsi="宋体" w:cs="宋体"/>
                <w:kern w:val="0"/>
                <w:szCs w:val="21"/>
              </w:rPr>
              <w:t>-</w:t>
            </w:r>
            <w:r>
              <w:rPr>
                <w:rFonts w:hint="eastAsia"/>
              </w:rPr>
              <w:t>9分；</w:t>
            </w:r>
          </w:p>
          <w:p>
            <w:pPr>
              <w:jc w:val="left"/>
            </w:pPr>
            <w:r>
              <w:rPr>
                <w:rFonts w:hint="eastAsia"/>
              </w:rPr>
              <w:t>②方案基本符合要求，计划基本明确，时间安排基本合理，有媒体投放计划安排表得4</w:t>
            </w:r>
            <w:r>
              <w:rPr>
                <w:rFonts w:hint="eastAsia" w:ascii="宋体" w:hAnsi="宋体" w:cs="宋体"/>
                <w:kern w:val="0"/>
                <w:szCs w:val="21"/>
              </w:rPr>
              <w:t>-</w:t>
            </w:r>
            <w:r>
              <w:rPr>
                <w:rFonts w:hint="eastAsia"/>
              </w:rPr>
              <w:t>6分；</w:t>
            </w:r>
          </w:p>
          <w:p>
            <w:pPr>
              <w:jc w:val="left"/>
            </w:pPr>
            <w:r>
              <w:rPr>
                <w:rFonts w:hint="eastAsia"/>
              </w:rPr>
              <w:t>③方案不完善，无明确规划，时间把控一般，得1</w:t>
            </w:r>
            <w:r>
              <w:rPr>
                <w:rFonts w:hint="eastAsia" w:ascii="宋体" w:hAnsi="宋体" w:cs="宋体"/>
                <w:kern w:val="0"/>
                <w:szCs w:val="21"/>
              </w:rPr>
              <w:t>-</w:t>
            </w:r>
            <w:r>
              <w:rPr>
                <w:rFonts w:hint="eastAsia"/>
              </w:rPr>
              <w:t>3分；</w:t>
            </w:r>
          </w:p>
          <w:p>
            <w:pPr>
              <w:jc w:val="left"/>
            </w:pPr>
            <w:r>
              <w:rPr>
                <w:rFonts w:hint="eastAsia"/>
              </w:rPr>
              <w:t>④完全不能满足项目需求或未提供，得0分。</w:t>
            </w:r>
          </w:p>
          <w:p>
            <w:pPr>
              <w:numPr>
                <w:ilvl w:val="0"/>
                <w:numId w:val="20"/>
              </w:numPr>
            </w:pPr>
            <w:r>
              <w:rPr>
                <w:rFonts w:hint="eastAsia"/>
              </w:rPr>
              <w:t>对精品发布活动媒体推广服务中的媒体邀请计划（包括但不限于拟邀媒体的数量、专业性、知名度、所属领域与高交会的关联性）进行综合比较。优秀得</w:t>
            </w:r>
            <w:r>
              <w:rPr>
                <w:rFonts w:hint="eastAsia"/>
                <w:lang w:val="en-US" w:eastAsia="zh-CN"/>
              </w:rPr>
              <w:t>5</w:t>
            </w:r>
            <w:r>
              <w:rPr>
                <w:rFonts w:hint="eastAsia"/>
              </w:rPr>
              <w:t>-</w:t>
            </w:r>
            <w:r>
              <w:rPr>
                <w:rFonts w:hint="eastAsia"/>
                <w:lang w:val="en-US" w:eastAsia="zh-CN"/>
              </w:rPr>
              <w:t>6</w:t>
            </w:r>
            <w:r>
              <w:rPr>
                <w:rFonts w:hint="eastAsia"/>
              </w:rPr>
              <w:t>分，良好得</w:t>
            </w:r>
            <w:r>
              <w:rPr>
                <w:rFonts w:hint="eastAsia"/>
                <w:lang w:val="en-US" w:eastAsia="zh-CN"/>
              </w:rPr>
              <w:t>3</w:t>
            </w:r>
            <w:r>
              <w:rPr>
                <w:rFonts w:hint="eastAsia"/>
              </w:rPr>
              <w:t>-</w:t>
            </w:r>
            <w:r>
              <w:rPr>
                <w:rFonts w:hint="eastAsia"/>
                <w:lang w:val="en-US" w:eastAsia="zh-CN"/>
              </w:rPr>
              <w:t>4</w:t>
            </w:r>
            <w:r>
              <w:rPr>
                <w:rFonts w:hint="eastAsia"/>
              </w:rPr>
              <w:t>分，一般得1</w:t>
            </w:r>
            <w:r>
              <w:rPr>
                <w:rFonts w:hint="eastAsia"/>
                <w:lang w:val="en-US" w:eastAsia="zh-CN"/>
              </w:rPr>
              <w:t>-2</w:t>
            </w:r>
            <w:r>
              <w:rPr>
                <w:rFonts w:hint="eastAsia"/>
              </w:rPr>
              <w:t>分。</w:t>
            </w:r>
          </w:p>
          <w:p>
            <w:pPr>
              <w:numPr>
                <w:ilvl w:val="255"/>
                <w:numId w:val="0"/>
              </w:numPr>
              <w:rPr>
                <w:rFonts w:ascii="宋体" w:cs="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49" w:hRule="atLeast"/>
          <w:tblCellSpacing w:w="0" w:type="dxa"/>
          <w:jc w:val="center"/>
        </w:trPr>
        <w:tc>
          <w:tcPr>
            <w:tcW w:w="704" w:type="dxa"/>
            <w:vAlign w:val="center"/>
          </w:tcPr>
          <w:p>
            <w:pPr>
              <w:pStyle w:val="22"/>
              <w:numPr>
                <w:ilvl w:val="0"/>
                <w:numId w:val="19"/>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20" w:lineRule="exact"/>
              <w:jc w:val="center"/>
            </w:pPr>
            <w:r>
              <w:rPr>
                <w:rFonts w:hint="eastAsia"/>
              </w:rPr>
              <w:t>服务团队</w:t>
            </w:r>
          </w:p>
          <w:p>
            <w:pPr>
              <w:spacing w:line="320" w:lineRule="exact"/>
              <w:jc w:val="center"/>
              <w:rPr>
                <w:rFonts w:asciiTheme="minorEastAsia" w:hAnsiTheme="minorEastAsia" w:eastAsiaTheme="minorEastAsia"/>
                <w:kern w:val="0"/>
                <w:szCs w:val="21"/>
              </w:rPr>
            </w:pPr>
          </w:p>
        </w:tc>
        <w:tc>
          <w:tcPr>
            <w:tcW w:w="709" w:type="dxa"/>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lang w:val="en-US" w:eastAsia="zh-CN"/>
              </w:rPr>
              <w:t>8</w:t>
            </w:r>
            <w:r>
              <w:rPr>
                <w:rFonts w:hint="eastAsia" w:ascii="宋体" w:hAnsi="宋体"/>
                <w:szCs w:val="21"/>
              </w:rPr>
              <w:t>分</w:t>
            </w:r>
          </w:p>
        </w:tc>
        <w:tc>
          <w:tcPr>
            <w:tcW w:w="6804" w:type="dxa"/>
            <w:gridSpan w:val="2"/>
            <w:tcMar>
              <w:top w:w="15" w:type="dxa"/>
              <w:left w:w="15" w:type="dxa"/>
              <w:bottom w:w="15" w:type="dxa"/>
              <w:right w:w="15" w:type="dxa"/>
            </w:tcMar>
            <w:vAlign w:val="center"/>
          </w:tcPr>
          <w:p>
            <w:pPr>
              <w:jc w:val="left"/>
            </w:pPr>
            <w:r>
              <w:rPr>
                <w:rFonts w:hint="eastAsia"/>
              </w:rPr>
              <w:t>根据投标人拟派的团队人员数量及岗位安排的合理性进行综合比较。分工合理得</w:t>
            </w:r>
            <w:r>
              <w:rPr>
                <w:rFonts w:hint="eastAsia"/>
                <w:lang w:val="en-US" w:eastAsia="zh-CN"/>
              </w:rPr>
              <w:t>6-8</w:t>
            </w:r>
            <w:r>
              <w:rPr>
                <w:rFonts w:hint="eastAsia"/>
              </w:rPr>
              <w:t>分，</w:t>
            </w:r>
            <w:r>
              <w:rPr>
                <w:rFonts w:hint="eastAsia" w:ascii="宋体" w:hAnsi="宋体" w:cs="宋体"/>
                <w:kern w:val="0"/>
                <w:szCs w:val="21"/>
              </w:rPr>
              <w:t>良好</w:t>
            </w:r>
            <w:r>
              <w:rPr>
                <w:rFonts w:hint="eastAsia"/>
              </w:rPr>
              <w:t>得</w:t>
            </w:r>
            <w:r>
              <w:rPr>
                <w:rFonts w:hint="eastAsia"/>
                <w:lang w:val="en-US" w:eastAsia="zh-CN"/>
              </w:rPr>
              <w:t>3-5</w:t>
            </w:r>
            <w:r>
              <w:rPr>
                <w:rFonts w:hint="eastAsia"/>
              </w:rPr>
              <w:t>分，一般得</w:t>
            </w:r>
            <w:r>
              <w:t>1</w:t>
            </w:r>
            <w:r>
              <w:rPr>
                <w:rFonts w:hint="eastAsia"/>
                <w:lang w:val="en-US" w:eastAsia="zh-CN"/>
              </w:rPr>
              <w:t>-2</w:t>
            </w:r>
            <w:r>
              <w:rPr>
                <w:rFonts w:hint="eastAsia"/>
              </w:rPr>
              <w:t>分，不符合项目要求或无得0分。</w:t>
            </w:r>
          </w:p>
          <w:p>
            <w:pPr>
              <w:jc w:val="left"/>
            </w:pPr>
            <w:r>
              <w:rPr>
                <w:rFonts w:hint="eastAsia"/>
              </w:rPr>
              <w:t>说明：</w:t>
            </w:r>
          </w:p>
          <w:p>
            <w:pPr>
              <w:numPr>
                <w:ilvl w:val="0"/>
                <w:numId w:val="21"/>
              </w:numPr>
            </w:pPr>
            <w:r>
              <w:rPr>
                <w:rFonts w:hint="eastAsia" w:ascii="宋体" w:hAnsi="宋体"/>
              </w:rPr>
              <w:t>投标人须根据本项目需求提供详细、可行的现场人员分配方案（需说明人员数量与具体岗位分工）。</w:t>
            </w:r>
          </w:p>
          <w:p>
            <w:pPr>
              <w:pStyle w:val="11"/>
              <w:rPr>
                <w:rFonts w:ascii="宋体" w:eastAsia="宋体" w:cs="宋体"/>
                <w:szCs w:val="21"/>
              </w:rPr>
            </w:pPr>
            <w:r>
              <w:rPr>
                <w:rFonts w:hint="eastAsia" w:ascii="宋体" w:eastAsia="宋体" w:cs="宋体"/>
                <w:szCs w:val="21"/>
              </w:rPr>
              <w:t>（</w:t>
            </w:r>
            <w:r>
              <w:rPr>
                <w:rFonts w:hint="eastAsia" w:ascii="宋体" w:eastAsia="宋体" w:cs="宋体"/>
                <w:szCs w:val="21"/>
                <w:lang w:val="en-US" w:eastAsia="zh-CN"/>
              </w:rPr>
              <w:t>2</w:t>
            </w:r>
            <w:r>
              <w:rPr>
                <w:rFonts w:hint="eastAsia" w:ascii="宋体" w:eastAsia="宋体" w:cs="宋体"/>
                <w:szCs w:val="21"/>
              </w:rPr>
              <w:t>）投标人须提供负责前期筹备的核心团队人员名单。</w:t>
            </w:r>
          </w:p>
          <w:p>
            <w:pPr>
              <w:pStyle w:val="11"/>
            </w:pPr>
            <w:r>
              <w:rPr>
                <w:rFonts w:hint="eastAsia" w:ascii="宋体" w:eastAsia="宋体" w:cs="宋体"/>
                <w:szCs w:val="21"/>
              </w:rPr>
              <w:t>（</w:t>
            </w:r>
            <w:r>
              <w:rPr>
                <w:rFonts w:hint="eastAsia" w:ascii="宋体" w:eastAsia="宋体" w:cs="宋体"/>
                <w:szCs w:val="21"/>
                <w:lang w:val="en-US" w:eastAsia="zh-CN"/>
              </w:rPr>
              <w:t>3</w:t>
            </w:r>
            <w:r>
              <w:rPr>
                <w:rFonts w:hint="eastAsia" w:ascii="宋体" w:eastAsia="宋体" w:cs="宋体"/>
                <w:szCs w:val="21"/>
              </w:rPr>
              <w:t>）未提供有效证明文件或证明文件不清晰无法辨识评审内容的得0分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9351" w:type="dxa"/>
            <w:gridSpan w:val="5"/>
          </w:tcPr>
          <w:p>
            <w:pPr>
              <w:spacing w:before="100" w:beforeAutospacing="1" w:after="100" w:afterAutospacing="1" w:line="360" w:lineRule="auto"/>
              <w:ind w:left="247" w:hanging="247" w:hangingChars="117"/>
              <w:jc w:val="center"/>
              <w:rPr>
                <w:rFonts w:ascii="宋体" w:hAnsi="宋体"/>
                <w:b/>
                <w:szCs w:val="21"/>
              </w:rPr>
            </w:pPr>
            <w:r>
              <w:rPr>
                <w:rFonts w:hint="eastAsia" w:ascii="宋体" w:hAnsi="宋体"/>
                <w:b/>
                <w:szCs w:val="21"/>
              </w:rPr>
              <w:t>价格评议项（30</w:t>
            </w:r>
            <w:r>
              <w:rPr>
                <w:rFonts w:ascii="宋体" w:hAnsi="宋体"/>
                <w:b/>
                <w:szCs w:val="21"/>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restart"/>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Mar>
              <w:top w:w="15" w:type="dxa"/>
              <w:left w:w="15" w:type="dxa"/>
              <w:bottom w:w="15" w:type="dxa"/>
              <w:right w:w="15" w:type="dxa"/>
            </w:tcMar>
            <w:vAlign w:val="center"/>
          </w:tcPr>
          <w:p>
            <w:pPr>
              <w:spacing w:line="240" w:lineRule="atLeast"/>
              <w:jc w:val="center"/>
            </w:pPr>
            <w:r>
              <w:rPr>
                <w:rFonts w:hint="eastAsia"/>
              </w:rPr>
              <w:t>基准价</w:t>
            </w:r>
            <w:r>
              <w:t>和算法类型选择</w:t>
            </w:r>
          </w:p>
          <w:p>
            <w:pPr>
              <w:pStyle w:val="14"/>
              <w:ind w:firstLine="422"/>
            </w:pPr>
            <w:r>
              <w:rPr>
                <w:rFonts w:hint="eastAsia"/>
                <w:b/>
                <w:bCs/>
                <w:color w:val="FF0000"/>
              </w:rPr>
              <w:t>（说明：以下所称的“投标报价”均是指税前总金额，即净价）</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continue"/>
          </w:tcPr>
          <w:p>
            <w:pPr>
              <w:spacing w:line="360" w:lineRule="auto"/>
              <w:jc w:val="center"/>
              <w:rPr>
                <w:rFonts w:ascii="宋体" w:hAnsi="宋体"/>
                <w:szCs w:val="21"/>
              </w:rPr>
            </w:pPr>
          </w:p>
        </w:tc>
        <w:tc>
          <w:tcPr>
            <w:tcW w:w="1134" w:type="dxa"/>
            <w:vMerge w:val="restart"/>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3"/>
            <w:vAlign w:val="center"/>
          </w:tcPr>
          <w:p>
            <w:pPr>
              <w:autoSpaceDE w:val="0"/>
              <w:autoSpaceDN w:val="0"/>
              <w:adjustRightInd w:val="0"/>
              <w:snapToGrid w:val="0"/>
              <w:jc w:val="left"/>
              <w:rPr>
                <w:rFonts w:ascii="宋体" w:hAnsi="宋体"/>
                <w:szCs w:val="21"/>
              </w:rPr>
            </w:pPr>
            <w:r>
              <w:rPr>
                <w:rFonts w:hint="eastAsia" w:ascii="宋体" w:hAnsi="宋体"/>
                <w:szCs w:val="21"/>
              </w:rPr>
              <w:t>□各有效</w:t>
            </w:r>
            <w:r>
              <w:rPr>
                <w:rFonts w:ascii="宋体" w:hAnsi="宋体"/>
                <w:szCs w:val="21"/>
              </w:rPr>
              <w:t>投</w:t>
            </w:r>
            <w:r>
              <w:rPr>
                <w:rFonts w:hint="eastAsia" w:ascii="宋体" w:hAnsi="宋体"/>
                <w:szCs w:val="21"/>
              </w:rPr>
              <w:t>标报价大于n家时，去掉一个最高和最低报价后的算术平均值乘以</w:t>
            </w:r>
            <w:r>
              <w:rPr>
                <w:rFonts w:ascii="宋体" w:hAnsi="宋体"/>
                <w:szCs w:val="21"/>
                <w:u w:val="single"/>
              </w:rPr>
              <w:t xml:space="preserve">    </w:t>
            </w:r>
            <w:r>
              <w:rPr>
                <w:rFonts w:hint="eastAsia" w:ascii="宋体" w:hAnsi="宋体"/>
                <w:szCs w:val="21"/>
              </w:rPr>
              <w:t>％。当有效投标报价少于n（含）家时，则以所有有效投标报价的算术平均值乘以</w:t>
            </w:r>
            <w:r>
              <w:rPr>
                <w:rFonts w:ascii="宋体" w:hAnsi="宋体"/>
                <w:szCs w:val="21"/>
                <w:u w:val="single"/>
              </w:rPr>
              <w:t xml:space="preserve">    </w:t>
            </w:r>
            <w:r>
              <w:rPr>
                <w:rFonts w:hint="eastAsia" w:ascii="宋体" w:hAnsi="宋体"/>
                <w:szCs w:val="21"/>
              </w:rPr>
              <w:t>％。n=</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trHeight w:val="555" w:hRule="atLeast"/>
          <w:tblCellSpacing w:w="0" w:type="dxa"/>
          <w:jc w:val="center"/>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rPr>
            </w:pPr>
          </w:p>
        </w:tc>
        <w:tc>
          <w:tcPr>
            <w:tcW w:w="7513" w:type="dxa"/>
            <w:gridSpan w:val="3"/>
            <w:vAlign w:val="center"/>
          </w:tcPr>
          <w:p>
            <w:pPr>
              <w:spacing w:line="240" w:lineRule="atLeast"/>
              <w:jc w:val="left"/>
              <w:rPr>
                <w:rFonts w:ascii="宋体" w:hAnsi="宋体"/>
                <w:szCs w:val="21"/>
              </w:rPr>
            </w:pPr>
            <w:r>
              <w:rPr>
                <w:rFonts w:hint="eastAsia" w:ascii="宋体" w:hAnsi="宋体"/>
                <w:szCs w:val="21"/>
              </w:rPr>
              <w:sym w:font="Wingdings 2" w:char="0052"/>
            </w:r>
            <w:r>
              <w:rPr>
                <w:rFonts w:hint="eastAsia" w:ascii="宋体" w:hAnsi="宋体"/>
                <w:szCs w:val="21"/>
              </w:rPr>
              <w:t>取有效投标报价算术平均值。</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rPr>
            </w:pPr>
          </w:p>
        </w:tc>
        <w:tc>
          <w:tcPr>
            <w:tcW w:w="7513" w:type="dxa"/>
            <w:gridSpan w:val="3"/>
            <w:vAlign w:val="center"/>
          </w:tcPr>
          <w:p>
            <w:pPr>
              <w:spacing w:line="240" w:lineRule="atLeast"/>
              <w:jc w:val="left"/>
              <w:rPr>
                <w:rFonts w:ascii="宋体" w:hAnsi="宋体"/>
                <w:szCs w:val="21"/>
              </w:rPr>
            </w:pPr>
            <w:r>
              <w:rPr>
                <w:rFonts w:hint="eastAsia" w:ascii="宋体" w:hAnsi="宋体"/>
                <w:szCs w:val="21"/>
              </w:rPr>
              <w:sym w:font="Wingdings 2" w:char="00A3"/>
            </w:r>
            <w:r>
              <w:rPr>
                <w:rFonts w:hint="eastAsia" w:ascii="宋体" w:hAnsi="宋体"/>
                <w:szCs w:val="21"/>
              </w:rPr>
              <w:t>有效投标报价的最低价为基价。</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continue"/>
          </w:tcPr>
          <w:p>
            <w:pPr>
              <w:spacing w:line="360" w:lineRule="auto"/>
              <w:jc w:val="center"/>
              <w:rPr>
                <w:rFonts w:ascii="宋体" w:hAnsi="宋体"/>
                <w:szCs w:val="21"/>
              </w:rPr>
            </w:pPr>
          </w:p>
        </w:tc>
        <w:tc>
          <w:tcPr>
            <w:tcW w:w="1134" w:type="dxa"/>
            <w:vMerge w:val="restart"/>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vAlign w:val="center"/>
          </w:tcPr>
          <w:p>
            <w:pPr>
              <w:spacing w:line="240" w:lineRule="atLeast"/>
              <w:jc w:val="center"/>
              <w:rPr>
                <w:rFonts w:ascii="宋体" w:cs="宋体"/>
                <w:kern w:val="0"/>
                <w:szCs w:val="21"/>
              </w:rPr>
            </w:pPr>
            <w:r>
              <w:rPr>
                <w:rFonts w:hint="eastAsia" w:ascii="宋体" w:hAnsi="宋体"/>
                <w:szCs w:val="21"/>
              </w:rPr>
              <w:t>□固定</w:t>
            </w:r>
            <w:r>
              <w:rPr>
                <w:rFonts w:ascii="宋体" w:hAnsi="宋体"/>
                <w:szCs w:val="21"/>
              </w:rPr>
              <w:t>比例</w:t>
            </w:r>
            <w:r>
              <w:rPr>
                <w:rFonts w:hint="eastAsia" w:ascii="宋体" w:hAnsi="宋体"/>
                <w:szCs w:val="21"/>
              </w:rPr>
              <w:t>法</w:t>
            </w:r>
          </w:p>
        </w:tc>
        <w:tc>
          <w:tcPr>
            <w:tcW w:w="5950" w:type="dxa"/>
            <w:vAlign w:val="center"/>
          </w:tcPr>
          <w:p>
            <w:pPr>
              <w:autoSpaceDE w:val="0"/>
              <w:autoSpaceDN w:val="0"/>
              <w:adjustRightInd w:val="0"/>
              <w:snapToGrid w:val="0"/>
              <w:jc w:val="left"/>
              <w:rPr>
                <w:rFonts w:ascii="宋体" w:hAnsi="宋体"/>
                <w:szCs w:val="21"/>
              </w:rPr>
            </w:pPr>
            <w:r>
              <w:rPr>
                <w:rFonts w:hint="eastAsia" w:ascii="宋体" w:hAnsi="宋体"/>
                <w:szCs w:val="21"/>
              </w:rPr>
              <w:t>价格得分=M-[（｜投标价格-基准价｜/基准价）*100/</w:t>
            </w:r>
            <w:r>
              <w:rPr>
                <w:rFonts w:ascii="宋体" w:hAnsi="宋体"/>
                <w:szCs w:val="21"/>
              </w:rPr>
              <w:t>N]*</w:t>
            </w:r>
            <w:r>
              <w:rPr>
                <w:rFonts w:hint="eastAsia" w:ascii="宋体" w:hAnsi="宋体"/>
                <w:szCs w:val="21"/>
              </w:rPr>
              <w:t>扣分值</w:t>
            </w:r>
          </w:p>
          <w:p>
            <w:pPr>
              <w:autoSpaceDE w:val="0"/>
              <w:autoSpaceDN w:val="0"/>
              <w:adjustRightInd w:val="0"/>
              <w:snapToGrid w:val="0"/>
              <w:jc w:val="left"/>
              <w:rPr>
                <w:rFonts w:ascii="宋体" w:hAnsi="宋体"/>
                <w:szCs w:val="21"/>
              </w:rPr>
            </w:pPr>
            <w:r>
              <w:rPr>
                <w:rFonts w:hint="eastAsia" w:ascii="宋体" w:hAnsi="宋体"/>
                <w:szCs w:val="21"/>
              </w:rPr>
              <w:t>M=</w:t>
            </w:r>
            <w:r>
              <w:rPr>
                <w:rFonts w:ascii="宋体" w:hAnsi="宋体"/>
                <w:szCs w:val="21"/>
                <w:u w:val="single"/>
              </w:rPr>
              <w:t xml:space="preserve">    </w:t>
            </w:r>
            <w:r>
              <w:rPr>
                <w:rFonts w:hint="eastAsia" w:ascii="宋体" w:hAnsi="宋体"/>
                <w:szCs w:val="21"/>
              </w:rPr>
              <w:t>（价格评价分项满分值），N=</w:t>
            </w:r>
            <w:r>
              <w:rPr>
                <w:rFonts w:ascii="宋体" w:hAnsi="宋体"/>
                <w:szCs w:val="21"/>
                <w:u w:val="single"/>
              </w:rPr>
              <w:t xml:space="preserve">    </w:t>
            </w:r>
            <w:r>
              <w:rPr>
                <w:rFonts w:hint="eastAsia" w:ascii="宋体" w:hAnsi="宋体"/>
                <w:szCs w:val="21"/>
              </w:rPr>
              <w:t>，投标价格每高于N％时，扣</w:t>
            </w:r>
            <w:r>
              <w:rPr>
                <w:rFonts w:ascii="宋体" w:hAnsi="宋体"/>
                <w:szCs w:val="21"/>
                <w:u w:val="single"/>
              </w:rPr>
              <w:t xml:space="preserve">    </w:t>
            </w:r>
            <w:r>
              <w:rPr>
                <w:rFonts w:hint="eastAsia" w:ascii="宋体" w:hAnsi="宋体"/>
                <w:szCs w:val="21"/>
              </w:rPr>
              <w:t>分；每低于N％时，扣</w:t>
            </w:r>
            <w:r>
              <w:rPr>
                <w:rFonts w:ascii="宋体" w:hAnsi="宋体"/>
                <w:szCs w:val="21"/>
                <w:u w:val="single"/>
              </w:rPr>
              <w:t xml:space="preserve">    </w:t>
            </w:r>
            <w:r>
              <w:rPr>
                <w:rFonts w:hint="eastAsia" w:ascii="宋体" w:hAnsi="宋体"/>
                <w:szCs w:val="21"/>
              </w:rPr>
              <w:t>分；</w:t>
            </w:r>
          </w:p>
          <w:p>
            <w:pPr>
              <w:spacing w:line="240" w:lineRule="atLeast"/>
              <w:jc w:val="left"/>
              <w:rPr>
                <w:rFonts w:ascii="宋体" w:cs="宋体"/>
                <w:kern w:val="0"/>
                <w:szCs w:val="21"/>
              </w:rPr>
            </w:pPr>
            <w:r>
              <w:rPr>
                <w:rFonts w:hint="eastAsia" w:ascii="宋体" w:hAnsi="宋体"/>
                <w:szCs w:val="21"/>
              </w:rPr>
              <w:t>最低得0分。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rPr>
            </w:pPr>
          </w:p>
        </w:tc>
        <w:tc>
          <w:tcPr>
            <w:tcW w:w="1563" w:type="dxa"/>
            <w:gridSpan w:val="2"/>
            <w:vAlign w:val="center"/>
          </w:tcPr>
          <w:p>
            <w:pPr>
              <w:spacing w:line="240" w:lineRule="atLeast"/>
              <w:jc w:val="center"/>
              <w:rPr>
                <w:rFonts w:ascii="宋体" w:cs="宋体"/>
                <w:kern w:val="0"/>
                <w:szCs w:val="21"/>
              </w:rPr>
            </w:pPr>
            <w:r>
              <w:rPr>
                <w:rFonts w:hint="eastAsia" w:ascii="宋体" w:hAnsi="宋体"/>
                <w:szCs w:val="21"/>
              </w:rPr>
              <w:t>□固定乘积法</w:t>
            </w:r>
          </w:p>
        </w:tc>
        <w:tc>
          <w:tcPr>
            <w:tcW w:w="5950" w:type="dxa"/>
            <w:vAlign w:val="center"/>
          </w:tcPr>
          <w:p>
            <w:pPr>
              <w:autoSpaceDE w:val="0"/>
              <w:autoSpaceDN w:val="0"/>
              <w:adjustRightInd w:val="0"/>
              <w:snapToGrid w:val="0"/>
              <w:jc w:val="left"/>
              <w:rPr>
                <w:rStyle w:val="20"/>
                <w:rFonts w:ascii="宋体" w:hAnsi="宋体"/>
              </w:rPr>
            </w:pPr>
            <w:r>
              <w:rPr>
                <w:rStyle w:val="20"/>
                <w:rFonts w:hint="eastAsia" w:ascii="宋体" w:hAnsi="宋体"/>
              </w:rPr>
              <w:t>价格得分=（1-A×｜1-投标报价/Z｜）×M</w:t>
            </w:r>
          </w:p>
          <w:p>
            <w:pPr>
              <w:numPr>
                <w:ilvl w:val="0"/>
                <w:numId w:val="22"/>
              </w:numPr>
              <w:autoSpaceDE w:val="0"/>
              <w:autoSpaceDN w:val="0"/>
              <w:adjustRightInd w:val="0"/>
              <w:snapToGrid w:val="0"/>
              <w:jc w:val="left"/>
              <w:rPr>
                <w:rStyle w:val="20"/>
                <w:rFonts w:ascii="宋体" w:hAnsi="宋体"/>
              </w:rPr>
            </w:pPr>
            <w:r>
              <w:rPr>
                <w:rStyle w:val="20"/>
                <w:rFonts w:hint="eastAsia" w:ascii="宋体" w:hAnsi="宋体"/>
              </w:rPr>
              <w:t xml:space="preserve">M= </w:t>
            </w:r>
            <w:r>
              <w:rPr>
                <w:rFonts w:hint="eastAsia" w:ascii="宋体" w:hAnsi="宋体"/>
                <w:szCs w:val="21"/>
              </w:rPr>
              <w:t>××</w:t>
            </w:r>
            <w:r>
              <w:rPr>
                <w:rStyle w:val="20"/>
                <w:rFonts w:hint="eastAsia" w:ascii="宋体" w:hAnsi="宋体"/>
              </w:rPr>
              <w:t xml:space="preserve"> （价格评价分项满分值），Z为本次招标最佳报价（即基准价）；</w:t>
            </w:r>
          </w:p>
          <w:p>
            <w:pPr>
              <w:numPr>
                <w:ilvl w:val="0"/>
                <w:numId w:val="22"/>
              </w:numPr>
              <w:autoSpaceDE w:val="0"/>
              <w:autoSpaceDN w:val="0"/>
              <w:adjustRightInd w:val="0"/>
              <w:snapToGrid w:val="0"/>
              <w:jc w:val="left"/>
              <w:rPr>
                <w:rStyle w:val="20"/>
                <w:rFonts w:ascii="宋体" w:hAnsi="宋体"/>
              </w:rPr>
            </w:pPr>
            <w:r>
              <w:rPr>
                <w:rStyle w:val="20"/>
                <w:rFonts w:hint="eastAsia" w:ascii="宋体" w:hAnsi="宋体"/>
              </w:rPr>
              <w:t>A为价格调整系数，当投标报价低于本次招标最佳报价（即基准价）时，A=0.5；当投标报价高于次招标最佳报价时，取A=1；</w:t>
            </w:r>
          </w:p>
          <w:p>
            <w:pPr>
              <w:numPr>
                <w:ilvl w:val="0"/>
                <w:numId w:val="22"/>
              </w:numPr>
              <w:jc w:val="left"/>
              <w:rPr>
                <w:rFonts w:ascii="宋体" w:cs="宋体"/>
                <w:kern w:val="0"/>
                <w:szCs w:val="21"/>
              </w:rPr>
            </w:pPr>
            <w:r>
              <w:rPr>
                <w:rStyle w:val="20"/>
                <w:rFonts w:hint="eastAsia" w:ascii="宋体" w:hAnsi="宋体"/>
              </w:rPr>
              <w:t>计算分数时四舍五入取小数点后两位，当价格分＜0时，取0。</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rPr>
            </w:pPr>
          </w:p>
        </w:tc>
        <w:tc>
          <w:tcPr>
            <w:tcW w:w="1563" w:type="dxa"/>
            <w:gridSpan w:val="2"/>
            <w:vAlign w:val="center"/>
          </w:tcPr>
          <w:p>
            <w:pPr>
              <w:spacing w:line="240" w:lineRule="atLeast"/>
              <w:jc w:val="center"/>
              <w:rPr>
                <w:rFonts w:ascii="宋体" w:hAnsi="宋体"/>
                <w:szCs w:val="21"/>
              </w:rPr>
            </w:pPr>
            <w:r>
              <w:rPr>
                <w:rFonts w:hint="eastAsia" w:ascii="宋体" w:hAnsi="宋体"/>
                <w:szCs w:val="21"/>
              </w:rPr>
              <w:sym w:font="Wingdings 2" w:char="0052"/>
            </w:r>
            <w:r>
              <w:rPr>
                <w:rFonts w:hint="eastAsia" w:ascii="宋体" w:hAnsi="宋体"/>
                <w:szCs w:val="21"/>
              </w:rPr>
              <w:t>其他</w:t>
            </w:r>
            <w:r>
              <w:rPr>
                <w:rFonts w:ascii="宋体" w:hAnsi="宋体"/>
                <w:szCs w:val="21"/>
              </w:rPr>
              <w:t>方法</w:t>
            </w:r>
          </w:p>
        </w:tc>
        <w:tc>
          <w:tcPr>
            <w:tcW w:w="5950" w:type="dxa"/>
            <w:vAlign w:val="center"/>
          </w:tcPr>
          <w:p>
            <w:pPr>
              <w:numPr>
                <w:ilvl w:val="255"/>
                <w:numId w:val="0"/>
              </w:numPr>
              <w:tabs>
                <w:tab w:val="left" w:pos="3780"/>
              </w:tabs>
              <w:snapToGrid w:val="0"/>
              <w:jc w:val="left"/>
              <w:rPr>
                <w:rFonts w:ascii="宋体" w:hAnsi="宋体" w:cs="宋体"/>
                <w:kern w:val="0"/>
                <w:szCs w:val="21"/>
              </w:rPr>
            </w:pPr>
            <w:r>
              <w:rPr>
                <w:rFonts w:hint="eastAsia" w:ascii="宋体" w:hAnsi="宋体"/>
                <w:szCs w:val="21"/>
              </w:rPr>
              <w:t>价格得分=（1</w:t>
            </w:r>
            <w:r>
              <w:rPr>
                <w:rFonts w:ascii="宋体" w:hAnsi="宋体"/>
                <w:szCs w:val="21"/>
              </w:rPr>
              <w:t>-</w:t>
            </w:r>
            <w:r>
              <w:rPr>
                <w:rFonts w:hint="eastAsia" w:ascii="宋体" w:hAnsi="宋体" w:cs="宋体"/>
                <w:kern w:val="0"/>
                <w:szCs w:val="21"/>
              </w:rPr>
              <w:t>|投标报价-基准价|÷基准价）×价格权重分</w:t>
            </w:r>
          </w:p>
          <w:p>
            <w:pPr>
              <w:spacing w:line="240" w:lineRule="atLeast"/>
              <w:jc w:val="center"/>
              <w:rPr>
                <w:rFonts w:ascii="宋体" w:cs="宋体"/>
                <w:kern w:val="0"/>
                <w:szCs w:val="21"/>
              </w:rPr>
            </w:pPr>
            <w:r>
              <w:rPr>
                <w:rFonts w:hint="eastAsia" w:ascii="宋体" w:hAnsi="宋体" w:cs="宋体"/>
                <w:kern w:val="0"/>
                <w:szCs w:val="21"/>
              </w:rPr>
              <w:t>说明：报价最接近基准价的投标人价格分最高，价格分保留至小数点后两位。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3"/>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3"/>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0" w:name="_Toc26348"/>
      <w:r>
        <w:rPr>
          <w:rFonts w:hint="eastAsia" w:ascii="宋体" w:hAnsi="宋体"/>
          <w:b/>
          <w:sz w:val="32"/>
          <w:szCs w:val="32"/>
        </w:rPr>
        <w:t>第四部分：合同条款及格式</w:t>
      </w:r>
      <w:bookmarkEnd w:id="50"/>
    </w:p>
    <w:p>
      <w:pPr>
        <w:pStyle w:val="11"/>
      </w:pPr>
    </w:p>
    <w:p>
      <w:pPr>
        <w:spacing w:before="156" w:beforeLines="50"/>
        <w:ind w:right="-1027" w:rightChars="-489"/>
        <w:jc w:val="center"/>
        <w:rPr>
          <w:ins w:id="1" w:author="admin" w:date="2022-10-10T15:27:51Z"/>
          <w:rFonts w:hint="eastAsia"/>
          <w:bCs/>
          <w:sz w:val="32"/>
          <w:szCs w:val="32"/>
        </w:rPr>
      </w:pPr>
      <w:r>
        <w:rPr>
          <w:rFonts w:hint="eastAsia"/>
          <w:bCs/>
          <w:sz w:val="32"/>
          <w:szCs w:val="32"/>
        </w:rPr>
        <w:t>深圳会展中心2022-2024年度高交会新产品新技术发布活动项目</w:t>
      </w:r>
    </w:p>
    <w:p>
      <w:pPr>
        <w:spacing w:before="156" w:beforeLines="50"/>
        <w:ind w:right="-1027" w:rightChars="-489"/>
        <w:jc w:val="center"/>
        <w:rPr>
          <w:rFonts w:hint="eastAsia" w:eastAsia="宋体"/>
          <w:bCs/>
          <w:sz w:val="32"/>
          <w:szCs w:val="32"/>
          <w:lang w:eastAsia="zh-CN"/>
        </w:rPr>
      </w:pPr>
      <w:r>
        <w:rPr>
          <w:rFonts w:hint="eastAsia"/>
          <w:bCs/>
          <w:sz w:val="32"/>
          <w:szCs w:val="32"/>
        </w:rPr>
        <w:t>合作协议</w:t>
      </w:r>
      <w:r>
        <w:rPr>
          <w:rFonts w:hint="eastAsia"/>
          <w:bCs/>
          <w:sz w:val="32"/>
          <w:szCs w:val="32"/>
          <w:lang w:eastAsia="zh-CN"/>
        </w:rPr>
        <w:t>（</w:t>
      </w:r>
      <w:r>
        <w:rPr>
          <w:rFonts w:hint="eastAsia"/>
          <w:bCs/>
          <w:sz w:val="32"/>
          <w:szCs w:val="32"/>
          <w:lang w:val="en-US" w:eastAsia="zh-CN"/>
        </w:rPr>
        <w:t>本协议仅供参考</w:t>
      </w:r>
      <w:r>
        <w:rPr>
          <w:rFonts w:hint="eastAsia"/>
          <w:bCs/>
          <w:sz w:val="32"/>
          <w:szCs w:val="32"/>
          <w:lang w:eastAsia="zh-CN"/>
        </w:rPr>
        <w:t>）</w:t>
      </w:r>
    </w:p>
    <w:p>
      <w:pPr>
        <w:pStyle w:val="11"/>
        <w:jc w:val="center"/>
        <w:rPr>
          <w:bCs/>
          <w:sz w:val="32"/>
          <w:szCs w:val="32"/>
        </w:rPr>
      </w:pPr>
    </w:p>
    <w:p>
      <w:pPr>
        <w:widowControl/>
        <w:snapToGrid w:val="0"/>
        <w:spacing w:line="520" w:lineRule="exact"/>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甲方：深圳会展中心管理有限责任公司（简称“会展中心”）</w:t>
      </w:r>
    </w:p>
    <w:p>
      <w:pPr>
        <w:widowControl/>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法定代表人：岳启伟</w:t>
      </w:r>
    </w:p>
    <w:p>
      <w:pPr>
        <w:widowControl/>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地址：深圳市福田区福华三路深圳会展中心</w:t>
      </w:r>
    </w:p>
    <w:p>
      <w:pPr>
        <w:widowControl/>
        <w:snapToGrid w:val="0"/>
        <w:spacing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联系人：</w:t>
      </w:r>
      <w:r>
        <w:rPr>
          <w:rFonts w:hint="eastAsia" w:ascii="宋体" w:hAnsi="宋体" w:eastAsia="宋体" w:cs="宋体"/>
          <w:kern w:val="0"/>
          <w:sz w:val="24"/>
          <w:szCs w:val="24"/>
          <w:highlight w:val="none"/>
          <w:lang w:val="en-US" w:eastAsia="zh-CN"/>
        </w:rPr>
        <w:t>XXX</w:t>
      </w:r>
    </w:p>
    <w:p>
      <w:pPr>
        <w:autoSpaceDE w:val="0"/>
        <w:autoSpaceDN w:val="0"/>
        <w:adjustRightInd w:val="0"/>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电话：0755-8284</w:t>
      </w:r>
      <w:r>
        <w:rPr>
          <w:rFonts w:hint="eastAsia" w:ascii="宋体" w:hAnsi="宋体" w:eastAsia="宋体" w:cs="宋体"/>
          <w:kern w:val="0"/>
          <w:sz w:val="24"/>
          <w:szCs w:val="24"/>
          <w:highlight w:val="none"/>
          <w:lang w:val="en-US" w:eastAsia="zh-CN"/>
        </w:rPr>
        <w:t>XXXX</w:t>
      </w:r>
      <w:r>
        <w:rPr>
          <w:rFonts w:hint="eastAsia" w:ascii="宋体" w:hAnsi="宋体" w:eastAsia="宋体" w:cs="宋体"/>
          <w:kern w:val="0"/>
          <w:sz w:val="24"/>
          <w:szCs w:val="24"/>
          <w:highlight w:val="none"/>
        </w:rPr>
        <w:t xml:space="preserve"> </w:t>
      </w:r>
    </w:p>
    <w:p>
      <w:pPr>
        <w:widowControl/>
        <w:snapToGrid w:val="0"/>
        <w:spacing w:line="360" w:lineRule="auto"/>
        <w:ind w:firstLine="560"/>
        <w:rPr>
          <w:rFonts w:hint="eastAsia" w:ascii="宋体" w:hAnsi="宋体" w:eastAsia="宋体" w:cs="宋体"/>
          <w:kern w:val="0"/>
          <w:sz w:val="24"/>
          <w:szCs w:val="24"/>
          <w:highlight w:val="none"/>
        </w:rPr>
      </w:pPr>
    </w:p>
    <w:p>
      <w:pPr>
        <w:widowControl/>
        <w:snapToGrid w:val="0"/>
        <w:spacing w:line="360" w:lineRule="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乙方：</w:t>
      </w:r>
      <w:r>
        <w:rPr>
          <w:rFonts w:hint="eastAsia" w:ascii="宋体" w:hAnsi="宋体" w:eastAsia="宋体" w:cs="宋体"/>
          <w:b/>
          <w:kern w:val="0"/>
          <w:sz w:val="24"/>
          <w:szCs w:val="24"/>
          <w:highlight w:val="none"/>
          <w:lang w:val="en-US" w:eastAsia="zh-CN"/>
        </w:rPr>
        <w:t>XXXX</w:t>
      </w:r>
      <w:r>
        <w:rPr>
          <w:rFonts w:hint="eastAsia" w:ascii="宋体" w:hAnsi="宋体" w:eastAsia="宋体" w:cs="宋体"/>
          <w:b/>
          <w:kern w:val="0"/>
          <w:sz w:val="24"/>
          <w:szCs w:val="24"/>
          <w:highlight w:val="none"/>
        </w:rPr>
        <w:t>公司（简称“</w:t>
      </w:r>
      <w:r>
        <w:rPr>
          <w:rFonts w:hint="eastAsia" w:ascii="宋体" w:hAnsi="宋体" w:eastAsia="宋体" w:cs="宋体"/>
          <w:b/>
          <w:kern w:val="0"/>
          <w:sz w:val="24"/>
          <w:szCs w:val="24"/>
          <w:highlight w:val="none"/>
          <w:lang w:val="en-US" w:eastAsia="zh-CN"/>
        </w:rPr>
        <w:t>XXXX</w:t>
      </w:r>
      <w:r>
        <w:rPr>
          <w:rFonts w:hint="eastAsia" w:ascii="宋体" w:hAnsi="宋体" w:eastAsia="宋体" w:cs="宋体"/>
          <w:b/>
          <w:kern w:val="0"/>
          <w:sz w:val="24"/>
          <w:szCs w:val="24"/>
          <w:highlight w:val="none"/>
        </w:rPr>
        <w:t>”）</w:t>
      </w:r>
    </w:p>
    <w:p>
      <w:pPr>
        <w:widowControl/>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w:t>
      </w:r>
      <w:r>
        <w:rPr>
          <w:rFonts w:hint="eastAsia" w:ascii="宋体" w:hAnsi="宋体" w:eastAsia="宋体" w:cs="宋体"/>
          <w:kern w:val="0"/>
          <w:sz w:val="24"/>
          <w:szCs w:val="24"/>
          <w:highlight w:val="none"/>
          <w:lang w:val="en-US" w:eastAsia="zh-CN"/>
        </w:rPr>
        <w:t>XXX</w:t>
      </w:r>
    </w:p>
    <w:p>
      <w:pPr>
        <w:widowControl/>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w:t>
      </w:r>
      <w:r>
        <w:rPr>
          <w:rFonts w:hint="eastAsia" w:ascii="宋体" w:hAnsi="宋体" w:eastAsia="宋体" w:cs="宋体"/>
          <w:kern w:val="0"/>
          <w:sz w:val="24"/>
          <w:szCs w:val="24"/>
          <w:highlight w:val="none"/>
          <w:lang w:val="en-US" w:eastAsia="zh-CN"/>
        </w:rPr>
        <w:t>XXXXXXXXXXXX</w:t>
      </w:r>
    </w:p>
    <w:p>
      <w:pPr>
        <w:widowControl/>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联系人：</w:t>
      </w:r>
      <w:r>
        <w:rPr>
          <w:rFonts w:hint="eastAsia" w:ascii="宋体" w:hAnsi="宋体" w:eastAsia="宋体" w:cs="宋体"/>
          <w:kern w:val="0"/>
          <w:sz w:val="24"/>
          <w:szCs w:val="24"/>
          <w:highlight w:val="none"/>
          <w:lang w:val="en-US" w:eastAsia="zh-CN"/>
        </w:rPr>
        <w:t>XXX</w:t>
      </w:r>
      <w:r>
        <w:rPr>
          <w:rFonts w:hint="eastAsia" w:ascii="宋体" w:hAnsi="宋体" w:eastAsia="宋体" w:cs="宋体"/>
          <w:kern w:val="0"/>
          <w:sz w:val="24"/>
          <w:szCs w:val="24"/>
          <w:highlight w:val="none"/>
        </w:rPr>
        <w:t xml:space="preserve">   </w:t>
      </w:r>
    </w:p>
    <w:p>
      <w:pPr>
        <w:widowControl/>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电话：0755-</w:t>
      </w:r>
      <w:r>
        <w:rPr>
          <w:rFonts w:hint="eastAsia" w:ascii="宋体" w:hAnsi="宋体" w:eastAsia="宋体" w:cs="宋体"/>
          <w:kern w:val="0"/>
          <w:sz w:val="24"/>
          <w:szCs w:val="24"/>
          <w:highlight w:val="none"/>
          <w:lang w:val="en-US" w:eastAsia="zh-CN"/>
        </w:rPr>
        <w:t>XXXXXX</w:t>
      </w:r>
    </w:p>
    <w:p>
      <w:pPr>
        <w:pStyle w:val="2"/>
        <w:keepNext w:val="0"/>
        <w:keepLines w:val="0"/>
        <w:pageBreakBefore w:val="0"/>
        <w:widowControl/>
        <w:kinsoku/>
        <w:wordWrap/>
        <w:overflowPunct/>
        <w:topLinePunct w:val="0"/>
        <w:autoSpaceDE/>
        <w:autoSpaceDN/>
        <w:bidi w:val="0"/>
        <w:adjustRightInd/>
        <w:snapToGrid/>
        <w:spacing w:line="360" w:lineRule="auto"/>
        <w:ind w:left="0" w:leftChars="0" w:firstLine="46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依据《中华人民共和国民法典》及相关法律、法规的规定</w:t>
      </w:r>
      <w:r>
        <w:rPr>
          <w:rFonts w:hint="eastAsia" w:ascii="宋体" w:hAnsi="宋体" w:eastAsia="宋体" w:cs="宋体"/>
          <w:sz w:val="24"/>
          <w:szCs w:val="24"/>
          <w:highlight w:val="none"/>
          <w:lang w:val="en-US" w:eastAsia="zh-CN"/>
        </w:rPr>
        <w:t>及行业规范</w:t>
      </w:r>
      <w:r>
        <w:rPr>
          <w:rFonts w:hint="eastAsia" w:ascii="宋体" w:hAnsi="宋体" w:eastAsia="宋体" w:cs="宋体"/>
          <w:sz w:val="24"/>
          <w:szCs w:val="24"/>
          <w:highlight w:val="none"/>
        </w:rPr>
        <w:t>，甲、乙双方本着公平合理、平等互利、诚信自愿的原则，乙方受甲方委托为甲方提供</w:t>
      </w:r>
      <w:r>
        <w:rPr>
          <w:rFonts w:hint="eastAsia" w:ascii="宋体" w:hAnsi="宋体" w:eastAsia="宋体" w:cs="宋体"/>
          <w:kern w:val="0"/>
          <w:sz w:val="24"/>
          <w:szCs w:val="24"/>
          <w:highlight w:val="none"/>
          <w:lang w:val="en-US" w:eastAsia="zh-CN"/>
        </w:rPr>
        <w:t>XXXXXXXXXXXX</w:t>
      </w:r>
      <w:r>
        <w:rPr>
          <w:rFonts w:hint="eastAsia" w:ascii="宋体" w:hAnsi="宋体" w:eastAsia="宋体" w:cs="宋体"/>
          <w:sz w:val="24"/>
          <w:szCs w:val="24"/>
          <w:highlight w:val="none"/>
        </w:rPr>
        <w:t>服务，甲乙双方经协商一致，签订本合同，双方保证严格遵守和执行。</w:t>
      </w:r>
    </w:p>
    <w:p>
      <w:pPr>
        <w:pStyle w:val="2"/>
        <w:keepNext w:val="0"/>
        <w:keepLines w:val="0"/>
        <w:pageBreakBefore w:val="0"/>
        <w:widowControl/>
        <w:numPr>
          <w:ilvl w:val="0"/>
          <w:numId w:val="24"/>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服务内容及要求</w:t>
      </w:r>
    </w:p>
    <w:p>
      <w:pPr>
        <w:pStyle w:val="2"/>
        <w:keepNext w:val="0"/>
        <w:keepLines w:val="0"/>
        <w:pageBreakBefore w:val="0"/>
        <w:widowControl/>
        <w:numPr>
          <w:ilvl w:val="0"/>
          <w:numId w:val="25"/>
        </w:numPr>
        <w:kinsoku/>
        <w:wordWrap/>
        <w:overflowPunct/>
        <w:topLinePunct w:val="0"/>
        <w:autoSpaceDE/>
        <w:autoSpaceDN/>
        <w:bidi w:val="0"/>
        <w:adjustRightInd/>
        <w:snapToGrid/>
        <w:spacing w:line="360" w:lineRule="auto"/>
        <w:ind w:left="52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项目名称：</w:t>
      </w:r>
      <w:r>
        <w:rPr>
          <w:rFonts w:hint="eastAsia" w:ascii="宋体" w:hAnsi="宋体" w:eastAsia="宋体" w:cs="宋体"/>
          <w:kern w:val="0"/>
          <w:sz w:val="24"/>
          <w:szCs w:val="24"/>
          <w:highlight w:val="none"/>
          <w:lang w:val="en-US" w:eastAsia="zh-CN"/>
        </w:rPr>
        <w:t>XXXXXXXXXXXX</w:t>
      </w:r>
    </w:p>
    <w:p>
      <w:pPr>
        <w:pStyle w:val="2"/>
        <w:keepNext w:val="0"/>
        <w:keepLines w:val="0"/>
        <w:pageBreakBefore w:val="0"/>
        <w:widowControl/>
        <w:numPr>
          <w:ilvl w:val="0"/>
          <w:numId w:val="25"/>
        </w:numPr>
        <w:kinsoku/>
        <w:wordWrap/>
        <w:overflowPunct/>
        <w:topLinePunct w:val="0"/>
        <w:autoSpaceDE/>
        <w:autoSpaceDN/>
        <w:bidi w:val="0"/>
        <w:adjustRightInd/>
        <w:snapToGrid/>
        <w:spacing w:line="360" w:lineRule="auto"/>
        <w:ind w:left="52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项目实施地点：深圳会展中心</w:t>
      </w:r>
    </w:p>
    <w:p>
      <w:pPr>
        <w:pStyle w:val="2"/>
        <w:keepNext w:val="0"/>
        <w:keepLines w:val="0"/>
        <w:pageBreakBefore w:val="0"/>
        <w:widowControl/>
        <w:numPr>
          <w:ilvl w:val="0"/>
          <w:numId w:val="25"/>
        </w:numPr>
        <w:kinsoku/>
        <w:wordWrap/>
        <w:overflowPunct/>
        <w:topLinePunct w:val="0"/>
        <w:autoSpaceDE/>
        <w:autoSpaceDN/>
        <w:bidi w:val="0"/>
        <w:adjustRightInd/>
        <w:snapToGrid/>
        <w:spacing w:line="360" w:lineRule="auto"/>
        <w:ind w:left="52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服务内容</w:t>
      </w:r>
    </w:p>
    <w:p>
      <w:pPr>
        <w:pStyle w:val="2"/>
        <w:keepNext w:val="0"/>
        <w:keepLines w:val="0"/>
        <w:pageBreakBefore w:val="0"/>
        <w:widowControl/>
        <w:numPr>
          <w:ilvl w:val="0"/>
          <w:numId w:val="26"/>
        </w:numPr>
        <w:kinsoku/>
        <w:wordWrap/>
        <w:overflowPunct/>
        <w:topLinePunct w:val="0"/>
        <w:autoSpaceDE/>
        <w:autoSpaceDN/>
        <w:bidi w:val="0"/>
        <w:adjustRightInd/>
        <w:snapToGrid/>
        <w:spacing w:line="360" w:lineRule="auto"/>
        <w:ind w:left="52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XXXXXXXXXXXXXXXXXXXXXXXX</w:t>
      </w:r>
    </w:p>
    <w:p>
      <w:pPr>
        <w:pStyle w:val="2"/>
        <w:keepNext w:val="0"/>
        <w:keepLines w:val="0"/>
        <w:pageBreakBefore w:val="0"/>
        <w:widowControl/>
        <w:numPr>
          <w:ilvl w:val="0"/>
          <w:numId w:val="26"/>
        </w:numPr>
        <w:kinsoku/>
        <w:wordWrap/>
        <w:overflowPunct/>
        <w:topLinePunct w:val="0"/>
        <w:autoSpaceDE/>
        <w:autoSpaceDN/>
        <w:bidi w:val="0"/>
        <w:adjustRightInd/>
        <w:snapToGrid/>
        <w:spacing w:line="360" w:lineRule="auto"/>
        <w:ind w:left="520" w:leftChars="0" w:firstLine="0" w:firstLineChars="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w:t>
      </w:r>
    </w:p>
    <w:p>
      <w:pPr>
        <w:pStyle w:val="2"/>
        <w:keepNext w:val="0"/>
        <w:keepLines w:val="0"/>
        <w:pageBreakBefore w:val="0"/>
        <w:widowControl/>
        <w:numPr>
          <w:ilvl w:val="0"/>
          <w:numId w:val="25"/>
        </w:numPr>
        <w:kinsoku/>
        <w:wordWrap/>
        <w:overflowPunct/>
        <w:topLinePunct w:val="0"/>
        <w:autoSpaceDE/>
        <w:autoSpaceDN/>
        <w:bidi w:val="0"/>
        <w:adjustRightInd/>
        <w:snapToGrid/>
        <w:spacing w:line="360" w:lineRule="auto"/>
        <w:ind w:left="52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增值服务（如有）</w:t>
      </w:r>
    </w:p>
    <w:p>
      <w:pPr>
        <w:pStyle w:val="2"/>
        <w:keepNext w:val="0"/>
        <w:keepLines w:val="0"/>
        <w:pageBreakBefore w:val="0"/>
        <w:widowControl/>
        <w:numPr>
          <w:ilvl w:val="0"/>
          <w:numId w:val="27"/>
        </w:numPr>
        <w:kinsoku/>
        <w:wordWrap/>
        <w:overflowPunct/>
        <w:topLinePunct w:val="0"/>
        <w:autoSpaceDE/>
        <w:autoSpaceDN/>
        <w:bidi w:val="0"/>
        <w:adjustRightInd/>
        <w:snapToGrid/>
        <w:spacing w:line="360" w:lineRule="auto"/>
        <w:ind w:left="425" w:leftChars="0" w:hanging="5"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XXXXXXXXXXXXXXXXXXXXXXXX</w:t>
      </w:r>
    </w:p>
    <w:p>
      <w:pPr>
        <w:pStyle w:val="2"/>
        <w:keepNext w:val="0"/>
        <w:keepLines w:val="0"/>
        <w:pageBreakBefore w:val="0"/>
        <w:widowControl/>
        <w:numPr>
          <w:ilvl w:val="0"/>
          <w:numId w:val="27"/>
        </w:numPr>
        <w:kinsoku/>
        <w:wordWrap/>
        <w:overflowPunct/>
        <w:topLinePunct w:val="0"/>
        <w:autoSpaceDE/>
        <w:autoSpaceDN/>
        <w:bidi w:val="0"/>
        <w:adjustRightInd/>
        <w:snapToGrid/>
        <w:spacing w:line="360" w:lineRule="auto"/>
        <w:ind w:left="425" w:leftChars="0" w:hanging="5"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w:t>
      </w:r>
    </w:p>
    <w:p>
      <w:pPr>
        <w:pStyle w:val="2"/>
        <w:keepNext w:val="0"/>
        <w:keepLines w:val="0"/>
        <w:pageBreakBefore w:val="0"/>
        <w:widowControl/>
        <w:numPr>
          <w:ilvl w:val="0"/>
          <w:numId w:val="25"/>
        </w:numPr>
        <w:kinsoku/>
        <w:wordWrap/>
        <w:overflowPunct/>
        <w:topLinePunct w:val="0"/>
        <w:autoSpaceDE/>
        <w:autoSpaceDN/>
        <w:bidi w:val="0"/>
        <w:adjustRightInd/>
        <w:snapToGrid/>
        <w:spacing w:line="360" w:lineRule="auto"/>
        <w:ind w:left="52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服务要求</w:t>
      </w:r>
    </w:p>
    <w:p>
      <w:pPr>
        <w:pStyle w:val="2"/>
        <w:keepNext w:val="0"/>
        <w:keepLines w:val="0"/>
        <w:pageBreakBefore w:val="0"/>
        <w:widowControl/>
        <w:numPr>
          <w:ilvl w:val="0"/>
          <w:numId w:val="28"/>
        </w:numPr>
        <w:kinsoku/>
        <w:wordWrap/>
        <w:overflowPunct/>
        <w:topLinePunct w:val="0"/>
        <w:autoSpaceDE/>
        <w:autoSpaceDN/>
        <w:bidi w:val="0"/>
        <w:adjustRightInd/>
        <w:snapToGrid/>
        <w:spacing w:line="360" w:lineRule="auto"/>
        <w:ind w:left="425" w:leftChars="0" w:hanging="5"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XXXXXXXXXXXXXXXXXXXXXXXX</w:t>
      </w:r>
    </w:p>
    <w:p>
      <w:pPr>
        <w:pStyle w:val="2"/>
        <w:keepNext w:val="0"/>
        <w:keepLines w:val="0"/>
        <w:pageBreakBefore w:val="0"/>
        <w:widowControl/>
        <w:numPr>
          <w:ilvl w:val="0"/>
          <w:numId w:val="28"/>
        </w:numPr>
        <w:kinsoku/>
        <w:wordWrap/>
        <w:overflowPunct/>
        <w:topLinePunct w:val="0"/>
        <w:autoSpaceDE/>
        <w:autoSpaceDN/>
        <w:bidi w:val="0"/>
        <w:adjustRightInd/>
        <w:snapToGrid/>
        <w:spacing w:line="360" w:lineRule="auto"/>
        <w:ind w:left="425" w:leftChars="0" w:hanging="5" w:firstLineChars="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w:t>
      </w:r>
    </w:p>
    <w:p>
      <w:pPr>
        <w:pStyle w:val="2"/>
        <w:keepNext w:val="0"/>
        <w:keepLines w:val="0"/>
        <w:pageBreakBefore w:val="0"/>
        <w:widowControl/>
        <w:numPr>
          <w:ilvl w:val="0"/>
          <w:numId w:val="24"/>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服务期限</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val="0"/>
          <w:bCs w:val="0"/>
          <w:sz w:val="24"/>
          <w:szCs w:val="24"/>
          <w:highlight w:val="none"/>
          <w:lang w:val="en-US" w:eastAsia="zh-CN"/>
        </w:rPr>
        <w:t>本项目服务期限为XX年，从本合同签订生效之日起至XXXX年X月X日止。</w:t>
      </w:r>
      <w:r>
        <w:rPr>
          <w:rFonts w:hint="eastAsia" w:ascii="宋体" w:hAnsi="宋体" w:eastAsia="宋体" w:cs="宋体"/>
          <w:sz w:val="24"/>
          <w:szCs w:val="24"/>
          <w:highlight w:val="none"/>
        </w:rPr>
        <w:t>年度服务期满前两个月，乙方应主动向甲方申请对其本年度服务情况进行评审，经甲方综合考核评审服务达</w:t>
      </w:r>
      <w:r>
        <w:rPr>
          <w:rFonts w:hint="eastAsia" w:ascii="宋体" w:hAnsi="宋体" w:eastAsia="宋体" w:cs="宋体"/>
          <w:sz w:val="24"/>
          <w:szCs w:val="24"/>
          <w:highlight w:val="none"/>
          <w:lang w:val="en-US" w:eastAsia="zh-CN"/>
        </w:rPr>
        <w:t>到优良</w:t>
      </w:r>
      <w:r>
        <w:rPr>
          <w:rFonts w:hint="eastAsia" w:ascii="宋体" w:hAnsi="宋体" w:eastAsia="宋体" w:cs="宋体"/>
          <w:sz w:val="24"/>
          <w:szCs w:val="24"/>
          <w:highlight w:val="none"/>
        </w:rPr>
        <w:t>（综合得分≥80分），则执行下一年度服务合同。如综合考核评审服务未达</w:t>
      </w:r>
      <w:r>
        <w:rPr>
          <w:rFonts w:hint="eastAsia" w:ascii="宋体" w:hAnsi="宋体" w:eastAsia="宋体" w:cs="宋体"/>
          <w:sz w:val="24"/>
          <w:szCs w:val="24"/>
          <w:highlight w:val="none"/>
          <w:lang w:val="en-US" w:eastAsia="zh-CN"/>
        </w:rPr>
        <w:t>到优良</w:t>
      </w:r>
      <w:r>
        <w:rPr>
          <w:rFonts w:hint="eastAsia" w:ascii="宋体" w:hAnsi="宋体" w:eastAsia="宋体" w:cs="宋体"/>
          <w:sz w:val="24"/>
          <w:szCs w:val="24"/>
          <w:highlight w:val="none"/>
        </w:rPr>
        <w:t>，甲方有权终止下一年度服务合同。综合考核评审细则详见附件《</w:t>
      </w:r>
      <w:r>
        <w:rPr>
          <w:rFonts w:hint="eastAsia" w:ascii="宋体" w:hAnsi="宋体" w:eastAsia="宋体" w:cs="宋体"/>
          <w:sz w:val="24"/>
          <w:szCs w:val="24"/>
          <w:highlight w:val="none"/>
          <w:lang w:val="en-US" w:eastAsia="zh-CN"/>
        </w:rPr>
        <w:t>XXXX</w:t>
      </w:r>
      <w:r>
        <w:rPr>
          <w:rFonts w:hint="eastAsia" w:ascii="宋体" w:hAnsi="宋体" w:eastAsia="宋体" w:cs="宋体"/>
          <w:sz w:val="24"/>
          <w:szCs w:val="24"/>
          <w:highlight w:val="none"/>
        </w:rPr>
        <w:t>考核评审细则》。</w:t>
      </w:r>
    </w:p>
    <w:p>
      <w:pPr>
        <w:pStyle w:val="2"/>
        <w:numPr>
          <w:ilvl w:val="0"/>
          <w:numId w:val="24"/>
        </w:numPr>
        <w:ind w:left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合同金额及付款要求</w:t>
      </w:r>
    </w:p>
    <w:p>
      <w:pPr>
        <w:pStyle w:val="22"/>
        <w:numPr>
          <w:ilvl w:val="1"/>
          <w:numId w:val="29"/>
        </w:numPr>
        <w:spacing w:line="500" w:lineRule="exact"/>
        <w:ind w:left="5" w:firstLine="635" w:firstLineChars="0"/>
        <w:rPr>
          <w:rFonts w:hint="eastAsia" w:ascii="宋体" w:hAnsi="宋体" w:eastAsia="宋体" w:cs="宋体"/>
          <w:spacing w:val="-2"/>
          <w:sz w:val="24"/>
          <w:szCs w:val="24"/>
          <w:highlight w:val="none"/>
        </w:rPr>
      </w:pPr>
      <w:r>
        <w:rPr>
          <w:rFonts w:hint="eastAsia" w:ascii="宋体" w:hAnsi="宋体" w:eastAsia="宋体" w:cs="宋体"/>
          <w:sz w:val="24"/>
          <w:szCs w:val="24"/>
          <w:highlight w:val="none"/>
        </w:rPr>
        <w:t>合同金额</w:t>
      </w:r>
    </w:p>
    <w:p>
      <w:pPr>
        <w:pStyle w:val="22"/>
        <w:numPr>
          <w:ilvl w:val="0"/>
          <w:numId w:val="30"/>
        </w:numPr>
        <w:spacing w:line="500" w:lineRule="exact"/>
        <w:ind w:firstLine="480" w:firstLineChars="200"/>
        <w:rPr>
          <w:rFonts w:hint="eastAsia" w:ascii="宋体" w:hAnsi="宋体" w:eastAsia="宋体" w:cs="宋体"/>
          <w:spacing w:val="-2"/>
          <w:sz w:val="24"/>
          <w:szCs w:val="24"/>
          <w:highlight w:val="none"/>
          <w:lang w:eastAsia="zh-CN"/>
        </w:rPr>
      </w:pPr>
      <w:r>
        <w:rPr>
          <w:rFonts w:hint="eastAsia" w:ascii="宋体" w:hAnsi="宋体" w:eastAsia="宋体" w:cs="宋体"/>
          <w:bCs/>
          <w:sz w:val="24"/>
          <w:szCs w:val="24"/>
          <w:highlight w:val="none"/>
        </w:rPr>
        <w:t>本项</w:t>
      </w:r>
      <w:r>
        <w:rPr>
          <w:rFonts w:hint="eastAsia" w:ascii="宋体" w:hAnsi="宋体" w:eastAsia="宋体" w:cs="宋体"/>
          <w:sz w:val="24"/>
          <w:szCs w:val="24"/>
          <w:highlight w:val="none"/>
        </w:rPr>
        <w:t>目合同金额</w:t>
      </w:r>
      <w:r>
        <w:rPr>
          <w:rFonts w:hint="eastAsia" w:ascii="宋体" w:hAnsi="宋体" w:eastAsia="宋体" w:cs="宋体"/>
          <w:bCs/>
          <w:sz w:val="24"/>
          <w:szCs w:val="24"/>
          <w:highlight w:val="none"/>
        </w:rPr>
        <w:t>为¥</w:t>
      </w:r>
      <w:r>
        <w:rPr>
          <w:rFonts w:hint="eastAsia" w:ascii="宋体" w:hAnsi="宋体" w:eastAsia="宋体" w:cs="宋体"/>
          <w:bCs/>
          <w:sz w:val="24"/>
          <w:szCs w:val="24"/>
          <w:highlight w:val="none"/>
          <w:lang w:val="en-US" w:eastAsia="zh-CN"/>
        </w:rPr>
        <w:t>XXX</w:t>
      </w:r>
      <w:r>
        <w:rPr>
          <w:rFonts w:hint="eastAsia" w:ascii="宋体" w:hAnsi="宋体" w:eastAsia="宋体" w:cs="宋体"/>
          <w:bCs/>
          <w:sz w:val="24"/>
          <w:szCs w:val="24"/>
          <w:highlight w:val="none"/>
        </w:rPr>
        <w:t>万元（</w:t>
      </w:r>
      <w:r>
        <w:rPr>
          <w:rFonts w:hint="eastAsia" w:ascii="宋体" w:hAnsi="宋体" w:eastAsia="宋体" w:cs="宋体"/>
          <w:sz w:val="24"/>
          <w:szCs w:val="24"/>
          <w:highlight w:val="none"/>
        </w:rPr>
        <w:t>大写人民币：</w:t>
      </w:r>
      <w:r>
        <w:rPr>
          <w:rFonts w:hint="eastAsia" w:ascii="宋体" w:hAnsi="宋体" w:eastAsia="宋体" w:cs="宋体"/>
          <w:sz w:val="24"/>
          <w:szCs w:val="24"/>
          <w:highlight w:val="none"/>
          <w:u w:val="single"/>
          <w:lang w:val="en-US" w:eastAsia="zh-CN"/>
        </w:rPr>
        <w:t>XXXX</w:t>
      </w:r>
      <w:r>
        <w:rPr>
          <w:rFonts w:hint="eastAsia" w:ascii="宋体" w:hAnsi="宋体" w:eastAsia="宋体" w:cs="宋体"/>
          <w:sz w:val="24"/>
          <w:szCs w:val="24"/>
          <w:highlight w:val="none"/>
          <w:u w:val="single"/>
        </w:rPr>
        <w:t xml:space="preserve">元整 </w:t>
      </w:r>
      <w:r>
        <w:rPr>
          <w:rFonts w:hint="eastAsia" w:ascii="宋体" w:hAnsi="宋体" w:eastAsia="宋体" w:cs="宋体"/>
          <w:sz w:val="24"/>
          <w:szCs w:val="24"/>
          <w:highlight w:val="none"/>
        </w:rPr>
        <w:t>），税率</w:t>
      </w:r>
      <w:r>
        <w:rPr>
          <w:rFonts w:hint="eastAsia" w:ascii="宋体" w:hAnsi="宋体" w:eastAsia="宋体" w:cs="宋体"/>
          <w:sz w:val="24"/>
          <w:szCs w:val="24"/>
          <w:highlight w:val="none"/>
          <w:lang w:val="en-US" w:eastAsia="zh-CN"/>
        </w:rPr>
        <w:t>为X</w:t>
      </w:r>
      <w:r>
        <w:rPr>
          <w:rFonts w:hint="eastAsia" w:ascii="宋体" w:hAnsi="宋体" w:eastAsia="宋体" w:cs="宋体"/>
          <w:sz w:val="24"/>
          <w:szCs w:val="24"/>
          <w:highlight w:val="none"/>
        </w:rPr>
        <w:t>%</w:t>
      </w:r>
      <w:r>
        <w:rPr>
          <w:rFonts w:hint="eastAsia" w:ascii="宋体" w:hAnsi="宋体" w:eastAsia="宋体" w:cs="宋体"/>
          <w:spacing w:val="-2"/>
          <w:sz w:val="24"/>
          <w:szCs w:val="24"/>
          <w:highlight w:val="none"/>
          <w:lang w:eastAsia="zh-CN"/>
        </w:rPr>
        <w:t>。</w:t>
      </w:r>
    </w:p>
    <w:p>
      <w:pPr>
        <w:pStyle w:val="22"/>
        <w:numPr>
          <w:ilvl w:val="0"/>
          <w:numId w:val="30"/>
        </w:numPr>
        <w:spacing w:line="500" w:lineRule="exact"/>
        <w:ind w:firstLine="480" w:firstLineChars="200"/>
        <w:rPr>
          <w:rFonts w:hint="eastAsia" w:ascii="宋体" w:hAnsi="宋体" w:eastAsia="宋体" w:cs="宋体"/>
          <w:spacing w:val="-2"/>
          <w:sz w:val="24"/>
          <w:szCs w:val="24"/>
          <w:highlight w:val="none"/>
          <w:lang w:eastAsia="zh-CN"/>
        </w:rPr>
      </w:pPr>
      <w:r>
        <w:rPr>
          <w:rFonts w:hint="eastAsia" w:ascii="宋体" w:hAnsi="宋体" w:eastAsia="宋体" w:cs="宋体"/>
          <w:bCs/>
          <w:sz w:val="24"/>
          <w:szCs w:val="24"/>
          <w:highlight w:val="none"/>
        </w:rPr>
        <w:t>以上金额已经包含项目费用开具增值税专用发票所产生的税费及乙方</w:t>
      </w:r>
      <w:r>
        <w:rPr>
          <w:rFonts w:hint="eastAsia" w:ascii="宋体" w:hAnsi="宋体" w:eastAsia="宋体" w:cs="宋体"/>
          <w:bCs/>
          <w:sz w:val="24"/>
          <w:szCs w:val="24"/>
          <w:highlight w:val="none"/>
          <w:lang w:val="en-US" w:eastAsia="zh-CN"/>
        </w:rPr>
        <w:t>完成本项目服务所发生的</w:t>
      </w:r>
      <w:r>
        <w:rPr>
          <w:rFonts w:hint="eastAsia" w:ascii="宋体" w:hAnsi="宋体" w:eastAsia="宋体" w:cs="宋体"/>
          <w:sz w:val="24"/>
          <w:szCs w:val="24"/>
          <w:highlight w:val="none"/>
        </w:rPr>
        <w:t>全部费用</w:t>
      </w:r>
      <w:r>
        <w:rPr>
          <w:rFonts w:hint="eastAsia" w:ascii="宋体" w:hAnsi="宋体" w:eastAsia="宋体" w:cs="宋体"/>
          <w:sz w:val="24"/>
          <w:szCs w:val="24"/>
          <w:highlight w:val="none"/>
          <w:lang w:eastAsia="zh-CN"/>
        </w:rPr>
        <w:t>。</w:t>
      </w:r>
    </w:p>
    <w:p>
      <w:pPr>
        <w:pStyle w:val="22"/>
        <w:numPr>
          <w:ilvl w:val="1"/>
          <w:numId w:val="29"/>
        </w:numPr>
        <w:spacing w:line="500" w:lineRule="exact"/>
        <w:ind w:left="5" w:firstLine="635" w:firstLineChars="0"/>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付款要求</w:t>
      </w:r>
    </w:p>
    <w:p>
      <w:pPr>
        <w:pStyle w:val="22"/>
        <w:numPr>
          <w:ilvl w:val="0"/>
          <w:numId w:val="31"/>
        </w:numPr>
        <w:spacing w:line="500" w:lineRule="exact"/>
        <w:ind w:left="0" w:firstLine="640" w:firstLineChars="0"/>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lang w:val="en-US" w:eastAsia="zh-CN"/>
        </w:rPr>
        <w:t xml:space="preserve"> </w:t>
      </w:r>
      <w:r>
        <w:rPr>
          <w:rFonts w:hint="eastAsia" w:ascii="宋体" w:hAnsi="宋体" w:eastAsia="宋体" w:cs="宋体"/>
          <w:spacing w:val="-2"/>
          <w:sz w:val="24"/>
          <w:szCs w:val="24"/>
          <w:highlight w:val="none"/>
        </w:rPr>
        <w:t>合同签订</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lang w:val="en-US" w:eastAsia="zh-CN"/>
        </w:rPr>
        <w:t>乙方完成XXX</w:t>
      </w:r>
      <w:r>
        <w:rPr>
          <w:rFonts w:hint="eastAsia" w:ascii="宋体" w:hAnsi="宋体" w:eastAsia="宋体" w:cs="宋体"/>
          <w:spacing w:val="-2"/>
          <w:sz w:val="24"/>
          <w:szCs w:val="24"/>
          <w:highlight w:val="none"/>
        </w:rPr>
        <w:t>后</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15个工作日内甲方</w:t>
      </w:r>
      <w:r>
        <w:rPr>
          <w:rFonts w:hint="eastAsia" w:ascii="宋体" w:hAnsi="宋体" w:eastAsia="宋体" w:cs="宋体"/>
          <w:spacing w:val="-2"/>
          <w:sz w:val="24"/>
          <w:szCs w:val="24"/>
          <w:highlight w:val="none"/>
          <w:lang w:val="en-US" w:eastAsia="zh-CN"/>
        </w:rPr>
        <w:t>向</w:t>
      </w:r>
      <w:r>
        <w:rPr>
          <w:rFonts w:hint="eastAsia" w:ascii="宋体" w:hAnsi="宋体" w:eastAsia="宋体" w:cs="宋体"/>
          <w:spacing w:val="-2"/>
          <w:sz w:val="24"/>
          <w:szCs w:val="24"/>
          <w:highlight w:val="none"/>
        </w:rPr>
        <w:t>乙方支付合同金额</w:t>
      </w:r>
      <w:r>
        <w:rPr>
          <w:rFonts w:hint="eastAsia" w:ascii="宋体" w:hAnsi="宋体" w:eastAsia="宋体" w:cs="宋体"/>
          <w:spacing w:val="-2"/>
          <w:sz w:val="24"/>
          <w:szCs w:val="24"/>
          <w:highlight w:val="none"/>
          <w:lang w:val="en-US" w:eastAsia="zh-CN"/>
        </w:rPr>
        <w:t>XX</w:t>
      </w:r>
      <w:r>
        <w:rPr>
          <w:rFonts w:hint="eastAsia" w:ascii="宋体" w:hAnsi="宋体" w:eastAsia="宋体" w:cs="宋体"/>
          <w:spacing w:val="-2"/>
          <w:sz w:val="24"/>
          <w:szCs w:val="24"/>
          <w:highlight w:val="none"/>
        </w:rPr>
        <w:t>％款项，即人民币</w:t>
      </w:r>
      <w:r>
        <w:rPr>
          <w:rFonts w:hint="eastAsia" w:ascii="宋体" w:hAnsi="宋体" w:eastAsia="宋体" w:cs="宋体"/>
          <w:spacing w:val="-2"/>
          <w:sz w:val="24"/>
          <w:szCs w:val="24"/>
          <w:highlight w:val="none"/>
          <w:lang w:val="en-US" w:eastAsia="zh-CN"/>
        </w:rPr>
        <w:t>XXXX</w:t>
      </w:r>
      <w:r>
        <w:rPr>
          <w:rFonts w:hint="eastAsia" w:ascii="宋体" w:hAnsi="宋体" w:eastAsia="宋体" w:cs="宋体"/>
          <w:spacing w:val="-2"/>
          <w:sz w:val="24"/>
          <w:szCs w:val="24"/>
          <w:highlight w:val="none"/>
        </w:rPr>
        <w:t>元（大写：</w:t>
      </w:r>
      <w:r>
        <w:rPr>
          <w:rFonts w:hint="eastAsia" w:ascii="宋体" w:hAnsi="宋体" w:eastAsia="宋体" w:cs="宋体"/>
          <w:spacing w:val="-2"/>
          <w:sz w:val="24"/>
          <w:szCs w:val="24"/>
          <w:highlight w:val="none"/>
          <w:lang w:val="en-US" w:eastAsia="zh-CN"/>
        </w:rPr>
        <w:t>XXXX</w:t>
      </w:r>
      <w:r>
        <w:rPr>
          <w:rFonts w:hint="eastAsia" w:ascii="宋体" w:hAnsi="宋体" w:eastAsia="宋体" w:cs="宋体"/>
          <w:spacing w:val="-2"/>
          <w:sz w:val="24"/>
          <w:szCs w:val="24"/>
          <w:highlight w:val="none"/>
        </w:rPr>
        <w:t>元整）；</w:t>
      </w:r>
    </w:p>
    <w:p>
      <w:pPr>
        <w:pStyle w:val="22"/>
        <w:numPr>
          <w:ilvl w:val="0"/>
          <w:numId w:val="31"/>
        </w:numPr>
        <w:spacing w:line="500" w:lineRule="exact"/>
        <w:ind w:left="0" w:firstLine="640" w:firstLineChars="0"/>
        <w:rPr>
          <w:rFonts w:hint="eastAsia" w:ascii="宋体" w:hAnsi="宋体" w:eastAsia="宋体" w:cs="宋体"/>
          <w:sz w:val="24"/>
          <w:szCs w:val="24"/>
          <w:highlight w:val="none"/>
        </w:rPr>
      </w:pPr>
      <w:r>
        <w:rPr>
          <w:rFonts w:hint="eastAsia" w:ascii="宋体" w:hAnsi="宋体" w:eastAsia="宋体" w:cs="宋体"/>
          <w:spacing w:val="-2"/>
          <w:sz w:val="24"/>
          <w:szCs w:val="24"/>
          <w:highlight w:val="none"/>
          <w:lang w:val="en-US" w:eastAsia="zh-CN"/>
        </w:rPr>
        <w:t xml:space="preserve"> </w:t>
      </w:r>
      <w:r>
        <w:rPr>
          <w:rFonts w:hint="eastAsia" w:ascii="宋体" w:hAnsi="宋体" w:eastAsia="宋体" w:cs="宋体"/>
          <w:spacing w:val="-2"/>
          <w:sz w:val="24"/>
          <w:szCs w:val="24"/>
          <w:highlight w:val="none"/>
        </w:rPr>
        <w:t>完成本项目所有服务内容并经甲方验收合格且完成违约责任清算后，甲方支付本项目剩余款项。</w:t>
      </w:r>
    </w:p>
    <w:p>
      <w:pPr>
        <w:pStyle w:val="22"/>
        <w:numPr>
          <w:ilvl w:val="0"/>
          <w:numId w:val="31"/>
        </w:numPr>
        <w:spacing w:line="500" w:lineRule="exact"/>
        <w:ind w:left="0" w:firstLine="64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甲方办理合同款项支付前，乙方需</w:t>
      </w:r>
      <w:r>
        <w:rPr>
          <w:rFonts w:hint="eastAsia" w:ascii="宋体" w:hAnsi="宋体" w:eastAsia="宋体" w:cs="宋体"/>
          <w:sz w:val="24"/>
          <w:szCs w:val="24"/>
          <w:highlight w:val="none"/>
          <w:lang w:val="en-US" w:eastAsia="zh-CN"/>
        </w:rPr>
        <w:t>先向甲方</w:t>
      </w:r>
      <w:r>
        <w:rPr>
          <w:rFonts w:hint="eastAsia" w:ascii="宋体" w:hAnsi="宋体" w:eastAsia="宋体" w:cs="宋体"/>
          <w:sz w:val="24"/>
          <w:szCs w:val="24"/>
          <w:highlight w:val="none"/>
        </w:rPr>
        <w:t>提供全额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等额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真实</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合法有效的增值税专用发票。</w:t>
      </w:r>
    </w:p>
    <w:p>
      <w:pPr>
        <w:pStyle w:val="2"/>
        <w:numPr>
          <w:ilvl w:val="0"/>
          <w:numId w:val="24"/>
        </w:numPr>
        <w:ind w:left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验收标准</w:t>
      </w:r>
    </w:p>
    <w:p>
      <w:pPr>
        <w:pStyle w:val="2"/>
        <w:numPr>
          <w:ilvl w:val="0"/>
          <w:numId w:val="32"/>
        </w:numPr>
        <w:ind w:left="522" w:leftChars="0" w:firstLine="0" w:firstLineChars="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XXXXXXXXXXXXXXXXXXXXXXXX</w:t>
      </w:r>
    </w:p>
    <w:p>
      <w:pPr>
        <w:pStyle w:val="2"/>
        <w:numPr>
          <w:ilvl w:val="0"/>
          <w:numId w:val="32"/>
        </w:numPr>
        <w:ind w:left="522" w:leftChars="0" w:firstLine="0" w:firstLineChars="0"/>
        <w:rPr>
          <w:rFonts w:hint="eastAsia" w:ascii="宋体" w:hAnsi="宋体" w:eastAsia="宋体" w:cs="宋体"/>
          <w:kern w:val="0"/>
          <w:sz w:val="24"/>
          <w:szCs w:val="24"/>
          <w:highlight w:val="none"/>
          <w:lang w:val="en-US" w:eastAsia="zh-CN"/>
        </w:rPr>
      </w:pPr>
      <w:r>
        <w:rPr>
          <w:rFonts w:hint="eastAsia" w:ascii="宋体" w:hAnsi="宋体" w:eastAsia="宋体" w:cs="宋体"/>
          <w:b/>
          <w:bCs/>
          <w:sz w:val="24"/>
          <w:szCs w:val="24"/>
          <w:highlight w:val="none"/>
          <w:lang w:val="en-US" w:eastAsia="zh-CN"/>
        </w:rPr>
        <w:t>.</w:t>
      </w:r>
      <w:r>
        <w:rPr>
          <w:rFonts w:hint="eastAsia" w:ascii="宋体" w:hAnsi="宋体" w:eastAsia="宋体" w:cs="宋体"/>
          <w:kern w:val="0"/>
          <w:sz w:val="24"/>
          <w:szCs w:val="24"/>
          <w:highlight w:val="none"/>
          <w:lang w:val="en-US" w:eastAsia="zh-CN"/>
        </w:rPr>
        <w:t>.....</w:t>
      </w:r>
    </w:p>
    <w:p>
      <w:pPr>
        <w:pStyle w:val="2"/>
        <w:numPr>
          <w:ilvl w:val="0"/>
          <w:numId w:val="24"/>
        </w:numPr>
        <w:ind w:left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双方权利与义务</w:t>
      </w:r>
    </w:p>
    <w:p>
      <w:pPr>
        <w:pStyle w:val="2"/>
        <w:numPr>
          <w:ilvl w:val="0"/>
          <w:numId w:val="33"/>
        </w:numPr>
        <w:ind w:left="522" w:leftChars="0" w:firstLine="0" w:firstLineChars="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甲方权利与义务</w:t>
      </w:r>
    </w:p>
    <w:p>
      <w:pPr>
        <w:pStyle w:val="2"/>
        <w:numPr>
          <w:ilvl w:val="0"/>
          <w:numId w:val="34"/>
        </w:numPr>
        <w:ind w:left="522" w:leftChars="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XXXXXXXXXXXXXXXXXXXXXXXXXX</w:t>
      </w:r>
    </w:p>
    <w:p>
      <w:pPr>
        <w:pStyle w:val="2"/>
        <w:numPr>
          <w:ilvl w:val="0"/>
          <w:numId w:val="34"/>
        </w:numPr>
        <w:ind w:left="522" w:leftChars="0"/>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w:t>
      </w:r>
    </w:p>
    <w:p>
      <w:pPr>
        <w:pStyle w:val="2"/>
        <w:numPr>
          <w:ilvl w:val="0"/>
          <w:numId w:val="33"/>
        </w:numPr>
        <w:ind w:left="522" w:leftChars="0" w:firstLine="0" w:firstLineChars="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乙方权利与义务</w:t>
      </w:r>
    </w:p>
    <w:p>
      <w:pPr>
        <w:pStyle w:val="2"/>
        <w:numPr>
          <w:ilvl w:val="0"/>
          <w:numId w:val="35"/>
        </w:numPr>
        <w:ind w:left="0" w:leftChars="0" w:firstLine="356" w:firstLineChars="155"/>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XXXXXXXXXXXXXXXXXXXXXXXXXX</w:t>
      </w:r>
    </w:p>
    <w:p>
      <w:pPr>
        <w:pStyle w:val="2"/>
        <w:numPr>
          <w:ilvl w:val="0"/>
          <w:numId w:val="35"/>
        </w:numPr>
        <w:ind w:left="0" w:leftChars="0" w:firstLine="356" w:firstLineChars="155"/>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w:t>
      </w:r>
    </w:p>
    <w:p>
      <w:pPr>
        <w:pStyle w:val="2"/>
        <w:numPr>
          <w:ilvl w:val="0"/>
          <w:numId w:val="24"/>
        </w:numPr>
        <w:ind w:left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处罚标准（如有）</w:t>
      </w:r>
    </w:p>
    <w:p>
      <w:pPr>
        <w:pStyle w:val="2"/>
        <w:numPr>
          <w:ilvl w:val="0"/>
          <w:numId w:val="36"/>
        </w:numPr>
        <w:ind w:left="0" w:leftChars="0" w:firstLine="356" w:firstLineChars="155"/>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XXXXXXXXXXXXXXXXXXXXXXXXXX</w:t>
      </w:r>
    </w:p>
    <w:p>
      <w:pPr>
        <w:pStyle w:val="2"/>
        <w:numPr>
          <w:ilvl w:val="0"/>
          <w:numId w:val="36"/>
        </w:numPr>
        <w:ind w:left="0" w:leftChars="0" w:firstLine="356" w:firstLineChars="155"/>
        <w:rPr>
          <w:rFonts w:hint="eastAsia" w:ascii="宋体" w:hAnsi="宋体" w:eastAsia="宋体" w:cs="宋体"/>
          <w:b/>
          <w:bCs/>
          <w:sz w:val="24"/>
          <w:szCs w:val="24"/>
          <w:highlight w:val="none"/>
          <w:lang w:val="en-US" w:eastAsia="zh-CN"/>
        </w:rPr>
      </w:pPr>
      <w:r>
        <w:rPr>
          <w:rFonts w:hint="eastAsia" w:ascii="宋体" w:hAnsi="宋体" w:eastAsia="宋体" w:cs="宋体"/>
          <w:b w:val="0"/>
          <w:bCs w:val="0"/>
          <w:kern w:val="0"/>
          <w:sz w:val="24"/>
          <w:szCs w:val="24"/>
          <w:highlight w:val="none"/>
          <w:lang w:val="en-US" w:eastAsia="zh-CN"/>
        </w:rPr>
        <w:t>......</w:t>
      </w:r>
    </w:p>
    <w:p>
      <w:pPr>
        <w:pStyle w:val="2"/>
        <w:numPr>
          <w:ilvl w:val="0"/>
          <w:numId w:val="24"/>
        </w:numPr>
        <w:ind w:left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知识产权归属（如有）</w:t>
      </w:r>
    </w:p>
    <w:p>
      <w:pPr>
        <w:pStyle w:val="2"/>
        <w:numPr>
          <w:ilvl w:val="0"/>
          <w:numId w:val="37"/>
        </w:numPr>
        <w:ind w:left="0" w:leftChars="0" w:firstLine="356" w:firstLineChars="155"/>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XXXXXXXXXXXXXXXXXXXXXXXXXX</w:t>
      </w:r>
    </w:p>
    <w:p>
      <w:pPr>
        <w:pStyle w:val="2"/>
        <w:numPr>
          <w:ilvl w:val="0"/>
          <w:numId w:val="37"/>
        </w:numPr>
        <w:ind w:left="0" w:leftChars="0" w:firstLine="356" w:firstLineChars="155"/>
        <w:rPr>
          <w:rFonts w:hint="eastAsia" w:ascii="宋体" w:hAnsi="宋体" w:eastAsia="宋体" w:cs="宋体"/>
          <w:b/>
          <w:bCs/>
          <w:sz w:val="24"/>
          <w:szCs w:val="24"/>
          <w:highlight w:val="none"/>
          <w:lang w:val="en-US" w:eastAsia="zh-CN"/>
        </w:rPr>
      </w:pPr>
      <w:r>
        <w:rPr>
          <w:rFonts w:hint="eastAsia" w:ascii="宋体" w:hAnsi="宋体" w:eastAsia="宋体" w:cs="宋体"/>
          <w:b w:val="0"/>
          <w:bCs w:val="0"/>
          <w:kern w:val="0"/>
          <w:sz w:val="24"/>
          <w:szCs w:val="24"/>
          <w:highlight w:val="none"/>
          <w:lang w:val="en-US" w:eastAsia="zh-CN"/>
        </w:rPr>
        <w:t>......</w:t>
      </w:r>
    </w:p>
    <w:p>
      <w:pPr>
        <w:pStyle w:val="2"/>
        <w:numPr>
          <w:ilvl w:val="0"/>
          <w:numId w:val="24"/>
        </w:numPr>
        <w:ind w:left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违约责任</w:t>
      </w:r>
    </w:p>
    <w:p>
      <w:pPr>
        <w:numPr>
          <w:ilvl w:val="0"/>
          <w:numId w:val="38"/>
        </w:num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甲乙双方任何一方违反约定事项造成对方实际损失的，应在</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天内向对方支付年度合同金额</w:t>
      </w:r>
      <w:r>
        <w:rPr>
          <w:rFonts w:hint="eastAsia" w:ascii="宋体" w:hAnsi="宋体" w:eastAsia="宋体" w:cs="宋体"/>
          <w:sz w:val="24"/>
          <w:szCs w:val="24"/>
          <w:highlight w:val="none"/>
          <w:lang w:val="en-US" w:eastAsia="zh-CN"/>
        </w:rPr>
        <w:t>XX</w:t>
      </w:r>
      <w:r>
        <w:rPr>
          <w:rFonts w:hint="eastAsia" w:ascii="宋体" w:hAnsi="宋体" w:eastAsia="宋体" w:cs="宋体"/>
          <w:sz w:val="24"/>
          <w:szCs w:val="24"/>
          <w:highlight w:val="none"/>
        </w:rPr>
        <w:t>%的赔偿金和违约金。</w:t>
      </w:r>
    </w:p>
    <w:p>
      <w:pPr>
        <w:numPr>
          <w:ilvl w:val="0"/>
          <w:numId w:val="38"/>
        </w:num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24"/>
        </w:numPr>
        <w:ind w:left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合同变更、终止</w:t>
      </w:r>
    </w:p>
    <w:p>
      <w:pPr>
        <w:numPr>
          <w:ilvl w:val="0"/>
          <w:numId w:val="39"/>
        </w:numPr>
        <w:snapToGrid w:val="0"/>
        <w:spacing w:line="360" w:lineRule="auto"/>
        <w:ind w:firstLine="640"/>
        <w:rPr>
          <w:rFonts w:hint="eastAsia" w:ascii="宋体" w:hAnsi="宋体" w:eastAsia="宋体" w:cs="宋体"/>
          <w:sz w:val="24"/>
          <w:szCs w:val="24"/>
          <w:highlight w:val="none"/>
        </w:rPr>
      </w:pPr>
      <w:r>
        <w:rPr>
          <w:rFonts w:hint="eastAsia" w:ascii="宋体" w:hAnsi="宋体" w:eastAsia="宋体" w:cs="宋体"/>
          <w:sz w:val="24"/>
          <w:szCs w:val="24"/>
          <w:highlight w:val="none"/>
        </w:rPr>
        <w:t>如果出现不可预见的情形，影响</w:t>
      </w:r>
      <w:r>
        <w:rPr>
          <w:rFonts w:hint="eastAsia" w:ascii="宋体" w:hAnsi="宋体" w:eastAsia="宋体" w:cs="宋体"/>
          <w:sz w:val="24"/>
          <w:szCs w:val="24"/>
          <w:highlight w:val="none"/>
          <w:lang w:val="en-US" w:eastAsia="zh-CN"/>
        </w:rPr>
        <w:t>本合同项下相关服务的执行</w:t>
      </w:r>
      <w:r>
        <w:rPr>
          <w:rFonts w:hint="eastAsia" w:ascii="宋体" w:hAnsi="宋体" w:eastAsia="宋体" w:cs="宋体"/>
          <w:sz w:val="24"/>
          <w:szCs w:val="24"/>
          <w:highlight w:val="none"/>
        </w:rPr>
        <w:t>时，甲乙双方均可要求变更约定事项，但应提前通知对方，并由双方协商解决。</w:t>
      </w:r>
    </w:p>
    <w:p>
      <w:pPr>
        <w:numPr>
          <w:ilvl w:val="0"/>
          <w:numId w:val="39"/>
        </w:numPr>
        <w:snapToGrid w:val="0"/>
        <w:spacing w:line="360" w:lineRule="auto"/>
        <w:ind w:firstLine="640"/>
        <w:rPr>
          <w:rFonts w:hint="eastAsia" w:ascii="宋体" w:hAnsi="宋体" w:eastAsia="宋体" w:cs="宋体"/>
          <w:sz w:val="24"/>
          <w:szCs w:val="24"/>
          <w:highlight w:val="none"/>
        </w:rPr>
      </w:pPr>
      <w:r>
        <w:rPr>
          <w:rFonts w:hint="eastAsia" w:ascii="宋体" w:hAnsi="宋体" w:eastAsia="宋体" w:cs="宋体"/>
          <w:sz w:val="24"/>
          <w:szCs w:val="24"/>
          <w:highlight w:val="none"/>
        </w:rPr>
        <w:t>本合同签订后，双方应当按约履行，不得无故终止。如遇法定情形或特殊原因确需终止的,提出终止的一方应提前书面通知另一方。</w:t>
      </w:r>
    </w:p>
    <w:p>
      <w:pPr>
        <w:numPr>
          <w:ilvl w:val="0"/>
          <w:numId w:val="39"/>
        </w:numPr>
        <w:snapToGrid w:val="0"/>
        <w:spacing w:line="360" w:lineRule="auto"/>
        <w:ind w:firstLine="640"/>
        <w:rPr>
          <w:rFonts w:hint="eastAsia" w:ascii="宋体" w:hAnsi="宋体" w:eastAsia="宋体" w:cs="宋体"/>
          <w:sz w:val="24"/>
          <w:szCs w:val="24"/>
          <w:highlight w:val="none"/>
        </w:rPr>
      </w:pPr>
      <w:r>
        <w:rPr>
          <w:rFonts w:hint="eastAsia" w:ascii="宋体" w:hAnsi="宋体" w:eastAsia="宋体" w:cs="宋体"/>
          <w:sz w:val="24"/>
          <w:szCs w:val="24"/>
          <w:highlight w:val="none"/>
        </w:rPr>
        <w:t>在甲方因自身原因单方终止</w:t>
      </w:r>
      <w:r>
        <w:rPr>
          <w:rFonts w:hint="eastAsia" w:ascii="宋体" w:hAnsi="宋体" w:eastAsia="宋体" w:cs="宋体"/>
          <w:sz w:val="24"/>
          <w:szCs w:val="24"/>
          <w:highlight w:val="none"/>
          <w:lang w:val="en-US" w:eastAsia="zh-CN"/>
        </w:rPr>
        <w:t>本合同</w:t>
      </w:r>
      <w:r>
        <w:rPr>
          <w:rFonts w:hint="eastAsia" w:ascii="宋体" w:hAnsi="宋体" w:eastAsia="宋体" w:cs="宋体"/>
          <w:sz w:val="24"/>
          <w:szCs w:val="24"/>
          <w:highlight w:val="none"/>
        </w:rPr>
        <w:t>的情况下，</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因如约履行本项目合同且已实际发生的直接费用，</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可按实予以结算。同时，</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不再承担</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由此造成的其他间接费用和损失，</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亦不得再就上述事项进行任何形式的索赔。</w:t>
      </w:r>
    </w:p>
    <w:p>
      <w:pPr>
        <w:pStyle w:val="2"/>
        <w:ind w:left="0" w:leftChars="0" w:firstLine="545" w:firstLineChars="237"/>
        <w:rPr>
          <w:rFonts w:hint="eastAsia" w:ascii="宋体" w:hAnsi="宋体" w:eastAsia="宋体" w:cs="宋体"/>
          <w:sz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在乙方因自身原因单方终止本合同的情况下，乙方须退回甲方已经支付的本合同项下乙方未完成和未开始实施项相关费用。</w:t>
      </w:r>
    </w:p>
    <w:p>
      <w:pPr>
        <w:pStyle w:val="2"/>
        <w:numPr>
          <w:ilvl w:val="0"/>
          <w:numId w:val="24"/>
        </w:numPr>
        <w:ind w:left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保密条款</w:t>
      </w:r>
    </w:p>
    <w:p>
      <w:pPr>
        <w:pStyle w:val="2"/>
        <w:numPr>
          <w:ilvl w:val="0"/>
          <w:numId w:val="0"/>
        </w:numPr>
        <w:ind w:firstLine="46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甲乙双方必须严格</w:t>
      </w:r>
      <w:r>
        <w:rPr>
          <w:rFonts w:hint="eastAsia" w:ascii="宋体" w:hAnsi="宋体" w:eastAsia="宋体" w:cs="宋体"/>
          <w:sz w:val="24"/>
          <w:szCs w:val="24"/>
          <w:highlight w:val="none"/>
          <w:lang w:val="en-US" w:eastAsia="zh-CN"/>
        </w:rPr>
        <w:t>保</w:t>
      </w:r>
      <w:r>
        <w:rPr>
          <w:rFonts w:hint="eastAsia" w:ascii="宋体" w:hAnsi="宋体" w:eastAsia="宋体" w:cs="宋体"/>
          <w:sz w:val="24"/>
          <w:szCs w:val="24"/>
          <w:highlight w:val="none"/>
        </w:rPr>
        <w:t>守对方机密，任何一方不得以任何理由和方式泄露项目内容和企业机密。对于乙方所知悉的甲方的商业秘密、商业机会等一切经营信息，乙方</w:t>
      </w:r>
      <w:r>
        <w:rPr>
          <w:rFonts w:hint="eastAsia" w:ascii="宋体" w:hAnsi="宋体" w:eastAsia="宋体" w:cs="宋体"/>
          <w:sz w:val="24"/>
          <w:szCs w:val="24"/>
          <w:highlight w:val="none"/>
          <w:lang w:val="en-US" w:eastAsia="zh-CN"/>
        </w:rPr>
        <w:t>须</w:t>
      </w:r>
      <w:r>
        <w:rPr>
          <w:rFonts w:hint="eastAsia" w:ascii="宋体" w:hAnsi="宋体" w:eastAsia="宋体" w:cs="宋体"/>
          <w:sz w:val="24"/>
          <w:szCs w:val="24"/>
          <w:highlight w:val="none"/>
        </w:rPr>
        <w:t>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w:t>
      </w:r>
      <w:r>
        <w:rPr>
          <w:rFonts w:hint="eastAsia" w:ascii="宋体" w:hAnsi="宋体" w:eastAsia="宋体" w:cs="宋体"/>
          <w:sz w:val="24"/>
          <w:szCs w:val="24"/>
          <w:highlight w:val="none"/>
          <w:lang w:val="en-US" w:eastAsia="zh-CN"/>
        </w:rPr>
        <w:t>均</w:t>
      </w:r>
      <w:r>
        <w:rPr>
          <w:rFonts w:hint="eastAsia" w:ascii="宋体" w:hAnsi="宋体" w:eastAsia="宋体" w:cs="宋体"/>
          <w:sz w:val="24"/>
          <w:szCs w:val="24"/>
          <w:highlight w:val="none"/>
        </w:rPr>
        <w:t>约束双方。任何一方违反前述约定，守约方有权追究违约方违约责任。</w:t>
      </w:r>
    </w:p>
    <w:p>
      <w:pPr>
        <w:pStyle w:val="2"/>
        <w:numPr>
          <w:ilvl w:val="0"/>
          <w:numId w:val="24"/>
        </w:numPr>
        <w:ind w:left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不可抗力</w:t>
      </w:r>
    </w:p>
    <w:p>
      <w:pPr>
        <w:pStyle w:val="22"/>
        <w:numPr>
          <w:ilvl w:val="0"/>
          <w:numId w:val="40"/>
        </w:numPr>
        <w:spacing w:line="500" w:lineRule="exact"/>
        <w:ind w:left="0" w:leftChars="0" w:firstLine="544" w:firstLineChars="227"/>
        <w:rPr>
          <w:rFonts w:hint="eastAsia" w:ascii="宋体" w:hAnsi="宋体" w:eastAsia="宋体" w:cs="宋体"/>
          <w:sz w:val="24"/>
          <w:szCs w:val="24"/>
          <w:highlight w:val="none"/>
        </w:rPr>
      </w:pPr>
      <w:r>
        <w:rPr>
          <w:rFonts w:hint="eastAsia" w:ascii="宋体" w:hAnsi="宋体" w:eastAsia="宋体" w:cs="宋体"/>
          <w:sz w:val="24"/>
          <w:szCs w:val="24"/>
          <w:highlight w:val="none"/>
        </w:rPr>
        <w:t>如合同一方延迟履行或未能履行其本合同中列明之义务，但该延迟履行或未能履行是因不可抗力而引起，且在该不可抗力排除后第一时间通知了对方,并提供有效证明，该方不被视为违反本合同</w:t>
      </w:r>
      <w:r>
        <w:rPr>
          <w:rFonts w:hint="eastAsia" w:ascii="宋体" w:hAnsi="宋体" w:eastAsia="宋体" w:cs="宋体"/>
          <w:sz w:val="24"/>
          <w:szCs w:val="24"/>
          <w:highlight w:val="none"/>
          <w:lang w:eastAsia="zh-CN"/>
        </w:rPr>
        <w:t>。</w:t>
      </w:r>
    </w:p>
    <w:p>
      <w:pPr>
        <w:pStyle w:val="22"/>
        <w:numPr>
          <w:ilvl w:val="0"/>
          <w:numId w:val="40"/>
        </w:numPr>
        <w:spacing w:line="500" w:lineRule="exact"/>
        <w:ind w:left="0" w:leftChars="0" w:firstLine="544" w:firstLineChars="227"/>
        <w:rPr>
          <w:rFonts w:hint="eastAsia" w:ascii="宋体" w:hAnsi="宋体" w:eastAsia="宋体" w:cs="宋体"/>
          <w:sz w:val="24"/>
          <w:szCs w:val="24"/>
          <w:highlight w:val="none"/>
        </w:rPr>
      </w:pPr>
      <w:r>
        <w:rPr>
          <w:rFonts w:hint="eastAsia" w:ascii="宋体" w:hAnsi="宋体" w:eastAsia="宋体" w:cs="宋体"/>
          <w:sz w:val="24"/>
          <w:szCs w:val="24"/>
          <w:highlight w:val="none"/>
        </w:rPr>
        <w:t>本合同项下的不可抗力是指：无法预见、无法避免且无法克服的客观事实，包括但不限于</w:t>
      </w:r>
      <w:r>
        <w:rPr>
          <w:rFonts w:hint="eastAsia" w:ascii="宋体" w:hAnsi="宋体" w:eastAsia="宋体" w:cs="宋体"/>
          <w:bCs/>
          <w:sz w:val="24"/>
          <w:szCs w:val="24"/>
          <w:highlight w:val="none"/>
        </w:rPr>
        <w:t>战争、罢工、倒闭、暴乱、疾病蔓延、戒严令、火灾、洪水、暴风雨、干旱、火山爆发、爆炸、核或化学事件或辐射、海啸、任何自然灾害</w:t>
      </w:r>
      <w:r>
        <w:rPr>
          <w:rFonts w:hint="eastAsia" w:ascii="宋体" w:hAnsi="宋体" w:eastAsia="宋体" w:cs="宋体"/>
          <w:sz w:val="24"/>
          <w:szCs w:val="24"/>
          <w:highlight w:val="none"/>
        </w:rPr>
        <w:t>等。</w:t>
      </w:r>
    </w:p>
    <w:p>
      <w:pPr>
        <w:pStyle w:val="2"/>
        <w:numPr>
          <w:ilvl w:val="0"/>
          <w:numId w:val="24"/>
        </w:numPr>
        <w:ind w:left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争议解决</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因本合同有关的任何纠纷或争议，双方应协商解决。协商不成的，双方均可向甲方所在地的人民法院提起诉讼。</w:t>
      </w:r>
    </w:p>
    <w:p>
      <w:pPr>
        <w:pStyle w:val="2"/>
        <w:numPr>
          <w:ilvl w:val="0"/>
          <w:numId w:val="24"/>
        </w:numPr>
        <w:ind w:left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其他条款</w:t>
      </w:r>
    </w:p>
    <w:p>
      <w:pPr>
        <w:numPr>
          <w:ilvl w:val="0"/>
          <w:numId w:val="41"/>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本合同经双方代表人签字并加盖单位公章之日起生效，并在双方履行完成约定事项后终止。</w:t>
      </w:r>
    </w:p>
    <w:p>
      <w:pPr>
        <w:numPr>
          <w:ilvl w:val="0"/>
          <w:numId w:val="41"/>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本合同一式陆份，甲</w:t>
      </w:r>
      <w:r>
        <w:rPr>
          <w:rFonts w:hint="eastAsia" w:ascii="宋体" w:hAnsi="宋体" w:eastAsia="宋体" w:cs="宋体"/>
          <w:sz w:val="24"/>
          <w:szCs w:val="24"/>
          <w:highlight w:val="none"/>
          <w:lang w:val="en-US" w:eastAsia="zh-CN"/>
        </w:rPr>
        <w:t>方执肆份，</w:t>
      </w:r>
      <w:r>
        <w:rPr>
          <w:rFonts w:hint="eastAsia" w:ascii="宋体" w:hAnsi="宋体" w:eastAsia="宋体" w:cs="宋体"/>
          <w:sz w:val="24"/>
          <w:szCs w:val="24"/>
          <w:highlight w:val="none"/>
        </w:rPr>
        <w:t>乙方执</w:t>
      </w:r>
      <w:r>
        <w:rPr>
          <w:rFonts w:hint="eastAsia" w:ascii="宋体" w:hAnsi="宋体" w:eastAsia="宋体" w:cs="宋体"/>
          <w:sz w:val="24"/>
          <w:szCs w:val="24"/>
          <w:highlight w:val="none"/>
          <w:lang w:val="en-US" w:eastAsia="zh-CN"/>
        </w:rPr>
        <w:t>贰</w:t>
      </w:r>
      <w:r>
        <w:rPr>
          <w:rFonts w:hint="eastAsia" w:ascii="宋体" w:hAnsi="宋体" w:eastAsia="宋体" w:cs="宋体"/>
          <w:sz w:val="24"/>
          <w:szCs w:val="24"/>
          <w:highlight w:val="none"/>
        </w:rPr>
        <w:t>份，具有同等法律效力。</w:t>
      </w:r>
    </w:p>
    <w:p>
      <w:pPr>
        <w:numPr>
          <w:ilvl w:val="0"/>
          <w:numId w:val="41"/>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本合同未尽事宜，经双方协商另行签订补充协议，本合同的附件及任何补充协议与本合同具有同等法律效力。</w:t>
      </w:r>
    </w:p>
    <w:p>
      <w:pPr>
        <w:numPr>
          <w:ilvl w:val="0"/>
          <w:numId w:val="41"/>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本合同载明的联系方式（包括地址、联系人、电话）为双方约定的联系方式，若有变动，应提前书面告知对方，否则该联系方式为双方法定的送达和联系方式，一经发送至上述地址即视为送达。</w:t>
      </w:r>
    </w:p>
    <w:p>
      <w:pPr>
        <w:pStyle w:val="2"/>
        <w:rPr>
          <w:rFonts w:hint="eastAsia" w:ascii="宋体" w:hAnsi="宋体" w:eastAsia="宋体" w:cs="宋体"/>
          <w:b/>
          <w:bCs/>
          <w:sz w:val="24"/>
          <w:szCs w:val="24"/>
          <w:highlight w:val="none"/>
          <w:lang w:val="en-US" w:eastAsia="zh-CN"/>
        </w:rPr>
      </w:pPr>
      <w:r>
        <w:rPr>
          <w:rFonts w:hint="eastAsia" w:ascii="宋体" w:hAnsi="宋体" w:eastAsia="宋体" w:cs="宋体"/>
          <w:spacing w:val="0"/>
          <w:kern w:val="2"/>
          <w:sz w:val="24"/>
          <w:szCs w:val="24"/>
          <w:highlight w:val="none"/>
        </w:rPr>
        <w:t>（以下无正文，为合同签章页）</w:t>
      </w:r>
      <w:r>
        <w:rPr>
          <w:rFonts w:hint="eastAsia" w:ascii="宋体" w:hAnsi="宋体" w:eastAsia="宋体" w:cs="宋体"/>
          <w:b/>
          <w:bCs/>
          <w:sz w:val="24"/>
          <w:szCs w:val="24"/>
          <w:highlight w:val="none"/>
          <w:lang w:val="en-US" w:eastAsia="zh-CN"/>
        </w:rPr>
        <w:t xml:space="preserve">    </w:t>
      </w:r>
    </w:p>
    <w:p>
      <w:pPr>
        <w:pStyle w:val="2"/>
        <w:rPr>
          <w:rFonts w:hint="eastAsia" w:ascii="宋体" w:hAnsi="宋体" w:eastAsia="宋体" w:cs="宋体"/>
          <w:b/>
          <w:bCs/>
          <w:sz w:val="24"/>
          <w:szCs w:val="24"/>
          <w:highlight w:val="none"/>
          <w:lang w:val="en-US" w:eastAsia="zh-CN"/>
        </w:rPr>
      </w:pPr>
    </w:p>
    <w:p>
      <w:pPr>
        <w:spacing w:line="520" w:lineRule="exact"/>
        <w:ind w:firstLine="560"/>
        <w:rPr>
          <w:rFonts w:hint="eastAsia" w:ascii="宋体" w:hAnsi="宋体" w:eastAsia="宋体" w:cs="宋体"/>
          <w:sz w:val="24"/>
          <w:szCs w:val="24"/>
          <w:highlight w:val="none"/>
        </w:rPr>
      </w:pPr>
      <w:r>
        <w:rPr>
          <w:rFonts w:hint="eastAsia" w:ascii="宋体" w:hAnsi="宋体" w:eastAsia="宋体" w:cs="宋体"/>
          <w:b/>
          <w:kern w:val="0"/>
          <w:sz w:val="24"/>
          <w:szCs w:val="24"/>
          <w:highlight w:val="none"/>
        </w:rPr>
        <w:t>甲  方(盖章)： 深圳会展中心管理有限责任公司</w:t>
      </w:r>
    </w:p>
    <w:p>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spacing w:line="520" w:lineRule="exact"/>
        <w:ind w:firstLine="562"/>
        <w:rPr>
          <w:rFonts w:hint="eastAsia" w:ascii="宋体" w:hAnsi="宋体" w:eastAsia="宋体" w:cs="宋体"/>
          <w:sz w:val="24"/>
          <w:szCs w:val="24"/>
          <w:highlight w:val="none"/>
        </w:rPr>
      </w:pPr>
      <w:r>
        <w:rPr>
          <w:rFonts w:hint="eastAsia" w:ascii="宋体" w:hAnsi="宋体" w:eastAsia="宋体" w:cs="宋体"/>
          <w:b/>
          <w:bCs/>
          <w:sz w:val="24"/>
          <w:szCs w:val="24"/>
          <w:highlight w:val="none"/>
        </w:rPr>
        <w:t>签约时间：</w:t>
      </w:r>
      <w:r>
        <w:rPr>
          <w:rFonts w:hint="eastAsia" w:ascii="宋体" w:hAnsi="宋体" w:eastAsia="宋体" w:cs="宋体"/>
          <w:sz w:val="24"/>
          <w:szCs w:val="24"/>
          <w:highlight w:val="none"/>
        </w:rPr>
        <w:t xml:space="preserve">      年   月   日      </w:t>
      </w:r>
    </w:p>
    <w:p>
      <w:pPr>
        <w:spacing w:line="520" w:lineRule="exact"/>
        <w:ind w:firstLine="560"/>
        <w:rPr>
          <w:rFonts w:hint="eastAsia" w:ascii="宋体" w:hAnsi="宋体" w:eastAsia="宋体" w:cs="宋体"/>
          <w:sz w:val="24"/>
          <w:szCs w:val="24"/>
          <w:highlight w:val="none"/>
        </w:rPr>
      </w:pPr>
    </w:p>
    <w:p>
      <w:pPr>
        <w:spacing w:line="520" w:lineRule="exact"/>
        <w:ind w:firstLine="56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 xml:space="preserve">乙  方（盖章）：  </w:t>
      </w:r>
    </w:p>
    <w:p>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法定代表人/授权代表（签名)：</w:t>
      </w:r>
      <w:r>
        <w:rPr>
          <w:rFonts w:hint="eastAsia" w:ascii="宋体" w:hAnsi="宋体" w:eastAsia="宋体" w:cs="宋体"/>
          <w:sz w:val="24"/>
          <w:szCs w:val="24"/>
          <w:highlight w:val="none"/>
          <w:u w:val="single"/>
        </w:rPr>
        <w:t xml:space="preserve">                  </w:t>
      </w:r>
    </w:p>
    <w:p>
      <w:pPr>
        <w:pStyle w:val="11"/>
        <w:jc w:val="center"/>
        <w:rPr>
          <w:rFonts w:hint="eastAsia" w:ascii="宋体" w:eastAsia="宋体" w:cs="宋体"/>
          <w:bCs/>
          <w:sz w:val="24"/>
          <w:szCs w:val="24"/>
          <w:highlight w:val="none"/>
        </w:rPr>
      </w:pPr>
      <w:r>
        <w:rPr>
          <w:rFonts w:hint="eastAsia" w:ascii="宋体" w:hAnsi="宋体" w:eastAsia="宋体" w:cs="宋体"/>
          <w:b/>
          <w:bCs/>
          <w:sz w:val="24"/>
          <w:szCs w:val="24"/>
          <w:highlight w:val="none"/>
        </w:rPr>
        <w:t>签约时间：</w:t>
      </w:r>
      <w:r>
        <w:rPr>
          <w:rFonts w:hint="eastAsia" w:ascii="宋体" w:hAnsi="宋体" w:eastAsia="宋体" w:cs="宋体"/>
          <w:sz w:val="24"/>
          <w:szCs w:val="24"/>
          <w:highlight w:val="none"/>
        </w:rPr>
        <w:t xml:space="preserve">      年   月   日   </w:t>
      </w:r>
      <w:r>
        <w:rPr>
          <w:rFonts w:hint="eastAsia" w:ascii="宋体" w:hAnsi="宋体" w:eastAsia="宋体" w:cs="宋体"/>
          <w:b/>
          <w:bCs/>
          <w:sz w:val="24"/>
          <w:szCs w:val="24"/>
          <w:highlight w:val="none"/>
          <w:lang w:val="en-US" w:eastAsia="zh-CN"/>
        </w:rPr>
        <w:t xml:space="preserve">                          </w:t>
      </w:r>
    </w:p>
    <w:p>
      <w:pPr>
        <w:widowControl/>
        <w:jc w:val="left"/>
        <w:rPr>
          <w:rFonts w:hint="eastAsia" w:ascii="宋体" w:hAnsi="宋体" w:cs="宋体"/>
          <w:b/>
          <w:sz w:val="24"/>
          <w:szCs w:val="24"/>
          <w:highlight w:val="none"/>
        </w:rPr>
      </w:pPr>
      <w:r>
        <w:rPr>
          <w:rFonts w:hint="eastAsia" w:ascii="宋体" w:hAnsi="宋体" w:cs="宋体"/>
          <w:b/>
          <w:sz w:val="24"/>
          <w:szCs w:val="24"/>
          <w:highlight w:val="none"/>
        </w:rPr>
        <w:br w:type="page"/>
      </w:r>
    </w:p>
    <w:p>
      <w:pPr>
        <w:spacing w:before="312" w:beforeLines="100" w:after="312" w:afterLines="100" w:line="360" w:lineRule="auto"/>
        <w:jc w:val="center"/>
        <w:outlineLvl w:val="0"/>
        <w:rPr>
          <w:rFonts w:ascii="仿宋" w:hAnsi="仿宋" w:eastAsia="仿宋"/>
          <w:sz w:val="32"/>
          <w:szCs w:val="32"/>
        </w:rPr>
      </w:pPr>
      <w:bookmarkStart w:id="51" w:name="_Toc17198"/>
      <w:r>
        <w:rPr>
          <w:rFonts w:hint="eastAsia"/>
          <w:b/>
          <w:sz w:val="32"/>
          <w:szCs w:val="32"/>
        </w:rPr>
        <w:t>第五部分：参考附件</w:t>
      </w:r>
      <w:bookmarkEnd w:id="51"/>
    </w:p>
    <w:p>
      <w:pPr>
        <w:spacing w:line="0" w:lineRule="atLeast"/>
        <w:outlineLvl w:val="1"/>
        <w:rPr>
          <w:rFonts w:ascii="宋体" w:hAnsi="宋体"/>
        </w:rPr>
      </w:pPr>
      <w:bookmarkStart w:id="52" w:name="_Toc7610"/>
      <w:r>
        <w:rPr>
          <w:rFonts w:hint="eastAsia" w:ascii="宋体" w:hAnsi="宋体"/>
          <w:szCs w:val="21"/>
        </w:rPr>
        <w:t>附件1：</w:t>
      </w:r>
      <w:r>
        <w:rPr>
          <w:rFonts w:hint="eastAsia" w:ascii="宋体" w:hAnsi="宋体"/>
        </w:rPr>
        <w:t>报名回函</w:t>
      </w:r>
      <w:bookmarkEnd w:id="52"/>
    </w:p>
    <w:p>
      <w:pPr>
        <w:pStyle w:val="11"/>
      </w:pPr>
    </w:p>
    <w:p>
      <w:pPr>
        <w:pStyle w:val="12"/>
        <w:jc w:val="center"/>
        <w:rPr>
          <w:rStyle w:val="18"/>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关于确认参加深圳会展中心2022-2024年度</w:t>
      </w:r>
    </w:p>
    <w:p>
      <w:pPr>
        <w:pStyle w:val="12"/>
        <w:jc w:val="center"/>
        <w:rPr>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高交会新产品新技术发布活动项目投标的回函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u w:val="single"/>
        </w:rPr>
        <w:t>深圳会展中心2022-2024年度高交会新产品新技术发布活动项目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szCs w:val="21"/>
        </w:rPr>
      </w:pPr>
      <w:r>
        <w:rPr>
          <w:rFonts w:hint="eastAsia" w:ascii="宋体" w:hAnsi="宋体"/>
          <w:b/>
          <w:sz w:val="21"/>
          <w:szCs w:val="21"/>
        </w:rPr>
        <w:t>2.上述内容均为必填项，必须按要求如实、完整填报，印章清晰；否则，报名无效。</w:t>
      </w:r>
      <w:bookmarkStart w:id="81" w:name="_GoBack"/>
      <w:bookmarkEnd w:id="81"/>
    </w:p>
    <w:p>
      <w:pPr>
        <w:spacing w:line="0" w:lineRule="atLeast"/>
        <w:outlineLvl w:val="1"/>
        <w:rPr>
          <w:rFonts w:ascii="宋体" w:hAnsi="宋体"/>
          <w:szCs w:val="21"/>
        </w:rPr>
      </w:pPr>
    </w:p>
    <w:p>
      <w:pPr>
        <w:spacing w:line="0" w:lineRule="atLeast"/>
        <w:outlineLvl w:val="1"/>
        <w:rPr>
          <w:rFonts w:ascii="宋体" w:hAnsi="宋体"/>
          <w:szCs w:val="21"/>
        </w:rPr>
      </w:pPr>
      <w:bookmarkStart w:id="53" w:name="_Toc10768"/>
      <w:r>
        <w:rPr>
          <w:rFonts w:hint="eastAsia" w:ascii="宋体" w:hAnsi="宋体"/>
          <w:szCs w:val="21"/>
        </w:rPr>
        <w:t>附件2：投标函</w:t>
      </w:r>
      <w:bookmarkEnd w:id="53"/>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hint="eastAsia" w:ascii="仿宋" w:hAnsi="仿宋" w:eastAsia="仿宋"/>
          <w:bCs/>
          <w:sz w:val="24"/>
          <w:u w:val="single"/>
        </w:rPr>
        <w:t xml:space="preserve">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54" w:name="_Toc13134"/>
      <w:r>
        <w:rPr>
          <w:rFonts w:hint="eastAsia" w:ascii="宋体" w:hAnsi="宋体"/>
          <w:szCs w:val="21"/>
        </w:rPr>
        <w:t>附件3：投标一览表</w:t>
      </w:r>
      <w:bookmarkEnd w:id="54"/>
    </w:p>
    <w:p>
      <w:pPr>
        <w:widowControl/>
        <w:jc w:val="center"/>
        <w:rPr>
          <w:rFonts w:ascii="仿宋" w:hAnsi="仿宋" w:eastAsia="仿宋"/>
          <w:sz w:val="28"/>
          <w:szCs w:val="28"/>
        </w:rPr>
      </w:pPr>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1" w:firstLineChars="1"/>
        <w:jc w:val="right"/>
      </w:pPr>
    </w:p>
    <w:tbl>
      <w:tblPr>
        <w:tblStyle w:val="16"/>
        <w:tblW w:w="8823"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946"/>
        <w:gridCol w:w="1134"/>
        <w:gridCol w:w="1417"/>
        <w:gridCol w:w="2126"/>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pStyle w:val="2"/>
              <w:ind w:left="0"/>
              <w:jc w:val="center"/>
              <w:rPr>
                <w:sz w:val="21"/>
                <w:szCs w:val="28"/>
              </w:rPr>
            </w:pPr>
            <w:r>
              <w:rPr>
                <w:rFonts w:hint="eastAsia"/>
                <w:sz w:val="21"/>
                <w:szCs w:val="28"/>
              </w:rPr>
              <w:t>税前总金额</w:t>
            </w:r>
          </w:p>
          <w:p>
            <w:pPr>
              <w:pStyle w:val="2"/>
              <w:ind w:left="0"/>
              <w:jc w:val="center"/>
            </w:pPr>
            <w:r>
              <w:rPr>
                <w:rFonts w:hint="eastAsia"/>
                <w:sz w:val="21"/>
                <w:szCs w:val="28"/>
              </w:rPr>
              <w:t>（净价）</w:t>
            </w:r>
          </w:p>
        </w:tc>
        <w:tc>
          <w:tcPr>
            <w:tcW w:w="946" w:type="dxa"/>
            <w:vAlign w:val="center"/>
          </w:tcPr>
          <w:p>
            <w:pPr>
              <w:spacing w:line="360" w:lineRule="auto"/>
              <w:jc w:val="center"/>
              <w:rPr>
                <w:rFonts w:ascii="宋体" w:hAnsi="宋体"/>
                <w:szCs w:val="21"/>
              </w:rPr>
            </w:pPr>
            <w:r>
              <w:rPr>
                <w:rFonts w:hint="eastAsia" w:ascii="宋体" w:hAnsi="宋体"/>
                <w:szCs w:val="21"/>
              </w:rPr>
              <w:t>税率</w:t>
            </w:r>
          </w:p>
        </w:tc>
        <w:tc>
          <w:tcPr>
            <w:tcW w:w="1134" w:type="dxa"/>
            <w:vAlign w:val="center"/>
          </w:tcPr>
          <w:p>
            <w:pPr>
              <w:spacing w:line="360" w:lineRule="auto"/>
              <w:jc w:val="center"/>
              <w:rPr>
                <w:rFonts w:ascii="宋体" w:hAnsi="宋体"/>
                <w:szCs w:val="21"/>
              </w:rPr>
            </w:pPr>
            <w:r>
              <w:rPr>
                <w:rFonts w:hint="eastAsia" w:ascii="宋体" w:hAnsi="宋体"/>
                <w:szCs w:val="21"/>
              </w:rPr>
              <w:t>税额</w:t>
            </w:r>
          </w:p>
        </w:tc>
        <w:tc>
          <w:tcPr>
            <w:tcW w:w="1417" w:type="dxa"/>
            <w:vAlign w:val="center"/>
          </w:tcPr>
          <w:p>
            <w:pPr>
              <w:spacing w:line="360" w:lineRule="auto"/>
              <w:jc w:val="center"/>
              <w:rPr>
                <w:rFonts w:ascii="宋体" w:hAnsi="宋体"/>
                <w:szCs w:val="21"/>
              </w:rPr>
            </w:pPr>
            <w:r>
              <w:rPr>
                <w:rFonts w:hint="eastAsia" w:ascii="宋体" w:hAnsi="宋体"/>
                <w:szCs w:val="21"/>
              </w:rPr>
              <w:t>含税总金额</w:t>
            </w:r>
          </w:p>
        </w:tc>
        <w:tc>
          <w:tcPr>
            <w:tcW w:w="2126" w:type="dxa"/>
            <w:vAlign w:val="center"/>
          </w:tcPr>
          <w:p>
            <w:pPr>
              <w:spacing w:line="360" w:lineRule="auto"/>
              <w:jc w:val="center"/>
              <w:rPr>
                <w:rFonts w:ascii="宋体" w:hAnsi="宋体"/>
                <w:szCs w:val="21"/>
              </w:rPr>
            </w:pPr>
            <w:r>
              <w:rPr>
                <w:rFonts w:hint="eastAsia" w:ascii="宋体" w:hAnsi="宋体"/>
                <w:szCs w:val="21"/>
              </w:rPr>
              <w:t>服务期（自然日）</w:t>
            </w:r>
          </w:p>
        </w:tc>
        <w:tc>
          <w:tcPr>
            <w:tcW w:w="1560" w:type="dxa"/>
            <w:vAlign w:val="center"/>
          </w:tcPr>
          <w:p>
            <w:r>
              <w:rPr>
                <w:rFonts w:hint="eastAsia" w:ascii="宋体" w:hAnsi="宋体"/>
                <w:szCs w:val="21"/>
              </w:rPr>
              <w:t>项目负责人</w:t>
            </w:r>
          </w:p>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spacing w:line="360" w:lineRule="auto"/>
              <w:jc w:val="center"/>
              <w:rPr>
                <w:rFonts w:ascii="宋体" w:hAnsi="宋体"/>
                <w:szCs w:val="21"/>
              </w:rPr>
            </w:pPr>
          </w:p>
        </w:tc>
        <w:tc>
          <w:tcPr>
            <w:tcW w:w="946"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417" w:type="dxa"/>
          </w:tcPr>
          <w:p>
            <w:pPr>
              <w:spacing w:line="360" w:lineRule="auto"/>
              <w:jc w:val="center"/>
              <w:rPr>
                <w:rFonts w:ascii="宋体" w:hAnsi="宋体"/>
                <w:szCs w:val="21"/>
              </w:rPr>
            </w:pPr>
          </w:p>
        </w:tc>
        <w:tc>
          <w:tcPr>
            <w:tcW w:w="2126" w:type="dxa"/>
          </w:tcPr>
          <w:p>
            <w:pPr>
              <w:spacing w:line="360" w:lineRule="auto"/>
              <w:jc w:val="center"/>
              <w:rPr>
                <w:rFonts w:ascii="宋体" w:hAnsi="宋体"/>
                <w:szCs w:val="21"/>
              </w:rPr>
            </w:pPr>
          </w:p>
        </w:tc>
        <w:tc>
          <w:tcPr>
            <w:tcW w:w="1560" w:type="dxa"/>
          </w:tcPr>
          <w:p>
            <w:pPr>
              <w:spacing w:line="360" w:lineRule="auto"/>
              <w:jc w:val="center"/>
              <w:rPr>
                <w:rFonts w:ascii="宋体" w:hAnsi="宋体"/>
                <w:szCs w:val="21"/>
              </w:rPr>
            </w:pPr>
          </w:p>
        </w:tc>
      </w:tr>
    </w:tbl>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spacing w:line="0" w:lineRule="atLeast"/>
        <w:outlineLvl w:val="1"/>
        <w:rPr>
          <w:rFonts w:ascii="宋体" w:hAnsi="宋体"/>
          <w:szCs w:val="21"/>
        </w:rPr>
      </w:pPr>
      <w:bookmarkStart w:id="55" w:name="_Toc17990"/>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r>
        <w:rPr>
          <w:rFonts w:hint="eastAsia" w:ascii="宋体" w:hAnsi="宋体"/>
          <w:szCs w:val="21"/>
        </w:rPr>
        <w:t>附件4：考察证明</w:t>
      </w:r>
      <w:bookmarkEnd w:id="55"/>
      <w:r>
        <w:rPr>
          <w:rFonts w:hint="eastAsia" w:ascii="宋体" w:hAnsi="宋体"/>
          <w:color w:val="FF0000"/>
          <w:szCs w:val="21"/>
        </w:rPr>
        <w:t>（本项目不适用）</w:t>
      </w:r>
    </w:p>
    <w:p>
      <w:pPr>
        <w:spacing w:line="0" w:lineRule="atLeast"/>
        <w:outlineLvl w:val="1"/>
        <w:rPr>
          <w:rFonts w:ascii="宋体" w:hAnsi="宋体"/>
          <w:szCs w:val="21"/>
        </w:rPr>
      </w:pP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jc w:val="left"/>
        <w:rPr>
          <w:rFonts w:ascii="仿宋" w:hAnsi="仿宋" w:eastAsia="仿宋"/>
          <w:sz w:val="28"/>
          <w:szCs w:val="28"/>
        </w:rPr>
      </w:pPr>
      <w:r>
        <w:rPr>
          <w:rFonts w:hint="eastAsia" w:ascii="仿宋" w:hAnsi="仿宋" w:eastAsia="仿宋"/>
          <w:sz w:val="28"/>
          <w:szCs w:val="28"/>
        </w:rPr>
        <w:t xml:space="preserve">    已于</w:t>
      </w:r>
      <w:r>
        <w:rPr>
          <w:rFonts w:hint="eastAsia" w:ascii="仿宋" w:hAnsi="仿宋" w:eastAsia="仿宋"/>
          <w:b/>
          <w:sz w:val="28"/>
          <w:szCs w:val="28"/>
        </w:rPr>
        <w:t>2020年*月21日</w:t>
      </w:r>
      <w:r>
        <w:rPr>
          <w:rFonts w:hint="eastAsia" w:ascii="仿宋" w:hAnsi="仿宋" w:eastAsia="仿宋"/>
          <w:sz w:val="28"/>
          <w:szCs w:val="28"/>
        </w:rPr>
        <w:t>参加了招标人（深圳会展中心管理有限责任公司）</w:t>
      </w:r>
      <w:r>
        <w:rPr>
          <w:rFonts w:hint="eastAsia" w:ascii="仿宋" w:hAnsi="仿宋" w:eastAsia="仿宋"/>
          <w:b/>
          <w:sz w:val="28"/>
          <w:szCs w:val="28"/>
        </w:rPr>
        <w:t>关于*项目的现场考察</w:t>
      </w:r>
      <w:r>
        <w:rPr>
          <w:rFonts w:hint="eastAsia" w:ascii="仿宋" w:hAnsi="仿宋" w:eastAsia="仿宋"/>
          <w:sz w:val="28"/>
          <w:szCs w:val="28"/>
        </w:rPr>
        <w:t>，详细听取了招标人的讲解和要求，已经知晓招标人本次项目的所有内容以及技术要求等。</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56" w:name="_Toc5370"/>
      <w:r>
        <w:rPr>
          <w:rFonts w:hint="eastAsia" w:ascii="宋体" w:hAnsi="宋体"/>
          <w:szCs w:val="21"/>
        </w:rPr>
        <w:t>附件5：技术服务响应/偏离表</w:t>
      </w:r>
      <w:bookmarkEnd w:id="56"/>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57" w:name="_Toc211248418"/>
      <w:r>
        <w:rPr>
          <w:rFonts w:hint="eastAsia" w:ascii="方正小标宋_GBK" w:hAnsi="方正小标宋_GBK" w:eastAsia="方正小标宋_GBK"/>
          <w:b/>
          <w:sz w:val="32"/>
          <w:szCs w:val="32"/>
        </w:rPr>
        <w:t>技术服务响应/偏离表</w:t>
      </w:r>
      <w:bookmarkEnd w:id="57"/>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5"/>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spacing w:line="0" w:lineRule="atLeast"/>
              <w:jc w:val="center"/>
              <w:rPr>
                <w:rFonts w:ascii="仿宋" w:hAnsi="仿宋" w:eastAsia="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文件不能通过符合性检查。</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58"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58"/>
      <w:bookmarkStart w:id="59" w:name="_Toc246480945"/>
      <w:bookmarkStart w:id="60" w:name="_Toc236803114"/>
      <w:r>
        <w:rPr>
          <w:rFonts w:ascii="仿宋" w:hAnsi="仿宋" w:eastAsia="仿宋"/>
          <w:sz w:val="28"/>
          <w:szCs w:val="28"/>
        </w:rPr>
        <w:br w:type="page"/>
      </w:r>
    </w:p>
    <w:p>
      <w:pPr>
        <w:spacing w:line="0" w:lineRule="atLeast"/>
        <w:outlineLvl w:val="1"/>
        <w:rPr>
          <w:rFonts w:ascii="宋体" w:hAnsi="宋体"/>
          <w:szCs w:val="21"/>
        </w:rPr>
      </w:pPr>
      <w:bookmarkStart w:id="61" w:name="_Toc5879"/>
      <w:r>
        <w:rPr>
          <w:rFonts w:hint="eastAsia" w:ascii="宋体" w:hAnsi="宋体"/>
          <w:szCs w:val="21"/>
        </w:rPr>
        <w:t>附件6：商务条款响应/偏离表</w:t>
      </w:r>
      <w:bookmarkEnd w:id="59"/>
      <w:bookmarkEnd w:id="60"/>
      <w:bookmarkEnd w:id="61"/>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2" w:name="_Toc211248420"/>
      <w:r>
        <w:rPr>
          <w:rFonts w:hint="eastAsia" w:ascii="方正小标宋_GBK" w:hAnsi="方正小标宋_GBK" w:eastAsia="方正小标宋_GBK"/>
          <w:b/>
          <w:sz w:val="32"/>
          <w:szCs w:val="32"/>
        </w:rPr>
        <w:t>商务条款响应/偏离表</w:t>
      </w:r>
      <w:bookmarkEnd w:id="62"/>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5"/>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文件不能通过符合性检查。</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63" w:name="_Toc478387764"/>
      <w:bookmarkStart w:id="64" w:name="_Toc395883088"/>
      <w:bookmarkStart w:id="65" w:name="_Toc236803111"/>
      <w:r>
        <w:rPr>
          <w:rFonts w:ascii="仿宋" w:hAnsi="仿宋" w:eastAsia="仿宋"/>
          <w:sz w:val="28"/>
          <w:szCs w:val="28"/>
        </w:rPr>
        <w:br w:type="page"/>
      </w:r>
    </w:p>
    <w:p>
      <w:pPr>
        <w:spacing w:line="0" w:lineRule="atLeast"/>
        <w:outlineLvl w:val="1"/>
        <w:rPr>
          <w:rFonts w:ascii="宋体" w:hAnsi="宋体"/>
          <w:szCs w:val="21"/>
        </w:rPr>
      </w:pPr>
      <w:bookmarkStart w:id="66" w:name="_Toc30690"/>
      <w:r>
        <w:rPr>
          <w:rFonts w:hint="eastAsia" w:ascii="宋体" w:hAnsi="宋体"/>
          <w:szCs w:val="21"/>
        </w:rPr>
        <w:t>附件7：报价一览表（货物）</w:t>
      </w:r>
      <w:r>
        <w:rPr>
          <w:rFonts w:hint="eastAsia" w:ascii="宋体" w:hAnsi="宋体"/>
          <w:color w:val="FF0000"/>
          <w:szCs w:val="21"/>
        </w:rPr>
        <w:t>（本项目不适用）</w:t>
      </w:r>
      <w:bookmarkEnd w:id="66"/>
    </w:p>
    <w:bookmarkEnd w:id="63"/>
    <w:bookmarkEnd w:id="64"/>
    <w:bookmarkEnd w:id="65"/>
    <w:p>
      <w:pPr>
        <w:spacing w:before="120" w:after="240"/>
        <w:jc w:val="center"/>
        <w:rPr>
          <w:rFonts w:ascii="宋体" w:hAnsi="宋体"/>
          <w:b/>
          <w:sz w:val="32"/>
          <w:szCs w:val="32"/>
        </w:rPr>
      </w:pPr>
      <w:bookmarkStart w:id="67" w:name="_Toc211248412"/>
      <w:r>
        <w:rPr>
          <w:rFonts w:hint="eastAsia" w:ascii="方正小标宋_GBK" w:hAnsi="方正小标宋_GBK" w:eastAsia="方正小标宋_GBK"/>
          <w:b/>
          <w:sz w:val="32"/>
          <w:szCs w:val="32"/>
        </w:rPr>
        <w:t>报价一览表</w:t>
      </w:r>
      <w:bookmarkEnd w:id="67"/>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5"/>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2"/>
        <w:numPr>
          <w:ilvl w:val="1"/>
          <w:numId w:val="44"/>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44"/>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2"/>
        <w:numPr>
          <w:ilvl w:val="1"/>
          <w:numId w:val="44"/>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2"/>
        <w:numPr>
          <w:ilvl w:val="1"/>
          <w:numId w:val="44"/>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68" w:name="_Toc82095917"/>
      <w:bookmarkStart w:id="69" w:name="_Toc82359026"/>
      <w:r>
        <w:rPr>
          <w:rFonts w:hint="eastAsia" w:ascii="仿宋" w:hAnsi="仿宋" w:eastAsia="仿宋"/>
          <w:sz w:val="28"/>
          <w:szCs w:val="28"/>
        </w:rPr>
        <w:t>报价日期：_________年____月____日</w:t>
      </w:r>
      <w:r>
        <w:rPr>
          <w:rFonts w:ascii="仿宋" w:hAnsi="仿宋" w:eastAsia="仿宋"/>
          <w:sz w:val="28"/>
          <w:szCs w:val="28"/>
        </w:rPr>
        <w:br w:type="page"/>
      </w:r>
    </w:p>
    <w:bookmarkEnd w:id="68"/>
    <w:bookmarkEnd w:id="69"/>
    <w:p>
      <w:pPr>
        <w:spacing w:line="0" w:lineRule="atLeast"/>
        <w:outlineLvl w:val="1"/>
        <w:rPr>
          <w:rFonts w:ascii="宋体" w:hAnsi="宋体"/>
          <w:szCs w:val="21"/>
          <w:highlight w:val="yellow"/>
        </w:rPr>
      </w:pPr>
      <w:bookmarkStart w:id="70" w:name="_Toc19694"/>
      <w:r>
        <w:rPr>
          <w:rFonts w:hint="eastAsia" w:ascii="宋体" w:hAnsi="宋体"/>
          <w:szCs w:val="21"/>
        </w:rPr>
        <w:t>附件8：报价一览表（服务）</w:t>
      </w:r>
      <w:bookmarkEnd w:id="70"/>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深圳会展中心</w:t>
      </w:r>
      <w:r>
        <w:rPr>
          <w:rFonts w:ascii="仿宋" w:hAnsi="仿宋" w:eastAsia="仿宋"/>
          <w:sz w:val="28"/>
          <w:szCs w:val="28"/>
          <w:u w:val="single"/>
        </w:rPr>
        <w:t>2022-2024年</w:t>
      </w:r>
      <w:r>
        <w:rPr>
          <w:rFonts w:hint="eastAsia" w:ascii="仿宋" w:hAnsi="仿宋" w:eastAsia="仿宋"/>
          <w:sz w:val="28"/>
          <w:szCs w:val="28"/>
          <w:u w:val="single"/>
        </w:rPr>
        <w:t>度高交会新产品新技术发布活动项目</w:t>
      </w:r>
    </w:p>
    <w:p>
      <w:pPr>
        <w:spacing w:after="80" w:line="360" w:lineRule="auto"/>
        <w:rPr>
          <w:rFonts w:ascii="仿宋" w:hAnsi="仿宋" w:eastAsia="仿宋"/>
          <w:sz w:val="30"/>
          <w:szCs w:val="30"/>
          <w:u w:val="single"/>
        </w:rPr>
      </w:pPr>
      <w:r>
        <w:rPr>
          <w:rFonts w:hint="eastAsia" w:ascii="仿宋" w:hAnsi="仿宋" w:eastAsia="仿宋"/>
          <w:sz w:val="28"/>
          <w:szCs w:val="28"/>
        </w:rPr>
        <w:t>币种：人民币</w:t>
      </w:r>
      <w:r>
        <w:rPr>
          <w:rFonts w:ascii="仿宋" w:hAnsi="仿宋" w:eastAsia="仿宋"/>
          <w:sz w:val="28"/>
          <w:szCs w:val="28"/>
        </w:rPr>
        <w:t xml:space="preserve">         </w:t>
      </w:r>
      <w:r>
        <w:rPr>
          <w:rFonts w:hint="eastAsia" w:ascii="仿宋" w:hAnsi="仿宋" w:eastAsia="仿宋"/>
          <w:sz w:val="28"/>
          <w:szCs w:val="28"/>
        </w:rPr>
        <w:t>税率：</w:t>
      </w:r>
      <w:r>
        <w:rPr>
          <w:rFonts w:ascii="仿宋" w:hAnsi="仿宋" w:eastAsia="仿宋"/>
          <w:sz w:val="28"/>
          <w:szCs w:val="28"/>
          <w:u w:val="single"/>
        </w:rPr>
        <w:t xml:space="preserve">         </w:t>
      </w:r>
      <w:r>
        <w:rPr>
          <w:rFonts w:ascii="仿宋" w:hAnsi="仿宋" w:eastAsia="仿宋"/>
          <w:sz w:val="28"/>
          <w:szCs w:val="28"/>
        </w:rPr>
        <w:t xml:space="preserve">%          </w:t>
      </w:r>
      <w:r>
        <w:rPr>
          <w:rFonts w:hint="eastAsia" w:ascii="仿宋" w:hAnsi="仿宋" w:eastAsia="仿宋"/>
          <w:sz w:val="28"/>
          <w:szCs w:val="28"/>
        </w:rPr>
        <w:t>单位：元</w:t>
      </w:r>
      <w:r>
        <w:rPr>
          <w:rFonts w:ascii="仿宋" w:hAnsi="仿宋" w:eastAsia="仿宋"/>
          <w:sz w:val="28"/>
          <w:szCs w:val="28"/>
        </w:rPr>
        <w:t xml:space="preserve"> </w:t>
      </w:r>
    </w:p>
    <w:p>
      <w:pPr>
        <w:spacing w:line="400" w:lineRule="exact"/>
        <w:rPr>
          <w:rFonts w:ascii="仿宋" w:hAnsi="仿宋" w:eastAsia="仿宋"/>
          <w:sz w:val="30"/>
          <w:szCs w:val="30"/>
        </w:rPr>
      </w:pPr>
    </w:p>
    <w:tbl>
      <w:tblPr>
        <w:tblStyle w:val="15"/>
        <w:tblW w:w="8076" w:type="dxa"/>
        <w:tblInd w:w="0" w:type="dxa"/>
        <w:tblLayout w:type="fixed"/>
        <w:tblCellMar>
          <w:top w:w="0" w:type="dxa"/>
          <w:left w:w="0" w:type="dxa"/>
          <w:bottom w:w="0" w:type="dxa"/>
          <w:right w:w="0" w:type="dxa"/>
        </w:tblCellMar>
      </w:tblPr>
      <w:tblGrid>
        <w:gridCol w:w="530"/>
        <w:gridCol w:w="1491"/>
        <w:gridCol w:w="874"/>
        <w:gridCol w:w="1318"/>
        <w:gridCol w:w="1093"/>
        <w:gridCol w:w="1284"/>
        <w:gridCol w:w="1486"/>
      </w:tblGrid>
      <w:tr>
        <w:tblPrEx>
          <w:tblCellMar>
            <w:top w:w="0" w:type="dxa"/>
            <w:left w:w="0" w:type="dxa"/>
            <w:bottom w:w="0" w:type="dxa"/>
            <w:right w:w="0" w:type="dxa"/>
          </w:tblCellMar>
        </w:tblPrEx>
        <w:trPr>
          <w:trHeight w:val="288" w:hRule="atLeast"/>
        </w:trPr>
        <w:tc>
          <w:tcPr>
            <w:tcW w:w="807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b/>
                <w:color w:val="000000"/>
                <w:sz w:val="22"/>
                <w:szCs w:val="22"/>
              </w:rPr>
            </w:pPr>
            <w:r>
              <w:rPr>
                <w:rFonts w:hint="eastAsia" w:ascii="宋体" w:hAnsi="宋体" w:cs="宋体"/>
                <w:b/>
                <w:color w:val="000000"/>
                <w:kern w:val="0"/>
                <w:sz w:val="24"/>
                <w:lang w:bidi="ar"/>
              </w:rPr>
              <w:t>（一）新产品新技术发布活动服务费</w:t>
            </w:r>
          </w:p>
        </w:tc>
      </w:tr>
      <w:tr>
        <w:tblPrEx>
          <w:tblCellMar>
            <w:top w:w="0" w:type="dxa"/>
            <w:left w:w="0" w:type="dxa"/>
            <w:bottom w:w="0" w:type="dxa"/>
            <w:right w:w="0" w:type="dxa"/>
          </w:tblCellMar>
        </w:tblPrEx>
        <w:trPr>
          <w:trHeight w:val="28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序号</w:t>
            </w: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活动场次</w:t>
            </w:r>
          </w:p>
        </w:tc>
        <w:tc>
          <w:tcPr>
            <w:tcW w:w="24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报价</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备注</w:t>
            </w:r>
          </w:p>
        </w:tc>
      </w:tr>
      <w:tr>
        <w:tblPrEx>
          <w:tblCellMar>
            <w:top w:w="0" w:type="dxa"/>
            <w:left w:w="0" w:type="dxa"/>
            <w:bottom w:w="0" w:type="dxa"/>
            <w:right w:w="0" w:type="dxa"/>
          </w:tblCellMar>
        </w:tblPrEx>
        <w:trPr>
          <w:trHeight w:val="28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活动场次≦30</w:t>
            </w:r>
          </w:p>
        </w:tc>
        <w:tc>
          <w:tcPr>
            <w:tcW w:w="24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c>
          <w:tcPr>
            <w:tcW w:w="2770" w:type="dxa"/>
            <w:gridSpan w:val="2"/>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jc w:val="left"/>
              <w:rPr>
                <w:rFonts w:ascii="宋体" w:hAnsi="宋体" w:cs="宋体"/>
                <w:color w:val="000000"/>
                <w:sz w:val="22"/>
                <w:szCs w:val="22"/>
              </w:rPr>
            </w:pPr>
            <w:r>
              <w:rPr>
                <w:rFonts w:hint="eastAsia" w:ascii="宋体" w:hAnsi="宋体" w:cs="宋体"/>
                <w:color w:val="000000"/>
                <w:sz w:val="22"/>
                <w:szCs w:val="22"/>
              </w:rPr>
              <w:t>1</w:t>
            </w:r>
            <w:r>
              <w:rPr>
                <w:rFonts w:ascii="宋体" w:hAnsi="宋体" w:cs="宋体"/>
                <w:color w:val="000000"/>
                <w:sz w:val="22"/>
                <w:szCs w:val="22"/>
              </w:rPr>
              <w:t>.</w:t>
            </w:r>
            <w:r>
              <w:rPr>
                <w:rFonts w:hint="eastAsia" w:ascii="宋体" w:hAnsi="宋体" w:cs="宋体"/>
                <w:color w:val="000000"/>
                <w:sz w:val="22"/>
                <w:szCs w:val="22"/>
              </w:rPr>
              <w:t>活动场次≦30的报价为基础服务费；</w:t>
            </w:r>
          </w:p>
          <w:p>
            <w:pPr>
              <w:jc w:val="left"/>
              <w:rPr>
                <w:rFonts w:ascii="宋体" w:hAnsi="宋体" w:cs="宋体"/>
                <w:color w:val="000000"/>
                <w:sz w:val="22"/>
                <w:szCs w:val="22"/>
              </w:rPr>
            </w:pPr>
            <w:r>
              <w:rPr>
                <w:rFonts w:hint="eastAsia" w:ascii="宋体" w:hAnsi="宋体" w:cs="宋体"/>
                <w:color w:val="000000"/>
                <w:sz w:val="22"/>
                <w:szCs w:val="22"/>
              </w:rPr>
              <w:t>2</w:t>
            </w:r>
            <w:r>
              <w:rPr>
                <w:rFonts w:ascii="宋体" w:hAnsi="宋体" w:cs="宋体"/>
                <w:color w:val="000000"/>
                <w:sz w:val="22"/>
                <w:szCs w:val="22"/>
              </w:rPr>
              <w:t>.</w:t>
            </w:r>
            <w:r>
              <w:rPr>
                <w:rFonts w:hint="eastAsia" w:ascii="宋体" w:hAnsi="宋体" w:cs="宋体"/>
                <w:color w:val="000000"/>
                <w:sz w:val="22"/>
                <w:szCs w:val="22"/>
              </w:rPr>
              <w:t>各梯度报价为新产品新技术发布活动服务费总价；</w:t>
            </w:r>
          </w:p>
          <w:p>
            <w:pPr>
              <w:jc w:val="left"/>
              <w:rPr>
                <w:rFonts w:ascii="宋体" w:hAnsi="宋体" w:cs="宋体"/>
                <w:color w:val="000000"/>
                <w:sz w:val="22"/>
                <w:szCs w:val="22"/>
              </w:rPr>
            </w:pPr>
            <w:r>
              <w:rPr>
                <w:rFonts w:ascii="宋体" w:hAnsi="宋体" w:cs="宋体"/>
                <w:color w:val="000000"/>
                <w:sz w:val="22"/>
                <w:szCs w:val="22"/>
              </w:rPr>
              <w:t>3.</w:t>
            </w:r>
            <w:r>
              <w:rPr>
                <w:rFonts w:hint="eastAsia" w:ascii="宋体" w:hAnsi="宋体" w:cs="宋体"/>
                <w:color w:val="000000"/>
                <w:sz w:val="22"/>
                <w:szCs w:val="22"/>
              </w:rPr>
              <w:t xml:space="preserve"> 设置封顶价格，即实际场次超过7</w:t>
            </w:r>
            <w:r>
              <w:rPr>
                <w:rFonts w:ascii="宋体" w:hAnsi="宋体" w:cs="宋体"/>
                <w:color w:val="000000"/>
                <w:sz w:val="22"/>
                <w:szCs w:val="22"/>
              </w:rPr>
              <w:t>0</w:t>
            </w:r>
            <w:r>
              <w:rPr>
                <w:rFonts w:hint="eastAsia" w:ascii="宋体" w:hAnsi="宋体" w:cs="宋体"/>
                <w:color w:val="000000"/>
                <w:sz w:val="22"/>
                <w:szCs w:val="22"/>
              </w:rPr>
              <w:t>场后不再增加费用；</w:t>
            </w:r>
          </w:p>
          <w:p>
            <w:pPr>
              <w:jc w:val="left"/>
              <w:rPr>
                <w:rFonts w:ascii="宋体" w:hAnsi="宋体" w:cs="宋体"/>
                <w:color w:val="000000"/>
                <w:sz w:val="22"/>
                <w:szCs w:val="22"/>
              </w:rPr>
            </w:pPr>
            <w:r>
              <w:rPr>
                <w:rFonts w:ascii="宋体" w:hAnsi="宋体" w:cs="宋体"/>
                <w:color w:val="000000"/>
                <w:sz w:val="22"/>
                <w:szCs w:val="22"/>
              </w:rPr>
              <w:t>4.</w:t>
            </w:r>
            <w:r>
              <w:rPr>
                <w:rFonts w:hint="eastAsia" w:ascii="宋体" w:hAnsi="宋体" w:cs="宋体"/>
                <w:color w:val="000000"/>
                <w:sz w:val="22"/>
                <w:szCs w:val="22"/>
              </w:rPr>
              <w:t>取封顶报价（即活动场次≥</w:t>
            </w:r>
            <w:r>
              <w:rPr>
                <w:rFonts w:ascii="宋体" w:hAnsi="宋体" w:cs="宋体"/>
                <w:color w:val="000000"/>
                <w:sz w:val="22"/>
                <w:szCs w:val="22"/>
              </w:rPr>
              <w:t>71</w:t>
            </w:r>
            <w:r>
              <w:rPr>
                <w:rFonts w:hint="eastAsia" w:ascii="宋体" w:hAnsi="宋体" w:cs="宋体"/>
                <w:color w:val="000000"/>
                <w:sz w:val="22"/>
                <w:szCs w:val="22"/>
              </w:rPr>
              <w:t>）为年度合计金额的报价依据。</w:t>
            </w:r>
          </w:p>
        </w:tc>
      </w:tr>
      <w:tr>
        <w:tblPrEx>
          <w:tblCellMar>
            <w:top w:w="0" w:type="dxa"/>
            <w:left w:w="0" w:type="dxa"/>
            <w:bottom w:w="0" w:type="dxa"/>
            <w:right w:w="0" w:type="dxa"/>
          </w:tblCellMar>
        </w:tblPrEx>
        <w:trPr>
          <w:trHeight w:val="28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31≦活动场次≦40</w:t>
            </w:r>
          </w:p>
        </w:tc>
        <w:tc>
          <w:tcPr>
            <w:tcW w:w="24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c>
          <w:tcPr>
            <w:tcW w:w="2770" w:type="dxa"/>
            <w:gridSpan w:val="2"/>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41≦活动场次≦50</w:t>
            </w:r>
          </w:p>
        </w:tc>
        <w:tc>
          <w:tcPr>
            <w:tcW w:w="24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c>
          <w:tcPr>
            <w:tcW w:w="2770" w:type="dxa"/>
            <w:gridSpan w:val="2"/>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51≦活动场次≦60</w:t>
            </w:r>
          </w:p>
        </w:tc>
        <w:tc>
          <w:tcPr>
            <w:tcW w:w="24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c>
          <w:tcPr>
            <w:tcW w:w="2770" w:type="dxa"/>
            <w:gridSpan w:val="2"/>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1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61≦活动场次≦70</w:t>
            </w:r>
          </w:p>
        </w:tc>
        <w:tc>
          <w:tcPr>
            <w:tcW w:w="24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c>
          <w:tcPr>
            <w:tcW w:w="2770" w:type="dxa"/>
            <w:gridSpan w:val="2"/>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23"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活动场次≥</w:t>
            </w:r>
            <w:r>
              <w:rPr>
                <w:rFonts w:ascii="仿宋_GB2312" w:hAnsi="宋体" w:eastAsia="仿宋_GB2312" w:cs="仿宋_GB2312"/>
                <w:color w:val="000000"/>
                <w:kern w:val="0"/>
                <w:sz w:val="22"/>
                <w:szCs w:val="22"/>
                <w:lang w:bidi="ar"/>
              </w:rPr>
              <w:t>71</w:t>
            </w:r>
          </w:p>
        </w:tc>
        <w:tc>
          <w:tcPr>
            <w:tcW w:w="24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c>
          <w:tcPr>
            <w:tcW w:w="2770" w:type="dxa"/>
            <w:gridSpan w:val="2"/>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807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b/>
                <w:color w:val="000000"/>
                <w:sz w:val="22"/>
                <w:szCs w:val="22"/>
              </w:rPr>
            </w:pPr>
            <w:r>
              <w:rPr>
                <w:rFonts w:hint="eastAsia" w:ascii="宋体" w:hAnsi="宋体" w:cs="宋体"/>
                <w:b/>
                <w:color w:val="000000"/>
                <w:kern w:val="0"/>
                <w:sz w:val="24"/>
                <w:lang w:bidi="ar"/>
              </w:rPr>
              <w:t>（二）精品发布媒体服务费</w:t>
            </w:r>
          </w:p>
        </w:tc>
      </w:tr>
      <w:tr>
        <w:tblPrEx>
          <w:tblCellMar>
            <w:top w:w="0" w:type="dxa"/>
            <w:left w:w="0" w:type="dxa"/>
            <w:bottom w:w="0" w:type="dxa"/>
            <w:right w:w="0" w:type="dxa"/>
          </w:tblCellMar>
        </w:tblPrEx>
        <w:trPr>
          <w:trHeight w:val="28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序号</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内容描述</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单位</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数量</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金额</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备注</w:t>
            </w:r>
          </w:p>
        </w:tc>
      </w:tr>
      <w:tr>
        <w:tblPrEx>
          <w:tblCellMar>
            <w:top w:w="0" w:type="dxa"/>
            <w:left w:w="0" w:type="dxa"/>
            <w:bottom w:w="0" w:type="dxa"/>
            <w:right w:w="0" w:type="dxa"/>
          </w:tblCellMar>
        </w:tblPrEx>
        <w:trPr>
          <w:trHeight w:val="28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491"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新闻通稿</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篇</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491"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媒体发稿</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篇</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30"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491"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媒体邀请费</w:t>
            </w:r>
          </w:p>
        </w:tc>
        <w:tc>
          <w:tcPr>
            <w:tcW w:w="874"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位 </w:t>
            </w:r>
          </w:p>
        </w:tc>
        <w:tc>
          <w:tcPr>
            <w:tcW w:w="131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c>
          <w:tcPr>
            <w:tcW w:w="1093"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c>
          <w:tcPr>
            <w:tcW w:w="1284"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c>
          <w:tcPr>
            <w:tcW w:w="1486"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29" w:hRule="atLeast"/>
        </w:trPr>
        <w:tc>
          <w:tcPr>
            <w:tcW w:w="5306" w:type="dxa"/>
            <w:gridSpan w:val="5"/>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精品发布媒体服务费小计：</w:t>
            </w:r>
          </w:p>
        </w:tc>
        <w:tc>
          <w:tcPr>
            <w:tcW w:w="1284"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bCs/>
                <w:color w:val="000000"/>
                <w:kern w:val="0"/>
                <w:sz w:val="22"/>
                <w:szCs w:val="22"/>
                <w:lang w:bidi="ar"/>
              </w:rPr>
            </w:pPr>
          </w:p>
        </w:tc>
        <w:tc>
          <w:tcPr>
            <w:tcW w:w="1486"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bCs/>
                <w:color w:val="000000"/>
                <w:kern w:val="0"/>
                <w:sz w:val="22"/>
                <w:szCs w:val="22"/>
                <w:lang w:bidi="ar"/>
              </w:rPr>
            </w:pPr>
          </w:p>
        </w:tc>
      </w:tr>
      <w:tr>
        <w:tblPrEx>
          <w:tblCellMar>
            <w:top w:w="0" w:type="dxa"/>
            <w:left w:w="0" w:type="dxa"/>
            <w:bottom w:w="0" w:type="dxa"/>
            <w:right w:w="0" w:type="dxa"/>
          </w:tblCellMar>
        </w:tblPrEx>
        <w:trPr>
          <w:trHeight w:val="534" w:hRule="atLeast"/>
        </w:trPr>
        <w:tc>
          <w:tcPr>
            <w:tcW w:w="659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wordWrap w:val="0"/>
              <w:jc w:val="right"/>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 xml:space="preserve">年度合计金额（一+二）： </w:t>
            </w:r>
            <w:r>
              <w:rPr>
                <w:rFonts w:ascii="宋体" w:hAnsi="宋体" w:cs="宋体"/>
                <w:b/>
                <w:bCs/>
                <w:color w:val="000000"/>
                <w:kern w:val="0"/>
                <w:sz w:val="22"/>
                <w:szCs w:val="22"/>
                <w:lang w:bidi="ar"/>
              </w:rPr>
              <w:t xml:space="preserve">    </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bCs/>
                <w:color w:val="000000"/>
                <w:kern w:val="0"/>
                <w:sz w:val="22"/>
                <w:szCs w:val="22"/>
                <w:lang w:bidi="ar"/>
              </w:rPr>
            </w:pPr>
          </w:p>
        </w:tc>
      </w:tr>
      <w:tr>
        <w:tblPrEx>
          <w:tblCellMar>
            <w:top w:w="0" w:type="dxa"/>
            <w:left w:w="0" w:type="dxa"/>
            <w:bottom w:w="0" w:type="dxa"/>
            <w:right w:w="0" w:type="dxa"/>
          </w:tblCellMar>
        </w:tblPrEx>
        <w:trPr>
          <w:trHeight w:val="288" w:hRule="atLeast"/>
        </w:trPr>
        <w:tc>
          <w:tcPr>
            <w:tcW w:w="659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wordWrap w:val="0"/>
              <w:jc w:val="right"/>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 xml:space="preserve">项目合计金额： </w:t>
            </w:r>
            <w:r>
              <w:rPr>
                <w:rFonts w:ascii="宋体" w:hAnsi="宋体" w:cs="宋体"/>
                <w:b/>
                <w:bCs/>
                <w:color w:val="000000"/>
                <w:kern w:val="0"/>
                <w:sz w:val="22"/>
                <w:szCs w:val="22"/>
                <w:lang w:bidi="ar"/>
              </w:rPr>
              <w:t xml:space="preserve">    </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此项为年度合计金额乘以</w:t>
            </w:r>
            <w:r>
              <w:rPr>
                <w:rFonts w:ascii="宋体" w:hAnsi="宋体" w:cs="宋体"/>
                <w:color w:val="000000"/>
                <w:kern w:val="0"/>
                <w:sz w:val="22"/>
                <w:szCs w:val="22"/>
                <w:lang w:bidi="ar"/>
              </w:rPr>
              <w:t>3</w:t>
            </w:r>
          </w:p>
        </w:tc>
      </w:tr>
    </w:tbl>
    <w:p>
      <w:pPr>
        <w:spacing w:line="400" w:lineRule="exact"/>
        <w:rPr>
          <w:rFonts w:ascii="仿宋" w:hAnsi="仿宋" w:eastAsia="仿宋"/>
          <w:bCs/>
          <w:sz w:val="24"/>
          <w:szCs w:val="24"/>
          <w:u w:val="single"/>
        </w:rPr>
      </w:pPr>
      <w:r>
        <w:rPr>
          <w:rFonts w:hint="eastAsia" w:ascii="仿宋" w:hAnsi="仿宋" w:eastAsia="仿宋"/>
          <w:sz w:val="24"/>
          <w:szCs w:val="24"/>
        </w:rPr>
        <w:t>注：</w:t>
      </w:r>
    </w:p>
    <w:p>
      <w:pPr>
        <w:pStyle w:val="22"/>
        <w:numPr>
          <w:ilvl w:val="1"/>
          <w:numId w:val="45"/>
        </w:numPr>
        <w:spacing w:line="400" w:lineRule="exact"/>
        <w:ind w:left="851" w:hanging="425" w:firstLineChars="0"/>
        <w:rPr>
          <w:rFonts w:ascii="仿宋" w:hAnsi="仿宋" w:eastAsia="仿宋"/>
          <w:bCs/>
          <w:sz w:val="24"/>
          <w:szCs w:val="24"/>
        </w:rPr>
      </w:pPr>
      <w:r>
        <w:rPr>
          <w:rFonts w:hint="eastAsia" w:ascii="仿宋" w:hAnsi="仿宋" w:eastAsia="仿宋"/>
          <w:sz w:val="24"/>
          <w:szCs w:val="24"/>
        </w:rPr>
        <w:t>投标人</w:t>
      </w:r>
      <w:r>
        <w:rPr>
          <w:rFonts w:hint="eastAsia" w:ascii="仿宋" w:hAnsi="仿宋" w:eastAsia="仿宋"/>
          <w:bCs/>
          <w:sz w:val="24"/>
          <w:szCs w:val="24"/>
        </w:rPr>
        <w:t>如果需要对报价或其它内容加以说明，可在备注一栏中填写。</w:t>
      </w:r>
    </w:p>
    <w:p>
      <w:pPr>
        <w:pStyle w:val="22"/>
        <w:numPr>
          <w:ilvl w:val="1"/>
          <w:numId w:val="45"/>
        </w:numPr>
        <w:spacing w:line="400" w:lineRule="exact"/>
        <w:ind w:left="851" w:hanging="425" w:firstLineChars="0"/>
        <w:rPr>
          <w:rFonts w:ascii="仿宋" w:hAnsi="仿宋" w:eastAsia="仿宋"/>
          <w:bCs/>
          <w:sz w:val="24"/>
          <w:szCs w:val="24"/>
        </w:rPr>
      </w:pPr>
      <w:r>
        <w:rPr>
          <w:rFonts w:hint="eastAsia" w:ascii="仿宋" w:hAnsi="仿宋" w:eastAsia="仿宋"/>
          <w:sz w:val="24"/>
          <w:szCs w:val="24"/>
        </w:rPr>
        <w:t>投标人</w:t>
      </w:r>
      <w:r>
        <w:rPr>
          <w:rFonts w:hint="eastAsia" w:ascii="仿宋" w:hAnsi="仿宋" w:eastAsia="仿宋"/>
          <w:bCs/>
          <w:sz w:val="24"/>
          <w:szCs w:val="24"/>
        </w:rPr>
        <w:t>使用本表或自由报价单格式报价均可，但应能清晰体现总报价及分项报价信息。</w:t>
      </w:r>
    </w:p>
    <w:p>
      <w:pPr>
        <w:pStyle w:val="22"/>
        <w:numPr>
          <w:ilvl w:val="1"/>
          <w:numId w:val="45"/>
        </w:numPr>
        <w:spacing w:line="400" w:lineRule="exact"/>
        <w:ind w:left="851" w:hanging="425" w:firstLineChars="0"/>
        <w:rPr>
          <w:rFonts w:ascii="仿宋" w:hAnsi="仿宋" w:eastAsia="仿宋"/>
          <w:bCs/>
          <w:sz w:val="24"/>
          <w:szCs w:val="24"/>
        </w:rPr>
      </w:pPr>
      <w:r>
        <w:rPr>
          <w:rFonts w:hint="eastAsia" w:ascii="仿宋" w:hAnsi="仿宋" w:eastAsia="仿宋"/>
          <w:bCs/>
          <w:sz w:val="24"/>
          <w:szCs w:val="24"/>
        </w:rPr>
        <w:t>如果分项报价与总价不一致，以总价为准。</w:t>
      </w:r>
    </w:p>
    <w:p>
      <w:pPr>
        <w:spacing w:line="400" w:lineRule="exact"/>
        <w:rPr>
          <w:rFonts w:ascii="仿宋" w:hAnsi="仿宋" w:eastAsia="仿宋"/>
          <w:sz w:val="24"/>
          <w:szCs w:val="24"/>
        </w:rPr>
      </w:pPr>
      <w:r>
        <w:rPr>
          <w:rFonts w:ascii="仿宋" w:hAnsi="仿宋" w:eastAsia="仿宋"/>
          <w:sz w:val="24"/>
          <w:szCs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4"/>
          <w:szCs w:val="24"/>
        </w:rPr>
      </w:pPr>
      <w:r>
        <w:rPr>
          <w:rFonts w:hint="eastAsia" w:ascii="仿宋" w:hAnsi="仿宋" w:eastAsia="仿宋"/>
          <w:sz w:val="24"/>
          <w:szCs w:val="24"/>
        </w:rPr>
        <w:t>法定代表人或委托授权人（签字或盖章）：</w:t>
      </w:r>
      <w:r>
        <w:rPr>
          <w:rFonts w:ascii="仿宋" w:hAnsi="仿宋" w:eastAsia="仿宋"/>
          <w:sz w:val="24"/>
          <w:szCs w:val="24"/>
          <w:u w:val="single"/>
        </w:rPr>
        <w:t xml:space="preserve">                          </w:t>
      </w:r>
      <w:r>
        <w:rPr>
          <w:rFonts w:ascii="仿宋" w:hAnsi="仿宋" w:eastAsia="仿宋"/>
          <w:sz w:val="24"/>
          <w:szCs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4"/>
          <w:szCs w:val="24"/>
          <w:u w:val="single"/>
        </w:rPr>
      </w:pPr>
      <w:r>
        <w:rPr>
          <w:rFonts w:hint="eastAsia" w:ascii="仿宋" w:hAnsi="仿宋" w:eastAsia="仿宋"/>
          <w:sz w:val="24"/>
          <w:szCs w:val="24"/>
        </w:rPr>
        <w:t>投标人名称及盖章：</w:t>
      </w:r>
      <w:r>
        <w:rPr>
          <w:rFonts w:ascii="仿宋" w:hAnsi="仿宋" w:eastAsia="仿宋"/>
          <w:sz w:val="24"/>
          <w:szCs w:val="24"/>
          <w:u w:val="single"/>
        </w:rPr>
        <w:t xml:space="preserve">                        </w:t>
      </w:r>
    </w:p>
    <w:p>
      <w:pPr>
        <w:widowControl/>
        <w:jc w:val="left"/>
        <w:rPr>
          <w:rFonts w:ascii="仿宋" w:hAnsi="仿宋" w:eastAsia="仿宋"/>
          <w:sz w:val="30"/>
          <w:szCs w:val="30"/>
        </w:rPr>
      </w:pPr>
      <w:r>
        <w:rPr>
          <w:rFonts w:hint="eastAsia" w:ascii="仿宋" w:hAnsi="仿宋" w:eastAsia="仿宋"/>
          <w:sz w:val="24"/>
          <w:szCs w:val="24"/>
        </w:rPr>
        <w:t>报价日期：</w:t>
      </w:r>
      <w:r>
        <w:rPr>
          <w:rFonts w:ascii="仿宋" w:hAnsi="仿宋" w:eastAsia="仿宋"/>
          <w:sz w:val="24"/>
          <w:szCs w:val="24"/>
        </w:rPr>
        <w:t>_______年____月____日</w:t>
      </w:r>
      <w:r>
        <w:rPr>
          <w:rFonts w:ascii="仿宋" w:hAnsi="仿宋" w:eastAsia="仿宋"/>
          <w:sz w:val="30"/>
          <w:szCs w:val="30"/>
        </w:rPr>
        <w:br w:type="page"/>
      </w:r>
    </w:p>
    <w:p>
      <w:pPr>
        <w:spacing w:line="0" w:lineRule="atLeast"/>
        <w:outlineLvl w:val="1"/>
        <w:rPr>
          <w:rFonts w:ascii="宋体" w:hAnsi="宋体"/>
          <w:szCs w:val="21"/>
        </w:rPr>
      </w:pPr>
      <w:bookmarkStart w:id="71" w:name="_Toc8463"/>
      <w:r>
        <w:rPr>
          <w:rFonts w:hint="eastAsia" w:ascii="宋体" w:hAnsi="宋体"/>
          <w:szCs w:val="21"/>
        </w:rPr>
        <w:t>附件9：报价一览表（工程）</w:t>
      </w:r>
      <w:bookmarkEnd w:id="71"/>
      <w:r>
        <w:rPr>
          <w:rFonts w:hint="eastAsia" w:ascii="宋体" w:hAnsi="宋体"/>
          <w:color w:val="FF0000"/>
          <w:szCs w:val="21"/>
        </w:rPr>
        <w:t>（本项目不适用）</w:t>
      </w:r>
    </w:p>
    <w:p>
      <w:pP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2"/>
        <w:numPr>
          <w:ilvl w:val="1"/>
          <w:numId w:val="46"/>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46"/>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2"/>
        <w:numPr>
          <w:ilvl w:val="1"/>
          <w:numId w:val="46"/>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2"/>
        <w:numPr>
          <w:ilvl w:val="1"/>
          <w:numId w:val="46"/>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72" w:name="_Toc15056"/>
      <w:r>
        <w:rPr>
          <w:rFonts w:hint="eastAsia" w:ascii="宋体" w:hAnsi="宋体"/>
          <w:szCs w:val="21"/>
        </w:rPr>
        <w:t>附件10：法定代表人证明书</w:t>
      </w:r>
      <w:bookmarkEnd w:id="72"/>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360" w:lineRule="auto"/>
        <w:ind w:left="-358" w:leftChars="-171" w:hanging="1"/>
        <w:rPr>
          <w:rFonts w:ascii="仿宋" w:hAnsi="仿宋" w:eastAsia="仿宋"/>
          <w:sz w:val="28"/>
          <w:szCs w:val="28"/>
        </w:rPr>
      </w:pPr>
      <w:r>
        <w:rPr>
          <w:rFonts w:hint="eastAsia" w:ascii="仿宋" w:hAnsi="仿宋" w:eastAsia="仿宋"/>
          <w:sz w:val="28"/>
          <w:szCs w:val="28"/>
        </w:rPr>
        <w:t>说明：</w:t>
      </w:r>
    </w:p>
    <w:p>
      <w:pPr>
        <w:spacing w:line="360" w:lineRule="auto"/>
        <w:ind w:left="799" w:leftChars="230" w:hanging="316" w:hangingChars="113"/>
        <w:rPr>
          <w:rFonts w:ascii="仿宋" w:hAnsi="仿宋" w:eastAsia="仿宋"/>
          <w:sz w:val="28"/>
          <w:szCs w:val="28"/>
        </w:rPr>
      </w:pPr>
      <w:r>
        <w:rPr>
          <w:rFonts w:hint="eastAsia" w:ascii="仿宋" w:hAnsi="仿宋" w:eastAsia="仿宋"/>
          <w:sz w:val="28"/>
          <w:szCs w:val="28"/>
        </w:rPr>
        <w:t>1.法定代表人为企业事业单位、国家机关、社会团体的主要行政负责人。</w:t>
      </w:r>
    </w:p>
    <w:p>
      <w:pPr>
        <w:spacing w:line="360" w:lineRule="auto"/>
        <w:ind w:left="-358" w:leftChars="-171" w:hanging="1"/>
        <w:rPr>
          <w:rFonts w:ascii="仿宋" w:hAnsi="仿宋" w:eastAsia="仿宋"/>
          <w:sz w:val="28"/>
          <w:szCs w:val="28"/>
        </w:rPr>
      </w:pPr>
      <w:r>
        <w:rPr>
          <w:rFonts w:hint="eastAsia" w:ascii="仿宋" w:hAnsi="仿宋" w:eastAsia="仿宋"/>
          <w:sz w:val="28"/>
          <w:szCs w:val="28"/>
        </w:rPr>
        <w:t xml:space="preserve">      2.内容必须填写真实、清楚，涂改无效，不得转让、买卖。</w:t>
      </w:r>
    </w:p>
    <w:p>
      <w:pPr>
        <w:spacing w:line="360" w:lineRule="auto"/>
        <w:ind w:left="-359" w:leftChars="-171" w:firstLine="840" w:firstLineChars="300"/>
        <w:rPr>
          <w:rFonts w:ascii="仿宋" w:hAnsi="仿宋" w:eastAsia="仿宋"/>
          <w:sz w:val="28"/>
          <w:szCs w:val="28"/>
        </w:rPr>
      </w:pPr>
      <w:r>
        <w:rPr>
          <w:rFonts w:hint="eastAsia" w:ascii="仿宋" w:hAnsi="仿宋" w:eastAsia="仿宋"/>
          <w:sz w:val="28"/>
          <w:szCs w:val="28"/>
        </w:rPr>
        <w:t>3.将此证明书提交对方作为合同附件。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73" w:name="_Toc15179"/>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73"/>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ascii="仿宋" w:hAnsi="仿宋" w:eastAsia="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74" w:name="_Toc24595"/>
      <w:r>
        <w:rPr>
          <w:rFonts w:hint="eastAsia" w:ascii="宋体" w:hAnsi="宋体"/>
          <w:szCs w:val="21"/>
        </w:rPr>
        <w:t>附件</w:t>
      </w:r>
      <w:r>
        <w:rPr>
          <w:rFonts w:ascii="宋体" w:hAnsi="宋体"/>
          <w:szCs w:val="21"/>
        </w:rPr>
        <w:t>1</w:t>
      </w:r>
      <w:r>
        <w:rPr>
          <w:rFonts w:hint="eastAsia" w:ascii="宋体" w:hAnsi="宋体"/>
          <w:szCs w:val="21"/>
        </w:rPr>
        <w:t>2：经营业绩一览表</w:t>
      </w:r>
      <w:bookmarkEnd w:id="74"/>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5"/>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rPr>
          <w:rFonts w:ascii="仿宋" w:hAnsi="仿宋" w:eastAsia="仿宋"/>
          <w:sz w:val="28"/>
          <w:szCs w:val="28"/>
        </w:rPr>
      </w:pPr>
      <w:r>
        <w:rPr>
          <w:rFonts w:hint="eastAsia" w:ascii="仿宋" w:hAnsi="仿宋" w:eastAsia="仿宋"/>
          <w:sz w:val="28"/>
          <w:szCs w:val="28"/>
        </w:rPr>
        <w:t>1.此表格式如不合适，投标人可自行调整。</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2.投标人根据招标文件业绩部分资格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3.上述业绩必须为真实有效，如发现业绩不符，将取消相应资格；</w:t>
      </w:r>
    </w:p>
    <w:p>
      <w:pPr>
        <w:autoSpaceDE w:val="0"/>
        <w:autoSpaceDN w:val="0"/>
        <w:adjustRightInd w:val="0"/>
        <w:snapToGrid w:val="0"/>
        <w:jc w:val="left"/>
        <w:rPr>
          <w:rFonts w:ascii="仿宋" w:hAnsi="仿宋" w:eastAsia="仿宋"/>
          <w:sz w:val="28"/>
          <w:szCs w:val="28"/>
        </w:rPr>
      </w:pPr>
      <w:r>
        <w:rPr>
          <w:rFonts w:hint="eastAsia" w:ascii="仿宋" w:hAnsi="仿宋" w:eastAsia="仿宋"/>
          <w:sz w:val="28"/>
          <w:szCs w:val="28"/>
        </w:rPr>
        <w:t>4.证明材料须附在本表后即可。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75" w:name="_Toc4290"/>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75"/>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76" w:name="_Toc32341"/>
      <w:r>
        <w:rPr>
          <w:rFonts w:ascii="仿宋" w:hAnsi="仿宋" w:eastAsia="仿宋"/>
          <w:sz w:val="28"/>
          <w:szCs w:val="28"/>
        </w:rPr>
        <w:br w:type="page"/>
      </w:r>
    </w:p>
    <w:p>
      <w:pPr>
        <w:spacing w:line="0" w:lineRule="atLeast"/>
        <w:outlineLvl w:val="1"/>
        <w:rPr>
          <w:rFonts w:ascii="宋体" w:hAnsi="宋体"/>
          <w:szCs w:val="21"/>
        </w:rPr>
      </w:pPr>
      <w:bookmarkStart w:id="77" w:name="_Toc11411"/>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76"/>
      <w:bookmarkEnd w:id="77"/>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1"/>
      </w:pPr>
    </w:p>
    <w:p>
      <w:pPr>
        <w:spacing w:line="0" w:lineRule="atLeast"/>
        <w:outlineLvl w:val="1"/>
        <w:rPr>
          <w:rFonts w:ascii="宋体" w:hAnsi="宋体"/>
        </w:rPr>
      </w:pPr>
      <w:bookmarkStart w:id="78" w:name="_Toc28341"/>
      <w:bookmarkStart w:id="79" w:name="_Toc100848654"/>
      <w:r>
        <w:rPr>
          <w:rFonts w:hint="eastAsia" w:ascii="宋体" w:hAnsi="宋体"/>
        </w:rPr>
        <w:t>附件1</w:t>
      </w:r>
      <w:r>
        <w:rPr>
          <w:rFonts w:ascii="宋体" w:hAnsi="宋体"/>
        </w:rPr>
        <w:t>5</w:t>
      </w:r>
      <w:r>
        <w:rPr>
          <w:rFonts w:hint="eastAsia" w:ascii="宋体" w:hAnsi="宋体"/>
        </w:rPr>
        <w:t>：投标文件密码</w:t>
      </w:r>
      <w:bookmarkEnd w:id="78"/>
      <w:bookmarkEnd w:id="79"/>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80"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80"/>
    </w:p>
    <w:p>
      <w:pPr>
        <w:jc w:val="center"/>
        <w:rPr>
          <w:rFonts w:ascii="宋体" w:hAnsi="宋体"/>
          <w:b/>
          <w:sz w:val="32"/>
          <w:szCs w:val="32"/>
        </w:rPr>
      </w:pPr>
      <w:r>
        <w:rPr>
          <w:rFonts w:hint="eastAsia" w:ascii="宋体" w:hAnsi="宋体"/>
          <w:b/>
          <w:sz w:val="32"/>
          <w:szCs w:val="32"/>
        </w:rPr>
        <w:t>（一）投标文件密码</w:t>
      </w: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1"/>
        <w:rPr>
          <w:rFonts w:ascii="仿宋" w:hAnsi="仿宋" w:eastAsia="仿宋"/>
          <w:b/>
          <w:sz w:val="24"/>
        </w:rPr>
      </w:pPr>
      <w:r>
        <w:rPr>
          <w:rFonts w:hint="eastAsia" w:ascii="仿宋" w:hAnsi="仿宋" w:eastAsia="仿宋"/>
          <w:b/>
          <w:color w:val="FF0000"/>
          <w:sz w:val="24"/>
        </w:rPr>
        <w:t>【特别注意】</w:t>
      </w:r>
      <w:r>
        <w:rPr>
          <w:rFonts w:hint="eastAsia" w:ascii="仿宋" w:hAnsi="仿宋" w:eastAsia="仿宋"/>
          <w:b/>
          <w:color w:val="000000" w:themeColor="text1"/>
          <w:sz w:val="24"/>
          <w14:textFill>
            <w14:solidFill>
              <w14:schemeClr w14:val="tx1"/>
            </w14:solidFill>
          </w14:textFill>
        </w:rPr>
        <w:t>密码</w:t>
      </w:r>
      <w:r>
        <w:rPr>
          <w:rFonts w:hint="eastAsia" w:ascii="仿宋" w:hAnsi="仿宋" w:eastAsia="仿宋"/>
          <w:b/>
          <w:sz w:val="24"/>
        </w:rPr>
        <w:t>区分大小写，且不得使用易与数字混淆的</w:t>
      </w:r>
      <w:r>
        <w:rPr>
          <w:rFonts w:ascii="仿宋" w:hAnsi="仿宋" w:eastAsia="仿宋"/>
          <w:b/>
          <w:sz w:val="24"/>
        </w:rPr>
        <w:t>I</w:t>
      </w:r>
      <w:r>
        <w:rPr>
          <w:rFonts w:hint="eastAsia" w:ascii="仿宋" w:hAnsi="仿宋" w:eastAsia="仿宋"/>
          <w:b/>
          <w:sz w:val="24"/>
        </w:rPr>
        <w:t>、l、O（或</w:t>
      </w:r>
      <w:r>
        <w:rPr>
          <w:rFonts w:ascii="仿宋" w:hAnsi="仿宋" w:eastAsia="仿宋"/>
          <w:b/>
          <w:sz w:val="24"/>
        </w:rPr>
        <w:t>o</w:t>
      </w:r>
      <w:r>
        <w:rPr>
          <w:rFonts w:hint="eastAsia" w:ascii="仿宋" w:hAnsi="仿宋" w:eastAsia="仿宋"/>
          <w:b/>
          <w:sz w:val="24"/>
        </w:rPr>
        <w:t>）等字母。</w:t>
      </w:r>
    </w:p>
    <w:p>
      <w:pPr>
        <w:pStyle w:val="11"/>
      </w:pPr>
    </w:p>
    <w:p/>
    <w:sectPr>
      <w:footerReference r:id="rId4"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A2281775"/>
    <w:multiLevelType w:val="singleLevel"/>
    <w:tmpl w:val="A2281775"/>
    <w:lvl w:ilvl="0" w:tentative="0">
      <w:start w:val="1"/>
      <w:numFmt w:val="decimal"/>
      <w:suff w:val="space"/>
      <w:lvlText w:val="%1."/>
      <w:lvlJc w:val="left"/>
    </w:lvl>
  </w:abstractNum>
  <w:abstractNum w:abstractNumId="4">
    <w:nsid w:val="B8CECA47"/>
    <w:multiLevelType w:val="singleLevel"/>
    <w:tmpl w:val="B8CECA47"/>
    <w:lvl w:ilvl="0" w:tentative="0">
      <w:start w:val="1"/>
      <w:numFmt w:val="decimal"/>
      <w:suff w:val="nothing"/>
      <w:lvlText w:val="（%1）"/>
      <w:lvlJc w:val="left"/>
    </w:lvl>
  </w:abstractNum>
  <w:abstractNum w:abstractNumId="5">
    <w:nsid w:val="C44E28AB"/>
    <w:multiLevelType w:val="singleLevel"/>
    <w:tmpl w:val="C44E28AB"/>
    <w:lvl w:ilvl="0" w:tentative="0">
      <w:start w:val="1"/>
      <w:numFmt w:val="decimal"/>
      <w:suff w:val="space"/>
      <w:lvlText w:val="%1."/>
      <w:lvlJc w:val="left"/>
      <w:pPr>
        <w:ind w:left="522" w:leftChars="0" w:firstLine="0" w:firstLineChars="0"/>
      </w:pPr>
      <w:rPr>
        <w:rFonts w:hint="default" w:ascii="仿宋" w:hAnsi="仿宋" w:eastAsia="仿宋" w:cs="仿宋"/>
        <w:sz w:val="28"/>
        <w:szCs w:val="28"/>
      </w:rPr>
    </w:lvl>
  </w:abstractNum>
  <w:abstractNum w:abstractNumId="6">
    <w:nsid w:val="CA690857"/>
    <w:multiLevelType w:val="singleLevel"/>
    <w:tmpl w:val="CA690857"/>
    <w:lvl w:ilvl="0" w:tentative="0">
      <w:start w:val="1"/>
      <w:numFmt w:val="decimal"/>
      <w:lvlText w:val="（%1）"/>
      <w:lvlJc w:val="left"/>
      <w:pPr>
        <w:ind w:left="420" w:hanging="420"/>
      </w:pPr>
      <w:rPr>
        <w:rFonts w:hint="eastAsia"/>
      </w:rPr>
    </w:lvl>
  </w:abstractNum>
  <w:abstractNum w:abstractNumId="7">
    <w:nsid w:val="CCD20F7F"/>
    <w:multiLevelType w:val="singleLevel"/>
    <w:tmpl w:val="CCD20F7F"/>
    <w:lvl w:ilvl="0" w:tentative="0">
      <w:start w:val="1"/>
      <w:numFmt w:val="decimal"/>
      <w:suff w:val="nothing"/>
      <w:lvlText w:val="（%1）"/>
      <w:lvlJc w:val="left"/>
    </w:lvl>
  </w:abstractNum>
  <w:abstractNum w:abstractNumId="8">
    <w:nsid w:val="CF7FE85F"/>
    <w:multiLevelType w:val="singleLevel"/>
    <w:tmpl w:val="CF7FE85F"/>
    <w:lvl w:ilvl="0" w:tentative="0">
      <w:start w:val="1"/>
      <w:numFmt w:val="decimal"/>
      <w:lvlText w:val="%1."/>
      <w:lvlJc w:val="left"/>
      <w:pPr>
        <w:ind w:left="425" w:hanging="425"/>
      </w:pPr>
      <w:rPr>
        <w:rFonts w:hint="default"/>
      </w:rPr>
    </w:lvl>
  </w:abstractNum>
  <w:abstractNum w:abstractNumId="9">
    <w:nsid w:val="D3051835"/>
    <w:multiLevelType w:val="singleLevel"/>
    <w:tmpl w:val="D3051835"/>
    <w:lvl w:ilvl="0" w:tentative="0">
      <w:start w:val="1"/>
      <w:numFmt w:val="decimal"/>
      <w:suff w:val="space"/>
      <w:lvlText w:val="%1."/>
      <w:lvlJc w:val="left"/>
    </w:lvl>
  </w:abstractNum>
  <w:abstractNum w:abstractNumId="10">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11">
    <w:nsid w:val="DAA5A57F"/>
    <w:multiLevelType w:val="singleLevel"/>
    <w:tmpl w:val="DAA5A57F"/>
    <w:lvl w:ilvl="0" w:tentative="0">
      <w:start w:val="1"/>
      <w:numFmt w:val="decimal"/>
      <w:suff w:val="space"/>
      <w:lvlText w:val="%1."/>
      <w:lvlJc w:val="left"/>
    </w:lvl>
  </w:abstractNum>
  <w:abstractNum w:abstractNumId="12">
    <w:nsid w:val="DB412BEE"/>
    <w:multiLevelType w:val="singleLevel"/>
    <w:tmpl w:val="DB412BEE"/>
    <w:lvl w:ilvl="0" w:tentative="0">
      <w:start w:val="1"/>
      <w:numFmt w:val="decimal"/>
      <w:suff w:val="nothing"/>
      <w:lvlText w:val="（%1）"/>
      <w:lvlJc w:val="left"/>
    </w:lvl>
  </w:abstractNum>
  <w:abstractNum w:abstractNumId="13">
    <w:nsid w:val="DB4D60E3"/>
    <w:multiLevelType w:val="singleLevel"/>
    <w:tmpl w:val="DB4D60E3"/>
    <w:lvl w:ilvl="0" w:tentative="0">
      <w:start w:val="1"/>
      <w:numFmt w:val="decimal"/>
      <w:suff w:val="space"/>
      <w:lvlText w:val="%1."/>
      <w:lvlJc w:val="left"/>
    </w:lvl>
  </w:abstractNum>
  <w:abstractNum w:abstractNumId="14">
    <w:nsid w:val="DB589FA0"/>
    <w:multiLevelType w:val="singleLevel"/>
    <w:tmpl w:val="DB589FA0"/>
    <w:lvl w:ilvl="0" w:tentative="0">
      <w:start w:val="1"/>
      <w:numFmt w:val="decimal"/>
      <w:suff w:val="nothing"/>
      <w:lvlText w:val="（%1）"/>
      <w:lvlJc w:val="left"/>
    </w:lvl>
  </w:abstractNum>
  <w:abstractNum w:abstractNumId="15">
    <w:nsid w:val="EBB28CBD"/>
    <w:multiLevelType w:val="singleLevel"/>
    <w:tmpl w:val="EBB28CBD"/>
    <w:lvl w:ilvl="0" w:tentative="0">
      <w:start w:val="1"/>
      <w:numFmt w:val="decimal"/>
      <w:suff w:val="space"/>
      <w:lvlText w:val="%1."/>
      <w:lvlJc w:val="left"/>
      <w:pPr>
        <w:ind w:left="520" w:leftChars="0" w:firstLine="0" w:firstLineChars="0"/>
      </w:pPr>
    </w:lvl>
  </w:abstractNum>
  <w:abstractNum w:abstractNumId="16">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7">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3"/>
    <w:multiLevelType w:val="singleLevel"/>
    <w:tmpl w:val="00000013"/>
    <w:lvl w:ilvl="0" w:tentative="0">
      <w:start w:val="1"/>
      <w:numFmt w:val="decimal"/>
      <w:lvlText w:val="%1."/>
      <w:lvlJc w:val="left"/>
      <w:pPr>
        <w:ind w:left="420" w:hanging="420"/>
      </w:pPr>
    </w:lvl>
  </w:abstractNum>
  <w:abstractNum w:abstractNumId="21">
    <w:nsid w:val="11D69C2C"/>
    <w:multiLevelType w:val="singleLevel"/>
    <w:tmpl w:val="11D69C2C"/>
    <w:lvl w:ilvl="0" w:tentative="0">
      <w:start w:val="1"/>
      <w:numFmt w:val="decimal"/>
      <w:suff w:val="space"/>
      <w:lvlText w:val="%1."/>
      <w:lvlJc w:val="left"/>
    </w:lvl>
  </w:abstractNum>
  <w:abstractNum w:abstractNumId="22">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0AB9193"/>
    <w:multiLevelType w:val="singleLevel"/>
    <w:tmpl w:val="20AB9193"/>
    <w:lvl w:ilvl="0" w:tentative="0">
      <w:start w:val="1"/>
      <w:numFmt w:val="decimal"/>
      <w:lvlText w:val="%1."/>
      <w:lvlJc w:val="left"/>
      <w:pPr>
        <w:ind w:left="425" w:hanging="425"/>
      </w:pPr>
      <w:rPr>
        <w:rFonts w:hint="default"/>
      </w:rPr>
    </w:lvl>
  </w:abstractNum>
  <w:abstractNum w:abstractNumId="25">
    <w:nsid w:val="237B6A6C"/>
    <w:multiLevelType w:val="singleLevel"/>
    <w:tmpl w:val="237B6A6C"/>
    <w:lvl w:ilvl="0" w:tentative="0">
      <w:start w:val="1"/>
      <w:numFmt w:val="chineseCounting"/>
      <w:suff w:val="nothing"/>
      <w:lvlText w:val="（%1）"/>
      <w:lvlJc w:val="left"/>
      <w:pPr>
        <w:ind w:left="522" w:leftChars="0" w:firstLine="0" w:firstLineChars="0"/>
      </w:pPr>
      <w:rPr>
        <w:rFonts w:hint="eastAsia"/>
      </w:rPr>
    </w:lvl>
  </w:abstractNum>
  <w:abstractNum w:abstractNumId="26">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BF7350A"/>
    <w:multiLevelType w:val="singleLevel"/>
    <w:tmpl w:val="3BF7350A"/>
    <w:lvl w:ilvl="0" w:tentative="0">
      <w:start w:val="1"/>
      <w:numFmt w:val="chineseCounting"/>
      <w:suff w:val="nothing"/>
      <w:lvlText w:val="（%1）"/>
      <w:lvlJc w:val="left"/>
      <w:pPr>
        <w:ind w:left="520" w:leftChars="0" w:firstLine="0" w:firstLineChars="0"/>
      </w:pPr>
      <w:rPr>
        <w:rFonts w:hint="eastAsia"/>
      </w:rPr>
    </w:lvl>
  </w:abstractNum>
  <w:abstractNum w:abstractNumId="31">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2">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4">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5">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6">
    <w:nsid w:val="4FA641D5"/>
    <w:multiLevelType w:val="singleLevel"/>
    <w:tmpl w:val="4FA641D5"/>
    <w:lvl w:ilvl="0" w:tentative="0">
      <w:start w:val="1"/>
      <w:numFmt w:val="decimal"/>
      <w:suff w:val="nothing"/>
      <w:lvlText w:val="（%1）"/>
      <w:lvlJc w:val="left"/>
    </w:lvl>
  </w:abstractNum>
  <w:abstractNum w:abstractNumId="37">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8">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9">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EBD3F97"/>
    <w:multiLevelType w:val="singleLevel"/>
    <w:tmpl w:val="5EBD3F97"/>
    <w:lvl w:ilvl="0" w:tentative="0">
      <w:start w:val="1"/>
      <w:numFmt w:val="decimal"/>
      <w:lvlText w:val="(%1)"/>
      <w:lvlJc w:val="left"/>
      <w:pPr>
        <w:ind w:left="425" w:hanging="425"/>
      </w:pPr>
      <w:rPr>
        <w:rFonts w:hint="default"/>
      </w:rPr>
    </w:lvl>
  </w:abstractNum>
  <w:abstractNum w:abstractNumId="42">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3">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4">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45">
    <w:nsid w:val="7B4A4E0C"/>
    <w:multiLevelType w:val="singleLevel"/>
    <w:tmpl w:val="7B4A4E0C"/>
    <w:lvl w:ilvl="0" w:tentative="0">
      <w:start w:val="1"/>
      <w:numFmt w:val="decimal"/>
      <w:lvlText w:val="（%1）"/>
      <w:lvlJc w:val="left"/>
      <w:pPr>
        <w:ind w:left="420" w:hanging="420"/>
      </w:pPr>
      <w:rPr>
        <w:rFonts w:hint="eastAsia"/>
      </w:rPr>
    </w:lvl>
  </w:abstractNum>
  <w:abstractNum w:abstractNumId="46">
    <w:nsid w:val="7ED17433"/>
    <w:multiLevelType w:val="singleLevel"/>
    <w:tmpl w:val="7ED17433"/>
    <w:lvl w:ilvl="0" w:tentative="0">
      <w:start w:val="1"/>
      <w:numFmt w:val="decimal"/>
      <w:lvlText w:val="（%1）"/>
      <w:lvlJc w:val="left"/>
      <w:pPr>
        <w:ind w:left="420" w:hanging="420"/>
      </w:pPr>
      <w:rPr>
        <w:rFonts w:hint="eastAsia"/>
      </w:rPr>
    </w:lvl>
  </w:abstractNum>
  <w:num w:numId="1">
    <w:abstractNumId w:val="38"/>
  </w:num>
  <w:num w:numId="2">
    <w:abstractNumId w:val="43"/>
  </w:num>
  <w:num w:numId="3">
    <w:abstractNumId w:val="29"/>
  </w:num>
  <w:num w:numId="4">
    <w:abstractNumId w:val="6"/>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39"/>
  </w:num>
  <w:num w:numId="8">
    <w:abstractNumId w:val="32"/>
  </w:num>
  <w:num w:numId="9">
    <w:abstractNumId w:val="22"/>
  </w:num>
  <w:num w:numId="10">
    <w:abstractNumId w:val="45"/>
  </w:num>
  <w:num w:numId="11">
    <w:abstractNumId w:val="46"/>
  </w:num>
  <w:num w:numId="12">
    <w:abstractNumId w:val="7"/>
  </w:num>
  <w:num w:numId="13">
    <w:abstractNumId w:val="14"/>
  </w:num>
  <w:num w:numId="14">
    <w:abstractNumId w:val="9"/>
  </w:num>
  <w:num w:numId="15">
    <w:abstractNumId w:val="19"/>
  </w:num>
  <w:num w:numId="16">
    <w:abstractNumId w:val="41"/>
  </w:num>
  <w:num w:numId="17">
    <w:abstractNumId w:val="23"/>
  </w:num>
  <w:num w:numId="18">
    <w:abstractNumId w:val="12"/>
  </w:num>
  <w:num w:numId="19">
    <w:abstractNumId w:val="28"/>
  </w:num>
  <w:num w:numId="20">
    <w:abstractNumId w:val="4"/>
  </w:num>
  <w:num w:numId="21">
    <w:abstractNumId w:val="36"/>
  </w:num>
  <w:num w:numId="22">
    <w:abstractNumId w:val="3"/>
  </w:num>
  <w:num w:numId="23">
    <w:abstractNumId w:val="11"/>
  </w:num>
  <w:num w:numId="24">
    <w:abstractNumId w:val="33"/>
  </w:num>
  <w:num w:numId="25">
    <w:abstractNumId w:val="30"/>
  </w:num>
  <w:num w:numId="26">
    <w:abstractNumId w:val="15"/>
  </w:num>
  <w:num w:numId="27">
    <w:abstractNumId w:val="24"/>
  </w:num>
  <w:num w:numId="28">
    <w:abstractNumId w:val="8"/>
  </w:num>
  <w:num w:numId="29">
    <w:abstractNumId w:val="40"/>
  </w:num>
  <w:num w:numId="30">
    <w:abstractNumId w:val="21"/>
  </w:num>
  <w:num w:numId="31">
    <w:abstractNumId w:val="35"/>
  </w:num>
  <w:num w:numId="32">
    <w:abstractNumId w:val="5"/>
  </w:num>
  <w:num w:numId="33">
    <w:abstractNumId w:val="25"/>
  </w:num>
  <w:num w:numId="34">
    <w:abstractNumId w:val="1"/>
  </w:num>
  <w:num w:numId="35">
    <w:abstractNumId w:val="13"/>
  </w:num>
  <w:num w:numId="36">
    <w:abstractNumId w:val="10"/>
  </w:num>
  <w:num w:numId="37">
    <w:abstractNumId w:val="44"/>
  </w:num>
  <w:num w:numId="38">
    <w:abstractNumId w:val="0"/>
  </w:num>
  <w:num w:numId="39">
    <w:abstractNumId w:val="2"/>
  </w:num>
  <w:num w:numId="40">
    <w:abstractNumId w:val="31"/>
  </w:num>
  <w:num w:numId="41">
    <w:abstractNumId w:val="16"/>
  </w:num>
  <w:num w:numId="42">
    <w:abstractNumId w:val="18"/>
  </w:num>
  <w:num w:numId="43">
    <w:abstractNumId w:val="17"/>
  </w:num>
  <w:num w:numId="44">
    <w:abstractNumId w:val="42"/>
  </w:num>
  <w:num w:numId="45">
    <w:abstractNumId w:val="34"/>
  </w:num>
  <w:num w:numId="46">
    <w:abstractNumId w:val="27"/>
  </w:num>
  <w:num w:numId="47">
    <w:abstractNumId w:val="20"/>
  </w:num>
  <w:num w:numId="48">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0ZDgyNzllMDZjOWU0NDNkZTcxMTg4Y2I4NzBiYTMifQ=="/>
  </w:docVars>
  <w:rsids>
    <w:rsidRoot w:val="00172A27"/>
    <w:rsid w:val="00005567"/>
    <w:rsid w:val="000071F5"/>
    <w:rsid w:val="000109CF"/>
    <w:rsid w:val="0001408F"/>
    <w:rsid w:val="00020D3D"/>
    <w:rsid w:val="0002431D"/>
    <w:rsid w:val="0006307A"/>
    <w:rsid w:val="00071803"/>
    <w:rsid w:val="00074891"/>
    <w:rsid w:val="00077160"/>
    <w:rsid w:val="00080360"/>
    <w:rsid w:val="0008079F"/>
    <w:rsid w:val="00093F3A"/>
    <w:rsid w:val="000A2942"/>
    <w:rsid w:val="000C0416"/>
    <w:rsid w:val="000C45B3"/>
    <w:rsid w:val="000C7053"/>
    <w:rsid w:val="000C73AC"/>
    <w:rsid w:val="000E22BB"/>
    <w:rsid w:val="000E3E7C"/>
    <w:rsid w:val="000F16F8"/>
    <w:rsid w:val="000F23B0"/>
    <w:rsid w:val="001052B4"/>
    <w:rsid w:val="001107A5"/>
    <w:rsid w:val="00117D3F"/>
    <w:rsid w:val="001238C4"/>
    <w:rsid w:val="0012732B"/>
    <w:rsid w:val="0013213B"/>
    <w:rsid w:val="0013663B"/>
    <w:rsid w:val="00137AB2"/>
    <w:rsid w:val="00141B72"/>
    <w:rsid w:val="001427DC"/>
    <w:rsid w:val="00162AA4"/>
    <w:rsid w:val="001723D2"/>
    <w:rsid w:val="00172A27"/>
    <w:rsid w:val="00174846"/>
    <w:rsid w:val="00180E0D"/>
    <w:rsid w:val="001959E5"/>
    <w:rsid w:val="001978B2"/>
    <w:rsid w:val="001A6C5B"/>
    <w:rsid w:val="001E44D2"/>
    <w:rsid w:val="001F14F2"/>
    <w:rsid w:val="00206999"/>
    <w:rsid w:val="00212363"/>
    <w:rsid w:val="0021656E"/>
    <w:rsid w:val="0022465E"/>
    <w:rsid w:val="00233E0E"/>
    <w:rsid w:val="00252697"/>
    <w:rsid w:val="0025464B"/>
    <w:rsid w:val="00292E63"/>
    <w:rsid w:val="002963F2"/>
    <w:rsid w:val="002A29D5"/>
    <w:rsid w:val="002B743A"/>
    <w:rsid w:val="002C49F2"/>
    <w:rsid w:val="003158DE"/>
    <w:rsid w:val="003255E6"/>
    <w:rsid w:val="003300CC"/>
    <w:rsid w:val="003436BC"/>
    <w:rsid w:val="00354484"/>
    <w:rsid w:val="003545D1"/>
    <w:rsid w:val="003823A8"/>
    <w:rsid w:val="00386EB3"/>
    <w:rsid w:val="00397C1E"/>
    <w:rsid w:val="003A09E6"/>
    <w:rsid w:val="003B01FB"/>
    <w:rsid w:val="003D0358"/>
    <w:rsid w:val="003D1C58"/>
    <w:rsid w:val="003E6092"/>
    <w:rsid w:val="003E66A3"/>
    <w:rsid w:val="003E7621"/>
    <w:rsid w:val="0042351B"/>
    <w:rsid w:val="004235D9"/>
    <w:rsid w:val="00427D5D"/>
    <w:rsid w:val="004419A7"/>
    <w:rsid w:val="00441F17"/>
    <w:rsid w:val="004707D2"/>
    <w:rsid w:val="00471ED2"/>
    <w:rsid w:val="00476C96"/>
    <w:rsid w:val="00492F1D"/>
    <w:rsid w:val="004A0594"/>
    <w:rsid w:val="004A7C1F"/>
    <w:rsid w:val="004B0D64"/>
    <w:rsid w:val="004B24F9"/>
    <w:rsid w:val="004D58FC"/>
    <w:rsid w:val="004D6F70"/>
    <w:rsid w:val="004E3802"/>
    <w:rsid w:val="004E4541"/>
    <w:rsid w:val="004E7657"/>
    <w:rsid w:val="004F63E5"/>
    <w:rsid w:val="00506B6D"/>
    <w:rsid w:val="00514DCB"/>
    <w:rsid w:val="00544B6E"/>
    <w:rsid w:val="00565EDC"/>
    <w:rsid w:val="00571D9D"/>
    <w:rsid w:val="005815FC"/>
    <w:rsid w:val="00584FCD"/>
    <w:rsid w:val="005A26F8"/>
    <w:rsid w:val="005A480E"/>
    <w:rsid w:val="005B03C2"/>
    <w:rsid w:val="005B1453"/>
    <w:rsid w:val="005B328D"/>
    <w:rsid w:val="005C5034"/>
    <w:rsid w:val="005D123F"/>
    <w:rsid w:val="005D124C"/>
    <w:rsid w:val="005E43D8"/>
    <w:rsid w:val="005F16B3"/>
    <w:rsid w:val="00606010"/>
    <w:rsid w:val="00621681"/>
    <w:rsid w:val="00630585"/>
    <w:rsid w:val="006311FC"/>
    <w:rsid w:val="00632039"/>
    <w:rsid w:val="006333BC"/>
    <w:rsid w:val="00664471"/>
    <w:rsid w:val="00681577"/>
    <w:rsid w:val="006815B1"/>
    <w:rsid w:val="00687753"/>
    <w:rsid w:val="006942FF"/>
    <w:rsid w:val="006A4FED"/>
    <w:rsid w:val="006B1729"/>
    <w:rsid w:val="006B3970"/>
    <w:rsid w:val="006B4923"/>
    <w:rsid w:val="006C659A"/>
    <w:rsid w:val="006C7266"/>
    <w:rsid w:val="006C7574"/>
    <w:rsid w:val="006D59AB"/>
    <w:rsid w:val="006E0464"/>
    <w:rsid w:val="006E42A5"/>
    <w:rsid w:val="006E6992"/>
    <w:rsid w:val="006F0E4A"/>
    <w:rsid w:val="006F3293"/>
    <w:rsid w:val="0070433C"/>
    <w:rsid w:val="007115E1"/>
    <w:rsid w:val="00714F2D"/>
    <w:rsid w:val="00715AB4"/>
    <w:rsid w:val="00717FB9"/>
    <w:rsid w:val="007542A8"/>
    <w:rsid w:val="007559E5"/>
    <w:rsid w:val="007672EE"/>
    <w:rsid w:val="0076763C"/>
    <w:rsid w:val="0077621A"/>
    <w:rsid w:val="00781DFA"/>
    <w:rsid w:val="00782E08"/>
    <w:rsid w:val="00790A8A"/>
    <w:rsid w:val="00790B30"/>
    <w:rsid w:val="007933D2"/>
    <w:rsid w:val="007977E4"/>
    <w:rsid w:val="007C02CE"/>
    <w:rsid w:val="007C50B2"/>
    <w:rsid w:val="007C722C"/>
    <w:rsid w:val="007C76CB"/>
    <w:rsid w:val="007F35FC"/>
    <w:rsid w:val="00803FA2"/>
    <w:rsid w:val="00827949"/>
    <w:rsid w:val="00844511"/>
    <w:rsid w:val="00857F72"/>
    <w:rsid w:val="00866C0E"/>
    <w:rsid w:val="00867C56"/>
    <w:rsid w:val="00870B22"/>
    <w:rsid w:val="00870FE9"/>
    <w:rsid w:val="00874BB5"/>
    <w:rsid w:val="008A0193"/>
    <w:rsid w:val="008B2C67"/>
    <w:rsid w:val="008C44DE"/>
    <w:rsid w:val="008E05E5"/>
    <w:rsid w:val="0090721F"/>
    <w:rsid w:val="00926702"/>
    <w:rsid w:val="00927979"/>
    <w:rsid w:val="00937F12"/>
    <w:rsid w:val="00943245"/>
    <w:rsid w:val="0094528D"/>
    <w:rsid w:val="00960B05"/>
    <w:rsid w:val="00976465"/>
    <w:rsid w:val="0098029E"/>
    <w:rsid w:val="0098263B"/>
    <w:rsid w:val="00991233"/>
    <w:rsid w:val="00994251"/>
    <w:rsid w:val="009A0C8E"/>
    <w:rsid w:val="009A699B"/>
    <w:rsid w:val="009A6EF3"/>
    <w:rsid w:val="009B7189"/>
    <w:rsid w:val="009B77C8"/>
    <w:rsid w:val="009C0135"/>
    <w:rsid w:val="009E25C8"/>
    <w:rsid w:val="009E2781"/>
    <w:rsid w:val="009E3D67"/>
    <w:rsid w:val="009F3333"/>
    <w:rsid w:val="00A0267F"/>
    <w:rsid w:val="00A30228"/>
    <w:rsid w:val="00A31A55"/>
    <w:rsid w:val="00A3423A"/>
    <w:rsid w:val="00A35F31"/>
    <w:rsid w:val="00A37FEB"/>
    <w:rsid w:val="00A4407E"/>
    <w:rsid w:val="00A46C1C"/>
    <w:rsid w:val="00A639F5"/>
    <w:rsid w:val="00A761F1"/>
    <w:rsid w:val="00A8313A"/>
    <w:rsid w:val="00AA01BF"/>
    <w:rsid w:val="00AA0F85"/>
    <w:rsid w:val="00AA320E"/>
    <w:rsid w:val="00AA38D8"/>
    <w:rsid w:val="00AA56F4"/>
    <w:rsid w:val="00AB0184"/>
    <w:rsid w:val="00AB0A23"/>
    <w:rsid w:val="00AC1082"/>
    <w:rsid w:val="00AC7FB5"/>
    <w:rsid w:val="00AE1E1D"/>
    <w:rsid w:val="00AF0A7F"/>
    <w:rsid w:val="00AF1254"/>
    <w:rsid w:val="00AF348F"/>
    <w:rsid w:val="00AF730B"/>
    <w:rsid w:val="00B049D6"/>
    <w:rsid w:val="00B1365B"/>
    <w:rsid w:val="00B21864"/>
    <w:rsid w:val="00B37A2F"/>
    <w:rsid w:val="00B40F3E"/>
    <w:rsid w:val="00B44E4F"/>
    <w:rsid w:val="00B522B7"/>
    <w:rsid w:val="00B65C5E"/>
    <w:rsid w:val="00B76BC6"/>
    <w:rsid w:val="00BC0C0B"/>
    <w:rsid w:val="00BC40BD"/>
    <w:rsid w:val="00BD120A"/>
    <w:rsid w:val="00BD666B"/>
    <w:rsid w:val="00BF52E8"/>
    <w:rsid w:val="00C01654"/>
    <w:rsid w:val="00C30244"/>
    <w:rsid w:val="00C5180D"/>
    <w:rsid w:val="00C53AB0"/>
    <w:rsid w:val="00C53D1D"/>
    <w:rsid w:val="00C61FB2"/>
    <w:rsid w:val="00C6530D"/>
    <w:rsid w:val="00C72E08"/>
    <w:rsid w:val="00C76FD5"/>
    <w:rsid w:val="00C95195"/>
    <w:rsid w:val="00CB0006"/>
    <w:rsid w:val="00CB1DEF"/>
    <w:rsid w:val="00CC73DA"/>
    <w:rsid w:val="00CD4DCE"/>
    <w:rsid w:val="00CE34F4"/>
    <w:rsid w:val="00CE5F16"/>
    <w:rsid w:val="00CF3F58"/>
    <w:rsid w:val="00D13594"/>
    <w:rsid w:val="00D2411A"/>
    <w:rsid w:val="00D4224E"/>
    <w:rsid w:val="00D43550"/>
    <w:rsid w:val="00D629CE"/>
    <w:rsid w:val="00D83CA2"/>
    <w:rsid w:val="00D83CC0"/>
    <w:rsid w:val="00D84553"/>
    <w:rsid w:val="00D955EB"/>
    <w:rsid w:val="00DA2490"/>
    <w:rsid w:val="00DB1C4E"/>
    <w:rsid w:val="00DD544D"/>
    <w:rsid w:val="00DE5E4C"/>
    <w:rsid w:val="00DE7DDC"/>
    <w:rsid w:val="00E02EA5"/>
    <w:rsid w:val="00E107EC"/>
    <w:rsid w:val="00E11738"/>
    <w:rsid w:val="00E12957"/>
    <w:rsid w:val="00E27F91"/>
    <w:rsid w:val="00E31BD7"/>
    <w:rsid w:val="00E45D07"/>
    <w:rsid w:val="00E677C6"/>
    <w:rsid w:val="00E70687"/>
    <w:rsid w:val="00E75726"/>
    <w:rsid w:val="00E928C6"/>
    <w:rsid w:val="00EA0513"/>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6975"/>
    <w:rsid w:val="00F47201"/>
    <w:rsid w:val="00F53D25"/>
    <w:rsid w:val="00F64816"/>
    <w:rsid w:val="00F701C5"/>
    <w:rsid w:val="00F73354"/>
    <w:rsid w:val="00FA092E"/>
    <w:rsid w:val="00FA63B5"/>
    <w:rsid w:val="00FA6D58"/>
    <w:rsid w:val="00FB3055"/>
    <w:rsid w:val="00FD50A8"/>
    <w:rsid w:val="00FD52D3"/>
    <w:rsid w:val="00FE3DC9"/>
    <w:rsid w:val="00FE51D6"/>
    <w:rsid w:val="00FE72DF"/>
    <w:rsid w:val="00FF2F91"/>
    <w:rsid w:val="01211472"/>
    <w:rsid w:val="02336AD5"/>
    <w:rsid w:val="027B0BDB"/>
    <w:rsid w:val="02B47C4D"/>
    <w:rsid w:val="0301583F"/>
    <w:rsid w:val="040D64BC"/>
    <w:rsid w:val="04D46768"/>
    <w:rsid w:val="053A1CC8"/>
    <w:rsid w:val="060F7658"/>
    <w:rsid w:val="061A3376"/>
    <w:rsid w:val="073356A3"/>
    <w:rsid w:val="077B4608"/>
    <w:rsid w:val="086E4EC9"/>
    <w:rsid w:val="09A059B7"/>
    <w:rsid w:val="0A175523"/>
    <w:rsid w:val="0A784886"/>
    <w:rsid w:val="0A9127FB"/>
    <w:rsid w:val="0B181AFD"/>
    <w:rsid w:val="0B6C55FB"/>
    <w:rsid w:val="0B734A64"/>
    <w:rsid w:val="0B7C494B"/>
    <w:rsid w:val="0E611AFC"/>
    <w:rsid w:val="0ECB5904"/>
    <w:rsid w:val="0F2A759A"/>
    <w:rsid w:val="0F4526B6"/>
    <w:rsid w:val="0F4A37CA"/>
    <w:rsid w:val="0FEB3772"/>
    <w:rsid w:val="141310C2"/>
    <w:rsid w:val="15740DA4"/>
    <w:rsid w:val="162F6C5D"/>
    <w:rsid w:val="169336B1"/>
    <w:rsid w:val="16A36F80"/>
    <w:rsid w:val="17D66908"/>
    <w:rsid w:val="1809237F"/>
    <w:rsid w:val="1811154A"/>
    <w:rsid w:val="1921355E"/>
    <w:rsid w:val="192A1319"/>
    <w:rsid w:val="195A6BC0"/>
    <w:rsid w:val="19CE46DE"/>
    <w:rsid w:val="1B935924"/>
    <w:rsid w:val="1FD2404E"/>
    <w:rsid w:val="1FDF609B"/>
    <w:rsid w:val="212B7964"/>
    <w:rsid w:val="21A65954"/>
    <w:rsid w:val="227A4EED"/>
    <w:rsid w:val="228D0750"/>
    <w:rsid w:val="22E61DDA"/>
    <w:rsid w:val="244C3417"/>
    <w:rsid w:val="24A41BE7"/>
    <w:rsid w:val="25986EA9"/>
    <w:rsid w:val="25D85A3C"/>
    <w:rsid w:val="26337986"/>
    <w:rsid w:val="26D14DB3"/>
    <w:rsid w:val="27B659F4"/>
    <w:rsid w:val="2B7B5063"/>
    <w:rsid w:val="2BB66B1A"/>
    <w:rsid w:val="2BFA4386"/>
    <w:rsid w:val="2C2932CB"/>
    <w:rsid w:val="2C2D2BEA"/>
    <w:rsid w:val="2C633111"/>
    <w:rsid w:val="2CC57A17"/>
    <w:rsid w:val="2CD73EA3"/>
    <w:rsid w:val="2D845ED0"/>
    <w:rsid w:val="2DDE2003"/>
    <w:rsid w:val="2E817C9A"/>
    <w:rsid w:val="2E9A0A87"/>
    <w:rsid w:val="2F201BC5"/>
    <w:rsid w:val="2F8E6319"/>
    <w:rsid w:val="30056223"/>
    <w:rsid w:val="30381F4F"/>
    <w:rsid w:val="309A3A4B"/>
    <w:rsid w:val="31B709DD"/>
    <w:rsid w:val="334D2CC8"/>
    <w:rsid w:val="34A05B77"/>
    <w:rsid w:val="358919AD"/>
    <w:rsid w:val="369C39A1"/>
    <w:rsid w:val="36A149DA"/>
    <w:rsid w:val="36E17205"/>
    <w:rsid w:val="37261B1C"/>
    <w:rsid w:val="37A958A3"/>
    <w:rsid w:val="38636440"/>
    <w:rsid w:val="38AC36F6"/>
    <w:rsid w:val="38FC71D1"/>
    <w:rsid w:val="39014694"/>
    <w:rsid w:val="39AE63E0"/>
    <w:rsid w:val="3A745EC5"/>
    <w:rsid w:val="3B5454FC"/>
    <w:rsid w:val="3C9F30D7"/>
    <w:rsid w:val="3D2E6F20"/>
    <w:rsid w:val="3D3679ED"/>
    <w:rsid w:val="3D7869C1"/>
    <w:rsid w:val="3DC83E53"/>
    <w:rsid w:val="3E024CD9"/>
    <w:rsid w:val="3E8A6EAC"/>
    <w:rsid w:val="3EEC72E2"/>
    <w:rsid w:val="3F585B47"/>
    <w:rsid w:val="3FCD67D9"/>
    <w:rsid w:val="3FE769D7"/>
    <w:rsid w:val="408D7227"/>
    <w:rsid w:val="40915419"/>
    <w:rsid w:val="4157108B"/>
    <w:rsid w:val="416718EC"/>
    <w:rsid w:val="420A08F3"/>
    <w:rsid w:val="428D0405"/>
    <w:rsid w:val="430F693A"/>
    <w:rsid w:val="43341E47"/>
    <w:rsid w:val="43697958"/>
    <w:rsid w:val="436B4A2C"/>
    <w:rsid w:val="439D7A21"/>
    <w:rsid w:val="43BC50B7"/>
    <w:rsid w:val="43F47F05"/>
    <w:rsid w:val="44387B70"/>
    <w:rsid w:val="447267E8"/>
    <w:rsid w:val="44BF7D54"/>
    <w:rsid w:val="450D1BF2"/>
    <w:rsid w:val="45617B75"/>
    <w:rsid w:val="45B42E44"/>
    <w:rsid w:val="46964B80"/>
    <w:rsid w:val="47B73F76"/>
    <w:rsid w:val="47EE35D0"/>
    <w:rsid w:val="481A6910"/>
    <w:rsid w:val="492A4A83"/>
    <w:rsid w:val="49547F30"/>
    <w:rsid w:val="495C1F5C"/>
    <w:rsid w:val="4AAE2A9C"/>
    <w:rsid w:val="4B096A01"/>
    <w:rsid w:val="4B0B71B8"/>
    <w:rsid w:val="4B17597F"/>
    <w:rsid w:val="4B8B03E4"/>
    <w:rsid w:val="4D5C0A21"/>
    <w:rsid w:val="4E0A5FCA"/>
    <w:rsid w:val="4ED62E91"/>
    <w:rsid w:val="4EE12BFB"/>
    <w:rsid w:val="4F79638E"/>
    <w:rsid w:val="4F951D47"/>
    <w:rsid w:val="50FA6A61"/>
    <w:rsid w:val="516432B3"/>
    <w:rsid w:val="51794BC1"/>
    <w:rsid w:val="52FC5708"/>
    <w:rsid w:val="540F1FD2"/>
    <w:rsid w:val="54102633"/>
    <w:rsid w:val="54BB1D13"/>
    <w:rsid w:val="56A1197F"/>
    <w:rsid w:val="56BA6CA2"/>
    <w:rsid w:val="56DF452F"/>
    <w:rsid w:val="57113E43"/>
    <w:rsid w:val="572C4137"/>
    <w:rsid w:val="57371BB8"/>
    <w:rsid w:val="57594B93"/>
    <w:rsid w:val="57606431"/>
    <w:rsid w:val="57F11DA1"/>
    <w:rsid w:val="594A6990"/>
    <w:rsid w:val="5D2D14E7"/>
    <w:rsid w:val="5D303BE4"/>
    <w:rsid w:val="5DB10B54"/>
    <w:rsid w:val="5F9046A0"/>
    <w:rsid w:val="60A60070"/>
    <w:rsid w:val="62DF7B1B"/>
    <w:rsid w:val="636D2022"/>
    <w:rsid w:val="640C25AF"/>
    <w:rsid w:val="64D35F47"/>
    <w:rsid w:val="653A4F12"/>
    <w:rsid w:val="657A5278"/>
    <w:rsid w:val="66D62CC2"/>
    <w:rsid w:val="683A303D"/>
    <w:rsid w:val="68E97B63"/>
    <w:rsid w:val="692750BF"/>
    <w:rsid w:val="6974498D"/>
    <w:rsid w:val="6A5F2091"/>
    <w:rsid w:val="6A781AD5"/>
    <w:rsid w:val="6AA1226D"/>
    <w:rsid w:val="6AA41664"/>
    <w:rsid w:val="6AB215C8"/>
    <w:rsid w:val="6B1E605C"/>
    <w:rsid w:val="6C1E4C45"/>
    <w:rsid w:val="6C69029A"/>
    <w:rsid w:val="6E3F209B"/>
    <w:rsid w:val="6E424A83"/>
    <w:rsid w:val="6E750419"/>
    <w:rsid w:val="6E752944"/>
    <w:rsid w:val="6E9310CF"/>
    <w:rsid w:val="6EBA5150"/>
    <w:rsid w:val="70961760"/>
    <w:rsid w:val="71D562AE"/>
    <w:rsid w:val="727D5428"/>
    <w:rsid w:val="73D96BAC"/>
    <w:rsid w:val="74783A1C"/>
    <w:rsid w:val="74AB354D"/>
    <w:rsid w:val="74B05132"/>
    <w:rsid w:val="74DE368D"/>
    <w:rsid w:val="75FC56F5"/>
    <w:rsid w:val="767B4C3B"/>
    <w:rsid w:val="76C52AAF"/>
    <w:rsid w:val="772A35DE"/>
    <w:rsid w:val="77CD5370"/>
    <w:rsid w:val="788F313B"/>
    <w:rsid w:val="798425C1"/>
    <w:rsid w:val="79BF662E"/>
    <w:rsid w:val="7AD13FA3"/>
    <w:rsid w:val="7AD700B7"/>
    <w:rsid w:val="7B2952F2"/>
    <w:rsid w:val="7BC303CF"/>
    <w:rsid w:val="7CB1638D"/>
    <w:rsid w:val="7CF119D9"/>
    <w:rsid w:val="7F9364DF"/>
    <w:rsid w:val="7FCD10B0"/>
    <w:rsid w:val="7FF54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4"/>
    <w:unhideWhenUsed/>
    <w:qFormat/>
    <w:uiPriority w:val="99"/>
    <w:pPr>
      <w:jc w:val="left"/>
    </w:pPr>
  </w:style>
  <w:style w:type="paragraph" w:styleId="4">
    <w:name w:val="Body Text Indent"/>
    <w:basedOn w:val="1"/>
    <w:semiHidden/>
    <w:qFormat/>
    <w:uiPriority w:val="0"/>
    <w:pPr>
      <w:ind w:left="-2" w:leftChars="-1" w:firstLine="420" w:firstLineChars="200"/>
    </w:pPr>
  </w:style>
  <w:style w:type="paragraph" w:styleId="5">
    <w:name w:val="toc 3"/>
    <w:basedOn w:val="1"/>
    <w:next w:val="1"/>
    <w:unhideWhenUsed/>
    <w:qFormat/>
    <w:uiPriority w:val="39"/>
    <w:pPr>
      <w:ind w:left="840" w:leftChars="400"/>
    </w:pPr>
  </w:style>
  <w:style w:type="paragraph" w:styleId="6">
    <w:name w:val="Balloon Text"/>
    <w:basedOn w:val="1"/>
    <w:link w:val="26"/>
    <w:semiHidden/>
    <w:unhideWhenUsed/>
    <w:qFormat/>
    <w:uiPriority w:val="99"/>
    <w:rPr>
      <w:sz w:val="18"/>
      <w:szCs w:val="18"/>
    </w:rPr>
  </w:style>
  <w:style w:type="paragraph" w:styleId="7">
    <w:name w:val="footer"/>
    <w:basedOn w:val="1"/>
    <w:link w:val="28"/>
    <w:unhideWhenUsed/>
    <w:qFormat/>
    <w:uiPriority w:val="99"/>
    <w:pPr>
      <w:tabs>
        <w:tab w:val="center" w:pos="4153"/>
        <w:tab w:val="right" w:pos="8306"/>
      </w:tabs>
      <w:snapToGrid w:val="0"/>
      <w:jc w:val="left"/>
    </w:pPr>
    <w:rPr>
      <w:sz w:val="18"/>
      <w:szCs w:val="18"/>
    </w:rPr>
  </w:style>
  <w:style w:type="paragraph" w:styleId="8">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Body Text 2"/>
    <w:basedOn w:val="1"/>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30"/>
    <w:semiHidden/>
    <w:unhideWhenUsed/>
    <w:qFormat/>
    <w:uiPriority w:val="99"/>
    <w:rPr>
      <w:b/>
      <w:bCs/>
    </w:rPr>
  </w:style>
  <w:style w:type="paragraph" w:styleId="14">
    <w:name w:val="Body Text First Indent 2"/>
    <w:basedOn w:val="4"/>
    <w:qFormat/>
    <w:uiPriority w:val="0"/>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styleId="20">
    <w:name w:val="annotation reference"/>
    <w:basedOn w:val="17"/>
    <w:unhideWhenUsed/>
    <w:qFormat/>
    <w:uiPriority w:val="99"/>
    <w:rPr>
      <w:sz w:val="21"/>
      <w:szCs w:val="21"/>
    </w:rPr>
  </w:style>
  <w:style w:type="character" w:customStyle="1" w:styleId="21">
    <w:name w:val="列表段落 字符"/>
    <w:link w:val="22"/>
    <w:qFormat/>
    <w:uiPriority w:val="34"/>
    <w:rPr>
      <w:rFonts w:ascii="Times New Roman" w:hAnsi="Times New Roman"/>
      <w:szCs w:val="24"/>
    </w:rPr>
  </w:style>
  <w:style w:type="paragraph" w:styleId="22">
    <w:name w:val="List Paragraph"/>
    <w:basedOn w:val="1"/>
    <w:link w:val="21"/>
    <w:qFormat/>
    <w:uiPriority w:val="34"/>
    <w:pPr>
      <w:ind w:firstLine="420" w:firstLineChars="200"/>
    </w:pPr>
    <w:rPr>
      <w:rFonts w:eastAsiaTheme="minorEastAsia" w:cstheme="minorBidi"/>
    </w:rPr>
  </w:style>
  <w:style w:type="character" w:customStyle="1" w:styleId="23">
    <w:name w:val="批注文字 字符"/>
    <w:basedOn w:val="17"/>
    <w:semiHidden/>
    <w:qFormat/>
    <w:uiPriority w:val="99"/>
    <w:rPr>
      <w:rFonts w:ascii="Times New Roman" w:hAnsi="Times New Roman" w:eastAsia="宋体" w:cs="Times New Roman"/>
      <w:szCs w:val="24"/>
    </w:rPr>
  </w:style>
  <w:style w:type="character" w:customStyle="1" w:styleId="24">
    <w:name w:val="批注文字 字符1"/>
    <w:link w:val="3"/>
    <w:qFormat/>
    <w:uiPriority w:val="99"/>
    <w:rPr>
      <w:rFonts w:ascii="Times New Roman" w:hAnsi="Times New Roman" w:eastAsia="宋体" w:cs="Times New Roman"/>
      <w:szCs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6">
    <w:name w:val="批注框文本 字符"/>
    <w:basedOn w:val="17"/>
    <w:link w:val="6"/>
    <w:semiHidden/>
    <w:qFormat/>
    <w:uiPriority w:val="99"/>
    <w:rPr>
      <w:rFonts w:ascii="Times New Roman" w:hAnsi="Times New Roman" w:eastAsia="宋体" w:cs="Times New Roman"/>
      <w:sz w:val="18"/>
      <w:szCs w:val="18"/>
    </w:rPr>
  </w:style>
  <w:style w:type="character" w:customStyle="1" w:styleId="27">
    <w:name w:val="页眉 字符"/>
    <w:basedOn w:val="17"/>
    <w:link w:val="8"/>
    <w:qFormat/>
    <w:uiPriority w:val="99"/>
    <w:rPr>
      <w:rFonts w:ascii="Times New Roman" w:hAnsi="Times New Roman" w:eastAsia="宋体" w:cs="Times New Roman"/>
      <w:sz w:val="18"/>
      <w:szCs w:val="18"/>
    </w:rPr>
  </w:style>
  <w:style w:type="character" w:customStyle="1" w:styleId="28">
    <w:name w:val="页脚 字符"/>
    <w:basedOn w:val="17"/>
    <w:link w:val="7"/>
    <w:qFormat/>
    <w:uiPriority w:val="99"/>
    <w:rPr>
      <w:rFonts w:ascii="Times New Roman" w:hAnsi="Times New Roman" w:eastAsia="宋体" w:cs="Times New Roman"/>
      <w:sz w:val="18"/>
      <w:szCs w:val="18"/>
    </w:rPr>
  </w:style>
  <w:style w:type="character" w:customStyle="1" w:styleId="29">
    <w:name w:val="标题1"/>
    <w:basedOn w:val="17"/>
    <w:qFormat/>
    <w:uiPriority w:val="0"/>
  </w:style>
  <w:style w:type="character" w:customStyle="1" w:styleId="30">
    <w:name w:val="批注主题 字符"/>
    <w:basedOn w:val="24"/>
    <w:link w:val="13"/>
    <w:semiHidden/>
    <w:qFormat/>
    <w:uiPriority w:val="99"/>
    <w:rPr>
      <w:rFonts w:ascii="Times New Roman" w:hAnsi="Times New Roman" w:eastAsia="宋体" w:cs="Times New Roman"/>
      <w:b/>
      <w:bCs/>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2">
    <w:name w:val="合同条款2"/>
    <w:basedOn w:val="1"/>
    <w:qFormat/>
    <w:uiPriority w:val="0"/>
    <w:pPr>
      <w:spacing w:before="156" w:beforeLines="50"/>
    </w:pPr>
    <w:rPr>
      <w:rFonts w:hint="eastAsia" w:ascii="宋体" w:hAnsi="宋体"/>
      <w:szCs w:val="21"/>
    </w:rPr>
  </w:style>
  <w:style w:type="paragraph" w:customStyle="1" w:styleId="3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4">
    <w:name w:val="列表段落1"/>
    <w:basedOn w:val="1"/>
    <w:qFormat/>
    <w:uiPriority w:val="99"/>
    <w:pPr>
      <w:ind w:firstLine="420" w:firstLineChars="200"/>
    </w:pPr>
    <w:rPr>
      <w:sz w:val="24"/>
      <w:szCs w:val="20"/>
    </w:rPr>
  </w:style>
  <w:style w:type="paragraph" w:customStyle="1" w:styleId="35">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5635A0-5856-4D43-89AB-2AAAF2F0AC71}">
  <ds:schemaRefs/>
</ds:datastoreItem>
</file>

<file path=docProps/app.xml><?xml version="1.0" encoding="utf-8"?>
<Properties xmlns="http://schemas.openxmlformats.org/officeDocument/2006/extended-properties" xmlns:vt="http://schemas.openxmlformats.org/officeDocument/2006/docPropsVTypes">
  <Template>Normal</Template>
  <Pages>41</Pages>
  <Words>4229</Words>
  <Characters>24109</Characters>
  <Lines>200</Lines>
  <Paragraphs>56</Paragraphs>
  <TotalTime>29</TotalTime>
  <ScaleCrop>false</ScaleCrop>
  <LinksUpToDate>false</LinksUpToDate>
  <CharactersWithSpaces>28282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2021-10-11T02:56:00Z</dcterms:created>
  <dc:creator>Tony Young</dc:creator>
  <cp:lastModifiedBy>admin</cp:lastModifiedBy>
  <cp:lastPrinted>2022-06-14T02:29:00Z</cp:lastPrinted>
  <dcterms:modified xsi:type="dcterms:W3CDTF">2022-10-12T08:44:03Z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DAB8F11735E34EAABE814D7963C17167</vt:lpwstr>
  </property>
</Properties>
</file>