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000000" w:themeColor="text1"/>
          <w:sz w:val="32"/>
          <w:szCs w:val="32"/>
          <w14:textFill>
            <w14:solidFill>
              <w14:schemeClr w14:val="tx1"/>
            </w14:solidFill>
          </w14:textFill>
        </w:rPr>
        <w:t>深圳会展中心2022-2024年度高交会中国高新技术论坛会务服务采购项目</w:t>
      </w:r>
    </w:p>
    <w:p>
      <w:pPr>
        <w:tabs>
          <w:tab w:val="left" w:pos="2127"/>
          <w:tab w:val="left" w:pos="2694"/>
        </w:tabs>
        <w:spacing w:line="360" w:lineRule="auto"/>
        <w:ind w:firstLine="2030" w:firstLineChars="632"/>
        <w:rPr>
          <w:rFonts w:ascii="宋体" w:hAnsi="宋体"/>
          <w:b/>
          <w:sz w:val="32"/>
          <w:szCs w:val="32"/>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4"/>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2年10月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0"/>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20"/>
          <w:rFonts w:ascii="宋体" w:hAnsi="宋体" w:cs="仿宋"/>
          <w:bCs/>
        </w:rPr>
        <w:t>一、</w:t>
      </w:r>
      <w:r>
        <w:rPr>
          <w:rStyle w:val="20"/>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20"/>
          <w:rFonts w:ascii="宋体" w:hAnsi="宋体" w:cs="仿宋"/>
          <w:bCs/>
        </w:rPr>
        <w:t>二、</w:t>
      </w:r>
      <w:r>
        <w:rPr>
          <w:rStyle w:val="20"/>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20"/>
          <w:rFonts w:ascii="宋体" w:hAnsi="宋体" w:cs="仿宋"/>
          <w:bCs/>
        </w:rPr>
        <w:t>三、</w:t>
      </w:r>
      <w:r>
        <w:rPr>
          <w:rStyle w:val="20"/>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20"/>
          <w:rFonts w:ascii="宋体" w:hAnsi="宋体" w:cs="仿宋"/>
          <w:bCs/>
        </w:rPr>
        <w:t>四、</w:t>
      </w:r>
      <w:r>
        <w:rPr>
          <w:rStyle w:val="20"/>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20"/>
          <w:rFonts w:ascii="宋体" w:hAnsi="宋体" w:cs="仿宋"/>
          <w:bCs/>
        </w:rPr>
        <w:t>五、</w:t>
      </w:r>
      <w:r>
        <w:rPr>
          <w:rStyle w:val="20"/>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20"/>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20"/>
          <w:rFonts w:ascii="宋体" w:hAnsi="宋体" w:cs="仿宋"/>
          <w:bCs/>
        </w:rPr>
        <w:t>六、</w:t>
      </w:r>
      <w:r>
        <w:rPr>
          <w:rStyle w:val="20"/>
        </w:rPr>
        <w:t>开标阶段</w:t>
      </w:r>
      <w:r>
        <w:tab/>
      </w:r>
      <w:r>
        <w:fldChar w:fldCharType="begin"/>
      </w:r>
      <w:r>
        <w:instrText xml:space="preserve"> PAGEREF _Toc106791260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20"/>
          <w:rFonts w:ascii="宋体" w:hAnsi="宋体" w:cs="仿宋"/>
          <w:bCs/>
        </w:rPr>
        <w:t>七、</w:t>
      </w:r>
      <w:r>
        <w:rPr>
          <w:rStyle w:val="20"/>
        </w:rPr>
        <w:t>评标阶段</w:t>
      </w:r>
      <w:r>
        <w:tab/>
      </w:r>
      <w:r>
        <w:fldChar w:fldCharType="begin"/>
      </w:r>
      <w:r>
        <w:instrText xml:space="preserve"> PAGEREF _Toc106791261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20"/>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20"/>
          <w:rFonts w:ascii="宋体" w:hAnsi="宋体"/>
        </w:rPr>
        <w:t>（一）</w:t>
      </w:r>
      <w:r>
        <w:rPr>
          <w:rStyle w:val="20"/>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20"/>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20"/>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20"/>
          <w:b/>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20"/>
          <w:rFonts w:ascii="宋体" w:hAnsi="宋体"/>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20"/>
          <w:rFonts w:ascii="宋体" w:hAnsi="宋体"/>
        </w:rPr>
        <w:t>附件2：投标函</w:t>
      </w:r>
      <w:r>
        <w:tab/>
      </w:r>
      <w:r>
        <w:fldChar w:fldCharType="begin"/>
      </w:r>
      <w:r>
        <w:instrText xml:space="preserve"> PAGEREF _Toc106791269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20"/>
          <w:rFonts w:ascii="宋体" w:hAnsi="宋体"/>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20"/>
          <w:rFonts w:ascii="宋体" w:hAnsi="宋体"/>
        </w:rPr>
        <w:t>附件4：考察证明</w:t>
      </w:r>
      <w:r>
        <w:tab/>
      </w:r>
      <w:r>
        <w:fldChar w:fldCharType="begin"/>
      </w:r>
      <w:r>
        <w:instrText xml:space="preserve"> PAGEREF _Toc106791271 \h </w:instrText>
      </w:r>
      <w:r>
        <w:fldChar w:fldCharType="separate"/>
      </w:r>
      <w:r>
        <w:t>15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20"/>
          <w:rFonts w:ascii="宋体" w:hAnsi="宋体"/>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20"/>
          <w:rFonts w:ascii="宋体" w:hAnsi="宋体"/>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20"/>
          <w:rFonts w:ascii="宋体" w:hAnsi="宋体"/>
        </w:rPr>
        <w:t>附件7：报价一览表（货物）（本项目不适用）</w:t>
      </w:r>
      <w:r>
        <w:tab/>
      </w:r>
      <w:r>
        <w:fldChar w:fldCharType="begin"/>
      </w:r>
      <w:r>
        <w:instrText xml:space="preserve"> PAGEREF _Toc106791274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20"/>
          <w:rFonts w:ascii="宋体" w:hAnsi="宋体"/>
        </w:rPr>
        <w:t>附件8：报价一览表（服务）</w:t>
      </w:r>
      <w:r>
        <w:tab/>
      </w:r>
      <w:r>
        <w:fldChar w:fldCharType="begin"/>
      </w:r>
      <w:r>
        <w:instrText xml:space="preserve"> PAGEREF _Toc106791275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20"/>
          <w:rFonts w:ascii="宋体" w:hAnsi="宋体"/>
        </w:rPr>
        <w:t>附件9：报价一览表（工程）（本项目不适用）</w:t>
      </w:r>
      <w:r>
        <w:tab/>
      </w:r>
      <w:r>
        <w:fldChar w:fldCharType="begin"/>
      </w:r>
      <w:r>
        <w:instrText xml:space="preserve"> PAGEREF _Toc106791276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20"/>
          <w:rFonts w:ascii="宋体" w:hAnsi="宋体"/>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20"/>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20"/>
          <w:rFonts w:ascii="宋体" w:hAnsi="宋体"/>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20"/>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20"/>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20"/>
          <w:rFonts w:ascii="宋体" w:hAnsi="宋体"/>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邮箱：1771389354@qq.com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深圳会展中心2022-2024年度高交会中国高新技术论坛会务服务采购项目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项目类别</w:t>
            </w:r>
          </w:p>
        </w:tc>
        <w:tc>
          <w:tcPr>
            <w:tcW w:w="7029" w:type="dxa"/>
            <w:vAlign w:val="center"/>
          </w:tcPr>
          <w:p>
            <w:pPr>
              <w:autoSpaceDE w:val="0"/>
              <w:autoSpaceDN w:val="0"/>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项目介绍</w:t>
            </w:r>
          </w:p>
        </w:tc>
        <w:tc>
          <w:tcPr>
            <w:tcW w:w="7029" w:type="dxa"/>
            <w:vAlign w:val="center"/>
          </w:tcPr>
          <w:p>
            <w:pPr>
              <w:autoSpaceDE w:val="0"/>
              <w:autoSpaceDN w:val="0"/>
              <w:adjustRightInd w:val="0"/>
              <w:snapToGrid w:val="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为保证高交会中国高新技术论坛整体会务服务品质，拟开展本采购项目选定合作定点供应商，在组委会的统筹管理下协助开展论坛的前期筹备、会期服务及会后善后等整体会务工作。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实施地点</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服务期</w:t>
            </w:r>
            <w:r>
              <w:rPr>
                <w:rFonts w:ascii="宋体" w:hAnsi="宋体"/>
                <w:szCs w:val="21"/>
                <w:highlight w:val="none"/>
              </w:rPr>
              <w:t>/</w:t>
            </w:r>
            <w:r>
              <w:rPr>
                <w:rFonts w:hint="eastAsia" w:ascii="宋体" w:hAnsi="宋体"/>
                <w:szCs w:val="21"/>
                <w:highlight w:val="none"/>
              </w:rPr>
              <w:t>交货期/工期</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宋体"/>
                <w:szCs w:val="21"/>
                <w:highlight w:val="none"/>
              </w:rPr>
              <w:t>签订合同之日起至2</w:t>
            </w:r>
            <w:r>
              <w:rPr>
                <w:rFonts w:ascii="宋体" w:hAnsi="宋体" w:cs="宋体"/>
                <w:szCs w:val="21"/>
                <w:highlight w:val="none"/>
              </w:rPr>
              <w:t>024</w:t>
            </w:r>
            <w:r>
              <w:rPr>
                <w:rFonts w:hint="eastAsia" w:ascii="宋体" w:hAnsi="宋体" w:cs="宋体"/>
                <w:szCs w:val="21"/>
                <w:highlight w:val="none"/>
              </w:rPr>
              <w:t>年1</w:t>
            </w:r>
            <w:r>
              <w:rPr>
                <w:rFonts w:ascii="宋体" w:hAnsi="宋体" w:cs="宋体"/>
                <w:szCs w:val="21"/>
                <w:highlight w:val="none"/>
              </w:rPr>
              <w:t>2</w:t>
            </w:r>
            <w:r>
              <w:rPr>
                <w:rFonts w:hint="eastAsia" w:ascii="宋体" w:hAnsi="宋体" w:cs="宋体"/>
                <w:szCs w:val="21"/>
                <w:highlight w:val="none"/>
              </w:rPr>
              <w:t>月3</w:t>
            </w:r>
            <w:r>
              <w:rPr>
                <w:rFonts w:ascii="宋体" w:hAnsi="宋体" w:cs="宋体"/>
                <w:szCs w:val="21"/>
                <w:highlight w:val="none"/>
              </w:rPr>
              <w:t>1</w:t>
            </w:r>
            <w:r>
              <w:rPr>
                <w:rFonts w:hint="eastAsia" w:ascii="宋体" w:hAnsi="宋体" w:cs="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https://cg.szcec.com/sharing/etOIUafUx，</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https://cg.szcec.com/sharing/OluC9vUU2，</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24"/>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投标单位授权代表须熟记文件密码，否则做废标处理。投标文件递交时间截止后，不再接受任何理由的撤回或重新提交文件请求。</w:t>
            </w:r>
          </w:p>
          <w:p>
            <w:pPr>
              <w:pStyle w:val="24"/>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bookmarkStart w:id="90" w:name="_GoBack"/>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675384871</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https://cg.szcec.com/sharing/dRRg6wRn7</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spacing w:after="156" w:afterLines="5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××邀请投标人人员察看现场并讲解项目需求；投标人应指派完全符合疫情防控要求的人员参加本项目的现场踏勘。</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w:t>
            </w:r>
            <w:r>
              <w:rPr>
                <w:rFonts w:hint="eastAsia" w:ascii="宋体" w:hAnsi="宋体" w:eastAsia="宋体"/>
                <w:color w:val="auto"/>
                <w:kern w:val="0"/>
                <w:highlight w:val="none"/>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auto"/>
                <w:kern w:val="0"/>
                <w:highlight w:val="none"/>
              </w:rPr>
              <w:t>（特别注意：各投标人不得指派属于</w:t>
            </w:r>
            <w:r>
              <w:rPr>
                <w:rFonts w:hint="eastAsia" w:ascii="宋体" w:hAnsi="宋体" w:eastAsia="宋体"/>
                <w:b/>
                <w:color w:val="auto"/>
                <w:kern w:val="0"/>
                <w:highlight w:val="none"/>
                <w:lang w:val="en-US" w:eastAsia="zh-CN"/>
              </w:rPr>
              <w:t>被划为疫情中高风险地区</w:t>
            </w:r>
            <w:r>
              <w:rPr>
                <w:rFonts w:hint="eastAsia" w:ascii="宋体" w:hAnsi="宋体" w:eastAsia="宋体"/>
                <w:b/>
                <w:color w:val="auto"/>
                <w:kern w:val="0"/>
                <w:highlight w:val="none"/>
              </w:rPr>
              <w:t>人员作为本项目的踏勘人员）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591"/>
      <w:bookmarkEnd w:id="6"/>
      <w:bookmarkStart w:id="7" w:name="_Toc82591928"/>
      <w:bookmarkEnd w:id="7"/>
      <w:bookmarkStart w:id="8" w:name="_Toc82685542"/>
      <w:bookmarkEnd w:id="8"/>
      <w:bookmarkStart w:id="9" w:name="_Toc82684589"/>
      <w:bookmarkEnd w:id="9"/>
      <w:bookmarkStart w:id="10" w:name="_Toc82684588"/>
      <w:bookmarkEnd w:id="10"/>
      <w:bookmarkStart w:id="11" w:name="_Toc82685543"/>
      <w:bookmarkEnd w:id="11"/>
      <w:bookmarkStart w:id="12" w:name="_Toc82684705"/>
      <w:bookmarkEnd w:id="12"/>
      <w:bookmarkStart w:id="13" w:name="_Toc82685540"/>
      <w:bookmarkEnd w:id="13"/>
      <w:bookmarkStart w:id="14" w:name="_Toc82684704"/>
      <w:bookmarkEnd w:id="14"/>
      <w:bookmarkStart w:id="15" w:name="_Toc82591925"/>
      <w:bookmarkEnd w:id="15"/>
      <w:bookmarkStart w:id="16" w:name="_Toc82684590"/>
      <w:bookmarkEnd w:id="16"/>
      <w:bookmarkStart w:id="17" w:name="_Toc82591926"/>
      <w:bookmarkEnd w:id="17"/>
      <w:bookmarkStart w:id="18" w:name="_Toc82685541"/>
      <w:bookmarkEnd w:id="18"/>
      <w:bookmarkStart w:id="19" w:name="_Toc82684706"/>
      <w:bookmarkEnd w:id="19"/>
      <w:bookmarkStart w:id="20" w:name="_Toc82591927"/>
      <w:bookmarkEnd w:id="20"/>
      <w:bookmarkStart w:id="21" w:name="_Toc82684703"/>
      <w:bookmarkEnd w:id="21"/>
      <w:bookmarkStart w:id="22" w:name="_Toc106791254"/>
      <w:r>
        <w:rPr>
          <w:rFonts w:hint="eastAsia" w:ascii="宋体" w:hAnsi="宋体"/>
          <w:b/>
          <w:color w:val="auto"/>
          <w:szCs w:val="21"/>
          <w:highlight w:val="none"/>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yellow"/>
        </w:rPr>
        <w:t>地址</w:t>
      </w:r>
      <w:r>
        <w:rPr>
          <w:rFonts w:hint="eastAsia" w:ascii="宋体" w:hAnsi="宋体" w:eastAsia="宋体" w:cs="宋体"/>
          <w:szCs w:val="21"/>
        </w:rPr>
        <w:t>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4"/>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7"/>
      <w:bookmarkEnd w:id="26"/>
      <w:bookmarkStart w:id="27" w:name="_Toc82591985"/>
      <w:bookmarkEnd w:id="27"/>
      <w:bookmarkStart w:id="28" w:name="_Toc82685545"/>
      <w:bookmarkEnd w:id="28"/>
      <w:bookmarkStart w:id="29" w:name="_Toc82591988"/>
      <w:bookmarkEnd w:id="29"/>
      <w:bookmarkStart w:id="30" w:name="_Toc82591986"/>
      <w:bookmarkEnd w:id="30"/>
      <w:bookmarkStart w:id="31" w:name="_Toc82684593"/>
      <w:bookmarkEnd w:id="31"/>
      <w:bookmarkStart w:id="32" w:name="_Toc82684708"/>
      <w:bookmarkEnd w:id="32"/>
      <w:bookmarkStart w:id="33" w:name="_Toc82591930"/>
      <w:bookmarkEnd w:id="33"/>
      <w:bookmarkStart w:id="34" w:name="_Toc82591989"/>
      <w:bookmarkEnd w:id="34"/>
      <w:bookmarkStart w:id="35" w:name="_Toc106791255"/>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“信用中国”网站（www.creditchina.gov.cn）“公示的企业信息打印件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项目负责人身份证复印件、社保证明或劳务合同复印件等资料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750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50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资质要求</w:t>
            </w:r>
          </w:p>
        </w:tc>
        <w:tc>
          <w:tcPr>
            <w:tcW w:w="750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rPr>
            </w:pPr>
            <w:bookmarkStart w:id="37" w:name="OLE_LINK3"/>
            <w:bookmarkStart w:id="38" w:name="OLE_LINK4"/>
            <w:r>
              <w:rPr>
                <w:rFonts w:hint="eastAsia" w:ascii="宋体" w:hAnsi="宋体" w:cs="仿宋_GB2312"/>
                <w:color w:val="auto"/>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rPr>
                <w:rFonts w:ascii="宋体" w:hAnsi="宋体" w:cs="宋体"/>
                <w:color w:val="auto"/>
                <w:szCs w:val="21"/>
              </w:rPr>
            </w:pPr>
            <w:r>
              <w:rPr>
                <w:rFonts w:hint="eastAsia" w:ascii="宋体" w:hAnsi="宋体" w:cs="宋体"/>
                <w:color w:val="auto"/>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r>
              <w:rPr>
                <w:rFonts w:hint="eastAsia" w:ascii="宋体" w:hAnsi="宋体" w:cs="宋体"/>
                <w:color w:val="auto"/>
                <w:szCs w:val="21"/>
              </w:rPr>
              <w:t>。</w:t>
            </w:r>
          </w:p>
          <w:p>
            <w:pPr>
              <w:numPr>
                <w:ilvl w:val="0"/>
                <w:numId w:val="10"/>
              </w:numPr>
              <w:tabs>
                <w:tab w:val="left" w:pos="531"/>
              </w:tabs>
              <w:snapToGrid w:val="0"/>
              <w:rPr>
                <w:rFonts w:ascii="宋体" w:hAnsi="宋体" w:cs="宋体"/>
                <w:color w:val="auto"/>
              </w:rPr>
            </w:pPr>
            <w:r>
              <w:rPr>
                <w:rFonts w:hint="eastAsia" w:ascii="宋体" w:hAnsi="宋体" w:cs="宋体"/>
                <w:color w:val="auto"/>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业绩要求</w:t>
            </w:r>
          </w:p>
        </w:tc>
        <w:tc>
          <w:tcPr>
            <w:tcW w:w="750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rPr>
            </w:pPr>
            <w:r>
              <w:rPr>
                <w:rFonts w:hint="eastAsia" w:ascii="宋体" w:hAnsi="宋体" w:cs="宋体"/>
                <w:szCs w:val="21"/>
              </w:rPr>
              <w:t>投标人须有近三年（20</w:t>
            </w:r>
            <w:r>
              <w:rPr>
                <w:rFonts w:ascii="宋体" w:hAnsi="宋体" w:cs="宋体"/>
                <w:szCs w:val="21"/>
              </w:rPr>
              <w:t>19</w:t>
            </w:r>
            <w:r>
              <w:rPr>
                <w:rFonts w:hint="eastAsia" w:ascii="宋体" w:hAnsi="宋体" w:cs="宋体"/>
                <w:szCs w:val="21"/>
              </w:rPr>
              <w:t>年</w:t>
            </w:r>
            <w:r>
              <w:rPr>
                <w:rFonts w:ascii="宋体" w:hAnsi="宋体" w:cs="宋体"/>
                <w:szCs w:val="21"/>
              </w:rPr>
              <w:t>1</w:t>
            </w:r>
            <w:r>
              <w:rPr>
                <w:rFonts w:hint="eastAsia" w:ascii="宋体" w:hAnsi="宋体" w:cs="宋体"/>
                <w:szCs w:val="21"/>
              </w:rPr>
              <w:t>月至本项目招标公告发布之日止）参与组织或作为主办/承办/协办单位的会议活动项目案例</w:t>
            </w:r>
            <w:r>
              <w:rPr>
                <w:rFonts w:ascii="宋体" w:hAnsi="宋体" w:cs="宋体"/>
                <w:szCs w:val="21"/>
              </w:rPr>
              <w:t>（提供合同关键页复印件加盖公章,合同关键页包含但不限于项目名称、业主方名称、合同主要内容、签订时间、履约地点、甲乙双方盖章等信息）</w:t>
            </w:r>
            <w:r>
              <w:rPr>
                <w:rFonts w:hint="eastAsia" w:ascii="宋体" w:hAnsi="宋体" w:cs="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项目周期</w:t>
            </w:r>
          </w:p>
        </w:tc>
        <w:tc>
          <w:tcPr>
            <w:tcW w:w="750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rPr>
            </w:pPr>
            <w:r>
              <w:rPr>
                <w:rFonts w:hint="eastAsia" w:ascii="宋体" w:hAnsi="宋体" w:cs="宋体"/>
                <w:szCs w:val="21"/>
              </w:rPr>
              <w:t>本项目服务期限为三年（1</w:t>
            </w:r>
            <w:r>
              <w:rPr>
                <w:rFonts w:ascii="宋体" w:hAnsi="宋体" w:cs="宋体"/>
                <w:szCs w:val="21"/>
              </w:rPr>
              <w:t>+</w:t>
            </w:r>
            <w:r>
              <w:rPr>
                <w:rFonts w:hint="eastAsia" w:ascii="宋体" w:hAnsi="宋体" w:cs="宋体"/>
                <w:szCs w:val="21"/>
              </w:rPr>
              <w:t>1+1模式），在第一年展会结束后，招标人根据中标单位的服务质量、各项承诺兑现情况等因素进行考核评估，如考核达到优良（即考核评分达到80分或以上），则执行第二年合同，如考核未达到优良，招标人有权在第一年服务期满时终止合同。第三年合同以此类推。具体参考方法见</w:t>
            </w:r>
            <w:r>
              <w:rPr>
                <w:rFonts w:hint="eastAsia" w:ascii="宋体" w:hAnsi="宋体"/>
                <w:szCs w:val="21"/>
              </w:rPr>
              <w:t>“五、其他项目说明资料”——</w:t>
            </w:r>
            <w:r>
              <w:rPr>
                <w:rFonts w:hint="eastAsia" w:ascii="宋体" w:hAnsi="宋体" w:cs="宋体"/>
                <w:szCs w:val="21"/>
              </w:rPr>
              <w:t>《深圳会展中心服务机构履约评价表（服务类）》。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50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报价以人民币为结算币种、含增值税。投标人须在投标文件中提供《投标一览表》、《报价一览表》，须含详细的服务分项报价、年度报价与三年项目总报价。</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投标报价包括但不限于</w:t>
            </w:r>
            <w:r>
              <w:rPr>
                <w:rFonts w:hint="eastAsia" w:ascii="宋体" w:hAnsi="宋体"/>
                <w:szCs w:val="21"/>
              </w:rPr>
              <w:t>物料及用品费用、人工费用（含工作人员和会期志愿者）、会务执行费用、增值服务费用（如有）及增值税费等</w:t>
            </w:r>
            <w:r>
              <w:rPr>
                <w:rFonts w:hint="eastAsia" w:ascii="宋体" w:hAnsi="宋体" w:cs="仿宋_GB2312"/>
                <w:szCs w:val="21"/>
              </w:rPr>
              <w:t>完成本项目所需的全部费用。</w:t>
            </w:r>
          </w:p>
          <w:p>
            <w:pPr>
              <w:numPr>
                <w:ilvl w:val="0"/>
                <w:numId w:val="11"/>
              </w:numPr>
              <w:tabs>
                <w:tab w:val="left" w:pos="531"/>
              </w:tabs>
              <w:snapToGrid w:val="0"/>
              <w:ind w:left="0" w:firstLine="0"/>
              <w:rPr>
                <w:rFonts w:ascii="宋体" w:hAnsi="宋体" w:cs="仿宋_GB2312"/>
                <w:szCs w:val="21"/>
              </w:rPr>
            </w:pPr>
            <w:r>
              <w:rPr>
                <w:rFonts w:hint="eastAsia" w:ascii="宋体" w:hAnsi="宋体"/>
                <w:szCs w:val="21"/>
              </w:rPr>
              <w:t>因中标人组织管理原因导致的额外支出，均由中标人自行承担，招标人不再支付其他任何费用。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szCs w:val="21"/>
              </w:rPr>
              <w:t>本项目单年控制金额为人民币</w:t>
            </w:r>
            <w:r>
              <w:rPr>
                <w:rFonts w:ascii="宋体" w:hAnsi="宋体" w:cs="宋体"/>
                <w:szCs w:val="21"/>
              </w:rPr>
              <w:t>13万元（含</w:t>
            </w:r>
            <w:r>
              <w:rPr>
                <w:rFonts w:hint="eastAsia" w:ascii="宋体" w:hAnsi="宋体" w:cs="宋体"/>
                <w:szCs w:val="21"/>
              </w:rPr>
              <w:t>值增</w:t>
            </w:r>
            <w:r>
              <w:rPr>
                <w:rFonts w:ascii="宋体" w:hAnsi="宋体" w:cs="宋体"/>
                <w:szCs w:val="21"/>
              </w:rPr>
              <w:t>税）</w:t>
            </w:r>
            <w:r>
              <w:rPr>
                <w:rFonts w:hint="eastAsia" w:ascii="宋体" w:hAnsi="宋体" w:cs="宋体"/>
                <w:szCs w:val="21"/>
              </w:rPr>
              <w:t>，3年总控制金额为人民币</w:t>
            </w:r>
            <w:r>
              <w:rPr>
                <w:rFonts w:ascii="宋体" w:hAnsi="宋体" w:cs="宋体"/>
                <w:szCs w:val="21"/>
              </w:rPr>
              <w:t>39</w:t>
            </w:r>
            <w:r>
              <w:rPr>
                <w:rFonts w:hint="eastAsia" w:ascii="宋体" w:hAnsi="宋体" w:cs="宋体"/>
                <w:szCs w:val="21"/>
              </w:rPr>
              <w:t>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50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cs="宋体"/>
              </w:rPr>
            </w:pPr>
            <w:r>
              <w:rPr>
                <w:rFonts w:hint="eastAsia" w:ascii="宋体" w:hAnsi="宋体" w:cs="宋体"/>
              </w:rPr>
              <w:t>在合同执行期内，每一年项目整体服务完成后，经采购人审核确认且无任何违反合同要求的问题，在当届高交会结束后一次性支付本项目当年应结算款项。如有违反合同要求的情况则按合同规定执行。</w:t>
            </w:r>
          </w:p>
          <w:p>
            <w:pPr>
              <w:numPr>
                <w:ilvl w:val="0"/>
                <w:numId w:val="12"/>
              </w:numPr>
              <w:tabs>
                <w:tab w:val="left" w:pos="531"/>
              </w:tabs>
              <w:snapToGrid w:val="0"/>
              <w:ind w:left="0" w:firstLine="0"/>
              <w:rPr>
                <w:rFonts w:ascii="宋体" w:hAnsi="宋体" w:cs="宋体"/>
                <w:color w:val="FF0000"/>
              </w:rPr>
            </w:pPr>
            <w:r>
              <w:rPr>
                <w:rFonts w:hint="eastAsia" w:ascii="宋体" w:hAnsi="宋体" w:cs="宋体"/>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验收要求</w:t>
            </w:r>
          </w:p>
        </w:tc>
        <w:tc>
          <w:tcPr>
            <w:tcW w:w="750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3"/>
              </w:numPr>
              <w:tabs>
                <w:tab w:val="left" w:pos="531"/>
              </w:tabs>
              <w:snapToGrid w:val="0"/>
              <w:rPr>
                <w:rFonts w:ascii="宋体" w:hAnsi="宋体" w:cs="宋体"/>
                <w:szCs w:val="21"/>
              </w:rPr>
            </w:pPr>
            <w:r>
              <w:rPr>
                <w:rFonts w:hint="eastAsia" w:ascii="宋体" w:hAnsi="宋体" w:cs="宋体"/>
                <w:szCs w:val="21"/>
              </w:rPr>
              <w:t>当届高交会本项目实施完毕，中选单位按采购人要求提交项目书面总结报告，由采购人相关部门负责人及项目负责人对本项目进行评估验收。</w:t>
            </w:r>
          </w:p>
          <w:p>
            <w:pPr>
              <w:numPr>
                <w:ilvl w:val="0"/>
                <w:numId w:val="13"/>
              </w:numPr>
              <w:tabs>
                <w:tab w:val="left" w:pos="531"/>
              </w:tabs>
              <w:snapToGrid w:val="0"/>
              <w:rPr>
                <w:rFonts w:ascii="宋体" w:hAnsi="宋体" w:cs="宋体"/>
                <w:szCs w:val="21"/>
              </w:rPr>
            </w:pPr>
            <w:r>
              <w:rPr>
                <w:rFonts w:hint="eastAsia" w:ascii="宋体" w:cs="宋体"/>
                <w:szCs w:val="21"/>
              </w:rPr>
              <w:t>在项目执行过程中，如中选单位因自身原因未能在约定时间内按要求完成合同义务，逾期3日以上（含3日）的，除赔偿采购人所有损失外，应支付合同总价3%的违约金。</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保密要求</w:t>
            </w:r>
          </w:p>
        </w:tc>
        <w:tc>
          <w:tcPr>
            <w:tcW w:w="750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rPr>
            </w:pPr>
            <w:r>
              <w:rPr>
                <w:rFonts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特别要求</w:t>
            </w:r>
          </w:p>
        </w:tc>
        <w:tc>
          <w:tcPr>
            <w:tcW w:w="7508" w:type="dxa"/>
            <w:tcBorders>
              <w:top w:val="single" w:color="auto" w:sz="4" w:space="0"/>
              <w:left w:val="single" w:color="auto" w:sz="4" w:space="0"/>
              <w:bottom w:val="single" w:color="auto" w:sz="4" w:space="0"/>
              <w:right w:val="single" w:color="auto" w:sz="4" w:space="0"/>
            </w:tcBorders>
            <w:vAlign w:val="center"/>
          </w:tcPr>
          <w:p>
            <w:pPr>
              <w:pStyle w:val="24"/>
              <w:numPr>
                <w:ilvl w:val="0"/>
                <w:numId w:val="14"/>
              </w:numPr>
              <w:tabs>
                <w:tab w:val="left" w:pos="531"/>
              </w:tabs>
              <w:snapToGrid w:val="0"/>
              <w:ind w:firstLineChars="0"/>
              <w:rPr>
                <w:rFonts w:ascii="宋体" w:hAnsi="宋体" w:eastAsia="宋体" w:cs="宋体"/>
                <w:szCs w:val="21"/>
              </w:rPr>
            </w:pPr>
            <w:bookmarkStart w:id="39" w:name="_Hlk106027734"/>
            <w:r>
              <w:rPr>
                <w:rFonts w:hint="eastAsia" w:ascii="宋体" w:hAnsi="宋体" w:eastAsia="宋体" w:cs="宋体"/>
                <w:szCs w:val="21"/>
              </w:rPr>
              <w:t>如因新冠疫情或其他不可抗力导致高交会或论坛停止举办的，自通知发布之时合同即时自动终止并解除，</w:t>
            </w:r>
            <w:bookmarkStart w:id="40" w:name="_Hlk106027943"/>
            <w:r>
              <w:rPr>
                <w:rFonts w:hint="eastAsia" w:ascii="宋体" w:hAnsi="宋体" w:eastAsia="宋体" w:cs="宋体"/>
                <w:szCs w:val="21"/>
              </w:rPr>
              <w:t>此期间投标人因如约履行本项目合同且已实际发生的直接费用，招标人可按实予以结算。同时，招标人不再承担投标人由此造成的其他间接费用和损失，投标人亦不得再就上述事项进行任何形式的索赔。</w:t>
            </w:r>
            <w:bookmarkEnd w:id="39"/>
            <w:bookmarkEnd w:id="40"/>
          </w:p>
          <w:p>
            <w:pPr>
              <w:pStyle w:val="24"/>
              <w:numPr>
                <w:ilvl w:val="0"/>
                <w:numId w:val="14"/>
              </w:numPr>
              <w:tabs>
                <w:tab w:val="left" w:pos="531"/>
              </w:tabs>
              <w:snapToGrid w:val="0"/>
              <w:ind w:firstLineChars="0"/>
              <w:rPr>
                <w:rFonts w:ascii="宋体" w:hAnsi="宋体" w:eastAsia="宋体" w:cs="宋体"/>
                <w:szCs w:val="21"/>
              </w:rPr>
            </w:pPr>
            <w:r>
              <w:rPr>
                <w:rFonts w:hint="eastAsia" w:ascii="宋体" w:hAnsi="宋体" w:eastAsia="宋体" w:cs="宋体"/>
                <w:szCs w:val="21"/>
              </w:rPr>
              <w:t>如因新冠疫情或其他不可抗力导致高交会会期或其它相关事项、要素发生变动的，投标人须无条件配合调整相关服务（如增减服务内容、延期、展会地点或举办形式调整等），并视情况签订相应的补充协议。</w:t>
            </w:r>
          </w:p>
          <w:p>
            <w:pPr>
              <w:pStyle w:val="24"/>
              <w:numPr>
                <w:ilvl w:val="0"/>
                <w:numId w:val="14"/>
              </w:numPr>
              <w:tabs>
                <w:tab w:val="left" w:pos="531"/>
              </w:tabs>
              <w:snapToGrid w:val="0"/>
              <w:ind w:firstLineChars="0"/>
              <w:rPr>
                <w:rFonts w:ascii="宋体" w:hAnsi="宋体" w:eastAsia="宋体" w:cs="宋体"/>
                <w:szCs w:val="21"/>
              </w:rPr>
            </w:pPr>
            <w:r>
              <w:rPr>
                <w:rFonts w:hint="eastAsia" w:ascii="宋体" w:hAnsi="宋体" w:eastAsia="宋体" w:cs="宋体"/>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50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服务内容</w:t>
            </w:r>
          </w:p>
        </w:tc>
        <w:tc>
          <w:tcPr>
            <w:tcW w:w="7508" w:type="dxa"/>
            <w:tcBorders>
              <w:top w:val="single" w:color="auto" w:sz="4" w:space="0"/>
              <w:left w:val="single" w:color="auto" w:sz="4" w:space="0"/>
              <w:bottom w:val="single" w:color="auto" w:sz="4" w:space="0"/>
              <w:right w:val="single" w:color="auto" w:sz="4" w:space="0"/>
            </w:tcBorders>
            <w:vAlign w:val="center"/>
          </w:tcPr>
          <w:p>
            <w:pPr>
              <w:pStyle w:val="24"/>
              <w:numPr>
                <w:ilvl w:val="0"/>
                <w:numId w:val="15"/>
              </w:numPr>
              <w:tabs>
                <w:tab w:val="left" w:pos="531"/>
              </w:tabs>
              <w:snapToGrid w:val="0"/>
              <w:ind w:firstLineChars="0"/>
              <w:rPr>
                <w:rFonts w:ascii="宋体" w:hAnsi="宋体" w:eastAsia="宋体"/>
                <w:b/>
                <w:bCs/>
                <w:szCs w:val="21"/>
              </w:rPr>
            </w:pPr>
            <w:r>
              <w:rPr>
                <w:rFonts w:hint="eastAsia" w:ascii="宋体" w:hAnsi="宋体" w:eastAsia="宋体"/>
                <w:b/>
                <w:bCs/>
                <w:szCs w:val="21"/>
              </w:rPr>
              <w:t>项目要素：</w:t>
            </w:r>
          </w:p>
          <w:p>
            <w:pPr>
              <w:pStyle w:val="24"/>
              <w:numPr>
                <w:ilvl w:val="0"/>
                <w:numId w:val="16"/>
              </w:numPr>
              <w:tabs>
                <w:tab w:val="left" w:pos="531"/>
              </w:tabs>
              <w:snapToGrid w:val="0"/>
              <w:ind w:firstLineChars="0"/>
              <w:rPr>
                <w:rFonts w:ascii="宋体" w:hAnsi="宋体" w:eastAsia="宋体"/>
                <w:szCs w:val="21"/>
              </w:rPr>
            </w:pPr>
            <w:r>
              <w:rPr>
                <w:rFonts w:hint="eastAsia" w:ascii="宋体" w:hAnsi="宋体" w:eastAsia="宋体"/>
                <w:b/>
                <w:bCs/>
                <w:szCs w:val="21"/>
              </w:rPr>
              <w:t>活动名称：</w:t>
            </w:r>
            <w:r>
              <w:rPr>
                <w:rFonts w:hint="eastAsia" w:ascii="宋体" w:hAnsi="宋体" w:eastAsia="宋体"/>
                <w:szCs w:val="21"/>
              </w:rPr>
              <w:t>2</w:t>
            </w:r>
            <w:r>
              <w:rPr>
                <w:rFonts w:ascii="宋体" w:hAnsi="宋体" w:eastAsia="宋体"/>
                <w:szCs w:val="21"/>
              </w:rPr>
              <w:t>022</w:t>
            </w:r>
            <w:r>
              <w:rPr>
                <w:rFonts w:hint="eastAsia" w:ascii="宋体" w:hAnsi="宋体" w:eastAsia="宋体"/>
                <w:szCs w:val="21"/>
              </w:rPr>
              <w:t>年-</w:t>
            </w:r>
            <w:r>
              <w:rPr>
                <w:rFonts w:ascii="宋体" w:hAnsi="宋体" w:eastAsia="宋体"/>
                <w:szCs w:val="21"/>
              </w:rPr>
              <w:t>2024</w:t>
            </w:r>
            <w:r>
              <w:rPr>
                <w:rFonts w:hint="eastAsia" w:ascii="宋体" w:hAnsi="宋体" w:eastAsia="宋体"/>
                <w:szCs w:val="21"/>
              </w:rPr>
              <w:t>年高交会中国高新技术论坛</w:t>
            </w:r>
          </w:p>
          <w:p>
            <w:pPr>
              <w:pStyle w:val="24"/>
              <w:numPr>
                <w:ilvl w:val="0"/>
                <w:numId w:val="16"/>
              </w:numPr>
              <w:tabs>
                <w:tab w:val="left" w:pos="531"/>
              </w:tabs>
              <w:snapToGrid w:val="0"/>
              <w:ind w:firstLineChars="0"/>
              <w:rPr>
                <w:rFonts w:ascii="宋体" w:hAnsi="宋体" w:eastAsia="宋体"/>
                <w:szCs w:val="21"/>
              </w:rPr>
            </w:pPr>
            <w:r>
              <w:rPr>
                <w:rFonts w:hint="eastAsia" w:ascii="宋体" w:hAnsi="宋体" w:eastAsia="宋体"/>
                <w:b/>
                <w:bCs/>
                <w:szCs w:val="21"/>
              </w:rPr>
              <w:t>举办时间：</w:t>
            </w:r>
            <w:r>
              <w:rPr>
                <w:rFonts w:hint="eastAsia" w:ascii="宋体" w:hAnsi="宋体" w:eastAsia="宋体"/>
                <w:szCs w:val="21"/>
              </w:rPr>
              <w:t>一般为每年11月中旬，时长为3天（以实际发生为准）</w:t>
            </w:r>
          </w:p>
          <w:p>
            <w:pPr>
              <w:pStyle w:val="24"/>
              <w:numPr>
                <w:ilvl w:val="0"/>
                <w:numId w:val="16"/>
              </w:numPr>
              <w:tabs>
                <w:tab w:val="left" w:pos="531"/>
              </w:tabs>
              <w:snapToGrid w:val="0"/>
              <w:ind w:firstLineChars="0"/>
              <w:rPr>
                <w:rFonts w:ascii="宋体" w:hAnsi="宋体" w:eastAsia="宋体"/>
                <w:szCs w:val="21"/>
              </w:rPr>
            </w:pPr>
            <w:r>
              <w:rPr>
                <w:rFonts w:hint="eastAsia" w:ascii="宋体" w:hAnsi="宋体" w:eastAsia="宋体"/>
                <w:b/>
                <w:bCs/>
                <w:szCs w:val="21"/>
              </w:rPr>
              <w:t>举办场次：</w:t>
            </w:r>
            <w:r>
              <w:rPr>
                <w:rFonts w:hint="eastAsia" w:ascii="宋体" w:hAnsi="宋体" w:eastAsia="宋体"/>
                <w:szCs w:val="21"/>
              </w:rPr>
              <w:t>暂定每年6场，每半天为一场，一般为上午9:30-12:30，下午13:30-17:30（以实际发生为准）</w:t>
            </w:r>
          </w:p>
          <w:p>
            <w:pPr>
              <w:pStyle w:val="24"/>
              <w:numPr>
                <w:ilvl w:val="0"/>
                <w:numId w:val="16"/>
              </w:numPr>
              <w:tabs>
                <w:tab w:val="left" w:pos="531"/>
              </w:tabs>
              <w:snapToGrid w:val="0"/>
              <w:ind w:firstLineChars="0"/>
              <w:rPr>
                <w:rFonts w:ascii="宋体" w:hAnsi="宋体" w:eastAsia="宋体"/>
                <w:szCs w:val="21"/>
              </w:rPr>
            </w:pPr>
            <w:r>
              <w:rPr>
                <w:rFonts w:hint="eastAsia" w:ascii="宋体" w:hAnsi="宋体" w:eastAsia="宋体"/>
                <w:b/>
                <w:bCs/>
                <w:szCs w:val="21"/>
              </w:rPr>
              <w:t>举办地点：</w:t>
            </w:r>
            <w:r>
              <w:rPr>
                <w:rFonts w:hint="eastAsia" w:ascii="宋体" w:hAnsi="宋体" w:eastAsia="宋体"/>
                <w:szCs w:val="21"/>
              </w:rPr>
              <w:t>深圳会展中心5楼</w:t>
            </w:r>
          </w:p>
          <w:p>
            <w:pPr>
              <w:pStyle w:val="24"/>
              <w:numPr>
                <w:ilvl w:val="0"/>
                <w:numId w:val="15"/>
              </w:numPr>
              <w:tabs>
                <w:tab w:val="left" w:pos="531"/>
              </w:tabs>
              <w:snapToGrid w:val="0"/>
              <w:ind w:firstLineChars="0"/>
              <w:rPr>
                <w:rFonts w:ascii="宋体" w:hAnsi="宋体" w:eastAsia="宋体"/>
                <w:b/>
                <w:bCs/>
                <w:szCs w:val="21"/>
              </w:rPr>
            </w:pPr>
            <w:r>
              <w:rPr>
                <w:rFonts w:hint="eastAsia" w:ascii="宋体" w:hAnsi="宋体" w:eastAsia="宋体"/>
                <w:b/>
                <w:bCs/>
                <w:szCs w:val="21"/>
              </w:rPr>
              <w:t>服务内容：</w:t>
            </w:r>
          </w:p>
          <w:p>
            <w:pPr>
              <w:tabs>
                <w:tab w:val="left" w:pos="531"/>
              </w:tabs>
              <w:snapToGrid w:val="0"/>
              <w:ind w:firstLine="420" w:firstLineChars="200"/>
              <w:rPr>
                <w:rFonts w:ascii="宋体" w:hAnsi="宋体"/>
                <w:szCs w:val="21"/>
              </w:rPr>
            </w:pPr>
            <w:r>
              <w:rPr>
                <w:rFonts w:hint="eastAsia" w:ascii="宋体" w:hAnsi="宋体"/>
                <w:szCs w:val="21"/>
              </w:rPr>
              <w:t>本项目服务内容主要包括但不限于：论坛前期筹备工作；现场流程及场地管控；嘉宾现场服务；听众签到、咨询及服务；贵宾室及媒体采访室、VIP综合服务区等相关场地管理；会期志愿者招募、培训、管理；其他会后善后工作等，具体如下（未尽部分以组委会最终的活动方案为准）：</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前期筹备工作：</w:t>
            </w:r>
          </w:p>
          <w:p>
            <w:pPr>
              <w:numPr>
                <w:ilvl w:val="0"/>
                <w:numId w:val="18"/>
              </w:numPr>
              <w:tabs>
                <w:tab w:val="left" w:pos="531"/>
              </w:tabs>
              <w:snapToGrid w:val="0"/>
              <w:rPr>
                <w:rFonts w:ascii="宋体" w:hAnsi="宋体"/>
                <w:szCs w:val="21"/>
              </w:rPr>
            </w:pPr>
            <w:r>
              <w:rPr>
                <w:rFonts w:hint="eastAsia" w:ascii="宋体" w:hAnsi="宋体"/>
                <w:szCs w:val="21"/>
              </w:rPr>
              <w:t>论坛会务工作内容、工作进度及岗位分工表等方案的撰写、统筹与把控。</w:t>
            </w:r>
          </w:p>
          <w:p>
            <w:pPr>
              <w:numPr>
                <w:ilvl w:val="0"/>
                <w:numId w:val="18"/>
              </w:numPr>
              <w:tabs>
                <w:tab w:val="left" w:pos="531"/>
              </w:tabs>
              <w:snapToGrid w:val="0"/>
              <w:rPr>
                <w:rFonts w:ascii="宋体" w:hAnsi="宋体"/>
                <w:szCs w:val="21"/>
              </w:rPr>
            </w:pPr>
            <w:r>
              <w:rPr>
                <w:rFonts w:hint="eastAsia" w:ascii="宋体" w:hAnsi="宋体"/>
                <w:szCs w:val="21"/>
              </w:rPr>
              <w:t>前期资料收集：如会刊资料收集及校对、嘉宾简历、照片、演讲PPT、演讲题目等资料的收集整理。</w:t>
            </w:r>
          </w:p>
          <w:p>
            <w:pPr>
              <w:numPr>
                <w:ilvl w:val="0"/>
                <w:numId w:val="18"/>
              </w:numPr>
              <w:tabs>
                <w:tab w:val="left" w:pos="531"/>
              </w:tabs>
              <w:snapToGrid w:val="0"/>
              <w:rPr>
                <w:rFonts w:ascii="宋体" w:hAnsi="宋体"/>
                <w:szCs w:val="21"/>
              </w:rPr>
            </w:pPr>
            <w:r>
              <w:rPr>
                <w:rFonts w:hint="eastAsia" w:ascii="宋体" w:hAnsi="宋体"/>
                <w:szCs w:val="21"/>
              </w:rPr>
              <w:t>论坛相关文稿撰写：如论坛主持稿、领导致辞稿、宣传通稿、论坛串场PPT等。</w:t>
            </w:r>
          </w:p>
          <w:p>
            <w:pPr>
              <w:numPr>
                <w:ilvl w:val="0"/>
                <w:numId w:val="18"/>
              </w:numPr>
              <w:tabs>
                <w:tab w:val="left" w:pos="531"/>
              </w:tabs>
              <w:snapToGrid w:val="0"/>
              <w:rPr>
                <w:rFonts w:ascii="宋体" w:hAnsi="宋体"/>
                <w:szCs w:val="21"/>
              </w:rPr>
            </w:pPr>
            <w:r>
              <w:rPr>
                <w:rFonts w:hint="eastAsia" w:ascii="宋体" w:hAnsi="宋体"/>
                <w:szCs w:val="21"/>
              </w:rPr>
              <w:t>论坛听众签到前期准备：如撰写报到通知、撰写参会指南等。</w:t>
            </w:r>
          </w:p>
          <w:p>
            <w:pPr>
              <w:numPr>
                <w:ilvl w:val="0"/>
                <w:numId w:val="18"/>
              </w:numPr>
              <w:tabs>
                <w:tab w:val="left" w:pos="531"/>
              </w:tabs>
              <w:snapToGrid w:val="0"/>
              <w:rPr>
                <w:rFonts w:ascii="宋体" w:hAnsi="宋体"/>
                <w:szCs w:val="21"/>
              </w:rPr>
            </w:pPr>
            <w:r>
              <w:rPr>
                <w:rFonts w:hint="eastAsia" w:ascii="宋体" w:hAnsi="宋体"/>
                <w:szCs w:val="21"/>
              </w:rPr>
              <w:t>论坛相关物料准备：如制作会场席卡、准备签到区物料、会议资料及宣传品装袋、分发等。</w:t>
            </w:r>
          </w:p>
          <w:p>
            <w:pPr>
              <w:numPr>
                <w:ilvl w:val="0"/>
                <w:numId w:val="18"/>
              </w:numPr>
              <w:tabs>
                <w:tab w:val="left" w:pos="531"/>
              </w:tabs>
              <w:snapToGrid w:val="0"/>
              <w:rPr>
                <w:rFonts w:ascii="宋体" w:hAnsi="宋体"/>
                <w:szCs w:val="21"/>
              </w:rPr>
            </w:pPr>
            <w:r>
              <w:rPr>
                <w:rFonts w:hint="eastAsia" w:ascii="宋体" w:hAnsi="宋体"/>
                <w:szCs w:val="21"/>
              </w:rPr>
              <w:t>招标人负责选定论坛舞台搭建、灯光、音响、翻译、速记、茶歇、摄影摄像等相关外包商并与之签约。招标人选定服务商后交由中标人进行统筹管理。</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论坛现场流程及场地管控工作：</w:t>
            </w:r>
          </w:p>
          <w:p>
            <w:pPr>
              <w:numPr>
                <w:ilvl w:val="0"/>
                <w:numId w:val="19"/>
              </w:numPr>
              <w:tabs>
                <w:tab w:val="left" w:pos="531"/>
              </w:tabs>
              <w:snapToGrid w:val="0"/>
              <w:rPr>
                <w:rFonts w:ascii="宋体" w:hAnsi="宋体"/>
                <w:szCs w:val="21"/>
              </w:rPr>
            </w:pPr>
            <w:r>
              <w:rPr>
                <w:rFonts w:hint="eastAsia" w:ascii="宋体" w:hAnsi="宋体"/>
                <w:szCs w:val="21"/>
              </w:rPr>
              <w:t>把控每场论坛的时间进度，确保嘉宾演讲节奏、确保环节紧凑。</w:t>
            </w:r>
          </w:p>
          <w:p>
            <w:pPr>
              <w:numPr>
                <w:ilvl w:val="0"/>
                <w:numId w:val="19"/>
              </w:numPr>
              <w:tabs>
                <w:tab w:val="left" w:pos="531"/>
              </w:tabs>
              <w:snapToGrid w:val="0"/>
              <w:rPr>
                <w:rFonts w:ascii="宋体" w:hAnsi="宋体"/>
                <w:szCs w:val="21"/>
              </w:rPr>
            </w:pPr>
            <w:r>
              <w:rPr>
                <w:rFonts w:hint="eastAsia" w:ascii="宋体" w:hAnsi="宋体"/>
                <w:szCs w:val="21"/>
              </w:rPr>
              <w:t>把控现场观众、嘉宾、媒体的进场及离场时间；维护会场的现场秩序。</w:t>
            </w:r>
          </w:p>
          <w:p>
            <w:pPr>
              <w:numPr>
                <w:ilvl w:val="0"/>
                <w:numId w:val="19"/>
              </w:numPr>
              <w:tabs>
                <w:tab w:val="left" w:pos="531"/>
              </w:tabs>
              <w:snapToGrid w:val="0"/>
              <w:rPr>
                <w:rFonts w:ascii="宋体" w:hAnsi="宋体"/>
                <w:szCs w:val="21"/>
              </w:rPr>
            </w:pPr>
            <w:r>
              <w:rPr>
                <w:rFonts w:hint="eastAsia" w:ascii="宋体" w:hAnsi="宋体"/>
                <w:szCs w:val="21"/>
              </w:rPr>
              <w:t xml:space="preserve">处理论坛会场出现的现场突发事件，对出现的紧急状况及时处理，事先做好预案。 </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论坛嘉宾现场对接与服务工作：</w:t>
            </w:r>
          </w:p>
          <w:p>
            <w:pPr>
              <w:numPr>
                <w:ilvl w:val="0"/>
                <w:numId w:val="20"/>
              </w:numPr>
              <w:tabs>
                <w:tab w:val="left" w:pos="531"/>
              </w:tabs>
              <w:snapToGrid w:val="0"/>
              <w:rPr>
                <w:rFonts w:ascii="宋体" w:hAnsi="宋体"/>
                <w:szCs w:val="21"/>
              </w:rPr>
            </w:pPr>
            <w:r>
              <w:rPr>
                <w:rFonts w:hint="eastAsia" w:ascii="宋体" w:hAnsi="宋体"/>
                <w:szCs w:val="21"/>
              </w:rPr>
              <w:t>跟踪演讲嘉宾及主持人行程，确保主持人及演讲嘉宾及时到场。</w:t>
            </w:r>
          </w:p>
          <w:p>
            <w:pPr>
              <w:numPr>
                <w:ilvl w:val="0"/>
                <w:numId w:val="20"/>
              </w:numPr>
              <w:tabs>
                <w:tab w:val="left" w:pos="531"/>
              </w:tabs>
              <w:snapToGrid w:val="0"/>
              <w:rPr>
                <w:rFonts w:ascii="宋体" w:hAnsi="宋体"/>
                <w:szCs w:val="21"/>
              </w:rPr>
            </w:pPr>
            <w:r>
              <w:rPr>
                <w:rFonts w:hint="eastAsia" w:ascii="宋体" w:hAnsi="宋体"/>
                <w:szCs w:val="21"/>
              </w:rPr>
              <w:t>负责与主持人沟通，控制嘉宾演讲时间及各环节衔接。</w:t>
            </w:r>
          </w:p>
          <w:p>
            <w:pPr>
              <w:numPr>
                <w:ilvl w:val="0"/>
                <w:numId w:val="20"/>
              </w:numPr>
              <w:tabs>
                <w:tab w:val="left" w:pos="531"/>
              </w:tabs>
              <w:snapToGrid w:val="0"/>
              <w:rPr>
                <w:rFonts w:ascii="宋体" w:hAnsi="宋体"/>
                <w:szCs w:val="21"/>
              </w:rPr>
            </w:pPr>
            <w:r>
              <w:rPr>
                <w:rFonts w:hint="eastAsia" w:ascii="宋体" w:hAnsi="宋体"/>
                <w:szCs w:val="21"/>
              </w:rPr>
              <w:t>负责嘉宾现场参观等其他服务需求。</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论坛现场听众签到、咨询及服务工作</w:t>
            </w:r>
          </w:p>
          <w:p>
            <w:pPr>
              <w:numPr>
                <w:ilvl w:val="0"/>
                <w:numId w:val="21"/>
              </w:numPr>
              <w:tabs>
                <w:tab w:val="left" w:pos="531"/>
              </w:tabs>
              <w:snapToGrid w:val="0"/>
              <w:rPr>
                <w:rFonts w:ascii="宋体" w:hAnsi="宋体"/>
                <w:szCs w:val="21"/>
              </w:rPr>
            </w:pPr>
            <w:r>
              <w:rPr>
                <w:rFonts w:hint="eastAsia" w:ascii="宋体" w:hAnsi="宋体"/>
                <w:szCs w:val="21"/>
              </w:rPr>
              <w:t>听众签到区域的现场秩序管控。</w:t>
            </w:r>
          </w:p>
          <w:p>
            <w:pPr>
              <w:numPr>
                <w:ilvl w:val="0"/>
                <w:numId w:val="21"/>
              </w:numPr>
              <w:tabs>
                <w:tab w:val="left" w:pos="531"/>
              </w:tabs>
              <w:snapToGrid w:val="0"/>
              <w:rPr>
                <w:rFonts w:ascii="宋体" w:hAnsi="宋体"/>
                <w:szCs w:val="21"/>
              </w:rPr>
            </w:pPr>
            <w:r>
              <w:rPr>
                <w:rFonts w:hint="eastAsia" w:ascii="宋体" w:hAnsi="宋体"/>
                <w:szCs w:val="21"/>
              </w:rPr>
              <w:t>论坛听众的现场签到，服务咨询及数据统计，确保每天将当天论坛观众数据统计分类后上报招标人。</w:t>
            </w:r>
          </w:p>
          <w:p>
            <w:pPr>
              <w:numPr>
                <w:ilvl w:val="0"/>
                <w:numId w:val="21"/>
              </w:numPr>
              <w:tabs>
                <w:tab w:val="left" w:pos="531"/>
              </w:tabs>
              <w:snapToGrid w:val="0"/>
              <w:rPr>
                <w:rFonts w:ascii="宋体" w:hAnsi="宋体"/>
                <w:szCs w:val="21"/>
              </w:rPr>
            </w:pPr>
            <w:r>
              <w:rPr>
                <w:rFonts w:hint="eastAsia" w:ascii="宋体" w:hAnsi="宋体"/>
                <w:szCs w:val="21"/>
              </w:rPr>
              <w:t>处理论坛签到区域出现的现场突发事件，对出现的紧急状况及时处理，事先做好预案。</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论坛贵宾室及媒体采访室、VIP综合服务区等相关场地的管理工作</w:t>
            </w:r>
          </w:p>
          <w:p>
            <w:pPr>
              <w:numPr>
                <w:ilvl w:val="0"/>
                <w:numId w:val="22"/>
              </w:numPr>
              <w:tabs>
                <w:tab w:val="left" w:pos="531"/>
              </w:tabs>
              <w:snapToGrid w:val="0"/>
              <w:rPr>
                <w:rFonts w:ascii="宋体" w:hAnsi="宋体"/>
                <w:szCs w:val="21"/>
              </w:rPr>
            </w:pPr>
            <w:r>
              <w:rPr>
                <w:rFonts w:hint="eastAsia" w:ascii="宋体" w:hAnsi="宋体"/>
                <w:szCs w:val="21"/>
              </w:rPr>
              <w:t>论坛举办期间贵宾会见室的管理及调度工作，确保领导会见贵宾档期及室内安排，不得出现其他无关嘉宾占用贵宾、会见室的情况。</w:t>
            </w:r>
          </w:p>
          <w:p>
            <w:pPr>
              <w:numPr>
                <w:ilvl w:val="0"/>
                <w:numId w:val="22"/>
              </w:numPr>
              <w:tabs>
                <w:tab w:val="left" w:pos="531"/>
              </w:tabs>
              <w:snapToGrid w:val="0"/>
              <w:rPr>
                <w:rFonts w:ascii="宋体" w:hAnsi="宋体"/>
                <w:szCs w:val="21"/>
              </w:rPr>
            </w:pPr>
            <w:r>
              <w:rPr>
                <w:rFonts w:hint="eastAsia" w:ascii="宋体" w:hAnsi="宋体"/>
                <w:szCs w:val="21"/>
              </w:rPr>
              <w:t>论坛举办期间VIP综合服务区的管理及调度工作，需确保嘉宾在休息区内获得事先安排的服务；确保媒体不得进入该区采访。</w:t>
            </w:r>
          </w:p>
          <w:p>
            <w:pPr>
              <w:numPr>
                <w:ilvl w:val="0"/>
                <w:numId w:val="22"/>
              </w:numPr>
              <w:tabs>
                <w:tab w:val="left" w:pos="531"/>
              </w:tabs>
              <w:snapToGrid w:val="0"/>
              <w:rPr>
                <w:rFonts w:ascii="宋体" w:hAnsi="宋体"/>
                <w:szCs w:val="21"/>
              </w:rPr>
            </w:pPr>
            <w:r>
              <w:rPr>
                <w:rFonts w:hint="eastAsia" w:ascii="宋体" w:hAnsi="宋体"/>
                <w:szCs w:val="21"/>
              </w:rPr>
              <w:t>论坛举办期间媒体采访室的管理及调度工作，需事先进行媒体采访室使用排期，遇到紧急情况及时调整，并向采购人及时报告。</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根据工作需要自行招募会期志愿者，对其进行培训和管理，并自行承担志愿者工资、餐饮补贴等相关开支。</w:t>
            </w:r>
          </w:p>
          <w:p>
            <w:pPr>
              <w:pStyle w:val="24"/>
              <w:numPr>
                <w:ilvl w:val="0"/>
                <w:numId w:val="17"/>
              </w:numPr>
              <w:tabs>
                <w:tab w:val="left" w:pos="531"/>
              </w:tabs>
              <w:snapToGrid w:val="0"/>
              <w:ind w:firstLineChars="0"/>
              <w:rPr>
                <w:rFonts w:ascii="宋体" w:hAnsi="宋体" w:eastAsia="宋体"/>
                <w:b/>
                <w:bCs/>
                <w:szCs w:val="21"/>
              </w:rPr>
            </w:pPr>
            <w:r>
              <w:rPr>
                <w:rFonts w:hint="eastAsia" w:ascii="宋体" w:hAnsi="宋体" w:eastAsia="宋体"/>
                <w:b/>
                <w:bCs/>
                <w:szCs w:val="21"/>
              </w:rPr>
              <w:t>会后的善后工作</w:t>
            </w:r>
          </w:p>
          <w:p>
            <w:pPr>
              <w:numPr>
                <w:ilvl w:val="0"/>
                <w:numId w:val="23"/>
              </w:numPr>
              <w:tabs>
                <w:tab w:val="left" w:pos="531"/>
              </w:tabs>
              <w:snapToGrid w:val="0"/>
              <w:rPr>
                <w:rFonts w:ascii="宋体" w:hAnsi="宋体"/>
                <w:szCs w:val="21"/>
              </w:rPr>
            </w:pPr>
            <w:r>
              <w:rPr>
                <w:rFonts w:hint="eastAsia" w:ascii="宋体" w:hAnsi="宋体"/>
                <w:szCs w:val="21"/>
              </w:rPr>
              <w:t>论坛结束后会场整理，物料回收处理等。</w:t>
            </w:r>
          </w:p>
          <w:p>
            <w:pPr>
              <w:numPr>
                <w:ilvl w:val="0"/>
                <w:numId w:val="23"/>
              </w:numPr>
              <w:tabs>
                <w:tab w:val="left" w:pos="531"/>
              </w:tabs>
              <w:snapToGrid w:val="0"/>
              <w:rPr>
                <w:rFonts w:ascii="宋体" w:hAnsi="宋体"/>
                <w:szCs w:val="21"/>
              </w:rPr>
            </w:pPr>
            <w:r>
              <w:rPr>
                <w:rFonts w:hint="eastAsia" w:ascii="宋体" w:hAnsi="宋体"/>
                <w:szCs w:val="21"/>
              </w:rPr>
              <w:t>收集嘉宾反馈，向嘉宾发送现场图片、感谢信等，收集整理媒体报道情况等。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服务要求</w:t>
            </w:r>
          </w:p>
        </w:tc>
        <w:tc>
          <w:tcPr>
            <w:tcW w:w="7508" w:type="dxa"/>
            <w:tcBorders>
              <w:top w:val="single" w:color="auto" w:sz="4" w:space="0"/>
              <w:left w:val="single" w:color="auto" w:sz="4" w:space="0"/>
              <w:bottom w:val="single" w:color="auto" w:sz="4" w:space="0"/>
              <w:right w:val="single" w:color="auto" w:sz="4" w:space="0"/>
            </w:tcBorders>
            <w:vAlign w:val="center"/>
          </w:tcPr>
          <w:p>
            <w:pPr>
              <w:pStyle w:val="24"/>
              <w:numPr>
                <w:ilvl w:val="0"/>
                <w:numId w:val="24"/>
              </w:numPr>
              <w:tabs>
                <w:tab w:val="left" w:pos="531"/>
              </w:tabs>
              <w:snapToGrid w:val="0"/>
              <w:ind w:firstLineChars="0"/>
              <w:rPr>
                <w:rFonts w:ascii="宋体" w:hAnsi="宋体" w:eastAsia="宋体"/>
                <w:szCs w:val="21"/>
              </w:rPr>
            </w:pPr>
            <w:r>
              <w:rPr>
                <w:rFonts w:hint="eastAsia" w:ascii="宋体" w:hAnsi="宋体" w:eastAsia="宋体" w:cs="宋体"/>
                <w:szCs w:val="21"/>
              </w:rPr>
              <w:t>投标单位须提供完成本项目的总体服务方案，需包含但不限于：各阶段具体实施方案、时间安排、岗位分工（包括核心团队及会期志愿者）、应急预案（需包含突发事件应对措施、安全与保卫措施、防疫措施等）等关键部分。（以2</w:t>
            </w:r>
            <w:r>
              <w:rPr>
                <w:rFonts w:ascii="宋体" w:hAnsi="宋体" w:eastAsia="宋体" w:cs="宋体"/>
                <w:szCs w:val="21"/>
              </w:rPr>
              <w:t>022</w:t>
            </w:r>
            <w:r>
              <w:rPr>
                <w:rFonts w:hint="eastAsia" w:ascii="宋体" w:hAnsi="宋体" w:eastAsia="宋体" w:cs="宋体"/>
                <w:szCs w:val="21"/>
              </w:rPr>
              <w:t>年为例，论坛初拟场次安排，详见</w:t>
            </w:r>
            <w:r>
              <w:rPr>
                <w:rFonts w:hint="eastAsia" w:ascii="宋体" w:hAnsi="宋体" w:eastAsia="宋体"/>
                <w:szCs w:val="21"/>
              </w:rPr>
              <w:t>“五、其他项目说明资料”</w:t>
            </w:r>
            <w:r>
              <w:rPr>
                <w:rFonts w:hint="eastAsia" w:ascii="宋体" w:hAnsi="宋体" w:eastAsia="宋体" w:cs="宋体"/>
                <w:szCs w:val="21"/>
              </w:rPr>
              <w:t>）</w:t>
            </w:r>
          </w:p>
          <w:p>
            <w:pPr>
              <w:pStyle w:val="24"/>
              <w:numPr>
                <w:ilvl w:val="0"/>
                <w:numId w:val="24"/>
              </w:numPr>
              <w:tabs>
                <w:tab w:val="left" w:pos="531"/>
              </w:tabs>
              <w:snapToGrid w:val="0"/>
              <w:ind w:firstLineChars="0"/>
              <w:rPr>
                <w:rFonts w:ascii="宋体" w:hAnsi="宋体"/>
                <w:szCs w:val="21"/>
              </w:rPr>
            </w:pPr>
            <w:r>
              <w:rPr>
                <w:rFonts w:hint="eastAsia" w:ascii="宋体" w:hAnsi="宋体" w:eastAsia="宋体"/>
                <w:szCs w:val="21"/>
              </w:rPr>
              <w:t>投标单位必须承诺对现场会务执行工作人员进行相关岗前培训，包括但不限于岗位要求、安全要求、防疫要求等。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时间要求</w:t>
            </w:r>
          </w:p>
        </w:tc>
        <w:tc>
          <w:tcPr>
            <w:tcW w:w="7508" w:type="dxa"/>
            <w:tcBorders>
              <w:top w:val="single" w:color="auto" w:sz="4" w:space="0"/>
              <w:left w:val="single" w:color="auto" w:sz="4" w:space="0"/>
              <w:bottom w:val="single" w:color="auto" w:sz="4" w:space="0"/>
              <w:right w:val="single" w:color="auto" w:sz="4" w:space="0"/>
            </w:tcBorders>
            <w:vAlign w:val="center"/>
          </w:tcPr>
          <w:p>
            <w:pPr>
              <w:numPr>
                <w:ilvl w:val="0"/>
                <w:numId w:val="25"/>
              </w:numPr>
              <w:tabs>
                <w:tab w:val="left" w:pos="531"/>
              </w:tabs>
              <w:snapToGrid w:val="0"/>
              <w:rPr>
                <w:rFonts w:ascii="宋体" w:hAnsi="宋体"/>
                <w:szCs w:val="21"/>
              </w:rPr>
            </w:pPr>
            <w:r>
              <w:rPr>
                <w:rFonts w:hint="eastAsia" w:ascii="宋体" w:hAnsi="宋体"/>
                <w:szCs w:val="21"/>
              </w:rPr>
              <w:t>第1年，本项目相关工作自合同签订之日起开始启动，须于当届高交会结束后至少1</w:t>
            </w:r>
            <w:r>
              <w:rPr>
                <w:rFonts w:ascii="宋体" w:hAnsi="宋体"/>
                <w:szCs w:val="21"/>
              </w:rPr>
              <w:t>5</w:t>
            </w:r>
            <w:r>
              <w:rPr>
                <w:rFonts w:hint="eastAsia" w:ascii="宋体" w:hAnsi="宋体"/>
                <w:szCs w:val="21"/>
              </w:rPr>
              <w:t>天内完成全部工作。第2</w:t>
            </w:r>
            <w:r>
              <w:rPr>
                <w:rFonts w:ascii="宋体" w:hAnsi="宋体"/>
                <w:szCs w:val="21"/>
              </w:rPr>
              <w:t>-3</w:t>
            </w:r>
            <w:r>
              <w:rPr>
                <w:rFonts w:hint="eastAsia" w:ascii="宋体" w:hAnsi="宋体"/>
                <w:szCs w:val="21"/>
              </w:rPr>
              <w:t>年，如合同继续履行，则自当届高交会筹备工作启动时开启本项目工作，须于当届高交会结束后至少1</w:t>
            </w:r>
            <w:r>
              <w:rPr>
                <w:rFonts w:ascii="宋体" w:hAnsi="宋体"/>
                <w:szCs w:val="21"/>
              </w:rPr>
              <w:t>5</w:t>
            </w:r>
            <w:r>
              <w:rPr>
                <w:rFonts w:hint="eastAsia" w:ascii="宋体" w:hAnsi="宋体"/>
                <w:szCs w:val="21"/>
              </w:rPr>
              <w:t>天内完成全部工作。</w:t>
            </w:r>
          </w:p>
          <w:p>
            <w:pPr>
              <w:numPr>
                <w:ilvl w:val="0"/>
                <w:numId w:val="25"/>
              </w:numPr>
              <w:tabs>
                <w:tab w:val="left" w:pos="531"/>
              </w:tabs>
              <w:snapToGrid w:val="0"/>
              <w:rPr>
                <w:rFonts w:ascii="宋体" w:hAnsi="宋体"/>
                <w:szCs w:val="21"/>
              </w:rPr>
            </w:pPr>
            <w:r>
              <w:rPr>
                <w:rFonts w:hint="eastAsia" w:ascii="宋体" w:hAnsi="宋体"/>
                <w:szCs w:val="21"/>
              </w:rPr>
              <w:t>中标单位需按照招标人要求，根据不同工作阶段及时以书面的形式汇报本项目进度并提交相关资料，保证信息能够及时更新。</w:t>
            </w:r>
          </w:p>
          <w:p>
            <w:pPr>
              <w:numPr>
                <w:ilvl w:val="0"/>
                <w:numId w:val="25"/>
              </w:numPr>
              <w:tabs>
                <w:tab w:val="left" w:pos="531"/>
              </w:tabs>
              <w:snapToGrid w:val="0"/>
              <w:rPr>
                <w:rFonts w:ascii="仿宋" w:hAnsi="仿宋" w:eastAsia="仿宋"/>
                <w:sz w:val="30"/>
                <w:szCs w:val="30"/>
              </w:rPr>
            </w:pPr>
            <w:r>
              <w:rPr>
                <w:rFonts w:hint="eastAsia" w:ascii="宋体" w:hAnsi="宋体"/>
                <w:szCs w:val="21"/>
              </w:rPr>
              <w:t>当届活动结束后，中标单位需配合招标人进行项目结案与验收结算，并在15天内提供活动总结报告与结算清单。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项目团队要求</w:t>
            </w:r>
          </w:p>
        </w:tc>
        <w:tc>
          <w:tcPr>
            <w:tcW w:w="7508" w:type="dxa"/>
            <w:tcBorders>
              <w:top w:val="single" w:color="auto" w:sz="4" w:space="0"/>
              <w:left w:val="single" w:color="auto" w:sz="4" w:space="0"/>
              <w:bottom w:val="single" w:color="auto" w:sz="4" w:space="0"/>
              <w:right w:val="single" w:color="auto" w:sz="4" w:space="0"/>
            </w:tcBorders>
            <w:vAlign w:val="center"/>
          </w:tcPr>
          <w:p>
            <w:pPr>
              <w:pStyle w:val="24"/>
              <w:numPr>
                <w:ilvl w:val="0"/>
                <w:numId w:val="26"/>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投标单位须指定本项目负责人，负责联络、沟通、协调及跟进本项目具体实施。需提供该负责人以下资料信息（均需加盖公章）：</w:t>
            </w:r>
          </w:p>
          <w:p>
            <w:pPr>
              <w:pStyle w:val="24"/>
              <w:numPr>
                <w:ilvl w:val="1"/>
                <w:numId w:val="26"/>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姓名、电话、职务、近三年曾参与过与本项目类似的工作经历</w:t>
            </w:r>
            <w:r>
              <w:rPr>
                <w:rFonts w:hint="eastAsia" w:ascii="宋体" w:hAnsi="宋体" w:eastAsia="宋体"/>
                <w:color w:val="auto"/>
                <w:szCs w:val="21"/>
                <w:lang w:eastAsia="zh-CN"/>
              </w:rPr>
              <w:t>（</w:t>
            </w:r>
            <w:r>
              <w:rPr>
                <w:rFonts w:hint="eastAsia" w:ascii="宋体" w:hAnsi="宋体" w:eastAsia="宋体"/>
                <w:color w:val="auto"/>
                <w:szCs w:val="21"/>
                <w:lang w:val="en-US" w:eastAsia="zh-CN"/>
              </w:rPr>
              <w:t>提供个人简历</w:t>
            </w:r>
            <w:r>
              <w:rPr>
                <w:rFonts w:hint="eastAsia" w:ascii="宋体" w:hAnsi="宋体" w:eastAsia="宋体"/>
                <w:color w:val="auto"/>
                <w:szCs w:val="21"/>
                <w:lang w:eastAsia="zh-CN"/>
              </w:rPr>
              <w:t>）</w:t>
            </w:r>
            <w:r>
              <w:rPr>
                <w:rFonts w:hint="eastAsia" w:ascii="宋体" w:hAnsi="宋体" w:eastAsia="宋体"/>
                <w:color w:val="auto"/>
                <w:szCs w:val="21"/>
              </w:rPr>
              <w:t>；</w:t>
            </w:r>
          </w:p>
          <w:p>
            <w:pPr>
              <w:pStyle w:val="24"/>
              <w:numPr>
                <w:ilvl w:val="1"/>
                <w:numId w:val="26"/>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身份证复印件；</w:t>
            </w:r>
          </w:p>
          <w:p>
            <w:pPr>
              <w:pStyle w:val="24"/>
              <w:numPr>
                <w:ilvl w:val="1"/>
                <w:numId w:val="26"/>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由投标人所购买的近三个月社保清单证明（如在招标公告日上一个月的社保材料因社保部门原因暂时无法取得，则可以往前顺推一个月）或者与投标人签署的劳务合同关键页复印件，且劳务合同信息中须包含该项目负责人姓名与身份证号码、劳务双方签字盖章且劳务关系处于有效期内。（社保证明与劳务合同可二选一）</w:t>
            </w:r>
          </w:p>
          <w:p>
            <w:pPr>
              <w:pStyle w:val="24"/>
              <w:numPr>
                <w:ilvl w:val="0"/>
                <w:numId w:val="26"/>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项目团队成员：需配备核心团队成员不得少于</w:t>
            </w:r>
            <w:r>
              <w:rPr>
                <w:rFonts w:ascii="宋体" w:hAnsi="宋体" w:eastAsia="宋体"/>
                <w:color w:val="auto"/>
                <w:szCs w:val="21"/>
              </w:rPr>
              <w:t>5</w:t>
            </w:r>
            <w:r>
              <w:rPr>
                <w:rFonts w:hint="eastAsia" w:ascii="宋体" w:hAnsi="宋体" w:eastAsia="宋体"/>
                <w:color w:val="auto"/>
                <w:szCs w:val="21"/>
              </w:rPr>
              <w:t>人（含项目负责人），并提供相应名单。</w:t>
            </w:r>
          </w:p>
          <w:p>
            <w:pPr>
              <w:pStyle w:val="24"/>
              <w:numPr>
                <w:ilvl w:val="0"/>
                <w:numId w:val="26"/>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未经采购人同意，不得随意更换项目负责人。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其他要求</w:t>
            </w:r>
          </w:p>
        </w:tc>
        <w:tc>
          <w:tcPr>
            <w:tcW w:w="7508" w:type="dxa"/>
            <w:tcBorders>
              <w:top w:val="single" w:color="auto" w:sz="4" w:space="0"/>
              <w:left w:val="single" w:color="auto" w:sz="4" w:space="0"/>
              <w:bottom w:val="single" w:color="auto" w:sz="4" w:space="0"/>
              <w:right w:val="single" w:color="auto" w:sz="4" w:space="0"/>
            </w:tcBorders>
            <w:vAlign w:val="center"/>
          </w:tcPr>
          <w:p>
            <w:pPr>
              <w:pStyle w:val="24"/>
              <w:numPr>
                <w:ilvl w:val="0"/>
                <w:numId w:val="27"/>
              </w:numPr>
              <w:tabs>
                <w:tab w:val="left" w:pos="531"/>
              </w:tabs>
              <w:snapToGrid w:val="0"/>
              <w:ind w:firstLineChars="0"/>
              <w:rPr>
                <w:rFonts w:ascii="宋体" w:hAnsi="宋体" w:eastAsia="宋体"/>
                <w:color w:val="auto"/>
                <w:szCs w:val="21"/>
              </w:rPr>
            </w:pPr>
            <w:r>
              <w:rPr>
                <w:rFonts w:hint="eastAsia" w:ascii="宋体" w:hAnsi="宋体" w:eastAsia="宋体"/>
                <w:color w:val="auto"/>
                <w:szCs w:val="21"/>
              </w:rPr>
              <w:t>对于中标人为执行本项目临时招聘的工作人员（会期志愿者），中标人需自行承担其工资、保险、餐饮交通补贴等；</w:t>
            </w:r>
            <w:r>
              <w:rPr>
                <w:rFonts w:hint="eastAsia" w:ascii="宋体" w:hAnsi="宋体" w:eastAsia="宋体" w:cs="宋体"/>
                <w:color w:val="auto"/>
                <w:szCs w:val="21"/>
              </w:rPr>
              <w:t>并保证对临时工作人员进行相关培训，包括但不仅限于服务技能、安全要求、防疫要求等。</w:t>
            </w:r>
          </w:p>
          <w:p>
            <w:pPr>
              <w:pStyle w:val="24"/>
              <w:numPr>
                <w:ilvl w:val="0"/>
                <w:numId w:val="27"/>
              </w:numPr>
              <w:tabs>
                <w:tab w:val="left" w:pos="531"/>
              </w:tabs>
              <w:snapToGrid w:val="0"/>
              <w:ind w:firstLineChars="0"/>
              <w:rPr>
                <w:rFonts w:ascii="宋体" w:hAnsi="宋体" w:eastAsia="宋体"/>
                <w:color w:val="auto"/>
                <w:szCs w:val="21"/>
              </w:rPr>
            </w:pPr>
            <w:r>
              <w:rPr>
                <w:rFonts w:hint="eastAsia" w:ascii="宋体" w:hAnsi="宋体" w:eastAsia="宋体" w:cs="宋体"/>
                <w:color w:val="auto"/>
                <w:szCs w:val="21"/>
              </w:rPr>
              <w:t>在本项目执行过程中，一切因中标人与其投入本项目临时工作人员之间产生的任何纠纷，包括但不限于劳务纠纷、风险纠纷、人身及财产安全事故造成的赔偿责任等，由中标人自行承担全部责任。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安全管理</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jc w:val="left"/>
              <w:rPr>
                <w:rFonts w:ascii="宋体" w:hAnsi="宋体" w:cs="宋体"/>
                <w:szCs w:val="21"/>
              </w:rPr>
            </w:pPr>
            <w:r>
              <w:rPr>
                <w:rFonts w:hint="eastAsia" w:ascii="宋体" w:hAnsi="宋体" w:cs="宋体"/>
                <w:szCs w:val="21"/>
              </w:rPr>
              <w:t>中标单位所提供工作人员须遵守国家、所属地政府及深圳会展中心的相关规章制度，中标单位须建立安全责任制，采取有效的措施保障现场的安全、维护现场的正常工作秩序，在服务过程中要做好人员、成品、半成品及设备设施的保护。服务过程中不出现任何因中标单位管理不善、组织不力或监管缺失等造成的人身安全事故、火灾事故和财产损失等安全事故，如因此造成安全责任事故及财产损失的由中标单位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41" w:name="_Toc82591996"/>
      <w:bookmarkEnd w:id="41"/>
      <w:bookmarkStart w:id="42" w:name="_Toc82684600"/>
      <w:bookmarkEnd w:id="42"/>
      <w:bookmarkStart w:id="43" w:name="_Toc82684715"/>
      <w:bookmarkEnd w:id="43"/>
      <w:bookmarkStart w:id="44" w:name="_Toc82685552"/>
      <w:bookmarkEnd w:id="44"/>
      <w:bookmarkStart w:id="45" w:name="_Toc106791257"/>
      <w:r>
        <w:rPr>
          <w:rFonts w:hint="eastAsia" w:ascii="宋体" w:hAnsi="宋体"/>
          <w:b/>
          <w:szCs w:val="21"/>
        </w:rPr>
        <w:t>其他项目说明资料</w:t>
      </w:r>
      <w:bookmarkEnd w:id="45"/>
    </w:p>
    <w:p>
      <w:pPr>
        <w:pStyle w:val="24"/>
        <w:numPr>
          <w:ilvl w:val="0"/>
          <w:numId w:val="28"/>
        </w:numPr>
        <w:spacing w:line="360" w:lineRule="auto"/>
        <w:ind w:firstLineChars="0"/>
        <w:rPr>
          <w:rFonts w:ascii="宋体" w:hAnsi="宋体" w:eastAsia="宋体"/>
          <w:b/>
          <w:szCs w:val="21"/>
        </w:rPr>
      </w:pPr>
      <w:r>
        <w:rPr>
          <w:rFonts w:hint="eastAsia" w:ascii="宋体" w:hAnsi="宋体" w:eastAsia="宋体"/>
          <w:b/>
          <w:szCs w:val="21"/>
        </w:rPr>
        <w:t>2</w:t>
      </w:r>
      <w:r>
        <w:rPr>
          <w:rFonts w:ascii="宋体" w:hAnsi="宋体" w:eastAsia="宋体"/>
          <w:b/>
          <w:szCs w:val="21"/>
        </w:rPr>
        <w:t>022</w:t>
      </w:r>
      <w:r>
        <w:rPr>
          <w:rFonts w:hint="eastAsia" w:ascii="宋体" w:hAnsi="宋体" w:eastAsia="宋体"/>
          <w:b/>
          <w:szCs w:val="21"/>
        </w:rPr>
        <w:t>年第二十四届高交会中国高新技术论坛日程安排（初拟）</w:t>
      </w:r>
    </w:p>
    <w:p>
      <w:pPr>
        <w:pStyle w:val="38"/>
        <w:widowControl/>
        <w:numPr>
          <w:ilvl w:val="0"/>
          <w:numId w:val="29"/>
        </w:numPr>
        <w:spacing w:line="360" w:lineRule="auto"/>
        <w:ind w:firstLineChars="0"/>
        <w:jc w:val="left"/>
        <w:rPr>
          <w:rFonts w:ascii="宋体" w:hAnsi="宋体" w:eastAsia="宋体" w:cs="Times New Roman"/>
          <w:kern w:val="0"/>
          <w:szCs w:val="21"/>
        </w:rPr>
      </w:pPr>
      <w:r>
        <w:rPr>
          <w:rFonts w:hint="eastAsia" w:ascii="宋体" w:hAnsi="宋体" w:eastAsia="宋体" w:cs="Times New Roman"/>
          <w:kern w:val="0"/>
          <w:szCs w:val="21"/>
        </w:rPr>
        <w:t>时间：</w:t>
      </w:r>
      <w:bookmarkStart w:id="46" w:name="_Hlk104814540"/>
      <w:r>
        <w:rPr>
          <w:rFonts w:hint="eastAsia" w:ascii="宋体" w:hAnsi="宋体" w:eastAsia="宋体" w:cs="Times New Roman"/>
          <w:kern w:val="0"/>
          <w:szCs w:val="21"/>
        </w:rPr>
        <w:t>2022年11月</w:t>
      </w:r>
      <w:r>
        <w:rPr>
          <w:rFonts w:ascii="宋体" w:hAnsi="宋体" w:eastAsia="宋体" w:cs="Times New Roman"/>
          <w:kern w:val="0"/>
          <w:szCs w:val="21"/>
        </w:rPr>
        <w:t>15</w:t>
      </w:r>
      <w:r>
        <w:rPr>
          <w:rFonts w:hint="eastAsia" w:ascii="宋体" w:hAnsi="宋体" w:eastAsia="宋体" w:cs="Times New Roman"/>
          <w:kern w:val="0"/>
          <w:szCs w:val="21"/>
        </w:rPr>
        <w:t>-</w:t>
      </w:r>
      <w:r>
        <w:rPr>
          <w:rFonts w:ascii="宋体" w:hAnsi="宋体" w:eastAsia="宋体" w:cs="Times New Roman"/>
          <w:kern w:val="0"/>
          <w:szCs w:val="21"/>
        </w:rPr>
        <w:t>17</w:t>
      </w:r>
      <w:r>
        <w:rPr>
          <w:rFonts w:hint="eastAsia" w:ascii="宋体" w:hAnsi="宋体" w:eastAsia="宋体" w:cs="Times New Roman"/>
          <w:kern w:val="0"/>
          <w:szCs w:val="21"/>
        </w:rPr>
        <w:t>日</w:t>
      </w:r>
      <w:bookmarkEnd w:id="46"/>
      <w:r>
        <w:rPr>
          <w:rFonts w:hint="eastAsia" w:ascii="宋体" w:hAnsi="宋体" w:eastAsia="宋体" w:cs="Times New Roman"/>
          <w:kern w:val="0"/>
          <w:szCs w:val="21"/>
        </w:rPr>
        <w:t>（暂定）</w:t>
      </w:r>
    </w:p>
    <w:p>
      <w:pPr>
        <w:pStyle w:val="38"/>
        <w:widowControl/>
        <w:numPr>
          <w:ilvl w:val="0"/>
          <w:numId w:val="29"/>
        </w:numPr>
        <w:spacing w:line="360" w:lineRule="auto"/>
        <w:ind w:firstLineChars="0"/>
        <w:jc w:val="left"/>
        <w:rPr>
          <w:rFonts w:ascii="宋体" w:hAnsi="宋体" w:eastAsia="宋体" w:cs="Times New Roman"/>
          <w:kern w:val="0"/>
          <w:szCs w:val="21"/>
        </w:rPr>
      </w:pPr>
      <w:r>
        <w:rPr>
          <w:rFonts w:hint="eastAsia" w:ascii="宋体" w:hAnsi="宋体" w:eastAsia="宋体" w:cs="Times New Roman"/>
          <w:kern w:val="0"/>
          <w:szCs w:val="21"/>
        </w:rPr>
        <w:t>地点：深圳会展中心5楼梅花厅（暂定）</w:t>
      </w:r>
    </w:p>
    <w:p>
      <w:pPr>
        <w:pStyle w:val="38"/>
        <w:widowControl/>
        <w:numPr>
          <w:ilvl w:val="0"/>
          <w:numId w:val="29"/>
        </w:numPr>
        <w:spacing w:line="360" w:lineRule="auto"/>
        <w:ind w:firstLineChars="0"/>
        <w:jc w:val="left"/>
        <w:rPr>
          <w:rFonts w:ascii="宋体" w:hAnsi="宋体" w:eastAsia="宋体" w:cs="Times New Roman"/>
          <w:color w:val="FF0000"/>
          <w:kern w:val="0"/>
          <w:szCs w:val="21"/>
        </w:rPr>
      </w:pPr>
      <w:r>
        <w:rPr>
          <w:rFonts w:hint="eastAsia" w:ascii="宋体" w:hAnsi="宋体" w:eastAsia="宋体" w:cs="Times New Roman"/>
          <w:kern w:val="0"/>
          <w:szCs w:val="21"/>
        </w:rPr>
        <w:t>主题：</w:t>
      </w:r>
      <w:bookmarkStart w:id="47" w:name="_Hlk104814559"/>
      <w:r>
        <w:rPr>
          <w:rFonts w:hint="eastAsia" w:ascii="宋体" w:hAnsi="宋体" w:eastAsia="宋体"/>
          <w:color w:val="000000" w:themeColor="text1"/>
          <w:szCs w:val="21"/>
          <w:lang w:bidi="en-US"/>
          <w14:textFill>
            <w14:solidFill>
              <w14:schemeClr w14:val="tx1"/>
            </w14:solidFill>
          </w14:textFill>
        </w:rPr>
        <w:t>科技改革驱动创新，科技创新驱动发展</w:t>
      </w:r>
      <w:r>
        <w:rPr>
          <w:rFonts w:hint="eastAsia" w:ascii="宋体" w:hAnsi="宋体" w:eastAsia="宋体" w:cs="Times New Roman"/>
          <w:kern w:val="0"/>
          <w:szCs w:val="21"/>
        </w:rPr>
        <w:t>（拟）</w:t>
      </w:r>
      <w:bookmarkEnd w:id="47"/>
    </w:p>
    <w:p>
      <w:pPr>
        <w:pStyle w:val="38"/>
        <w:widowControl/>
        <w:numPr>
          <w:ilvl w:val="0"/>
          <w:numId w:val="29"/>
        </w:numPr>
        <w:spacing w:line="360" w:lineRule="auto"/>
        <w:ind w:firstLineChars="0"/>
        <w:jc w:val="left"/>
        <w:rPr>
          <w:rFonts w:ascii="宋体" w:hAnsi="宋体" w:eastAsia="宋体" w:cs="Times New Roman"/>
          <w:color w:val="FF0000"/>
          <w:kern w:val="0"/>
          <w:szCs w:val="21"/>
        </w:rPr>
      </w:pPr>
      <w:r>
        <w:rPr>
          <w:rFonts w:hint="eastAsia" w:ascii="宋体" w:hAnsi="宋体" w:eastAsia="宋体" w:cs="Times New Roman"/>
          <w:kern w:val="0"/>
          <w:szCs w:val="21"/>
        </w:rPr>
        <w:t>论坛日程：</w:t>
      </w:r>
    </w:p>
    <w:tbl>
      <w:tblPr>
        <w:tblStyle w:val="16"/>
        <w:tblW w:w="950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609"/>
        <w:gridCol w:w="2172"/>
        <w:gridCol w:w="4280"/>
        <w:gridCol w:w="144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03" w:hRule="atLeast"/>
          <w:jc w:val="center"/>
        </w:trPr>
        <w:tc>
          <w:tcPr>
            <w:tcW w:w="1609" w:type="dxa"/>
            <w:shd w:val="clear" w:color="auto" w:fill="DAEEF3"/>
            <w:vAlign w:val="center"/>
          </w:tcPr>
          <w:p>
            <w:pPr>
              <w:pStyle w:val="24"/>
              <w:spacing w:after="120"/>
              <w:ind w:left="420" w:right="-34" w:firstLine="0" w:firstLineChars="0"/>
              <w:textAlignment w:val="baseline"/>
              <w:rPr>
                <w:rFonts w:ascii="宋体" w:hAnsi="宋体" w:eastAsia="宋体"/>
              </w:rPr>
            </w:pPr>
            <w:r>
              <w:rPr>
                <w:rFonts w:hint="eastAsia" w:ascii="宋体" w:hAnsi="宋体" w:eastAsia="宋体"/>
              </w:rPr>
              <w:t>日期</w:t>
            </w:r>
          </w:p>
        </w:tc>
        <w:tc>
          <w:tcPr>
            <w:tcW w:w="2172" w:type="dxa"/>
            <w:shd w:val="clear" w:color="auto" w:fill="DAEEF3"/>
            <w:vAlign w:val="center"/>
          </w:tcPr>
          <w:p>
            <w:pPr>
              <w:spacing w:after="120"/>
              <w:ind w:right="-34"/>
              <w:jc w:val="center"/>
              <w:textAlignment w:val="baseline"/>
              <w:rPr>
                <w:rFonts w:ascii="宋体" w:hAnsi="宋体"/>
              </w:rPr>
            </w:pPr>
            <w:r>
              <w:rPr>
                <w:rFonts w:hint="eastAsia" w:ascii="宋体" w:hAnsi="宋体"/>
              </w:rPr>
              <w:t>时间</w:t>
            </w:r>
          </w:p>
        </w:tc>
        <w:tc>
          <w:tcPr>
            <w:tcW w:w="4280" w:type="dxa"/>
            <w:shd w:val="clear" w:color="auto" w:fill="DAEEF3"/>
            <w:vAlign w:val="center"/>
          </w:tcPr>
          <w:p>
            <w:pPr>
              <w:widowControl/>
              <w:spacing w:after="120"/>
              <w:jc w:val="center"/>
              <w:rPr>
                <w:rFonts w:ascii="宋体" w:hAnsi="宋体"/>
              </w:rPr>
            </w:pPr>
            <w:r>
              <w:rPr>
                <w:rFonts w:hint="eastAsia" w:ascii="宋体" w:hAnsi="宋体"/>
              </w:rPr>
              <w:t>会议名称</w:t>
            </w:r>
          </w:p>
        </w:tc>
        <w:tc>
          <w:tcPr>
            <w:tcW w:w="1444" w:type="dxa"/>
            <w:shd w:val="clear" w:color="auto" w:fill="DAEEF3"/>
            <w:vAlign w:val="center"/>
          </w:tcPr>
          <w:p>
            <w:pPr>
              <w:widowControl/>
              <w:spacing w:after="120"/>
              <w:jc w:val="center"/>
              <w:rPr>
                <w:rFonts w:ascii="宋体" w:hAnsi="宋体"/>
              </w:rPr>
            </w:pPr>
            <w:r>
              <w:rPr>
                <w:rFonts w:hint="eastAsia" w:ascii="宋体" w:hAnsi="宋体"/>
              </w:rPr>
              <w:t>地点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1" w:hRule="atLeast"/>
          <w:jc w:val="center"/>
        </w:trPr>
        <w:tc>
          <w:tcPr>
            <w:tcW w:w="1609" w:type="dxa"/>
            <w:vMerge w:val="restart"/>
            <w:vAlign w:val="center"/>
          </w:tcPr>
          <w:p>
            <w:pPr>
              <w:spacing w:after="120"/>
              <w:ind w:right="-34"/>
              <w:jc w:val="center"/>
              <w:textAlignment w:val="baseline"/>
              <w:rPr>
                <w:rFonts w:ascii="宋体" w:hAnsi="宋体"/>
                <w:lang w:val="zh-CN"/>
              </w:rPr>
            </w:pPr>
            <w:r>
              <w:rPr>
                <w:rFonts w:hint="eastAsia" w:ascii="宋体" w:hAnsi="宋体"/>
                <w:lang w:val="zh-CN"/>
              </w:rPr>
              <w:t>11月1</w:t>
            </w:r>
            <w:r>
              <w:rPr>
                <w:rFonts w:ascii="宋体" w:hAnsi="宋体"/>
              </w:rPr>
              <w:t>5</w:t>
            </w:r>
            <w:r>
              <w:rPr>
                <w:rFonts w:hint="eastAsia" w:ascii="宋体" w:hAnsi="宋体"/>
                <w:lang w:val="zh-CN"/>
              </w:rPr>
              <w:t>日</w:t>
            </w:r>
          </w:p>
        </w:tc>
        <w:tc>
          <w:tcPr>
            <w:tcW w:w="2172" w:type="dxa"/>
            <w:vAlign w:val="center"/>
          </w:tcPr>
          <w:p>
            <w:pPr>
              <w:spacing w:after="120"/>
              <w:ind w:right="-34"/>
              <w:jc w:val="center"/>
              <w:textAlignment w:val="baseline"/>
              <w:rPr>
                <w:rFonts w:ascii="宋体" w:hAnsi="宋体"/>
                <w:lang w:val="zh-CN"/>
              </w:rPr>
            </w:pPr>
            <w:r>
              <w:rPr>
                <w:rFonts w:hint="eastAsia" w:ascii="宋体" w:hAnsi="宋体"/>
              </w:rPr>
              <w:t>10</w:t>
            </w:r>
            <w:r>
              <w:rPr>
                <w:rFonts w:hint="eastAsia" w:ascii="宋体" w:hAnsi="宋体"/>
                <w:lang w:val="zh-CN"/>
              </w:rPr>
              <w:t>:30-12:00</w:t>
            </w:r>
          </w:p>
        </w:tc>
        <w:tc>
          <w:tcPr>
            <w:tcW w:w="4280" w:type="dxa"/>
            <w:vAlign w:val="center"/>
          </w:tcPr>
          <w:p>
            <w:pPr>
              <w:widowControl/>
              <w:spacing w:after="120"/>
              <w:rPr>
                <w:rFonts w:ascii="宋体" w:hAnsi="宋体"/>
                <w:lang w:val="zh-CN"/>
              </w:rPr>
            </w:pPr>
            <w:r>
              <w:rPr>
                <w:rFonts w:hint="eastAsia" w:ascii="宋体" w:hAnsi="宋体"/>
              </w:rPr>
              <w:t>开幕论坛</w:t>
            </w:r>
          </w:p>
        </w:tc>
        <w:tc>
          <w:tcPr>
            <w:tcW w:w="1444" w:type="dxa"/>
            <w:vAlign w:val="center"/>
          </w:tcPr>
          <w:p>
            <w:pPr>
              <w:widowControl/>
              <w:spacing w:after="120"/>
              <w:jc w:val="center"/>
              <w:rPr>
                <w:rFonts w:ascii="宋体" w:hAnsi="宋体"/>
                <w:lang w:val="zh-CN"/>
              </w:rPr>
            </w:pPr>
            <w:r>
              <w:rPr>
                <w:rFonts w:hint="eastAsia" w:ascii="宋体" w:hAnsi="宋体"/>
                <w:lang w:val="zh-CN"/>
              </w:rPr>
              <w:t>梅花厅</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98" w:hRule="atLeast"/>
          <w:jc w:val="center"/>
        </w:trPr>
        <w:tc>
          <w:tcPr>
            <w:tcW w:w="1609" w:type="dxa"/>
            <w:vMerge w:val="continue"/>
            <w:vAlign w:val="center"/>
          </w:tcPr>
          <w:p>
            <w:pPr>
              <w:spacing w:after="120"/>
              <w:ind w:right="-34"/>
              <w:jc w:val="center"/>
              <w:textAlignment w:val="baseline"/>
              <w:rPr>
                <w:rFonts w:ascii="宋体" w:hAnsi="宋体"/>
                <w:lang w:val="zh-CN"/>
              </w:rPr>
            </w:pPr>
          </w:p>
        </w:tc>
        <w:tc>
          <w:tcPr>
            <w:tcW w:w="2172" w:type="dxa"/>
            <w:vAlign w:val="center"/>
          </w:tcPr>
          <w:p>
            <w:pPr>
              <w:spacing w:after="120"/>
              <w:ind w:right="-34"/>
              <w:jc w:val="center"/>
              <w:textAlignment w:val="baseline"/>
              <w:rPr>
                <w:rFonts w:ascii="宋体" w:hAnsi="宋体"/>
                <w:lang w:val="zh-CN"/>
              </w:rPr>
            </w:pPr>
            <w:r>
              <w:rPr>
                <w:rFonts w:hint="eastAsia" w:ascii="宋体" w:hAnsi="宋体"/>
                <w:lang w:val="zh-CN"/>
              </w:rPr>
              <w:t>13:30-17:30</w:t>
            </w:r>
          </w:p>
        </w:tc>
        <w:tc>
          <w:tcPr>
            <w:tcW w:w="4280" w:type="dxa"/>
            <w:vAlign w:val="center"/>
          </w:tcPr>
          <w:p>
            <w:pPr>
              <w:widowControl/>
              <w:spacing w:after="120"/>
              <w:rPr>
                <w:rFonts w:ascii="宋体" w:hAnsi="宋体"/>
                <w:lang w:val="zh-CN"/>
              </w:rPr>
            </w:pPr>
            <w:r>
              <w:rPr>
                <w:rFonts w:hint="eastAsia" w:ascii="宋体" w:hAnsi="宋体"/>
                <w:lang w:val="zh-CN"/>
              </w:rPr>
              <w:t>新时代、新技术、新经济</w:t>
            </w:r>
          </w:p>
          <w:p>
            <w:pPr>
              <w:widowControl/>
              <w:spacing w:after="120"/>
              <w:rPr>
                <w:rFonts w:ascii="宋体" w:hAnsi="宋体"/>
                <w:lang w:val="zh-CN"/>
              </w:rPr>
            </w:pPr>
            <w:r>
              <w:rPr>
                <w:rFonts w:hint="eastAsia" w:ascii="宋体" w:hAnsi="宋体"/>
              </w:rPr>
              <w:t>你好，元宇宙</w:t>
            </w:r>
          </w:p>
        </w:tc>
        <w:tc>
          <w:tcPr>
            <w:tcW w:w="1444" w:type="dxa"/>
          </w:tcPr>
          <w:p>
            <w:pPr>
              <w:widowControl/>
              <w:spacing w:after="120"/>
              <w:jc w:val="center"/>
              <w:rPr>
                <w:rFonts w:ascii="宋体" w:hAnsi="宋体"/>
                <w:lang w:val="zh-CN"/>
              </w:rPr>
            </w:pPr>
            <w:r>
              <w:rPr>
                <w:rFonts w:hint="eastAsia" w:ascii="宋体" w:hAnsi="宋体"/>
                <w:lang w:val="zh-CN"/>
              </w:rPr>
              <w:t>梅花厅</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8" w:hRule="atLeast"/>
          <w:jc w:val="center"/>
        </w:trPr>
        <w:tc>
          <w:tcPr>
            <w:tcW w:w="1609" w:type="dxa"/>
            <w:vMerge w:val="restart"/>
            <w:vAlign w:val="center"/>
          </w:tcPr>
          <w:p>
            <w:pPr>
              <w:spacing w:after="120"/>
              <w:ind w:right="-34"/>
              <w:jc w:val="center"/>
              <w:textAlignment w:val="baseline"/>
              <w:rPr>
                <w:rFonts w:ascii="宋体" w:hAnsi="宋体"/>
                <w:lang w:val="zh-CN"/>
              </w:rPr>
            </w:pPr>
            <w:r>
              <w:rPr>
                <w:rFonts w:hint="eastAsia" w:ascii="宋体" w:hAnsi="宋体"/>
                <w:lang w:val="zh-CN"/>
              </w:rPr>
              <w:t>11月1</w:t>
            </w:r>
            <w:r>
              <w:rPr>
                <w:rFonts w:ascii="宋体" w:hAnsi="宋体"/>
              </w:rPr>
              <w:t>6</w:t>
            </w:r>
            <w:r>
              <w:rPr>
                <w:rFonts w:hint="eastAsia" w:ascii="宋体" w:hAnsi="宋体"/>
                <w:lang w:val="zh-CN"/>
              </w:rPr>
              <w:t>日</w:t>
            </w:r>
          </w:p>
        </w:tc>
        <w:tc>
          <w:tcPr>
            <w:tcW w:w="2172" w:type="dxa"/>
            <w:vAlign w:val="center"/>
          </w:tcPr>
          <w:p>
            <w:pPr>
              <w:spacing w:after="120"/>
              <w:ind w:right="-34"/>
              <w:jc w:val="center"/>
              <w:textAlignment w:val="baseline"/>
              <w:rPr>
                <w:rFonts w:ascii="宋体" w:hAnsi="宋体"/>
                <w:lang w:val="zh-CN"/>
              </w:rPr>
            </w:pPr>
            <w:r>
              <w:rPr>
                <w:rFonts w:hint="eastAsia" w:ascii="宋体" w:hAnsi="宋体"/>
                <w:lang w:val="zh-CN"/>
              </w:rPr>
              <w:t>09:30-12:00</w:t>
            </w:r>
          </w:p>
        </w:tc>
        <w:tc>
          <w:tcPr>
            <w:tcW w:w="4280" w:type="dxa"/>
            <w:vAlign w:val="center"/>
          </w:tcPr>
          <w:p>
            <w:pPr>
              <w:widowControl/>
              <w:spacing w:after="120"/>
              <w:rPr>
                <w:rFonts w:ascii="宋体" w:hAnsi="宋体"/>
                <w:lang w:val="zh-CN"/>
              </w:rPr>
            </w:pPr>
            <w:r>
              <w:rPr>
                <w:rFonts w:hint="eastAsia" w:ascii="宋体" w:hAnsi="宋体"/>
                <w:lang w:val="zh-CN"/>
              </w:rPr>
              <w:t>改变世界的新兴科技</w:t>
            </w:r>
          </w:p>
        </w:tc>
        <w:tc>
          <w:tcPr>
            <w:tcW w:w="1444" w:type="dxa"/>
          </w:tcPr>
          <w:p>
            <w:pPr>
              <w:widowControl/>
              <w:spacing w:after="120"/>
              <w:jc w:val="center"/>
              <w:rPr>
                <w:rFonts w:ascii="宋体" w:hAnsi="宋体"/>
                <w:lang w:val="zh-CN"/>
              </w:rPr>
            </w:pPr>
            <w:r>
              <w:rPr>
                <w:rFonts w:hint="eastAsia" w:ascii="宋体" w:hAnsi="宋体"/>
                <w:lang w:val="zh-CN"/>
              </w:rPr>
              <w:t>梅花厅</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62" w:hRule="atLeast"/>
          <w:jc w:val="center"/>
        </w:trPr>
        <w:tc>
          <w:tcPr>
            <w:tcW w:w="1609" w:type="dxa"/>
            <w:vMerge w:val="continue"/>
            <w:vAlign w:val="center"/>
          </w:tcPr>
          <w:p>
            <w:pPr>
              <w:spacing w:after="120"/>
              <w:ind w:right="-34"/>
              <w:jc w:val="center"/>
              <w:textAlignment w:val="baseline"/>
              <w:rPr>
                <w:rFonts w:ascii="宋体" w:hAnsi="宋体"/>
                <w:lang w:val="zh-CN"/>
              </w:rPr>
            </w:pPr>
          </w:p>
        </w:tc>
        <w:tc>
          <w:tcPr>
            <w:tcW w:w="2172" w:type="dxa"/>
            <w:vAlign w:val="center"/>
          </w:tcPr>
          <w:p>
            <w:pPr>
              <w:spacing w:after="120"/>
              <w:ind w:right="-34"/>
              <w:jc w:val="center"/>
              <w:textAlignment w:val="baseline"/>
              <w:rPr>
                <w:rFonts w:ascii="宋体" w:hAnsi="宋体"/>
                <w:lang w:val="zh-CN"/>
              </w:rPr>
            </w:pPr>
            <w:r>
              <w:rPr>
                <w:rFonts w:hint="eastAsia" w:ascii="宋体" w:hAnsi="宋体"/>
                <w:lang w:val="zh-CN"/>
              </w:rPr>
              <w:t>13:30-17:30</w:t>
            </w:r>
          </w:p>
        </w:tc>
        <w:tc>
          <w:tcPr>
            <w:tcW w:w="4280" w:type="dxa"/>
            <w:vAlign w:val="center"/>
          </w:tcPr>
          <w:p>
            <w:pPr>
              <w:widowControl/>
              <w:spacing w:after="120"/>
              <w:rPr>
                <w:rFonts w:ascii="宋体" w:hAnsi="宋体"/>
                <w:lang w:val="zh-CN"/>
              </w:rPr>
            </w:pPr>
            <w:r>
              <w:rPr>
                <w:rFonts w:hint="eastAsia" w:ascii="宋体" w:hAnsi="宋体"/>
              </w:rPr>
              <w:t>创新引领未来</w:t>
            </w:r>
          </w:p>
        </w:tc>
        <w:tc>
          <w:tcPr>
            <w:tcW w:w="1444" w:type="dxa"/>
          </w:tcPr>
          <w:p>
            <w:pPr>
              <w:widowControl/>
              <w:spacing w:after="120"/>
              <w:jc w:val="center"/>
              <w:rPr>
                <w:rFonts w:ascii="宋体" w:hAnsi="宋体"/>
                <w:lang w:val="zh-CN"/>
              </w:rPr>
            </w:pPr>
            <w:r>
              <w:rPr>
                <w:rFonts w:hint="eastAsia" w:ascii="宋体" w:hAnsi="宋体"/>
                <w:lang w:val="zh-CN"/>
              </w:rPr>
              <w:t>梅花厅</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54" w:hRule="atLeast"/>
          <w:jc w:val="center"/>
        </w:trPr>
        <w:tc>
          <w:tcPr>
            <w:tcW w:w="1609" w:type="dxa"/>
            <w:vMerge w:val="restart"/>
            <w:vAlign w:val="center"/>
          </w:tcPr>
          <w:p>
            <w:pPr>
              <w:spacing w:after="120"/>
              <w:ind w:right="-34"/>
              <w:jc w:val="center"/>
              <w:textAlignment w:val="baseline"/>
              <w:rPr>
                <w:rFonts w:ascii="宋体" w:hAnsi="宋体"/>
                <w:lang w:val="zh-CN"/>
              </w:rPr>
            </w:pPr>
            <w:r>
              <w:rPr>
                <w:rFonts w:hint="eastAsia" w:ascii="宋体" w:hAnsi="宋体"/>
                <w:lang w:val="zh-CN"/>
              </w:rPr>
              <w:t>11月1</w:t>
            </w:r>
            <w:r>
              <w:rPr>
                <w:rFonts w:ascii="宋体" w:hAnsi="宋体"/>
              </w:rPr>
              <w:t>7</w:t>
            </w:r>
            <w:r>
              <w:rPr>
                <w:rFonts w:hint="eastAsia" w:ascii="宋体" w:hAnsi="宋体"/>
                <w:lang w:val="zh-CN"/>
              </w:rPr>
              <w:t>日</w:t>
            </w:r>
          </w:p>
        </w:tc>
        <w:tc>
          <w:tcPr>
            <w:tcW w:w="2172" w:type="dxa"/>
            <w:vAlign w:val="center"/>
          </w:tcPr>
          <w:p>
            <w:pPr>
              <w:spacing w:after="120"/>
              <w:ind w:right="-34"/>
              <w:jc w:val="center"/>
              <w:textAlignment w:val="baseline"/>
              <w:rPr>
                <w:rFonts w:ascii="宋体" w:hAnsi="宋体"/>
                <w:lang w:val="zh-CN"/>
              </w:rPr>
            </w:pPr>
            <w:r>
              <w:rPr>
                <w:rFonts w:hint="eastAsia" w:ascii="宋体" w:hAnsi="宋体"/>
                <w:lang w:val="zh-CN"/>
              </w:rPr>
              <w:t>09:30-12:00</w:t>
            </w:r>
          </w:p>
        </w:tc>
        <w:tc>
          <w:tcPr>
            <w:tcW w:w="4280" w:type="dxa"/>
            <w:vAlign w:val="center"/>
          </w:tcPr>
          <w:p>
            <w:pPr>
              <w:widowControl/>
              <w:spacing w:after="120"/>
              <w:rPr>
                <w:rFonts w:ascii="宋体" w:hAnsi="宋体"/>
                <w:lang w:val="zh-CN"/>
              </w:rPr>
            </w:pPr>
            <w:r>
              <w:rPr>
                <w:rFonts w:hint="eastAsia" w:ascii="宋体" w:hAnsi="宋体"/>
              </w:rPr>
              <w:t>生命科学与医疗生态</w:t>
            </w:r>
          </w:p>
        </w:tc>
        <w:tc>
          <w:tcPr>
            <w:tcW w:w="1444" w:type="dxa"/>
          </w:tcPr>
          <w:p>
            <w:pPr>
              <w:widowControl/>
              <w:spacing w:after="120"/>
              <w:jc w:val="center"/>
              <w:rPr>
                <w:rFonts w:ascii="宋体" w:hAnsi="宋体"/>
                <w:lang w:val="zh-CN"/>
              </w:rPr>
            </w:pPr>
            <w:r>
              <w:rPr>
                <w:rFonts w:hint="eastAsia" w:ascii="宋体" w:hAnsi="宋体"/>
                <w:lang w:val="zh-CN"/>
              </w:rPr>
              <w:t>梅花厅</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31" w:hRule="atLeast"/>
          <w:jc w:val="center"/>
        </w:trPr>
        <w:tc>
          <w:tcPr>
            <w:tcW w:w="1609" w:type="dxa"/>
            <w:vMerge w:val="continue"/>
            <w:vAlign w:val="center"/>
          </w:tcPr>
          <w:p>
            <w:pPr>
              <w:spacing w:after="120"/>
              <w:ind w:right="-34"/>
              <w:jc w:val="center"/>
              <w:textAlignment w:val="baseline"/>
              <w:rPr>
                <w:rFonts w:ascii="宋体" w:hAnsi="宋体"/>
                <w:lang w:val="zh-CN"/>
              </w:rPr>
            </w:pPr>
          </w:p>
        </w:tc>
        <w:tc>
          <w:tcPr>
            <w:tcW w:w="2172" w:type="dxa"/>
            <w:vAlign w:val="center"/>
          </w:tcPr>
          <w:p>
            <w:pPr>
              <w:spacing w:after="120"/>
              <w:ind w:right="-34"/>
              <w:jc w:val="center"/>
              <w:textAlignment w:val="baseline"/>
              <w:rPr>
                <w:rFonts w:ascii="宋体" w:hAnsi="宋体"/>
                <w:lang w:val="zh-CN"/>
              </w:rPr>
            </w:pPr>
            <w:r>
              <w:rPr>
                <w:rFonts w:hint="eastAsia" w:ascii="宋体" w:hAnsi="宋体"/>
                <w:lang w:val="zh-CN"/>
              </w:rPr>
              <w:t>13:30-17:30</w:t>
            </w:r>
          </w:p>
        </w:tc>
        <w:tc>
          <w:tcPr>
            <w:tcW w:w="4280" w:type="dxa"/>
            <w:vAlign w:val="center"/>
          </w:tcPr>
          <w:p>
            <w:pPr>
              <w:widowControl/>
              <w:spacing w:after="120"/>
              <w:rPr>
                <w:rFonts w:ascii="宋体" w:hAnsi="宋体"/>
                <w:lang w:val="zh-CN"/>
              </w:rPr>
            </w:pPr>
            <w:r>
              <w:rPr>
                <w:rFonts w:hint="eastAsia" w:ascii="宋体" w:hAnsi="宋体"/>
                <w:szCs w:val="21"/>
              </w:rPr>
              <w:t>“碳”寻发展之路</w:t>
            </w:r>
          </w:p>
        </w:tc>
        <w:tc>
          <w:tcPr>
            <w:tcW w:w="1444" w:type="dxa"/>
          </w:tcPr>
          <w:p>
            <w:pPr>
              <w:widowControl/>
              <w:spacing w:after="120"/>
              <w:jc w:val="center"/>
              <w:rPr>
                <w:rFonts w:ascii="宋体" w:hAnsi="宋体"/>
                <w:lang w:val="zh-CN"/>
              </w:rPr>
            </w:pPr>
            <w:r>
              <w:rPr>
                <w:rFonts w:hint="eastAsia" w:ascii="宋体" w:hAnsi="宋体"/>
                <w:lang w:val="zh-CN"/>
              </w:rPr>
              <w:t>梅花厅</w:t>
            </w:r>
          </w:p>
        </w:tc>
      </w:tr>
    </w:tbl>
    <w:p>
      <w:pPr>
        <w:adjustRightInd w:val="0"/>
        <w:snapToGrid w:val="0"/>
        <w:spacing w:after="120" w:line="360" w:lineRule="auto"/>
        <w:rPr>
          <w:rFonts w:ascii="宋体" w:hAnsi="宋体"/>
        </w:rPr>
      </w:pPr>
      <w:r>
        <w:rPr>
          <w:rFonts w:hint="eastAsia" w:ascii="宋体" w:hAnsi="宋体"/>
        </w:rPr>
        <w:t>备注：以上日程以高交会组委会最终公布为准。</w:t>
      </w:r>
    </w:p>
    <w:p>
      <w:pPr>
        <w:pStyle w:val="2"/>
      </w:pPr>
    </w:p>
    <w:p>
      <w:pPr>
        <w:pStyle w:val="24"/>
        <w:numPr>
          <w:ilvl w:val="0"/>
          <w:numId w:val="28"/>
        </w:numPr>
        <w:autoSpaceDE w:val="0"/>
        <w:autoSpaceDN w:val="0"/>
        <w:adjustRightInd w:val="0"/>
        <w:snapToGrid w:val="0"/>
        <w:spacing w:line="360" w:lineRule="auto"/>
        <w:ind w:firstLineChars="0"/>
        <w:rPr>
          <w:rFonts w:ascii="宋体" w:hAnsi="宋体" w:eastAsia="宋体"/>
          <w:b/>
          <w:bCs/>
          <w:szCs w:val="21"/>
        </w:rPr>
      </w:pPr>
      <w:r>
        <w:rPr>
          <w:rFonts w:hint="eastAsia" w:ascii="宋体" w:hAnsi="宋体" w:eastAsia="宋体"/>
          <w:b/>
          <w:bCs/>
          <w:szCs w:val="21"/>
        </w:rPr>
        <w:t>深圳会展中心服务机构履约评价表（服务类适用）</w:t>
      </w:r>
    </w:p>
    <w:tbl>
      <w:tblPr>
        <w:tblStyle w:val="16"/>
        <w:tblW w:w="10065" w:type="dxa"/>
        <w:jc w:val="center"/>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jc w:val="center"/>
        </w:trPr>
        <w:tc>
          <w:tcPr>
            <w:tcW w:w="2264" w:type="dxa"/>
            <w:gridSpan w:val="6"/>
            <w:tcBorders>
              <w:top w:val="single" w:color="auto" w:sz="8" w:space="0"/>
              <w:left w:val="single" w:color="auto" w:sz="8"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jc w:val="center"/>
        </w:trPr>
        <w:tc>
          <w:tcPr>
            <w:tcW w:w="707" w:type="dxa"/>
            <w:vMerge w:val="restart"/>
            <w:tcBorders>
              <w:top w:val="nil"/>
              <w:left w:val="single" w:color="auto" w:sz="8" w:space="0"/>
              <w:right w:val="single" w:color="auto" w:sz="4" w:space="0"/>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spacing w:line="300" w:lineRule="exact"/>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1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rPr>
          <w:trHeight w:val="42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44"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126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沟通</w:t>
            </w:r>
          </w:p>
          <w:p>
            <w:pPr>
              <w:jc w:val="center"/>
              <w:rPr>
                <w:rFonts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rPr>
          <w:trHeight w:val="895"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18"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165" w:hRule="atLeast"/>
          <w:jc w:val="center"/>
        </w:trPr>
        <w:tc>
          <w:tcPr>
            <w:tcW w:w="707" w:type="dxa"/>
            <w:vMerge w:val="continue"/>
            <w:tcBorders>
              <w:left w:val="single" w:color="auto" w:sz="8" w:space="0"/>
              <w:bottom w:val="single" w:color="auto" w:sz="4" w:space="0"/>
              <w:right w:val="single" w:color="auto" w:sz="4" w:space="0"/>
            </w:tcBorders>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99" w:hRule="atLeast"/>
          <w:jc w:val="center"/>
        </w:trPr>
        <w:tc>
          <w:tcPr>
            <w:tcW w:w="707" w:type="dxa"/>
            <w:vMerge w:val="restart"/>
            <w:tcBorders>
              <w:top w:val="single" w:color="auto" w:sz="4" w:space="0"/>
              <w:left w:val="single" w:color="auto" w:sz="8" w:space="0"/>
              <w:bottom w:val="double" w:color="000000" w:sz="6" w:space="0"/>
              <w:right w:val="single" w:color="auto" w:sz="4" w:space="0"/>
            </w:tcBorders>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rPr>
          <w:trHeight w:val="709"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doub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double" w:color="auto" w:sz="6"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jc w:val="center"/>
        </w:trPr>
        <w:tc>
          <w:tcPr>
            <w:tcW w:w="707" w:type="dxa"/>
            <w:vMerge w:val="restart"/>
            <w:tcBorders>
              <w:top w:val="nil"/>
              <w:left w:val="single" w:color="auto" w:sz="8" w:space="0"/>
              <w:bottom w:val="single" w:color="000000" w:sz="4" w:space="0"/>
              <w:right w:val="single" w:color="auto" w:sz="4" w:space="0"/>
            </w:tcBorders>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707" w:type="dxa"/>
            <w:tcBorders>
              <w:top w:val="nil"/>
              <w:left w:val="single" w:color="auto" w:sz="8" w:space="0"/>
              <w:bottom w:val="single" w:color="000000" w:sz="4" w:space="0"/>
              <w:right w:val="single" w:color="auto" w:sz="4" w:space="0"/>
            </w:tcBorders>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jc w:val="center"/>
        </w:trPr>
        <w:tc>
          <w:tcPr>
            <w:tcW w:w="1786" w:type="dxa"/>
            <w:gridSpan w:val="4"/>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CellMar>
            <w:top w:w="0" w:type="dxa"/>
            <w:left w:w="108" w:type="dxa"/>
            <w:bottom w:w="0" w:type="dxa"/>
            <w:right w:w="108" w:type="dxa"/>
          </w:tblCellMar>
        </w:tblPrEx>
        <w:trPr>
          <w:trHeight w:val="566" w:hRule="atLeast"/>
          <w:jc w:val="center"/>
        </w:trPr>
        <w:tc>
          <w:tcPr>
            <w:tcW w:w="1786" w:type="dxa"/>
            <w:gridSpan w:val="4"/>
            <w:vMerge w:val="continue"/>
            <w:tcBorders>
              <w:top w:val="single" w:color="auto" w:sz="8" w:space="0"/>
              <w:left w:val="single" w:color="auto" w:sz="8" w:space="0"/>
              <w:bottom w:val="single" w:color="auto" w:sz="12" w:space="0"/>
              <w:right w:val="single" w:color="000000" w:sz="8" w:space="0"/>
            </w:tcBorders>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1524" w:type="dxa"/>
            <w:gridSpan w:val="2"/>
            <w:tcBorders>
              <w:top w:val="single" w:color="auto" w:sz="12" w:space="0"/>
              <w:bottom w:val="single" w:color="auto" w:sz="12" w:space="0"/>
            </w:tcBorders>
            <w:vAlign w:val="center"/>
          </w:tcPr>
          <w:p>
            <w:pPr>
              <w:spacing w:line="240" w:lineRule="atLeast"/>
              <w:rPr>
                <w:rFonts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1524" w:type="dxa"/>
            <w:gridSpan w:val="2"/>
            <w:tcBorders>
              <w:top w:val="single" w:color="auto" w:sz="12" w:space="0"/>
              <w:bottom w:val="double" w:color="auto" w:sz="4" w:space="0"/>
            </w:tcBorders>
            <w:vAlign w:val="center"/>
          </w:tcPr>
          <w:p>
            <w:pPr>
              <w:spacing w:line="240" w:lineRule="atLeast"/>
              <w:rPr>
                <w:rFonts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pStyle w:val="24"/>
        <w:autoSpaceDE w:val="0"/>
        <w:autoSpaceDN w:val="0"/>
        <w:adjustRightInd w:val="0"/>
        <w:snapToGrid w:val="0"/>
        <w:spacing w:line="360" w:lineRule="auto"/>
        <w:ind w:left="420" w:firstLine="0" w:firstLineChars="0"/>
        <w:rPr>
          <w:rFonts w:ascii="宋体" w:hAnsi="宋体"/>
          <w:szCs w:val="21"/>
        </w:rPr>
      </w:pPr>
    </w:p>
    <w:p>
      <w:pPr>
        <w:spacing w:line="360" w:lineRule="auto"/>
        <w:jc w:val="center"/>
        <w:outlineLvl w:val="0"/>
        <w:rPr>
          <w:rFonts w:ascii="宋体" w:hAnsi="宋体"/>
          <w:b/>
          <w:sz w:val="32"/>
          <w:szCs w:val="32"/>
        </w:rPr>
      </w:pPr>
      <w:bookmarkStart w:id="48" w:name="_Toc106791258"/>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8"/>
    </w:p>
    <w:p>
      <w:pPr>
        <w:numPr>
          <w:ilvl w:val="0"/>
          <w:numId w:val="1"/>
        </w:numPr>
        <w:spacing w:line="360" w:lineRule="auto"/>
        <w:outlineLvl w:val="1"/>
        <w:rPr>
          <w:b/>
        </w:rPr>
      </w:pPr>
      <w:bookmarkStart w:id="49" w:name="_Toc106791260"/>
      <w:bookmarkStart w:id="50" w:name="_Toc104994641"/>
      <w:bookmarkStart w:id="51" w:name="_Hlk104908581"/>
      <w:bookmarkStart w:id="52" w:name="_Hlk104908397"/>
      <w:r>
        <w:rPr>
          <w:rFonts w:hint="eastAsia"/>
          <w:b/>
        </w:rPr>
        <w:t>开标阶段</w:t>
      </w:r>
      <w:bookmarkEnd w:id="49"/>
      <w:bookmarkEnd w:id="50"/>
    </w:p>
    <w:bookmarkEnd w:id="51"/>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3" w:name="_Toc106791261"/>
      <w:bookmarkStart w:id="54" w:name="_Toc104994642"/>
      <w:r>
        <w:rPr>
          <w:rFonts w:hint="eastAsia"/>
          <w:b/>
        </w:rPr>
        <w:t>评标阶段</w:t>
      </w:r>
      <w:bookmarkEnd w:id="53"/>
      <w:bookmarkEnd w:id="54"/>
    </w:p>
    <w:p>
      <w:pPr>
        <w:pStyle w:val="24"/>
        <w:numPr>
          <w:ilvl w:val="0"/>
          <w:numId w:val="3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3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52"/>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5" w:name="_Toc106791262"/>
      <w:r>
        <w:rPr>
          <w:rFonts w:hint="eastAsia" w:ascii="宋体" w:hAnsi="宋体"/>
          <w:b/>
          <w:sz w:val="32"/>
          <w:szCs w:val="32"/>
        </w:rPr>
        <w:t>第三部分：评审办法</w:t>
      </w:r>
      <w:bookmarkEnd w:id="55"/>
    </w:p>
    <w:p>
      <w:pPr>
        <w:numPr>
          <w:ilvl w:val="0"/>
          <w:numId w:val="1"/>
        </w:numPr>
        <w:spacing w:line="360" w:lineRule="auto"/>
        <w:outlineLvl w:val="1"/>
        <w:rPr>
          <w:rFonts w:ascii="宋体" w:hAnsi="宋体"/>
          <w:szCs w:val="21"/>
        </w:rPr>
      </w:pPr>
      <w:bookmarkStart w:id="56" w:name="_Toc106791263"/>
      <w:r>
        <w:rPr>
          <w:rFonts w:hint="eastAsia" w:ascii="宋体" w:hAnsi="宋体"/>
          <w:b/>
          <w:bCs/>
          <w:szCs w:val="21"/>
        </w:rPr>
        <w:t>评审办法</w:t>
      </w:r>
      <w:bookmarkEnd w:id="56"/>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rPr>
            </w:pPr>
            <w:r>
              <w:rPr>
                <w:rFonts w:ascii="宋体" w:hAnsi="宋体"/>
              </w:rPr>
              <w:t>25</w:t>
            </w:r>
            <w:r>
              <w:rPr>
                <w:rFonts w:hint="eastAsia" w:ascii="宋体" w:hAnsi="宋体"/>
              </w:rPr>
              <w:t>%</w:t>
            </w:r>
          </w:p>
        </w:tc>
        <w:tc>
          <w:tcPr>
            <w:tcW w:w="2131" w:type="dxa"/>
            <w:vAlign w:val="center"/>
          </w:tcPr>
          <w:p>
            <w:pPr>
              <w:autoSpaceDE w:val="0"/>
              <w:autoSpaceDN w:val="0"/>
              <w:adjustRightInd w:val="0"/>
              <w:snapToGrid w:val="0"/>
              <w:jc w:val="center"/>
              <w:rPr>
                <w:rFonts w:ascii="宋体" w:hAnsi="宋体"/>
              </w:rPr>
            </w:pPr>
            <w:r>
              <w:rPr>
                <w:rFonts w:hint="eastAsia" w:ascii="宋体" w:hAnsi="宋体"/>
              </w:rPr>
              <w:t>4</w:t>
            </w:r>
            <w:r>
              <w:rPr>
                <w:rFonts w:ascii="宋体" w:hAnsi="宋体"/>
              </w:rPr>
              <w:t>5</w:t>
            </w:r>
            <w:r>
              <w:rPr>
                <w:rFonts w:hint="eastAsia" w:ascii="宋体" w:hAnsi="宋体"/>
              </w:rPr>
              <w:t>%</w:t>
            </w:r>
          </w:p>
        </w:tc>
        <w:tc>
          <w:tcPr>
            <w:tcW w:w="2585" w:type="dxa"/>
            <w:vAlign w:val="center"/>
          </w:tcPr>
          <w:p>
            <w:pPr>
              <w:autoSpaceDE w:val="0"/>
              <w:autoSpaceDN w:val="0"/>
              <w:adjustRightInd w:val="0"/>
              <w:snapToGrid w:val="0"/>
              <w:jc w:val="center"/>
              <w:rPr>
                <w:rFonts w:ascii="宋体" w:hAnsi="宋体"/>
              </w:rPr>
            </w:pPr>
            <w:r>
              <w:rPr>
                <w:rFonts w:ascii="宋体" w:hAnsi="宋体"/>
                <w:szCs w:val="21"/>
              </w:rPr>
              <w:t>30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644" w:type="dxa"/>
            <w:vAlign w:val="center"/>
          </w:tcPr>
          <w:p>
            <w:pPr>
              <w:pStyle w:val="2"/>
              <w:ind w:left="0"/>
              <w:jc w:val="center"/>
              <w:rPr>
                <w:sz w:val="21"/>
                <w:szCs w:val="28"/>
              </w:rPr>
            </w:pPr>
            <w:r>
              <w:rPr>
                <w:rFonts w:hint="eastAsia" w:ascii="宋体" w:hAnsi="宋体"/>
                <w:sz w:val="21"/>
                <w:szCs w:val="28"/>
              </w:rPr>
              <w:t>投标人综合得分</w:t>
            </w:r>
          </w:p>
        </w:tc>
        <w:tc>
          <w:tcPr>
            <w:tcW w:w="6846" w:type="dxa"/>
            <w:gridSpan w:val="3"/>
            <w:vAlign w:val="center"/>
          </w:tcPr>
          <w:p>
            <w:pPr>
              <w:pStyle w:val="2"/>
              <w:jc w:val="center"/>
              <w:rPr>
                <w:sz w:val="21"/>
                <w:szCs w:val="28"/>
              </w:rPr>
            </w:pPr>
            <w:r>
              <w:rPr>
                <w:rFonts w:hint="eastAsia" w:ascii="宋体" w:hAnsi="宋体"/>
                <w:sz w:val="21"/>
                <w:szCs w:val="28"/>
              </w:rPr>
              <w:t>商务标得分+技术标得分+价格标得分=100</w:t>
            </w:r>
          </w:p>
        </w:tc>
      </w:tr>
    </w:tbl>
    <w:p>
      <w:pPr>
        <w:pStyle w:val="2"/>
        <w:ind w:left="0"/>
      </w:pPr>
    </w:p>
    <w:p>
      <w:pPr>
        <w:pStyle w:val="12"/>
      </w:pPr>
    </w:p>
    <w:p>
      <w:pPr>
        <w:numPr>
          <w:ilvl w:val="0"/>
          <w:numId w:val="32"/>
        </w:numPr>
        <w:spacing w:line="360" w:lineRule="auto"/>
        <w:jc w:val="left"/>
        <w:outlineLvl w:val="2"/>
        <w:rPr>
          <w:rStyle w:val="31"/>
          <w:rFonts w:ascii="宋体" w:hAnsi="宋体"/>
          <w:b/>
          <w:szCs w:val="21"/>
        </w:rPr>
      </w:pPr>
      <w:bookmarkStart w:id="57" w:name="_Toc106791264"/>
      <w:r>
        <w:rPr>
          <w:rStyle w:val="31"/>
          <w:rFonts w:hint="eastAsia" w:ascii="宋体" w:hAnsi="宋体"/>
          <w:b/>
          <w:bCs/>
          <w:szCs w:val="21"/>
        </w:rPr>
        <w:t>符合性检查</w:t>
      </w:r>
      <w:bookmarkEnd w:id="57"/>
    </w:p>
    <w:tbl>
      <w:tblPr>
        <w:tblStyle w:val="16"/>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rPr>
            </w:pPr>
            <w:r>
              <w:rPr>
                <w:rFonts w:hint="eastAsia" w:ascii="宋体" w:hAnsi="宋体" w:cs="仿宋"/>
                <w:color w:val="auto"/>
                <w:szCs w:val="21"/>
              </w:rPr>
              <w:t>资格证明文件</w:t>
            </w:r>
          </w:p>
        </w:tc>
        <w:tc>
          <w:tcPr>
            <w:tcW w:w="7635" w:type="dxa"/>
            <w:tcBorders>
              <w:tl2br w:val="nil"/>
              <w:tr2bl w:val="nil"/>
            </w:tcBorders>
            <w:vAlign w:val="center"/>
          </w:tcPr>
          <w:p>
            <w:pPr>
              <w:spacing w:line="360" w:lineRule="auto"/>
              <w:rPr>
                <w:rFonts w:ascii="宋体" w:hAnsi="宋体" w:cs="仿宋"/>
                <w:color w:val="auto"/>
                <w:szCs w:val="21"/>
              </w:rPr>
            </w:pPr>
            <w:r>
              <w:rPr>
                <w:rFonts w:hint="eastAsia" w:ascii="宋体" w:hAnsi="宋体" w:cs="仿宋"/>
                <w:color w:val="auto"/>
                <w:szCs w:val="21"/>
              </w:rPr>
              <w:t>投标人是否提供以下证明文件：</w:t>
            </w:r>
          </w:p>
          <w:p>
            <w:pPr>
              <w:numPr>
                <w:ilvl w:val="0"/>
                <w:numId w:val="33"/>
              </w:numPr>
              <w:tabs>
                <w:tab w:val="left" w:pos="531"/>
              </w:tabs>
              <w:snapToGrid w:val="0"/>
              <w:spacing w:line="360" w:lineRule="auto"/>
              <w:ind w:left="0" w:firstLine="0"/>
              <w:rPr>
                <w:rFonts w:ascii="宋体"/>
                <w:color w:val="auto"/>
              </w:rPr>
            </w:pPr>
            <w:r>
              <w:rPr>
                <w:rFonts w:hint="eastAsia" w:ascii="宋体" w:hAnsi="宋体" w:cs="仿宋_GB2312"/>
                <w:color w:val="auto"/>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33"/>
              </w:numPr>
              <w:tabs>
                <w:tab w:val="left" w:pos="531"/>
              </w:tabs>
              <w:snapToGrid w:val="0"/>
              <w:spacing w:line="360" w:lineRule="auto"/>
              <w:rPr>
                <w:rFonts w:ascii="宋体" w:hAnsi="宋体" w:cs="仿宋"/>
                <w:color w:val="auto"/>
                <w:szCs w:val="21"/>
              </w:rPr>
            </w:pPr>
            <w:r>
              <w:rPr>
                <w:rFonts w:hint="eastAsia" w:ascii="宋体" w:hAnsi="宋体" w:cs="宋体"/>
                <w:color w:val="auto"/>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szCs w:val="21"/>
              </w:rPr>
              <w:t>本项目单年控制金额为人民币</w:t>
            </w:r>
            <w:r>
              <w:rPr>
                <w:rFonts w:ascii="宋体" w:hAnsi="宋体" w:cs="宋体"/>
                <w:szCs w:val="21"/>
              </w:rPr>
              <w:t>13万元（含</w:t>
            </w:r>
            <w:r>
              <w:rPr>
                <w:rFonts w:hint="eastAsia" w:ascii="宋体" w:hAnsi="宋体" w:cs="宋体"/>
                <w:szCs w:val="21"/>
              </w:rPr>
              <w:t>值增</w:t>
            </w:r>
            <w:r>
              <w:rPr>
                <w:rFonts w:ascii="宋体" w:hAnsi="宋体" w:cs="宋体"/>
                <w:szCs w:val="21"/>
              </w:rPr>
              <w:t>税）</w:t>
            </w:r>
            <w:r>
              <w:rPr>
                <w:rFonts w:hint="eastAsia" w:ascii="宋体" w:hAnsi="宋体" w:cs="宋体"/>
                <w:szCs w:val="21"/>
              </w:rPr>
              <w:t>，3年总控制金额为人民币</w:t>
            </w:r>
            <w:r>
              <w:rPr>
                <w:rFonts w:ascii="宋体" w:hAnsi="宋体" w:cs="宋体"/>
                <w:szCs w:val="21"/>
              </w:rPr>
              <w:t>39</w:t>
            </w:r>
            <w:r>
              <w:rPr>
                <w:rFonts w:hint="eastAsia" w:ascii="宋体" w:hAnsi="宋体" w:cs="宋体"/>
                <w:szCs w:val="21"/>
              </w:rPr>
              <w:t>万元（含增值税），报价超过上述控制金额的投标文件作废标处理。</w:t>
            </w:r>
          </w:p>
        </w:tc>
      </w:tr>
    </w:tbl>
    <w:tbl>
      <w:tblPr>
        <w:tblStyle w:val="16"/>
        <w:tblpPr w:leftFromText="180" w:rightFromText="180" w:vertAnchor="text" w:horzAnchor="page" w:tblpX="1367" w:tblpY="463"/>
        <w:tblOverlap w:val="never"/>
        <w:tblW w:w="935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351" w:type="dxa"/>
            <w:gridSpan w:val="5"/>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ascii="宋体" w:hAnsi="宋体"/>
                <w:szCs w:val="21"/>
                <w:highlight w:val="none"/>
              </w:rPr>
              <w:t>25</w:t>
            </w:r>
            <w:r>
              <w:rPr>
                <w:rFonts w:hint="eastAsia" w:ascii="宋体" w:hAnsi="宋体"/>
                <w:b/>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4"/>
              <w:numPr>
                <w:ilvl w:val="0"/>
                <w:numId w:val="34"/>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rFonts w:ascii="宋体" w:hAnsi="宋体"/>
                <w:szCs w:val="21"/>
                <w:highlight w:val="none"/>
              </w:rPr>
            </w:pPr>
            <w:r>
              <w:rPr>
                <w:rFonts w:hint="eastAsia"/>
                <w:highlight w:val="none"/>
              </w:rPr>
              <w:t>公司规模</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ascii="宋体" w:hAnsi="宋体"/>
                <w:szCs w:val="21"/>
                <w:highlight w:val="none"/>
              </w:rPr>
              <w:t>4</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pStyle w:val="2"/>
              <w:spacing w:line="240" w:lineRule="auto"/>
              <w:ind w:left="0"/>
              <w:rPr>
                <w:sz w:val="21"/>
                <w:szCs w:val="21"/>
                <w:highlight w:val="none"/>
              </w:rPr>
            </w:pPr>
            <w:r>
              <w:rPr>
                <w:rFonts w:hint="eastAsia" w:ascii="宋体" w:hAnsi="宋体" w:cs="宋体"/>
                <w:sz w:val="21"/>
                <w:szCs w:val="21"/>
                <w:highlight w:val="none"/>
              </w:rPr>
              <w:t>投标人提供近</w:t>
            </w:r>
            <w:r>
              <w:rPr>
                <w:rFonts w:hint="eastAsia" w:ascii="宋体" w:hAnsi="宋体" w:cs="宋体"/>
                <w:sz w:val="21"/>
                <w:szCs w:val="21"/>
                <w:highlight w:val="none"/>
                <w:lang w:val="en-US" w:eastAsia="zh-CN"/>
              </w:rPr>
              <w:t>三个月</w:t>
            </w:r>
            <w:r>
              <w:rPr>
                <w:rFonts w:hint="eastAsia" w:ascii="宋体" w:hAnsi="宋体" w:cs="宋体"/>
                <w:sz w:val="21"/>
                <w:szCs w:val="21"/>
                <w:highlight w:val="none"/>
              </w:rPr>
              <w:t>（采购公告发布之日</w:t>
            </w:r>
            <w:r>
              <w:rPr>
                <w:rFonts w:hint="eastAsia" w:ascii="宋体" w:hAnsi="宋体" w:cs="宋体"/>
                <w:sz w:val="21"/>
                <w:szCs w:val="21"/>
                <w:highlight w:val="none"/>
                <w:lang w:val="en-US" w:eastAsia="zh-CN"/>
              </w:rPr>
              <w:t>前</w:t>
            </w:r>
            <w:r>
              <w:rPr>
                <w:rFonts w:hint="eastAsia" w:ascii="宋体" w:hAnsi="宋体" w:cs="宋体"/>
                <w:sz w:val="21"/>
                <w:szCs w:val="21"/>
                <w:highlight w:val="none"/>
              </w:rPr>
              <w:t>）单位职工社保缴纳记录（加盖投标人公章）。公司缴纳社保总人数</w:t>
            </w:r>
            <w:r>
              <w:rPr>
                <w:rFonts w:ascii="宋体" w:hAnsi="宋体" w:cs="宋体"/>
                <w:sz w:val="21"/>
                <w:szCs w:val="21"/>
                <w:highlight w:val="none"/>
              </w:rPr>
              <w:t>10</w:t>
            </w:r>
            <w:r>
              <w:rPr>
                <w:rFonts w:hint="eastAsia" w:ascii="宋体" w:hAnsi="宋体" w:cs="宋体"/>
                <w:sz w:val="21"/>
                <w:szCs w:val="21"/>
                <w:highlight w:val="none"/>
              </w:rPr>
              <w:t>人（含）以上得</w:t>
            </w:r>
            <w:r>
              <w:rPr>
                <w:rFonts w:ascii="宋体" w:hAnsi="宋体" w:cs="宋体"/>
                <w:sz w:val="21"/>
                <w:szCs w:val="21"/>
                <w:highlight w:val="none"/>
              </w:rPr>
              <w:t>4</w:t>
            </w:r>
            <w:r>
              <w:rPr>
                <w:rFonts w:hint="eastAsia" w:ascii="宋体" w:hAnsi="宋体" w:cs="宋体"/>
                <w:sz w:val="21"/>
                <w:szCs w:val="21"/>
                <w:highlight w:val="none"/>
              </w:rPr>
              <w:t>分，</w:t>
            </w:r>
            <w:r>
              <w:rPr>
                <w:rFonts w:ascii="宋体" w:hAnsi="宋体" w:cs="宋体"/>
                <w:sz w:val="21"/>
                <w:szCs w:val="21"/>
                <w:highlight w:val="none"/>
              </w:rPr>
              <w:t>5-9</w:t>
            </w:r>
            <w:r>
              <w:rPr>
                <w:rFonts w:hint="eastAsia" w:ascii="宋体" w:hAnsi="宋体" w:cs="宋体"/>
                <w:sz w:val="21"/>
                <w:szCs w:val="21"/>
                <w:highlight w:val="none"/>
              </w:rPr>
              <w:t>人得</w:t>
            </w:r>
            <w:r>
              <w:rPr>
                <w:rFonts w:ascii="宋体" w:hAnsi="宋体" w:cs="宋体"/>
                <w:sz w:val="21"/>
                <w:szCs w:val="21"/>
                <w:highlight w:val="none"/>
              </w:rPr>
              <w:t>2</w:t>
            </w:r>
            <w:r>
              <w:rPr>
                <w:rFonts w:hint="eastAsia" w:ascii="宋体" w:hAnsi="宋体" w:cs="宋体"/>
                <w:sz w:val="21"/>
                <w:szCs w:val="21"/>
                <w:highlight w:val="none"/>
              </w:rPr>
              <w:t>分，</w:t>
            </w:r>
            <w:r>
              <w:rPr>
                <w:rFonts w:ascii="宋体" w:hAnsi="宋体" w:cs="宋体"/>
                <w:sz w:val="21"/>
                <w:szCs w:val="21"/>
                <w:highlight w:val="none"/>
              </w:rPr>
              <w:t>5</w:t>
            </w:r>
            <w:r>
              <w:rPr>
                <w:rFonts w:hint="eastAsia" w:ascii="宋体" w:hAnsi="宋体" w:cs="宋体"/>
                <w:sz w:val="21"/>
                <w:szCs w:val="21"/>
                <w:highlight w:val="none"/>
              </w:rPr>
              <w:t>人以下得1分，资料未提供、内容不清晰不完整及其他情况得0分。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4"/>
              <w:numPr>
                <w:ilvl w:val="0"/>
                <w:numId w:val="34"/>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szCs w:val="21"/>
                <w:highlight w:val="none"/>
              </w:rPr>
              <w:t>业绩</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8</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numPr>
                <w:ilvl w:val="255"/>
                <w:numId w:val="0"/>
              </w:numPr>
              <w:rPr>
                <w:rFonts w:ascii="宋体" w:hAnsi="宋体"/>
                <w:highlight w:val="none"/>
              </w:rPr>
            </w:pPr>
            <w:r>
              <w:rPr>
                <w:rFonts w:hint="eastAsia" w:ascii="宋体" w:hAnsi="宋体" w:cs="宋体"/>
                <w:kern w:val="0"/>
                <w:szCs w:val="21"/>
                <w:highlight w:val="none"/>
              </w:rPr>
              <w:t>根据投标人提交的</w:t>
            </w:r>
            <w:r>
              <w:rPr>
                <w:rFonts w:ascii="宋体" w:hAnsi="宋体" w:cs="宋体"/>
                <w:szCs w:val="21"/>
                <w:highlight w:val="none"/>
              </w:rPr>
              <w:t>2019</w:t>
            </w:r>
            <w:r>
              <w:rPr>
                <w:rFonts w:hint="eastAsia" w:ascii="宋体" w:hAnsi="宋体" w:cs="宋体"/>
                <w:szCs w:val="21"/>
                <w:highlight w:val="none"/>
              </w:rPr>
              <w:t>年1月1日至本项目采购公告发布之日期间（以合同签订日期为准）参与组织或作为主办或承办或协办单位的会议活动项目案例</w:t>
            </w:r>
            <w:r>
              <w:rPr>
                <w:rFonts w:hint="eastAsia" w:ascii="宋体" w:hAnsi="宋体" w:cs="宋体"/>
                <w:kern w:val="0"/>
                <w:szCs w:val="21"/>
                <w:highlight w:val="none"/>
              </w:rPr>
              <w:t>业绩合同</w:t>
            </w:r>
            <w:r>
              <w:rPr>
                <w:rFonts w:hint="eastAsia" w:ascii="宋体" w:hAnsi="宋体"/>
                <w:highlight w:val="none"/>
              </w:rPr>
              <w:t>进行综合对比评分，</w:t>
            </w:r>
            <w:r>
              <w:rPr>
                <w:rFonts w:hint="eastAsia" w:ascii="宋体" w:hAnsi="宋体" w:cs="宋体"/>
                <w:kern w:val="0"/>
                <w:szCs w:val="21"/>
                <w:highlight w:val="none"/>
              </w:rPr>
              <w:t>评分要点如下：</w:t>
            </w:r>
          </w:p>
          <w:p>
            <w:pPr>
              <w:pStyle w:val="24"/>
              <w:numPr>
                <w:ilvl w:val="0"/>
                <w:numId w:val="35"/>
              </w:numPr>
              <w:ind w:firstLineChars="0"/>
              <w:rPr>
                <w:rFonts w:ascii="宋体" w:hAnsi="宋体" w:eastAsia="宋体" w:cs="宋体"/>
                <w:kern w:val="0"/>
                <w:szCs w:val="21"/>
                <w:highlight w:val="none"/>
              </w:rPr>
            </w:pPr>
            <w:r>
              <w:rPr>
                <w:rFonts w:hint="eastAsia" w:ascii="宋体" w:hAnsi="宋体" w:eastAsia="宋体" w:cs="宋体"/>
                <w:kern w:val="0"/>
                <w:szCs w:val="21"/>
                <w:highlight w:val="none"/>
              </w:rPr>
              <w:t>提供的项目案例为科技类或财经类活动且单个项目合同金额人民币10万元（含）以上的业绩合同，每提供一份加2分；</w:t>
            </w:r>
          </w:p>
          <w:p>
            <w:pPr>
              <w:numPr>
                <w:ilvl w:val="0"/>
                <w:numId w:val="35"/>
              </w:numPr>
              <w:rPr>
                <w:rFonts w:ascii="宋体" w:hAnsi="宋体" w:cs="宋体"/>
                <w:kern w:val="0"/>
                <w:szCs w:val="21"/>
                <w:highlight w:val="none"/>
              </w:rPr>
            </w:pPr>
            <w:r>
              <w:rPr>
                <w:rFonts w:hint="eastAsia" w:ascii="宋体" w:hAnsi="宋体" w:cs="宋体"/>
                <w:kern w:val="0"/>
                <w:szCs w:val="21"/>
                <w:highlight w:val="none"/>
              </w:rPr>
              <w:t>提供的项目案例为国际级（主办单位为国际组织/外国政府等）活动或者国家级活动（最高主办单位为国家部委或省级政府）的业绩合同，每提供一份加1分。</w:t>
            </w:r>
          </w:p>
          <w:p>
            <w:pPr>
              <w:rPr>
                <w:rFonts w:ascii="宋体" w:hAnsi="宋体" w:cs="宋体"/>
                <w:szCs w:val="21"/>
                <w:highlight w:val="none"/>
              </w:rPr>
            </w:pPr>
            <w:r>
              <w:rPr>
                <w:rFonts w:hint="eastAsia" w:ascii="宋体" w:hAnsi="宋体" w:cs="宋体"/>
                <w:szCs w:val="21"/>
                <w:highlight w:val="none"/>
              </w:rPr>
              <w:t>说明：</w:t>
            </w:r>
          </w:p>
          <w:p>
            <w:pPr>
              <w:numPr>
                <w:ilvl w:val="0"/>
                <w:numId w:val="36"/>
              </w:numPr>
              <w:rPr>
                <w:rFonts w:ascii="宋体" w:hAnsi="宋体" w:cs="宋体"/>
                <w:szCs w:val="21"/>
                <w:highlight w:val="none"/>
              </w:rPr>
            </w:pPr>
            <w:r>
              <w:rPr>
                <w:rFonts w:hint="eastAsia" w:ascii="宋体" w:hAnsi="宋体" w:cs="宋体"/>
                <w:szCs w:val="21"/>
                <w:highlight w:val="none"/>
              </w:rPr>
              <w:t>以上评分要点第一项和第二项可累计得分，即</w:t>
            </w:r>
            <w:r>
              <w:rPr>
                <w:rFonts w:hint="eastAsia" w:ascii="宋体" w:hAnsi="宋体" w:cs="宋体"/>
                <w:kern w:val="0"/>
                <w:szCs w:val="21"/>
                <w:highlight w:val="none"/>
              </w:rPr>
              <w:t>同时满足以上2项要求的，每份有效合同得3分；不满足以上评分要点的合同不得分，本项最高1</w:t>
            </w:r>
            <w:r>
              <w:rPr>
                <w:rFonts w:ascii="宋体" w:hAnsi="宋体" w:cs="宋体"/>
                <w:kern w:val="0"/>
                <w:szCs w:val="21"/>
                <w:highlight w:val="none"/>
              </w:rPr>
              <w:t>8</w:t>
            </w:r>
            <w:r>
              <w:rPr>
                <w:rFonts w:hint="eastAsia" w:ascii="宋体" w:hAnsi="宋体" w:cs="宋体"/>
                <w:kern w:val="0"/>
                <w:szCs w:val="21"/>
                <w:highlight w:val="none"/>
              </w:rPr>
              <w:t>分。</w:t>
            </w:r>
          </w:p>
          <w:p>
            <w:pPr>
              <w:numPr>
                <w:ilvl w:val="0"/>
                <w:numId w:val="36"/>
              </w:numPr>
              <w:rPr>
                <w:rFonts w:ascii="宋体" w:hAnsi="宋体" w:cs="宋体"/>
                <w:szCs w:val="21"/>
                <w:highlight w:val="none"/>
              </w:rPr>
            </w:pPr>
            <w:r>
              <w:rPr>
                <w:rFonts w:hint="eastAsia" w:ascii="宋体" w:hAnsi="宋体" w:cs="宋体"/>
                <w:szCs w:val="21"/>
                <w:highlight w:val="none"/>
              </w:rPr>
              <w:t>投标人必须提供能体现上述评议所需的合同关键页（包含但不限于</w:t>
            </w:r>
            <w:r>
              <w:rPr>
                <w:rFonts w:ascii="宋体" w:hAnsi="宋体" w:cs="宋体"/>
                <w:szCs w:val="21"/>
                <w:highlight w:val="none"/>
              </w:rPr>
              <w:t>项目名称、业主方名称、</w:t>
            </w:r>
            <w:r>
              <w:rPr>
                <w:rFonts w:hint="eastAsia" w:ascii="宋体" w:hAnsi="宋体" w:cs="宋体"/>
                <w:szCs w:val="21"/>
                <w:highlight w:val="none"/>
              </w:rPr>
              <w:t>合同标的金额、合同主要内容、签订时间、</w:t>
            </w:r>
            <w:r>
              <w:rPr>
                <w:rFonts w:hint="eastAsia" w:ascii="宋体" w:hAnsi="宋体"/>
                <w:highlight w:val="none"/>
              </w:rPr>
              <w:t>双方盖章</w:t>
            </w:r>
            <w:r>
              <w:rPr>
                <w:rFonts w:hint="eastAsia" w:ascii="宋体" w:hAnsi="宋体" w:cs="宋体"/>
                <w:szCs w:val="21"/>
                <w:highlight w:val="none"/>
              </w:rPr>
              <w:t>等）并加盖投标人公章；如合同未能体现活动类型、主办单位等信息的可提供相应官方网页、官方媒体报道、活动议程、活动照片等作为补充证明（需加盖公章）；未提供或提供的相关证明文件不清晰、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4"/>
              <w:numPr>
                <w:ilvl w:val="0"/>
                <w:numId w:val="34"/>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highlight w:val="none"/>
              </w:rPr>
            </w:pPr>
            <w:r>
              <w:rPr>
                <w:rFonts w:hint="eastAsia"/>
                <w:highlight w:val="none"/>
              </w:rPr>
              <w:t>信誉情况</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ascii="宋体" w:hAnsi="宋体"/>
                <w:szCs w:val="21"/>
                <w:highlight w:val="none"/>
              </w:rPr>
              <w:t>3</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rPr>
                <w:rFonts w:ascii="宋体" w:hAnsi="宋体" w:cs="宋体"/>
                <w:kern w:val="0"/>
                <w:szCs w:val="21"/>
                <w:highlight w:val="none"/>
              </w:rPr>
            </w:pPr>
            <w:r>
              <w:rPr>
                <w:rFonts w:hint="eastAsia" w:ascii="宋体" w:hAnsi="宋体" w:cs="宋体"/>
                <w:kern w:val="0"/>
                <w:szCs w:val="21"/>
                <w:highlight w:val="none"/>
              </w:rPr>
              <w:t>根据投标人2020</w:t>
            </w:r>
            <w:r>
              <w:rPr>
                <w:rFonts w:hint="eastAsia" w:ascii="宋体" w:hAnsi="宋体" w:cs="宋体"/>
                <w:kern w:val="0"/>
                <w:szCs w:val="21"/>
                <w:highlight w:val="none"/>
                <w:lang w:val="en-US" w:eastAsia="zh-CN"/>
              </w:rPr>
              <w:t>年及</w:t>
            </w:r>
            <w:r>
              <w:rPr>
                <w:rFonts w:hint="eastAsia" w:ascii="宋体" w:hAnsi="宋体" w:cs="宋体"/>
                <w:kern w:val="0"/>
                <w:szCs w:val="21"/>
                <w:highlight w:val="none"/>
              </w:rPr>
              <w:t>2021年获得会议活动主办方或上级主管单位或相关行业协会授予的感谢信、表扬信、证书、奖项等数量，每提交1份得1分，最高</w:t>
            </w:r>
            <w:r>
              <w:rPr>
                <w:rFonts w:ascii="宋体" w:hAnsi="宋体" w:cs="宋体"/>
                <w:kern w:val="0"/>
                <w:szCs w:val="21"/>
                <w:highlight w:val="none"/>
              </w:rPr>
              <w:t>3</w:t>
            </w:r>
            <w:r>
              <w:rPr>
                <w:rFonts w:hint="eastAsia" w:ascii="宋体" w:hAnsi="宋体" w:cs="宋体"/>
                <w:kern w:val="0"/>
                <w:szCs w:val="21"/>
                <w:highlight w:val="none"/>
              </w:rPr>
              <w:t>分。</w:t>
            </w:r>
          </w:p>
          <w:p>
            <w:pPr>
              <w:rPr>
                <w:rFonts w:ascii="宋体" w:hAnsi="宋体" w:cs="宋体"/>
                <w:kern w:val="0"/>
                <w:szCs w:val="21"/>
                <w:highlight w:val="none"/>
              </w:rPr>
            </w:pPr>
            <w:r>
              <w:rPr>
                <w:rFonts w:hint="eastAsia" w:ascii="宋体" w:hAnsi="宋体" w:cs="宋体"/>
                <w:kern w:val="0"/>
                <w:szCs w:val="21"/>
                <w:highlight w:val="none"/>
              </w:rPr>
              <w:t>说明：</w:t>
            </w:r>
          </w:p>
          <w:p>
            <w:pPr>
              <w:pStyle w:val="24"/>
              <w:numPr>
                <w:ilvl w:val="0"/>
                <w:numId w:val="37"/>
              </w:numPr>
              <w:ind w:firstLineChars="0"/>
              <w:rPr>
                <w:rFonts w:ascii="宋体" w:hAnsi="宋体" w:eastAsia="宋体" w:cs="宋体"/>
                <w:kern w:val="0"/>
                <w:szCs w:val="21"/>
                <w:highlight w:val="none"/>
              </w:rPr>
            </w:pPr>
            <w:r>
              <w:rPr>
                <w:rFonts w:hint="eastAsia" w:ascii="宋体" w:hAnsi="宋体" w:eastAsia="宋体" w:cs="宋体"/>
                <w:kern w:val="0"/>
                <w:szCs w:val="21"/>
                <w:highlight w:val="none"/>
              </w:rPr>
              <w:t>投标人须提供由会议活动案例中主办方或上级主管单位或相关行业协会授予的感谢信、表扬信、证书、奖项等证明文件。需提供以上荣誉情况汇总清单，以上文件均需加盖投标单位公章。</w:t>
            </w:r>
          </w:p>
          <w:p>
            <w:pPr>
              <w:pStyle w:val="24"/>
              <w:numPr>
                <w:ilvl w:val="0"/>
                <w:numId w:val="37"/>
              </w:numPr>
              <w:ind w:firstLineChars="0"/>
              <w:rPr>
                <w:rFonts w:ascii="宋体" w:hAnsi="宋体" w:eastAsia="宋体" w:cs="宋体"/>
                <w:kern w:val="0"/>
                <w:szCs w:val="21"/>
                <w:highlight w:val="none"/>
              </w:rPr>
            </w:pPr>
            <w:r>
              <w:rPr>
                <w:rFonts w:hint="eastAsia" w:ascii="宋体" w:hAnsi="宋体" w:eastAsia="宋体" w:cs="宋体"/>
                <w:kern w:val="0"/>
                <w:szCs w:val="21"/>
                <w:highlight w:val="none"/>
              </w:rPr>
              <w:t>同一项目且同一年份/届次的不同证明文件视作1份。</w:t>
            </w:r>
          </w:p>
          <w:p>
            <w:pPr>
              <w:pStyle w:val="24"/>
              <w:numPr>
                <w:ilvl w:val="0"/>
                <w:numId w:val="37"/>
              </w:numPr>
              <w:ind w:firstLineChars="0"/>
              <w:rPr>
                <w:rFonts w:ascii="宋体" w:hAnsi="宋体" w:cs="宋体"/>
                <w:kern w:val="0"/>
                <w:szCs w:val="21"/>
                <w:highlight w:val="none"/>
              </w:rPr>
            </w:pPr>
            <w:r>
              <w:rPr>
                <w:rFonts w:hint="eastAsia" w:ascii="宋体" w:hAnsi="宋体" w:eastAsia="宋体" w:cs="宋体"/>
                <w:kern w:val="0"/>
                <w:szCs w:val="21"/>
                <w:highlight w:val="none"/>
              </w:rPr>
              <w:t>未提供证明资料、未按要求提供资料的或提供的相关证明文件因不清晰、不完整等原因无法判断的均得0分。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highlight w:val="none"/>
              </w:rPr>
            </w:pPr>
          </w:p>
        </w:tc>
        <w:tc>
          <w:tcPr>
            <w:tcW w:w="8647" w:type="dxa"/>
            <w:gridSpan w:val="4"/>
            <w:tcMar>
              <w:top w:w="15" w:type="dxa"/>
              <w:left w:w="15" w:type="dxa"/>
              <w:bottom w:w="15" w:type="dxa"/>
              <w:right w:w="15" w:type="dxa"/>
            </w:tcMar>
            <w:vAlign w:val="center"/>
          </w:tcPr>
          <w:p>
            <w:pPr>
              <w:jc w:val="center"/>
              <w:rPr>
                <w:rFonts w:ascii="宋体" w:hAnsi="宋体"/>
                <w:b/>
                <w:szCs w:val="21"/>
                <w:highlight w:val="none"/>
              </w:rPr>
            </w:pPr>
            <w:r>
              <w:rPr>
                <w:rFonts w:hint="eastAsia" w:ascii="宋体" w:hAnsi="宋体"/>
                <w:b/>
                <w:szCs w:val="21"/>
                <w:highlight w:val="none"/>
              </w:rPr>
              <w:t>技术服务评议项（</w:t>
            </w:r>
            <w:r>
              <w:rPr>
                <w:rFonts w:hint="eastAsia" w:ascii="宋体" w:hAnsi="宋体"/>
                <w:szCs w:val="21"/>
                <w:highlight w:val="none"/>
              </w:rPr>
              <w:t>4</w:t>
            </w:r>
            <w:r>
              <w:rPr>
                <w:rFonts w:ascii="宋体" w:hAnsi="宋体"/>
                <w:szCs w:val="21"/>
                <w:highlight w:val="none"/>
              </w:rPr>
              <w:t>5</w:t>
            </w:r>
            <w:r>
              <w:rPr>
                <w:rFonts w:ascii="宋体" w:hAnsi="宋体"/>
                <w:b/>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4"/>
              <w:numPr>
                <w:ilvl w:val="0"/>
                <w:numId w:val="38"/>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kern w:val="0"/>
                <w:szCs w:val="21"/>
                <w:highlight w:val="none"/>
              </w:rPr>
              <w:t>服务方案</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ascii="宋体" w:hAnsi="宋体"/>
                <w:szCs w:val="21"/>
                <w:highlight w:val="none"/>
              </w:rPr>
              <w:t>20</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pStyle w:val="12"/>
              <w:rPr>
                <w:rFonts w:ascii="宋体" w:eastAsia="宋体" w:cs="宋体"/>
                <w:kern w:val="0"/>
                <w:szCs w:val="21"/>
                <w:highlight w:val="none"/>
              </w:rPr>
            </w:pPr>
            <w:r>
              <w:rPr>
                <w:rFonts w:hint="eastAsia" w:ascii="宋体" w:eastAsia="宋体" w:cs="宋体"/>
                <w:kern w:val="0"/>
                <w:szCs w:val="21"/>
                <w:highlight w:val="none"/>
              </w:rPr>
              <w:t>以下（1）+（2）合计为本项得分，最高</w:t>
            </w:r>
            <w:r>
              <w:rPr>
                <w:rFonts w:ascii="宋体" w:eastAsia="宋体" w:cs="宋体"/>
                <w:kern w:val="0"/>
                <w:szCs w:val="21"/>
                <w:highlight w:val="none"/>
              </w:rPr>
              <w:t>20</w:t>
            </w:r>
            <w:r>
              <w:rPr>
                <w:rFonts w:hint="eastAsia" w:ascii="宋体" w:eastAsia="宋体" w:cs="宋体"/>
                <w:kern w:val="0"/>
                <w:szCs w:val="21"/>
                <w:highlight w:val="none"/>
              </w:rPr>
              <w:t>分，参考评分要点如下：</w:t>
            </w:r>
          </w:p>
          <w:p>
            <w:pPr>
              <w:pStyle w:val="12"/>
              <w:numPr>
                <w:ilvl w:val="0"/>
                <w:numId w:val="39"/>
              </w:numPr>
              <w:rPr>
                <w:rFonts w:ascii="宋体" w:eastAsia="宋体" w:cs="宋体"/>
                <w:kern w:val="0"/>
                <w:szCs w:val="21"/>
                <w:highlight w:val="none"/>
              </w:rPr>
            </w:pPr>
            <w:r>
              <w:rPr>
                <w:rFonts w:hint="eastAsia" w:ascii="宋体" w:eastAsia="宋体" w:cs="宋体"/>
                <w:kern w:val="0"/>
                <w:szCs w:val="21"/>
                <w:highlight w:val="none"/>
              </w:rPr>
              <w:t>根据投标人提供的服务方案，会前、会中、会后各阶段工作步骤越完整、规划越合理，各环节执行细节越细致，越符合招标人的具体要求得分越高。优</w:t>
            </w:r>
            <w:r>
              <w:rPr>
                <w:rFonts w:ascii="宋体" w:eastAsia="宋体" w:cs="宋体"/>
                <w:kern w:val="0"/>
                <w:szCs w:val="21"/>
                <w:highlight w:val="none"/>
              </w:rPr>
              <w:t>9-12</w:t>
            </w:r>
            <w:r>
              <w:rPr>
                <w:rFonts w:hint="eastAsia" w:ascii="宋体" w:eastAsia="宋体" w:cs="宋体"/>
                <w:kern w:val="0"/>
                <w:szCs w:val="21"/>
                <w:highlight w:val="none"/>
              </w:rPr>
              <w:t>分、良</w:t>
            </w:r>
            <w:r>
              <w:rPr>
                <w:rFonts w:ascii="宋体" w:eastAsia="宋体" w:cs="宋体"/>
                <w:kern w:val="0"/>
                <w:szCs w:val="21"/>
                <w:highlight w:val="none"/>
              </w:rPr>
              <w:t>5-8</w:t>
            </w:r>
            <w:r>
              <w:rPr>
                <w:rFonts w:hint="eastAsia" w:ascii="宋体" w:eastAsia="宋体" w:cs="宋体"/>
                <w:kern w:val="0"/>
                <w:szCs w:val="21"/>
                <w:highlight w:val="none"/>
              </w:rPr>
              <w:t>分、一般1</w:t>
            </w:r>
            <w:r>
              <w:rPr>
                <w:rFonts w:ascii="宋体" w:eastAsia="宋体" w:cs="宋体"/>
                <w:kern w:val="0"/>
                <w:szCs w:val="21"/>
                <w:highlight w:val="none"/>
              </w:rPr>
              <w:t>-4</w:t>
            </w:r>
            <w:r>
              <w:rPr>
                <w:rFonts w:hint="eastAsia" w:ascii="宋体" w:eastAsia="宋体" w:cs="宋体"/>
                <w:kern w:val="0"/>
                <w:szCs w:val="21"/>
                <w:highlight w:val="none"/>
              </w:rPr>
              <w:t>、差或缺失不得分。</w:t>
            </w:r>
          </w:p>
          <w:p>
            <w:pPr>
              <w:pStyle w:val="12"/>
              <w:numPr>
                <w:ilvl w:val="0"/>
                <w:numId w:val="39"/>
              </w:numPr>
              <w:rPr>
                <w:rFonts w:ascii="宋体" w:eastAsia="宋体" w:cs="宋体"/>
                <w:kern w:val="0"/>
                <w:szCs w:val="21"/>
                <w:highlight w:val="none"/>
              </w:rPr>
            </w:pPr>
            <w:r>
              <w:rPr>
                <w:rFonts w:hint="eastAsia" w:ascii="宋体" w:eastAsia="宋体" w:cs="宋体"/>
                <w:kern w:val="0"/>
                <w:szCs w:val="21"/>
                <w:highlight w:val="none"/>
              </w:rPr>
              <w:t>根据投标人服务方案的时间进度规划情况打分，时间进度越清晰，安排越合理，越符合招标人的具体要求得分越高。优</w:t>
            </w:r>
            <w:r>
              <w:rPr>
                <w:rFonts w:ascii="宋体" w:eastAsia="宋体" w:cs="宋体"/>
                <w:kern w:val="0"/>
                <w:szCs w:val="21"/>
                <w:highlight w:val="none"/>
              </w:rPr>
              <w:t>6-8</w:t>
            </w:r>
            <w:r>
              <w:rPr>
                <w:rFonts w:hint="eastAsia" w:ascii="宋体" w:eastAsia="宋体" w:cs="宋体"/>
                <w:kern w:val="0"/>
                <w:szCs w:val="21"/>
                <w:highlight w:val="none"/>
              </w:rPr>
              <w:t>分、良3</w:t>
            </w:r>
            <w:r>
              <w:rPr>
                <w:rFonts w:ascii="宋体" w:eastAsia="宋体" w:cs="宋体"/>
                <w:kern w:val="0"/>
                <w:szCs w:val="21"/>
                <w:highlight w:val="none"/>
              </w:rPr>
              <w:t>-5</w:t>
            </w:r>
            <w:r>
              <w:rPr>
                <w:rFonts w:hint="eastAsia" w:ascii="宋体" w:eastAsia="宋体" w:cs="宋体"/>
                <w:kern w:val="0"/>
                <w:szCs w:val="21"/>
                <w:highlight w:val="none"/>
              </w:rPr>
              <w:t>分、一般</w:t>
            </w:r>
            <w:r>
              <w:rPr>
                <w:rFonts w:ascii="宋体" w:eastAsia="宋体" w:cs="宋体"/>
                <w:kern w:val="0"/>
                <w:szCs w:val="21"/>
                <w:highlight w:val="none"/>
              </w:rPr>
              <w:t>1-2</w:t>
            </w:r>
            <w:r>
              <w:rPr>
                <w:rFonts w:hint="eastAsia" w:ascii="宋体" w:eastAsia="宋体" w:cs="宋体"/>
                <w:kern w:val="0"/>
                <w:szCs w:val="21"/>
                <w:highlight w:val="none"/>
              </w:rPr>
              <w:t>分、差或缺失不得分。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4"/>
              <w:numPr>
                <w:ilvl w:val="0"/>
                <w:numId w:val="38"/>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szCs w:val="21"/>
                <w:highlight w:val="none"/>
              </w:rPr>
              <w:t>项目团队</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ascii="宋体" w:hAnsi="宋体"/>
                <w:szCs w:val="21"/>
                <w:highlight w:val="none"/>
              </w:rPr>
              <w:t>13</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jc w:val="left"/>
              <w:rPr>
                <w:rFonts w:ascii="宋体" w:hAnsi="宋体"/>
                <w:highlight w:val="none"/>
              </w:rPr>
            </w:pPr>
            <w:r>
              <w:rPr>
                <w:rFonts w:hint="eastAsia" w:ascii="宋体" w:hAnsi="宋体"/>
                <w:highlight w:val="none"/>
              </w:rPr>
              <w:t>根据为本项目配备的负责人及整体团队配备情况综合比较进行评分，以下（1）+（2）合计为本项得分，最高</w:t>
            </w:r>
            <w:r>
              <w:rPr>
                <w:rFonts w:ascii="宋体" w:hAnsi="宋体"/>
                <w:highlight w:val="none"/>
              </w:rPr>
              <w:t>13</w:t>
            </w:r>
            <w:r>
              <w:rPr>
                <w:rFonts w:hint="eastAsia" w:ascii="宋体" w:hAnsi="宋体"/>
                <w:highlight w:val="none"/>
              </w:rPr>
              <w:t>分，参考评分要点如下：</w:t>
            </w:r>
          </w:p>
          <w:p>
            <w:pPr>
              <w:pStyle w:val="24"/>
              <w:numPr>
                <w:ilvl w:val="0"/>
                <w:numId w:val="40"/>
              </w:numPr>
              <w:ind w:firstLineChars="0"/>
              <w:jc w:val="left"/>
              <w:rPr>
                <w:rFonts w:ascii="宋体" w:hAnsi="宋体" w:eastAsia="宋体"/>
                <w:highlight w:val="none"/>
              </w:rPr>
            </w:pPr>
            <w:r>
              <w:rPr>
                <w:rFonts w:hint="eastAsia" w:ascii="宋体" w:hAnsi="宋体" w:eastAsia="宋体" w:cs="宋体"/>
                <w:szCs w:val="21"/>
                <w:highlight w:val="none"/>
              </w:rPr>
              <w:t>根据投标人为本项目指定的项目负责人的工作年限、相关经验以及管理过的典型项目案例与本项目的匹配度等进行综合比较，优得4</w:t>
            </w:r>
            <w:r>
              <w:rPr>
                <w:rFonts w:ascii="宋体" w:hAnsi="宋体" w:eastAsia="宋体" w:cs="宋体"/>
                <w:szCs w:val="21"/>
                <w:highlight w:val="none"/>
              </w:rPr>
              <w:t>-5</w:t>
            </w:r>
            <w:r>
              <w:rPr>
                <w:rFonts w:hint="eastAsia" w:ascii="宋体" w:hAnsi="宋体" w:eastAsia="宋体" w:cs="宋体"/>
                <w:szCs w:val="21"/>
                <w:highlight w:val="none"/>
              </w:rPr>
              <w:t>分，良好得</w:t>
            </w:r>
            <w:r>
              <w:rPr>
                <w:rFonts w:ascii="宋体" w:hAnsi="宋体" w:eastAsia="宋体" w:cs="宋体"/>
                <w:szCs w:val="21"/>
                <w:highlight w:val="none"/>
              </w:rPr>
              <w:t>2-3</w:t>
            </w:r>
            <w:r>
              <w:rPr>
                <w:rFonts w:hint="eastAsia" w:ascii="宋体" w:hAnsi="宋体" w:eastAsia="宋体" w:cs="宋体"/>
                <w:szCs w:val="21"/>
                <w:highlight w:val="none"/>
              </w:rPr>
              <w:t>分，一般得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eastAsia="宋体" w:cs="宋体"/>
                <w:kern w:val="0"/>
                <w:szCs w:val="21"/>
                <w:highlight w:val="none"/>
              </w:rPr>
              <w:t>差或缺失不得分</w:t>
            </w:r>
            <w:r>
              <w:rPr>
                <w:rFonts w:hint="eastAsia" w:ascii="宋体" w:hAnsi="宋体" w:eastAsia="宋体" w:cs="宋体"/>
                <w:szCs w:val="21"/>
                <w:highlight w:val="none"/>
              </w:rPr>
              <w:t>。</w:t>
            </w:r>
          </w:p>
          <w:p>
            <w:pPr>
              <w:pStyle w:val="24"/>
              <w:numPr>
                <w:ilvl w:val="0"/>
                <w:numId w:val="40"/>
              </w:numPr>
              <w:ind w:firstLineChars="0"/>
              <w:jc w:val="left"/>
              <w:rPr>
                <w:rFonts w:ascii="宋体" w:hAnsi="宋体" w:eastAsia="宋体"/>
                <w:highlight w:val="none"/>
              </w:rPr>
            </w:pPr>
            <w:r>
              <w:rPr>
                <w:rFonts w:hint="eastAsia" w:ascii="宋体" w:hAnsi="宋体" w:eastAsia="宋体"/>
                <w:highlight w:val="none"/>
              </w:rPr>
              <w:t>根据投标人拟派的核心团队人员（含负责人不得少于5人）和</w:t>
            </w:r>
            <w:r>
              <w:rPr>
                <w:rFonts w:hint="eastAsia" w:ascii="宋体" w:hAnsi="宋体" w:eastAsia="宋体"/>
                <w:szCs w:val="21"/>
                <w:highlight w:val="none"/>
              </w:rPr>
              <w:t>会期志愿者的数量</w:t>
            </w:r>
            <w:r>
              <w:rPr>
                <w:rFonts w:hint="eastAsia" w:ascii="宋体" w:hAnsi="宋体" w:eastAsia="宋体"/>
                <w:highlight w:val="none"/>
              </w:rPr>
              <w:t>、岗位设置、责任分配的合理性进行综合比较，优得</w:t>
            </w:r>
            <w:r>
              <w:rPr>
                <w:rFonts w:ascii="宋体" w:hAnsi="宋体" w:eastAsia="宋体"/>
                <w:highlight w:val="none"/>
              </w:rPr>
              <w:t>6-8</w:t>
            </w:r>
            <w:r>
              <w:rPr>
                <w:rFonts w:hint="eastAsia" w:ascii="宋体" w:hAnsi="宋体" w:eastAsia="宋体"/>
                <w:highlight w:val="none"/>
              </w:rPr>
              <w:t>分，</w:t>
            </w:r>
            <w:r>
              <w:rPr>
                <w:rFonts w:hint="eastAsia" w:ascii="宋体" w:hAnsi="宋体" w:eastAsia="宋体" w:cs="宋体"/>
                <w:kern w:val="0"/>
                <w:szCs w:val="21"/>
                <w:highlight w:val="none"/>
              </w:rPr>
              <w:t>良好</w:t>
            </w:r>
            <w:r>
              <w:rPr>
                <w:rFonts w:hint="eastAsia" w:ascii="宋体" w:hAnsi="宋体" w:eastAsia="宋体"/>
                <w:highlight w:val="none"/>
              </w:rPr>
              <w:t>得</w:t>
            </w:r>
            <w:r>
              <w:rPr>
                <w:rFonts w:ascii="宋体" w:hAnsi="宋体" w:eastAsia="宋体"/>
                <w:highlight w:val="none"/>
              </w:rPr>
              <w:t>3-5</w:t>
            </w:r>
            <w:r>
              <w:rPr>
                <w:rFonts w:hint="eastAsia" w:ascii="宋体" w:hAnsi="宋体" w:eastAsia="宋体"/>
                <w:highlight w:val="none"/>
              </w:rPr>
              <w:t>分，一般得</w:t>
            </w:r>
            <w:r>
              <w:rPr>
                <w:rFonts w:ascii="宋体" w:hAnsi="宋体" w:eastAsia="宋体"/>
                <w:highlight w:val="none"/>
              </w:rPr>
              <w:t>1-2</w:t>
            </w:r>
            <w:r>
              <w:rPr>
                <w:rFonts w:hint="eastAsia" w:ascii="宋体" w:hAnsi="宋体" w:eastAsia="宋体"/>
                <w:highlight w:val="none"/>
              </w:rPr>
              <w:t>分，不符合项目要求或缺失不得分。</w:t>
            </w:r>
          </w:p>
          <w:p>
            <w:pPr>
              <w:jc w:val="left"/>
              <w:rPr>
                <w:rFonts w:ascii="宋体" w:hAnsi="宋体"/>
                <w:highlight w:val="none"/>
              </w:rPr>
            </w:pPr>
            <w:r>
              <w:rPr>
                <w:rFonts w:hint="eastAsia" w:ascii="宋体" w:hAnsi="宋体"/>
                <w:highlight w:val="none"/>
              </w:rPr>
              <w:t>说明：</w:t>
            </w:r>
          </w:p>
          <w:p>
            <w:pPr>
              <w:pStyle w:val="24"/>
              <w:numPr>
                <w:ilvl w:val="0"/>
                <w:numId w:val="41"/>
              </w:numPr>
              <w:ind w:firstLineChars="0"/>
              <w:jc w:val="left"/>
              <w:rPr>
                <w:rFonts w:ascii="宋体" w:hAnsi="宋体" w:eastAsia="宋体"/>
                <w:highlight w:val="none"/>
              </w:rPr>
            </w:pPr>
            <w:r>
              <w:rPr>
                <w:rFonts w:hint="eastAsia" w:ascii="宋体" w:hAnsi="宋体" w:eastAsia="宋体" w:cs="宋体"/>
                <w:kern w:val="0"/>
                <w:szCs w:val="21"/>
                <w:highlight w:val="none"/>
              </w:rPr>
              <w:t>投标人需提供所指定的本项目负责人的相关资历经验的证明文件（包括但不仅限于姓名、职务、身份证、工作履历、由投标人所购买的近三个月社保清单证明或与投标人签署的有效劳务合同关键页复印件等）</w:t>
            </w:r>
            <w:r>
              <w:rPr>
                <w:rFonts w:hint="eastAsia" w:ascii="宋体" w:hAnsi="宋体" w:eastAsia="宋体" w:cs="宋体"/>
                <w:szCs w:val="21"/>
                <w:highlight w:val="none"/>
              </w:rPr>
              <w:t>并加盖投标人公章。</w:t>
            </w:r>
          </w:p>
          <w:p>
            <w:pPr>
              <w:pStyle w:val="24"/>
              <w:numPr>
                <w:ilvl w:val="0"/>
                <w:numId w:val="41"/>
              </w:numPr>
              <w:ind w:firstLineChars="0"/>
              <w:jc w:val="left"/>
              <w:rPr>
                <w:rFonts w:ascii="宋体" w:hAnsi="宋体" w:eastAsia="宋体"/>
                <w:highlight w:val="none"/>
              </w:rPr>
            </w:pPr>
            <w:r>
              <w:rPr>
                <w:rFonts w:hint="eastAsia" w:ascii="宋体" w:hAnsi="宋体" w:eastAsia="宋体"/>
                <w:highlight w:val="none"/>
              </w:rPr>
              <w:t>投标人须根据本项目需求提供详细、可行的人员分配方案。核心团队成员提供名单及岗位配置；会期志愿者可根据岗位提供数量分配。</w:t>
            </w:r>
          </w:p>
          <w:p>
            <w:pPr>
              <w:pStyle w:val="24"/>
              <w:numPr>
                <w:ilvl w:val="0"/>
                <w:numId w:val="41"/>
              </w:numPr>
              <w:ind w:firstLineChars="0"/>
              <w:jc w:val="left"/>
              <w:rPr>
                <w:rFonts w:ascii="宋体" w:hAnsi="宋体" w:eastAsia="宋体"/>
                <w:highlight w:val="none"/>
              </w:rPr>
            </w:pPr>
            <w:r>
              <w:rPr>
                <w:rFonts w:hint="eastAsia" w:ascii="宋体" w:hAnsi="宋体" w:eastAsia="宋体" w:cs="宋体"/>
                <w:szCs w:val="21"/>
                <w:highlight w:val="none"/>
              </w:rPr>
              <w:t>未提供有效证明文件或证明文件不清晰无法辨识评审内容的不得分。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4"/>
              <w:numPr>
                <w:ilvl w:val="0"/>
                <w:numId w:val="38"/>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highlight w:val="none"/>
              </w:rPr>
            </w:pPr>
            <w:r>
              <w:rPr>
                <w:rFonts w:hint="eastAsia"/>
                <w:highlight w:val="none"/>
              </w:rPr>
              <w:t>应急预案及服务承诺</w:t>
            </w:r>
          </w:p>
        </w:tc>
        <w:tc>
          <w:tcPr>
            <w:tcW w:w="709" w:type="dxa"/>
            <w:tcMar>
              <w:top w:w="15" w:type="dxa"/>
              <w:left w:w="15" w:type="dxa"/>
              <w:bottom w:w="15" w:type="dxa"/>
              <w:right w:w="15" w:type="dxa"/>
            </w:tcMar>
            <w:vAlign w:val="center"/>
          </w:tcPr>
          <w:p>
            <w:pPr>
              <w:jc w:val="center"/>
              <w:rPr>
                <w:rFonts w:ascii="宋体" w:hAnsi="宋体"/>
                <w:szCs w:val="21"/>
                <w:highlight w:val="none"/>
              </w:rPr>
            </w:pPr>
            <w:r>
              <w:rPr>
                <w:rFonts w:ascii="宋体" w:hAnsi="宋体"/>
                <w:szCs w:val="21"/>
                <w:highlight w:val="none"/>
              </w:rPr>
              <w:t>12</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widowControl/>
              <w:ind w:right="30"/>
              <w:jc w:val="left"/>
              <w:rPr>
                <w:rFonts w:ascii="宋体" w:hAnsi="宋体" w:cs="宋体"/>
                <w:kern w:val="0"/>
                <w:szCs w:val="21"/>
                <w:highlight w:val="none"/>
              </w:rPr>
            </w:pPr>
            <w:r>
              <w:rPr>
                <w:rFonts w:hint="eastAsia" w:ascii="宋体" w:hAnsi="宋体"/>
                <w:highlight w:val="none"/>
              </w:rPr>
              <w:t>根据投标人提供的应急预案及服务承诺情况综合比较进行评分，以下（1）+（2）合计为本项得分，最高</w:t>
            </w:r>
            <w:r>
              <w:rPr>
                <w:rFonts w:ascii="宋体" w:hAnsi="宋体"/>
                <w:highlight w:val="none"/>
              </w:rPr>
              <w:t>12</w:t>
            </w:r>
            <w:r>
              <w:rPr>
                <w:rFonts w:hint="eastAsia" w:ascii="宋体" w:hAnsi="宋体"/>
                <w:highlight w:val="none"/>
              </w:rPr>
              <w:t>分，参考评分要点如下：</w:t>
            </w:r>
          </w:p>
          <w:p>
            <w:pPr>
              <w:pStyle w:val="24"/>
              <w:widowControl/>
              <w:numPr>
                <w:ilvl w:val="0"/>
                <w:numId w:val="42"/>
              </w:numPr>
              <w:ind w:right="30"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根据应急预案中疫情防控措施、突发事件应对措施、安全与保卫措施等要点，以全面性、合理性、可行性为依据，优秀得</w:t>
            </w:r>
            <w:r>
              <w:rPr>
                <w:rFonts w:ascii="宋体" w:hAnsi="宋体" w:eastAsia="宋体" w:cs="宋体"/>
                <w:kern w:val="0"/>
                <w:szCs w:val="21"/>
                <w:highlight w:val="none"/>
              </w:rPr>
              <w:t>5-7</w:t>
            </w:r>
            <w:r>
              <w:rPr>
                <w:rFonts w:hint="eastAsia" w:ascii="宋体" w:hAnsi="宋体" w:eastAsia="宋体" w:cs="宋体"/>
                <w:kern w:val="0"/>
                <w:szCs w:val="21"/>
                <w:highlight w:val="none"/>
              </w:rPr>
              <w:t>分，良得</w:t>
            </w:r>
            <w:r>
              <w:rPr>
                <w:rFonts w:ascii="宋体" w:hAnsi="宋体" w:eastAsia="宋体" w:cs="宋体"/>
                <w:kern w:val="0"/>
                <w:szCs w:val="21"/>
                <w:highlight w:val="none"/>
              </w:rPr>
              <w:t>3-4</w:t>
            </w:r>
            <w:r>
              <w:rPr>
                <w:rFonts w:hint="eastAsia" w:ascii="宋体" w:hAnsi="宋体" w:eastAsia="宋体" w:cs="宋体"/>
                <w:kern w:val="0"/>
                <w:szCs w:val="21"/>
                <w:highlight w:val="none"/>
              </w:rPr>
              <w:t>分，一般得</w:t>
            </w:r>
            <w:r>
              <w:rPr>
                <w:rFonts w:ascii="宋体" w:hAnsi="宋体" w:eastAsia="宋体" w:cs="宋体"/>
                <w:kern w:val="0"/>
                <w:szCs w:val="21"/>
                <w:highlight w:val="none"/>
              </w:rPr>
              <w:t>1-2</w:t>
            </w:r>
            <w:r>
              <w:rPr>
                <w:rFonts w:hint="eastAsia" w:ascii="宋体" w:hAnsi="宋体" w:eastAsia="宋体" w:cs="宋体"/>
                <w:kern w:val="0"/>
                <w:szCs w:val="21"/>
                <w:highlight w:val="none"/>
              </w:rPr>
              <w:t>分，差或未提及不得分。</w:t>
            </w:r>
          </w:p>
          <w:p>
            <w:pPr>
              <w:pStyle w:val="24"/>
              <w:widowControl/>
              <w:numPr>
                <w:ilvl w:val="0"/>
                <w:numId w:val="42"/>
              </w:numPr>
              <w:ind w:right="30"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根据招标人承诺的服务进行综合评议，承诺内容越全面，响应度越高，得分越高：优秀得</w:t>
            </w:r>
            <w:r>
              <w:rPr>
                <w:rFonts w:ascii="宋体" w:hAnsi="宋体" w:eastAsia="宋体" w:cs="宋体"/>
                <w:kern w:val="0"/>
                <w:szCs w:val="21"/>
                <w:highlight w:val="none"/>
              </w:rPr>
              <w:t>4-5</w:t>
            </w:r>
            <w:r>
              <w:rPr>
                <w:rFonts w:hint="eastAsia" w:ascii="宋体" w:hAnsi="宋体" w:eastAsia="宋体" w:cs="宋体"/>
                <w:kern w:val="0"/>
                <w:szCs w:val="21"/>
                <w:highlight w:val="none"/>
              </w:rPr>
              <w:t>分，良好得</w:t>
            </w:r>
            <w:r>
              <w:rPr>
                <w:rFonts w:ascii="宋体" w:hAnsi="宋体" w:eastAsia="宋体" w:cs="宋体"/>
                <w:kern w:val="0"/>
                <w:szCs w:val="21"/>
                <w:highlight w:val="none"/>
              </w:rPr>
              <w:t>2-3</w:t>
            </w:r>
            <w:r>
              <w:rPr>
                <w:rFonts w:hint="eastAsia" w:ascii="宋体" w:hAnsi="宋体" w:eastAsia="宋体" w:cs="宋体"/>
                <w:kern w:val="0"/>
                <w:szCs w:val="21"/>
                <w:highlight w:val="none"/>
              </w:rPr>
              <w:t>分，一般得</w:t>
            </w:r>
            <w:r>
              <w:rPr>
                <w:rFonts w:ascii="宋体" w:hAnsi="宋体" w:eastAsia="宋体" w:cs="宋体"/>
                <w:kern w:val="0"/>
                <w:szCs w:val="21"/>
                <w:highlight w:val="none"/>
              </w:rPr>
              <w:t>1</w:t>
            </w:r>
            <w:r>
              <w:rPr>
                <w:rFonts w:hint="eastAsia" w:ascii="宋体" w:hAnsi="宋体" w:eastAsia="宋体" w:cs="宋体"/>
                <w:kern w:val="0"/>
                <w:szCs w:val="21"/>
                <w:highlight w:val="none"/>
              </w:rPr>
              <w:t>分，差或未提及不得分。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351" w:type="dxa"/>
            <w:gridSpan w:val="5"/>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w:t>
            </w:r>
            <w:r>
              <w:rPr>
                <w:rFonts w:ascii="宋体" w:hAnsi="宋体"/>
                <w:szCs w:val="21"/>
              </w:rPr>
              <w:t>30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t>投标人报价是指投标净价金额（即未税报价）。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vAlign w:val="center"/>
          </w:tcPr>
          <w:p>
            <w:pPr>
              <w:autoSpaceDE w:val="0"/>
              <w:autoSpaceDN w:val="0"/>
              <w:adjustRightInd w:val="0"/>
              <w:snapToGrid w:val="0"/>
              <w:jc w:val="left"/>
              <w:rPr>
                <w:rStyle w:val="21"/>
                <w:rFonts w:ascii="宋体" w:hAnsi="宋体"/>
              </w:rPr>
            </w:pPr>
            <w:r>
              <w:rPr>
                <w:rStyle w:val="21"/>
                <w:rFonts w:hint="eastAsia" w:ascii="宋体" w:hAnsi="宋体"/>
              </w:rPr>
              <w:t>价格得分=（1-A×｜1-投标报价/Z｜）×M</w:t>
            </w:r>
          </w:p>
          <w:p>
            <w:pPr>
              <w:numPr>
                <w:ilvl w:val="0"/>
                <w:numId w:val="43"/>
              </w:numPr>
              <w:autoSpaceDE w:val="0"/>
              <w:autoSpaceDN w:val="0"/>
              <w:adjustRightInd w:val="0"/>
              <w:snapToGrid w:val="0"/>
              <w:jc w:val="left"/>
              <w:rPr>
                <w:rStyle w:val="21"/>
                <w:rFonts w:ascii="宋体" w:hAnsi="宋体"/>
              </w:rPr>
            </w:pPr>
            <w:r>
              <w:rPr>
                <w:rStyle w:val="21"/>
                <w:rFonts w:hint="eastAsia" w:ascii="宋体" w:hAnsi="宋体"/>
              </w:rPr>
              <w:t xml:space="preserve">M= </w:t>
            </w:r>
            <w:r>
              <w:rPr>
                <w:rFonts w:hint="eastAsia" w:ascii="宋体" w:hAnsi="宋体"/>
                <w:szCs w:val="21"/>
              </w:rPr>
              <w:t>××</w:t>
            </w:r>
            <w:r>
              <w:rPr>
                <w:rStyle w:val="21"/>
                <w:rFonts w:hint="eastAsia" w:ascii="宋体" w:hAnsi="宋体"/>
              </w:rPr>
              <w:t xml:space="preserve"> （价格评价分项满分值），Z为本次招标最佳报价（即基准价）；</w:t>
            </w:r>
          </w:p>
          <w:p>
            <w:pPr>
              <w:numPr>
                <w:ilvl w:val="0"/>
                <w:numId w:val="43"/>
              </w:numPr>
              <w:autoSpaceDE w:val="0"/>
              <w:autoSpaceDN w:val="0"/>
              <w:adjustRightInd w:val="0"/>
              <w:snapToGrid w:val="0"/>
              <w:jc w:val="left"/>
              <w:rPr>
                <w:rStyle w:val="21"/>
                <w:rFonts w:ascii="宋体" w:hAnsi="宋体"/>
              </w:rPr>
            </w:pPr>
            <w:r>
              <w:rPr>
                <w:rStyle w:val="21"/>
                <w:rFonts w:hint="eastAsia" w:ascii="宋体" w:hAnsi="宋体"/>
              </w:rPr>
              <w:t>A为价格调整系数，当投标报价低于本次招标最佳报价（即基准价）时，A=0.5；当投标报价高于次招标最佳报价时，取A=1；</w:t>
            </w:r>
          </w:p>
          <w:p>
            <w:pPr>
              <w:numPr>
                <w:ilvl w:val="0"/>
                <w:numId w:val="43"/>
              </w:numPr>
              <w:jc w:val="left"/>
              <w:rPr>
                <w:rFonts w:ascii="宋体" w:cs="宋体"/>
                <w:kern w:val="0"/>
                <w:szCs w:val="21"/>
              </w:rPr>
            </w:pPr>
            <w:r>
              <w:rPr>
                <w:rStyle w:val="21"/>
                <w:rFonts w:hint="eastAsia" w:ascii="宋体" w:hAnsi="宋体"/>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240" w:lineRule="atLeast"/>
              <w:jc w:val="center"/>
              <w:rPr>
                <w:rFonts w:ascii="宋体" w:cs="宋体"/>
                <w:kern w:val="0"/>
                <w:szCs w:val="21"/>
              </w:rPr>
            </w:pPr>
            <w:r>
              <w:rPr>
                <w:rFonts w:hint="eastAsia" w:ascii="宋体" w:hAnsi="宋体" w:cs="宋体"/>
                <w:kern w:val="0"/>
                <w:szCs w:val="21"/>
              </w:rPr>
              <w:t>说明：报价最接近基准价的投标人价格分最高，价格分保留至小数点后两位。</w:t>
            </w:r>
          </w:p>
        </w:tc>
      </w:tr>
    </w:tbl>
    <w:p>
      <w:pPr>
        <w:numPr>
          <w:ilvl w:val="0"/>
          <w:numId w:val="32"/>
        </w:numPr>
        <w:spacing w:before="936" w:beforeLines="300" w:line="360" w:lineRule="auto"/>
        <w:jc w:val="left"/>
        <w:outlineLvl w:val="2"/>
        <w:rPr>
          <w:rStyle w:val="31"/>
          <w:rFonts w:ascii="宋体" w:hAnsi="宋体"/>
          <w:b/>
          <w:bCs/>
          <w:szCs w:val="21"/>
        </w:rPr>
      </w:pPr>
      <w:bookmarkStart w:id="58" w:name="_Toc106791265"/>
      <w:r>
        <w:rPr>
          <w:rStyle w:val="31"/>
          <w:rFonts w:hint="eastAsia" w:ascii="宋体" w:hAnsi="宋体"/>
          <w:b/>
          <w:bCs/>
          <w:szCs w:val="21"/>
        </w:rPr>
        <w:t>综合评议指标表</w:t>
      </w:r>
      <w:bookmarkEnd w:id="58"/>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4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4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9" w:name="_Toc106791266"/>
      <w:r>
        <w:rPr>
          <w:rFonts w:hint="eastAsia" w:ascii="宋体" w:hAnsi="宋体"/>
          <w:b/>
          <w:sz w:val="32"/>
          <w:szCs w:val="32"/>
        </w:rPr>
        <w:t>第四部分：合同条款及格式</w:t>
      </w:r>
      <w:bookmarkEnd w:id="59"/>
    </w:p>
    <w:p>
      <w:pPr>
        <w:jc w:val="center"/>
        <w:rPr>
          <w:rFonts w:ascii="方正小标宋简体" w:hAnsi="方正小标宋简体" w:eastAsia="方正小标宋简体" w:cs="方正小标宋简体"/>
          <w:bCs/>
          <w:kern w:val="0"/>
          <w:sz w:val="28"/>
          <w:szCs w:val="28"/>
        </w:rPr>
      </w:pPr>
    </w:p>
    <w:p>
      <w:pPr>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深圳会展中心2</w:t>
      </w:r>
      <w:r>
        <w:rPr>
          <w:rFonts w:ascii="方正小标宋简体" w:hAnsi="宋体" w:eastAsia="方正小标宋简体"/>
          <w:b/>
          <w:bCs/>
          <w:sz w:val="36"/>
          <w:szCs w:val="36"/>
        </w:rPr>
        <w:t>022-2024</w:t>
      </w:r>
      <w:r>
        <w:rPr>
          <w:rFonts w:hint="eastAsia" w:ascii="方正小标宋简体" w:hAnsi="宋体" w:eastAsia="方正小标宋简体"/>
          <w:b/>
          <w:bCs/>
          <w:sz w:val="36"/>
          <w:szCs w:val="36"/>
        </w:rPr>
        <w:t>年度高交会</w:t>
      </w:r>
    </w:p>
    <w:p>
      <w:pPr>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中国高新技术论坛会务服务合作协议</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pStyle w:val="12"/>
      </w:pPr>
    </w:p>
    <w:p>
      <w:pPr>
        <w:pStyle w:val="12"/>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12"/>
              <w:rPr>
                <w:rFonts w:ascii="宋体" w:eastAsia="宋体"/>
                <w:szCs w:val="21"/>
              </w:rPr>
            </w:pPr>
            <w:r>
              <w:rPr>
                <w:rFonts w:hint="eastAsia" w:ascii="宋体" w:eastAsia="宋体"/>
                <w:szCs w:val="21"/>
              </w:rPr>
              <w:t>甲方（公章）：深圳会展中心管理有限责任公司</w:t>
            </w:r>
          </w:p>
          <w:p>
            <w:pPr>
              <w:pStyle w:val="12"/>
              <w:rPr>
                <w:rFonts w:ascii="宋体" w:eastAsia="宋体"/>
                <w:szCs w:val="21"/>
                <w:u w:val="single"/>
              </w:rPr>
            </w:pPr>
            <w:r>
              <w:rPr>
                <w:rFonts w:hint="eastAsia" w:ascii="宋体" w:eastAsia="宋体"/>
                <w:szCs w:val="21"/>
              </w:rPr>
              <w:t>甲方代表：</w:t>
            </w:r>
            <w:r>
              <w:rPr>
                <w:rFonts w:ascii="宋体" w:eastAsia="宋体"/>
                <w:szCs w:val="21"/>
                <w:u w:val="single"/>
              </w:rPr>
              <w:t xml:space="preserve">                  </w:t>
            </w:r>
          </w:p>
          <w:p>
            <w:pPr>
              <w:pStyle w:val="12"/>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12"/>
              <w:rPr>
                <w:rFonts w:ascii="宋体" w:eastAsia="宋体"/>
              </w:rPr>
            </w:pPr>
          </w:p>
        </w:tc>
        <w:tc>
          <w:tcPr>
            <w:tcW w:w="3334" w:type="dxa"/>
          </w:tcPr>
          <w:p>
            <w:pPr>
              <w:pStyle w:val="12"/>
              <w:rPr>
                <w:rFonts w:ascii="宋体" w:eastAsia="宋体"/>
                <w:szCs w:val="21"/>
                <w:u w:val="single"/>
              </w:rPr>
            </w:pPr>
            <w:r>
              <w:rPr>
                <w:rFonts w:hint="eastAsia" w:ascii="宋体" w:eastAsia="宋体"/>
                <w:szCs w:val="21"/>
              </w:rPr>
              <w:t>乙方（公章）：</w:t>
            </w:r>
            <w:r>
              <w:rPr>
                <w:rFonts w:ascii="宋体" w:eastAsia="宋体"/>
                <w:szCs w:val="21"/>
                <w:u w:val="single"/>
              </w:rPr>
              <w:t xml:space="preserve">         </w:t>
            </w:r>
            <w:r>
              <w:rPr>
                <w:rFonts w:hint="eastAsia" w:ascii="宋体" w:eastAsia="宋体"/>
                <w:szCs w:val="21"/>
                <w:u w:val="single"/>
              </w:rPr>
              <w:t xml:space="preserve">    </w:t>
            </w:r>
            <w:r>
              <w:rPr>
                <w:rFonts w:ascii="宋体" w:eastAsia="宋体"/>
                <w:szCs w:val="21"/>
                <w:u w:val="single"/>
              </w:rPr>
              <w:t xml:space="preserve">         </w:t>
            </w:r>
          </w:p>
          <w:p>
            <w:pPr>
              <w:pStyle w:val="12"/>
              <w:rPr>
                <w:rFonts w:ascii="宋体" w:eastAsia="宋体"/>
                <w:szCs w:val="21"/>
                <w:u w:val="single"/>
              </w:rPr>
            </w:pPr>
            <w:r>
              <w:rPr>
                <w:rFonts w:hint="eastAsia" w:ascii="宋体" w:eastAsia="宋体"/>
                <w:szCs w:val="21"/>
              </w:rPr>
              <w:t>乙方代表：</w:t>
            </w:r>
            <w:r>
              <w:rPr>
                <w:rFonts w:ascii="宋体" w:eastAsia="宋体"/>
                <w:szCs w:val="21"/>
                <w:u w:val="single"/>
              </w:rPr>
              <w:t xml:space="preserve">                  </w:t>
            </w:r>
          </w:p>
          <w:p>
            <w:pPr>
              <w:pStyle w:val="12"/>
              <w:rPr>
                <w:rFonts w:ascii="宋体" w:eastAsia="宋体"/>
                <w:szCs w:val="21"/>
                <w:u w:val="single"/>
              </w:rPr>
            </w:pPr>
            <w:r>
              <w:rPr>
                <w:rFonts w:hint="eastAsia" w:ascii="宋体" w:eastAsia="宋体"/>
                <w:szCs w:val="21"/>
              </w:rPr>
              <w:t>联系电话：</w:t>
            </w:r>
            <w:r>
              <w:rPr>
                <w:rFonts w:ascii="宋体" w:eastAsia="宋体"/>
                <w:szCs w:val="21"/>
                <w:u w:val="single"/>
              </w:rPr>
              <w:t xml:space="preserve">                  </w:t>
            </w:r>
          </w:p>
          <w:p>
            <w:pPr>
              <w:pStyle w:val="12"/>
              <w:rPr>
                <w:rFonts w:ascii="宋体" w:eastAsia="宋体"/>
              </w:rPr>
            </w:pPr>
          </w:p>
        </w:tc>
      </w:tr>
    </w:tbl>
    <w:p>
      <w:pPr>
        <w:widowControl/>
        <w:spacing w:line="276" w:lineRule="auto"/>
        <w:ind w:firstLine="420" w:firstLineChars="200"/>
        <w:jc w:val="left"/>
        <w:rPr>
          <w:rFonts w:ascii="宋体" w:hAnsi="宋体"/>
          <w:bCs/>
          <w:szCs w:val="21"/>
        </w:rPr>
      </w:pPr>
      <w:r>
        <w:rPr>
          <w:rFonts w:hint="eastAsia" w:ascii="宋体" w:hAnsi="宋体"/>
          <w:bCs/>
          <w:szCs w:val="21"/>
        </w:rPr>
        <w:t>甲乙双方本着自愿、平等、互惠、互利的原则，就2022-2024年度中国国际高新技术成果交易会（以下简称“高交会”）中国高新技术论坛会务服务项目达成以下合作协议：</w:t>
      </w:r>
    </w:p>
    <w:p>
      <w:pPr>
        <w:widowControl/>
        <w:spacing w:line="276" w:lineRule="auto"/>
        <w:jc w:val="left"/>
        <w:rPr>
          <w:rFonts w:ascii="宋体" w:hAnsi="宋体"/>
          <w:bCs/>
          <w:szCs w:val="21"/>
        </w:rPr>
      </w:pPr>
    </w:p>
    <w:p>
      <w:pPr>
        <w:widowControl/>
        <w:spacing w:line="276" w:lineRule="auto"/>
        <w:jc w:val="left"/>
        <w:rPr>
          <w:rFonts w:ascii="宋体" w:hAnsi="宋体"/>
          <w:b/>
          <w:szCs w:val="21"/>
        </w:rPr>
      </w:pPr>
      <w:r>
        <w:rPr>
          <w:rFonts w:hint="eastAsia" w:ascii="宋体" w:hAnsi="宋体"/>
          <w:b/>
          <w:szCs w:val="21"/>
        </w:rPr>
        <w:t xml:space="preserve">第一条  </w:t>
      </w:r>
      <w:r>
        <w:rPr>
          <w:rFonts w:hint="eastAsia" w:ascii="宋体" w:hAnsi="宋体"/>
          <w:b/>
          <w:szCs w:val="21"/>
        </w:rPr>
        <w:tab/>
      </w:r>
      <w:r>
        <w:rPr>
          <w:rFonts w:hint="eastAsia" w:ascii="宋体" w:hAnsi="宋体"/>
          <w:b/>
          <w:szCs w:val="21"/>
        </w:rPr>
        <w:t>甲方的权利义务</w:t>
      </w:r>
    </w:p>
    <w:p>
      <w:pPr>
        <w:widowControl/>
        <w:spacing w:line="276" w:lineRule="auto"/>
        <w:jc w:val="left"/>
        <w:rPr>
          <w:rFonts w:ascii="宋体" w:hAnsi="宋体"/>
          <w:bCs/>
          <w:szCs w:val="21"/>
        </w:rPr>
      </w:pPr>
      <w:r>
        <w:rPr>
          <w:rFonts w:hint="eastAsia" w:ascii="宋体" w:hAnsi="宋体"/>
          <w:bCs/>
          <w:szCs w:val="21"/>
        </w:rPr>
        <w:t>(一)</w:t>
      </w:r>
      <w:r>
        <w:rPr>
          <w:rFonts w:hint="eastAsia" w:ascii="宋体" w:hAnsi="宋体"/>
          <w:bCs/>
          <w:szCs w:val="21"/>
        </w:rPr>
        <w:tab/>
      </w:r>
      <w:r>
        <w:rPr>
          <w:rFonts w:hint="eastAsia" w:ascii="宋体" w:hAnsi="宋体"/>
          <w:bCs/>
          <w:szCs w:val="21"/>
        </w:rPr>
        <w:t>甲方委托乙方作为2022-2024年度高交会“中国高新技术论坛”（以下简称“论坛”）的会务服务单位，负责论坛的前期筹备、会期服务及会后的善后工作。工作内容详见本协议第二条及详见附件工作方案，附件内容为本协议的有效组成部分。若乙方不能履行本合同规定的职责，甲方有权解除授权及本协议。</w:t>
      </w:r>
    </w:p>
    <w:p>
      <w:pPr>
        <w:widowControl/>
        <w:spacing w:line="276" w:lineRule="auto"/>
        <w:jc w:val="left"/>
        <w:rPr>
          <w:rFonts w:ascii="宋体" w:hAnsi="宋体"/>
          <w:bCs/>
          <w:szCs w:val="21"/>
        </w:rPr>
      </w:pPr>
      <w:r>
        <w:rPr>
          <w:rFonts w:hint="eastAsia" w:ascii="宋体" w:hAnsi="宋体"/>
          <w:bCs/>
          <w:szCs w:val="21"/>
        </w:rPr>
        <w:t>论坛要素如下：</w:t>
      </w:r>
    </w:p>
    <w:p>
      <w:pPr>
        <w:widowControl/>
        <w:spacing w:line="276" w:lineRule="auto"/>
        <w:jc w:val="left"/>
        <w:rPr>
          <w:rFonts w:ascii="宋体" w:hAnsi="宋体"/>
          <w:bCs/>
          <w:szCs w:val="21"/>
        </w:rPr>
      </w:pPr>
      <w:r>
        <w:rPr>
          <w:rFonts w:ascii="宋体" w:hAnsi="宋体"/>
          <w:bCs/>
          <w:szCs w:val="21"/>
        </w:rPr>
        <w:t></w:t>
      </w:r>
      <w:r>
        <w:rPr>
          <w:rFonts w:ascii="宋体" w:hAnsi="宋体"/>
          <w:bCs/>
          <w:szCs w:val="21"/>
        </w:rPr>
        <w:tab/>
      </w:r>
      <w:r>
        <w:rPr>
          <w:rFonts w:hint="eastAsia" w:ascii="宋体" w:hAnsi="宋体"/>
          <w:bCs/>
          <w:szCs w:val="21"/>
        </w:rPr>
        <w:t>论坛名称：</w:t>
      </w:r>
      <w:r>
        <w:rPr>
          <w:rFonts w:hint="eastAsia" w:ascii="宋体" w:hAnsi="宋体"/>
          <w:szCs w:val="21"/>
        </w:rPr>
        <w:t>2</w:t>
      </w:r>
      <w:r>
        <w:rPr>
          <w:rFonts w:ascii="宋体" w:hAnsi="宋体"/>
          <w:szCs w:val="21"/>
        </w:rPr>
        <w:t>022</w:t>
      </w:r>
      <w:r>
        <w:rPr>
          <w:rFonts w:hint="eastAsia" w:ascii="宋体" w:hAnsi="宋体"/>
          <w:szCs w:val="21"/>
        </w:rPr>
        <w:t>年-</w:t>
      </w:r>
      <w:r>
        <w:rPr>
          <w:rFonts w:ascii="宋体" w:hAnsi="宋体"/>
          <w:szCs w:val="21"/>
        </w:rPr>
        <w:t>2024</w:t>
      </w:r>
      <w:r>
        <w:rPr>
          <w:rFonts w:hint="eastAsia" w:ascii="宋体" w:hAnsi="宋体"/>
          <w:szCs w:val="21"/>
        </w:rPr>
        <w:t>年高交会中国高新技术论坛</w:t>
      </w:r>
    </w:p>
    <w:p>
      <w:pPr>
        <w:widowControl/>
        <w:spacing w:line="276" w:lineRule="auto"/>
        <w:jc w:val="left"/>
        <w:rPr>
          <w:rFonts w:ascii="宋体" w:hAnsi="宋体"/>
          <w:bCs/>
          <w:szCs w:val="21"/>
        </w:rPr>
      </w:pPr>
      <w:r>
        <w:rPr>
          <w:rFonts w:ascii="宋体" w:hAnsi="宋体"/>
          <w:bCs/>
          <w:szCs w:val="21"/>
        </w:rPr>
        <w:t></w:t>
      </w:r>
      <w:r>
        <w:rPr>
          <w:rFonts w:ascii="宋体" w:hAnsi="宋体"/>
          <w:bCs/>
          <w:szCs w:val="21"/>
        </w:rPr>
        <w:tab/>
      </w:r>
      <w:r>
        <w:rPr>
          <w:rFonts w:hint="eastAsia" w:ascii="宋体" w:hAnsi="宋体"/>
          <w:bCs/>
          <w:szCs w:val="21"/>
        </w:rPr>
        <w:t>举办时间：</w:t>
      </w:r>
      <w:r>
        <w:rPr>
          <w:rFonts w:hint="eastAsia" w:ascii="宋体" w:hAnsi="宋体"/>
          <w:szCs w:val="21"/>
        </w:rPr>
        <w:t>一般为每年11月中旬，时长为3天（以实际发生为准）</w:t>
      </w:r>
    </w:p>
    <w:p>
      <w:pPr>
        <w:widowControl/>
        <w:spacing w:line="276" w:lineRule="auto"/>
        <w:jc w:val="left"/>
        <w:rPr>
          <w:rFonts w:ascii="宋体" w:hAnsi="宋体"/>
          <w:bCs/>
          <w:szCs w:val="21"/>
        </w:rPr>
      </w:pPr>
      <w:r>
        <w:rPr>
          <w:rFonts w:ascii="宋体" w:hAnsi="宋体"/>
          <w:bCs/>
          <w:szCs w:val="21"/>
        </w:rPr>
        <w:t></w:t>
      </w:r>
      <w:r>
        <w:rPr>
          <w:rFonts w:ascii="宋体" w:hAnsi="宋体"/>
          <w:bCs/>
          <w:szCs w:val="21"/>
        </w:rPr>
        <w:tab/>
      </w:r>
      <w:r>
        <w:rPr>
          <w:rFonts w:hint="eastAsia" w:ascii="宋体" w:hAnsi="宋体"/>
          <w:bCs/>
          <w:szCs w:val="21"/>
        </w:rPr>
        <w:t>举办场次：</w:t>
      </w:r>
      <w:r>
        <w:rPr>
          <w:rFonts w:hint="eastAsia" w:ascii="宋体" w:hAnsi="宋体"/>
          <w:szCs w:val="21"/>
        </w:rPr>
        <w:t>暂定每年6场，每半天为一场，一般为上午9:30-12:30，下午13:30-17:30（以实际发生为准）</w:t>
      </w:r>
    </w:p>
    <w:p>
      <w:pPr>
        <w:widowControl/>
        <w:spacing w:line="276" w:lineRule="auto"/>
        <w:jc w:val="left"/>
        <w:rPr>
          <w:rFonts w:ascii="宋体" w:hAnsi="宋体"/>
          <w:bCs/>
          <w:szCs w:val="21"/>
        </w:rPr>
      </w:pPr>
      <w:r>
        <w:rPr>
          <w:rFonts w:ascii="宋体" w:hAnsi="宋体"/>
          <w:bCs/>
          <w:szCs w:val="21"/>
        </w:rPr>
        <w:t></w:t>
      </w:r>
      <w:r>
        <w:rPr>
          <w:rFonts w:ascii="宋体" w:hAnsi="宋体"/>
          <w:bCs/>
          <w:szCs w:val="21"/>
        </w:rPr>
        <w:tab/>
      </w:r>
      <w:r>
        <w:rPr>
          <w:rFonts w:hint="eastAsia" w:ascii="宋体" w:hAnsi="宋体"/>
          <w:bCs/>
          <w:szCs w:val="21"/>
        </w:rPr>
        <w:t>举办地点：深圳会展中心</w:t>
      </w:r>
      <w:r>
        <w:rPr>
          <w:rFonts w:ascii="宋体" w:hAnsi="宋体"/>
          <w:bCs/>
          <w:szCs w:val="21"/>
        </w:rPr>
        <w:t>5</w:t>
      </w:r>
      <w:r>
        <w:rPr>
          <w:rFonts w:hint="eastAsia" w:ascii="宋体" w:hAnsi="宋体"/>
          <w:bCs/>
          <w:szCs w:val="21"/>
        </w:rPr>
        <w:t>楼</w:t>
      </w:r>
    </w:p>
    <w:p>
      <w:pPr>
        <w:widowControl/>
        <w:spacing w:line="276" w:lineRule="auto"/>
        <w:jc w:val="left"/>
        <w:rPr>
          <w:rFonts w:ascii="宋体" w:hAnsi="宋体"/>
          <w:bCs/>
          <w:szCs w:val="21"/>
        </w:rPr>
      </w:pPr>
      <w:r>
        <w:rPr>
          <w:rFonts w:hint="eastAsia" w:ascii="宋体" w:hAnsi="宋体"/>
          <w:bCs/>
          <w:szCs w:val="21"/>
        </w:rPr>
        <w:t>(二)</w:t>
      </w:r>
      <w:r>
        <w:rPr>
          <w:rFonts w:hint="eastAsia" w:ascii="宋体" w:hAnsi="宋体"/>
          <w:bCs/>
          <w:szCs w:val="21"/>
        </w:rPr>
        <w:tab/>
      </w:r>
      <w:r>
        <w:rPr>
          <w:rFonts w:hint="eastAsia" w:ascii="宋体" w:hAnsi="宋体"/>
          <w:bCs/>
          <w:szCs w:val="21"/>
        </w:rPr>
        <w:t>甲方负责论坛工作的总体领导、协调工作，并对各项工作的策划、组织方案有最终审核通过权。甲方有权随时对乙方的会务筹备活动的进度和质量进行监督和审查，对乙方提出的论坛会务方案及在论坛筹备工作中出现的问题拥有随时更正的权利，对于现场会务工作，甲方拥有最终决定权。</w:t>
      </w:r>
    </w:p>
    <w:p>
      <w:pPr>
        <w:widowControl/>
        <w:spacing w:line="276" w:lineRule="auto"/>
        <w:jc w:val="left"/>
        <w:rPr>
          <w:rFonts w:ascii="宋体" w:hAnsi="宋体"/>
          <w:bCs/>
          <w:szCs w:val="21"/>
        </w:rPr>
      </w:pPr>
      <w:r>
        <w:rPr>
          <w:rFonts w:hint="eastAsia" w:ascii="宋体" w:hAnsi="宋体"/>
          <w:bCs/>
          <w:szCs w:val="21"/>
        </w:rPr>
        <w:t>(三)</w:t>
      </w:r>
      <w:r>
        <w:rPr>
          <w:rFonts w:hint="eastAsia" w:ascii="宋体" w:hAnsi="宋体"/>
          <w:bCs/>
          <w:szCs w:val="21"/>
        </w:rPr>
        <w:tab/>
      </w:r>
      <w:r>
        <w:rPr>
          <w:rFonts w:hint="eastAsia" w:ascii="宋体" w:hAnsi="宋体"/>
          <w:bCs/>
          <w:szCs w:val="21"/>
        </w:rPr>
        <w:t>甲方负责选定包括但不限于论坛舞台搭建、灯光、音响、翻译、速记、茶歇、摄影摄像等相关服务商，并与各服务商签约。甲方选定服务商后交由乙方进行统筹管理。</w:t>
      </w:r>
    </w:p>
    <w:p>
      <w:pPr>
        <w:widowControl/>
        <w:spacing w:line="276" w:lineRule="auto"/>
        <w:jc w:val="left"/>
        <w:rPr>
          <w:rFonts w:ascii="宋体" w:hAnsi="宋体"/>
          <w:bCs/>
          <w:szCs w:val="21"/>
        </w:rPr>
      </w:pPr>
      <w:r>
        <w:rPr>
          <w:rFonts w:hint="eastAsia" w:ascii="宋体" w:hAnsi="宋体"/>
          <w:bCs/>
          <w:szCs w:val="21"/>
        </w:rPr>
        <w:t>(四)</w:t>
      </w:r>
      <w:r>
        <w:rPr>
          <w:rFonts w:hint="eastAsia" w:ascii="宋体" w:hAnsi="宋体"/>
          <w:bCs/>
          <w:szCs w:val="21"/>
        </w:rPr>
        <w:tab/>
      </w:r>
      <w:r>
        <w:rPr>
          <w:rFonts w:hint="eastAsia" w:ascii="宋体" w:hAnsi="宋体"/>
          <w:bCs/>
          <w:szCs w:val="21"/>
        </w:rPr>
        <w:t>甲方负责论坛相关场地（包括但不限于论坛主会场、分会场、贵宾会见室、VIP综合服务区、媒体采访室、听众签到区等）及硬件布置，乙方可对场地及硬件布置提出建议。</w:t>
      </w:r>
    </w:p>
    <w:p>
      <w:pPr>
        <w:widowControl/>
        <w:spacing w:line="276" w:lineRule="auto"/>
        <w:jc w:val="left"/>
        <w:rPr>
          <w:rFonts w:ascii="宋体" w:hAnsi="宋体"/>
          <w:bCs/>
          <w:szCs w:val="21"/>
        </w:rPr>
      </w:pPr>
      <w:r>
        <w:rPr>
          <w:rFonts w:hint="eastAsia" w:ascii="宋体" w:hAnsi="宋体"/>
          <w:bCs/>
          <w:szCs w:val="21"/>
        </w:rPr>
        <w:t>(五)</w:t>
      </w:r>
      <w:r>
        <w:rPr>
          <w:rFonts w:hint="eastAsia" w:ascii="宋体" w:hAnsi="宋体"/>
          <w:bCs/>
          <w:szCs w:val="21"/>
        </w:rPr>
        <w:tab/>
      </w:r>
      <w:r>
        <w:rPr>
          <w:rFonts w:hint="eastAsia" w:ascii="宋体" w:hAnsi="宋体"/>
          <w:bCs/>
          <w:szCs w:val="21"/>
        </w:rPr>
        <w:t>甲方负责论坛的相关宣传品（如会议手提袋、论坛入场券、论坛会刊、论坛演讲汇编等）的制作，乙方负责提供宣传品打包、分发等相关内容的支持服务。</w:t>
      </w:r>
    </w:p>
    <w:p>
      <w:pPr>
        <w:widowControl/>
        <w:spacing w:line="276" w:lineRule="auto"/>
        <w:jc w:val="left"/>
        <w:rPr>
          <w:rFonts w:ascii="宋体" w:hAnsi="宋体"/>
          <w:bCs/>
          <w:szCs w:val="21"/>
        </w:rPr>
      </w:pPr>
      <w:r>
        <w:rPr>
          <w:rFonts w:hint="eastAsia" w:ascii="宋体" w:hAnsi="宋体"/>
          <w:bCs/>
          <w:szCs w:val="21"/>
        </w:rPr>
        <w:t>(六)</w:t>
      </w:r>
      <w:r>
        <w:rPr>
          <w:rFonts w:hint="eastAsia" w:ascii="宋体" w:hAnsi="宋体"/>
          <w:bCs/>
          <w:szCs w:val="21"/>
        </w:rPr>
        <w:tab/>
      </w:r>
      <w:r>
        <w:rPr>
          <w:rFonts w:hint="eastAsia" w:ascii="宋体" w:hAnsi="宋体"/>
          <w:bCs/>
          <w:szCs w:val="21"/>
        </w:rPr>
        <w:t>甲方根据高交会嘉宾接待服务相关规定对论坛部分符合接待规定的演讲贵宾及随行人员提供接送机、市内交通、餐饮及酒店住宿等服务。</w:t>
      </w:r>
    </w:p>
    <w:p>
      <w:pPr>
        <w:widowControl/>
        <w:spacing w:line="276" w:lineRule="auto"/>
        <w:jc w:val="left"/>
        <w:rPr>
          <w:rFonts w:ascii="宋体" w:hAnsi="宋体"/>
          <w:bCs/>
          <w:szCs w:val="21"/>
        </w:rPr>
      </w:pPr>
      <w:r>
        <w:rPr>
          <w:rFonts w:hint="eastAsia" w:ascii="宋体" w:hAnsi="宋体"/>
          <w:bCs/>
          <w:szCs w:val="21"/>
        </w:rPr>
        <w:t>(七)</w:t>
      </w:r>
      <w:r>
        <w:rPr>
          <w:rFonts w:hint="eastAsia" w:ascii="宋体" w:hAnsi="宋体"/>
          <w:bCs/>
          <w:szCs w:val="21"/>
        </w:rPr>
        <w:tab/>
      </w:r>
      <w:r>
        <w:rPr>
          <w:rFonts w:hint="eastAsia" w:ascii="宋体" w:hAnsi="宋体"/>
          <w:bCs/>
          <w:szCs w:val="21"/>
        </w:rPr>
        <w:t>为了论坛工作顺利开展，甲方为乙方派驻深圳会展中心的工作人员（不超过四人）免费提供办公场所（办公室应配有专用电话、桌椅、网络接口等）及午餐补贴（按照甲方补贴标准）至当届高交会结束。乙方工作人员来往深圳的交通费、住宿费等相关差旅费用由乙方自行承担。</w:t>
      </w:r>
    </w:p>
    <w:p>
      <w:pPr>
        <w:widowControl/>
        <w:spacing w:line="276" w:lineRule="auto"/>
        <w:jc w:val="left"/>
        <w:rPr>
          <w:rFonts w:ascii="宋体" w:hAnsi="宋体"/>
          <w:bCs/>
          <w:szCs w:val="21"/>
        </w:rPr>
      </w:pPr>
    </w:p>
    <w:p>
      <w:pPr>
        <w:widowControl/>
        <w:spacing w:line="276" w:lineRule="auto"/>
        <w:jc w:val="left"/>
        <w:rPr>
          <w:rFonts w:ascii="宋体" w:hAnsi="宋体"/>
          <w:b/>
          <w:szCs w:val="21"/>
        </w:rPr>
      </w:pPr>
      <w:r>
        <w:rPr>
          <w:rFonts w:hint="eastAsia" w:ascii="宋体" w:hAnsi="宋体"/>
          <w:b/>
          <w:szCs w:val="21"/>
        </w:rPr>
        <w:t xml:space="preserve">第二条  </w:t>
      </w:r>
      <w:r>
        <w:rPr>
          <w:rFonts w:hint="eastAsia" w:ascii="宋体" w:hAnsi="宋体"/>
          <w:b/>
          <w:szCs w:val="21"/>
        </w:rPr>
        <w:tab/>
      </w:r>
      <w:r>
        <w:rPr>
          <w:rFonts w:hint="eastAsia" w:ascii="宋体" w:hAnsi="宋体"/>
          <w:b/>
          <w:szCs w:val="21"/>
        </w:rPr>
        <w:t>乙方的权利及义务</w:t>
      </w:r>
    </w:p>
    <w:p>
      <w:pPr>
        <w:widowControl/>
        <w:spacing w:line="276" w:lineRule="auto"/>
        <w:jc w:val="left"/>
        <w:rPr>
          <w:rFonts w:ascii="宋体" w:hAnsi="宋体"/>
          <w:bCs/>
          <w:szCs w:val="21"/>
        </w:rPr>
      </w:pPr>
      <w:r>
        <w:rPr>
          <w:rFonts w:hint="eastAsia" w:ascii="宋体" w:hAnsi="宋体"/>
          <w:bCs/>
          <w:szCs w:val="21"/>
        </w:rPr>
        <w:t>(一)</w:t>
      </w:r>
      <w:r>
        <w:rPr>
          <w:rFonts w:hint="eastAsia" w:ascii="宋体" w:hAnsi="宋体"/>
          <w:bCs/>
          <w:szCs w:val="21"/>
        </w:rPr>
        <w:tab/>
      </w:r>
      <w:r>
        <w:rPr>
          <w:rFonts w:hint="eastAsia" w:ascii="宋体" w:hAnsi="宋体"/>
          <w:bCs/>
          <w:szCs w:val="21"/>
        </w:rPr>
        <w:t>乙方作为甲方授权的高交会论坛会务服务单位，在甲方的领导和监督下，负责进行论坛会务各项筹备工作。</w:t>
      </w:r>
    </w:p>
    <w:p>
      <w:pPr>
        <w:widowControl/>
        <w:spacing w:line="276" w:lineRule="auto"/>
        <w:jc w:val="left"/>
        <w:rPr>
          <w:rFonts w:ascii="宋体" w:hAnsi="宋体"/>
          <w:bCs/>
          <w:szCs w:val="21"/>
        </w:rPr>
      </w:pPr>
      <w:r>
        <w:rPr>
          <w:rFonts w:hint="eastAsia" w:ascii="宋体" w:hAnsi="宋体"/>
          <w:bCs/>
          <w:szCs w:val="21"/>
        </w:rPr>
        <w:t>(二)</w:t>
      </w:r>
      <w:r>
        <w:rPr>
          <w:rFonts w:hint="eastAsia" w:ascii="宋体" w:hAnsi="宋体"/>
          <w:bCs/>
          <w:szCs w:val="21"/>
        </w:rPr>
        <w:tab/>
      </w:r>
      <w:r>
        <w:rPr>
          <w:rFonts w:hint="eastAsia" w:ascii="宋体" w:hAnsi="宋体"/>
          <w:bCs/>
          <w:szCs w:val="21"/>
        </w:rPr>
        <w:t>在本协议正式签订后，乙方立即启动论坛会务各项工作，包括但不限于以下内容（未尽部分以组委会最终的活动方案为准）：</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前期筹备工作：</w:t>
      </w:r>
    </w:p>
    <w:p>
      <w:pPr>
        <w:numPr>
          <w:ilvl w:val="0"/>
          <w:numId w:val="46"/>
        </w:numPr>
        <w:tabs>
          <w:tab w:val="left" w:pos="531"/>
        </w:tabs>
        <w:snapToGrid w:val="0"/>
        <w:spacing w:line="276" w:lineRule="auto"/>
        <w:rPr>
          <w:rFonts w:ascii="宋体" w:hAnsi="宋体"/>
          <w:szCs w:val="21"/>
        </w:rPr>
      </w:pPr>
      <w:r>
        <w:rPr>
          <w:rFonts w:hint="eastAsia" w:ascii="宋体" w:hAnsi="宋体"/>
          <w:szCs w:val="21"/>
        </w:rPr>
        <w:t>论坛会务工作内容、工作进度及岗位分工表等方案的撰写、统筹与把控。</w:t>
      </w:r>
    </w:p>
    <w:p>
      <w:pPr>
        <w:numPr>
          <w:ilvl w:val="0"/>
          <w:numId w:val="46"/>
        </w:numPr>
        <w:tabs>
          <w:tab w:val="left" w:pos="531"/>
        </w:tabs>
        <w:snapToGrid w:val="0"/>
        <w:spacing w:line="276" w:lineRule="auto"/>
        <w:rPr>
          <w:rFonts w:ascii="宋体" w:hAnsi="宋体"/>
          <w:szCs w:val="21"/>
        </w:rPr>
      </w:pPr>
      <w:r>
        <w:rPr>
          <w:rFonts w:hint="eastAsia" w:ascii="宋体" w:hAnsi="宋体"/>
          <w:szCs w:val="21"/>
        </w:rPr>
        <w:t>前期资料收集：如会刊资料收集及校对、嘉宾简历、照片、演讲PPT、演讲题目等资料的收集整理。</w:t>
      </w:r>
    </w:p>
    <w:p>
      <w:pPr>
        <w:numPr>
          <w:ilvl w:val="0"/>
          <w:numId w:val="46"/>
        </w:numPr>
        <w:tabs>
          <w:tab w:val="left" w:pos="531"/>
        </w:tabs>
        <w:snapToGrid w:val="0"/>
        <w:spacing w:line="276" w:lineRule="auto"/>
        <w:rPr>
          <w:rFonts w:ascii="宋体" w:hAnsi="宋体"/>
          <w:szCs w:val="21"/>
        </w:rPr>
      </w:pPr>
      <w:r>
        <w:rPr>
          <w:rFonts w:hint="eastAsia" w:ascii="宋体" w:hAnsi="宋体"/>
          <w:szCs w:val="21"/>
        </w:rPr>
        <w:t>论坛相关文稿撰写：如论坛主持稿（代拟稿）、领导致辞稿（代拟稿）、宣传通稿、论坛串场PPT等。</w:t>
      </w:r>
    </w:p>
    <w:p>
      <w:pPr>
        <w:numPr>
          <w:ilvl w:val="0"/>
          <w:numId w:val="46"/>
        </w:numPr>
        <w:tabs>
          <w:tab w:val="left" w:pos="531"/>
        </w:tabs>
        <w:snapToGrid w:val="0"/>
        <w:spacing w:line="276" w:lineRule="auto"/>
        <w:rPr>
          <w:rFonts w:ascii="宋体" w:hAnsi="宋体"/>
          <w:szCs w:val="21"/>
        </w:rPr>
      </w:pPr>
      <w:r>
        <w:rPr>
          <w:rFonts w:hint="eastAsia" w:ascii="宋体" w:hAnsi="宋体"/>
          <w:szCs w:val="21"/>
        </w:rPr>
        <w:t>论坛听众签到前期准备：如撰写报到通知、撰写参会指南等。</w:t>
      </w:r>
    </w:p>
    <w:p>
      <w:pPr>
        <w:numPr>
          <w:ilvl w:val="0"/>
          <w:numId w:val="46"/>
        </w:numPr>
        <w:tabs>
          <w:tab w:val="left" w:pos="531"/>
        </w:tabs>
        <w:snapToGrid w:val="0"/>
        <w:spacing w:line="276" w:lineRule="auto"/>
        <w:rPr>
          <w:rFonts w:ascii="宋体" w:hAnsi="宋体"/>
          <w:szCs w:val="21"/>
        </w:rPr>
      </w:pPr>
      <w:r>
        <w:rPr>
          <w:rFonts w:hint="eastAsia" w:ascii="宋体" w:hAnsi="宋体"/>
          <w:szCs w:val="21"/>
        </w:rPr>
        <w:t>论坛相关物料准备：如制作会场席卡、准备签到区物料、会议资料及宣传品装袋、分发等。</w:t>
      </w:r>
    </w:p>
    <w:p>
      <w:pPr>
        <w:numPr>
          <w:ilvl w:val="0"/>
          <w:numId w:val="46"/>
        </w:numPr>
        <w:tabs>
          <w:tab w:val="left" w:pos="531"/>
        </w:tabs>
        <w:snapToGrid w:val="0"/>
        <w:spacing w:line="276" w:lineRule="auto"/>
        <w:rPr>
          <w:rFonts w:ascii="宋体" w:hAnsi="宋体"/>
          <w:szCs w:val="21"/>
        </w:rPr>
      </w:pPr>
      <w:r>
        <w:rPr>
          <w:rFonts w:hint="eastAsia" w:ascii="宋体" w:hAnsi="宋体"/>
          <w:szCs w:val="21"/>
        </w:rPr>
        <w:t>招标人负责选定论坛舞台搭建、灯光、音响、翻译、速记、茶歇、摄影摄像等相关外包商并与之签约。招标人选定服务商后交由中标人进行统筹管理。</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论坛现场流程及场地管控工作：</w:t>
      </w:r>
    </w:p>
    <w:p>
      <w:pPr>
        <w:numPr>
          <w:ilvl w:val="0"/>
          <w:numId w:val="47"/>
        </w:numPr>
        <w:tabs>
          <w:tab w:val="left" w:pos="531"/>
        </w:tabs>
        <w:snapToGrid w:val="0"/>
        <w:spacing w:line="276" w:lineRule="auto"/>
        <w:rPr>
          <w:rFonts w:ascii="宋体" w:hAnsi="宋体"/>
          <w:szCs w:val="21"/>
        </w:rPr>
      </w:pPr>
      <w:r>
        <w:rPr>
          <w:rFonts w:hint="eastAsia" w:ascii="宋体" w:hAnsi="宋体"/>
          <w:szCs w:val="21"/>
        </w:rPr>
        <w:t>把控每场论坛的时间进度，确保嘉宾演讲节奏、确保环节紧凑。</w:t>
      </w:r>
    </w:p>
    <w:p>
      <w:pPr>
        <w:numPr>
          <w:ilvl w:val="0"/>
          <w:numId w:val="47"/>
        </w:numPr>
        <w:tabs>
          <w:tab w:val="left" w:pos="531"/>
        </w:tabs>
        <w:snapToGrid w:val="0"/>
        <w:spacing w:line="276" w:lineRule="auto"/>
        <w:rPr>
          <w:rFonts w:ascii="宋体" w:hAnsi="宋体"/>
          <w:szCs w:val="21"/>
        </w:rPr>
      </w:pPr>
      <w:r>
        <w:rPr>
          <w:rFonts w:hint="eastAsia" w:ascii="宋体" w:hAnsi="宋体"/>
          <w:szCs w:val="21"/>
        </w:rPr>
        <w:t>把控现场观众、嘉宾、媒体的进场及离场时间；维护会场的现场秩序。</w:t>
      </w:r>
    </w:p>
    <w:p>
      <w:pPr>
        <w:numPr>
          <w:ilvl w:val="0"/>
          <w:numId w:val="47"/>
        </w:numPr>
        <w:tabs>
          <w:tab w:val="left" w:pos="531"/>
        </w:tabs>
        <w:snapToGrid w:val="0"/>
        <w:spacing w:line="276" w:lineRule="auto"/>
        <w:rPr>
          <w:rFonts w:ascii="宋体" w:hAnsi="宋体"/>
          <w:szCs w:val="21"/>
        </w:rPr>
      </w:pPr>
      <w:r>
        <w:rPr>
          <w:rFonts w:hint="eastAsia" w:ascii="宋体" w:hAnsi="宋体"/>
          <w:szCs w:val="21"/>
        </w:rPr>
        <w:t xml:space="preserve">处理论坛会场出现的现场突发事件，对出现的紧急状况及时处理，事先做好预案。 </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论坛嘉宾现场对接与服务工作：</w:t>
      </w:r>
    </w:p>
    <w:p>
      <w:pPr>
        <w:numPr>
          <w:ilvl w:val="0"/>
          <w:numId w:val="48"/>
        </w:numPr>
        <w:tabs>
          <w:tab w:val="left" w:pos="531"/>
        </w:tabs>
        <w:snapToGrid w:val="0"/>
        <w:spacing w:line="276" w:lineRule="auto"/>
        <w:rPr>
          <w:rFonts w:ascii="宋体" w:hAnsi="宋体"/>
          <w:szCs w:val="21"/>
        </w:rPr>
      </w:pPr>
      <w:r>
        <w:rPr>
          <w:rFonts w:hint="eastAsia" w:ascii="宋体" w:hAnsi="宋体"/>
          <w:szCs w:val="21"/>
        </w:rPr>
        <w:t>跟踪演讲嘉宾及主持人行程，确保主持人及演讲嘉宾及时到场。</w:t>
      </w:r>
    </w:p>
    <w:p>
      <w:pPr>
        <w:numPr>
          <w:ilvl w:val="0"/>
          <w:numId w:val="48"/>
        </w:numPr>
        <w:tabs>
          <w:tab w:val="left" w:pos="531"/>
        </w:tabs>
        <w:snapToGrid w:val="0"/>
        <w:spacing w:line="276" w:lineRule="auto"/>
        <w:rPr>
          <w:rFonts w:ascii="宋体" w:hAnsi="宋体"/>
          <w:szCs w:val="21"/>
        </w:rPr>
      </w:pPr>
      <w:r>
        <w:rPr>
          <w:rFonts w:hint="eastAsia" w:ascii="宋体" w:hAnsi="宋体"/>
          <w:szCs w:val="21"/>
        </w:rPr>
        <w:t>负责与主持人沟通，控制嘉宾演讲时间及各环节衔接。</w:t>
      </w:r>
    </w:p>
    <w:p>
      <w:pPr>
        <w:numPr>
          <w:ilvl w:val="0"/>
          <w:numId w:val="48"/>
        </w:numPr>
        <w:tabs>
          <w:tab w:val="left" w:pos="531"/>
        </w:tabs>
        <w:snapToGrid w:val="0"/>
        <w:spacing w:line="276" w:lineRule="auto"/>
        <w:rPr>
          <w:rFonts w:ascii="宋体" w:hAnsi="宋体"/>
          <w:szCs w:val="21"/>
        </w:rPr>
      </w:pPr>
      <w:r>
        <w:rPr>
          <w:rFonts w:hint="eastAsia" w:ascii="宋体" w:hAnsi="宋体"/>
          <w:szCs w:val="21"/>
        </w:rPr>
        <w:t>负责嘉宾现场参观等其他服务需求。</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论坛现场听众签到、咨询及服务工作</w:t>
      </w:r>
    </w:p>
    <w:p>
      <w:pPr>
        <w:numPr>
          <w:ilvl w:val="0"/>
          <w:numId w:val="49"/>
        </w:numPr>
        <w:tabs>
          <w:tab w:val="left" w:pos="531"/>
        </w:tabs>
        <w:snapToGrid w:val="0"/>
        <w:spacing w:line="276" w:lineRule="auto"/>
        <w:rPr>
          <w:rFonts w:ascii="宋体" w:hAnsi="宋体"/>
          <w:szCs w:val="21"/>
        </w:rPr>
      </w:pPr>
      <w:r>
        <w:rPr>
          <w:rFonts w:hint="eastAsia" w:ascii="宋体" w:hAnsi="宋体"/>
          <w:szCs w:val="21"/>
        </w:rPr>
        <w:t>听众签到区域的现场秩序管控。</w:t>
      </w:r>
    </w:p>
    <w:p>
      <w:pPr>
        <w:numPr>
          <w:ilvl w:val="0"/>
          <w:numId w:val="49"/>
        </w:numPr>
        <w:tabs>
          <w:tab w:val="left" w:pos="531"/>
        </w:tabs>
        <w:snapToGrid w:val="0"/>
        <w:spacing w:line="276" w:lineRule="auto"/>
        <w:rPr>
          <w:rFonts w:ascii="宋体" w:hAnsi="宋体"/>
          <w:szCs w:val="21"/>
        </w:rPr>
      </w:pPr>
      <w:r>
        <w:rPr>
          <w:rFonts w:hint="eastAsia" w:ascii="宋体" w:hAnsi="宋体"/>
          <w:szCs w:val="21"/>
        </w:rPr>
        <w:t>论坛听众的现场签到，服务咨询及数据统计，确保每天将当天论坛观众数据统计分类后上报招标人。</w:t>
      </w:r>
    </w:p>
    <w:p>
      <w:pPr>
        <w:numPr>
          <w:ilvl w:val="0"/>
          <w:numId w:val="49"/>
        </w:numPr>
        <w:tabs>
          <w:tab w:val="left" w:pos="531"/>
        </w:tabs>
        <w:snapToGrid w:val="0"/>
        <w:spacing w:line="276" w:lineRule="auto"/>
        <w:rPr>
          <w:rFonts w:ascii="宋体" w:hAnsi="宋体"/>
          <w:szCs w:val="21"/>
        </w:rPr>
      </w:pPr>
      <w:r>
        <w:rPr>
          <w:rFonts w:hint="eastAsia" w:ascii="宋体" w:hAnsi="宋体"/>
          <w:szCs w:val="21"/>
        </w:rPr>
        <w:t>处理论坛签到区域出现的现场突发事件，对出现的紧急状况及时处理，事先做好预案。</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论坛贵宾室及媒体采访室、VIP综合服务区等相关场地的管理工作</w:t>
      </w:r>
    </w:p>
    <w:p>
      <w:pPr>
        <w:numPr>
          <w:ilvl w:val="0"/>
          <w:numId w:val="50"/>
        </w:numPr>
        <w:tabs>
          <w:tab w:val="left" w:pos="531"/>
        </w:tabs>
        <w:snapToGrid w:val="0"/>
        <w:spacing w:line="276" w:lineRule="auto"/>
        <w:rPr>
          <w:rFonts w:ascii="宋体" w:hAnsi="宋体"/>
          <w:szCs w:val="21"/>
        </w:rPr>
      </w:pPr>
      <w:r>
        <w:rPr>
          <w:rFonts w:hint="eastAsia" w:ascii="宋体" w:hAnsi="宋体"/>
          <w:szCs w:val="21"/>
        </w:rPr>
        <w:t>论坛举办期间贵宾会见室的管理及调度工作，确保领导会见贵宾档期及室内安排，不得出现其他无关嘉宾占用贵宾、会见室的情况。</w:t>
      </w:r>
    </w:p>
    <w:p>
      <w:pPr>
        <w:numPr>
          <w:ilvl w:val="0"/>
          <w:numId w:val="50"/>
        </w:numPr>
        <w:tabs>
          <w:tab w:val="left" w:pos="531"/>
        </w:tabs>
        <w:snapToGrid w:val="0"/>
        <w:spacing w:line="276" w:lineRule="auto"/>
        <w:rPr>
          <w:rFonts w:ascii="宋体" w:hAnsi="宋体"/>
          <w:szCs w:val="21"/>
        </w:rPr>
      </w:pPr>
      <w:r>
        <w:rPr>
          <w:rFonts w:hint="eastAsia" w:ascii="宋体" w:hAnsi="宋体"/>
          <w:szCs w:val="21"/>
        </w:rPr>
        <w:t>论坛举办期间VIP综合服务区的管理及调度工作，需确保嘉宾在休息区内获得事先安排的服务；确保媒体不得进入该区采访。</w:t>
      </w:r>
    </w:p>
    <w:p>
      <w:pPr>
        <w:numPr>
          <w:ilvl w:val="0"/>
          <w:numId w:val="50"/>
        </w:numPr>
        <w:tabs>
          <w:tab w:val="left" w:pos="531"/>
        </w:tabs>
        <w:snapToGrid w:val="0"/>
        <w:spacing w:line="276" w:lineRule="auto"/>
        <w:rPr>
          <w:rFonts w:ascii="宋体" w:hAnsi="宋体"/>
          <w:szCs w:val="21"/>
        </w:rPr>
      </w:pPr>
      <w:r>
        <w:rPr>
          <w:rFonts w:hint="eastAsia" w:ascii="宋体" w:hAnsi="宋体"/>
          <w:szCs w:val="21"/>
        </w:rPr>
        <w:t>论坛举办期间媒体采访室的管理及调度工作，需事先进行媒体采访室使用排期，遇到紧急情况及时调整，并向采购人及时报告。</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根据工作需要自行招募会期志愿者，对其进行培训和管理，并自行承担志愿者工资、餐饮补贴等相关开支。</w:t>
      </w:r>
    </w:p>
    <w:p>
      <w:pPr>
        <w:numPr>
          <w:ilvl w:val="0"/>
          <w:numId w:val="45"/>
        </w:numPr>
        <w:tabs>
          <w:tab w:val="left" w:pos="531"/>
        </w:tabs>
        <w:snapToGrid w:val="0"/>
        <w:spacing w:line="276" w:lineRule="auto"/>
        <w:rPr>
          <w:rFonts w:ascii="宋体" w:hAnsi="宋体"/>
          <w:b/>
          <w:bCs/>
          <w:kern w:val="0"/>
          <w:szCs w:val="21"/>
        </w:rPr>
      </w:pPr>
      <w:r>
        <w:rPr>
          <w:rFonts w:hint="eastAsia" w:ascii="宋体" w:hAnsi="宋体"/>
          <w:b/>
          <w:bCs/>
          <w:kern w:val="0"/>
          <w:szCs w:val="21"/>
        </w:rPr>
        <w:t>会后的善后工作</w:t>
      </w:r>
    </w:p>
    <w:p>
      <w:pPr>
        <w:numPr>
          <w:ilvl w:val="0"/>
          <w:numId w:val="51"/>
        </w:numPr>
        <w:tabs>
          <w:tab w:val="left" w:pos="531"/>
        </w:tabs>
        <w:snapToGrid w:val="0"/>
        <w:spacing w:line="276" w:lineRule="auto"/>
        <w:rPr>
          <w:rFonts w:ascii="宋体" w:hAnsi="宋体"/>
          <w:szCs w:val="21"/>
        </w:rPr>
      </w:pPr>
      <w:r>
        <w:rPr>
          <w:rFonts w:hint="eastAsia" w:ascii="宋体" w:hAnsi="宋体"/>
          <w:szCs w:val="21"/>
        </w:rPr>
        <w:t>论坛结束后会场整理，物料回收处理等。</w:t>
      </w:r>
    </w:p>
    <w:p>
      <w:pPr>
        <w:numPr>
          <w:ilvl w:val="0"/>
          <w:numId w:val="51"/>
        </w:numPr>
        <w:tabs>
          <w:tab w:val="left" w:pos="531"/>
        </w:tabs>
        <w:snapToGrid w:val="0"/>
        <w:spacing w:line="276" w:lineRule="auto"/>
        <w:rPr>
          <w:rFonts w:ascii="宋体" w:hAnsi="宋体"/>
          <w:szCs w:val="21"/>
        </w:rPr>
      </w:pPr>
      <w:r>
        <w:rPr>
          <w:rFonts w:hint="eastAsia" w:ascii="宋体" w:hAnsi="宋体"/>
          <w:szCs w:val="21"/>
        </w:rPr>
        <w:t>收集嘉宾反馈，向嘉宾发送现场图片、感谢信等，收集整理媒体报道情况等。</w:t>
      </w:r>
    </w:p>
    <w:p>
      <w:pPr>
        <w:pStyle w:val="2"/>
        <w:spacing w:line="276" w:lineRule="auto"/>
      </w:pPr>
    </w:p>
    <w:p>
      <w:pPr>
        <w:widowControl/>
        <w:spacing w:line="276" w:lineRule="auto"/>
        <w:jc w:val="left"/>
        <w:rPr>
          <w:rFonts w:ascii="宋体" w:hAnsi="宋体"/>
          <w:b/>
          <w:szCs w:val="21"/>
        </w:rPr>
      </w:pPr>
      <w:r>
        <w:rPr>
          <w:rFonts w:hint="eastAsia" w:ascii="宋体" w:hAnsi="宋体"/>
          <w:b/>
          <w:szCs w:val="21"/>
        </w:rPr>
        <w:t>第三条  合同期限</w:t>
      </w:r>
    </w:p>
    <w:p>
      <w:pPr>
        <w:pStyle w:val="2"/>
        <w:spacing w:line="276" w:lineRule="auto"/>
        <w:ind w:left="0" w:firstLine="400" w:firstLineChars="200"/>
        <w:rPr>
          <w:rFonts w:ascii="宋体" w:hAnsi="宋体"/>
          <w:sz w:val="21"/>
          <w:szCs w:val="21"/>
        </w:rPr>
      </w:pPr>
      <w:r>
        <w:rPr>
          <w:rFonts w:hint="eastAsia" w:ascii="宋体" w:hAnsi="宋体"/>
          <w:sz w:val="21"/>
          <w:szCs w:val="21"/>
        </w:rPr>
        <w:t>本合同服务时间为三年（36个月），自2022年X月X日至2024年X月X日止，采取“1＋1＋1”方式。在第一年度高交会结束后1个月内，乙方应主动提请甲方对其上一年度的服务情况进行考核评审，甲方根据乙方的服务质量、各项承诺兑现情况等因素进行考核评估，如考核评审综合得分达到优良（≥80分），则执行继续执行第二年度合同；如考核评审综合得分未达到优良，甲方有权在第一年度服务期满时终止第二年度合同。第三年度合同执行方式参考以上办法。具体考核评审办法详见附件《深圳会展中心服务机构履约评价表（服务类）》。</w:t>
      </w:r>
    </w:p>
    <w:p>
      <w:pPr>
        <w:widowControl/>
        <w:spacing w:line="276" w:lineRule="auto"/>
        <w:jc w:val="left"/>
        <w:rPr>
          <w:rFonts w:ascii="宋体" w:hAnsi="宋体"/>
          <w:b/>
          <w:szCs w:val="21"/>
        </w:rPr>
      </w:pPr>
      <w:r>
        <w:rPr>
          <w:rFonts w:hint="eastAsia" w:ascii="宋体" w:hAnsi="宋体"/>
          <w:b/>
          <w:szCs w:val="21"/>
        </w:rPr>
        <w:t xml:space="preserve">第四条 </w:t>
      </w:r>
      <w:r>
        <w:rPr>
          <w:rFonts w:ascii="宋体" w:hAnsi="宋体"/>
          <w:b/>
          <w:szCs w:val="21"/>
        </w:rPr>
        <w:t xml:space="preserve"> </w:t>
      </w:r>
      <w:r>
        <w:rPr>
          <w:rFonts w:hint="eastAsia" w:ascii="宋体" w:hAnsi="宋体"/>
          <w:b/>
          <w:szCs w:val="21"/>
        </w:rPr>
        <w:t>费用与结算</w:t>
      </w:r>
    </w:p>
    <w:p>
      <w:pPr>
        <w:widowControl/>
        <w:spacing w:line="276" w:lineRule="auto"/>
        <w:ind w:firstLine="420" w:firstLineChars="200"/>
        <w:jc w:val="left"/>
        <w:rPr>
          <w:rFonts w:ascii="宋体" w:hAnsi="宋体"/>
          <w:bCs/>
          <w:szCs w:val="21"/>
        </w:rPr>
      </w:pPr>
      <w:r>
        <w:rPr>
          <w:rFonts w:hint="eastAsia" w:ascii="宋体"/>
          <w:szCs w:val="21"/>
        </w:rPr>
        <w:t>费用在合同期内每年高交会结束后结算一次。</w:t>
      </w:r>
      <w:r>
        <w:rPr>
          <w:rFonts w:hint="eastAsia" w:ascii="宋体" w:hAnsi="宋体"/>
          <w:bCs/>
          <w:szCs w:val="21"/>
        </w:rPr>
        <w:t>乙方在当年按照甲方要求，圆满完成本协议各项工作，经甲方书面确认验收合格后2个月内一次性支付给乙方本项目会务工作费，共计人民币XXXX元整（￥XXXX）。乙方须在收到甲方支付的费用后三个工作日内向甲方提供正式的增值税专用发票。</w:t>
      </w:r>
    </w:p>
    <w:p>
      <w:pPr>
        <w:widowControl/>
        <w:spacing w:line="276" w:lineRule="auto"/>
        <w:jc w:val="left"/>
        <w:rPr>
          <w:rFonts w:ascii="宋体" w:hAnsi="宋体"/>
          <w:bCs/>
          <w:szCs w:val="21"/>
        </w:rPr>
      </w:pPr>
      <w:r>
        <w:rPr>
          <w:rFonts w:hint="eastAsia" w:ascii="宋体" w:hAnsi="宋体"/>
          <w:bCs/>
          <w:szCs w:val="21"/>
        </w:rPr>
        <w:t>乙方单位信息如下：</w:t>
      </w:r>
    </w:p>
    <w:p>
      <w:pPr>
        <w:pStyle w:val="12"/>
        <w:rPr>
          <w:rFonts w:ascii="宋体" w:eastAsia="宋体"/>
          <w:szCs w:val="21"/>
        </w:rPr>
      </w:pPr>
      <w:r>
        <w:rPr>
          <w:rFonts w:hint="eastAsia" w:ascii="宋体" w:eastAsia="宋体"/>
          <w:szCs w:val="21"/>
        </w:rPr>
        <w:t>乙方单位帐号：XXXXXXXX</w:t>
      </w:r>
    </w:p>
    <w:p>
      <w:pPr>
        <w:pStyle w:val="12"/>
        <w:rPr>
          <w:rFonts w:ascii="宋体" w:eastAsia="宋体"/>
          <w:szCs w:val="21"/>
        </w:rPr>
      </w:pPr>
      <w:r>
        <w:rPr>
          <w:rFonts w:hint="eastAsia" w:ascii="宋体" w:eastAsia="宋体"/>
          <w:szCs w:val="21"/>
        </w:rPr>
        <w:t>单位名称： XXXXXXXX</w:t>
      </w:r>
    </w:p>
    <w:p>
      <w:pPr>
        <w:pStyle w:val="12"/>
        <w:rPr>
          <w:rFonts w:ascii="宋体" w:eastAsia="宋体"/>
          <w:szCs w:val="21"/>
        </w:rPr>
      </w:pPr>
      <w:r>
        <w:rPr>
          <w:rFonts w:hint="eastAsia" w:ascii="宋体" w:eastAsia="宋体"/>
          <w:szCs w:val="21"/>
        </w:rPr>
        <w:t>账号：XXXXXXXX</w:t>
      </w:r>
    </w:p>
    <w:p>
      <w:pPr>
        <w:pStyle w:val="12"/>
        <w:rPr>
          <w:rFonts w:ascii="宋体" w:eastAsia="宋体"/>
          <w:szCs w:val="21"/>
        </w:rPr>
      </w:pPr>
      <w:r>
        <w:rPr>
          <w:rFonts w:hint="eastAsia" w:ascii="宋体" w:eastAsia="宋体"/>
          <w:szCs w:val="21"/>
        </w:rPr>
        <w:t>开户银行：XXXXXXXX</w:t>
      </w:r>
      <w:r>
        <w:rPr>
          <w:rFonts w:hint="eastAsia" w:ascii="宋体" w:eastAsia="宋体"/>
          <w:bCs/>
          <w:szCs w:val="21"/>
        </w:rPr>
        <w:t xml:space="preserve"> </w:t>
      </w:r>
    </w:p>
    <w:p>
      <w:pPr>
        <w:widowControl/>
        <w:spacing w:line="276" w:lineRule="auto"/>
        <w:jc w:val="left"/>
        <w:rPr>
          <w:rFonts w:ascii="宋体" w:hAnsi="宋体"/>
          <w:bCs/>
          <w:szCs w:val="21"/>
        </w:rPr>
      </w:pPr>
    </w:p>
    <w:p>
      <w:pPr>
        <w:widowControl/>
        <w:spacing w:line="276" w:lineRule="auto"/>
        <w:jc w:val="left"/>
        <w:rPr>
          <w:rFonts w:ascii="宋体" w:hAnsi="宋体"/>
          <w:b/>
          <w:szCs w:val="21"/>
        </w:rPr>
      </w:pPr>
      <w:r>
        <w:rPr>
          <w:rFonts w:hint="eastAsia" w:ascii="宋体" w:hAnsi="宋体"/>
          <w:b/>
          <w:szCs w:val="21"/>
        </w:rPr>
        <w:t>第五条  时间要求</w:t>
      </w:r>
    </w:p>
    <w:p>
      <w:pPr>
        <w:numPr>
          <w:ilvl w:val="0"/>
          <w:numId w:val="52"/>
        </w:numPr>
        <w:tabs>
          <w:tab w:val="left" w:pos="531"/>
        </w:tabs>
        <w:snapToGrid w:val="0"/>
        <w:spacing w:line="276" w:lineRule="auto"/>
        <w:rPr>
          <w:rFonts w:ascii="宋体" w:hAnsi="宋体"/>
          <w:szCs w:val="21"/>
        </w:rPr>
      </w:pPr>
      <w:r>
        <w:rPr>
          <w:rFonts w:hint="eastAsia" w:ascii="宋体" w:hAnsi="宋体"/>
          <w:szCs w:val="21"/>
        </w:rPr>
        <w:t>第1年，本项目相关工作自合同签订之日起开始启动，须于当届高交会结束后至少1</w:t>
      </w:r>
      <w:r>
        <w:rPr>
          <w:rFonts w:ascii="宋体" w:hAnsi="宋体"/>
          <w:szCs w:val="21"/>
        </w:rPr>
        <w:t>5</w:t>
      </w:r>
      <w:r>
        <w:rPr>
          <w:rFonts w:hint="eastAsia" w:ascii="宋体" w:hAnsi="宋体"/>
          <w:szCs w:val="21"/>
        </w:rPr>
        <w:t>天内完成全部工作。第2</w:t>
      </w:r>
      <w:r>
        <w:rPr>
          <w:rFonts w:ascii="宋体" w:hAnsi="宋体"/>
          <w:szCs w:val="21"/>
        </w:rPr>
        <w:t>-3</w:t>
      </w:r>
      <w:r>
        <w:rPr>
          <w:rFonts w:hint="eastAsia" w:ascii="宋体" w:hAnsi="宋体"/>
          <w:szCs w:val="21"/>
        </w:rPr>
        <w:t>年，如合同继续履行，则自当街高交会筹备工作启动时开启本项目工作，须于当届高交会结束后至少1</w:t>
      </w:r>
      <w:r>
        <w:rPr>
          <w:rFonts w:ascii="宋体" w:hAnsi="宋体"/>
          <w:szCs w:val="21"/>
        </w:rPr>
        <w:t>5</w:t>
      </w:r>
      <w:r>
        <w:rPr>
          <w:rFonts w:hint="eastAsia" w:ascii="宋体" w:hAnsi="宋体"/>
          <w:szCs w:val="21"/>
        </w:rPr>
        <w:t>天内完成全部工作。</w:t>
      </w:r>
    </w:p>
    <w:p>
      <w:pPr>
        <w:numPr>
          <w:ilvl w:val="0"/>
          <w:numId w:val="52"/>
        </w:numPr>
        <w:tabs>
          <w:tab w:val="left" w:pos="531"/>
        </w:tabs>
        <w:snapToGrid w:val="0"/>
        <w:spacing w:line="276" w:lineRule="auto"/>
        <w:rPr>
          <w:rFonts w:ascii="宋体" w:hAnsi="宋体"/>
          <w:szCs w:val="21"/>
        </w:rPr>
      </w:pPr>
      <w:r>
        <w:rPr>
          <w:rFonts w:hint="eastAsia" w:ascii="宋体" w:hAnsi="宋体"/>
          <w:szCs w:val="21"/>
        </w:rPr>
        <w:t>乙方需按照甲方要求，根据不同工作阶段及时以书面的形式汇报本项目进度并提交相关资料，保证信息能够及时更新。</w:t>
      </w:r>
    </w:p>
    <w:p>
      <w:pPr>
        <w:numPr>
          <w:ilvl w:val="0"/>
          <w:numId w:val="52"/>
        </w:numPr>
        <w:tabs>
          <w:tab w:val="left" w:pos="531"/>
        </w:tabs>
        <w:snapToGrid w:val="0"/>
        <w:spacing w:line="276" w:lineRule="auto"/>
        <w:rPr>
          <w:rFonts w:ascii="宋体" w:hAnsi="宋体"/>
          <w:szCs w:val="21"/>
        </w:rPr>
      </w:pPr>
      <w:r>
        <w:rPr>
          <w:rFonts w:hint="eastAsia" w:ascii="宋体" w:hAnsi="宋体"/>
          <w:szCs w:val="21"/>
        </w:rPr>
        <w:t>当届活动结束后，乙方需配合甲方进行项目结案与验收结算，并在15天内提供活动总结报告与结算清单。</w:t>
      </w:r>
    </w:p>
    <w:p>
      <w:pPr>
        <w:pStyle w:val="2"/>
      </w:pPr>
    </w:p>
    <w:p>
      <w:pPr>
        <w:widowControl/>
        <w:spacing w:line="276" w:lineRule="auto"/>
        <w:jc w:val="left"/>
        <w:rPr>
          <w:rFonts w:ascii="宋体" w:hAnsi="宋体"/>
          <w:b/>
          <w:szCs w:val="21"/>
        </w:rPr>
      </w:pPr>
      <w:r>
        <w:rPr>
          <w:rFonts w:hint="eastAsia" w:ascii="宋体" w:hAnsi="宋体"/>
          <w:b/>
          <w:szCs w:val="21"/>
        </w:rPr>
        <w:t xml:space="preserve">第六条 </w:t>
      </w:r>
      <w:r>
        <w:rPr>
          <w:rFonts w:ascii="宋体" w:hAnsi="宋体"/>
          <w:b/>
          <w:szCs w:val="21"/>
        </w:rPr>
        <w:t xml:space="preserve"> </w:t>
      </w:r>
      <w:r>
        <w:rPr>
          <w:rFonts w:hint="eastAsia" w:ascii="宋体" w:hAnsi="宋体"/>
          <w:b/>
          <w:szCs w:val="21"/>
        </w:rPr>
        <w:t>其他条款</w:t>
      </w:r>
    </w:p>
    <w:p>
      <w:pPr>
        <w:pStyle w:val="12"/>
        <w:rPr>
          <w:rFonts w:ascii="宋体" w:eastAsia="宋体"/>
          <w:szCs w:val="21"/>
        </w:rPr>
      </w:pPr>
      <w:r>
        <w:rPr>
          <w:rFonts w:hint="eastAsia" w:ascii="宋体" w:eastAsia="宋体"/>
          <w:szCs w:val="21"/>
        </w:rPr>
        <w:t>(一)如高交会主办单位/承办单位（甲方）认为当届展会时间、展会地点、展会或筹展工作将因主办/承办单位无法控制的因素（包括战争、罢工、倒闭、国内暴乱、疾病蔓延、敌对抵抗、戒严令、火灾、洪水、暴风雨、干旱、火山爆发、爆炸、核或化学事件或辐射、海啸、任何自然灾害、阻碍或影响航行、运输、通讯、住宿或展览其他准备工作进行的事件、政府/主办单位的决定等）而撤销或延迟展会，或调整展会地点、形式，则甲方无须对乙方担任何责任。</w:t>
      </w:r>
    </w:p>
    <w:p>
      <w:pPr>
        <w:pStyle w:val="12"/>
        <w:rPr>
          <w:rFonts w:ascii="宋体" w:eastAsia="宋体"/>
          <w:szCs w:val="21"/>
        </w:rPr>
      </w:pPr>
      <w:r>
        <w:rPr>
          <w:rFonts w:hint="eastAsia" w:ascii="宋体" w:eastAsia="宋体"/>
          <w:szCs w:val="21"/>
        </w:rPr>
        <w:t xml:space="preserve"> (二)</w:t>
      </w:r>
      <w:r>
        <w:rPr>
          <w:rFonts w:hint="eastAsia" w:ascii="宋体" w:eastAsia="宋体"/>
          <w:szCs w:val="21"/>
        </w:rPr>
        <w:tab/>
      </w:r>
      <w:r>
        <w:rPr>
          <w:rFonts w:hint="eastAsia" w:ascii="宋体" w:eastAsia="宋体"/>
          <w:szCs w:val="21"/>
        </w:rPr>
        <w:t>如因新冠病毒疫情未能得到有效控制或其他不可抗力，当地政府/主办单位决定不举办当届高交会或本论坛时，甲乙双方一概互不担责；</w:t>
      </w:r>
      <w:r>
        <w:rPr>
          <w:rFonts w:hint="eastAsia" w:ascii="宋体" w:eastAsia="宋体" w:cs="宋体"/>
          <w:szCs w:val="21"/>
        </w:rPr>
        <w:t>此期间乙方因如约履行本项目合同且已实际发生的直接费用，甲方可按实予以结算。同时，甲方不再承担乙方由此造成的其他间接费用和损失，乙方亦不得再就上述事项进行任何形式的索赔。</w:t>
      </w:r>
    </w:p>
    <w:p>
      <w:pPr>
        <w:pStyle w:val="12"/>
        <w:rPr>
          <w:rFonts w:ascii="宋体" w:eastAsia="宋体"/>
          <w:szCs w:val="21"/>
        </w:rPr>
      </w:pPr>
      <w:r>
        <w:rPr>
          <w:rFonts w:hint="eastAsia" w:ascii="宋体" w:eastAsia="宋体"/>
          <w:szCs w:val="21"/>
        </w:rPr>
        <w:t>(三)</w:t>
      </w:r>
      <w:r>
        <w:rPr>
          <w:rFonts w:hint="eastAsia"/>
        </w:rPr>
        <w:t xml:space="preserve"> </w:t>
      </w:r>
      <w:r>
        <w:rPr>
          <w:rFonts w:hint="eastAsia" w:ascii="宋体" w:eastAsia="宋体"/>
          <w:szCs w:val="21"/>
        </w:rPr>
        <w:t>如因新冠病毒疫情或其他不可抗力导致高交会会期或其它相关事项、要素发生变动的，乙方须无条件配合甲方调整相关服务（如增减服务内容、延期、展会地点或举办形式调整等），同时视情况签订相应的补充协议。</w:t>
      </w:r>
      <w:r>
        <w:rPr>
          <w:rFonts w:hint="eastAsia" w:ascii="宋体" w:eastAsia="宋体"/>
          <w:szCs w:val="21"/>
        </w:rPr>
        <w:tab/>
      </w:r>
    </w:p>
    <w:p>
      <w:pPr>
        <w:pStyle w:val="12"/>
        <w:rPr>
          <w:rFonts w:ascii="宋体" w:eastAsia="宋体"/>
          <w:szCs w:val="21"/>
        </w:rPr>
      </w:pPr>
      <w:r>
        <w:rPr>
          <w:rFonts w:hint="eastAsia" w:ascii="宋体" w:eastAsia="宋体"/>
          <w:szCs w:val="21"/>
        </w:rPr>
        <w:t>（四）由于新冠疫情的发展存在不确定性，政府对疫情防控管理可能有新要求，甲乙双方一致同意，当届高交会的举办将遵照政府关于疫情防控的相关政策和要求进行执行落实，甲方将据以制定和调整高交会相关管理措施和规定，乙方积极配合和实施。</w:t>
      </w:r>
    </w:p>
    <w:p>
      <w:pPr>
        <w:pStyle w:val="12"/>
        <w:rPr>
          <w:rFonts w:ascii="宋体" w:eastAsia="宋体"/>
          <w:szCs w:val="21"/>
        </w:rPr>
      </w:pPr>
      <w:r>
        <w:rPr>
          <w:rFonts w:hint="eastAsia" w:ascii="宋体" w:eastAsia="宋体"/>
          <w:szCs w:val="21"/>
        </w:rPr>
        <w:t>（五）本协议载明的联系方式（包括电话、地址、联系人）为双方约定的联系方式、若有变动，应书面告知对方，否则，该联系方式为双方法定的送达和联系方式。</w:t>
      </w:r>
    </w:p>
    <w:p>
      <w:pPr>
        <w:widowControl/>
        <w:spacing w:line="276" w:lineRule="auto"/>
        <w:jc w:val="left"/>
        <w:rPr>
          <w:rFonts w:ascii="宋体" w:hAnsi="宋体"/>
          <w:bCs/>
          <w:szCs w:val="21"/>
        </w:rPr>
      </w:pPr>
    </w:p>
    <w:p>
      <w:pPr>
        <w:widowControl/>
        <w:spacing w:line="276" w:lineRule="auto"/>
        <w:jc w:val="left"/>
        <w:rPr>
          <w:rFonts w:ascii="宋体" w:hAnsi="宋体"/>
          <w:b/>
          <w:szCs w:val="21"/>
        </w:rPr>
      </w:pPr>
      <w:r>
        <w:rPr>
          <w:rFonts w:hint="eastAsia" w:ascii="宋体" w:hAnsi="宋体"/>
          <w:b/>
          <w:szCs w:val="21"/>
        </w:rPr>
        <w:t xml:space="preserve">第七条  </w:t>
      </w:r>
      <w:r>
        <w:rPr>
          <w:rFonts w:hint="eastAsia" w:ascii="宋体" w:hAnsi="宋体"/>
          <w:b/>
          <w:szCs w:val="21"/>
        </w:rPr>
        <w:tab/>
      </w:r>
      <w:r>
        <w:rPr>
          <w:rFonts w:hint="eastAsia" w:ascii="宋体" w:hAnsi="宋体"/>
          <w:b/>
          <w:szCs w:val="21"/>
        </w:rPr>
        <w:t>保密条款</w:t>
      </w:r>
    </w:p>
    <w:p>
      <w:pPr>
        <w:widowControl/>
        <w:spacing w:line="276" w:lineRule="auto"/>
        <w:jc w:val="left"/>
        <w:rPr>
          <w:rFonts w:ascii="宋体" w:hAnsi="宋体"/>
          <w:bCs/>
          <w:szCs w:val="21"/>
        </w:rPr>
      </w:pPr>
      <w:r>
        <w:rPr>
          <w:rFonts w:hint="eastAsia" w:ascii="宋体" w:hAnsi="宋体"/>
          <w:bCs/>
          <w:szCs w:val="21"/>
        </w:rPr>
        <w:t>双方承诺，对甲乙双方在协商策划“中国高新技术论坛”过程中的所有资料履行保密义务，未经对方同意不公开或不向任何第三方泄露。</w:t>
      </w:r>
    </w:p>
    <w:p>
      <w:pPr>
        <w:widowControl/>
        <w:spacing w:line="276" w:lineRule="auto"/>
        <w:jc w:val="left"/>
        <w:rPr>
          <w:rFonts w:ascii="宋体" w:hAnsi="宋体"/>
          <w:bCs/>
          <w:szCs w:val="21"/>
        </w:rPr>
      </w:pPr>
    </w:p>
    <w:p>
      <w:pPr>
        <w:widowControl/>
        <w:spacing w:line="276" w:lineRule="auto"/>
        <w:jc w:val="left"/>
        <w:rPr>
          <w:rFonts w:ascii="宋体" w:hAnsi="宋体"/>
          <w:b/>
          <w:szCs w:val="21"/>
        </w:rPr>
      </w:pPr>
      <w:r>
        <w:rPr>
          <w:rFonts w:hint="eastAsia" w:ascii="宋体" w:hAnsi="宋体"/>
          <w:b/>
          <w:szCs w:val="21"/>
        </w:rPr>
        <w:t xml:space="preserve">第八条  </w:t>
      </w:r>
      <w:r>
        <w:rPr>
          <w:rFonts w:hint="eastAsia" w:ascii="宋体" w:hAnsi="宋体"/>
          <w:b/>
          <w:szCs w:val="21"/>
        </w:rPr>
        <w:tab/>
      </w:r>
      <w:r>
        <w:rPr>
          <w:rFonts w:hint="eastAsia" w:ascii="宋体" w:hAnsi="宋体"/>
          <w:b/>
          <w:szCs w:val="21"/>
        </w:rPr>
        <w:t>违约责任</w:t>
      </w:r>
    </w:p>
    <w:p>
      <w:pPr>
        <w:widowControl/>
        <w:numPr>
          <w:ilvl w:val="0"/>
          <w:numId w:val="53"/>
        </w:numPr>
        <w:snapToGrid/>
        <w:spacing w:line="276" w:lineRule="auto"/>
        <w:ind w:firstLine="420" w:firstLineChars="0"/>
        <w:jc w:val="left"/>
        <w:rPr>
          <w:rFonts w:ascii="宋体" w:hAnsi="宋体" w:eastAsia="宋体" w:cs="Times New Roman"/>
          <w:bCs/>
          <w:sz w:val="21"/>
          <w:szCs w:val="21"/>
        </w:rPr>
      </w:pPr>
      <w:r>
        <w:rPr>
          <w:rFonts w:hint="eastAsia" w:ascii="宋体" w:hAnsi="宋体" w:eastAsia="宋体" w:cs="Times New Roman"/>
          <w:bCs/>
          <w:sz w:val="21"/>
          <w:szCs w:val="21"/>
        </w:rPr>
        <w:t>甲乙双方任何一方违反约定事项造成对方实际损失的，应在</w:t>
      </w:r>
      <w:r>
        <w:rPr>
          <w:rFonts w:ascii="宋体" w:hAnsi="宋体" w:eastAsia="宋体" w:cs="Times New Roman"/>
          <w:bCs/>
          <w:sz w:val="21"/>
          <w:szCs w:val="21"/>
        </w:rPr>
        <w:t>15</w:t>
      </w:r>
      <w:r>
        <w:rPr>
          <w:rFonts w:hint="eastAsia" w:ascii="宋体" w:hAnsi="宋体" w:eastAsia="宋体" w:cs="Times New Roman"/>
          <w:bCs/>
          <w:sz w:val="21"/>
          <w:szCs w:val="21"/>
        </w:rPr>
        <w:t>天内向对方支付年度合同金额</w:t>
      </w:r>
      <w:r>
        <w:rPr>
          <w:rFonts w:ascii="宋体" w:hAnsi="宋体" w:eastAsia="宋体" w:cs="Times New Roman"/>
          <w:bCs/>
          <w:sz w:val="21"/>
          <w:szCs w:val="21"/>
          <w:highlight w:val="none"/>
        </w:rPr>
        <w:t>XX%</w:t>
      </w:r>
      <w:r>
        <w:rPr>
          <w:rFonts w:hint="eastAsia" w:ascii="宋体" w:hAnsi="宋体" w:eastAsia="宋体" w:cs="Times New Roman"/>
          <w:bCs/>
          <w:sz w:val="21"/>
          <w:szCs w:val="21"/>
        </w:rPr>
        <w:t>的赔偿金和违约金。</w:t>
      </w:r>
    </w:p>
    <w:p>
      <w:pPr>
        <w:widowControl/>
        <w:numPr>
          <w:ilvl w:val="0"/>
          <w:numId w:val="53"/>
        </w:numPr>
        <w:snapToGrid/>
        <w:spacing w:line="276" w:lineRule="auto"/>
        <w:ind w:firstLine="420" w:firstLineChars="0"/>
        <w:jc w:val="left"/>
        <w:rPr>
          <w:rFonts w:ascii="宋体" w:hAnsi="宋体" w:eastAsia="宋体" w:cs="Times New Roman"/>
          <w:bCs/>
          <w:sz w:val="21"/>
          <w:szCs w:val="21"/>
        </w:rPr>
      </w:pPr>
      <w:r>
        <w:rPr>
          <w:rFonts w:hint="eastAsia" w:ascii="宋体" w:hAnsi="宋体" w:eastAsia="宋体" w:cs="Times New Roman"/>
          <w:bCs/>
          <w:sz w:val="21"/>
          <w:szCs w:val="21"/>
        </w:rPr>
        <w:t>乙方因存在重大过错且造成甲方损失的，应当向甲方赔偿，赔偿金额不低于乙方因过错给甲方造成的损失金额，赔偿范围包括甲方实际损失、诉讼费、律师费、公证费、鉴定费等全部维权费用。</w:t>
      </w:r>
    </w:p>
    <w:p>
      <w:pPr>
        <w:widowControl/>
        <w:spacing w:line="276" w:lineRule="auto"/>
        <w:jc w:val="left"/>
        <w:rPr>
          <w:rFonts w:ascii="宋体" w:hAnsi="宋体"/>
          <w:bCs/>
          <w:szCs w:val="21"/>
        </w:rPr>
      </w:pPr>
    </w:p>
    <w:p>
      <w:pPr>
        <w:widowControl/>
        <w:spacing w:line="276" w:lineRule="auto"/>
        <w:jc w:val="left"/>
        <w:rPr>
          <w:rFonts w:ascii="宋体" w:hAnsi="宋体"/>
          <w:b/>
          <w:szCs w:val="21"/>
        </w:rPr>
      </w:pPr>
      <w:r>
        <w:rPr>
          <w:rFonts w:hint="eastAsia" w:ascii="宋体" w:hAnsi="宋体"/>
          <w:b/>
          <w:szCs w:val="21"/>
        </w:rPr>
        <w:t xml:space="preserve">第九条  </w:t>
      </w:r>
      <w:r>
        <w:rPr>
          <w:rFonts w:hint="eastAsia" w:ascii="宋体" w:hAnsi="宋体"/>
          <w:b/>
          <w:szCs w:val="21"/>
        </w:rPr>
        <w:tab/>
      </w:r>
      <w:r>
        <w:rPr>
          <w:rFonts w:hint="eastAsia" w:ascii="宋体" w:hAnsi="宋体"/>
          <w:b/>
          <w:szCs w:val="21"/>
        </w:rPr>
        <w:t>争议的解决</w:t>
      </w:r>
    </w:p>
    <w:p>
      <w:pPr>
        <w:widowControl/>
        <w:spacing w:line="276" w:lineRule="auto"/>
        <w:jc w:val="left"/>
        <w:rPr>
          <w:rFonts w:ascii="宋体" w:hAnsi="宋体"/>
          <w:bCs/>
          <w:szCs w:val="21"/>
        </w:rPr>
      </w:pPr>
      <w:r>
        <w:rPr>
          <w:rFonts w:hint="eastAsia" w:ascii="宋体" w:hAnsi="宋体"/>
          <w:bCs/>
          <w:szCs w:val="21"/>
        </w:rPr>
        <w:t>本协议一式肆份，甲乙双方各执贰份，具相同法律效力，在双方签字、盖章后正式生效。在协议有效期内，双方如因执行协议条款发生争议，首先应争取通过友好协商解决该争议。协商无效果的，提交深圳国际仲裁院进行终局裁决。</w:t>
      </w: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center"/>
        <w:rPr>
          <w:rFonts w:ascii="宋体" w:hAnsi="宋体"/>
          <w:bCs/>
          <w:szCs w:val="21"/>
        </w:rPr>
      </w:pPr>
      <w:r>
        <w:rPr>
          <w:rFonts w:hint="eastAsia" w:ascii="宋体" w:hAnsi="宋体"/>
          <w:bCs/>
          <w:szCs w:val="21"/>
        </w:rPr>
        <w:t>--------------[以下无正文，本协议结束]--------------</w:t>
      </w: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left"/>
        <w:rPr>
          <w:rFonts w:ascii="宋体" w:hAnsi="宋体"/>
          <w:bCs/>
          <w:szCs w:val="21"/>
        </w:rPr>
      </w:pPr>
      <w:r>
        <w:rPr>
          <w:rFonts w:hint="eastAsia" w:ascii="宋体" w:hAnsi="宋体"/>
          <w:bCs/>
          <w:szCs w:val="21"/>
        </w:rPr>
        <w:t>甲方：深圳会展中心管理有限责任公司　　　乙方：</w:t>
      </w: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left"/>
        <w:rPr>
          <w:rFonts w:ascii="宋体" w:hAnsi="宋体"/>
          <w:bCs/>
          <w:szCs w:val="21"/>
        </w:rPr>
      </w:pPr>
      <w:r>
        <w:rPr>
          <w:rFonts w:hint="eastAsia" w:ascii="宋体" w:hAnsi="宋体"/>
          <w:bCs/>
          <w:szCs w:val="21"/>
        </w:rPr>
        <w:t>法人代表（或授权人）：　　　　　　　　　 法人代表（或授权人）：</w:t>
      </w:r>
    </w:p>
    <w:p>
      <w:pPr>
        <w:widowControl/>
        <w:spacing w:line="276" w:lineRule="auto"/>
        <w:jc w:val="left"/>
        <w:rPr>
          <w:rFonts w:ascii="宋体" w:hAnsi="宋体"/>
          <w:bCs/>
          <w:szCs w:val="21"/>
        </w:rPr>
      </w:pPr>
    </w:p>
    <w:p>
      <w:pPr>
        <w:widowControl/>
        <w:spacing w:line="276" w:lineRule="auto"/>
        <w:jc w:val="left"/>
        <w:rPr>
          <w:rFonts w:ascii="宋体" w:hAnsi="宋体"/>
          <w:bCs/>
          <w:szCs w:val="21"/>
        </w:rPr>
      </w:pPr>
    </w:p>
    <w:p>
      <w:pPr>
        <w:widowControl/>
        <w:spacing w:line="276" w:lineRule="auto"/>
        <w:jc w:val="left"/>
        <w:rPr>
          <w:rFonts w:ascii="宋体" w:hAnsi="宋体"/>
          <w:bCs/>
          <w:szCs w:val="21"/>
        </w:rPr>
      </w:pPr>
      <w:r>
        <w:rPr>
          <w:rFonts w:hint="eastAsia" w:ascii="宋体" w:hAnsi="宋体"/>
          <w:bCs/>
          <w:szCs w:val="21"/>
        </w:rPr>
        <w:t>日期：      　　　　　　                 日期：</w:t>
      </w:r>
    </w:p>
    <w:p>
      <w:pPr>
        <w:widowControl/>
        <w:spacing w:line="276" w:lineRule="auto"/>
        <w:jc w:val="left"/>
        <w:rPr>
          <w:rFonts w:ascii="宋体" w:hAnsi="宋体"/>
          <w:bCs/>
          <w:szCs w:val="21"/>
        </w:rPr>
      </w:pPr>
    </w:p>
    <w:p>
      <w:pPr>
        <w:widowControl/>
        <w:spacing w:line="276" w:lineRule="auto"/>
        <w:jc w:val="left"/>
        <w:rPr>
          <w:rFonts w:ascii="宋体" w:hAnsi="宋体"/>
          <w:bCs/>
          <w:szCs w:val="21"/>
          <w:highlight w:val="lightGray"/>
        </w:rPr>
      </w:pPr>
    </w:p>
    <w:p>
      <w:pPr>
        <w:widowControl/>
        <w:spacing w:line="276" w:lineRule="auto"/>
        <w:jc w:val="left"/>
        <w:rPr>
          <w:rFonts w:ascii="宋体" w:hAnsi="宋体"/>
          <w:bCs/>
          <w:szCs w:val="21"/>
          <w:highlight w:val="lightGray"/>
        </w:rPr>
      </w:pPr>
    </w:p>
    <w:p>
      <w:pPr>
        <w:widowControl/>
        <w:spacing w:line="276" w:lineRule="auto"/>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60" w:name="_Toc106791267"/>
      <w:r>
        <w:rPr>
          <w:rFonts w:hint="eastAsia"/>
          <w:b/>
          <w:sz w:val="32"/>
          <w:szCs w:val="32"/>
        </w:rPr>
        <w:t>第五部分：参考附件</w:t>
      </w:r>
      <w:bookmarkEnd w:id="60"/>
    </w:p>
    <w:p>
      <w:pPr>
        <w:spacing w:line="0" w:lineRule="atLeast"/>
        <w:outlineLvl w:val="1"/>
        <w:rPr>
          <w:rFonts w:ascii="宋体" w:hAnsi="宋体"/>
        </w:rPr>
      </w:pPr>
      <w:bookmarkStart w:id="61" w:name="_Toc106791268"/>
      <w:r>
        <w:rPr>
          <w:rFonts w:hint="eastAsia" w:ascii="宋体" w:hAnsi="宋体"/>
          <w:szCs w:val="21"/>
        </w:rPr>
        <w:t>附件1：</w:t>
      </w:r>
      <w:r>
        <w:rPr>
          <w:rFonts w:hint="eastAsia" w:ascii="宋体" w:hAnsi="宋体"/>
        </w:rPr>
        <w:t>报名回函</w:t>
      </w:r>
      <w:bookmarkEnd w:id="61"/>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2" w:name="_Toc106791269"/>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06791270"/>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pPr>
    </w:p>
    <w:tbl>
      <w:tblPr>
        <w:tblStyle w:val="17"/>
        <w:tblW w:w="8361"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155"/>
        <w:gridCol w:w="1253"/>
        <w:gridCol w:w="1372"/>
        <w:gridCol w:w="1268"/>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pStyle w:val="2"/>
              <w:ind w:left="0"/>
              <w:jc w:val="center"/>
              <w:rPr>
                <w:sz w:val="21"/>
                <w:szCs w:val="21"/>
              </w:rPr>
            </w:pPr>
            <w:r>
              <w:rPr>
                <w:rFonts w:hint="eastAsia"/>
                <w:sz w:val="21"/>
                <w:szCs w:val="21"/>
              </w:rPr>
              <w:t>税前总金额</w:t>
            </w:r>
          </w:p>
          <w:p>
            <w:pPr>
              <w:pStyle w:val="2"/>
              <w:ind w:left="0"/>
              <w:jc w:val="center"/>
            </w:pPr>
            <w:r>
              <w:rPr>
                <w:rFonts w:hint="eastAsia"/>
                <w:sz w:val="21"/>
                <w:szCs w:val="21"/>
              </w:rPr>
              <w:t>（净价）</w:t>
            </w:r>
          </w:p>
        </w:tc>
        <w:tc>
          <w:tcPr>
            <w:tcW w:w="1155" w:type="dxa"/>
            <w:vAlign w:val="center"/>
          </w:tcPr>
          <w:p>
            <w:pPr>
              <w:spacing w:line="360" w:lineRule="auto"/>
              <w:jc w:val="center"/>
              <w:rPr>
                <w:rFonts w:ascii="宋体" w:hAnsi="宋体"/>
                <w:szCs w:val="21"/>
              </w:rPr>
            </w:pPr>
            <w:r>
              <w:rPr>
                <w:rFonts w:hint="eastAsia" w:ascii="宋体" w:hAnsi="宋体"/>
                <w:szCs w:val="21"/>
              </w:rPr>
              <w:t>税率</w:t>
            </w:r>
          </w:p>
        </w:tc>
        <w:tc>
          <w:tcPr>
            <w:tcW w:w="1253" w:type="dxa"/>
            <w:vAlign w:val="center"/>
          </w:tcPr>
          <w:p>
            <w:pPr>
              <w:spacing w:line="360" w:lineRule="auto"/>
              <w:jc w:val="center"/>
              <w:rPr>
                <w:rFonts w:ascii="宋体" w:hAnsi="宋体"/>
                <w:szCs w:val="21"/>
              </w:rPr>
            </w:pPr>
            <w:r>
              <w:rPr>
                <w:rFonts w:hint="eastAsia" w:ascii="宋体" w:hAnsi="宋体"/>
                <w:szCs w:val="21"/>
              </w:rPr>
              <w:t>税额</w:t>
            </w:r>
          </w:p>
        </w:tc>
        <w:tc>
          <w:tcPr>
            <w:tcW w:w="1372" w:type="dxa"/>
            <w:vAlign w:val="center"/>
          </w:tcPr>
          <w:p>
            <w:pPr>
              <w:spacing w:line="360" w:lineRule="auto"/>
              <w:jc w:val="center"/>
              <w:rPr>
                <w:rFonts w:ascii="宋体" w:hAnsi="宋体"/>
                <w:szCs w:val="21"/>
              </w:rPr>
            </w:pPr>
            <w:r>
              <w:rPr>
                <w:rFonts w:hint="eastAsia" w:ascii="宋体" w:hAnsi="宋体"/>
                <w:szCs w:val="21"/>
              </w:rPr>
              <w:t>含税总金额</w:t>
            </w:r>
          </w:p>
        </w:tc>
        <w:tc>
          <w:tcPr>
            <w:tcW w:w="1268"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747"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宋体" w:hAnsi="宋体"/>
                <w:szCs w:val="21"/>
              </w:rPr>
            </w:pPr>
          </w:p>
        </w:tc>
        <w:tc>
          <w:tcPr>
            <w:tcW w:w="1155" w:type="dxa"/>
          </w:tcPr>
          <w:p>
            <w:pPr>
              <w:spacing w:line="360" w:lineRule="auto"/>
              <w:jc w:val="center"/>
              <w:rPr>
                <w:rFonts w:ascii="宋体" w:hAnsi="宋体"/>
                <w:szCs w:val="21"/>
              </w:rPr>
            </w:pPr>
          </w:p>
        </w:tc>
        <w:tc>
          <w:tcPr>
            <w:tcW w:w="1253" w:type="dxa"/>
          </w:tcPr>
          <w:p>
            <w:pPr>
              <w:spacing w:line="360" w:lineRule="auto"/>
              <w:jc w:val="center"/>
              <w:rPr>
                <w:rFonts w:ascii="宋体" w:hAnsi="宋体"/>
                <w:szCs w:val="21"/>
              </w:rPr>
            </w:pPr>
          </w:p>
        </w:tc>
        <w:tc>
          <w:tcPr>
            <w:tcW w:w="1372" w:type="dxa"/>
          </w:tcPr>
          <w:p>
            <w:pPr>
              <w:spacing w:line="360" w:lineRule="auto"/>
              <w:jc w:val="center"/>
              <w:rPr>
                <w:rFonts w:ascii="宋体" w:hAnsi="宋体"/>
                <w:szCs w:val="21"/>
              </w:rPr>
            </w:pPr>
          </w:p>
        </w:tc>
        <w:tc>
          <w:tcPr>
            <w:tcW w:w="1268" w:type="dxa"/>
          </w:tcPr>
          <w:p>
            <w:pPr>
              <w:spacing w:line="360" w:lineRule="auto"/>
              <w:jc w:val="center"/>
              <w:rPr>
                <w:rFonts w:ascii="宋体" w:hAnsi="宋体"/>
                <w:szCs w:val="21"/>
              </w:rPr>
            </w:pPr>
          </w:p>
        </w:tc>
        <w:tc>
          <w:tcPr>
            <w:tcW w:w="1747"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1"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06791271"/>
      <w:r>
        <w:rPr>
          <w:rFonts w:hint="eastAsia" w:ascii="宋体" w:hAnsi="宋体"/>
          <w:szCs w:val="21"/>
        </w:rPr>
        <w:t>附件4：考察证明</w:t>
      </w:r>
      <w:bookmarkEnd w:id="64"/>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5" w:name="_Toc106791272"/>
      <w:r>
        <w:rPr>
          <w:rFonts w:hint="eastAsia" w:ascii="宋体" w:hAnsi="宋体"/>
          <w:szCs w:val="21"/>
        </w:rPr>
        <w:t>附件5：技术服务响应/偏离表</w:t>
      </w:r>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18"/>
      <w:r>
        <w:rPr>
          <w:rFonts w:hint="eastAsia" w:ascii="方正小标宋_GBK" w:hAnsi="方正小标宋_GBK" w:eastAsia="方正小标宋_GBK"/>
          <w:b/>
          <w:sz w:val="32"/>
          <w:szCs w:val="32"/>
        </w:rPr>
        <w:t>技术服务响应/偏离表</w:t>
      </w:r>
      <w:bookmarkEnd w:id="66"/>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7"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7"/>
      <w:bookmarkStart w:id="68" w:name="_Toc246480945"/>
      <w:bookmarkStart w:id="69" w:name="_Toc236803114"/>
      <w:r>
        <w:rPr>
          <w:rFonts w:ascii="仿宋" w:hAnsi="仿宋" w:eastAsia="仿宋"/>
          <w:sz w:val="28"/>
          <w:szCs w:val="28"/>
        </w:rPr>
        <w:br w:type="page"/>
      </w:r>
    </w:p>
    <w:p>
      <w:pPr>
        <w:spacing w:line="0" w:lineRule="atLeast"/>
        <w:outlineLvl w:val="1"/>
        <w:rPr>
          <w:rFonts w:ascii="宋体" w:hAnsi="宋体"/>
          <w:szCs w:val="21"/>
        </w:rPr>
      </w:pPr>
      <w:bookmarkStart w:id="70" w:name="_Toc106791273"/>
      <w:r>
        <w:rPr>
          <w:rFonts w:hint="eastAsia" w:ascii="宋体" w:hAnsi="宋体"/>
          <w:szCs w:val="21"/>
        </w:rPr>
        <w:t>附件6：商务条款响应/偏离表</w:t>
      </w:r>
      <w:bookmarkEnd w:id="68"/>
      <w:bookmarkEnd w:id="69"/>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20"/>
      <w:r>
        <w:rPr>
          <w:rFonts w:hint="eastAsia" w:ascii="方正小标宋_GBK" w:hAnsi="方正小标宋_GBK" w:eastAsia="方正小标宋_GBK"/>
          <w:b/>
          <w:sz w:val="32"/>
          <w:szCs w:val="32"/>
        </w:rPr>
        <w:t>商务条款响应/偏离表</w:t>
      </w:r>
      <w:bookmarkEnd w:id="71"/>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2" w:name="_Toc395883088"/>
      <w:bookmarkStart w:id="73" w:name="_Toc236803111"/>
      <w:bookmarkStart w:id="74" w:name="_Toc478387764"/>
      <w:r>
        <w:rPr>
          <w:rFonts w:ascii="仿宋" w:hAnsi="仿宋" w:eastAsia="仿宋"/>
          <w:sz w:val="28"/>
          <w:szCs w:val="28"/>
        </w:rPr>
        <w:br w:type="page"/>
      </w:r>
    </w:p>
    <w:p>
      <w:pPr>
        <w:spacing w:line="0" w:lineRule="atLeast"/>
        <w:outlineLvl w:val="1"/>
        <w:rPr>
          <w:rFonts w:ascii="宋体" w:hAnsi="宋体"/>
          <w:szCs w:val="21"/>
        </w:rPr>
      </w:pPr>
      <w:bookmarkStart w:id="75" w:name="_Toc106791274"/>
      <w:r>
        <w:rPr>
          <w:rFonts w:hint="eastAsia" w:ascii="宋体" w:hAnsi="宋体"/>
          <w:szCs w:val="21"/>
        </w:rPr>
        <w:t>附件7：报价一览表（货物）</w:t>
      </w:r>
      <w:r>
        <w:rPr>
          <w:rFonts w:hint="eastAsia" w:ascii="宋体" w:hAnsi="宋体"/>
          <w:color w:val="FF0000"/>
          <w:szCs w:val="21"/>
        </w:rPr>
        <w:t>（本项目不适用）</w:t>
      </w:r>
      <w:bookmarkEnd w:id="75"/>
    </w:p>
    <w:bookmarkEnd w:id="72"/>
    <w:bookmarkEnd w:id="73"/>
    <w:bookmarkEnd w:id="74"/>
    <w:p>
      <w:pPr>
        <w:spacing w:before="120" w:after="240"/>
        <w:jc w:val="center"/>
        <w:rPr>
          <w:rFonts w:ascii="宋体" w:hAnsi="宋体"/>
          <w:b/>
          <w:sz w:val="32"/>
          <w:szCs w:val="32"/>
        </w:rPr>
      </w:pPr>
      <w:bookmarkStart w:id="76" w:name="_Toc211248412"/>
      <w:r>
        <w:rPr>
          <w:rFonts w:hint="eastAsia" w:ascii="方正小标宋_GBK" w:hAnsi="方正小标宋_GBK" w:eastAsia="方正小标宋_GBK"/>
          <w:b/>
          <w:sz w:val="32"/>
          <w:szCs w:val="32"/>
        </w:rPr>
        <w:t>报价一览表</w:t>
      </w:r>
      <w:bookmarkEnd w:id="76"/>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5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5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5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5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7" w:name="_Toc82095917"/>
      <w:bookmarkStart w:id="78"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7"/>
    <w:bookmarkEnd w:id="78"/>
    <w:p>
      <w:pPr>
        <w:spacing w:line="0" w:lineRule="atLeast"/>
        <w:outlineLvl w:val="1"/>
        <w:rPr>
          <w:rFonts w:ascii="宋体" w:hAnsi="宋体"/>
          <w:szCs w:val="21"/>
        </w:rPr>
      </w:pPr>
      <w:bookmarkStart w:id="79" w:name="_Toc106791275"/>
      <w:r>
        <w:rPr>
          <w:rFonts w:hint="eastAsia" w:ascii="宋体" w:hAnsi="宋体"/>
          <w:szCs w:val="21"/>
        </w:rPr>
        <w:t>附件8：报价一览表（服务）</w:t>
      </w:r>
      <w:bookmarkEnd w:id="79"/>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深圳会展中心2022-2024年度高交会中国高新技术论坛会务服务采购项目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934"/>
        <w:gridCol w:w="1169"/>
        <w:gridCol w:w="1325"/>
        <w:gridCol w:w="659"/>
        <w:gridCol w:w="760"/>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序号</w:t>
            </w:r>
          </w:p>
        </w:tc>
        <w:tc>
          <w:tcPr>
            <w:tcW w:w="210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名称</w:t>
            </w:r>
          </w:p>
        </w:tc>
        <w:tc>
          <w:tcPr>
            <w:tcW w:w="132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内容描述</w:t>
            </w:r>
          </w:p>
        </w:tc>
        <w:tc>
          <w:tcPr>
            <w:tcW w:w="6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单位</w:t>
            </w:r>
          </w:p>
        </w:tc>
        <w:tc>
          <w:tcPr>
            <w:tcW w:w="76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c>
          <w:tcPr>
            <w:tcW w:w="210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物料及用品费用</w:t>
            </w:r>
          </w:p>
        </w:tc>
        <w:tc>
          <w:tcPr>
            <w:tcW w:w="1325"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76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Cs w:val="21"/>
              </w:rPr>
            </w:pP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p>
        </w:tc>
        <w:tc>
          <w:tcPr>
            <w:tcW w:w="1417" w:type="dxa"/>
            <w:tcBorders>
              <w:top w:val="single" w:color="auto" w:sz="6" w:space="0"/>
              <w:left w:val="single" w:color="auto" w:sz="4" w:space="0"/>
              <w:bottom w:val="single" w:color="auto" w:sz="6" w:space="0"/>
              <w:right w:val="single" w:color="auto" w:sz="4" w:space="0"/>
            </w:tcBorders>
          </w:tcPr>
          <w:p>
            <w:pPr>
              <w:jc w:val="center"/>
              <w:rPr>
                <w:rFonts w:ascii="宋体" w:hAnsi="宋体"/>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p>
        </w:tc>
      </w:tr>
      <w:tr>
        <w:tblPrEx>
          <w:tblCellMar>
            <w:top w:w="0" w:type="dxa"/>
            <w:left w:w="42" w:type="dxa"/>
            <w:bottom w:w="0" w:type="dxa"/>
            <w:right w:w="42" w:type="dxa"/>
          </w:tblCellMar>
        </w:tblPrEx>
        <w:trPr>
          <w:cantSplit/>
          <w:trHeight w:val="552"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934" w:type="dxa"/>
            <w:vMerge w:val="restart"/>
            <w:tcBorders>
              <w:top w:val="single" w:color="auto" w:sz="6" w:space="0"/>
              <w:left w:val="single" w:color="auto" w:sz="6" w:space="0"/>
              <w:right w:val="single" w:color="auto" w:sz="4" w:space="0"/>
            </w:tcBorders>
            <w:vAlign w:val="center"/>
          </w:tcPr>
          <w:p>
            <w:pPr>
              <w:jc w:val="center"/>
              <w:rPr>
                <w:rFonts w:ascii="宋体" w:hAnsi="宋体"/>
                <w:szCs w:val="21"/>
              </w:rPr>
            </w:pPr>
            <w:r>
              <w:rPr>
                <w:rFonts w:hint="eastAsia" w:ascii="宋体" w:hAnsi="宋体"/>
                <w:szCs w:val="21"/>
              </w:rPr>
              <w:t>人工费用</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工作人员</w:t>
            </w:r>
          </w:p>
        </w:tc>
        <w:tc>
          <w:tcPr>
            <w:tcW w:w="1325" w:type="dxa"/>
            <w:tcBorders>
              <w:top w:val="single" w:color="auto" w:sz="6" w:space="0"/>
              <w:left w:val="single" w:color="auto" w:sz="4" w:space="0"/>
              <w:bottom w:val="single" w:color="auto" w:sz="6" w:space="0"/>
              <w:right w:val="single" w:color="auto" w:sz="6" w:space="0"/>
            </w:tcBorders>
          </w:tcPr>
          <w:p>
            <w:pPr>
              <w:jc w:val="center"/>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76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Cs w:val="21"/>
              </w:rPr>
            </w:pP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p>
        </w:tc>
        <w:tc>
          <w:tcPr>
            <w:tcW w:w="1417" w:type="dxa"/>
            <w:tcBorders>
              <w:top w:val="single" w:color="auto" w:sz="6" w:space="0"/>
              <w:left w:val="single" w:color="auto" w:sz="4" w:space="0"/>
              <w:bottom w:val="single" w:color="auto" w:sz="6" w:space="0"/>
              <w:right w:val="single" w:color="auto" w:sz="4" w:space="0"/>
            </w:tcBorders>
          </w:tcPr>
          <w:p>
            <w:pPr>
              <w:jc w:val="center"/>
              <w:rPr>
                <w:rFonts w:ascii="宋体" w:hAnsi="宋体"/>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p>
        </w:tc>
      </w:tr>
      <w:tr>
        <w:tblPrEx>
          <w:tblCellMar>
            <w:top w:w="0" w:type="dxa"/>
            <w:left w:w="42" w:type="dxa"/>
            <w:bottom w:w="0" w:type="dxa"/>
            <w:right w:w="42" w:type="dxa"/>
          </w:tblCellMar>
        </w:tblPrEx>
        <w:trPr>
          <w:cantSplit/>
          <w:trHeight w:val="560"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宋体" w:hAnsi="宋体"/>
                <w:szCs w:val="21"/>
              </w:rPr>
            </w:pPr>
          </w:p>
        </w:tc>
        <w:tc>
          <w:tcPr>
            <w:tcW w:w="934" w:type="dxa"/>
            <w:vMerge w:val="continue"/>
            <w:tcBorders>
              <w:left w:val="single" w:color="auto" w:sz="6" w:space="0"/>
              <w:bottom w:val="single" w:color="auto" w:sz="6" w:space="0"/>
              <w:right w:val="single" w:color="auto" w:sz="4" w:space="0"/>
            </w:tcBorders>
            <w:vAlign w:val="center"/>
          </w:tcPr>
          <w:p>
            <w:pPr>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会期志愿者</w:t>
            </w:r>
          </w:p>
        </w:tc>
        <w:tc>
          <w:tcPr>
            <w:tcW w:w="1325" w:type="dxa"/>
            <w:tcBorders>
              <w:top w:val="single" w:color="auto" w:sz="6" w:space="0"/>
              <w:left w:val="single" w:color="auto" w:sz="4" w:space="0"/>
              <w:bottom w:val="single" w:color="auto" w:sz="6" w:space="0"/>
              <w:right w:val="single" w:color="auto" w:sz="6" w:space="0"/>
            </w:tcBorders>
          </w:tcPr>
          <w:p>
            <w:pPr>
              <w:jc w:val="center"/>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76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Cs w:val="21"/>
              </w:rPr>
            </w:pP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p>
        </w:tc>
        <w:tc>
          <w:tcPr>
            <w:tcW w:w="1417" w:type="dxa"/>
            <w:tcBorders>
              <w:top w:val="single" w:color="auto" w:sz="6" w:space="0"/>
              <w:left w:val="single" w:color="auto" w:sz="4" w:space="0"/>
              <w:bottom w:val="single" w:color="auto" w:sz="6" w:space="0"/>
              <w:right w:val="single" w:color="auto" w:sz="4" w:space="0"/>
            </w:tcBorders>
          </w:tcPr>
          <w:p>
            <w:pPr>
              <w:jc w:val="center"/>
              <w:rPr>
                <w:rFonts w:ascii="宋体" w:hAnsi="宋体"/>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3</w:t>
            </w:r>
          </w:p>
        </w:tc>
        <w:tc>
          <w:tcPr>
            <w:tcW w:w="210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会务执行费用</w:t>
            </w:r>
          </w:p>
        </w:tc>
        <w:tc>
          <w:tcPr>
            <w:tcW w:w="1325"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场</w:t>
            </w:r>
          </w:p>
        </w:tc>
        <w:tc>
          <w:tcPr>
            <w:tcW w:w="76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p>
        </w:tc>
        <w:tc>
          <w:tcPr>
            <w:tcW w:w="1417" w:type="dxa"/>
            <w:tcBorders>
              <w:top w:val="single" w:color="auto" w:sz="6" w:space="0"/>
              <w:left w:val="single" w:color="auto" w:sz="4" w:space="0"/>
              <w:bottom w:val="single" w:color="auto" w:sz="6" w:space="0"/>
              <w:right w:val="single" w:color="auto" w:sz="4" w:space="0"/>
            </w:tcBorders>
          </w:tcPr>
          <w:p>
            <w:pPr>
              <w:jc w:val="center"/>
              <w:rPr>
                <w:rFonts w:ascii="宋体" w:hAnsi="宋体"/>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4</w:t>
            </w:r>
          </w:p>
        </w:tc>
        <w:tc>
          <w:tcPr>
            <w:tcW w:w="210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其他费用（如有）</w:t>
            </w:r>
          </w:p>
        </w:tc>
        <w:tc>
          <w:tcPr>
            <w:tcW w:w="1325"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76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Cs w:val="21"/>
              </w:rPr>
            </w:pP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p>
        </w:tc>
        <w:tc>
          <w:tcPr>
            <w:tcW w:w="1417" w:type="dxa"/>
            <w:tcBorders>
              <w:top w:val="single" w:color="auto" w:sz="6" w:space="0"/>
              <w:left w:val="single" w:color="auto" w:sz="4" w:space="0"/>
              <w:bottom w:val="single" w:color="auto" w:sz="6" w:space="0"/>
              <w:right w:val="single" w:color="auto" w:sz="4" w:space="0"/>
            </w:tcBorders>
          </w:tcPr>
          <w:p>
            <w:pPr>
              <w:jc w:val="center"/>
              <w:rPr>
                <w:rFonts w:ascii="宋体" w:hAnsi="宋体"/>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210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325"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76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Cs w:val="21"/>
              </w:rPr>
            </w:pPr>
          </w:p>
        </w:tc>
        <w:tc>
          <w:tcPr>
            <w:tcW w:w="127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p>
        </w:tc>
        <w:tc>
          <w:tcPr>
            <w:tcW w:w="1417" w:type="dxa"/>
            <w:tcBorders>
              <w:top w:val="single" w:color="auto" w:sz="6" w:space="0"/>
              <w:left w:val="single" w:color="auto" w:sz="4" w:space="0"/>
              <w:bottom w:val="single" w:color="auto" w:sz="6" w:space="0"/>
              <w:right w:val="single" w:color="auto" w:sz="4" w:space="0"/>
            </w:tcBorders>
          </w:tcPr>
          <w:p>
            <w:pPr>
              <w:jc w:val="center"/>
              <w:rPr>
                <w:rFonts w:ascii="宋体" w:hAnsi="宋体"/>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Cs w:val="21"/>
              </w:rPr>
            </w:pPr>
          </w:p>
        </w:tc>
      </w:tr>
      <w:tr>
        <w:tblPrEx>
          <w:tblCellMar>
            <w:top w:w="0" w:type="dxa"/>
            <w:left w:w="42" w:type="dxa"/>
            <w:bottom w:w="0" w:type="dxa"/>
            <w:right w:w="42" w:type="dxa"/>
          </w:tblCellMar>
        </w:tblPrEx>
        <w:trPr>
          <w:cantSplit/>
          <w:trHeight w:val="340" w:hRule="atLeast"/>
        </w:trPr>
        <w:tc>
          <w:tcPr>
            <w:tcW w:w="6705" w:type="dxa"/>
            <w:gridSpan w:val="7"/>
            <w:tcBorders>
              <w:top w:val="single" w:color="auto" w:sz="6" w:space="0"/>
              <w:left w:val="single" w:color="auto" w:sz="6" w:space="0"/>
              <w:bottom w:val="single" w:color="auto" w:sz="6" w:space="0"/>
              <w:right w:val="single" w:color="auto" w:sz="6" w:space="0"/>
            </w:tcBorders>
          </w:tcPr>
          <w:p>
            <w:pPr>
              <w:jc w:val="right"/>
              <w:rPr>
                <w:rFonts w:ascii="宋体" w:hAnsi="宋体"/>
                <w:szCs w:val="21"/>
              </w:rPr>
            </w:pPr>
            <w:r>
              <w:rPr>
                <w:rFonts w:hint="eastAsia" w:ascii="宋体" w:hAnsi="宋体"/>
                <w:szCs w:val="21"/>
              </w:rPr>
              <w:t>年度合计金额（含税）：</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r>
      <w:tr>
        <w:tblPrEx>
          <w:tblCellMar>
            <w:top w:w="0" w:type="dxa"/>
            <w:left w:w="42" w:type="dxa"/>
            <w:bottom w:w="0" w:type="dxa"/>
            <w:right w:w="42" w:type="dxa"/>
          </w:tblCellMar>
        </w:tblPrEx>
        <w:trPr>
          <w:cantSplit/>
          <w:trHeight w:val="340" w:hRule="atLeast"/>
        </w:trPr>
        <w:tc>
          <w:tcPr>
            <w:tcW w:w="6705" w:type="dxa"/>
            <w:gridSpan w:val="7"/>
            <w:tcBorders>
              <w:top w:val="single" w:color="auto" w:sz="6" w:space="0"/>
              <w:left w:val="single" w:color="auto" w:sz="6" w:space="0"/>
              <w:bottom w:val="single" w:color="auto" w:sz="6" w:space="0"/>
              <w:right w:val="single" w:color="auto" w:sz="6" w:space="0"/>
            </w:tcBorders>
          </w:tcPr>
          <w:p>
            <w:pPr>
              <w:jc w:val="right"/>
              <w:rPr>
                <w:rFonts w:ascii="宋体" w:hAnsi="宋体"/>
                <w:szCs w:val="21"/>
              </w:rPr>
            </w:pPr>
            <w:r>
              <w:rPr>
                <w:rFonts w:hint="eastAsia" w:ascii="宋体" w:hAnsi="宋体"/>
                <w:szCs w:val="21"/>
              </w:rPr>
              <w:t>项目合计总金额（含税）：</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szCs w:val="21"/>
              </w:rPr>
            </w:pPr>
            <w:r>
              <w:rPr>
                <w:rFonts w:hint="eastAsia" w:ascii="宋体" w:hAnsi="宋体"/>
                <w:szCs w:val="21"/>
              </w:rPr>
              <w:t>此为年度合计金额乘以3</w:t>
            </w:r>
          </w:p>
        </w:tc>
      </w:tr>
    </w:tbl>
    <w:p>
      <w:pPr>
        <w:spacing w:line="400" w:lineRule="exact"/>
        <w:rPr>
          <w:rFonts w:ascii="仿宋" w:hAnsi="仿宋" w:eastAsia="仿宋"/>
          <w:bCs/>
          <w:sz w:val="28"/>
          <w:szCs w:val="28"/>
          <w:u w:val="single"/>
        </w:rPr>
      </w:pPr>
      <w:r>
        <w:rPr>
          <w:rFonts w:hint="eastAsia" w:ascii="仿宋" w:hAnsi="仿宋" w:eastAsia="仿宋"/>
          <w:sz w:val="28"/>
          <w:szCs w:val="28"/>
        </w:rPr>
        <w:t>注：</w:t>
      </w:r>
    </w:p>
    <w:p>
      <w:pPr>
        <w:pStyle w:val="24"/>
        <w:numPr>
          <w:ilvl w:val="1"/>
          <w:numId w:val="57"/>
        </w:numPr>
        <w:spacing w:line="400" w:lineRule="exact"/>
        <w:ind w:left="851" w:hanging="425"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如果需要对报价或其它内容加以说明，可在备注一栏中填写。</w:t>
      </w:r>
    </w:p>
    <w:p>
      <w:pPr>
        <w:pStyle w:val="24"/>
        <w:numPr>
          <w:ilvl w:val="1"/>
          <w:numId w:val="57"/>
        </w:numPr>
        <w:spacing w:line="400" w:lineRule="exact"/>
        <w:ind w:left="851" w:hanging="425"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57"/>
        </w:numPr>
        <w:spacing w:line="400" w:lineRule="exact"/>
        <w:ind w:left="851" w:hanging="425"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spacing w:line="400" w:lineRule="exact"/>
        <w:rPr>
          <w:rFonts w:ascii="仿宋" w:hAnsi="仿宋" w:eastAsia="仿宋"/>
          <w:sz w:val="28"/>
          <w:szCs w:val="28"/>
        </w:rPr>
      </w:pP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0" w:name="_Toc106791276"/>
      <w:r>
        <w:rPr>
          <w:rFonts w:hint="eastAsia" w:ascii="宋体" w:hAnsi="宋体"/>
          <w:szCs w:val="21"/>
        </w:rPr>
        <w:t>附件9：报价一览表（工程）</w:t>
      </w:r>
      <w:bookmarkEnd w:id="80"/>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5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5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5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58"/>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1" w:name="_Toc106791277"/>
      <w:r>
        <w:rPr>
          <w:rFonts w:hint="eastAsia" w:ascii="宋体" w:hAnsi="宋体"/>
          <w:szCs w:val="21"/>
        </w:rPr>
        <w:t>附件10：法定代表人证明书</w:t>
      </w:r>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2"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2"/>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3"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83"/>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4"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4"/>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5" w:name="_Toc32341"/>
      <w:r>
        <w:rPr>
          <w:rFonts w:ascii="仿宋" w:hAnsi="仿宋" w:eastAsia="仿宋"/>
          <w:sz w:val="28"/>
          <w:szCs w:val="28"/>
        </w:rPr>
        <w:br w:type="page"/>
      </w:r>
    </w:p>
    <w:p>
      <w:pPr>
        <w:spacing w:line="0" w:lineRule="atLeast"/>
        <w:outlineLvl w:val="1"/>
        <w:rPr>
          <w:rFonts w:ascii="宋体" w:hAnsi="宋体"/>
          <w:szCs w:val="21"/>
        </w:rPr>
      </w:pPr>
      <w:bookmarkStart w:id="86"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5"/>
      <w:bookmarkEnd w:id="86"/>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7" w:name="_Toc100848654"/>
      <w:bookmarkStart w:id="88" w:name="_Toc106791282"/>
      <w:r>
        <w:rPr>
          <w:rFonts w:hint="eastAsia" w:ascii="宋体" w:hAnsi="宋体"/>
        </w:rPr>
        <w:t>附件15：投标文件密码</w:t>
      </w:r>
      <w:bookmarkEnd w:id="87"/>
      <w:r>
        <w:rPr>
          <w:rFonts w:hint="eastAsia" w:ascii="宋体" w:hAnsi="宋体"/>
        </w:rPr>
        <w:t>单</w:t>
      </w:r>
      <w:bookmarkEnd w:id="88"/>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9"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9"/>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61"/>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61"/>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E6211BCB"/>
    <w:multiLevelType w:val="singleLevel"/>
    <w:tmpl w:val="E6211BCB"/>
    <w:lvl w:ilvl="0" w:tentative="0">
      <w:start w:val="1"/>
      <w:numFmt w:val="decimal"/>
      <w:lvlText w:val="(%1)"/>
      <w:lvlJc w:val="left"/>
      <w:pPr>
        <w:ind w:left="425" w:hanging="425"/>
      </w:pPr>
      <w:rPr>
        <w:rFonts w:hint="default"/>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40388A"/>
    <w:multiLevelType w:val="multilevel"/>
    <w:tmpl w:val="084038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911D92"/>
    <w:multiLevelType w:val="singleLevel"/>
    <w:tmpl w:val="0B911D92"/>
    <w:lvl w:ilvl="0" w:tentative="0">
      <w:start w:val="1"/>
      <w:numFmt w:val="chineseCounting"/>
      <w:suff w:val="nothing"/>
      <w:lvlText w:val="（%1）"/>
      <w:lvlJc w:val="left"/>
      <w:pPr>
        <w:ind w:left="0" w:firstLine="420"/>
      </w:pPr>
      <w:rPr>
        <w:rFonts w:hint="eastAsia"/>
      </w:r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A821C9E"/>
    <w:multiLevelType w:val="multilevel"/>
    <w:tmpl w:val="1A821C9E"/>
    <w:lvl w:ilvl="0" w:tentative="0">
      <w:start w:val="1"/>
      <w:numFmt w:val="decimal"/>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B0E1E82"/>
    <w:multiLevelType w:val="multilevel"/>
    <w:tmpl w:val="1B0E1E82"/>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B887354"/>
    <w:multiLevelType w:val="singleLevel"/>
    <w:tmpl w:val="1B887354"/>
    <w:lvl w:ilvl="0" w:tentative="0">
      <w:start w:val="1"/>
      <w:numFmt w:val="decimal"/>
      <w:lvlText w:val="（%1）"/>
      <w:lvlJc w:val="left"/>
      <w:pPr>
        <w:ind w:left="420" w:hanging="420"/>
      </w:pPr>
      <w:rPr>
        <w:rFonts w:hint="eastAsia"/>
        <w:lang w:val="en-US"/>
      </w:rPr>
    </w:lvl>
  </w:abstractNum>
  <w:abstractNum w:abstractNumId="17">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305886"/>
    <w:multiLevelType w:val="singleLevel"/>
    <w:tmpl w:val="21305886"/>
    <w:lvl w:ilvl="0" w:tentative="0">
      <w:start w:val="1"/>
      <w:numFmt w:val="decimal"/>
      <w:lvlText w:val="（%1）"/>
      <w:lvlJc w:val="left"/>
      <w:pPr>
        <w:ind w:left="420" w:hanging="420"/>
      </w:pPr>
      <w:rPr>
        <w:rFonts w:hint="eastAsia"/>
        <w:color w:val="auto"/>
      </w:rPr>
    </w:lvl>
  </w:abstractNum>
  <w:abstractNum w:abstractNumId="19">
    <w:nsid w:val="21DB02E3"/>
    <w:multiLevelType w:val="multilevel"/>
    <w:tmpl w:val="21DB02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E10C89"/>
    <w:multiLevelType w:val="singleLevel"/>
    <w:tmpl w:val="28E10C89"/>
    <w:lvl w:ilvl="0" w:tentative="0">
      <w:start w:val="1"/>
      <w:numFmt w:val="decimal"/>
      <w:suff w:val="space"/>
      <w:lvlText w:val="%1."/>
      <w:lvlJc w:val="left"/>
    </w:lvl>
  </w:abstractNum>
  <w:abstractNum w:abstractNumId="22">
    <w:nsid w:val="2A054E52"/>
    <w:multiLevelType w:val="multilevel"/>
    <w:tmpl w:val="2A054E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E2D3FB5"/>
    <w:multiLevelType w:val="multilevel"/>
    <w:tmpl w:val="2E2D3F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F2A2473"/>
    <w:multiLevelType w:val="singleLevel"/>
    <w:tmpl w:val="2F2A2473"/>
    <w:lvl w:ilvl="0" w:tentative="0">
      <w:start w:val="1"/>
      <w:numFmt w:val="decimal"/>
      <w:lvlText w:val="（%1）"/>
      <w:lvlJc w:val="left"/>
      <w:pPr>
        <w:ind w:left="420" w:hanging="420"/>
      </w:pPr>
      <w:rPr>
        <w:rFonts w:hint="eastAsia"/>
        <w:lang w:val="en-US"/>
      </w:rPr>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F2E0FB4"/>
    <w:multiLevelType w:val="multilevel"/>
    <w:tmpl w:val="3F2E0F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3FCC2CF0"/>
    <w:multiLevelType w:val="singleLevel"/>
    <w:tmpl w:val="3FCC2CF0"/>
    <w:lvl w:ilvl="0" w:tentative="0">
      <w:start w:val="1"/>
      <w:numFmt w:val="decimal"/>
      <w:lvlText w:val="（%1）"/>
      <w:lvlJc w:val="left"/>
      <w:pPr>
        <w:ind w:left="420" w:hanging="420"/>
      </w:pPr>
      <w:rPr>
        <w:rFonts w:hint="eastAsia"/>
        <w:lang w:val="en-US"/>
      </w:rPr>
    </w:lvl>
  </w:abstractNum>
  <w:abstractNum w:abstractNumId="32">
    <w:nsid w:val="40372CA2"/>
    <w:multiLevelType w:val="singleLevel"/>
    <w:tmpl w:val="40372CA2"/>
    <w:lvl w:ilvl="0" w:tentative="0">
      <w:start w:val="1"/>
      <w:numFmt w:val="decimal"/>
      <w:lvlText w:val="（%1）"/>
      <w:lvlJc w:val="left"/>
      <w:pPr>
        <w:ind w:left="420" w:hanging="420"/>
      </w:pPr>
      <w:rPr>
        <w:rFonts w:hint="eastAsia"/>
        <w:lang w:val="en-US"/>
      </w:rPr>
    </w:lvl>
  </w:abstractNum>
  <w:abstractNum w:abstractNumId="33">
    <w:nsid w:val="41034731"/>
    <w:multiLevelType w:val="multilevel"/>
    <w:tmpl w:val="4103473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12F63E2"/>
    <w:multiLevelType w:val="multilevel"/>
    <w:tmpl w:val="412F63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2A909E3"/>
    <w:multiLevelType w:val="multilevel"/>
    <w:tmpl w:val="42A909E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BA719D1"/>
    <w:multiLevelType w:val="singleLevel"/>
    <w:tmpl w:val="4BA719D1"/>
    <w:lvl w:ilvl="0" w:tentative="0">
      <w:start w:val="1"/>
      <w:numFmt w:val="decimal"/>
      <w:lvlText w:val="（%1）"/>
      <w:lvlJc w:val="left"/>
      <w:pPr>
        <w:ind w:left="420" w:hanging="420"/>
      </w:pPr>
      <w:rPr>
        <w:rFonts w:hint="eastAsia"/>
      </w:rPr>
    </w:lvl>
  </w:abstractNum>
  <w:abstractNum w:abstractNumId="37">
    <w:nsid w:val="4E026EFA"/>
    <w:multiLevelType w:val="singleLevel"/>
    <w:tmpl w:val="4E026EFA"/>
    <w:lvl w:ilvl="0" w:tentative="0">
      <w:start w:val="1"/>
      <w:numFmt w:val="decimal"/>
      <w:lvlText w:val="（%1）"/>
      <w:lvlJc w:val="left"/>
      <w:pPr>
        <w:ind w:left="420" w:hanging="420"/>
      </w:pPr>
      <w:rPr>
        <w:rFonts w:hint="eastAsia"/>
        <w:lang w:val="en-US"/>
      </w:rPr>
    </w:lvl>
  </w:abstractNum>
  <w:abstractNum w:abstractNumId="38">
    <w:nsid w:val="554B5F39"/>
    <w:multiLevelType w:val="multilevel"/>
    <w:tmpl w:val="554B5F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72F75E8"/>
    <w:multiLevelType w:val="singleLevel"/>
    <w:tmpl w:val="572F75E8"/>
    <w:lvl w:ilvl="0" w:tentative="0">
      <w:start w:val="1"/>
      <w:numFmt w:val="decimal"/>
      <w:lvlText w:val="（%1）"/>
      <w:lvlJc w:val="left"/>
      <w:pPr>
        <w:ind w:left="420" w:hanging="420"/>
      </w:pPr>
      <w:rPr>
        <w:rFonts w:hint="eastAsia"/>
        <w:lang w:val="en-US"/>
      </w:rPr>
    </w:lvl>
  </w:abstractNum>
  <w:abstractNum w:abstractNumId="43">
    <w:nsid w:val="576C23A1"/>
    <w:multiLevelType w:val="multilevel"/>
    <w:tmpl w:val="576C23A1"/>
    <w:lvl w:ilvl="0" w:tentative="0">
      <w:start w:val="1"/>
      <w:numFmt w:val="decimal"/>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8FD2004"/>
    <w:multiLevelType w:val="multilevel"/>
    <w:tmpl w:val="58FD2004"/>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A8913E1"/>
    <w:multiLevelType w:val="singleLevel"/>
    <w:tmpl w:val="5A8913E1"/>
    <w:lvl w:ilvl="0" w:tentative="0">
      <w:start w:val="1"/>
      <w:numFmt w:val="decimal"/>
      <w:lvlText w:val="（%1）"/>
      <w:lvlJc w:val="left"/>
      <w:pPr>
        <w:ind w:left="420" w:hanging="420"/>
      </w:pPr>
      <w:rPr>
        <w:rFonts w:hint="eastAsia"/>
        <w:lang w:val="en-US"/>
      </w:rPr>
    </w:lvl>
  </w:abstractNum>
  <w:abstractNum w:abstractNumId="46">
    <w:nsid w:val="5AD608D2"/>
    <w:multiLevelType w:val="multilevel"/>
    <w:tmpl w:val="5AD608D2"/>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4335734"/>
    <w:multiLevelType w:val="singleLevel"/>
    <w:tmpl w:val="64335734"/>
    <w:lvl w:ilvl="0" w:tentative="0">
      <w:start w:val="1"/>
      <w:numFmt w:val="decimal"/>
      <w:lvlText w:val="（%1）"/>
      <w:lvlJc w:val="left"/>
      <w:pPr>
        <w:ind w:left="420" w:hanging="420"/>
      </w:pPr>
      <w:rPr>
        <w:rFonts w:hint="eastAsia"/>
        <w:lang w:val="en-US"/>
      </w:rPr>
    </w:lvl>
  </w:abstractNum>
  <w:abstractNum w:abstractNumId="4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9">
    <w:nsid w:val="68524EE2"/>
    <w:multiLevelType w:val="singleLevel"/>
    <w:tmpl w:val="68524EE2"/>
    <w:lvl w:ilvl="0" w:tentative="0">
      <w:start w:val="1"/>
      <w:numFmt w:val="decimal"/>
      <w:lvlText w:val="（%1）"/>
      <w:lvlJc w:val="left"/>
      <w:pPr>
        <w:ind w:left="420" w:hanging="420"/>
      </w:pPr>
      <w:rPr>
        <w:rFonts w:hint="eastAsia"/>
        <w:lang w:val="en-US"/>
      </w:rPr>
    </w:lvl>
  </w:abstractNum>
  <w:abstractNum w:abstractNumId="5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1">
    <w:nsid w:val="6C967399"/>
    <w:multiLevelType w:val="multilevel"/>
    <w:tmpl w:val="6C9673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30015CE"/>
    <w:multiLevelType w:val="singleLevel"/>
    <w:tmpl w:val="730015CE"/>
    <w:lvl w:ilvl="0" w:tentative="0">
      <w:start w:val="1"/>
      <w:numFmt w:val="decimal"/>
      <w:lvlText w:val="（%1）"/>
      <w:lvlJc w:val="left"/>
      <w:pPr>
        <w:ind w:left="420" w:hanging="420"/>
      </w:pPr>
      <w:rPr>
        <w:rFonts w:hint="eastAsia"/>
        <w:lang w:val="en-US"/>
      </w:rPr>
    </w:lvl>
  </w:abstractNum>
  <w:abstractNum w:abstractNumId="53">
    <w:nsid w:val="739433F9"/>
    <w:multiLevelType w:val="singleLevel"/>
    <w:tmpl w:val="739433F9"/>
    <w:lvl w:ilvl="0" w:tentative="0">
      <w:start w:val="1"/>
      <w:numFmt w:val="decimal"/>
      <w:suff w:val="space"/>
      <w:lvlText w:val="%1."/>
      <w:lvlJc w:val="left"/>
    </w:lvl>
  </w:abstractNum>
  <w:abstractNum w:abstractNumId="54">
    <w:nsid w:val="7505100C"/>
    <w:multiLevelType w:val="multilevel"/>
    <w:tmpl w:val="7505100C"/>
    <w:lvl w:ilvl="0" w:tentative="0">
      <w:start w:val="1"/>
      <w:numFmt w:val="decimal"/>
      <w:lvlText w:val="（%1）"/>
      <w:lvlJc w:val="left"/>
      <w:pPr>
        <w:ind w:left="420" w:hanging="420"/>
      </w:pPr>
      <w:rPr>
        <w:rFonts w:hint="eastAsia" w:ascii="宋体" w:hAnsi="宋体" w:eastAsia="宋体"/>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0E760B"/>
    <w:multiLevelType w:val="singleLevel"/>
    <w:tmpl w:val="750E760B"/>
    <w:lvl w:ilvl="0" w:tentative="0">
      <w:start w:val="1"/>
      <w:numFmt w:val="decimal"/>
      <w:lvlText w:val="（%1）"/>
      <w:lvlJc w:val="left"/>
      <w:pPr>
        <w:ind w:left="420" w:hanging="420"/>
      </w:pPr>
      <w:rPr>
        <w:rFonts w:hint="eastAsia"/>
        <w:lang w:val="en-US"/>
      </w:rPr>
    </w:lvl>
  </w:abstractNum>
  <w:abstractNum w:abstractNumId="56">
    <w:nsid w:val="7B2A5AD3"/>
    <w:multiLevelType w:val="multilevel"/>
    <w:tmpl w:val="7B2A5A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4A4E0C"/>
    <w:multiLevelType w:val="singleLevel"/>
    <w:tmpl w:val="7B4A4E0C"/>
    <w:lvl w:ilvl="0" w:tentative="0">
      <w:start w:val="1"/>
      <w:numFmt w:val="decimal"/>
      <w:lvlText w:val="（%1）"/>
      <w:lvlJc w:val="left"/>
      <w:pPr>
        <w:ind w:left="420" w:hanging="420"/>
      </w:pPr>
      <w:rPr>
        <w:rFonts w:hint="eastAsia"/>
        <w:color w:val="000000" w:themeColor="text1"/>
        <w14:textFill>
          <w14:solidFill>
            <w14:schemeClr w14:val="tx1"/>
          </w14:solidFill>
        </w14:textFill>
      </w:rPr>
    </w:lvl>
  </w:abstractNum>
  <w:abstractNum w:abstractNumId="58">
    <w:nsid w:val="7ED17433"/>
    <w:multiLevelType w:val="singleLevel"/>
    <w:tmpl w:val="7ED17433"/>
    <w:lvl w:ilvl="0" w:tentative="0">
      <w:start w:val="1"/>
      <w:numFmt w:val="decimal"/>
      <w:lvlText w:val="（%1）"/>
      <w:lvlJc w:val="left"/>
      <w:pPr>
        <w:ind w:left="420" w:hanging="420"/>
      </w:pPr>
      <w:rPr>
        <w:rFonts w:hint="eastAsia"/>
      </w:rPr>
    </w:lvl>
  </w:abstractNum>
  <w:abstractNum w:abstractNumId="59">
    <w:nsid w:val="7FF35857"/>
    <w:multiLevelType w:val="singleLevel"/>
    <w:tmpl w:val="7FF35857"/>
    <w:lvl w:ilvl="0" w:tentative="0">
      <w:start w:val="1"/>
      <w:numFmt w:val="decimal"/>
      <w:lvlText w:val="（%1）"/>
      <w:lvlJc w:val="left"/>
      <w:pPr>
        <w:ind w:left="420" w:hanging="420"/>
      </w:pPr>
      <w:rPr>
        <w:rFonts w:hint="eastAsia"/>
        <w:lang w:val="en-US"/>
      </w:rPr>
    </w:lvl>
  </w:abstractNum>
  <w:num w:numId="1">
    <w:abstractNumId w:val="40"/>
  </w:num>
  <w:num w:numId="2">
    <w:abstractNumId w:val="50"/>
  </w:num>
  <w:num w:numId="3">
    <w:abstractNumId w:val="27"/>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1"/>
  </w:num>
  <w:num w:numId="8">
    <w:abstractNumId w:val="28"/>
  </w:num>
  <w:num w:numId="9">
    <w:abstractNumId w:val="12"/>
  </w:num>
  <w:num w:numId="10">
    <w:abstractNumId w:val="57"/>
  </w:num>
  <w:num w:numId="11">
    <w:abstractNumId w:val="58"/>
  </w:num>
  <w:num w:numId="12">
    <w:abstractNumId w:val="18"/>
  </w:num>
  <w:num w:numId="13">
    <w:abstractNumId w:val="36"/>
  </w:num>
  <w:num w:numId="14">
    <w:abstractNumId w:val="9"/>
  </w:num>
  <w:num w:numId="15">
    <w:abstractNumId w:val="33"/>
  </w:num>
  <w:num w:numId="16">
    <w:abstractNumId w:val="19"/>
  </w:num>
  <w:num w:numId="17">
    <w:abstractNumId w:val="10"/>
  </w:num>
  <w:num w:numId="18">
    <w:abstractNumId w:val="55"/>
  </w:num>
  <w:num w:numId="19">
    <w:abstractNumId w:val="49"/>
  </w:num>
  <w:num w:numId="20">
    <w:abstractNumId w:val="59"/>
  </w:num>
  <w:num w:numId="21">
    <w:abstractNumId w:val="45"/>
  </w:num>
  <w:num w:numId="22">
    <w:abstractNumId w:val="47"/>
  </w:num>
  <w:num w:numId="23">
    <w:abstractNumId w:val="16"/>
  </w:num>
  <w:num w:numId="24">
    <w:abstractNumId w:val="44"/>
  </w:num>
  <w:num w:numId="25">
    <w:abstractNumId w:val="43"/>
  </w:num>
  <w:num w:numId="26">
    <w:abstractNumId w:val="54"/>
  </w:num>
  <w:num w:numId="27">
    <w:abstractNumId w:val="56"/>
  </w:num>
  <w:num w:numId="28">
    <w:abstractNumId w:val="35"/>
  </w:num>
  <w:num w:numId="29">
    <w:abstractNumId w:val="46"/>
  </w:num>
  <w:num w:numId="30">
    <w:abstractNumId w:val="2"/>
  </w:num>
  <w:num w:numId="31">
    <w:abstractNumId w:val="21"/>
  </w:num>
  <w:num w:numId="32">
    <w:abstractNumId w:val="7"/>
  </w:num>
  <w:num w:numId="33">
    <w:abstractNumId w:val="53"/>
  </w:num>
  <w:num w:numId="34">
    <w:abstractNumId w:val="17"/>
  </w:num>
  <w:num w:numId="35">
    <w:abstractNumId w:val="23"/>
  </w:num>
  <w:num w:numId="36">
    <w:abstractNumId w:val="4"/>
  </w:num>
  <w:num w:numId="37">
    <w:abstractNumId w:val="15"/>
  </w:num>
  <w:num w:numId="38">
    <w:abstractNumId w:val="26"/>
  </w:num>
  <w:num w:numId="39">
    <w:abstractNumId w:val="29"/>
  </w:num>
  <w:num w:numId="40">
    <w:abstractNumId w:val="51"/>
  </w:num>
  <w:num w:numId="41">
    <w:abstractNumId w:val="22"/>
  </w:num>
  <w:num w:numId="42">
    <w:abstractNumId w:val="34"/>
  </w:num>
  <w:num w:numId="43">
    <w:abstractNumId w:val="0"/>
  </w:num>
  <w:num w:numId="44">
    <w:abstractNumId w:val="3"/>
  </w:num>
  <w:num w:numId="45">
    <w:abstractNumId w:val="38"/>
  </w:num>
  <w:num w:numId="46">
    <w:abstractNumId w:val="32"/>
  </w:num>
  <w:num w:numId="47">
    <w:abstractNumId w:val="31"/>
  </w:num>
  <w:num w:numId="48">
    <w:abstractNumId w:val="52"/>
  </w:num>
  <w:num w:numId="49">
    <w:abstractNumId w:val="42"/>
  </w:num>
  <w:num w:numId="50">
    <w:abstractNumId w:val="37"/>
  </w:num>
  <w:num w:numId="51">
    <w:abstractNumId w:val="24"/>
  </w:num>
  <w:num w:numId="52">
    <w:abstractNumId w:val="14"/>
  </w:num>
  <w:num w:numId="53">
    <w:abstractNumId w:val="11"/>
  </w:num>
  <w:num w:numId="54">
    <w:abstractNumId w:val="6"/>
  </w:num>
  <w:num w:numId="55">
    <w:abstractNumId w:val="5"/>
  </w:num>
  <w:num w:numId="56">
    <w:abstractNumId w:val="48"/>
  </w:num>
  <w:num w:numId="57">
    <w:abstractNumId w:val="30"/>
  </w:num>
  <w:num w:numId="58">
    <w:abstractNumId w:val="25"/>
  </w:num>
  <w:num w:numId="59">
    <w:abstractNumId w:val="8"/>
  </w:num>
  <w:num w:numId="60">
    <w:abstractNumId w:val="39"/>
  </w:num>
  <w:num w:numId="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2FC4"/>
    <w:rsid w:val="000071F5"/>
    <w:rsid w:val="000109CF"/>
    <w:rsid w:val="0001342C"/>
    <w:rsid w:val="0001408F"/>
    <w:rsid w:val="00020D3D"/>
    <w:rsid w:val="0002431D"/>
    <w:rsid w:val="000254DF"/>
    <w:rsid w:val="000262A2"/>
    <w:rsid w:val="00030ED4"/>
    <w:rsid w:val="0005325D"/>
    <w:rsid w:val="0006307A"/>
    <w:rsid w:val="00071803"/>
    <w:rsid w:val="00074891"/>
    <w:rsid w:val="000749EB"/>
    <w:rsid w:val="00077160"/>
    <w:rsid w:val="00080360"/>
    <w:rsid w:val="00093F3A"/>
    <w:rsid w:val="00095512"/>
    <w:rsid w:val="000A2052"/>
    <w:rsid w:val="000A2942"/>
    <w:rsid w:val="000B02A3"/>
    <w:rsid w:val="000C0416"/>
    <w:rsid w:val="000C45B3"/>
    <w:rsid w:val="000C7053"/>
    <w:rsid w:val="000C7EC0"/>
    <w:rsid w:val="000E26A2"/>
    <w:rsid w:val="000E3E7C"/>
    <w:rsid w:val="000E4CCC"/>
    <w:rsid w:val="000F16F8"/>
    <w:rsid w:val="000F23B0"/>
    <w:rsid w:val="001052B4"/>
    <w:rsid w:val="001107A5"/>
    <w:rsid w:val="00123595"/>
    <w:rsid w:val="001238C4"/>
    <w:rsid w:val="0012732B"/>
    <w:rsid w:val="001310E0"/>
    <w:rsid w:val="0013213B"/>
    <w:rsid w:val="001356BD"/>
    <w:rsid w:val="0013663B"/>
    <w:rsid w:val="00137AB2"/>
    <w:rsid w:val="00137B27"/>
    <w:rsid w:val="00141B72"/>
    <w:rsid w:val="001427DC"/>
    <w:rsid w:val="00162AA4"/>
    <w:rsid w:val="0017163D"/>
    <w:rsid w:val="001723D2"/>
    <w:rsid w:val="00174846"/>
    <w:rsid w:val="00180E0D"/>
    <w:rsid w:val="00181529"/>
    <w:rsid w:val="001959E5"/>
    <w:rsid w:val="001978B2"/>
    <w:rsid w:val="001A282A"/>
    <w:rsid w:val="001A2C43"/>
    <w:rsid w:val="001A6C5B"/>
    <w:rsid w:val="001E204B"/>
    <w:rsid w:val="001E2A7B"/>
    <w:rsid w:val="001E3DF9"/>
    <w:rsid w:val="001E44D2"/>
    <w:rsid w:val="001E6E62"/>
    <w:rsid w:val="001F14F2"/>
    <w:rsid w:val="001F279E"/>
    <w:rsid w:val="0020628E"/>
    <w:rsid w:val="00206999"/>
    <w:rsid w:val="00222FE8"/>
    <w:rsid w:val="0022301D"/>
    <w:rsid w:val="0022465E"/>
    <w:rsid w:val="00233E0E"/>
    <w:rsid w:val="00244136"/>
    <w:rsid w:val="00251B4E"/>
    <w:rsid w:val="00252697"/>
    <w:rsid w:val="00253531"/>
    <w:rsid w:val="00292E63"/>
    <w:rsid w:val="002963F2"/>
    <w:rsid w:val="002A1B14"/>
    <w:rsid w:val="002A25F8"/>
    <w:rsid w:val="002B743A"/>
    <w:rsid w:val="002C49F2"/>
    <w:rsid w:val="002C5F46"/>
    <w:rsid w:val="002C6B9F"/>
    <w:rsid w:val="003158DE"/>
    <w:rsid w:val="003229AA"/>
    <w:rsid w:val="0032368E"/>
    <w:rsid w:val="003255E6"/>
    <w:rsid w:val="003300CC"/>
    <w:rsid w:val="00331519"/>
    <w:rsid w:val="00337D03"/>
    <w:rsid w:val="003436BC"/>
    <w:rsid w:val="00354484"/>
    <w:rsid w:val="003545D1"/>
    <w:rsid w:val="00356F92"/>
    <w:rsid w:val="003703EA"/>
    <w:rsid w:val="0037679F"/>
    <w:rsid w:val="003823A8"/>
    <w:rsid w:val="00385924"/>
    <w:rsid w:val="00397C1E"/>
    <w:rsid w:val="003A09E6"/>
    <w:rsid w:val="003A403E"/>
    <w:rsid w:val="003B01FB"/>
    <w:rsid w:val="003C2FBB"/>
    <w:rsid w:val="003D0358"/>
    <w:rsid w:val="003E6092"/>
    <w:rsid w:val="003E66A3"/>
    <w:rsid w:val="003E7621"/>
    <w:rsid w:val="003F1E01"/>
    <w:rsid w:val="004235D9"/>
    <w:rsid w:val="00427D5D"/>
    <w:rsid w:val="00441F17"/>
    <w:rsid w:val="00447C8F"/>
    <w:rsid w:val="00460C20"/>
    <w:rsid w:val="00463172"/>
    <w:rsid w:val="00463776"/>
    <w:rsid w:val="004707D2"/>
    <w:rsid w:val="00471ED2"/>
    <w:rsid w:val="004768D1"/>
    <w:rsid w:val="00476C96"/>
    <w:rsid w:val="004775EE"/>
    <w:rsid w:val="0048618C"/>
    <w:rsid w:val="00492F1D"/>
    <w:rsid w:val="004A0594"/>
    <w:rsid w:val="004A0D6B"/>
    <w:rsid w:val="004A7C1F"/>
    <w:rsid w:val="004B0D64"/>
    <w:rsid w:val="004B105B"/>
    <w:rsid w:val="004B24F9"/>
    <w:rsid w:val="004C4228"/>
    <w:rsid w:val="004D1901"/>
    <w:rsid w:val="004D58FC"/>
    <w:rsid w:val="004D5AC3"/>
    <w:rsid w:val="004D6F70"/>
    <w:rsid w:val="004E3802"/>
    <w:rsid w:val="004E3A19"/>
    <w:rsid w:val="004E40C8"/>
    <w:rsid w:val="004E4541"/>
    <w:rsid w:val="004E7657"/>
    <w:rsid w:val="004F2ED2"/>
    <w:rsid w:val="004F3422"/>
    <w:rsid w:val="004F63E5"/>
    <w:rsid w:val="00506B6D"/>
    <w:rsid w:val="00544B6E"/>
    <w:rsid w:val="00550A0A"/>
    <w:rsid w:val="00560EC9"/>
    <w:rsid w:val="00565EDC"/>
    <w:rsid w:val="00566903"/>
    <w:rsid w:val="00577381"/>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528E0"/>
    <w:rsid w:val="00662BDB"/>
    <w:rsid w:val="006635D2"/>
    <w:rsid w:val="00664471"/>
    <w:rsid w:val="006805D2"/>
    <w:rsid w:val="00681577"/>
    <w:rsid w:val="006815B1"/>
    <w:rsid w:val="00687753"/>
    <w:rsid w:val="006942FF"/>
    <w:rsid w:val="006A4FED"/>
    <w:rsid w:val="006B1729"/>
    <w:rsid w:val="006B3970"/>
    <w:rsid w:val="006B4923"/>
    <w:rsid w:val="006C4074"/>
    <w:rsid w:val="006C659A"/>
    <w:rsid w:val="006C7266"/>
    <w:rsid w:val="006C7574"/>
    <w:rsid w:val="006D0C2A"/>
    <w:rsid w:val="006D7ABC"/>
    <w:rsid w:val="006E0464"/>
    <w:rsid w:val="006E42A5"/>
    <w:rsid w:val="006E6992"/>
    <w:rsid w:val="006F0E4A"/>
    <w:rsid w:val="006F3293"/>
    <w:rsid w:val="00700685"/>
    <w:rsid w:val="0070433C"/>
    <w:rsid w:val="007115E1"/>
    <w:rsid w:val="00712965"/>
    <w:rsid w:val="007141D0"/>
    <w:rsid w:val="00714F2D"/>
    <w:rsid w:val="00715AB4"/>
    <w:rsid w:val="007164D8"/>
    <w:rsid w:val="00717FB9"/>
    <w:rsid w:val="007202BE"/>
    <w:rsid w:val="00731047"/>
    <w:rsid w:val="007347D6"/>
    <w:rsid w:val="007349B7"/>
    <w:rsid w:val="00741880"/>
    <w:rsid w:val="007542A8"/>
    <w:rsid w:val="007559E5"/>
    <w:rsid w:val="00760715"/>
    <w:rsid w:val="007672EE"/>
    <w:rsid w:val="0076763C"/>
    <w:rsid w:val="00771A61"/>
    <w:rsid w:val="007744CB"/>
    <w:rsid w:val="0077621A"/>
    <w:rsid w:val="00781DFA"/>
    <w:rsid w:val="00782E08"/>
    <w:rsid w:val="00790A8A"/>
    <w:rsid w:val="007933D2"/>
    <w:rsid w:val="007A3D2F"/>
    <w:rsid w:val="007C02CE"/>
    <w:rsid w:val="007C3EB8"/>
    <w:rsid w:val="007C50B2"/>
    <w:rsid w:val="007D0538"/>
    <w:rsid w:val="007D5F01"/>
    <w:rsid w:val="007D712E"/>
    <w:rsid w:val="008016B8"/>
    <w:rsid w:val="00803948"/>
    <w:rsid w:val="00803FA2"/>
    <w:rsid w:val="0080785F"/>
    <w:rsid w:val="008117C1"/>
    <w:rsid w:val="00823E99"/>
    <w:rsid w:val="008366BE"/>
    <w:rsid w:val="0084470A"/>
    <w:rsid w:val="00845DE7"/>
    <w:rsid w:val="00857F72"/>
    <w:rsid w:val="008653EA"/>
    <w:rsid w:val="00866C0E"/>
    <w:rsid w:val="00867C56"/>
    <w:rsid w:val="00870B22"/>
    <w:rsid w:val="008737D7"/>
    <w:rsid w:val="00874BB5"/>
    <w:rsid w:val="00880C0F"/>
    <w:rsid w:val="008851AD"/>
    <w:rsid w:val="00895D5D"/>
    <w:rsid w:val="008A0193"/>
    <w:rsid w:val="008B2C67"/>
    <w:rsid w:val="008C44DE"/>
    <w:rsid w:val="008D11E5"/>
    <w:rsid w:val="008D2808"/>
    <w:rsid w:val="008E05E5"/>
    <w:rsid w:val="008E69BA"/>
    <w:rsid w:val="008E74DB"/>
    <w:rsid w:val="008F03B4"/>
    <w:rsid w:val="008F2EF5"/>
    <w:rsid w:val="008F492A"/>
    <w:rsid w:val="0090462B"/>
    <w:rsid w:val="0090679C"/>
    <w:rsid w:val="0090721F"/>
    <w:rsid w:val="00915276"/>
    <w:rsid w:val="00915BDD"/>
    <w:rsid w:val="00926702"/>
    <w:rsid w:val="00927979"/>
    <w:rsid w:val="00931C4D"/>
    <w:rsid w:val="00937F12"/>
    <w:rsid w:val="00943245"/>
    <w:rsid w:val="0094528D"/>
    <w:rsid w:val="00960B05"/>
    <w:rsid w:val="00963D73"/>
    <w:rsid w:val="00974D31"/>
    <w:rsid w:val="00976465"/>
    <w:rsid w:val="0098029E"/>
    <w:rsid w:val="0098263B"/>
    <w:rsid w:val="00982922"/>
    <w:rsid w:val="00982E82"/>
    <w:rsid w:val="00991233"/>
    <w:rsid w:val="0099368E"/>
    <w:rsid w:val="009953F9"/>
    <w:rsid w:val="009A37EC"/>
    <w:rsid w:val="009A699B"/>
    <w:rsid w:val="009A6EF3"/>
    <w:rsid w:val="009B7189"/>
    <w:rsid w:val="009C0135"/>
    <w:rsid w:val="009D0C0A"/>
    <w:rsid w:val="009D3587"/>
    <w:rsid w:val="009E25C8"/>
    <w:rsid w:val="009E2781"/>
    <w:rsid w:val="009E3D67"/>
    <w:rsid w:val="009E7342"/>
    <w:rsid w:val="009F1B5D"/>
    <w:rsid w:val="00A0064A"/>
    <w:rsid w:val="00A0267F"/>
    <w:rsid w:val="00A059AE"/>
    <w:rsid w:val="00A30228"/>
    <w:rsid w:val="00A31A55"/>
    <w:rsid w:val="00A3423A"/>
    <w:rsid w:val="00A35983"/>
    <w:rsid w:val="00A35F31"/>
    <w:rsid w:val="00A374AD"/>
    <w:rsid w:val="00A376AC"/>
    <w:rsid w:val="00A4407E"/>
    <w:rsid w:val="00A46C1C"/>
    <w:rsid w:val="00A639F5"/>
    <w:rsid w:val="00A75B61"/>
    <w:rsid w:val="00A761F1"/>
    <w:rsid w:val="00A8313A"/>
    <w:rsid w:val="00A8687F"/>
    <w:rsid w:val="00AA01BF"/>
    <w:rsid w:val="00AA0F85"/>
    <w:rsid w:val="00AA320E"/>
    <w:rsid w:val="00AA32E1"/>
    <w:rsid w:val="00AA38D8"/>
    <w:rsid w:val="00AA56F4"/>
    <w:rsid w:val="00AA6BD5"/>
    <w:rsid w:val="00AB0184"/>
    <w:rsid w:val="00AB0A23"/>
    <w:rsid w:val="00AB5AC6"/>
    <w:rsid w:val="00AC1082"/>
    <w:rsid w:val="00AC4319"/>
    <w:rsid w:val="00AC7FB5"/>
    <w:rsid w:val="00AD0743"/>
    <w:rsid w:val="00AE1E1D"/>
    <w:rsid w:val="00AE23DA"/>
    <w:rsid w:val="00AE6E75"/>
    <w:rsid w:val="00AF0A7F"/>
    <w:rsid w:val="00AF1254"/>
    <w:rsid w:val="00AF348F"/>
    <w:rsid w:val="00AF730B"/>
    <w:rsid w:val="00B02F8D"/>
    <w:rsid w:val="00B049D6"/>
    <w:rsid w:val="00B12963"/>
    <w:rsid w:val="00B1365B"/>
    <w:rsid w:val="00B21864"/>
    <w:rsid w:val="00B36606"/>
    <w:rsid w:val="00B37A2F"/>
    <w:rsid w:val="00B40F3E"/>
    <w:rsid w:val="00B44E4F"/>
    <w:rsid w:val="00B468B8"/>
    <w:rsid w:val="00B522B7"/>
    <w:rsid w:val="00B63196"/>
    <w:rsid w:val="00B65C5E"/>
    <w:rsid w:val="00B671B8"/>
    <w:rsid w:val="00B76BC6"/>
    <w:rsid w:val="00B91280"/>
    <w:rsid w:val="00BA3D97"/>
    <w:rsid w:val="00BA6D13"/>
    <w:rsid w:val="00BA7AC7"/>
    <w:rsid w:val="00BC0C0B"/>
    <w:rsid w:val="00BC40BD"/>
    <w:rsid w:val="00BD120A"/>
    <w:rsid w:val="00BD1E19"/>
    <w:rsid w:val="00BD666B"/>
    <w:rsid w:val="00BF52E8"/>
    <w:rsid w:val="00C01654"/>
    <w:rsid w:val="00C0304B"/>
    <w:rsid w:val="00C2322E"/>
    <w:rsid w:val="00C30244"/>
    <w:rsid w:val="00C42A9E"/>
    <w:rsid w:val="00C5180D"/>
    <w:rsid w:val="00C53AB0"/>
    <w:rsid w:val="00C53D1D"/>
    <w:rsid w:val="00C61FB2"/>
    <w:rsid w:val="00C6530D"/>
    <w:rsid w:val="00C72E08"/>
    <w:rsid w:val="00C76FD5"/>
    <w:rsid w:val="00C84C10"/>
    <w:rsid w:val="00C9460F"/>
    <w:rsid w:val="00C95195"/>
    <w:rsid w:val="00CA0ACF"/>
    <w:rsid w:val="00CA58FE"/>
    <w:rsid w:val="00CB0006"/>
    <w:rsid w:val="00CB1DEF"/>
    <w:rsid w:val="00CC73DA"/>
    <w:rsid w:val="00CD24C8"/>
    <w:rsid w:val="00CD4DCE"/>
    <w:rsid w:val="00CE24CE"/>
    <w:rsid w:val="00CE34F4"/>
    <w:rsid w:val="00CE5F16"/>
    <w:rsid w:val="00CF3F58"/>
    <w:rsid w:val="00D0331F"/>
    <w:rsid w:val="00D13594"/>
    <w:rsid w:val="00D2411A"/>
    <w:rsid w:val="00D4224E"/>
    <w:rsid w:val="00D43550"/>
    <w:rsid w:val="00D47B1D"/>
    <w:rsid w:val="00D61A46"/>
    <w:rsid w:val="00D629CE"/>
    <w:rsid w:val="00D7488B"/>
    <w:rsid w:val="00D83CA2"/>
    <w:rsid w:val="00D83CC0"/>
    <w:rsid w:val="00D84553"/>
    <w:rsid w:val="00D8470E"/>
    <w:rsid w:val="00D93BDE"/>
    <w:rsid w:val="00D955EB"/>
    <w:rsid w:val="00DA7681"/>
    <w:rsid w:val="00DA796A"/>
    <w:rsid w:val="00DB1C4E"/>
    <w:rsid w:val="00DB4864"/>
    <w:rsid w:val="00DB7D95"/>
    <w:rsid w:val="00DD544D"/>
    <w:rsid w:val="00DE54DF"/>
    <w:rsid w:val="00DE5E4C"/>
    <w:rsid w:val="00DE7DDC"/>
    <w:rsid w:val="00DF66EF"/>
    <w:rsid w:val="00E04B4C"/>
    <w:rsid w:val="00E107EC"/>
    <w:rsid w:val="00E11738"/>
    <w:rsid w:val="00E12957"/>
    <w:rsid w:val="00E225F7"/>
    <w:rsid w:val="00E27F91"/>
    <w:rsid w:val="00E31BD7"/>
    <w:rsid w:val="00E31FDB"/>
    <w:rsid w:val="00E3456A"/>
    <w:rsid w:val="00E446A8"/>
    <w:rsid w:val="00E45D07"/>
    <w:rsid w:val="00E468FB"/>
    <w:rsid w:val="00E677C6"/>
    <w:rsid w:val="00E70687"/>
    <w:rsid w:val="00E710FC"/>
    <w:rsid w:val="00E75726"/>
    <w:rsid w:val="00E843F8"/>
    <w:rsid w:val="00E869A7"/>
    <w:rsid w:val="00E86CB7"/>
    <w:rsid w:val="00E928C6"/>
    <w:rsid w:val="00E9315E"/>
    <w:rsid w:val="00EA0513"/>
    <w:rsid w:val="00EB49F3"/>
    <w:rsid w:val="00EC57A0"/>
    <w:rsid w:val="00ED6D11"/>
    <w:rsid w:val="00F00080"/>
    <w:rsid w:val="00F01837"/>
    <w:rsid w:val="00F01D21"/>
    <w:rsid w:val="00F03A68"/>
    <w:rsid w:val="00F03CC0"/>
    <w:rsid w:val="00F04E6A"/>
    <w:rsid w:val="00F112C6"/>
    <w:rsid w:val="00F1499F"/>
    <w:rsid w:val="00F16B1E"/>
    <w:rsid w:val="00F210DC"/>
    <w:rsid w:val="00F2136A"/>
    <w:rsid w:val="00F256B7"/>
    <w:rsid w:val="00F309E8"/>
    <w:rsid w:val="00F313E2"/>
    <w:rsid w:val="00F36975"/>
    <w:rsid w:val="00F467E3"/>
    <w:rsid w:val="00F47201"/>
    <w:rsid w:val="00F51F03"/>
    <w:rsid w:val="00F525B8"/>
    <w:rsid w:val="00F53D25"/>
    <w:rsid w:val="00F64816"/>
    <w:rsid w:val="00F73354"/>
    <w:rsid w:val="00F92605"/>
    <w:rsid w:val="00F959E2"/>
    <w:rsid w:val="00FA0111"/>
    <w:rsid w:val="00FA092E"/>
    <w:rsid w:val="00FA0939"/>
    <w:rsid w:val="00FA63B5"/>
    <w:rsid w:val="00FA6D58"/>
    <w:rsid w:val="00FA7DD8"/>
    <w:rsid w:val="00FD0182"/>
    <w:rsid w:val="00FD52D3"/>
    <w:rsid w:val="00FE2E67"/>
    <w:rsid w:val="00FE4FA9"/>
    <w:rsid w:val="00FE72DF"/>
    <w:rsid w:val="00FF2F91"/>
    <w:rsid w:val="02146286"/>
    <w:rsid w:val="02B47C4D"/>
    <w:rsid w:val="02B6427C"/>
    <w:rsid w:val="04D46768"/>
    <w:rsid w:val="05115A3D"/>
    <w:rsid w:val="053A1CC8"/>
    <w:rsid w:val="06856661"/>
    <w:rsid w:val="077B4608"/>
    <w:rsid w:val="07BB74B6"/>
    <w:rsid w:val="08493DEA"/>
    <w:rsid w:val="086E4EC9"/>
    <w:rsid w:val="094A6DDA"/>
    <w:rsid w:val="0B734A64"/>
    <w:rsid w:val="0B784DDC"/>
    <w:rsid w:val="0D9D0619"/>
    <w:rsid w:val="0DBF2CC0"/>
    <w:rsid w:val="0DD201F4"/>
    <w:rsid w:val="0F4526B6"/>
    <w:rsid w:val="103B41B4"/>
    <w:rsid w:val="10C034E8"/>
    <w:rsid w:val="118153B9"/>
    <w:rsid w:val="1279579D"/>
    <w:rsid w:val="152B64B8"/>
    <w:rsid w:val="15740DA4"/>
    <w:rsid w:val="17430463"/>
    <w:rsid w:val="1904357F"/>
    <w:rsid w:val="195A6BC0"/>
    <w:rsid w:val="1A4F5397"/>
    <w:rsid w:val="1EAC62A2"/>
    <w:rsid w:val="20A17058"/>
    <w:rsid w:val="227A4EED"/>
    <w:rsid w:val="228D0750"/>
    <w:rsid w:val="23FD2146"/>
    <w:rsid w:val="244610FD"/>
    <w:rsid w:val="24E07DFC"/>
    <w:rsid w:val="25A5748F"/>
    <w:rsid w:val="25D85A3C"/>
    <w:rsid w:val="26E95967"/>
    <w:rsid w:val="284C7585"/>
    <w:rsid w:val="2B676C7E"/>
    <w:rsid w:val="2B9E3425"/>
    <w:rsid w:val="2BFA4386"/>
    <w:rsid w:val="2CD73EA3"/>
    <w:rsid w:val="2D4418B3"/>
    <w:rsid w:val="2D4F0D1B"/>
    <w:rsid w:val="2D845ED0"/>
    <w:rsid w:val="30381F4F"/>
    <w:rsid w:val="306A1012"/>
    <w:rsid w:val="31472986"/>
    <w:rsid w:val="31535FA0"/>
    <w:rsid w:val="34A05B77"/>
    <w:rsid w:val="36B97FEA"/>
    <w:rsid w:val="38AC36F6"/>
    <w:rsid w:val="3A4B57FD"/>
    <w:rsid w:val="3D1D4918"/>
    <w:rsid w:val="3D3679ED"/>
    <w:rsid w:val="3EA80175"/>
    <w:rsid w:val="3F61630F"/>
    <w:rsid w:val="3FED410F"/>
    <w:rsid w:val="402C190B"/>
    <w:rsid w:val="408D7227"/>
    <w:rsid w:val="416718EC"/>
    <w:rsid w:val="439D7A21"/>
    <w:rsid w:val="43D97719"/>
    <w:rsid w:val="447267E8"/>
    <w:rsid w:val="44E431E5"/>
    <w:rsid w:val="46E607A9"/>
    <w:rsid w:val="484320E2"/>
    <w:rsid w:val="492A4A83"/>
    <w:rsid w:val="495C1F5C"/>
    <w:rsid w:val="4B8B03E4"/>
    <w:rsid w:val="4C235BEA"/>
    <w:rsid w:val="4DDF67CC"/>
    <w:rsid w:val="4EE12BFB"/>
    <w:rsid w:val="50140A05"/>
    <w:rsid w:val="50FA6A61"/>
    <w:rsid w:val="51794BC1"/>
    <w:rsid w:val="53D25371"/>
    <w:rsid w:val="540F1FD2"/>
    <w:rsid w:val="57594B93"/>
    <w:rsid w:val="57CC7B24"/>
    <w:rsid w:val="594A6990"/>
    <w:rsid w:val="5A9F6B19"/>
    <w:rsid w:val="5E4D5FB6"/>
    <w:rsid w:val="5F2574E3"/>
    <w:rsid w:val="60A60070"/>
    <w:rsid w:val="640C25AF"/>
    <w:rsid w:val="65831592"/>
    <w:rsid w:val="65A71FC2"/>
    <w:rsid w:val="671634AE"/>
    <w:rsid w:val="67B8734E"/>
    <w:rsid w:val="683A303D"/>
    <w:rsid w:val="68E97B63"/>
    <w:rsid w:val="6A5B2F9C"/>
    <w:rsid w:val="6B1E605C"/>
    <w:rsid w:val="6C5E0507"/>
    <w:rsid w:val="6C736FF2"/>
    <w:rsid w:val="6D254B61"/>
    <w:rsid w:val="6E3F209B"/>
    <w:rsid w:val="700533B4"/>
    <w:rsid w:val="724858B0"/>
    <w:rsid w:val="72583FA6"/>
    <w:rsid w:val="72A55E8A"/>
    <w:rsid w:val="739F099B"/>
    <w:rsid w:val="74783A1C"/>
    <w:rsid w:val="749501E9"/>
    <w:rsid w:val="74AB354D"/>
    <w:rsid w:val="74B05132"/>
    <w:rsid w:val="76C52AAF"/>
    <w:rsid w:val="772A35DE"/>
    <w:rsid w:val="798425C1"/>
    <w:rsid w:val="79BF662E"/>
    <w:rsid w:val="7B2952F2"/>
    <w:rsid w:val="7D7A4CB3"/>
    <w:rsid w:val="7E214A90"/>
    <w:rsid w:val="7E943373"/>
    <w:rsid w:val="7F693821"/>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link w:val="36"/>
    <w:semiHidden/>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link w:val="37"/>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character" w:customStyle="1" w:styleId="36">
    <w:name w:val="正文文本缩进 字符"/>
    <w:basedOn w:val="18"/>
    <w:link w:val="4"/>
    <w:semiHidden/>
    <w:qFormat/>
    <w:uiPriority w:val="99"/>
    <w:rPr>
      <w:kern w:val="2"/>
      <w:sz w:val="21"/>
      <w:szCs w:val="24"/>
    </w:rPr>
  </w:style>
  <w:style w:type="character" w:customStyle="1" w:styleId="37">
    <w:name w:val="正文文本首行缩进 2 字符"/>
    <w:basedOn w:val="36"/>
    <w:link w:val="15"/>
    <w:semiHidden/>
    <w:qFormat/>
    <w:uiPriority w:val="99"/>
    <w:rPr>
      <w:kern w:val="2"/>
      <w:sz w:val="21"/>
      <w:szCs w:val="24"/>
    </w:r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Template>
  <Pages>37</Pages>
  <Words>4133</Words>
  <Characters>23563</Characters>
  <Lines>196</Lines>
  <Paragraphs>55</Paragraphs>
  <TotalTime>8</TotalTime>
  <ScaleCrop>false</ScaleCrop>
  <LinksUpToDate>false</LinksUpToDate>
  <CharactersWithSpaces>27641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2022-07-01T03:04:00Z</dcterms:created>
  <dc:creator>Tony Young</dc:creator>
  <cp:lastModifiedBy>admin</cp:lastModifiedBy>
  <dcterms:modified xsi:type="dcterms:W3CDTF">2022-10-18T02:41:45Z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