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ind w:left="1558" w:hanging="1559" w:hangingChars="487"/>
        <w:jc w:val="left"/>
        <w:rPr>
          <w:rFonts w:hint="eastAsia" w:ascii="方正小标宋_GBK" w:hAnsi="方正小标宋_GBK" w:eastAsia="方正小标宋_GBK" w:cs="方正小标宋_GBK"/>
          <w:b/>
          <w:sz w:val="30"/>
          <w:szCs w:val="30"/>
          <w:lang w:eastAsia="zh-CN"/>
        </w:rPr>
      </w:pPr>
      <w:r>
        <w:rPr>
          <w:rFonts w:hint="eastAsia" w:ascii="方正小标宋_GBK" w:hAnsi="方正小标宋_GBK" w:eastAsia="方正小标宋_GBK" w:cs="方正小标宋_GBK"/>
          <w:b/>
          <w:sz w:val="32"/>
          <w:szCs w:val="32"/>
        </w:rPr>
        <w:t>项目名称：深圳会展中心</w:t>
      </w:r>
      <w:r>
        <w:rPr>
          <w:rFonts w:hint="eastAsia" w:ascii="方正小标宋_GBK" w:hAnsi="方正小标宋_GBK" w:eastAsia="方正小标宋_GBK" w:cs="方正小标宋_GBK"/>
          <w:b/>
          <w:sz w:val="30"/>
          <w:szCs w:val="30"/>
        </w:rPr>
        <w:t>第二十四届高交会《高交会新闻速递》服务采购项目</w:t>
      </w:r>
      <w:r>
        <w:rPr>
          <w:rFonts w:hint="eastAsia" w:ascii="方正小标宋_GBK" w:hAnsi="方正小标宋_GBK" w:eastAsia="方正小标宋_GBK" w:cs="方正小标宋_GBK"/>
          <w:b/>
          <w:sz w:val="30"/>
          <w:szCs w:val="30"/>
          <w:lang w:eastAsia="zh-CN"/>
        </w:rPr>
        <w:t>（</w:t>
      </w:r>
      <w:r>
        <w:rPr>
          <w:rFonts w:hint="eastAsia" w:ascii="方正小标宋_GBK" w:hAnsi="方正小标宋_GBK" w:eastAsia="方正小标宋_GBK" w:cs="方正小标宋_GBK"/>
          <w:b/>
          <w:sz w:val="30"/>
          <w:szCs w:val="30"/>
          <w:lang w:val="en-US" w:eastAsia="zh-CN"/>
        </w:rPr>
        <w:t>二次</w:t>
      </w:r>
      <w:r>
        <w:rPr>
          <w:rFonts w:hint="eastAsia" w:ascii="方正小标宋_GBK" w:hAnsi="方正小标宋_GBK" w:eastAsia="方正小标宋_GBK" w:cs="方正小标宋_GBK"/>
          <w:b/>
          <w:sz w:val="30"/>
          <w:szCs w:val="30"/>
          <w:lang w:eastAsia="zh-CN"/>
        </w:rPr>
        <w:t>）</w:t>
      </w:r>
    </w:p>
    <w:p>
      <w:pPr>
        <w:jc w:val="center"/>
        <w:rPr>
          <w:rFonts w:ascii="方正小标宋_GBK" w:hAnsi="方正小标宋_GBK" w:eastAsia="方正小标宋_GBK" w:cs="方正小标宋_GBK"/>
          <w:b/>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w:t>
      </w:r>
      <w:r>
        <w:rPr>
          <w:rFonts w:ascii="方正小标宋_GBK" w:hAnsi="方正小标宋_GBK" w:eastAsia="方正小标宋_GBK" w:cs="方正小标宋_GBK"/>
          <w:b/>
          <w:sz w:val="32"/>
          <w:szCs w:val="32"/>
        </w:rPr>
        <w:t>10</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637"/>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"_Toc116032886" </w:instrText>
      </w:r>
      <w:r>
        <w:fldChar w:fldCharType="separate"/>
      </w:r>
      <w:r>
        <w:rPr>
          <w:rStyle w:val="20"/>
          <w:rFonts w:ascii="宋体" w:hAnsi="宋体"/>
          <w:b/>
        </w:rPr>
        <w:t>第一部分 项目要求</w:t>
      </w:r>
      <w:r>
        <w:tab/>
      </w:r>
      <w:r>
        <w:fldChar w:fldCharType="begin"/>
      </w:r>
      <w:r>
        <w:instrText xml:space="preserve"> PAGEREF _Toc116032886 \h </w:instrText>
      </w:r>
      <w:r>
        <w:fldChar w:fldCharType="separate"/>
      </w:r>
      <w:r>
        <w:t>1</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"_Toc116032887" </w:instrText>
      </w:r>
      <w:r>
        <w:fldChar w:fldCharType="separate"/>
      </w:r>
      <w:r>
        <w:rPr>
          <w:rStyle w:val="20"/>
          <w:rFonts w:ascii="宋体" w:hAnsi="宋体" w:cs="仿宋"/>
          <w:bCs/>
        </w:rPr>
        <w:t>一、</w:t>
      </w:r>
      <w:r>
        <w:rPr>
          <w:rStyle w:val="20"/>
          <w:rFonts w:ascii="宋体" w:hAnsi="宋体"/>
        </w:rPr>
        <w:t>投标人须知</w:t>
      </w:r>
      <w:r>
        <w:tab/>
      </w:r>
      <w:r>
        <w:fldChar w:fldCharType="begin"/>
      </w:r>
      <w:r>
        <w:instrText xml:space="preserve"> PAGEREF _Toc116032887 \h </w:instrText>
      </w:r>
      <w:r>
        <w:fldChar w:fldCharType="separate"/>
      </w:r>
      <w:r>
        <w:t>1</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"_Toc116032888" </w:instrText>
      </w:r>
      <w:r>
        <w:fldChar w:fldCharType="separate"/>
      </w:r>
      <w:r>
        <w:rPr>
          <w:rStyle w:val="20"/>
          <w:rFonts w:ascii="宋体" w:hAnsi="宋体" w:cs="仿宋"/>
          <w:bCs/>
        </w:rPr>
        <w:t>二、</w:t>
      </w:r>
      <w:r>
        <w:rPr>
          <w:rStyle w:val="20"/>
          <w:rFonts w:ascii="宋体" w:hAnsi="宋体"/>
        </w:rPr>
        <w:t>特别说明</w:t>
      </w:r>
      <w:r>
        <w:tab/>
      </w:r>
      <w:r>
        <w:fldChar w:fldCharType="begin"/>
      </w:r>
      <w:r>
        <w:instrText xml:space="preserve"> PAGEREF _Toc116032888 \h </w:instrText>
      </w:r>
      <w:r>
        <w:fldChar w:fldCharType="separate"/>
      </w:r>
      <w:r>
        <w:t>3</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"_Toc116032889" </w:instrText>
      </w:r>
      <w:r>
        <w:fldChar w:fldCharType="separate"/>
      </w:r>
      <w:r>
        <w:rPr>
          <w:rStyle w:val="20"/>
          <w:rFonts w:ascii="宋体" w:hAnsi="宋体" w:cs="仿宋"/>
          <w:bCs/>
        </w:rPr>
        <w:t>三、</w:t>
      </w:r>
      <w:r>
        <w:rPr>
          <w:rStyle w:val="20"/>
          <w:rFonts w:ascii="宋体" w:hAnsi="宋体"/>
        </w:rPr>
        <w:t>投标文件编制</w:t>
      </w:r>
      <w:r>
        <w:tab/>
      </w:r>
      <w:r>
        <w:fldChar w:fldCharType="begin"/>
      </w:r>
      <w:r>
        <w:instrText xml:space="preserve"> PAGEREF _Toc116032889 \h </w:instrText>
      </w:r>
      <w:r>
        <w:fldChar w:fldCharType="separate"/>
      </w:r>
      <w:r>
        <w:t>4</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"_Toc116032890" </w:instrText>
      </w:r>
      <w:r>
        <w:fldChar w:fldCharType="separate"/>
      </w:r>
      <w:r>
        <w:rPr>
          <w:rStyle w:val="20"/>
          <w:rFonts w:ascii="宋体" w:hAnsi="宋体" w:cs="仿宋"/>
          <w:bCs/>
        </w:rPr>
        <w:t>四、</w:t>
      </w:r>
      <w:r>
        <w:rPr>
          <w:rStyle w:val="20"/>
          <w:rFonts w:ascii="宋体" w:hAnsi="宋体"/>
        </w:rPr>
        <w:t>项目要求</w:t>
      </w:r>
      <w:r>
        <w:tab/>
      </w:r>
      <w:r>
        <w:fldChar w:fldCharType="begin"/>
      </w:r>
      <w:r>
        <w:instrText xml:space="preserve"> PAGEREF _Toc116032890 \h </w:instrText>
      </w:r>
      <w:r>
        <w:fldChar w:fldCharType="separate"/>
      </w:r>
      <w:r>
        <w:t>4</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"_Toc116032891" </w:instrText>
      </w:r>
      <w:r>
        <w:fldChar w:fldCharType="separate"/>
      </w:r>
      <w:r>
        <w:rPr>
          <w:rStyle w:val="20"/>
          <w:rFonts w:ascii="宋体" w:hAnsi="宋体" w:cs="仿宋"/>
          <w:bCs/>
        </w:rPr>
        <w:t>五、</w:t>
      </w:r>
      <w:r>
        <w:rPr>
          <w:rStyle w:val="20"/>
          <w:rFonts w:ascii="宋体" w:hAnsi="宋体"/>
        </w:rPr>
        <w:t>其他项目说明资料</w:t>
      </w:r>
      <w:r>
        <w:tab/>
      </w:r>
      <w:r>
        <w:fldChar w:fldCharType="begin"/>
      </w:r>
      <w:r>
        <w:instrText xml:space="preserve"> PAGEREF _Toc116032891 \h </w:instrText>
      </w:r>
      <w:r>
        <w:fldChar w:fldCharType="separate"/>
      </w:r>
      <w:r>
        <w:t>6</w:t>
      </w:r>
      <w:r>
        <w:fldChar w:fldCharType="end"/>
      </w:r>
      <w:r>
        <w:fldChar w:fldCharType="end"/>
      </w:r>
    </w:p>
    <w:p>
      <w:pPr>
        <w:pStyle w:val="9"/>
        <w:tabs>
          <w:tab w:val="right" w:leader="dot" w:pos="8637"/>
        </w:tabs>
        <w:rPr>
          <w:rFonts w:asciiTheme="minorHAnsi" w:hAnsiTheme="minorHAnsi" w:eastAsiaTheme="minorEastAsia" w:cstheme="minorBidi"/>
          <w:szCs w:val="22"/>
        </w:rPr>
      </w:pPr>
      <w:r>
        <w:fldChar w:fldCharType="begin"/>
      </w:r>
      <w:r>
        <w:instrText xml:space="preserve"> HYPERLINK \l "_Toc116032892" </w:instrText>
      </w:r>
      <w:r>
        <w:fldChar w:fldCharType="separate"/>
      </w:r>
      <w:r>
        <w:rPr>
          <w:rStyle w:val="20"/>
          <w:rFonts w:ascii="宋体" w:hAnsi="宋体"/>
          <w:b/>
        </w:rPr>
        <w:t>第二部分：开标评标流程</w:t>
      </w:r>
      <w:r>
        <w:tab/>
      </w:r>
      <w:r>
        <w:fldChar w:fldCharType="begin"/>
      </w:r>
      <w:r>
        <w:instrText xml:space="preserve"> PAGEREF _Toc116032892 \h </w:instrText>
      </w:r>
      <w:r>
        <w:fldChar w:fldCharType="separate"/>
      </w:r>
      <w:r>
        <w:t>7</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"_Toc116032893" </w:instrText>
      </w:r>
      <w:r>
        <w:fldChar w:fldCharType="separate"/>
      </w:r>
      <w:r>
        <w:rPr>
          <w:rStyle w:val="20"/>
          <w:rFonts w:ascii="宋体" w:hAnsi="宋体" w:cs="仿宋"/>
          <w:bCs/>
        </w:rPr>
        <w:t>六、</w:t>
      </w:r>
      <w:r>
        <w:rPr>
          <w:rStyle w:val="20"/>
        </w:rPr>
        <w:t>开标阶段</w:t>
      </w:r>
      <w:r>
        <w:tab/>
      </w:r>
      <w:r>
        <w:fldChar w:fldCharType="begin"/>
      </w:r>
      <w:r>
        <w:instrText xml:space="preserve"> PAGEREF _Toc116032893 \h </w:instrText>
      </w:r>
      <w:r>
        <w:fldChar w:fldCharType="separate"/>
      </w:r>
      <w:r>
        <w:t>7</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"_Toc116032894" </w:instrText>
      </w:r>
      <w:r>
        <w:fldChar w:fldCharType="separate"/>
      </w:r>
      <w:r>
        <w:rPr>
          <w:rStyle w:val="20"/>
          <w:rFonts w:ascii="宋体" w:hAnsi="宋体" w:cs="仿宋"/>
          <w:bCs/>
        </w:rPr>
        <w:t>七、</w:t>
      </w:r>
      <w:r>
        <w:rPr>
          <w:rStyle w:val="20"/>
        </w:rPr>
        <w:t>评标阶段</w:t>
      </w:r>
      <w:r>
        <w:tab/>
      </w:r>
      <w:r>
        <w:fldChar w:fldCharType="begin"/>
      </w:r>
      <w:r>
        <w:instrText xml:space="preserve"> PAGEREF _Toc116032894 \h </w:instrText>
      </w:r>
      <w:r>
        <w:fldChar w:fldCharType="separate"/>
      </w:r>
      <w:r>
        <w:t>7</w:t>
      </w:r>
      <w:r>
        <w:fldChar w:fldCharType="end"/>
      </w:r>
      <w:r>
        <w:fldChar w:fldCharType="end"/>
      </w:r>
    </w:p>
    <w:p>
      <w:pPr>
        <w:pStyle w:val="9"/>
        <w:tabs>
          <w:tab w:val="right" w:leader="dot" w:pos="8637"/>
        </w:tabs>
        <w:rPr>
          <w:rFonts w:asciiTheme="minorHAnsi" w:hAnsiTheme="minorHAnsi" w:eastAsiaTheme="minorEastAsia" w:cstheme="minorBidi"/>
          <w:szCs w:val="22"/>
        </w:rPr>
      </w:pPr>
      <w:r>
        <w:fldChar w:fldCharType="begin"/>
      </w:r>
      <w:r>
        <w:instrText xml:space="preserve"> HYPERLINK \l "_Toc116032895" </w:instrText>
      </w:r>
      <w:r>
        <w:fldChar w:fldCharType="separate"/>
      </w:r>
      <w:r>
        <w:rPr>
          <w:rStyle w:val="20"/>
          <w:rFonts w:ascii="宋体" w:hAnsi="宋体"/>
          <w:b/>
        </w:rPr>
        <w:t>第三部分：评审办法</w:t>
      </w:r>
      <w:r>
        <w:tab/>
      </w:r>
      <w:r>
        <w:fldChar w:fldCharType="begin"/>
      </w:r>
      <w:r>
        <w:instrText xml:space="preserve"> PAGEREF _Toc116032895 \h </w:instrText>
      </w:r>
      <w:r>
        <w:fldChar w:fldCharType="separate"/>
      </w:r>
      <w:r>
        <w:t>8</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"_Toc116032896" </w:instrText>
      </w:r>
      <w:r>
        <w:fldChar w:fldCharType="separate"/>
      </w:r>
      <w:r>
        <w:rPr>
          <w:rStyle w:val="20"/>
          <w:rFonts w:ascii="宋体" w:hAnsi="宋体" w:cs="仿宋"/>
          <w:bCs/>
        </w:rPr>
        <w:t>八、</w:t>
      </w:r>
      <w:r>
        <w:rPr>
          <w:rStyle w:val="20"/>
          <w:rFonts w:ascii="宋体" w:hAnsi="宋体"/>
          <w:bCs/>
        </w:rPr>
        <w:t>评审办法</w:t>
      </w:r>
      <w:r>
        <w:tab/>
      </w:r>
      <w:r>
        <w:fldChar w:fldCharType="begin"/>
      </w:r>
      <w:r>
        <w:instrText xml:space="preserve"> PAGEREF _Toc116032896 \h </w:instrText>
      </w:r>
      <w:r>
        <w:fldChar w:fldCharType="separate"/>
      </w:r>
      <w:r>
        <w:t>8</w:t>
      </w:r>
      <w:r>
        <w:fldChar w:fldCharType="end"/>
      </w:r>
      <w:r>
        <w:fldChar w:fldCharType="end"/>
      </w:r>
    </w:p>
    <w:p>
      <w:pPr>
        <w:pStyle w:val="4"/>
        <w:tabs>
          <w:tab w:val="left" w:pos="1682"/>
          <w:tab w:val="right" w:leader="dot" w:pos="8637"/>
        </w:tabs>
        <w:rPr>
          <w:rFonts w:asciiTheme="minorHAnsi" w:hAnsiTheme="minorHAnsi" w:eastAsiaTheme="minorEastAsia" w:cstheme="minorBidi"/>
          <w:szCs w:val="22"/>
        </w:rPr>
      </w:pPr>
      <w:r>
        <w:fldChar w:fldCharType="begin"/>
      </w:r>
      <w:r>
        <w:instrText xml:space="preserve"> HYPERLINK \l "_Toc116032897" </w:instrText>
      </w:r>
      <w:r>
        <w:fldChar w:fldCharType="separate"/>
      </w:r>
      <w:r>
        <w:rPr>
          <w:rStyle w:val="20"/>
          <w:rFonts w:ascii="宋体" w:hAnsi="宋体"/>
        </w:rPr>
        <w:t>（一）</w:t>
      </w:r>
      <w:r>
        <w:rPr>
          <w:rStyle w:val="20"/>
          <w:rFonts w:ascii="宋体" w:hAnsi="宋体"/>
          <w:bCs/>
        </w:rPr>
        <w:t>符合性检查</w:t>
      </w:r>
      <w:r>
        <w:tab/>
      </w:r>
      <w:r>
        <w:fldChar w:fldCharType="begin"/>
      </w:r>
      <w:r>
        <w:instrText xml:space="preserve"> PAGEREF _Toc116032897 \h </w:instrText>
      </w:r>
      <w:r>
        <w:fldChar w:fldCharType="separate"/>
      </w:r>
      <w:r>
        <w:t>8</w:t>
      </w:r>
      <w:r>
        <w:fldChar w:fldCharType="end"/>
      </w:r>
      <w:r>
        <w:fldChar w:fldCharType="end"/>
      </w:r>
    </w:p>
    <w:p>
      <w:pPr>
        <w:pStyle w:val="4"/>
        <w:tabs>
          <w:tab w:val="left" w:pos="1682"/>
          <w:tab w:val="right" w:leader="dot" w:pos="8637"/>
        </w:tabs>
        <w:rPr>
          <w:rFonts w:asciiTheme="minorHAnsi" w:hAnsiTheme="minorHAnsi" w:eastAsiaTheme="minorEastAsia" w:cstheme="minorBidi"/>
          <w:szCs w:val="22"/>
        </w:rPr>
      </w:pPr>
      <w:r>
        <w:fldChar w:fldCharType="begin"/>
      </w:r>
      <w:r>
        <w:instrText xml:space="preserve"> HYPERLINK \l "_Toc116032898" </w:instrText>
      </w:r>
      <w:r>
        <w:fldChar w:fldCharType="separate"/>
      </w:r>
      <w:r>
        <w:rPr>
          <w:rStyle w:val="20"/>
          <w:rFonts w:ascii="宋体" w:hAnsi="宋体"/>
          <w:bCs/>
        </w:rPr>
        <w:t>（二）不可偏离项检查</w:t>
      </w:r>
      <w:r>
        <w:tab/>
      </w:r>
      <w:r>
        <w:fldChar w:fldCharType="begin"/>
      </w:r>
      <w:r>
        <w:instrText xml:space="preserve"> PAGEREF _Toc116032898 \h </w:instrText>
      </w:r>
      <w:r>
        <w:fldChar w:fldCharType="separate"/>
      </w:r>
      <w:r>
        <w:t>8</w:t>
      </w:r>
      <w:r>
        <w:fldChar w:fldCharType="end"/>
      </w:r>
      <w:r>
        <w:fldChar w:fldCharType="end"/>
      </w:r>
    </w:p>
    <w:p>
      <w:pPr>
        <w:pStyle w:val="4"/>
        <w:tabs>
          <w:tab w:val="left" w:pos="1682"/>
          <w:tab w:val="right" w:leader="dot" w:pos="8637"/>
        </w:tabs>
        <w:rPr>
          <w:rFonts w:asciiTheme="minorHAnsi" w:hAnsiTheme="minorHAnsi" w:eastAsiaTheme="minorEastAsia" w:cstheme="minorBidi"/>
          <w:szCs w:val="22"/>
        </w:rPr>
      </w:pPr>
      <w:r>
        <w:fldChar w:fldCharType="begin"/>
      </w:r>
      <w:r>
        <w:instrText xml:space="preserve"> HYPERLINK \l "_Toc116032899" </w:instrText>
      </w:r>
      <w:r>
        <w:fldChar w:fldCharType="separate"/>
      </w:r>
      <w:r>
        <w:rPr>
          <w:rStyle w:val="20"/>
          <w:rFonts w:ascii="宋体" w:hAnsi="宋体"/>
          <w:bCs/>
        </w:rPr>
        <w:t>（三）综合评议指标表</w:t>
      </w:r>
      <w:r>
        <w:tab/>
      </w:r>
      <w:r>
        <w:fldChar w:fldCharType="begin"/>
      </w:r>
      <w:r>
        <w:instrText xml:space="preserve"> PAGEREF _Toc116032899 \h </w:instrText>
      </w:r>
      <w:r>
        <w:fldChar w:fldCharType="separate"/>
      </w:r>
      <w:r>
        <w:t>8</w:t>
      </w:r>
      <w:r>
        <w:fldChar w:fldCharType="end"/>
      </w:r>
      <w:r>
        <w:fldChar w:fldCharType="end"/>
      </w:r>
    </w:p>
    <w:p>
      <w:pPr>
        <w:pStyle w:val="9"/>
        <w:tabs>
          <w:tab w:val="right" w:leader="dot" w:pos="8637"/>
        </w:tabs>
        <w:rPr>
          <w:rFonts w:asciiTheme="minorHAnsi" w:hAnsiTheme="minorHAnsi" w:eastAsiaTheme="minorEastAsia" w:cstheme="minorBidi"/>
          <w:szCs w:val="22"/>
        </w:rPr>
      </w:pPr>
      <w:r>
        <w:fldChar w:fldCharType="begin"/>
      </w:r>
      <w:r>
        <w:instrText xml:space="preserve"> HYPERLINK \l "_Toc116032900" </w:instrText>
      </w:r>
      <w:r>
        <w:fldChar w:fldCharType="separate"/>
      </w:r>
      <w:r>
        <w:rPr>
          <w:rStyle w:val="20"/>
          <w:rFonts w:ascii="宋体" w:hAnsi="宋体"/>
          <w:b/>
        </w:rPr>
        <w:t>第四部分：合同条款及格式</w:t>
      </w:r>
      <w:r>
        <w:tab/>
      </w:r>
      <w:r>
        <w:fldChar w:fldCharType="begin"/>
      </w:r>
      <w:r>
        <w:instrText xml:space="preserve"> PAGEREF _Toc116032900 \h </w:instrText>
      </w:r>
      <w:r>
        <w:fldChar w:fldCharType="separate"/>
      </w:r>
      <w:r>
        <w:t>10</w:t>
      </w:r>
      <w:r>
        <w:fldChar w:fldCharType="end"/>
      </w:r>
      <w:r>
        <w:fldChar w:fldCharType="end"/>
      </w:r>
    </w:p>
    <w:p>
      <w:pPr>
        <w:pStyle w:val="9"/>
        <w:tabs>
          <w:tab w:val="right" w:leader="dot" w:pos="8637"/>
        </w:tabs>
        <w:rPr>
          <w:rFonts w:asciiTheme="minorHAnsi" w:hAnsiTheme="minorHAnsi" w:eastAsiaTheme="minorEastAsia" w:cstheme="minorBidi"/>
          <w:szCs w:val="22"/>
        </w:rPr>
      </w:pPr>
      <w:r>
        <w:fldChar w:fldCharType="begin"/>
      </w:r>
      <w:r>
        <w:instrText xml:space="preserve"> HYPERLINK \l "_Toc116032901" </w:instrText>
      </w:r>
      <w:r>
        <w:fldChar w:fldCharType="separate"/>
      </w:r>
      <w:r>
        <w:rPr>
          <w:rStyle w:val="20"/>
          <w:b/>
        </w:rPr>
        <w:t>第五部分：参考附件</w:t>
      </w:r>
      <w:r>
        <w:tab/>
      </w:r>
      <w:r>
        <w:fldChar w:fldCharType="begin"/>
      </w:r>
      <w:r>
        <w:instrText xml:space="preserve"> PAGEREF _Toc116032901 \h </w:instrText>
      </w:r>
      <w:r>
        <w:fldChar w:fldCharType="separate"/>
      </w:r>
      <w:r>
        <w:t>12</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"_Toc116032902" </w:instrText>
      </w:r>
      <w:r>
        <w:fldChar w:fldCharType="separate"/>
      </w:r>
      <w:r>
        <w:rPr>
          <w:rStyle w:val="20"/>
          <w:rFonts w:ascii="宋体" w:hAnsi="宋体"/>
        </w:rPr>
        <w:t>附件1：报名回函</w:t>
      </w:r>
      <w:r>
        <w:tab/>
      </w:r>
      <w:r>
        <w:fldChar w:fldCharType="begin"/>
      </w:r>
      <w:r>
        <w:instrText xml:space="preserve"> PAGEREF _Toc116032902 \h </w:instrText>
      </w:r>
      <w:r>
        <w:fldChar w:fldCharType="separate"/>
      </w:r>
      <w:r>
        <w:t>12</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"_Toc116032903" </w:instrText>
      </w:r>
      <w:r>
        <w:fldChar w:fldCharType="separate"/>
      </w:r>
      <w:r>
        <w:rPr>
          <w:rStyle w:val="20"/>
          <w:rFonts w:ascii="宋体" w:hAnsi="宋体"/>
        </w:rPr>
        <w:t>附件2：投标函</w:t>
      </w:r>
      <w:r>
        <w:tab/>
      </w:r>
      <w:r>
        <w:fldChar w:fldCharType="begin"/>
      </w:r>
      <w:r>
        <w:instrText xml:space="preserve"> PAGEREF _Toc116032903 \h </w:instrText>
      </w:r>
      <w:r>
        <w:fldChar w:fldCharType="separate"/>
      </w:r>
      <w:r>
        <w:t>13</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"_Toc116032904" </w:instrText>
      </w:r>
      <w:r>
        <w:fldChar w:fldCharType="separate"/>
      </w:r>
      <w:r>
        <w:rPr>
          <w:rStyle w:val="20"/>
          <w:rFonts w:ascii="宋体" w:hAnsi="宋体"/>
        </w:rPr>
        <w:t>附件3：投标一览表</w:t>
      </w:r>
      <w:r>
        <w:tab/>
      </w:r>
      <w:r>
        <w:fldChar w:fldCharType="begin"/>
      </w:r>
      <w:r>
        <w:instrText xml:space="preserve"> PAGEREF _Toc116032904 \h </w:instrText>
      </w:r>
      <w:r>
        <w:fldChar w:fldCharType="separate"/>
      </w:r>
      <w:r>
        <w:t>14</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"_Toc116032905" </w:instrText>
      </w:r>
      <w:r>
        <w:fldChar w:fldCharType="separate"/>
      </w:r>
      <w:r>
        <w:rPr>
          <w:rStyle w:val="20"/>
          <w:rFonts w:ascii="宋体" w:hAnsi="宋体"/>
        </w:rPr>
        <w:t>附件4：考察证明（本项目不适用）</w:t>
      </w:r>
      <w:r>
        <w:tab/>
      </w:r>
      <w:r>
        <w:fldChar w:fldCharType="begin"/>
      </w:r>
      <w:r>
        <w:instrText xml:space="preserve"> PAGEREF _Toc116032905 \h </w:instrText>
      </w:r>
      <w:r>
        <w:fldChar w:fldCharType="separate"/>
      </w:r>
      <w:r>
        <w:t>15</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"_Toc116032906" </w:instrText>
      </w:r>
      <w:r>
        <w:fldChar w:fldCharType="separate"/>
      </w:r>
      <w:r>
        <w:rPr>
          <w:rStyle w:val="20"/>
          <w:rFonts w:ascii="宋体" w:hAnsi="宋体"/>
        </w:rPr>
        <w:t>附件5：技术服务响应/偏离表</w:t>
      </w:r>
      <w:r>
        <w:tab/>
      </w:r>
      <w:r>
        <w:fldChar w:fldCharType="begin"/>
      </w:r>
      <w:r>
        <w:instrText xml:space="preserve"> PAGEREF _Toc116032906 \h </w:instrText>
      </w:r>
      <w:r>
        <w:fldChar w:fldCharType="separate"/>
      </w:r>
      <w:r>
        <w:t>16</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"_Toc116032907" </w:instrText>
      </w:r>
      <w:r>
        <w:fldChar w:fldCharType="separate"/>
      </w:r>
      <w:r>
        <w:rPr>
          <w:rStyle w:val="20"/>
          <w:rFonts w:ascii="宋体" w:hAnsi="宋体"/>
        </w:rPr>
        <w:t>附件6：商务条款响应/偏离表</w:t>
      </w:r>
      <w:r>
        <w:tab/>
      </w:r>
      <w:r>
        <w:fldChar w:fldCharType="begin"/>
      </w:r>
      <w:r>
        <w:instrText xml:space="preserve"> PAGEREF _Toc116032907 \h </w:instrText>
      </w:r>
      <w:r>
        <w:fldChar w:fldCharType="separate"/>
      </w:r>
      <w:r>
        <w:t>17</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"_Toc116032908" </w:instrText>
      </w:r>
      <w:r>
        <w:fldChar w:fldCharType="separate"/>
      </w:r>
      <w:r>
        <w:rPr>
          <w:rStyle w:val="20"/>
          <w:rFonts w:ascii="宋体" w:hAnsi="宋体"/>
        </w:rPr>
        <w:t>附件7：报价一览表（货物）（本项目不适用）</w:t>
      </w:r>
      <w:r>
        <w:tab/>
      </w:r>
      <w:r>
        <w:fldChar w:fldCharType="begin"/>
      </w:r>
      <w:r>
        <w:instrText xml:space="preserve"> PAGEREF _Toc116032908 \h </w:instrText>
      </w:r>
      <w:r>
        <w:fldChar w:fldCharType="separate"/>
      </w:r>
      <w:r>
        <w:t>18</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"_Toc116032909" </w:instrText>
      </w:r>
      <w:r>
        <w:fldChar w:fldCharType="separate"/>
      </w:r>
      <w:r>
        <w:rPr>
          <w:rStyle w:val="20"/>
          <w:rFonts w:ascii="宋体" w:hAnsi="宋体"/>
        </w:rPr>
        <w:t>附件8：报价一览表（服务）</w:t>
      </w:r>
      <w:r>
        <w:tab/>
      </w:r>
      <w:r>
        <w:fldChar w:fldCharType="begin"/>
      </w:r>
      <w:r>
        <w:instrText xml:space="preserve"> PAGEREF _Toc116032909 \h </w:instrText>
      </w:r>
      <w:r>
        <w:fldChar w:fldCharType="separate"/>
      </w:r>
      <w:r>
        <w:t>19</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"_Toc116032910" </w:instrText>
      </w:r>
      <w:r>
        <w:fldChar w:fldCharType="separate"/>
      </w:r>
      <w:r>
        <w:rPr>
          <w:rStyle w:val="20"/>
          <w:rFonts w:ascii="宋体" w:hAnsi="宋体"/>
        </w:rPr>
        <w:t>附件9：报价一览表（工程）（本项目不适用）</w:t>
      </w:r>
      <w:r>
        <w:tab/>
      </w:r>
      <w:r>
        <w:fldChar w:fldCharType="begin"/>
      </w:r>
      <w:r>
        <w:instrText xml:space="preserve"> PAGEREF _Toc116032910 \h </w:instrText>
      </w:r>
      <w:r>
        <w:fldChar w:fldCharType="separate"/>
      </w:r>
      <w:r>
        <w:t>20</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"_Toc116032911" </w:instrText>
      </w:r>
      <w:r>
        <w:fldChar w:fldCharType="separate"/>
      </w:r>
      <w:r>
        <w:rPr>
          <w:rStyle w:val="20"/>
          <w:rFonts w:ascii="宋体" w:hAnsi="宋体"/>
        </w:rPr>
        <w:t>附件10：法定代表人证明书</w:t>
      </w:r>
      <w:r>
        <w:tab/>
      </w:r>
      <w:r>
        <w:fldChar w:fldCharType="begin"/>
      </w:r>
      <w:r>
        <w:instrText xml:space="preserve"> PAGEREF _Toc116032911 \h </w:instrText>
      </w:r>
      <w:r>
        <w:fldChar w:fldCharType="separate"/>
      </w:r>
      <w:r>
        <w:t>21</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"_Toc116032912" </w:instrText>
      </w:r>
      <w:r>
        <w:fldChar w:fldCharType="separate"/>
      </w:r>
      <w:r>
        <w:rPr>
          <w:rStyle w:val="20"/>
          <w:rFonts w:ascii="宋体" w:hAnsi="宋体"/>
        </w:rPr>
        <w:t>附件11：法人授权委托证明书</w:t>
      </w:r>
      <w:r>
        <w:tab/>
      </w:r>
      <w:r>
        <w:fldChar w:fldCharType="begin"/>
      </w:r>
      <w:r>
        <w:instrText xml:space="preserve"> PAGEREF _Toc116032912 \h </w:instrText>
      </w:r>
      <w:r>
        <w:fldChar w:fldCharType="separate"/>
      </w:r>
      <w:r>
        <w:t>22</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"_Toc116032913" </w:instrText>
      </w:r>
      <w:r>
        <w:fldChar w:fldCharType="separate"/>
      </w:r>
      <w:r>
        <w:rPr>
          <w:rStyle w:val="20"/>
          <w:rFonts w:ascii="宋体" w:hAnsi="宋体"/>
        </w:rPr>
        <w:t>附件12：经营业绩一览表</w:t>
      </w:r>
      <w:r>
        <w:tab/>
      </w:r>
      <w:r>
        <w:fldChar w:fldCharType="begin"/>
      </w:r>
      <w:r>
        <w:instrText xml:space="preserve"> PAGEREF _Toc116032913 \h </w:instrText>
      </w:r>
      <w:r>
        <w:fldChar w:fldCharType="separate"/>
      </w:r>
      <w:r>
        <w:t>23</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"_Toc116032914" </w:instrText>
      </w:r>
      <w:r>
        <w:fldChar w:fldCharType="separate"/>
      </w:r>
      <w:r>
        <w:rPr>
          <w:rStyle w:val="20"/>
          <w:rFonts w:ascii="宋体" w:hAnsi="宋体"/>
        </w:rPr>
        <w:t>附件13：售后服务承诺书（质量保证服务承诺书）</w:t>
      </w:r>
      <w:r>
        <w:tab/>
      </w:r>
      <w:r>
        <w:fldChar w:fldCharType="begin"/>
      </w:r>
      <w:r>
        <w:instrText xml:space="preserve"> PAGEREF _Toc116032914 \h </w:instrText>
      </w:r>
      <w:r>
        <w:fldChar w:fldCharType="separate"/>
      </w:r>
      <w:r>
        <w:t>24</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"_Toc116032915" </w:instrText>
      </w:r>
      <w:r>
        <w:fldChar w:fldCharType="separate"/>
      </w:r>
      <w:r>
        <w:rPr>
          <w:rStyle w:val="20"/>
          <w:rFonts w:ascii="宋体" w:hAnsi="宋体"/>
        </w:rPr>
        <w:t>附件14：履约情况及社会信誉承诺书</w:t>
      </w:r>
      <w:r>
        <w:tab/>
      </w:r>
      <w:r>
        <w:fldChar w:fldCharType="begin"/>
      </w:r>
      <w:r>
        <w:instrText xml:space="preserve"> PAGEREF _Toc116032915 \h </w:instrText>
      </w:r>
      <w:r>
        <w:fldChar w:fldCharType="separate"/>
      </w:r>
      <w:r>
        <w:t>25</w:t>
      </w:r>
      <w:r>
        <w:fldChar w:fldCharType="end"/>
      </w:r>
      <w:r>
        <w:fldChar w:fldCharType="end"/>
      </w:r>
    </w:p>
    <w:p>
      <w:pPr>
        <w:pStyle w:val="11"/>
        <w:tabs>
          <w:tab w:val="right" w:leader="dot" w:pos="8637"/>
        </w:tabs>
        <w:rPr>
          <w:rFonts w:asciiTheme="minorHAnsi" w:hAnsiTheme="minorHAnsi" w:eastAsiaTheme="minorEastAsia" w:cstheme="minorBidi"/>
          <w:szCs w:val="22"/>
        </w:rPr>
      </w:pPr>
      <w:r>
        <w:fldChar w:fldCharType="begin"/>
      </w:r>
      <w:r>
        <w:instrText xml:space="preserve"> HYPERLINK \l "_Toc116032916" </w:instrText>
      </w:r>
      <w:r>
        <w:fldChar w:fldCharType="separate"/>
      </w:r>
      <w:r>
        <w:rPr>
          <w:rStyle w:val="20"/>
          <w:rFonts w:ascii="宋体" w:hAnsi="宋体"/>
        </w:rPr>
        <w:t>附件15：投标文件密码单</w:t>
      </w:r>
      <w:r>
        <w:tab/>
      </w:r>
      <w:r>
        <w:fldChar w:fldCharType="begin"/>
      </w:r>
      <w:r>
        <w:instrText xml:space="preserve"> PAGEREF _Toc116032916 \h </w:instrText>
      </w:r>
      <w:r>
        <w:fldChar w:fldCharType="separate"/>
      </w:r>
      <w:r>
        <w:t>26</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558" w:bottom="993" w:left="1701"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032886"/>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032887"/>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联系人：杨先生</w:t>
            </w:r>
          </w:p>
          <w:p>
            <w:pPr>
              <w:wordWrap w:val="0"/>
              <w:autoSpaceDE w:val="0"/>
              <w:autoSpaceDN w:val="0"/>
              <w:adjustRightInd w:val="0"/>
              <w:snapToGrid w:val="0"/>
              <w:rPr>
                <w:rFonts w:ascii="宋体" w:hAnsi="宋体"/>
                <w:szCs w:val="21"/>
              </w:rPr>
            </w:pPr>
            <w:r>
              <w:rPr>
                <w:rFonts w:hint="eastAsia" w:ascii="宋体" w:hAnsi="宋体"/>
                <w:szCs w:val="21"/>
              </w:rPr>
              <w:t>电话：0755-82848</w:t>
            </w:r>
            <w:r>
              <w:rPr>
                <w:rFonts w:ascii="宋体" w:hAnsi="宋体"/>
                <w:szCs w:val="21"/>
              </w:rPr>
              <w:t>831</w:t>
            </w:r>
          </w:p>
          <w:p>
            <w:pPr>
              <w:wordWrap w:val="0"/>
              <w:autoSpaceDE w:val="0"/>
              <w:autoSpaceDN w:val="0"/>
              <w:adjustRightInd w:val="0"/>
              <w:snapToGrid w:val="0"/>
              <w:rPr>
                <w:rFonts w:ascii="宋体" w:hAnsi="宋体"/>
                <w:szCs w:val="21"/>
              </w:rPr>
            </w:pPr>
            <w:r>
              <w:rPr>
                <w:rFonts w:hint="eastAsia" w:ascii="宋体" w:hAnsi="宋体"/>
                <w:szCs w:val="21"/>
              </w:rPr>
              <w:t>传真：0755-82848</w:t>
            </w:r>
            <w:r>
              <w:rPr>
                <w:rFonts w:ascii="宋体" w:hAnsi="宋体"/>
                <w:szCs w:val="21"/>
              </w:rPr>
              <w:t>831</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邮箱：2</w:t>
            </w:r>
            <w:r>
              <w:rPr>
                <w:rFonts w:ascii="宋体" w:hAnsi="宋体"/>
                <w:szCs w:val="21"/>
              </w:rPr>
              <w:t>692756</w:t>
            </w:r>
            <w:r>
              <w:rPr>
                <w:rFonts w:hint="eastAsia" w:ascii="宋体" w:hAnsi="宋体"/>
                <w:szCs w:val="21"/>
              </w:rPr>
              <w:t>@qq</w:t>
            </w:r>
            <w:r>
              <w:rPr>
                <w:rFonts w:ascii="宋体" w:hAnsi="宋体"/>
                <w:szCs w:val="21"/>
              </w:rPr>
              <w:t>.</w:t>
            </w:r>
            <w:r>
              <w:rPr>
                <w:rFonts w:hint="eastAsia" w:ascii="宋体" w:hAnsi="宋体"/>
                <w:szCs w:val="21"/>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hint="eastAsia" w:ascii="宋体" w:hAnsi="宋体" w:eastAsia="宋体"/>
                <w:color w:val="FF0000"/>
                <w:szCs w:val="21"/>
                <w:highlight w:val="yellow"/>
                <w:lang w:eastAsia="zh-CN"/>
              </w:rPr>
            </w:pPr>
            <w:r>
              <w:rPr>
                <w:rFonts w:hint="eastAsia" w:ascii="宋体" w:hAnsi="宋体" w:cs="方正小标宋_GBK"/>
                <w:szCs w:val="21"/>
              </w:rPr>
              <w:t>深圳会展中心第二十四届高交会《高交会新闻速递》服务采购项目</w:t>
            </w:r>
            <w:r>
              <w:rPr>
                <w:rFonts w:hint="eastAsia" w:ascii="宋体" w:hAnsi="宋体" w:cs="方正小标宋_GBK"/>
                <w:szCs w:val="21"/>
                <w:lang w:eastAsia="zh-CN"/>
              </w:rPr>
              <w:t>（</w:t>
            </w:r>
            <w:r>
              <w:rPr>
                <w:rFonts w:hint="eastAsia" w:ascii="宋体" w:hAnsi="宋体" w:cs="方正小标宋_GBK"/>
                <w:szCs w:val="21"/>
                <w:lang w:val="en-US" w:eastAsia="zh-CN"/>
              </w:rPr>
              <w:t>二次</w:t>
            </w:r>
            <w:r>
              <w:rPr>
                <w:rFonts w:hint="eastAsia" w:ascii="宋体" w:hAnsi="宋体" w:cs="方正小标宋_GBK"/>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Style w:val="21"/>
                <w:rFonts w:hint="eastAsia"/>
              </w:rPr>
              <w:t>为提高高交会的宣传推广力度，拉动展期展馆内的信息流，根据本届高交会宣传推广的整体部署，制作、印刷、出版3期《高交会新闻速递》。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Style w:val="21"/>
                <w:rFonts w:hint="eastAsia" w:ascii="宋体" w:hAnsi="宋体"/>
              </w:rPr>
              <w:t>20天（高交会开幕前15天至高交会闭幕日，高交会预计举办时间为2022年11月15日-11月19日，最终会期以组委会的公告为准）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1</w:t>
            </w:r>
            <w:r>
              <w:rPr>
                <w:rFonts w:ascii="宋体" w:hAnsi="宋体"/>
                <w:szCs w:val="21"/>
              </w:rPr>
              <w:t>0-</w:t>
            </w:r>
            <w:r>
              <w:rPr>
                <w:rFonts w:hint="eastAsia" w:ascii="宋体" w:hAnsi="宋体"/>
                <w:szCs w:val="21"/>
                <w:lang w:val="en-US" w:eastAsia="zh-CN"/>
              </w:rPr>
              <w:t>24</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rPr>
              <w:fldChar w:fldCharType="begin"/>
            </w:r>
            <w:r>
              <w:rPr>
                <w:rFonts w:hint="eastAsia"/>
              </w:rPr>
              <w:instrText xml:space="preserve"> HYPERLINK "https://cg.szcec.com/sharing/OIaEBaAmv " </w:instrText>
            </w:r>
            <w:r>
              <w:rPr>
                <w:rFonts w:hint="eastAsia"/>
              </w:rPr>
              <w:fldChar w:fldCharType="separate"/>
            </w:r>
            <w:r>
              <w:rPr>
                <w:rStyle w:val="20"/>
                <w:rFonts w:hint="eastAsia"/>
              </w:rPr>
              <w:t>https://cg.szcec.com/sharing/OIaEBaAmv</w:t>
            </w:r>
            <w:r>
              <w:rPr>
                <w:rFonts w:hint="eastAsia"/>
              </w:rPr>
              <w:fldChar w:fldCharType="end"/>
            </w:r>
            <w:r>
              <w:rPr>
                <w:rFonts w:hint="eastAsia" w:ascii="宋体" w:hAnsi="宋体"/>
                <w:bCs/>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1</w:t>
            </w:r>
            <w:r>
              <w:rPr>
                <w:rFonts w:ascii="宋体" w:hAnsi="宋体"/>
                <w:szCs w:val="21"/>
              </w:rPr>
              <w:t>0-</w:t>
            </w:r>
            <w:r>
              <w:rPr>
                <w:rFonts w:hint="eastAsia" w:ascii="宋体" w:hAnsi="宋体"/>
                <w:szCs w:val="21"/>
                <w:lang w:val="en-US" w:eastAsia="zh-CN"/>
              </w:rPr>
              <w:t>31</w:t>
            </w:r>
            <w:r>
              <w:rPr>
                <w:rFonts w:ascii="宋体" w:hAnsi="宋体"/>
                <w:szCs w:val="21"/>
              </w:rPr>
              <w:t xml:space="preserve"> </w:t>
            </w:r>
            <w:r>
              <w:rPr>
                <w:rFonts w:hint="eastAsia" w:ascii="宋体" w:hAnsi="宋体"/>
                <w:szCs w:val="21"/>
              </w:rPr>
              <w:t>1</w:t>
            </w:r>
            <w:r>
              <w:rPr>
                <w:rFonts w:ascii="宋体" w:hAnsi="宋体"/>
                <w:szCs w:val="21"/>
              </w:rPr>
              <w:t>7:</w:t>
            </w:r>
            <w:r>
              <w:rPr>
                <w:rFonts w:hint="eastAsia" w:ascii="宋体" w:hAnsi="宋体"/>
                <w:szCs w:val="21"/>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1</w:t>
            </w:r>
            <w:r>
              <w:rPr>
                <w:rFonts w:ascii="宋体" w:hAnsi="宋体"/>
                <w:szCs w:val="21"/>
              </w:rPr>
              <w:t>0-</w:t>
            </w:r>
            <w:r>
              <w:rPr>
                <w:rFonts w:hint="eastAsia" w:ascii="宋体" w:hAnsi="宋体"/>
                <w:szCs w:val="21"/>
                <w:lang w:val="en-US" w:eastAsia="zh-CN"/>
              </w:rPr>
              <w:t>31</w:t>
            </w:r>
            <w:r>
              <w:rPr>
                <w:rFonts w:ascii="宋体" w:hAnsi="宋体"/>
                <w:szCs w:val="21"/>
              </w:rPr>
              <w:t xml:space="preserve"> </w:t>
            </w:r>
            <w:r>
              <w:rPr>
                <w:rFonts w:hint="eastAsia" w:ascii="宋体" w:hAnsi="宋体"/>
                <w:szCs w:val="21"/>
              </w:rPr>
              <w:t>1</w:t>
            </w:r>
            <w:r>
              <w:rPr>
                <w:rFonts w:ascii="宋体" w:hAnsi="宋体"/>
                <w:szCs w:val="21"/>
              </w:rPr>
              <w:t>7:</w:t>
            </w:r>
            <w:r>
              <w:rPr>
                <w:rFonts w:hint="eastAsia" w:ascii="宋体" w:hAnsi="宋体"/>
                <w:szCs w:val="21"/>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1</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01</w:t>
            </w:r>
            <w:r>
              <w:rPr>
                <w:rFonts w:ascii="宋体" w:hAnsi="宋体"/>
                <w:szCs w:val="21"/>
              </w:rPr>
              <w:t xml:space="preserve"> </w:t>
            </w:r>
            <w:r>
              <w:rPr>
                <w:rFonts w:hint="eastAsia" w:ascii="宋体" w:hAnsi="宋体"/>
                <w:szCs w:val="21"/>
              </w:rPr>
              <w:t>1</w:t>
            </w:r>
            <w:r>
              <w:rPr>
                <w:rFonts w:ascii="宋体" w:hAnsi="宋体"/>
                <w:szCs w:val="21"/>
              </w:rPr>
              <w:t>7:</w:t>
            </w:r>
            <w:r>
              <w:rPr>
                <w:rFonts w:hint="eastAsia" w:ascii="宋体" w:hAnsi="宋体"/>
                <w:szCs w:val="21"/>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1</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03</w:t>
            </w:r>
            <w:r>
              <w:rPr>
                <w:rFonts w:ascii="宋体" w:hAnsi="宋体"/>
                <w:szCs w:val="21"/>
              </w:rPr>
              <w:t xml:space="preserve"> </w:t>
            </w:r>
            <w:r>
              <w:rPr>
                <w:rFonts w:hint="eastAsia" w:ascii="宋体" w:hAnsi="宋体"/>
                <w:szCs w:val="21"/>
              </w:rPr>
              <w:t>1</w:t>
            </w:r>
            <w:r>
              <w:rPr>
                <w:rFonts w:ascii="宋体" w:hAnsi="宋体"/>
                <w:szCs w:val="21"/>
              </w:rPr>
              <w:t>7:</w:t>
            </w:r>
            <w:r>
              <w:rPr>
                <w:rFonts w:hint="eastAsia" w:ascii="宋体" w:hAnsi="宋体"/>
                <w:szCs w:val="21"/>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w:t>
            </w:r>
            <w:r>
              <w:rPr>
                <w:rFonts w:ascii="宋体" w:hAnsi="宋体"/>
                <w:szCs w:val="21"/>
              </w:rPr>
              <w:t>文件</w:t>
            </w:r>
            <w:r>
              <w:rPr>
                <w:rFonts w:hint="eastAsia" w:ascii="宋体" w:hAnsi="宋体"/>
                <w:szCs w:val="21"/>
              </w:rPr>
              <w:t>（</w:t>
            </w:r>
            <w:r>
              <w:rPr>
                <w:rFonts w:ascii="宋体" w:hAnsi="宋体"/>
                <w:szCs w:val="21"/>
              </w:rPr>
              <w:t>Word</w:t>
            </w:r>
            <w:r>
              <w:rPr>
                <w:rFonts w:hint="eastAsia" w:ascii="宋体" w:hAnsi="宋体"/>
                <w:szCs w:val="21"/>
              </w:rPr>
              <w:t>或</w:t>
            </w:r>
            <w:r>
              <w:rPr>
                <w:rFonts w:ascii="宋体" w:hAnsi="宋体"/>
                <w:szCs w:val="21"/>
              </w:rPr>
              <w:t>WPS</w:t>
            </w:r>
            <w:r>
              <w:rPr>
                <w:rFonts w:hint="eastAsia" w:ascii="宋体" w:hAnsi="宋体"/>
                <w:szCs w:val="21"/>
              </w:rPr>
              <w:t>版</w:t>
            </w:r>
            <w:r>
              <w:rPr>
                <w:rFonts w:ascii="宋体" w:hAnsi="宋体"/>
                <w:szCs w:val="21"/>
              </w:rPr>
              <w:t>）</w:t>
            </w:r>
            <w:r>
              <w:rPr>
                <w:rFonts w:hint="eastAsia" w:ascii="宋体" w:hAnsi="宋体"/>
                <w:szCs w:val="21"/>
              </w:rPr>
              <w:t>加密形式上传至</w:t>
            </w:r>
            <w:r>
              <w:rPr>
                <w:rFonts w:hint="eastAsia"/>
              </w:rPr>
              <w:fldChar w:fldCharType="begin"/>
            </w:r>
            <w:r>
              <w:rPr>
                <w:rFonts w:hint="eastAsia"/>
              </w:rPr>
              <w:instrText xml:space="preserve"> HYPERLINK "https://cg.szcec.com/sharing/6bW5vAR7r" </w:instrText>
            </w:r>
            <w:r>
              <w:rPr>
                <w:rFonts w:hint="eastAsia"/>
              </w:rPr>
              <w:fldChar w:fldCharType="separate"/>
            </w:r>
            <w:r>
              <w:rPr>
                <w:rStyle w:val="20"/>
                <w:rFonts w:hint="eastAsia"/>
              </w:rPr>
              <w:t>https://cg.szcec.com/sharing/6bW5vAR7r</w:t>
            </w:r>
            <w:r>
              <w:rPr>
                <w:rFonts w:hint="eastAsia"/>
              </w:rPr>
              <w:fldChar w:fldCharType="end"/>
            </w:r>
            <w:r>
              <w:rPr>
                <w:rFonts w:hint="eastAsia" w:ascii="宋体" w:hAnsi="宋体"/>
                <w:bCs/>
              </w:rPr>
              <w:t>，</w:t>
            </w:r>
            <w:r>
              <w:rPr>
                <w:rFonts w:hint="eastAsia" w:ascii="宋体" w:hAnsi="宋体"/>
                <w:szCs w:val="21"/>
              </w:rPr>
              <w:t>并致电确认</w:t>
            </w:r>
            <w:bookmarkStart w:id="2" w:name="_Toc478392822"/>
            <w:bookmarkStart w:id="3" w:name="_Toc478110532"/>
            <w:bookmarkStart w:id="4" w:name="_Toc478393187"/>
            <w:r>
              <w:rPr>
                <w:rFonts w:hint="eastAsia" w:ascii="宋体" w:hAnsi="宋体"/>
                <w:szCs w:val="21"/>
              </w:rPr>
              <w:t>。</w:t>
            </w:r>
            <w:r>
              <w:rPr>
                <w:rFonts w:hint="eastAsia" w:ascii="宋体" w:hAnsi="宋体"/>
              </w:rPr>
              <w:t>注意事项如下：</w:t>
            </w:r>
          </w:p>
          <w:p>
            <w:pPr>
              <w:pStyle w:val="24"/>
              <w:numPr>
                <w:ilvl w:val="0"/>
                <w:numId w:val="3"/>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t>
            </w:r>
            <w:r>
              <w:rPr>
                <w:rFonts w:ascii="宋体" w:hAnsi="宋体" w:eastAsia="宋体"/>
                <w:szCs w:val="21"/>
              </w:rPr>
              <w:t>/WPS</w:t>
            </w:r>
            <w:r>
              <w:rPr>
                <w:rFonts w:hint="eastAsia" w:ascii="宋体" w:hAnsi="宋体" w:eastAsia="宋体"/>
                <w:szCs w:val="21"/>
              </w:rPr>
              <w:t>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hint="eastAsia" w:ascii="宋体" w:hAnsi="宋体" w:eastAsia="宋体"/>
                <w:b/>
                <w:bCs/>
                <w:color w:val="FF0000"/>
                <w:szCs w:val="21"/>
              </w:rPr>
              <w:t>必须编制文件目录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4"/>
              <w:numPr>
                <w:ilvl w:val="0"/>
                <w:numId w:val="3"/>
              </w:numPr>
              <w:ind w:left="541" w:hanging="541" w:firstLineChars="0"/>
              <w:rPr>
                <w:rFonts w:ascii="宋体" w:hAnsi="宋体" w:eastAsia="宋体"/>
                <w:szCs w:val="21"/>
              </w:rPr>
            </w:pPr>
            <w:r>
              <w:rPr>
                <w:rFonts w:hint="eastAsia" w:ascii="宋体" w:hAnsi="宋体" w:eastAsia="宋体"/>
                <w:szCs w:val="21"/>
              </w:rPr>
              <w:t>投标人授权代表须熟记文件密码，否则做废标处理。投标文件递交时间截止后，不再接受任何理由的撤回或重新提交文件请求。</w:t>
            </w:r>
          </w:p>
          <w:p>
            <w:pPr>
              <w:pStyle w:val="24"/>
              <w:numPr>
                <w:ilvl w:val="0"/>
                <w:numId w:val="3"/>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版）文件为准，可编辑文件（W</w:t>
            </w:r>
            <w:r>
              <w:rPr>
                <w:rFonts w:ascii="宋体" w:hAnsi="宋体" w:eastAsia="宋体"/>
                <w:szCs w:val="21"/>
              </w:rPr>
              <w:t>ord</w:t>
            </w:r>
            <w:r>
              <w:rPr>
                <w:rFonts w:hint="eastAsia" w:ascii="宋体" w:hAnsi="宋体" w:eastAsia="宋体"/>
                <w:szCs w:val="21"/>
              </w:rPr>
              <w:t>或W</w:t>
            </w:r>
            <w:r>
              <w:rPr>
                <w:rFonts w:ascii="宋体" w:hAnsi="宋体" w:eastAsia="宋体"/>
                <w:szCs w:val="21"/>
              </w:rPr>
              <w:t>PS</w:t>
            </w:r>
            <w:r>
              <w:rPr>
                <w:rFonts w:hint="eastAsia" w:ascii="宋体" w:hAnsi="宋体" w:eastAsia="宋体"/>
                <w:szCs w:val="21"/>
              </w:rPr>
              <w:t>版</w:t>
            </w:r>
            <w:r>
              <w:rPr>
                <w:rFonts w:ascii="宋体" w:hAnsi="宋体" w:eastAsia="宋体"/>
                <w:szCs w:val="21"/>
              </w:rPr>
              <w:t>）</w:t>
            </w:r>
            <w:r>
              <w:rPr>
                <w:rFonts w:hint="eastAsia" w:ascii="宋体" w:hAnsi="宋体" w:eastAsia="宋体"/>
                <w:szCs w:val="21"/>
              </w:rPr>
              <w:t>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1</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04</w:t>
            </w:r>
            <w:r>
              <w:rPr>
                <w:rFonts w:ascii="宋体" w:hAnsi="宋体"/>
                <w:szCs w:val="21"/>
              </w:rPr>
              <w:t xml:space="preserve"> </w:t>
            </w:r>
            <w:r>
              <w:rPr>
                <w:rFonts w:hint="eastAsia" w:ascii="宋体" w:hAnsi="宋体"/>
                <w:szCs w:val="21"/>
                <w:lang w:val="en-US" w:eastAsia="zh-CN"/>
              </w:rPr>
              <w:t>09</w:t>
            </w:r>
            <w:r>
              <w:rPr>
                <w:rFonts w:ascii="宋体" w:hAnsi="宋体"/>
                <w:szCs w:val="21"/>
              </w:rPr>
              <w:t>:</w:t>
            </w:r>
            <w:r>
              <w:rPr>
                <w:rFonts w:hint="eastAsia" w:ascii="宋体" w:hAnsi="宋体"/>
                <w:szCs w:val="21"/>
                <w:lang w:val="en-US" w:eastAsia="zh-CN"/>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腾讯会议号：890-783-267（免密），届时请各投标人按采购公告要求准时提交投标文件及密码并参加在线开标；进入会议室前，请修改名称为“</w:t>
            </w:r>
            <w:r>
              <w:rPr>
                <w:rFonts w:hint="eastAsia" w:ascii="宋体" w:hAnsi="宋体"/>
                <w:b/>
                <w:color w:val="FF0000"/>
                <w:szCs w:val="21"/>
              </w:rPr>
              <w:t>公司简称+授权代表姓名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rPr>
              <w:fldChar w:fldCharType="begin"/>
            </w:r>
            <w:r>
              <w:rPr>
                <w:rFonts w:hint="eastAsia"/>
              </w:rPr>
              <w:instrText xml:space="preserve"> HYPERLINK "https://cg.szcec.com/sharing/HUSlIW3fc" </w:instrText>
            </w:r>
            <w:r>
              <w:rPr>
                <w:rFonts w:hint="eastAsia"/>
              </w:rPr>
              <w:fldChar w:fldCharType="separate"/>
            </w:r>
            <w:r>
              <w:rPr>
                <w:rStyle w:val="20"/>
                <w:rFonts w:hint="eastAsia"/>
              </w:rPr>
              <w:t>https://cg.szcec.com/sharing/HUSlIW3fc</w:t>
            </w:r>
            <w:r>
              <w:rPr>
                <w:rFonts w:hint="eastAsia"/>
              </w:rPr>
              <w:fldChar w:fldCharType="end"/>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szCs w:val="21"/>
              </w:rPr>
            </w:pPr>
            <w:r>
              <w:rPr>
                <w:rFonts w:ascii="宋体" w:hAnsi="宋体" w:cs="Segoe UI Symbol"/>
                <w:kern w:val="0"/>
                <w:szCs w:val="21"/>
              </w:rPr>
              <w:sym w:font="Wingdings 2" w:char="0052"/>
            </w:r>
            <w:r>
              <w:rPr>
                <w:rFonts w:hint="eastAsia" w:ascii="宋体" w:hAnsi="宋体" w:cstheme="minorBidi"/>
                <w:szCs w:val="21"/>
              </w:rPr>
              <w:t>不接受</w:t>
            </w:r>
          </w:p>
          <w:p>
            <w:pPr>
              <w:autoSpaceDE w:val="0"/>
              <w:autoSpaceDN w:val="0"/>
              <w:adjustRightInd w:val="0"/>
              <w:snapToGrid w:val="0"/>
              <w:rPr>
                <w:rFonts w:ascii="宋体" w:hAnsi="宋体"/>
                <w:kern w:val="0"/>
                <w:szCs w:val="21"/>
              </w:rPr>
            </w:pPr>
            <w:r>
              <w:rPr>
                <w:rFonts w:hint="eastAsia" w:ascii="宋体" w:hAnsi="宋体" w:cstheme="minorBidi"/>
                <w:kern w:val="0"/>
                <w:szCs w:val="21"/>
              </w:rPr>
              <w:t>□</w:t>
            </w:r>
            <w:r>
              <w:rPr>
                <w:rFonts w:hint="eastAsia" w:ascii="宋体" w:hAnsi="宋体" w:cstheme="minorBidi"/>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Segoe UI Symbol"/>
                <w:kern w:val="0"/>
                <w:szCs w:val="21"/>
              </w:rPr>
              <w:sym w:font="Wingdings 2" w:char="0052"/>
            </w:r>
            <w:r>
              <w:rPr>
                <w:rFonts w:hint="eastAsia" w:ascii="宋体" w:hAnsi="宋体" w:cstheme="minorBidi"/>
                <w:kern w:val="0"/>
                <w:szCs w:val="21"/>
              </w:rPr>
              <w:t>不组织。投标人可在本项目招标公告发布之时起至</w:t>
            </w:r>
            <w:r>
              <w:rPr>
                <w:rFonts w:hint="eastAsia" w:ascii="宋体" w:hAnsi="宋体"/>
                <w:szCs w:val="21"/>
              </w:rPr>
              <w:t>报名</w:t>
            </w:r>
            <w:r>
              <w:rPr>
                <w:rFonts w:ascii="宋体" w:hAnsi="宋体"/>
                <w:szCs w:val="21"/>
              </w:rPr>
              <w:t>(文件获取）</w:t>
            </w:r>
            <w:r>
              <w:rPr>
                <w:rFonts w:hint="eastAsia" w:ascii="宋体" w:hAnsi="宋体"/>
                <w:kern w:val="0"/>
                <w:szCs w:val="21"/>
              </w:rPr>
              <w:t>时间截止</w:t>
            </w:r>
            <w:r>
              <w:rPr>
                <w:rFonts w:hint="eastAsia" w:ascii="宋体" w:hAnsi="宋体" w:cstheme="minorBidi"/>
                <w:kern w:val="0"/>
                <w:szCs w:val="21"/>
              </w:rPr>
              <w:t>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t>□组织，踏勘要求：</w:t>
            </w:r>
          </w:p>
          <w:p>
            <w:pPr>
              <w:pStyle w:val="24"/>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4"/>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4"/>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××邀请投标人人员察看现场并讲解项目需求；投标人应指派完全符合疫情防控要求的人员参加本项目的现场踏勘。</w:t>
            </w:r>
          </w:p>
          <w:p>
            <w:pPr>
              <w:pStyle w:val="24"/>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鉴</w:t>
            </w:r>
            <w:r>
              <w:rPr>
                <w:rFonts w:hint="eastAsia" w:ascii="宋体" w:hAnsi="宋体" w:eastAsia="宋体"/>
                <w:kern w:val="0"/>
              </w:rPr>
              <w:t>于疫情防控要求，所有入场人员需持</w:t>
            </w:r>
            <w:r>
              <w:rPr>
                <w:rFonts w:hint="eastAsia" w:ascii="宋体" w:hAnsi="宋体" w:eastAsia="宋体"/>
                <w:color w:val="FF0000"/>
                <w:kern w:val="0"/>
              </w:rPr>
              <w:t>24小时</w:t>
            </w:r>
            <w:r>
              <w:rPr>
                <w:rFonts w:hint="eastAsia" w:ascii="宋体" w:hAnsi="宋体" w:eastAsia="宋体"/>
                <w:kern w:val="0"/>
              </w:rPr>
              <w:t>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Pr>
                <w:rFonts w:hint="eastAsia" w:ascii="宋体" w:hAnsi="宋体" w:eastAsia="宋体"/>
                <w:b/>
                <w:color w:val="FF0000"/>
                <w:kern w:val="0"/>
              </w:rPr>
              <w:t>（特别注意：各投标人不得指派属于封控区、管控区、防范区人员作为本项目的踏勘人员）</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cs="Segoe UI Symbol"/>
                <w:kern w:val="0"/>
                <w:szCs w:val="21"/>
              </w:rPr>
              <w:sym w:font="Wingdings 2" w:char="0052"/>
            </w:r>
            <w:r>
              <w:rPr>
                <w:rFonts w:hint="eastAsia" w:ascii="宋体" w:hAnsi="宋体" w:eastAsia="宋体" w:cs="Segoe UI Symbol"/>
                <w:kern w:val="0"/>
                <w:szCs w:val="21"/>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jc w:val="left"/>
              <w:rPr>
                <w:rFonts w:ascii="宋体" w:hAnsi="宋体" w:cs="Segoe UI Symbol"/>
                <w:kern w:val="0"/>
                <w:szCs w:val="21"/>
              </w:rPr>
            </w:pPr>
            <w:r>
              <w:rPr>
                <w:rFonts w:hint="eastAsia" w:ascii="宋体" w:hAnsi="宋体" w:cs="Segoe UI Symbol"/>
                <w:kern w:val="0"/>
                <w:szCs w:val="21"/>
              </w:rPr>
              <w:t>履约保证金的</w:t>
            </w:r>
            <w:r>
              <w:rPr>
                <w:rFonts w:ascii="宋体" w:hAnsi="宋体" w:cs="Segoe UI Symbol"/>
                <w:kern w:val="0"/>
                <w:szCs w:val="21"/>
              </w:rPr>
              <w:t>形式</w:t>
            </w:r>
            <w:r>
              <w:rPr>
                <w:rFonts w:hint="eastAsia" w:ascii="宋体" w:hAnsi="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hint="eastAsia"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6" w:name="_Toc82684589"/>
      <w:bookmarkEnd w:id="6"/>
      <w:bookmarkStart w:id="7" w:name="_Toc82591927"/>
      <w:bookmarkEnd w:id="7"/>
      <w:bookmarkStart w:id="8" w:name="_Toc82591926"/>
      <w:bookmarkEnd w:id="8"/>
      <w:bookmarkStart w:id="9" w:name="_Toc82685542"/>
      <w:bookmarkEnd w:id="9"/>
      <w:bookmarkStart w:id="10" w:name="_Toc82685543"/>
      <w:bookmarkEnd w:id="10"/>
      <w:bookmarkStart w:id="11" w:name="_Toc82684590"/>
      <w:bookmarkEnd w:id="11"/>
      <w:bookmarkStart w:id="12" w:name="_Toc82684704"/>
      <w:bookmarkEnd w:id="12"/>
      <w:bookmarkStart w:id="13" w:name="_Toc82591928"/>
      <w:bookmarkEnd w:id="13"/>
      <w:bookmarkStart w:id="14" w:name="_Toc82684706"/>
      <w:bookmarkEnd w:id="14"/>
      <w:bookmarkStart w:id="15" w:name="_Toc82684703"/>
      <w:bookmarkEnd w:id="15"/>
      <w:bookmarkStart w:id="16" w:name="_Toc82684588"/>
      <w:bookmarkEnd w:id="16"/>
      <w:bookmarkStart w:id="17" w:name="_Toc82684705"/>
      <w:bookmarkEnd w:id="17"/>
      <w:bookmarkStart w:id="18" w:name="_Toc82591925"/>
      <w:bookmarkEnd w:id="18"/>
      <w:bookmarkStart w:id="19" w:name="_Toc82685541"/>
      <w:bookmarkEnd w:id="19"/>
      <w:bookmarkStart w:id="20" w:name="_Toc82685540"/>
      <w:bookmarkEnd w:id="20"/>
      <w:bookmarkStart w:id="21" w:name="_Toc82684591"/>
      <w:bookmarkEnd w:id="21"/>
      <w:bookmarkStart w:id="22" w:name="_Toc116032888"/>
      <w:r>
        <w:rPr>
          <w:rFonts w:hint="eastAsia" w:ascii="宋体" w:hAnsi="宋体"/>
          <w:b/>
          <w:szCs w:val="21"/>
        </w:rPr>
        <w:t>特别说明</w:t>
      </w:r>
      <w:bookmarkEnd w:id="22"/>
    </w:p>
    <w:p>
      <w:pPr>
        <w:pStyle w:val="24"/>
        <w:numPr>
          <w:ilvl w:val="0"/>
          <w:numId w:val="9"/>
        </w:numPr>
        <w:spacing w:line="360" w:lineRule="auto"/>
        <w:ind w:left="0" w:firstLine="420" w:firstLineChars="0"/>
        <w:rPr>
          <w:rFonts w:ascii="宋体" w:hAnsi="宋体" w:eastAsia="宋体" w:cs="宋体"/>
          <w:szCs w:val="21"/>
        </w:rPr>
      </w:pPr>
      <w:bookmarkStart w:id="23" w:name="_Toc478387747"/>
      <w:bookmarkStart w:id="24" w:name="_Toc45028463"/>
      <w:bookmarkStart w:id="25" w:name="_Toc517278751"/>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bookmarkEnd w:id="23"/>
    <w:bookmarkEnd w:id="24"/>
    <w:bookmarkEnd w:id="25"/>
    <w:p>
      <w:pPr>
        <w:pStyle w:val="24"/>
        <w:numPr>
          <w:ilvl w:val="0"/>
          <w:numId w:val="9"/>
        </w:numPr>
        <w:spacing w:line="360" w:lineRule="auto"/>
        <w:ind w:left="0" w:firstLine="420" w:firstLineChars="0"/>
        <w:rPr>
          <w:rFonts w:ascii="宋体" w:hAnsi="宋体" w:eastAsia="宋体" w:cs="宋体"/>
          <w:szCs w:val="21"/>
        </w:rPr>
      </w:pPr>
      <w:bookmarkStart w:id="26" w:name="_Hlk111708106"/>
      <w:r>
        <w:rPr>
          <w:rFonts w:hint="eastAsia" w:ascii="宋体" w:hAnsi="宋体" w:eastAsia="宋体" w:cs="宋体"/>
          <w:szCs w:val="21"/>
        </w:rPr>
        <w:t>当本项目《报价一览表》上的投标报价与《投标一览表》不一致时，以《投标一览表》为准。</w:t>
      </w:r>
      <w:bookmarkEnd w:id="26"/>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如果本次报名及实到供应商或经评审符合本项目要求的供应商不足三家时，则直接邀请实到供应商或符合项目要求的投标供应商进行竞争性或单一来源谈判（依据公司《采购管理办法》及实到或符合要求的投标供应商数量选用相应的谈判方式）。</w:t>
      </w:r>
    </w:p>
    <w:p>
      <w:pPr>
        <w:numPr>
          <w:ilvl w:val="0"/>
          <w:numId w:val="1"/>
        </w:numPr>
        <w:spacing w:line="560" w:lineRule="exact"/>
        <w:outlineLvl w:val="1"/>
        <w:rPr>
          <w:rFonts w:ascii="宋体" w:hAnsi="宋体"/>
          <w:b/>
          <w:szCs w:val="21"/>
        </w:rPr>
      </w:pPr>
      <w:bookmarkStart w:id="27" w:name="_Toc82591989"/>
      <w:bookmarkEnd w:id="27"/>
      <w:bookmarkStart w:id="28" w:name="_Toc82591988"/>
      <w:bookmarkEnd w:id="28"/>
      <w:bookmarkStart w:id="29" w:name="_Toc82591986"/>
      <w:bookmarkEnd w:id="29"/>
      <w:bookmarkStart w:id="30" w:name="_Toc82591985"/>
      <w:bookmarkEnd w:id="30"/>
      <w:bookmarkStart w:id="31" w:name="_Toc82684593"/>
      <w:bookmarkEnd w:id="31"/>
      <w:bookmarkStart w:id="32" w:name="_Toc82684708"/>
      <w:bookmarkEnd w:id="32"/>
      <w:bookmarkStart w:id="33" w:name="_Toc82591987"/>
      <w:bookmarkEnd w:id="33"/>
      <w:bookmarkStart w:id="34" w:name="_Toc82591930"/>
      <w:bookmarkEnd w:id="34"/>
      <w:bookmarkStart w:id="35" w:name="_Toc82685545"/>
      <w:bookmarkEnd w:id="35"/>
      <w:bookmarkStart w:id="36" w:name="_Toc116032889"/>
      <w:r>
        <w:rPr>
          <w:rFonts w:hint="eastAsia" w:ascii="宋体" w:hAnsi="宋体"/>
          <w:b/>
          <w:szCs w:val="21"/>
        </w:rPr>
        <w:t>投标文件编制</w:t>
      </w:r>
      <w:bookmarkEnd w:id="36"/>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032890"/>
      <w:r>
        <w:rPr>
          <w:rFonts w:hint="eastAsia" w:ascii="宋体" w:hAnsi="宋体"/>
          <w:b/>
          <w:szCs w:val="21"/>
        </w:rPr>
        <w:t>项目要求</w:t>
      </w:r>
      <w:bookmarkEnd w:id="37"/>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rPr>
            </w:pPr>
            <w:r>
              <w:rPr>
                <w:rFonts w:hint="eastAsia" w:ascii="宋体" w:hAnsi="宋体" w:cs="宋体"/>
                <w:color w:val="000000" w:themeColor="text1"/>
                <w:szCs w:val="21"/>
                <w14:textFill>
                  <w14:solidFill>
                    <w14:schemeClr w14:val="tx1"/>
                  </w14:solidFill>
                </w14:textFill>
              </w:rPr>
              <w:t>投标人</w:t>
            </w:r>
            <w:r>
              <w:rPr>
                <w:rFonts w:hint="eastAsia" w:ascii="宋体" w:hAnsi="宋体" w:cs="仿宋_GB2312"/>
                <w:szCs w:val="21"/>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代表必须是投标单位的法定代表人或持有法定代表人亲自签署的法人授权委托证明书的人员。（提供法定代表人证明书、法人授权委托证明书，如投标人法定代表人为本项目授权代表，则仅提供法定代表人证明书及身份证复印件，各证明书须加盖公章，身份证原件备查）</w:t>
            </w:r>
          </w:p>
          <w:p>
            <w:pPr>
              <w:numPr>
                <w:ilvl w:val="0"/>
                <w:numId w:val="10"/>
              </w:numPr>
              <w:tabs>
                <w:tab w:val="left" w:pos="531"/>
              </w:tabs>
              <w:snapToGrid w:val="0"/>
              <w:ind w:left="0" w:firstLine="0"/>
              <w:rPr>
                <w:rFonts w:ascii="宋体" w:hAnsi="宋体" w:cs="宋体"/>
                <w:color w:val="FF0000"/>
              </w:rPr>
            </w:pPr>
            <w:r>
              <w:rPr>
                <w:rFonts w:hint="eastAsia" w:ascii="宋体" w:hAnsi="宋体" w:cs="宋体"/>
                <w:szCs w:val="21"/>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szCs w:val="21"/>
              </w:rPr>
            </w:pPr>
            <w:r>
              <w:rPr>
                <w:rFonts w:hint="eastAsia" w:ascii="宋体" w:hAnsi="宋体" w:cs="仿宋_GB2312"/>
                <w:szCs w:val="21"/>
              </w:rPr>
              <w:t>报价以人民币为结算币种，《投标一览表》</w:t>
            </w:r>
            <w:r>
              <w:rPr>
                <w:rFonts w:hint="eastAsia" w:ascii="宋体" w:hAnsi="宋体"/>
                <w:szCs w:val="21"/>
              </w:rPr>
              <w:t>应包含税率、税额、税前及税后总金额。</w:t>
            </w:r>
          </w:p>
          <w:p>
            <w:pPr>
              <w:numPr>
                <w:ilvl w:val="0"/>
                <w:numId w:val="11"/>
              </w:numPr>
              <w:tabs>
                <w:tab w:val="left" w:pos="531"/>
              </w:tabs>
              <w:snapToGrid w:val="0"/>
              <w:ind w:left="0" w:firstLine="0"/>
              <w:rPr>
                <w:rFonts w:ascii="宋体" w:hAnsi="宋体" w:cs="仿宋_GB2312"/>
                <w:szCs w:val="21"/>
              </w:rPr>
            </w:pPr>
            <w:r>
              <w:rPr>
                <w:rFonts w:hint="eastAsia" w:ascii="宋体" w:hAnsi="宋体" w:cs="仿宋_GB2312"/>
                <w:szCs w:val="21"/>
              </w:rPr>
              <w:t>投标报价不得出现可选择性的报价,含有备选方案的报价将导致废标。</w:t>
            </w:r>
          </w:p>
          <w:p>
            <w:pPr>
              <w:numPr>
                <w:ilvl w:val="0"/>
                <w:numId w:val="11"/>
              </w:numPr>
              <w:tabs>
                <w:tab w:val="left" w:pos="531"/>
              </w:tabs>
              <w:snapToGrid w:val="0"/>
              <w:ind w:left="0" w:firstLine="0"/>
            </w:pPr>
            <w:r>
              <w:rPr>
                <w:rFonts w:hint="eastAsia" w:ascii="宋体" w:hAnsi="宋体" w:cs="仿宋_GB2312"/>
                <w:szCs w:val="21"/>
              </w:rPr>
              <w:t>投标报价包括但不限于策划费、稿费、编辑费、校对费、项目管理执行费</w:t>
            </w:r>
            <w:r>
              <w:rPr>
                <w:rFonts w:hint="eastAsia" w:ascii="宋体" w:hAnsi="宋体"/>
                <w:szCs w:val="21"/>
              </w:rPr>
              <w:t>等</w:t>
            </w:r>
            <w:r>
              <w:rPr>
                <w:rFonts w:hint="eastAsia" w:ascii="宋体" w:hAnsi="宋体" w:cs="仿宋_GB2312"/>
                <w:szCs w:val="21"/>
              </w:rPr>
              <w:t>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rPr>
            </w:pPr>
            <w:r>
              <w:rPr>
                <w:rFonts w:hint="eastAsia" w:ascii="宋体" w:hAnsi="宋体" w:cs="宋体"/>
                <w:szCs w:val="21"/>
              </w:rPr>
              <w:t>本项目采购控制金额为人民币25</w:t>
            </w:r>
            <w:r>
              <w:rPr>
                <w:rFonts w:ascii="宋体" w:hAnsi="宋体" w:cs="宋体"/>
                <w:szCs w:val="21"/>
              </w:rPr>
              <w:t>万元（含税）</w:t>
            </w:r>
            <w:r>
              <w:rPr>
                <w:rFonts w:hint="eastAsia" w:ascii="宋体" w:hAnsi="宋体" w:cs="宋体"/>
                <w:szCs w:val="21"/>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ascii="宋体" w:hAnsi="宋体" w:cs="宋体"/>
              </w:rPr>
            </w:pPr>
            <w:r>
              <w:rPr>
                <w:rFonts w:hint="eastAsia" w:hAnsi="宋体"/>
              </w:rPr>
              <w:t>按期完成高交会《高交会新闻速递》的制作、印刷及出版后，采购人在二十个工作日内付款给中标方。</w:t>
            </w:r>
          </w:p>
          <w:p>
            <w:pPr>
              <w:numPr>
                <w:ilvl w:val="0"/>
                <w:numId w:val="12"/>
              </w:numPr>
              <w:tabs>
                <w:tab w:val="left" w:pos="531"/>
              </w:tabs>
              <w:snapToGrid w:val="0"/>
              <w:ind w:left="0" w:firstLine="0"/>
              <w:rPr>
                <w:color w:val="FF0000"/>
              </w:rPr>
            </w:pPr>
            <w:r>
              <w:rPr>
                <w:rFonts w:hint="eastAsia" w:ascii="宋体" w:hAnsi="宋体" w:cs="宋体"/>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知识产权保护</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rPr>
                <w:rFonts w:hAnsi="宋体"/>
              </w:rPr>
            </w:pPr>
            <w:r>
              <w:rPr>
                <w:rFonts w:hint="eastAsia" w:hAnsi="宋体"/>
              </w:rPr>
              <w:t>本项目成果所有权归招标人所有。</w:t>
            </w:r>
          </w:p>
          <w:p>
            <w:pPr>
              <w:numPr>
                <w:ilvl w:val="0"/>
                <w:numId w:val="13"/>
              </w:numPr>
              <w:tabs>
                <w:tab w:val="left" w:pos="531"/>
              </w:tabs>
              <w:snapToGrid w:val="0"/>
              <w:rPr>
                <w:rFonts w:hAnsi="宋体"/>
              </w:rPr>
            </w:pPr>
            <w:r>
              <w:rPr>
                <w:rFonts w:hint="eastAsia" w:hAnsi="宋体"/>
              </w:rPr>
              <w:t>参加单位必须对编写成果拥有著作版权，不得有模仿、抄袭等侵权行为，若因此所带来的经济和法律责任均由投标人自行承担；若给招标人造成损失的，招标人保留进一步追偿的权利。</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保密要求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rPr>
                <w:rFonts w:ascii="宋体" w:cs="宋体"/>
                <w:szCs w:val="21"/>
              </w:rPr>
            </w:pPr>
            <w:r>
              <w:rPr>
                <w:rFonts w:hint="eastAsia" w:ascii="宋体" w:cs="宋体"/>
                <w:szCs w:val="21"/>
              </w:rPr>
              <w:t>项目执行中需</w:t>
            </w:r>
            <w:r>
              <w:rPr>
                <w:rFonts w:ascii="宋体" w:cs="宋体"/>
                <w:szCs w:val="21"/>
              </w:rPr>
              <w:t>维护双方声誉，不可</w:t>
            </w:r>
            <w:r>
              <w:rPr>
                <w:rFonts w:hint="eastAsia" w:ascii="宋体" w:cs="宋体"/>
                <w:szCs w:val="21"/>
              </w:rPr>
              <w:t>对第三方泄露展会相关新闻信息，</w:t>
            </w:r>
            <w:r>
              <w:rPr>
                <w:rFonts w:ascii="宋体" w:cs="宋体"/>
                <w:szCs w:val="21"/>
              </w:rPr>
              <w:t>侵害</w:t>
            </w:r>
            <w:r>
              <w:rPr>
                <w:rFonts w:hint="eastAsia" w:ascii="宋体" w:cs="宋体"/>
                <w:szCs w:val="21"/>
              </w:rPr>
              <w:t>大会</w:t>
            </w:r>
            <w:r>
              <w:rPr>
                <w:rFonts w:ascii="宋体" w:cs="宋体"/>
                <w:szCs w:val="21"/>
              </w:rPr>
              <w:t>的品牌权益</w:t>
            </w:r>
            <w:r>
              <w:rPr>
                <w:rFonts w:hint="eastAsia" w:ascii="宋体" w:cs="宋体"/>
                <w:szCs w:val="21"/>
              </w:rPr>
              <w:t>。</w:t>
            </w:r>
          </w:p>
          <w:p>
            <w:pPr>
              <w:numPr>
                <w:ilvl w:val="0"/>
                <w:numId w:val="14"/>
              </w:numPr>
              <w:tabs>
                <w:tab w:val="left" w:pos="599"/>
              </w:tabs>
              <w:snapToGrid w:val="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投标人承诺绝不私自截留、披露或外泄与本项目相关的资料、以及在本项目履约服务过程中所获取或接触的任何信息及数据。</w:t>
            </w:r>
          </w:p>
          <w:p>
            <w:pPr>
              <w:numPr>
                <w:ilvl w:val="0"/>
                <w:numId w:val="14"/>
              </w:numPr>
              <w:tabs>
                <w:tab w:val="left" w:pos="599"/>
              </w:tabs>
              <w:snapToGrid w:val="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如投标人存在违规、侵权或泄密等行为,须赔偿因此给招标人带来的经济损失，并承担相应的法律责任。</w:t>
            </w:r>
          </w:p>
          <w:p>
            <w:pPr>
              <w:numPr>
                <w:ilvl w:val="0"/>
                <w:numId w:val="14"/>
              </w:numPr>
              <w:tabs>
                <w:tab w:val="left" w:pos="599"/>
              </w:tabs>
              <w:snapToGrid w:val="0"/>
            </w:pPr>
            <w:r>
              <w:rPr>
                <w:rFonts w:hint="eastAsia" w:ascii="宋体" w:hAnsi="宋体" w:cs="仿宋"/>
                <w:color w:val="000000" w:themeColor="text1"/>
                <w:szCs w:val="21"/>
                <w14:textFill>
                  <w14:solidFill>
                    <w14:schemeClr w14:val="tx1"/>
                  </w14:solidFill>
                </w14:textFill>
              </w:rPr>
              <w:t>本项目所约定的保密义务不因合同的变更、解除或终止而免除。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rPr>
              <w:t>项目实施要求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5"/>
              <w:numPr>
                <w:ilvl w:val="0"/>
                <w:numId w:val="15"/>
              </w:numPr>
              <w:spacing w:before="93" w:beforeLines="30"/>
              <w:rPr>
                <w:rFonts w:ascii="Times New Roman" w:hAnsi="Times New Roman"/>
                <w:szCs w:val="24"/>
              </w:rPr>
            </w:pPr>
            <w:r>
              <w:rPr>
                <w:rFonts w:hint="eastAsia" w:ascii="Times New Roman" w:hAnsi="Times New Roman"/>
                <w:szCs w:val="24"/>
              </w:rPr>
              <w:t>（《高交会新闻速递》杂志定位：围绕本届高交会主题来定位杂志内容与风格。</w:t>
            </w:r>
          </w:p>
          <w:p>
            <w:pPr>
              <w:pStyle w:val="5"/>
              <w:numPr>
                <w:ilvl w:val="0"/>
                <w:numId w:val="15"/>
              </w:numPr>
              <w:spacing w:before="93" w:beforeLines="30"/>
              <w:rPr>
                <w:rFonts w:ascii="Times New Roman" w:hAnsi="Times New Roman"/>
                <w:szCs w:val="24"/>
              </w:rPr>
            </w:pPr>
            <w:r>
              <w:rPr>
                <w:rFonts w:hint="eastAsia" w:ascii="Times New Roman" w:hAnsi="Times New Roman"/>
                <w:szCs w:val="24"/>
              </w:rPr>
              <w:t>（《高交会新闻速递》报道宗旨：全面报道第二十四届高交会的情况，包括全景展示第二十四届高交会的热点、焦点，传播主办方声音，抓取高交会举办期间的科技、产品、服务亮点，诠释和凸显高交会的专业化、国际化等特色。</w:t>
            </w:r>
          </w:p>
          <w:p>
            <w:pPr>
              <w:pStyle w:val="5"/>
              <w:numPr>
                <w:ilvl w:val="0"/>
                <w:numId w:val="15"/>
              </w:numPr>
              <w:spacing w:before="93" w:beforeLines="30"/>
              <w:rPr>
                <w:rFonts w:ascii="Times New Roman" w:hAnsi="Times New Roman"/>
                <w:szCs w:val="24"/>
              </w:rPr>
            </w:pPr>
            <w:r>
              <w:rPr>
                <w:rFonts w:hint="eastAsia" w:ascii="Times New Roman" w:hAnsi="Times New Roman"/>
                <w:szCs w:val="24"/>
              </w:rPr>
              <w:t>投标人进行《高交会新闻速递》内容策划，并负责在开展前三天每天分别出版并印刷一期《高交会新闻速递》给招标人，共三期。《高交会新闻速递》须含4P英文报道（报道由投标人采访和编辑，翻译由招标人提供），全彩大16开本每期36版（含四封）。</w:t>
            </w:r>
          </w:p>
          <w:p>
            <w:pPr>
              <w:pStyle w:val="5"/>
              <w:numPr>
                <w:ilvl w:val="0"/>
                <w:numId w:val="15"/>
              </w:numPr>
              <w:spacing w:before="93" w:beforeLines="30"/>
              <w:rPr>
                <w:rFonts w:ascii="Times New Roman" w:hAnsi="Times New Roman"/>
                <w:szCs w:val="24"/>
              </w:rPr>
            </w:pPr>
            <w:r>
              <w:rPr>
                <w:rFonts w:hint="eastAsia" w:ascii="Times New Roman" w:hAnsi="Times New Roman"/>
                <w:szCs w:val="24"/>
              </w:rPr>
              <w:t>投标人应组建专门的工作小组完成本项目《高交会新闻速递》的编辑、排版、印刷、运输和出版等工作。</w:t>
            </w:r>
          </w:p>
          <w:p>
            <w:pPr>
              <w:pStyle w:val="5"/>
              <w:numPr>
                <w:ilvl w:val="0"/>
                <w:numId w:val="15"/>
              </w:numPr>
              <w:spacing w:before="93" w:beforeLines="30"/>
              <w:rPr>
                <w:rFonts w:ascii="Times New Roman" w:hAnsi="Times New Roman"/>
                <w:szCs w:val="24"/>
              </w:rPr>
            </w:pPr>
            <w:r>
              <w:rPr>
                <w:rFonts w:hint="eastAsia" w:ascii="Times New Roman" w:hAnsi="Times New Roman"/>
                <w:szCs w:val="24"/>
              </w:rPr>
              <w:t>投标人保证在展会开幕</w:t>
            </w:r>
            <w:bookmarkStart w:id="94" w:name="_GoBack"/>
            <w:r>
              <w:rPr>
                <w:rFonts w:hint="eastAsia" w:ascii="Times New Roman" w:hAnsi="Times New Roman"/>
                <w:szCs w:val="24"/>
                <w:highlight w:val="yellow"/>
              </w:rPr>
              <w:t>前</w:t>
            </w:r>
            <w:r>
              <w:rPr>
                <w:rFonts w:hint="eastAsia" w:ascii="Times New Roman" w:hAnsi="Times New Roman"/>
                <w:szCs w:val="24"/>
                <w:highlight w:val="yellow"/>
                <w:lang w:val="en-US" w:eastAsia="zh-CN"/>
              </w:rPr>
              <w:t>2</w:t>
            </w:r>
            <w:r>
              <w:rPr>
                <w:rFonts w:hint="eastAsia" w:ascii="Times New Roman" w:hAnsi="Times New Roman"/>
                <w:szCs w:val="24"/>
                <w:highlight w:val="yellow"/>
              </w:rPr>
              <w:t>天</w:t>
            </w:r>
            <w:bookmarkEnd w:id="94"/>
            <w:r>
              <w:rPr>
                <w:rFonts w:hint="eastAsia" w:ascii="Times New Roman" w:hAnsi="Times New Roman"/>
                <w:szCs w:val="24"/>
              </w:rPr>
              <w:t>提交第一期《高交会新闻速递》（除开幕新闻发布会的新闻）的设计定稿、开展第一天下午5点前提交第二期《高交会新闻速递》设计定稿、开展第二天下午5点前提交第三期《高交会新闻速递》设计定稿给招标人。</w:t>
            </w:r>
          </w:p>
          <w:p>
            <w:pPr>
              <w:pStyle w:val="5"/>
              <w:numPr>
                <w:ilvl w:val="0"/>
                <w:numId w:val="15"/>
              </w:numPr>
              <w:spacing w:before="93" w:beforeLines="30"/>
              <w:rPr>
                <w:rFonts w:ascii="Times New Roman" w:hAnsi="Times New Roman"/>
                <w:szCs w:val="24"/>
              </w:rPr>
            </w:pPr>
            <w:r>
              <w:rPr>
                <w:rFonts w:hint="eastAsia" w:ascii="Times New Roman" w:hAnsi="Times New Roman"/>
                <w:szCs w:val="24"/>
              </w:rPr>
              <w:t>投标人应对高交会的发展历史、性质、内容，相关政策和方向理解透彻，并在提交的实施方案中体现。</w:t>
            </w:r>
          </w:p>
          <w:p>
            <w:pPr>
              <w:pStyle w:val="5"/>
              <w:numPr>
                <w:ilvl w:val="0"/>
                <w:numId w:val="15"/>
              </w:numPr>
              <w:spacing w:before="93" w:beforeLines="30"/>
              <w:rPr>
                <w:rFonts w:hAnsi="宋体"/>
                <w:color w:val="FF0000"/>
              </w:rPr>
            </w:pPr>
            <w:r>
              <w:rPr>
                <w:rFonts w:hint="eastAsia" w:ascii="Times New Roman" w:hAnsi="Times New Roman"/>
                <w:szCs w:val="24"/>
              </w:rPr>
              <w:t>投标人负责高交会《高交会新闻速递》内容的初审，招标人负责终审并有权要求投标人进行及时修订，直至符合要求为止。投标人有义务完成定稿，每期出版前彩样由双方负责人共同签字后确认。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szCs w:val="21"/>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5"/>
              <w:numPr>
                <w:ilvl w:val="0"/>
                <w:numId w:val="16"/>
              </w:numPr>
              <w:spacing w:before="93" w:beforeLines="30"/>
              <w:rPr>
                <w:rFonts w:hAnsi="宋体"/>
                <w:szCs w:val="21"/>
              </w:rPr>
            </w:pPr>
            <w:r>
              <w:rPr>
                <w:rFonts w:hint="eastAsia" w:hAnsi="宋体"/>
                <w:szCs w:val="21"/>
              </w:rPr>
              <w:t>制作：按质按量交付3期《高交会新闻速递》设计稿（印刷版的PDF格式文件）及对应可编辑文本文件（</w:t>
            </w:r>
            <w:r>
              <w:rPr>
                <w:rFonts w:hAnsi="宋体"/>
                <w:szCs w:val="21"/>
              </w:rPr>
              <w:t>WPS</w:t>
            </w:r>
            <w:r>
              <w:rPr>
                <w:rFonts w:hint="eastAsia" w:hAnsi="宋体"/>
                <w:szCs w:val="21"/>
              </w:rPr>
              <w:t>或W</w:t>
            </w:r>
            <w:r>
              <w:rPr>
                <w:rFonts w:hAnsi="宋体"/>
                <w:szCs w:val="21"/>
              </w:rPr>
              <w:t>ORD</w:t>
            </w:r>
            <w:r>
              <w:rPr>
                <w:rFonts w:hint="eastAsia" w:hAnsi="宋体"/>
                <w:szCs w:val="21"/>
              </w:rPr>
              <w:t>格式）。</w:t>
            </w:r>
          </w:p>
          <w:p>
            <w:pPr>
              <w:pStyle w:val="5"/>
              <w:numPr>
                <w:ilvl w:val="0"/>
                <w:numId w:val="16"/>
              </w:numPr>
              <w:spacing w:before="93" w:beforeLines="30"/>
              <w:rPr>
                <w:rFonts w:hAnsi="宋体"/>
                <w:szCs w:val="21"/>
              </w:rPr>
            </w:pPr>
            <w:r>
              <w:rPr>
                <w:rFonts w:hint="eastAsia" w:hAnsi="宋体"/>
                <w:szCs w:val="21"/>
              </w:rPr>
              <w:t>印刷数量及送货要求：《高交会新闻速递》印刷前需交彩样给由招标人指定的人员确认，第一期3000册（开展第一天上午7：30前送达招标人指定地点，，第二期3000册（开展第二天上午8：30前送达招标人指定地点），第三期3000册（开展第三天上午8：30前送达招标人指定地点）。</w:t>
            </w:r>
          </w:p>
          <w:p>
            <w:pPr>
              <w:pStyle w:val="5"/>
              <w:numPr>
                <w:ilvl w:val="0"/>
                <w:numId w:val="16"/>
              </w:numPr>
              <w:spacing w:before="93" w:beforeLines="30"/>
              <w:rPr>
                <w:rFonts w:hAnsi="宋体"/>
                <w:szCs w:val="21"/>
              </w:rPr>
            </w:pPr>
            <w:r>
              <w:rPr>
                <w:rFonts w:hint="eastAsia" w:hAnsi="宋体"/>
                <w:szCs w:val="21"/>
              </w:rPr>
              <w:t>尺寸：展开尺寸420x285mm，成品尺寸210x285mm</w:t>
            </w:r>
          </w:p>
          <w:p>
            <w:pPr>
              <w:pStyle w:val="5"/>
              <w:numPr>
                <w:ilvl w:val="0"/>
                <w:numId w:val="16"/>
              </w:numPr>
              <w:spacing w:before="93" w:beforeLines="30"/>
              <w:rPr>
                <w:rFonts w:hAnsi="宋体"/>
                <w:szCs w:val="21"/>
              </w:rPr>
            </w:pPr>
            <w:r>
              <w:rPr>
                <w:rFonts w:hint="eastAsia" w:hAnsi="宋体"/>
                <w:szCs w:val="21"/>
              </w:rPr>
              <w:t>纸张要求：全彩色、封面4p，双铜纸157g，内页32p，双铜纸105g。</w:t>
            </w:r>
          </w:p>
          <w:p>
            <w:pPr>
              <w:pStyle w:val="5"/>
              <w:numPr>
                <w:ilvl w:val="0"/>
                <w:numId w:val="16"/>
              </w:numPr>
              <w:spacing w:before="93" w:beforeLines="30"/>
              <w:rPr>
                <w:rFonts w:hAnsi="宋体"/>
                <w:szCs w:val="21"/>
              </w:rPr>
            </w:pPr>
            <w:r>
              <w:rPr>
                <w:rFonts w:hint="eastAsia" w:hAnsi="宋体"/>
                <w:szCs w:val="21"/>
              </w:rPr>
              <w:t>工艺：4+4c，骑马钉，封面表面亚膜。</w:t>
            </w:r>
          </w:p>
          <w:p>
            <w:pPr>
              <w:pStyle w:val="5"/>
              <w:numPr>
                <w:ilvl w:val="0"/>
                <w:numId w:val="16"/>
              </w:numPr>
              <w:spacing w:before="93" w:beforeLines="30"/>
              <w:rPr>
                <w:rFonts w:hAnsi="宋体"/>
                <w:szCs w:val="21"/>
              </w:rPr>
            </w:pPr>
            <w:r>
              <w:rPr>
                <w:rFonts w:hint="eastAsia" w:hAnsi="宋体"/>
                <w:szCs w:val="21"/>
              </w:rPr>
              <w:t>质量要求：要求保证印刷质量、干透不掉色。</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szCs w:val="21"/>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pStyle w:val="5"/>
              <w:numPr>
                <w:ilvl w:val="0"/>
                <w:numId w:val="17"/>
              </w:numPr>
              <w:spacing w:before="93" w:beforeLines="30"/>
              <w:rPr>
                <w:rFonts w:hAnsi="宋体"/>
                <w:szCs w:val="21"/>
              </w:rPr>
            </w:pPr>
            <w:r>
              <w:rPr>
                <w:rFonts w:hint="eastAsia" w:hAnsi="宋体"/>
                <w:szCs w:val="21"/>
              </w:rPr>
              <w:t>投标人在高交会期间，保证恪守新闻职业道德，遵守新闻纪律及高交会相关规定。</w:t>
            </w:r>
          </w:p>
          <w:p>
            <w:pPr>
              <w:pStyle w:val="5"/>
              <w:numPr>
                <w:ilvl w:val="0"/>
                <w:numId w:val="17"/>
              </w:numPr>
              <w:spacing w:before="93" w:beforeLines="30"/>
              <w:rPr>
                <w:rFonts w:hAnsi="宋体"/>
                <w:szCs w:val="21"/>
              </w:rPr>
            </w:pPr>
            <w:r>
              <w:rPr>
                <w:rFonts w:hint="eastAsia" w:hAnsi="宋体"/>
                <w:szCs w:val="21"/>
              </w:rPr>
              <w:t>投标人应确保提供给采购人的稿件不涉及版权纠纷，工作中应维护招标人声誉。</w:t>
            </w:r>
          </w:p>
          <w:p>
            <w:pPr>
              <w:pStyle w:val="5"/>
              <w:numPr>
                <w:ilvl w:val="0"/>
                <w:numId w:val="17"/>
              </w:numPr>
              <w:spacing w:before="93" w:beforeLines="30"/>
              <w:rPr>
                <w:rFonts w:hAnsi="宋体"/>
                <w:szCs w:val="21"/>
              </w:rPr>
            </w:pPr>
            <w:r>
              <w:rPr>
                <w:rFonts w:hint="eastAsia" w:hAnsi="宋体"/>
                <w:szCs w:val="21"/>
              </w:rPr>
              <w:t>如投标人不能按照约定履行自己的义务，须承担相应的违约赔偿责任；如因不可抗拒之因素导致的，则由双方共同承担责任。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r>
              <w:rPr>
                <w:rFonts w:ascii="宋体" w:hAnsi="宋体" w:cs="宋体"/>
                <w:snapToGrid/>
                <w:spacing w:val="0"/>
                <w:kern w:val="2"/>
                <w:sz w:val="21"/>
                <w:szCs w:val="21"/>
              </w:rPr>
              <w:t>.</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项目策划方案</w:t>
            </w:r>
          </w:p>
        </w:tc>
        <w:tc>
          <w:tcPr>
            <w:tcW w:w="7438" w:type="dxa"/>
            <w:tcBorders>
              <w:top w:val="single" w:color="auto" w:sz="4" w:space="0"/>
              <w:left w:val="single" w:color="auto" w:sz="4" w:space="0"/>
              <w:bottom w:val="single" w:color="auto" w:sz="4" w:space="0"/>
              <w:right w:val="single" w:color="auto" w:sz="4" w:space="0"/>
            </w:tcBorders>
            <w:vAlign w:val="center"/>
          </w:tcPr>
          <w:p>
            <w:pPr>
              <w:pStyle w:val="5"/>
              <w:spacing w:before="93" w:beforeLines="30"/>
              <w:rPr>
                <w:rFonts w:hAnsi="宋体"/>
                <w:szCs w:val="21"/>
              </w:rPr>
            </w:pPr>
            <w:r>
              <w:rPr>
                <w:rFonts w:hint="eastAsia" w:hAnsi="宋体"/>
                <w:szCs w:val="21"/>
              </w:rPr>
              <w:t>投标人须提交本项目的实施方案，内容须包含但不仅限于</w:t>
            </w:r>
            <w:r>
              <w:rPr>
                <w:rFonts w:hint="eastAsia" w:hAnsi="宋体" w:cs="宋体"/>
                <w:kern w:val="0"/>
                <w:szCs w:val="21"/>
              </w:rPr>
              <w:t>对高交会的理解、</w:t>
            </w:r>
            <w:r>
              <w:rPr>
                <w:rFonts w:hint="eastAsia"/>
              </w:rPr>
              <w:t>《高交会新闻速递》</w:t>
            </w:r>
            <w:r>
              <w:rPr>
                <w:rFonts w:hint="eastAsia" w:hAnsi="宋体" w:cs="宋体"/>
                <w:kern w:val="0"/>
                <w:szCs w:val="21"/>
              </w:rPr>
              <w:t>的制作思路（如对高交会定位准确度、</w:t>
            </w:r>
            <w:r>
              <w:rPr>
                <w:rFonts w:hint="eastAsia"/>
              </w:rPr>
              <w:t>《高交会新闻速递》</w:t>
            </w:r>
            <w:r>
              <w:rPr>
                <w:rFonts w:hint="eastAsia" w:hAnsi="宋体" w:cs="宋体"/>
                <w:kern w:val="0"/>
                <w:szCs w:val="21"/>
              </w:rPr>
              <w:t>制作思路清晰度及服务计划等）。</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bl>
    <w:p>
      <w:pPr>
        <w:jc w:val="left"/>
        <w:outlineLvl w:val="1"/>
        <w:rPr>
          <w:rFonts w:ascii="宋体" w:hAnsi="宋体"/>
          <w:b/>
          <w:szCs w:val="21"/>
        </w:rPr>
      </w:pPr>
      <w:bookmarkStart w:id="38" w:name="_Toc82684600"/>
      <w:bookmarkEnd w:id="38"/>
      <w:bookmarkStart w:id="39" w:name="_Toc82685552"/>
      <w:bookmarkEnd w:id="39"/>
      <w:bookmarkStart w:id="40" w:name="_Toc82591996"/>
      <w:bookmarkEnd w:id="40"/>
      <w:bookmarkStart w:id="41" w:name="_Toc82684715"/>
      <w:bookmarkEnd w:id="41"/>
    </w:p>
    <w:p>
      <w:pPr>
        <w:numPr>
          <w:ilvl w:val="0"/>
          <w:numId w:val="1"/>
        </w:numPr>
        <w:jc w:val="left"/>
        <w:outlineLvl w:val="1"/>
        <w:rPr>
          <w:rFonts w:ascii="宋体" w:hAnsi="宋体"/>
          <w:b/>
          <w:szCs w:val="21"/>
        </w:rPr>
      </w:pPr>
      <w:bookmarkStart w:id="42" w:name="_Toc116032891"/>
      <w:r>
        <w:rPr>
          <w:rFonts w:hint="eastAsia" w:ascii="宋体" w:hAnsi="宋体"/>
          <w:b/>
          <w:szCs w:val="21"/>
        </w:rPr>
        <w:t>其他项目说明资料</w:t>
      </w:r>
      <w:bookmarkEnd w:id="42"/>
    </w:p>
    <w:p>
      <w:pPr>
        <w:widowControl/>
        <w:jc w:val="left"/>
      </w:pPr>
      <w:r>
        <w:rPr>
          <w:rFonts w:hint="eastAsia"/>
        </w:rPr>
        <w:t>无</w:t>
      </w:r>
      <w:r>
        <w:br w:type="page"/>
      </w:r>
    </w:p>
    <w:p>
      <w:pPr>
        <w:spacing w:line="360" w:lineRule="auto"/>
        <w:jc w:val="center"/>
        <w:outlineLvl w:val="0"/>
        <w:rPr>
          <w:rFonts w:ascii="宋体" w:hAnsi="宋体"/>
          <w:b/>
          <w:sz w:val="32"/>
          <w:szCs w:val="32"/>
        </w:rPr>
      </w:pPr>
      <w:bookmarkStart w:id="43" w:name="_Toc116032892"/>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04994641"/>
      <w:bookmarkStart w:id="45" w:name="_Toc116032893"/>
      <w:bookmarkStart w:id="46" w:name="_Hlk104908581"/>
      <w:bookmarkStart w:id="47" w:name="_Hlk104908397"/>
      <w:r>
        <w:rPr>
          <w:rFonts w:hint="eastAsia"/>
          <w:b/>
        </w:rPr>
        <w:t>开标阶段</w:t>
      </w:r>
      <w:bookmarkEnd w:id="44"/>
      <w:bookmarkEnd w:id="45"/>
    </w:p>
    <w:bookmarkEnd w:id="46"/>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16032894"/>
      <w:bookmarkStart w:id="49" w:name="_Toc104994642"/>
      <w:r>
        <w:rPr>
          <w:rFonts w:hint="eastAsia"/>
          <w:b/>
        </w:rPr>
        <w:t>评标阶段</w:t>
      </w:r>
      <w:bookmarkEnd w:id="48"/>
      <w:bookmarkEnd w:id="49"/>
    </w:p>
    <w:p>
      <w:pPr>
        <w:pStyle w:val="24"/>
        <w:numPr>
          <w:ilvl w:val="0"/>
          <w:numId w:val="19"/>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本项目招标第一候选供应商、第二候选供应商的确定及评标报告的出具。</w:t>
      </w:r>
    </w:p>
    <w:bookmarkEnd w:id="47"/>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50" w:name="_Toc116032895"/>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032896"/>
      <w:r>
        <w:rPr>
          <w:rFonts w:hint="eastAsia" w:ascii="宋体" w:hAnsi="宋体"/>
          <w:b/>
          <w:bCs/>
          <w:szCs w:val="21"/>
        </w:rPr>
        <w:t>评审办法</w:t>
      </w:r>
      <w:bookmarkEnd w:id="51"/>
    </w:p>
    <w:p>
      <w:pPr>
        <w:spacing w:line="360" w:lineRule="auto"/>
        <w:ind w:firstLine="420" w:firstLineChars="200"/>
        <w:rPr>
          <w:rFonts w:ascii="宋体" w:hAnsi="宋体"/>
          <w:szCs w:val="21"/>
        </w:rPr>
      </w:pPr>
      <w:r>
        <w:rPr>
          <w:rFonts w:hint="eastAsia" w:ascii="宋体" w:hAnsi="宋体"/>
          <w:szCs w:val="21"/>
        </w:rPr>
        <w:t>首先对各投标人进行符合性审查</w:t>
      </w:r>
      <w:bookmarkStart w:id="52" w:name="_Hlk111727728"/>
      <w:r>
        <w:rPr>
          <w:rFonts w:hint="eastAsia" w:ascii="宋体" w:hAnsi="宋体"/>
          <w:szCs w:val="21"/>
        </w:rPr>
        <w:t>，然后进行不可偏离项检查</w:t>
      </w:r>
      <w:bookmarkEnd w:id="52"/>
      <w:r>
        <w:rPr>
          <w:rFonts w:hint="eastAsia" w:ascii="宋体" w:hAnsi="宋体"/>
          <w:szCs w:val="21"/>
        </w:rPr>
        <w:t>。对通过符合性审查</w:t>
      </w:r>
      <w:bookmarkStart w:id="53" w:name="_Hlk111727742"/>
      <w:r>
        <w:rPr>
          <w:rFonts w:hint="eastAsia" w:ascii="宋体" w:hAnsi="宋体"/>
          <w:szCs w:val="21"/>
        </w:rPr>
        <w:t>及不可偏离项检查</w:t>
      </w:r>
      <w:bookmarkEnd w:id="53"/>
      <w:r>
        <w:rPr>
          <w:rFonts w:hint="eastAsia" w:ascii="宋体" w:hAnsi="宋体"/>
          <w:szCs w:val="21"/>
        </w:rPr>
        <w:t>的投标人，采用</w:t>
      </w:r>
      <w:r>
        <w:rPr>
          <w:rFonts w:hint="eastAsia" w:ascii="宋体" w:hAnsi="宋体"/>
          <w:b/>
          <w:szCs w:val="21"/>
        </w:rPr>
        <w:t>100分制综合评分法</w:t>
      </w:r>
      <w:r>
        <w:rPr>
          <w:rFonts w:hint="eastAsia" w:ascii="宋体" w:hAnsi="宋体"/>
          <w:szCs w:val="21"/>
        </w:rPr>
        <w:t>进行评分。</w:t>
      </w:r>
    </w:p>
    <w:tbl>
      <w:tblPr>
        <w:tblStyle w:val="16"/>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9490" w:type="dxa"/>
            <w:gridSpan w:val="4"/>
            <w:vAlign w:val="center"/>
          </w:tcPr>
          <w:p>
            <w:pPr>
              <w:pStyle w:val="2"/>
              <w:spacing w:after="0" w:line="240" w:lineRule="auto"/>
              <w:ind w:left="0"/>
              <w:jc w:val="center"/>
              <w:rPr>
                <w:b/>
              </w:rPr>
            </w:pPr>
            <w:r>
              <w:rPr>
                <w:rFonts w:hint="eastAsia" w:ascii="宋体" w:hAnsi="宋体" w:cs="仿宋"/>
                <w:b/>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644" w:type="dxa"/>
            <w:vAlign w:val="center"/>
          </w:tcPr>
          <w:p>
            <w:pPr>
              <w:autoSpaceDE w:val="0"/>
              <w:autoSpaceDN w:val="0"/>
              <w:adjustRightInd w:val="0"/>
              <w:snapToGrid w:val="0"/>
              <w:jc w:val="center"/>
              <w:rPr>
                <w:rFonts w:ascii="宋体" w:hAnsi="宋体"/>
                <w:b/>
              </w:rPr>
            </w:pPr>
            <w:r>
              <w:rPr>
                <w:rFonts w:hint="eastAsia" w:ascii="宋体" w:hAnsi="宋体"/>
                <w:b/>
              </w:rPr>
              <w:t>权重名称</w:t>
            </w:r>
          </w:p>
        </w:tc>
        <w:tc>
          <w:tcPr>
            <w:tcW w:w="2130" w:type="dxa"/>
            <w:vAlign w:val="center"/>
          </w:tcPr>
          <w:p>
            <w:pPr>
              <w:autoSpaceDE w:val="0"/>
              <w:autoSpaceDN w:val="0"/>
              <w:adjustRightInd w:val="0"/>
              <w:snapToGrid w:val="0"/>
              <w:jc w:val="center"/>
              <w:rPr>
                <w:rFonts w:ascii="宋体" w:hAnsi="宋体"/>
                <w:b/>
              </w:rPr>
            </w:pPr>
            <w:r>
              <w:rPr>
                <w:rFonts w:hint="eastAsia" w:ascii="宋体" w:hAnsi="宋体"/>
                <w:b/>
              </w:rPr>
              <w:t>商务标权重</w:t>
            </w:r>
          </w:p>
        </w:tc>
        <w:tc>
          <w:tcPr>
            <w:tcW w:w="2131" w:type="dxa"/>
            <w:vAlign w:val="center"/>
          </w:tcPr>
          <w:p>
            <w:pPr>
              <w:autoSpaceDE w:val="0"/>
              <w:autoSpaceDN w:val="0"/>
              <w:adjustRightInd w:val="0"/>
              <w:snapToGrid w:val="0"/>
              <w:jc w:val="center"/>
              <w:rPr>
                <w:rFonts w:ascii="宋体" w:hAnsi="宋体"/>
                <w:b/>
              </w:rPr>
            </w:pPr>
            <w:r>
              <w:rPr>
                <w:rFonts w:hint="eastAsia" w:ascii="宋体" w:hAnsi="宋体"/>
                <w:b/>
              </w:rPr>
              <w:t>技术标权重</w:t>
            </w:r>
          </w:p>
        </w:tc>
        <w:tc>
          <w:tcPr>
            <w:tcW w:w="2585" w:type="dxa"/>
            <w:vAlign w:val="center"/>
          </w:tcPr>
          <w:p>
            <w:pPr>
              <w:autoSpaceDE w:val="0"/>
              <w:autoSpaceDN w:val="0"/>
              <w:adjustRightInd w:val="0"/>
              <w:snapToGrid w:val="0"/>
              <w:jc w:val="center"/>
              <w:rPr>
                <w:rFonts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644" w:type="dxa"/>
            <w:vAlign w:val="center"/>
          </w:tcPr>
          <w:p>
            <w:pPr>
              <w:autoSpaceDE w:val="0"/>
              <w:autoSpaceDN w:val="0"/>
              <w:adjustRightInd w:val="0"/>
              <w:snapToGrid w:val="0"/>
              <w:jc w:val="center"/>
              <w:rPr>
                <w:rFonts w:ascii="宋体" w:hAnsi="宋体"/>
              </w:rPr>
            </w:pPr>
            <w:r>
              <w:rPr>
                <w:rFonts w:hint="eastAsia" w:ascii="宋体" w:hAnsi="宋体"/>
              </w:rPr>
              <w:t>权重</w:t>
            </w:r>
          </w:p>
        </w:tc>
        <w:tc>
          <w:tcPr>
            <w:tcW w:w="2130" w:type="dxa"/>
            <w:vAlign w:val="center"/>
          </w:tcPr>
          <w:p>
            <w:pPr>
              <w:autoSpaceDE w:val="0"/>
              <w:autoSpaceDN w:val="0"/>
              <w:adjustRightInd w:val="0"/>
              <w:snapToGrid w:val="0"/>
              <w:jc w:val="center"/>
              <w:rPr>
                <w:rFonts w:ascii="宋体" w:hAnsi="宋体"/>
              </w:rPr>
            </w:pPr>
            <w:r>
              <w:rPr>
                <w:rFonts w:ascii="宋体" w:hAnsi="宋体"/>
                <w:szCs w:val="21"/>
              </w:rPr>
              <w:t>15</w:t>
            </w:r>
            <w:r>
              <w:rPr>
                <w:rFonts w:hint="eastAsia" w:ascii="宋体" w:hAnsi="宋体"/>
              </w:rPr>
              <w:t>%</w:t>
            </w:r>
          </w:p>
        </w:tc>
        <w:tc>
          <w:tcPr>
            <w:tcW w:w="2131" w:type="dxa"/>
            <w:vAlign w:val="center"/>
          </w:tcPr>
          <w:p>
            <w:pPr>
              <w:autoSpaceDE w:val="0"/>
              <w:autoSpaceDN w:val="0"/>
              <w:adjustRightInd w:val="0"/>
              <w:snapToGrid w:val="0"/>
              <w:jc w:val="center"/>
              <w:rPr>
                <w:rFonts w:ascii="宋体" w:hAnsi="宋体"/>
              </w:rPr>
            </w:pPr>
            <w:r>
              <w:rPr>
                <w:rFonts w:hint="eastAsia" w:ascii="宋体" w:hAnsi="宋体"/>
                <w:szCs w:val="21"/>
              </w:rPr>
              <w:t>4</w:t>
            </w:r>
            <w:r>
              <w:rPr>
                <w:rFonts w:ascii="宋体" w:hAnsi="宋体"/>
                <w:szCs w:val="21"/>
              </w:rPr>
              <w:t>5</w:t>
            </w:r>
            <w:r>
              <w:rPr>
                <w:rFonts w:hint="eastAsia" w:ascii="宋体" w:hAnsi="宋体"/>
              </w:rPr>
              <w:t>%</w:t>
            </w:r>
          </w:p>
        </w:tc>
        <w:tc>
          <w:tcPr>
            <w:tcW w:w="2585" w:type="dxa"/>
            <w:vAlign w:val="center"/>
          </w:tcPr>
          <w:p>
            <w:pPr>
              <w:autoSpaceDE w:val="0"/>
              <w:autoSpaceDN w:val="0"/>
              <w:adjustRightInd w:val="0"/>
              <w:snapToGrid w:val="0"/>
              <w:jc w:val="center"/>
              <w:rPr>
                <w:rFonts w:ascii="宋体" w:hAnsi="宋体"/>
              </w:rPr>
            </w:pPr>
            <w:r>
              <w:rPr>
                <w:rFonts w:hint="eastAsia" w:ascii="宋体" w:hAnsi="宋体"/>
                <w:szCs w:val="21"/>
              </w:rPr>
              <w:t>40</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2644" w:type="dxa"/>
            <w:vAlign w:val="center"/>
          </w:tcPr>
          <w:p>
            <w:pPr>
              <w:pStyle w:val="2"/>
              <w:spacing w:after="0" w:line="240" w:lineRule="auto"/>
              <w:ind w:left="0"/>
              <w:jc w:val="center"/>
            </w:pPr>
            <w:r>
              <w:rPr>
                <w:rFonts w:hint="eastAsia" w:ascii="宋体" w:hAnsi="宋体"/>
              </w:rPr>
              <w:t>投标人综合得分</w:t>
            </w:r>
          </w:p>
        </w:tc>
        <w:tc>
          <w:tcPr>
            <w:tcW w:w="6846" w:type="dxa"/>
            <w:gridSpan w:val="3"/>
            <w:vAlign w:val="center"/>
          </w:tcPr>
          <w:p>
            <w:pPr>
              <w:pStyle w:val="2"/>
              <w:spacing w:after="0" w:line="240" w:lineRule="auto"/>
              <w:ind w:left="0"/>
              <w:jc w:val="center"/>
            </w:pPr>
            <w:r>
              <w:rPr>
                <w:rFonts w:hint="eastAsia" w:ascii="宋体" w:hAnsi="宋体"/>
              </w:rPr>
              <w:t>商务标得分+技术标得分+价格标得分=100</w:t>
            </w:r>
          </w:p>
        </w:tc>
      </w:tr>
    </w:tbl>
    <w:p>
      <w:pPr>
        <w:pStyle w:val="12"/>
      </w:pPr>
    </w:p>
    <w:p>
      <w:pPr>
        <w:numPr>
          <w:ilvl w:val="0"/>
          <w:numId w:val="20"/>
        </w:numPr>
        <w:spacing w:line="360" w:lineRule="auto"/>
        <w:jc w:val="left"/>
        <w:outlineLvl w:val="2"/>
        <w:rPr>
          <w:rStyle w:val="31"/>
          <w:rFonts w:ascii="宋体" w:hAnsi="宋体"/>
          <w:b/>
          <w:szCs w:val="21"/>
        </w:rPr>
      </w:pPr>
      <w:bookmarkStart w:id="54" w:name="_Toc116032897"/>
      <w:r>
        <w:rPr>
          <w:rStyle w:val="31"/>
          <w:rFonts w:hint="eastAsia" w:ascii="宋体" w:hAnsi="宋体"/>
          <w:b/>
          <w:bCs/>
          <w:szCs w:val="21"/>
        </w:rPr>
        <w:t>符合性检查</w:t>
      </w:r>
      <w:bookmarkEnd w:id="54"/>
    </w:p>
    <w:tbl>
      <w:tblPr>
        <w:tblStyle w:val="15"/>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pStyle w:val="24"/>
              <w:numPr>
                <w:ilvl w:val="3"/>
                <w:numId w:val="20"/>
              </w:numPr>
              <w:ind w:firstLineChars="0"/>
              <w:rPr>
                <w:rFonts w:ascii="宋体" w:hAnsi="宋体" w:eastAsia="宋体"/>
              </w:rPr>
            </w:pPr>
            <w:r>
              <w:rPr>
                <w:rFonts w:ascii="宋体" w:hAnsi="宋体" w:eastAsia="宋体" w:cs="宋体"/>
                <w:szCs w:val="21"/>
              </w:rPr>
              <w:t>投标人</w:t>
            </w:r>
            <w:r>
              <w:rPr>
                <w:rFonts w:hint="eastAsia" w:ascii="宋体" w:hAnsi="宋体" w:eastAsia="宋体" w:cs="宋体"/>
                <w:szCs w:val="21"/>
              </w:rPr>
              <w:t>是否</w:t>
            </w:r>
            <w:r>
              <w:rPr>
                <w:rFonts w:ascii="宋体" w:hAnsi="宋体" w:eastAsia="宋体"/>
              </w:rPr>
              <w:t>为中华人民共和国境内注册且合法运作独立法人或具有独立承担民事责任能力的其它组织</w:t>
            </w:r>
            <w:r>
              <w:rPr>
                <w:rFonts w:hint="eastAsia" w:ascii="宋体" w:hAnsi="宋体" w:eastAsia="宋体"/>
              </w:rPr>
              <w:t>，是否</w:t>
            </w:r>
            <w:r>
              <w:rPr>
                <w:rFonts w:ascii="宋体" w:hAnsi="宋体" w:eastAsia="宋体"/>
              </w:rPr>
              <w:t>被列入经营异常名录及严重失信名单。（提供企业营业执照或法人</w:t>
            </w:r>
            <w:r>
              <w:rPr>
                <w:rFonts w:hint="eastAsia" w:ascii="宋体" w:hAnsi="宋体" w:eastAsia="宋体"/>
              </w:rPr>
              <w:t>主体登记</w:t>
            </w:r>
            <w:r>
              <w:rPr>
                <w:rFonts w:ascii="宋体" w:hAnsi="宋体" w:eastAsia="宋体"/>
              </w:rPr>
              <w:t>证明材料或登记证书扫描件及“信用中国”网站www.creditchina.gov.cn“信用服务”栏查询“严重失信主体名单查询”“经营异常名录信息查询”结果网页截图，并加盖投标人公章</w:t>
            </w:r>
            <w:r>
              <w:rPr>
                <w:rFonts w:hint="eastAsia" w:ascii="宋体" w:hAnsi="宋体" w:eastAsia="宋体"/>
              </w:rPr>
              <w:t>）</w:t>
            </w:r>
          </w:p>
          <w:p>
            <w:pPr>
              <w:pStyle w:val="24"/>
              <w:numPr>
                <w:ilvl w:val="3"/>
                <w:numId w:val="20"/>
              </w:numPr>
              <w:ind w:firstLineChars="0"/>
              <w:rPr>
                <w:rFonts w:ascii="宋体" w:hAnsi="宋体" w:eastAsia="宋体"/>
              </w:rPr>
            </w:pPr>
            <w:r>
              <w:rPr>
                <w:rFonts w:hint="eastAsia" w:ascii="宋体" w:hAnsi="宋体" w:eastAsia="宋体" w:cs="宋体"/>
                <w:szCs w:val="21"/>
              </w:rPr>
              <w:t>是否联合体投标，是否转包或非法分包。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rPr>
                <w:rFonts w:ascii="宋体" w:hAnsi="宋体" w:cs="仿宋"/>
                <w:szCs w:val="21"/>
              </w:rPr>
            </w:pPr>
            <w:r>
              <w:rPr>
                <w:rFonts w:hint="eastAsia" w:ascii="宋体" w:hAnsi="宋体" w:cs="仿宋"/>
                <w:szCs w:val="21"/>
              </w:rPr>
              <w:t>本项目报价是否高于</w:t>
            </w:r>
            <w:r>
              <w:rPr>
                <w:rFonts w:ascii="宋体" w:hAnsi="宋体"/>
                <w:szCs w:val="21"/>
              </w:rPr>
              <w:t>25</w:t>
            </w:r>
            <w:r>
              <w:rPr>
                <w:rFonts w:ascii="宋体" w:hAnsi="宋体" w:cs="仿宋"/>
                <w:szCs w:val="21"/>
              </w:rPr>
              <w:t>万元（含税）</w:t>
            </w:r>
            <w:r>
              <w:rPr>
                <w:rFonts w:hint="eastAsia" w:ascii="宋体" w:hAnsi="宋体" w:cs="仿宋"/>
                <w:szCs w:val="21"/>
              </w:rPr>
              <w:t>，超过上述控制金额的视为无效报价。</w:t>
            </w:r>
          </w:p>
        </w:tc>
      </w:tr>
    </w:tbl>
    <w:p>
      <w:pPr>
        <w:numPr>
          <w:ilvl w:val="0"/>
          <w:numId w:val="20"/>
        </w:numPr>
        <w:spacing w:line="360" w:lineRule="auto"/>
        <w:jc w:val="left"/>
        <w:outlineLvl w:val="2"/>
        <w:rPr>
          <w:rStyle w:val="31"/>
          <w:rFonts w:ascii="宋体" w:hAnsi="宋体"/>
          <w:b/>
          <w:bCs/>
          <w:szCs w:val="21"/>
        </w:rPr>
      </w:pPr>
      <w:bookmarkStart w:id="55" w:name="_Toc114675512"/>
      <w:bookmarkStart w:id="56" w:name="_Toc116032898"/>
      <w:r>
        <w:rPr>
          <w:rStyle w:val="31"/>
          <w:rFonts w:hint="eastAsia" w:ascii="宋体" w:hAnsi="宋体"/>
          <w:b/>
          <w:bCs/>
          <w:szCs w:val="21"/>
        </w:rPr>
        <w:t>不可偏离项检查</w:t>
      </w:r>
      <w:bookmarkEnd w:id="55"/>
      <w:bookmarkEnd w:id="56"/>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20"/>
        </w:numPr>
        <w:spacing w:before="156" w:beforeLines="50"/>
        <w:jc w:val="left"/>
        <w:outlineLvl w:val="2"/>
        <w:rPr>
          <w:rStyle w:val="31"/>
          <w:rFonts w:ascii="宋体" w:hAnsi="宋体"/>
          <w:b/>
          <w:bCs/>
          <w:szCs w:val="21"/>
        </w:rPr>
      </w:pPr>
      <w:bookmarkStart w:id="57" w:name="_Toc116032899"/>
      <w:r>
        <w:rPr>
          <w:rStyle w:val="31"/>
          <w:rFonts w:hint="eastAsia" w:ascii="宋体" w:hAnsi="宋体"/>
          <w:b/>
          <w:bCs/>
          <w:szCs w:val="21"/>
        </w:rPr>
        <w:t>综合评议指标表</w:t>
      </w:r>
      <w:bookmarkEnd w:id="57"/>
    </w:p>
    <w:tbl>
      <w:tblPr>
        <w:tblStyle w:val="15"/>
        <w:tblW w:w="963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09"/>
        <w:gridCol w:w="854"/>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704" w:type="dxa"/>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7087" w:type="dxa"/>
            <w:gridSpan w:val="2"/>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9634" w:type="dxa"/>
            <w:gridSpan w:val="5"/>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ascii="宋体" w:hAnsi="宋体"/>
                <w:szCs w:val="21"/>
              </w:rPr>
              <w:t>15</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4"/>
              <w:numPr>
                <w:ilvl w:val="0"/>
                <w:numId w:val="21"/>
              </w:numPr>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办刊资质及以往相关业务情况</w:t>
            </w:r>
          </w:p>
        </w:tc>
        <w:tc>
          <w:tcPr>
            <w:tcW w:w="709" w:type="dxa"/>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15分</w:t>
            </w:r>
          </w:p>
        </w:tc>
        <w:tc>
          <w:tcPr>
            <w:tcW w:w="7087" w:type="dxa"/>
            <w:gridSpan w:val="2"/>
            <w:tcMar>
              <w:top w:w="15" w:type="dxa"/>
              <w:left w:w="15" w:type="dxa"/>
              <w:bottom w:w="15" w:type="dxa"/>
              <w:right w:w="15" w:type="dxa"/>
            </w:tcMar>
            <w:vAlign w:val="center"/>
          </w:tcPr>
          <w:p>
            <w:pPr>
              <w:pStyle w:val="24"/>
              <w:numPr>
                <w:ilvl w:val="0"/>
                <w:numId w:val="22"/>
              </w:numPr>
              <w:ind w:left="319" w:hanging="216" w:firstLineChars="0"/>
              <w:rPr>
                <w:rFonts w:ascii="宋体" w:hAnsi="宋体" w:eastAsia="宋体"/>
                <w:szCs w:val="21"/>
              </w:rPr>
            </w:pPr>
            <w:r>
              <w:rPr>
                <w:rFonts w:hint="eastAsia" w:ascii="宋体" w:hAnsi="宋体" w:eastAsia="宋体"/>
                <w:szCs w:val="21"/>
              </w:rPr>
              <w:t>刊物年资高于5年（含）得5分、3年及以上得3分，低于3年不得分（需提供刊物出版许可证扫描件加盖投标人公章）</w:t>
            </w:r>
          </w:p>
          <w:p>
            <w:pPr>
              <w:pStyle w:val="24"/>
              <w:numPr>
                <w:ilvl w:val="0"/>
                <w:numId w:val="22"/>
              </w:numPr>
              <w:ind w:left="319" w:hanging="216" w:firstLineChars="0"/>
              <w:rPr>
                <w:rFonts w:ascii="宋体" w:hAnsi="宋体" w:eastAsia="宋体"/>
                <w:szCs w:val="21"/>
              </w:rPr>
            </w:pPr>
            <w:r>
              <w:rPr>
                <w:rFonts w:hint="eastAsia" w:ascii="宋体" w:hAnsi="宋体" w:eastAsia="宋体"/>
                <w:szCs w:val="21"/>
              </w:rPr>
              <w:t>发行量高于20万份（含）得5分，发行量低于20万份高于10万份（含）得3分，发行量低于10万份或无法提供刊物0分。（需提供“全国发行单位年度核验系统”中公示的“2022发行单位年度核验登记表”页面完整截图并加盖投标人公章）</w:t>
            </w:r>
          </w:p>
          <w:p>
            <w:pPr>
              <w:pStyle w:val="24"/>
              <w:numPr>
                <w:ilvl w:val="0"/>
                <w:numId w:val="22"/>
              </w:numPr>
              <w:ind w:left="319" w:hanging="216" w:firstLineChars="0"/>
              <w:rPr>
                <w:rFonts w:ascii="宋体" w:hAnsi="宋体" w:eastAsia="宋体"/>
                <w:szCs w:val="21"/>
              </w:rPr>
            </w:pPr>
            <w:r>
              <w:rPr>
                <w:rFonts w:hint="eastAsia" w:ascii="宋体" w:hAnsi="宋体" w:eastAsia="宋体"/>
                <w:szCs w:val="21"/>
              </w:rPr>
              <w:t>投标人持有刊物出版许可证的，得5分。（须提刊物出版许可证扫描件加盖投标人公章）</w:t>
            </w:r>
          </w:p>
          <w:p>
            <w:pPr>
              <w:rPr>
                <w:rFonts w:ascii="宋体" w:hAnsi="宋体"/>
                <w:szCs w:val="21"/>
              </w:rPr>
            </w:pPr>
            <w:r>
              <w:rPr>
                <w:rFonts w:hint="eastAsia" w:ascii="宋体" w:hAnsi="宋体"/>
                <w:szCs w:val="21"/>
              </w:rPr>
              <w:t>说明：未提供证明资料的或者所提供的证明资料不清晰、不完整或无法满足证明要求的，均不得分。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jc w:val="center"/>
        </w:trPr>
        <w:tc>
          <w:tcPr>
            <w:tcW w:w="704" w:type="dxa"/>
          </w:tcPr>
          <w:p>
            <w:pPr>
              <w:jc w:val="center"/>
              <w:rPr>
                <w:rFonts w:ascii="宋体" w:hAnsi="宋体"/>
                <w:b/>
                <w:szCs w:val="21"/>
              </w:rPr>
            </w:pPr>
          </w:p>
        </w:tc>
        <w:tc>
          <w:tcPr>
            <w:tcW w:w="8930" w:type="dxa"/>
            <w:gridSpan w:val="4"/>
            <w:tcMar>
              <w:top w:w="15" w:type="dxa"/>
              <w:left w:w="15" w:type="dxa"/>
              <w:bottom w:w="15" w:type="dxa"/>
              <w:right w:w="15" w:type="dxa"/>
            </w:tcMar>
            <w:vAlign w:val="center"/>
          </w:tcPr>
          <w:p>
            <w:pPr>
              <w:jc w:val="center"/>
              <w:rPr>
                <w:rFonts w:ascii="宋体" w:hAnsi="宋体"/>
                <w:b/>
                <w:szCs w:val="21"/>
              </w:rPr>
            </w:pPr>
            <w:r>
              <w:rPr>
                <w:rFonts w:hint="eastAsia" w:ascii="宋体" w:hAnsi="宋体"/>
                <w:b/>
                <w:szCs w:val="21"/>
              </w:rPr>
              <w:t>技术服务评议项（</w:t>
            </w:r>
            <w:r>
              <w:rPr>
                <w:rFonts w:hint="eastAsia" w:ascii="宋体" w:hAnsi="宋体"/>
                <w:szCs w:val="21"/>
              </w:rPr>
              <w:t>4</w:t>
            </w:r>
            <w:r>
              <w:rPr>
                <w:rFonts w:ascii="宋体" w:hAnsi="宋体"/>
                <w:szCs w:val="21"/>
              </w:rPr>
              <w:t>5</w:t>
            </w:r>
            <w:r>
              <w:rPr>
                <w:rFonts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jc w:val="center"/>
        </w:trPr>
        <w:tc>
          <w:tcPr>
            <w:tcW w:w="704" w:type="dxa"/>
            <w:vMerge w:val="restart"/>
            <w:vAlign w:val="center"/>
          </w:tcPr>
          <w:p>
            <w:pPr>
              <w:pStyle w:val="24"/>
              <w:numPr>
                <w:ilvl w:val="0"/>
                <w:numId w:val="23"/>
              </w:numPr>
              <w:ind w:firstLineChars="0"/>
              <w:jc w:val="center"/>
              <w:rPr>
                <w:rFonts w:ascii="宋体" w:hAnsi="宋体" w:eastAsia="宋体"/>
                <w:szCs w:val="21"/>
              </w:rPr>
            </w:pPr>
          </w:p>
        </w:tc>
        <w:tc>
          <w:tcPr>
            <w:tcW w:w="1134" w:type="dxa"/>
            <w:vMerge w:val="restart"/>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项目实施能力</w:t>
            </w:r>
          </w:p>
        </w:tc>
        <w:tc>
          <w:tcPr>
            <w:tcW w:w="709" w:type="dxa"/>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10分</w:t>
            </w:r>
          </w:p>
        </w:tc>
        <w:tc>
          <w:tcPr>
            <w:tcW w:w="7087" w:type="dxa"/>
            <w:gridSpan w:val="2"/>
            <w:tcMar>
              <w:top w:w="15" w:type="dxa"/>
              <w:left w:w="15" w:type="dxa"/>
              <w:bottom w:w="15" w:type="dxa"/>
              <w:right w:w="15" w:type="dxa"/>
            </w:tcMar>
            <w:vAlign w:val="center"/>
          </w:tcPr>
          <w:p>
            <w:pPr>
              <w:widowControl/>
              <w:ind w:right="30"/>
              <w:jc w:val="left"/>
              <w:rPr>
                <w:rFonts w:ascii="宋体" w:hAnsi="宋体" w:cs="宋体"/>
                <w:kern w:val="0"/>
                <w:szCs w:val="21"/>
              </w:rPr>
            </w:pPr>
            <w:r>
              <w:rPr>
                <w:rFonts w:hint="eastAsia" w:ascii="宋体" w:hAnsi="宋体" w:cs="宋体"/>
                <w:kern w:val="0"/>
                <w:szCs w:val="21"/>
              </w:rPr>
              <w:t>根据投标人所提交的策划方案中对高交会的理解程度、</w:t>
            </w:r>
            <w:r>
              <w:rPr>
                <w:rFonts w:hint="eastAsia" w:ascii="宋体" w:hAnsi="宋体"/>
              </w:rPr>
              <w:t>《高交会新闻速递》</w:t>
            </w:r>
            <w:r>
              <w:rPr>
                <w:rFonts w:hint="eastAsia" w:ascii="宋体" w:hAnsi="宋体" w:cs="宋体"/>
                <w:kern w:val="0"/>
                <w:szCs w:val="21"/>
              </w:rPr>
              <w:t>制作思路、服务计划清晰度等方面进行综合评议：优秀得10分，良好得8分，中等得5分，一般2分，差或其他情况（包含但不仅限于未提供相关资料等情形）均不得分。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jc w:val="center"/>
        </w:trPr>
        <w:tc>
          <w:tcPr>
            <w:tcW w:w="704" w:type="dxa"/>
            <w:vMerge w:val="continue"/>
            <w:vAlign w:val="center"/>
          </w:tcPr>
          <w:p>
            <w:pPr>
              <w:pStyle w:val="24"/>
              <w:numPr>
                <w:ilvl w:val="0"/>
                <w:numId w:val="23"/>
              </w:numPr>
              <w:ind w:firstLineChars="0"/>
              <w:jc w:val="center"/>
              <w:rPr>
                <w:rFonts w:ascii="宋体" w:hAnsi="宋体" w:eastAsia="宋体"/>
                <w:szCs w:val="21"/>
              </w:rPr>
            </w:pPr>
          </w:p>
        </w:tc>
        <w:tc>
          <w:tcPr>
            <w:tcW w:w="1134" w:type="dxa"/>
            <w:vMerge w:val="continue"/>
            <w:tcMar>
              <w:top w:w="15" w:type="dxa"/>
              <w:left w:w="15" w:type="dxa"/>
              <w:bottom w:w="15" w:type="dxa"/>
              <w:right w:w="15" w:type="dxa"/>
            </w:tcMar>
            <w:vAlign w:val="center"/>
          </w:tcPr>
          <w:p>
            <w:pPr>
              <w:jc w:val="center"/>
              <w:rPr>
                <w:rFonts w:ascii="宋体" w:hAnsi="宋体"/>
                <w:szCs w:val="21"/>
              </w:rPr>
            </w:pPr>
          </w:p>
        </w:tc>
        <w:tc>
          <w:tcPr>
            <w:tcW w:w="709" w:type="dxa"/>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15分</w:t>
            </w:r>
          </w:p>
        </w:tc>
        <w:tc>
          <w:tcPr>
            <w:tcW w:w="7087" w:type="dxa"/>
            <w:gridSpan w:val="2"/>
            <w:tcMar>
              <w:top w:w="15" w:type="dxa"/>
              <w:left w:w="15" w:type="dxa"/>
              <w:bottom w:w="15" w:type="dxa"/>
              <w:right w:w="15" w:type="dxa"/>
            </w:tcMar>
            <w:vAlign w:val="center"/>
          </w:tcPr>
          <w:p>
            <w:pPr>
              <w:widowControl/>
              <w:ind w:right="30"/>
              <w:jc w:val="left"/>
              <w:rPr>
                <w:rFonts w:ascii="宋体" w:hAnsi="宋体" w:cs="宋体"/>
                <w:kern w:val="0"/>
                <w:szCs w:val="21"/>
              </w:rPr>
            </w:pPr>
            <w:r>
              <w:rPr>
                <w:rFonts w:hint="eastAsia" w:ascii="宋体" w:hAnsi="宋体" w:cs="宋体"/>
                <w:kern w:val="0"/>
                <w:szCs w:val="21"/>
              </w:rPr>
              <w:t>根据投标人提供的《高交会新闻速递》策划方案从是否涵盖新产品新技术、名人名企名媒要素、栏目的设定的合理性和创意性进行综合评议：</w:t>
            </w:r>
          </w:p>
          <w:p>
            <w:pPr>
              <w:widowControl/>
              <w:ind w:right="30"/>
              <w:jc w:val="left"/>
              <w:rPr>
                <w:rFonts w:ascii="宋体" w:hAnsi="宋体" w:cs="宋体"/>
                <w:kern w:val="0"/>
                <w:szCs w:val="21"/>
              </w:rPr>
            </w:pPr>
            <w:r>
              <w:rPr>
                <w:rFonts w:hint="eastAsia" w:ascii="宋体" w:hAnsi="宋体" w:cs="宋体"/>
                <w:kern w:val="0"/>
                <w:szCs w:val="21"/>
              </w:rPr>
              <w:t>优秀得15分，良好得10分，一般得5分，差得0分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4"/>
              <w:numPr>
                <w:ilvl w:val="0"/>
                <w:numId w:val="23"/>
              </w:numPr>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采编能力及人员配备</w:t>
            </w:r>
          </w:p>
        </w:tc>
        <w:tc>
          <w:tcPr>
            <w:tcW w:w="709" w:type="dxa"/>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20分</w:t>
            </w:r>
          </w:p>
        </w:tc>
        <w:tc>
          <w:tcPr>
            <w:tcW w:w="7087" w:type="dxa"/>
            <w:gridSpan w:val="2"/>
            <w:tcMar>
              <w:top w:w="15" w:type="dxa"/>
              <w:left w:w="15" w:type="dxa"/>
              <w:bottom w:w="15" w:type="dxa"/>
              <w:right w:w="15" w:type="dxa"/>
            </w:tcMar>
            <w:vAlign w:val="center"/>
          </w:tcPr>
          <w:p>
            <w:pPr>
              <w:widowControl/>
              <w:numPr>
                <w:ilvl w:val="0"/>
                <w:numId w:val="24"/>
              </w:numPr>
              <w:ind w:right="30"/>
              <w:jc w:val="left"/>
              <w:rPr>
                <w:rFonts w:ascii="宋体" w:hAnsi="宋体" w:cs="宋体"/>
                <w:kern w:val="0"/>
                <w:szCs w:val="21"/>
              </w:rPr>
            </w:pPr>
            <w:r>
              <w:rPr>
                <w:rFonts w:hint="eastAsia" w:ascii="宋体" w:hAnsi="宋体" w:cs="宋体"/>
                <w:kern w:val="0"/>
                <w:szCs w:val="21"/>
              </w:rPr>
              <w:t>记者数量在</w:t>
            </w:r>
            <w:r>
              <w:rPr>
                <w:rFonts w:ascii="宋体" w:hAnsi="宋体" w:cs="宋体"/>
                <w:kern w:val="0"/>
                <w:szCs w:val="21"/>
              </w:rPr>
              <w:t>5人的基础上</w:t>
            </w:r>
            <w:r>
              <w:rPr>
                <w:rFonts w:hint="eastAsia" w:ascii="宋体" w:hAnsi="宋体" w:cs="宋体"/>
                <w:kern w:val="0"/>
                <w:szCs w:val="21"/>
              </w:rPr>
              <w:t>，每增加</w:t>
            </w:r>
            <w:r>
              <w:rPr>
                <w:rFonts w:ascii="宋体" w:hAnsi="宋体" w:cs="宋体"/>
                <w:kern w:val="0"/>
                <w:szCs w:val="21"/>
              </w:rPr>
              <w:t>1人得4分</w:t>
            </w:r>
            <w:r>
              <w:rPr>
                <w:rFonts w:hint="eastAsia" w:ascii="宋体" w:hAnsi="宋体" w:cs="宋体"/>
                <w:kern w:val="0"/>
                <w:szCs w:val="21"/>
              </w:rPr>
              <w:t>，最高1</w:t>
            </w:r>
            <w:r>
              <w:rPr>
                <w:rFonts w:ascii="宋体" w:hAnsi="宋体" w:cs="宋体"/>
                <w:kern w:val="0"/>
                <w:szCs w:val="21"/>
              </w:rPr>
              <w:t>2</w:t>
            </w:r>
            <w:r>
              <w:rPr>
                <w:rFonts w:hint="eastAsia" w:ascii="宋体" w:hAnsi="宋体" w:cs="宋体"/>
                <w:kern w:val="0"/>
                <w:szCs w:val="21"/>
              </w:rPr>
              <w:t>分</w:t>
            </w:r>
            <w:r>
              <w:rPr>
                <w:rFonts w:ascii="宋体" w:hAnsi="宋体" w:cs="宋体"/>
                <w:kern w:val="0"/>
                <w:szCs w:val="21"/>
              </w:rPr>
              <w:t>；</w:t>
            </w:r>
          </w:p>
          <w:p>
            <w:pPr>
              <w:widowControl/>
              <w:numPr>
                <w:ilvl w:val="0"/>
                <w:numId w:val="24"/>
              </w:numPr>
              <w:ind w:right="30"/>
              <w:jc w:val="left"/>
              <w:rPr>
                <w:rFonts w:ascii="宋体" w:hAnsi="宋体" w:cs="宋体"/>
                <w:kern w:val="0"/>
                <w:szCs w:val="21"/>
              </w:rPr>
            </w:pPr>
            <w:r>
              <w:rPr>
                <w:rFonts w:hint="eastAsia" w:ascii="宋体" w:hAnsi="宋体" w:cs="宋体"/>
                <w:kern w:val="0"/>
                <w:szCs w:val="21"/>
              </w:rPr>
              <w:t>平面设计人员数量在</w:t>
            </w:r>
            <w:r>
              <w:rPr>
                <w:rFonts w:ascii="宋体" w:hAnsi="宋体" w:cs="宋体"/>
                <w:kern w:val="0"/>
                <w:szCs w:val="21"/>
              </w:rPr>
              <w:t>1</w:t>
            </w:r>
            <w:r>
              <w:rPr>
                <w:rFonts w:hint="eastAsia" w:ascii="宋体" w:hAnsi="宋体" w:cs="宋体"/>
                <w:kern w:val="0"/>
                <w:szCs w:val="21"/>
              </w:rPr>
              <w:t>人的基础上，每增加</w:t>
            </w:r>
            <w:r>
              <w:rPr>
                <w:rFonts w:ascii="宋体" w:hAnsi="宋体" w:cs="宋体"/>
                <w:kern w:val="0"/>
                <w:szCs w:val="21"/>
              </w:rPr>
              <w:t>1人</w:t>
            </w:r>
            <w:r>
              <w:rPr>
                <w:rFonts w:hint="eastAsia" w:ascii="宋体" w:hAnsi="宋体" w:cs="宋体"/>
                <w:kern w:val="0"/>
                <w:szCs w:val="21"/>
              </w:rPr>
              <w:t>得</w:t>
            </w:r>
            <w:r>
              <w:rPr>
                <w:rFonts w:ascii="宋体" w:hAnsi="宋体" w:cs="宋体"/>
                <w:kern w:val="0"/>
                <w:szCs w:val="21"/>
              </w:rPr>
              <w:t>2分</w:t>
            </w:r>
            <w:r>
              <w:rPr>
                <w:rFonts w:hint="eastAsia" w:ascii="宋体" w:hAnsi="宋体" w:cs="宋体"/>
                <w:kern w:val="0"/>
                <w:szCs w:val="21"/>
              </w:rPr>
              <w:t>，最高4分</w:t>
            </w:r>
            <w:r>
              <w:rPr>
                <w:rFonts w:ascii="宋体" w:hAnsi="宋体" w:cs="宋体"/>
                <w:kern w:val="0"/>
                <w:szCs w:val="21"/>
              </w:rPr>
              <w:t>；</w:t>
            </w:r>
          </w:p>
          <w:p>
            <w:pPr>
              <w:widowControl/>
              <w:numPr>
                <w:ilvl w:val="0"/>
                <w:numId w:val="24"/>
              </w:numPr>
              <w:ind w:right="30"/>
              <w:jc w:val="left"/>
              <w:rPr>
                <w:rFonts w:ascii="宋体" w:hAnsi="宋体" w:cs="宋体"/>
                <w:kern w:val="0"/>
                <w:szCs w:val="21"/>
              </w:rPr>
            </w:pPr>
            <w:r>
              <w:rPr>
                <w:rFonts w:hint="eastAsia" w:ascii="宋体" w:hAnsi="宋体" w:cs="宋体"/>
                <w:kern w:val="0"/>
                <w:szCs w:val="21"/>
              </w:rPr>
              <w:t>审校人员在</w:t>
            </w:r>
            <w:r>
              <w:rPr>
                <w:rFonts w:ascii="宋体" w:hAnsi="宋体" w:cs="宋体"/>
                <w:kern w:val="0"/>
                <w:szCs w:val="21"/>
              </w:rPr>
              <w:t>1</w:t>
            </w:r>
            <w:r>
              <w:rPr>
                <w:rFonts w:hint="eastAsia" w:ascii="宋体" w:hAnsi="宋体" w:cs="宋体"/>
                <w:kern w:val="0"/>
                <w:szCs w:val="21"/>
              </w:rPr>
              <w:t>人的基础上，每增加</w:t>
            </w:r>
            <w:r>
              <w:rPr>
                <w:rFonts w:ascii="宋体" w:hAnsi="宋体" w:cs="宋体"/>
                <w:kern w:val="0"/>
                <w:szCs w:val="21"/>
              </w:rPr>
              <w:t>1</w:t>
            </w:r>
            <w:r>
              <w:rPr>
                <w:rFonts w:hint="eastAsia" w:ascii="宋体" w:hAnsi="宋体" w:cs="宋体"/>
                <w:kern w:val="0"/>
                <w:szCs w:val="21"/>
              </w:rPr>
              <w:t>人得</w:t>
            </w:r>
            <w:r>
              <w:rPr>
                <w:rFonts w:ascii="宋体" w:hAnsi="宋体" w:cs="宋体"/>
                <w:kern w:val="0"/>
                <w:szCs w:val="21"/>
              </w:rPr>
              <w:t>2分</w:t>
            </w:r>
            <w:r>
              <w:rPr>
                <w:rFonts w:hint="eastAsia" w:ascii="宋体" w:hAnsi="宋体" w:cs="宋体"/>
                <w:kern w:val="0"/>
                <w:szCs w:val="21"/>
              </w:rPr>
              <w:t>，最高4分</w:t>
            </w:r>
            <w:r>
              <w:rPr>
                <w:rFonts w:ascii="宋体" w:hAnsi="宋体" w:cs="宋体"/>
                <w:kern w:val="0"/>
                <w:szCs w:val="21"/>
              </w:rPr>
              <w:t xml:space="preserve">。 </w:t>
            </w:r>
          </w:p>
          <w:p>
            <w:pPr>
              <w:widowControl/>
              <w:numPr>
                <w:ilvl w:val="255"/>
                <w:numId w:val="0"/>
              </w:numPr>
              <w:ind w:right="30"/>
              <w:jc w:val="left"/>
              <w:rPr>
                <w:rFonts w:ascii="宋体" w:hAnsi="宋体" w:cs="宋体"/>
                <w:kern w:val="0"/>
                <w:szCs w:val="21"/>
              </w:rPr>
            </w:pPr>
            <w:r>
              <w:rPr>
                <w:rFonts w:hint="eastAsia" w:ascii="宋体" w:hAnsi="宋体" w:cs="宋体"/>
                <w:kern w:val="0"/>
                <w:szCs w:val="21"/>
              </w:rPr>
              <w:t>说明：人员需提供姓名、简历、身份证扫描件，记者还需提供记者证复印件所有文件均需加盖投标人公章。本项最高得分</w:t>
            </w:r>
            <w:r>
              <w:rPr>
                <w:rFonts w:ascii="宋体" w:hAnsi="宋体" w:cs="宋体"/>
                <w:kern w:val="0"/>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jc w:val="center"/>
        </w:trPr>
        <w:tc>
          <w:tcPr>
            <w:tcW w:w="9634" w:type="dxa"/>
            <w:gridSpan w:val="5"/>
          </w:tcPr>
          <w:p>
            <w:pPr>
              <w:jc w:val="center"/>
              <w:rPr>
                <w:b/>
                <w:bCs/>
              </w:rPr>
            </w:pPr>
            <w:r>
              <w:rPr>
                <w:rFonts w:hint="eastAsia" w:ascii="宋体" w:hAnsi="宋体"/>
                <w:b/>
                <w:szCs w:val="21"/>
              </w:rPr>
              <w:t>价格评议项（</w:t>
            </w:r>
            <w:r>
              <w:rPr>
                <w:rFonts w:hint="eastAsia" w:ascii="宋体" w:hAnsi="宋体"/>
                <w:szCs w:val="21"/>
              </w:rPr>
              <w:t>40</w:t>
            </w:r>
            <w:r>
              <w:rPr>
                <w:rFonts w:ascii="宋体" w:hAnsi="宋体"/>
                <w:b/>
                <w:szCs w:val="21"/>
              </w:rPr>
              <w:t>分）</w:t>
            </w:r>
          </w:p>
          <w:p>
            <w:pPr>
              <w:ind w:left="247" w:hanging="247" w:hangingChars="117"/>
              <w:jc w:val="center"/>
              <w:rPr>
                <w:rFonts w:ascii="宋体" w:hAnsi="宋体"/>
                <w:b/>
                <w:szCs w:val="21"/>
              </w:rPr>
            </w:pPr>
            <w:r>
              <w:rPr>
                <w:rFonts w:hint="eastAsia"/>
                <w:b/>
                <w:bCs/>
                <w:color w:val="FF0000"/>
              </w:rPr>
              <w:t>（说明：以下所称的“投标报价”均是指税前总金额，即净价）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restart"/>
            <w:vAlign w:val="center"/>
          </w:tcPr>
          <w:p>
            <w:pPr>
              <w:spacing w:line="360" w:lineRule="auto"/>
              <w:jc w:val="center"/>
              <w:rPr>
                <w:rFonts w:ascii="宋体" w:hAnsi="宋体"/>
                <w:szCs w:val="21"/>
              </w:rPr>
            </w:pPr>
            <w:r>
              <w:rPr>
                <w:rFonts w:hint="eastAsia" w:ascii="宋体" w:hAnsi="宋体"/>
                <w:szCs w:val="21"/>
              </w:rPr>
              <w:t>价格评议</w:t>
            </w:r>
          </w:p>
        </w:tc>
        <w:tc>
          <w:tcPr>
            <w:tcW w:w="8930" w:type="dxa"/>
            <w:gridSpan w:val="4"/>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rPr>
            </w:pPr>
            <w:r>
              <w:rPr>
                <w:rFonts w:hint="eastAsia" w:ascii="宋体" w:hAnsi="宋体"/>
                <w:bCs/>
                <w:szCs w:val="21"/>
              </w:rPr>
              <w:t>基准价</w:t>
            </w:r>
          </w:p>
        </w:tc>
        <w:tc>
          <w:tcPr>
            <w:tcW w:w="7796" w:type="dxa"/>
            <w:gridSpan w:val="3"/>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w:t>
            </w:r>
            <w:r>
              <w:rPr>
                <w:rFonts w:ascii="宋体" w:hAnsi="宋体"/>
                <w:szCs w:val="21"/>
                <w:u w:val="single"/>
              </w:rPr>
              <w:t xml:space="preserve">    </w:t>
            </w:r>
            <w:r>
              <w:rPr>
                <w:rFonts w:hint="eastAsia" w:ascii="宋体" w:hAnsi="宋体"/>
                <w:szCs w:val="21"/>
              </w:rPr>
              <w:t>％。当有效投标报价少于n（含）家时，则以所有有效投标报价的算术平均值乘以</w:t>
            </w:r>
            <w:r>
              <w:rPr>
                <w:rFonts w:ascii="宋体" w:hAnsi="宋体"/>
                <w:szCs w:val="21"/>
                <w:u w:val="single"/>
              </w:rPr>
              <w:t xml:space="preserve">    </w:t>
            </w:r>
            <w:r>
              <w:rPr>
                <w:rFonts w:hint="eastAsia" w:ascii="宋体" w:hAnsi="宋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7796" w:type="dxa"/>
            <w:gridSpan w:val="3"/>
            <w:vAlign w:val="center"/>
          </w:tcPr>
          <w:p>
            <w:pPr>
              <w:spacing w:line="240" w:lineRule="atLeast"/>
              <w:jc w:val="left"/>
              <w:rPr>
                <w:rFonts w:ascii="宋体" w:hAnsi="宋体"/>
                <w:szCs w:val="21"/>
              </w:rPr>
            </w:pPr>
            <w:r>
              <w:rPr>
                <w:rFonts w:ascii="宋体" w:hAnsi="宋体" w:cs="Segoe UI Symbol"/>
                <w:kern w:val="0"/>
                <w:szCs w:val="21"/>
              </w:rPr>
              <w:sym w:font="Wingdings 2" w:char="0052"/>
            </w:r>
            <w:r>
              <w:rPr>
                <w:rFonts w:hint="eastAsia" w:ascii="宋体" w:hAnsi="宋体"/>
                <w:szCs w:val="21"/>
              </w:rPr>
              <w:t>取有效投标报价算术平均值。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7796" w:type="dxa"/>
            <w:gridSpan w:val="3"/>
            <w:vAlign w:val="center"/>
          </w:tcPr>
          <w:p>
            <w:pPr>
              <w:spacing w:line="240" w:lineRule="atLeast"/>
              <w:jc w:val="left"/>
              <w:rPr>
                <w:rFonts w:ascii="宋体" w:hAnsi="宋体"/>
                <w:szCs w:val="21"/>
              </w:rPr>
            </w:pPr>
            <w:r>
              <w:rPr>
                <w:rFonts w:hint="eastAsia" w:ascii="宋体" w:hAnsi="宋体"/>
                <w:szCs w:val="21"/>
              </w:rPr>
              <w:t>□有效投标报价的最低价为基价。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vAlign w:val="center"/>
          </w:tcPr>
          <w:p>
            <w:pPr>
              <w:spacing w:line="240" w:lineRule="atLeast"/>
              <w:jc w:val="center"/>
              <w:rPr>
                <w:rFonts w:ascii="宋体" w:hAns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6233" w:type="dxa"/>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w:t>
            </w:r>
            <w:r>
              <w:rPr>
                <w:rFonts w:ascii="宋体" w:hAnsi="宋体"/>
                <w:szCs w:val="21"/>
                <w:u w:val="single"/>
              </w:rPr>
              <w:t xml:space="preserve">    </w:t>
            </w:r>
            <w:r>
              <w:rPr>
                <w:rFonts w:hint="eastAsia" w:ascii="宋体" w:hAnsi="宋体"/>
                <w:szCs w:val="21"/>
              </w:rPr>
              <w:t>（价格评价分项满分值），N=</w:t>
            </w:r>
            <w:r>
              <w:rPr>
                <w:rFonts w:ascii="宋体" w:hAnsi="宋体"/>
                <w:szCs w:val="21"/>
                <w:u w:val="single"/>
              </w:rPr>
              <w:t xml:space="preserve">    </w:t>
            </w:r>
            <w:r>
              <w:rPr>
                <w:rFonts w:hint="eastAsia" w:ascii="宋体" w:hAnsi="宋体"/>
                <w:szCs w:val="21"/>
              </w:rPr>
              <w:t>，投标价格每高于N％时，扣</w:t>
            </w:r>
            <w:r>
              <w:rPr>
                <w:rFonts w:ascii="宋体" w:hAnsi="宋体"/>
                <w:szCs w:val="21"/>
                <w:u w:val="single"/>
              </w:rPr>
              <w:t xml:space="preserve">    </w:t>
            </w:r>
            <w:r>
              <w:rPr>
                <w:rFonts w:hint="eastAsia" w:ascii="宋体" w:hAnsi="宋体"/>
                <w:szCs w:val="21"/>
              </w:rPr>
              <w:t>分；每低于N％时，扣</w:t>
            </w:r>
            <w:r>
              <w:rPr>
                <w:rFonts w:ascii="宋体" w:hAnsi="宋体"/>
                <w:szCs w:val="21"/>
                <w:u w:val="single"/>
              </w:rPr>
              <w:t xml:space="preserve">    </w:t>
            </w:r>
            <w:r>
              <w:rPr>
                <w:rFonts w:hint="eastAsia" w:ascii="宋体" w:hAnsi="宋体"/>
                <w:szCs w:val="21"/>
              </w:rPr>
              <w:t>分；</w:t>
            </w:r>
          </w:p>
          <w:p>
            <w:pPr>
              <w:spacing w:line="240" w:lineRule="atLeast"/>
              <w:jc w:val="left"/>
              <w:rPr>
                <w:rFonts w:ascii="宋体" w:hAnsi="宋体" w:cs="宋体"/>
                <w:kern w:val="0"/>
                <w:szCs w:val="21"/>
              </w:rPr>
            </w:pPr>
            <w:r>
              <w:rPr>
                <w:rFonts w:hint="eastAsia" w:ascii="宋体" w:hAnsi="宋体"/>
                <w:szCs w:val="21"/>
              </w:rPr>
              <w:t>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1563" w:type="dxa"/>
            <w:gridSpan w:val="2"/>
            <w:vAlign w:val="center"/>
          </w:tcPr>
          <w:p>
            <w:pPr>
              <w:spacing w:line="240" w:lineRule="atLeast"/>
              <w:jc w:val="center"/>
              <w:rPr>
                <w:rFonts w:ascii="宋体" w:hAnsi="宋体" w:cs="宋体"/>
                <w:kern w:val="0"/>
                <w:szCs w:val="21"/>
              </w:rPr>
            </w:pPr>
            <w:r>
              <w:rPr>
                <w:rFonts w:ascii="宋体" w:hAnsi="宋体" w:cs="Segoe UI Symbol"/>
                <w:kern w:val="0"/>
                <w:szCs w:val="21"/>
              </w:rPr>
              <w:sym w:font="Wingdings 2" w:char="0052"/>
            </w:r>
            <w:r>
              <w:rPr>
                <w:rFonts w:hint="eastAsia" w:ascii="宋体" w:hAnsi="宋体"/>
                <w:szCs w:val="21"/>
              </w:rPr>
              <w:t>固定乘积法</w:t>
            </w:r>
          </w:p>
        </w:tc>
        <w:tc>
          <w:tcPr>
            <w:tcW w:w="6233" w:type="dxa"/>
            <w:vAlign w:val="center"/>
          </w:tcPr>
          <w:p>
            <w:pPr>
              <w:autoSpaceDE w:val="0"/>
              <w:autoSpaceDN w:val="0"/>
              <w:adjustRightInd w:val="0"/>
              <w:snapToGrid w:val="0"/>
              <w:jc w:val="left"/>
              <w:rPr>
                <w:rStyle w:val="21"/>
                <w:rFonts w:ascii="宋体" w:hAnsi="宋体"/>
              </w:rPr>
            </w:pPr>
            <w:r>
              <w:rPr>
                <w:rStyle w:val="21"/>
                <w:rFonts w:hint="eastAsia" w:ascii="宋体" w:hAnsi="宋体"/>
              </w:rPr>
              <w:t>价格得分=（1-A×｜1-投标报价/Z｜）×M</w:t>
            </w:r>
          </w:p>
          <w:p>
            <w:pPr>
              <w:numPr>
                <w:ilvl w:val="0"/>
                <w:numId w:val="25"/>
              </w:numPr>
              <w:autoSpaceDE w:val="0"/>
              <w:autoSpaceDN w:val="0"/>
              <w:adjustRightInd w:val="0"/>
              <w:snapToGrid w:val="0"/>
              <w:jc w:val="left"/>
              <w:rPr>
                <w:rStyle w:val="21"/>
                <w:rFonts w:ascii="宋体" w:hAnsi="宋体"/>
              </w:rPr>
            </w:pPr>
            <w:r>
              <w:rPr>
                <w:rStyle w:val="21"/>
                <w:rFonts w:hint="eastAsia" w:ascii="宋体" w:hAnsi="宋体"/>
              </w:rPr>
              <w:t xml:space="preserve">M= </w:t>
            </w:r>
            <w:r>
              <w:rPr>
                <w:rFonts w:hint="eastAsia" w:ascii="宋体" w:hAnsi="宋体"/>
                <w:szCs w:val="21"/>
              </w:rPr>
              <w:t>4</w:t>
            </w:r>
            <w:r>
              <w:rPr>
                <w:rFonts w:ascii="宋体" w:hAnsi="宋体"/>
                <w:szCs w:val="21"/>
              </w:rPr>
              <w:t>0</w:t>
            </w:r>
            <w:r>
              <w:rPr>
                <w:rStyle w:val="21"/>
                <w:rFonts w:hint="eastAsia" w:ascii="宋体" w:hAnsi="宋体"/>
              </w:rPr>
              <w:t xml:space="preserve"> （价格评价分项满分值），Z为本次招标最佳报价（即基准价）；</w:t>
            </w:r>
          </w:p>
          <w:p>
            <w:pPr>
              <w:numPr>
                <w:ilvl w:val="0"/>
                <w:numId w:val="25"/>
              </w:numPr>
              <w:autoSpaceDE w:val="0"/>
              <w:autoSpaceDN w:val="0"/>
              <w:adjustRightInd w:val="0"/>
              <w:snapToGrid w:val="0"/>
              <w:jc w:val="left"/>
              <w:rPr>
                <w:rStyle w:val="21"/>
                <w:rFonts w:ascii="宋体" w:hAnsi="宋体"/>
              </w:rPr>
            </w:pPr>
            <w:r>
              <w:rPr>
                <w:rStyle w:val="21"/>
                <w:rFonts w:hint="eastAsia" w:ascii="宋体" w:hAnsi="宋体"/>
              </w:rPr>
              <w:t>A为价格调整系数，当投标报价低于本次招标最佳报价（即基准价）时，A=0.5；当投标报价高于次招标最佳报价时，取A=1；</w:t>
            </w:r>
          </w:p>
          <w:p>
            <w:pPr>
              <w:numPr>
                <w:ilvl w:val="0"/>
                <w:numId w:val="25"/>
              </w:numPr>
              <w:jc w:val="left"/>
              <w:rPr>
                <w:rFonts w:ascii="宋体" w:hAnsi="宋体" w:cs="宋体"/>
                <w:kern w:val="0"/>
                <w:szCs w:val="21"/>
              </w:rPr>
            </w:pPr>
            <w:r>
              <w:rPr>
                <w:rStyle w:val="21"/>
                <w:rFonts w:hint="eastAsia" w:ascii="宋体" w:hAnsi="宋体"/>
              </w:rPr>
              <w:t>计算分数时四舍五入取小数点后两位，当价格分＜0时，取0。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1563" w:type="dxa"/>
            <w:gridSpan w:val="2"/>
            <w:vAlign w:val="center"/>
          </w:tcPr>
          <w:p>
            <w:pPr>
              <w:spacing w:line="240" w:lineRule="atLeast"/>
              <w:jc w:val="center"/>
              <w:rPr>
                <w:rFonts w:ascii="宋体" w:hAnsi="宋体"/>
                <w:szCs w:val="21"/>
              </w:rPr>
            </w:pPr>
            <w:r>
              <w:rPr>
                <w:rFonts w:hint="eastAsia" w:ascii="宋体" w:hAnsi="宋体"/>
                <w:szCs w:val="21"/>
              </w:rPr>
              <w:t>□其他</w:t>
            </w:r>
            <w:r>
              <w:rPr>
                <w:rFonts w:ascii="宋体" w:hAnsi="宋体"/>
                <w:szCs w:val="21"/>
              </w:rPr>
              <w:t>方法</w:t>
            </w:r>
          </w:p>
        </w:tc>
        <w:tc>
          <w:tcPr>
            <w:tcW w:w="6233" w:type="dxa"/>
            <w:vAlign w:val="center"/>
          </w:tcPr>
          <w:p>
            <w:pPr>
              <w:spacing w:line="240" w:lineRule="atLeast"/>
              <w:jc w:val="center"/>
              <w:rPr>
                <w:rFonts w:ascii="宋体" w:hAnsi="宋体" w:cs="宋体"/>
                <w:kern w:val="0"/>
                <w:szCs w:val="21"/>
              </w:rPr>
            </w:pPr>
          </w:p>
        </w:tc>
      </w:tr>
    </w:tbl>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jc w:val="left"/>
        <w:rPr>
          <w:rFonts w:ascii="宋体" w:hAnsi="宋体"/>
          <w:b/>
          <w:sz w:val="32"/>
          <w:szCs w:val="32"/>
        </w:rPr>
      </w:pPr>
      <w:r>
        <w:rPr>
          <w:rFonts w:ascii="宋体" w:hAnsi="宋体"/>
          <w:b/>
          <w:sz w:val="32"/>
          <w:szCs w:val="32"/>
        </w:rPr>
        <w:br w:type="page"/>
      </w:r>
    </w:p>
    <w:p>
      <w:pPr>
        <w:spacing w:line="360" w:lineRule="auto"/>
        <w:jc w:val="center"/>
        <w:outlineLvl w:val="0"/>
        <w:rPr>
          <w:rFonts w:ascii="宋体" w:hAnsi="宋体"/>
          <w:b/>
          <w:sz w:val="32"/>
          <w:szCs w:val="32"/>
        </w:rPr>
      </w:pPr>
      <w:bookmarkStart w:id="58" w:name="_Toc116032900"/>
      <w:r>
        <w:rPr>
          <w:rFonts w:hint="eastAsia" w:ascii="宋体" w:hAnsi="宋体"/>
          <w:b/>
          <w:sz w:val="32"/>
          <w:szCs w:val="32"/>
        </w:rPr>
        <w:t>第四部分：合同条款及格式</w:t>
      </w:r>
      <w:bookmarkEnd w:id="58"/>
    </w:p>
    <w:p>
      <w:pPr>
        <w:pStyle w:val="2"/>
      </w:pPr>
    </w:p>
    <w:p>
      <w:pPr>
        <w:autoSpaceDE w:val="0"/>
        <w:autoSpaceDN w:val="0"/>
        <w:jc w:val="center"/>
        <w:rPr>
          <w:rFonts w:ascii="黑体" w:hAnsi="黑体" w:eastAsia="黑体" w:cs="黑体"/>
          <w:sz w:val="30"/>
          <w:szCs w:val="30"/>
          <w:lang w:val="zh-CN"/>
        </w:rPr>
      </w:pPr>
      <w:r>
        <w:rPr>
          <w:rFonts w:hint="eastAsia" w:ascii="黑体" w:hAnsi="黑体" w:eastAsia="黑体" w:cs="黑体"/>
          <w:sz w:val="30"/>
          <w:szCs w:val="30"/>
          <w:lang w:val="zh-CN"/>
        </w:rPr>
        <w:t>深圳会展中心</w:t>
      </w:r>
      <w:r>
        <w:rPr>
          <w:rFonts w:ascii="黑体" w:hAnsi="黑体" w:eastAsia="黑体" w:cs="黑体"/>
          <w:sz w:val="30"/>
          <w:szCs w:val="30"/>
          <w:lang w:val="zh-CN"/>
        </w:rPr>
        <w:t>第二十</w:t>
      </w:r>
      <w:r>
        <w:rPr>
          <w:rFonts w:hint="eastAsia" w:ascii="黑体" w:hAnsi="黑体" w:eastAsia="黑体" w:cs="黑体"/>
          <w:sz w:val="30"/>
          <w:szCs w:val="30"/>
        </w:rPr>
        <w:t>四</w:t>
      </w:r>
      <w:r>
        <w:rPr>
          <w:rFonts w:ascii="黑体" w:hAnsi="黑体" w:eastAsia="黑体" w:cs="黑体"/>
          <w:sz w:val="30"/>
          <w:szCs w:val="30"/>
          <w:lang w:val="zh-CN"/>
        </w:rPr>
        <w:t>届高交会《高交会新闻速递》</w:t>
      </w:r>
      <w:r>
        <w:rPr>
          <w:rFonts w:hint="eastAsia" w:ascii="黑体" w:hAnsi="黑体" w:eastAsia="黑体" w:cs="黑体"/>
          <w:sz w:val="30"/>
          <w:szCs w:val="30"/>
          <w:lang w:val="zh-CN"/>
        </w:rPr>
        <w:t>服务采购</w:t>
      </w:r>
      <w:r>
        <w:rPr>
          <w:rFonts w:ascii="黑体" w:hAnsi="黑体" w:eastAsia="黑体" w:cs="黑体"/>
          <w:sz w:val="30"/>
          <w:szCs w:val="30"/>
          <w:lang w:val="zh-CN"/>
        </w:rPr>
        <w:t>项目</w:t>
      </w:r>
      <w:r>
        <w:rPr>
          <w:rFonts w:hint="eastAsia" w:ascii="黑体" w:hAnsi="黑体" w:eastAsia="黑体" w:cs="黑体"/>
          <w:sz w:val="30"/>
          <w:szCs w:val="30"/>
          <w:lang w:val="zh-CN"/>
        </w:rPr>
        <w:t>合同</w:t>
      </w:r>
    </w:p>
    <w:p>
      <w:pPr>
        <w:autoSpaceDE w:val="0"/>
        <w:autoSpaceDN w:val="0"/>
        <w:jc w:val="center"/>
        <w:rPr>
          <w:rFonts w:ascii="宋体" w:hAnsi="宋体"/>
          <w:b/>
          <w:szCs w:val="21"/>
          <w:lang w:val="zh-CN"/>
        </w:rPr>
      </w:pPr>
      <w:r>
        <w:rPr>
          <w:rFonts w:hint="eastAsia" w:ascii="宋体" w:hAnsi="宋体"/>
          <w:b/>
          <w:szCs w:val="21"/>
          <w:lang w:val="zh-CN"/>
        </w:rPr>
        <w:t>（仅供参考）</w:t>
      </w:r>
    </w:p>
    <w:p>
      <w:pPr>
        <w:autoSpaceDE w:val="0"/>
        <w:autoSpaceDN w:val="0"/>
        <w:jc w:val="center"/>
        <w:rPr>
          <w:rFonts w:ascii="宋体" w:hAnsi="宋体"/>
          <w:sz w:val="36"/>
          <w:lang w:val="zh-CN"/>
        </w:rPr>
      </w:pPr>
    </w:p>
    <w:p>
      <w:pPr>
        <w:pStyle w:val="5"/>
        <w:tabs>
          <w:tab w:val="left" w:pos="4962"/>
        </w:tabs>
        <w:spacing w:before="93" w:beforeLines="30"/>
        <w:ind w:firstLine="420" w:firstLineChars="200"/>
        <w:rPr>
          <w:rFonts w:hAnsi="宋体" w:cs="仿宋"/>
          <w:szCs w:val="21"/>
        </w:rPr>
      </w:pPr>
      <w:r>
        <w:rPr>
          <w:rFonts w:hAnsi="宋体" w:cs="仿宋"/>
          <w:szCs w:val="21"/>
        </w:rPr>
        <w:t>甲方:深圳会展中心管理有限责任公司</w:t>
      </w:r>
    </w:p>
    <w:p>
      <w:pPr>
        <w:pStyle w:val="5"/>
        <w:tabs>
          <w:tab w:val="left" w:pos="4962"/>
        </w:tabs>
        <w:spacing w:before="93" w:beforeLines="30"/>
        <w:ind w:firstLine="420" w:firstLineChars="200"/>
        <w:rPr>
          <w:rFonts w:hAnsi="宋体" w:cs="仿宋"/>
          <w:szCs w:val="21"/>
        </w:rPr>
      </w:pPr>
      <w:r>
        <w:rPr>
          <w:rFonts w:hAnsi="宋体" w:cs="仿宋"/>
          <w:szCs w:val="21"/>
        </w:rPr>
        <w:t>地址:深圳市福华三路深圳会展中心</w:t>
      </w:r>
    </w:p>
    <w:p>
      <w:pPr>
        <w:pStyle w:val="5"/>
        <w:spacing w:before="93" w:beforeLines="30"/>
        <w:ind w:firstLine="420" w:firstLineChars="200"/>
        <w:rPr>
          <w:rFonts w:hAnsi="宋体" w:cs="仿宋"/>
          <w:kern w:val="0"/>
          <w:szCs w:val="21"/>
        </w:rPr>
      </w:pPr>
      <w:r>
        <w:rPr>
          <w:rFonts w:hAnsi="宋体" w:cs="仿宋"/>
          <w:kern w:val="0"/>
          <w:szCs w:val="21"/>
        </w:rPr>
        <w:t>联系人:</w:t>
      </w:r>
    </w:p>
    <w:p>
      <w:pPr>
        <w:pStyle w:val="5"/>
        <w:spacing w:before="93" w:beforeLines="30"/>
        <w:ind w:firstLine="420" w:firstLineChars="200"/>
        <w:rPr>
          <w:rFonts w:hAnsi="宋体" w:cs="仿宋"/>
          <w:kern w:val="0"/>
          <w:szCs w:val="21"/>
        </w:rPr>
      </w:pPr>
      <w:r>
        <w:rPr>
          <w:rFonts w:hAnsi="宋体" w:cs="仿宋"/>
          <w:szCs w:val="21"/>
        </w:rPr>
        <w:t xml:space="preserve">电话:  </w:t>
      </w:r>
    </w:p>
    <w:p>
      <w:pPr>
        <w:pStyle w:val="5"/>
        <w:tabs>
          <w:tab w:val="left" w:pos="4962"/>
        </w:tabs>
        <w:spacing w:before="93" w:beforeLines="30"/>
        <w:ind w:left="5040" w:leftChars="200" w:hanging="4620" w:hangingChars="2200"/>
        <w:rPr>
          <w:rFonts w:hAnsi="宋体" w:cs="仿宋"/>
        </w:rPr>
      </w:pPr>
      <w:r>
        <w:rPr>
          <w:rFonts w:hint="eastAsia" w:hAnsi="宋体" w:cs="仿宋"/>
        </w:rPr>
        <w:t>电子邮件：</w:t>
      </w:r>
    </w:p>
    <w:p>
      <w:pPr>
        <w:pStyle w:val="5"/>
        <w:tabs>
          <w:tab w:val="left" w:pos="4962"/>
        </w:tabs>
        <w:spacing w:before="93" w:beforeLines="30"/>
        <w:ind w:left="5040" w:leftChars="200" w:hanging="4620" w:hangingChars="2200"/>
        <w:rPr>
          <w:rFonts w:hAnsi="宋体" w:cs="仿宋"/>
          <w:szCs w:val="21"/>
        </w:rPr>
      </w:pPr>
    </w:p>
    <w:p>
      <w:pPr>
        <w:pStyle w:val="5"/>
        <w:tabs>
          <w:tab w:val="left" w:pos="4962"/>
        </w:tabs>
        <w:spacing w:before="93" w:beforeLines="30"/>
        <w:ind w:left="5040" w:leftChars="200" w:hanging="4620" w:hangingChars="2200"/>
        <w:rPr>
          <w:rFonts w:hAnsi="宋体" w:cs="仿宋"/>
          <w:kern w:val="0"/>
          <w:szCs w:val="21"/>
        </w:rPr>
      </w:pPr>
      <w:r>
        <w:rPr>
          <w:rFonts w:hAnsi="宋体" w:cs="仿宋"/>
          <w:szCs w:val="21"/>
        </w:rPr>
        <w:t>乙方:</w:t>
      </w:r>
    </w:p>
    <w:p>
      <w:pPr>
        <w:pStyle w:val="5"/>
        <w:tabs>
          <w:tab w:val="left" w:pos="4962"/>
        </w:tabs>
        <w:spacing w:before="93" w:beforeLines="30"/>
        <w:ind w:left="5040" w:leftChars="200" w:hanging="4620" w:hangingChars="2200"/>
        <w:rPr>
          <w:rFonts w:hAnsi="宋体" w:cs="仿宋"/>
          <w:szCs w:val="21"/>
        </w:rPr>
      </w:pPr>
      <w:r>
        <w:rPr>
          <w:rFonts w:hAnsi="宋体" w:cs="仿宋"/>
          <w:szCs w:val="21"/>
        </w:rPr>
        <w:t>地址:</w:t>
      </w:r>
    </w:p>
    <w:p>
      <w:pPr>
        <w:pStyle w:val="5"/>
        <w:tabs>
          <w:tab w:val="left" w:pos="4962"/>
        </w:tabs>
        <w:spacing w:before="93" w:beforeLines="30"/>
        <w:ind w:left="5040" w:leftChars="200" w:hanging="4620" w:hangingChars="2200"/>
        <w:rPr>
          <w:rFonts w:hAnsi="宋体" w:cs="仿宋"/>
          <w:kern w:val="0"/>
          <w:szCs w:val="21"/>
        </w:rPr>
      </w:pPr>
      <w:r>
        <w:rPr>
          <w:rFonts w:hAnsi="宋体" w:cs="仿宋"/>
          <w:kern w:val="0"/>
          <w:szCs w:val="21"/>
        </w:rPr>
        <w:t>联系人:</w:t>
      </w:r>
    </w:p>
    <w:p>
      <w:pPr>
        <w:pStyle w:val="5"/>
        <w:tabs>
          <w:tab w:val="left" w:pos="4962"/>
        </w:tabs>
        <w:spacing w:before="93" w:beforeLines="30"/>
        <w:ind w:left="5040" w:leftChars="200" w:hanging="4620" w:hangingChars="2200"/>
        <w:rPr>
          <w:rFonts w:hAnsi="宋体" w:cs="仿宋"/>
        </w:rPr>
      </w:pPr>
      <w:r>
        <w:rPr>
          <w:rFonts w:hAnsi="宋体" w:cs="仿宋"/>
          <w:kern w:val="0"/>
          <w:szCs w:val="21"/>
        </w:rPr>
        <w:t>电话</w:t>
      </w:r>
      <w:r>
        <w:rPr>
          <w:rFonts w:hAnsi="宋体" w:cs="仿宋"/>
        </w:rPr>
        <w:t>:</w:t>
      </w:r>
    </w:p>
    <w:p>
      <w:pPr>
        <w:pStyle w:val="5"/>
        <w:tabs>
          <w:tab w:val="left" w:pos="4962"/>
        </w:tabs>
        <w:spacing w:before="93" w:beforeLines="30"/>
        <w:ind w:left="5040" w:leftChars="200" w:hanging="4620" w:hangingChars="2200"/>
        <w:rPr>
          <w:rFonts w:hAnsi="宋体" w:cs="仿宋"/>
        </w:rPr>
      </w:pPr>
      <w:r>
        <w:rPr>
          <w:rFonts w:hint="eastAsia" w:hAnsi="宋体" w:cs="仿宋"/>
        </w:rPr>
        <w:t>电子邮件：</w:t>
      </w:r>
    </w:p>
    <w:p>
      <w:pPr>
        <w:pStyle w:val="5"/>
        <w:tabs>
          <w:tab w:val="left" w:pos="4962"/>
        </w:tabs>
        <w:spacing w:before="93" w:beforeLines="30"/>
        <w:ind w:left="5040" w:leftChars="200" w:hanging="4620" w:hangingChars="2200"/>
        <w:rPr>
          <w:rFonts w:hAnsi="宋体" w:cs="仿宋"/>
          <w:kern w:val="0"/>
          <w:szCs w:val="21"/>
        </w:rPr>
      </w:pPr>
    </w:p>
    <w:p>
      <w:pPr>
        <w:autoSpaceDE w:val="0"/>
        <w:autoSpaceDN w:val="0"/>
        <w:ind w:firstLine="570"/>
        <w:rPr>
          <w:rFonts w:ascii="宋体" w:hAnsi="宋体" w:cs="宋体"/>
          <w:szCs w:val="21"/>
          <w:lang w:val="zh-CN"/>
        </w:rPr>
      </w:pPr>
      <w:r>
        <w:rPr>
          <w:rFonts w:ascii="宋体" w:hAnsi="宋体" w:cs="宋体"/>
          <w:szCs w:val="21"/>
          <w:lang w:val="zh-CN"/>
        </w:rPr>
        <w:t>甲乙双方经友好协商，本着平等互利、共同发展、优势互补的原则，就甲方</w:t>
      </w:r>
      <w:r>
        <w:rPr>
          <w:rFonts w:ascii="宋体" w:hAnsi="宋体"/>
        </w:rPr>
        <w:t>聘请乙方制作第</w:t>
      </w:r>
      <w:r>
        <w:rPr>
          <w:rFonts w:hint="eastAsia" w:ascii="宋体" w:hAnsi="宋体"/>
        </w:rPr>
        <w:t>二十四</w:t>
      </w:r>
      <w:r>
        <w:rPr>
          <w:rFonts w:ascii="宋体" w:hAnsi="宋体"/>
        </w:rPr>
        <w:t>届中国国际高新技术成果交易会（以下简称“</w:t>
      </w:r>
      <w:bookmarkStart w:id="59" w:name="OLE_LINK2"/>
      <w:bookmarkStart w:id="60" w:name="OLE_LINK1"/>
      <w:r>
        <w:rPr>
          <w:rFonts w:ascii="宋体" w:hAnsi="宋体"/>
        </w:rPr>
        <w:t>第二十</w:t>
      </w:r>
      <w:r>
        <w:rPr>
          <w:rFonts w:hint="eastAsia" w:ascii="宋体" w:hAnsi="宋体"/>
        </w:rPr>
        <w:t>四</w:t>
      </w:r>
      <w:r>
        <w:rPr>
          <w:rFonts w:ascii="宋体" w:hAnsi="宋体"/>
        </w:rPr>
        <w:t>届高交会</w:t>
      </w:r>
      <w:bookmarkEnd w:id="59"/>
      <w:bookmarkEnd w:id="60"/>
      <w:r>
        <w:rPr>
          <w:rFonts w:ascii="宋体" w:hAnsi="宋体"/>
        </w:rPr>
        <w:t>”）《高交会新闻速递》的有关合作事宜</w:t>
      </w:r>
      <w:r>
        <w:rPr>
          <w:rFonts w:ascii="宋体" w:hAnsi="宋体" w:cs="宋体"/>
          <w:szCs w:val="21"/>
          <w:lang w:val="zh-CN"/>
        </w:rPr>
        <w:t>，达成如下协议：</w:t>
      </w:r>
    </w:p>
    <w:p>
      <w:pPr>
        <w:autoSpaceDE w:val="0"/>
        <w:autoSpaceDN w:val="0"/>
        <w:ind w:firstLine="570"/>
        <w:rPr>
          <w:rFonts w:ascii="宋体" w:hAnsi="宋体" w:cs="宋体"/>
          <w:szCs w:val="21"/>
          <w:lang w:val="zh-CN"/>
        </w:rPr>
      </w:pPr>
    </w:p>
    <w:p>
      <w:pPr>
        <w:autoSpaceDE w:val="0"/>
        <w:autoSpaceDN w:val="0"/>
        <w:ind w:firstLine="570"/>
        <w:rPr>
          <w:rFonts w:ascii="宋体" w:hAnsi="宋体" w:cs="宋体"/>
          <w:b/>
          <w:szCs w:val="21"/>
        </w:rPr>
      </w:pPr>
      <w:r>
        <w:rPr>
          <w:rFonts w:ascii="宋体" w:hAnsi="宋体" w:cs="宋体"/>
          <w:b/>
          <w:szCs w:val="21"/>
          <w:lang w:val="zh-CN"/>
        </w:rPr>
        <w:t>一、合作内容</w:t>
      </w:r>
    </w:p>
    <w:p>
      <w:pPr>
        <w:autoSpaceDE w:val="0"/>
        <w:autoSpaceDN w:val="0"/>
        <w:ind w:firstLine="570"/>
        <w:rPr>
          <w:rFonts w:ascii="宋体" w:hAnsi="宋体" w:cs="宋体"/>
          <w:szCs w:val="21"/>
          <w:lang w:val="zh-CN"/>
        </w:rPr>
      </w:pPr>
      <w:r>
        <w:rPr>
          <w:rFonts w:ascii="宋体" w:hAnsi="宋体" w:cs="宋体"/>
          <w:szCs w:val="21"/>
          <w:lang w:val="zh-CN"/>
        </w:rPr>
        <w:t>甲方委托乙方围绕利用自身平台、能力和资源，为第</w:t>
      </w:r>
      <w:r>
        <w:rPr>
          <w:rFonts w:hint="eastAsia" w:ascii="宋体" w:hAnsi="宋体" w:cs="宋体"/>
          <w:szCs w:val="21"/>
        </w:rPr>
        <w:t>二十四</w:t>
      </w:r>
      <w:r>
        <w:rPr>
          <w:rFonts w:ascii="宋体" w:hAnsi="宋体" w:cs="宋体"/>
          <w:szCs w:val="21"/>
          <w:lang w:val="zh-CN"/>
        </w:rPr>
        <w:t>届</w:t>
      </w:r>
      <w:r>
        <w:rPr>
          <w:rFonts w:hint="eastAsia" w:ascii="宋体" w:hAnsi="宋体" w:cs="宋体"/>
          <w:szCs w:val="21"/>
        </w:rPr>
        <w:t>高交会</w:t>
      </w:r>
      <w:r>
        <w:rPr>
          <w:rFonts w:ascii="宋体" w:hAnsi="宋体" w:cs="宋体"/>
          <w:szCs w:val="21"/>
          <w:lang w:val="zh-CN"/>
        </w:rPr>
        <w:t>进行全媒体宣传推广，于20</w:t>
      </w:r>
      <w:r>
        <w:rPr>
          <w:rFonts w:ascii="宋体" w:hAnsi="宋体" w:cs="宋体"/>
          <w:szCs w:val="21"/>
        </w:rPr>
        <w:t>2</w:t>
      </w:r>
      <w:r>
        <w:rPr>
          <w:rFonts w:hint="eastAsia" w:ascii="宋体" w:hAnsi="宋体" w:cs="宋体"/>
          <w:szCs w:val="21"/>
        </w:rPr>
        <w:t>2</w:t>
      </w:r>
      <w:r>
        <w:rPr>
          <w:rFonts w:ascii="宋体" w:hAnsi="宋体" w:cs="宋体"/>
          <w:szCs w:val="21"/>
          <w:lang w:val="zh-CN"/>
        </w:rPr>
        <w:t>年11月1</w:t>
      </w:r>
      <w:r>
        <w:rPr>
          <w:rFonts w:hint="eastAsia" w:ascii="宋体" w:hAnsi="宋体" w:cs="宋体"/>
          <w:szCs w:val="21"/>
        </w:rPr>
        <w:t>5</w:t>
      </w:r>
      <w:r>
        <w:rPr>
          <w:rFonts w:ascii="宋体" w:hAnsi="宋体" w:cs="宋体"/>
          <w:szCs w:val="21"/>
          <w:lang w:val="zh-CN"/>
        </w:rPr>
        <w:t>日</w:t>
      </w:r>
      <w:r>
        <w:rPr>
          <w:rFonts w:hint="eastAsia" w:ascii="宋体" w:hAnsi="宋体" w:cs="宋体"/>
          <w:szCs w:val="21"/>
        </w:rPr>
        <w:t>-</w:t>
      </w:r>
      <w:r>
        <w:rPr>
          <w:rFonts w:ascii="宋体" w:hAnsi="宋体" w:cs="宋体"/>
          <w:szCs w:val="21"/>
          <w:lang w:val="zh-CN"/>
        </w:rPr>
        <w:t>1</w:t>
      </w:r>
      <w:r>
        <w:rPr>
          <w:rFonts w:hint="eastAsia" w:ascii="宋体" w:hAnsi="宋体" w:cs="宋体"/>
          <w:szCs w:val="21"/>
        </w:rPr>
        <w:t>9</w:t>
      </w:r>
      <w:r>
        <w:rPr>
          <w:rFonts w:ascii="宋体" w:hAnsi="宋体" w:cs="宋体"/>
          <w:szCs w:val="21"/>
          <w:lang w:val="zh-CN"/>
        </w:rPr>
        <w:t>日</w:t>
      </w:r>
      <w:r>
        <w:rPr>
          <w:rFonts w:hint="eastAsia" w:ascii="宋体" w:hAnsi="宋体" w:cs="宋体"/>
          <w:szCs w:val="21"/>
          <w:lang w:val="zh-CN"/>
        </w:rPr>
        <w:t>（</w:t>
      </w:r>
      <w:r>
        <w:rPr>
          <w:rFonts w:hint="eastAsia" w:ascii="宋体" w:hAnsi="宋体" w:cs="宋体"/>
          <w:szCs w:val="21"/>
        </w:rPr>
        <w:t>或根据展会最终开展时间而变</w:t>
      </w:r>
      <w:r>
        <w:rPr>
          <w:rFonts w:hint="eastAsia" w:ascii="宋体" w:hAnsi="宋体" w:cs="宋体"/>
          <w:szCs w:val="21"/>
          <w:lang w:val="zh-CN"/>
        </w:rPr>
        <w:t>）</w:t>
      </w:r>
      <w:r>
        <w:rPr>
          <w:rFonts w:ascii="宋体" w:hAnsi="宋体" w:cs="宋体"/>
          <w:szCs w:val="21"/>
          <w:lang w:val="zh-CN"/>
        </w:rPr>
        <w:t>每天</w:t>
      </w:r>
      <w:r>
        <w:rPr>
          <w:rFonts w:hint="eastAsia" w:ascii="宋体" w:hAnsi="宋体" w:cs="宋体"/>
          <w:szCs w:val="21"/>
        </w:rPr>
        <w:t>制作并印刷</w:t>
      </w:r>
      <w:r>
        <w:rPr>
          <w:rFonts w:ascii="宋体" w:hAnsi="宋体" w:cs="宋体"/>
          <w:szCs w:val="21"/>
          <w:lang w:val="zh-CN"/>
        </w:rPr>
        <w:t>一期《高交会新闻速递》</w:t>
      </w:r>
      <w:r>
        <w:rPr>
          <w:rFonts w:hint="eastAsia" w:ascii="宋体" w:hAnsi="宋体" w:cs="宋体"/>
          <w:szCs w:val="21"/>
          <w:lang w:val="zh-CN"/>
        </w:rPr>
        <w:t>，</w:t>
      </w:r>
      <w:r>
        <w:rPr>
          <w:rFonts w:hint="eastAsia" w:ascii="宋体" w:hAnsi="宋体" w:cs="宋体"/>
          <w:szCs w:val="21"/>
        </w:rPr>
        <w:t>每期</w:t>
      </w:r>
      <w:r>
        <w:rPr>
          <w:rFonts w:ascii="宋体" w:hAnsi="宋体" w:cs="宋体"/>
          <w:szCs w:val="21"/>
          <w:lang w:val="zh-CN"/>
        </w:rPr>
        <w:t>36版（含四封），</w:t>
      </w:r>
      <w:r>
        <w:rPr>
          <w:rFonts w:hint="eastAsia" w:ascii="宋体" w:hAnsi="宋体" w:cs="宋体"/>
          <w:szCs w:val="21"/>
          <w:lang w:val="zh-CN"/>
        </w:rPr>
        <w:t>围绕</w:t>
      </w:r>
      <w:r>
        <w:rPr>
          <w:rFonts w:hint="eastAsia" w:ascii="宋体" w:hAnsi="宋体" w:cs="宋体"/>
          <w:szCs w:val="21"/>
        </w:rPr>
        <w:t>本届高交会</w:t>
      </w:r>
      <w:r>
        <w:rPr>
          <w:rFonts w:hint="eastAsia" w:ascii="宋体" w:hAnsi="宋体" w:cs="宋体"/>
          <w:szCs w:val="21"/>
          <w:lang w:val="zh-CN"/>
        </w:rPr>
        <w:t>主题</w:t>
      </w:r>
      <w:r>
        <w:rPr>
          <w:rFonts w:hint="eastAsia" w:ascii="宋体" w:hAnsi="宋体" w:cs="宋体"/>
          <w:szCs w:val="21"/>
        </w:rPr>
        <w:t>图文并茂地</w:t>
      </w:r>
      <w:r>
        <w:rPr>
          <w:rFonts w:ascii="宋体" w:hAnsi="宋体" w:cs="宋体"/>
          <w:szCs w:val="21"/>
          <w:lang w:val="zh-CN"/>
        </w:rPr>
        <w:t>全面报道</w:t>
      </w:r>
      <w:r>
        <w:rPr>
          <w:rFonts w:hint="eastAsia" w:ascii="宋体" w:hAnsi="宋体" w:cs="宋体"/>
          <w:szCs w:val="21"/>
        </w:rPr>
        <w:t>展会及活动</w:t>
      </w:r>
      <w:r>
        <w:rPr>
          <w:rFonts w:hint="eastAsia" w:ascii="宋体" w:hAnsi="宋体" w:cs="宋体"/>
          <w:szCs w:val="21"/>
          <w:lang w:val="zh-CN"/>
        </w:rPr>
        <w:t>热点</w:t>
      </w:r>
      <w:r>
        <w:rPr>
          <w:rFonts w:ascii="宋体" w:hAnsi="宋体" w:cs="宋体"/>
          <w:szCs w:val="21"/>
          <w:lang w:val="zh-CN"/>
        </w:rPr>
        <w:t>。</w:t>
      </w:r>
    </w:p>
    <w:p>
      <w:pPr>
        <w:autoSpaceDE w:val="0"/>
        <w:autoSpaceDN w:val="0"/>
        <w:ind w:firstLine="570"/>
        <w:rPr>
          <w:rFonts w:ascii="宋体" w:hAnsi="宋体" w:cs="宋体"/>
          <w:szCs w:val="21"/>
          <w:lang w:val="zh-CN"/>
        </w:rPr>
      </w:pPr>
    </w:p>
    <w:p>
      <w:pPr>
        <w:autoSpaceDE w:val="0"/>
        <w:autoSpaceDN w:val="0"/>
        <w:ind w:firstLine="570"/>
        <w:rPr>
          <w:rFonts w:ascii="宋体" w:hAnsi="宋体" w:cs="宋体"/>
          <w:b/>
          <w:szCs w:val="21"/>
        </w:rPr>
      </w:pPr>
      <w:r>
        <w:rPr>
          <w:rFonts w:ascii="宋体" w:hAnsi="宋体" w:cs="宋体"/>
          <w:b/>
          <w:szCs w:val="21"/>
          <w:lang w:val="zh-CN"/>
        </w:rPr>
        <w:t>二、甲方权利和义务：</w:t>
      </w:r>
    </w:p>
    <w:p>
      <w:pPr>
        <w:autoSpaceDE w:val="0"/>
        <w:autoSpaceDN w:val="0"/>
        <w:ind w:firstLine="570"/>
        <w:rPr>
          <w:rFonts w:ascii="宋体" w:hAnsi="宋体" w:cs="宋体"/>
          <w:szCs w:val="21"/>
        </w:rPr>
      </w:pPr>
      <w:r>
        <w:rPr>
          <w:rFonts w:ascii="宋体" w:hAnsi="宋体" w:cs="宋体"/>
          <w:szCs w:val="21"/>
        </w:rPr>
        <w:t>1</w:t>
      </w:r>
      <w:r>
        <w:rPr>
          <w:rFonts w:ascii="宋体" w:hAnsi="宋体" w:cs="宋体"/>
          <w:szCs w:val="21"/>
          <w:lang w:val="zh-CN"/>
        </w:rPr>
        <w:t>、甲方协助乙方采访，并向乙方提供《高交会新闻速递》所需的高交会资料及其他相关采访素材；</w:t>
      </w:r>
    </w:p>
    <w:p>
      <w:pPr>
        <w:autoSpaceDE w:val="0"/>
        <w:autoSpaceDN w:val="0"/>
        <w:ind w:firstLine="570"/>
        <w:rPr>
          <w:rFonts w:ascii="宋体" w:hAnsi="宋体" w:cs="宋体"/>
          <w:szCs w:val="21"/>
          <w:lang w:val="zh-CN"/>
        </w:rPr>
      </w:pPr>
      <w:r>
        <w:rPr>
          <w:rFonts w:ascii="宋体" w:hAnsi="宋体" w:cs="宋体"/>
          <w:szCs w:val="21"/>
        </w:rPr>
        <w:t>2</w:t>
      </w:r>
      <w:r>
        <w:rPr>
          <w:rFonts w:ascii="宋体" w:hAnsi="宋体" w:cs="宋体"/>
          <w:szCs w:val="21"/>
          <w:lang w:val="zh-CN"/>
        </w:rPr>
        <w:t>、甲方负责《高交会新闻速递》发行；</w:t>
      </w:r>
    </w:p>
    <w:p>
      <w:pPr>
        <w:autoSpaceDE w:val="0"/>
        <w:autoSpaceDN w:val="0"/>
        <w:ind w:firstLine="570"/>
        <w:rPr>
          <w:rFonts w:ascii="宋体" w:hAnsi="宋体" w:cs="宋体"/>
          <w:szCs w:val="21"/>
          <w:lang w:val="zh-CN"/>
        </w:rPr>
      </w:pPr>
      <w:r>
        <w:rPr>
          <w:rFonts w:ascii="宋体" w:hAnsi="宋体" w:cs="宋体"/>
          <w:szCs w:val="21"/>
        </w:rPr>
        <w:t>3</w:t>
      </w:r>
      <w:r>
        <w:rPr>
          <w:rFonts w:ascii="宋体" w:hAnsi="宋体" w:cs="宋体"/>
          <w:szCs w:val="21"/>
          <w:lang w:val="zh-CN"/>
        </w:rPr>
        <w:t>、《高交会新闻速递》所有文字和图片的版权均归甲方所有；</w:t>
      </w:r>
    </w:p>
    <w:p>
      <w:pPr>
        <w:autoSpaceDE w:val="0"/>
        <w:autoSpaceDN w:val="0"/>
        <w:ind w:firstLine="570"/>
        <w:rPr>
          <w:rFonts w:ascii="宋体" w:hAnsi="宋体" w:cs="宋体"/>
          <w:szCs w:val="21"/>
          <w:lang w:val="zh-CN"/>
        </w:rPr>
      </w:pPr>
      <w:r>
        <w:rPr>
          <w:rFonts w:ascii="宋体" w:hAnsi="宋体" w:cs="宋体"/>
          <w:szCs w:val="21"/>
        </w:rPr>
        <w:t>4、</w:t>
      </w:r>
      <w:r>
        <w:rPr>
          <w:rFonts w:ascii="宋体" w:hAnsi="宋体" w:cs="宋体"/>
          <w:szCs w:val="21"/>
          <w:lang w:val="zh-CN"/>
        </w:rPr>
        <w:t>甲方可以将乙方采编的有关高交会宣传的稿件刊登、发表在甲方网站或其他媒体；</w:t>
      </w:r>
    </w:p>
    <w:p>
      <w:pPr>
        <w:autoSpaceDE w:val="0"/>
        <w:autoSpaceDN w:val="0"/>
        <w:ind w:firstLine="570"/>
        <w:rPr>
          <w:rFonts w:ascii="宋体" w:hAnsi="宋体" w:cs="宋体"/>
          <w:szCs w:val="21"/>
        </w:rPr>
      </w:pPr>
      <w:r>
        <w:rPr>
          <w:rFonts w:ascii="宋体" w:hAnsi="宋体" w:cs="宋体"/>
          <w:szCs w:val="21"/>
        </w:rPr>
        <w:t>5、甲方免受第三方提出的涉及侵犯知识产权的起诉，由此带来的任何法律和经济赔偿责任全部由乙方自行承担，与甲方无关，如由此造成甲方损失由乙方负责赔偿。</w:t>
      </w:r>
    </w:p>
    <w:p>
      <w:pPr>
        <w:autoSpaceDE w:val="0"/>
        <w:autoSpaceDN w:val="0"/>
        <w:ind w:firstLine="570"/>
        <w:rPr>
          <w:rFonts w:ascii="宋体" w:hAnsi="宋体" w:cs="宋体"/>
          <w:szCs w:val="21"/>
          <w:lang w:val="zh-CN"/>
        </w:rPr>
      </w:pPr>
    </w:p>
    <w:p>
      <w:pPr>
        <w:autoSpaceDE w:val="0"/>
        <w:autoSpaceDN w:val="0"/>
        <w:ind w:firstLine="570"/>
        <w:rPr>
          <w:rFonts w:ascii="宋体" w:hAnsi="宋体" w:cs="宋体"/>
          <w:b/>
          <w:szCs w:val="21"/>
        </w:rPr>
      </w:pPr>
      <w:r>
        <w:rPr>
          <w:rFonts w:ascii="宋体" w:hAnsi="宋体" w:cs="宋体"/>
          <w:b/>
          <w:szCs w:val="21"/>
          <w:lang w:val="zh-CN"/>
        </w:rPr>
        <w:t>三、乙方权利和义务：</w:t>
      </w:r>
    </w:p>
    <w:p>
      <w:pPr>
        <w:autoSpaceDE w:val="0"/>
        <w:autoSpaceDN w:val="0"/>
        <w:ind w:firstLine="570"/>
        <w:rPr>
          <w:rFonts w:ascii="宋体" w:hAnsi="宋体" w:cs="宋体"/>
          <w:szCs w:val="21"/>
        </w:rPr>
      </w:pPr>
      <w:r>
        <w:rPr>
          <w:rFonts w:ascii="宋体" w:hAnsi="宋体" w:cs="宋体"/>
          <w:szCs w:val="21"/>
        </w:rPr>
        <w:t>1</w:t>
      </w:r>
      <w:r>
        <w:rPr>
          <w:rFonts w:ascii="宋体" w:hAnsi="宋体" w:cs="宋体"/>
          <w:szCs w:val="21"/>
          <w:lang w:val="zh-CN"/>
        </w:rPr>
        <w:t>、乙方负责第二十</w:t>
      </w:r>
      <w:r>
        <w:rPr>
          <w:rFonts w:hint="eastAsia" w:ascii="宋体" w:hAnsi="宋体" w:cs="宋体"/>
          <w:szCs w:val="21"/>
        </w:rPr>
        <w:t>四</w:t>
      </w:r>
      <w:r>
        <w:rPr>
          <w:rFonts w:ascii="宋体" w:hAnsi="宋体" w:cs="宋体"/>
          <w:szCs w:val="21"/>
          <w:lang w:val="zh-CN"/>
        </w:rPr>
        <w:t>届高交会《高交会新闻速递》内容策划，并根据甲方的意见进行调整；</w:t>
      </w:r>
    </w:p>
    <w:p>
      <w:pPr>
        <w:autoSpaceDE w:val="0"/>
        <w:autoSpaceDN w:val="0"/>
        <w:ind w:firstLine="570"/>
        <w:rPr>
          <w:rFonts w:ascii="宋体" w:hAnsi="宋体" w:cs="宋体"/>
          <w:szCs w:val="21"/>
        </w:rPr>
      </w:pPr>
      <w:r>
        <w:rPr>
          <w:rFonts w:ascii="宋体" w:hAnsi="宋体" w:cs="宋体"/>
          <w:szCs w:val="21"/>
        </w:rPr>
        <w:t>2</w:t>
      </w:r>
      <w:r>
        <w:rPr>
          <w:rFonts w:ascii="宋体" w:hAnsi="宋体" w:cs="宋体"/>
          <w:szCs w:val="21"/>
          <w:lang w:val="zh-CN"/>
        </w:rPr>
        <w:t>、乙方负责组建创作团队</w:t>
      </w:r>
      <w:r>
        <w:rPr>
          <w:rFonts w:hint="eastAsia" w:ascii="宋体" w:hAnsi="宋体" w:cs="宋体"/>
          <w:szCs w:val="21"/>
          <w:lang w:val="zh-CN"/>
        </w:rPr>
        <w:t>，团队人员数不可少于10人，其中专业记者不少于5人</w:t>
      </w:r>
      <w:r>
        <w:rPr>
          <w:rFonts w:ascii="宋体" w:hAnsi="宋体" w:cs="宋体"/>
          <w:szCs w:val="21"/>
          <w:lang w:val="zh-CN"/>
        </w:rPr>
        <w:t>，组织并实施《高交会新闻速递》的采访、编辑、制作</w:t>
      </w:r>
      <w:r>
        <w:rPr>
          <w:rFonts w:hint="eastAsia" w:ascii="宋体" w:hAnsi="宋体" w:cs="宋体"/>
          <w:szCs w:val="21"/>
          <w:lang w:val="zh-CN"/>
        </w:rPr>
        <w:t>、</w:t>
      </w:r>
      <w:r>
        <w:rPr>
          <w:rFonts w:hint="eastAsia" w:ascii="宋体" w:hAnsi="宋体" w:cs="宋体"/>
          <w:szCs w:val="21"/>
        </w:rPr>
        <w:t>印刷、运输</w:t>
      </w:r>
      <w:r>
        <w:rPr>
          <w:rFonts w:ascii="宋体" w:hAnsi="宋体" w:cs="宋体"/>
          <w:szCs w:val="21"/>
          <w:lang w:val="zh-CN"/>
        </w:rPr>
        <w:t>；</w:t>
      </w:r>
    </w:p>
    <w:p>
      <w:pPr>
        <w:autoSpaceDE w:val="0"/>
        <w:autoSpaceDN w:val="0"/>
        <w:ind w:firstLine="570"/>
        <w:rPr>
          <w:rFonts w:ascii="宋体" w:hAnsi="宋体" w:cs="宋体"/>
          <w:szCs w:val="21"/>
        </w:rPr>
      </w:pPr>
      <w:r>
        <w:rPr>
          <w:rFonts w:ascii="宋体" w:hAnsi="宋体" w:cs="宋体"/>
          <w:szCs w:val="21"/>
        </w:rPr>
        <w:t>3</w:t>
      </w:r>
      <w:r>
        <w:rPr>
          <w:rFonts w:ascii="宋体" w:hAnsi="宋体" w:cs="宋体"/>
          <w:szCs w:val="21"/>
          <w:lang w:val="zh-CN"/>
        </w:rPr>
        <w:t>、乙方在1</w:t>
      </w:r>
      <w:r>
        <w:rPr>
          <w:rFonts w:hint="eastAsia" w:ascii="宋体" w:hAnsi="宋体" w:cs="宋体"/>
          <w:szCs w:val="21"/>
        </w:rPr>
        <w:t>0</w:t>
      </w:r>
      <w:r>
        <w:rPr>
          <w:rFonts w:ascii="宋体" w:hAnsi="宋体" w:cs="宋体"/>
          <w:szCs w:val="21"/>
          <w:lang w:val="zh-CN"/>
        </w:rPr>
        <w:t>月</w:t>
      </w:r>
      <w:r>
        <w:rPr>
          <w:rFonts w:ascii="宋体" w:hAnsi="宋体" w:cs="宋体"/>
          <w:szCs w:val="21"/>
        </w:rPr>
        <w:t>30</w:t>
      </w:r>
      <w:r>
        <w:rPr>
          <w:rFonts w:ascii="宋体" w:hAnsi="宋体" w:cs="宋体"/>
          <w:szCs w:val="21"/>
          <w:lang w:val="zh-CN"/>
        </w:rPr>
        <w:t>日前提供综合甲乙双方意见的详细报道方案给甲方，并在11月</w:t>
      </w:r>
      <w:r>
        <w:rPr>
          <w:rFonts w:hint="eastAsia" w:ascii="宋体" w:hAnsi="宋体" w:cs="宋体"/>
          <w:szCs w:val="21"/>
        </w:rPr>
        <w:t>1</w:t>
      </w:r>
      <w:r>
        <w:rPr>
          <w:rFonts w:ascii="宋体" w:hAnsi="宋体" w:cs="宋体"/>
          <w:szCs w:val="21"/>
          <w:lang w:val="zh-CN"/>
        </w:rPr>
        <w:t>日前提交第一期《高交会新闻速递》（除开幕新闻发布会的新闻）设计稿、11月1</w:t>
      </w:r>
      <w:r>
        <w:rPr>
          <w:rFonts w:hint="eastAsia" w:ascii="宋体" w:hAnsi="宋体" w:cs="宋体"/>
          <w:szCs w:val="21"/>
        </w:rPr>
        <w:t>5</w:t>
      </w:r>
      <w:r>
        <w:rPr>
          <w:rFonts w:ascii="宋体" w:hAnsi="宋体" w:cs="宋体"/>
          <w:szCs w:val="21"/>
          <w:lang w:val="zh-CN"/>
        </w:rPr>
        <w:t>日下午5点前提交第二期《高交会新闻速递》设计稿、11月1</w:t>
      </w:r>
      <w:r>
        <w:rPr>
          <w:rFonts w:hint="eastAsia" w:ascii="宋体" w:hAnsi="宋体" w:cs="宋体"/>
          <w:szCs w:val="21"/>
        </w:rPr>
        <w:t>6</w:t>
      </w:r>
      <w:r>
        <w:rPr>
          <w:rFonts w:ascii="宋体" w:hAnsi="宋体" w:cs="宋体"/>
          <w:szCs w:val="21"/>
          <w:lang w:val="zh-CN"/>
        </w:rPr>
        <w:t>日下午5点前提交第三期《高交会新闻速递》设计稿给甲方（设计稿为PDF形式），并提供对应可编辑文本文件（txt/doc），其中每一期《高交会新闻速递》含4P英文报道（翻译由甲方提供），全彩大16开本每期36版（含四封），全面报道第二十</w:t>
      </w:r>
      <w:r>
        <w:rPr>
          <w:rFonts w:hint="eastAsia" w:ascii="宋体" w:hAnsi="宋体" w:cs="宋体"/>
          <w:szCs w:val="21"/>
        </w:rPr>
        <w:t>四</w:t>
      </w:r>
      <w:r>
        <w:rPr>
          <w:rFonts w:ascii="宋体" w:hAnsi="宋体" w:cs="宋体"/>
          <w:szCs w:val="21"/>
          <w:lang w:val="zh-CN"/>
        </w:rPr>
        <w:t>届高交会的情况；</w:t>
      </w:r>
    </w:p>
    <w:p>
      <w:pPr>
        <w:autoSpaceDE w:val="0"/>
        <w:autoSpaceDN w:val="0"/>
        <w:ind w:firstLine="570"/>
        <w:rPr>
          <w:rFonts w:ascii="宋体" w:hAnsi="宋体" w:cs="宋体"/>
          <w:szCs w:val="21"/>
        </w:rPr>
      </w:pPr>
      <w:r>
        <w:rPr>
          <w:rFonts w:ascii="宋体" w:hAnsi="宋体" w:cs="宋体"/>
          <w:szCs w:val="21"/>
        </w:rPr>
        <w:t>4</w:t>
      </w:r>
      <w:r>
        <w:rPr>
          <w:rFonts w:ascii="宋体" w:hAnsi="宋体" w:cs="宋体"/>
          <w:szCs w:val="21"/>
          <w:lang w:val="zh-CN"/>
        </w:rPr>
        <w:t>、乙方在高交会期间采制的稿件和视频文件，甲方可用于高交会官网及其他所属媒体平台；</w:t>
      </w:r>
    </w:p>
    <w:p>
      <w:pPr>
        <w:autoSpaceDE w:val="0"/>
        <w:autoSpaceDN w:val="0"/>
        <w:ind w:firstLine="570"/>
        <w:rPr>
          <w:rFonts w:ascii="宋体" w:hAnsi="宋体" w:cs="宋体"/>
          <w:szCs w:val="21"/>
          <w:lang w:val="zh-CN"/>
        </w:rPr>
      </w:pPr>
      <w:r>
        <w:rPr>
          <w:rFonts w:ascii="宋体" w:hAnsi="宋体" w:cs="宋体"/>
          <w:szCs w:val="21"/>
        </w:rPr>
        <w:t>5</w:t>
      </w:r>
      <w:r>
        <w:rPr>
          <w:rFonts w:ascii="宋体" w:hAnsi="宋体" w:cs="宋体"/>
          <w:szCs w:val="21"/>
          <w:lang w:val="zh-CN"/>
        </w:rPr>
        <w:t>、乙方在高交会采访期间，保证恪守新闻职业道德，遵守新闻纪律；</w:t>
      </w:r>
    </w:p>
    <w:p>
      <w:pPr>
        <w:autoSpaceDE w:val="0"/>
        <w:autoSpaceDN w:val="0"/>
        <w:ind w:firstLine="570"/>
        <w:rPr>
          <w:rFonts w:ascii="宋体" w:hAnsi="宋体" w:cs="宋体"/>
          <w:szCs w:val="21"/>
          <w:lang w:val="zh-CN"/>
        </w:rPr>
      </w:pPr>
      <w:r>
        <w:rPr>
          <w:rFonts w:ascii="宋体" w:hAnsi="宋体" w:cs="宋体"/>
          <w:szCs w:val="21"/>
        </w:rPr>
        <w:t>6、</w:t>
      </w:r>
      <w:r>
        <w:rPr>
          <w:rFonts w:ascii="宋体" w:hAnsi="宋体" w:cs="宋体"/>
          <w:szCs w:val="21"/>
          <w:lang w:val="zh-CN"/>
        </w:rPr>
        <w:t>乙方确保提供给甲方的稿件不涉及版权纠纷，且甲方不对此引发的侵权行为承担责任；</w:t>
      </w:r>
    </w:p>
    <w:p>
      <w:pPr>
        <w:autoSpaceDE w:val="0"/>
        <w:autoSpaceDN w:val="0"/>
        <w:ind w:firstLine="570"/>
        <w:rPr>
          <w:rFonts w:ascii="宋体" w:hAnsi="宋体" w:cs="宋体"/>
          <w:szCs w:val="21"/>
          <w:lang w:val="zh-CN"/>
        </w:rPr>
      </w:pPr>
      <w:r>
        <w:rPr>
          <w:rFonts w:ascii="宋体" w:hAnsi="宋体" w:cs="宋体"/>
          <w:szCs w:val="21"/>
        </w:rPr>
        <w:t>7、乙方在</w:t>
      </w:r>
      <w:r>
        <w:rPr>
          <w:rFonts w:ascii="宋体" w:hAnsi="宋体" w:cs="宋体"/>
          <w:szCs w:val="21"/>
          <w:lang w:val="zh-CN"/>
        </w:rPr>
        <w:t>工作中维护双方声誉，不可侵害甲方的品牌权益；</w:t>
      </w:r>
    </w:p>
    <w:p>
      <w:pPr>
        <w:autoSpaceDE w:val="0"/>
        <w:autoSpaceDN w:val="0"/>
        <w:ind w:firstLine="570"/>
        <w:rPr>
          <w:rFonts w:ascii="宋体" w:hAnsi="宋体" w:cs="宋体"/>
          <w:szCs w:val="21"/>
          <w:lang w:val="zh-CN"/>
        </w:rPr>
      </w:pPr>
      <w:r>
        <w:rPr>
          <w:rFonts w:ascii="宋体" w:hAnsi="宋体" w:cs="宋体"/>
          <w:szCs w:val="21"/>
        </w:rPr>
        <w:t>8</w:t>
      </w:r>
      <w:r>
        <w:rPr>
          <w:rFonts w:ascii="宋体" w:hAnsi="宋体" w:cs="宋体"/>
          <w:szCs w:val="21"/>
          <w:lang w:val="zh-CN"/>
        </w:rPr>
        <w:t>、乙方负责高交会《高交会新闻速递》内容初审（甲方负责终审），每期出版前清样由甲乙双方负责人均签字为确认。</w:t>
      </w:r>
    </w:p>
    <w:p>
      <w:pPr>
        <w:autoSpaceDE w:val="0"/>
        <w:autoSpaceDN w:val="0"/>
        <w:ind w:firstLine="570"/>
        <w:rPr>
          <w:rFonts w:ascii="宋体" w:hAnsi="宋体" w:cs="宋体"/>
          <w:b/>
          <w:szCs w:val="21"/>
        </w:rPr>
      </w:pPr>
      <w:r>
        <w:rPr>
          <w:rFonts w:ascii="宋体" w:hAnsi="宋体" w:cs="宋体"/>
          <w:b/>
          <w:szCs w:val="21"/>
          <w:lang w:val="zh-CN"/>
        </w:rPr>
        <w:t>四、付款方式：</w:t>
      </w:r>
    </w:p>
    <w:p>
      <w:pPr>
        <w:autoSpaceDE w:val="0"/>
        <w:autoSpaceDN w:val="0"/>
        <w:ind w:firstLine="570"/>
        <w:rPr>
          <w:rFonts w:ascii="宋体" w:hAnsi="宋体" w:cs="宋体"/>
          <w:szCs w:val="21"/>
          <w:lang w:val="zh-CN"/>
        </w:rPr>
      </w:pPr>
      <w:r>
        <w:rPr>
          <w:rFonts w:ascii="宋体" w:hAnsi="宋体" w:cs="宋体"/>
          <w:szCs w:val="21"/>
          <w:lang w:val="zh-CN"/>
        </w:rPr>
        <w:t>《高交会新闻速递》费用共计</w:t>
      </w:r>
      <w:r>
        <w:rPr>
          <w:rFonts w:hint="eastAsia" w:ascii="宋体" w:hAnsi="宋体" w:cs="宋体"/>
          <w:szCs w:val="21"/>
        </w:rPr>
        <w:t>XXX</w:t>
      </w:r>
      <w:r>
        <w:rPr>
          <w:rFonts w:ascii="宋体" w:hAnsi="宋体" w:cs="宋体"/>
          <w:szCs w:val="21"/>
          <w:lang w:val="zh-CN"/>
        </w:rPr>
        <w:t>元人民币（￥</w:t>
      </w:r>
      <w:r>
        <w:rPr>
          <w:rFonts w:hint="eastAsia" w:ascii="宋体" w:hAnsi="宋体" w:cs="宋体"/>
          <w:szCs w:val="21"/>
        </w:rPr>
        <w:t>XXX</w:t>
      </w:r>
      <w:r>
        <w:rPr>
          <w:rFonts w:ascii="宋体" w:hAnsi="宋体" w:cs="宋体"/>
          <w:szCs w:val="21"/>
          <w:lang w:val="zh-CN"/>
        </w:rPr>
        <w:t>，</w:t>
      </w:r>
      <w:r>
        <w:rPr>
          <w:rFonts w:hint="eastAsia" w:ascii="宋体" w:hAnsi="宋体" w:cs="宋体"/>
          <w:szCs w:val="21"/>
        </w:rPr>
        <w:t>X</w:t>
      </w:r>
      <w:r>
        <w:rPr>
          <w:rFonts w:ascii="宋体" w:hAnsi="宋体" w:cs="宋体"/>
          <w:szCs w:val="21"/>
        </w:rPr>
        <w:t>00.00</w:t>
      </w:r>
      <w:r>
        <w:rPr>
          <w:rFonts w:ascii="宋体" w:hAnsi="宋体" w:cs="宋体"/>
          <w:szCs w:val="21"/>
          <w:lang w:val="zh-CN"/>
        </w:rPr>
        <w:t>），在乙方按期完成高交会《高交会新闻速递》的制作后，甲方在*</w:t>
      </w:r>
      <w:r>
        <w:rPr>
          <w:rFonts w:hint="eastAsia" w:ascii="宋体" w:hAnsi="宋体" w:cs="宋体"/>
          <w:szCs w:val="21"/>
          <w:lang w:val="zh-CN"/>
        </w:rPr>
        <w:t>工作日内</w:t>
      </w:r>
      <w:r>
        <w:rPr>
          <w:rFonts w:ascii="宋体" w:hAnsi="宋体" w:cs="宋体"/>
          <w:szCs w:val="21"/>
          <w:lang w:val="zh-CN"/>
        </w:rPr>
        <w:t>付款给乙方。</w:t>
      </w:r>
    </w:p>
    <w:p>
      <w:pPr>
        <w:autoSpaceDE w:val="0"/>
        <w:autoSpaceDN w:val="0"/>
        <w:rPr>
          <w:rFonts w:ascii="宋体" w:hAnsi="宋体" w:cs="宋体"/>
          <w:szCs w:val="21"/>
          <w:lang w:val="zh-CN"/>
        </w:rPr>
      </w:pPr>
    </w:p>
    <w:p>
      <w:pPr>
        <w:autoSpaceDE w:val="0"/>
        <w:autoSpaceDN w:val="0"/>
        <w:ind w:firstLine="570"/>
        <w:rPr>
          <w:rFonts w:ascii="宋体" w:hAnsi="宋体" w:cs="宋体"/>
          <w:b/>
          <w:szCs w:val="21"/>
        </w:rPr>
      </w:pPr>
      <w:r>
        <w:rPr>
          <w:rFonts w:ascii="宋体" w:hAnsi="宋体" w:cs="宋体"/>
          <w:b/>
          <w:szCs w:val="21"/>
          <w:lang w:val="zh-CN"/>
        </w:rPr>
        <w:t>五、违约责任及其他：</w:t>
      </w:r>
    </w:p>
    <w:p>
      <w:pPr>
        <w:autoSpaceDE w:val="0"/>
        <w:autoSpaceDN w:val="0"/>
        <w:ind w:firstLine="570"/>
        <w:rPr>
          <w:rFonts w:ascii="宋体" w:hAnsi="宋体" w:cs="宋体"/>
          <w:szCs w:val="21"/>
        </w:rPr>
      </w:pPr>
      <w:r>
        <w:rPr>
          <w:rFonts w:ascii="宋体" w:hAnsi="宋体" w:cs="宋体"/>
          <w:szCs w:val="21"/>
        </w:rPr>
        <w:t>1、</w:t>
      </w:r>
      <w:r>
        <w:rPr>
          <w:rFonts w:ascii="宋体" w:hAnsi="宋体" w:cs="宋体"/>
          <w:szCs w:val="21"/>
          <w:lang w:val="zh-CN"/>
        </w:rPr>
        <w:t>如双方任意一方不能按照本协议的约定履行自己的义务，要承担相应的经济责任。本协议履行过程中，如因新冠疫情等不可抗力因素导致该合同终止履行，甲乙双方互不追究责任，但发生不可抗力因素的一方必须及时通知另一方</w:t>
      </w:r>
      <w:r>
        <w:rPr>
          <w:rFonts w:hint="eastAsia" w:ascii="宋体" w:hAnsi="宋体" w:cs="宋体"/>
          <w:szCs w:val="21"/>
          <w:lang w:val="zh-CN"/>
        </w:rPr>
        <w:t>，并勘定已执行工作量，协商支付已完成工作量的对应报酬。</w:t>
      </w:r>
    </w:p>
    <w:p>
      <w:pPr>
        <w:autoSpaceDE w:val="0"/>
        <w:autoSpaceDN w:val="0"/>
        <w:ind w:firstLine="570"/>
        <w:rPr>
          <w:rFonts w:ascii="宋体" w:hAnsi="宋体" w:cs="宋体"/>
          <w:szCs w:val="21"/>
        </w:rPr>
      </w:pPr>
      <w:r>
        <w:rPr>
          <w:rFonts w:ascii="宋体" w:hAnsi="宋体" w:cs="宋体"/>
          <w:szCs w:val="21"/>
          <w:lang w:val="zh-CN"/>
        </w:rPr>
        <w:t>2、本协议未尽事宜，</w:t>
      </w:r>
      <w:r>
        <w:rPr>
          <w:rFonts w:ascii="宋体" w:hAnsi="宋体" w:cs="宋体"/>
          <w:szCs w:val="21"/>
        </w:rPr>
        <w:t>由甲、乙双方另行议定，并签订补充协议。</w:t>
      </w:r>
      <w:r>
        <w:rPr>
          <w:rFonts w:ascii="宋体" w:hAnsi="宋体" w:cs="宋体"/>
          <w:szCs w:val="21"/>
          <w:lang w:val="zh-CN"/>
        </w:rPr>
        <w:t>如出现争议，任何一方均可提交深圳国际仲裁院进行仲裁。</w:t>
      </w:r>
    </w:p>
    <w:p>
      <w:pPr>
        <w:autoSpaceDE w:val="0"/>
        <w:autoSpaceDN w:val="0"/>
        <w:ind w:firstLine="570"/>
        <w:rPr>
          <w:rFonts w:ascii="宋体" w:hAnsi="宋体" w:cs="宋体"/>
          <w:szCs w:val="21"/>
          <w:lang w:val="zh-CN"/>
        </w:rPr>
      </w:pPr>
      <w:r>
        <w:rPr>
          <w:rFonts w:ascii="宋体" w:hAnsi="宋体" w:cs="宋体"/>
          <w:szCs w:val="21"/>
        </w:rPr>
        <w:t>3、</w:t>
      </w:r>
      <w:r>
        <w:rPr>
          <w:rFonts w:ascii="宋体" w:hAnsi="宋体" w:cs="宋体"/>
          <w:szCs w:val="21"/>
          <w:lang w:val="zh-CN"/>
        </w:rPr>
        <w:t>本协议自双方法定代表人或授权代表签字并加盖公章后即生效，有效期至本协议相关权利、义务履行完毕之日止。</w:t>
      </w:r>
    </w:p>
    <w:p>
      <w:pPr>
        <w:autoSpaceDE w:val="0"/>
        <w:autoSpaceDN w:val="0"/>
        <w:ind w:firstLine="570"/>
        <w:rPr>
          <w:rFonts w:ascii="宋体" w:hAnsi="宋体" w:cs="宋体"/>
          <w:szCs w:val="21"/>
          <w:lang w:val="zh-CN"/>
        </w:rPr>
      </w:pPr>
      <w:r>
        <w:rPr>
          <w:rFonts w:ascii="宋体" w:hAnsi="宋体" w:cs="宋体"/>
          <w:szCs w:val="21"/>
        </w:rPr>
        <w:t>4、</w:t>
      </w:r>
      <w:r>
        <w:rPr>
          <w:rFonts w:ascii="宋体" w:hAnsi="宋体" w:cs="宋体"/>
          <w:szCs w:val="21"/>
          <w:lang w:val="zh-CN"/>
        </w:rPr>
        <w:t>本协议壹式肆份，甲乙双方各执贰份，具有同等法律效力。</w:t>
      </w:r>
    </w:p>
    <w:p>
      <w:pPr>
        <w:pStyle w:val="5"/>
        <w:tabs>
          <w:tab w:val="left" w:pos="4940"/>
        </w:tabs>
        <w:spacing w:before="93" w:beforeLines="30"/>
        <w:ind w:firstLine="210" w:firstLineChars="100"/>
        <w:rPr>
          <w:rFonts w:hAnsi="宋体" w:cs="仿宋"/>
          <w:szCs w:val="21"/>
        </w:rPr>
      </w:pPr>
    </w:p>
    <w:p>
      <w:pPr>
        <w:pStyle w:val="5"/>
        <w:tabs>
          <w:tab w:val="left" w:pos="4940"/>
        </w:tabs>
        <w:spacing w:before="93" w:beforeLines="30"/>
        <w:ind w:firstLine="210" w:firstLineChars="100"/>
        <w:rPr>
          <w:rFonts w:hAnsi="宋体" w:cs="仿宋"/>
          <w:szCs w:val="21"/>
        </w:rPr>
      </w:pPr>
      <w:r>
        <w:rPr>
          <w:rFonts w:hAnsi="宋体" w:cs="仿宋"/>
          <w:szCs w:val="21"/>
        </w:rPr>
        <w:t>甲方：深圳会展中心管理有限责任公司        乙方：</w:t>
      </w:r>
    </w:p>
    <w:p>
      <w:pPr>
        <w:spacing w:before="93" w:beforeLines="30"/>
        <w:rPr>
          <w:rFonts w:ascii="宋体" w:hAnsi="宋体" w:cs="仿宋"/>
          <w:szCs w:val="21"/>
        </w:rPr>
      </w:pPr>
    </w:p>
    <w:p>
      <w:pPr>
        <w:spacing w:before="93" w:beforeLines="30"/>
        <w:rPr>
          <w:rFonts w:ascii="宋体" w:hAnsi="宋体" w:cs="仿宋"/>
          <w:szCs w:val="21"/>
        </w:rPr>
      </w:pPr>
      <w:r>
        <w:rPr>
          <w:rFonts w:ascii="宋体" w:hAnsi="宋体" w:cs="仿宋"/>
          <w:szCs w:val="21"/>
        </w:rPr>
        <w:t>授权代表签字：                        授权代表签字：</w:t>
      </w:r>
    </w:p>
    <w:p>
      <w:pPr>
        <w:spacing w:before="93" w:beforeLines="30"/>
        <w:rPr>
          <w:rFonts w:ascii="宋体" w:hAnsi="宋体" w:cs="仿宋"/>
          <w:szCs w:val="21"/>
        </w:rPr>
      </w:pPr>
      <w:r>
        <w:rPr>
          <w:rFonts w:ascii="宋体" w:hAnsi="宋体" w:cs="仿宋"/>
          <w:szCs w:val="21"/>
        </w:rPr>
        <w:t>盖章：                                盖章：</w:t>
      </w:r>
    </w:p>
    <w:p>
      <w:pPr>
        <w:spacing w:before="93" w:beforeLines="30"/>
        <w:rPr>
          <w:b/>
          <w:sz w:val="32"/>
          <w:szCs w:val="32"/>
        </w:rPr>
      </w:pPr>
      <w:r>
        <w:rPr>
          <w:rFonts w:hint="eastAsia" w:ascii="宋体" w:hAnsi="宋体" w:cs="仿宋"/>
          <w:szCs w:val="21"/>
        </w:rPr>
        <w:t>日期：</w:t>
      </w:r>
      <w:r>
        <w:rPr>
          <w:rFonts w:ascii="宋体" w:hAnsi="宋体" w:cs="仿宋"/>
          <w:szCs w:val="21"/>
          <w:u w:val="single"/>
        </w:rPr>
        <w:t xml:space="preserve">      </w:t>
      </w:r>
      <w:r>
        <w:rPr>
          <w:rFonts w:ascii="宋体" w:hAnsi="宋体" w:cs="仿宋"/>
          <w:szCs w:val="21"/>
        </w:rPr>
        <w:t>年</w:t>
      </w:r>
      <w:r>
        <w:rPr>
          <w:rFonts w:ascii="宋体" w:hAnsi="宋体" w:cs="仿宋"/>
          <w:szCs w:val="21"/>
          <w:u w:val="single"/>
        </w:rPr>
        <w:t xml:space="preserve">  </w:t>
      </w:r>
      <w:r>
        <w:rPr>
          <w:rFonts w:ascii="宋体" w:hAnsi="宋体" w:cs="仿宋"/>
          <w:szCs w:val="21"/>
        </w:rPr>
        <w:t>月</w:t>
      </w:r>
      <w:r>
        <w:rPr>
          <w:rFonts w:ascii="宋体" w:hAnsi="宋体" w:cs="仿宋"/>
          <w:szCs w:val="21"/>
          <w:u w:val="single"/>
        </w:rPr>
        <w:t xml:space="preserve">  </w:t>
      </w:r>
      <w:r>
        <w:rPr>
          <w:rFonts w:ascii="宋体" w:hAnsi="宋体" w:cs="仿宋"/>
          <w:szCs w:val="21"/>
        </w:rPr>
        <w:t xml:space="preserve">日                </w:t>
      </w:r>
      <w:r>
        <w:rPr>
          <w:rFonts w:hint="eastAsia" w:ascii="宋体" w:hAnsi="宋体" w:cs="仿宋"/>
          <w:szCs w:val="21"/>
        </w:rPr>
        <w:t>日期：</w:t>
      </w:r>
      <w:r>
        <w:rPr>
          <w:rFonts w:ascii="宋体" w:hAnsi="宋体" w:cs="仿宋"/>
          <w:szCs w:val="21"/>
          <w:u w:val="single"/>
        </w:rPr>
        <w:t xml:space="preserve">      </w:t>
      </w:r>
      <w:r>
        <w:rPr>
          <w:rFonts w:ascii="宋体" w:hAnsi="宋体" w:cs="仿宋"/>
          <w:szCs w:val="21"/>
        </w:rPr>
        <w:t>年</w:t>
      </w:r>
      <w:r>
        <w:rPr>
          <w:rFonts w:ascii="宋体" w:hAnsi="宋体" w:cs="仿宋"/>
          <w:szCs w:val="21"/>
          <w:u w:val="single"/>
        </w:rPr>
        <w:t xml:space="preserve">  </w:t>
      </w:r>
      <w:r>
        <w:rPr>
          <w:rFonts w:ascii="宋体" w:hAnsi="宋体" w:cs="仿宋"/>
          <w:szCs w:val="21"/>
        </w:rPr>
        <w:t>月</w:t>
      </w:r>
      <w:r>
        <w:rPr>
          <w:rFonts w:ascii="宋体" w:hAnsi="宋体" w:cs="仿宋"/>
          <w:szCs w:val="21"/>
          <w:u w:val="single"/>
        </w:rPr>
        <w:t xml:space="preserve">  </w:t>
      </w:r>
      <w:r>
        <w:rPr>
          <w:rFonts w:ascii="宋体" w:hAnsi="宋体" w:cs="仿宋"/>
          <w:szCs w:val="21"/>
        </w:rPr>
        <w:t>日</w:t>
      </w: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61" w:name="_Toc116032901"/>
      <w:r>
        <w:rPr>
          <w:rFonts w:hint="eastAsia"/>
          <w:b/>
          <w:sz w:val="32"/>
          <w:szCs w:val="32"/>
        </w:rPr>
        <w:t>第五部分：参考附件</w:t>
      </w:r>
      <w:bookmarkEnd w:id="61"/>
    </w:p>
    <w:p>
      <w:pPr>
        <w:spacing w:line="0" w:lineRule="atLeast"/>
        <w:outlineLvl w:val="1"/>
        <w:rPr>
          <w:rFonts w:ascii="宋体" w:hAnsi="宋体"/>
        </w:rPr>
      </w:pPr>
      <w:bookmarkStart w:id="62" w:name="_Toc116032902"/>
      <w:r>
        <w:rPr>
          <w:rFonts w:hint="eastAsia" w:ascii="宋体" w:hAnsi="宋体"/>
          <w:szCs w:val="21"/>
        </w:rPr>
        <w:t>附件1：</w:t>
      </w:r>
      <w:r>
        <w:rPr>
          <w:rFonts w:hint="eastAsia" w:ascii="宋体" w:hAnsi="宋体"/>
        </w:rPr>
        <w:t>报名回函</w:t>
      </w:r>
      <w:bookmarkEnd w:id="62"/>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7"/>
        <w:rPr>
          <w:b/>
          <w:sz w:val="21"/>
          <w:szCs w:val="21"/>
        </w:rPr>
      </w:pP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3" w:name="_Toc116032903"/>
      <w:r>
        <w:rPr>
          <w:rFonts w:hint="eastAsia" w:ascii="宋体" w:hAnsi="宋体"/>
          <w:szCs w:val="21"/>
        </w:rPr>
        <w:t>附件2：投标函</w:t>
      </w:r>
      <w:bookmarkEnd w:id="63"/>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4" w:name="_Toc116032904"/>
      <w:r>
        <w:rPr>
          <w:rFonts w:hint="eastAsia" w:ascii="宋体" w:hAnsi="宋体"/>
          <w:szCs w:val="21"/>
        </w:rPr>
        <w:t>附件3：投标一览表</w:t>
      </w:r>
      <w:bookmarkEnd w:id="64"/>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5" w:name="_Hlk111729437"/>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bookmarkEnd w:id="65"/>
    <w:tbl>
      <w:tblPr>
        <w:tblStyle w:val="16"/>
        <w:tblW w:w="949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851"/>
        <w:gridCol w:w="1134"/>
        <w:gridCol w:w="1559"/>
        <w:gridCol w:w="1418"/>
        <w:gridCol w:w="1417"/>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3" w:type="dxa"/>
            <w:vAlign w:val="center"/>
          </w:tcPr>
          <w:p>
            <w:pPr>
              <w:pStyle w:val="2"/>
              <w:spacing w:after="0" w:line="240" w:lineRule="auto"/>
              <w:ind w:left="0"/>
              <w:jc w:val="center"/>
            </w:pPr>
            <w:r>
              <w:rPr>
                <w:rFonts w:hint="eastAsia"/>
              </w:rPr>
              <w:t>税前总金额</w:t>
            </w:r>
          </w:p>
          <w:p>
            <w:pPr>
              <w:pStyle w:val="2"/>
              <w:spacing w:after="0" w:line="240" w:lineRule="auto"/>
              <w:ind w:left="0"/>
              <w:jc w:val="center"/>
            </w:pPr>
            <w:r>
              <w:rPr>
                <w:rFonts w:hint="eastAsia"/>
              </w:rPr>
              <w:t>（净价）</w:t>
            </w:r>
          </w:p>
        </w:tc>
        <w:tc>
          <w:tcPr>
            <w:tcW w:w="851" w:type="dxa"/>
            <w:vAlign w:val="center"/>
          </w:tcPr>
          <w:p>
            <w:pPr>
              <w:jc w:val="center"/>
              <w:rPr>
                <w:rFonts w:ascii="宋体" w:hAnsi="宋体"/>
                <w:szCs w:val="21"/>
              </w:rPr>
            </w:pPr>
            <w:r>
              <w:rPr>
                <w:rFonts w:hint="eastAsia" w:ascii="宋体" w:hAnsi="宋体"/>
                <w:szCs w:val="21"/>
              </w:rPr>
              <w:t>税率</w:t>
            </w:r>
          </w:p>
        </w:tc>
        <w:tc>
          <w:tcPr>
            <w:tcW w:w="1134" w:type="dxa"/>
            <w:vAlign w:val="center"/>
          </w:tcPr>
          <w:p>
            <w:pPr>
              <w:jc w:val="center"/>
              <w:rPr>
                <w:rFonts w:ascii="宋体" w:hAnsi="宋体"/>
                <w:szCs w:val="21"/>
              </w:rPr>
            </w:pPr>
            <w:r>
              <w:rPr>
                <w:rFonts w:hint="eastAsia" w:ascii="宋体" w:hAnsi="宋体"/>
                <w:szCs w:val="21"/>
              </w:rPr>
              <w:t>税额</w:t>
            </w:r>
          </w:p>
        </w:tc>
        <w:tc>
          <w:tcPr>
            <w:tcW w:w="1559" w:type="dxa"/>
            <w:vAlign w:val="center"/>
          </w:tcPr>
          <w:p>
            <w:pPr>
              <w:jc w:val="center"/>
              <w:rPr>
                <w:rFonts w:ascii="宋体" w:hAnsi="宋体"/>
                <w:szCs w:val="21"/>
              </w:rPr>
            </w:pPr>
            <w:r>
              <w:rPr>
                <w:rFonts w:hint="eastAsia" w:ascii="宋体" w:hAnsi="宋体"/>
                <w:szCs w:val="21"/>
              </w:rPr>
              <w:t>含税总金额</w:t>
            </w:r>
          </w:p>
        </w:tc>
        <w:tc>
          <w:tcPr>
            <w:tcW w:w="1418" w:type="dxa"/>
            <w:vAlign w:val="center"/>
          </w:tcPr>
          <w:p>
            <w:pPr>
              <w:jc w:val="center"/>
              <w:rPr>
                <w:rFonts w:ascii="宋体" w:hAnsi="宋体"/>
                <w:szCs w:val="21"/>
              </w:rPr>
            </w:pPr>
            <w:r>
              <w:rPr>
                <w:rFonts w:hint="eastAsia" w:ascii="宋体" w:hAnsi="宋体"/>
                <w:szCs w:val="21"/>
              </w:rPr>
              <w:t>工期/服务期（自然日）</w:t>
            </w:r>
          </w:p>
        </w:tc>
        <w:tc>
          <w:tcPr>
            <w:tcW w:w="1417" w:type="dxa"/>
            <w:vAlign w:val="center"/>
          </w:tcPr>
          <w:p>
            <w:pPr>
              <w:jc w:val="center"/>
              <w:rPr>
                <w:rFonts w:ascii="宋体" w:hAnsi="宋体"/>
                <w:szCs w:val="21"/>
              </w:rPr>
            </w:pPr>
            <w:r>
              <w:rPr>
                <w:rFonts w:hint="eastAsia" w:ascii="宋体" w:hAnsi="宋体"/>
                <w:szCs w:val="21"/>
              </w:rPr>
              <w:t>项目负责人及联系方式</w:t>
            </w:r>
          </w:p>
        </w:tc>
        <w:tc>
          <w:tcPr>
            <w:tcW w:w="1518" w:type="dxa"/>
            <w:vAlign w:val="center"/>
          </w:tcPr>
          <w:p>
            <w:pPr>
              <w:jc w:val="center"/>
              <w:rPr>
                <w:rFonts w:ascii="宋体" w:hAnsi="宋体"/>
                <w:szCs w:val="21"/>
              </w:rPr>
            </w:pPr>
            <w:r>
              <w:rPr>
                <w:rFonts w:hint="eastAsia" w:ascii="宋体" w:hAnsi="宋体"/>
                <w:szCs w:val="21"/>
              </w:rPr>
              <w:t>安全管理员</w:t>
            </w:r>
          </w:p>
          <w:p>
            <w:pPr>
              <w:jc w:val="center"/>
              <w:rPr>
                <w:rFonts w:ascii="宋体" w:hAnsi="宋体"/>
                <w:szCs w:val="21"/>
              </w:rPr>
            </w:pPr>
            <w:r>
              <w:rPr>
                <w:rFonts w:hint="eastAsia" w:ascii="宋体" w:hAnsi="宋体"/>
                <w:szCs w:val="21"/>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jc w:val="center"/>
              <w:rPr>
                <w:rFonts w:ascii="宋体" w:hAnsi="宋体"/>
                <w:szCs w:val="21"/>
              </w:rPr>
            </w:pPr>
          </w:p>
        </w:tc>
        <w:tc>
          <w:tcPr>
            <w:tcW w:w="851" w:type="dxa"/>
          </w:tcPr>
          <w:p>
            <w:pPr>
              <w:jc w:val="center"/>
              <w:rPr>
                <w:rFonts w:ascii="宋体" w:hAnsi="宋体"/>
                <w:szCs w:val="21"/>
              </w:rPr>
            </w:pPr>
          </w:p>
        </w:tc>
        <w:tc>
          <w:tcPr>
            <w:tcW w:w="1134" w:type="dxa"/>
          </w:tcPr>
          <w:p>
            <w:pPr>
              <w:jc w:val="center"/>
              <w:rPr>
                <w:rFonts w:ascii="宋体" w:hAnsi="宋体"/>
                <w:szCs w:val="21"/>
              </w:rPr>
            </w:pPr>
          </w:p>
        </w:tc>
        <w:tc>
          <w:tcPr>
            <w:tcW w:w="1559" w:type="dxa"/>
          </w:tcPr>
          <w:p>
            <w:pPr>
              <w:jc w:val="center"/>
              <w:rPr>
                <w:rFonts w:ascii="宋体" w:hAnsi="宋体"/>
                <w:szCs w:val="21"/>
              </w:rPr>
            </w:pPr>
          </w:p>
        </w:tc>
        <w:tc>
          <w:tcPr>
            <w:tcW w:w="1418" w:type="dxa"/>
          </w:tcPr>
          <w:p>
            <w:pPr>
              <w:jc w:val="center"/>
              <w:rPr>
                <w:rFonts w:ascii="宋体" w:hAnsi="宋体"/>
                <w:szCs w:val="21"/>
              </w:rPr>
            </w:pPr>
          </w:p>
        </w:tc>
        <w:tc>
          <w:tcPr>
            <w:tcW w:w="1417" w:type="dxa"/>
          </w:tcPr>
          <w:p>
            <w:pPr>
              <w:jc w:val="center"/>
              <w:rPr>
                <w:rFonts w:ascii="宋体" w:hAnsi="宋体"/>
                <w:szCs w:val="21"/>
              </w:rPr>
            </w:pPr>
          </w:p>
        </w:tc>
        <w:tc>
          <w:tcPr>
            <w:tcW w:w="1518"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7"/>
          </w:tcPr>
          <w:p>
            <w:pPr>
              <w:rPr>
                <w:rFonts w:ascii="宋体" w:hAnsi="宋体"/>
                <w:szCs w:val="21"/>
              </w:rPr>
            </w:pPr>
            <w:r>
              <w:rPr>
                <w:rFonts w:hint="eastAsia" w:ascii="宋体" w:hAnsi="宋体"/>
                <w:szCs w:val="21"/>
              </w:rPr>
              <w:t>投标人备注：</w:t>
            </w:r>
          </w:p>
        </w:tc>
      </w:tr>
    </w:tbl>
    <w:p>
      <w:pPr>
        <w:spacing w:line="360" w:lineRule="auto"/>
        <w:rPr>
          <w:rFonts w:ascii="宋体" w:hAnsi="宋体"/>
          <w:szCs w:val="21"/>
        </w:rPr>
      </w:pPr>
      <w:r>
        <w:rPr>
          <w:rFonts w:hint="eastAsia" w:ascii="宋体" w:hAnsi="宋体"/>
          <w:szCs w:val="21"/>
        </w:rPr>
        <w:t>说明：表中安全管理员（资质证书）项为选填项，根据具体项目要求填写。</w:t>
      </w:r>
    </w:p>
    <w:p>
      <w:pPr>
        <w:pStyle w:val="2"/>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6" w:name="_Toc116032905"/>
      <w:r>
        <w:rPr>
          <w:rFonts w:hint="eastAsia" w:ascii="宋体" w:hAnsi="宋体"/>
          <w:szCs w:val="21"/>
        </w:rPr>
        <w:t>附件4：考察证明</w:t>
      </w:r>
      <w:r>
        <w:rPr>
          <w:rFonts w:hint="eastAsia" w:ascii="宋体" w:hAnsi="宋体"/>
          <w:color w:val="FF0000"/>
          <w:szCs w:val="21"/>
        </w:rPr>
        <w:t>（本项目不适用）</w:t>
      </w:r>
      <w:bookmarkEnd w:id="66"/>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74" w:firstLineChars="205"/>
        <w:jc w:val="left"/>
        <w:rPr>
          <w:rFonts w:ascii="仿宋" w:hAnsi="仿宋" w:eastAsia="仿宋"/>
          <w:sz w:val="28"/>
          <w:szCs w:val="28"/>
        </w:rPr>
      </w:pPr>
      <w:bookmarkStart w:id="67" w:name="_Hlk114136588"/>
      <w:r>
        <w:rPr>
          <w:rFonts w:hint="eastAsia" w:ascii="仿宋" w:hAnsi="仿宋" w:eastAsia="仿宋"/>
          <w:sz w:val="28"/>
          <w:szCs w:val="28"/>
        </w:rPr>
        <w:t>你单位已于</w:t>
      </w:r>
      <w:r>
        <w:rPr>
          <w:rFonts w:ascii="仿宋" w:hAnsi="仿宋" w:eastAsia="仿宋"/>
          <w:b/>
          <w:sz w:val="28"/>
          <w:szCs w:val="28"/>
        </w:rPr>
        <w:t>______</w:t>
      </w:r>
      <w:r>
        <w:rPr>
          <w:rFonts w:hint="eastAsia" w:ascii="仿宋" w:hAnsi="仿宋" w:eastAsia="仿宋"/>
          <w:b/>
          <w:sz w:val="28"/>
          <w:szCs w:val="28"/>
        </w:rPr>
        <w:t>年</w:t>
      </w:r>
      <w:r>
        <w:rPr>
          <w:rFonts w:ascii="仿宋" w:hAnsi="仿宋" w:eastAsia="仿宋"/>
          <w:b/>
          <w:sz w:val="28"/>
          <w:szCs w:val="28"/>
        </w:rPr>
        <w:t>__</w:t>
      </w:r>
      <w:r>
        <w:rPr>
          <w:rFonts w:hint="eastAsia" w:ascii="仿宋" w:hAnsi="仿宋" w:eastAsia="仿宋"/>
          <w:b/>
          <w:sz w:val="28"/>
          <w:szCs w:val="28"/>
        </w:rPr>
        <w:t>月</w:t>
      </w:r>
      <w:r>
        <w:rPr>
          <w:rFonts w:ascii="仿宋" w:hAnsi="仿宋" w:eastAsia="仿宋"/>
          <w:b/>
          <w:sz w:val="28"/>
          <w:szCs w:val="28"/>
        </w:rPr>
        <w:t>__</w:t>
      </w:r>
      <w:r>
        <w:rPr>
          <w:rFonts w:hint="eastAsia" w:ascii="仿宋" w:hAnsi="仿宋" w:eastAsia="仿宋"/>
          <w:b/>
          <w:sz w:val="28"/>
          <w:szCs w:val="28"/>
        </w:rPr>
        <w:t>日</w:t>
      </w:r>
      <w:r>
        <w:rPr>
          <w:rFonts w:hint="eastAsia" w:ascii="仿宋" w:hAnsi="仿宋" w:eastAsia="仿宋"/>
          <w:bCs/>
          <w:sz w:val="28"/>
          <w:szCs w:val="28"/>
        </w:rPr>
        <w:t>指派专人</w:t>
      </w:r>
      <w:r>
        <w:rPr>
          <w:rFonts w:hint="eastAsia" w:ascii="仿宋" w:hAnsi="仿宋" w:eastAsia="仿宋"/>
          <w:sz w:val="28"/>
          <w:szCs w:val="28"/>
        </w:rPr>
        <w:t>参加了招标人（深圳会展中心管理有限责任公司）关于</w:t>
      </w:r>
      <w:bookmarkStart w:id="68" w:name="_Hlk113525726"/>
      <w:r>
        <w:rPr>
          <w:rFonts w:ascii="仿宋" w:hAnsi="仿宋" w:eastAsia="仿宋"/>
          <w:b/>
          <w:sz w:val="28"/>
          <w:szCs w:val="28"/>
        </w:rPr>
        <w:t>_____</w:t>
      </w:r>
      <w:bookmarkEnd w:id="68"/>
      <w:r>
        <w:rPr>
          <w:rFonts w:ascii="仿宋" w:hAnsi="仿宋" w:eastAsia="仿宋"/>
          <w:b/>
          <w:sz w:val="28"/>
          <w:szCs w:val="28"/>
        </w:rPr>
        <w:t>_________________</w:t>
      </w:r>
      <w:r>
        <w:rPr>
          <w:rFonts w:hint="eastAsia" w:ascii="仿宋" w:hAnsi="仿宋" w:eastAsia="仿宋"/>
          <w:b/>
          <w:sz w:val="28"/>
          <w:szCs w:val="28"/>
          <w:u w:val="single"/>
        </w:rPr>
        <w:t>项目</w:t>
      </w:r>
      <w:r>
        <w:rPr>
          <w:rFonts w:hint="eastAsia" w:ascii="仿宋" w:hAnsi="仿宋" w:eastAsia="仿宋"/>
          <w:sz w:val="28"/>
          <w:szCs w:val="28"/>
        </w:rPr>
        <w:t>的现场考察，详细听取了招标人的讲解和要求，已经知晓招标人本次项目的所有内容以及技术要求等。</w:t>
      </w:r>
    </w:p>
    <w:bookmarkEnd w:id="67"/>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9" w:name="_Toc116032906"/>
      <w:r>
        <w:rPr>
          <w:rFonts w:hint="eastAsia" w:ascii="宋体" w:hAnsi="宋体"/>
          <w:szCs w:val="21"/>
        </w:rPr>
        <w:t>附件5：技术服务响应/偏离表</w:t>
      </w:r>
      <w:bookmarkEnd w:id="6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0" w:name="_Toc211248418"/>
      <w:r>
        <w:rPr>
          <w:rFonts w:hint="eastAsia" w:ascii="方正小标宋_GBK" w:hAnsi="方正小标宋_GBK" w:eastAsia="方正小标宋_GBK"/>
          <w:b/>
          <w:sz w:val="32"/>
          <w:szCs w:val="32"/>
        </w:rPr>
        <w:t>技术服务响应/偏离表</w:t>
      </w:r>
      <w:bookmarkEnd w:id="70"/>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w:t>
      </w:r>
      <w:r>
        <w:rPr>
          <w:rFonts w:ascii="仿宋" w:hAnsi="仿宋" w:eastAsia="仿宋"/>
          <w:color w:val="FF0000"/>
          <w:sz w:val="28"/>
          <w:szCs w:val="28"/>
        </w:rPr>
        <w:t>不可偏离</w:t>
      </w:r>
      <w:r>
        <w:rPr>
          <w:rFonts w:hint="eastAsia" w:ascii="仿宋" w:hAnsi="仿宋" w:eastAsia="仿宋"/>
          <w:color w:val="FF0000"/>
          <w:sz w:val="28"/>
          <w:szCs w:val="28"/>
        </w:rPr>
        <w:t>项</w:t>
      </w:r>
      <w:r>
        <w:rPr>
          <w:rFonts w:hint="eastAsia" w:ascii="仿宋" w:hAnsi="仿宋" w:eastAsia="仿宋"/>
          <w:sz w:val="28"/>
          <w:szCs w:val="28"/>
        </w:rPr>
        <w:t>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文件不能通过不可偏离</w:t>
      </w:r>
      <w:r>
        <w:rPr>
          <w:rFonts w:hint="eastAsia" w:ascii="仿宋" w:hAnsi="仿宋" w:eastAsia="仿宋"/>
          <w:color w:val="FF0000"/>
          <w:sz w:val="28"/>
          <w:szCs w:val="28"/>
        </w:rPr>
        <w:t>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响应结果优于（或高于）本项目需求的，可在《说明》栏中作出优于（或高于）本项目需求的具体说明。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1"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1"/>
      <w:bookmarkStart w:id="72" w:name="_Toc246480945"/>
      <w:bookmarkStart w:id="73" w:name="_Toc236803114"/>
      <w:r>
        <w:rPr>
          <w:rFonts w:ascii="仿宋" w:hAnsi="仿宋" w:eastAsia="仿宋"/>
          <w:sz w:val="28"/>
          <w:szCs w:val="28"/>
        </w:rPr>
        <w:br w:type="page"/>
      </w:r>
    </w:p>
    <w:p>
      <w:pPr>
        <w:spacing w:line="0" w:lineRule="atLeast"/>
        <w:outlineLvl w:val="1"/>
        <w:rPr>
          <w:rFonts w:ascii="宋体" w:hAnsi="宋体"/>
          <w:szCs w:val="21"/>
        </w:rPr>
      </w:pPr>
      <w:bookmarkStart w:id="74" w:name="_Toc116032907"/>
      <w:r>
        <w:rPr>
          <w:rFonts w:hint="eastAsia" w:ascii="宋体" w:hAnsi="宋体"/>
          <w:szCs w:val="21"/>
        </w:rPr>
        <w:t>附件6：商务条款响应/偏离表</w:t>
      </w:r>
      <w:bookmarkEnd w:id="72"/>
      <w:bookmarkEnd w:id="73"/>
      <w:bookmarkEnd w:id="7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5" w:name="_Toc211248420"/>
      <w:r>
        <w:rPr>
          <w:rFonts w:hint="eastAsia" w:ascii="方正小标宋_GBK" w:hAnsi="方正小标宋_GBK" w:eastAsia="方正小标宋_GBK"/>
          <w:b/>
          <w:sz w:val="32"/>
          <w:szCs w:val="32"/>
        </w:rPr>
        <w:t>商务条款响应/偏离表</w:t>
      </w:r>
      <w:bookmarkEnd w:id="75"/>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w:t>
      </w:r>
      <w:r>
        <w:rPr>
          <w:rFonts w:ascii="仿宋" w:hAnsi="仿宋" w:eastAsia="仿宋"/>
          <w:color w:val="FF0000"/>
          <w:sz w:val="28"/>
          <w:szCs w:val="28"/>
        </w:rPr>
        <w:t>不可偏离</w:t>
      </w:r>
      <w:r>
        <w:rPr>
          <w:rFonts w:hint="eastAsia" w:ascii="仿宋" w:hAnsi="仿宋" w:eastAsia="仿宋"/>
          <w:color w:val="FF0000"/>
          <w:sz w:val="28"/>
          <w:szCs w:val="28"/>
        </w:rPr>
        <w:t>项</w:t>
      </w:r>
      <w:r>
        <w:rPr>
          <w:rFonts w:hint="eastAsia" w:ascii="仿宋" w:hAnsi="仿宋" w:eastAsia="仿宋"/>
          <w:sz w:val="28"/>
          <w:szCs w:val="28"/>
        </w:rPr>
        <w:t>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文件不能通过不可偏离</w:t>
      </w:r>
      <w:r>
        <w:rPr>
          <w:rFonts w:hint="eastAsia" w:ascii="仿宋" w:hAnsi="仿宋" w:eastAsia="仿宋"/>
          <w:color w:val="FF0000"/>
          <w:sz w:val="28"/>
          <w:szCs w:val="28"/>
        </w:rPr>
        <w:t>项</w:t>
      </w:r>
      <w:r>
        <w:rPr>
          <w:rFonts w:ascii="仿宋" w:hAnsi="仿宋" w:eastAsia="仿宋"/>
          <w:color w:val="FF0000"/>
          <w:sz w:val="28"/>
          <w:szCs w:val="28"/>
        </w:rPr>
        <w:t>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响应结果优于（或高于）本项目需求的，可在《说明》栏中作出优于（或高于）本项目需求的具体说明。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6" w:name="_Toc478387764"/>
      <w:bookmarkStart w:id="77" w:name="_Toc236803111"/>
      <w:bookmarkStart w:id="78" w:name="_Toc395883088"/>
      <w:r>
        <w:rPr>
          <w:rFonts w:ascii="仿宋" w:hAnsi="仿宋" w:eastAsia="仿宋"/>
          <w:sz w:val="28"/>
          <w:szCs w:val="28"/>
        </w:rPr>
        <w:br w:type="page"/>
      </w:r>
    </w:p>
    <w:p>
      <w:pPr>
        <w:spacing w:line="0" w:lineRule="atLeast"/>
        <w:outlineLvl w:val="1"/>
        <w:rPr>
          <w:rFonts w:ascii="宋体" w:hAnsi="宋体"/>
          <w:szCs w:val="21"/>
        </w:rPr>
      </w:pPr>
      <w:bookmarkStart w:id="79" w:name="_Toc116032908"/>
      <w:r>
        <w:rPr>
          <w:rFonts w:hint="eastAsia" w:ascii="宋体" w:hAnsi="宋体"/>
          <w:szCs w:val="21"/>
        </w:rPr>
        <w:t>附件7：报价一览表（货物）</w:t>
      </w:r>
      <w:r>
        <w:rPr>
          <w:rFonts w:hint="eastAsia" w:ascii="宋体" w:hAnsi="宋体"/>
          <w:color w:val="FF0000"/>
          <w:szCs w:val="21"/>
        </w:rPr>
        <w:t>（本项目不适用）</w:t>
      </w:r>
      <w:bookmarkEnd w:id="79"/>
    </w:p>
    <w:bookmarkEnd w:id="76"/>
    <w:bookmarkEnd w:id="77"/>
    <w:bookmarkEnd w:id="78"/>
    <w:p>
      <w:pPr>
        <w:spacing w:before="120" w:after="240"/>
        <w:jc w:val="center"/>
        <w:rPr>
          <w:rFonts w:ascii="宋体" w:hAnsi="宋体"/>
          <w:b/>
          <w:sz w:val="32"/>
          <w:szCs w:val="32"/>
        </w:rPr>
      </w:pPr>
      <w:bookmarkStart w:id="80" w:name="_Toc211248412"/>
      <w:r>
        <w:rPr>
          <w:rFonts w:hint="eastAsia" w:ascii="方正小标宋_GBK" w:hAnsi="方正小标宋_GBK" w:eastAsia="方正小标宋_GBK"/>
          <w:b/>
          <w:sz w:val="32"/>
          <w:szCs w:val="32"/>
        </w:rPr>
        <w:t>报价一览表</w:t>
      </w:r>
      <w:bookmarkEnd w:id="80"/>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29"/>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29"/>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2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2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1" w:name="_Toc82359026"/>
      <w:bookmarkStart w:id="82"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81"/>
    <w:bookmarkEnd w:id="82"/>
    <w:p>
      <w:pPr>
        <w:spacing w:line="0" w:lineRule="atLeast"/>
        <w:outlineLvl w:val="1"/>
        <w:rPr>
          <w:rFonts w:ascii="宋体" w:hAnsi="宋体"/>
          <w:szCs w:val="21"/>
        </w:rPr>
      </w:pPr>
      <w:bookmarkStart w:id="83" w:name="_Toc116032909"/>
      <w:r>
        <w:rPr>
          <w:rFonts w:hint="eastAsia" w:ascii="宋体" w:hAnsi="宋体"/>
          <w:szCs w:val="21"/>
        </w:rPr>
        <w:t>附件8：报价一览表（服务）</w:t>
      </w:r>
      <w:bookmarkEnd w:id="83"/>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3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3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30"/>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4" w:name="_Toc116032910"/>
      <w:r>
        <w:rPr>
          <w:rFonts w:hint="eastAsia" w:ascii="宋体" w:hAnsi="宋体"/>
          <w:szCs w:val="21"/>
        </w:rPr>
        <w:t>附件9：报价一览表（工程）</w:t>
      </w:r>
      <w:r>
        <w:rPr>
          <w:rFonts w:hint="eastAsia" w:ascii="宋体" w:hAnsi="宋体"/>
          <w:color w:val="FF0000"/>
          <w:szCs w:val="21"/>
        </w:rPr>
        <w:t>（本项目不适用）</w:t>
      </w:r>
      <w:bookmarkEnd w:id="84"/>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31"/>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31"/>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31"/>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31"/>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5" w:name="_Toc116032911"/>
      <w:r>
        <w:rPr>
          <w:rFonts w:hint="eastAsia" w:ascii="宋体" w:hAnsi="宋体"/>
          <w:szCs w:val="21"/>
        </w:rPr>
        <w:t>附件10：法定代表人证明书</w:t>
      </w:r>
      <w:bookmarkEnd w:id="8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6" w:name="_Toc116032912"/>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6"/>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87" w:name="_Toc116032913"/>
      <w:r>
        <w:rPr>
          <w:rFonts w:hint="eastAsia" w:ascii="宋体" w:hAnsi="宋体"/>
          <w:szCs w:val="21"/>
        </w:rPr>
        <w:t>附件</w:t>
      </w:r>
      <w:r>
        <w:rPr>
          <w:rFonts w:ascii="宋体" w:hAnsi="宋体"/>
          <w:szCs w:val="21"/>
        </w:rPr>
        <w:t>1</w:t>
      </w:r>
      <w:r>
        <w:rPr>
          <w:rFonts w:hint="eastAsia" w:ascii="宋体" w:hAnsi="宋体"/>
          <w:szCs w:val="21"/>
        </w:rPr>
        <w:t>2：经营业绩一览表</w:t>
      </w:r>
      <w:bookmarkEnd w:id="87"/>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8" w:name="_Toc116032914"/>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8"/>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9" w:name="_Toc32341"/>
      <w:r>
        <w:rPr>
          <w:rFonts w:ascii="仿宋" w:hAnsi="仿宋" w:eastAsia="仿宋"/>
          <w:sz w:val="28"/>
          <w:szCs w:val="28"/>
        </w:rPr>
        <w:br w:type="page"/>
      </w:r>
    </w:p>
    <w:p>
      <w:pPr>
        <w:spacing w:line="0" w:lineRule="atLeast"/>
        <w:outlineLvl w:val="1"/>
        <w:rPr>
          <w:rFonts w:ascii="宋体" w:hAnsi="宋体"/>
          <w:szCs w:val="21"/>
        </w:rPr>
      </w:pPr>
      <w:bookmarkStart w:id="90" w:name="_Toc116032915"/>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9"/>
      <w:bookmarkEnd w:id="90"/>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91" w:name="_Toc100848654"/>
      <w:bookmarkStart w:id="92" w:name="_Toc116032916"/>
      <w:r>
        <w:rPr>
          <w:rFonts w:hint="eastAsia" w:ascii="宋体" w:hAnsi="宋体"/>
        </w:rPr>
        <w:t>附件15：投标文件密码</w:t>
      </w:r>
      <w:bookmarkEnd w:id="91"/>
      <w:r>
        <w:rPr>
          <w:rFonts w:hint="eastAsia" w:ascii="宋体" w:hAnsi="宋体"/>
        </w:rPr>
        <w:t>单</w:t>
      </w:r>
      <w:bookmarkEnd w:id="92"/>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3"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3"/>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4"/>
        </w:rPr>
      </w:pPr>
      <w:r>
        <w:rPr>
          <w:rFonts w:hint="eastAsia" w:ascii="仿宋" w:hAnsi="仿宋" w:eastAsia="仿宋"/>
          <w:b/>
          <w:color w:val="FF0000"/>
          <w:sz w:val="24"/>
        </w:rPr>
        <w:t>【特别注意】</w:t>
      </w:r>
    </w:p>
    <w:p>
      <w:pPr>
        <w:pStyle w:val="12"/>
        <w:numPr>
          <w:ilvl w:val="0"/>
          <w:numId w:val="34"/>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2"/>
        <w:numPr>
          <w:ilvl w:val="0"/>
          <w:numId w:val="34"/>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2"/>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A2548"/>
    <w:multiLevelType w:val="singleLevel"/>
    <w:tmpl w:val="876A2548"/>
    <w:lvl w:ilvl="0" w:tentative="0">
      <w:start w:val="1"/>
      <w:numFmt w:val="decimal"/>
      <w:suff w:val="nothing"/>
      <w:lvlText w:val="（%1）"/>
      <w:lvlJc w:val="left"/>
    </w:lvl>
  </w:abstractNum>
  <w:abstractNum w:abstractNumId="1">
    <w:nsid w:val="A2281775"/>
    <w:multiLevelType w:val="singleLevel"/>
    <w:tmpl w:val="A2281775"/>
    <w:lvl w:ilvl="0" w:tentative="0">
      <w:start w:val="1"/>
      <w:numFmt w:val="decimal"/>
      <w:suff w:val="space"/>
      <w:lvlText w:val="%1."/>
      <w:lvlJc w:val="left"/>
    </w:lvl>
  </w:abstractNum>
  <w:abstractNum w:abstractNumId="2">
    <w:nsid w:val="B110B096"/>
    <w:multiLevelType w:val="singleLevel"/>
    <w:tmpl w:val="B110B096"/>
    <w:lvl w:ilvl="0" w:tentative="0">
      <w:start w:val="1"/>
      <w:numFmt w:val="decimal"/>
      <w:lvlText w:val="(%1)"/>
      <w:lvlJc w:val="left"/>
      <w:pPr>
        <w:ind w:left="425" w:hanging="425"/>
      </w:pPr>
      <w:rPr>
        <w:rFonts w:hint="default"/>
      </w:rPr>
    </w:lvl>
  </w:abstractNum>
  <w:abstractNum w:abstractNumId="3">
    <w:nsid w:val="C4C73C40"/>
    <w:multiLevelType w:val="singleLevel"/>
    <w:tmpl w:val="C4C73C40"/>
    <w:lvl w:ilvl="0" w:tentative="0">
      <w:start w:val="1"/>
      <w:numFmt w:val="decimal"/>
      <w:suff w:val="nothing"/>
      <w:lvlText w:val="（%1）"/>
      <w:lvlJc w:val="left"/>
      <w:pPr>
        <w:ind w:left="0"/>
      </w:pPr>
      <w:rPr>
        <w:color w:val="auto"/>
      </w:rPr>
    </w:lvl>
  </w:abstractNum>
  <w:abstractNum w:abstractNumId="4">
    <w:nsid w:val="CA690857"/>
    <w:multiLevelType w:val="singleLevel"/>
    <w:tmpl w:val="CA690857"/>
    <w:lvl w:ilvl="0" w:tentative="0">
      <w:start w:val="1"/>
      <w:numFmt w:val="decimal"/>
      <w:lvlText w:val="（%1）"/>
      <w:lvlJc w:val="left"/>
      <w:pPr>
        <w:ind w:left="420" w:hanging="420"/>
      </w:pPr>
      <w:rPr>
        <w:rFonts w:hint="eastAsia"/>
      </w:rPr>
    </w:lvl>
  </w:abstractNum>
  <w:abstractNum w:abstractNumId="5">
    <w:nsid w:val="D3051835"/>
    <w:multiLevelType w:val="singleLevel"/>
    <w:tmpl w:val="D3051835"/>
    <w:lvl w:ilvl="0" w:tentative="0">
      <w:start w:val="1"/>
      <w:numFmt w:val="decimal"/>
      <w:suff w:val="space"/>
      <w:lvlText w:val="%1."/>
      <w:lvlJc w:val="left"/>
    </w:lvl>
  </w:abstractNum>
  <w:abstractNum w:abstractNumId="6">
    <w:nsid w:val="DAA5A57F"/>
    <w:multiLevelType w:val="singleLevel"/>
    <w:tmpl w:val="DAA5A57F"/>
    <w:lvl w:ilvl="0" w:tentative="0">
      <w:start w:val="1"/>
      <w:numFmt w:val="decimal"/>
      <w:suff w:val="space"/>
      <w:lvlText w:val="%1."/>
      <w:lvlJc w:val="left"/>
    </w:lvl>
  </w:abstractNum>
  <w:abstractNum w:abstractNumId="7">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3"/>
    <w:multiLevelType w:val="singleLevel"/>
    <w:tmpl w:val="00000013"/>
    <w:lvl w:ilvl="0" w:tentative="0">
      <w:start w:val="1"/>
      <w:numFmt w:val="decimal"/>
      <w:lvlText w:val="%1."/>
      <w:lvlJc w:val="left"/>
      <w:pPr>
        <w:ind w:left="420" w:hanging="420"/>
      </w:pPr>
    </w:lvl>
  </w:abstractNum>
  <w:abstractNum w:abstractNumId="11">
    <w:nsid w:val="05954CD2"/>
    <w:multiLevelType w:val="multilevel"/>
    <w:tmpl w:val="05954CD2"/>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0680BFA"/>
    <w:multiLevelType w:val="singleLevel"/>
    <w:tmpl w:val="10680BFA"/>
    <w:lvl w:ilvl="0" w:tentative="0">
      <w:start w:val="1"/>
      <w:numFmt w:val="decimal"/>
      <w:suff w:val="nothing"/>
      <w:lvlText w:val="（%1）"/>
      <w:lvlJc w:val="left"/>
    </w:lvl>
  </w:abstractNum>
  <w:abstractNum w:abstractNumId="13">
    <w:nsid w:val="17164C4C"/>
    <w:multiLevelType w:val="singleLevel"/>
    <w:tmpl w:val="17164C4C"/>
    <w:lvl w:ilvl="0" w:tentative="0">
      <w:start w:val="1"/>
      <w:numFmt w:val="decimal"/>
      <w:lvlText w:val="（%1）"/>
      <w:lvlJc w:val="left"/>
      <w:pPr>
        <w:ind w:left="420" w:hanging="420"/>
      </w:pPr>
      <w:rPr>
        <w:rFonts w:hint="eastAsia"/>
        <w:color w:val="auto"/>
      </w:rPr>
    </w:lvl>
  </w:abstractNum>
  <w:abstractNum w:abstractNumId="14">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6">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1305886"/>
    <w:multiLevelType w:val="singleLevel"/>
    <w:tmpl w:val="21305886"/>
    <w:lvl w:ilvl="0" w:tentative="0">
      <w:start w:val="1"/>
      <w:numFmt w:val="decimal"/>
      <w:lvlText w:val="（%1）"/>
      <w:lvlJc w:val="left"/>
      <w:pPr>
        <w:ind w:left="420" w:hanging="420"/>
      </w:pPr>
      <w:rPr>
        <w:rFonts w:hint="eastAsia"/>
        <w:color w:val="auto"/>
      </w:rPr>
    </w:lvl>
  </w:abstractNum>
  <w:abstractNum w:abstractNumId="18">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8E10C89"/>
    <w:multiLevelType w:val="singleLevel"/>
    <w:tmpl w:val="28E10C89"/>
    <w:lvl w:ilvl="0" w:tentative="0">
      <w:start w:val="1"/>
      <w:numFmt w:val="decimal"/>
      <w:suff w:val="space"/>
      <w:lvlText w:val="%1."/>
      <w:lvlJc w:val="left"/>
    </w:lvl>
  </w:abstractNum>
  <w:abstractNum w:abstractNumId="20">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5">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6">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7">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9">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0">
    <w:nsid w:val="7B4A4E0C"/>
    <w:multiLevelType w:val="singleLevel"/>
    <w:tmpl w:val="7B4A4E0C"/>
    <w:lvl w:ilvl="0" w:tentative="0">
      <w:start w:val="1"/>
      <w:numFmt w:val="decimal"/>
      <w:lvlText w:val="（%1）"/>
      <w:lvlJc w:val="left"/>
      <w:pPr>
        <w:ind w:left="420" w:hanging="420"/>
      </w:pPr>
      <w:rPr>
        <w:rFonts w:hint="default"/>
        <w:color w:val="auto"/>
      </w:rPr>
    </w:lvl>
  </w:abstractNum>
  <w:abstractNum w:abstractNumId="31">
    <w:nsid w:val="7ED17433"/>
    <w:multiLevelType w:val="singleLevel"/>
    <w:tmpl w:val="7ED17433"/>
    <w:lvl w:ilvl="0" w:tentative="0">
      <w:start w:val="1"/>
      <w:numFmt w:val="decimal"/>
      <w:lvlText w:val="（%1）"/>
      <w:lvlJc w:val="left"/>
      <w:pPr>
        <w:ind w:left="420" w:hanging="420"/>
      </w:pPr>
      <w:rPr>
        <w:rFonts w:hint="eastAsia"/>
      </w:rPr>
    </w:lvl>
  </w:abstractNum>
  <w:abstractNum w:abstractNumId="32">
    <w:nsid w:val="7F6F0C52"/>
    <w:multiLevelType w:val="singleLevel"/>
    <w:tmpl w:val="7F6F0C52"/>
    <w:lvl w:ilvl="0" w:tentative="0">
      <w:start w:val="1"/>
      <w:numFmt w:val="decimal"/>
      <w:lvlText w:val="（%1）"/>
      <w:lvlJc w:val="left"/>
      <w:pPr>
        <w:ind w:left="420" w:hanging="420"/>
      </w:pPr>
      <w:rPr>
        <w:rFonts w:hint="eastAsia"/>
        <w:color w:val="auto"/>
      </w:rPr>
    </w:lvl>
  </w:abstractNum>
  <w:num w:numId="1">
    <w:abstractNumId w:val="26"/>
  </w:num>
  <w:num w:numId="2">
    <w:abstractNumId w:val="29"/>
  </w:num>
  <w:num w:numId="3">
    <w:abstractNumId w:val="22"/>
  </w:num>
  <w:num w:numId="4">
    <w:abstractNumId w:val="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7"/>
  </w:num>
  <w:num w:numId="8">
    <w:abstractNumId w:val="23"/>
  </w:num>
  <w:num w:numId="9">
    <w:abstractNumId w:val="14"/>
  </w:num>
  <w:num w:numId="10">
    <w:abstractNumId w:val="30"/>
  </w:num>
  <w:num w:numId="11">
    <w:abstractNumId w:val="31"/>
  </w:num>
  <w:num w:numId="12">
    <w:abstractNumId w:val="17"/>
  </w:num>
  <w:num w:numId="13">
    <w:abstractNumId w:val="13"/>
  </w:num>
  <w:num w:numId="14">
    <w:abstractNumId w:val="32"/>
  </w:num>
  <w:num w:numId="15">
    <w:abstractNumId w:val="3"/>
  </w:num>
  <w:num w:numId="16">
    <w:abstractNumId w:val="0"/>
  </w:num>
  <w:num w:numId="17">
    <w:abstractNumId w:val="12"/>
  </w:num>
  <w:num w:numId="18">
    <w:abstractNumId w:val="5"/>
  </w:num>
  <w:num w:numId="19">
    <w:abstractNumId w:val="19"/>
  </w:num>
  <w:num w:numId="20">
    <w:abstractNumId w:val="9"/>
  </w:num>
  <w:num w:numId="21">
    <w:abstractNumId w:val="16"/>
  </w:num>
  <w:num w:numId="22">
    <w:abstractNumId w:val="11"/>
  </w:num>
  <w:num w:numId="23">
    <w:abstractNumId w:val="21"/>
  </w:num>
  <w:num w:numId="24">
    <w:abstractNumId w:val="2"/>
  </w:num>
  <w:num w:numId="25">
    <w:abstractNumId w:val="1"/>
  </w:num>
  <w:num w:numId="26">
    <w:abstractNumId w:val="6"/>
  </w:num>
  <w:num w:numId="27">
    <w:abstractNumId w:val="8"/>
  </w:num>
  <w:num w:numId="28">
    <w:abstractNumId w:val="7"/>
  </w:num>
  <w:num w:numId="29">
    <w:abstractNumId w:val="28"/>
  </w:num>
  <w:num w:numId="30">
    <w:abstractNumId w:val="24"/>
  </w:num>
  <w:num w:numId="31">
    <w:abstractNumId w:val="20"/>
  </w:num>
  <w:num w:numId="32">
    <w:abstractNumId w:val="10"/>
  </w:num>
  <w:num w:numId="33">
    <w:abstractNumId w:val="2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mYjFkZjgxMmUyNTgwNTgwZmM0NTZjZWVlOGY5OWMifQ=="/>
  </w:docVars>
  <w:rsids>
    <w:rsidRoot w:val="007C50B2"/>
    <w:rsid w:val="000062A6"/>
    <w:rsid w:val="000071F5"/>
    <w:rsid w:val="000109CF"/>
    <w:rsid w:val="0001408F"/>
    <w:rsid w:val="00020D3D"/>
    <w:rsid w:val="0002431D"/>
    <w:rsid w:val="000262A2"/>
    <w:rsid w:val="00030114"/>
    <w:rsid w:val="00030ED4"/>
    <w:rsid w:val="0005325D"/>
    <w:rsid w:val="0006307A"/>
    <w:rsid w:val="00067D0F"/>
    <w:rsid w:val="00071803"/>
    <w:rsid w:val="00074350"/>
    <w:rsid w:val="00074891"/>
    <w:rsid w:val="00077160"/>
    <w:rsid w:val="00080360"/>
    <w:rsid w:val="00086D43"/>
    <w:rsid w:val="00093F3A"/>
    <w:rsid w:val="00095512"/>
    <w:rsid w:val="000A2942"/>
    <w:rsid w:val="000A2D3B"/>
    <w:rsid w:val="000B02A3"/>
    <w:rsid w:val="000B0BCA"/>
    <w:rsid w:val="000B137B"/>
    <w:rsid w:val="000C0416"/>
    <w:rsid w:val="000C22AC"/>
    <w:rsid w:val="000C45B3"/>
    <w:rsid w:val="000C7053"/>
    <w:rsid w:val="000D5EB6"/>
    <w:rsid w:val="000E3E7C"/>
    <w:rsid w:val="000E6459"/>
    <w:rsid w:val="000E6C7A"/>
    <w:rsid w:val="000F16F8"/>
    <w:rsid w:val="000F23B0"/>
    <w:rsid w:val="001013D0"/>
    <w:rsid w:val="00102EB4"/>
    <w:rsid w:val="001052B4"/>
    <w:rsid w:val="001107A5"/>
    <w:rsid w:val="001108C8"/>
    <w:rsid w:val="00112AB5"/>
    <w:rsid w:val="001207D2"/>
    <w:rsid w:val="001238C4"/>
    <w:rsid w:val="00124422"/>
    <w:rsid w:val="0012732B"/>
    <w:rsid w:val="0013213B"/>
    <w:rsid w:val="001356BD"/>
    <w:rsid w:val="00135E82"/>
    <w:rsid w:val="0013663B"/>
    <w:rsid w:val="00137AB2"/>
    <w:rsid w:val="00141B72"/>
    <w:rsid w:val="001427DC"/>
    <w:rsid w:val="0014532B"/>
    <w:rsid w:val="001555B9"/>
    <w:rsid w:val="00162AA4"/>
    <w:rsid w:val="0017163D"/>
    <w:rsid w:val="001723D2"/>
    <w:rsid w:val="00174846"/>
    <w:rsid w:val="00176F93"/>
    <w:rsid w:val="00180E0D"/>
    <w:rsid w:val="00183C2F"/>
    <w:rsid w:val="00192174"/>
    <w:rsid w:val="00194013"/>
    <w:rsid w:val="001959E5"/>
    <w:rsid w:val="001978B2"/>
    <w:rsid w:val="001A282A"/>
    <w:rsid w:val="001A6C5B"/>
    <w:rsid w:val="001C1754"/>
    <w:rsid w:val="001D3243"/>
    <w:rsid w:val="001D624F"/>
    <w:rsid w:val="001D70C3"/>
    <w:rsid w:val="001E204B"/>
    <w:rsid w:val="001E44D2"/>
    <w:rsid w:val="001E7BD5"/>
    <w:rsid w:val="001F14F2"/>
    <w:rsid w:val="001F279E"/>
    <w:rsid w:val="002013F4"/>
    <w:rsid w:val="0020628E"/>
    <w:rsid w:val="00206999"/>
    <w:rsid w:val="00211CB5"/>
    <w:rsid w:val="0022465E"/>
    <w:rsid w:val="002254B9"/>
    <w:rsid w:val="00233E0E"/>
    <w:rsid w:val="0024103D"/>
    <w:rsid w:val="00252697"/>
    <w:rsid w:val="00253531"/>
    <w:rsid w:val="00253698"/>
    <w:rsid w:val="00287318"/>
    <w:rsid w:val="0028768E"/>
    <w:rsid w:val="00292E63"/>
    <w:rsid w:val="002963F2"/>
    <w:rsid w:val="0029785B"/>
    <w:rsid w:val="002A1539"/>
    <w:rsid w:val="002A1B14"/>
    <w:rsid w:val="002B6644"/>
    <w:rsid w:val="002B743A"/>
    <w:rsid w:val="002C467A"/>
    <w:rsid w:val="002C49F2"/>
    <w:rsid w:val="002C6CE3"/>
    <w:rsid w:val="002D272E"/>
    <w:rsid w:val="002E49CA"/>
    <w:rsid w:val="0030665F"/>
    <w:rsid w:val="003158DE"/>
    <w:rsid w:val="0032368E"/>
    <w:rsid w:val="00324B40"/>
    <w:rsid w:val="003255E6"/>
    <w:rsid w:val="003300CC"/>
    <w:rsid w:val="00331C93"/>
    <w:rsid w:val="00332D3A"/>
    <w:rsid w:val="0033627E"/>
    <w:rsid w:val="00337D03"/>
    <w:rsid w:val="003414A4"/>
    <w:rsid w:val="003436BC"/>
    <w:rsid w:val="00354484"/>
    <w:rsid w:val="003545D1"/>
    <w:rsid w:val="00356F92"/>
    <w:rsid w:val="00361437"/>
    <w:rsid w:val="0037387E"/>
    <w:rsid w:val="0037679F"/>
    <w:rsid w:val="003823A8"/>
    <w:rsid w:val="003825BB"/>
    <w:rsid w:val="0038567E"/>
    <w:rsid w:val="00394718"/>
    <w:rsid w:val="00397C1E"/>
    <w:rsid w:val="003A092F"/>
    <w:rsid w:val="003A09E6"/>
    <w:rsid w:val="003A7D3D"/>
    <w:rsid w:val="003B01FB"/>
    <w:rsid w:val="003B2910"/>
    <w:rsid w:val="003C1B7F"/>
    <w:rsid w:val="003C2023"/>
    <w:rsid w:val="003C4925"/>
    <w:rsid w:val="003C5851"/>
    <w:rsid w:val="003D0358"/>
    <w:rsid w:val="003E07BE"/>
    <w:rsid w:val="003E600C"/>
    <w:rsid w:val="003E6092"/>
    <w:rsid w:val="003E66A3"/>
    <w:rsid w:val="003E7621"/>
    <w:rsid w:val="003F1E01"/>
    <w:rsid w:val="004235D9"/>
    <w:rsid w:val="00427D5D"/>
    <w:rsid w:val="0043744F"/>
    <w:rsid w:val="00441F17"/>
    <w:rsid w:val="00460C20"/>
    <w:rsid w:val="00462767"/>
    <w:rsid w:val="0047050F"/>
    <w:rsid w:val="004707D2"/>
    <w:rsid w:val="00471ED2"/>
    <w:rsid w:val="00472157"/>
    <w:rsid w:val="00476C96"/>
    <w:rsid w:val="004775EE"/>
    <w:rsid w:val="00484BC8"/>
    <w:rsid w:val="00492F1D"/>
    <w:rsid w:val="004957C8"/>
    <w:rsid w:val="004A0594"/>
    <w:rsid w:val="004A0D6B"/>
    <w:rsid w:val="004A1537"/>
    <w:rsid w:val="004A7C1F"/>
    <w:rsid w:val="004B0D64"/>
    <w:rsid w:val="004B24F9"/>
    <w:rsid w:val="004B3FCC"/>
    <w:rsid w:val="004D1901"/>
    <w:rsid w:val="004D58FC"/>
    <w:rsid w:val="004D5AC3"/>
    <w:rsid w:val="004D6F70"/>
    <w:rsid w:val="004E0FE9"/>
    <w:rsid w:val="004E3802"/>
    <w:rsid w:val="004E3A19"/>
    <w:rsid w:val="004E40C8"/>
    <w:rsid w:val="004E4541"/>
    <w:rsid w:val="004E7657"/>
    <w:rsid w:val="004F2ED2"/>
    <w:rsid w:val="004F63E5"/>
    <w:rsid w:val="00506B6D"/>
    <w:rsid w:val="005158DD"/>
    <w:rsid w:val="00522C45"/>
    <w:rsid w:val="00532D2C"/>
    <w:rsid w:val="00544B6E"/>
    <w:rsid w:val="00550A0A"/>
    <w:rsid w:val="00553D89"/>
    <w:rsid w:val="0055653B"/>
    <w:rsid w:val="00560365"/>
    <w:rsid w:val="00563DE3"/>
    <w:rsid w:val="00563FD4"/>
    <w:rsid w:val="00565EDC"/>
    <w:rsid w:val="00566C7E"/>
    <w:rsid w:val="00580464"/>
    <w:rsid w:val="005815FC"/>
    <w:rsid w:val="00583B7D"/>
    <w:rsid w:val="0059757D"/>
    <w:rsid w:val="005A26F8"/>
    <w:rsid w:val="005A315A"/>
    <w:rsid w:val="005A3CFB"/>
    <w:rsid w:val="005A480E"/>
    <w:rsid w:val="005B03C2"/>
    <w:rsid w:val="005B1413"/>
    <w:rsid w:val="005B1453"/>
    <w:rsid w:val="005B328D"/>
    <w:rsid w:val="005B3635"/>
    <w:rsid w:val="005C082C"/>
    <w:rsid w:val="005C5034"/>
    <w:rsid w:val="005D123F"/>
    <w:rsid w:val="005D7EDB"/>
    <w:rsid w:val="005E43D8"/>
    <w:rsid w:val="005E4792"/>
    <w:rsid w:val="005F06C1"/>
    <w:rsid w:val="005F16B3"/>
    <w:rsid w:val="005F1C1D"/>
    <w:rsid w:val="005F71F0"/>
    <w:rsid w:val="00603E64"/>
    <w:rsid w:val="00604C0B"/>
    <w:rsid w:val="00606010"/>
    <w:rsid w:val="00611166"/>
    <w:rsid w:val="006115F6"/>
    <w:rsid w:val="00613B35"/>
    <w:rsid w:val="00621681"/>
    <w:rsid w:val="00630585"/>
    <w:rsid w:val="006311FC"/>
    <w:rsid w:val="00632039"/>
    <w:rsid w:val="006333BC"/>
    <w:rsid w:val="00637419"/>
    <w:rsid w:val="006434F4"/>
    <w:rsid w:val="006446CA"/>
    <w:rsid w:val="00650C17"/>
    <w:rsid w:val="00652A7E"/>
    <w:rsid w:val="006635D2"/>
    <w:rsid w:val="00664471"/>
    <w:rsid w:val="00664704"/>
    <w:rsid w:val="006746A0"/>
    <w:rsid w:val="00681577"/>
    <w:rsid w:val="006815B1"/>
    <w:rsid w:val="00687753"/>
    <w:rsid w:val="006942FF"/>
    <w:rsid w:val="006946C5"/>
    <w:rsid w:val="006A4FED"/>
    <w:rsid w:val="006A5197"/>
    <w:rsid w:val="006B1729"/>
    <w:rsid w:val="006B1DDB"/>
    <w:rsid w:val="006B2541"/>
    <w:rsid w:val="006B3970"/>
    <w:rsid w:val="006B4923"/>
    <w:rsid w:val="006B5585"/>
    <w:rsid w:val="006B6F31"/>
    <w:rsid w:val="006C4074"/>
    <w:rsid w:val="006C659A"/>
    <w:rsid w:val="006C7266"/>
    <w:rsid w:val="006C7574"/>
    <w:rsid w:val="006D1D2F"/>
    <w:rsid w:val="006E0464"/>
    <w:rsid w:val="006E42A5"/>
    <w:rsid w:val="006E6992"/>
    <w:rsid w:val="006F0E4A"/>
    <w:rsid w:val="006F3293"/>
    <w:rsid w:val="006F44B2"/>
    <w:rsid w:val="006F62BD"/>
    <w:rsid w:val="0070433C"/>
    <w:rsid w:val="007046A6"/>
    <w:rsid w:val="00705838"/>
    <w:rsid w:val="007063A7"/>
    <w:rsid w:val="00710E60"/>
    <w:rsid w:val="007115E1"/>
    <w:rsid w:val="007141D0"/>
    <w:rsid w:val="00714F2D"/>
    <w:rsid w:val="00715AB4"/>
    <w:rsid w:val="007164D8"/>
    <w:rsid w:val="00717FB9"/>
    <w:rsid w:val="00720E34"/>
    <w:rsid w:val="00721112"/>
    <w:rsid w:val="0072402D"/>
    <w:rsid w:val="00724B30"/>
    <w:rsid w:val="007347D6"/>
    <w:rsid w:val="007542A8"/>
    <w:rsid w:val="007559E5"/>
    <w:rsid w:val="00755AED"/>
    <w:rsid w:val="0075631B"/>
    <w:rsid w:val="00760715"/>
    <w:rsid w:val="00761D95"/>
    <w:rsid w:val="007672EE"/>
    <w:rsid w:val="0076763C"/>
    <w:rsid w:val="007744CB"/>
    <w:rsid w:val="0077621A"/>
    <w:rsid w:val="00781DC4"/>
    <w:rsid w:val="00781DFA"/>
    <w:rsid w:val="00782E08"/>
    <w:rsid w:val="00790A8A"/>
    <w:rsid w:val="007933D2"/>
    <w:rsid w:val="00797C06"/>
    <w:rsid w:val="007A51EC"/>
    <w:rsid w:val="007A70AC"/>
    <w:rsid w:val="007C02CE"/>
    <w:rsid w:val="007C3EB8"/>
    <w:rsid w:val="007C50B2"/>
    <w:rsid w:val="007C62F4"/>
    <w:rsid w:val="007C7618"/>
    <w:rsid w:val="007F1367"/>
    <w:rsid w:val="007F1C7D"/>
    <w:rsid w:val="007F4D28"/>
    <w:rsid w:val="00803FA2"/>
    <w:rsid w:val="00805E7A"/>
    <w:rsid w:val="00811782"/>
    <w:rsid w:val="008117C1"/>
    <w:rsid w:val="00823E99"/>
    <w:rsid w:val="00836176"/>
    <w:rsid w:val="0084470A"/>
    <w:rsid w:val="00845DE7"/>
    <w:rsid w:val="00857F72"/>
    <w:rsid w:val="0086523F"/>
    <w:rsid w:val="0086640B"/>
    <w:rsid w:val="00866C0E"/>
    <w:rsid w:val="00867C56"/>
    <w:rsid w:val="00870B22"/>
    <w:rsid w:val="0087222C"/>
    <w:rsid w:val="0087270A"/>
    <w:rsid w:val="00874BB5"/>
    <w:rsid w:val="00895D5D"/>
    <w:rsid w:val="00896951"/>
    <w:rsid w:val="008A0193"/>
    <w:rsid w:val="008A6E97"/>
    <w:rsid w:val="008B2C67"/>
    <w:rsid w:val="008B76C2"/>
    <w:rsid w:val="008C44DE"/>
    <w:rsid w:val="008E05E5"/>
    <w:rsid w:val="008E4219"/>
    <w:rsid w:val="008F03B4"/>
    <w:rsid w:val="0090111B"/>
    <w:rsid w:val="0090721F"/>
    <w:rsid w:val="00915BDD"/>
    <w:rsid w:val="00926702"/>
    <w:rsid w:val="00926F95"/>
    <w:rsid w:val="00927979"/>
    <w:rsid w:val="0093655B"/>
    <w:rsid w:val="00937F12"/>
    <w:rsid w:val="009418BB"/>
    <w:rsid w:val="00943245"/>
    <w:rsid w:val="0094528D"/>
    <w:rsid w:val="00947039"/>
    <w:rsid w:val="00956AF7"/>
    <w:rsid w:val="0096051D"/>
    <w:rsid w:val="00960B05"/>
    <w:rsid w:val="00963D73"/>
    <w:rsid w:val="0097499A"/>
    <w:rsid w:val="00976465"/>
    <w:rsid w:val="0098029E"/>
    <w:rsid w:val="0098263B"/>
    <w:rsid w:val="00982922"/>
    <w:rsid w:val="00983CE9"/>
    <w:rsid w:val="00990B65"/>
    <w:rsid w:val="00991233"/>
    <w:rsid w:val="00994463"/>
    <w:rsid w:val="009953F9"/>
    <w:rsid w:val="009A05D0"/>
    <w:rsid w:val="009A33FA"/>
    <w:rsid w:val="009A37EC"/>
    <w:rsid w:val="009A3BE9"/>
    <w:rsid w:val="009A699B"/>
    <w:rsid w:val="009A6EF3"/>
    <w:rsid w:val="009B54A4"/>
    <w:rsid w:val="009B6860"/>
    <w:rsid w:val="009B7189"/>
    <w:rsid w:val="009C0135"/>
    <w:rsid w:val="009C5400"/>
    <w:rsid w:val="009E1108"/>
    <w:rsid w:val="009E25C8"/>
    <w:rsid w:val="009E2781"/>
    <w:rsid w:val="009E3D67"/>
    <w:rsid w:val="009E7342"/>
    <w:rsid w:val="009F0DF0"/>
    <w:rsid w:val="009F5744"/>
    <w:rsid w:val="00A0064A"/>
    <w:rsid w:val="00A00DC7"/>
    <w:rsid w:val="00A0267F"/>
    <w:rsid w:val="00A25D16"/>
    <w:rsid w:val="00A30228"/>
    <w:rsid w:val="00A31A55"/>
    <w:rsid w:val="00A3423A"/>
    <w:rsid w:val="00A35088"/>
    <w:rsid w:val="00A35983"/>
    <w:rsid w:val="00A35F31"/>
    <w:rsid w:val="00A36F9A"/>
    <w:rsid w:val="00A40A3C"/>
    <w:rsid w:val="00A4407E"/>
    <w:rsid w:val="00A46C1C"/>
    <w:rsid w:val="00A525A0"/>
    <w:rsid w:val="00A54073"/>
    <w:rsid w:val="00A639F5"/>
    <w:rsid w:val="00A7211E"/>
    <w:rsid w:val="00A761F1"/>
    <w:rsid w:val="00A77104"/>
    <w:rsid w:val="00A8313A"/>
    <w:rsid w:val="00AA01BF"/>
    <w:rsid w:val="00AA0F85"/>
    <w:rsid w:val="00AA320E"/>
    <w:rsid w:val="00AA38D8"/>
    <w:rsid w:val="00AA56F4"/>
    <w:rsid w:val="00AA5D69"/>
    <w:rsid w:val="00AA6BD5"/>
    <w:rsid w:val="00AA6F37"/>
    <w:rsid w:val="00AB0184"/>
    <w:rsid w:val="00AB0A23"/>
    <w:rsid w:val="00AB1ADA"/>
    <w:rsid w:val="00AC030D"/>
    <w:rsid w:val="00AC1082"/>
    <w:rsid w:val="00AC6992"/>
    <w:rsid w:val="00AC7FB5"/>
    <w:rsid w:val="00AD0743"/>
    <w:rsid w:val="00AD3E7B"/>
    <w:rsid w:val="00AE1E1D"/>
    <w:rsid w:val="00AF01E5"/>
    <w:rsid w:val="00AF0A7F"/>
    <w:rsid w:val="00AF1254"/>
    <w:rsid w:val="00AF348F"/>
    <w:rsid w:val="00AF730B"/>
    <w:rsid w:val="00B00D4B"/>
    <w:rsid w:val="00B02F8D"/>
    <w:rsid w:val="00B049D6"/>
    <w:rsid w:val="00B1365B"/>
    <w:rsid w:val="00B21864"/>
    <w:rsid w:val="00B31782"/>
    <w:rsid w:val="00B37A2F"/>
    <w:rsid w:val="00B40C91"/>
    <w:rsid w:val="00B40F3E"/>
    <w:rsid w:val="00B44E4F"/>
    <w:rsid w:val="00B46415"/>
    <w:rsid w:val="00B5202A"/>
    <w:rsid w:val="00B522B7"/>
    <w:rsid w:val="00B63CC9"/>
    <w:rsid w:val="00B65C5E"/>
    <w:rsid w:val="00B671B8"/>
    <w:rsid w:val="00B76290"/>
    <w:rsid w:val="00B76BC6"/>
    <w:rsid w:val="00B80595"/>
    <w:rsid w:val="00B806ED"/>
    <w:rsid w:val="00B96CA5"/>
    <w:rsid w:val="00BA23B3"/>
    <w:rsid w:val="00BA7AC7"/>
    <w:rsid w:val="00BB08D6"/>
    <w:rsid w:val="00BB27C0"/>
    <w:rsid w:val="00BB5EE7"/>
    <w:rsid w:val="00BC0C0B"/>
    <w:rsid w:val="00BC40BD"/>
    <w:rsid w:val="00BD120A"/>
    <w:rsid w:val="00BD3EFC"/>
    <w:rsid w:val="00BD575C"/>
    <w:rsid w:val="00BD666B"/>
    <w:rsid w:val="00BF52E8"/>
    <w:rsid w:val="00C01654"/>
    <w:rsid w:val="00C03595"/>
    <w:rsid w:val="00C1229A"/>
    <w:rsid w:val="00C13E4B"/>
    <w:rsid w:val="00C2132E"/>
    <w:rsid w:val="00C2316C"/>
    <w:rsid w:val="00C30244"/>
    <w:rsid w:val="00C306DC"/>
    <w:rsid w:val="00C3200F"/>
    <w:rsid w:val="00C5180D"/>
    <w:rsid w:val="00C53AB0"/>
    <w:rsid w:val="00C53D1D"/>
    <w:rsid w:val="00C5411B"/>
    <w:rsid w:val="00C61FB2"/>
    <w:rsid w:val="00C6530D"/>
    <w:rsid w:val="00C71D81"/>
    <w:rsid w:val="00C72E08"/>
    <w:rsid w:val="00C76FD5"/>
    <w:rsid w:val="00C84C10"/>
    <w:rsid w:val="00C945CF"/>
    <w:rsid w:val="00C9460F"/>
    <w:rsid w:val="00C95195"/>
    <w:rsid w:val="00C95681"/>
    <w:rsid w:val="00CB0006"/>
    <w:rsid w:val="00CB1DEF"/>
    <w:rsid w:val="00CB333D"/>
    <w:rsid w:val="00CC73DA"/>
    <w:rsid w:val="00CD24C8"/>
    <w:rsid w:val="00CD4DCE"/>
    <w:rsid w:val="00CE19FA"/>
    <w:rsid w:val="00CE24CE"/>
    <w:rsid w:val="00CE34F4"/>
    <w:rsid w:val="00CE5948"/>
    <w:rsid w:val="00CE5F16"/>
    <w:rsid w:val="00CF3F58"/>
    <w:rsid w:val="00D078BA"/>
    <w:rsid w:val="00D13594"/>
    <w:rsid w:val="00D13D36"/>
    <w:rsid w:val="00D20CDF"/>
    <w:rsid w:val="00D221A6"/>
    <w:rsid w:val="00D2411A"/>
    <w:rsid w:val="00D30700"/>
    <w:rsid w:val="00D3347D"/>
    <w:rsid w:val="00D375CC"/>
    <w:rsid w:val="00D4224E"/>
    <w:rsid w:val="00D43550"/>
    <w:rsid w:val="00D50395"/>
    <w:rsid w:val="00D629CE"/>
    <w:rsid w:val="00D6476C"/>
    <w:rsid w:val="00D64AAB"/>
    <w:rsid w:val="00D675E1"/>
    <w:rsid w:val="00D736A5"/>
    <w:rsid w:val="00D75F49"/>
    <w:rsid w:val="00D7781C"/>
    <w:rsid w:val="00D83CA2"/>
    <w:rsid w:val="00D83CC0"/>
    <w:rsid w:val="00D84553"/>
    <w:rsid w:val="00D8470E"/>
    <w:rsid w:val="00D955EB"/>
    <w:rsid w:val="00DB039A"/>
    <w:rsid w:val="00DB1579"/>
    <w:rsid w:val="00DB1C4E"/>
    <w:rsid w:val="00DB4956"/>
    <w:rsid w:val="00DB7D95"/>
    <w:rsid w:val="00DC0366"/>
    <w:rsid w:val="00DD544D"/>
    <w:rsid w:val="00DE0014"/>
    <w:rsid w:val="00DE46D5"/>
    <w:rsid w:val="00DE54DF"/>
    <w:rsid w:val="00DE5E4C"/>
    <w:rsid w:val="00DE6A73"/>
    <w:rsid w:val="00DE7DDC"/>
    <w:rsid w:val="00DF49A1"/>
    <w:rsid w:val="00DF5BB7"/>
    <w:rsid w:val="00E04ED7"/>
    <w:rsid w:val="00E107EC"/>
    <w:rsid w:val="00E11738"/>
    <w:rsid w:val="00E12957"/>
    <w:rsid w:val="00E20696"/>
    <w:rsid w:val="00E27F91"/>
    <w:rsid w:val="00E31BD7"/>
    <w:rsid w:val="00E35833"/>
    <w:rsid w:val="00E45D07"/>
    <w:rsid w:val="00E47B1C"/>
    <w:rsid w:val="00E628FB"/>
    <w:rsid w:val="00E677C6"/>
    <w:rsid w:val="00E67EA9"/>
    <w:rsid w:val="00E70687"/>
    <w:rsid w:val="00E710FC"/>
    <w:rsid w:val="00E73C56"/>
    <w:rsid w:val="00E75726"/>
    <w:rsid w:val="00E803AD"/>
    <w:rsid w:val="00E8383F"/>
    <w:rsid w:val="00E86CB7"/>
    <w:rsid w:val="00E916F2"/>
    <w:rsid w:val="00E928C6"/>
    <w:rsid w:val="00EA0513"/>
    <w:rsid w:val="00EA240B"/>
    <w:rsid w:val="00EC57A0"/>
    <w:rsid w:val="00ED024C"/>
    <w:rsid w:val="00ED1B0F"/>
    <w:rsid w:val="00ED6D11"/>
    <w:rsid w:val="00EE3EBC"/>
    <w:rsid w:val="00EF44E7"/>
    <w:rsid w:val="00F00080"/>
    <w:rsid w:val="00F01837"/>
    <w:rsid w:val="00F01D21"/>
    <w:rsid w:val="00F03A68"/>
    <w:rsid w:val="00F04BEC"/>
    <w:rsid w:val="00F04E6A"/>
    <w:rsid w:val="00F112C6"/>
    <w:rsid w:val="00F1499F"/>
    <w:rsid w:val="00F210DC"/>
    <w:rsid w:val="00F2136A"/>
    <w:rsid w:val="00F256B7"/>
    <w:rsid w:val="00F25EA4"/>
    <w:rsid w:val="00F309E8"/>
    <w:rsid w:val="00F313E2"/>
    <w:rsid w:val="00F36975"/>
    <w:rsid w:val="00F43086"/>
    <w:rsid w:val="00F467E3"/>
    <w:rsid w:val="00F468AF"/>
    <w:rsid w:val="00F47201"/>
    <w:rsid w:val="00F47E67"/>
    <w:rsid w:val="00F525B8"/>
    <w:rsid w:val="00F53D25"/>
    <w:rsid w:val="00F55776"/>
    <w:rsid w:val="00F5674C"/>
    <w:rsid w:val="00F6439B"/>
    <w:rsid w:val="00F64816"/>
    <w:rsid w:val="00F73354"/>
    <w:rsid w:val="00F76A9D"/>
    <w:rsid w:val="00F8475C"/>
    <w:rsid w:val="00F92814"/>
    <w:rsid w:val="00F95C69"/>
    <w:rsid w:val="00F96625"/>
    <w:rsid w:val="00FA092E"/>
    <w:rsid w:val="00FA0C52"/>
    <w:rsid w:val="00FA63B5"/>
    <w:rsid w:val="00FA646E"/>
    <w:rsid w:val="00FA6D58"/>
    <w:rsid w:val="00FB516E"/>
    <w:rsid w:val="00FD52D3"/>
    <w:rsid w:val="00FE0F66"/>
    <w:rsid w:val="00FE72DF"/>
    <w:rsid w:val="00FF2F91"/>
    <w:rsid w:val="00FF7033"/>
    <w:rsid w:val="02B47C4D"/>
    <w:rsid w:val="04406F3F"/>
    <w:rsid w:val="04D46768"/>
    <w:rsid w:val="053A1CC8"/>
    <w:rsid w:val="055E1059"/>
    <w:rsid w:val="06856661"/>
    <w:rsid w:val="077B4608"/>
    <w:rsid w:val="07BB74B6"/>
    <w:rsid w:val="08493DEA"/>
    <w:rsid w:val="086E4EC9"/>
    <w:rsid w:val="0B734A64"/>
    <w:rsid w:val="0BE53C10"/>
    <w:rsid w:val="0DD201F4"/>
    <w:rsid w:val="0E65160C"/>
    <w:rsid w:val="0E8133A0"/>
    <w:rsid w:val="0F4526B6"/>
    <w:rsid w:val="152B64B8"/>
    <w:rsid w:val="15740DA4"/>
    <w:rsid w:val="1624772B"/>
    <w:rsid w:val="17BB2234"/>
    <w:rsid w:val="17E823EA"/>
    <w:rsid w:val="195A6BC0"/>
    <w:rsid w:val="1CFE7E6D"/>
    <w:rsid w:val="1F574E9B"/>
    <w:rsid w:val="21F43C47"/>
    <w:rsid w:val="227A4EED"/>
    <w:rsid w:val="228D0750"/>
    <w:rsid w:val="24EF278E"/>
    <w:rsid w:val="25A5748F"/>
    <w:rsid w:val="25D85A3C"/>
    <w:rsid w:val="26BA3CDA"/>
    <w:rsid w:val="26E95967"/>
    <w:rsid w:val="2B321C5A"/>
    <w:rsid w:val="2B60786D"/>
    <w:rsid w:val="2B9E3425"/>
    <w:rsid w:val="2BFA4386"/>
    <w:rsid w:val="2C60493C"/>
    <w:rsid w:val="2CD73EA3"/>
    <w:rsid w:val="2D845ED0"/>
    <w:rsid w:val="30381F4F"/>
    <w:rsid w:val="30BC0775"/>
    <w:rsid w:val="3237307B"/>
    <w:rsid w:val="339B6127"/>
    <w:rsid w:val="34A05B77"/>
    <w:rsid w:val="352406D6"/>
    <w:rsid w:val="38AC36F6"/>
    <w:rsid w:val="3B5603FB"/>
    <w:rsid w:val="3C6A69A2"/>
    <w:rsid w:val="3D3679ED"/>
    <w:rsid w:val="408D7227"/>
    <w:rsid w:val="416718EC"/>
    <w:rsid w:val="438B51F7"/>
    <w:rsid w:val="439D7A21"/>
    <w:rsid w:val="43A01F46"/>
    <w:rsid w:val="43D97719"/>
    <w:rsid w:val="447267E8"/>
    <w:rsid w:val="44E431E5"/>
    <w:rsid w:val="492A4A83"/>
    <w:rsid w:val="4937054A"/>
    <w:rsid w:val="495C1F5C"/>
    <w:rsid w:val="4B8B03E4"/>
    <w:rsid w:val="4DDF67CC"/>
    <w:rsid w:val="4E057E10"/>
    <w:rsid w:val="4EE12BFB"/>
    <w:rsid w:val="50FA6A61"/>
    <w:rsid w:val="51794BC1"/>
    <w:rsid w:val="53D25371"/>
    <w:rsid w:val="540F1FD2"/>
    <w:rsid w:val="57594B93"/>
    <w:rsid w:val="594A6990"/>
    <w:rsid w:val="5A3B59C8"/>
    <w:rsid w:val="5BC561DE"/>
    <w:rsid w:val="60A60070"/>
    <w:rsid w:val="640C25AF"/>
    <w:rsid w:val="67F011DD"/>
    <w:rsid w:val="683A303D"/>
    <w:rsid w:val="68E97B63"/>
    <w:rsid w:val="6A5B2F9C"/>
    <w:rsid w:val="6B1E605C"/>
    <w:rsid w:val="6C5E0507"/>
    <w:rsid w:val="6DB35745"/>
    <w:rsid w:val="6DF43B33"/>
    <w:rsid w:val="6E3F209B"/>
    <w:rsid w:val="722B59B6"/>
    <w:rsid w:val="74783A1C"/>
    <w:rsid w:val="74AB354D"/>
    <w:rsid w:val="74B05132"/>
    <w:rsid w:val="76C52AAF"/>
    <w:rsid w:val="772A35DE"/>
    <w:rsid w:val="798425C1"/>
    <w:rsid w:val="79BF662E"/>
    <w:rsid w:val="7B2952F2"/>
    <w:rsid w:val="7B991AD4"/>
    <w:rsid w:val="7EC506F7"/>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Plain Text"/>
    <w:basedOn w:val="1"/>
    <w:qFormat/>
    <w:uiPriority w:val="0"/>
    <w:rPr>
      <w:rFonts w:ascii="宋体" w:hAnsi="Courier New"/>
      <w:szCs w:val="20"/>
    </w:r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page number"/>
    <w:unhideWhenUsed/>
    <w:qFormat/>
    <w:uiPriority w:val="99"/>
    <w:rPr>
      <w:rFonts w:hint="default" w:ascii="Times New Roman"/>
    </w:rPr>
  </w:style>
  <w:style w:type="character" w:styleId="20">
    <w:name w:val="Hyperlink"/>
    <w:basedOn w:val="17"/>
    <w:unhideWhenUsed/>
    <w:qFormat/>
    <w:uiPriority w:val="99"/>
    <w:rPr>
      <w:color w:val="0000FF"/>
      <w:u w:val="single"/>
    </w:rPr>
  </w:style>
  <w:style w:type="character" w:styleId="21">
    <w:name w:val="annotation reference"/>
    <w:basedOn w:val="17"/>
    <w:unhideWhenUsed/>
    <w:qFormat/>
    <w:uiPriority w:val="99"/>
    <w:rPr>
      <w:sz w:val="21"/>
      <w:szCs w:val="21"/>
    </w:rPr>
  </w:style>
  <w:style w:type="character" w:styleId="22">
    <w:name w:val="footnote reference"/>
    <w:basedOn w:val="17"/>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7"/>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7"/>
    <w:link w:val="6"/>
    <w:semiHidden/>
    <w:qFormat/>
    <w:uiPriority w:val="99"/>
    <w:rPr>
      <w:rFonts w:ascii="Times New Roman" w:hAnsi="Times New Roman" w:eastAsia="宋体" w:cs="Times New Roman"/>
      <w:sz w:val="18"/>
      <w:szCs w:val="18"/>
    </w:rPr>
  </w:style>
  <w:style w:type="character" w:customStyle="1" w:styleId="29">
    <w:name w:val="页眉 字符"/>
    <w:basedOn w:val="17"/>
    <w:link w:val="8"/>
    <w:qFormat/>
    <w:uiPriority w:val="99"/>
    <w:rPr>
      <w:rFonts w:ascii="Times New Roman" w:hAnsi="Times New Roman" w:eastAsia="宋体" w:cs="Times New Roman"/>
      <w:sz w:val="18"/>
      <w:szCs w:val="18"/>
    </w:rPr>
  </w:style>
  <w:style w:type="character" w:customStyle="1" w:styleId="30">
    <w:name w:val="页脚 字符"/>
    <w:basedOn w:val="17"/>
    <w:link w:val="7"/>
    <w:qFormat/>
    <w:uiPriority w:val="99"/>
    <w:rPr>
      <w:rFonts w:ascii="Times New Roman" w:hAnsi="Times New Roman" w:eastAsia="宋体" w:cs="Times New Roman"/>
      <w:sz w:val="18"/>
      <w:szCs w:val="18"/>
    </w:rPr>
  </w:style>
  <w:style w:type="character" w:customStyle="1" w:styleId="31">
    <w:name w:val="标题1"/>
    <w:basedOn w:val="17"/>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7"/>
    <w:link w:val="12"/>
    <w:qFormat/>
    <w:uiPriority w:val="0"/>
    <w:rPr>
      <w:rFonts w:ascii="仿宋_GB2312" w:hAnsi="宋体" w:eastAsia="仿宋_GB2312"/>
      <w:kern w:val="2"/>
      <w:sz w:val="21"/>
      <w:szCs w:val="24"/>
    </w:rPr>
  </w:style>
  <w:style w:type="character" w:customStyle="1" w:styleId="35">
    <w:name w:val="脚注文本 字符"/>
    <w:basedOn w:val="17"/>
    <w:link w:val="10"/>
    <w:semiHidden/>
    <w:qFormat/>
    <w:uiPriority w:val="99"/>
    <w:rPr>
      <w:kern w:val="2"/>
      <w:sz w:val="18"/>
      <w:szCs w:val="18"/>
    </w:rPr>
  </w:style>
  <w:style w:type="character" w:customStyle="1" w:styleId="36">
    <w:name w:val="未处理的提及1"/>
    <w:basedOn w:val="17"/>
    <w:semiHidden/>
    <w:unhideWhenUsed/>
    <w:qFormat/>
    <w:uiPriority w:val="99"/>
    <w:rPr>
      <w:color w:val="605E5C"/>
      <w:shd w:val="clear" w:color="auto" w:fill="E1DFDD"/>
    </w:rPr>
  </w:style>
  <w:style w:type="paragraph" w:customStyle="1" w:styleId="3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8">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39">
    <w:name w:val="Unresolved Mention"/>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045AE-D373-4C82-9C25-01786B13C746}">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13150</Words>
  <Characters>14021</Characters>
  <Lines>139</Lines>
  <Paragraphs>39</Paragraphs>
  <TotalTime>9</TotalTime>
  <ScaleCrop>false</ScaleCrop>
  <LinksUpToDate>false</LinksUpToDate>
  <CharactersWithSpaces>16332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2022-10-07T01:42:00Z</dcterms:created>
  <dc:creator>Tony Young</dc:creator>
  <cp:lastModifiedBy>szece</cp:lastModifiedBy>
  <cp:lastPrinted>2022-09-30T07:18:00Z</cp:lastPrinted>
  <dcterms:modified xsi:type="dcterms:W3CDTF">2022-10-25T01:10:51Z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37B5CA9531BF4EBA9AA8572463C85A76</vt:lpwstr>
  </property>
</Properties>
</file>