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sz w:val="32"/>
          <w:szCs w:val="32"/>
          <w:lang w:val="en-US" w:eastAsia="zh-CN"/>
        </w:rPr>
        <w:t>深圳会展</w:t>
      </w:r>
      <w:r>
        <w:rPr>
          <w:rFonts w:hint="eastAsia" w:ascii="方正小标宋简体" w:hAnsi="方正小标宋_GBK" w:eastAsia="方正小标宋简体" w:cs="方正小标宋_GBK"/>
          <w:b/>
          <w:color w:val="auto"/>
          <w:sz w:val="32"/>
          <w:szCs w:val="32"/>
          <w:highlight w:val="none"/>
          <w:lang w:val="en-US" w:eastAsia="zh-CN"/>
        </w:rPr>
        <w:t>中心</w:t>
      </w:r>
      <w:r>
        <w:rPr>
          <w:rFonts w:hint="eastAsia" w:ascii="方正小标宋简体" w:hAnsi="方正小标宋_GBK" w:eastAsia="方正小标宋简体" w:cs="方正小标宋_GBK"/>
          <w:b/>
          <w:color w:val="auto"/>
          <w:sz w:val="32"/>
          <w:szCs w:val="32"/>
          <w:highlight w:val="none"/>
          <w:lang w:eastAsia="zh-CN"/>
        </w:rPr>
        <w:t>红灯笼采购</w:t>
      </w:r>
      <w:r>
        <w:rPr>
          <w:rFonts w:hint="eastAsia" w:ascii="方正小标宋简体" w:hAnsi="方正小标宋_GBK" w:eastAsia="方正小标宋简体" w:cs="方正小标宋_GBK"/>
          <w:b/>
          <w:color w:val="auto"/>
          <w:sz w:val="32"/>
          <w:szCs w:val="32"/>
          <w:highlight w:val="none"/>
        </w:rPr>
        <w:t>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jc w:val="left"/>
        <w:rPr>
          <w:rFonts w:hint="eastAsia" w:ascii="方正小标宋简体" w:hAnsi="宋体" w:eastAsia="方正小标宋简体"/>
          <w:b/>
          <w:color w:val="0C0C0C"/>
          <w:sz w:val="32"/>
          <w:szCs w:val="32"/>
          <w:highlight w:val="green"/>
        </w:rPr>
      </w:pPr>
    </w:p>
    <w:p>
      <w:pPr>
        <w:tabs>
          <w:tab w:val="left" w:pos="2127"/>
          <w:tab w:val="left" w:pos="2694"/>
        </w:tabs>
        <w:spacing w:line="360" w:lineRule="auto"/>
        <w:jc w:val="left"/>
        <w:rPr>
          <w:rFonts w:hint="eastAsia" w:ascii="方正小标宋简体" w:hAnsi="宋体" w:eastAsia="方正小标宋简体"/>
          <w:b/>
          <w:color w:val="0C0C0C"/>
          <w:sz w:val="32"/>
          <w:szCs w:val="32"/>
          <w:highlight w:val="green"/>
        </w:rPr>
      </w:pPr>
    </w:p>
    <w:p>
      <w:pPr>
        <w:tabs>
          <w:tab w:val="left" w:pos="2127"/>
          <w:tab w:val="left" w:pos="2694"/>
        </w:tabs>
        <w:spacing w:line="360" w:lineRule="auto"/>
        <w:jc w:val="left"/>
        <w:rPr>
          <w:rFonts w:hint="eastAsia" w:ascii="方正小标宋简体" w:hAnsi="宋体" w:eastAsia="方正小标宋简体"/>
          <w:b/>
          <w:color w:val="0C0C0C"/>
          <w:sz w:val="32"/>
          <w:szCs w:val="32"/>
          <w:highlight w:val="green"/>
        </w:rPr>
      </w:pPr>
    </w:p>
    <w:p>
      <w:pPr>
        <w:tabs>
          <w:tab w:val="left" w:pos="2127"/>
          <w:tab w:val="left" w:pos="2694"/>
        </w:tabs>
        <w:spacing w:line="360" w:lineRule="auto"/>
        <w:jc w:val="left"/>
        <w:rPr>
          <w:rFonts w:hint="eastAsia" w:ascii="方正小标宋简体" w:hAnsi="宋体" w:eastAsia="方正小标宋简体"/>
          <w:b/>
          <w:color w:val="0C0C0C"/>
          <w:sz w:val="32"/>
          <w:szCs w:val="32"/>
          <w:highlight w:val="green"/>
        </w:rPr>
      </w:pPr>
    </w:p>
    <w:p>
      <w:pPr>
        <w:tabs>
          <w:tab w:val="left" w:pos="2127"/>
          <w:tab w:val="left" w:pos="2694"/>
        </w:tabs>
        <w:spacing w:line="360" w:lineRule="auto"/>
        <w:jc w:val="left"/>
        <w:rPr>
          <w:rFonts w:hint="eastAsia" w:ascii="方正小标宋简体" w:hAnsi="宋体" w:eastAsia="方正小标宋简体"/>
          <w:b/>
          <w:color w:val="0C0C0C"/>
          <w:sz w:val="32"/>
          <w:szCs w:val="32"/>
          <w:highlight w:val="green"/>
        </w:rPr>
      </w:pPr>
    </w:p>
    <w:p>
      <w:pPr>
        <w:tabs>
          <w:tab w:val="left" w:pos="2127"/>
          <w:tab w:val="left" w:pos="2694"/>
        </w:tabs>
        <w:spacing w:line="360" w:lineRule="auto"/>
        <w:jc w:val="left"/>
        <w:rPr>
          <w:rFonts w:hint="eastAsia" w:ascii="方正小标宋简体" w:hAnsi="宋体" w:eastAsia="方正小标宋简体"/>
          <w:b/>
          <w:color w:val="0C0C0C"/>
          <w:sz w:val="32"/>
          <w:szCs w:val="32"/>
          <w:highlight w:val="green"/>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rPr>
        <w:t>2年</w:t>
      </w:r>
      <w:r>
        <w:rPr>
          <w:rFonts w:hint="eastAsia" w:ascii="方正小标宋简体" w:hAnsi="方正小标宋_GBK" w:eastAsia="方正小标宋简体" w:cs="方正小标宋_GBK"/>
          <w:b/>
          <w:sz w:val="32"/>
          <w:szCs w:val="32"/>
          <w:lang w:val="en-US" w:eastAsia="zh-CN"/>
        </w:rPr>
        <w:t>11</w:t>
      </w:r>
      <w:r>
        <w:rPr>
          <w:rFonts w:hint="eastAsia" w:ascii="方正小标宋简体" w:hAnsi="方正小标宋_GBK" w:eastAsia="方正小标宋简体" w:cs="方正小标宋_GBK"/>
          <w:b/>
          <w:sz w:val="32"/>
          <w:szCs w:val="32"/>
        </w:rPr>
        <w:t>月</w:t>
      </w:r>
      <w:r>
        <w:rPr>
          <w:rFonts w:ascii="方正小标宋简体" w:hAnsi="方正小标宋_GBK" w:eastAsia="方正小标宋简体" w:cs="方正小标宋_GBK"/>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10"/>
        <w:tabs>
          <w:tab w:val="right" w:leader="dot" w:pos="9530"/>
        </w:tabs>
        <w:rPr>
          <w:rFonts w:asciiTheme="minorEastAsia" w:hAnsiTheme="minorEastAsia"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"_Toc116550232" </w:instrText>
      </w:r>
      <w:r>
        <w:fldChar w:fldCharType="separate"/>
      </w:r>
      <w:r>
        <w:rPr>
          <w:rStyle w:val="19"/>
          <w:rFonts w:cs="宋体" w:asciiTheme="minorEastAsia" w:hAnsiTheme="minorEastAsia" w:eastAsiaTheme="minorEastAsia"/>
          <w:b/>
          <w:bCs/>
        </w:rPr>
        <w:t>一、</w:t>
      </w:r>
      <w:r>
        <w:rPr>
          <w:rStyle w:val="19"/>
          <w:rFonts w:cs="宋体" w:asciiTheme="minorEastAsia" w:hAnsiTheme="minorEastAsia" w:eastAsiaTheme="minorEastAsia"/>
          <w:b/>
        </w:rPr>
        <w:t xml:space="preserve"> 参加单位须知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"_Toc116550233" </w:instrText>
      </w:r>
      <w:r>
        <w:fldChar w:fldCharType="separate"/>
      </w:r>
      <w:r>
        <w:rPr>
          <w:rStyle w:val="19"/>
          <w:rFonts w:cs="宋体" w:asciiTheme="minorEastAsia" w:hAnsiTheme="minorEastAsia" w:eastAsiaTheme="minorEastAsia"/>
          <w:b/>
          <w:bCs/>
        </w:rPr>
        <w:t>二、</w:t>
      </w:r>
      <w:r>
        <w:rPr>
          <w:rStyle w:val="19"/>
          <w:rFonts w:cs="宋体" w:asciiTheme="minorEastAsia" w:hAnsiTheme="minorEastAsia" w:eastAsiaTheme="minorEastAsia"/>
          <w:b/>
        </w:rPr>
        <w:t xml:space="preserve"> 特别说明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_Toc116550233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"_Toc116550234" </w:instrText>
      </w:r>
      <w:r>
        <w:fldChar w:fldCharType="separate"/>
      </w:r>
      <w:r>
        <w:rPr>
          <w:rStyle w:val="19"/>
          <w:rFonts w:hint="eastAsia" w:asciiTheme="minorEastAsia" w:hAnsiTheme="minorEastAsia" w:eastAsiaTheme="minorEastAsia"/>
          <w:b/>
          <w:bCs/>
        </w:rPr>
        <w:t>三、</w:t>
      </w:r>
      <w:r>
        <w:rPr>
          <w:rStyle w:val="19"/>
          <w:rFonts w:cs="宋体" w:asciiTheme="minorEastAsia" w:hAnsiTheme="minorEastAsia" w:eastAsiaTheme="minorEastAsia"/>
          <w:b/>
        </w:rPr>
        <w:t xml:space="preserve"> 投标文件编制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_Toc116550234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"_Toc116550235" </w:instrText>
      </w:r>
      <w:r>
        <w:fldChar w:fldCharType="separate"/>
      </w:r>
      <w:r>
        <w:rPr>
          <w:rStyle w:val="19"/>
          <w:rFonts w:cs="宋体" w:asciiTheme="minorEastAsia" w:hAnsiTheme="minorEastAsia" w:eastAsiaTheme="minorEastAsia"/>
          <w:b/>
          <w:bCs/>
        </w:rPr>
        <w:t>四、</w:t>
      </w:r>
      <w:r>
        <w:rPr>
          <w:rStyle w:val="19"/>
          <w:rFonts w:cs="宋体" w:asciiTheme="minorEastAsia" w:hAnsiTheme="minorEastAsia" w:eastAsiaTheme="minorEastAsia"/>
          <w:b/>
        </w:rPr>
        <w:t xml:space="preserve"> 项目要求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_Toc116550235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"_Toc116550236" </w:instrText>
      </w:r>
      <w:r>
        <w:fldChar w:fldCharType="separate"/>
      </w:r>
      <w:r>
        <w:rPr>
          <w:rStyle w:val="19"/>
          <w:rFonts w:cs="宋体" w:asciiTheme="minorEastAsia" w:hAnsiTheme="minorEastAsia" w:eastAsiaTheme="minorEastAsia"/>
          <w:b/>
          <w:bCs/>
        </w:rPr>
        <w:t>五、</w:t>
      </w:r>
      <w:r>
        <w:rPr>
          <w:rStyle w:val="19"/>
          <w:rFonts w:cs="宋体" w:asciiTheme="minorEastAsia" w:hAnsiTheme="minorEastAsia" w:eastAsiaTheme="minorEastAsia"/>
          <w:b/>
        </w:rPr>
        <w:t xml:space="preserve"> 其他项目说明资料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_Toc116550236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"_Toc116550237" </w:instrText>
      </w:r>
      <w:r>
        <w:fldChar w:fldCharType="separate"/>
      </w:r>
      <w:r>
        <w:rPr>
          <w:rStyle w:val="19"/>
          <w:rFonts w:cs="宋体" w:asciiTheme="minorEastAsia" w:hAnsiTheme="minorEastAsia" w:eastAsiaTheme="minorEastAsia"/>
          <w:b/>
          <w:bCs/>
        </w:rPr>
        <w:t>六、</w:t>
      </w:r>
      <w:r>
        <w:rPr>
          <w:rStyle w:val="19"/>
          <w:rFonts w:cs="宋体" w:asciiTheme="minorEastAsia" w:hAnsiTheme="minorEastAsia" w:eastAsiaTheme="minorEastAsia"/>
          <w:b/>
        </w:rPr>
        <w:t xml:space="preserve"> 流程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_Toc116550237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"_Toc116550238" </w:instrText>
      </w:r>
      <w:r>
        <w:fldChar w:fldCharType="separate"/>
      </w:r>
      <w:r>
        <w:rPr>
          <w:rStyle w:val="19"/>
          <w:rFonts w:cs="宋体" w:asciiTheme="minorEastAsia" w:hAnsiTheme="minorEastAsia" w:eastAsiaTheme="minorEastAsia"/>
          <w:b/>
          <w:bCs/>
        </w:rPr>
        <w:t>七、</w:t>
      </w:r>
      <w:r>
        <w:rPr>
          <w:rStyle w:val="19"/>
          <w:rFonts w:cs="宋体" w:asciiTheme="minorEastAsia" w:hAnsiTheme="minorEastAsia" w:eastAsiaTheme="minorEastAsia"/>
          <w:b/>
        </w:rPr>
        <w:t xml:space="preserve"> 评审办法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_Toc116550238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left" w:pos="1470"/>
          <w:tab w:val="right" w:leader="dot" w:pos="9530"/>
        </w:tabs>
        <w:rPr>
          <w:rFonts w:asciiTheme="minorEastAsia" w:hAnsiTheme="minorEastAsia" w:eastAsiaTheme="minorEastAsia" w:cstheme="minorBidi"/>
          <w:szCs w:val="22"/>
        </w:rPr>
      </w:pPr>
      <w:r>
        <w:fldChar w:fldCharType="begin"/>
      </w:r>
      <w:r>
        <w:instrText xml:space="preserve"> HYPERLINK \l "_Toc116550239" </w:instrText>
      </w:r>
      <w:r>
        <w:fldChar w:fldCharType="separate"/>
      </w:r>
      <w:r>
        <w:rPr>
          <w:rStyle w:val="19"/>
          <w:rFonts w:cs="宋体" w:asciiTheme="minorEastAsia" w:hAnsiTheme="minorEastAsia" w:eastAsiaTheme="minorEastAsia"/>
        </w:rPr>
        <w:t>（一）</w:t>
      </w:r>
      <w:r>
        <w:rPr>
          <w:rStyle w:val="19"/>
          <w:rFonts w:cs="宋体" w:asciiTheme="minorEastAsia" w:hAnsiTheme="minorEastAsia" w:eastAsiaTheme="minorEastAsia"/>
          <w:bCs/>
        </w:rPr>
        <w:t>符合性检查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_Toc116550239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left" w:pos="1470"/>
          <w:tab w:val="right" w:leader="dot" w:pos="9530"/>
        </w:tabs>
        <w:rPr>
          <w:rFonts w:asciiTheme="minorEastAsia" w:hAnsiTheme="minorEastAsia" w:eastAsiaTheme="minorEastAsia" w:cstheme="minorBidi"/>
          <w:szCs w:val="22"/>
        </w:rPr>
      </w:pPr>
      <w:r>
        <w:fldChar w:fldCharType="begin"/>
      </w:r>
      <w:r>
        <w:instrText xml:space="preserve"> HYPERLINK \l "_Toc116550240" </w:instrText>
      </w:r>
      <w:r>
        <w:fldChar w:fldCharType="separate"/>
      </w:r>
      <w:r>
        <w:rPr>
          <w:rStyle w:val="19"/>
          <w:rFonts w:cs="宋体" w:asciiTheme="minorEastAsia" w:hAnsiTheme="minorEastAsia" w:eastAsiaTheme="minorEastAsia"/>
          <w:bCs/>
        </w:rPr>
        <w:t>（二）价格评议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_Toc116550240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"_Toc116550241" </w:instrText>
      </w:r>
      <w:r>
        <w:fldChar w:fldCharType="separate"/>
      </w:r>
      <w:r>
        <w:rPr>
          <w:rStyle w:val="19"/>
          <w:rFonts w:cs="宋体" w:asciiTheme="minorEastAsia" w:hAnsiTheme="minorEastAsia" w:eastAsiaTheme="minorEastAsia"/>
          <w:b/>
          <w:bCs/>
        </w:rPr>
        <w:t>八、</w:t>
      </w:r>
      <w:r>
        <w:rPr>
          <w:rStyle w:val="19"/>
          <w:rFonts w:cs="宋体" w:asciiTheme="minorEastAsia" w:hAnsiTheme="minorEastAsia" w:eastAsiaTheme="minorEastAsia"/>
          <w:b/>
        </w:rPr>
        <w:t xml:space="preserve"> 采购结果</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_Toc116550241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"_Toc116550242" </w:instrText>
      </w:r>
      <w:r>
        <w:fldChar w:fldCharType="separate"/>
      </w:r>
      <w:r>
        <w:rPr>
          <w:rStyle w:val="19"/>
          <w:rFonts w:cs="宋体" w:asciiTheme="minorEastAsia" w:hAnsiTheme="minorEastAsia" w:eastAsiaTheme="minorEastAsia"/>
          <w:b/>
          <w:bCs/>
        </w:rPr>
        <w:t>九、</w:t>
      </w:r>
      <w:r>
        <w:rPr>
          <w:rStyle w:val="19"/>
          <w:rFonts w:cs="宋体" w:asciiTheme="minorEastAsia" w:hAnsiTheme="minorEastAsia" w:eastAsiaTheme="minorEastAsia"/>
          <w:b/>
        </w:rPr>
        <w:t xml:space="preserve"> 合同条款及格式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_Toc116550242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"_Toc116550243" </w:instrText>
      </w:r>
      <w:r>
        <w:fldChar w:fldCharType="separate"/>
      </w:r>
      <w:r>
        <w:rPr>
          <w:rStyle w:val="19"/>
          <w:rFonts w:cs="宋体" w:asciiTheme="minorEastAsia" w:hAnsiTheme="minorEastAsia" w:eastAsiaTheme="minorEastAsia"/>
          <w:b/>
          <w:bCs/>
        </w:rPr>
        <w:t>十、</w:t>
      </w:r>
      <w:r>
        <w:rPr>
          <w:rStyle w:val="19"/>
          <w:rFonts w:cs="宋体" w:asciiTheme="minorEastAsia" w:hAnsiTheme="minorEastAsia" w:eastAsiaTheme="minorEastAsia"/>
          <w:b/>
        </w:rPr>
        <w:t xml:space="preserve"> 附件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_Toc116550243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"_Toc116550244" </w:instrText>
      </w:r>
      <w:r>
        <w:fldChar w:fldCharType="separate"/>
      </w:r>
      <w:r>
        <w:rPr>
          <w:rStyle w:val="19"/>
          <w:rFonts w:cs="仿宋" w:asciiTheme="minorEastAsia" w:hAnsiTheme="minorEastAsia" w:eastAsiaTheme="minorEastAsia"/>
        </w:rPr>
        <w:t>附件1：报名回函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_Toc116550244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"_Toc116550245" </w:instrText>
      </w:r>
      <w:r>
        <w:fldChar w:fldCharType="separate"/>
      </w:r>
      <w:r>
        <w:rPr>
          <w:rStyle w:val="19"/>
          <w:rFonts w:cs="仿宋" w:asciiTheme="minorEastAsia" w:hAnsiTheme="minorEastAsia" w:eastAsiaTheme="minorEastAsia"/>
        </w:rPr>
        <w:t>附件2：考察证明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_Toc116550245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"_Toc116550246" </w:instrText>
      </w:r>
      <w:r>
        <w:fldChar w:fldCharType="separate"/>
      </w:r>
      <w:r>
        <w:rPr>
          <w:rStyle w:val="19"/>
          <w:rFonts w:cs="仿宋" w:asciiTheme="minorEastAsia" w:hAnsiTheme="minorEastAsia" w:eastAsiaTheme="minorEastAsia"/>
        </w:rPr>
        <w:t>附件3：报价一览表（货物）</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_Toc116550246 \h </w:instrText>
      </w:r>
      <w:r>
        <w:rPr>
          <w:rFonts w:asciiTheme="minorEastAsia" w:hAnsiTheme="minorEastAsia" w:eastAsiaTheme="minorEastAsia"/>
        </w:rPr>
        <w:fldChar w:fldCharType="separate"/>
      </w:r>
      <w:r>
        <w:rPr>
          <w:rFonts w:asciiTheme="minorEastAsia" w:hAnsiTheme="minorEastAsia" w:eastAsiaTheme="minorEastAsia"/>
        </w:rPr>
        <w:t>11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"_Toc116550247" </w:instrText>
      </w:r>
      <w:r>
        <w:fldChar w:fldCharType="separate"/>
      </w:r>
      <w:r>
        <w:rPr>
          <w:rStyle w:val="19"/>
          <w:rFonts w:cs="仿宋" w:asciiTheme="minorEastAsia" w:hAnsiTheme="minorEastAsia" w:eastAsiaTheme="minorEastAsia"/>
        </w:rPr>
        <w:t>附件4：报价一览表（服务）（本项目不适用）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_Toc116550247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"_Toc116550248" </w:instrText>
      </w:r>
      <w:r>
        <w:fldChar w:fldCharType="separate"/>
      </w:r>
      <w:r>
        <w:rPr>
          <w:rStyle w:val="19"/>
          <w:rFonts w:cs="仿宋" w:asciiTheme="minorEastAsia" w:hAnsiTheme="minorEastAsia" w:eastAsiaTheme="minorEastAsia"/>
        </w:rPr>
        <w:t>附件5：报价一览表（工程）（本项目不适用）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_Toc116550248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"_Toc116550249" </w:instrText>
      </w:r>
      <w:r>
        <w:fldChar w:fldCharType="separate"/>
      </w:r>
      <w:r>
        <w:rPr>
          <w:rStyle w:val="19"/>
          <w:rFonts w:cs="仿宋" w:asciiTheme="minorEastAsia" w:hAnsiTheme="minorEastAsia" w:eastAsiaTheme="minorEastAsia"/>
        </w:rPr>
        <w:t>附件6：商务条款响应/偏离表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_Toc116550249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"_Toc116550250" </w:instrText>
      </w:r>
      <w:r>
        <w:fldChar w:fldCharType="separate"/>
      </w:r>
      <w:r>
        <w:rPr>
          <w:rStyle w:val="19"/>
          <w:rFonts w:cs="仿宋" w:asciiTheme="minorEastAsia" w:hAnsiTheme="minorEastAsia" w:eastAsiaTheme="minorEastAsia"/>
        </w:rPr>
        <w:t>附件7： 技术（服务）响应/偏离表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_Toc116550250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"_Toc116550251" </w:instrText>
      </w:r>
      <w:r>
        <w:fldChar w:fldCharType="separate"/>
      </w:r>
      <w:r>
        <w:rPr>
          <w:rStyle w:val="19"/>
          <w:rFonts w:cs="仿宋" w:asciiTheme="minorEastAsia" w:hAnsiTheme="minorEastAsia" w:eastAsiaTheme="minorEastAsia"/>
        </w:rPr>
        <w:t>附件8：法定代表人证明书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_Toc116550251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"_Toc116550252" </w:instrText>
      </w:r>
      <w:r>
        <w:fldChar w:fldCharType="separate"/>
      </w:r>
      <w:r>
        <w:rPr>
          <w:rStyle w:val="19"/>
          <w:rFonts w:cs="仿宋" w:asciiTheme="minorEastAsia" w:hAnsiTheme="minorEastAsia" w:eastAsiaTheme="minorEastAsia"/>
        </w:rPr>
        <w:t>附件9：法人授权委托证明书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_Toc116550252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"_Toc116550253" </w:instrText>
      </w:r>
      <w:r>
        <w:fldChar w:fldCharType="separate"/>
      </w:r>
      <w:r>
        <w:rPr>
          <w:rStyle w:val="19"/>
          <w:rFonts w:cs="仿宋" w:asciiTheme="minorEastAsia" w:hAnsiTheme="minorEastAsia" w:eastAsiaTheme="minorEastAsia"/>
        </w:rPr>
        <w:t>附件10：经营业绩一览表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_Toc116550253 \h </w:instrText>
      </w:r>
      <w:r>
        <w:rPr>
          <w:rFonts w:asciiTheme="minorEastAsia" w:hAnsiTheme="minorEastAsia" w:eastAsiaTheme="minorEastAsia"/>
        </w:rPr>
        <w:fldChar w:fldCharType="separate"/>
      </w:r>
      <w:r>
        <w:rPr>
          <w:rFonts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"_Toc116550254" </w:instrText>
      </w:r>
      <w:r>
        <w:fldChar w:fldCharType="separate"/>
      </w:r>
      <w:r>
        <w:rPr>
          <w:rStyle w:val="19"/>
          <w:rFonts w:cs="仿宋" w:asciiTheme="minorEastAsia" w:hAnsiTheme="minorEastAsia" w:eastAsiaTheme="minorEastAsia"/>
        </w:rPr>
        <w:t>附件11：售后服务承诺书/质量保修服务承诺书（根据项目类型选择）</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_Toc116550254 \h </w:instrText>
      </w:r>
      <w:r>
        <w:rPr>
          <w:rFonts w:asciiTheme="minorEastAsia" w:hAnsiTheme="minorEastAsia" w:eastAsiaTheme="minorEastAsia"/>
        </w:rPr>
        <w:fldChar w:fldCharType="separate"/>
      </w:r>
      <w:r>
        <w:rPr>
          <w:rFonts w:asciiTheme="minorEastAsia" w:hAnsiTheme="minorEastAsia" w:eastAsiaTheme="minorEastAsia"/>
        </w:rPr>
        <w:t>19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"_Toc116550255" </w:instrText>
      </w:r>
      <w:r>
        <w:fldChar w:fldCharType="separate"/>
      </w:r>
      <w:r>
        <w:rPr>
          <w:rStyle w:val="19"/>
          <w:rFonts w:cs="仿宋" w:asciiTheme="minorEastAsia" w:hAnsiTheme="minorEastAsia" w:eastAsiaTheme="minorEastAsia"/>
        </w:rPr>
        <w:t>附件12：履约情况及社会信誉承诺书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_Toc116550255 \h </w:instrText>
      </w:r>
      <w:r>
        <w:rPr>
          <w:rFonts w:asciiTheme="minorEastAsia" w:hAnsiTheme="minorEastAsia" w:eastAsiaTheme="minorEastAsia"/>
        </w:rPr>
        <w:fldChar w:fldCharType="separate"/>
      </w:r>
      <w:r>
        <w:rPr>
          <w:rFonts w:asciiTheme="minorEastAsia" w:hAnsiTheme="minorEastAsia" w:eastAsiaTheme="minorEastAsia"/>
        </w:rPr>
        <w:t>20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"_Toc116550256" </w:instrText>
      </w:r>
      <w:r>
        <w:fldChar w:fldCharType="separate"/>
      </w:r>
      <w:r>
        <w:rPr>
          <w:rStyle w:val="19"/>
          <w:rFonts w:cs="仿宋" w:asciiTheme="minorEastAsia" w:hAnsiTheme="minorEastAsia" w:eastAsiaTheme="minorEastAsia"/>
        </w:rPr>
        <w:t>附件13：投标文件密码</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_Toc116550256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spacing w:line="360" w:lineRule="auto"/>
        <w:rPr>
          <w:rFonts w:ascii="方正小标宋_GBK" w:hAnsi="方正小标宋_GBK" w:eastAsia="方正小标宋_GBK" w:cs="方正小标宋_GBK"/>
          <w:b/>
          <w:szCs w:val="32"/>
        </w:rPr>
        <w:sectPr>
          <w:footerReference r:id="rId3" w:type="default"/>
          <w:pgSz w:w="11906" w:h="16838"/>
          <w:pgMar w:top="1134" w:right="926" w:bottom="1135" w:left="1440" w:header="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16550232"/>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color w:val="auto"/>
                <w:szCs w:val="21"/>
                <w:highlight w:val="none"/>
              </w:rPr>
            </w:pPr>
            <w:r>
              <w:rPr>
                <w:rFonts w:hint="eastAsia" w:ascii="宋体" w:hAnsi="宋体"/>
                <w:szCs w:val="21"/>
              </w:rPr>
              <w:t>联系人</w:t>
            </w:r>
            <w:r>
              <w:rPr>
                <w:rFonts w:hint="eastAsia" w:ascii="宋体" w:hAnsi="宋体"/>
                <w:color w:val="auto"/>
                <w:szCs w:val="21"/>
                <w:highlight w:val="none"/>
              </w:rPr>
              <w:t>：</w:t>
            </w:r>
            <w:r>
              <w:rPr>
                <w:rFonts w:hint="eastAsia" w:ascii="宋体" w:hAnsi="宋体" w:cs="宋体"/>
                <w:color w:val="auto"/>
                <w:szCs w:val="21"/>
                <w:highlight w:val="none"/>
              </w:rPr>
              <w:t>黄先生</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电话：0755-8284</w:t>
            </w:r>
            <w:r>
              <w:rPr>
                <w:rFonts w:hint="eastAsia" w:ascii="宋体" w:hAnsi="宋体" w:cs="宋体"/>
                <w:color w:val="auto"/>
                <w:szCs w:val="21"/>
                <w:highlight w:val="none"/>
              </w:rPr>
              <w:t>8822</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传真：0755-8284</w:t>
            </w:r>
            <w:r>
              <w:rPr>
                <w:rFonts w:hint="eastAsia" w:ascii="宋体" w:hAnsi="宋体" w:cs="宋体"/>
                <w:color w:val="auto"/>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color w:val="auto"/>
                <w:szCs w:val="21"/>
                <w:highlight w:val="none"/>
              </w:rPr>
              <w:t>邮箱：</w:t>
            </w:r>
            <w:r>
              <w:rPr>
                <w:rFonts w:hint="eastAsia" w:ascii="宋体" w:hAnsi="宋体" w:cs="宋体"/>
                <w:color w:val="auto"/>
                <w:szCs w:val="21"/>
                <w:highlight w:val="none"/>
                <w:lang w:val="en-US" w:eastAsia="zh-CN"/>
              </w:rPr>
              <w:t>cghyz</w:t>
            </w:r>
            <w:r>
              <w:rPr>
                <w:rFonts w:hint="eastAsia" w:ascii="宋体" w:hAnsi="宋体" w:cs="宋体"/>
                <w:color w:val="auto"/>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深圳会展中心</w:t>
            </w:r>
            <w:r>
              <w:rPr>
                <w:rFonts w:hint="eastAsia" w:ascii="宋体" w:hAnsi="宋体"/>
                <w:color w:val="auto"/>
                <w:szCs w:val="21"/>
                <w:highlight w:val="none"/>
                <w:lang w:eastAsia="zh-CN"/>
              </w:rPr>
              <w:t>红灯笼</w:t>
            </w:r>
            <w:r>
              <w:rPr>
                <w:rFonts w:hint="eastAsia" w:ascii="宋体" w:hAnsi="宋体"/>
                <w:color w:val="auto"/>
                <w:szCs w:val="21"/>
                <w:highlight w:val="none"/>
                <w:lang w:val="en-US" w:eastAsia="zh-CN"/>
              </w:rPr>
              <w:t>采购</w:t>
            </w:r>
            <w:r>
              <w:rPr>
                <w:rFonts w:hint="eastAsia" w:ascii="宋体" w:hAnsi="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货物</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hint="default" w:ascii="宋体" w:hAnsi="宋体" w:eastAsia="宋体"/>
                <w:i/>
                <w:color w:val="auto"/>
                <w:szCs w:val="21"/>
                <w:highlight w:val="none"/>
                <w:lang w:val="en-US" w:eastAsia="zh-CN"/>
              </w:rPr>
            </w:pPr>
            <w:r>
              <w:rPr>
                <w:rFonts w:hint="eastAsia" w:ascii="宋体" w:hAnsi="宋体"/>
                <w:color w:val="auto"/>
                <w:szCs w:val="21"/>
                <w:highlight w:val="none"/>
                <w:lang w:eastAsia="zh-CN"/>
              </w:rPr>
              <w:t>为迎接</w:t>
            </w:r>
            <w:r>
              <w:rPr>
                <w:rFonts w:hint="eastAsia" w:ascii="宋体" w:hAnsi="宋体"/>
                <w:color w:val="auto"/>
                <w:szCs w:val="21"/>
                <w:highlight w:val="none"/>
                <w:lang w:val="en-US" w:eastAsia="zh-CN"/>
              </w:rPr>
              <w:t>2023年新春，烘托节日气氛，会展中心拟采购一批红灯笼美化装饰环境。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2</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w:t>
            </w:r>
            <w:r>
              <w:rPr>
                <w:rFonts w:hint="eastAsia" w:ascii="宋体" w:hAnsi="宋体"/>
                <w:color w:val="FF0000"/>
                <w:szCs w:val="21"/>
                <w:highlight w:val="yellow"/>
                <w:lang w:val="en-US" w:eastAsia="zh-CN"/>
              </w:rPr>
              <w:t>25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https://cg.szcec.com/sharing/BIizI1C7r，</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rPr>
                <w:rFonts w:hint="eastAsia" w:ascii="宋体" w:hAnsi="宋体"/>
                <w:szCs w:val="21"/>
              </w:rPr>
              <w:t>（</w:t>
            </w: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2</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w:t>
            </w:r>
            <w:r>
              <w:rPr>
                <w:rFonts w:hint="eastAsia" w:ascii="宋体" w:hAnsi="宋体"/>
                <w:color w:val="FF0000"/>
                <w:szCs w:val="21"/>
                <w:highlight w:val="yellow"/>
                <w:lang w:val="en-US" w:eastAsia="zh-CN"/>
              </w:rPr>
              <w:t>30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2</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w:t>
            </w:r>
            <w:r>
              <w:rPr>
                <w:rFonts w:hint="eastAsia" w:ascii="宋体" w:hAnsi="宋体"/>
                <w:color w:val="FF0000"/>
                <w:szCs w:val="21"/>
                <w:highlight w:val="yellow"/>
                <w:lang w:val="en-US" w:eastAsia="zh-CN"/>
              </w:rPr>
              <w:t>30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2</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w:t>
            </w:r>
            <w:r>
              <w:rPr>
                <w:rFonts w:hint="eastAsia" w:ascii="宋体" w:hAnsi="宋体"/>
                <w:color w:val="FF0000"/>
                <w:szCs w:val="21"/>
                <w:highlight w:val="yellow"/>
                <w:lang w:val="en-US" w:eastAsia="zh-CN"/>
              </w:rPr>
              <w:t>30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2</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w:t>
            </w:r>
            <w:r>
              <w:rPr>
                <w:rFonts w:hint="eastAsia" w:ascii="宋体" w:hAnsi="宋体"/>
                <w:color w:val="FF0000"/>
                <w:szCs w:val="21"/>
                <w:highlight w:val="yellow"/>
                <w:lang w:val="en-US" w:eastAsia="zh-CN"/>
              </w:rPr>
              <w:t>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https://cg.szcec.com/sharing/1cIxToVEi，</w:t>
            </w:r>
            <w:r>
              <w:rPr>
                <w:rFonts w:hint="eastAsia" w:ascii="宋体" w:hAnsi="宋体"/>
                <w:szCs w:val="21"/>
              </w:rPr>
              <w:t>并致电确认</w:t>
            </w:r>
            <w:bookmarkStart w:id="1" w:name="_Toc478393187"/>
            <w:bookmarkStart w:id="2" w:name="_Toc478110532"/>
            <w:bookmarkStart w:id="3" w:name="_Toc478392822"/>
            <w:r>
              <w:rPr>
                <w:rFonts w:hint="eastAsia" w:ascii="宋体" w:hAnsi="宋体"/>
                <w:szCs w:val="21"/>
              </w:rPr>
              <w:t>。</w:t>
            </w:r>
            <w:r>
              <w:rPr>
                <w:rFonts w:hint="eastAsia" w:ascii="宋体" w:hAnsi="宋体"/>
              </w:rPr>
              <w:t>注意事项如下：</w:t>
            </w:r>
          </w:p>
          <w:p>
            <w:pPr>
              <w:pStyle w:val="29"/>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9"/>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9"/>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9"/>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或WPS版）文件仅供评标时搜索文件内容之用而不作为评审依据。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2</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w:t>
            </w:r>
            <w:r>
              <w:rPr>
                <w:rFonts w:hint="eastAsia" w:ascii="宋体" w:hAnsi="宋体"/>
                <w:color w:val="FF0000"/>
                <w:szCs w:val="21"/>
                <w:highlight w:val="yellow"/>
                <w:lang w:val="en-US" w:eastAsia="zh-CN"/>
              </w:rPr>
              <w:t>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lang w:bidi="ar"/>
              </w:rPr>
            </w:pPr>
            <w:r>
              <w:rPr>
                <w:rFonts w:hint="eastAsia" w:ascii="宋体" w:hAnsi="宋体" w:cs="宋体"/>
                <w:color w:val="FF0000"/>
                <w:szCs w:val="21"/>
                <w:highlight w:val="yellow"/>
                <w:lang w:bidi="ar"/>
              </w:rPr>
              <w:t>开标密码上传要求：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yellow"/>
                <w:lang w:bidi="ar"/>
              </w:rPr>
              <w:t>请在开标前30分钟内将投标文件解密密码上传至https://cg.szcec.com/sharing/FKU4hZWjr,未按时上传投标文件解密密码将失去投标资格。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kern w:val="0"/>
                <w:szCs w:val="21"/>
                <w:highlight w:val="none"/>
              </w:rPr>
              <w:sym w:font="Wingdings 2" w:char="0052"/>
            </w:r>
            <w:r>
              <w:rPr>
                <w:rFonts w:hint="eastAsia" w:ascii="宋体" w:hAnsi="宋体"/>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不组织。可在本项目招标公告发布后至报名（文件获取）时间截止前自行踏勘。</w:t>
            </w:r>
          </w:p>
          <w:p>
            <w:pPr>
              <w:numPr>
                <w:ilvl w:val="0"/>
                <w:numId w:val="4"/>
              </w:numPr>
              <w:tabs>
                <w:tab w:val="left" w:pos="281"/>
                <w:tab w:val="left" w:pos="541"/>
              </w:tabs>
              <w:snapToGrid w:val="0"/>
              <w:spacing w:after="156" w:afterLines="50"/>
              <w:rPr>
                <w:rFonts w:ascii="宋体" w:hAnsi="宋体"/>
                <w:kern w:val="0"/>
                <w:szCs w:val="21"/>
              </w:rPr>
            </w:pPr>
            <w:r>
              <w:rPr>
                <w:rFonts w:hint="eastAsia" w:ascii="宋体" w:hAnsi="宋体"/>
                <w:kern w:val="0"/>
                <w:szCs w:val="21"/>
              </w:rPr>
              <w:t>□组织，踏勘要求：</w:t>
            </w:r>
          </w:p>
          <w:p>
            <w:pPr>
              <w:pStyle w:val="29"/>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9"/>
              <w:tabs>
                <w:tab w:val="left" w:pos="541"/>
              </w:tabs>
              <w:snapToGrid w:val="0"/>
              <w:spacing w:after="156" w:afterLines="5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9"/>
              <w:numPr>
                <w:ilvl w:val="0"/>
                <w:numId w:val="6"/>
              </w:numPr>
              <w:tabs>
                <w:tab w:val="left" w:pos="541"/>
              </w:tabs>
              <w:snapToGrid w:val="0"/>
              <w:spacing w:after="156" w:afterLines="5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 ××: ××</w:t>
            </w:r>
            <w:r>
              <w:rPr>
                <w:rFonts w:hint="eastAsia" w:ascii="宋体" w:hAnsi="宋体"/>
                <w:kern w:val="0"/>
                <w:szCs w:val="21"/>
              </w:rPr>
              <w:t>邀请参加单位人员察看现场并讲解项目需求；参加单位应指派完全符合疫情防控要求的人员参加本项目的现场踏勘。</w:t>
            </w:r>
          </w:p>
          <w:p>
            <w:pPr>
              <w:pStyle w:val="29"/>
              <w:numPr>
                <w:ilvl w:val="0"/>
                <w:numId w:val="6"/>
              </w:numPr>
              <w:tabs>
                <w:tab w:val="left" w:pos="541"/>
              </w:tabs>
              <w:snapToGrid w:val="0"/>
              <w:spacing w:after="156" w:afterLines="5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9"/>
              <w:numPr>
                <w:ilvl w:val="0"/>
                <w:numId w:val="6"/>
              </w:numPr>
              <w:tabs>
                <w:tab w:val="left" w:pos="541"/>
              </w:tabs>
              <w:snapToGrid w:val="0"/>
              <w:spacing w:after="156" w:afterLines="5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9"/>
              <w:numPr>
                <w:ilvl w:val="0"/>
                <w:numId w:val="6"/>
              </w:numPr>
              <w:tabs>
                <w:tab w:val="left" w:pos="541"/>
              </w:tabs>
              <w:snapToGrid w:val="0"/>
              <w:spacing w:after="156" w:afterLines="50"/>
              <w:ind w:left="805" w:hanging="224" w:firstLineChars="0"/>
              <w:rPr>
                <w:rFonts w:ascii="宋体" w:hAnsi="宋体"/>
                <w:kern w:val="0"/>
                <w:szCs w:val="21"/>
              </w:rPr>
            </w:pPr>
            <w:r>
              <w:rPr>
                <w:rFonts w:hint="eastAsia" w:ascii="宋体" w:hAnsi="宋体"/>
                <w:kern w:val="0"/>
                <w:szCs w:val="21"/>
              </w:rPr>
              <w:t>鉴</w:t>
            </w:r>
            <w:r>
              <w:rPr>
                <w:rFonts w:hint="eastAsia" w:ascii="宋体" w:hAnsi="宋体"/>
                <w:kern w:val="0"/>
              </w:rPr>
              <w:t>于疫情防控要求，所有入场人员需持</w:t>
            </w:r>
            <w:r>
              <w:rPr>
                <w:rFonts w:hint="eastAsia" w:ascii="宋体" w:hAnsi="宋体"/>
                <w:color w:val="FF0000"/>
                <w:kern w:val="0"/>
                <w:highlight w:val="yellow"/>
              </w:rPr>
              <w:t>24小时</w:t>
            </w:r>
            <w:r>
              <w:rPr>
                <w:rFonts w:hint="eastAsia" w:ascii="宋体" w:hAnsi="宋体"/>
                <w:kern w:val="0"/>
              </w:rPr>
              <w:t>核酸检测阴性结果，参加单位须至少提前1天与踏勘联系人预约。否则，将可能导致参加单位不能进入踏勘现场的不利后果。参加单位必须保证所安排的踏勘人员完全符合政府主管部门及采购人的疫情防控要求，否则由此带来的一切责任和风险均由参加单位自行承担。且采购人有权拒绝未预约备案人员参加本项目踏勘活动。</w:t>
            </w:r>
            <w:r>
              <w:rPr>
                <w:rFonts w:hint="eastAsia" w:ascii="宋体" w:hAnsi="宋体"/>
                <w:b/>
                <w:color w:val="FF0000"/>
                <w:kern w:val="0"/>
              </w:rPr>
              <w:t>（特别注意：各参加单位不得指派属于高、低风险区人员作为本项目的踏勘人员）</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29"/>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0755-8284××××,移动电话：××××</w:t>
            </w:r>
          </w:p>
          <w:p>
            <w:pPr>
              <w:pStyle w:val="29"/>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rPr>
              <w:t>××××××××××××××</w:t>
            </w:r>
          </w:p>
          <w:p>
            <w:pPr>
              <w:pStyle w:val="29"/>
              <w:tabs>
                <w:tab w:val="left" w:pos="541"/>
              </w:tabs>
              <w:snapToGrid w:val="0"/>
              <w:ind w:firstLine="0" w:firstLineChars="0"/>
              <w:rPr>
                <w:rFonts w:ascii="宋体" w:hAnsi="宋体"/>
                <w:kern w:val="0"/>
                <w:szCs w:val="21"/>
              </w:rPr>
            </w:pPr>
            <w:r>
              <w:rPr>
                <w:rFonts w:hint="eastAsia" w:ascii="宋体" w:hAnsi="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hint="default" w:ascii="宋体" w:hAnsi="宋体" w:eastAsia="宋体" w:cs="Segoe UI Symbol"/>
                <w:color w:val="auto"/>
                <w:kern w:val="0"/>
                <w:szCs w:val="21"/>
                <w:highlight w:val="none"/>
                <w:lang w:val="en-US" w:eastAsia="zh-CN"/>
              </w:rPr>
            </w:pPr>
            <w:r>
              <w:rPr>
                <w:rFonts w:hint="eastAsia" w:ascii="宋体" w:hAnsi="宋体" w:cs="Segoe UI Symbol"/>
                <w:color w:val="auto"/>
                <w:kern w:val="0"/>
                <w:szCs w:val="21"/>
                <w:highlight w:val="none"/>
                <w:lang w:val="en-US" w:eastAsia="zh-CN"/>
              </w:rPr>
              <w:t>综合评比法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Segoe UI Symbol" w:hAnsi="Segoe UI Symbol" w:cs="Segoe UI Symbol"/>
                <w:color w:val="auto"/>
                <w:szCs w:val="21"/>
                <w:highlight w:val="none"/>
              </w:rPr>
              <w:t>☑</w:t>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1个</w:t>
            </w:r>
            <w:r>
              <w:rPr>
                <w:rFonts w:hint="eastAsia" w:ascii="宋体" w:hAnsi="宋体" w:cs="Segoe UI Symbol"/>
                <w:color w:val="auto"/>
                <w:kern w:val="0"/>
                <w:szCs w:val="21"/>
                <w:highlight w:val="none"/>
              </w:rPr>
              <w:t>。</w:t>
            </w:r>
          </w:p>
        </w:tc>
      </w:tr>
    </w:tbl>
    <w:p>
      <w:pPr>
        <w:numPr>
          <w:ilvl w:val="0"/>
          <w:numId w:val="1"/>
        </w:numPr>
        <w:spacing w:line="300" w:lineRule="auto"/>
        <w:ind w:left="0" w:firstLine="0"/>
        <w:outlineLvl w:val="0"/>
        <w:rPr>
          <w:rFonts w:ascii="宋体" w:hAnsi="宋体" w:cs="宋体"/>
          <w:b/>
          <w:szCs w:val="21"/>
        </w:rPr>
      </w:pPr>
      <w:bookmarkStart w:id="4" w:name="_Toc116550233"/>
      <w:r>
        <w:rPr>
          <w:rFonts w:hint="eastAsia" w:ascii="宋体" w:hAnsi="宋体" w:cs="宋体"/>
          <w:b/>
          <w:szCs w:val="21"/>
        </w:rPr>
        <w:t>特别说明</w:t>
      </w:r>
      <w:bookmarkEnd w:id="4"/>
    </w:p>
    <w:p>
      <w:pPr>
        <w:pStyle w:val="29"/>
        <w:numPr>
          <w:ilvl w:val="0"/>
          <w:numId w:val="7"/>
        </w:numPr>
        <w:spacing w:line="360" w:lineRule="auto"/>
        <w:ind w:left="0" w:firstLine="420" w:firstLineChars="0"/>
        <w:rPr>
          <w:rFonts w:ascii="宋体" w:hAnsi="宋体" w:cs="宋体"/>
          <w:szCs w:val="21"/>
        </w:rPr>
      </w:pPr>
      <w:bookmarkStart w:id="5" w:name="_Toc45028463"/>
      <w:bookmarkStart w:id="6" w:name="_Toc478387747"/>
      <w:bookmarkStart w:id="7" w:name="_Toc517278751"/>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p>
      <w:pPr>
        <w:pStyle w:val="29"/>
        <w:numPr>
          <w:ilvl w:val="-1"/>
          <w:numId w:val="0"/>
        </w:numPr>
        <w:spacing w:line="360" w:lineRule="auto"/>
        <w:ind w:left="420" w:firstLine="0" w:firstLineChars="0"/>
        <w:rPr>
          <w:rFonts w:ascii="宋体" w:hAnsi="宋体" w:cs="宋体"/>
          <w:szCs w:val="21"/>
        </w:rPr>
      </w:pPr>
    </w:p>
    <w:bookmarkEnd w:id="5"/>
    <w:bookmarkEnd w:id="6"/>
    <w:bookmarkEnd w:id="7"/>
    <w:p>
      <w:pPr>
        <w:numPr>
          <w:ilvl w:val="0"/>
          <w:numId w:val="1"/>
        </w:numPr>
        <w:spacing w:line="300" w:lineRule="auto"/>
        <w:outlineLvl w:val="0"/>
      </w:pPr>
      <w:bookmarkStart w:id="8" w:name="_Toc116550234"/>
      <w:r>
        <w:rPr>
          <w:rFonts w:hint="eastAsia" w:ascii="宋体" w:hAnsi="宋体" w:cs="宋体"/>
          <w:b/>
          <w:sz w:val="24"/>
        </w:rPr>
        <w:t>投标文件编制</w:t>
      </w:r>
      <w:bookmarkEnd w:id="8"/>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hint="eastAsia" w:ascii="Segoe UI Symbol" w:hAnsi="Segoe UI Symbol" w:cs="Segoe UI Symbol"/>
                <w:kern w:val="0"/>
                <w:szCs w:val="21"/>
                <w:lang w:eastAsia="zh-CN"/>
              </w:rPr>
              <w:sym w:font="Wingdings 2" w:char="00A3"/>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lang w:eastAsia="zh-CN"/>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bCs/>
                <w:snapToGrid w:val="0"/>
                <w:kern w:val="0"/>
                <w:szCs w:val="21"/>
              </w:rPr>
            </w:pPr>
            <w:r>
              <w:rPr>
                <w:rFonts w:hint="eastAsia" w:ascii="宋体" w:hAnsi="宋体"/>
                <w:bCs/>
                <w:snapToGrid w:val="0"/>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2"/>
      </w:pPr>
    </w:p>
    <w:p>
      <w:pPr>
        <w:pStyle w:val="12"/>
      </w:pPr>
    </w:p>
    <w:p>
      <w:pPr>
        <w:numPr>
          <w:ilvl w:val="0"/>
          <w:numId w:val="1"/>
        </w:numPr>
        <w:spacing w:line="300" w:lineRule="auto"/>
        <w:outlineLvl w:val="0"/>
        <w:rPr>
          <w:rFonts w:ascii="宋体" w:hAnsi="宋体" w:cs="宋体"/>
          <w:b/>
          <w:sz w:val="24"/>
        </w:rPr>
      </w:pPr>
      <w:bookmarkStart w:id="9" w:name="_Toc116550235"/>
      <w:r>
        <w:rPr>
          <w:rFonts w:hint="eastAsia" w:ascii="宋体" w:hAnsi="宋体" w:cs="宋体"/>
          <w:b/>
          <w:sz w:val="24"/>
        </w:rPr>
        <w:t>项目要求</w:t>
      </w:r>
      <w:bookmarkEnd w:id="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ind w:left="0" w:firstLine="0"/>
              <w:rPr>
                <w:rFonts w:ascii="宋体" w:hAnsi="宋体" w:cs="宋体"/>
                <w:kern w:val="0"/>
                <w:sz w:val="24"/>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lang w:eastAsia="zh-CN"/>
              </w:rPr>
              <w:t>）</w:t>
            </w:r>
            <w:bookmarkStart w:id="10" w:name="OLE_LINK3"/>
            <w:bookmarkStart w:id="11" w:name="OLE_LINK4"/>
            <w:r>
              <w:rPr>
                <w:rFonts w:hint="eastAsia" w:ascii="宋体" w:hAnsi="宋体" w:cs="宋体"/>
              </w:rPr>
              <w:t>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bookmarkEnd w:id="10"/>
            <w:bookmarkEnd w:id="11"/>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rPr>
              <w:t>报价以人民币为结算币种，</w:t>
            </w:r>
            <w:r>
              <w:rPr>
                <w:rFonts w:hint="eastAsia" w:ascii="宋体" w:hAnsi="宋体" w:cs="宋体"/>
                <w:color w:val="auto"/>
                <w:szCs w:val="21"/>
                <w:highlight w:val="none"/>
              </w:rPr>
              <w:t>报价应包含单价和总价。</w:t>
            </w:r>
          </w:p>
          <w:p>
            <w:pPr>
              <w:numPr>
                <w:ilvl w:val="0"/>
                <w:numId w:val="9"/>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报价不得出现可选择性的报价,含有备选方案的报价将导致废标。</w:t>
            </w:r>
          </w:p>
          <w:p>
            <w:pPr>
              <w:numPr>
                <w:ilvl w:val="0"/>
                <w:numId w:val="9"/>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报价包括但不限于</w:t>
            </w:r>
            <w:r>
              <w:rPr>
                <w:rFonts w:hint="eastAsia" w:ascii="宋体" w:hAnsi="宋体" w:cs="宋体"/>
                <w:color w:val="auto"/>
                <w:szCs w:val="21"/>
                <w:highlight w:val="none"/>
                <w:lang w:eastAsia="zh-CN"/>
              </w:rPr>
              <w:t>灯笼制作材料</w:t>
            </w:r>
            <w:r>
              <w:rPr>
                <w:rFonts w:hint="eastAsia" w:ascii="宋体" w:hAnsi="宋体" w:cs="宋体"/>
                <w:color w:val="auto"/>
                <w:szCs w:val="21"/>
                <w:highlight w:val="none"/>
              </w:rPr>
              <w:t>费、</w:t>
            </w:r>
            <w:r>
              <w:rPr>
                <w:rFonts w:hint="eastAsia" w:ascii="宋体" w:hAnsi="宋体" w:cs="宋体"/>
                <w:color w:val="auto"/>
                <w:szCs w:val="21"/>
                <w:highlight w:val="none"/>
                <w:lang w:eastAsia="zh-CN"/>
              </w:rPr>
              <w:t>组装人工</w:t>
            </w:r>
            <w:r>
              <w:rPr>
                <w:rFonts w:hint="eastAsia" w:ascii="宋体" w:hAnsi="宋体" w:cs="宋体"/>
                <w:color w:val="auto"/>
                <w:szCs w:val="21"/>
                <w:highlight w:val="none"/>
              </w:rPr>
              <w:t>费、</w:t>
            </w:r>
            <w:r>
              <w:rPr>
                <w:rFonts w:hint="eastAsia" w:ascii="宋体" w:hAnsi="宋体" w:cs="宋体"/>
                <w:color w:val="auto"/>
                <w:szCs w:val="21"/>
                <w:highlight w:val="none"/>
                <w:lang w:eastAsia="zh-CN"/>
              </w:rPr>
              <w:t>运输</w:t>
            </w:r>
            <w:r>
              <w:rPr>
                <w:rFonts w:hint="eastAsia" w:ascii="宋体" w:hAnsi="宋体" w:cs="宋体"/>
                <w:color w:val="auto"/>
                <w:szCs w:val="21"/>
                <w:highlight w:val="none"/>
              </w:rPr>
              <w:t>费</w:t>
            </w:r>
            <w:r>
              <w:rPr>
                <w:rFonts w:hint="eastAsia" w:ascii="宋体" w:hAnsi="宋体" w:cs="宋体"/>
                <w:color w:val="auto"/>
                <w:szCs w:val="21"/>
                <w:highlight w:val="none"/>
                <w:lang w:eastAsia="zh-CN"/>
              </w:rPr>
              <w:t>、相关运输保险</w:t>
            </w:r>
            <w:r>
              <w:rPr>
                <w:rFonts w:hint="eastAsia" w:ascii="宋体" w:hAnsi="宋体" w:cs="宋体"/>
                <w:color w:val="auto"/>
                <w:szCs w:val="21"/>
                <w:highlight w:val="none"/>
              </w:rPr>
              <w:t>及增值税等完成本项目所需的全部费用。</w:t>
            </w:r>
          </w:p>
          <w:p>
            <w:pPr>
              <w:numPr>
                <w:ilvl w:val="0"/>
                <w:numId w:val="9"/>
              </w:numPr>
              <w:tabs>
                <w:tab w:val="left" w:pos="531"/>
              </w:tabs>
              <w:snapToGrid w:val="0"/>
              <w:spacing w:line="240" w:lineRule="auto"/>
              <w:rPr>
                <w:rFonts w:ascii="宋体" w:hAnsi="宋体" w:cs="宋体"/>
                <w:color w:val="auto"/>
                <w:sz w:val="24"/>
              </w:rPr>
            </w:pPr>
            <w:r>
              <w:rPr>
                <w:rFonts w:hint="eastAsia" w:ascii="宋体" w:hAnsi="宋体" w:cs="宋体"/>
                <w:color w:val="auto"/>
                <w:szCs w:val="21"/>
                <w:highlight w:val="none"/>
              </w:rPr>
              <w:t>本项目承包方式为总价包干，因中选单位施工或管理原因导致的返工等问题，均由中选单位自行承担，采购人不再支付其他任何费用。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ascii="宋体" w:hAnsi="宋体" w:cs="宋体"/>
                <w:color w:val="auto"/>
                <w:sz w:val="24"/>
              </w:rPr>
            </w:pPr>
            <w:r>
              <w:rPr>
                <w:rFonts w:hint="eastAsia" w:ascii="宋体" w:hAnsi="宋体" w:cs="宋体"/>
                <w:color w:val="auto"/>
              </w:rPr>
              <w:t>本项目控制金额为人民币</w:t>
            </w:r>
            <w:r>
              <w:rPr>
                <w:rFonts w:hint="eastAsia" w:ascii="宋体" w:hAnsi="宋体" w:cs="宋体"/>
                <w:color w:val="auto"/>
                <w:highlight w:val="yellow"/>
                <w:lang w:val="en-US" w:eastAsia="zh-CN"/>
              </w:rPr>
              <w:t>6.86</w:t>
            </w:r>
            <w:r>
              <w:rPr>
                <w:rFonts w:hint="eastAsia" w:ascii="宋体" w:hAnsi="宋体" w:cs="宋体"/>
                <w:color w:val="auto"/>
                <w:highlight w:val="yellow"/>
              </w:rPr>
              <w:t>万元</w:t>
            </w:r>
            <w:r>
              <w:rPr>
                <w:rFonts w:hint="eastAsia" w:ascii="宋体" w:hAnsi="宋体" w:cs="宋体"/>
                <w:color w:val="auto"/>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1"/>
                <w:numId w:val="0"/>
              </w:numPr>
              <w:snapToGrid w:val="0"/>
              <w:spacing w:line="240" w:lineRule="auto"/>
              <w:ind w:left="0" w:firstLine="0" w:firstLineChars="0"/>
              <w:rPr>
                <w:rFonts w:ascii="宋体" w:hAnsi="宋体" w:cs="宋体"/>
                <w:color w:val="auto"/>
                <w:kern w:val="0"/>
                <w:sz w:val="24"/>
              </w:rPr>
            </w:pPr>
            <w:r>
              <w:rPr>
                <w:rFonts w:hint="eastAsia" w:ascii="宋体" w:hAnsi="宋体" w:eastAsia="宋体" w:cs="宋体"/>
                <w:color w:val="auto"/>
                <w:kern w:val="2"/>
                <w:sz w:val="21"/>
                <w:szCs w:val="21"/>
                <w:highlight w:val="none"/>
                <w:lang w:val="en-US" w:eastAsia="zh-CN" w:bidi="ar-SA"/>
              </w:rPr>
              <w:t>本项目签订合同后，交货完毕且验收合格，开具增值税专用发票后二十个工作日，一次性支付合同总金额（不计利息）。</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交货期</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hint="default" w:ascii="宋体" w:hAnsi="宋体" w:eastAsia="宋体" w:cs="宋体"/>
                <w:color w:val="auto"/>
                <w:kern w:val="0"/>
                <w:sz w:val="24"/>
                <w:highlight w:val="none"/>
                <w:lang w:val="en-US" w:eastAsia="zh-CN"/>
              </w:rPr>
            </w:pPr>
            <w:r>
              <w:rPr>
                <w:rFonts w:hint="eastAsia" w:ascii="宋体" w:hAnsi="宋体" w:cs="宋体"/>
                <w:color w:val="auto"/>
                <w:highlight w:val="none"/>
                <w:lang w:val="en-US" w:eastAsia="zh-CN"/>
              </w:rPr>
              <w:t>收到中标通知书20个日历日内完成交付货物</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质保期/服务承诺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hint="eastAsia" w:ascii="宋体" w:hAnsi="宋体" w:eastAsia="宋体" w:cs="宋体"/>
                <w:color w:val="auto"/>
                <w:kern w:val="0"/>
                <w:sz w:val="24"/>
                <w:highlight w:val="none"/>
                <w:lang w:eastAsia="zh-CN"/>
              </w:rPr>
            </w:pPr>
            <w:r>
              <w:rPr>
                <w:rFonts w:hint="eastAsia" w:ascii="宋体" w:hAnsi="宋体" w:cs="宋体"/>
                <w:color w:val="auto"/>
                <w:highlight w:val="none"/>
                <w:lang w:eastAsia="zh-CN"/>
              </w:rPr>
              <w:t>中标单位须现场培训招标方作业人员灯笼的打开及收纳正确操作方式，</w:t>
            </w:r>
            <w:r>
              <w:rPr>
                <w:rFonts w:hint="eastAsia" w:ascii="宋体" w:hAnsi="宋体" w:cs="宋体"/>
                <w:color w:val="auto"/>
                <w:highlight w:val="none"/>
                <w:lang w:val="en-US" w:eastAsia="zh-CN"/>
              </w:rPr>
              <w:t>并需现场组装好</w:t>
            </w:r>
            <w:r>
              <w:rPr>
                <w:rFonts w:hint="eastAsia" w:ascii="宋体" w:hAnsi="宋体" w:cs="宋体"/>
                <w:color w:val="auto"/>
                <w:highlight w:val="none"/>
                <w:lang w:eastAsia="zh-CN"/>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eastAsia" w:ascii="宋体" w:hAnsi="宋体" w:eastAsia="宋体" w:cs="宋体"/>
                <w:color w:val="auto"/>
                <w:spacing w:val="0"/>
                <w:kern w:val="2"/>
                <w:sz w:val="21"/>
                <w:szCs w:val="21"/>
                <w:lang w:val="en-US" w:eastAsia="zh-CN"/>
              </w:rPr>
            </w:pPr>
            <w:r>
              <w:rPr>
                <w:rFonts w:hint="eastAsia" w:ascii="宋体" w:hAnsi="宋体" w:cs="宋体"/>
                <w:color w:val="auto"/>
                <w:spacing w:val="0"/>
                <w:kern w:val="2"/>
                <w:sz w:val="21"/>
                <w:szCs w:val="21"/>
                <w:lang w:val="en-US" w:eastAsia="zh-CN"/>
              </w:rPr>
              <w:t>7</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验收</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1"/>
                <w:numId w:val="0"/>
              </w:numPr>
              <w:snapToGrid/>
              <w:ind w:left="0" w:firstLine="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）中标人负责将灯笼运送至采购人指定的收货地点；</w:t>
            </w:r>
          </w:p>
          <w:p>
            <w:pPr>
              <w:pStyle w:val="29"/>
              <w:spacing w:line="0" w:lineRule="atLeast"/>
              <w:ind w:firstLine="0" w:firstLineChars="0"/>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eastAsia="宋体" w:cs="宋体"/>
                <w:color w:val="auto"/>
                <w:sz w:val="21"/>
                <w:szCs w:val="21"/>
                <w:highlight w:val="none"/>
              </w:rPr>
              <w:t>由采购人牵头组织验收，验收时采购人和中标人双方必须同时在场</w:t>
            </w:r>
            <w:r>
              <w:rPr>
                <w:rFonts w:hint="eastAsia" w:ascii="宋体" w:hAnsi="宋体" w:cs="宋体"/>
                <w:color w:val="auto"/>
                <w:sz w:val="21"/>
                <w:szCs w:val="21"/>
                <w:highlight w:val="none"/>
                <w:lang w:eastAsia="zh-CN"/>
              </w:rPr>
              <w:t>，验收产品数量、规格、及材料均需符合采购要求。</w:t>
            </w:r>
          </w:p>
        </w:tc>
        <w:tc>
          <w:tcPr>
            <w:tcW w:w="785"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szCs w:val="21"/>
                <w:lang w:val="en-US" w:eastAsia="zh-CN"/>
              </w:rPr>
            </w:pPr>
            <w:r>
              <w:rPr>
                <w:rFonts w:hint="eastAsia" w:ascii="宋体" w:hAnsi="宋体" w:cs="宋体"/>
                <w:color w:val="auto"/>
                <w:szCs w:val="21"/>
                <w:highlight w:val="none"/>
              </w:rPr>
              <w:t>不可偏</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rPr>
            </w:pPr>
            <w:r>
              <w:rPr>
                <w:rFonts w:hint="eastAsia" w:ascii="宋体" w:hAnsi="宋体" w:cs="宋体"/>
                <w:b/>
                <w:color w:val="auto"/>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highlight w:val="none"/>
                <w:lang w:eastAsia="zh-CN"/>
              </w:rPr>
              <w:t>灯笼数量及规格</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1"/>
                <w:numId w:val="0"/>
              </w:numPr>
              <w:ind w:left="0"/>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（1）5.2米直径红灯笼</w:t>
            </w:r>
            <w:r>
              <w:rPr>
                <w:rFonts w:hint="eastAsia" w:ascii="宋体" w:hAnsi="宋体" w:cs="宋体"/>
                <w:color w:val="auto"/>
                <w:sz w:val="21"/>
                <w:szCs w:val="21"/>
                <w:highlight w:val="none"/>
                <w:lang w:val="en-US" w:eastAsia="zh-CN"/>
              </w:rPr>
              <w:t xml:space="preserve">    数量：4个</w:t>
            </w:r>
            <w:r>
              <w:rPr>
                <w:rFonts w:hint="eastAsia" w:ascii="宋体" w:hAnsi="宋体" w:cs="宋体"/>
                <w:color w:val="auto"/>
                <w:highlight w:val="none"/>
                <w:lang w:eastAsia="zh-CN"/>
              </w:rPr>
              <w:t>；</w:t>
            </w:r>
          </w:p>
          <w:p>
            <w:pPr>
              <w:numPr>
                <w:ilvl w:val="-1"/>
                <w:numId w:val="0"/>
              </w:numPr>
              <w:ind w:left="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（2）规格尺寸：</w:t>
            </w:r>
            <w:r>
              <w:rPr>
                <w:rFonts w:hint="eastAsia" w:ascii="宋体" w:hAnsi="宋体" w:eastAsia="宋体" w:cs="宋体"/>
                <w:color w:val="auto"/>
                <w:sz w:val="21"/>
                <w:szCs w:val="21"/>
                <w:highlight w:val="none"/>
                <w:lang w:val="en-US" w:eastAsia="zh-CN"/>
              </w:rPr>
              <w:t>张开直径520cm，收合高度约600cm，整体达到安全稳固</w:t>
            </w:r>
            <w:r>
              <w:rPr>
                <w:rFonts w:hint="eastAsia" w:ascii="宋体" w:hAnsi="宋体" w:cs="宋体"/>
                <w:color w:val="auto"/>
                <w:sz w:val="21"/>
                <w:szCs w:val="21"/>
                <w:highlight w:val="none"/>
                <w:lang w:val="en-US" w:eastAsia="zh-CN"/>
              </w:rPr>
              <w:t>，风吹雨淋</w:t>
            </w:r>
            <w:r>
              <w:rPr>
                <w:rFonts w:hint="eastAsia" w:ascii="宋体" w:hAnsi="宋体" w:eastAsia="宋体" w:cs="宋体"/>
                <w:color w:val="auto"/>
                <w:sz w:val="21"/>
                <w:szCs w:val="21"/>
                <w:highlight w:val="none"/>
                <w:lang w:val="en-US" w:eastAsia="zh-CN"/>
              </w:rPr>
              <w:t>不变形</w:t>
            </w:r>
            <w:r>
              <w:rPr>
                <w:rFonts w:hint="eastAsia" w:ascii="宋体" w:hAnsi="宋体" w:cs="宋体"/>
                <w:color w:val="auto"/>
                <w:highlight w:val="none"/>
                <w:lang w:eastAsia="zh-CN"/>
              </w:rPr>
              <w:t>；</w:t>
            </w:r>
          </w:p>
          <w:p>
            <w:pPr>
              <w:numPr>
                <w:ilvl w:val="-1"/>
                <w:numId w:val="0"/>
              </w:numPr>
              <w:snapToGrid/>
              <w:ind w:left="0" w:firstLine="0" w:firstLineChars="0"/>
              <w:rPr>
                <w:rFonts w:hint="default" w:ascii="宋体" w:hAnsi="宋体" w:cs="宋体"/>
                <w:color w:val="auto"/>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cs="宋体"/>
                <w:color w:val="auto"/>
                <w:highlight w:val="none"/>
                <w:lang w:eastAsia="zh-CN"/>
              </w:rPr>
              <w:t>灯笼表面材质使用正红色</w:t>
            </w:r>
            <w:r>
              <w:rPr>
                <w:rFonts w:hint="eastAsia" w:ascii="宋体" w:hAnsi="宋体" w:eastAsia="宋体" w:cs="宋体"/>
                <w:color w:val="auto"/>
                <w:sz w:val="21"/>
                <w:szCs w:val="21"/>
                <w:highlight w:val="none"/>
                <w:lang w:val="en-US" w:eastAsia="zh-CN"/>
              </w:rPr>
              <w:t>涤塔夫布料</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有耐新、耐晒、防水优点</w:t>
            </w:r>
            <w:r>
              <w:rPr>
                <w:rFonts w:hint="eastAsia" w:ascii="宋体" w:hAnsi="宋体" w:cs="宋体"/>
                <w:color w:val="auto"/>
                <w:sz w:val="21"/>
                <w:szCs w:val="21"/>
                <w:highlight w:val="none"/>
                <w:lang w:val="en-US" w:eastAsia="zh-CN"/>
              </w:rPr>
              <w:t>）</w:t>
            </w:r>
            <w:r>
              <w:rPr>
                <w:rFonts w:hint="eastAsia" w:ascii="宋体" w:hAnsi="宋体" w:cs="宋体"/>
                <w:color w:val="auto"/>
                <w:highlight w:val="none"/>
                <w:lang w:eastAsia="zh-CN"/>
              </w:rPr>
              <w:t>，上下装饰边均为金色，配黄色灯笼穗；</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3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lang w:eastAsia="zh-CN"/>
              </w:rPr>
            </w:pPr>
            <w:r>
              <w:rPr>
                <w:rFonts w:hint="eastAsia" w:ascii="宋体" w:hAnsi="宋体" w:cs="宋体"/>
                <w:color w:val="auto"/>
                <w:highlight w:val="none"/>
                <w:lang w:eastAsia="zh-CN"/>
              </w:rPr>
              <w:t>灯笼数量及规格</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1"/>
                <w:numId w:val="0"/>
              </w:numPr>
              <w:snapToGrid/>
              <w:ind w:left="0" w:firstLine="0"/>
              <w:rPr>
                <w:rFonts w:ascii="宋体" w:hAnsi="宋体" w:cs="宋体"/>
                <w:color w:val="auto"/>
                <w:szCs w:val="21"/>
                <w:highlight w:val="none"/>
              </w:rPr>
            </w:pPr>
            <w:r>
              <w:rPr>
                <w:rFonts w:hint="eastAsia" w:ascii="宋体" w:hAnsi="宋体" w:cs="宋体"/>
                <w:color w:val="auto"/>
                <w:szCs w:val="21"/>
                <w:highlight w:val="none"/>
                <w:lang w:val="en-US" w:eastAsia="zh-CN"/>
              </w:rPr>
              <w:t>（1）1米直径红色灯笼</w:t>
            </w:r>
            <w:r>
              <w:rPr>
                <w:rFonts w:hint="eastAsia" w:ascii="宋体" w:hAnsi="宋体" w:cs="宋体"/>
                <w:color w:val="auto"/>
                <w:sz w:val="21"/>
                <w:szCs w:val="21"/>
                <w:highlight w:val="none"/>
                <w:lang w:val="en-US" w:eastAsia="zh-CN"/>
              </w:rPr>
              <w:t xml:space="preserve">    数量：28个</w:t>
            </w:r>
            <w:r>
              <w:rPr>
                <w:rFonts w:hint="eastAsia" w:ascii="宋体" w:hAnsi="宋体" w:cs="宋体"/>
                <w:color w:val="auto"/>
                <w:highlight w:val="none"/>
                <w:lang w:eastAsia="zh-CN"/>
              </w:rPr>
              <w:t>；</w:t>
            </w:r>
          </w:p>
          <w:p>
            <w:pPr>
              <w:numPr>
                <w:ilvl w:val="-1"/>
                <w:numId w:val="0"/>
              </w:numPr>
              <w:snapToGrid/>
              <w:ind w:left="0" w:firstLine="0"/>
              <w:rPr>
                <w:rFonts w:hint="eastAsia" w:ascii="宋体" w:hAnsi="宋体" w:cs="宋体"/>
                <w:color w:val="auto"/>
                <w:szCs w:val="21"/>
                <w:highlight w:val="none"/>
                <w:lang w:eastAsia="zh-CN"/>
              </w:rPr>
            </w:pPr>
            <w:r>
              <w:rPr>
                <w:rFonts w:hint="eastAsia" w:ascii="宋体" w:hAnsi="宋体" w:cs="宋体"/>
                <w:color w:val="auto"/>
                <w:sz w:val="21"/>
                <w:szCs w:val="21"/>
                <w:highlight w:val="none"/>
                <w:lang w:val="en-US" w:eastAsia="zh-CN"/>
              </w:rPr>
              <w:t>（2）规格尺寸：</w:t>
            </w:r>
            <w:r>
              <w:rPr>
                <w:rFonts w:hint="eastAsia" w:ascii="宋体" w:hAnsi="宋体" w:eastAsia="宋体" w:cs="宋体"/>
                <w:color w:val="auto"/>
                <w:sz w:val="21"/>
                <w:szCs w:val="21"/>
                <w:highlight w:val="none"/>
                <w:lang w:val="en-US" w:eastAsia="zh-CN"/>
              </w:rPr>
              <w:t>张开直径100cm，收合高度120cm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整体达到安全稳固</w:t>
            </w:r>
            <w:r>
              <w:rPr>
                <w:rFonts w:hint="eastAsia" w:ascii="宋体" w:hAnsi="宋体" w:cs="宋体"/>
                <w:color w:val="auto"/>
                <w:sz w:val="21"/>
                <w:szCs w:val="21"/>
                <w:highlight w:val="none"/>
                <w:lang w:val="en-US" w:eastAsia="zh-CN"/>
              </w:rPr>
              <w:t>，风吹雨淋</w:t>
            </w:r>
            <w:r>
              <w:rPr>
                <w:rFonts w:hint="eastAsia" w:ascii="宋体" w:hAnsi="宋体" w:eastAsia="宋体" w:cs="宋体"/>
                <w:color w:val="auto"/>
                <w:sz w:val="21"/>
                <w:szCs w:val="21"/>
                <w:highlight w:val="none"/>
                <w:lang w:val="en-US" w:eastAsia="zh-CN"/>
              </w:rPr>
              <w:t>不变形</w:t>
            </w:r>
            <w:r>
              <w:rPr>
                <w:rFonts w:hint="eastAsia" w:ascii="宋体" w:hAnsi="宋体" w:cs="宋体"/>
                <w:color w:val="auto"/>
                <w:sz w:val="21"/>
                <w:szCs w:val="21"/>
                <w:highlight w:val="none"/>
                <w:lang w:val="en-US" w:eastAsia="zh-CN"/>
              </w:rPr>
              <w:t>；</w:t>
            </w:r>
          </w:p>
          <w:p>
            <w:pPr>
              <w:widowControl/>
              <w:numPr>
                <w:ilvl w:val="-1"/>
                <w:numId w:val="0"/>
              </w:numPr>
              <w:snapToGrid/>
              <w:jc w:val="left"/>
              <w:rPr>
                <w:rFonts w:ascii="宋体" w:hAnsi="宋体" w:cs="宋体"/>
                <w:color w:val="auto"/>
                <w:sz w:val="24"/>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highlight w:val="none"/>
                <w:lang w:eastAsia="zh-CN"/>
              </w:rPr>
              <w:t>灯笼表面材质使用正红色</w:t>
            </w:r>
            <w:r>
              <w:rPr>
                <w:rFonts w:hint="eastAsia" w:ascii="宋体" w:hAnsi="宋体" w:eastAsia="宋体" w:cs="宋体"/>
                <w:color w:val="auto"/>
                <w:sz w:val="21"/>
                <w:szCs w:val="21"/>
                <w:highlight w:val="none"/>
                <w:lang w:val="en-US" w:eastAsia="zh-CN"/>
              </w:rPr>
              <w:t>涤塔夫布料</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有耐新、耐晒、防水优点</w:t>
            </w:r>
            <w:r>
              <w:rPr>
                <w:rFonts w:hint="eastAsia" w:ascii="宋体" w:hAnsi="宋体" w:cs="宋体"/>
                <w:color w:val="auto"/>
                <w:sz w:val="21"/>
                <w:szCs w:val="21"/>
                <w:highlight w:val="none"/>
                <w:lang w:val="en-US" w:eastAsia="zh-CN"/>
              </w:rPr>
              <w:t>）</w:t>
            </w:r>
            <w:r>
              <w:rPr>
                <w:rFonts w:hint="eastAsia" w:ascii="宋体" w:hAnsi="宋体" w:cs="宋体"/>
                <w:color w:val="auto"/>
                <w:highlight w:val="none"/>
                <w:lang w:eastAsia="zh-CN"/>
              </w:rPr>
              <w:t>，上下装饰边均为金色，配黄色灯笼穗；</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color w:val="auto"/>
                <w:highlight w:val="none"/>
                <w:lang w:val="en-US" w:eastAsia="zh-CN"/>
              </w:rPr>
            </w:pPr>
            <w:r>
              <w:rPr>
                <w:rFonts w:hint="eastAsia" w:ascii="宋体" w:hAnsi="宋体" w:cs="宋体"/>
                <w:color w:val="auto"/>
                <w:highlight w:val="none"/>
                <w:lang w:val="en-US" w:eastAsia="zh-CN"/>
              </w:rPr>
              <w:t>样板要求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widowControl/>
              <w:numPr>
                <w:ilvl w:val="-1"/>
                <w:numId w:val="0"/>
              </w:numPr>
              <w:snapToGrid/>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投标人需在2022年12月1日上午11点前，需将5.2米灯笼样板或样板所需主材小样，送至或快递招标人指定地点：深圳市福田区福华三路深圳会展中心采购部黄生：0755-82848822</w:t>
            </w:r>
            <w:bookmarkStart w:id="48" w:name="_GoBack"/>
            <w:bookmarkEnd w:id="48"/>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不可偏离</w:t>
            </w:r>
          </w:p>
        </w:tc>
      </w:tr>
    </w:tbl>
    <w:p>
      <w:pPr>
        <w:numPr>
          <w:ilvl w:val="0"/>
          <w:numId w:val="1"/>
        </w:numPr>
        <w:spacing w:line="300" w:lineRule="auto"/>
        <w:outlineLvl w:val="0"/>
        <w:rPr>
          <w:rFonts w:ascii="宋体" w:hAnsi="宋体" w:cs="宋体"/>
          <w:b/>
          <w:sz w:val="24"/>
        </w:rPr>
      </w:pPr>
      <w:bookmarkStart w:id="12" w:name="_Toc116550236"/>
      <w:r>
        <w:rPr>
          <w:rFonts w:hint="eastAsia" w:ascii="宋体" w:hAnsi="宋体" w:cs="宋体"/>
          <w:b/>
          <w:color w:val="auto"/>
          <w:sz w:val="24"/>
        </w:rPr>
        <w:t>其他项目说明资料</w:t>
      </w:r>
      <w:bookmarkEnd w:id="12"/>
    </w:p>
    <w:p>
      <w:pPr>
        <w:pStyle w:val="12"/>
        <w:ind w:firstLine="420" w:firstLineChars="200"/>
        <w:rPr>
          <w:rFonts w:ascii="宋体" w:eastAsia="宋体" w:cs="宋体"/>
          <w:color w:val="FF0000"/>
          <w:highlight w:val="yellow"/>
        </w:rPr>
      </w:pPr>
      <w:r>
        <w:rPr>
          <w:rFonts w:hint="eastAsia" w:ascii="宋体" w:eastAsia="宋体" w:cs="宋体"/>
          <w:color w:val="FF0000"/>
          <w:highlight w:val="yellow"/>
          <w:lang w:eastAsia="zh-CN"/>
        </w:rPr>
        <w:t>中标人配送货物时需遵守采购人的防疫政策（无高、</w:t>
      </w:r>
      <w:r>
        <w:rPr>
          <w:rFonts w:hint="eastAsia" w:ascii="宋体" w:eastAsia="宋体" w:cs="宋体"/>
          <w:color w:val="FF0000"/>
          <w:highlight w:val="yellow"/>
          <w:lang w:val="en-US" w:eastAsia="zh-CN"/>
        </w:rPr>
        <w:t>低</w:t>
      </w:r>
      <w:r>
        <w:rPr>
          <w:rFonts w:hint="eastAsia" w:ascii="宋体" w:eastAsia="宋体" w:cs="宋体"/>
          <w:color w:val="FF0000"/>
          <w:highlight w:val="yellow"/>
          <w:lang w:eastAsia="zh-CN"/>
        </w:rPr>
        <w:t>风险区行程，核酸四天四检，</w:t>
      </w:r>
      <w:r>
        <w:rPr>
          <w:rFonts w:hint="eastAsia" w:ascii="宋体" w:hAnsi="宋体" w:eastAsia="宋体" w:cs="宋体"/>
          <w:kern w:val="0"/>
        </w:rPr>
        <w:t>持</w:t>
      </w:r>
      <w:r>
        <w:rPr>
          <w:rFonts w:hint="eastAsia" w:ascii="宋体" w:hAnsi="宋体" w:eastAsia="宋体" w:cs="宋体"/>
          <w:color w:val="FF0000"/>
          <w:kern w:val="0"/>
          <w:highlight w:val="yellow"/>
        </w:rPr>
        <w:t>24小时</w:t>
      </w:r>
      <w:r>
        <w:rPr>
          <w:rFonts w:hint="eastAsia" w:ascii="宋体" w:hAnsi="宋体" w:eastAsia="宋体" w:cs="宋体"/>
          <w:kern w:val="0"/>
        </w:rPr>
        <w:t>核酸检测阴性结果</w:t>
      </w:r>
      <w:r>
        <w:rPr>
          <w:rFonts w:hint="eastAsia" w:ascii="宋体" w:eastAsia="宋体" w:cs="宋体"/>
          <w:kern w:val="0"/>
          <w:lang w:eastAsia="zh-CN"/>
        </w:rPr>
        <w:t>）</w:t>
      </w:r>
      <w:r>
        <w:rPr>
          <w:rFonts w:hint="eastAsia" w:ascii="宋体" w:hAnsi="宋体" w:eastAsia="宋体" w:cs="宋体"/>
          <w:kern w:val="0"/>
        </w:rPr>
        <w:t>，至少提前</w:t>
      </w:r>
      <w:r>
        <w:rPr>
          <w:rFonts w:hint="eastAsia" w:ascii="宋体" w:eastAsia="宋体" w:cs="宋体"/>
          <w:kern w:val="0"/>
          <w:lang w:eastAsia="zh-CN"/>
        </w:rPr>
        <w:t>4</w:t>
      </w:r>
      <w:r>
        <w:rPr>
          <w:rFonts w:hint="eastAsia" w:ascii="宋体" w:hAnsi="宋体" w:eastAsia="宋体" w:cs="宋体"/>
          <w:kern w:val="0"/>
        </w:rPr>
        <w:t>天与</w:t>
      </w:r>
      <w:r>
        <w:rPr>
          <w:rFonts w:hint="eastAsia" w:ascii="宋体" w:eastAsia="宋体" w:cs="宋体"/>
          <w:kern w:val="0"/>
          <w:lang w:eastAsia="zh-CN"/>
        </w:rPr>
        <w:t>采购人</w:t>
      </w:r>
      <w:r>
        <w:rPr>
          <w:rFonts w:hint="eastAsia" w:ascii="宋体" w:hAnsi="宋体" w:eastAsia="宋体" w:cs="宋体"/>
          <w:kern w:val="0"/>
        </w:rPr>
        <w:t>预约。</w:t>
      </w:r>
    </w:p>
    <w:p>
      <w:pPr>
        <w:numPr>
          <w:ilvl w:val="0"/>
          <w:numId w:val="1"/>
        </w:numPr>
        <w:spacing w:line="300" w:lineRule="auto"/>
        <w:outlineLvl w:val="0"/>
        <w:rPr>
          <w:rFonts w:ascii="宋体" w:hAnsi="宋体" w:cs="宋体"/>
          <w:b/>
          <w:sz w:val="24"/>
          <w:highlight w:val="none"/>
        </w:rPr>
      </w:pPr>
      <w:bookmarkStart w:id="13" w:name="_Toc116550237"/>
      <w:r>
        <w:rPr>
          <w:rFonts w:hint="eastAsia" w:ascii="宋体" w:hAnsi="宋体" w:cs="宋体"/>
          <w:b/>
          <w:sz w:val="24"/>
        </w:rPr>
        <w:t>流程</w:t>
      </w:r>
      <w:bookmarkEnd w:id="13"/>
    </w:p>
    <w:p>
      <w:pPr>
        <w:numPr>
          <w:ilvl w:val="0"/>
          <w:numId w:val="10"/>
        </w:numPr>
        <w:ind w:hanging="5"/>
        <w:rPr>
          <w:rFonts w:ascii="宋体" w:hAnsi="宋体" w:cs="宋体"/>
          <w:szCs w:val="21"/>
          <w:highlight w:val="none"/>
        </w:rPr>
      </w:pPr>
      <w:r>
        <w:rPr>
          <w:rFonts w:hint="eastAsia" w:ascii="宋体" w:hAnsi="宋体" w:cs="宋体"/>
          <w:szCs w:val="21"/>
          <w:highlight w:val="none"/>
        </w:rPr>
        <w:t>参加单位</w:t>
      </w:r>
      <w:r>
        <w:rPr>
          <w:rFonts w:hint="eastAsia" w:ascii="宋体" w:hAnsi="宋体"/>
          <w:szCs w:val="21"/>
          <w:highlight w:val="none"/>
        </w:rPr>
        <w:t>按时发送文件密码至采购人指定地址；</w:t>
      </w:r>
    </w:p>
    <w:p>
      <w:pPr>
        <w:numPr>
          <w:ilvl w:val="0"/>
          <w:numId w:val="10"/>
        </w:numPr>
        <w:ind w:hanging="5"/>
        <w:rPr>
          <w:rFonts w:ascii="宋体" w:hAnsi="宋体" w:cs="宋体"/>
          <w:szCs w:val="21"/>
        </w:rPr>
      </w:pPr>
      <w:r>
        <w:rPr>
          <w:rFonts w:hint="eastAsia" w:ascii="宋体" w:hAnsi="宋体"/>
          <w:szCs w:val="21"/>
        </w:rPr>
        <w:t>宣读开标注意事项、流程；</w:t>
      </w:r>
    </w:p>
    <w:p>
      <w:pPr>
        <w:numPr>
          <w:ilvl w:val="0"/>
          <w:numId w:val="10"/>
        </w:numPr>
        <w:ind w:hanging="5"/>
        <w:rPr>
          <w:rFonts w:ascii="宋体" w:hAnsi="宋体" w:cs="宋体"/>
          <w:szCs w:val="21"/>
        </w:rPr>
      </w:pPr>
      <w:r>
        <w:rPr>
          <w:rFonts w:hint="eastAsia" w:ascii="宋体" w:hAnsi="宋体" w:cs="宋体"/>
          <w:szCs w:val="21"/>
        </w:rPr>
        <w:t>评标小组推选组长；</w:t>
      </w:r>
    </w:p>
    <w:p>
      <w:pPr>
        <w:numPr>
          <w:ilvl w:val="0"/>
          <w:numId w:val="10"/>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0"/>
        </w:numPr>
        <w:ind w:hanging="5"/>
        <w:rPr>
          <w:rFonts w:ascii="宋体" w:hAnsi="宋体" w:cs="宋体"/>
          <w:szCs w:val="21"/>
        </w:rPr>
      </w:pPr>
      <w:r>
        <w:rPr>
          <w:rFonts w:hint="eastAsia" w:ascii="宋体" w:hAnsi="宋体" w:cs="宋体"/>
          <w:szCs w:val="21"/>
        </w:rPr>
        <w:t>商务及技术/服务需求响应性评定；</w:t>
      </w:r>
    </w:p>
    <w:p>
      <w:pPr>
        <w:numPr>
          <w:ilvl w:val="0"/>
          <w:numId w:val="10"/>
        </w:numPr>
        <w:ind w:hanging="5"/>
        <w:rPr>
          <w:rFonts w:ascii="宋体" w:hAnsi="宋体" w:cs="宋体"/>
          <w:szCs w:val="21"/>
        </w:rPr>
      </w:pPr>
      <w:r>
        <w:rPr>
          <w:rFonts w:hint="eastAsia" w:ascii="宋体" w:hAnsi="宋体" w:cs="宋体"/>
          <w:szCs w:val="21"/>
        </w:rPr>
        <w:t>确定中标候选供应商及报告的出具。</w:t>
      </w:r>
    </w:p>
    <w:p>
      <w:pPr>
        <w:pStyle w:val="12"/>
        <w:rPr>
          <w:rFonts w:ascii="宋体" w:eastAsia="宋体" w:cs="宋体"/>
        </w:rPr>
      </w:pPr>
    </w:p>
    <w:p>
      <w:pPr>
        <w:numPr>
          <w:ilvl w:val="0"/>
          <w:numId w:val="1"/>
        </w:numPr>
        <w:spacing w:line="300" w:lineRule="auto"/>
        <w:outlineLvl w:val="0"/>
        <w:rPr>
          <w:rFonts w:ascii="宋体" w:hAnsi="宋体" w:cs="宋体"/>
          <w:b/>
          <w:sz w:val="24"/>
        </w:rPr>
      </w:pPr>
      <w:bookmarkStart w:id="14" w:name="_Toc116550238"/>
      <w:r>
        <w:rPr>
          <w:rFonts w:hint="eastAsia" w:ascii="宋体" w:hAnsi="宋体" w:cs="宋体"/>
          <w:b/>
          <w:sz w:val="24"/>
        </w:rPr>
        <w:t>评审办法</w:t>
      </w:r>
      <w:bookmarkEnd w:id="14"/>
    </w:p>
    <w:p>
      <w:pPr>
        <w:spacing w:line="360" w:lineRule="auto"/>
        <w:ind w:firstLine="420" w:firstLineChars="200"/>
        <w:rPr>
          <w:rFonts w:ascii="宋体" w:hAnsi="宋体"/>
          <w:szCs w:val="21"/>
        </w:rPr>
      </w:pPr>
      <w:bookmarkStart w:id="15" w:name="_Toc32042"/>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6"/>
        <w:tblW w:w="825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3068"/>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6" w:type="dxa"/>
            <w:gridSpan w:val="3"/>
            <w:noWrap w:val="0"/>
            <w:vAlign w:val="center"/>
          </w:tcPr>
          <w:p>
            <w:pPr>
              <w:pStyle w:val="2"/>
              <w:spacing w:after="0" w:line="240" w:lineRule="auto"/>
              <w:jc w:val="center"/>
              <w:rPr>
                <w:sz w:val="21"/>
                <w:szCs w:val="21"/>
              </w:rPr>
            </w:pPr>
            <w:r>
              <w:rPr>
                <w:rFonts w:hint="eastAsia" w:ascii="宋体" w:hAnsi="宋体" w:cs="仿宋"/>
                <w:b/>
                <w:bCs/>
                <w:sz w:val="21"/>
                <w:szCs w:val="21"/>
              </w:rPr>
              <w:t>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50" w:type="dxa"/>
            <w:noWrap w:val="0"/>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3068" w:type="dxa"/>
            <w:noWrap w:val="0"/>
            <w:vAlign w:val="center"/>
          </w:tcPr>
          <w:p>
            <w:pPr>
              <w:autoSpaceDE w:val="0"/>
              <w:autoSpaceDN w:val="0"/>
              <w:adjustRightInd w:val="0"/>
              <w:snapToGrid w:val="0"/>
              <w:jc w:val="center"/>
              <w:rPr>
                <w:rFonts w:hint="eastAsia" w:ascii="宋体" w:hAnsi="宋体" w:eastAsia="宋体"/>
                <w:b/>
                <w:szCs w:val="21"/>
                <w:lang w:eastAsia="zh-CN"/>
              </w:rPr>
            </w:pPr>
            <w:r>
              <w:rPr>
                <w:rFonts w:hint="eastAsia" w:ascii="宋体" w:hAnsi="宋体"/>
                <w:b/>
                <w:szCs w:val="21"/>
                <w:lang w:val="en-US" w:eastAsia="zh-CN"/>
              </w:rPr>
              <w:t>方案及样品</w:t>
            </w:r>
          </w:p>
        </w:tc>
        <w:tc>
          <w:tcPr>
            <w:tcW w:w="3238" w:type="dxa"/>
            <w:noWrap w:val="0"/>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50"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3068"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70</w:t>
            </w:r>
            <w:r>
              <w:rPr>
                <w:rFonts w:hint="eastAsia" w:ascii="宋体" w:hAnsi="宋体"/>
                <w:szCs w:val="21"/>
              </w:rPr>
              <w:t>%</w:t>
            </w:r>
          </w:p>
        </w:tc>
        <w:tc>
          <w:tcPr>
            <w:tcW w:w="3238"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30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950" w:type="dxa"/>
            <w:noWrap w:val="0"/>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306" w:type="dxa"/>
            <w:gridSpan w:val="2"/>
            <w:noWrap w:val="0"/>
            <w:vAlign w:val="center"/>
          </w:tcPr>
          <w:p>
            <w:pPr>
              <w:pStyle w:val="2"/>
              <w:spacing w:after="0" w:line="240" w:lineRule="auto"/>
              <w:jc w:val="center"/>
              <w:rPr>
                <w:sz w:val="21"/>
                <w:szCs w:val="21"/>
              </w:rPr>
            </w:pPr>
            <w:r>
              <w:rPr>
                <w:rFonts w:hint="eastAsia" w:ascii="宋体" w:hAnsi="宋体"/>
                <w:sz w:val="21"/>
                <w:szCs w:val="21"/>
              </w:rPr>
              <w:t>技术标得分+价格标得分=100</w:t>
            </w:r>
          </w:p>
        </w:tc>
      </w:tr>
    </w:tbl>
    <w:p>
      <w:pPr>
        <w:numPr>
          <w:ilvl w:val="0"/>
          <w:numId w:val="11"/>
        </w:numPr>
        <w:spacing w:line="300" w:lineRule="auto"/>
        <w:jc w:val="center"/>
        <w:outlineLvl w:val="1"/>
        <w:rPr>
          <w:rFonts w:hint="eastAsia" w:ascii="宋体" w:hAnsi="宋体" w:eastAsia="宋体" w:cs="宋体"/>
          <w:sz w:val="24"/>
        </w:rPr>
      </w:pPr>
      <w:r>
        <w:rPr>
          <w:rStyle w:val="35"/>
          <w:rFonts w:hint="eastAsia" w:ascii="宋体" w:hAnsi="宋体" w:eastAsia="宋体" w:cs="宋体"/>
          <w:b/>
          <w:bCs/>
          <w:sz w:val="24"/>
        </w:rPr>
        <w:t>符合性检查</w:t>
      </w:r>
      <w:bookmarkEnd w:id="15"/>
    </w:p>
    <w:tbl>
      <w:tblPr>
        <w:tblStyle w:val="15"/>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noWrap w:val="0"/>
            <w:vAlign w:val="center"/>
          </w:tcPr>
          <w:p>
            <w:pPr>
              <w:spacing w:line="0" w:lineRule="atLeast"/>
              <w:jc w:val="center"/>
              <w:rPr>
                <w:rFonts w:hint="eastAsia" w:ascii="宋体" w:hAnsi="宋体" w:eastAsia="宋体" w:cs="宋体"/>
                <w:b/>
                <w:szCs w:val="21"/>
              </w:rPr>
            </w:pPr>
            <w:r>
              <w:rPr>
                <w:rFonts w:hint="eastAsia" w:ascii="宋体" w:hAnsi="宋体" w:eastAsia="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noWrap w:val="0"/>
            <w:vAlign w:val="center"/>
          </w:tcPr>
          <w:p>
            <w:pPr>
              <w:spacing w:line="0" w:lineRule="atLeast"/>
              <w:jc w:val="center"/>
              <w:rPr>
                <w:rFonts w:hint="eastAsia" w:ascii="宋体" w:hAnsi="宋体" w:eastAsia="宋体" w:cs="宋体"/>
                <w:b/>
                <w:szCs w:val="21"/>
              </w:rPr>
            </w:pPr>
            <w:r>
              <w:rPr>
                <w:rFonts w:hint="eastAsia" w:ascii="宋体" w:hAnsi="宋体" w:eastAsia="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响应文件</w:t>
            </w:r>
          </w:p>
        </w:tc>
        <w:tc>
          <w:tcPr>
            <w:tcW w:w="6975"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rPr>
                <w:rFonts w:hint="eastAsia" w:ascii="宋体" w:hAnsi="宋体" w:eastAsia="宋体" w:cs="宋体"/>
                <w:sz w:val="21"/>
                <w:szCs w:val="21"/>
              </w:rPr>
            </w:pPr>
            <w:r>
              <w:rPr>
                <w:rFonts w:hint="eastAsia" w:ascii="宋体" w:hAnsi="宋体" w:eastAsia="宋体" w:cs="宋体"/>
                <w:sz w:val="21"/>
                <w:szCs w:val="21"/>
                <w:lang w:eastAsia="zh-CN"/>
              </w:rPr>
              <w:t>参</w:t>
            </w:r>
            <w:r>
              <w:rPr>
                <w:rFonts w:hint="eastAsia" w:ascii="宋体" w:hAnsi="宋体" w:eastAsia="宋体" w:cs="宋体"/>
                <w:sz w:val="21"/>
                <w:szCs w:val="21"/>
                <w:lang w:val="en-US" w:eastAsia="zh-CN"/>
              </w:rPr>
              <w:t>加</w:t>
            </w:r>
            <w:r>
              <w:rPr>
                <w:rFonts w:hint="eastAsia" w:ascii="宋体" w:hAnsi="宋体" w:eastAsia="宋体" w:cs="宋体"/>
                <w:sz w:val="21"/>
                <w:szCs w:val="21"/>
                <w:lang w:eastAsia="zh-CN"/>
              </w:rPr>
              <w:t>单位</w:t>
            </w:r>
            <w:r>
              <w:rPr>
                <w:rFonts w:hint="eastAsia" w:ascii="宋体" w:hAnsi="宋体" w:eastAsia="宋体" w:cs="宋体"/>
                <w:sz w:val="21"/>
                <w:szCs w:val="21"/>
              </w:rPr>
              <w:t>提交的响应文件是否按要求编制目录、密封</w:t>
            </w:r>
            <w:r>
              <w:rPr>
                <w:rFonts w:hint="eastAsia" w:ascii="宋体" w:hAnsi="宋体" w:eastAsia="宋体" w:cs="宋体"/>
                <w:sz w:val="21"/>
                <w:szCs w:val="21"/>
                <w:lang w:val="en-US" w:eastAsia="zh-CN"/>
              </w:rPr>
              <w:t>/加密</w:t>
            </w:r>
            <w:r>
              <w:rPr>
                <w:rFonts w:hint="eastAsia" w:ascii="宋体" w:hAnsi="宋体" w:eastAsia="宋体" w:cs="宋体"/>
                <w:sz w:val="21"/>
                <w:szCs w:val="21"/>
              </w:rPr>
              <w:t>。</w:t>
            </w:r>
            <w:r>
              <w:rPr>
                <w:rFonts w:hint="eastAsia" w:ascii="宋体" w:hAnsi="宋体" w:eastAsia="宋体" w:cs="宋体"/>
                <w:bCs/>
                <w:szCs w:val="21"/>
              </w:rPr>
              <w:t>投标文件的加密密码按要求发送至</w:t>
            </w:r>
            <w:r>
              <w:rPr>
                <w:rFonts w:hint="eastAsia" w:ascii="宋体" w:hAnsi="宋体" w:eastAsia="宋体" w:cs="宋体"/>
                <w:bCs/>
                <w:szCs w:val="21"/>
                <w:lang w:val="en-US" w:eastAsia="zh-CN"/>
              </w:rPr>
              <w:t>采购</w:t>
            </w:r>
            <w:r>
              <w:rPr>
                <w:rFonts w:hint="eastAsia" w:ascii="宋体" w:hAnsi="宋体" w:eastAsia="宋体" w:cs="宋体"/>
                <w:bCs/>
                <w:szCs w:val="21"/>
              </w:rPr>
              <w:t>人且保证文件完整可正常打开；</w:t>
            </w:r>
            <w:r>
              <w:rPr>
                <w:rFonts w:hint="eastAsia" w:ascii="宋体" w:hAnsi="宋体" w:eastAsia="宋体" w:cs="宋体"/>
                <w:bCs/>
                <w:szCs w:val="21"/>
                <w:lang w:val="en-US" w:eastAsia="zh-CN"/>
              </w:rPr>
              <w:t>参加单位</w:t>
            </w:r>
            <w:r>
              <w:rPr>
                <w:rFonts w:hint="eastAsia" w:ascii="宋体" w:hAnsi="宋体" w:eastAsia="宋体" w:cs="宋体"/>
                <w:bCs/>
                <w:szCs w:val="21"/>
              </w:rPr>
              <w:t>必须提供由法人代表或其书面授权人签署并加盖</w:t>
            </w:r>
            <w:r>
              <w:rPr>
                <w:rFonts w:hint="eastAsia" w:ascii="宋体" w:hAnsi="宋体" w:eastAsia="宋体" w:cs="宋体"/>
                <w:bCs/>
                <w:szCs w:val="21"/>
                <w:lang w:val="en-US" w:eastAsia="zh-CN"/>
              </w:rPr>
              <w:t>参加单位</w:t>
            </w:r>
            <w:r>
              <w:rPr>
                <w:rFonts w:hint="eastAsia" w:ascii="宋体" w:hAnsi="宋体" w:eastAsia="宋体" w:cs="宋体"/>
                <w:bCs/>
                <w:szCs w:val="21"/>
              </w:rPr>
              <w:t>公章的投标响应文件</w:t>
            </w:r>
            <w:r>
              <w:rPr>
                <w:rFonts w:hint="eastAsia" w:ascii="宋体" w:hAnsi="宋体" w:eastAsia="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noWrap w:val="0"/>
            <w:vAlign w:val="center"/>
          </w:tcPr>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是否提供以下证明文件：</w:t>
            </w:r>
          </w:p>
          <w:p>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lang w:eastAsia="zh-CN"/>
              </w:rPr>
              <w:t>）</w:t>
            </w:r>
          </w:p>
          <w:p>
            <w:pPr>
              <w:numPr>
                <w:ilvl w:val="0"/>
                <w:numId w:val="0"/>
              </w:numPr>
              <w:snapToGrid/>
              <w:ind w:leftChars="0"/>
              <w:jc w:val="left"/>
              <w:rPr>
                <w:rFonts w:hint="eastAsia" w:ascii="宋体" w:hAnsi="宋体" w:eastAsia="宋体" w:cs="宋体"/>
                <w:sz w:val="21"/>
                <w:szCs w:val="21"/>
              </w:rPr>
            </w:pPr>
            <w:r>
              <w:rPr>
                <w:rFonts w:hint="eastAsia" w:ascii="宋体" w:hAnsi="宋体" w:cs="宋体"/>
              </w:rPr>
              <w:t>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控制金额</w:t>
            </w:r>
          </w:p>
        </w:tc>
        <w:tc>
          <w:tcPr>
            <w:tcW w:w="6975"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rPr>
                <w:rFonts w:hint="eastAsia" w:ascii="宋体" w:hAnsi="宋体" w:eastAsia="宋体" w:cs="宋体"/>
                <w:sz w:val="21"/>
                <w:szCs w:val="21"/>
              </w:rPr>
            </w:pPr>
            <w:r>
              <w:rPr>
                <w:rFonts w:hint="eastAsia" w:ascii="宋体" w:hAnsi="宋体" w:eastAsia="宋体" w:cs="宋体"/>
                <w:sz w:val="21"/>
                <w:szCs w:val="21"/>
                <w:lang w:val="en-US" w:eastAsia="zh-CN"/>
              </w:rPr>
              <w:t>本项目报价</w:t>
            </w:r>
            <w:r>
              <w:rPr>
                <w:rFonts w:hint="eastAsia" w:ascii="宋体" w:hAnsi="宋体" w:eastAsia="宋体" w:cs="宋体"/>
                <w:sz w:val="21"/>
                <w:szCs w:val="21"/>
              </w:rPr>
              <w:t>是否超过人民币</w:t>
            </w:r>
            <w:r>
              <w:rPr>
                <w:rFonts w:hint="eastAsia" w:ascii="宋体" w:hAnsi="宋体" w:cs="宋体"/>
                <w:color w:val="FF0000"/>
                <w:sz w:val="21"/>
                <w:szCs w:val="21"/>
                <w:highlight w:val="yellow"/>
                <w:lang w:val="en-US" w:eastAsia="zh-CN"/>
              </w:rPr>
              <w:t>6.86</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含税</w:t>
            </w:r>
            <w:r>
              <w:rPr>
                <w:rFonts w:hint="eastAsia" w:ascii="宋体" w:hAnsi="宋体" w:eastAsia="宋体" w:cs="宋体"/>
                <w:sz w:val="21"/>
                <w:szCs w:val="21"/>
                <w:lang w:eastAsia="zh-CN"/>
              </w:rPr>
              <w:t>）</w:t>
            </w:r>
            <w:r>
              <w:rPr>
                <w:rFonts w:hint="eastAsia" w:ascii="宋体" w:hAnsi="宋体" w:cs="仿宋"/>
                <w:szCs w:val="21"/>
              </w:rPr>
              <w:t>，超过上述控制金额的视为无效报价</w:t>
            </w:r>
            <w:r>
              <w:rPr>
                <w:rFonts w:hint="eastAsia" w:ascii="宋体" w:hAnsi="宋体" w:eastAsia="宋体" w:cs="宋体"/>
                <w:sz w:val="21"/>
                <w:szCs w:val="21"/>
              </w:rPr>
              <w:t>。</w:t>
            </w:r>
          </w:p>
        </w:tc>
      </w:tr>
    </w:tbl>
    <w:p>
      <w:pPr>
        <w:numPr>
          <w:ilvl w:val="0"/>
          <w:numId w:val="11"/>
        </w:numPr>
        <w:spacing w:before="156" w:beforeLines="50" w:line="300" w:lineRule="auto"/>
        <w:jc w:val="center"/>
        <w:outlineLvl w:val="1"/>
        <w:rPr>
          <w:rStyle w:val="35"/>
          <w:rFonts w:hint="eastAsia" w:ascii="宋体" w:hAnsi="宋体" w:eastAsia="宋体" w:cs="宋体"/>
          <w:b/>
          <w:bCs/>
          <w:sz w:val="24"/>
        </w:rPr>
      </w:pPr>
      <w:bookmarkStart w:id="16" w:name="_Toc24797"/>
      <w:r>
        <w:rPr>
          <w:rStyle w:val="35"/>
          <w:rFonts w:hint="eastAsia" w:ascii="宋体" w:hAnsi="宋体" w:eastAsia="宋体" w:cs="宋体"/>
          <w:b/>
          <w:bCs/>
          <w:sz w:val="24"/>
          <w:lang w:val="en-US" w:eastAsia="zh-CN"/>
        </w:rPr>
        <w:t>技术服务及价格</w:t>
      </w:r>
      <w:r>
        <w:rPr>
          <w:rStyle w:val="35"/>
          <w:rFonts w:hint="eastAsia" w:ascii="宋体" w:hAnsi="宋体" w:eastAsia="宋体" w:cs="宋体"/>
          <w:b/>
          <w:bCs/>
          <w:sz w:val="24"/>
        </w:rPr>
        <w:t>评议</w:t>
      </w:r>
      <w:bookmarkEnd w:id="16"/>
    </w:p>
    <w:tbl>
      <w:tblPr>
        <w:tblStyle w:val="15"/>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noWrap w:val="0"/>
            <w:vAlign w:val="top"/>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noWrap w:val="0"/>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noWrap w:val="0"/>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noWrap w:val="0"/>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noWrap w:val="0"/>
            <w:vAlign w:val="top"/>
          </w:tcPr>
          <w:p>
            <w:pPr>
              <w:spacing w:line="360" w:lineRule="auto"/>
              <w:jc w:val="center"/>
              <w:rPr>
                <w:rFonts w:ascii="宋体" w:hAnsi="宋体"/>
                <w:b/>
                <w:szCs w:val="21"/>
              </w:rPr>
            </w:pPr>
          </w:p>
        </w:tc>
        <w:tc>
          <w:tcPr>
            <w:tcW w:w="8647" w:type="dxa"/>
            <w:gridSpan w:val="4"/>
            <w:tcBorders>
              <w:tl2br w:val="nil"/>
              <w:tr2bl w:val="nil"/>
            </w:tcBorders>
            <w:noWrap w:val="0"/>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lang w:val="en-US" w:eastAsia="zh-CN"/>
              </w:rPr>
              <w:t>样品分</w:t>
            </w:r>
            <w:r>
              <w:rPr>
                <w:rFonts w:hint="eastAsia" w:ascii="宋体" w:hAnsi="宋体"/>
                <w:b/>
                <w:szCs w:val="21"/>
              </w:rPr>
              <w:t>（</w:t>
            </w:r>
            <w:r>
              <w:rPr>
                <w:rFonts w:hint="eastAsia" w:ascii="宋体" w:hAnsi="宋体"/>
                <w:b/>
                <w:szCs w:val="21"/>
                <w:lang w:val="en-US" w:eastAsia="zh-CN"/>
              </w:rPr>
              <w:t>70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noWrap w:val="0"/>
            <w:vAlign w:val="center"/>
          </w:tcPr>
          <w:p>
            <w:pPr>
              <w:pStyle w:val="29"/>
              <w:numPr>
                <w:ilvl w:val="0"/>
                <w:numId w:val="12"/>
              </w:numPr>
              <w:spacing w:line="360" w:lineRule="auto"/>
              <w:ind w:firstLineChars="0"/>
              <w:jc w:val="center"/>
              <w:rPr>
                <w:rFonts w:ascii="宋体" w:hAnsi="宋体" w:eastAsia="宋体"/>
                <w:color w:val="auto"/>
                <w:szCs w:val="21"/>
              </w:rPr>
            </w:pPr>
          </w:p>
        </w:tc>
        <w:tc>
          <w:tcPr>
            <w:tcW w:w="1134" w:type="dxa"/>
            <w:tcBorders>
              <w:tl2br w:val="nil"/>
              <w:tr2bl w:val="nil"/>
            </w:tcBorders>
            <w:noWrap w:val="0"/>
            <w:tcMar>
              <w:top w:w="15" w:type="dxa"/>
              <w:left w:w="15" w:type="dxa"/>
              <w:bottom w:w="15" w:type="dxa"/>
              <w:right w:w="15" w:type="dxa"/>
            </w:tcMar>
            <w:vAlign w:val="center"/>
          </w:tcPr>
          <w:p>
            <w:pPr>
              <w:spacing w:line="320" w:lineRule="exact"/>
              <w:jc w:val="center"/>
              <w:rPr>
                <w:color w:val="auto"/>
                <w:highlight w:val="yellow"/>
              </w:rPr>
            </w:pPr>
            <w:r>
              <w:rPr>
                <w:rFonts w:hint="eastAsia" w:ascii="宋体" w:hAnsi="宋体" w:cs="宋体"/>
                <w:color w:val="auto"/>
                <w:kern w:val="0"/>
                <w:szCs w:val="21"/>
              </w:rPr>
              <w:t>产品配置方案和样品</w:t>
            </w:r>
          </w:p>
        </w:tc>
        <w:tc>
          <w:tcPr>
            <w:tcW w:w="709" w:type="dxa"/>
            <w:tcBorders>
              <w:tl2br w:val="nil"/>
              <w:tr2bl w:val="nil"/>
            </w:tcBorders>
            <w:noWrap w:val="0"/>
            <w:tcMar>
              <w:top w:w="15" w:type="dxa"/>
              <w:left w:w="15" w:type="dxa"/>
              <w:bottom w:w="15" w:type="dxa"/>
              <w:right w:w="15" w:type="dxa"/>
            </w:tcMar>
            <w:vAlign w:val="center"/>
          </w:tcPr>
          <w:p>
            <w:pPr>
              <w:spacing w:line="360" w:lineRule="auto"/>
              <w:jc w:val="center"/>
              <w:rPr>
                <w:rFonts w:ascii="宋体" w:hAnsi="宋体"/>
                <w:color w:val="auto"/>
                <w:szCs w:val="21"/>
              </w:rPr>
            </w:pPr>
            <w:r>
              <w:rPr>
                <w:rFonts w:hint="eastAsia" w:ascii="宋体" w:hAnsi="宋体"/>
                <w:color w:val="auto"/>
                <w:szCs w:val="21"/>
                <w:lang w:val="en-US" w:eastAsia="zh-CN"/>
              </w:rPr>
              <w:t>70</w:t>
            </w:r>
            <w:r>
              <w:rPr>
                <w:rFonts w:hint="eastAsia" w:ascii="宋体" w:hAnsi="宋体"/>
                <w:color w:val="auto"/>
                <w:szCs w:val="21"/>
              </w:rPr>
              <w:t>分</w:t>
            </w:r>
          </w:p>
        </w:tc>
        <w:tc>
          <w:tcPr>
            <w:tcW w:w="6804" w:type="dxa"/>
            <w:gridSpan w:val="2"/>
            <w:tcBorders>
              <w:tl2br w:val="nil"/>
              <w:tr2bl w:val="nil"/>
            </w:tcBorders>
            <w:noWrap w:val="0"/>
            <w:tcMar>
              <w:top w:w="15" w:type="dxa"/>
              <w:left w:w="15" w:type="dxa"/>
              <w:bottom w:w="15" w:type="dxa"/>
              <w:right w:w="15" w:type="dxa"/>
            </w:tcMar>
            <w:vAlign w:val="center"/>
          </w:tcPr>
          <w:p>
            <w:pPr>
              <w:adjustRightInd w:val="0"/>
              <w:snapToGrid w:val="0"/>
              <w:spacing w:line="360" w:lineRule="auto"/>
              <w:ind w:firstLine="420" w:firstLineChars="200"/>
              <w:jc w:val="both"/>
              <w:rPr>
                <w:rFonts w:hint="eastAsia" w:ascii="宋体" w:hAnsi="宋体" w:cs="宋体"/>
                <w:color w:val="auto"/>
                <w:kern w:val="0"/>
                <w:szCs w:val="21"/>
              </w:rPr>
            </w:pPr>
            <w:r>
              <w:rPr>
                <w:rFonts w:hint="eastAsia" w:ascii="宋体" w:hAnsi="宋体" w:cs="宋体"/>
                <w:color w:val="auto"/>
                <w:kern w:val="0"/>
                <w:szCs w:val="21"/>
              </w:rPr>
              <w:t>产品配置方案和样品 依据招标人采购需求，在满足招标人的技术参数要求的基础上，投标人提供产品配置方案</w:t>
            </w:r>
            <w:r>
              <w:rPr>
                <w:rFonts w:hint="eastAsia" w:ascii="宋体" w:hAnsi="宋体" w:cs="宋体"/>
                <w:color w:val="auto"/>
                <w:kern w:val="0"/>
                <w:szCs w:val="21"/>
                <w:lang w:val="en-US" w:eastAsia="zh-CN"/>
              </w:rPr>
              <w:t>及</w:t>
            </w:r>
            <w:r>
              <w:rPr>
                <w:rFonts w:hint="eastAsia" w:ascii="宋体" w:hAnsi="宋体" w:cs="宋体"/>
                <w:color w:val="auto"/>
                <w:kern w:val="0"/>
                <w:szCs w:val="21"/>
              </w:rPr>
              <w:t xml:space="preserve">所投产品样品（或主材的原材料）到评标现场。结合投标人所提交的产品配置方案和提供的样品（或主材的原材料）进行横向对比： </w:t>
            </w:r>
          </w:p>
          <w:p>
            <w:pPr>
              <w:adjustRightInd w:val="0"/>
              <w:snapToGrid w:val="0"/>
              <w:spacing w:line="360" w:lineRule="auto"/>
              <w:ind w:firstLine="420" w:firstLineChars="200"/>
              <w:jc w:val="both"/>
              <w:rPr>
                <w:rFonts w:hint="eastAsia" w:ascii="宋体" w:hAnsi="宋体" w:cs="宋体"/>
                <w:color w:val="auto"/>
                <w:kern w:val="0"/>
                <w:szCs w:val="21"/>
              </w:rPr>
            </w:pPr>
            <w:r>
              <w:rPr>
                <w:rFonts w:hint="eastAsia" w:ascii="宋体" w:hAnsi="宋体" w:cs="宋体"/>
                <w:color w:val="auto"/>
                <w:kern w:val="0"/>
                <w:szCs w:val="21"/>
              </w:rPr>
              <w:t>1、优良：产品配置方案非常详细、清晰，产品质量优，得</w:t>
            </w:r>
            <w:r>
              <w:rPr>
                <w:rFonts w:hint="eastAsia" w:ascii="宋体" w:hAnsi="宋体" w:cs="宋体"/>
                <w:color w:val="auto"/>
                <w:kern w:val="0"/>
                <w:szCs w:val="21"/>
                <w:lang w:val="en-US" w:eastAsia="zh-CN"/>
              </w:rPr>
              <w:t>70</w:t>
            </w:r>
            <w:r>
              <w:rPr>
                <w:rFonts w:hint="eastAsia" w:ascii="宋体" w:hAnsi="宋体" w:cs="宋体"/>
                <w:color w:val="auto"/>
                <w:kern w:val="0"/>
                <w:szCs w:val="21"/>
              </w:rPr>
              <w:t>分，完全符合招标人的要求，得</w:t>
            </w:r>
            <w:r>
              <w:rPr>
                <w:rFonts w:hint="eastAsia" w:ascii="宋体" w:hAnsi="宋体" w:cs="宋体"/>
                <w:color w:val="auto"/>
                <w:kern w:val="0"/>
                <w:szCs w:val="21"/>
                <w:lang w:val="en-US" w:eastAsia="zh-CN"/>
              </w:rPr>
              <w:t>65</w:t>
            </w:r>
            <w:r>
              <w:rPr>
                <w:rFonts w:hint="eastAsia" w:ascii="宋体" w:hAnsi="宋体" w:cs="宋体"/>
                <w:color w:val="auto"/>
                <w:kern w:val="0"/>
                <w:szCs w:val="21"/>
              </w:rPr>
              <w:t>-</w:t>
            </w:r>
            <w:r>
              <w:rPr>
                <w:rFonts w:hint="eastAsia" w:ascii="宋体" w:hAnsi="宋体" w:cs="宋体"/>
                <w:color w:val="auto"/>
                <w:kern w:val="0"/>
                <w:szCs w:val="21"/>
                <w:lang w:val="en-US" w:eastAsia="zh-CN"/>
              </w:rPr>
              <w:t>55</w:t>
            </w:r>
            <w:r>
              <w:rPr>
                <w:rFonts w:hint="eastAsia" w:ascii="宋体" w:hAnsi="宋体" w:cs="宋体"/>
                <w:color w:val="auto"/>
                <w:kern w:val="0"/>
                <w:szCs w:val="21"/>
              </w:rPr>
              <w:t>分；</w:t>
            </w:r>
          </w:p>
          <w:p>
            <w:pPr>
              <w:adjustRightInd w:val="0"/>
              <w:snapToGrid w:val="0"/>
              <w:spacing w:line="360" w:lineRule="auto"/>
              <w:ind w:firstLine="420" w:firstLineChars="200"/>
              <w:jc w:val="both"/>
              <w:rPr>
                <w:rFonts w:hint="eastAsia" w:ascii="宋体" w:hAnsi="宋体" w:cs="宋体"/>
                <w:color w:val="auto"/>
                <w:kern w:val="0"/>
                <w:szCs w:val="21"/>
              </w:rPr>
            </w:pPr>
            <w:r>
              <w:rPr>
                <w:rFonts w:hint="eastAsia" w:ascii="宋体" w:hAnsi="宋体" w:cs="宋体"/>
                <w:color w:val="auto"/>
                <w:kern w:val="0"/>
                <w:szCs w:val="21"/>
              </w:rPr>
              <w:t>2、中等：产品配置方案比较详细、清晰，产品质量中等，得</w:t>
            </w:r>
            <w:r>
              <w:rPr>
                <w:rFonts w:hint="eastAsia" w:ascii="宋体" w:hAnsi="宋体" w:cs="宋体"/>
                <w:color w:val="auto"/>
                <w:kern w:val="0"/>
                <w:szCs w:val="21"/>
                <w:lang w:val="en-US" w:eastAsia="zh-CN"/>
              </w:rPr>
              <w:t>54</w:t>
            </w:r>
            <w:r>
              <w:rPr>
                <w:rFonts w:hint="eastAsia"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5分；</w:t>
            </w:r>
          </w:p>
          <w:p>
            <w:pPr>
              <w:adjustRightInd w:val="0"/>
              <w:snapToGrid w:val="0"/>
              <w:spacing w:line="360" w:lineRule="auto"/>
              <w:ind w:firstLine="420" w:firstLineChars="200"/>
              <w:jc w:val="both"/>
              <w:rPr>
                <w:rFonts w:hint="eastAsia" w:ascii="宋体" w:hAnsi="宋体" w:cs="宋体"/>
                <w:color w:val="auto"/>
                <w:kern w:val="0"/>
                <w:szCs w:val="21"/>
              </w:rPr>
            </w:pPr>
            <w:r>
              <w:rPr>
                <w:rFonts w:hint="eastAsia" w:ascii="宋体" w:hAnsi="宋体" w:cs="宋体"/>
                <w:color w:val="auto"/>
                <w:kern w:val="0"/>
                <w:szCs w:val="21"/>
              </w:rPr>
              <w:t>3、一般：产品配置方案一般或未提供，产品质量一般，得</w:t>
            </w:r>
            <w:r>
              <w:rPr>
                <w:rFonts w:hint="eastAsia" w:ascii="宋体" w:hAnsi="宋体" w:cs="宋体"/>
                <w:color w:val="auto"/>
                <w:kern w:val="0"/>
                <w:szCs w:val="21"/>
                <w:lang w:val="en-US" w:eastAsia="zh-CN"/>
              </w:rPr>
              <w:t>34</w:t>
            </w:r>
            <w:r>
              <w:rPr>
                <w:rFonts w:hint="eastAsia" w:ascii="宋体" w:hAnsi="宋体" w:cs="宋体"/>
                <w:color w:val="auto"/>
                <w:kern w:val="0"/>
                <w:szCs w:val="21"/>
              </w:rPr>
              <w:t>-1分；</w:t>
            </w:r>
          </w:p>
          <w:p>
            <w:pPr>
              <w:adjustRightInd w:val="0"/>
              <w:snapToGrid w:val="0"/>
              <w:spacing w:line="360" w:lineRule="auto"/>
              <w:ind w:firstLine="420" w:firstLineChars="200"/>
              <w:jc w:val="both"/>
              <w:rPr>
                <w:rFonts w:ascii="宋体" w:hAnsi="宋体" w:cs="宋体"/>
                <w:color w:val="auto"/>
                <w:kern w:val="0"/>
                <w:szCs w:val="21"/>
              </w:rPr>
            </w:pPr>
            <w:r>
              <w:rPr>
                <w:rFonts w:hint="eastAsia" w:ascii="宋体" w:hAnsi="宋体" w:cs="宋体"/>
                <w:color w:val="auto"/>
                <w:kern w:val="0"/>
                <w:szCs w:val="21"/>
              </w:rPr>
              <w:t>证明材料：投标人提供详细的产品配置方案；提供的样品（或主材的原材料）需</w:t>
            </w:r>
            <w:r>
              <w:rPr>
                <w:rFonts w:hint="eastAsia" w:ascii="宋体" w:hAnsi="宋体" w:cs="宋体"/>
                <w:color w:val="auto"/>
                <w:kern w:val="0"/>
                <w:szCs w:val="21"/>
                <w:lang w:val="en-US" w:eastAsia="zh-CN"/>
              </w:rPr>
              <w:t>满足</w:t>
            </w:r>
            <w:r>
              <w:rPr>
                <w:rFonts w:hint="eastAsia" w:ascii="宋体" w:hAnsi="宋体" w:cs="宋体"/>
                <w:color w:val="auto"/>
                <w:kern w:val="0"/>
                <w:szCs w:val="21"/>
              </w:rPr>
              <w:t>招标人采购需求，未提交本项内容则不得分。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noWrap w:val="0"/>
            <w:vAlign w:val="top"/>
          </w:tcPr>
          <w:p>
            <w:pPr>
              <w:jc w:val="center"/>
              <w:rPr>
                <w:b/>
                <w:bCs/>
              </w:rPr>
            </w:pPr>
            <w:r>
              <w:rPr>
                <w:rFonts w:hint="eastAsia"/>
                <w:b/>
                <w:bCs/>
              </w:rPr>
              <w:t>价格评议项（</w:t>
            </w:r>
            <w:r>
              <w:rPr>
                <w:rFonts w:hint="eastAsia"/>
                <w:b/>
                <w:bCs/>
                <w:lang w:val="en-US" w:eastAsia="zh-CN"/>
              </w:rPr>
              <w:t>30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noWrap w:val="0"/>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noWrap w:val="0"/>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noWrap w:val="0"/>
            <w:vAlign w:val="top"/>
          </w:tcPr>
          <w:p>
            <w:pPr>
              <w:spacing w:line="360" w:lineRule="auto"/>
              <w:jc w:val="center"/>
              <w:rPr>
                <w:rFonts w:ascii="宋体" w:hAnsi="宋体"/>
                <w:szCs w:val="21"/>
              </w:rPr>
            </w:pPr>
          </w:p>
        </w:tc>
        <w:tc>
          <w:tcPr>
            <w:tcW w:w="1134" w:type="dxa"/>
            <w:vMerge w:val="restart"/>
            <w:tcBorders>
              <w:tl2br w:val="nil"/>
              <w:tr2bl w:val="nil"/>
            </w:tcBorders>
            <w:noWrap w:val="0"/>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noWrap w:val="0"/>
            <w:vAlign w:val="center"/>
          </w:tcPr>
          <w:p>
            <w:pPr>
              <w:autoSpaceDE w:val="0"/>
              <w:autoSpaceDN w:val="0"/>
              <w:adjustRightInd w:val="0"/>
              <w:snapToGrid w:val="0"/>
              <w:jc w:val="left"/>
              <w:rPr>
                <w:rFonts w:ascii="宋体" w:hAnsi="宋体"/>
                <w:szCs w:val="21"/>
                <w:highlight w:val="yellow"/>
              </w:rPr>
            </w:pPr>
            <w:r>
              <w:rPr>
                <w:rFonts w:hint="eastAsia" w:ascii="宋体" w:hAnsi="宋体"/>
                <w:szCs w:val="21"/>
                <w:highlight w:val="yellow"/>
              </w:rPr>
              <w:t>□各有效</w:t>
            </w:r>
            <w:r>
              <w:rPr>
                <w:rFonts w:ascii="宋体" w:hAnsi="宋体"/>
                <w:szCs w:val="21"/>
                <w:highlight w:val="yellow"/>
              </w:rPr>
              <w:t>投</w:t>
            </w:r>
            <w:r>
              <w:rPr>
                <w:rFonts w:hint="eastAsia" w:ascii="宋体" w:hAnsi="宋体"/>
                <w:szCs w:val="21"/>
                <w:highlight w:val="yellow"/>
              </w:rPr>
              <w:t>标报价大于n家时，去掉一个最高和最低报价后的算术平均值乘以</w:t>
            </w:r>
            <w:r>
              <w:rPr>
                <w:rFonts w:ascii="宋体" w:hAnsi="宋体"/>
                <w:szCs w:val="21"/>
                <w:highlight w:val="yellow"/>
                <w:u w:val="single"/>
              </w:rPr>
              <w:t xml:space="preserve">    </w:t>
            </w:r>
            <w:r>
              <w:rPr>
                <w:rFonts w:hint="eastAsia" w:ascii="宋体" w:hAnsi="宋体"/>
                <w:szCs w:val="21"/>
                <w:highlight w:val="yellow"/>
              </w:rPr>
              <w:t>％。当有效投标报价少于n（含）家时，则以所有有效投标报价的算术平均值乘以</w:t>
            </w:r>
            <w:r>
              <w:rPr>
                <w:rFonts w:ascii="宋体" w:hAnsi="宋体"/>
                <w:szCs w:val="21"/>
                <w:highlight w:val="yellow"/>
                <w:u w:val="single"/>
              </w:rPr>
              <w:t xml:space="preserve">    </w:t>
            </w:r>
            <w:r>
              <w:rPr>
                <w:rFonts w:hint="eastAsia" w:ascii="宋体" w:hAnsi="宋体"/>
                <w:szCs w:val="21"/>
                <w:highlight w:val="yellow"/>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noWrap w:val="0"/>
            <w:vAlign w:val="top"/>
          </w:tcPr>
          <w:p>
            <w:pPr>
              <w:spacing w:line="360" w:lineRule="auto"/>
              <w:jc w:val="center"/>
              <w:rPr>
                <w:rFonts w:ascii="宋体" w:hAnsi="宋体"/>
                <w:szCs w:val="21"/>
              </w:rPr>
            </w:pPr>
          </w:p>
        </w:tc>
        <w:tc>
          <w:tcPr>
            <w:tcW w:w="1134" w:type="dxa"/>
            <w:vMerge w:val="continue"/>
            <w:tcBorders>
              <w:tl2br w:val="nil"/>
              <w:tr2bl w:val="nil"/>
            </w:tcBorders>
            <w:noWrap w:val="0"/>
            <w:vAlign w:val="center"/>
          </w:tcPr>
          <w:p>
            <w:pPr>
              <w:spacing w:line="360" w:lineRule="auto"/>
              <w:jc w:val="center"/>
              <w:rPr>
                <w:rFonts w:ascii="宋体" w:hAnsi="宋体"/>
                <w:szCs w:val="21"/>
              </w:rPr>
            </w:pPr>
          </w:p>
        </w:tc>
        <w:tc>
          <w:tcPr>
            <w:tcW w:w="7513" w:type="dxa"/>
            <w:gridSpan w:val="3"/>
            <w:tcBorders>
              <w:tl2br w:val="nil"/>
              <w:tr2bl w:val="nil"/>
            </w:tcBorders>
            <w:noWrap w:val="0"/>
            <w:vAlign w:val="center"/>
          </w:tcPr>
          <w:p>
            <w:pPr>
              <w:spacing w:line="240" w:lineRule="atLeast"/>
              <w:jc w:val="left"/>
              <w:rPr>
                <w:rFonts w:ascii="宋体" w:hAnsi="宋体"/>
                <w:szCs w:val="21"/>
                <w:highlight w:val="yellow"/>
              </w:rPr>
            </w:pPr>
            <w:r>
              <w:rPr>
                <w:rFonts w:hint="eastAsia" w:ascii="宋体" w:hAnsi="宋体"/>
                <w:szCs w:val="21"/>
                <w:highlight w:val="yellow"/>
              </w:rPr>
              <w:sym w:font="Wingdings 2" w:char="0052"/>
            </w:r>
            <w:r>
              <w:rPr>
                <w:rFonts w:hint="eastAsia" w:ascii="宋体" w:hAnsi="宋体"/>
                <w:szCs w:val="21"/>
                <w:highlight w:val="yellow"/>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noWrap w:val="0"/>
            <w:vAlign w:val="top"/>
          </w:tcPr>
          <w:p>
            <w:pPr>
              <w:spacing w:line="360" w:lineRule="auto"/>
              <w:jc w:val="center"/>
              <w:rPr>
                <w:rFonts w:ascii="宋体" w:hAnsi="宋体"/>
                <w:szCs w:val="21"/>
              </w:rPr>
            </w:pPr>
          </w:p>
        </w:tc>
        <w:tc>
          <w:tcPr>
            <w:tcW w:w="1134" w:type="dxa"/>
            <w:vMerge w:val="continue"/>
            <w:tcBorders>
              <w:tl2br w:val="nil"/>
              <w:tr2bl w:val="nil"/>
            </w:tcBorders>
            <w:noWrap w:val="0"/>
            <w:vAlign w:val="center"/>
          </w:tcPr>
          <w:p>
            <w:pPr>
              <w:spacing w:line="360" w:lineRule="auto"/>
              <w:jc w:val="center"/>
              <w:rPr>
                <w:rFonts w:ascii="宋体" w:hAnsi="宋体"/>
                <w:szCs w:val="21"/>
              </w:rPr>
            </w:pPr>
          </w:p>
        </w:tc>
        <w:tc>
          <w:tcPr>
            <w:tcW w:w="7513" w:type="dxa"/>
            <w:gridSpan w:val="3"/>
            <w:tcBorders>
              <w:tl2br w:val="nil"/>
              <w:tr2bl w:val="nil"/>
            </w:tcBorders>
            <w:noWrap w:val="0"/>
            <w:vAlign w:val="center"/>
          </w:tcPr>
          <w:p>
            <w:pPr>
              <w:spacing w:line="240" w:lineRule="atLeast"/>
              <w:jc w:val="left"/>
              <w:rPr>
                <w:rFonts w:ascii="宋体" w:hAnsi="宋体"/>
                <w:szCs w:val="21"/>
                <w:highlight w:val="yellow"/>
              </w:rPr>
            </w:pPr>
            <w:r>
              <w:rPr>
                <w:rFonts w:hint="eastAsia" w:ascii="宋体" w:hAnsi="宋体"/>
                <w:szCs w:val="21"/>
                <w:highlight w:val="yellow"/>
              </w:rPr>
              <w:sym w:font="Wingdings 2" w:char="00A3"/>
            </w:r>
            <w:r>
              <w:rPr>
                <w:rFonts w:hint="eastAsia" w:ascii="宋体" w:hAnsi="宋体"/>
                <w:szCs w:val="21"/>
                <w:highlight w:val="yellow"/>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noWrap w:val="0"/>
            <w:vAlign w:val="top"/>
          </w:tcPr>
          <w:p>
            <w:pPr>
              <w:spacing w:line="360" w:lineRule="auto"/>
              <w:jc w:val="center"/>
              <w:rPr>
                <w:rFonts w:ascii="宋体" w:hAnsi="宋体"/>
                <w:szCs w:val="21"/>
              </w:rPr>
            </w:pPr>
          </w:p>
        </w:tc>
        <w:tc>
          <w:tcPr>
            <w:tcW w:w="1134" w:type="dxa"/>
            <w:vMerge w:val="restart"/>
            <w:tcBorders>
              <w:tl2br w:val="nil"/>
              <w:tr2bl w:val="nil"/>
            </w:tcBorders>
            <w:noWrap w:val="0"/>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noWrap w:val="0"/>
            <w:vAlign w:val="center"/>
          </w:tcPr>
          <w:p>
            <w:pPr>
              <w:spacing w:line="240" w:lineRule="atLeast"/>
              <w:jc w:val="center"/>
              <w:rPr>
                <w:rFonts w:ascii="宋体" w:cs="宋体"/>
                <w:kern w:val="0"/>
                <w:szCs w:val="21"/>
                <w:highlight w:val="yellow"/>
              </w:rPr>
            </w:pPr>
            <w:r>
              <w:rPr>
                <w:rFonts w:hint="eastAsia" w:ascii="宋体" w:hAnsi="宋体"/>
                <w:szCs w:val="21"/>
                <w:highlight w:val="yellow"/>
              </w:rPr>
              <w:t>□固定</w:t>
            </w:r>
            <w:r>
              <w:rPr>
                <w:rFonts w:ascii="宋体" w:hAnsi="宋体"/>
                <w:szCs w:val="21"/>
                <w:highlight w:val="yellow"/>
              </w:rPr>
              <w:t>比例</w:t>
            </w:r>
            <w:r>
              <w:rPr>
                <w:rFonts w:hint="eastAsia" w:ascii="宋体" w:hAnsi="宋体"/>
                <w:szCs w:val="21"/>
                <w:highlight w:val="yellow"/>
              </w:rPr>
              <w:t>法</w:t>
            </w:r>
          </w:p>
        </w:tc>
        <w:tc>
          <w:tcPr>
            <w:tcW w:w="5950" w:type="dxa"/>
            <w:tcBorders>
              <w:tl2br w:val="nil"/>
              <w:tr2bl w:val="nil"/>
            </w:tcBorders>
            <w:noWrap w:val="0"/>
            <w:vAlign w:val="center"/>
          </w:tcPr>
          <w:p>
            <w:pPr>
              <w:autoSpaceDE w:val="0"/>
              <w:autoSpaceDN w:val="0"/>
              <w:adjustRightInd w:val="0"/>
              <w:snapToGrid w:val="0"/>
              <w:jc w:val="left"/>
              <w:rPr>
                <w:rFonts w:ascii="宋体" w:hAnsi="宋体"/>
                <w:szCs w:val="21"/>
                <w:highlight w:val="yellow"/>
              </w:rPr>
            </w:pPr>
            <w:r>
              <w:rPr>
                <w:rFonts w:hint="eastAsia" w:ascii="宋体" w:hAnsi="宋体"/>
                <w:szCs w:val="21"/>
                <w:highlight w:val="yellow"/>
              </w:rPr>
              <w:t>价格得分=M-[（｜投标价格-基准价｜/基准价）*100/</w:t>
            </w:r>
            <w:r>
              <w:rPr>
                <w:rFonts w:ascii="宋体" w:hAnsi="宋体"/>
                <w:szCs w:val="21"/>
                <w:highlight w:val="yellow"/>
              </w:rPr>
              <w:t>N]*</w:t>
            </w:r>
            <w:r>
              <w:rPr>
                <w:rFonts w:hint="eastAsia" w:ascii="宋体" w:hAnsi="宋体"/>
                <w:szCs w:val="21"/>
                <w:highlight w:val="yellow"/>
              </w:rPr>
              <w:t>扣分值</w:t>
            </w:r>
          </w:p>
          <w:p>
            <w:pPr>
              <w:autoSpaceDE w:val="0"/>
              <w:autoSpaceDN w:val="0"/>
              <w:adjustRightInd w:val="0"/>
              <w:snapToGrid w:val="0"/>
              <w:jc w:val="left"/>
              <w:rPr>
                <w:rFonts w:ascii="宋体" w:hAnsi="宋体"/>
                <w:szCs w:val="21"/>
                <w:highlight w:val="yellow"/>
              </w:rPr>
            </w:pPr>
            <w:r>
              <w:rPr>
                <w:rFonts w:hint="eastAsia" w:ascii="宋体" w:hAnsi="宋体"/>
                <w:szCs w:val="21"/>
                <w:highlight w:val="yellow"/>
              </w:rPr>
              <w:t>M=</w:t>
            </w:r>
            <w:r>
              <w:rPr>
                <w:rFonts w:ascii="宋体" w:hAnsi="宋体"/>
                <w:szCs w:val="21"/>
                <w:highlight w:val="yellow"/>
                <w:u w:val="single"/>
              </w:rPr>
              <w:t xml:space="preserve">    </w:t>
            </w:r>
            <w:r>
              <w:rPr>
                <w:rFonts w:hint="eastAsia" w:ascii="宋体" w:hAnsi="宋体"/>
                <w:szCs w:val="21"/>
                <w:highlight w:val="yellow"/>
              </w:rPr>
              <w:t>（价格评价分项满分值），N=</w:t>
            </w:r>
            <w:r>
              <w:rPr>
                <w:rFonts w:ascii="宋体" w:hAnsi="宋体"/>
                <w:szCs w:val="21"/>
                <w:highlight w:val="yellow"/>
                <w:u w:val="single"/>
              </w:rPr>
              <w:t xml:space="preserve">    </w:t>
            </w:r>
            <w:r>
              <w:rPr>
                <w:rFonts w:hint="eastAsia" w:ascii="宋体" w:hAnsi="宋体"/>
                <w:szCs w:val="21"/>
                <w:highlight w:val="yellow"/>
              </w:rPr>
              <w:t>，投标价格每高于N％时，扣</w:t>
            </w:r>
            <w:r>
              <w:rPr>
                <w:rFonts w:ascii="宋体" w:hAnsi="宋体"/>
                <w:szCs w:val="21"/>
                <w:highlight w:val="yellow"/>
                <w:u w:val="single"/>
              </w:rPr>
              <w:t xml:space="preserve">    </w:t>
            </w:r>
            <w:r>
              <w:rPr>
                <w:rFonts w:hint="eastAsia" w:ascii="宋体" w:hAnsi="宋体"/>
                <w:szCs w:val="21"/>
                <w:highlight w:val="yellow"/>
              </w:rPr>
              <w:t>分；每低于N％时，扣</w:t>
            </w:r>
            <w:r>
              <w:rPr>
                <w:rFonts w:ascii="宋体" w:hAnsi="宋体"/>
                <w:szCs w:val="21"/>
                <w:highlight w:val="yellow"/>
                <w:u w:val="single"/>
              </w:rPr>
              <w:t xml:space="preserve">    </w:t>
            </w:r>
            <w:r>
              <w:rPr>
                <w:rFonts w:hint="eastAsia" w:ascii="宋体" w:hAnsi="宋体"/>
                <w:szCs w:val="21"/>
                <w:highlight w:val="yellow"/>
              </w:rPr>
              <w:t>分；</w:t>
            </w:r>
          </w:p>
          <w:p>
            <w:pPr>
              <w:spacing w:line="240" w:lineRule="atLeast"/>
              <w:jc w:val="left"/>
              <w:rPr>
                <w:rFonts w:ascii="宋体" w:cs="宋体"/>
                <w:kern w:val="0"/>
                <w:szCs w:val="21"/>
                <w:highlight w:val="yellow"/>
              </w:rPr>
            </w:pPr>
            <w:r>
              <w:rPr>
                <w:rFonts w:hint="eastAsia" w:ascii="宋体" w:hAnsi="宋体"/>
                <w:szCs w:val="21"/>
                <w:highlight w:val="yellow"/>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noWrap w:val="0"/>
            <w:vAlign w:val="top"/>
          </w:tcPr>
          <w:p>
            <w:pPr>
              <w:spacing w:line="360" w:lineRule="auto"/>
              <w:jc w:val="center"/>
              <w:rPr>
                <w:rFonts w:ascii="宋体" w:hAnsi="宋体"/>
                <w:szCs w:val="21"/>
              </w:rPr>
            </w:pPr>
          </w:p>
        </w:tc>
        <w:tc>
          <w:tcPr>
            <w:tcW w:w="1134" w:type="dxa"/>
            <w:vMerge w:val="continue"/>
            <w:tcBorders>
              <w:tl2br w:val="nil"/>
              <w:tr2bl w:val="nil"/>
            </w:tcBorders>
            <w:noWrap w:val="0"/>
            <w:vAlign w:val="center"/>
          </w:tcPr>
          <w:p>
            <w:pPr>
              <w:spacing w:line="360" w:lineRule="auto"/>
              <w:jc w:val="center"/>
              <w:rPr>
                <w:rFonts w:ascii="宋体" w:hAnsi="宋体"/>
                <w:szCs w:val="21"/>
              </w:rPr>
            </w:pPr>
          </w:p>
        </w:tc>
        <w:tc>
          <w:tcPr>
            <w:tcW w:w="1563" w:type="dxa"/>
            <w:gridSpan w:val="2"/>
            <w:tcBorders>
              <w:tl2br w:val="nil"/>
              <w:tr2bl w:val="nil"/>
            </w:tcBorders>
            <w:noWrap w:val="0"/>
            <w:vAlign w:val="center"/>
          </w:tcPr>
          <w:p>
            <w:pPr>
              <w:spacing w:line="240" w:lineRule="atLeast"/>
              <w:jc w:val="center"/>
              <w:rPr>
                <w:rFonts w:ascii="宋体" w:cs="宋体"/>
                <w:kern w:val="0"/>
                <w:szCs w:val="21"/>
                <w:highlight w:val="yellow"/>
              </w:rPr>
            </w:pPr>
            <w:r>
              <w:rPr>
                <w:rFonts w:hint="eastAsia" w:ascii="宋体" w:hAnsi="宋体"/>
                <w:szCs w:val="21"/>
                <w:highlight w:val="yellow"/>
              </w:rPr>
              <w:sym w:font="Wingdings 2" w:char="0052"/>
            </w:r>
            <w:r>
              <w:rPr>
                <w:rFonts w:hint="eastAsia" w:ascii="宋体" w:hAnsi="宋体"/>
                <w:szCs w:val="21"/>
                <w:highlight w:val="yellow"/>
              </w:rPr>
              <w:t>固定乘积法</w:t>
            </w:r>
          </w:p>
        </w:tc>
        <w:tc>
          <w:tcPr>
            <w:tcW w:w="5950" w:type="dxa"/>
            <w:tcBorders>
              <w:tl2br w:val="nil"/>
              <w:tr2bl w:val="nil"/>
            </w:tcBorders>
            <w:noWrap w:val="0"/>
            <w:vAlign w:val="center"/>
          </w:tcPr>
          <w:p>
            <w:pPr>
              <w:autoSpaceDE w:val="0"/>
              <w:autoSpaceDN w:val="0"/>
              <w:adjustRightInd w:val="0"/>
              <w:snapToGrid w:val="0"/>
              <w:jc w:val="left"/>
              <w:rPr>
                <w:rStyle w:val="20"/>
                <w:rFonts w:ascii="宋体" w:hAnsi="宋体"/>
                <w:highlight w:val="yellow"/>
              </w:rPr>
            </w:pPr>
            <w:r>
              <w:rPr>
                <w:rStyle w:val="20"/>
                <w:rFonts w:hint="eastAsia" w:ascii="宋体" w:hAnsi="宋体"/>
                <w:highlight w:val="yellow"/>
              </w:rPr>
              <w:t>价格得分=（1-A×｜1-投标报价/Z｜）×M</w:t>
            </w:r>
          </w:p>
          <w:p>
            <w:pPr>
              <w:numPr>
                <w:ilvl w:val="0"/>
                <w:numId w:val="13"/>
              </w:numPr>
              <w:autoSpaceDE w:val="0"/>
              <w:autoSpaceDN w:val="0"/>
              <w:adjustRightInd w:val="0"/>
              <w:snapToGrid w:val="0"/>
              <w:jc w:val="left"/>
              <w:rPr>
                <w:rStyle w:val="20"/>
                <w:rFonts w:ascii="宋体" w:hAnsi="宋体"/>
                <w:highlight w:val="yellow"/>
              </w:rPr>
            </w:pPr>
            <w:r>
              <w:rPr>
                <w:rStyle w:val="20"/>
                <w:rFonts w:hint="eastAsia" w:ascii="宋体" w:hAnsi="宋体"/>
                <w:highlight w:val="yellow"/>
              </w:rPr>
              <w:t xml:space="preserve">M= </w:t>
            </w:r>
            <w:r>
              <w:rPr>
                <w:rStyle w:val="20"/>
                <w:rFonts w:hint="eastAsia" w:ascii="宋体" w:hAnsi="宋体"/>
                <w:highlight w:val="yellow"/>
                <w:lang w:val="en-US" w:eastAsia="zh-CN"/>
              </w:rPr>
              <w:t>60</w:t>
            </w:r>
            <w:r>
              <w:rPr>
                <w:rStyle w:val="20"/>
                <w:rFonts w:hint="eastAsia" w:ascii="宋体" w:hAnsi="宋体"/>
                <w:highlight w:val="yellow"/>
              </w:rPr>
              <w:t>（价格评价分项满分值），Z为本次招标基准价；</w:t>
            </w:r>
          </w:p>
          <w:p>
            <w:pPr>
              <w:numPr>
                <w:ilvl w:val="0"/>
                <w:numId w:val="13"/>
              </w:numPr>
              <w:autoSpaceDE w:val="0"/>
              <w:autoSpaceDN w:val="0"/>
              <w:adjustRightInd w:val="0"/>
              <w:snapToGrid w:val="0"/>
              <w:jc w:val="left"/>
              <w:rPr>
                <w:rStyle w:val="20"/>
                <w:rFonts w:ascii="宋体" w:hAnsi="宋体"/>
                <w:highlight w:val="yellow"/>
              </w:rPr>
            </w:pPr>
            <w:r>
              <w:rPr>
                <w:rStyle w:val="20"/>
                <w:rFonts w:hint="eastAsia" w:ascii="宋体" w:hAnsi="宋体"/>
                <w:highlight w:val="yellow"/>
              </w:rPr>
              <w:t>A为价格调整系数，当投标报价低于本次招标最佳报价（即基准价）时，A=0.5；当投标报价高于次招标基准价时，取A=1；</w:t>
            </w:r>
          </w:p>
          <w:p>
            <w:pPr>
              <w:numPr>
                <w:ilvl w:val="0"/>
                <w:numId w:val="13"/>
              </w:numPr>
              <w:jc w:val="left"/>
              <w:rPr>
                <w:rFonts w:ascii="宋体" w:cs="宋体"/>
                <w:kern w:val="0"/>
                <w:szCs w:val="21"/>
                <w:highlight w:val="yellow"/>
              </w:rPr>
            </w:pPr>
            <w:r>
              <w:rPr>
                <w:rStyle w:val="20"/>
                <w:rFonts w:hint="eastAsia" w:ascii="宋体" w:hAnsi="宋体"/>
                <w:highlight w:val="yellow"/>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noWrap w:val="0"/>
            <w:vAlign w:val="top"/>
          </w:tcPr>
          <w:p>
            <w:pPr>
              <w:spacing w:line="360" w:lineRule="auto"/>
              <w:jc w:val="center"/>
              <w:rPr>
                <w:rFonts w:ascii="宋体" w:hAnsi="宋体"/>
                <w:szCs w:val="21"/>
              </w:rPr>
            </w:pPr>
          </w:p>
        </w:tc>
        <w:tc>
          <w:tcPr>
            <w:tcW w:w="1134" w:type="dxa"/>
            <w:vMerge w:val="continue"/>
            <w:tcBorders>
              <w:tl2br w:val="nil"/>
              <w:tr2bl w:val="nil"/>
            </w:tcBorders>
            <w:noWrap w:val="0"/>
            <w:vAlign w:val="center"/>
          </w:tcPr>
          <w:p>
            <w:pPr>
              <w:spacing w:line="360" w:lineRule="auto"/>
              <w:jc w:val="center"/>
              <w:rPr>
                <w:rFonts w:ascii="宋体" w:hAnsi="宋体"/>
                <w:szCs w:val="21"/>
              </w:rPr>
            </w:pPr>
          </w:p>
        </w:tc>
        <w:tc>
          <w:tcPr>
            <w:tcW w:w="1563" w:type="dxa"/>
            <w:gridSpan w:val="2"/>
            <w:tcBorders>
              <w:tl2br w:val="nil"/>
              <w:tr2bl w:val="nil"/>
            </w:tcBorders>
            <w:noWrap w:val="0"/>
            <w:vAlign w:val="center"/>
          </w:tcPr>
          <w:p>
            <w:pPr>
              <w:spacing w:line="240" w:lineRule="atLeast"/>
              <w:jc w:val="center"/>
              <w:rPr>
                <w:rFonts w:ascii="宋体" w:hAnsi="宋体"/>
                <w:szCs w:val="21"/>
                <w:highlight w:val="yellow"/>
              </w:rPr>
            </w:pPr>
            <w:r>
              <w:rPr>
                <w:rFonts w:hint="eastAsia" w:ascii="宋体" w:hAnsi="宋体"/>
                <w:szCs w:val="21"/>
                <w:highlight w:val="yellow"/>
              </w:rPr>
              <w:t>□其他</w:t>
            </w:r>
            <w:r>
              <w:rPr>
                <w:rFonts w:ascii="宋体" w:hAnsi="宋体"/>
                <w:szCs w:val="21"/>
                <w:highlight w:val="yellow"/>
              </w:rPr>
              <w:t>方法</w:t>
            </w:r>
          </w:p>
        </w:tc>
        <w:tc>
          <w:tcPr>
            <w:tcW w:w="5950" w:type="dxa"/>
            <w:tcBorders>
              <w:tl2br w:val="nil"/>
              <w:tr2bl w:val="nil"/>
            </w:tcBorders>
            <w:noWrap w:val="0"/>
            <w:vAlign w:val="center"/>
          </w:tcPr>
          <w:p>
            <w:pPr>
              <w:spacing w:line="240" w:lineRule="atLeast"/>
              <w:jc w:val="center"/>
              <w:rPr>
                <w:rFonts w:ascii="宋体" w:cs="宋体"/>
                <w:kern w:val="0"/>
                <w:szCs w:val="21"/>
                <w:highlight w:val="yellow"/>
              </w:rPr>
            </w:pP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4"/>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4"/>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numPr>
          <w:ilvl w:val="0"/>
          <w:numId w:val="1"/>
        </w:numPr>
        <w:spacing w:line="300" w:lineRule="auto"/>
        <w:outlineLvl w:val="0"/>
        <w:rPr>
          <w:rFonts w:ascii="宋体" w:hAnsi="宋体" w:cs="宋体"/>
          <w:b/>
          <w:sz w:val="24"/>
        </w:rPr>
      </w:pPr>
      <w:bookmarkStart w:id="17" w:name="_Toc116550241"/>
      <w:r>
        <w:rPr>
          <w:rFonts w:hint="eastAsia" w:ascii="宋体" w:hAnsi="宋体" w:cs="宋体"/>
          <w:b/>
          <w:sz w:val="24"/>
        </w:rPr>
        <w:t>采购结果</w:t>
      </w:r>
      <w:bookmarkEnd w:id="17"/>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18" w:name="_Toc116550242"/>
      <w:r>
        <w:rPr>
          <w:rFonts w:hint="eastAsia" w:ascii="宋体" w:hAnsi="宋体" w:cs="宋体"/>
          <w:b/>
          <w:sz w:val="24"/>
        </w:rPr>
        <w:t>合同条款及格式</w:t>
      </w:r>
      <w:bookmarkEnd w:id="18"/>
    </w:p>
    <w:p>
      <w:pPr>
        <w:pStyle w:val="29"/>
        <w:ind w:left="420" w:firstLine="0" w:firstLineChars="0"/>
        <w:jc w:val="center"/>
        <w:rPr>
          <w:rFonts w:hint="eastAsia" w:ascii="宋体" w:hAnsi="宋体" w:eastAsia="宋体" w:cs="宋体"/>
          <w:bCs/>
          <w:color w:val="auto"/>
          <w:kern w:val="0"/>
          <w:sz w:val="28"/>
          <w:szCs w:val="28"/>
        </w:rPr>
      </w:pPr>
      <w:bookmarkStart w:id="19" w:name="_Toc22525"/>
      <w:r>
        <w:rPr>
          <w:rFonts w:hint="eastAsia" w:ascii="宋体" w:hAnsi="宋体" w:cs="宋体"/>
          <w:color w:val="auto"/>
          <w:sz w:val="28"/>
          <w:szCs w:val="28"/>
          <w:highlight w:val="yellow"/>
          <w:lang w:val="en-US" w:eastAsia="zh-CN"/>
        </w:rPr>
        <w:t>深圳会展中心</w:t>
      </w:r>
      <w:r>
        <w:rPr>
          <w:rFonts w:hint="eastAsia" w:ascii="宋体" w:hAnsi="宋体" w:cs="宋体"/>
          <w:color w:val="auto"/>
          <w:sz w:val="28"/>
          <w:szCs w:val="28"/>
          <w:highlight w:val="yellow"/>
          <w:lang w:eastAsia="zh-CN"/>
        </w:rPr>
        <w:t>红灯笼</w:t>
      </w:r>
      <w:r>
        <w:rPr>
          <w:rFonts w:hint="eastAsia" w:ascii="宋体" w:hAnsi="宋体" w:cs="宋体"/>
          <w:color w:val="auto"/>
          <w:sz w:val="28"/>
          <w:szCs w:val="28"/>
          <w:highlight w:val="yellow"/>
          <w:lang w:val="en-US" w:eastAsia="zh-CN"/>
        </w:rPr>
        <w:t>采购</w:t>
      </w:r>
      <w:r>
        <w:rPr>
          <w:rFonts w:hint="eastAsia" w:ascii="宋体" w:hAnsi="宋体" w:cs="宋体"/>
          <w:color w:val="auto"/>
          <w:sz w:val="28"/>
          <w:szCs w:val="28"/>
          <w:highlight w:val="yellow"/>
        </w:rPr>
        <w:t>项目</w:t>
      </w:r>
      <w:r>
        <w:rPr>
          <w:rFonts w:hint="eastAsia" w:ascii="宋体" w:hAnsi="宋体" w:eastAsia="宋体" w:cs="宋体"/>
          <w:bCs/>
          <w:color w:val="auto"/>
          <w:kern w:val="0"/>
          <w:sz w:val="28"/>
          <w:szCs w:val="28"/>
        </w:rPr>
        <w:t>合同</w:t>
      </w:r>
    </w:p>
    <w:bookmarkEnd w:id="19"/>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16"/>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vAlign w:val="center"/>
          </w:tcPr>
          <w:p>
            <w:pPr>
              <w:rPr>
                <w:rFonts w:ascii="宋体" w:hAnsi="宋体"/>
                <w:sz w:val="24"/>
              </w:rPr>
            </w:pPr>
            <w:r>
              <w:rPr>
                <w:rFonts w:hint="eastAsia" w:ascii="宋体" w:hAnsi="宋体"/>
                <w:sz w:val="24"/>
              </w:rPr>
              <w:t>甲方：深圳会展中心管理有限责任公司</w:t>
            </w:r>
          </w:p>
          <w:p>
            <w:pPr>
              <w:rPr>
                <w:rFonts w:ascii="宋体" w:hAnsi="宋体"/>
                <w:sz w:val="24"/>
                <w:u w:val="single"/>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c>
          <w:tcPr>
            <w:tcW w:w="4878" w:type="dxa"/>
            <w:vAlign w:val="center"/>
          </w:tcPr>
          <w:p>
            <w:pPr>
              <w:spacing w:line="400" w:lineRule="exact"/>
              <w:rPr>
                <w:rFonts w:ascii="宋体" w:hAnsi="宋体"/>
                <w:sz w:val="24"/>
              </w:rPr>
            </w:pPr>
            <w:r>
              <w:rPr>
                <w:rFonts w:hint="eastAsia" w:ascii="宋体" w:hAnsi="宋体"/>
                <w:sz w:val="24"/>
              </w:rPr>
              <w:t>乙    方：</w:t>
            </w:r>
            <w:r>
              <w:rPr>
                <w:rFonts w:ascii="宋体" w:hAnsi="宋体"/>
                <w:sz w:val="24"/>
                <w:u w:val="single"/>
              </w:rPr>
              <w:t xml:space="preserve">                  </w:t>
            </w:r>
          </w:p>
          <w:p>
            <w:pPr>
              <w:rPr>
                <w:rFonts w:ascii="宋体" w:hAnsi="宋体"/>
                <w:sz w:val="24"/>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r>
    </w:tbl>
    <w:p>
      <w:pPr>
        <w:ind w:firstLine="420" w:firstLineChars="200"/>
        <w:jc w:val="left"/>
        <w:rPr>
          <w:rFonts w:ascii="宋体" w:hAnsi="宋体"/>
          <w:szCs w:val="21"/>
        </w:rPr>
      </w:pPr>
    </w:p>
    <w:p>
      <w:pPr>
        <w:pStyle w:val="12"/>
      </w:pPr>
    </w:p>
    <w:p>
      <w:pPr>
        <w:pStyle w:val="12"/>
        <w:jc w:val="center"/>
        <w:rPr>
          <w:rFonts w:hint="eastAsia" w:ascii="方正公文小标宋" w:hAnsi="方正公文小标宋" w:eastAsia="方正公文小标宋" w:cs="方正公文小标宋"/>
          <w:b/>
          <w:bCs/>
          <w:color w:val="FF0000"/>
          <w:sz w:val="44"/>
          <w:szCs w:val="44"/>
          <w:highlight w:val="yellow"/>
        </w:rPr>
      </w:pPr>
      <w:bookmarkStart w:id="20" w:name="_Toc25002"/>
    </w:p>
    <w:p>
      <w:pPr>
        <w:pStyle w:val="12"/>
        <w:jc w:val="center"/>
        <w:rPr>
          <w:rFonts w:hint="eastAsia" w:ascii="方正公文小标宋" w:hAnsi="方正公文小标宋" w:eastAsia="方正公文小标宋" w:cs="方正公文小标宋"/>
          <w:b/>
          <w:bCs/>
          <w:color w:val="FF0000"/>
          <w:sz w:val="44"/>
          <w:szCs w:val="44"/>
          <w:highlight w:val="yellow"/>
        </w:rPr>
      </w:pPr>
    </w:p>
    <w:bookmarkEnd w:id="20"/>
    <w:p>
      <w:pPr>
        <w:pStyle w:val="12"/>
        <w:rPr>
          <w:rFonts w:ascii="仿宋" w:hAnsi="仿宋" w:eastAsia="仿宋" w:cs="仿宋"/>
          <w:sz w:val="28"/>
          <w:szCs w:val="28"/>
        </w:rPr>
      </w:pPr>
      <w:bookmarkStart w:id="21" w:name="_Toc478387760"/>
    </w:p>
    <w:p>
      <w:pPr>
        <w:spacing w:line="0" w:lineRule="atLeast"/>
        <w:outlineLvl w:val="0"/>
        <w:rPr>
          <w:rFonts w:ascii="宋体" w:hAnsi="宋体"/>
        </w:rPr>
      </w:pPr>
      <w:bookmarkStart w:id="22" w:name="_Toc116550244"/>
      <w:r>
        <w:rPr>
          <w:rFonts w:hint="eastAsia" w:ascii="仿宋" w:hAnsi="仿宋" w:eastAsia="仿宋" w:cs="仿宋"/>
          <w:sz w:val="28"/>
          <w:szCs w:val="28"/>
        </w:rPr>
        <w:t>附件1：报名回函</w:t>
      </w:r>
      <w:bookmarkEnd w:id="22"/>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numPr>
          <w:ilvl w:val="0"/>
          <w:numId w:val="14"/>
        </w:numPr>
        <w:ind w:left="-4" w:leftChars="-2" w:firstLine="500" w:firstLineChars="237"/>
        <w:rPr>
          <w:rFonts w:hint="eastAsia" w:ascii="宋体" w:hAnsi="宋体"/>
          <w:b/>
          <w:sz w:val="21"/>
          <w:szCs w:val="21"/>
        </w:rPr>
      </w:pPr>
      <w:r>
        <w:rPr>
          <w:rFonts w:hint="eastAsia" w:ascii="宋体" w:hAnsi="宋体"/>
          <w:b/>
          <w:sz w:val="21"/>
          <w:szCs w:val="21"/>
        </w:rPr>
        <w:t>上述内容均为必填项，必须按要求如实、完整填报，印章清晰；否则，报名无效。</w:t>
      </w:r>
    </w:p>
    <w:p>
      <w:pPr>
        <w:pStyle w:val="8"/>
        <w:numPr>
          <w:ilvl w:val="0"/>
          <w:numId w:val="0"/>
        </w:numPr>
        <w:ind w:firstLine="422" w:firstLineChars="200"/>
        <w:rPr>
          <w:rFonts w:hint="eastAsia" w:ascii="宋体" w:hAnsi="宋体"/>
          <w:b/>
          <w:sz w:val="21"/>
          <w:szCs w:val="21"/>
        </w:rPr>
      </w:pPr>
    </w:p>
    <w:p>
      <w:pPr>
        <w:pStyle w:val="8"/>
        <w:numPr>
          <w:ilvl w:val="0"/>
          <w:numId w:val="0"/>
        </w:numPr>
        <w:ind w:firstLine="422" w:firstLineChars="200"/>
        <w:rPr>
          <w:rFonts w:hint="eastAsia" w:ascii="宋体" w:hAnsi="宋体"/>
          <w:b/>
          <w:sz w:val="21"/>
          <w:szCs w:val="21"/>
        </w:rPr>
      </w:pPr>
    </w:p>
    <w:p>
      <w:pPr>
        <w:pStyle w:val="8"/>
        <w:numPr>
          <w:ilvl w:val="0"/>
          <w:numId w:val="0"/>
        </w:numPr>
        <w:ind w:firstLine="422" w:firstLineChars="200"/>
        <w:rPr>
          <w:rFonts w:hint="eastAsia" w:ascii="宋体" w:hAnsi="宋体"/>
          <w:b/>
          <w:sz w:val="21"/>
          <w:szCs w:val="21"/>
        </w:rPr>
      </w:pPr>
    </w:p>
    <w:p>
      <w:pPr>
        <w:pStyle w:val="8"/>
        <w:numPr>
          <w:ilvl w:val="0"/>
          <w:numId w:val="0"/>
        </w:numPr>
        <w:ind w:firstLine="422" w:firstLineChars="200"/>
        <w:rPr>
          <w:rFonts w:hint="eastAsia" w:ascii="宋体" w:hAnsi="宋体"/>
          <w:b/>
          <w:sz w:val="21"/>
          <w:szCs w:val="21"/>
        </w:rPr>
      </w:pPr>
    </w:p>
    <w:p>
      <w:pPr>
        <w:pStyle w:val="8"/>
        <w:numPr>
          <w:ilvl w:val="0"/>
          <w:numId w:val="0"/>
        </w:numPr>
        <w:ind w:firstLine="422" w:firstLineChars="200"/>
        <w:rPr>
          <w:rFonts w:hint="eastAsia" w:ascii="宋体" w:hAnsi="宋体"/>
          <w:b/>
          <w:sz w:val="21"/>
          <w:szCs w:val="21"/>
        </w:rPr>
      </w:pPr>
    </w:p>
    <w:p>
      <w:pPr>
        <w:pStyle w:val="8"/>
        <w:numPr>
          <w:ilvl w:val="0"/>
          <w:numId w:val="0"/>
        </w:numPr>
        <w:ind w:firstLine="422" w:firstLineChars="200"/>
        <w:rPr>
          <w:rFonts w:hint="eastAsia" w:ascii="宋体" w:hAnsi="宋体"/>
          <w:b/>
          <w:sz w:val="21"/>
          <w:szCs w:val="21"/>
        </w:rPr>
      </w:pPr>
    </w:p>
    <w:bookmarkEnd w:id="21"/>
    <w:p>
      <w:pPr>
        <w:spacing w:line="0" w:lineRule="atLeast"/>
        <w:rPr>
          <w:rFonts w:ascii="仿宋" w:hAnsi="仿宋" w:eastAsia="仿宋" w:cs="仿宋"/>
          <w:sz w:val="28"/>
          <w:szCs w:val="28"/>
        </w:rPr>
      </w:pPr>
    </w:p>
    <w:p>
      <w:pPr>
        <w:spacing w:line="0" w:lineRule="atLeast"/>
        <w:outlineLvl w:val="0"/>
        <w:rPr>
          <w:rFonts w:hint="eastAsia" w:ascii="仿宋" w:hAnsi="仿宋" w:eastAsia="仿宋" w:cs="仿宋"/>
          <w:sz w:val="28"/>
          <w:szCs w:val="28"/>
        </w:rPr>
      </w:pPr>
      <w:bookmarkStart w:id="23" w:name="_Toc116550246"/>
    </w:p>
    <w:p>
      <w:pPr>
        <w:spacing w:line="0" w:lineRule="atLeast"/>
        <w:outlineLvl w:val="0"/>
        <w:rPr>
          <w:rFonts w:ascii="仿宋" w:hAnsi="仿宋" w:eastAsia="仿宋" w:cs="仿宋"/>
          <w:sz w:val="28"/>
          <w:szCs w:val="28"/>
        </w:rPr>
      </w:pPr>
      <w:r>
        <w:rPr>
          <w:rFonts w:hint="eastAsia" w:ascii="仿宋" w:hAnsi="仿宋" w:eastAsia="仿宋" w:cs="仿宋"/>
          <w:sz w:val="28"/>
          <w:szCs w:val="28"/>
        </w:rPr>
        <w:t>附件3：报价一览表（货物）</w:t>
      </w:r>
      <w:bookmarkEnd w:id="23"/>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9"/>
        <w:numPr>
          <w:ilvl w:val="1"/>
          <w:numId w:val="15"/>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9"/>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9"/>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bookmarkStart w:id="24" w:name="_Toc25356"/>
      <w:r>
        <w:rPr>
          <w:rFonts w:hint="eastAsia" w:ascii="仿宋" w:hAnsi="仿宋" w:eastAsia="仿宋" w:cs="仿宋"/>
          <w:sz w:val="28"/>
          <w:szCs w:val="28"/>
        </w:rPr>
        <w:t>报价日期：_________年____月____日</w:t>
      </w:r>
      <w:bookmarkEnd w:id="24"/>
    </w:p>
    <w:p>
      <w:pPr>
        <w:spacing w:line="0" w:lineRule="atLeast"/>
        <w:rPr>
          <w:rFonts w:ascii="仿宋" w:hAnsi="仿宋" w:eastAsia="仿宋" w:cs="仿宋"/>
          <w:sz w:val="28"/>
          <w:szCs w:val="28"/>
        </w:rPr>
      </w:pPr>
    </w:p>
    <w:p>
      <w:pPr>
        <w:spacing w:line="0" w:lineRule="atLeast"/>
        <w:outlineLvl w:val="0"/>
        <w:rPr>
          <w:rFonts w:hint="eastAsia" w:ascii="仿宋" w:hAnsi="仿宋" w:eastAsia="仿宋" w:cs="仿宋"/>
          <w:sz w:val="28"/>
          <w:szCs w:val="28"/>
        </w:rPr>
      </w:pPr>
      <w:bookmarkStart w:id="25" w:name="_Toc116550247"/>
    </w:p>
    <w:p>
      <w:pPr>
        <w:spacing w:line="0" w:lineRule="atLeast"/>
        <w:outlineLvl w:val="0"/>
        <w:rPr>
          <w:rFonts w:ascii="仿宋" w:hAnsi="仿宋" w:eastAsia="仿宋" w:cs="仿宋"/>
          <w:sz w:val="28"/>
          <w:szCs w:val="28"/>
        </w:rPr>
      </w:pPr>
      <w:r>
        <w:rPr>
          <w:rFonts w:hint="eastAsia" w:ascii="仿宋" w:hAnsi="仿宋" w:eastAsia="仿宋" w:cs="仿宋"/>
          <w:sz w:val="28"/>
          <w:szCs w:val="28"/>
        </w:rPr>
        <w:t>附件4：报价一览表（服务）</w:t>
      </w:r>
      <w:r>
        <w:rPr>
          <w:rFonts w:hint="eastAsia" w:ascii="仿宋" w:hAnsi="仿宋" w:eastAsia="仿宋" w:cs="仿宋"/>
          <w:color w:val="FF0000"/>
          <w:sz w:val="28"/>
          <w:szCs w:val="28"/>
        </w:rPr>
        <w:t>（本项目不适用）</w:t>
      </w:r>
      <w:bookmarkEnd w:id="25"/>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9"/>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9"/>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9"/>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报价日期：______________________________</w:t>
      </w:r>
    </w:p>
    <w:p>
      <w:pPr>
        <w:spacing w:line="0" w:lineRule="atLeast"/>
        <w:outlineLvl w:val="0"/>
        <w:rPr>
          <w:rFonts w:ascii="仿宋" w:hAnsi="仿宋" w:eastAsia="仿宋" w:cs="仿宋"/>
          <w:sz w:val="28"/>
          <w:szCs w:val="28"/>
        </w:rPr>
      </w:pPr>
      <w:bookmarkStart w:id="26" w:name="_Toc211248412"/>
      <w:r>
        <w:rPr>
          <w:rFonts w:hint="eastAsia" w:ascii="仿宋" w:hAnsi="仿宋" w:eastAsia="仿宋" w:cs="仿宋"/>
          <w:sz w:val="28"/>
          <w:szCs w:val="28"/>
        </w:rPr>
        <w:br w:type="page"/>
      </w:r>
      <w:bookmarkEnd w:id="26"/>
      <w:bookmarkStart w:id="27" w:name="_Toc116550248"/>
      <w:bookmarkStart w:id="28"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27"/>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9"/>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9"/>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9"/>
        <w:numPr>
          <w:ilvl w:val="1"/>
          <w:numId w:val="17"/>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报价日期：_______年____月____日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29" w:name="_Toc116550249"/>
      <w:r>
        <w:rPr>
          <w:rFonts w:hint="eastAsia" w:ascii="仿宋" w:hAnsi="仿宋" w:eastAsia="仿宋" w:cs="仿宋"/>
          <w:color w:val="000000"/>
          <w:sz w:val="28"/>
          <w:szCs w:val="28"/>
        </w:rPr>
        <w:t>附件6：商务条款响应/偏离表</w:t>
      </w:r>
      <w:bookmarkEnd w:id="29"/>
    </w:p>
    <w:p>
      <w:pPr>
        <w:adjustRightInd w:val="0"/>
        <w:snapToGrid w:val="0"/>
        <w:spacing w:before="240" w:after="240" w:line="400" w:lineRule="exact"/>
        <w:jc w:val="center"/>
        <w:rPr>
          <w:rFonts w:ascii="仿宋" w:hAnsi="仿宋" w:eastAsia="仿宋" w:cs="仿宋"/>
          <w:color w:val="000000"/>
          <w:sz w:val="28"/>
          <w:szCs w:val="28"/>
        </w:rPr>
      </w:pPr>
      <w:bookmarkStart w:id="30"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9"/>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参加单位代表签字</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单位名称及盖章：</w:t>
      </w:r>
      <w:r>
        <w:rPr>
          <w:rFonts w:ascii="仿宋" w:hAnsi="仿宋" w:eastAsia="仿宋" w:cs="仿宋"/>
          <w:color w:val="000000"/>
          <w:sz w:val="28"/>
          <w:szCs w:val="28"/>
          <w:u w:val="single"/>
        </w:rPr>
        <w:t xml:space="preserve">                             </w:t>
      </w:r>
      <w:bookmarkEnd w:id="30"/>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1" w:name="_Toc236803114"/>
      <w:bookmarkStart w:id="32" w:name="_Toc116550250"/>
      <w:bookmarkStart w:id="33" w:name="_Toc85808702"/>
      <w:r>
        <w:rPr>
          <w:rFonts w:hint="eastAsia" w:ascii="仿宋" w:hAnsi="仿宋" w:eastAsia="仿宋" w:cs="仿宋"/>
          <w:color w:val="000000"/>
          <w:sz w:val="28"/>
          <w:szCs w:val="28"/>
        </w:rPr>
        <w:t>附件7： 技术（服务）响应/偏离表</w:t>
      </w:r>
      <w:bookmarkEnd w:id="31"/>
      <w:bookmarkEnd w:id="32"/>
      <w:bookmarkEnd w:id="33"/>
    </w:p>
    <w:p>
      <w:pPr>
        <w:adjustRightInd w:val="0"/>
        <w:snapToGrid w:val="0"/>
        <w:spacing w:before="240" w:after="240" w:line="400" w:lineRule="exact"/>
        <w:jc w:val="center"/>
        <w:rPr>
          <w:rFonts w:ascii="仿宋" w:hAnsi="仿宋" w:eastAsia="仿宋" w:cs="仿宋"/>
          <w:color w:val="000000"/>
          <w:sz w:val="28"/>
          <w:szCs w:val="28"/>
        </w:rPr>
      </w:pPr>
      <w:bookmarkStart w:id="34"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9"/>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参加单位代表签字</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单位名称及盖章：</w:t>
      </w:r>
      <w:r>
        <w:rPr>
          <w:rFonts w:ascii="仿宋" w:hAnsi="仿宋" w:eastAsia="仿宋" w:cs="仿宋"/>
          <w:color w:val="000000"/>
          <w:sz w:val="28"/>
          <w:szCs w:val="28"/>
          <w:u w:val="single"/>
        </w:rPr>
        <w:t xml:space="preserve">                             </w:t>
      </w:r>
      <w:bookmarkEnd w:id="34"/>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2"/>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2"/>
        <w:outlineLvl w:val="0"/>
        <w:rPr>
          <w:rFonts w:ascii="仿宋" w:hAnsi="仿宋" w:eastAsia="仿宋" w:cs="仿宋"/>
          <w:sz w:val="28"/>
          <w:szCs w:val="28"/>
        </w:rPr>
      </w:pPr>
      <w:bookmarkStart w:id="35" w:name="_Toc116550251"/>
      <w:r>
        <w:rPr>
          <w:rFonts w:hint="eastAsia" w:ascii="仿宋" w:hAnsi="仿宋" w:eastAsia="仿宋" w:cs="仿宋"/>
          <w:sz w:val="28"/>
          <w:szCs w:val="28"/>
        </w:rPr>
        <w:t>附件8：法定代表人证明书</w:t>
      </w:r>
      <w:bookmarkEnd w:id="28"/>
      <w:bookmarkEnd w:id="35"/>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    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36"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37" w:name="_Toc116550252"/>
      <w:r>
        <w:rPr>
          <w:rFonts w:hint="eastAsia" w:ascii="仿宋" w:hAnsi="仿宋" w:eastAsia="仿宋" w:cs="仿宋"/>
          <w:sz w:val="28"/>
          <w:szCs w:val="28"/>
        </w:rPr>
        <w:t>附件9：法人授权委托证明书</w:t>
      </w:r>
      <w:bookmarkEnd w:id="36"/>
      <w:bookmarkEnd w:id="37"/>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9"/>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9"/>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9"/>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p>
    <w:p>
      <w:pPr>
        <w:widowControl/>
        <w:jc w:val="left"/>
        <w:outlineLvl w:val="0"/>
        <w:rPr>
          <w:rFonts w:hint="default" w:ascii="仿宋" w:hAnsi="仿宋" w:eastAsia="仿宋" w:cs="仿宋"/>
          <w:sz w:val="28"/>
          <w:szCs w:val="28"/>
          <w:lang w:val="en-US" w:eastAsia="zh-CN"/>
        </w:rPr>
      </w:pPr>
      <w:r>
        <w:rPr>
          <w:rFonts w:hint="eastAsia" w:ascii="宋体" w:hAnsi="宋体" w:cs="宋体"/>
          <w:sz w:val="28"/>
          <w:szCs w:val="28"/>
        </w:rPr>
        <w:br w:type="page"/>
      </w:r>
      <w:bookmarkStart w:id="38" w:name="_Toc54773235"/>
      <w:bookmarkStart w:id="39" w:name="_Toc116550253"/>
      <w:r>
        <w:rPr>
          <w:rFonts w:hint="eastAsia" w:ascii="仿宋" w:hAnsi="仿宋" w:eastAsia="仿宋" w:cs="仿宋"/>
          <w:sz w:val="28"/>
          <w:szCs w:val="28"/>
        </w:rPr>
        <w:t>附件10：经营业绩一览表</w:t>
      </w:r>
      <w:bookmarkEnd w:id="38"/>
      <w:bookmarkEnd w:id="39"/>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本项目不适用）</w:t>
      </w:r>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0" w:name="_Toc54773236"/>
      <w:bookmarkStart w:id="41" w:name="_Toc116550254"/>
      <w:r>
        <w:rPr>
          <w:rFonts w:hint="eastAsia" w:ascii="仿宋" w:hAnsi="仿宋" w:eastAsia="仿宋" w:cs="仿宋"/>
          <w:sz w:val="28"/>
          <w:szCs w:val="28"/>
        </w:rPr>
        <w:t>附件11：售后服务承诺书</w:t>
      </w:r>
      <w:bookmarkEnd w:id="40"/>
      <w:r>
        <w:rPr>
          <w:rFonts w:ascii="仿宋" w:hAnsi="仿宋" w:eastAsia="仿宋" w:cs="仿宋"/>
          <w:sz w:val="28"/>
          <w:szCs w:val="28"/>
        </w:rPr>
        <w:t>/质量保修服务承诺书（根据项目类型选择）</w:t>
      </w:r>
      <w:bookmarkEnd w:id="41"/>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2" w:name="_Toc32341"/>
      <w:r>
        <w:rPr>
          <w:rFonts w:hint="eastAsia" w:ascii="仿宋" w:hAnsi="仿宋" w:eastAsia="仿宋" w:cs="仿宋"/>
          <w:sz w:val="28"/>
          <w:szCs w:val="28"/>
        </w:rPr>
        <w:br w:type="page"/>
      </w:r>
      <w:bookmarkStart w:id="43" w:name="_Toc54773237"/>
      <w:bookmarkStart w:id="44" w:name="_Toc116550255"/>
      <w:r>
        <w:rPr>
          <w:rFonts w:hint="eastAsia" w:ascii="仿宋" w:hAnsi="仿宋" w:eastAsia="仿宋" w:cs="仿宋"/>
          <w:sz w:val="28"/>
          <w:szCs w:val="28"/>
        </w:rPr>
        <w:t>附件12：履约情况及社会信誉承诺书</w:t>
      </w:r>
      <w:bookmarkEnd w:id="42"/>
      <w:bookmarkEnd w:id="43"/>
      <w:bookmarkEnd w:id="44"/>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5"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法定代表人或其授权代理人（签字或盖章）：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5"/>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46" w:name="_Toc116550256"/>
      <w:r>
        <w:rPr>
          <w:rFonts w:hint="eastAsia" w:ascii="仿宋" w:hAnsi="仿宋" w:eastAsia="仿宋" w:cs="仿宋"/>
          <w:sz w:val="28"/>
          <w:szCs w:val="28"/>
        </w:rPr>
        <w:t>附件13：投标文件密码</w:t>
      </w:r>
      <w:bookmarkEnd w:id="46"/>
    </w:p>
    <w:p>
      <w:pPr>
        <w:spacing w:line="360" w:lineRule="auto"/>
        <w:jc w:val="center"/>
        <w:rPr>
          <w:rFonts w:ascii="宋体" w:hAnsi="宋体"/>
          <w:b/>
          <w:sz w:val="44"/>
          <w:szCs w:val="44"/>
        </w:rPr>
      </w:pPr>
    </w:p>
    <w:p>
      <w:pPr>
        <w:jc w:val="center"/>
        <w:rPr>
          <w:rFonts w:ascii="宋体" w:hAnsi="宋体"/>
          <w:b/>
          <w:color w:val="000000"/>
          <w:sz w:val="32"/>
          <w:szCs w:val="32"/>
        </w:rPr>
      </w:pPr>
      <w:bookmarkStart w:id="47"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47"/>
    </w:p>
    <w:p>
      <w:pPr>
        <w:jc w:val="center"/>
        <w:rPr>
          <w:rFonts w:ascii="宋体" w:hAnsi="宋体"/>
          <w:b/>
          <w:sz w:val="32"/>
          <w:szCs w:val="32"/>
        </w:rPr>
      </w:pPr>
      <w:r>
        <w:rPr>
          <w:rFonts w:hint="eastAsia" w:ascii="宋体" w:hAnsi="宋体"/>
          <w:b/>
          <w:sz w:val="32"/>
          <w:szCs w:val="32"/>
        </w:rPr>
        <w:t>投标文件密码</w:t>
      </w: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4"/>
        </w:rPr>
      </w:pPr>
      <w:r>
        <w:rPr>
          <w:rFonts w:hint="eastAsia" w:ascii="仿宋" w:hAnsi="仿宋" w:eastAsia="仿宋"/>
          <w:b/>
          <w:color w:val="FF0000"/>
          <w:sz w:val="24"/>
        </w:rPr>
        <w:t>【特别注意】</w:t>
      </w:r>
      <w:r>
        <w:rPr>
          <w:rFonts w:hint="eastAsia" w:ascii="仿宋" w:hAnsi="仿宋" w:eastAsia="仿宋"/>
          <w:b/>
          <w:color w:val="000000"/>
          <w:sz w:val="24"/>
        </w:rPr>
        <w:t>密码</w:t>
      </w:r>
      <w:r>
        <w:rPr>
          <w:rFonts w:hint="eastAsia" w:ascii="仿宋" w:hAnsi="仿宋" w:eastAsia="仿宋"/>
          <w:b/>
          <w:sz w:val="24"/>
        </w:rPr>
        <w:t>区分大小写，且不得使用易与数字混淆的</w:t>
      </w:r>
      <w:r>
        <w:rPr>
          <w:rFonts w:ascii="仿宋" w:hAnsi="仿宋" w:eastAsia="仿宋"/>
          <w:b/>
          <w:sz w:val="24"/>
        </w:rPr>
        <w:t>I</w:t>
      </w:r>
      <w:r>
        <w:rPr>
          <w:rFonts w:hint="eastAsia" w:ascii="仿宋" w:hAnsi="仿宋" w:eastAsia="仿宋"/>
          <w:b/>
          <w:sz w:val="24"/>
        </w:rPr>
        <w:t>、l、O（或</w:t>
      </w:r>
      <w:r>
        <w:rPr>
          <w:rFonts w:ascii="仿宋" w:hAnsi="仿宋" w:eastAsia="仿宋"/>
          <w:b/>
          <w:sz w:val="24"/>
        </w:rPr>
        <w:t>o</w:t>
      </w:r>
      <w:r>
        <w:rPr>
          <w:rFonts w:hint="eastAsia" w:ascii="仿宋" w:hAnsi="仿宋" w:eastAsia="仿宋"/>
          <w:b/>
          <w:sz w:val="24"/>
        </w:rPr>
        <w:t>）等字母。</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公文小标宋">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AA5A57F"/>
    <w:multiLevelType w:val="singleLevel"/>
    <w:tmpl w:val="DAA5A57F"/>
    <w:lvl w:ilvl="0" w:tentative="0">
      <w:start w:val="1"/>
      <w:numFmt w:val="decimal"/>
      <w:suff w:val="space"/>
      <w:lvlText w:val="%1."/>
      <w:lvlJc w:val="left"/>
    </w:lvl>
  </w:abstractNum>
  <w:abstractNum w:abstractNumId="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singleLevel"/>
    <w:tmpl w:val="00000013"/>
    <w:lvl w:ilvl="0" w:tentative="0">
      <w:start w:val="1"/>
      <w:numFmt w:val="decimal"/>
      <w:lvlText w:val="%1."/>
      <w:lvlJc w:val="left"/>
      <w:pPr>
        <w:ind w:left="420" w:hanging="420"/>
      </w:pPr>
    </w:lvl>
  </w:abstractNum>
  <w:abstractNum w:abstractNumId="7">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4">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72D6470"/>
    <w:multiLevelType w:val="singleLevel"/>
    <w:tmpl w:val="472D6470"/>
    <w:lvl w:ilvl="0" w:tentative="0">
      <w:start w:val="1"/>
      <w:numFmt w:val="decimal"/>
      <w:lvlText w:val="%1."/>
      <w:lvlJc w:val="left"/>
      <w:pPr>
        <w:ind w:left="425" w:hanging="425"/>
      </w:pPr>
      <w:rPr>
        <w:rFonts w:hint="default"/>
      </w:rPr>
    </w:lvl>
  </w:abstractNum>
  <w:abstractNum w:abstractNumId="16">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7">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9">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2">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ED17433"/>
    <w:multiLevelType w:val="singleLevel"/>
    <w:tmpl w:val="7ED17433"/>
    <w:lvl w:ilvl="0" w:tentative="0">
      <w:start w:val="1"/>
      <w:numFmt w:val="decimal"/>
      <w:lvlText w:val="（%1）"/>
      <w:lvlJc w:val="left"/>
      <w:pPr>
        <w:ind w:left="420" w:hanging="420"/>
      </w:pPr>
      <w:rPr>
        <w:rFonts w:hint="eastAsia"/>
      </w:rPr>
    </w:lvl>
  </w:abstractNum>
  <w:num w:numId="1">
    <w:abstractNumId w:val="16"/>
  </w:num>
  <w:num w:numId="2">
    <w:abstractNumId w:val="21"/>
  </w:num>
  <w:num w:numId="3">
    <w:abstractNumId w:val="12"/>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17"/>
  </w:num>
  <w:num w:numId="9">
    <w:abstractNumId w:val="23"/>
  </w:num>
  <w:num w:numId="10">
    <w:abstractNumId w:val="15"/>
  </w:num>
  <w:num w:numId="11">
    <w:abstractNumId w:val="5"/>
  </w:num>
  <w:num w:numId="12">
    <w:abstractNumId w:val="11"/>
  </w:num>
  <w:num w:numId="13">
    <w:abstractNumId w:val="0"/>
  </w:num>
  <w:num w:numId="14">
    <w:abstractNumId w:val="2"/>
  </w:num>
  <w:num w:numId="15">
    <w:abstractNumId w:val="20"/>
  </w:num>
  <w:num w:numId="16">
    <w:abstractNumId w:val="13"/>
  </w:num>
  <w:num w:numId="17">
    <w:abstractNumId w:val="10"/>
  </w:num>
  <w:num w:numId="18">
    <w:abstractNumId w:val="3"/>
  </w:num>
  <w:num w:numId="19">
    <w:abstractNumId w:val="7"/>
  </w:num>
  <w:num w:numId="20">
    <w:abstractNumId w:val="4"/>
  </w:num>
  <w:num w:numId="21">
    <w:abstractNumId w:val="22"/>
  </w:num>
  <w:num w:numId="22">
    <w:abstractNumId w:val="14"/>
  </w:num>
  <w:num w:numId="23">
    <w:abstractNumId w:val="19"/>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D544A"/>
    <w:rsid w:val="003E1B82"/>
    <w:rsid w:val="003F6310"/>
    <w:rsid w:val="00402C4B"/>
    <w:rsid w:val="00452220"/>
    <w:rsid w:val="004648E3"/>
    <w:rsid w:val="00465096"/>
    <w:rsid w:val="004667EC"/>
    <w:rsid w:val="004766B6"/>
    <w:rsid w:val="004856DA"/>
    <w:rsid w:val="0048742A"/>
    <w:rsid w:val="00487D09"/>
    <w:rsid w:val="004A35FB"/>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3C04"/>
    <w:rsid w:val="00806ED1"/>
    <w:rsid w:val="008212B9"/>
    <w:rsid w:val="00821BCE"/>
    <w:rsid w:val="00836851"/>
    <w:rsid w:val="008435F0"/>
    <w:rsid w:val="00862E8D"/>
    <w:rsid w:val="0087303A"/>
    <w:rsid w:val="00882234"/>
    <w:rsid w:val="008A3F05"/>
    <w:rsid w:val="008B79E6"/>
    <w:rsid w:val="008C25F6"/>
    <w:rsid w:val="008C404B"/>
    <w:rsid w:val="008C5002"/>
    <w:rsid w:val="008C68B6"/>
    <w:rsid w:val="008D6F18"/>
    <w:rsid w:val="008F2611"/>
    <w:rsid w:val="00900534"/>
    <w:rsid w:val="00900E0C"/>
    <w:rsid w:val="00907185"/>
    <w:rsid w:val="009107A2"/>
    <w:rsid w:val="00921B78"/>
    <w:rsid w:val="00922010"/>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62A8"/>
    <w:rsid w:val="00FA76C6"/>
    <w:rsid w:val="00FB0594"/>
    <w:rsid w:val="00FB4868"/>
    <w:rsid w:val="00FB4A24"/>
    <w:rsid w:val="00FC721E"/>
    <w:rsid w:val="00FD5704"/>
    <w:rsid w:val="017C47DA"/>
    <w:rsid w:val="01EE5B46"/>
    <w:rsid w:val="0287517D"/>
    <w:rsid w:val="030E435A"/>
    <w:rsid w:val="038B1947"/>
    <w:rsid w:val="03914474"/>
    <w:rsid w:val="05623C89"/>
    <w:rsid w:val="06D05917"/>
    <w:rsid w:val="09550008"/>
    <w:rsid w:val="0A2F1FD0"/>
    <w:rsid w:val="0BB540F7"/>
    <w:rsid w:val="0C3F3471"/>
    <w:rsid w:val="0CBF3E0A"/>
    <w:rsid w:val="0D6C68DD"/>
    <w:rsid w:val="0DE325EB"/>
    <w:rsid w:val="0FE67E91"/>
    <w:rsid w:val="0FF30054"/>
    <w:rsid w:val="114C469F"/>
    <w:rsid w:val="11672EFE"/>
    <w:rsid w:val="12233FCD"/>
    <w:rsid w:val="149D3F72"/>
    <w:rsid w:val="17F6273C"/>
    <w:rsid w:val="1828123D"/>
    <w:rsid w:val="18A624A5"/>
    <w:rsid w:val="18F6682D"/>
    <w:rsid w:val="1B9A1A18"/>
    <w:rsid w:val="1CCD79EE"/>
    <w:rsid w:val="1D9D4BEE"/>
    <w:rsid w:val="1E020668"/>
    <w:rsid w:val="1E1C321D"/>
    <w:rsid w:val="1E6A5405"/>
    <w:rsid w:val="22C64C6F"/>
    <w:rsid w:val="22C90A12"/>
    <w:rsid w:val="246A1EBC"/>
    <w:rsid w:val="24E53B0B"/>
    <w:rsid w:val="252941C0"/>
    <w:rsid w:val="27570066"/>
    <w:rsid w:val="27A7257B"/>
    <w:rsid w:val="28413D6F"/>
    <w:rsid w:val="298D33FE"/>
    <w:rsid w:val="2A694883"/>
    <w:rsid w:val="2B733A0B"/>
    <w:rsid w:val="2C3122BA"/>
    <w:rsid w:val="2D150ABB"/>
    <w:rsid w:val="2D341708"/>
    <w:rsid w:val="2DD81582"/>
    <w:rsid w:val="2FAD3F9D"/>
    <w:rsid w:val="2FB81CD2"/>
    <w:rsid w:val="32A82BA2"/>
    <w:rsid w:val="33984304"/>
    <w:rsid w:val="347E0722"/>
    <w:rsid w:val="3486272E"/>
    <w:rsid w:val="34A16050"/>
    <w:rsid w:val="352A26BD"/>
    <w:rsid w:val="360109F6"/>
    <w:rsid w:val="36F03147"/>
    <w:rsid w:val="376406E3"/>
    <w:rsid w:val="376E2FF2"/>
    <w:rsid w:val="37C91299"/>
    <w:rsid w:val="37CB1E7C"/>
    <w:rsid w:val="37E94C59"/>
    <w:rsid w:val="38322BBF"/>
    <w:rsid w:val="38C86E00"/>
    <w:rsid w:val="3A111A8F"/>
    <w:rsid w:val="3AD75885"/>
    <w:rsid w:val="3B40215F"/>
    <w:rsid w:val="3B9F34EF"/>
    <w:rsid w:val="3BCF39AC"/>
    <w:rsid w:val="3BEA21CB"/>
    <w:rsid w:val="3C681CBB"/>
    <w:rsid w:val="3C974E78"/>
    <w:rsid w:val="3D0C7562"/>
    <w:rsid w:val="3E857452"/>
    <w:rsid w:val="3F5E1222"/>
    <w:rsid w:val="3F6104F9"/>
    <w:rsid w:val="3F7D0F19"/>
    <w:rsid w:val="401C5784"/>
    <w:rsid w:val="41AE46E3"/>
    <w:rsid w:val="44663420"/>
    <w:rsid w:val="4479539E"/>
    <w:rsid w:val="44D66378"/>
    <w:rsid w:val="44D742D8"/>
    <w:rsid w:val="452E5288"/>
    <w:rsid w:val="466A34E5"/>
    <w:rsid w:val="481C5C5C"/>
    <w:rsid w:val="4827302C"/>
    <w:rsid w:val="48D32A87"/>
    <w:rsid w:val="48DF7DCB"/>
    <w:rsid w:val="4C844900"/>
    <w:rsid w:val="4E314807"/>
    <w:rsid w:val="4E3426DD"/>
    <w:rsid w:val="4E976357"/>
    <w:rsid w:val="4F0B2B2C"/>
    <w:rsid w:val="50764612"/>
    <w:rsid w:val="51CB596B"/>
    <w:rsid w:val="52EE0307"/>
    <w:rsid w:val="52F57C70"/>
    <w:rsid w:val="53FE2BDF"/>
    <w:rsid w:val="55C74643"/>
    <w:rsid w:val="561332A1"/>
    <w:rsid w:val="561A4D59"/>
    <w:rsid w:val="57CC741D"/>
    <w:rsid w:val="582114F3"/>
    <w:rsid w:val="5991464D"/>
    <w:rsid w:val="5C9546B7"/>
    <w:rsid w:val="5CA52C31"/>
    <w:rsid w:val="5EB66460"/>
    <w:rsid w:val="5F7C7776"/>
    <w:rsid w:val="5FEF66D5"/>
    <w:rsid w:val="610C4FAC"/>
    <w:rsid w:val="619B20E5"/>
    <w:rsid w:val="62A46C3C"/>
    <w:rsid w:val="63141A74"/>
    <w:rsid w:val="65DD6809"/>
    <w:rsid w:val="67027BAA"/>
    <w:rsid w:val="67DD1DA1"/>
    <w:rsid w:val="68D4038F"/>
    <w:rsid w:val="693B3FF5"/>
    <w:rsid w:val="69A30E21"/>
    <w:rsid w:val="6AD21273"/>
    <w:rsid w:val="6AD90089"/>
    <w:rsid w:val="6AEB50DA"/>
    <w:rsid w:val="6CCA2137"/>
    <w:rsid w:val="6D9018A4"/>
    <w:rsid w:val="6E1B6D8D"/>
    <w:rsid w:val="6E597A7A"/>
    <w:rsid w:val="6F4A172C"/>
    <w:rsid w:val="6FBE3414"/>
    <w:rsid w:val="6FEB0399"/>
    <w:rsid w:val="73507035"/>
    <w:rsid w:val="73507A41"/>
    <w:rsid w:val="75106734"/>
    <w:rsid w:val="751975AF"/>
    <w:rsid w:val="755A63B4"/>
    <w:rsid w:val="75864917"/>
    <w:rsid w:val="764269C5"/>
    <w:rsid w:val="778B51DA"/>
    <w:rsid w:val="78D435AA"/>
    <w:rsid w:val="79555B6A"/>
    <w:rsid w:val="7A734913"/>
    <w:rsid w:val="7AAD518C"/>
    <w:rsid w:val="7CC844A3"/>
    <w:rsid w:val="7D910439"/>
    <w:rsid w:val="7DBE67E3"/>
    <w:rsid w:val="7E111751"/>
    <w:rsid w:val="7E116F68"/>
    <w:rsid w:val="7E203DAC"/>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4">
    <w:name w:val="annotation text"/>
    <w:basedOn w:val="1"/>
    <w:link w:val="21"/>
    <w:unhideWhenUsed/>
    <w:qFormat/>
    <w:uiPriority w:val="99"/>
    <w:pPr>
      <w:jc w:val="left"/>
    </w:pPr>
  </w:style>
  <w:style w:type="paragraph" w:styleId="5">
    <w:name w:val="Body Text Indent"/>
    <w:basedOn w:val="1"/>
    <w:link w:val="22"/>
    <w:qFormat/>
    <w:uiPriority w:val="0"/>
    <w:pPr>
      <w:spacing w:after="120"/>
      <w:ind w:left="420" w:leftChars="200"/>
    </w:pPr>
  </w:style>
  <w:style w:type="paragraph" w:styleId="6">
    <w:name w:val="Date"/>
    <w:basedOn w:val="1"/>
    <w:next w:val="1"/>
    <w:link w:val="23"/>
    <w:unhideWhenUsed/>
    <w:qFormat/>
    <w:uiPriority w:val="99"/>
    <w:pPr>
      <w:ind w:left="100" w:leftChars="2500"/>
    </w:pPr>
  </w:style>
  <w:style w:type="paragraph" w:styleId="7">
    <w:name w:val="Balloon Text"/>
    <w:basedOn w:val="1"/>
    <w:link w:val="24"/>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2"/>
    <w:basedOn w:val="1"/>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4"/>
    <w:next w:val="4"/>
    <w:link w:val="26"/>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批注文字 字符"/>
    <w:link w:val="4"/>
    <w:semiHidden/>
    <w:qFormat/>
    <w:uiPriority w:val="99"/>
    <w:rPr>
      <w:kern w:val="2"/>
      <w:sz w:val="21"/>
      <w:szCs w:val="24"/>
    </w:rPr>
  </w:style>
  <w:style w:type="character" w:customStyle="1" w:styleId="22">
    <w:name w:val="正文文本缩进 字符"/>
    <w:link w:val="5"/>
    <w:qFormat/>
    <w:uiPriority w:val="0"/>
    <w:rPr>
      <w:kern w:val="2"/>
      <w:sz w:val="21"/>
      <w:szCs w:val="24"/>
    </w:rPr>
  </w:style>
  <w:style w:type="character" w:customStyle="1" w:styleId="23">
    <w:name w:val="日期 字符"/>
    <w:link w:val="6"/>
    <w:semiHidden/>
    <w:qFormat/>
    <w:uiPriority w:val="99"/>
    <w:rPr>
      <w:kern w:val="2"/>
      <w:sz w:val="21"/>
      <w:szCs w:val="24"/>
    </w:rPr>
  </w:style>
  <w:style w:type="character" w:customStyle="1" w:styleId="24">
    <w:name w:val="批注框文本 字符"/>
    <w:link w:val="7"/>
    <w:semiHidden/>
    <w:qFormat/>
    <w:uiPriority w:val="99"/>
    <w:rPr>
      <w:kern w:val="2"/>
      <w:sz w:val="18"/>
      <w:szCs w:val="18"/>
    </w:rPr>
  </w:style>
  <w:style w:type="character" w:customStyle="1" w:styleId="25">
    <w:name w:val="页脚 字符"/>
    <w:link w:val="8"/>
    <w:qFormat/>
    <w:uiPriority w:val="99"/>
    <w:rPr>
      <w:kern w:val="2"/>
      <w:sz w:val="18"/>
      <w:szCs w:val="18"/>
    </w:rPr>
  </w:style>
  <w:style w:type="character" w:customStyle="1" w:styleId="26">
    <w:name w:val="批注主题 字符"/>
    <w:link w:val="14"/>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5">
    <w:name w:val="title"/>
    <w:basedOn w:val="1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8913</Words>
  <Characters>9758</Characters>
  <Lines>95</Lines>
  <Paragraphs>26</Paragraphs>
  <TotalTime>33</TotalTime>
  <ScaleCrop>false</ScaleCrop>
  <LinksUpToDate>false</LinksUpToDate>
  <CharactersWithSpaces>11689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黄奕璋</dc:creator>
  <cp:lastModifiedBy>黄奕璋</cp:lastModifiedBy>
  <cp:lastPrinted>2021-12-03T01:58:00Z</cp:lastPrinted>
  <dcterms:modified xsi:type="dcterms:W3CDTF">2022-11-24T09:19:29Z</dcterms:modified>
  <dc:title>第二部分 商务需求明细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70A33A35C6D94D6198C02A298D1E7EDA</vt:lpwstr>
  </property>
</Properties>
</file>