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Cs/>
          <w:sz w:val="32"/>
          <w:szCs w:val="32"/>
        </w:rPr>
        <w:t>深圳会展中心2023-2026年度中央空调</w:t>
      </w:r>
    </w:p>
    <w:p>
      <w:pPr>
        <w:spacing w:line="360" w:lineRule="auto"/>
        <w:ind w:firstLine="2240" w:firstLineChars="700"/>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Cs/>
          <w:sz w:val="32"/>
          <w:szCs w:val="32"/>
        </w:rPr>
        <w:t>水质处理服务项目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rPr>
          <w:rFonts w:ascii="方正小标宋_GBK" w:hAnsi="方正小标宋_GBK" w:eastAsia="方正小标宋_GBK" w:cs="方正小标宋_GBK"/>
          <w:b/>
          <w:sz w:val="32"/>
          <w:szCs w:val="32"/>
        </w:rPr>
      </w:pPr>
    </w:p>
    <w:p>
      <w:pPr>
        <w:pStyle w:val="15"/>
        <w:ind w:left="0" w:leftChars="0" w:firstLine="0" w:firstLineChars="0"/>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标识时表明该选项被招标人选用，用“□”标识时表明该选项未被招标人选用。本文件中对应模板性条款未被招标人选用的内容，自动不适用。m</w:t>
      </w:r>
      <w:r>
        <w:rPr>
          <w:rFonts w:hint="eastAsia" w:ascii="宋体" w:hAnsi="宋体"/>
          <w:szCs w:val="21"/>
          <w:vertAlign w:val="superscript"/>
        </w:rPr>
        <w:t>3</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深圳会展中心2023-2026年度中央空调水质处理服务项目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深圳会展中心共有冷水机组9台，制冷量共计14098冷吨，八组CEF330-5-1冷却塔，每组冷却塔循环水量为1650m3/h，八组冷却塔循环水量为1650×8=13200m</w:t>
            </w:r>
            <w:r>
              <w:rPr>
                <w:rFonts w:hint="eastAsia" w:ascii="宋体" w:hAnsi="宋体"/>
                <w:szCs w:val="21"/>
                <w:vertAlign w:val="superscript"/>
              </w:rPr>
              <w:t>3</w:t>
            </w:r>
            <w:r>
              <w:rPr>
                <w:rFonts w:hint="eastAsia" w:ascii="宋体" w:hAnsi="宋体"/>
                <w:szCs w:val="21"/>
              </w:rPr>
              <w:t>/h。为使会展中心空调制冷系统设备在高效、低耗、安全的工作状态下运行，需要对空调系统水质进行防腐，防菌处理。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深圳会展中心冷冻站、冷却塔机房。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1095天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https://cg.szcec.com/sharing/Q3JRmSa0T，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https://cg.szcec.com/sharing/cliJeN0Ug，</w:t>
            </w:r>
            <w:r>
              <w:rPr>
                <w:rFonts w:hint="eastAsia" w:ascii="宋体" w:hAnsi="宋体"/>
                <w:szCs w:val="21"/>
              </w:rPr>
              <w:t>并致电确认</w:t>
            </w:r>
            <w:bookmarkStart w:id="3" w:name="_Toc478110532"/>
            <w:bookmarkStart w:id="4" w:name="_Toc478393187"/>
            <w:bookmarkStart w:id="5"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116</w:t>
            </w:r>
            <w:r>
              <w:rPr>
                <w:rFonts w:hint="eastAsia" w:ascii="宋体" w:hAnsi="宋体"/>
                <w:szCs w:val="21"/>
                <w:highlight w:val="yellow"/>
              </w:rPr>
              <w:t>-</w:t>
            </w:r>
            <w:r>
              <w:rPr>
                <w:rFonts w:hint="eastAsia" w:ascii="宋体" w:hAnsi="宋体"/>
                <w:szCs w:val="21"/>
                <w:highlight w:val="yellow"/>
                <w:lang w:val="en-US" w:eastAsia="zh-CN"/>
              </w:rPr>
              <w:t>743</w:t>
            </w:r>
            <w:r>
              <w:rPr>
                <w:rFonts w:hint="eastAsia" w:ascii="宋体" w:hAnsi="宋体"/>
                <w:szCs w:val="21"/>
                <w:highlight w:val="yellow"/>
              </w:rPr>
              <w:t>-</w:t>
            </w:r>
            <w:r>
              <w:rPr>
                <w:rFonts w:hint="eastAsia" w:ascii="宋体" w:hAnsi="宋体"/>
                <w:szCs w:val="21"/>
                <w:highlight w:val="yellow"/>
                <w:lang w:val="en-US" w:eastAsia="zh-CN"/>
              </w:rPr>
              <w:t>787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https://cg.szcec.com/sharing/eAMhYnchT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jc w:val="left"/>
              <w:rPr>
                <w:rFonts w:hint="eastAsia" w:ascii="宋体" w:hAnsi="宋体"/>
                <w:kern w:val="0"/>
                <w:szCs w:val="21"/>
              </w:rPr>
            </w:pPr>
            <w:r>
              <w:rPr>
                <w:rFonts w:hint="eastAsia" w:ascii="宋体" w:hAnsi="宋体"/>
                <w:kern w:val="0"/>
                <w:szCs w:val="21"/>
              </w:rPr>
              <w:sym w:font="Wingdings 2" w:char="0052"/>
            </w:r>
            <w:r>
              <w:rPr>
                <w:rFonts w:hint="eastAsia" w:ascii="宋体" w:hAnsi="宋体"/>
                <w:kern w:val="0"/>
                <w:szCs w:val="21"/>
              </w:rPr>
              <w:t>不接受</w:t>
            </w:r>
          </w:p>
          <w:p>
            <w:pPr>
              <w:autoSpaceDE w:val="0"/>
              <w:autoSpaceDN w:val="0"/>
              <w:adjustRightInd w:val="0"/>
              <w:snapToGrid w:val="0"/>
              <w:jc w:val="left"/>
              <w:rPr>
                <w:rFonts w:ascii="宋体" w:hAnsi="宋体"/>
                <w:kern w:val="0"/>
                <w:szCs w:val="21"/>
              </w:rPr>
            </w:pPr>
            <w:r>
              <w:rPr>
                <w:rFonts w:hint="eastAsia" w:ascii="宋体" w:hAnsi="宋体"/>
                <w:kern w:val="0"/>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lang w:eastAsia="zh-CN"/>
              </w:rPr>
              <w:sym w:font="Wingdings 2" w:char="0052"/>
            </w:r>
            <w:r>
              <w:rPr>
                <w:rFonts w:hint="eastAsia" w:ascii="宋体" w:hAnsi="宋体" w:cstheme="minorBidi"/>
                <w:kern w:val="0"/>
                <w:szCs w:val="21"/>
              </w:rPr>
              <w:t>组织，踏勘要求：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lang w:eastAsia="zh-CN"/>
              </w:rPr>
              <w:sym w:font="Wingdings 2" w:char="0052"/>
            </w:r>
            <w:r>
              <w:rPr>
                <w:rFonts w:hint="eastAsia" w:ascii="宋体" w:hAnsi="宋体" w:eastAsia="宋体"/>
                <w:kern w:val="0"/>
                <w:szCs w:val="21"/>
              </w:rPr>
              <w:t>是（若不参加，将因投标文件不完整导致失去本项目投标资格）</w:t>
            </w:r>
          </w:p>
          <w:p>
            <w:pPr>
              <w:pStyle w:val="24"/>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3</w:t>
            </w:r>
            <w:r>
              <w:rPr>
                <w:rFonts w:hint="eastAsia" w:ascii="宋体" w:hAnsi="宋体" w:eastAsia="宋体"/>
                <w:kern w:val="0"/>
                <w:szCs w:val="21"/>
              </w:rPr>
              <w:t>-</w:t>
            </w:r>
            <w:r>
              <w:rPr>
                <w:rFonts w:hint="eastAsia" w:ascii="宋体" w:hAnsi="宋体" w:eastAsia="宋体"/>
                <w:kern w:val="0"/>
                <w:szCs w:val="21"/>
                <w:lang w:val="en-US" w:eastAsia="zh-CN"/>
              </w:rPr>
              <w:t>3</w:t>
            </w:r>
            <w:r>
              <w:rPr>
                <w:rFonts w:hint="eastAsia" w:ascii="宋体" w:hAnsi="宋体" w:eastAsia="宋体"/>
                <w:kern w:val="0"/>
                <w:szCs w:val="21"/>
              </w:rPr>
              <w:t>-</w:t>
            </w:r>
            <w:r>
              <w:rPr>
                <w:rFonts w:hint="eastAsia" w:ascii="宋体" w:hAnsi="宋体" w:eastAsia="宋体"/>
                <w:kern w:val="0"/>
                <w:szCs w:val="21"/>
                <w:lang w:val="en-US" w:eastAsia="zh-CN"/>
              </w:rPr>
              <w:t>17</w:t>
            </w:r>
            <w:r>
              <w:rPr>
                <w:rFonts w:hint="eastAsia" w:ascii="宋体" w:hAnsi="宋体" w:eastAsia="宋体"/>
                <w:kern w:val="0"/>
                <w:szCs w:val="21"/>
              </w:rPr>
              <w:t xml:space="preserve"> </w:t>
            </w:r>
            <w:r>
              <w:rPr>
                <w:rFonts w:hint="eastAsia" w:ascii="宋体" w:hAnsi="宋体" w:eastAsia="宋体"/>
                <w:kern w:val="0"/>
                <w:szCs w:val="21"/>
                <w:lang w:val="en-US" w:eastAsia="zh-CN"/>
              </w:rPr>
              <w:t>10</w:t>
            </w:r>
            <w:r>
              <w:rPr>
                <w:rFonts w:hint="eastAsia" w:ascii="宋体" w:hAnsi="宋体" w:eastAsia="宋体"/>
                <w:kern w:val="0"/>
                <w:szCs w:val="21"/>
              </w:rPr>
              <w:t xml:space="preserve">: </w:t>
            </w:r>
            <w:r>
              <w:rPr>
                <w:rFonts w:hint="eastAsia" w:ascii="宋体" w:hAnsi="宋体" w:eastAsia="宋体"/>
                <w:kern w:val="0"/>
                <w:szCs w:val="21"/>
                <w:lang w:val="en-US" w:eastAsia="zh-CN"/>
              </w:rPr>
              <w:t>00</w:t>
            </w:r>
            <w:bookmarkStart w:id="93" w:name="_GoBack"/>
            <w:bookmarkEnd w:id="93"/>
            <w:r>
              <w:rPr>
                <w:rFonts w:hint="eastAsia" w:ascii="宋体" w:hAnsi="宋体" w:eastAsia="宋体"/>
                <w:kern w:val="0"/>
                <w:szCs w:val="21"/>
              </w:rPr>
              <w:t>邀请投标人人员察看现场并讲解项目需求；投标人应指派完全符合疫情防控要求的人员参加本项目的现场踏勘。</w:t>
            </w:r>
            <w:r>
              <w:rPr>
                <w:rFonts w:hint="eastAsia" w:ascii="宋体" w:hAnsi="宋体" w:eastAsia="宋体"/>
                <w:kern w:val="0"/>
                <w:szCs w:val="21"/>
                <w:lang w:val="en-US" w:eastAsia="zh-CN"/>
              </w:rPr>
              <w:t>请提前一天和踏勘联系人报备。</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赵工</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r>
              <w:rPr>
                <w:rFonts w:hint="eastAsia" w:ascii="宋体" w:hAnsi="宋体" w:eastAsia="宋体"/>
                <w:kern w:val="0"/>
                <w:szCs w:val="21"/>
                <w:lang w:val="en-US" w:eastAsia="zh-CN"/>
              </w:rPr>
              <w:t>8815</w:t>
            </w:r>
            <w:r>
              <w:rPr>
                <w:rFonts w:hint="eastAsia" w:ascii="宋体" w:hAnsi="宋体" w:eastAsia="宋体"/>
                <w:kern w:val="0"/>
                <w:szCs w:val="21"/>
              </w:rPr>
              <w:t>，手机：</w:t>
            </w:r>
            <w:r>
              <w:rPr>
                <w:rFonts w:hint="eastAsia" w:ascii="宋体" w:hAnsi="宋体" w:eastAsia="宋体"/>
                <w:kern w:val="0"/>
                <w:szCs w:val="21"/>
                <w:lang w:val="en-US" w:eastAsia="zh-CN"/>
              </w:rPr>
              <w:t>18926083811</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eastAsia="zh-CN"/>
              </w:rPr>
              <w:t>深圳会展中心（福田展馆）北三门保安岗亭处</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591"/>
      <w:bookmarkEnd w:id="7"/>
      <w:bookmarkStart w:id="8" w:name="_Toc82684705"/>
      <w:bookmarkEnd w:id="8"/>
      <w:bookmarkStart w:id="9" w:name="_Toc82684706"/>
      <w:bookmarkEnd w:id="9"/>
      <w:bookmarkStart w:id="10" w:name="_Toc82591925"/>
      <w:bookmarkEnd w:id="10"/>
      <w:bookmarkStart w:id="11" w:name="_Toc82684704"/>
      <w:bookmarkEnd w:id="11"/>
      <w:bookmarkStart w:id="12" w:name="_Toc82685542"/>
      <w:bookmarkEnd w:id="12"/>
      <w:bookmarkStart w:id="13" w:name="_Toc82685541"/>
      <w:bookmarkEnd w:id="13"/>
      <w:bookmarkStart w:id="14" w:name="_Toc82685540"/>
      <w:bookmarkEnd w:id="14"/>
      <w:bookmarkStart w:id="15" w:name="_Toc82684588"/>
      <w:bookmarkEnd w:id="15"/>
      <w:bookmarkStart w:id="16" w:name="_Toc82684703"/>
      <w:bookmarkEnd w:id="16"/>
      <w:bookmarkStart w:id="17" w:name="_Toc82685543"/>
      <w:bookmarkEnd w:id="17"/>
      <w:bookmarkStart w:id="18" w:name="_Toc82591927"/>
      <w:bookmarkEnd w:id="18"/>
      <w:bookmarkStart w:id="19" w:name="_Toc82591928"/>
      <w:bookmarkEnd w:id="19"/>
      <w:bookmarkStart w:id="20" w:name="_Toc82684590"/>
      <w:bookmarkEnd w:id="20"/>
      <w:bookmarkStart w:id="21" w:name="_Toc82684589"/>
      <w:bookmarkEnd w:id="21"/>
      <w:bookmarkStart w:id="22" w:name="_Toc82591926"/>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30"/>
      <w:bookmarkEnd w:id="27"/>
      <w:bookmarkStart w:id="28" w:name="_Toc82591989"/>
      <w:bookmarkEnd w:id="28"/>
      <w:bookmarkStart w:id="29" w:name="_Toc82591986"/>
      <w:bookmarkEnd w:id="29"/>
      <w:bookmarkStart w:id="30" w:name="_Toc82591985"/>
      <w:bookmarkEnd w:id="30"/>
      <w:bookmarkStart w:id="31" w:name="_Toc82591987"/>
      <w:bookmarkEnd w:id="31"/>
      <w:bookmarkStart w:id="32" w:name="_Toc82684593"/>
      <w:bookmarkEnd w:id="32"/>
      <w:bookmarkStart w:id="33" w:name="_Toc82684708"/>
      <w:bookmarkEnd w:id="33"/>
      <w:bookmarkStart w:id="34" w:name="_Toc82685545"/>
      <w:bookmarkEnd w:id="34"/>
      <w:bookmarkStart w:id="35" w:name="_Toc82591988"/>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color w:val="auto"/>
                <w:szCs w:val="21"/>
                <w:highlight w:val="none"/>
              </w:rPr>
            </w:pPr>
            <w:r>
              <w:rPr>
                <w:rFonts w:hint="eastAsia"/>
                <w:color w:val="auto"/>
                <w:highlight w:val="none"/>
              </w:rPr>
              <w:t>投标人须提供2020年1月至</w:t>
            </w:r>
            <w:r>
              <w:rPr>
                <w:rFonts w:hint="eastAsia" w:ascii="宋体" w:hAnsi="宋体"/>
                <w:color w:val="auto"/>
                <w:spacing w:val="-5"/>
                <w:kern w:val="0"/>
                <w:szCs w:val="21"/>
                <w:highlight w:val="none"/>
              </w:rPr>
              <w:t>本项目采购公告发布日</w:t>
            </w:r>
            <w:r>
              <w:rPr>
                <w:rFonts w:hint="eastAsia"/>
                <w:color w:val="auto"/>
                <w:highlight w:val="none"/>
              </w:rPr>
              <w:t>所签订的中央空调系统水质处理类的业绩合同。（须提供相应合同关键页复印件并加盖公章，提供业绩清单并汇总业绩金额）。</w:t>
            </w:r>
          </w:p>
          <w:p>
            <w:pPr>
              <w:numPr>
                <w:ilvl w:val="0"/>
                <w:numId w:val="10"/>
              </w:numPr>
              <w:tabs>
                <w:tab w:val="left" w:pos="531"/>
              </w:tabs>
              <w:snapToGrid w:val="0"/>
              <w:rPr>
                <w:rFonts w:ascii="宋体" w:hAnsi="宋体" w:cs="宋体"/>
                <w:color w:val="auto"/>
                <w:highlight w:val="none"/>
              </w:rPr>
            </w:pPr>
            <w:r>
              <w:rPr>
                <w:rFonts w:hint="eastAsia"/>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color w:val="auto"/>
                <w:highlight w:val="none"/>
              </w:rPr>
            </w:pPr>
            <w:r>
              <w:rPr>
                <w:rFonts w:hint="eastAsia"/>
                <w:color w:val="auto"/>
                <w:highlight w:val="none"/>
              </w:rPr>
              <w:t>报价以人民币为结算币种，《投标一览表》应包含税率、税额、税前及税后总金额。</w:t>
            </w:r>
          </w:p>
          <w:p>
            <w:pPr>
              <w:numPr>
                <w:ilvl w:val="0"/>
                <w:numId w:val="11"/>
              </w:numPr>
              <w:tabs>
                <w:tab w:val="left" w:pos="531"/>
              </w:tabs>
              <w:snapToGrid w:val="0"/>
              <w:ind w:left="0" w:firstLine="0"/>
              <w:rPr>
                <w:color w:val="auto"/>
                <w:highlight w:val="none"/>
              </w:rPr>
            </w:pPr>
            <w:r>
              <w:rPr>
                <w:rFonts w:hint="eastAsia"/>
                <w:color w:val="auto"/>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color w:val="auto"/>
                <w:highlight w:val="none"/>
              </w:rPr>
              <w:t>投标报价包括但不限于人工费、水质处理药剂费、</w:t>
            </w:r>
            <w:r>
              <w:rPr>
                <w:rFonts w:hint="eastAsia" w:ascii="宋体" w:hAnsi="宋体" w:cs="宋体"/>
                <w:color w:val="auto"/>
                <w:szCs w:val="21"/>
                <w:highlight w:val="none"/>
              </w:rPr>
              <w:t>第三方检验机构检验费、</w:t>
            </w:r>
            <w:r>
              <w:rPr>
                <w:rFonts w:hint="eastAsia"/>
                <w:color w:val="auto"/>
                <w:highlight w:val="none"/>
              </w:rPr>
              <w:t>管理费、措施费、规费及税费等完成本项目所需的全部费用。</w:t>
            </w:r>
          </w:p>
          <w:p>
            <w:pPr>
              <w:numPr>
                <w:ilvl w:val="0"/>
                <w:numId w:val="11"/>
              </w:numPr>
              <w:tabs>
                <w:tab w:val="left" w:pos="531"/>
              </w:tabs>
              <w:snapToGrid w:val="0"/>
              <w:ind w:left="0" w:leftChars="0" w:firstLine="0" w:firstLineChars="0"/>
              <w:rPr>
                <w:color w:val="auto"/>
                <w:highlight w:val="none"/>
              </w:rPr>
            </w:pPr>
            <w:r>
              <w:rPr>
                <w:rFonts w:hint="eastAsia"/>
                <w:color w:val="auto"/>
                <w:highlight w:val="none"/>
              </w:rPr>
              <w:t>投标人必须按照本项目要求提供总报价及详细分项报价清单。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color w:val="auto"/>
                <w:highlight w:val="none"/>
              </w:rPr>
              <w:t>本项目采购控制金额为人民币46.05万元（含税），报价超过上述控制金额的投标文件作废标处理。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color w:val="auto"/>
                <w:highlight w:val="none"/>
              </w:rPr>
            </w:pPr>
            <w:r>
              <w:rPr>
                <w:rFonts w:hint="eastAsia"/>
                <w:color w:val="auto"/>
                <w:highlight w:val="none"/>
              </w:rPr>
              <w:t>（1）必须按照服务规范要求完成维保工作并提供维保工作总结报告，服务期每满半年经过</w:t>
            </w:r>
            <w:r>
              <w:rPr>
                <w:rFonts w:hint="eastAsia"/>
                <w:color w:val="auto"/>
                <w:highlight w:val="none"/>
                <w:lang w:eastAsia="zh-CN"/>
              </w:rPr>
              <w:t>招标人</w:t>
            </w:r>
            <w:r>
              <w:rPr>
                <w:rFonts w:hint="eastAsia"/>
                <w:color w:val="auto"/>
                <w:highlight w:val="none"/>
              </w:rPr>
              <w:t>现场管理人员检查确认后方可支付当年度服务费的50%。如未能按合同要求完成对应内容，则会根据合同条款进行相应处罚</w:t>
            </w:r>
            <w:r>
              <w:rPr>
                <w:rFonts w:hint="eastAsia"/>
                <w:color w:val="auto"/>
                <w:highlight w:val="none"/>
                <w:lang w:val="en-US" w:eastAsia="zh-CN"/>
              </w:rPr>
              <w:t>及扣款</w:t>
            </w:r>
            <w:r>
              <w:rPr>
                <w:rFonts w:hint="eastAsia"/>
                <w:color w:val="auto"/>
                <w:highlight w:val="none"/>
              </w:rPr>
              <w:t>。</w:t>
            </w:r>
          </w:p>
          <w:p>
            <w:pPr>
              <w:widowControl/>
              <w:numPr>
                <w:ilvl w:val="255"/>
                <w:numId w:val="0"/>
              </w:numPr>
              <w:ind w:right="28"/>
              <w:jc w:val="left"/>
              <w:rPr>
                <w:color w:val="auto"/>
                <w:highlight w:val="none"/>
              </w:rPr>
            </w:pPr>
            <w:r>
              <w:rPr>
                <w:rFonts w:hint="eastAsia"/>
                <w:color w:val="auto"/>
                <w:highlight w:val="none"/>
              </w:rPr>
              <w:t>（2）详细付款事宜以合同条款为准。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项目拟派人员</w:t>
            </w:r>
          </w:p>
        </w:tc>
        <w:tc>
          <w:tcPr>
            <w:tcW w:w="7438" w:type="dxa"/>
            <w:tcBorders>
              <w:top w:val="single" w:color="auto" w:sz="4" w:space="0"/>
              <w:left w:val="single" w:color="auto" w:sz="4" w:space="0"/>
              <w:bottom w:val="single" w:color="auto" w:sz="4" w:space="0"/>
              <w:right w:val="single" w:color="auto" w:sz="4" w:space="0"/>
            </w:tcBorders>
            <w:vAlign w:val="center"/>
          </w:tcPr>
          <w:p>
            <w:pPr>
              <w:ind w:left="-703" w:leftChars="-335"/>
              <w:rPr>
                <w:color w:val="auto"/>
                <w:highlight w:val="none"/>
              </w:rPr>
            </w:pPr>
            <w:r>
              <w:rPr>
                <w:rFonts w:hint="eastAsia"/>
                <w:color w:val="auto"/>
                <w:highlight w:val="none"/>
              </w:rPr>
              <w:t>（1）1（1）投标人须指定项目负责人，并提供该负责人姓名、电话、职务及身份证复印件（加盖公章，原件备查）等信息，负责联络协调及跟进该项目具体实施。</w:t>
            </w:r>
          </w:p>
          <w:p>
            <w:pPr>
              <w:rPr>
                <w:rFonts w:ascii="宋体" w:hAnsi="宋体" w:cs="宋体"/>
                <w:color w:val="auto"/>
                <w:szCs w:val="21"/>
                <w:highlight w:val="none"/>
              </w:rPr>
            </w:pPr>
            <w:r>
              <w:rPr>
                <w:rFonts w:hint="eastAsia" w:ascii="宋体" w:hAnsi="宋体" w:cs="宋体"/>
                <w:color w:val="auto"/>
                <w:szCs w:val="21"/>
                <w:highlight w:val="none"/>
              </w:rPr>
              <w:t>（2）投标人安排的现场服务人员为本单位在岗人员，须熟练掌握空调水处理服务操作技能，空调水处理工作经验不得低于3年，提供拟派本项目人员简历以及对应人员在采购公告发布当日之前连续缴费3个月的有效证明材料（如公告日上一个月的社保材料因社保部门原因暂时无法取得，则可以往前顺延一个月，并加盖社保机构单位章），以上资料均需加盖投标人公章。</w:t>
            </w:r>
          </w:p>
          <w:p>
            <w:pPr>
              <w:pStyle w:val="12"/>
              <w:rPr>
                <w:rFonts w:ascii="宋体" w:eastAsia="宋体" w:cs="宋体"/>
                <w:color w:val="auto"/>
                <w:highlight w:val="none"/>
              </w:rPr>
            </w:pPr>
            <w:r>
              <w:rPr>
                <w:rFonts w:hint="eastAsia" w:ascii="宋体" w:eastAsia="宋体" w:cs="宋体"/>
                <w:color w:val="auto"/>
                <w:highlight w:val="none"/>
              </w:rPr>
              <w:t>（3</w:t>
            </w:r>
            <w:r>
              <w:rPr>
                <w:rFonts w:hint="eastAsia" w:ascii="宋体" w:eastAsia="宋体" w:cs="宋体"/>
                <w:color w:val="auto"/>
                <w:szCs w:val="21"/>
                <w:highlight w:val="none"/>
              </w:rPr>
              <w:t>）拟派本项目人员在合同期内均不得随意更换，如确需更换应提前1个月征求</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同意后方可更换。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服务</w:t>
            </w:r>
            <w:r>
              <w:rPr>
                <w:rFonts w:hint="eastAsia" w:ascii="宋体" w:hAnsi="宋体" w:cs="宋体"/>
                <w:color w:val="auto"/>
                <w:szCs w:val="21"/>
                <w:highlight w:val="none"/>
                <w:lang w:val="en-US" w:eastAsia="zh-CN"/>
              </w:rPr>
              <w:t>期限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color w:val="auto"/>
                <w:szCs w:val="21"/>
                <w:highlight w:val="none"/>
              </w:rPr>
            </w:pPr>
            <w:r>
              <w:rPr>
                <w:rFonts w:hint="eastAsia" w:ascii="宋体" w:eastAsia="宋体" w:cs="宋体"/>
                <w:color w:val="auto"/>
                <w:szCs w:val="21"/>
                <w:highlight w:val="none"/>
              </w:rPr>
              <w:t>服务时间：自合同签订生效之日起叁年。在第一年服务期满前</w:t>
            </w:r>
            <w:r>
              <w:rPr>
                <w:rFonts w:hint="eastAsia" w:ascii="宋体" w:eastAsia="宋体" w:cs="宋体"/>
                <w:color w:val="auto"/>
                <w:szCs w:val="21"/>
                <w:highlight w:val="none"/>
                <w:lang w:val="en-US" w:eastAsia="zh-CN"/>
              </w:rPr>
              <w:t>1</w:t>
            </w:r>
            <w:r>
              <w:rPr>
                <w:rFonts w:hint="eastAsia" w:ascii="宋体" w:eastAsia="宋体" w:cs="宋体"/>
                <w:color w:val="auto"/>
                <w:szCs w:val="21"/>
                <w:highlight w:val="none"/>
              </w:rPr>
              <w:t>个月，</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根据中</w:t>
            </w:r>
            <w:r>
              <w:rPr>
                <w:rFonts w:hint="eastAsia" w:ascii="宋体" w:eastAsia="宋体" w:cs="宋体"/>
                <w:color w:val="auto"/>
                <w:szCs w:val="21"/>
                <w:highlight w:val="none"/>
                <w:lang w:val="en-US" w:eastAsia="zh-CN"/>
              </w:rPr>
              <w:t>标</w:t>
            </w:r>
            <w:r>
              <w:rPr>
                <w:rFonts w:hint="eastAsia" w:ascii="宋体" w:eastAsia="宋体" w:cs="宋体"/>
                <w:color w:val="auto"/>
                <w:szCs w:val="21"/>
                <w:highlight w:val="none"/>
              </w:rPr>
              <w:t>单位的服务质量、各项承诺兑现情况等因素进行年度考核评估，如考核评分结果达到优良（≥80分）则执行第二年合同。如考核未达到优良，</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有权在第一年服务期满时终止第二年合同。第三年合同执行</w:t>
            </w:r>
            <w:r>
              <w:rPr>
                <w:rFonts w:hint="eastAsia" w:ascii="宋体" w:eastAsia="宋体" w:cs="宋体"/>
                <w:color w:val="auto"/>
                <w:szCs w:val="21"/>
                <w:highlight w:val="none"/>
                <w:lang w:val="en-US" w:eastAsia="zh-CN"/>
              </w:rPr>
              <w:t>要求</w:t>
            </w:r>
            <w:r>
              <w:rPr>
                <w:rFonts w:hint="eastAsia" w:ascii="宋体" w:eastAsia="宋体" w:cs="宋体"/>
                <w:color w:val="auto"/>
                <w:szCs w:val="21"/>
                <w:highlight w:val="none"/>
              </w:rPr>
              <w:t>参考第二年。具体考核办法详见附件二《深圳会展中心中央空调系统水处理服务考核评分表》。如中</w:t>
            </w:r>
            <w:r>
              <w:rPr>
                <w:rFonts w:hint="eastAsia" w:ascii="宋体" w:eastAsia="宋体" w:cs="宋体"/>
                <w:color w:val="auto"/>
                <w:szCs w:val="21"/>
                <w:highlight w:val="none"/>
                <w:lang w:val="en-US" w:eastAsia="zh-CN"/>
              </w:rPr>
              <w:t>标</w:t>
            </w:r>
            <w:r>
              <w:rPr>
                <w:rFonts w:hint="eastAsia" w:ascii="宋体" w:eastAsia="宋体" w:cs="宋体"/>
                <w:color w:val="auto"/>
                <w:szCs w:val="21"/>
                <w:highlight w:val="none"/>
              </w:rPr>
              <w:t>单位未能按照合同规定内容履行责任，并给</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造成损失的还应赔偿</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相应的损失。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服务位置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s="宋体"/>
                <w:color w:val="auto"/>
                <w:szCs w:val="21"/>
                <w:highlight w:val="none"/>
              </w:rPr>
              <w:t>深圳会展中心冷冻站和冷却塔机房。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服务项目概述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672"/>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制冷量14098冷吨制冷系统的冷冻水的水质处理。</w:t>
            </w:r>
          </w:p>
          <w:p>
            <w:pPr>
              <w:numPr>
                <w:ilvl w:val="0"/>
                <w:numId w:val="12"/>
              </w:numPr>
              <w:tabs>
                <w:tab w:val="left" w:pos="672"/>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制冷量14098冷吨制冷系统的冷却水的水质处理。</w:t>
            </w:r>
          </w:p>
          <w:p>
            <w:pPr>
              <w:numPr>
                <w:ilvl w:val="0"/>
                <w:numId w:val="12"/>
              </w:numPr>
              <w:tabs>
                <w:tab w:val="left" w:pos="672"/>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八组CEF330-5-1冷却塔的清洗。</w:t>
            </w:r>
          </w:p>
          <w:p>
            <w:pPr>
              <w:numPr>
                <w:ilvl w:val="0"/>
                <w:numId w:val="12"/>
              </w:numPr>
              <w:tabs>
                <w:tab w:val="left" w:pos="672"/>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每年空调运行淡季，在不影响展会的情况下，对9台冷水机组冷凝器进行通炮施工。</w:t>
            </w:r>
          </w:p>
          <w:p>
            <w:pPr>
              <w:pStyle w:val="15"/>
              <w:numPr>
                <w:ilvl w:val="0"/>
                <w:numId w:val="12"/>
              </w:numPr>
              <w:ind w:left="0" w:leftChars="0" w:firstLine="0" w:firstLineChars="0"/>
              <w:rPr>
                <w:color w:val="auto"/>
                <w:highlight w:val="none"/>
              </w:rPr>
            </w:pPr>
            <w:r>
              <w:rPr>
                <w:rFonts w:hint="eastAsia" w:ascii="宋体" w:hAnsi="宋体" w:cs="宋体"/>
                <w:color w:val="auto"/>
                <w:szCs w:val="21"/>
                <w:highlight w:val="none"/>
              </w:rPr>
              <w:t>每年10月份对冷却水、冷冻水取样送第三方检验机构检验，且保证第三方检验合格，由第三方检验机构出具检验合格证书（包含军团菌检测）。如果检验不合格，需整改，直至检验合格为止。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服务规范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见附件1</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须建立安全责任制，须遵守国家、所属地政府及深圳会展中心的相关规章制度，采取有效的措施保障现场的安全、维护现场的正常工作秩序。</w:t>
            </w:r>
          </w:p>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在服务过程中要做好人员、成品、半成品及设备设施的保护。</w:t>
            </w:r>
          </w:p>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应妥善储存放置在</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机房的水质处理用的药剂，以防挪作他用。</w:t>
            </w:r>
          </w:p>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空调冷冻水、冷却水的排水阀做好温馨提示，以防被人误食用。</w:t>
            </w:r>
          </w:p>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应对现场作业人员的安全负全部责任。确保服务过程中不出现任何人身安全事故、火灾事故和财产损失等安全事故。</w:t>
            </w:r>
          </w:p>
          <w:p>
            <w:pPr>
              <w:numPr>
                <w:ilvl w:val="0"/>
                <w:numId w:val="13"/>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如因</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管理不善、组织不力或监管缺失等造成安全责任事故及财产损失的由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ascii="宋体" w:hAnsi="宋体" w:cs="宋体"/>
                <w:color w:val="auto"/>
                <w:szCs w:val="21"/>
                <w:highlight w:val="none"/>
              </w:rPr>
              <w:t>验收方式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672"/>
              </w:tabs>
              <w:snapToGrid w:val="0"/>
              <w:spacing w:line="360" w:lineRule="auto"/>
              <w:rPr>
                <w:rFonts w:ascii="仿宋" w:hAnsi="仿宋" w:eastAsia="仿宋"/>
                <w:color w:val="auto"/>
                <w:sz w:val="28"/>
                <w:szCs w:val="28"/>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每月按照招标文件和合同要求完成维保服务后提交工作单，必须经过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现场管理人员验收合格并签字确认。</w:t>
            </w:r>
          </w:p>
          <w:p>
            <w:pPr>
              <w:tabs>
                <w:tab w:val="left" w:pos="531"/>
              </w:tabs>
              <w:snapToGri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（2）每</w:t>
            </w:r>
            <w:r>
              <w:rPr>
                <w:rFonts w:hint="eastAsia" w:ascii="宋体" w:hAnsi="宋体" w:cs="宋体"/>
                <w:color w:val="auto"/>
                <w:szCs w:val="21"/>
                <w:highlight w:val="none"/>
                <w:lang w:val="en-US" w:eastAsia="zh-CN"/>
              </w:rPr>
              <w:t>半年</w:t>
            </w:r>
            <w:r>
              <w:rPr>
                <w:rFonts w:hint="eastAsia" w:ascii="宋体" w:hAnsi="宋体" w:cs="宋体"/>
                <w:color w:val="auto"/>
                <w:szCs w:val="21"/>
                <w:highlight w:val="none"/>
              </w:rPr>
              <w:t>维保服务结束，</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须提交</w:t>
            </w:r>
            <w:r>
              <w:rPr>
                <w:rFonts w:hint="eastAsia" w:ascii="宋体" w:hAnsi="宋体" w:cs="宋体"/>
                <w:color w:val="auto"/>
                <w:szCs w:val="21"/>
                <w:highlight w:val="none"/>
                <w:lang w:val="en-US" w:eastAsia="zh-CN"/>
              </w:rPr>
              <w:t>半年验收</w:t>
            </w:r>
            <w:r>
              <w:rPr>
                <w:rFonts w:hint="eastAsia" w:ascii="宋体" w:hAnsi="宋体" w:cs="宋体"/>
                <w:color w:val="auto"/>
                <w:szCs w:val="21"/>
                <w:highlight w:val="none"/>
              </w:rPr>
              <w:t>报告，</w:t>
            </w:r>
            <w:r>
              <w:rPr>
                <w:rFonts w:hint="eastAsia" w:ascii="宋体" w:hAnsi="宋体" w:cs="宋体"/>
                <w:color w:val="auto"/>
                <w:szCs w:val="21"/>
                <w:highlight w:val="none"/>
                <w:lang w:val="en-US" w:eastAsia="zh-CN"/>
              </w:rPr>
              <w:t>经招标人验收合格后支付半年维保费。如在验收过程中发现服务未达</w:t>
            </w:r>
            <w:r>
              <w:rPr>
                <w:rFonts w:hint="eastAsia" w:ascii="宋体" w:hAnsi="宋体" w:cs="宋体"/>
                <w:color w:val="auto"/>
                <w:szCs w:val="21"/>
                <w:highlight w:val="none"/>
              </w:rPr>
              <w:t>国家、所属地政府</w:t>
            </w:r>
            <w:r>
              <w:rPr>
                <w:rFonts w:hint="eastAsia" w:ascii="宋体" w:hAnsi="宋体" w:cs="宋体"/>
                <w:color w:val="auto"/>
                <w:szCs w:val="21"/>
                <w:highlight w:val="none"/>
                <w:lang w:val="en-US" w:eastAsia="zh-CN"/>
              </w:rPr>
              <w:t>服务规范要求、未全部完成合同规定内容或存在其他整改内容的情况，则需要中标人按合同要求后完成服务后，扣除罚款项后支付剩余服务款。</w:t>
            </w:r>
          </w:p>
          <w:p>
            <w:pPr>
              <w:tabs>
                <w:tab w:val="left" w:pos="531"/>
              </w:tabs>
              <w:snapToGrid w:val="0"/>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color w:val="auto"/>
          <w:szCs w:val="21"/>
          <w:highlight w:val="none"/>
        </w:rPr>
      </w:pPr>
      <w:bookmarkStart w:id="38" w:name="_Toc82684600"/>
      <w:bookmarkEnd w:id="38"/>
      <w:bookmarkStart w:id="39" w:name="_Toc82684715"/>
      <w:bookmarkEnd w:id="39"/>
      <w:bookmarkStart w:id="40" w:name="_Toc82591996"/>
      <w:bookmarkEnd w:id="40"/>
      <w:bookmarkStart w:id="41" w:name="_Toc82685552"/>
      <w:bookmarkEnd w:id="41"/>
      <w:bookmarkStart w:id="42" w:name="_Toc116550349"/>
      <w:r>
        <w:rPr>
          <w:rFonts w:hint="eastAsia" w:ascii="宋体" w:hAnsi="宋体"/>
          <w:b/>
          <w:color w:val="auto"/>
          <w:szCs w:val="21"/>
          <w:highlight w:val="none"/>
        </w:rPr>
        <w:t>其他项目说明资料</w:t>
      </w:r>
      <w:bookmarkEnd w:id="42"/>
    </w:p>
    <w:p>
      <w:pPr>
        <w:widowControl/>
        <w:jc w:val="left"/>
        <w:rPr>
          <w:rFonts w:ascii="宋体" w:hAnsi="宋体" w:cs="宋体"/>
          <w:b/>
          <w:bCs/>
          <w:color w:val="auto"/>
          <w:szCs w:val="21"/>
          <w:highlight w:val="none"/>
        </w:rPr>
      </w:pPr>
      <w:r>
        <w:rPr>
          <w:rFonts w:hint="eastAsia"/>
          <w:b/>
          <w:bCs/>
          <w:color w:val="auto"/>
          <w:highlight w:val="none"/>
        </w:rPr>
        <w:t>附件1：</w:t>
      </w:r>
      <w:r>
        <w:rPr>
          <w:rFonts w:hint="eastAsia" w:ascii="宋体" w:hAnsi="宋体" w:cs="宋体"/>
          <w:b/>
          <w:bCs/>
          <w:color w:val="auto"/>
          <w:szCs w:val="21"/>
          <w:highlight w:val="none"/>
        </w:rPr>
        <w:t>服务规范</w:t>
      </w:r>
    </w:p>
    <w:p>
      <w:pPr>
        <w:spacing w:before="120"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1、冷却塔</w:t>
      </w:r>
    </w:p>
    <w:p>
      <w:pPr>
        <w:spacing w:before="120" w:line="320" w:lineRule="exact"/>
        <w:ind w:left="284"/>
        <w:rPr>
          <w:rFonts w:ascii="宋体" w:hAnsi="宋体" w:cs="宋体"/>
          <w:szCs w:val="21"/>
        </w:rPr>
      </w:pPr>
      <w:r>
        <w:rPr>
          <w:rFonts w:hint="eastAsia" w:ascii="宋体" w:hAnsi="宋体" w:cs="宋体"/>
          <w:szCs w:val="21"/>
        </w:rPr>
        <w:t xml:space="preserve">● 每月对八组冷却塔清洗八组冷却塔盘一次； </w:t>
      </w:r>
    </w:p>
    <w:p>
      <w:pPr>
        <w:spacing w:before="120" w:line="320" w:lineRule="exact"/>
        <w:ind w:left="284"/>
        <w:rPr>
          <w:rFonts w:ascii="宋体" w:hAnsi="宋体" w:cs="宋体"/>
          <w:szCs w:val="21"/>
        </w:rPr>
      </w:pPr>
      <w:r>
        <w:rPr>
          <w:rFonts w:hint="eastAsia" w:ascii="宋体" w:hAnsi="宋体" w:cs="宋体"/>
          <w:szCs w:val="21"/>
        </w:rPr>
        <w:t>● 每月对八组冷却塔进行排污；</w:t>
      </w:r>
    </w:p>
    <w:p>
      <w:pPr>
        <w:snapToGrid w:val="0"/>
        <w:spacing w:line="420" w:lineRule="exact"/>
        <w:ind w:firstLine="283" w:firstLineChars="135"/>
        <w:rPr>
          <w:rFonts w:ascii="宋体" w:hAnsi="宋体" w:cs="宋体"/>
          <w:szCs w:val="21"/>
        </w:rPr>
      </w:pPr>
      <w:r>
        <w:rPr>
          <w:rFonts w:hint="eastAsia" w:ascii="宋体" w:hAnsi="宋体" w:cs="宋体"/>
          <w:szCs w:val="21"/>
        </w:rPr>
        <w:t>● 每年对冷却水塔因运行、蒸发而形成的污泥进行清理，确保外观清洁；</w:t>
      </w:r>
    </w:p>
    <w:p>
      <w:pPr>
        <w:spacing w:before="120" w:line="320" w:lineRule="exact"/>
        <w:ind w:firstLine="212" w:firstLineChars="101"/>
        <w:rPr>
          <w:rFonts w:ascii="宋体" w:hAnsi="宋体" w:cs="宋体"/>
          <w:szCs w:val="21"/>
        </w:rPr>
      </w:pPr>
      <w:r>
        <w:rPr>
          <w:rFonts w:hint="eastAsia" w:ascii="宋体" w:hAnsi="宋体" w:cs="宋体"/>
          <w:szCs w:val="21"/>
        </w:rPr>
        <w:t>2、冷却水系统</w:t>
      </w:r>
    </w:p>
    <w:p>
      <w:pPr>
        <w:spacing w:before="120" w:line="320" w:lineRule="exact"/>
        <w:ind w:left="284"/>
        <w:rPr>
          <w:rFonts w:ascii="宋体" w:hAnsi="宋体" w:cs="宋体"/>
          <w:szCs w:val="21"/>
        </w:rPr>
      </w:pPr>
      <w:r>
        <w:rPr>
          <w:rFonts w:hint="eastAsia" w:ascii="宋体" w:hAnsi="宋体" w:cs="宋体"/>
          <w:szCs w:val="21"/>
        </w:rPr>
        <w:t xml:space="preserve">● 每年对冷却水系统进行一次杀菌灭藻处理及除垢、除浮锈、除油化学清洗； </w:t>
      </w:r>
    </w:p>
    <w:p>
      <w:pPr>
        <w:ind w:left="281" w:leftChars="134"/>
        <w:outlineLvl w:val="0"/>
        <w:rPr>
          <w:rFonts w:ascii="宋体" w:hAnsi="宋体" w:cs="宋体"/>
          <w:szCs w:val="21"/>
        </w:rPr>
      </w:pPr>
      <w:r>
        <w:rPr>
          <w:rFonts w:hint="eastAsia" w:ascii="宋体" w:hAnsi="宋体" w:cs="宋体"/>
          <w:szCs w:val="21"/>
        </w:rPr>
        <w:t>● 每年从主管道最低点排放所有冷却水，拆洗冷却水系统上的Y型过滤器；</w:t>
      </w:r>
    </w:p>
    <w:p>
      <w:pPr>
        <w:ind w:left="564" w:leftChars="135" w:hanging="281" w:hangingChars="134"/>
        <w:outlineLvl w:val="0"/>
        <w:rPr>
          <w:rFonts w:ascii="宋体" w:hAnsi="宋体" w:cs="宋体"/>
          <w:szCs w:val="21"/>
        </w:rPr>
      </w:pPr>
      <w:r>
        <w:rPr>
          <w:rFonts w:hint="eastAsia" w:ascii="宋体" w:hAnsi="宋体" w:cs="宋体"/>
          <w:szCs w:val="21"/>
        </w:rPr>
        <w:t>● 每年对冷却水系统进行一次预膜处理，使管道形成一层均匀致密的氧化保护层以控制系统的锈蚀速度；</w:t>
      </w:r>
    </w:p>
    <w:p>
      <w:pPr>
        <w:ind w:left="281" w:leftChars="134"/>
        <w:outlineLvl w:val="0"/>
        <w:rPr>
          <w:rFonts w:ascii="宋体" w:hAnsi="宋体" w:cs="宋体"/>
          <w:szCs w:val="21"/>
        </w:rPr>
      </w:pPr>
      <w:r>
        <w:rPr>
          <w:rFonts w:hint="eastAsia" w:ascii="宋体" w:hAnsi="宋体" w:cs="宋体"/>
          <w:szCs w:val="21"/>
        </w:rPr>
        <w:t>● 每周派人加药一次；</w:t>
      </w:r>
    </w:p>
    <w:p>
      <w:pPr>
        <w:ind w:left="281" w:leftChars="134"/>
        <w:outlineLvl w:val="0"/>
        <w:rPr>
          <w:rFonts w:ascii="宋体" w:hAnsi="宋体" w:cs="宋体"/>
          <w:szCs w:val="21"/>
        </w:rPr>
      </w:pPr>
      <w:r>
        <w:rPr>
          <w:rFonts w:hint="eastAsia" w:ascii="宋体" w:hAnsi="宋体" w:cs="宋体"/>
          <w:szCs w:val="21"/>
        </w:rPr>
        <w:t>● 提供服务期的空调水质处理用药；</w:t>
      </w:r>
    </w:p>
    <w:p>
      <w:pPr>
        <w:ind w:left="281" w:leftChars="134"/>
        <w:outlineLvl w:val="0"/>
        <w:rPr>
          <w:rFonts w:ascii="宋体" w:hAnsi="宋体" w:cs="宋体"/>
          <w:szCs w:val="21"/>
        </w:rPr>
      </w:pPr>
      <w:r>
        <w:rPr>
          <w:rFonts w:hint="eastAsia" w:ascii="宋体" w:hAnsi="宋体" w:cs="宋体"/>
          <w:szCs w:val="21"/>
        </w:rPr>
        <w:t>● 每月取水样一次，进行分析测试，并向</w:t>
      </w:r>
      <w:r>
        <w:rPr>
          <w:rFonts w:hint="eastAsia" w:ascii="宋体" w:hAnsi="宋体" w:cs="宋体"/>
          <w:szCs w:val="21"/>
          <w:lang w:eastAsia="zh-CN"/>
        </w:rPr>
        <w:t>招标人</w:t>
      </w:r>
      <w:r>
        <w:rPr>
          <w:rFonts w:hint="eastAsia" w:ascii="宋体" w:hAnsi="宋体" w:cs="宋体"/>
          <w:szCs w:val="21"/>
        </w:rPr>
        <w:t>递交分析报告；</w:t>
      </w:r>
    </w:p>
    <w:p>
      <w:pPr>
        <w:ind w:left="281" w:leftChars="134"/>
        <w:outlineLvl w:val="0"/>
        <w:rPr>
          <w:rFonts w:ascii="宋体" w:hAnsi="宋体" w:cs="宋体"/>
          <w:szCs w:val="21"/>
        </w:rPr>
      </w:pPr>
      <w:r>
        <w:rPr>
          <w:rFonts w:hint="eastAsia" w:ascii="宋体" w:hAnsi="宋体" w:cs="宋体"/>
          <w:szCs w:val="21"/>
        </w:rPr>
        <w:t>● 每年对9台冷水机组进行一次冷凝器通炮清洗，并确保不损坏设备；</w:t>
      </w:r>
    </w:p>
    <w:p>
      <w:pPr>
        <w:tabs>
          <w:tab w:val="left" w:pos="426"/>
        </w:tabs>
        <w:snapToGrid w:val="0"/>
        <w:spacing w:line="420" w:lineRule="exact"/>
        <w:ind w:left="567" w:leftChars="136" w:hanging="281" w:hangingChars="134"/>
        <w:rPr>
          <w:rFonts w:ascii="宋体" w:hAnsi="宋体" w:cs="宋体"/>
          <w:szCs w:val="21"/>
        </w:rPr>
      </w:pPr>
      <w:r>
        <w:rPr>
          <w:rFonts w:hint="eastAsia" w:ascii="宋体" w:hAnsi="宋体" w:cs="宋体"/>
          <w:szCs w:val="21"/>
        </w:rPr>
        <w:t>● 每年三次对空调冷却水系统进行军团菌的消杀，如出现军团菌超标的情况,乙方应无条件进行整改，直至卫生部门检查合格为止，由于检查不合格所产生的费用全部由乙方承担；</w:t>
      </w:r>
    </w:p>
    <w:p>
      <w:pPr>
        <w:tabs>
          <w:tab w:val="left" w:pos="426"/>
        </w:tabs>
        <w:snapToGrid w:val="0"/>
        <w:spacing w:line="420" w:lineRule="exact"/>
        <w:ind w:firstLine="105" w:firstLineChars="50"/>
        <w:rPr>
          <w:rFonts w:ascii="宋体" w:hAnsi="宋体" w:cs="宋体"/>
          <w:szCs w:val="21"/>
        </w:rPr>
      </w:pPr>
      <w:r>
        <w:rPr>
          <w:rFonts w:hint="eastAsia" w:ascii="宋体" w:hAnsi="宋体" w:cs="宋体"/>
          <w:szCs w:val="21"/>
        </w:rPr>
        <w:t>3、冷冻水系统</w:t>
      </w:r>
    </w:p>
    <w:p>
      <w:pPr>
        <w:spacing w:before="120" w:line="320" w:lineRule="exact"/>
        <w:ind w:left="284"/>
        <w:rPr>
          <w:rFonts w:ascii="宋体" w:hAnsi="宋体" w:cs="宋体"/>
          <w:szCs w:val="21"/>
        </w:rPr>
      </w:pPr>
      <w:r>
        <w:rPr>
          <w:rFonts w:hint="eastAsia" w:ascii="宋体" w:hAnsi="宋体" w:cs="宋体"/>
          <w:szCs w:val="21"/>
        </w:rPr>
        <w:t xml:space="preserve">●  每年对冷冻水系统进行一次杀菌灭藻处理及除垢、除浮锈、除油化学清洗； </w:t>
      </w:r>
    </w:p>
    <w:p>
      <w:pPr>
        <w:ind w:left="281" w:leftChars="134"/>
        <w:outlineLvl w:val="0"/>
        <w:rPr>
          <w:rFonts w:ascii="宋体" w:hAnsi="宋体" w:cs="宋体"/>
          <w:szCs w:val="21"/>
        </w:rPr>
      </w:pPr>
      <w:r>
        <w:rPr>
          <w:rFonts w:hint="eastAsia" w:ascii="宋体" w:hAnsi="宋体" w:cs="宋体"/>
          <w:szCs w:val="21"/>
        </w:rPr>
        <w:t>●  每年从主管道最低点排放所有冷冻水，拆洗冷冻水系统与冷水机组相连的Y型过滤器；</w:t>
      </w:r>
    </w:p>
    <w:p>
      <w:pPr>
        <w:ind w:left="281" w:leftChars="134"/>
        <w:outlineLvl w:val="0"/>
        <w:rPr>
          <w:rFonts w:ascii="宋体" w:hAnsi="宋体" w:cs="宋体"/>
          <w:szCs w:val="21"/>
        </w:rPr>
      </w:pPr>
      <w:r>
        <w:rPr>
          <w:rFonts w:hint="eastAsia" w:ascii="宋体" w:hAnsi="宋体" w:cs="宋体"/>
          <w:szCs w:val="21"/>
        </w:rPr>
        <w:t>●  提供服务期的空调水质处理用药；</w:t>
      </w:r>
    </w:p>
    <w:p>
      <w:pPr>
        <w:ind w:left="281" w:leftChars="134"/>
        <w:outlineLvl w:val="0"/>
        <w:rPr>
          <w:rFonts w:ascii="宋体" w:hAnsi="宋体" w:cs="宋体"/>
          <w:szCs w:val="21"/>
        </w:rPr>
      </w:pPr>
      <w:r>
        <w:rPr>
          <w:rFonts w:hint="eastAsia" w:ascii="宋体" w:hAnsi="宋体" w:cs="宋体"/>
          <w:szCs w:val="21"/>
        </w:rPr>
        <w:t>●  每季取水样一次，进行分析测试，并向</w:t>
      </w:r>
      <w:r>
        <w:rPr>
          <w:rFonts w:hint="eastAsia" w:ascii="宋体" w:hAnsi="宋体" w:cs="宋体"/>
          <w:szCs w:val="21"/>
          <w:lang w:eastAsia="zh-CN"/>
        </w:rPr>
        <w:t>招标人</w:t>
      </w:r>
      <w:r>
        <w:rPr>
          <w:rFonts w:hint="eastAsia" w:ascii="宋体" w:hAnsi="宋体" w:cs="宋体"/>
          <w:szCs w:val="21"/>
        </w:rPr>
        <w:t>递交分析报告。</w:t>
      </w:r>
    </w:p>
    <w:p>
      <w:pPr>
        <w:ind w:left="281" w:leftChars="68" w:hanging="138" w:hangingChars="66"/>
        <w:outlineLvl w:val="0"/>
        <w:rPr>
          <w:rFonts w:ascii="宋体" w:hAnsi="宋体" w:cs="宋体"/>
          <w:szCs w:val="21"/>
        </w:rPr>
      </w:pPr>
      <w:r>
        <w:rPr>
          <w:rFonts w:hint="eastAsia" w:ascii="宋体" w:hAnsi="宋体" w:cs="宋体"/>
          <w:szCs w:val="21"/>
        </w:rPr>
        <w:t>4、其它服务要求</w:t>
      </w:r>
    </w:p>
    <w:p>
      <w:pPr>
        <w:tabs>
          <w:tab w:val="left" w:pos="426"/>
        </w:tabs>
        <w:snapToGrid w:val="0"/>
        <w:spacing w:line="420" w:lineRule="exact"/>
        <w:ind w:firstLine="283" w:firstLineChars="135"/>
        <w:rPr>
          <w:rFonts w:ascii="宋体" w:hAnsi="宋体" w:cs="宋体"/>
          <w:szCs w:val="21"/>
        </w:rPr>
      </w:pPr>
      <w:r>
        <w:rPr>
          <w:rFonts w:hint="eastAsia" w:ascii="宋体" w:hAnsi="宋体" w:cs="宋体"/>
          <w:szCs w:val="21"/>
        </w:rPr>
        <w:t>● 在高交会等大型展会在</w:t>
      </w:r>
      <w:r>
        <w:rPr>
          <w:rFonts w:hint="eastAsia" w:ascii="宋体" w:hAnsi="宋体" w:cs="宋体"/>
          <w:szCs w:val="21"/>
          <w:lang w:eastAsia="zh-CN"/>
        </w:rPr>
        <w:t>招标人</w:t>
      </w:r>
      <w:r>
        <w:rPr>
          <w:rFonts w:hint="eastAsia" w:ascii="宋体" w:hAnsi="宋体" w:cs="宋体"/>
          <w:szCs w:val="21"/>
        </w:rPr>
        <w:t>场地举办期间，须指派两名工程师现场保障服务，每年10月份做一次水质第三方检测（包括军团菌检测内容），并出具检验合格证书；</w:t>
      </w:r>
    </w:p>
    <w:p>
      <w:pPr>
        <w:ind w:left="281" w:leftChars="134"/>
        <w:outlineLvl w:val="0"/>
        <w:rPr>
          <w:rFonts w:ascii="宋体" w:hAnsi="宋体" w:cs="宋体"/>
          <w:szCs w:val="21"/>
        </w:rPr>
      </w:pPr>
      <w:r>
        <w:rPr>
          <w:rFonts w:hint="eastAsia" w:ascii="宋体" w:hAnsi="宋体" w:cs="宋体"/>
          <w:szCs w:val="21"/>
        </w:rPr>
        <w:t>●出现故障时2小时响应，4小时内到达现场。</w:t>
      </w:r>
    </w:p>
    <w:p>
      <w:pPr>
        <w:ind w:left="281" w:leftChars="68" w:hanging="138" w:hangingChars="66"/>
        <w:outlineLvl w:val="0"/>
        <w:rPr>
          <w:rFonts w:ascii="宋体" w:hAnsi="宋体" w:cs="宋体"/>
          <w:szCs w:val="21"/>
        </w:rPr>
      </w:pPr>
      <w:r>
        <w:rPr>
          <w:rFonts w:hint="eastAsia" w:ascii="宋体" w:hAnsi="宋体" w:cs="宋体"/>
          <w:szCs w:val="21"/>
        </w:rPr>
        <w:t>5、处理后的水质要求</w:t>
      </w:r>
    </w:p>
    <w:p>
      <w:pPr>
        <w:ind w:left="281" w:leftChars="134"/>
        <w:outlineLvl w:val="0"/>
        <w:rPr>
          <w:rFonts w:ascii="宋体" w:hAnsi="宋体" w:cs="宋体"/>
          <w:szCs w:val="21"/>
        </w:rPr>
      </w:pPr>
      <w:r>
        <w:rPr>
          <w:rFonts w:hint="eastAsia" w:ascii="宋体" w:hAnsi="宋体" w:cs="宋体"/>
          <w:szCs w:val="21"/>
        </w:rPr>
        <w:t>5.1冷却循环水：</w:t>
      </w:r>
    </w:p>
    <w:p>
      <w:pPr>
        <w:snapToGrid w:val="0"/>
        <w:spacing w:line="420" w:lineRule="exact"/>
        <w:ind w:firstLine="212" w:firstLineChars="101"/>
        <w:jc w:val="left"/>
        <w:rPr>
          <w:rFonts w:ascii="宋体" w:hAnsi="宋体" w:cs="宋体"/>
          <w:szCs w:val="21"/>
        </w:rPr>
      </w:pPr>
      <w:r>
        <w:rPr>
          <w:rFonts w:hint="eastAsia" w:ascii="宋体" w:hAnsi="宋体" w:cs="宋体"/>
          <w:szCs w:val="21"/>
        </w:rPr>
        <w:t>● PH    7.0～9.2（自然达到平衡）</w:t>
      </w:r>
    </w:p>
    <w:p>
      <w:pPr>
        <w:snapToGrid w:val="0"/>
        <w:spacing w:line="420" w:lineRule="exact"/>
        <w:jc w:val="left"/>
        <w:rPr>
          <w:rFonts w:ascii="宋体" w:hAnsi="宋体" w:cs="宋体"/>
          <w:szCs w:val="21"/>
        </w:rPr>
      </w:pPr>
      <w:r>
        <w:rPr>
          <w:rFonts w:hint="eastAsia" w:ascii="宋体" w:hAnsi="宋体" w:cs="宋体"/>
          <w:szCs w:val="21"/>
        </w:rPr>
        <w:t xml:space="preserve">  ● 浊  度     ≤20mg/L</w:t>
      </w:r>
    </w:p>
    <w:p>
      <w:pPr>
        <w:snapToGrid w:val="0"/>
        <w:spacing w:line="420" w:lineRule="exact"/>
        <w:jc w:val="left"/>
        <w:rPr>
          <w:rFonts w:ascii="宋体" w:hAnsi="宋体" w:cs="宋体"/>
          <w:szCs w:val="21"/>
        </w:rPr>
      </w:pPr>
      <w:r>
        <w:rPr>
          <w:rFonts w:hint="eastAsia" w:ascii="宋体" w:hAnsi="宋体" w:cs="宋体"/>
          <w:szCs w:val="21"/>
        </w:rPr>
        <w:t xml:space="preserve">  ● 总硬度     ≤600mg/L（以CaCO3计）</w:t>
      </w:r>
    </w:p>
    <w:p>
      <w:pPr>
        <w:snapToGrid w:val="0"/>
        <w:spacing w:line="420" w:lineRule="exact"/>
        <w:jc w:val="left"/>
        <w:rPr>
          <w:rFonts w:ascii="宋体" w:hAnsi="宋体" w:cs="宋体"/>
          <w:szCs w:val="21"/>
        </w:rPr>
      </w:pPr>
      <w:r>
        <w:rPr>
          <w:rFonts w:hint="eastAsia" w:ascii="宋体" w:hAnsi="宋体" w:cs="宋体"/>
          <w:szCs w:val="21"/>
        </w:rPr>
        <w:t xml:space="preserve">  ● 总碱度     ≤500mg/L（以CaCO3计）</w:t>
      </w:r>
    </w:p>
    <w:p>
      <w:pPr>
        <w:snapToGrid w:val="0"/>
        <w:spacing w:line="420" w:lineRule="exact"/>
        <w:jc w:val="left"/>
        <w:rPr>
          <w:rFonts w:ascii="宋体" w:hAnsi="宋体" w:cs="宋体"/>
          <w:szCs w:val="21"/>
        </w:rPr>
      </w:pPr>
      <w:r>
        <w:rPr>
          <w:rFonts w:hint="eastAsia" w:ascii="宋体" w:hAnsi="宋体" w:cs="宋体"/>
          <w:szCs w:val="21"/>
        </w:rPr>
        <w:t xml:space="preserve">  ● 总  铁     ≤1.0mg/L</w:t>
      </w:r>
    </w:p>
    <w:p>
      <w:pPr>
        <w:snapToGrid w:val="0"/>
        <w:spacing w:line="420" w:lineRule="exact"/>
        <w:ind w:firstLine="212" w:firstLineChars="101"/>
        <w:jc w:val="left"/>
        <w:rPr>
          <w:rFonts w:ascii="宋体" w:hAnsi="宋体" w:cs="宋体"/>
          <w:szCs w:val="21"/>
        </w:rPr>
      </w:pPr>
      <w:r>
        <w:rPr>
          <w:rFonts w:hint="eastAsia" w:ascii="宋体" w:hAnsi="宋体" w:cs="宋体"/>
          <w:szCs w:val="21"/>
        </w:rPr>
        <w:t>● 总  铜     ≤0.2mg/L</w:t>
      </w:r>
    </w:p>
    <w:p>
      <w:pPr>
        <w:snapToGrid w:val="0"/>
        <w:spacing w:line="420" w:lineRule="exact"/>
        <w:ind w:firstLine="212" w:firstLineChars="101"/>
        <w:jc w:val="left"/>
        <w:rPr>
          <w:rFonts w:ascii="宋体" w:hAnsi="宋体" w:cs="宋体"/>
          <w:szCs w:val="21"/>
        </w:rPr>
      </w:pPr>
      <w:r>
        <w:rPr>
          <w:rFonts w:hint="eastAsia" w:ascii="宋体" w:hAnsi="宋体" w:cs="宋体"/>
          <w:szCs w:val="21"/>
        </w:rPr>
        <w:t>● 氯离子     ≤1000mg/L</w:t>
      </w:r>
    </w:p>
    <w:p>
      <w:pPr>
        <w:snapToGrid w:val="0"/>
        <w:spacing w:line="420" w:lineRule="exact"/>
        <w:ind w:firstLine="142"/>
        <w:jc w:val="left"/>
        <w:rPr>
          <w:rFonts w:ascii="宋体" w:hAnsi="宋体" w:cs="宋体"/>
          <w:szCs w:val="21"/>
        </w:rPr>
      </w:pPr>
      <w:r>
        <w:rPr>
          <w:rFonts w:hint="eastAsia" w:ascii="宋体" w:hAnsi="宋体" w:cs="宋体"/>
          <w:szCs w:val="21"/>
        </w:rPr>
        <w:t xml:space="preserve"> ● 电导率     ＜2500μs/cm</w:t>
      </w:r>
    </w:p>
    <w:p>
      <w:pPr>
        <w:snapToGrid w:val="0"/>
        <w:spacing w:line="420" w:lineRule="exact"/>
        <w:ind w:firstLine="212" w:firstLineChars="101"/>
        <w:jc w:val="left"/>
        <w:rPr>
          <w:rFonts w:ascii="宋体" w:hAnsi="宋体" w:cs="宋体"/>
          <w:szCs w:val="21"/>
        </w:rPr>
      </w:pPr>
      <w:r>
        <w:rPr>
          <w:rFonts w:hint="eastAsia" w:ascii="宋体" w:hAnsi="宋体" w:cs="宋体"/>
          <w:szCs w:val="21"/>
        </w:rPr>
        <w:t>● 细菌数     ＜5</w:t>
      </w:r>
      <w:r>
        <w:rPr>
          <w:rFonts w:hint="eastAsia" w:ascii="宋体" w:hAnsi="宋体" w:cs="宋体"/>
          <w:szCs w:val="21"/>
        </w:rPr>
        <w:sym w:font="Wingdings 2" w:char="00CE"/>
      </w:r>
      <w:r>
        <w:rPr>
          <w:rFonts w:hint="eastAsia" w:ascii="宋体" w:hAnsi="宋体" w:cs="宋体"/>
          <w:szCs w:val="21"/>
        </w:rPr>
        <w:t>10</w:t>
      </w:r>
      <w:r>
        <w:rPr>
          <w:rFonts w:ascii="宋体" w:hAnsi="宋体" w:cs="宋体"/>
          <w:szCs w:val="21"/>
          <w:vertAlign w:val="superscript"/>
        </w:rPr>
        <w:t>5</w:t>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个/mL</w:t>
      </w:r>
    </w:p>
    <w:p>
      <w:pPr>
        <w:snapToGrid w:val="0"/>
        <w:spacing w:line="420" w:lineRule="exact"/>
        <w:ind w:firstLine="284"/>
        <w:rPr>
          <w:rFonts w:ascii="宋体" w:hAnsi="宋体" w:cs="宋体"/>
          <w:szCs w:val="21"/>
        </w:rPr>
      </w:pPr>
      <w:r>
        <w:rPr>
          <w:rFonts w:hint="eastAsia" w:ascii="宋体" w:hAnsi="宋体" w:cs="宋体"/>
          <w:szCs w:val="21"/>
        </w:rPr>
        <w:t>5.2冷冻循环水：</w:t>
      </w:r>
    </w:p>
    <w:p>
      <w:pPr>
        <w:snapToGrid w:val="0"/>
        <w:spacing w:line="420" w:lineRule="exact"/>
        <w:ind w:firstLine="212" w:firstLineChars="101"/>
        <w:rPr>
          <w:rFonts w:ascii="宋体" w:hAnsi="宋体" w:cs="宋体"/>
          <w:szCs w:val="21"/>
        </w:rPr>
      </w:pPr>
      <w:r>
        <w:rPr>
          <w:rFonts w:hint="eastAsia" w:ascii="宋体" w:hAnsi="宋体" w:cs="宋体"/>
          <w:szCs w:val="21"/>
        </w:rPr>
        <w:t>●  PH    值       8.0～11.0</w:t>
      </w:r>
    </w:p>
    <w:p>
      <w:pPr>
        <w:snapToGrid w:val="0"/>
        <w:spacing w:line="420" w:lineRule="exact"/>
        <w:ind w:firstLine="212" w:firstLineChars="101"/>
        <w:rPr>
          <w:rFonts w:ascii="宋体" w:hAnsi="宋体" w:cs="宋体"/>
          <w:szCs w:val="21"/>
        </w:rPr>
      </w:pPr>
      <w:r>
        <w:rPr>
          <w:rFonts w:hint="eastAsia" w:ascii="宋体" w:hAnsi="宋体" w:cs="宋体"/>
          <w:szCs w:val="21"/>
        </w:rPr>
        <w:t>● 钢腐蚀率     ≤0.6mg/cm2</w:t>
      </w:r>
    </w:p>
    <w:p>
      <w:pPr>
        <w:snapToGrid w:val="0"/>
        <w:spacing w:line="420" w:lineRule="exact"/>
        <w:ind w:firstLine="212" w:firstLineChars="101"/>
        <w:rPr>
          <w:rFonts w:ascii="宋体" w:hAnsi="宋体" w:cs="宋体"/>
          <w:szCs w:val="21"/>
        </w:rPr>
      </w:pPr>
      <w:r>
        <w:rPr>
          <w:rFonts w:hint="eastAsia" w:ascii="宋体" w:hAnsi="宋体" w:cs="宋体"/>
          <w:szCs w:val="21"/>
        </w:rPr>
        <w:t xml:space="preserve">●  </w:t>
      </w:r>
      <w:r>
        <w:rPr>
          <w:rFonts w:hint="eastAsia" w:ascii="宋体" w:hAnsi="宋体" w:cs="宋体"/>
          <w:szCs w:val="21"/>
        </w:rPr>
        <w:softHyphen/>
      </w:r>
      <w:r>
        <w:rPr>
          <w:rFonts w:hint="eastAsia" w:ascii="宋体" w:hAnsi="宋体" w:cs="宋体"/>
          <w:szCs w:val="21"/>
        </w:rPr>
        <w:t>铜腐蚀率     ≤0.3mg/cm2</w:t>
      </w:r>
      <w:r>
        <w:rPr>
          <w:rFonts w:hint="eastAsia" w:ascii="宋体" w:hAnsi="宋体" w:cs="宋体"/>
          <w:szCs w:val="21"/>
        </w:rPr>
        <w:softHyphen/>
      </w:r>
      <w:r>
        <w:rPr>
          <w:rFonts w:hint="eastAsia" w:ascii="宋体" w:hAnsi="宋体" w:cs="宋体"/>
          <w:szCs w:val="21"/>
        </w:rPr>
        <w:softHyphen/>
      </w:r>
    </w:p>
    <w:p>
      <w:pPr>
        <w:snapToGrid w:val="0"/>
        <w:spacing w:line="420" w:lineRule="exact"/>
        <w:ind w:firstLine="212" w:firstLineChars="101"/>
        <w:rPr>
          <w:rFonts w:ascii="宋体" w:hAnsi="宋体" w:cs="宋体"/>
          <w:szCs w:val="21"/>
        </w:rPr>
      </w:pPr>
      <w:r>
        <w:rPr>
          <w:rFonts w:hint="eastAsia" w:ascii="宋体" w:hAnsi="宋体" w:cs="宋体"/>
          <w:szCs w:val="21"/>
        </w:rPr>
        <w:t>● 细 菌 数     ＜5</w:t>
      </w:r>
      <w:r>
        <w:rPr>
          <w:rFonts w:hint="eastAsia" w:ascii="宋体" w:hAnsi="宋体" w:cs="宋体"/>
          <w:szCs w:val="21"/>
        </w:rPr>
        <w:sym w:font="Wingdings 2" w:char="00CE"/>
      </w:r>
      <w:r>
        <w:rPr>
          <w:rFonts w:hint="eastAsia" w:ascii="宋体" w:hAnsi="宋体" w:cs="宋体"/>
          <w:szCs w:val="21"/>
        </w:rPr>
        <w:t>10</w:t>
      </w:r>
      <w:r>
        <w:rPr>
          <w:rFonts w:ascii="宋体" w:hAnsi="宋体" w:cs="宋体"/>
          <w:szCs w:val="21"/>
          <w:vertAlign w:val="superscript"/>
        </w:rPr>
        <w:t>5</w:t>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个/mL</w:t>
      </w:r>
    </w:p>
    <w:p>
      <w:pPr>
        <w:snapToGrid w:val="0"/>
        <w:spacing w:line="420" w:lineRule="exact"/>
        <w:rPr>
          <w:rFonts w:ascii="宋体" w:hAnsi="宋体" w:cs="宋体"/>
          <w:szCs w:val="21"/>
        </w:rPr>
      </w:pPr>
      <w:r>
        <w:rPr>
          <w:rFonts w:hint="eastAsia" w:ascii="宋体" w:hAnsi="宋体" w:cs="宋体"/>
          <w:szCs w:val="21"/>
        </w:rPr>
        <w:t xml:space="preserve">  5.3缓蚀效果</w:t>
      </w:r>
    </w:p>
    <w:p>
      <w:pPr>
        <w:snapToGrid w:val="0"/>
        <w:spacing w:line="420" w:lineRule="exact"/>
        <w:ind w:firstLine="142"/>
        <w:rPr>
          <w:rFonts w:ascii="宋体" w:hAnsi="宋体" w:cs="宋体"/>
          <w:szCs w:val="21"/>
        </w:rPr>
      </w:pPr>
      <w:r>
        <w:rPr>
          <w:rFonts w:hint="eastAsia" w:ascii="宋体" w:hAnsi="宋体" w:cs="宋体"/>
          <w:szCs w:val="21"/>
        </w:rPr>
        <w:t xml:space="preserve"> 5.3.1冷冻水：在冷冻系统无不正常泄漏的前提下，取冷冻水静态浸片，钢片、铜片外观无锈蚀现象。</w:t>
      </w:r>
    </w:p>
    <w:p>
      <w:pPr>
        <w:snapToGrid w:val="0"/>
        <w:spacing w:line="420" w:lineRule="exact"/>
        <w:ind w:left="284"/>
        <w:rPr>
          <w:rFonts w:ascii="宋体" w:hAnsi="宋体" w:cs="宋体"/>
          <w:szCs w:val="21"/>
        </w:rPr>
      </w:pPr>
      <w:r>
        <w:rPr>
          <w:rFonts w:hint="eastAsia" w:ascii="宋体" w:hAnsi="宋体" w:cs="宋体"/>
          <w:szCs w:val="21"/>
        </w:rPr>
        <w:t>5.3.2冷却水：</w:t>
      </w:r>
    </w:p>
    <w:p>
      <w:pPr>
        <w:snapToGrid w:val="0"/>
        <w:spacing w:line="420" w:lineRule="exact"/>
        <w:ind w:firstLine="212" w:firstLineChars="101"/>
        <w:rPr>
          <w:rFonts w:ascii="宋体" w:hAnsi="宋体" w:cs="宋体"/>
          <w:szCs w:val="21"/>
        </w:rPr>
      </w:pPr>
      <w:r>
        <w:rPr>
          <w:rFonts w:hint="eastAsia" w:ascii="宋体" w:hAnsi="宋体" w:cs="宋体"/>
          <w:szCs w:val="21"/>
        </w:rPr>
        <w:t>●停机湿保状态，取水样静态浸片，钢片、铜片外观无锈蚀现象；</w:t>
      </w:r>
    </w:p>
    <w:p>
      <w:pPr>
        <w:snapToGrid w:val="0"/>
        <w:spacing w:line="420" w:lineRule="exact"/>
        <w:ind w:firstLine="212" w:firstLineChars="101"/>
        <w:rPr>
          <w:rFonts w:ascii="宋体" w:hAnsi="宋体" w:cs="宋体"/>
          <w:szCs w:val="21"/>
        </w:rPr>
      </w:pPr>
      <w:r>
        <w:rPr>
          <w:rFonts w:hint="eastAsia" w:ascii="宋体" w:hAnsi="宋体" w:cs="宋体"/>
          <w:szCs w:val="21"/>
        </w:rPr>
        <w:t>●开机阶段，按中石化标准用旋转挂片仪测试钢腐蚀率、铜腐蚀率，其钢、铜腐蚀率达到国标要求：</w:t>
      </w:r>
    </w:p>
    <w:p>
      <w:pPr>
        <w:snapToGrid w:val="0"/>
        <w:spacing w:line="420" w:lineRule="exact"/>
        <w:ind w:left="600" w:firstLine="840"/>
        <w:rPr>
          <w:rFonts w:ascii="宋体" w:hAnsi="宋体" w:cs="宋体"/>
          <w:szCs w:val="21"/>
        </w:rPr>
      </w:pPr>
      <w:r>
        <w:rPr>
          <w:rFonts w:hint="eastAsia" w:ascii="宋体" w:hAnsi="宋体" w:cs="宋体"/>
          <w:szCs w:val="21"/>
        </w:rPr>
        <w:t>钢腐蚀率     ＜ 0.125mm/a</w:t>
      </w:r>
    </w:p>
    <w:p>
      <w:pPr>
        <w:snapToGrid w:val="0"/>
        <w:spacing w:line="420" w:lineRule="exact"/>
        <w:ind w:left="600" w:firstLine="840"/>
        <w:rPr>
          <w:rFonts w:ascii="宋体" w:hAnsi="宋体" w:cs="宋体"/>
          <w:szCs w:val="21"/>
        </w:rPr>
      </w:pPr>
      <w:r>
        <w:rPr>
          <w:rFonts w:hint="eastAsia" w:ascii="宋体" w:hAnsi="宋体" w:cs="宋体"/>
          <w:szCs w:val="21"/>
        </w:rPr>
        <w:t>铜腐蚀率     ＜ 0.005mm/a</w:t>
      </w:r>
    </w:p>
    <w:p>
      <w:pPr>
        <w:widowControl/>
        <w:jc w:val="left"/>
        <w:rPr>
          <w:rFonts w:ascii="宋体" w:hAnsi="宋体" w:cs="宋体"/>
          <w:szCs w:val="21"/>
        </w:rPr>
      </w:pPr>
    </w:p>
    <w:p>
      <w:pPr>
        <w:widowControl/>
        <w:jc w:val="left"/>
        <w:rPr>
          <w:rFonts w:ascii="宋体" w:hAnsi="宋体" w:cs="宋体"/>
          <w:szCs w:val="21"/>
        </w:rPr>
      </w:pPr>
    </w:p>
    <w:p>
      <w:pPr>
        <w:widowControl/>
        <w:jc w:val="left"/>
        <w:rPr>
          <w:rFonts w:hint="eastAsia" w:ascii="宋体" w:hAnsi="宋体" w:cs="宋体"/>
          <w:b/>
          <w:bCs/>
          <w:szCs w:val="21"/>
        </w:rPr>
      </w:pPr>
    </w:p>
    <w:p>
      <w:pPr>
        <w:widowControl/>
        <w:jc w:val="left"/>
        <w:rPr>
          <w:rFonts w:hint="eastAsia" w:ascii="宋体" w:hAnsi="宋体" w:cs="宋体"/>
          <w:b/>
          <w:bCs/>
          <w:szCs w:val="21"/>
        </w:rPr>
      </w:pPr>
    </w:p>
    <w:p>
      <w:pPr>
        <w:widowControl/>
        <w:jc w:val="left"/>
        <w:rPr>
          <w:rFonts w:ascii="宋体" w:hAnsi="宋体" w:cs="宋体"/>
          <w:b/>
          <w:bCs/>
          <w:szCs w:val="21"/>
        </w:rPr>
      </w:pPr>
      <w:r>
        <w:rPr>
          <w:rFonts w:hint="eastAsia" w:ascii="宋体" w:hAnsi="宋体" w:cs="宋体"/>
          <w:b/>
          <w:bCs/>
          <w:szCs w:val="21"/>
        </w:rPr>
        <w:t>附件2：考核评分表</w:t>
      </w:r>
    </w:p>
    <w:p>
      <w:pPr>
        <w:jc w:val="center"/>
        <w:rPr>
          <w:rFonts w:ascii="宋体" w:hAnsi="宋体" w:cs="宋体"/>
          <w:szCs w:val="21"/>
        </w:rPr>
      </w:pPr>
      <w:r>
        <w:rPr>
          <w:rFonts w:hint="eastAsia" w:ascii="宋体" w:hAnsi="宋体" w:cs="宋体"/>
          <w:szCs w:val="21"/>
        </w:rPr>
        <w:t>深圳会展中心中央空调水质处理服务考核评分表</w:t>
      </w:r>
    </w:p>
    <w:tbl>
      <w:tblPr>
        <w:tblStyle w:val="16"/>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153"/>
        <w:gridCol w:w="3827"/>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59" w:type="dxa"/>
            <w:vAlign w:val="center"/>
          </w:tcPr>
          <w:p>
            <w:pPr>
              <w:jc w:val="center"/>
              <w:rPr>
                <w:rFonts w:ascii="宋体" w:hAnsi="宋体" w:cs="宋体"/>
                <w:szCs w:val="21"/>
              </w:rPr>
            </w:pPr>
            <w:r>
              <w:rPr>
                <w:rFonts w:hint="eastAsia" w:ascii="宋体" w:hAnsi="宋体" w:cs="宋体"/>
                <w:szCs w:val="21"/>
              </w:rPr>
              <w:t>考核</w:t>
            </w:r>
          </w:p>
          <w:p>
            <w:pPr>
              <w:jc w:val="center"/>
              <w:rPr>
                <w:rFonts w:ascii="宋体" w:hAnsi="宋体" w:cs="宋体"/>
                <w:szCs w:val="21"/>
              </w:rPr>
            </w:pPr>
            <w:r>
              <w:rPr>
                <w:rFonts w:hint="eastAsia" w:ascii="宋体" w:hAnsi="宋体" w:cs="宋体"/>
                <w:szCs w:val="21"/>
              </w:rPr>
              <w:t>内容</w:t>
            </w:r>
          </w:p>
        </w:tc>
        <w:tc>
          <w:tcPr>
            <w:tcW w:w="709" w:type="dxa"/>
            <w:vAlign w:val="center"/>
          </w:tcPr>
          <w:p>
            <w:pPr>
              <w:jc w:val="center"/>
              <w:rPr>
                <w:rFonts w:ascii="宋体" w:hAnsi="宋体" w:cs="宋体"/>
                <w:szCs w:val="21"/>
              </w:rPr>
            </w:pPr>
            <w:r>
              <w:rPr>
                <w:rFonts w:hint="eastAsia" w:ascii="宋体" w:hAnsi="宋体" w:cs="宋体"/>
                <w:szCs w:val="21"/>
              </w:rPr>
              <w:t>分值</w:t>
            </w:r>
          </w:p>
        </w:tc>
        <w:tc>
          <w:tcPr>
            <w:tcW w:w="3153" w:type="dxa"/>
            <w:vAlign w:val="center"/>
          </w:tcPr>
          <w:p>
            <w:pPr>
              <w:jc w:val="center"/>
              <w:rPr>
                <w:rFonts w:ascii="宋体" w:hAnsi="宋体" w:cs="宋体"/>
                <w:szCs w:val="21"/>
              </w:rPr>
            </w:pPr>
            <w:r>
              <w:rPr>
                <w:rFonts w:hint="eastAsia" w:ascii="宋体" w:hAnsi="宋体" w:cs="宋体"/>
                <w:szCs w:val="21"/>
              </w:rPr>
              <w:t>评价标准</w:t>
            </w:r>
          </w:p>
        </w:tc>
        <w:tc>
          <w:tcPr>
            <w:tcW w:w="3827" w:type="dxa"/>
            <w:vAlign w:val="center"/>
          </w:tcPr>
          <w:p>
            <w:pPr>
              <w:jc w:val="center"/>
              <w:rPr>
                <w:rFonts w:ascii="宋体" w:hAnsi="宋体" w:cs="宋体"/>
                <w:szCs w:val="21"/>
              </w:rPr>
            </w:pPr>
            <w:r>
              <w:rPr>
                <w:rFonts w:hint="eastAsia" w:ascii="宋体" w:hAnsi="宋体" w:cs="宋体"/>
                <w:szCs w:val="21"/>
              </w:rPr>
              <w:t>扣分细则</w:t>
            </w:r>
          </w:p>
        </w:tc>
        <w:tc>
          <w:tcPr>
            <w:tcW w:w="425" w:type="dxa"/>
            <w:vAlign w:val="center"/>
          </w:tcPr>
          <w:p>
            <w:pPr>
              <w:jc w:val="center"/>
              <w:rPr>
                <w:rFonts w:ascii="宋体" w:hAnsi="宋体" w:cs="宋体"/>
                <w:szCs w:val="21"/>
              </w:rPr>
            </w:pPr>
            <w:r>
              <w:rPr>
                <w:rFonts w:hint="eastAsia" w:ascii="宋体" w:hAnsi="宋体" w:cs="宋体"/>
                <w:szCs w:val="21"/>
              </w:rPr>
              <w:t>扣分</w:t>
            </w:r>
          </w:p>
        </w:tc>
        <w:tc>
          <w:tcPr>
            <w:tcW w:w="425" w:type="dxa"/>
            <w:vAlign w:val="center"/>
          </w:tcPr>
          <w:p>
            <w:pPr>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宋体" w:hAnsi="宋体" w:cs="宋体"/>
                <w:szCs w:val="21"/>
              </w:rPr>
            </w:pPr>
            <w:r>
              <w:rPr>
                <w:rFonts w:hint="eastAsia" w:ascii="宋体" w:hAnsi="宋体" w:cs="宋体"/>
                <w:szCs w:val="21"/>
              </w:rPr>
              <w:t>安全生产</w:t>
            </w:r>
          </w:p>
        </w:tc>
        <w:tc>
          <w:tcPr>
            <w:tcW w:w="709" w:type="dxa"/>
            <w:vAlign w:val="center"/>
          </w:tcPr>
          <w:p>
            <w:pPr>
              <w:rPr>
                <w:rFonts w:ascii="宋体" w:hAnsi="宋体" w:cs="宋体"/>
                <w:szCs w:val="21"/>
              </w:rPr>
            </w:pPr>
          </w:p>
          <w:p>
            <w:pPr>
              <w:rPr>
                <w:rFonts w:ascii="宋体" w:hAnsi="宋体" w:cs="宋体"/>
                <w:szCs w:val="21"/>
              </w:rPr>
            </w:pPr>
            <w:r>
              <w:rPr>
                <w:rFonts w:hint="eastAsia" w:ascii="宋体" w:hAnsi="宋体" w:cs="宋体"/>
                <w:szCs w:val="21"/>
              </w:rPr>
              <w:t>30</w:t>
            </w:r>
          </w:p>
        </w:tc>
        <w:tc>
          <w:tcPr>
            <w:tcW w:w="3153" w:type="dxa"/>
            <w:vAlign w:val="center"/>
          </w:tcPr>
          <w:p>
            <w:pPr>
              <w:rPr>
                <w:rFonts w:ascii="宋体" w:hAnsi="宋体" w:cs="宋体"/>
                <w:szCs w:val="21"/>
              </w:rPr>
            </w:pPr>
            <w:r>
              <w:rPr>
                <w:rFonts w:hint="eastAsia" w:ascii="宋体" w:hAnsi="宋体" w:cs="宋体"/>
                <w:szCs w:val="21"/>
              </w:rPr>
              <w:t>年度中央水处理服务实现安全运行，无安全责任事故。</w:t>
            </w:r>
          </w:p>
        </w:tc>
        <w:tc>
          <w:tcPr>
            <w:tcW w:w="3827" w:type="dxa"/>
          </w:tcPr>
          <w:p>
            <w:pPr>
              <w:numPr>
                <w:ilvl w:val="0"/>
                <w:numId w:val="14"/>
              </w:numPr>
              <w:tabs>
                <w:tab w:val="left" w:pos="459"/>
              </w:tabs>
              <w:rPr>
                <w:rFonts w:ascii="宋体" w:hAnsi="宋体" w:cs="宋体"/>
                <w:szCs w:val="21"/>
              </w:rPr>
            </w:pPr>
            <w:r>
              <w:rPr>
                <w:rFonts w:hint="eastAsia" w:ascii="宋体" w:hAnsi="宋体" w:cs="宋体"/>
                <w:szCs w:val="21"/>
              </w:rPr>
              <w:t>违章操作，造成一般人身事故的，扣15分/次；</w:t>
            </w:r>
          </w:p>
          <w:p>
            <w:pPr>
              <w:numPr>
                <w:ilvl w:val="0"/>
                <w:numId w:val="14"/>
              </w:numPr>
              <w:tabs>
                <w:tab w:val="left" w:pos="459"/>
              </w:tabs>
              <w:rPr>
                <w:rFonts w:ascii="宋体" w:hAnsi="宋体" w:cs="宋体"/>
                <w:szCs w:val="21"/>
              </w:rPr>
            </w:pPr>
            <w:r>
              <w:rPr>
                <w:rFonts w:hint="eastAsia" w:ascii="宋体" w:hAnsi="宋体" w:cs="宋体"/>
                <w:szCs w:val="21"/>
              </w:rPr>
              <w:t>操作不当，人为造成设备事故，直接经济损失1000~5000元人民币的，扣15分/次；</w:t>
            </w:r>
          </w:p>
          <w:p>
            <w:pPr>
              <w:numPr>
                <w:ilvl w:val="0"/>
                <w:numId w:val="14"/>
              </w:numPr>
              <w:tabs>
                <w:tab w:val="left" w:pos="459"/>
              </w:tabs>
              <w:rPr>
                <w:rFonts w:ascii="宋体" w:hAnsi="宋体" w:cs="宋体"/>
                <w:szCs w:val="21"/>
              </w:rPr>
            </w:pPr>
            <w:r>
              <w:rPr>
                <w:rFonts w:hint="eastAsia" w:ascii="宋体" w:hAnsi="宋体" w:cs="宋体"/>
                <w:szCs w:val="21"/>
              </w:rPr>
              <w:t>操作不当或人为造成的设备事故，直接经济损失5000元或以上的、违章操作造成重大人身事故或发生2次一般人身事故的，不得分。</w:t>
            </w:r>
          </w:p>
        </w:tc>
        <w:tc>
          <w:tcPr>
            <w:tcW w:w="425" w:type="dxa"/>
          </w:tcPr>
          <w:p>
            <w:pPr>
              <w:rPr>
                <w:rFonts w:ascii="宋体" w:hAnsi="宋体" w:cs="宋体"/>
                <w:szCs w:val="21"/>
              </w:rPr>
            </w:pPr>
          </w:p>
        </w:tc>
        <w:tc>
          <w:tcPr>
            <w:tcW w:w="425"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59" w:type="dxa"/>
            <w:vAlign w:val="center"/>
          </w:tcPr>
          <w:p>
            <w:pPr>
              <w:jc w:val="center"/>
              <w:rPr>
                <w:rFonts w:ascii="宋体" w:hAnsi="宋体" w:cs="宋体"/>
                <w:szCs w:val="21"/>
              </w:rPr>
            </w:pPr>
            <w:r>
              <w:rPr>
                <w:rFonts w:hint="eastAsia" w:ascii="宋体" w:hAnsi="宋体" w:cs="宋体"/>
                <w:szCs w:val="21"/>
              </w:rPr>
              <w:t>预防性维修</w:t>
            </w:r>
          </w:p>
        </w:tc>
        <w:tc>
          <w:tcPr>
            <w:tcW w:w="709" w:type="dxa"/>
            <w:vAlign w:val="center"/>
          </w:tcPr>
          <w:p>
            <w:pPr>
              <w:rPr>
                <w:rFonts w:ascii="宋体" w:hAnsi="宋体" w:cs="宋体"/>
                <w:szCs w:val="21"/>
              </w:rPr>
            </w:pPr>
            <w:r>
              <w:rPr>
                <w:rFonts w:hint="eastAsia" w:ascii="宋体" w:hAnsi="宋体" w:cs="宋体"/>
                <w:szCs w:val="21"/>
              </w:rPr>
              <w:t>30</w:t>
            </w:r>
          </w:p>
        </w:tc>
        <w:tc>
          <w:tcPr>
            <w:tcW w:w="3153" w:type="dxa"/>
          </w:tcPr>
          <w:p>
            <w:pPr>
              <w:numPr>
                <w:ilvl w:val="0"/>
                <w:numId w:val="15"/>
              </w:numPr>
              <w:tabs>
                <w:tab w:val="left" w:pos="360"/>
              </w:tabs>
              <w:ind w:left="360" w:hanging="360"/>
              <w:rPr>
                <w:rFonts w:ascii="宋体" w:hAnsi="宋体" w:cs="宋体"/>
                <w:szCs w:val="21"/>
              </w:rPr>
            </w:pPr>
            <w:r>
              <w:rPr>
                <w:rFonts w:hint="eastAsia" w:ascii="宋体" w:hAnsi="宋体" w:cs="宋体"/>
                <w:szCs w:val="21"/>
              </w:rPr>
              <w:t>按月计划完成预防性服务工作。</w:t>
            </w:r>
          </w:p>
          <w:p>
            <w:pPr>
              <w:numPr>
                <w:ilvl w:val="0"/>
                <w:numId w:val="15"/>
              </w:numPr>
              <w:tabs>
                <w:tab w:val="left" w:pos="360"/>
              </w:tabs>
              <w:ind w:left="360" w:hanging="360"/>
              <w:rPr>
                <w:rFonts w:ascii="宋体" w:hAnsi="宋体" w:cs="宋体"/>
                <w:szCs w:val="21"/>
              </w:rPr>
            </w:pPr>
            <w:r>
              <w:rPr>
                <w:rFonts w:hint="eastAsia" w:ascii="宋体" w:hAnsi="宋体" w:cs="宋体"/>
                <w:szCs w:val="21"/>
              </w:rPr>
              <w:t>按照服务合同工作内容进行水质处理服务工作。</w:t>
            </w:r>
          </w:p>
          <w:p>
            <w:pPr>
              <w:numPr>
                <w:ilvl w:val="0"/>
                <w:numId w:val="15"/>
              </w:numPr>
              <w:tabs>
                <w:tab w:val="left" w:pos="360"/>
              </w:tabs>
              <w:ind w:left="360" w:hanging="360"/>
              <w:rPr>
                <w:rFonts w:ascii="宋体" w:hAnsi="宋体" w:cs="宋体"/>
                <w:szCs w:val="21"/>
              </w:rPr>
            </w:pPr>
            <w:r>
              <w:rPr>
                <w:rFonts w:hint="eastAsia" w:ascii="宋体" w:hAnsi="宋体" w:cs="宋体"/>
                <w:szCs w:val="21"/>
              </w:rPr>
              <w:t>完成工作后填写详细的工作记录。</w:t>
            </w:r>
          </w:p>
        </w:tc>
        <w:tc>
          <w:tcPr>
            <w:tcW w:w="3827" w:type="dxa"/>
            <w:vAlign w:val="center"/>
          </w:tcPr>
          <w:p>
            <w:pPr>
              <w:numPr>
                <w:ilvl w:val="0"/>
                <w:numId w:val="16"/>
              </w:numPr>
              <w:tabs>
                <w:tab w:val="left" w:pos="360"/>
              </w:tabs>
              <w:rPr>
                <w:rFonts w:ascii="宋体" w:hAnsi="宋体" w:cs="宋体"/>
                <w:szCs w:val="21"/>
              </w:rPr>
            </w:pPr>
            <w:r>
              <w:rPr>
                <w:rFonts w:hint="eastAsia" w:ascii="宋体" w:hAnsi="宋体" w:cs="宋体"/>
                <w:szCs w:val="21"/>
              </w:rPr>
              <w:t>未按月计划完成预防性维修，扣15分/次；</w:t>
            </w:r>
          </w:p>
          <w:p>
            <w:pPr>
              <w:numPr>
                <w:ilvl w:val="0"/>
                <w:numId w:val="16"/>
              </w:numPr>
              <w:tabs>
                <w:tab w:val="left" w:pos="360"/>
              </w:tabs>
              <w:rPr>
                <w:rFonts w:ascii="宋体" w:hAnsi="宋体" w:cs="宋体"/>
                <w:szCs w:val="21"/>
              </w:rPr>
            </w:pPr>
            <w:r>
              <w:rPr>
                <w:rFonts w:hint="eastAsia" w:ascii="宋体" w:hAnsi="宋体" w:cs="宋体"/>
                <w:szCs w:val="21"/>
              </w:rPr>
              <w:t>未按照合同工作内容完成服务工作；  扣15分/次；</w:t>
            </w:r>
          </w:p>
          <w:p>
            <w:pPr>
              <w:numPr>
                <w:ilvl w:val="0"/>
                <w:numId w:val="16"/>
              </w:numPr>
              <w:tabs>
                <w:tab w:val="left" w:pos="360"/>
              </w:tabs>
              <w:rPr>
                <w:rFonts w:ascii="宋体" w:hAnsi="宋体" w:cs="宋体"/>
                <w:szCs w:val="21"/>
              </w:rPr>
            </w:pPr>
            <w:r>
              <w:rPr>
                <w:rFonts w:hint="eastAsia" w:ascii="宋体" w:hAnsi="宋体" w:cs="宋体"/>
                <w:szCs w:val="21"/>
              </w:rPr>
              <w:t>工作记录未填写或者填写不清晰的，扣5分/次；</w:t>
            </w:r>
          </w:p>
        </w:tc>
        <w:tc>
          <w:tcPr>
            <w:tcW w:w="425" w:type="dxa"/>
          </w:tcPr>
          <w:p>
            <w:pPr>
              <w:jc w:val="center"/>
              <w:rPr>
                <w:rFonts w:ascii="宋体" w:hAnsi="宋体" w:cs="宋体"/>
                <w:szCs w:val="21"/>
              </w:rPr>
            </w:pPr>
          </w:p>
        </w:tc>
        <w:tc>
          <w:tcPr>
            <w:tcW w:w="425"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59" w:type="dxa"/>
            <w:vAlign w:val="center"/>
          </w:tcPr>
          <w:p>
            <w:pPr>
              <w:jc w:val="center"/>
              <w:rPr>
                <w:rFonts w:ascii="宋体" w:hAnsi="宋体" w:cs="宋体"/>
                <w:szCs w:val="21"/>
              </w:rPr>
            </w:pPr>
            <w:r>
              <w:rPr>
                <w:rFonts w:hint="eastAsia" w:ascii="宋体" w:hAnsi="宋体" w:cs="宋体"/>
                <w:szCs w:val="21"/>
              </w:rPr>
              <w:t>故障性维修</w:t>
            </w:r>
          </w:p>
        </w:tc>
        <w:tc>
          <w:tcPr>
            <w:tcW w:w="709" w:type="dxa"/>
            <w:vAlign w:val="center"/>
          </w:tcPr>
          <w:p>
            <w:pPr>
              <w:rPr>
                <w:rFonts w:ascii="宋体" w:hAnsi="宋体" w:cs="宋体"/>
                <w:szCs w:val="21"/>
              </w:rPr>
            </w:pPr>
            <w:r>
              <w:rPr>
                <w:rFonts w:hint="eastAsia" w:ascii="宋体" w:hAnsi="宋体" w:cs="宋体"/>
                <w:szCs w:val="21"/>
              </w:rPr>
              <w:t>10</w:t>
            </w:r>
          </w:p>
        </w:tc>
        <w:tc>
          <w:tcPr>
            <w:tcW w:w="3153" w:type="dxa"/>
          </w:tcPr>
          <w:p>
            <w:pPr>
              <w:tabs>
                <w:tab w:val="left" w:pos="420"/>
              </w:tabs>
              <w:rPr>
                <w:rFonts w:ascii="宋体" w:hAnsi="宋体" w:cs="宋体"/>
                <w:szCs w:val="21"/>
              </w:rPr>
            </w:pPr>
            <w:r>
              <w:rPr>
                <w:rFonts w:hint="eastAsia" w:ascii="宋体" w:hAnsi="宋体" w:cs="宋体"/>
                <w:szCs w:val="21"/>
              </w:rPr>
              <w:t>发生故障时，乙方接到通知后，正常工作时间2小时响应，4小时到达现场。</w:t>
            </w:r>
          </w:p>
        </w:tc>
        <w:tc>
          <w:tcPr>
            <w:tcW w:w="3827" w:type="dxa"/>
            <w:vAlign w:val="center"/>
          </w:tcPr>
          <w:p>
            <w:pPr>
              <w:numPr>
                <w:ilvl w:val="0"/>
                <w:numId w:val="17"/>
              </w:numPr>
              <w:tabs>
                <w:tab w:val="left" w:pos="420"/>
              </w:tabs>
            </w:pPr>
            <w:r>
              <w:rPr>
                <w:rFonts w:hint="eastAsia"/>
              </w:rPr>
              <w:t>2小时内未响应10分/次；</w:t>
            </w:r>
          </w:p>
          <w:p>
            <w:pPr>
              <w:numPr>
                <w:ilvl w:val="0"/>
                <w:numId w:val="17"/>
              </w:numPr>
              <w:tabs>
                <w:tab w:val="left" w:pos="420"/>
              </w:tabs>
            </w:pPr>
            <w:r>
              <w:rPr>
                <w:rFonts w:hint="eastAsia"/>
              </w:rPr>
              <w:t>4小时内未赶到故障现场扣10分/次；</w:t>
            </w:r>
          </w:p>
          <w:p>
            <w:pPr>
              <w:numPr>
                <w:ilvl w:val="0"/>
                <w:numId w:val="17"/>
              </w:numPr>
              <w:tabs>
                <w:tab w:val="left" w:pos="420"/>
              </w:tabs>
            </w:pPr>
            <w:r>
              <w:rPr>
                <w:rFonts w:hint="eastAsia" w:ascii="宋体" w:hAnsi="宋体" w:cs="宋体"/>
                <w:szCs w:val="21"/>
              </w:rPr>
              <w:t>可累计扣分。</w:t>
            </w:r>
          </w:p>
        </w:tc>
        <w:tc>
          <w:tcPr>
            <w:tcW w:w="425" w:type="dxa"/>
          </w:tcPr>
          <w:p>
            <w:pPr>
              <w:jc w:val="center"/>
              <w:rPr>
                <w:rFonts w:ascii="宋体" w:hAnsi="宋体" w:cs="宋体"/>
                <w:szCs w:val="21"/>
              </w:rPr>
            </w:pPr>
          </w:p>
        </w:tc>
        <w:tc>
          <w:tcPr>
            <w:tcW w:w="425"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59" w:type="dxa"/>
            <w:vAlign w:val="center"/>
          </w:tcPr>
          <w:p>
            <w:pPr>
              <w:jc w:val="center"/>
              <w:rPr>
                <w:rFonts w:ascii="宋体" w:hAnsi="宋体" w:cs="宋体"/>
                <w:szCs w:val="21"/>
              </w:rPr>
            </w:pPr>
            <w:r>
              <w:rPr>
                <w:rFonts w:hint="eastAsia" w:ascii="宋体" w:hAnsi="宋体" w:cs="宋体"/>
                <w:szCs w:val="21"/>
              </w:rPr>
              <w:t>抽检情况</w:t>
            </w:r>
          </w:p>
        </w:tc>
        <w:tc>
          <w:tcPr>
            <w:tcW w:w="709" w:type="dxa"/>
            <w:vAlign w:val="center"/>
          </w:tcPr>
          <w:p>
            <w:pPr>
              <w:rPr>
                <w:rFonts w:ascii="宋体" w:hAnsi="宋体" w:cs="宋体"/>
                <w:szCs w:val="21"/>
              </w:rPr>
            </w:pPr>
            <w:r>
              <w:rPr>
                <w:rFonts w:hint="eastAsia" w:ascii="宋体" w:hAnsi="宋体" w:cs="宋体"/>
                <w:szCs w:val="21"/>
              </w:rPr>
              <w:t>30</w:t>
            </w:r>
          </w:p>
        </w:tc>
        <w:tc>
          <w:tcPr>
            <w:tcW w:w="3153" w:type="dxa"/>
          </w:tcPr>
          <w:p>
            <w:pPr>
              <w:pStyle w:val="24"/>
              <w:numPr>
                <w:ilvl w:val="0"/>
                <w:numId w:val="18"/>
              </w:numPr>
              <w:tabs>
                <w:tab w:val="left" w:pos="0"/>
                <w:tab w:val="left" w:pos="720"/>
              </w:tabs>
              <w:ind w:firstLineChars="0"/>
              <w:rPr>
                <w:rFonts w:ascii="宋体" w:hAnsi="宋体" w:eastAsia="宋体" w:cs="宋体"/>
                <w:szCs w:val="21"/>
              </w:rPr>
            </w:pPr>
            <w:r>
              <w:rPr>
                <w:rFonts w:hint="eastAsia" w:ascii="宋体" w:hAnsi="宋体" w:eastAsia="宋体" w:cs="宋体"/>
                <w:szCs w:val="21"/>
              </w:rPr>
              <w:t>妥善储存放置在甲方机房内的水质处理用的药剂。</w:t>
            </w:r>
          </w:p>
          <w:p>
            <w:pPr>
              <w:pStyle w:val="24"/>
              <w:numPr>
                <w:ilvl w:val="0"/>
                <w:numId w:val="18"/>
              </w:numPr>
              <w:tabs>
                <w:tab w:val="left" w:pos="0"/>
                <w:tab w:val="left" w:pos="720"/>
              </w:tabs>
              <w:ind w:firstLineChars="0"/>
              <w:rPr>
                <w:rFonts w:ascii="宋体" w:hAnsi="宋体" w:eastAsia="宋体" w:cs="宋体"/>
                <w:szCs w:val="21"/>
              </w:rPr>
            </w:pPr>
            <w:r>
              <w:rPr>
                <w:rFonts w:hint="eastAsia" w:ascii="宋体" w:hAnsi="宋体" w:eastAsia="宋体" w:cs="宋体"/>
                <w:szCs w:val="21"/>
              </w:rPr>
              <w:t>冷冻水、冷却水的排水阀做好温馨提示。</w:t>
            </w:r>
          </w:p>
          <w:p>
            <w:pPr>
              <w:pStyle w:val="24"/>
              <w:numPr>
                <w:ilvl w:val="0"/>
                <w:numId w:val="18"/>
              </w:numPr>
              <w:tabs>
                <w:tab w:val="left" w:pos="0"/>
                <w:tab w:val="left" w:pos="720"/>
              </w:tabs>
              <w:ind w:firstLineChars="0"/>
              <w:rPr>
                <w:rFonts w:ascii="宋体" w:hAnsi="宋体" w:eastAsia="宋体" w:cs="宋体"/>
                <w:szCs w:val="21"/>
              </w:rPr>
            </w:pPr>
            <w:r>
              <w:rPr>
                <w:rFonts w:hint="eastAsia" w:ascii="宋体" w:hAnsi="宋体" w:eastAsia="宋体" w:cs="宋体"/>
                <w:szCs w:val="21"/>
              </w:rPr>
              <w:t>水质处理达标。</w:t>
            </w:r>
          </w:p>
          <w:p>
            <w:pPr>
              <w:numPr>
                <w:ilvl w:val="0"/>
                <w:numId w:val="18"/>
              </w:numPr>
              <w:tabs>
                <w:tab w:val="left" w:pos="420"/>
                <w:tab w:val="left" w:pos="720"/>
              </w:tabs>
              <w:rPr>
                <w:rFonts w:ascii="宋体" w:hAnsi="宋体" w:cs="宋体"/>
                <w:szCs w:val="21"/>
              </w:rPr>
            </w:pPr>
            <w:r>
              <w:rPr>
                <w:rFonts w:hint="eastAsia" w:ascii="宋体" w:hAnsi="宋体" w:cs="宋体"/>
                <w:szCs w:val="21"/>
              </w:rPr>
              <w:t>工作场地清洁，无杂物。</w:t>
            </w:r>
          </w:p>
        </w:tc>
        <w:tc>
          <w:tcPr>
            <w:tcW w:w="3827" w:type="dxa"/>
            <w:vAlign w:val="center"/>
          </w:tcPr>
          <w:p>
            <w:pPr>
              <w:numPr>
                <w:ilvl w:val="0"/>
                <w:numId w:val="19"/>
              </w:numPr>
              <w:rPr>
                <w:rFonts w:ascii="宋体" w:hAnsi="宋体" w:cs="宋体"/>
                <w:szCs w:val="21"/>
              </w:rPr>
            </w:pPr>
            <w:r>
              <w:rPr>
                <w:rFonts w:hint="eastAsia" w:ascii="宋体" w:hAnsi="宋体" w:cs="宋体"/>
                <w:szCs w:val="21"/>
              </w:rPr>
              <w:t>未妥善储存放置在甲方机房内的水质处理用的药剂扣10分；</w:t>
            </w:r>
          </w:p>
          <w:p>
            <w:pPr>
              <w:numPr>
                <w:ilvl w:val="0"/>
                <w:numId w:val="19"/>
              </w:numPr>
              <w:rPr>
                <w:rFonts w:ascii="宋体" w:hAnsi="宋体" w:cs="宋体"/>
                <w:szCs w:val="21"/>
              </w:rPr>
            </w:pPr>
            <w:r>
              <w:rPr>
                <w:rFonts w:hint="eastAsia" w:ascii="宋体" w:hAnsi="宋体" w:cs="宋体"/>
                <w:szCs w:val="21"/>
              </w:rPr>
              <w:t>冷冻水、冷却水的排水阀未做温馨提示扣</w:t>
            </w:r>
            <w:r>
              <w:rPr>
                <w:rFonts w:ascii="宋体" w:hAnsi="宋体" w:cs="宋体"/>
                <w:szCs w:val="21"/>
              </w:rPr>
              <w:t>10</w:t>
            </w:r>
            <w:r>
              <w:rPr>
                <w:rFonts w:hint="eastAsia" w:ascii="宋体" w:hAnsi="宋体" w:cs="宋体"/>
                <w:szCs w:val="21"/>
              </w:rPr>
              <w:t>分</w:t>
            </w:r>
          </w:p>
          <w:p>
            <w:pPr>
              <w:numPr>
                <w:ilvl w:val="0"/>
                <w:numId w:val="19"/>
              </w:numPr>
              <w:rPr>
                <w:rFonts w:ascii="宋体" w:hAnsi="宋体" w:cs="宋体"/>
                <w:szCs w:val="21"/>
              </w:rPr>
            </w:pPr>
            <w:r>
              <w:rPr>
                <w:rFonts w:hint="eastAsia" w:ascii="宋体" w:hAnsi="宋体" w:cs="宋体"/>
                <w:szCs w:val="21"/>
              </w:rPr>
              <w:t>水质处理不达标每项扣10分；</w:t>
            </w:r>
          </w:p>
          <w:p>
            <w:pPr>
              <w:numPr>
                <w:ilvl w:val="0"/>
                <w:numId w:val="19"/>
              </w:numPr>
              <w:rPr>
                <w:rFonts w:ascii="宋体" w:hAnsi="宋体" w:cs="宋体"/>
                <w:szCs w:val="21"/>
              </w:rPr>
            </w:pPr>
            <w:r>
              <w:rPr>
                <w:rFonts w:hint="eastAsia" w:ascii="宋体" w:hAnsi="宋体" w:cs="宋体"/>
                <w:szCs w:val="21"/>
              </w:rPr>
              <w:t>工作场地脏乱，每处扣10分（一个机房算一处）。</w:t>
            </w:r>
          </w:p>
        </w:tc>
        <w:tc>
          <w:tcPr>
            <w:tcW w:w="425" w:type="dxa"/>
          </w:tcPr>
          <w:p>
            <w:pPr>
              <w:jc w:val="center"/>
              <w:rPr>
                <w:rFonts w:ascii="宋体" w:hAnsi="宋体" w:cs="宋体"/>
                <w:szCs w:val="21"/>
              </w:rPr>
            </w:pPr>
          </w:p>
        </w:tc>
        <w:tc>
          <w:tcPr>
            <w:tcW w:w="425"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vAlign w:val="center"/>
          </w:tcPr>
          <w:p>
            <w:pPr>
              <w:jc w:val="center"/>
              <w:rPr>
                <w:rFonts w:ascii="宋体" w:hAnsi="宋体" w:cs="宋体"/>
                <w:szCs w:val="21"/>
              </w:rPr>
            </w:pPr>
            <w:r>
              <w:rPr>
                <w:rFonts w:hint="eastAsia" w:ascii="宋体" w:hAnsi="宋体" w:cs="宋体"/>
                <w:szCs w:val="21"/>
              </w:rPr>
              <w:t>合计</w:t>
            </w:r>
          </w:p>
        </w:tc>
        <w:tc>
          <w:tcPr>
            <w:tcW w:w="709" w:type="dxa"/>
          </w:tcPr>
          <w:p>
            <w:pPr>
              <w:jc w:val="center"/>
              <w:rPr>
                <w:rFonts w:ascii="宋体" w:hAnsi="宋体" w:cs="宋体"/>
                <w:szCs w:val="21"/>
              </w:rPr>
            </w:pPr>
            <w:r>
              <w:rPr>
                <w:rFonts w:hint="eastAsia" w:ascii="宋体" w:hAnsi="宋体" w:cs="宋体"/>
                <w:szCs w:val="21"/>
              </w:rPr>
              <w:t>100</w:t>
            </w:r>
          </w:p>
        </w:tc>
        <w:tc>
          <w:tcPr>
            <w:tcW w:w="3153" w:type="dxa"/>
          </w:tcPr>
          <w:p>
            <w:pPr>
              <w:jc w:val="center"/>
              <w:rPr>
                <w:rFonts w:ascii="宋体" w:hAnsi="宋体" w:cs="宋体"/>
                <w:szCs w:val="21"/>
              </w:rPr>
            </w:pPr>
          </w:p>
        </w:tc>
        <w:tc>
          <w:tcPr>
            <w:tcW w:w="3827" w:type="dxa"/>
          </w:tcPr>
          <w:p>
            <w:pPr>
              <w:jc w:val="center"/>
              <w:rPr>
                <w:rFonts w:ascii="宋体" w:hAnsi="宋体" w:cs="宋体"/>
                <w:szCs w:val="21"/>
              </w:rPr>
            </w:pPr>
          </w:p>
        </w:tc>
        <w:tc>
          <w:tcPr>
            <w:tcW w:w="425" w:type="dxa"/>
          </w:tcPr>
          <w:p>
            <w:pPr>
              <w:jc w:val="center"/>
              <w:rPr>
                <w:rFonts w:ascii="宋体" w:hAnsi="宋体" w:cs="宋体"/>
                <w:szCs w:val="21"/>
              </w:rPr>
            </w:pPr>
          </w:p>
        </w:tc>
        <w:tc>
          <w:tcPr>
            <w:tcW w:w="425"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98" w:type="dxa"/>
            <w:gridSpan w:val="6"/>
            <w:vAlign w:val="center"/>
          </w:tcPr>
          <w:p>
            <w:pPr>
              <w:jc w:val="left"/>
              <w:rPr>
                <w:rFonts w:ascii="宋体" w:hAnsi="宋体" w:cs="宋体"/>
                <w:szCs w:val="21"/>
              </w:rPr>
            </w:pPr>
            <w:r>
              <w:rPr>
                <w:rFonts w:hint="eastAsia" w:ascii="宋体" w:hAnsi="宋体" w:cs="宋体"/>
                <w:szCs w:val="21"/>
              </w:rPr>
              <w:t>说明：总分80分及以上为优良，继续履行合同；80分以下甲方有权在合同期第一年届满时提前终止合同。</w:t>
            </w:r>
          </w:p>
        </w:tc>
      </w:tr>
    </w:tbl>
    <w:p>
      <w:pPr>
        <w:rPr>
          <w:rFonts w:ascii="宋体" w:hAnsi="宋体" w:cs="宋体"/>
          <w:szCs w:val="21"/>
        </w:rPr>
      </w:pPr>
    </w:p>
    <w:p>
      <w:pPr>
        <w:widowControl/>
        <w:jc w:val="left"/>
        <w:rPr>
          <w:rFonts w:ascii="宋体" w:hAnsi="宋体" w:cs="宋体"/>
          <w:szCs w:val="21"/>
        </w:rPr>
      </w:pPr>
      <w:r>
        <w:rPr>
          <w:rFonts w:hint="eastAsia" w:ascii="宋体" w:hAnsi="宋体" w:cs="宋体"/>
          <w:szCs w:val="21"/>
        </w:rPr>
        <w:t xml:space="preserve">考评人：                           日  期：    年  月  日        </w:t>
      </w:r>
      <w:r>
        <w:rPr>
          <w:rFonts w:hint="eastAsia" w:ascii="宋体" w:hAnsi="宋体" w:cs="宋体"/>
          <w:szCs w:val="21"/>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4"/>
        <w:numPr>
          <w:ilvl w:val="0"/>
          <w:numId w:val="2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2"/>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color w:val="auto"/>
              </w:rPr>
            </w:pPr>
            <w:r>
              <w:rPr>
                <w:rFonts w:hint="eastAsia"/>
                <w:color w:val="auto"/>
              </w:rPr>
              <w:t>投标人是否提供以下证明文件：</w:t>
            </w:r>
          </w:p>
          <w:p>
            <w:pPr>
              <w:numPr>
                <w:ilvl w:val="0"/>
                <w:numId w:val="23"/>
              </w:numPr>
              <w:spacing w:line="360" w:lineRule="auto"/>
              <w:ind w:left="425" w:leftChars="0" w:hanging="425" w:firstLineChars="0"/>
              <w:rPr>
                <w:rFonts w:hint="eastAsia"/>
                <w:color w:val="auto"/>
              </w:rPr>
            </w:pPr>
            <w:r>
              <w:rPr>
                <w:rFonts w:hint="eastAsia"/>
                <w:color w:val="auto"/>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3"/>
              </w:numPr>
              <w:spacing w:line="360" w:lineRule="auto"/>
              <w:ind w:left="425" w:leftChars="0" w:hanging="425" w:firstLineChars="0"/>
              <w:rPr>
                <w:rFonts w:hint="eastAsia"/>
                <w:color w:val="auto"/>
              </w:rPr>
            </w:pPr>
            <w:r>
              <w:rPr>
                <w:rFonts w:hint="eastAsia"/>
                <w:color w:val="auto"/>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23"/>
              </w:numPr>
              <w:spacing w:line="360" w:lineRule="auto"/>
              <w:ind w:left="425" w:leftChars="0" w:hanging="425" w:firstLineChars="0"/>
              <w:rPr>
                <w:rFonts w:hint="eastAsia"/>
                <w:color w:val="auto"/>
              </w:rPr>
            </w:pPr>
            <w:r>
              <w:rPr>
                <w:rFonts w:hint="eastAsia"/>
                <w:color w:val="auto"/>
              </w:rPr>
              <w:t>投标人须提供2020年1月至本项目采购公告发布日所签订的中央空调系统水质处理类的业绩合同。（须提供相应合同关键页复印件并加盖公章，提供业绩清单并汇总业绩金额）。</w:t>
            </w:r>
          </w:p>
          <w:p>
            <w:pPr>
              <w:numPr>
                <w:ilvl w:val="0"/>
                <w:numId w:val="23"/>
              </w:numPr>
              <w:spacing w:line="360" w:lineRule="auto"/>
              <w:ind w:left="425" w:leftChars="0" w:hanging="425" w:firstLineChars="0"/>
              <w:rPr>
                <w:color w:val="auto"/>
              </w:rPr>
            </w:pPr>
            <w:r>
              <w:rPr>
                <w:rFonts w:hint="eastAsia"/>
                <w:color w:val="auto"/>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本项目报价是否高于46.05</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22"/>
        </w:numPr>
        <w:spacing w:before="156" w:beforeLines="50"/>
        <w:jc w:val="left"/>
        <w:outlineLvl w:val="2"/>
        <w:rPr>
          <w:rStyle w:val="31"/>
          <w:rFonts w:ascii="宋体" w:hAnsi="宋体"/>
          <w:b/>
          <w:bCs/>
          <w:szCs w:val="21"/>
        </w:rPr>
      </w:pPr>
      <w:bookmarkStart w:id="53" w:name="_Toc116550356"/>
      <w:bookmarkStart w:id="54" w:name="_Toc114675512"/>
      <w:r>
        <w:rPr>
          <w:rStyle w:val="31"/>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2"/>
        </w:numPr>
        <w:spacing w:before="156" w:beforeLines="50"/>
        <w:jc w:val="left"/>
        <w:outlineLvl w:val="2"/>
        <w:rPr>
          <w:rFonts w:ascii="宋体" w:hAnsi="宋体"/>
          <w:b/>
          <w:bCs/>
          <w:szCs w:val="21"/>
        </w:rPr>
      </w:pPr>
      <w:bookmarkStart w:id="55" w:name="_Toc114675513"/>
      <w:bookmarkStart w:id="56" w:name="_Toc116550357"/>
      <w:r>
        <w:rPr>
          <w:rStyle w:val="31"/>
          <w:rFonts w:hint="eastAsia" w:ascii="宋体" w:hAnsi="宋体"/>
          <w:b/>
          <w:bCs/>
          <w:szCs w:val="21"/>
        </w:rPr>
        <w:t>综合评议指标表</w:t>
      </w:r>
      <w:bookmarkEnd w:id="55"/>
      <w:bookmarkEnd w:id="56"/>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商务评议项（35分）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zCs w:val="21"/>
                <w:highlight w:val="none"/>
              </w:rPr>
            </w:pPr>
            <w:r>
              <w:rPr>
                <w:rFonts w:hint="eastAsia" w:ascii="宋体" w:hAnsi="宋体"/>
                <w:color w:val="auto"/>
                <w:spacing w:val="-5"/>
                <w:kern w:val="0"/>
                <w:szCs w:val="21"/>
                <w:highlight w:val="none"/>
              </w:rPr>
              <w:t>公司资质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13分</w:t>
            </w:r>
          </w:p>
        </w:tc>
        <w:tc>
          <w:tcPr>
            <w:tcW w:w="6804" w:type="dxa"/>
            <w:gridSpan w:val="2"/>
            <w:tcBorders>
              <w:tl2br w:val="nil"/>
              <w:tr2bl w:val="nil"/>
            </w:tcBorders>
            <w:tcMar>
              <w:top w:w="15" w:type="dxa"/>
              <w:left w:w="15" w:type="dxa"/>
              <w:bottom w:w="15" w:type="dxa"/>
              <w:right w:w="15" w:type="dxa"/>
            </w:tcMar>
            <w:vAlign w:val="center"/>
          </w:tcPr>
          <w:p>
            <w:pPr>
              <w:pStyle w:val="15"/>
              <w:numPr>
                <w:ilvl w:val="0"/>
                <w:numId w:val="25"/>
              </w:numPr>
              <w:ind w:leftChars="0" w:firstLineChars="0"/>
              <w:rPr>
                <w:rFonts w:ascii="宋体" w:hAnsi="宋体"/>
                <w:color w:val="auto"/>
                <w:spacing w:val="-5"/>
                <w:kern w:val="0"/>
                <w:szCs w:val="21"/>
                <w:highlight w:val="none"/>
              </w:rPr>
            </w:pPr>
            <w:r>
              <w:rPr>
                <w:rFonts w:hint="eastAsia" w:ascii="宋体" w:hAnsi="宋体"/>
                <w:color w:val="auto"/>
                <w:spacing w:val="-5"/>
                <w:kern w:val="0"/>
                <w:szCs w:val="21"/>
                <w:highlight w:val="none"/>
                <w:lang w:val="zh-CN"/>
              </w:rPr>
              <w:t>投标人</w:t>
            </w:r>
            <w:r>
              <w:rPr>
                <w:rFonts w:hint="eastAsia" w:ascii="宋体" w:hAnsi="宋体"/>
                <w:color w:val="auto"/>
                <w:spacing w:val="-5"/>
                <w:kern w:val="0"/>
                <w:szCs w:val="21"/>
                <w:highlight w:val="none"/>
              </w:rPr>
              <w:t>具有“服务质量评价体系认证证书”</w:t>
            </w:r>
            <w:r>
              <w:rPr>
                <w:rFonts w:hint="eastAsia" w:ascii="宋体" w:hAnsi="宋体"/>
                <w:color w:val="auto"/>
                <w:spacing w:val="-5"/>
                <w:kern w:val="0"/>
                <w:szCs w:val="21"/>
                <w:highlight w:val="none"/>
                <w:lang w:eastAsia="zh-CN"/>
              </w:rPr>
              <w:t>或</w:t>
            </w:r>
            <w:r>
              <w:rPr>
                <w:rFonts w:hint="eastAsia" w:ascii="宋体" w:hAnsi="宋体"/>
                <w:color w:val="auto"/>
                <w:spacing w:val="-5"/>
                <w:kern w:val="0"/>
                <w:szCs w:val="21"/>
                <w:highlight w:val="none"/>
              </w:rPr>
              <w:t>IS</w:t>
            </w:r>
            <w:r>
              <w:rPr>
                <w:rFonts w:hint="eastAsia" w:ascii="宋体" w:hAnsi="宋体"/>
                <w:color w:val="auto"/>
                <w:spacing w:val="-5"/>
                <w:kern w:val="0"/>
                <w:szCs w:val="21"/>
                <w:highlight w:val="none"/>
                <w:lang w:val="en-US" w:eastAsia="zh-CN"/>
              </w:rPr>
              <w:t xml:space="preserve">O </w:t>
            </w:r>
            <w:r>
              <w:rPr>
                <w:rFonts w:hint="eastAsia" w:ascii="宋体" w:hAnsi="宋体"/>
                <w:color w:val="auto"/>
                <w:spacing w:val="-5"/>
                <w:kern w:val="0"/>
                <w:szCs w:val="21"/>
                <w:highlight w:val="none"/>
              </w:rPr>
              <w:t>9001质量管理体系认证证书得</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rPr>
              <w:t>分；（提供证书复印件加盖</w:t>
            </w:r>
            <w:r>
              <w:rPr>
                <w:rFonts w:hint="eastAsia" w:ascii="宋体" w:hAnsi="宋体"/>
                <w:color w:val="auto"/>
                <w:spacing w:val="-5"/>
                <w:kern w:val="0"/>
                <w:szCs w:val="21"/>
                <w:highlight w:val="none"/>
                <w:lang w:val="en-US" w:eastAsia="zh-CN"/>
              </w:rPr>
              <w:t>投标人</w:t>
            </w:r>
            <w:r>
              <w:rPr>
                <w:rFonts w:hint="eastAsia" w:ascii="宋体" w:hAnsi="宋体"/>
                <w:color w:val="auto"/>
                <w:spacing w:val="-5"/>
                <w:kern w:val="0"/>
                <w:szCs w:val="21"/>
                <w:highlight w:val="none"/>
              </w:rPr>
              <w:t>公章）</w:t>
            </w:r>
          </w:p>
          <w:p>
            <w:pPr>
              <w:pStyle w:val="15"/>
              <w:numPr>
                <w:ilvl w:val="0"/>
                <w:numId w:val="25"/>
              </w:numPr>
              <w:tabs>
                <w:tab w:val="left" w:pos="531"/>
              </w:tabs>
              <w:snapToGrid w:val="0"/>
              <w:ind w:leftChars="0" w:firstLineChars="0"/>
              <w:rPr>
                <w:rFonts w:ascii="宋体" w:hAnsi="宋体"/>
                <w:color w:val="auto"/>
                <w:spacing w:val="-5"/>
                <w:kern w:val="0"/>
                <w:szCs w:val="21"/>
                <w:highlight w:val="none"/>
              </w:rPr>
            </w:pPr>
            <w:r>
              <w:rPr>
                <w:rFonts w:hint="eastAsia" w:ascii="宋体" w:hAnsi="宋体"/>
                <w:color w:val="auto"/>
                <w:spacing w:val="-5"/>
                <w:kern w:val="0"/>
                <w:szCs w:val="21"/>
                <w:highlight w:val="none"/>
              </w:rPr>
              <w:t>投标人具有</w:t>
            </w:r>
            <w:r>
              <w:rPr>
                <w:rFonts w:hint="eastAsia" w:ascii="宋体" w:hAnsi="宋体"/>
                <w:color w:val="auto"/>
                <w:spacing w:val="-5"/>
                <w:kern w:val="0"/>
                <w:szCs w:val="21"/>
                <w:highlight w:val="none"/>
                <w:lang w:val="en-US" w:eastAsia="zh-CN"/>
              </w:rPr>
              <w:t>有效</w:t>
            </w:r>
            <w:r>
              <w:rPr>
                <w:rFonts w:hint="eastAsia" w:ascii="宋体" w:hAnsi="宋体"/>
                <w:color w:val="auto"/>
                <w:spacing w:val="-5"/>
                <w:kern w:val="0"/>
                <w:szCs w:val="21"/>
                <w:highlight w:val="none"/>
              </w:rPr>
              <w:t>安全生产许可证得</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rPr>
              <w:t>分（提供证书复印件加盖</w:t>
            </w:r>
            <w:r>
              <w:rPr>
                <w:rFonts w:hint="eastAsia" w:ascii="宋体" w:hAnsi="宋体"/>
                <w:color w:val="auto"/>
                <w:spacing w:val="-5"/>
                <w:kern w:val="0"/>
                <w:szCs w:val="21"/>
                <w:highlight w:val="none"/>
                <w:lang w:val="en-US" w:eastAsia="zh-CN"/>
              </w:rPr>
              <w:t>投标人</w:t>
            </w:r>
            <w:r>
              <w:rPr>
                <w:rFonts w:hint="eastAsia" w:ascii="宋体" w:hAnsi="宋体"/>
                <w:color w:val="auto"/>
                <w:spacing w:val="-5"/>
                <w:kern w:val="0"/>
                <w:szCs w:val="21"/>
                <w:highlight w:val="none"/>
              </w:rPr>
              <w:t>公章）。</w:t>
            </w:r>
          </w:p>
          <w:p>
            <w:pPr>
              <w:pStyle w:val="15"/>
              <w:numPr>
                <w:ilvl w:val="0"/>
                <w:numId w:val="25"/>
              </w:numPr>
              <w:ind w:leftChars="0" w:firstLineChars="0"/>
              <w:rPr>
                <w:rFonts w:ascii="宋体" w:hAnsi="宋体"/>
                <w:color w:val="auto"/>
                <w:szCs w:val="21"/>
                <w:highlight w:val="none"/>
              </w:rPr>
            </w:pPr>
            <w:r>
              <w:rPr>
                <w:rFonts w:hint="eastAsia" w:ascii="宋体" w:hAnsi="宋体"/>
                <w:color w:val="auto"/>
                <w:spacing w:val="-5"/>
                <w:kern w:val="0"/>
                <w:szCs w:val="21"/>
                <w:highlight w:val="none"/>
              </w:rPr>
              <w:t>投标人具有化工防腐蚀施工</w:t>
            </w:r>
            <w:r>
              <w:rPr>
                <w:rFonts w:hint="eastAsia" w:ascii="宋体" w:hAnsi="宋体"/>
                <w:color w:val="auto"/>
                <w:spacing w:val="-5"/>
                <w:kern w:val="0"/>
                <w:szCs w:val="21"/>
                <w:highlight w:val="none"/>
                <w:lang w:eastAsia="zh-CN"/>
              </w:rPr>
              <w:t>资格证书</w:t>
            </w:r>
            <w:r>
              <w:rPr>
                <w:rFonts w:hint="eastAsia" w:ascii="宋体" w:hAnsi="宋体"/>
                <w:color w:val="auto"/>
                <w:spacing w:val="-5"/>
                <w:kern w:val="0"/>
                <w:szCs w:val="21"/>
                <w:highlight w:val="none"/>
              </w:rPr>
              <w:t>得5分（提供相应证明材料并投标人公章）。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pacing w:val="-5"/>
                <w:kern w:val="0"/>
                <w:szCs w:val="21"/>
                <w:highlight w:val="none"/>
              </w:rPr>
            </w:pPr>
            <w:r>
              <w:rPr>
                <w:rFonts w:hint="eastAsia" w:ascii="宋体" w:hAnsi="宋体"/>
                <w:color w:val="auto"/>
                <w:spacing w:val="-5"/>
                <w:kern w:val="0"/>
                <w:szCs w:val="21"/>
                <w:highlight w:val="none"/>
              </w:rPr>
              <w:t>公司规模</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6804" w:type="dxa"/>
            <w:gridSpan w:val="2"/>
            <w:tcBorders>
              <w:tl2br w:val="nil"/>
              <w:tr2bl w:val="nil"/>
            </w:tcBorders>
            <w:tcMar>
              <w:top w:w="15" w:type="dxa"/>
              <w:left w:w="15" w:type="dxa"/>
              <w:bottom w:w="15" w:type="dxa"/>
              <w:right w:w="15" w:type="dxa"/>
            </w:tcMar>
            <w:vAlign w:val="center"/>
          </w:tcPr>
          <w:p>
            <w:pPr>
              <w:spacing w:line="360" w:lineRule="auto"/>
              <w:jc w:val="left"/>
              <w:rPr>
                <w:rFonts w:ascii="宋体" w:hAnsi="宋体"/>
                <w:color w:val="auto"/>
                <w:spacing w:val="-5"/>
                <w:kern w:val="0"/>
                <w:szCs w:val="21"/>
                <w:highlight w:val="none"/>
              </w:rPr>
            </w:pPr>
            <w:r>
              <w:rPr>
                <w:rFonts w:hint="eastAsia" w:ascii="宋体" w:hAnsi="宋体"/>
                <w:color w:val="auto"/>
                <w:spacing w:val="-5"/>
                <w:kern w:val="0"/>
                <w:szCs w:val="21"/>
                <w:highlight w:val="none"/>
              </w:rPr>
              <w:t>综合评议各投标人企业规模如</w:t>
            </w:r>
            <w:r>
              <w:rPr>
                <w:rFonts w:hint="eastAsia" w:ascii="宋体" w:hAnsi="宋体"/>
                <w:color w:val="auto"/>
                <w:spacing w:val="-5"/>
                <w:kern w:val="0"/>
                <w:szCs w:val="21"/>
                <w:highlight w:val="none"/>
                <w:lang w:val="en-US" w:eastAsia="zh-CN"/>
              </w:rPr>
              <w:t>企业2021年经营收入、</w:t>
            </w:r>
            <w:r>
              <w:rPr>
                <w:rFonts w:hint="eastAsia" w:ascii="宋体" w:hAnsi="宋体"/>
                <w:color w:val="auto"/>
                <w:spacing w:val="-5"/>
                <w:kern w:val="0"/>
                <w:szCs w:val="21"/>
                <w:highlight w:val="none"/>
              </w:rPr>
              <w:t>企业人数、</w:t>
            </w:r>
            <w:r>
              <w:rPr>
                <w:rFonts w:hint="eastAsia" w:ascii="宋体" w:hAnsi="宋体"/>
                <w:color w:val="auto"/>
                <w:spacing w:val="-5"/>
                <w:kern w:val="0"/>
                <w:szCs w:val="21"/>
                <w:highlight w:val="none"/>
                <w:lang w:val="en-US" w:eastAsia="zh-CN"/>
              </w:rPr>
              <w:t>经营场所自有或租赁情况及面积（自有得分高于租赁、面积大得分高）</w:t>
            </w:r>
            <w:r>
              <w:rPr>
                <w:rFonts w:hint="eastAsia" w:ascii="宋体" w:hAnsi="宋体"/>
                <w:color w:val="auto"/>
                <w:spacing w:val="-5"/>
                <w:kern w:val="0"/>
                <w:szCs w:val="21"/>
                <w:highlight w:val="none"/>
              </w:rPr>
              <w:t>等。</w:t>
            </w:r>
            <w:r>
              <w:rPr>
                <w:rFonts w:hint="eastAsia" w:ascii="宋体" w:hAnsi="宋体"/>
                <w:color w:val="auto"/>
                <w:spacing w:val="-5"/>
                <w:kern w:val="0"/>
                <w:szCs w:val="21"/>
                <w:highlight w:val="none"/>
                <w:lang w:val="en-US" w:eastAsia="zh-CN"/>
              </w:rPr>
              <w:t>优</w:t>
            </w:r>
            <w:r>
              <w:rPr>
                <w:rFonts w:hint="eastAsia" w:ascii="宋体" w:hAnsi="宋体"/>
                <w:color w:val="auto"/>
                <w:spacing w:val="-5"/>
                <w:kern w:val="0"/>
                <w:szCs w:val="21"/>
                <w:highlight w:val="none"/>
              </w:rPr>
              <w:t>得</w:t>
            </w:r>
            <w:r>
              <w:rPr>
                <w:rFonts w:ascii="宋体" w:hAnsi="宋体"/>
                <w:color w:val="auto"/>
                <w:spacing w:val="-5"/>
                <w:kern w:val="0"/>
                <w:szCs w:val="21"/>
                <w:highlight w:val="none"/>
              </w:rPr>
              <w:t>5</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rPr>
              <w:t>分、</w:t>
            </w:r>
            <w:r>
              <w:rPr>
                <w:rFonts w:hint="eastAsia" w:ascii="宋体" w:hAnsi="宋体"/>
                <w:color w:val="auto"/>
                <w:spacing w:val="-5"/>
                <w:kern w:val="0"/>
                <w:szCs w:val="21"/>
                <w:highlight w:val="none"/>
                <w:lang w:val="en-US" w:eastAsia="zh-CN"/>
              </w:rPr>
              <w:t>良得3-2</w:t>
            </w:r>
            <w:r>
              <w:rPr>
                <w:rFonts w:hint="eastAsia" w:ascii="宋体" w:hAnsi="宋体"/>
                <w:color w:val="auto"/>
                <w:spacing w:val="-5"/>
                <w:kern w:val="0"/>
                <w:szCs w:val="21"/>
                <w:highlight w:val="none"/>
              </w:rPr>
              <w:t>分，</w:t>
            </w:r>
            <w:r>
              <w:rPr>
                <w:rFonts w:hint="eastAsia" w:ascii="宋体" w:hAnsi="宋体"/>
                <w:color w:val="auto"/>
                <w:spacing w:val="-5"/>
                <w:kern w:val="0"/>
                <w:szCs w:val="21"/>
                <w:highlight w:val="none"/>
                <w:lang w:val="en-US" w:eastAsia="zh-CN"/>
              </w:rPr>
              <w:t>一般得1</w:t>
            </w:r>
            <w:r>
              <w:rPr>
                <w:rFonts w:hint="eastAsia" w:ascii="宋体" w:hAnsi="宋体"/>
                <w:color w:val="auto"/>
                <w:spacing w:val="-5"/>
                <w:kern w:val="0"/>
                <w:szCs w:val="21"/>
                <w:highlight w:val="none"/>
              </w:rPr>
              <w:t>分</w:t>
            </w:r>
            <w:r>
              <w:rPr>
                <w:rFonts w:hint="eastAsia" w:ascii="宋体" w:hAnsi="宋体"/>
                <w:color w:val="auto"/>
                <w:spacing w:val="-5"/>
                <w:kern w:val="0"/>
                <w:szCs w:val="21"/>
                <w:highlight w:val="none"/>
                <w:lang w:eastAsia="zh-CN"/>
              </w:rPr>
              <w:t>，</w:t>
            </w:r>
            <w:r>
              <w:rPr>
                <w:rFonts w:hint="eastAsia" w:ascii="宋体" w:hAnsi="宋体"/>
                <w:color w:val="auto"/>
                <w:spacing w:val="-5"/>
                <w:kern w:val="0"/>
                <w:szCs w:val="21"/>
                <w:highlight w:val="none"/>
                <w:lang w:val="en-US" w:eastAsia="zh-CN"/>
              </w:rPr>
              <w:t>差得0分</w:t>
            </w:r>
            <w:r>
              <w:rPr>
                <w:rFonts w:hint="eastAsia" w:ascii="宋体" w:hAnsi="宋体"/>
                <w:color w:val="auto"/>
                <w:spacing w:val="-5"/>
                <w:kern w:val="0"/>
                <w:szCs w:val="21"/>
                <w:highlight w:val="none"/>
              </w:rPr>
              <w:t>。</w:t>
            </w:r>
          </w:p>
          <w:p>
            <w:pPr>
              <w:numPr>
                <w:ilvl w:val="-1"/>
                <w:numId w:val="0"/>
              </w:numPr>
              <w:spacing w:line="360" w:lineRule="auto"/>
              <w:ind w:left="0" w:firstLine="0"/>
              <w:jc w:val="left"/>
              <w:rPr>
                <w:color w:val="auto"/>
                <w:highlight w:val="none"/>
              </w:rPr>
            </w:pPr>
            <w:r>
              <w:rPr>
                <w:rFonts w:hint="eastAsia" w:ascii="宋体" w:hAnsi="宋体"/>
                <w:color w:val="auto"/>
                <w:spacing w:val="-5"/>
                <w:kern w:val="0"/>
                <w:szCs w:val="21"/>
                <w:highlight w:val="none"/>
              </w:rPr>
              <w:t>证明材料：投标人提供2021年度财务报表、公司简介、盖有社保局公章的可证明企业缴纳社保人数的证明材料、有登记备案号的房屋租赁凭证等验证材料。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pacing w:val="-5"/>
                <w:kern w:val="0"/>
                <w:szCs w:val="21"/>
                <w:highlight w:val="none"/>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color w:val="auto"/>
                <w:highlight w:val="none"/>
              </w:rPr>
            </w:pPr>
            <w:r>
              <w:rPr>
                <w:rFonts w:hint="eastAsia" w:ascii="宋体" w:hAnsi="宋体"/>
                <w:color w:val="auto"/>
                <w:spacing w:val="-5"/>
                <w:kern w:val="0"/>
                <w:szCs w:val="21"/>
                <w:highlight w:val="none"/>
                <w:lang w:val="zh-CN"/>
              </w:rPr>
              <w:t>投标人提供</w:t>
            </w:r>
            <w:r>
              <w:rPr>
                <w:rFonts w:hint="eastAsia" w:ascii="宋体" w:hAnsi="宋体"/>
                <w:color w:val="auto"/>
                <w:spacing w:val="-5"/>
                <w:kern w:val="0"/>
                <w:szCs w:val="21"/>
                <w:highlight w:val="none"/>
              </w:rPr>
              <w:t>20</w:t>
            </w:r>
            <w:r>
              <w:rPr>
                <w:rFonts w:ascii="宋体" w:hAnsi="宋体"/>
                <w:color w:val="auto"/>
                <w:spacing w:val="-5"/>
                <w:kern w:val="0"/>
                <w:szCs w:val="21"/>
                <w:highlight w:val="none"/>
              </w:rPr>
              <w:t>20</w:t>
            </w:r>
            <w:r>
              <w:rPr>
                <w:rFonts w:hint="eastAsia" w:ascii="宋体" w:hAnsi="宋体"/>
                <w:color w:val="auto"/>
                <w:spacing w:val="-5"/>
                <w:kern w:val="0"/>
                <w:szCs w:val="21"/>
                <w:highlight w:val="none"/>
              </w:rPr>
              <w:t>年1月1日至本项目采购公告发布日所承接的中央空调系统水处理类的有效业绩合同（以签订时间为准）</w:t>
            </w:r>
            <w:r>
              <w:rPr>
                <w:rFonts w:hint="eastAsia"/>
                <w:color w:val="auto"/>
                <w:highlight w:val="none"/>
              </w:rPr>
              <w:t>：</w:t>
            </w:r>
          </w:p>
          <w:p>
            <w:pPr>
              <w:numPr>
                <w:ilvl w:val="0"/>
                <w:numId w:val="26"/>
              </w:numPr>
              <w:spacing w:line="360" w:lineRule="auto"/>
              <w:rPr>
                <w:color w:val="auto"/>
                <w:highlight w:val="none"/>
              </w:rPr>
            </w:pPr>
            <w:r>
              <w:rPr>
                <w:rFonts w:hint="eastAsia" w:ascii="宋体" w:hAnsi="宋体"/>
                <w:color w:val="auto"/>
                <w:spacing w:val="-5"/>
                <w:kern w:val="0"/>
                <w:szCs w:val="21"/>
                <w:highlight w:val="none"/>
              </w:rPr>
              <w:t>每提供一个制冷机组装机</w:t>
            </w:r>
            <w:r>
              <w:rPr>
                <w:rFonts w:hint="eastAsia" w:ascii="宋体" w:hAnsi="宋体"/>
                <w:color w:val="auto"/>
                <w:spacing w:val="-5"/>
                <w:kern w:val="0"/>
                <w:szCs w:val="21"/>
                <w:highlight w:val="none"/>
                <w:lang w:val="en-US" w:eastAsia="zh-CN"/>
              </w:rPr>
              <w:t>总</w:t>
            </w:r>
            <w:r>
              <w:rPr>
                <w:rFonts w:hint="eastAsia" w:ascii="宋体" w:hAnsi="宋体"/>
                <w:color w:val="auto"/>
                <w:spacing w:val="-5"/>
                <w:kern w:val="0"/>
                <w:szCs w:val="21"/>
                <w:highlight w:val="none"/>
              </w:rPr>
              <w:t>容量≥10000冷吨，</w:t>
            </w:r>
            <w:r>
              <w:rPr>
                <w:rFonts w:hint="eastAsia" w:ascii="宋体" w:hAnsi="宋体"/>
                <w:color w:val="auto"/>
                <w:spacing w:val="-5"/>
                <w:kern w:val="0"/>
                <w:szCs w:val="21"/>
                <w:highlight w:val="none"/>
                <w:lang w:val="en-US" w:eastAsia="zh-CN"/>
              </w:rPr>
              <w:t>且</w:t>
            </w:r>
            <w:r>
              <w:rPr>
                <w:rFonts w:hint="eastAsia" w:ascii="宋体" w:hAnsi="宋体"/>
                <w:color w:val="auto"/>
                <w:spacing w:val="-5"/>
                <w:kern w:val="0"/>
                <w:szCs w:val="21"/>
                <w:highlight w:val="none"/>
              </w:rPr>
              <w:t>合同金额≥40万元的</w:t>
            </w:r>
            <w:r>
              <w:rPr>
                <w:rFonts w:hint="eastAsia" w:ascii="宋体" w:hAnsi="宋体"/>
                <w:color w:val="auto"/>
                <w:spacing w:val="-5"/>
                <w:kern w:val="0"/>
                <w:szCs w:val="21"/>
                <w:highlight w:val="none"/>
                <w:lang w:val="en-US" w:eastAsia="zh-CN"/>
              </w:rPr>
              <w:t>中央空调系统水处理</w:t>
            </w:r>
            <w:r>
              <w:rPr>
                <w:rFonts w:hint="eastAsia" w:ascii="宋体" w:hAnsi="宋体"/>
                <w:color w:val="auto"/>
                <w:spacing w:val="-5"/>
                <w:kern w:val="0"/>
                <w:szCs w:val="21"/>
                <w:highlight w:val="none"/>
              </w:rPr>
              <w:t>合同得1分，最高得7分。</w:t>
            </w:r>
          </w:p>
          <w:p>
            <w:pPr>
              <w:numPr>
                <w:ilvl w:val="0"/>
                <w:numId w:val="26"/>
              </w:numPr>
              <w:spacing w:line="360" w:lineRule="auto"/>
              <w:jc w:val="left"/>
              <w:rPr>
                <w:rFonts w:ascii="宋体" w:hAnsi="宋体"/>
                <w:color w:val="auto"/>
                <w:spacing w:val="-5"/>
                <w:kern w:val="0"/>
                <w:szCs w:val="21"/>
                <w:highlight w:val="none"/>
              </w:rPr>
            </w:pPr>
            <w:r>
              <w:rPr>
                <w:rFonts w:hint="eastAsia" w:ascii="宋体" w:hAnsi="宋体"/>
                <w:color w:val="auto"/>
                <w:spacing w:val="-5"/>
                <w:kern w:val="0"/>
                <w:szCs w:val="21"/>
                <w:highlight w:val="none"/>
                <w:lang w:val="zh-CN"/>
              </w:rPr>
              <w:t>同一个合同不重复得分。</w:t>
            </w:r>
          </w:p>
          <w:p>
            <w:pPr>
              <w:spacing w:line="360" w:lineRule="auto"/>
              <w:ind w:firstLine="200" w:firstLineChars="100"/>
              <w:rPr>
                <w:rFonts w:ascii="宋体" w:hAnsi="宋体"/>
                <w:color w:val="auto"/>
                <w:szCs w:val="21"/>
                <w:highlight w:val="none"/>
              </w:rPr>
            </w:pPr>
            <w:r>
              <w:rPr>
                <w:rFonts w:hint="eastAsia" w:ascii="宋体" w:hAnsi="宋体"/>
                <w:color w:val="auto"/>
                <w:spacing w:val="-5"/>
                <w:kern w:val="0"/>
                <w:szCs w:val="21"/>
                <w:highlight w:val="none"/>
              </w:rPr>
              <w:t>证明文件</w:t>
            </w:r>
            <w:r>
              <w:rPr>
                <w:rFonts w:hint="eastAsia" w:ascii="宋体" w:hAnsi="宋体"/>
                <w:color w:val="auto"/>
                <w:spacing w:val="-5"/>
                <w:kern w:val="0"/>
                <w:szCs w:val="21"/>
                <w:highlight w:val="none"/>
                <w:lang w:val="zh-CN"/>
              </w:rPr>
              <w:t>：投标人自行汇总并计算</w:t>
            </w:r>
            <w:r>
              <w:rPr>
                <w:rFonts w:hint="eastAsia" w:ascii="宋体" w:hAnsi="宋体"/>
                <w:color w:val="auto"/>
                <w:spacing w:val="-5"/>
                <w:kern w:val="0"/>
                <w:szCs w:val="21"/>
                <w:highlight w:val="none"/>
              </w:rPr>
              <w:t>项</w:t>
            </w:r>
            <w:r>
              <w:rPr>
                <w:rFonts w:hint="eastAsia" w:ascii="宋体" w:hAnsi="宋体"/>
                <w:color w:val="auto"/>
                <w:spacing w:val="-5"/>
                <w:kern w:val="0"/>
                <w:szCs w:val="21"/>
                <w:highlight w:val="none"/>
                <w:lang w:val="zh-CN"/>
              </w:rPr>
              <w:t>业绩总金额，</w:t>
            </w:r>
            <w:r>
              <w:rPr>
                <w:rFonts w:hint="eastAsia" w:ascii="宋体" w:hAnsi="宋体"/>
                <w:color w:val="auto"/>
                <w:spacing w:val="-5"/>
                <w:kern w:val="0"/>
                <w:szCs w:val="21"/>
                <w:highlight w:val="none"/>
              </w:rPr>
              <w:t>须</w:t>
            </w:r>
            <w:r>
              <w:rPr>
                <w:rFonts w:hint="eastAsia" w:ascii="宋体" w:hAnsi="宋体"/>
                <w:color w:val="auto"/>
                <w:spacing w:val="-5"/>
                <w:kern w:val="0"/>
                <w:szCs w:val="21"/>
                <w:highlight w:val="none"/>
                <w:lang w:val="zh-CN"/>
              </w:rPr>
              <w:t>提供包含但不仅限于能体现</w:t>
            </w:r>
            <w:r>
              <w:rPr>
                <w:rFonts w:hint="eastAsia" w:ascii="宋体" w:hAnsi="宋体"/>
                <w:color w:val="auto"/>
                <w:spacing w:val="-5"/>
                <w:kern w:val="0"/>
                <w:szCs w:val="21"/>
                <w:highlight w:val="none"/>
              </w:rPr>
              <w:t>制冷机组装机</w:t>
            </w:r>
            <w:r>
              <w:rPr>
                <w:rFonts w:hint="eastAsia" w:ascii="宋体" w:hAnsi="宋体"/>
                <w:color w:val="auto"/>
                <w:spacing w:val="-5"/>
                <w:kern w:val="0"/>
                <w:szCs w:val="21"/>
                <w:highlight w:val="none"/>
                <w:lang w:val="en-US" w:eastAsia="zh-CN"/>
              </w:rPr>
              <w:t>总</w:t>
            </w:r>
            <w:r>
              <w:rPr>
                <w:rFonts w:hint="eastAsia" w:ascii="宋体" w:hAnsi="宋体"/>
                <w:color w:val="auto"/>
                <w:spacing w:val="-5"/>
                <w:kern w:val="0"/>
                <w:szCs w:val="21"/>
                <w:highlight w:val="none"/>
              </w:rPr>
              <w:t>容量和</w:t>
            </w:r>
            <w:r>
              <w:rPr>
                <w:rFonts w:hint="eastAsia" w:ascii="宋体" w:hAnsi="宋体"/>
                <w:color w:val="auto"/>
                <w:spacing w:val="-5"/>
                <w:kern w:val="0"/>
                <w:szCs w:val="21"/>
                <w:highlight w:val="none"/>
                <w:lang w:val="zh-CN"/>
              </w:rPr>
              <w:t>合同金额的合同关键页，并加盖投标人公章，</w:t>
            </w:r>
            <w:r>
              <w:rPr>
                <w:rFonts w:hint="eastAsia" w:ascii="宋体" w:hAnsi="宋体"/>
                <w:color w:val="auto"/>
                <w:spacing w:val="-5"/>
                <w:kern w:val="0"/>
                <w:szCs w:val="21"/>
                <w:highlight w:val="none"/>
              </w:rPr>
              <w:t>无法判定关键信息不得分</w:t>
            </w:r>
            <w:r>
              <w:rPr>
                <w:rFonts w:hint="eastAsia" w:ascii="宋体" w:hAnsi="宋体"/>
                <w:color w:val="auto"/>
                <w:spacing w:val="-5"/>
                <w:kern w:val="0"/>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pacing w:val="-5"/>
                <w:kern w:val="0"/>
                <w:szCs w:val="21"/>
                <w:highlight w:val="none"/>
              </w:rPr>
            </w:pPr>
            <w:r>
              <w:rPr>
                <w:rFonts w:hint="eastAsia" w:ascii="宋体" w:hAnsi="宋体"/>
                <w:color w:val="auto"/>
                <w:spacing w:val="-5"/>
                <w:kern w:val="0"/>
                <w:szCs w:val="21"/>
                <w:highlight w:val="none"/>
              </w:rPr>
              <w:t>拟派项目</w:t>
            </w:r>
          </w:p>
          <w:p>
            <w:pPr>
              <w:spacing w:line="320" w:lineRule="exact"/>
              <w:jc w:val="center"/>
              <w:rPr>
                <w:color w:val="auto"/>
                <w:highlight w:val="none"/>
              </w:rPr>
            </w:pPr>
            <w:r>
              <w:rPr>
                <w:rFonts w:hint="eastAsia" w:ascii="宋体" w:hAnsi="宋体"/>
                <w:color w:val="auto"/>
                <w:spacing w:val="-5"/>
                <w:kern w:val="0"/>
                <w:szCs w:val="21"/>
                <w:highlight w:val="none"/>
              </w:rPr>
              <w:t>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27"/>
              </w:numPr>
              <w:tabs>
                <w:tab w:val="left" w:pos="531"/>
              </w:tabs>
              <w:snapToGrid w:val="0"/>
              <w:rPr>
                <w:rFonts w:ascii="宋体" w:hAnsi="宋体"/>
                <w:color w:val="auto"/>
                <w:highlight w:val="none"/>
              </w:rPr>
            </w:pPr>
            <w:r>
              <w:rPr>
                <w:rFonts w:hint="eastAsia" w:ascii="宋体" w:hAnsi="宋体"/>
                <w:color w:val="auto"/>
                <w:spacing w:val="-5"/>
                <w:kern w:val="0"/>
                <w:szCs w:val="21"/>
                <w:highlight w:val="none"/>
                <w:lang w:val="zh-CN"/>
              </w:rPr>
              <w:t>投标人拟安排项目经理具有化工或化学专业工程师或</w:t>
            </w:r>
            <w:r>
              <w:rPr>
                <w:rFonts w:hint="eastAsia" w:ascii="宋体" w:hAnsi="宋体"/>
                <w:color w:val="auto"/>
                <w:spacing w:val="-5"/>
                <w:kern w:val="0"/>
                <w:szCs w:val="21"/>
                <w:highlight w:val="none"/>
                <w:lang w:val="en-US" w:eastAsia="zh-CN"/>
              </w:rPr>
              <w:t>同</w:t>
            </w:r>
            <w:r>
              <w:rPr>
                <w:rFonts w:hint="eastAsia" w:ascii="宋体" w:hAnsi="宋体"/>
                <w:color w:val="auto"/>
                <w:spacing w:val="-5"/>
                <w:kern w:val="0"/>
                <w:szCs w:val="21"/>
                <w:highlight w:val="none"/>
                <w:lang w:val="zh-CN"/>
              </w:rPr>
              <w:t>等职称的，每提供一个得</w:t>
            </w:r>
            <w:r>
              <w:rPr>
                <w:rFonts w:hint="eastAsia" w:ascii="宋体" w:hAnsi="宋体"/>
                <w:color w:val="auto"/>
                <w:spacing w:val="-5"/>
                <w:kern w:val="0"/>
                <w:szCs w:val="21"/>
                <w:highlight w:val="none"/>
              </w:rPr>
              <w:t>2分，最高4分。</w:t>
            </w:r>
          </w:p>
          <w:p>
            <w:pPr>
              <w:numPr>
                <w:ilvl w:val="0"/>
                <w:numId w:val="27"/>
              </w:numPr>
              <w:tabs>
                <w:tab w:val="left" w:pos="531"/>
              </w:tabs>
              <w:snapToGrid w:val="0"/>
              <w:rPr>
                <w:rFonts w:ascii="宋体" w:hAnsi="宋体"/>
                <w:color w:val="auto"/>
                <w:spacing w:val="-5"/>
                <w:kern w:val="0"/>
                <w:szCs w:val="21"/>
                <w:highlight w:val="none"/>
              </w:rPr>
            </w:pPr>
            <w:r>
              <w:rPr>
                <w:rFonts w:hint="eastAsia" w:ascii="宋体" w:hAnsi="宋体"/>
                <w:color w:val="auto"/>
                <w:spacing w:val="-5"/>
                <w:kern w:val="0"/>
                <w:szCs w:val="21"/>
                <w:highlight w:val="none"/>
                <w:lang w:val="zh-CN"/>
              </w:rPr>
              <w:t>投标人拟安排现场施工人员同时具有</w:t>
            </w:r>
            <w:r>
              <w:rPr>
                <w:rFonts w:hint="eastAsia" w:ascii="宋体" w:hAnsi="宋体"/>
                <w:color w:val="auto"/>
                <w:spacing w:val="-5"/>
                <w:kern w:val="0"/>
                <w:szCs w:val="21"/>
                <w:highlight w:val="none"/>
                <w:lang w:val="en-US" w:eastAsia="zh-CN"/>
              </w:rPr>
              <w:t>有效</w:t>
            </w:r>
            <w:r>
              <w:rPr>
                <w:rFonts w:hint="eastAsia" w:ascii="宋体" w:hAnsi="宋体"/>
                <w:color w:val="auto"/>
                <w:spacing w:val="-5"/>
                <w:kern w:val="0"/>
                <w:szCs w:val="21"/>
                <w:highlight w:val="none"/>
                <w:lang w:val="zh-CN"/>
              </w:rPr>
              <w:t>制冷与空调作业证</w:t>
            </w:r>
            <w:r>
              <w:rPr>
                <w:rFonts w:hint="eastAsia" w:ascii="宋体" w:hAnsi="宋体"/>
                <w:color w:val="auto"/>
                <w:spacing w:val="-5"/>
                <w:kern w:val="0"/>
                <w:szCs w:val="21"/>
                <w:highlight w:val="none"/>
                <w:lang w:val="en-US" w:eastAsia="zh-CN"/>
              </w:rPr>
              <w:t>和</w:t>
            </w:r>
            <w:r>
              <w:rPr>
                <w:rFonts w:hint="eastAsia" w:ascii="宋体" w:hAnsi="宋体"/>
                <w:color w:val="auto"/>
                <w:spacing w:val="-5"/>
                <w:kern w:val="0"/>
                <w:szCs w:val="21"/>
                <w:highlight w:val="none"/>
                <w:lang w:val="zh-CN"/>
              </w:rPr>
              <w:t>低压电工作业操作证的，每人得</w:t>
            </w:r>
            <w:r>
              <w:rPr>
                <w:rFonts w:hint="eastAsia" w:ascii="宋体" w:hAnsi="宋体"/>
                <w:color w:val="auto"/>
                <w:spacing w:val="-5"/>
                <w:kern w:val="0"/>
                <w:szCs w:val="21"/>
                <w:highlight w:val="none"/>
              </w:rPr>
              <w:t>1.5分，最高6分</w:t>
            </w:r>
            <w:r>
              <w:rPr>
                <w:rFonts w:hint="eastAsia" w:ascii="宋体" w:hAnsi="宋体"/>
                <w:color w:val="auto"/>
                <w:spacing w:val="-5"/>
                <w:kern w:val="0"/>
                <w:szCs w:val="21"/>
                <w:highlight w:val="none"/>
                <w:lang w:val="zh-CN"/>
              </w:rPr>
              <w:t>。</w:t>
            </w:r>
          </w:p>
          <w:p>
            <w:pPr>
              <w:numPr>
                <w:ilvl w:val="0"/>
                <w:numId w:val="27"/>
              </w:numPr>
              <w:tabs>
                <w:tab w:val="left" w:pos="531"/>
              </w:tabs>
              <w:snapToGrid w:val="0"/>
              <w:rPr>
                <w:rFonts w:ascii="宋体" w:hAnsi="宋体"/>
                <w:color w:val="auto"/>
                <w:spacing w:val="-5"/>
                <w:kern w:val="0"/>
                <w:szCs w:val="21"/>
                <w:highlight w:val="none"/>
              </w:rPr>
            </w:pPr>
            <w:r>
              <w:rPr>
                <w:rFonts w:hint="eastAsia"/>
                <w:color w:val="auto"/>
                <w:highlight w:val="none"/>
                <w:lang w:val="zh-CN"/>
              </w:rPr>
              <w:t>同一人</w:t>
            </w:r>
            <w:r>
              <w:rPr>
                <w:rFonts w:hint="eastAsia"/>
                <w:color w:val="auto"/>
                <w:highlight w:val="none"/>
                <w:lang w:val="en-US" w:eastAsia="zh-CN"/>
              </w:rPr>
              <w:t>具有多类证书</w:t>
            </w:r>
            <w:r>
              <w:rPr>
                <w:rFonts w:hint="eastAsia"/>
                <w:color w:val="auto"/>
                <w:highlight w:val="none"/>
                <w:lang w:val="zh-CN"/>
              </w:rPr>
              <w:t>不可重复计分。</w:t>
            </w:r>
          </w:p>
          <w:p>
            <w:pPr>
              <w:numPr>
                <w:ilvl w:val="0"/>
                <w:numId w:val="27"/>
              </w:numPr>
              <w:tabs>
                <w:tab w:val="left" w:pos="531"/>
              </w:tabs>
              <w:snapToGrid w:val="0"/>
              <w:rPr>
                <w:rFonts w:ascii="宋体" w:hAnsi="宋体"/>
                <w:color w:val="auto"/>
                <w:spacing w:val="-5"/>
                <w:kern w:val="0"/>
                <w:szCs w:val="21"/>
                <w:highlight w:val="none"/>
              </w:rPr>
            </w:pPr>
            <w:r>
              <w:rPr>
                <w:rFonts w:hint="eastAsia" w:ascii="宋体" w:hAnsi="宋体"/>
                <w:color w:val="auto"/>
                <w:spacing w:val="-5"/>
                <w:kern w:val="0"/>
                <w:szCs w:val="21"/>
                <w:highlight w:val="none"/>
                <w:lang w:val="zh-CN"/>
              </w:rPr>
              <w:t>证明文件：提供以上人员资格证明文件和近三个月社保清单证明，如开标日上一个月的社保材料因社保部门原因暂时无法取得，则可以往前顺推</w:t>
            </w:r>
            <w:r>
              <w:rPr>
                <w:rFonts w:hint="eastAsia" w:ascii="宋体" w:hAnsi="宋体"/>
                <w:color w:val="auto"/>
                <w:spacing w:val="-5"/>
                <w:kern w:val="0"/>
                <w:szCs w:val="21"/>
                <w:highlight w:val="none"/>
                <w:lang w:val="sq-AL"/>
              </w:rPr>
              <w:t>一个月，</w:t>
            </w:r>
            <w:r>
              <w:rPr>
                <w:rFonts w:hint="eastAsia" w:ascii="宋体" w:hAnsi="宋体"/>
                <w:color w:val="auto"/>
                <w:spacing w:val="-5"/>
                <w:kern w:val="0"/>
                <w:szCs w:val="21"/>
                <w:highlight w:val="none"/>
                <w:lang w:val="zh-CN"/>
              </w:rPr>
              <w:t>社保证明须同时加盖投标人公章。</w:t>
            </w:r>
            <w:r>
              <w:rPr>
                <w:rFonts w:hint="eastAsia" w:ascii="宋体" w:hAnsi="宋体"/>
                <w:color w:val="auto"/>
                <w:spacing w:val="-5"/>
                <w:kern w:val="0"/>
                <w:szCs w:val="21"/>
                <w:highlight w:val="none"/>
                <w:lang w:val="sq-AL"/>
              </w:rPr>
              <w:t>（未按要求提供或提供不清晰导致专家无法判断的不得分，原件备查）。</w:t>
            </w:r>
          </w:p>
          <w:p>
            <w:pPr>
              <w:tabs>
                <w:tab w:val="left" w:pos="531"/>
              </w:tabs>
              <w:snapToGrid w:val="0"/>
              <w:rPr>
                <w:rFonts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技术服务评议项（25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pacing w:val="-5"/>
                <w:kern w:val="0"/>
                <w:szCs w:val="21"/>
                <w:highlight w:val="none"/>
                <w:lang w:val="sq-AL"/>
              </w:rPr>
              <w:t>水处理服务方案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15分</w:t>
            </w:r>
          </w:p>
        </w:tc>
        <w:tc>
          <w:tcPr>
            <w:tcW w:w="6804" w:type="dxa"/>
            <w:gridSpan w:val="2"/>
            <w:tcBorders>
              <w:tl2br w:val="nil"/>
              <w:tr2bl w:val="nil"/>
            </w:tcBorders>
            <w:tcMar>
              <w:top w:w="15" w:type="dxa"/>
              <w:left w:w="15" w:type="dxa"/>
              <w:bottom w:w="15" w:type="dxa"/>
              <w:right w:w="15" w:type="dxa"/>
            </w:tcMar>
            <w:vAlign w:val="center"/>
          </w:tcPr>
          <w:p>
            <w:pPr>
              <w:ind w:left="201" w:hanging="201" w:hangingChars="100"/>
              <w:rPr>
                <w:rFonts w:ascii="宋体" w:hAnsi="宋体"/>
                <w:color w:val="auto"/>
                <w:spacing w:val="-5"/>
                <w:kern w:val="0"/>
                <w:szCs w:val="21"/>
                <w:highlight w:val="none"/>
                <w:lang w:val="sq-AL"/>
              </w:rPr>
            </w:pPr>
            <w:r>
              <w:rPr>
                <w:rFonts w:hint="eastAsia" w:ascii="宋体" w:hAnsi="宋体"/>
                <w:b/>
                <w:bCs/>
                <w:color w:val="auto"/>
                <w:spacing w:val="-5"/>
                <w:kern w:val="0"/>
                <w:szCs w:val="21"/>
                <w:highlight w:val="none"/>
                <w:lang w:val="zh-CN"/>
              </w:rPr>
              <w:t>评审内容：</w:t>
            </w:r>
            <w:r>
              <w:rPr>
                <w:rFonts w:hint="eastAsia" w:ascii="宋体" w:hAnsi="宋体"/>
                <w:color w:val="auto"/>
                <w:spacing w:val="-5"/>
                <w:kern w:val="0"/>
                <w:szCs w:val="21"/>
                <w:highlight w:val="none"/>
                <w:lang w:val="sq-AL"/>
              </w:rPr>
              <w:t xml:space="preserve"> </w:t>
            </w:r>
          </w:p>
          <w:p>
            <w:pPr>
              <w:widowControl/>
              <w:spacing w:line="360" w:lineRule="auto"/>
              <w:ind w:left="210" w:leftChars="100" w:right="30"/>
              <w:jc w:val="left"/>
              <w:rPr>
                <w:rFonts w:ascii="宋体" w:hAnsi="宋体" w:cs="宋体"/>
                <w:color w:val="auto"/>
                <w:kern w:val="0"/>
                <w:szCs w:val="21"/>
                <w:highlight w:val="none"/>
              </w:rPr>
            </w:pPr>
            <w:r>
              <w:rPr>
                <w:rFonts w:hint="eastAsia" w:ascii="宋体" w:hAnsi="宋体"/>
                <w:color w:val="auto"/>
                <w:spacing w:val="-5"/>
                <w:kern w:val="0"/>
                <w:szCs w:val="21"/>
                <w:highlight w:val="none"/>
                <w:lang w:val="sq-AL"/>
              </w:rPr>
              <w:t>根据投标人服务方案中所采用的关键技术及对重点、难点的分析和解决方案的先进性、合理性，是否符合招标人实际情况以及是否具备切实可行操作性；对中央空调水处理有没有在同类型的场所实际验证过等方面进行综合比较评分，并按排名高低分别给予评分，高得15分，中得10分，低得5分，差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pacing w:val="-5"/>
                <w:kern w:val="0"/>
                <w:szCs w:val="21"/>
                <w:highlight w:val="none"/>
                <w:lang w:val="sq-AL"/>
              </w:rPr>
              <w:t>质量保证</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29"/>
              </w:numPr>
              <w:spacing w:line="360" w:lineRule="auto"/>
              <w:ind w:left="425" w:leftChars="0" w:right="30" w:hanging="425"/>
              <w:jc w:val="left"/>
              <w:rPr>
                <w:rFonts w:hint="eastAsia" w:ascii="宋体" w:hAnsi="宋体"/>
                <w:color w:val="auto"/>
                <w:spacing w:val="-5"/>
                <w:kern w:val="0"/>
                <w:szCs w:val="21"/>
                <w:highlight w:val="none"/>
                <w:lang w:val="sq-AL"/>
              </w:rPr>
            </w:pPr>
            <w:r>
              <w:rPr>
                <w:rFonts w:hint="eastAsia" w:ascii="宋体" w:hAnsi="宋体"/>
                <w:color w:val="auto"/>
                <w:spacing w:val="-5"/>
                <w:kern w:val="0"/>
                <w:szCs w:val="21"/>
                <w:highlight w:val="none"/>
                <w:lang w:val="sq-AL"/>
              </w:rPr>
              <w:t>投标人</w:t>
            </w:r>
            <w:r>
              <w:rPr>
                <w:rFonts w:hint="eastAsia" w:ascii="宋体" w:hAnsi="宋体"/>
                <w:color w:val="auto"/>
                <w:spacing w:val="-5"/>
                <w:kern w:val="0"/>
                <w:szCs w:val="21"/>
                <w:highlight w:val="none"/>
                <w:lang w:val="sq-AL" w:eastAsia="zh-CN"/>
              </w:rPr>
              <w:t>提供</w:t>
            </w:r>
            <w:r>
              <w:rPr>
                <w:rFonts w:hint="eastAsia" w:ascii="宋体" w:hAnsi="宋体"/>
                <w:color w:val="auto"/>
                <w:spacing w:val="-5"/>
                <w:kern w:val="0"/>
                <w:szCs w:val="21"/>
                <w:highlight w:val="none"/>
                <w:lang w:val="sq-AL"/>
              </w:rPr>
              <w:t>所使用的水质化验仪器</w:t>
            </w:r>
            <w:r>
              <w:rPr>
                <w:rFonts w:hint="eastAsia" w:ascii="宋体" w:hAnsi="宋体"/>
                <w:color w:val="auto"/>
                <w:spacing w:val="-5"/>
                <w:kern w:val="0"/>
                <w:szCs w:val="21"/>
                <w:highlight w:val="none"/>
                <w:lang w:val="sq-AL" w:eastAsia="zh-CN"/>
              </w:rPr>
              <w:t>具有第三方检测机构</w:t>
            </w:r>
            <w:r>
              <w:rPr>
                <w:rFonts w:hint="eastAsia" w:ascii="宋体" w:hAnsi="宋体"/>
                <w:color w:val="auto"/>
                <w:spacing w:val="-5"/>
                <w:kern w:val="0"/>
                <w:szCs w:val="21"/>
                <w:highlight w:val="none"/>
                <w:lang w:val="sq-AL"/>
              </w:rPr>
              <w:t>颁发的检定证书，每提供1份证书得1份，最高得</w:t>
            </w:r>
            <w:r>
              <w:rPr>
                <w:rFonts w:hint="eastAsia" w:ascii="宋体" w:hAnsi="宋体"/>
                <w:color w:val="auto"/>
                <w:spacing w:val="-5"/>
                <w:kern w:val="0"/>
                <w:szCs w:val="21"/>
                <w:highlight w:val="none"/>
                <w:lang w:val="en-US" w:eastAsia="zh-CN"/>
              </w:rPr>
              <w:t>4</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rPr>
              <w:t>（提供证书复印件加盖</w:t>
            </w:r>
            <w:r>
              <w:rPr>
                <w:rFonts w:hint="eastAsia" w:ascii="宋体" w:hAnsi="宋体"/>
                <w:color w:val="auto"/>
                <w:spacing w:val="-5"/>
                <w:kern w:val="0"/>
                <w:szCs w:val="21"/>
                <w:highlight w:val="none"/>
                <w:lang w:val="en-US" w:eastAsia="zh-CN"/>
              </w:rPr>
              <w:t>投标人</w:t>
            </w:r>
            <w:r>
              <w:rPr>
                <w:rFonts w:hint="eastAsia" w:ascii="宋体" w:hAnsi="宋体"/>
                <w:color w:val="auto"/>
                <w:spacing w:val="-5"/>
                <w:kern w:val="0"/>
                <w:szCs w:val="21"/>
                <w:highlight w:val="none"/>
              </w:rPr>
              <w:t>公章）</w:t>
            </w:r>
          </w:p>
          <w:p>
            <w:pPr>
              <w:numPr>
                <w:ilvl w:val="0"/>
                <w:numId w:val="29"/>
              </w:numPr>
              <w:spacing w:line="360" w:lineRule="auto"/>
              <w:ind w:left="425" w:leftChars="0" w:right="30" w:hanging="425"/>
              <w:jc w:val="left"/>
              <w:rPr>
                <w:rFonts w:hint="eastAsia" w:ascii="宋体" w:hAnsi="宋体"/>
                <w:color w:val="auto"/>
                <w:spacing w:val="-5"/>
                <w:kern w:val="0"/>
                <w:szCs w:val="21"/>
                <w:highlight w:val="none"/>
                <w:lang w:val="sq-AL"/>
              </w:rPr>
            </w:pPr>
            <w:r>
              <w:rPr>
                <w:rFonts w:hint="eastAsia" w:ascii="宋体" w:hAnsi="宋体"/>
                <w:color w:val="auto"/>
                <w:spacing w:val="-5"/>
                <w:kern w:val="0"/>
                <w:szCs w:val="21"/>
                <w:highlight w:val="none"/>
                <w:lang w:val="sq-AL"/>
              </w:rPr>
              <w:t>投标人提供所使用的水处理药剂</w:t>
            </w:r>
            <w:r>
              <w:rPr>
                <w:rFonts w:hint="eastAsia" w:ascii="宋体" w:hAnsi="宋体"/>
                <w:color w:val="auto"/>
                <w:spacing w:val="-5"/>
                <w:kern w:val="0"/>
                <w:szCs w:val="21"/>
                <w:highlight w:val="none"/>
                <w:lang w:val="sq-AL" w:eastAsia="zh-CN"/>
              </w:rPr>
              <w:t>具有</w:t>
            </w:r>
            <w:r>
              <w:rPr>
                <w:rFonts w:hint="eastAsia" w:ascii="宋体" w:hAnsi="宋体"/>
                <w:color w:val="auto"/>
                <w:spacing w:val="-5"/>
                <w:kern w:val="0"/>
                <w:szCs w:val="21"/>
                <w:highlight w:val="none"/>
                <w:lang w:val="sq-AL"/>
              </w:rPr>
              <w:t>第三方检测机构检测报告，每提供一份得</w:t>
            </w:r>
            <w:r>
              <w:rPr>
                <w:rFonts w:hint="eastAsia" w:ascii="宋体" w:hAnsi="宋体"/>
                <w:color w:val="auto"/>
                <w:spacing w:val="-5"/>
                <w:kern w:val="0"/>
                <w:szCs w:val="21"/>
                <w:highlight w:val="none"/>
                <w:lang w:val="sq-AL" w:eastAsia="zh-CN"/>
              </w:rPr>
              <w:t>1</w:t>
            </w:r>
            <w:r>
              <w:rPr>
                <w:rFonts w:hint="eastAsia" w:ascii="宋体" w:hAnsi="宋体"/>
                <w:color w:val="auto"/>
                <w:spacing w:val="-5"/>
                <w:kern w:val="0"/>
                <w:szCs w:val="21"/>
                <w:highlight w:val="none"/>
                <w:lang w:val="sq-AL"/>
              </w:rPr>
              <w:t>分，最高得</w:t>
            </w:r>
            <w:r>
              <w:rPr>
                <w:rFonts w:hint="eastAsia" w:ascii="宋体" w:hAnsi="宋体"/>
                <w:color w:val="auto"/>
                <w:spacing w:val="-5"/>
                <w:kern w:val="0"/>
                <w:szCs w:val="21"/>
                <w:highlight w:val="none"/>
                <w:lang w:val="sq-AL" w:eastAsia="zh-CN"/>
              </w:rPr>
              <w:t>4</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rPr>
              <w:t>（提供证书复印件加盖</w:t>
            </w:r>
            <w:r>
              <w:rPr>
                <w:rFonts w:hint="eastAsia" w:ascii="宋体" w:hAnsi="宋体"/>
                <w:color w:val="auto"/>
                <w:spacing w:val="-5"/>
                <w:kern w:val="0"/>
                <w:szCs w:val="21"/>
                <w:highlight w:val="none"/>
                <w:lang w:val="en-US" w:eastAsia="zh-CN"/>
              </w:rPr>
              <w:t>投标人</w:t>
            </w:r>
            <w:r>
              <w:rPr>
                <w:rFonts w:hint="eastAsia" w:ascii="宋体" w:hAnsi="宋体"/>
                <w:color w:val="auto"/>
                <w:spacing w:val="-5"/>
                <w:kern w:val="0"/>
                <w:szCs w:val="21"/>
                <w:highlight w:val="none"/>
              </w:rPr>
              <w:t>公章）</w:t>
            </w:r>
          </w:p>
          <w:p>
            <w:pPr>
              <w:widowControl/>
              <w:numPr>
                <w:ilvl w:val="0"/>
                <w:numId w:val="29"/>
              </w:numPr>
              <w:spacing w:line="360" w:lineRule="auto"/>
              <w:ind w:left="425" w:leftChars="0" w:right="30" w:hanging="425"/>
              <w:jc w:val="left"/>
              <w:rPr>
                <w:rFonts w:ascii="宋体" w:hAnsi="宋体" w:cs="宋体"/>
                <w:color w:val="auto"/>
                <w:kern w:val="0"/>
                <w:szCs w:val="21"/>
                <w:highlight w:val="none"/>
              </w:rPr>
            </w:pPr>
            <w:r>
              <w:rPr>
                <w:rFonts w:hint="eastAsia" w:ascii="宋体" w:hAnsi="宋体"/>
                <w:color w:val="auto"/>
                <w:spacing w:val="-5"/>
                <w:kern w:val="0"/>
                <w:szCs w:val="21"/>
                <w:highlight w:val="none"/>
                <w:lang w:val="sq-AL"/>
              </w:rPr>
              <w:t>投标人具有室内环境卫生协会颁发的工业、商业循环水处理专业机构能力推荐等级证书得</w:t>
            </w:r>
            <w:r>
              <w:rPr>
                <w:rFonts w:hint="eastAsia" w:ascii="宋体" w:hAnsi="宋体"/>
                <w:color w:val="auto"/>
                <w:spacing w:val="-5"/>
                <w:kern w:val="0"/>
                <w:szCs w:val="21"/>
                <w:highlight w:val="none"/>
                <w:lang w:val="en-US" w:eastAsia="zh-CN"/>
              </w:rPr>
              <w:t>2</w:t>
            </w:r>
            <w:r>
              <w:rPr>
                <w:rFonts w:hint="eastAsia" w:ascii="宋体" w:hAnsi="宋体"/>
                <w:color w:val="auto"/>
                <w:spacing w:val="-5"/>
                <w:kern w:val="0"/>
                <w:szCs w:val="21"/>
                <w:highlight w:val="none"/>
                <w:lang w:val="sq-AL"/>
              </w:rPr>
              <w:t>分。</w:t>
            </w:r>
            <w:r>
              <w:rPr>
                <w:rFonts w:hint="eastAsia" w:ascii="宋体" w:hAnsi="宋体"/>
                <w:color w:val="auto"/>
                <w:spacing w:val="-5"/>
                <w:kern w:val="0"/>
                <w:szCs w:val="21"/>
                <w:highlight w:val="none"/>
              </w:rPr>
              <w:t>（提供证书复印件加盖</w:t>
            </w:r>
            <w:r>
              <w:rPr>
                <w:rFonts w:hint="eastAsia" w:ascii="宋体" w:hAnsi="宋体"/>
                <w:color w:val="auto"/>
                <w:spacing w:val="-5"/>
                <w:kern w:val="0"/>
                <w:szCs w:val="21"/>
                <w:highlight w:val="none"/>
                <w:lang w:val="en-US" w:eastAsia="zh-CN"/>
              </w:rPr>
              <w:t>投标人</w:t>
            </w:r>
            <w:r>
              <w:rPr>
                <w:rFonts w:hint="eastAsia" w:ascii="宋体" w:hAnsi="宋体"/>
                <w:color w:val="auto"/>
                <w:spacing w:val="-5"/>
                <w:kern w:val="0"/>
                <w:szCs w:val="21"/>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价格评议项（4</w:t>
            </w:r>
            <w:r>
              <w:rPr>
                <w:b/>
                <w:bCs/>
                <w:color w:val="auto"/>
                <w:highlight w:val="none"/>
              </w:rPr>
              <w:t>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30"/>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Style w:val="21"/>
                <w:rFonts w:hint="eastAsia" w:ascii="宋体" w:hAnsi="宋体"/>
                <w:color w:val="auto"/>
                <w:highlight w:val="none"/>
                <w:lang w:val="en-US" w:eastAsia="zh-CN"/>
              </w:rPr>
              <w:t>40</w:t>
            </w:r>
            <w:r>
              <w:rPr>
                <w:rStyle w:val="21"/>
                <w:rFonts w:hint="eastAsia" w:ascii="宋体" w:hAnsi="宋体"/>
                <w:color w:val="auto"/>
                <w:highlight w:val="none"/>
              </w:rPr>
              <w:t xml:space="preserve"> （价格评价分项满分值），Z为本次招标基准价；</w:t>
            </w:r>
          </w:p>
          <w:p>
            <w:pPr>
              <w:numPr>
                <w:ilvl w:val="0"/>
                <w:numId w:val="30"/>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A为价格调整系数，当投标报价低于本次招标最佳报价（即基准价）时，A=1；当投标报价高于次招标基准价时，取A=1；</w:t>
            </w:r>
          </w:p>
          <w:p>
            <w:pPr>
              <w:numPr>
                <w:ilvl w:val="0"/>
                <w:numId w:val="30"/>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合同模板</w:t>
      </w:r>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w:t>
      </w:r>
      <w:r>
        <w:rPr>
          <w:rFonts w:hint="eastAsia" w:ascii="仿宋" w:hAnsi="仿宋" w:eastAsia="仿宋" w:cs="宋体"/>
          <w:kern w:val="0"/>
          <w:sz w:val="28"/>
          <w:szCs w:val="28"/>
          <w:highlight w:val="yellow"/>
        </w:rPr>
        <w:t>XXX</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公司（简称“</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w:t>
      </w:r>
      <w:r>
        <w:rPr>
          <w:rFonts w:hint="eastAsia" w:ascii="仿宋" w:hAnsi="仿宋" w:eastAsia="仿宋" w:cs="宋体"/>
          <w:kern w:val="0"/>
          <w:sz w:val="28"/>
          <w:szCs w:val="28"/>
          <w:highlight w:val="yellow"/>
        </w:rPr>
        <w:t>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w:t>
      </w:r>
      <w:r>
        <w:rPr>
          <w:rFonts w:hint="eastAsia" w:ascii="仿宋" w:hAnsi="仿宋" w:eastAsia="仿宋" w:cs="宋体"/>
          <w:kern w:val="0"/>
          <w:sz w:val="28"/>
          <w:szCs w:val="28"/>
          <w:highlight w:val="yellow"/>
        </w:rPr>
        <w:t>XXXXXX</w:t>
      </w:r>
    </w:p>
    <w:p>
      <w:pPr>
        <w:pStyle w:val="2"/>
        <w:spacing w:line="360" w:lineRule="auto"/>
        <w:ind w:left="0" w:firstLine="540" w:firstLineChars="200"/>
        <w:rPr>
          <w:rFonts w:ascii="仿宋" w:hAnsi="仿宋" w:eastAsia="仿宋" w:cs="Arial"/>
          <w:sz w:val="28"/>
          <w:szCs w:val="28"/>
        </w:rPr>
      </w:pPr>
      <w:r>
        <w:rPr>
          <w:rFonts w:hint="eastAsia" w:ascii="仿宋" w:hAnsi="仿宋" w:eastAsia="仿宋" w:cs="Arial"/>
          <w:sz w:val="28"/>
          <w:szCs w:val="28"/>
        </w:rPr>
        <w:t>依据《中华人民共和国民法典》及相关法律、法规的规定及行业规范，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乙方受甲方委托为甲方提供中央空调水质处理服务，甲乙双方经协商一致，签订本合同，双方保证严格遵守和执行。</w:t>
      </w:r>
    </w:p>
    <w:p>
      <w:pPr>
        <w:pStyle w:val="2"/>
        <w:numPr>
          <w:ilvl w:val="0"/>
          <w:numId w:val="32"/>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33"/>
        </w:numPr>
        <w:spacing w:line="360" w:lineRule="auto"/>
        <w:rPr>
          <w:rFonts w:ascii="仿宋" w:hAnsi="仿宋" w:eastAsia="仿宋" w:cs="仿宋"/>
          <w:sz w:val="28"/>
          <w:szCs w:val="28"/>
        </w:rPr>
      </w:pPr>
      <w:r>
        <w:rPr>
          <w:rFonts w:hint="eastAsia" w:ascii="仿宋" w:hAnsi="仿宋" w:eastAsia="仿宋" w:cs="仿宋"/>
          <w:sz w:val="28"/>
          <w:szCs w:val="28"/>
        </w:rPr>
        <w:t>项目名称：深圳会展中心2023-2026年度中央空调水质处理服务项目</w:t>
      </w:r>
    </w:p>
    <w:p>
      <w:pPr>
        <w:pStyle w:val="2"/>
        <w:numPr>
          <w:ilvl w:val="0"/>
          <w:numId w:val="33"/>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33"/>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tabs>
          <w:tab w:val="left" w:pos="672"/>
        </w:tabs>
        <w:snapToGrid w:val="0"/>
        <w:spacing w:line="360" w:lineRule="auto"/>
        <w:ind w:firstLine="810" w:firstLineChars="300"/>
        <w:rPr>
          <w:rFonts w:ascii="仿宋" w:hAnsi="仿宋" w:eastAsia="仿宋" w:cs="Arial"/>
          <w:spacing w:val="-5"/>
          <w:kern w:val="0"/>
          <w:sz w:val="28"/>
          <w:szCs w:val="28"/>
        </w:rPr>
      </w:pPr>
      <w:r>
        <w:rPr>
          <w:rFonts w:hint="eastAsia" w:ascii="仿宋" w:hAnsi="仿宋" w:eastAsia="仿宋" w:cs="Arial"/>
          <w:spacing w:val="-5"/>
          <w:kern w:val="0"/>
          <w:sz w:val="28"/>
          <w:szCs w:val="28"/>
        </w:rPr>
        <w:t>（1）制冷量14098吨的冷冻水的水质处理。</w:t>
      </w:r>
    </w:p>
    <w:p>
      <w:pPr>
        <w:tabs>
          <w:tab w:val="left" w:pos="672"/>
        </w:tabs>
        <w:snapToGrid w:val="0"/>
        <w:spacing w:line="360" w:lineRule="auto"/>
        <w:rPr>
          <w:rFonts w:ascii="仿宋" w:hAnsi="仿宋" w:eastAsia="仿宋" w:cs="Arial"/>
          <w:spacing w:val="-5"/>
          <w:kern w:val="0"/>
          <w:sz w:val="28"/>
          <w:szCs w:val="28"/>
        </w:rPr>
      </w:pPr>
      <w:r>
        <w:rPr>
          <w:rFonts w:hint="eastAsia" w:ascii="仿宋" w:hAnsi="仿宋" w:eastAsia="仿宋" w:cs="Arial"/>
          <w:spacing w:val="-5"/>
          <w:kern w:val="0"/>
          <w:sz w:val="28"/>
          <w:szCs w:val="28"/>
        </w:rPr>
        <w:t xml:space="preserve">      （2）制冷量14098吨的冷却水的水质处理</w:t>
      </w:r>
    </w:p>
    <w:p>
      <w:pPr>
        <w:tabs>
          <w:tab w:val="left" w:pos="672"/>
        </w:tabs>
        <w:snapToGrid w:val="0"/>
        <w:spacing w:line="360" w:lineRule="auto"/>
        <w:ind w:firstLine="810" w:firstLineChars="300"/>
        <w:rPr>
          <w:rFonts w:ascii="仿宋" w:hAnsi="仿宋" w:eastAsia="仿宋" w:cs="Arial"/>
          <w:spacing w:val="-5"/>
          <w:kern w:val="0"/>
          <w:sz w:val="28"/>
          <w:szCs w:val="28"/>
        </w:rPr>
      </w:pPr>
      <w:r>
        <w:rPr>
          <w:rFonts w:hint="eastAsia" w:ascii="仿宋" w:hAnsi="仿宋" w:eastAsia="仿宋" w:cs="Arial"/>
          <w:spacing w:val="-5"/>
          <w:kern w:val="0"/>
          <w:sz w:val="28"/>
          <w:szCs w:val="28"/>
        </w:rPr>
        <w:t>（3）八组CEF330-5-1冷却塔的清洗。</w:t>
      </w:r>
    </w:p>
    <w:p>
      <w:pPr>
        <w:tabs>
          <w:tab w:val="left" w:pos="672"/>
        </w:tabs>
        <w:snapToGrid w:val="0"/>
        <w:spacing w:line="360" w:lineRule="auto"/>
        <w:ind w:firstLine="810" w:firstLineChars="300"/>
        <w:rPr>
          <w:rFonts w:ascii="仿宋" w:hAnsi="仿宋" w:eastAsia="仿宋" w:cs="Arial"/>
          <w:spacing w:val="-5"/>
          <w:kern w:val="0"/>
          <w:sz w:val="28"/>
          <w:szCs w:val="28"/>
        </w:rPr>
      </w:pPr>
      <w:r>
        <w:rPr>
          <w:rFonts w:hint="eastAsia" w:ascii="仿宋" w:hAnsi="仿宋" w:eastAsia="仿宋" w:cs="Arial"/>
          <w:spacing w:val="-5"/>
          <w:kern w:val="0"/>
          <w:sz w:val="28"/>
          <w:szCs w:val="28"/>
        </w:rPr>
        <w:t>（4）每年空调运行淡季，在不影响展会的情况下，对冷水机组冷凝器进行通炮施工。</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（5）每年10月份对冷却水、冷冻水取样送第三方检验机构检验，且保证第三方检验合格，由第三方检验机构出具检验合格证书（包含军团菌检测）。如果检验不合格，需整改，直至检验合格为止。</w:t>
      </w:r>
    </w:p>
    <w:p>
      <w:pPr>
        <w:pStyle w:val="2"/>
        <w:numPr>
          <w:ilvl w:val="255"/>
          <w:numId w:val="0"/>
        </w:numPr>
        <w:spacing w:line="360" w:lineRule="auto"/>
        <w:ind w:left="520"/>
        <w:rPr>
          <w:rFonts w:ascii="仿宋" w:hAnsi="仿宋" w:eastAsia="仿宋" w:cs="Arial"/>
          <w:sz w:val="28"/>
          <w:szCs w:val="28"/>
        </w:rPr>
      </w:pPr>
      <w:r>
        <w:rPr>
          <w:rFonts w:hint="eastAsia" w:ascii="仿宋" w:hAnsi="仿宋" w:eastAsia="仿宋" w:cs="Arial"/>
          <w:sz w:val="28"/>
          <w:szCs w:val="28"/>
        </w:rPr>
        <w:t>服务要求</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1、对冷冻水及冷却水系统进行杀菌灭藻处理及除垢、除浮锈、除油化学清洗；</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2、从主管道最低点排放所有冷冻、冷却水，拆洗Y型过滤器，并将冷却塔盘清洗干净；</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3、对冷却循环系统进行预膜处理，使管道形成一层均匀致密的氧化保护层以控制系统的锈蚀速度，冷冻系统投加缓蚀剂作防锈缓蚀处理；</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4、提供合同期内空调水质处理用药(其中包括杀菌剂、缓蚀阻垢剂、冬天停机湿保剂等)；</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5、设备开机阶段，冷却系统每周派人加药一次,每月清洗冷却塔塔盘一次，并进行排污。</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6、设备开机阶段，冷冻水系统每三个月取一次水样，冷却水系统每月取一次水样，进行分析测试，并依时向甲方递交分析报告；</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7、停机阶段，冷却水系统投加防锈湿保剂。</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8、对每台主机进行一次冷凝器通炮处理，并确保不损坏机组（具体时间由甲乙双方商量后最后确定）；对4台冷却塔自动加药装置进行日常维护保养。</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9、每年对冷却水塔因运行、蒸发而形成的污泥进行清理，确保外观清洁（每年一次）。</w:t>
      </w:r>
    </w:p>
    <w:p>
      <w:pPr>
        <w:pStyle w:val="2"/>
        <w:spacing w:line="360" w:lineRule="auto"/>
        <w:ind w:left="0" w:firstLine="810" w:firstLineChars="300"/>
        <w:rPr>
          <w:rFonts w:ascii="仿宋" w:hAnsi="仿宋" w:eastAsia="仿宋" w:cs="Arial"/>
          <w:sz w:val="28"/>
          <w:szCs w:val="28"/>
        </w:rPr>
      </w:pPr>
      <w:r>
        <w:rPr>
          <w:rFonts w:hint="eastAsia" w:ascii="仿宋" w:hAnsi="仿宋" w:eastAsia="仿宋" w:cs="Arial"/>
          <w:sz w:val="28"/>
          <w:szCs w:val="28"/>
        </w:rPr>
        <w:t>10、在每年高交会等大型展会在甲方场地举办期间，须指派两名工程师现场保障服务；出现故障时2小时内响应，4小时内到达现场。</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sz w:val="28"/>
          <w:szCs w:val="28"/>
        </w:rPr>
        <w:t>11、在冷冻水、冷却水符</w:t>
      </w:r>
      <w:r>
        <w:rPr>
          <w:rFonts w:hint="eastAsia" w:ascii="仿宋" w:hAnsi="仿宋" w:eastAsia="仿宋" w:cs="Arial"/>
          <w:color w:val="auto"/>
          <w:sz w:val="28"/>
          <w:szCs w:val="28"/>
          <w:highlight w:val="none"/>
        </w:rPr>
        <w:t>合水处理技术工况的前提下，如出现连续两次水质指标不合格，甲方有权要求根据其超标项所造成的损失扣减乙方的合同款（第一次不合格，责令改正，第二次不合格，按每个不合格指标扣减500元的标准，在支付合同款时直接扣减，且要求改正），如关键指标有三项以上超标，且造成甲方设备损坏，甲方有权单方面解除合同并要求乙方赔偿损失。</w:t>
      </w:r>
    </w:p>
    <w:p>
      <w:pPr>
        <w:pStyle w:val="2"/>
        <w:spacing w:line="360" w:lineRule="auto"/>
        <w:ind w:left="0" w:firstLine="540" w:firstLineChars="2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12、每年三次对空调冷却水系统进行军团菌的消杀（由甲方指定时间），如在这三次期间出现军团菌超标的情况,乙方应无条件进行整改，直至卫生部门检查合格为止，由于检查不合格所产生的费用全部由乙方承担；每年10月份对冷却水、冷冻水取样送第三方有检验资质的检验，并出具检验证书（包含军团菌检测）。检验证书如不合格，需整改，直至合格为止。</w:t>
      </w:r>
    </w:p>
    <w:p>
      <w:pPr>
        <w:pStyle w:val="2"/>
        <w:spacing w:line="360" w:lineRule="auto"/>
        <w:ind w:left="0" w:firstLine="270" w:firstLineChars="1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13、由于乙方负责中央空调水质处理施工不当造成的安全事故、甲方设备损坏、第三方人身及财产损失由乙方承担全部责任，与甲方无关；</w:t>
      </w:r>
    </w:p>
    <w:p>
      <w:pPr>
        <w:pStyle w:val="2"/>
        <w:spacing w:line="360" w:lineRule="auto"/>
        <w:ind w:left="0" w:firstLine="270" w:firstLineChars="1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14、乙方应妥善处置存放在甲方的所有水处理药剂。如因保管不当而造成后果，由乙方承担全部责任，与甲方无关；</w:t>
      </w:r>
    </w:p>
    <w:p>
      <w:pPr>
        <w:pStyle w:val="2"/>
        <w:spacing w:line="360" w:lineRule="auto"/>
        <w:ind w:left="0" w:firstLine="270" w:firstLineChars="1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15、除本合同有特殊约定外，乙方处理中央空调水质所需的相关辅料均自行提供，甲方不承担相关费用；</w:t>
      </w:r>
    </w:p>
    <w:p>
      <w:pPr>
        <w:pStyle w:val="2"/>
        <w:spacing w:line="360" w:lineRule="auto"/>
        <w:ind w:left="0" w:firstLine="270" w:firstLineChars="1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16、经水处理后，空调系统达到如下处理效果：</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(一)、水质</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1)、冷却循环水（参照GB50050-95）：</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PH  值     7.0～9.2（自然达到平衡）</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浊  度     ≤20mg/L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总硬度     ≤600mg/L（以CaCO3计）</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总碱度     ≤500mg/L（以CaCO3计）</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总  铁     ≤1.0mg/L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总  铜     ≤0.2mg/L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氯离子     ≤1000mg/L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电导率     ＜2500μs/cm</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细菌数     ＜5</w:t>
      </w:r>
      <w:r>
        <w:rPr>
          <w:rFonts w:hint="eastAsia" w:ascii="仿宋" w:hAnsi="仿宋" w:eastAsia="仿宋" w:cs="Arial"/>
          <w:color w:val="auto"/>
          <w:sz w:val="28"/>
          <w:szCs w:val="28"/>
          <w:highlight w:val="none"/>
        </w:rPr>
        <w:sym w:font="Wingdings 2" w:char="F0CE"/>
      </w:r>
      <w:r>
        <w:rPr>
          <w:rFonts w:hint="eastAsia" w:ascii="仿宋" w:hAnsi="仿宋" w:eastAsia="仿宋" w:cs="Arial"/>
          <w:color w:val="auto"/>
          <w:sz w:val="28"/>
          <w:szCs w:val="28"/>
          <w:highlight w:val="none"/>
        </w:rPr>
        <w:t>105</w:t>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t>个/mL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2)、冷冻循环水（参照日本工业规格JIS　K2234）：</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PH    值    8.0～11.0</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钢腐蚀率    ≤0.6mg/cm2</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    铜腐蚀率    ≤0.3mg/cm2</w:t>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细 菌 数    ＜5</w:t>
      </w:r>
      <w:r>
        <w:rPr>
          <w:rFonts w:hint="eastAsia" w:ascii="仿宋" w:hAnsi="仿宋" w:eastAsia="仿宋" w:cs="Arial"/>
          <w:color w:val="auto"/>
          <w:sz w:val="28"/>
          <w:szCs w:val="28"/>
          <w:highlight w:val="none"/>
        </w:rPr>
        <w:sym w:font="Wingdings 2" w:char="F0CE"/>
      </w:r>
      <w:r>
        <w:rPr>
          <w:rFonts w:hint="eastAsia" w:ascii="仿宋" w:hAnsi="仿宋" w:eastAsia="仿宋" w:cs="Arial"/>
          <w:color w:val="auto"/>
          <w:sz w:val="28"/>
          <w:szCs w:val="28"/>
          <w:highlight w:val="none"/>
        </w:rPr>
        <w:t>105</w:t>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softHyphen/>
      </w:r>
      <w:r>
        <w:rPr>
          <w:rFonts w:hint="eastAsia" w:ascii="仿宋" w:hAnsi="仿宋" w:eastAsia="仿宋" w:cs="Arial"/>
          <w:color w:val="auto"/>
          <w:sz w:val="28"/>
          <w:szCs w:val="28"/>
          <w:highlight w:val="none"/>
        </w:rPr>
        <w:t>个/mL</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(二)、缓蚀效果</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1)、冷冻水</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在冷冻系统无不正常泄漏的前提下，取冷冻水静态浸片，钢片、铜片外观无锈蚀现象。</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2)、冷却水</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a.停机湿保状态，取水样静态浸片，钢片、铜片外观无锈蚀现象；</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b.开机阶段，根据GB/T 18175-2014《水处理剂缓蚀性能的测定 旋转挂片法》采用旋转挂片仪测试钢腐蚀率、铜腐蚀率，其钢、铜腐蚀率达到国标要求：</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钢腐蚀率     ＜ 0.125mm/a</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铜腐蚀率     ＜ 0.005mm/a</w:t>
      </w:r>
    </w:p>
    <w:p>
      <w:pPr>
        <w:pStyle w:val="2"/>
        <w:spacing w:line="360" w:lineRule="auto"/>
        <w:ind w:left="0" w:firstLine="81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(三)、在排除机械方面的故障之后，冷媒出口温度和冷却水回水温度差小于2℃，每年12月打开冷凝器端盖，由甲、乙双方共同检查冷凝器铜管的结垢情况，管壁少泥少垢，无化学硬垢</w:t>
      </w:r>
    </w:p>
    <w:p>
      <w:pPr>
        <w:pStyle w:val="2"/>
        <w:numPr>
          <w:ilvl w:val="0"/>
          <w:numId w:val="32"/>
        </w:numPr>
        <w:spacing w:line="360" w:lineRule="auto"/>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服务期限</w:t>
      </w:r>
    </w:p>
    <w:p>
      <w:pPr>
        <w:pStyle w:val="2"/>
        <w:spacing w:line="360" w:lineRule="auto"/>
        <w:ind w:left="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本项目服务期限为3年，从本合同签订生效之日起至XXXX年X月X日止。年度服务期满前3个月，乙方应主动向甲方申请对其本年度服务情况进行评审，经甲方综合考核评审服务达到优良（综合得分</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80分），则执行下一年度服务合同。如综合考核评审服务未达到优良，甲方有权终止下一年度服务合同。综合考核评审细则详见附件《XXXX考核评审细则》。</w:t>
      </w:r>
    </w:p>
    <w:p>
      <w:pPr>
        <w:pStyle w:val="2"/>
        <w:numPr>
          <w:ilvl w:val="0"/>
          <w:numId w:val="32"/>
        </w:numPr>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合同金额及付款要求</w:t>
      </w:r>
    </w:p>
    <w:p>
      <w:pPr>
        <w:pStyle w:val="24"/>
        <w:numPr>
          <w:ilvl w:val="1"/>
          <w:numId w:val="34"/>
        </w:numPr>
        <w:spacing w:line="500" w:lineRule="exact"/>
        <w:ind w:left="5" w:firstLine="635" w:firstLineChars="0"/>
        <w:rPr>
          <w:rFonts w:ascii="仿宋" w:hAnsi="仿宋" w:eastAsia="仿宋" w:cs="仿宋"/>
          <w:color w:val="auto"/>
          <w:spacing w:val="-2"/>
          <w:sz w:val="28"/>
          <w:szCs w:val="28"/>
          <w:highlight w:val="none"/>
        </w:rPr>
      </w:pPr>
      <w:r>
        <w:rPr>
          <w:rFonts w:hint="eastAsia" w:ascii="仿宋" w:hAnsi="仿宋" w:eastAsia="仿宋" w:cs="仿宋"/>
          <w:color w:val="auto"/>
          <w:sz w:val="28"/>
          <w:szCs w:val="28"/>
          <w:highlight w:val="none"/>
        </w:rPr>
        <w:t>合同金额</w:t>
      </w:r>
    </w:p>
    <w:p>
      <w:pPr>
        <w:pStyle w:val="24"/>
        <w:numPr>
          <w:ilvl w:val="0"/>
          <w:numId w:val="35"/>
        </w:numPr>
        <w:spacing w:line="500" w:lineRule="exact"/>
        <w:ind w:firstLine="560"/>
        <w:rPr>
          <w:rFonts w:ascii="仿宋" w:hAnsi="仿宋" w:eastAsia="仿宋" w:cs="仿宋"/>
          <w:color w:val="auto"/>
          <w:spacing w:val="-2"/>
          <w:sz w:val="28"/>
          <w:szCs w:val="28"/>
          <w:highlight w:val="none"/>
        </w:rPr>
      </w:pPr>
      <w:r>
        <w:rPr>
          <w:rFonts w:hint="eastAsia" w:ascii="仿宋" w:hAnsi="仿宋" w:eastAsia="仿宋" w:cs="仿宋"/>
          <w:bCs/>
          <w:color w:val="auto"/>
          <w:sz w:val="28"/>
          <w:szCs w:val="28"/>
          <w:highlight w:val="none"/>
        </w:rPr>
        <w:t>本项</w:t>
      </w:r>
      <w:r>
        <w:rPr>
          <w:rFonts w:hint="eastAsia" w:ascii="仿宋" w:hAnsi="仿宋" w:eastAsia="仿宋" w:cs="仿宋"/>
          <w:color w:val="auto"/>
          <w:sz w:val="28"/>
          <w:szCs w:val="28"/>
          <w:highlight w:val="none"/>
        </w:rPr>
        <w:t>目合同金额</w:t>
      </w:r>
      <w:r>
        <w:rPr>
          <w:rFonts w:hint="eastAsia" w:ascii="仿宋" w:hAnsi="仿宋" w:eastAsia="仿宋" w:cs="仿宋"/>
          <w:bCs/>
          <w:color w:val="auto"/>
          <w:sz w:val="28"/>
          <w:szCs w:val="28"/>
          <w:highlight w:val="none"/>
        </w:rPr>
        <w:t>为¥XXX万元（</w:t>
      </w:r>
      <w:r>
        <w:rPr>
          <w:rFonts w:hint="eastAsia" w:ascii="仿宋" w:hAnsi="仿宋" w:eastAsia="仿宋" w:cs="仿宋"/>
          <w:color w:val="auto"/>
          <w:sz w:val="28"/>
          <w:szCs w:val="28"/>
          <w:highlight w:val="none"/>
        </w:rPr>
        <w:t>大写人民币：</w:t>
      </w:r>
      <w:r>
        <w:rPr>
          <w:rFonts w:hint="eastAsia" w:ascii="仿宋" w:hAnsi="仿宋" w:eastAsia="仿宋" w:cs="仿宋"/>
          <w:color w:val="auto"/>
          <w:sz w:val="28"/>
          <w:szCs w:val="28"/>
          <w:highlight w:val="none"/>
          <w:u w:val="single"/>
        </w:rPr>
        <w:t>XXXX元整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），税率为X%</w:t>
      </w:r>
      <w:r>
        <w:rPr>
          <w:rFonts w:hint="eastAsia" w:ascii="仿宋" w:hAnsi="仿宋" w:eastAsia="仿宋" w:cs="仿宋"/>
          <w:color w:val="auto"/>
          <w:spacing w:val="-2"/>
          <w:sz w:val="28"/>
          <w:szCs w:val="28"/>
          <w:highlight w:val="none"/>
        </w:rPr>
        <w:t>。</w:t>
      </w:r>
    </w:p>
    <w:p>
      <w:pPr>
        <w:pStyle w:val="24"/>
        <w:numPr>
          <w:ilvl w:val="0"/>
          <w:numId w:val="35"/>
        </w:numPr>
        <w:spacing w:line="500" w:lineRule="exact"/>
        <w:ind w:firstLine="560"/>
        <w:rPr>
          <w:rFonts w:ascii="仿宋" w:hAnsi="仿宋" w:eastAsia="仿宋" w:cs="仿宋"/>
          <w:color w:val="auto"/>
          <w:spacing w:val="-2"/>
          <w:sz w:val="28"/>
          <w:szCs w:val="28"/>
          <w:highlight w:val="none"/>
        </w:rPr>
      </w:pPr>
      <w:r>
        <w:rPr>
          <w:rFonts w:hint="eastAsia" w:ascii="仿宋" w:hAnsi="仿宋" w:eastAsia="仿宋" w:cs="仿宋"/>
          <w:bCs/>
          <w:color w:val="auto"/>
          <w:sz w:val="28"/>
          <w:szCs w:val="28"/>
          <w:highlight w:val="none"/>
        </w:rPr>
        <w:t>以上金额已经包含项目费用开具增值税专用发票所产生的税费及乙方完成本项目服务所发生的</w:t>
      </w:r>
      <w:r>
        <w:rPr>
          <w:rFonts w:hint="eastAsia" w:ascii="仿宋" w:hAnsi="仿宋" w:eastAsia="仿宋" w:cs="仿宋"/>
          <w:color w:val="auto"/>
          <w:sz w:val="28"/>
          <w:szCs w:val="28"/>
          <w:highlight w:val="none"/>
        </w:rPr>
        <w:t>全部费用。</w:t>
      </w:r>
    </w:p>
    <w:p>
      <w:pPr>
        <w:pStyle w:val="24"/>
        <w:numPr>
          <w:ilvl w:val="1"/>
          <w:numId w:val="34"/>
        </w:numPr>
        <w:spacing w:line="500" w:lineRule="exact"/>
        <w:ind w:left="5" w:firstLine="635" w:firstLineChars="0"/>
        <w:rPr>
          <w:rFonts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付款要求</w:t>
      </w:r>
    </w:p>
    <w:p>
      <w:pPr>
        <w:pStyle w:val="24"/>
        <w:spacing w:line="50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每满半年支付一次服务费，乙方须按照服务规范要求完成中央空调水质处理服务工作并提供中央空调水质处理服务工作总结报告，经过甲方现场管理人员检查确认后放可付款。</w:t>
      </w:r>
    </w:p>
    <w:p>
      <w:pPr>
        <w:pStyle w:val="2"/>
        <w:numPr>
          <w:ilvl w:val="0"/>
          <w:numId w:val="32"/>
        </w:numPr>
        <w:spacing w:line="360" w:lineRule="auto"/>
        <w:ind w:left="420" w:leftChars="200"/>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验收标准</w:t>
      </w:r>
    </w:p>
    <w:p>
      <w:pPr>
        <w:pStyle w:val="2"/>
        <w:spacing w:line="360" w:lineRule="auto"/>
        <w:ind w:left="0" w:firstLine="560" w:firstLineChars="200"/>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1.经水处理后，空调系统达到如下处理效果：</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(一)、水质</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(1)、冷却循环水（参照GB50050-95）：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PH  值     7.0～9.2（自然达到平衡）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浊  度     ≤20mg/L</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总硬度     ≤600mg/L（以CaCO3计）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总碱度     ≤500mg/L（以CaCO3计）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总  铁     ≤1.0mg/L</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  铜     ≤0.2mg/L</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氯离子     ≤1000mg/L</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电导率     ＜2500μs/cm</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细菌数     ＜5</w:t>
      </w:r>
      <w:r>
        <w:rPr>
          <w:rFonts w:hint="eastAsia" w:ascii="宋体" w:hAnsi="宋体" w:cs="宋体"/>
          <w:color w:val="auto"/>
          <w:sz w:val="24"/>
          <w:highlight w:val="none"/>
        </w:rPr>
        <w:sym w:font="Wingdings 2" w:char="F0CE"/>
      </w:r>
      <w:r>
        <w:rPr>
          <w:rFonts w:hint="eastAsia" w:ascii="宋体" w:hAnsi="宋体" w:cs="宋体"/>
          <w:color w:val="auto"/>
          <w:sz w:val="24"/>
          <w:highlight w:val="none"/>
        </w:rPr>
        <w:t>105</w:t>
      </w: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t>个/mL</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(2)、冷冻循环水（参照日本工业规格JIS　K2234）：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PH    值    8.0～11.0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钢腐蚀率    ≤0.6mg/cm2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铜腐蚀率    ≤0.3mg/cm2</w:t>
      </w:r>
      <w:r>
        <w:rPr>
          <w:rFonts w:hint="eastAsia" w:ascii="宋体" w:hAnsi="宋体" w:cs="宋体"/>
          <w:color w:val="auto"/>
          <w:sz w:val="24"/>
          <w:highlight w:val="none"/>
        </w:rPr>
        <w:softHyphen/>
      </w:r>
      <w:r>
        <w:rPr>
          <w:rFonts w:hint="eastAsia" w:ascii="宋体" w:hAnsi="宋体" w:cs="宋体"/>
          <w:color w:val="auto"/>
          <w:sz w:val="24"/>
          <w:highlight w:val="none"/>
        </w:rPr>
        <w:softHyphen/>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细 菌 数    ＜5</w:t>
      </w:r>
      <w:r>
        <w:rPr>
          <w:rFonts w:hint="eastAsia" w:ascii="宋体" w:hAnsi="宋体" w:cs="宋体"/>
          <w:color w:val="auto"/>
          <w:sz w:val="24"/>
          <w:highlight w:val="none"/>
        </w:rPr>
        <w:sym w:font="Wingdings 2" w:char="F0CE"/>
      </w:r>
      <w:r>
        <w:rPr>
          <w:rFonts w:hint="eastAsia" w:ascii="宋体" w:hAnsi="宋体" w:cs="宋体"/>
          <w:color w:val="auto"/>
          <w:sz w:val="24"/>
          <w:highlight w:val="none"/>
        </w:rPr>
        <w:t>105</w:t>
      </w: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t>个/mL</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(二)、缓蚀效果</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(1)、冷冻水</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在冷冻系统无不正常泄漏的前提下，取冷冻水静态浸片，钢片、铜片外观无锈蚀现象。</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(2)、冷却水</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a.停机湿保状态，取水样静态浸片，钢片、铜片外观无锈蚀现象；</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b.开机阶段，根据GB/T 18175-2014《水处理剂缓蚀性能的测定 旋转挂片法》采用旋转挂片仪测试钢腐蚀率、铜腐蚀率，其钢、铜腐蚀率达到国标要求：</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钢腐蚀率＜ 0.125mm/a、铜腐蚀率＜ 0.005mm/a</w:t>
      </w:r>
    </w:p>
    <w:p>
      <w:pPr>
        <w:pStyle w:val="2"/>
        <w:spacing w:line="360" w:lineRule="auto"/>
        <w:ind w:left="522"/>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(三)、在排除机械方面的故障之后，冷媒出口温度和冷却水回水温度差小于2℃，每年12月打开冷凝器端盖，由甲、乙双方共同检查冷凝器铜管的结垢情况，管壁少泥少垢，无化学硬垢</w:t>
      </w:r>
    </w:p>
    <w:p>
      <w:pPr>
        <w:pStyle w:val="2"/>
        <w:numPr>
          <w:ilvl w:val="0"/>
          <w:numId w:val="32"/>
        </w:numPr>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双方权利与义务</w:t>
      </w:r>
    </w:p>
    <w:p>
      <w:pPr>
        <w:pStyle w:val="2"/>
        <w:numPr>
          <w:ilvl w:val="0"/>
          <w:numId w:val="36"/>
        </w:num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甲方权利与义务</w:t>
      </w:r>
    </w:p>
    <w:p>
      <w:pPr>
        <w:pStyle w:val="2"/>
        <w:numPr>
          <w:ilvl w:val="0"/>
          <w:numId w:val="37"/>
        </w:numPr>
        <w:ind w:left="52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甲方安排1-2名空调系统专业管理人员和乙方对接，协调乙方进入会展中心的工作安排。</w:t>
      </w:r>
    </w:p>
    <w:p>
      <w:pPr>
        <w:pStyle w:val="2"/>
        <w:numPr>
          <w:ilvl w:val="0"/>
          <w:numId w:val="37"/>
        </w:numPr>
        <w:ind w:left="52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按照合同约定，按时给乙方支付合同款。</w:t>
      </w:r>
    </w:p>
    <w:p>
      <w:pPr>
        <w:pStyle w:val="2"/>
        <w:numPr>
          <w:ilvl w:val="0"/>
          <w:numId w:val="36"/>
        </w:num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乙方权利与义务</w:t>
      </w:r>
    </w:p>
    <w:p>
      <w:pPr>
        <w:pStyle w:val="2"/>
        <w:numPr>
          <w:ilvl w:val="0"/>
          <w:numId w:val="38"/>
        </w:numPr>
        <w:ind w:left="0" w:firstLine="418" w:firstLineChars="155"/>
        <w:rPr>
          <w:rFonts w:ascii="仿宋" w:hAnsi="仿宋" w:eastAsia="仿宋" w:cs="仿宋"/>
          <w:color w:val="auto"/>
          <w:sz w:val="28"/>
          <w:szCs w:val="28"/>
          <w:highlight w:val="none"/>
        </w:rPr>
      </w:pPr>
      <w:r>
        <w:rPr>
          <w:rFonts w:hint="eastAsia" w:ascii="仿宋" w:hAnsi="仿宋" w:eastAsia="仿宋" w:cs="宋体"/>
          <w:color w:val="auto"/>
          <w:sz w:val="28"/>
          <w:szCs w:val="28"/>
          <w:highlight w:val="none"/>
        </w:rPr>
        <w:t>......</w:t>
      </w:r>
    </w:p>
    <w:p>
      <w:pPr>
        <w:pStyle w:val="2"/>
        <w:numPr>
          <w:ilvl w:val="0"/>
          <w:numId w:val="32"/>
        </w:numPr>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处罚标准（无）</w:t>
      </w:r>
    </w:p>
    <w:p>
      <w:pPr>
        <w:pStyle w:val="2"/>
        <w:numPr>
          <w:ilvl w:val="0"/>
          <w:numId w:val="32"/>
        </w:numPr>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知识产权归属（无）</w:t>
      </w:r>
    </w:p>
    <w:p>
      <w:pPr>
        <w:pStyle w:val="2"/>
        <w:numPr>
          <w:ilvl w:val="0"/>
          <w:numId w:val="32"/>
        </w:numPr>
        <w:ind w:left="420" w:left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违约责任</w:t>
      </w:r>
    </w:p>
    <w:p>
      <w:pPr>
        <w:numPr>
          <w:ilvl w:val="0"/>
          <w:numId w:val="39"/>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甲乙双方任何一方违反约定事项造成对方实际损失的，应在15天内向对方支付年度合同金额XX%的赔偿金和违约金。</w:t>
      </w:r>
    </w:p>
    <w:p>
      <w:pPr>
        <w:numPr>
          <w:ilvl w:val="0"/>
          <w:numId w:val="39"/>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2"/>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40"/>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40"/>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40"/>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32"/>
        </w:numPr>
        <w:ind w:left="420" w:left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2"/>
        </w:numPr>
        <w:ind w:left="420" w:leftChars="200"/>
        <w:rPr>
          <w:rFonts w:ascii="仿宋" w:hAnsi="仿宋" w:eastAsia="仿宋" w:cs="仿宋"/>
          <w:b/>
          <w:bCs/>
          <w:sz w:val="28"/>
          <w:szCs w:val="28"/>
        </w:rPr>
      </w:pPr>
      <w:r>
        <w:rPr>
          <w:rFonts w:hint="eastAsia" w:ascii="仿宋" w:hAnsi="仿宋" w:eastAsia="仿宋" w:cs="仿宋"/>
          <w:b/>
          <w:bCs/>
          <w:sz w:val="28"/>
          <w:szCs w:val="28"/>
        </w:rPr>
        <w:t>不可抗力</w:t>
      </w:r>
    </w:p>
    <w:p>
      <w:pPr>
        <w:pStyle w:val="24"/>
        <w:numPr>
          <w:ilvl w:val="0"/>
          <w:numId w:val="41"/>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4"/>
        <w:numPr>
          <w:ilvl w:val="0"/>
          <w:numId w:val="41"/>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32"/>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32"/>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42"/>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42"/>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42"/>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42"/>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2"/>
      </w:pPr>
    </w:p>
    <w:p>
      <w:pPr>
        <w:pStyle w:val="12"/>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236803111"/>
      <w:bookmarkStart w:id="77" w:name="_Toc395883088"/>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4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5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5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sectPr>
      <w:footerReference r:id="rId5" w:type="default"/>
      <w:pgSz w:w="11906" w:h="16838"/>
      <w:pgMar w:top="1134" w:right="1800" w:bottom="993" w:left="222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6B97464"/>
    <w:multiLevelType w:val="singleLevel"/>
    <w:tmpl w:val="96B97464"/>
    <w:lvl w:ilvl="0" w:tentative="0">
      <w:start w:val="1"/>
      <w:numFmt w:val="decimal"/>
      <w:lvlText w:val="(%1)"/>
      <w:lvlJc w:val="left"/>
      <w:pPr>
        <w:ind w:left="425" w:hanging="425"/>
      </w:pPr>
      <w:rPr>
        <w:rFonts w:hint="default"/>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A975A0B7"/>
    <w:multiLevelType w:val="singleLevel"/>
    <w:tmpl w:val="A975A0B7"/>
    <w:lvl w:ilvl="0" w:tentative="0">
      <w:start w:val="1"/>
      <w:numFmt w:val="decimal"/>
      <w:suff w:val="nothing"/>
      <w:lvlText w:val="（%1）"/>
      <w:lvlJc w:val="left"/>
    </w:lvl>
  </w:abstractNum>
  <w:abstractNum w:abstractNumId="6">
    <w:nsid w:val="C421C09B"/>
    <w:multiLevelType w:val="singleLevel"/>
    <w:tmpl w:val="C421C09B"/>
    <w:lvl w:ilvl="0" w:tentative="0">
      <w:start w:val="1"/>
      <w:numFmt w:val="decimal"/>
      <w:lvlText w:val="%1."/>
      <w:lvlJc w:val="left"/>
      <w:pPr>
        <w:ind w:left="425" w:hanging="425"/>
      </w:pPr>
      <w:rPr>
        <w:rFonts w:hint="default"/>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048091A"/>
    <w:multiLevelType w:val="singleLevel"/>
    <w:tmpl w:val="E048091A"/>
    <w:lvl w:ilvl="0" w:tentative="0">
      <w:start w:val="1"/>
      <w:numFmt w:val="decimal"/>
      <w:lvlText w:val="%1."/>
      <w:lvlJc w:val="left"/>
      <w:pPr>
        <w:ind w:left="425" w:hanging="425"/>
      </w:pPr>
      <w:rPr>
        <w:rFonts w:hint="default"/>
      </w:r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00699B23"/>
    <w:multiLevelType w:val="singleLevel"/>
    <w:tmpl w:val="00699B23"/>
    <w:lvl w:ilvl="0" w:tentative="0">
      <w:start w:val="1"/>
      <w:numFmt w:val="decimal"/>
      <w:lvlText w:val="(%1)"/>
      <w:lvlJc w:val="left"/>
      <w:pPr>
        <w:ind w:left="425" w:hanging="425"/>
      </w:pPr>
      <w:rPr>
        <w:rFonts w:hint="default"/>
      </w:rPr>
    </w:lvl>
  </w:abstractNum>
  <w:abstractNum w:abstractNumId="18">
    <w:nsid w:val="09569B04"/>
    <w:multiLevelType w:val="singleLevel"/>
    <w:tmpl w:val="09569B04"/>
    <w:lvl w:ilvl="0" w:tentative="0">
      <w:start w:val="1"/>
      <w:numFmt w:val="decimal"/>
      <w:lvlText w:val="%1."/>
      <w:lvlJc w:val="left"/>
      <w:pPr>
        <w:ind w:left="425" w:hanging="425"/>
      </w:pPr>
      <w:rPr>
        <w:rFonts w:hint="default"/>
      </w:r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9898553"/>
    <w:multiLevelType w:val="singleLevel"/>
    <w:tmpl w:val="19898553"/>
    <w:lvl w:ilvl="0" w:tentative="0">
      <w:start w:val="1"/>
      <w:numFmt w:val="decimal"/>
      <w:lvlText w:val="%1."/>
      <w:lvlJc w:val="left"/>
      <w:pPr>
        <w:ind w:left="425" w:hanging="425"/>
      </w:pPr>
      <w:rPr>
        <w:rFonts w:hint="default"/>
      </w:rPr>
    </w:lvl>
  </w:abstractNum>
  <w:abstractNum w:abstractNumId="2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1A413C0"/>
    <w:multiLevelType w:val="multilevel"/>
    <w:tmpl w:val="31A413C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D4B6C"/>
    <w:multiLevelType w:val="singleLevel"/>
    <w:tmpl w:val="354D4B6C"/>
    <w:lvl w:ilvl="0" w:tentative="0">
      <w:start w:val="1"/>
      <w:numFmt w:val="decimal"/>
      <w:lvlText w:val="(%1)"/>
      <w:lvlJc w:val="left"/>
      <w:pPr>
        <w:ind w:left="425" w:hanging="425"/>
      </w:pPr>
      <w:rPr>
        <w:rFonts w:hint="default"/>
      </w:r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9EDBE30"/>
    <w:multiLevelType w:val="singleLevel"/>
    <w:tmpl w:val="39EDBE30"/>
    <w:lvl w:ilvl="0" w:tentative="0">
      <w:start w:val="1"/>
      <w:numFmt w:val="decimal"/>
      <w:lvlText w:val="%1."/>
      <w:lvlJc w:val="left"/>
      <w:pPr>
        <w:ind w:left="425" w:hanging="425"/>
      </w:pPr>
      <w:rPr>
        <w:rFonts w:hint="default"/>
      </w:r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BB35576"/>
    <w:multiLevelType w:val="singleLevel"/>
    <w:tmpl w:val="4BB35576"/>
    <w:lvl w:ilvl="0" w:tentative="0">
      <w:start w:val="1"/>
      <w:numFmt w:val="decimal"/>
      <w:lvlText w:val="（%1）"/>
      <w:lvlJc w:val="left"/>
      <w:pPr>
        <w:ind w:left="420" w:hanging="420"/>
      </w:pPr>
      <w:rPr>
        <w:rFonts w:hint="eastAsia"/>
      </w:r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AAABA4B"/>
    <w:multiLevelType w:val="singleLevel"/>
    <w:tmpl w:val="6AAABA4B"/>
    <w:lvl w:ilvl="0" w:tentative="0">
      <w:start w:val="1"/>
      <w:numFmt w:val="decimal"/>
      <w:lvlText w:val="(%1)"/>
      <w:lvlJc w:val="left"/>
      <w:pPr>
        <w:ind w:left="425" w:hanging="425"/>
      </w:pPr>
      <w:rPr>
        <w:rFonts w:hint="default"/>
      </w:rPr>
    </w:lvl>
  </w:abstractNum>
  <w:abstractNum w:abstractNumId="4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9">
    <w:nsid w:val="7B4A4E0C"/>
    <w:multiLevelType w:val="singleLevel"/>
    <w:tmpl w:val="7B4A4E0C"/>
    <w:lvl w:ilvl="0" w:tentative="0">
      <w:start w:val="1"/>
      <w:numFmt w:val="decimal"/>
      <w:lvlText w:val="（%1）"/>
      <w:lvlJc w:val="left"/>
      <w:pPr>
        <w:ind w:left="420" w:hanging="420"/>
      </w:pPr>
      <w:rPr>
        <w:rFonts w:hint="eastAsia"/>
      </w:rPr>
    </w:lvl>
  </w:abstractNum>
  <w:abstractNum w:abstractNumId="50">
    <w:nsid w:val="7ED17433"/>
    <w:multiLevelType w:val="singleLevel"/>
    <w:tmpl w:val="7ED17433"/>
    <w:lvl w:ilvl="0" w:tentative="0">
      <w:start w:val="1"/>
      <w:numFmt w:val="decimal"/>
      <w:lvlText w:val="（%1）"/>
      <w:lvlJc w:val="left"/>
      <w:pPr>
        <w:ind w:left="420" w:hanging="420"/>
      </w:pPr>
      <w:rPr>
        <w:rFonts w:hint="eastAsia"/>
      </w:rPr>
    </w:lvl>
  </w:abstractNum>
  <w:num w:numId="1">
    <w:abstractNumId w:val="43"/>
  </w:num>
  <w:num w:numId="2">
    <w:abstractNumId w:val="48"/>
  </w:num>
  <w:num w:numId="3">
    <w:abstractNumId w:val="33"/>
  </w:num>
  <w:num w:numId="4">
    <w:abstractNumId w:val="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4"/>
  </w:num>
  <w:num w:numId="8">
    <w:abstractNumId w:val="37"/>
  </w:num>
  <w:num w:numId="9">
    <w:abstractNumId w:val="20"/>
  </w:num>
  <w:num w:numId="10">
    <w:abstractNumId w:val="49"/>
  </w:num>
  <w:num w:numId="11">
    <w:abstractNumId w:val="50"/>
  </w:num>
  <w:num w:numId="12">
    <w:abstractNumId w:val="5"/>
  </w:num>
  <w:num w:numId="13">
    <w:abstractNumId w:val="47"/>
  </w:num>
  <w:num w:numId="14">
    <w:abstractNumId w:val="29"/>
  </w:num>
  <w:num w:numId="15">
    <w:abstractNumId w:val="16"/>
  </w:num>
  <w:num w:numId="16">
    <w:abstractNumId w:val="22"/>
  </w:num>
  <w:num w:numId="17">
    <w:abstractNumId w:val="18"/>
  </w:num>
  <w:num w:numId="18">
    <w:abstractNumId w:val="34"/>
  </w:num>
  <w:num w:numId="19">
    <w:abstractNumId w:val="6"/>
  </w:num>
  <w:num w:numId="20">
    <w:abstractNumId w:val="8"/>
  </w:num>
  <w:num w:numId="21">
    <w:abstractNumId w:val="28"/>
  </w:num>
  <w:num w:numId="22">
    <w:abstractNumId w:val="15"/>
  </w:num>
  <w:num w:numId="23">
    <w:abstractNumId w:val="11"/>
  </w:num>
  <w:num w:numId="24">
    <w:abstractNumId w:val="23"/>
  </w:num>
  <w:num w:numId="25">
    <w:abstractNumId w:val="17"/>
  </w:num>
  <w:num w:numId="26">
    <w:abstractNumId w:val="3"/>
  </w:num>
  <w:num w:numId="27">
    <w:abstractNumId w:val="41"/>
  </w:num>
  <w:num w:numId="28">
    <w:abstractNumId w:val="31"/>
  </w:num>
  <w:num w:numId="29">
    <w:abstractNumId w:val="32"/>
  </w:num>
  <w:num w:numId="30">
    <w:abstractNumId w:val="4"/>
  </w:num>
  <w:num w:numId="31">
    <w:abstractNumId w:val="9"/>
  </w:num>
  <w:num w:numId="32">
    <w:abstractNumId w:val="38"/>
  </w:num>
  <w:num w:numId="33">
    <w:abstractNumId w:val="35"/>
  </w:num>
  <w:num w:numId="34">
    <w:abstractNumId w:val="45"/>
  </w:num>
  <w:num w:numId="35">
    <w:abstractNumId w:val="19"/>
  </w:num>
  <w:num w:numId="36">
    <w:abstractNumId w:val="25"/>
  </w:num>
  <w:num w:numId="37">
    <w:abstractNumId w:val="1"/>
  </w:num>
  <w:num w:numId="38">
    <w:abstractNumId w:val="10"/>
  </w:num>
  <w:num w:numId="39">
    <w:abstractNumId w:val="0"/>
  </w:num>
  <w:num w:numId="40">
    <w:abstractNumId w:val="2"/>
  </w:num>
  <w:num w:numId="41">
    <w:abstractNumId w:val="36"/>
  </w:num>
  <w:num w:numId="42">
    <w:abstractNumId w:val="12"/>
  </w:num>
  <w:num w:numId="43">
    <w:abstractNumId w:val="14"/>
  </w:num>
  <w:num w:numId="44">
    <w:abstractNumId w:val="13"/>
  </w:num>
  <w:num w:numId="45">
    <w:abstractNumId w:val="46"/>
  </w:num>
  <w:num w:numId="46">
    <w:abstractNumId w:val="39"/>
  </w:num>
  <w:num w:numId="47">
    <w:abstractNumId w:val="30"/>
  </w:num>
  <w:num w:numId="48">
    <w:abstractNumId w:val="26"/>
  </w:num>
  <w:num w:numId="49">
    <w:abstractNumId w:val="40"/>
  </w:num>
  <w:num w:numId="50">
    <w:abstractNumId w:val="24"/>
  </w:num>
  <w:num w:numId="51">
    <w:abstractNumId w:val="42"/>
  </w:num>
  <w:num w:numId="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3E08"/>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063D"/>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57482"/>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0003"/>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1AF0"/>
    <w:rsid w:val="00F467E3"/>
    <w:rsid w:val="00F47201"/>
    <w:rsid w:val="00F525B8"/>
    <w:rsid w:val="00F53D25"/>
    <w:rsid w:val="00F64816"/>
    <w:rsid w:val="00F73354"/>
    <w:rsid w:val="00FA092E"/>
    <w:rsid w:val="00FA63B5"/>
    <w:rsid w:val="00FA6D58"/>
    <w:rsid w:val="00FD52D3"/>
    <w:rsid w:val="00FE72DF"/>
    <w:rsid w:val="00FF2F91"/>
    <w:rsid w:val="01DF7956"/>
    <w:rsid w:val="02632E75"/>
    <w:rsid w:val="02B47C4D"/>
    <w:rsid w:val="03422D59"/>
    <w:rsid w:val="03994F2B"/>
    <w:rsid w:val="03F804CF"/>
    <w:rsid w:val="03FD67E7"/>
    <w:rsid w:val="04450729"/>
    <w:rsid w:val="04D46768"/>
    <w:rsid w:val="04F90B5F"/>
    <w:rsid w:val="053A1CC8"/>
    <w:rsid w:val="06856661"/>
    <w:rsid w:val="069C7617"/>
    <w:rsid w:val="06CA46A1"/>
    <w:rsid w:val="06F368C6"/>
    <w:rsid w:val="077B4608"/>
    <w:rsid w:val="079D27E3"/>
    <w:rsid w:val="07BB74B6"/>
    <w:rsid w:val="083431B2"/>
    <w:rsid w:val="08493DEA"/>
    <w:rsid w:val="086E4EC9"/>
    <w:rsid w:val="0B734A64"/>
    <w:rsid w:val="0B832EB0"/>
    <w:rsid w:val="0CDE01F2"/>
    <w:rsid w:val="0DD201F4"/>
    <w:rsid w:val="0F4526B6"/>
    <w:rsid w:val="0F8D150C"/>
    <w:rsid w:val="10091618"/>
    <w:rsid w:val="119949F6"/>
    <w:rsid w:val="12A60DDE"/>
    <w:rsid w:val="130F27CE"/>
    <w:rsid w:val="13FB4473"/>
    <w:rsid w:val="152B64B8"/>
    <w:rsid w:val="15740DA4"/>
    <w:rsid w:val="195A6BC0"/>
    <w:rsid w:val="19BF5350"/>
    <w:rsid w:val="1A3D4B56"/>
    <w:rsid w:val="1C302CAB"/>
    <w:rsid w:val="1C5670DA"/>
    <w:rsid w:val="1D946CAE"/>
    <w:rsid w:val="1F7074E6"/>
    <w:rsid w:val="1FD2001C"/>
    <w:rsid w:val="20A500A3"/>
    <w:rsid w:val="227A4EED"/>
    <w:rsid w:val="228D0750"/>
    <w:rsid w:val="23AA6CD9"/>
    <w:rsid w:val="24786106"/>
    <w:rsid w:val="24AC1C02"/>
    <w:rsid w:val="253D3DF8"/>
    <w:rsid w:val="25713F00"/>
    <w:rsid w:val="25A5748F"/>
    <w:rsid w:val="25D85A3C"/>
    <w:rsid w:val="267E19B6"/>
    <w:rsid w:val="26E95967"/>
    <w:rsid w:val="27D05DC6"/>
    <w:rsid w:val="29751C00"/>
    <w:rsid w:val="2A1D36D7"/>
    <w:rsid w:val="2B9E3425"/>
    <w:rsid w:val="2BD84FDD"/>
    <w:rsid w:val="2BFA4386"/>
    <w:rsid w:val="2CD73EA3"/>
    <w:rsid w:val="2D2A648A"/>
    <w:rsid w:val="2D845ED0"/>
    <w:rsid w:val="2E9B5289"/>
    <w:rsid w:val="2FDF53A3"/>
    <w:rsid w:val="30381F4F"/>
    <w:rsid w:val="31937445"/>
    <w:rsid w:val="32BB6DE3"/>
    <w:rsid w:val="34A05B77"/>
    <w:rsid w:val="35A110A8"/>
    <w:rsid w:val="35B54FB6"/>
    <w:rsid w:val="361015AA"/>
    <w:rsid w:val="37097428"/>
    <w:rsid w:val="383B689C"/>
    <w:rsid w:val="389724B4"/>
    <w:rsid w:val="38AC36F6"/>
    <w:rsid w:val="3A481997"/>
    <w:rsid w:val="3BB26AC4"/>
    <w:rsid w:val="3C35255B"/>
    <w:rsid w:val="3C3E3248"/>
    <w:rsid w:val="3CA1745F"/>
    <w:rsid w:val="3D3679ED"/>
    <w:rsid w:val="3FB74231"/>
    <w:rsid w:val="408D7227"/>
    <w:rsid w:val="41407E51"/>
    <w:rsid w:val="416718EC"/>
    <w:rsid w:val="41F55640"/>
    <w:rsid w:val="439D7A21"/>
    <w:rsid w:val="43D97719"/>
    <w:rsid w:val="441B4B00"/>
    <w:rsid w:val="447267E8"/>
    <w:rsid w:val="44E431E5"/>
    <w:rsid w:val="45683D2D"/>
    <w:rsid w:val="46B30DE6"/>
    <w:rsid w:val="491951A9"/>
    <w:rsid w:val="492A4A83"/>
    <w:rsid w:val="495C1F5C"/>
    <w:rsid w:val="4982040C"/>
    <w:rsid w:val="4A405675"/>
    <w:rsid w:val="4AF77150"/>
    <w:rsid w:val="4B8B03E4"/>
    <w:rsid w:val="4D9A3F67"/>
    <w:rsid w:val="4DDF67CC"/>
    <w:rsid w:val="4EE12BFB"/>
    <w:rsid w:val="4FE55839"/>
    <w:rsid w:val="50FA6A61"/>
    <w:rsid w:val="51794BC1"/>
    <w:rsid w:val="520405B6"/>
    <w:rsid w:val="5276045B"/>
    <w:rsid w:val="53D25371"/>
    <w:rsid w:val="540F1FD2"/>
    <w:rsid w:val="555E359C"/>
    <w:rsid w:val="561F6663"/>
    <w:rsid w:val="56E32080"/>
    <w:rsid w:val="571D698D"/>
    <w:rsid w:val="57315BF2"/>
    <w:rsid w:val="57594B93"/>
    <w:rsid w:val="57F02561"/>
    <w:rsid w:val="59385420"/>
    <w:rsid w:val="594A6990"/>
    <w:rsid w:val="596B265F"/>
    <w:rsid w:val="59BA05E9"/>
    <w:rsid w:val="5A2E0F40"/>
    <w:rsid w:val="5A312192"/>
    <w:rsid w:val="5ADD7B96"/>
    <w:rsid w:val="5BA04308"/>
    <w:rsid w:val="5BA64C3B"/>
    <w:rsid w:val="5D2D3794"/>
    <w:rsid w:val="5E4A0698"/>
    <w:rsid w:val="5E8307E5"/>
    <w:rsid w:val="60475C3F"/>
    <w:rsid w:val="60785544"/>
    <w:rsid w:val="60A60070"/>
    <w:rsid w:val="60EF2389"/>
    <w:rsid w:val="6186081E"/>
    <w:rsid w:val="61A26997"/>
    <w:rsid w:val="622C21AB"/>
    <w:rsid w:val="624D533C"/>
    <w:rsid w:val="62D00ABF"/>
    <w:rsid w:val="640C25AF"/>
    <w:rsid w:val="64CA0CDB"/>
    <w:rsid w:val="655D30F6"/>
    <w:rsid w:val="664F189B"/>
    <w:rsid w:val="66A81FD7"/>
    <w:rsid w:val="683A303D"/>
    <w:rsid w:val="68E97B63"/>
    <w:rsid w:val="69571CB4"/>
    <w:rsid w:val="6A5B2F9C"/>
    <w:rsid w:val="6B107167"/>
    <w:rsid w:val="6B1E605C"/>
    <w:rsid w:val="6C5E0507"/>
    <w:rsid w:val="6C6B5505"/>
    <w:rsid w:val="6C7E55AC"/>
    <w:rsid w:val="6C875CF2"/>
    <w:rsid w:val="6DF67C63"/>
    <w:rsid w:val="6E3F209B"/>
    <w:rsid w:val="706D754D"/>
    <w:rsid w:val="71B43398"/>
    <w:rsid w:val="725336E8"/>
    <w:rsid w:val="72DA1719"/>
    <w:rsid w:val="746A3449"/>
    <w:rsid w:val="74783A1C"/>
    <w:rsid w:val="74AB354D"/>
    <w:rsid w:val="74B05132"/>
    <w:rsid w:val="751C0580"/>
    <w:rsid w:val="761E1F33"/>
    <w:rsid w:val="76C52AAF"/>
    <w:rsid w:val="76E063E5"/>
    <w:rsid w:val="772A35DE"/>
    <w:rsid w:val="77684307"/>
    <w:rsid w:val="798425C1"/>
    <w:rsid w:val="79A35F22"/>
    <w:rsid w:val="79BF662E"/>
    <w:rsid w:val="79EF6EBA"/>
    <w:rsid w:val="7A001528"/>
    <w:rsid w:val="7A751935"/>
    <w:rsid w:val="7B2952F2"/>
    <w:rsid w:val="7C527874"/>
    <w:rsid w:val="7CDB61AE"/>
    <w:rsid w:val="7CF46BD3"/>
    <w:rsid w:val="7F0D1C5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unhideWhenUsed/>
    <w:qFormat/>
    <w:uiPriority w:val="99"/>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s18"/>
    <w:basedOn w:val="1"/>
    <w:qFormat/>
    <w:uiPriority w:val="0"/>
    <w:pPr>
      <w:widowControl/>
      <w:spacing w:before="100" w:beforeAutospacing="1" w:after="100" w:afterAutospacing="1"/>
      <w:jc w:val="left"/>
    </w:pPr>
    <w:rPr>
      <w:rFonts w:eastAsiaTheme="minorEastAsia"/>
      <w:kern w:val="0"/>
      <w:sz w:val="24"/>
    </w:rPr>
  </w:style>
  <w:style w:type="character" w:customStyle="1" w:styleId="37">
    <w:name w:val="s15"/>
    <w:basedOn w:val="18"/>
    <w:qFormat/>
    <w:uiPriority w:val="0"/>
  </w:style>
  <w:style w:type="paragraph" w:customStyle="1" w:styleId="38">
    <w:name w:val="s19"/>
    <w:basedOn w:val="1"/>
    <w:qFormat/>
    <w:uiPriority w:val="0"/>
    <w:pPr>
      <w:widowControl/>
      <w:spacing w:before="100" w:beforeAutospacing="1" w:after="100" w:afterAutospacing="1"/>
      <w:jc w:val="left"/>
    </w:pPr>
    <w:rPr>
      <w:rFonts w:eastAsiaTheme="minorEastAsia"/>
      <w:kern w:val="0"/>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17676</Words>
  <Characters>18971</Characters>
  <Lines>178</Lines>
  <Paragraphs>50</Paragraphs>
  <TotalTime>17</TotalTime>
  <ScaleCrop>false</ScaleCrop>
  <LinksUpToDate>false</LinksUpToDate>
  <CharactersWithSpaces>21753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2023-02-20T02:05:00Z</dcterms:created>
  <dc:creator>Tony Young</dc:creator>
  <cp:lastModifiedBy>admin</cp:lastModifiedBy>
  <dcterms:modified xsi:type="dcterms:W3CDTF">2023-03-13T03:47:11Z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8A04B0C9BF6A4B27A15866A1ABE6C26F</vt:lpwstr>
  </property>
</Properties>
</file>