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color w:val="auto"/>
          <w:sz w:val="32"/>
          <w:szCs w:val="32"/>
          <w:highlight w:val="none"/>
        </w:rPr>
        <w:t>深圳会展中心中压开关柜环网柜检修和耐压测试项目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03</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w:t>
      </w:r>
      <w:r>
        <w:tab/>
      </w:r>
      <w:r>
        <w:fldChar w:fldCharType="begin"/>
      </w:r>
      <w:r>
        <w:instrText xml:space="preserve"> PAGEREF _Toc116550368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黄生</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8822</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ascii="宋体" w:hAnsi="宋体"/>
                <w:szCs w:val="21"/>
                <w:lang w:val="en-US" w:eastAsia="zh-CN"/>
              </w:rPr>
              <w:t>cghyz</w:t>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深圳会展中心中压开关柜环网柜检修和耐压测试项目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工程</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根据国家相关标准和规范要求，</w:t>
            </w:r>
            <w:r>
              <w:rPr>
                <w:rFonts w:hint="eastAsia" w:ascii="宋体" w:hAnsi="宋体"/>
                <w:color w:val="auto"/>
                <w:szCs w:val="21"/>
                <w:highlight w:val="none"/>
                <w:lang w:eastAsia="zh-CN"/>
              </w:rPr>
              <w:t>深圳会展中心</w:t>
            </w:r>
            <w:r>
              <w:rPr>
                <w:rFonts w:hint="eastAsia" w:ascii="宋体" w:hAnsi="宋体"/>
                <w:color w:val="auto"/>
                <w:szCs w:val="21"/>
                <w:highlight w:val="none"/>
              </w:rPr>
              <w:t>对80面高压开关柜</w:t>
            </w:r>
            <w:r>
              <w:rPr>
                <w:rFonts w:hint="eastAsia" w:ascii="宋体" w:hAnsi="宋体"/>
                <w:color w:val="auto"/>
                <w:szCs w:val="21"/>
                <w:highlight w:val="none"/>
                <w:lang w:eastAsia="zh-CN"/>
              </w:rPr>
              <w:t>、</w:t>
            </w:r>
            <w:r>
              <w:rPr>
                <w:rFonts w:hint="eastAsia" w:ascii="宋体" w:hAnsi="宋体"/>
                <w:color w:val="auto"/>
                <w:szCs w:val="21"/>
                <w:highlight w:val="none"/>
              </w:rPr>
              <w:t>17面环网柜</w:t>
            </w:r>
            <w:r>
              <w:rPr>
                <w:rFonts w:hint="eastAsia" w:ascii="宋体" w:hAnsi="宋体"/>
                <w:color w:val="auto"/>
                <w:szCs w:val="21"/>
                <w:highlight w:val="none"/>
                <w:lang w:eastAsia="zh-CN"/>
              </w:rPr>
              <w:t>和</w:t>
            </w:r>
            <w:r>
              <w:rPr>
                <w:rFonts w:hint="eastAsia" w:ascii="宋体" w:hAnsi="宋体"/>
                <w:color w:val="auto"/>
                <w:szCs w:val="21"/>
                <w:highlight w:val="none"/>
              </w:rPr>
              <w:t>54台微机保护装置进行耐压测试。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会展中心1</w:t>
            </w:r>
            <w:r>
              <w:rPr>
                <w:rFonts w:hint="eastAsia" w:ascii="宋体" w:hAnsi="宋体"/>
                <w:color w:val="auto"/>
                <w:szCs w:val="21"/>
                <w:highlight w:val="none"/>
                <w:lang w:eastAsia="zh-CN"/>
              </w:rPr>
              <w:t>号和</w:t>
            </w:r>
            <w:r>
              <w:rPr>
                <w:rFonts w:hint="eastAsia" w:ascii="宋体" w:hAnsi="宋体"/>
                <w:color w:val="auto"/>
                <w:szCs w:val="21"/>
                <w:highlight w:val="none"/>
              </w:rPr>
              <w:t>4</w:t>
            </w:r>
            <w:r>
              <w:rPr>
                <w:rFonts w:hint="eastAsia" w:ascii="宋体" w:hAnsi="宋体"/>
                <w:color w:val="auto"/>
                <w:szCs w:val="21"/>
                <w:highlight w:val="none"/>
                <w:lang w:eastAsia="zh-CN"/>
              </w:rPr>
              <w:t>号</w:t>
            </w:r>
            <w:r>
              <w:rPr>
                <w:rFonts w:hint="eastAsia" w:ascii="宋体" w:hAnsi="宋体"/>
                <w:color w:val="auto"/>
                <w:szCs w:val="21"/>
                <w:highlight w:val="none"/>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color w:val="auto"/>
                <w:szCs w:val="21"/>
              </w:rPr>
            </w:pPr>
            <w:r>
              <w:rPr>
                <w:rFonts w:hint="eastAsia" w:ascii="宋体" w:hAnsi="宋体"/>
                <w:color w:val="auto"/>
                <w:szCs w:val="21"/>
              </w:rPr>
              <w:t>2</w:t>
            </w:r>
            <w:r>
              <w:rPr>
                <w:rFonts w:ascii="宋体" w:hAnsi="宋体"/>
                <w:color w:val="auto"/>
                <w:szCs w:val="21"/>
              </w:rPr>
              <w:t>02</w:t>
            </w:r>
            <w:r>
              <w:rPr>
                <w:rFonts w:hint="eastAsia" w:ascii="宋体" w:hAnsi="宋体"/>
                <w:color w:val="auto"/>
                <w:szCs w:val="21"/>
                <w:lang w:val="en-US" w:eastAsia="zh-CN"/>
              </w:rPr>
              <w:t>3</w:t>
            </w:r>
            <w:r>
              <w:rPr>
                <w:rFonts w:ascii="宋体" w:hAnsi="宋体"/>
                <w:color w:val="auto"/>
                <w:szCs w:val="21"/>
              </w:rPr>
              <w:t>-</w:t>
            </w:r>
            <w:r>
              <w:rPr>
                <w:rFonts w:hint="eastAsia" w:ascii="宋体" w:hAnsi="宋体"/>
                <w:color w:val="auto"/>
                <w:szCs w:val="21"/>
                <w:lang w:val="en-US" w:eastAsia="zh-CN"/>
              </w:rPr>
              <w:t>3</w:t>
            </w:r>
            <w:r>
              <w:rPr>
                <w:rFonts w:ascii="宋体" w:hAnsi="宋体"/>
                <w:color w:val="auto"/>
                <w:szCs w:val="21"/>
              </w:rPr>
              <w:t>-</w:t>
            </w:r>
            <w:r>
              <w:rPr>
                <w:rFonts w:hint="eastAsia" w:ascii="宋体" w:hAnsi="宋体"/>
                <w:color w:val="auto"/>
                <w:szCs w:val="21"/>
                <w:lang w:val="en-US" w:eastAsia="zh-CN"/>
              </w:rPr>
              <w:t>27</w:t>
            </w:r>
            <w:r>
              <w:rPr>
                <w:rFonts w:ascii="宋体" w:hAnsi="宋体"/>
                <w:color w:val="auto"/>
                <w:szCs w:val="21"/>
              </w:rPr>
              <w:t xml:space="preserve"> </w:t>
            </w:r>
            <w:r>
              <w:rPr>
                <w:rFonts w:hint="eastAsia" w:ascii="宋体" w:hAnsi="宋体"/>
                <w:color w:val="auto"/>
                <w:szCs w:val="21"/>
                <w:lang w:val="en-US" w:eastAsia="zh-CN"/>
              </w:rPr>
              <w:t>11</w:t>
            </w:r>
            <w:r>
              <w:rPr>
                <w:rFonts w:ascii="宋体" w:hAnsi="宋体"/>
                <w:color w:val="auto"/>
                <w:szCs w:val="21"/>
              </w:rPr>
              <w:t>:</w:t>
            </w:r>
            <w:r>
              <w:rPr>
                <w:rFonts w:hint="eastAsia" w:ascii="宋体" w:hAnsi="宋体"/>
                <w:color w:val="auto"/>
                <w:szCs w:val="21"/>
              </w:rPr>
              <w:t xml:space="preserve"> </w:t>
            </w:r>
            <w:r>
              <w:rPr>
                <w:rFonts w:hint="eastAsia" w:ascii="宋体" w:hAnsi="宋体"/>
                <w:color w:val="auto"/>
                <w:szCs w:val="21"/>
                <w:lang w:val="en-US" w:eastAsia="zh-CN"/>
              </w:rPr>
              <w:t>00</w:t>
            </w:r>
            <w:r>
              <w:rPr>
                <w:rFonts w:hint="eastAsia" w:ascii="宋体" w:hAnsi="宋体"/>
                <w:color w:val="auto"/>
                <w:szCs w:val="21"/>
              </w:rPr>
              <w:t>（北京时间</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color w:val="auto"/>
                <w:szCs w:val="21"/>
              </w:rPr>
            </w:pPr>
            <w:r>
              <w:rPr>
                <w:rFonts w:hint="eastAsia" w:ascii="宋体" w:hAnsi="宋体"/>
                <w:bCs/>
                <w:color w:val="auto"/>
                <w:szCs w:val="21"/>
              </w:rPr>
              <w:t>完整填写本项目报名回函（详见采购公告）并加盖公司公章后，按要求</w:t>
            </w:r>
            <w:r>
              <w:rPr>
                <w:rFonts w:hint="eastAsia" w:ascii="宋体" w:hAnsi="宋体"/>
                <w:bCs/>
                <w:color w:val="auto"/>
              </w:rPr>
              <w:t>上传至</w:t>
            </w:r>
            <w:r>
              <w:rPr>
                <w:rFonts w:hint="eastAsia" w:ascii="宋体" w:hAnsi="宋体"/>
                <w:bCs/>
                <w:color w:val="auto"/>
                <w:highlight w:val="yellow"/>
              </w:rPr>
              <w:t>https://cg.szcec.com/sharing/BbIoyPzuV，</w:t>
            </w:r>
            <w:r>
              <w:rPr>
                <w:rFonts w:hint="eastAsia" w:ascii="宋体" w:hAnsi="宋体"/>
                <w:bCs/>
                <w:color w:val="auto"/>
                <w:szCs w:val="21"/>
              </w:rPr>
              <w:t>并致电确认。</w:t>
            </w:r>
            <w:r>
              <w:rPr>
                <w:rFonts w:hint="eastAsia" w:ascii="宋体" w:hAnsi="宋体"/>
                <w:color w:val="auto"/>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color w:val="auto"/>
                <w:szCs w:val="21"/>
              </w:rPr>
            </w:pPr>
            <w:r>
              <w:rPr>
                <w:rFonts w:hint="eastAsia" w:ascii="宋体" w:hAnsi="宋体"/>
                <w:color w:val="auto"/>
                <w:szCs w:val="21"/>
              </w:rPr>
              <w:t>深圳会展中心官网采购公告栏目下载:（</w:t>
            </w:r>
            <w:r>
              <w:rPr>
                <w:color w:val="auto"/>
              </w:rPr>
              <w:fldChar w:fldCharType="begin"/>
            </w:r>
            <w:r>
              <w:rPr>
                <w:color w:val="auto"/>
              </w:rPr>
              <w:instrText xml:space="preserve"> HYPERLINK "https://www.szcec.com/News/index/id/256.html" </w:instrText>
            </w:r>
            <w:r>
              <w:rPr>
                <w:color w:val="auto"/>
              </w:rPr>
              <w:fldChar w:fldCharType="separate"/>
            </w:r>
            <w:r>
              <w:rPr>
                <w:rStyle w:val="18"/>
                <w:rFonts w:ascii="宋体" w:hAnsi="宋体"/>
                <w:color w:val="auto"/>
                <w:szCs w:val="21"/>
              </w:rPr>
              <w:t>www.szcec.com</w:t>
            </w:r>
            <w:r>
              <w:rPr>
                <w:rStyle w:val="18"/>
                <w:rFonts w:ascii="宋体" w:hAnsi="宋体"/>
                <w:color w:val="auto"/>
                <w:szCs w:val="21"/>
              </w:rPr>
              <w:fldChar w:fldCharType="end"/>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https://cg.szcec.com/sharing/8EN4o2LnO，</w:t>
            </w:r>
            <w:r>
              <w:rPr>
                <w:rFonts w:hint="eastAsia" w:ascii="宋体" w:hAnsi="宋体"/>
                <w:szCs w:val="21"/>
              </w:rPr>
              <w:t>并致电确认</w:t>
            </w:r>
            <w:bookmarkStart w:id="3" w:name="_Toc478110532"/>
            <w:bookmarkStart w:id="4" w:name="_Toc478392822"/>
            <w:bookmarkStart w:id="5" w:name="_Toc478393187"/>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rPr>
              <w:t>707-707-974</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https://cg.szcec.com/sharing/muVwqtgIe</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A3"/>
            </w:r>
            <w:r>
              <w:rPr>
                <w:rFonts w:hint="eastAsia" w:ascii="宋体" w:hAnsi="宋体" w:cstheme="minorBidi"/>
                <w:kern w:val="0"/>
                <w:szCs w:val="21"/>
              </w:rPr>
              <w:t>不组织。可在本项目招标公告发布后至报名（文件获取）时间截止前自行踏勘。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sym w:font="Wingdings 2" w:char="0052"/>
            </w:r>
            <w:r>
              <w:rPr>
                <w:rFonts w:hint="eastAsia" w:ascii="宋体" w:hAnsi="宋体" w:cstheme="minorBidi"/>
                <w:kern w:val="0"/>
                <w:szCs w:val="21"/>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是（若不参加，将因投标文件不完整导致失去本项目投标资格）</w:t>
            </w:r>
          </w:p>
          <w:p>
            <w:pPr>
              <w:pStyle w:val="22"/>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w:t>
            </w:r>
            <w:r>
              <w:rPr>
                <w:rFonts w:hint="eastAsia" w:ascii="宋体" w:hAnsi="宋体" w:eastAsia="宋体"/>
                <w:kern w:val="0"/>
                <w:szCs w:val="21"/>
                <w:lang w:val="en-US" w:eastAsia="zh-CN"/>
              </w:rPr>
              <w:t>3</w:t>
            </w:r>
            <w:r>
              <w:rPr>
                <w:rFonts w:hint="eastAsia" w:ascii="宋体" w:hAnsi="宋体" w:eastAsia="宋体"/>
                <w:kern w:val="0"/>
                <w:szCs w:val="21"/>
              </w:rPr>
              <w:t>-</w:t>
            </w:r>
            <w:r>
              <w:rPr>
                <w:rFonts w:hint="eastAsia" w:ascii="宋体" w:hAnsi="宋体" w:eastAsia="宋体"/>
                <w:kern w:val="0"/>
                <w:szCs w:val="21"/>
                <w:lang w:val="en-US" w:eastAsia="zh-CN"/>
              </w:rPr>
              <w:t>4</w:t>
            </w:r>
            <w:r>
              <w:rPr>
                <w:rFonts w:hint="eastAsia" w:ascii="宋体" w:hAnsi="宋体" w:eastAsia="宋体"/>
                <w:kern w:val="0"/>
                <w:szCs w:val="21"/>
              </w:rPr>
              <w:t>-</w:t>
            </w:r>
            <w:r>
              <w:rPr>
                <w:rFonts w:hint="eastAsia" w:ascii="宋体" w:hAnsi="宋体" w:eastAsia="宋体"/>
                <w:kern w:val="0"/>
                <w:szCs w:val="21"/>
                <w:lang w:val="en-US" w:eastAsia="zh-CN"/>
              </w:rPr>
              <w:t>2</w:t>
            </w:r>
            <w:r>
              <w:rPr>
                <w:rFonts w:hint="eastAsia" w:ascii="宋体" w:hAnsi="宋体" w:eastAsia="宋体"/>
                <w:kern w:val="0"/>
                <w:szCs w:val="21"/>
              </w:rPr>
              <w:t xml:space="preserve"> </w:t>
            </w:r>
            <w:r>
              <w:rPr>
                <w:rFonts w:hint="eastAsia" w:ascii="宋体" w:hAnsi="宋体" w:eastAsia="宋体"/>
                <w:kern w:val="0"/>
                <w:szCs w:val="21"/>
                <w:lang w:val="en-US" w:eastAsia="zh-CN"/>
              </w:rPr>
              <w:t>10</w:t>
            </w:r>
            <w:bookmarkStart w:id="95" w:name="_GoBack"/>
            <w:bookmarkEnd w:id="95"/>
            <w:r>
              <w:rPr>
                <w:rFonts w:hint="eastAsia" w:ascii="宋体" w:hAnsi="宋体" w:eastAsia="宋体"/>
                <w:kern w:val="0"/>
                <w:szCs w:val="21"/>
              </w:rPr>
              <w:t xml:space="preserve">: </w:t>
            </w:r>
            <w:r>
              <w:rPr>
                <w:rFonts w:hint="eastAsia" w:ascii="宋体" w:hAnsi="宋体" w:eastAsia="宋体"/>
                <w:kern w:val="0"/>
                <w:szCs w:val="21"/>
                <w:lang w:val="en-US" w:eastAsia="zh-CN"/>
              </w:rPr>
              <w:t>00</w:t>
            </w:r>
            <w:r>
              <w:rPr>
                <w:rFonts w:hint="eastAsia" w:ascii="宋体" w:hAnsi="宋体" w:eastAsia="宋体"/>
                <w:kern w:val="0"/>
                <w:szCs w:val="21"/>
              </w:rPr>
              <w:t>邀请投标人人员察看现场并讲解项目需求；投标人应指派完全符合疫情防控要求的人员参加本项目的现场踏勘。</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eastAsia="zh-CN"/>
              </w:rPr>
              <w:t>周工</w:t>
            </w:r>
          </w:p>
          <w:p>
            <w:pPr>
              <w:pStyle w:val="22"/>
              <w:tabs>
                <w:tab w:val="left" w:pos="541"/>
              </w:tabs>
              <w:snapToGrid w:val="0"/>
              <w:ind w:left="805" w:firstLine="0" w:firstLineChars="0"/>
              <w:rPr>
                <w:rFonts w:hint="default" w:ascii="宋体" w:hAnsi="宋体" w:eastAsia="宋体"/>
                <w:kern w:val="0"/>
                <w:szCs w:val="21"/>
                <w:lang w:val="en-US" w:eastAsia="zh-CN"/>
              </w:rPr>
            </w:pPr>
            <w:r>
              <w:rPr>
                <w:rFonts w:hint="eastAsia" w:ascii="宋体" w:hAnsi="宋体" w:eastAsia="宋体"/>
                <w:kern w:val="0"/>
                <w:szCs w:val="21"/>
              </w:rPr>
              <w:t>电话：0755-8284</w:t>
            </w:r>
            <w:r>
              <w:rPr>
                <w:rFonts w:hint="eastAsia" w:ascii="宋体" w:hAnsi="宋体" w:eastAsia="宋体"/>
                <w:kern w:val="0"/>
                <w:szCs w:val="21"/>
                <w:lang w:val="en-US" w:eastAsia="zh-CN"/>
              </w:rPr>
              <w:t>8819</w:t>
            </w:r>
            <w:r>
              <w:rPr>
                <w:rFonts w:hint="eastAsia" w:ascii="宋体" w:hAnsi="宋体" w:eastAsia="宋体"/>
                <w:kern w:val="0"/>
                <w:szCs w:val="21"/>
              </w:rPr>
              <w:t>，手机：</w:t>
            </w:r>
            <w:r>
              <w:rPr>
                <w:rFonts w:hint="eastAsia" w:ascii="宋体" w:hAnsi="宋体" w:eastAsia="宋体"/>
                <w:kern w:val="0"/>
                <w:szCs w:val="21"/>
                <w:lang w:val="en-US" w:eastAsia="zh-CN"/>
              </w:rPr>
              <w:t>18998919684</w:t>
            </w:r>
          </w:p>
          <w:p>
            <w:pPr>
              <w:pStyle w:val="22"/>
              <w:tabs>
                <w:tab w:val="left" w:pos="541"/>
              </w:tabs>
              <w:snapToGrid w:val="0"/>
              <w:ind w:left="805" w:firstLine="0" w:firstLineChars="0"/>
              <w:rPr>
                <w:rFonts w:hint="eastAsia" w:ascii="宋体" w:hAnsi="宋体" w:eastAsia="宋体"/>
                <w:kern w:val="0"/>
                <w:szCs w:val="21"/>
                <w:lang w:eastAsia="zh-CN"/>
              </w:rPr>
            </w:pPr>
            <w:r>
              <w:rPr>
                <w:rFonts w:hint="eastAsia" w:ascii="宋体" w:hAnsi="宋体" w:eastAsia="宋体"/>
                <w:kern w:val="0"/>
                <w:szCs w:val="21"/>
              </w:rPr>
              <w:t>集合地点：</w:t>
            </w:r>
            <w:r>
              <w:rPr>
                <w:rFonts w:hint="eastAsia" w:ascii="宋体" w:hAnsi="宋体" w:eastAsia="宋体"/>
                <w:kern w:val="0"/>
                <w:szCs w:val="21"/>
                <w:lang w:eastAsia="zh-CN"/>
              </w:rPr>
              <w:t>会展中心北二门</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591925"/>
      <w:bookmarkEnd w:id="7"/>
      <w:bookmarkStart w:id="8" w:name="_Toc82684705"/>
      <w:bookmarkEnd w:id="8"/>
      <w:bookmarkStart w:id="9" w:name="_Toc82591926"/>
      <w:bookmarkEnd w:id="9"/>
      <w:bookmarkStart w:id="10" w:name="_Toc82684591"/>
      <w:bookmarkEnd w:id="10"/>
      <w:bookmarkStart w:id="11" w:name="_Toc82684589"/>
      <w:bookmarkEnd w:id="11"/>
      <w:bookmarkStart w:id="12" w:name="_Toc82684590"/>
      <w:bookmarkEnd w:id="12"/>
      <w:bookmarkStart w:id="13" w:name="_Toc82685543"/>
      <w:bookmarkEnd w:id="13"/>
      <w:bookmarkStart w:id="14" w:name="_Toc82684588"/>
      <w:bookmarkEnd w:id="14"/>
      <w:bookmarkStart w:id="15" w:name="_Toc82685540"/>
      <w:bookmarkEnd w:id="15"/>
      <w:bookmarkStart w:id="16" w:name="_Toc82685541"/>
      <w:bookmarkEnd w:id="16"/>
      <w:bookmarkStart w:id="17" w:name="_Toc82684706"/>
      <w:bookmarkEnd w:id="17"/>
      <w:bookmarkStart w:id="18" w:name="_Toc82684703"/>
      <w:bookmarkEnd w:id="18"/>
      <w:bookmarkStart w:id="19" w:name="_Toc82591928"/>
      <w:bookmarkEnd w:id="19"/>
      <w:bookmarkStart w:id="20" w:name="_Toc82684704"/>
      <w:bookmarkEnd w:id="20"/>
      <w:bookmarkStart w:id="21" w:name="_Toc82591927"/>
      <w:bookmarkEnd w:id="21"/>
      <w:bookmarkStart w:id="22" w:name="_Toc82685542"/>
      <w:bookmarkEnd w:id="22"/>
      <w:bookmarkStart w:id="23" w:name="_Toc116550346"/>
      <w:r>
        <w:rPr>
          <w:rFonts w:hint="eastAsia" w:ascii="宋体" w:hAnsi="宋体"/>
          <w:b/>
          <w:color w:val="auto"/>
          <w:szCs w:val="21"/>
          <w:highlight w:val="none"/>
        </w:rPr>
        <w:t>特别说明</w:t>
      </w:r>
      <w:bookmarkEnd w:id="23"/>
    </w:p>
    <w:p>
      <w:pPr>
        <w:pStyle w:val="22"/>
        <w:numPr>
          <w:ilvl w:val="0"/>
          <w:numId w:val="9"/>
        </w:numPr>
        <w:spacing w:line="360" w:lineRule="auto"/>
        <w:ind w:left="0" w:firstLine="420" w:firstLineChars="0"/>
        <w:rPr>
          <w:rFonts w:ascii="宋体" w:hAnsi="宋体" w:eastAsia="宋体" w:cs="宋体"/>
          <w:szCs w:val="21"/>
        </w:rPr>
      </w:pPr>
      <w:bookmarkStart w:id="24" w:name="_Toc517278751"/>
      <w:bookmarkStart w:id="25" w:name="_Toc45028463"/>
      <w:bookmarkStart w:id="26"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684593"/>
      <w:bookmarkEnd w:id="27"/>
      <w:bookmarkStart w:id="28" w:name="_Toc82591986"/>
      <w:bookmarkEnd w:id="28"/>
      <w:bookmarkStart w:id="29" w:name="_Toc82684708"/>
      <w:bookmarkEnd w:id="29"/>
      <w:bookmarkStart w:id="30" w:name="_Toc82591985"/>
      <w:bookmarkEnd w:id="30"/>
      <w:bookmarkStart w:id="31" w:name="_Toc82591987"/>
      <w:bookmarkEnd w:id="31"/>
      <w:bookmarkStart w:id="32" w:name="_Toc82591989"/>
      <w:bookmarkEnd w:id="32"/>
      <w:bookmarkStart w:id="33" w:name="_Toc82685545"/>
      <w:bookmarkEnd w:id="33"/>
      <w:bookmarkStart w:id="34" w:name="_Toc82591988"/>
      <w:bookmarkEnd w:id="34"/>
      <w:bookmarkStart w:id="35" w:name="_Toc82591930"/>
      <w:bookmarkEnd w:id="35"/>
      <w:bookmarkStart w:id="36" w:name="_Toc116550347"/>
      <w:r>
        <w:rPr>
          <w:rFonts w:hint="eastAsia" w:ascii="宋体" w:hAnsi="宋体"/>
          <w:b/>
          <w:szCs w:val="21"/>
        </w:rPr>
        <w:t>投标文件编制</w:t>
      </w:r>
      <w:bookmarkEnd w:id="36"/>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color w:val="auto"/>
                <w:highlight w:val="none"/>
              </w:rPr>
            </w:pPr>
            <w:r>
              <w:rPr>
                <w:rFonts w:hint="eastAsia"/>
                <w:color w:val="auto"/>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10"/>
              </w:numPr>
              <w:tabs>
                <w:tab w:val="left" w:pos="0"/>
              </w:tabs>
              <w:snapToGrid w:val="0"/>
              <w:ind w:left="15" w:leftChars="0" w:hanging="15" w:firstLineChars="0"/>
              <w:rPr>
                <w:rFonts w:ascii="宋体" w:hAnsi="宋体" w:cs="宋体"/>
                <w:color w:val="auto"/>
                <w:szCs w:val="21"/>
                <w:highlight w:val="none"/>
              </w:rPr>
            </w:pPr>
            <w:bookmarkStart w:id="38" w:name="OLE_LINK3"/>
            <w:bookmarkStart w:id="39" w:name="OLE_LINK4"/>
            <w:r>
              <w:rPr>
                <w:rFonts w:hint="eastAsia" w:ascii="宋体" w:hAnsi="宋体"/>
                <w:color w:val="auto"/>
                <w:szCs w:val="21"/>
                <w:highlight w:val="none"/>
              </w:rPr>
              <w:t>投标人必须具有有效的承装（修、试）电力设施许可证资质。（提供相应证明文件复印件</w:t>
            </w:r>
            <w:r>
              <w:rPr>
                <w:rFonts w:hint="eastAsia" w:ascii="仿宋" w:hAnsi="仿宋" w:eastAsia="仿宋"/>
                <w:color w:val="auto"/>
                <w:szCs w:val="21"/>
                <w:highlight w:val="none"/>
              </w:rPr>
              <w:t>或扫描件</w:t>
            </w:r>
            <w:r>
              <w:rPr>
                <w:rFonts w:hint="eastAsia" w:ascii="宋体" w:hAnsi="宋体"/>
                <w:color w:val="auto"/>
                <w:szCs w:val="21"/>
                <w:highlight w:val="none"/>
              </w:rPr>
              <w:t>并加盖投标人公章）</w:t>
            </w:r>
            <w:bookmarkEnd w:id="38"/>
            <w:bookmarkEnd w:id="39"/>
          </w:p>
          <w:p>
            <w:pPr>
              <w:numPr>
                <w:ilvl w:val="0"/>
                <w:numId w:val="10"/>
              </w:numPr>
              <w:tabs>
                <w:tab w:val="left" w:pos="531"/>
              </w:tabs>
              <w:snapToGrid w:val="0"/>
              <w:rPr>
                <w:rFonts w:ascii="宋体" w:hAnsi="宋体" w:cs="宋体"/>
                <w:color w:val="auto"/>
                <w:highlight w:val="none"/>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应包含税率、税额、税前及税后总金额。</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投标报价包括但不限于</w:t>
            </w:r>
            <w:r>
              <w:rPr>
                <w:rFonts w:hint="eastAsia" w:ascii="宋体" w:hAnsi="宋体"/>
                <w:color w:val="auto"/>
                <w:szCs w:val="21"/>
                <w:highlight w:val="none"/>
              </w:rPr>
              <w:t>材料费、施工费（拆卸及安装）、调试费、安全管理费、措施费及各项规费、垃圾清运、增值税费等</w:t>
            </w:r>
            <w:r>
              <w:rPr>
                <w:rFonts w:hint="eastAsia" w:ascii="宋体" w:hAnsi="宋体" w:cs="仿宋_GB2312"/>
                <w:color w:val="auto"/>
                <w:szCs w:val="21"/>
                <w:highlight w:val="none"/>
              </w:rPr>
              <w:t>完成本项目所需的全部费用。</w:t>
            </w:r>
          </w:p>
          <w:p>
            <w:pPr>
              <w:numPr>
                <w:ilvl w:val="0"/>
                <w:numId w:val="0"/>
              </w:numPr>
              <w:tabs>
                <w:tab w:val="left" w:pos="531"/>
              </w:tabs>
              <w:snapToGrid w:val="0"/>
              <w:ind w:leftChars="0"/>
              <w:rPr>
                <w:color w:val="auto"/>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lang w:val="en-US" w:eastAsia="zh-CN"/>
              </w:rPr>
              <w:t>48.8</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color w:val="auto"/>
                <w:highlight w:val="none"/>
              </w:rPr>
            </w:pPr>
            <w:r>
              <w:rPr>
                <w:rFonts w:hint="eastAsia" w:ascii="宋体" w:hAnsi="宋体" w:cs="宋体"/>
                <w:color w:val="auto"/>
                <w:highlight w:val="none"/>
              </w:rPr>
              <w:t>本项目施工完毕且验收合格后，一次性支付合同总金额的97%。</w:t>
            </w:r>
          </w:p>
          <w:p>
            <w:pPr>
              <w:numPr>
                <w:ilvl w:val="0"/>
                <w:numId w:val="12"/>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rPr>
              <w:t>合同总金额的3%款项留作质保金，待质保期满、无质量和遗留问题，且完成罚金、违约金等清算后，一次性支付剩余款项（不计利息）。</w:t>
            </w:r>
          </w:p>
          <w:p>
            <w:pPr>
              <w:numPr>
                <w:ilvl w:val="0"/>
                <w:numId w:val="12"/>
              </w:numPr>
              <w:tabs>
                <w:tab w:val="left" w:pos="531"/>
              </w:tabs>
              <w:snapToGrid w:val="0"/>
              <w:ind w:left="0" w:firstLine="0"/>
              <w:rPr>
                <w:color w:val="auto"/>
                <w:highlight w:val="none"/>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napToGrid/>
                <w:spacing w:val="0"/>
                <w:kern w:val="2"/>
                <w:sz w:val="21"/>
                <w:szCs w:val="21"/>
              </w:rPr>
              <w:t>工期要求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ascii="宋体" w:eastAsia="宋体" w:cs="宋体"/>
                <w:color w:val="FF0000"/>
                <w:highlight w:val="yellow"/>
              </w:rPr>
            </w:pPr>
            <w:r>
              <w:rPr>
                <w:rFonts w:hint="eastAsia" w:ascii="宋体" w:hAnsi="宋体" w:cs="宋体"/>
                <w:snapToGrid/>
                <w:spacing w:val="0"/>
                <w:kern w:val="2"/>
                <w:sz w:val="21"/>
                <w:szCs w:val="21"/>
              </w:rPr>
              <w:t>合同签订后，20个日历日完成竣工验收。如遇不可抗拒或因配合招标人经营造成的工期延误，经招标人书面签字确认后可顺延合同工期。否则，招标人将按2000元/天的标准直接从当期应付款项中扣除相应款项作为违约金。</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spacing w:val="0"/>
                <w:kern w:val="2"/>
                <w:sz w:val="21"/>
                <w:szCs w:val="21"/>
              </w:rPr>
            </w:pPr>
            <w:r>
              <w:rPr>
                <w:rFonts w:hint="eastAsia" w:ascii="宋体" w:hAnsi="宋体" w:cs="宋体"/>
                <w:snapToGrid/>
                <w:spacing w:val="0"/>
                <w:kern w:val="2"/>
                <w:sz w:val="21"/>
                <w:szCs w:val="21"/>
              </w:rPr>
              <w:t>验收标准</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rPr>
                <w:rFonts w:hint="eastAsia" w:ascii="宋体" w:hAnsi="宋体" w:eastAsia="宋体" w:cs="宋体"/>
                <w:kern w:val="0"/>
                <w:sz w:val="21"/>
                <w:szCs w:val="21"/>
              </w:rPr>
            </w:pPr>
            <w:r>
              <w:rPr>
                <w:rFonts w:hint="eastAsia" w:ascii="宋体" w:hAnsi="宋体" w:eastAsia="宋体" w:cs="宋体"/>
                <w:kern w:val="0"/>
                <w:sz w:val="21"/>
                <w:szCs w:val="21"/>
              </w:rPr>
              <w:t>工程完工后，中标单位应及时提出书面验收申请，经组织相关部门进行现场验收</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出具验收报告（包括相关检测报告及测试图片等）</w:t>
            </w:r>
            <w:r>
              <w:rPr>
                <w:rFonts w:hint="eastAsia" w:ascii="宋体" w:hAnsi="宋体" w:eastAsia="宋体" w:cs="宋体"/>
                <w:kern w:val="0"/>
                <w:sz w:val="21"/>
                <w:szCs w:val="21"/>
              </w:rPr>
              <w:t>。</w:t>
            </w:r>
          </w:p>
          <w:p>
            <w:pPr>
              <w:pStyle w:val="2"/>
              <w:numPr>
                <w:ilvl w:val="0"/>
                <w:numId w:val="13"/>
              </w:numPr>
              <w:spacing w:line="240" w:lineRule="auto"/>
              <w:ind w:left="0"/>
              <w:rPr>
                <w:rFonts w:hint="eastAsia" w:ascii="宋体" w:hAnsi="宋体" w:eastAsia="宋体" w:cs="宋体"/>
                <w:kern w:val="0"/>
                <w:sz w:val="21"/>
                <w:szCs w:val="21"/>
              </w:rPr>
            </w:pPr>
            <w:r>
              <w:rPr>
                <w:rFonts w:hint="eastAsia" w:ascii="宋体" w:hAnsi="宋体" w:eastAsia="宋体" w:cs="宋体"/>
                <w:kern w:val="0"/>
                <w:sz w:val="21"/>
                <w:szCs w:val="21"/>
              </w:rPr>
              <w:t>根据国家相关规范和标准进行验收：</w:t>
            </w:r>
          </w:p>
          <w:p>
            <w:pPr>
              <w:pStyle w:val="2"/>
              <w:numPr>
                <w:ilvl w:val="-1"/>
                <w:numId w:val="0"/>
              </w:numPr>
              <w:spacing w:line="240" w:lineRule="auto"/>
              <w:ind w:left="0"/>
              <w:rPr>
                <w:rFonts w:hint="eastAsia" w:ascii="宋体" w:hAnsi="宋体" w:eastAsia="宋体" w:cs="宋体"/>
                <w:sz w:val="21"/>
                <w:szCs w:val="21"/>
              </w:rPr>
            </w:pPr>
            <w:r>
              <w:rPr>
                <w:rFonts w:hint="eastAsia" w:ascii="宋体" w:hAnsi="宋体" w:eastAsia="宋体" w:cs="宋体"/>
                <w:sz w:val="21"/>
                <w:szCs w:val="21"/>
              </w:rPr>
              <w:t>《电力设备预防性试验规程》DL/T 596-2021。</w:t>
            </w:r>
          </w:p>
          <w:p>
            <w:pPr>
              <w:pStyle w:val="11"/>
              <w:rPr>
                <w:rFonts w:hint="eastAsia" w:ascii="宋体" w:eastAsia="宋体" w:cs="宋体"/>
                <w:szCs w:val="21"/>
              </w:rPr>
            </w:pPr>
            <w:r>
              <w:rPr>
                <w:rFonts w:hint="eastAsia" w:ascii="宋体" w:eastAsia="宋体" w:cs="宋体"/>
                <w:szCs w:val="21"/>
              </w:rPr>
              <w:t>《电气装置安装工程高压电器施工及验收规范》GB 50147-2010。</w:t>
            </w:r>
          </w:p>
          <w:p>
            <w:pPr>
              <w:numPr>
                <w:ilvl w:val="0"/>
                <w:numId w:val="0"/>
              </w:numPr>
              <w:tabs>
                <w:tab w:val="left" w:pos="531"/>
              </w:tabs>
              <w:snapToGrid w:val="0"/>
              <w:ind w:leftChars="0"/>
              <w:rPr>
                <w:rFonts w:hint="eastAsia" w:ascii="宋体" w:hAnsi="宋体" w:cs="宋体"/>
                <w:snapToGrid/>
                <w:spacing w:val="0"/>
                <w:kern w:val="2"/>
                <w:sz w:val="21"/>
                <w:szCs w:val="21"/>
              </w:rPr>
            </w:pPr>
            <w:r>
              <w:rPr>
                <w:rFonts w:hint="eastAsia" w:ascii="宋体" w:hAnsi="宋体" w:eastAsia="宋体" w:cs="宋体"/>
                <w:szCs w:val="21"/>
              </w:rPr>
              <w:t>《继电保护和安全自动装置技术规程》GB/T 14285-2006</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val="en-US" w:eastAsia="zh-CN"/>
              </w:rPr>
            </w:pPr>
            <w:r>
              <w:rPr>
                <w:rFonts w:hint="eastAsia" w:ascii="宋体" w:hAnsi="宋体" w:cs="宋体"/>
                <w:b w:val="0"/>
                <w:bCs/>
                <w:szCs w:val="21"/>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eastAsia="zh-CN"/>
              </w:rPr>
            </w:pPr>
            <w:r>
              <w:rPr>
                <w:rFonts w:hint="eastAsia" w:ascii="宋体" w:hAnsi="宋体" w:cs="宋体"/>
                <w:b w:val="0"/>
                <w:bCs/>
                <w:szCs w:val="21"/>
                <w:lang w:eastAsia="zh-CN"/>
              </w:rPr>
              <w:t>项目地点</w:t>
            </w:r>
          </w:p>
        </w:tc>
        <w:tc>
          <w:tcPr>
            <w:tcW w:w="743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default" w:ascii="宋体" w:hAnsi="宋体" w:eastAsia="宋体" w:cs="宋体"/>
                <w:b/>
                <w:szCs w:val="21"/>
                <w:lang w:val="en-US" w:eastAsia="zh-CN"/>
              </w:rPr>
            </w:pPr>
            <w:r>
              <w:rPr>
                <w:rFonts w:hint="eastAsia" w:ascii="宋体" w:hAnsi="宋体" w:cs="宋体"/>
                <w:b w:val="0"/>
                <w:bCs/>
                <w:szCs w:val="21"/>
                <w:lang w:eastAsia="zh-CN"/>
              </w:rPr>
              <w:t>会展中心</w:t>
            </w:r>
            <w:r>
              <w:rPr>
                <w:rFonts w:hint="eastAsia" w:ascii="宋体" w:hAnsi="宋体" w:cs="宋体"/>
                <w:b w:val="0"/>
                <w:bCs/>
                <w:szCs w:val="21"/>
                <w:lang w:val="en-US" w:eastAsia="zh-CN"/>
              </w:rPr>
              <w:t>1号变电室和4号变电室。</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rPr>
              <w:t>工程量清单</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5"/>
              </w:tabs>
              <w:snapToGrid w:val="0"/>
              <w:jc w:val="left"/>
              <w:rPr>
                <w:rFonts w:ascii="宋体" w:hAnsi="宋体" w:cs="宋体"/>
              </w:rPr>
            </w:pPr>
            <w:r>
              <w:rPr>
                <w:rFonts w:hint="eastAsia" w:ascii="宋体" w:hAnsi="宋体" w:cs="宋体"/>
              </w:rPr>
              <w:t>80面中压开关柜</w:t>
            </w:r>
            <w:r>
              <w:rPr>
                <w:rFonts w:hint="eastAsia" w:ascii="宋体" w:hAnsi="宋体" w:cs="宋体"/>
                <w:lang w:eastAsia="zh-CN"/>
              </w:rPr>
              <w:t>；</w:t>
            </w:r>
          </w:p>
          <w:p>
            <w:pPr>
              <w:numPr>
                <w:ilvl w:val="0"/>
                <w:numId w:val="14"/>
              </w:numPr>
              <w:tabs>
                <w:tab w:val="left" w:pos="535"/>
              </w:tabs>
              <w:snapToGrid w:val="0"/>
              <w:jc w:val="left"/>
              <w:rPr>
                <w:rFonts w:ascii="宋体" w:hAnsi="宋体" w:cs="宋体"/>
              </w:rPr>
            </w:pPr>
            <w:r>
              <w:rPr>
                <w:rFonts w:hint="eastAsia" w:ascii="宋体" w:hAnsi="宋体" w:cs="宋体"/>
              </w:rPr>
              <w:t>17面环网柜</w:t>
            </w:r>
            <w:r>
              <w:rPr>
                <w:rFonts w:hint="eastAsia" w:ascii="宋体" w:hAnsi="宋体" w:cs="宋体"/>
                <w:lang w:eastAsia="zh-CN"/>
              </w:rPr>
              <w:t>；</w:t>
            </w:r>
          </w:p>
          <w:p>
            <w:pPr>
              <w:numPr>
                <w:ilvl w:val="0"/>
                <w:numId w:val="14"/>
              </w:numPr>
              <w:tabs>
                <w:tab w:val="left" w:pos="535"/>
              </w:tabs>
              <w:snapToGrid w:val="0"/>
              <w:jc w:val="left"/>
              <w:rPr>
                <w:rFonts w:ascii="宋体" w:hAnsi="宋体" w:cs="宋体"/>
              </w:rPr>
            </w:pPr>
            <w:r>
              <w:rPr>
                <w:rFonts w:hint="eastAsia" w:ascii="宋体" w:hAnsi="宋体" w:cs="宋体"/>
              </w:rPr>
              <w:t>54台微机保护装置</w:t>
            </w:r>
            <w:r>
              <w:rPr>
                <w:rFonts w:hint="eastAsia" w:ascii="宋体" w:hAnsi="宋体" w:cs="宋体"/>
                <w:lang w:eastAsia="zh-CN"/>
              </w:rPr>
              <w:t>。</w:t>
            </w:r>
          </w:p>
          <w:p>
            <w:pPr>
              <w:tabs>
                <w:tab w:val="left" w:pos="531"/>
              </w:tabs>
              <w:snapToGrid w:val="0"/>
              <w:rPr>
                <w:rFonts w:ascii="宋体" w:hAnsi="宋体"/>
                <w:color w:val="FF0000"/>
              </w:rPr>
            </w:pPr>
            <w:r>
              <w:rPr>
                <w:rFonts w:hint="eastAsia" w:ascii="宋体" w:hAnsi="宋体" w:cs="宋体"/>
                <w:lang w:eastAsia="zh-CN"/>
              </w:rPr>
              <w:t>具体测试方法详见《五、设备试验要求》</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FF0000"/>
                <w:szCs w:val="21"/>
              </w:rPr>
            </w:pPr>
            <w:r>
              <w:rPr>
                <w:rFonts w:hint="eastAsia"/>
              </w:rPr>
              <w:t>安装调试和施工要求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5"/>
              </w:tabs>
              <w:snapToGrid w:val="0"/>
              <w:spacing w:line="240" w:lineRule="auto"/>
              <w:rPr>
                <w:rFonts w:ascii="宋体" w:hAnsi="宋体"/>
                <w:szCs w:val="21"/>
              </w:rPr>
            </w:pPr>
            <w:r>
              <w:rPr>
                <w:rFonts w:hint="eastAsia" w:ascii="宋体" w:hAnsi="宋体"/>
                <w:szCs w:val="21"/>
              </w:rPr>
              <w:t>投标人须根据施工现场的实际情况，制定并提交切实可行的施工组织方案和施工计划，以及针对紧急情况或意外事故的应急预案。</w:t>
            </w:r>
          </w:p>
          <w:p>
            <w:pPr>
              <w:numPr>
                <w:ilvl w:val="0"/>
                <w:numId w:val="15"/>
              </w:numPr>
              <w:tabs>
                <w:tab w:val="left" w:pos="535"/>
              </w:tabs>
              <w:snapToGrid w:val="0"/>
              <w:spacing w:line="240" w:lineRule="auto"/>
              <w:rPr>
                <w:rFonts w:ascii="宋体" w:hAnsi="宋体"/>
                <w:szCs w:val="21"/>
              </w:rPr>
            </w:pPr>
            <w:r>
              <w:rPr>
                <w:rFonts w:hint="eastAsia" w:ascii="宋体" w:hAnsi="宋体"/>
                <w:szCs w:val="21"/>
              </w:rPr>
              <w:t>施工前须对现场进行勘查，熟悉现场情况。</w:t>
            </w:r>
          </w:p>
          <w:p>
            <w:pPr>
              <w:numPr>
                <w:ilvl w:val="0"/>
                <w:numId w:val="15"/>
              </w:numPr>
              <w:tabs>
                <w:tab w:val="left" w:pos="535"/>
              </w:tabs>
              <w:snapToGrid w:val="0"/>
              <w:spacing w:line="240" w:lineRule="auto"/>
              <w:rPr>
                <w:rFonts w:ascii="宋体" w:hAnsi="宋体"/>
                <w:szCs w:val="21"/>
              </w:rPr>
            </w:pPr>
            <w:r>
              <w:rPr>
                <w:rFonts w:hint="eastAsia" w:ascii="宋体" w:hAnsi="宋体"/>
                <w:szCs w:val="21"/>
              </w:rPr>
              <w:t>投标人要熟悉中压开关柜所有技术参数与检测规范，具备处理各种应急事项的能力，发现设备缺陷必须及时向</w:t>
            </w:r>
            <w:r>
              <w:rPr>
                <w:rFonts w:hint="eastAsia" w:ascii="宋体" w:hAnsi="宋体"/>
                <w:szCs w:val="21"/>
                <w:lang w:eastAsia="zh-CN"/>
              </w:rPr>
              <w:t>招标人</w:t>
            </w:r>
            <w:r>
              <w:rPr>
                <w:rFonts w:hint="eastAsia" w:ascii="宋体" w:hAnsi="宋体"/>
                <w:szCs w:val="21"/>
              </w:rPr>
              <w:t>报告。</w:t>
            </w:r>
          </w:p>
          <w:p>
            <w:pPr>
              <w:numPr>
                <w:ilvl w:val="0"/>
                <w:numId w:val="15"/>
              </w:numPr>
              <w:tabs>
                <w:tab w:val="left" w:pos="535"/>
              </w:tabs>
              <w:snapToGrid w:val="0"/>
              <w:spacing w:line="240" w:lineRule="auto"/>
              <w:rPr>
                <w:rFonts w:ascii="宋体" w:hAnsi="宋体"/>
                <w:szCs w:val="21"/>
              </w:rPr>
            </w:pPr>
            <w:r>
              <w:rPr>
                <w:rFonts w:hint="eastAsia" w:ascii="宋体" w:hAnsi="宋体"/>
                <w:szCs w:val="21"/>
              </w:rPr>
              <w:t>试验前后的高压停送电的开关倒闸操作，严格按照高压倒闸操作规程操作。操作技术人员必须具备相应的高压电工作业证或进网作业许可证。</w:t>
            </w:r>
          </w:p>
          <w:p>
            <w:pPr>
              <w:numPr>
                <w:ilvl w:val="0"/>
                <w:numId w:val="15"/>
              </w:numPr>
              <w:tabs>
                <w:tab w:val="left" w:pos="535"/>
              </w:tabs>
              <w:snapToGrid w:val="0"/>
              <w:spacing w:line="240" w:lineRule="auto"/>
              <w:rPr>
                <w:rFonts w:ascii="宋体" w:hAnsi="宋体"/>
                <w:szCs w:val="21"/>
              </w:rPr>
            </w:pPr>
            <w:r>
              <w:rPr>
                <w:rFonts w:hint="eastAsia" w:ascii="宋体" w:hAnsi="宋体"/>
                <w:szCs w:val="21"/>
              </w:rPr>
              <w:t>拆除本次试验的电缆线头，并保持所有的电缆线头与设备达到安全距离，测试完后再装回复原，同时各种螺丝的安装扭矩符合国标。</w:t>
            </w:r>
          </w:p>
          <w:p>
            <w:pPr>
              <w:numPr>
                <w:ilvl w:val="0"/>
                <w:numId w:val="15"/>
              </w:numPr>
              <w:tabs>
                <w:tab w:val="left" w:pos="535"/>
              </w:tabs>
              <w:snapToGrid w:val="0"/>
              <w:spacing w:line="240" w:lineRule="auto"/>
              <w:rPr>
                <w:rFonts w:ascii="宋体" w:hAnsi="宋体"/>
                <w:szCs w:val="21"/>
              </w:rPr>
            </w:pPr>
            <w:r>
              <w:rPr>
                <w:rFonts w:hint="eastAsia" w:ascii="宋体" w:hAnsi="宋体"/>
                <w:szCs w:val="21"/>
              </w:rPr>
              <w:t>送电后做好三相相序测定，相序与测试前保持一致。</w:t>
            </w:r>
          </w:p>
          <w:p>
            <w:pPr>
              <w:numPr>
                <w:ilvl w:val="0"/>
                <w:numId w:val="15"/>
              </w:numPr>
              <w:tabs>
                <w:tab w:val="left" w:pos="535"/>
              </w:tabs>
              <w:snapToGrid w:val="0"/>
              <w:spacing w:line="240" w:lineRule="auto"/>
              <w:rPr>
                <w:rFonts w:ascii="宋体" w:hAnsi="宋体"/>
                <w:szCs w:val="21"/>
              </w:rPr>
            </w:pPr>
            <w:r>
              <w:rPr>
                <w:rFonts w:hint="eastAsia" w:ascii="宋体" w:hAnsi="宋体"/>
                <w:szCs w:val="21"/>
              </w:rPr>
              <w:t>提供中压开关柜、环网柜检修和耐压测试检测报告和总结报告。</w:t>
            </w:r>
          </w:p>
          <w:p>
            <w:pPr>
              <w:numPr>
                <w:ilvl w:val="0"/>
                <w:numId w:val="15"/>
              </w:numPr>
              <w:tabs>
                <w:tab w:val="left" w:pos="535"/>
              </w:tabs>
              <w:snapToGrid w:val="0"/>
              <w:spacing w:line="240" w:lineRule="auto"/>
              <w:rPr>
                <w:rFonts w:ascii="宋体" w:hAnsi="宋体"/>
                <w:szCs w:val="21"/>
              </w:rPr>
            </w:pPr>
            <w:r>
              <w:rPr>
                <w:rFonts w:hint="eastAsia" w:ascii="宋体" w:hAnsi="宋体"/>
                <w:szCs w:val="21"/>
              </w:rPr>
              <w:t>对所有检测的设备清洁，对有问题的设备提供免费安装调试服务（采购方提供相关配件）。</w:t>
            </w:r>
          </w:p>
          <w:p>
            <w:pPr>
              <w:numPr>
                <w:ilvl w:val="0"/>
                <w:numId w:val="15"/>
              </w:numPr>
              <w:tabs>
                <w:tab w:val="left" w:pos="535"/>
              </w:tabs>
              <w:snapToGrid w:val="0"/>
              <w:spacing w:line="240" w:lineRule="auto"/>
              <w:rPr>
                <w:rFonts w:ascii="宋体" w:hAnsi="宋体"/>
                <w:szCs w:val="21"/>
              </w:rPr>
            </w:pPr>
            <w:r>
              <w:rPr>
                <w:rFonts w:hint="eastAsia" w:ascii="宋体" w:hAnsi="宋体"/>
                <w:szCs w:val="21"/>
              </w:rPr>
              <w:t>投标人应注重现场的文明施工，对施工区域的施工垃圾必须及时自行清除，不得乱堆乱放。</w:t>
            </w:r>
          </w:p>
          <w:p>
            <w:pPr>
              <w:numPr>
                <w:ilvl w:val="0"/>
                <w:numId w:val="15"/>
              </w:numPr>
              <w:tabs>
                <w:tab w:val="left" w:pos="535"/>
              </w:tabs>
              <w:snapToGrid w:val="0"/>
              <w:spacing w:line="240" w:lineRule="auto"/>
              <w:rPr>
                <w:rFonts w:ascii="宋体" w:hAnsi="宋体"/>
                <w:szCs w:val="21"/>
              </w:rPr>
            </w:pPr>
            <w:r>
              <w:rPr>
                <w:rFonts w:hint="eastAsia" w:ascii="宋体" w:hAnsi="宋体"/>
                <w:szCs w:val="21"/>
              </w:rPr>
              <w:t>投标人应对现场施工作业人员的安全负全部责任，采取切实有效的安全措施、设置安全可靠的防护设施，确保现场人员人身及</w:t>
            </w:r>
            <w:r>
              <w:rPr>
                <w:rFonts w:hint="eastAsia" w:ascii="宋体" w:hAnsi="宋体"/>
                <w:szCs w:val="21"/>
                <w:lang w:eastAsia="zh-CN"/>
              </w:rPr>
              <w:t>招标人</w:t>
            </w:r>
            <w:r>
              <w:rPr>
                <w:rFonts w:hint="eastAsia" w:ascii="宋体" w:hAnsi="宋体"/>
                <w:szCs w:val="21"/>
              </w:rPr>
              <w:t>财产安全，并自觉杜绝所有违法违章违规及无防护措施的危险作业行为。如因中标单位管理不善、组织不力或监管缺失等造成安全责任事故及财产损失的由中标单位负全部责任。</w:t>
            </w:r>
          </w:p>
          <w:p>
            <w:pPr>
              <w:tabs>
                <w:tab w:val="left" w:pos="531"/>
              </w:tabs>
              <w:snapToGrid w:val="0"/>
              <w:spacing w:line="240" w:lineRule="auto"/>
              <w:rPr>
                <w:color w:val="FF0000"/>
              </w:rPr>
            </w:pPr>
            <w:r>
              <w:rPr>
                <w:rFonts w:hint="eastAsia" w:ascii="宋体" w:hAnsi="宋体"/>
                <w:szCs w:val="21"/>
              </w:rPr>
              <w:t>投标人承诺严格按照安全规程安排施工作业，</w:t>
            </w:r>
            <w:r>
              <w:rPr>
                <w:rFonts w:hint="eastAsia" w:ascii="宋体" w:hAnsi="宋体"/>
                <w:szCs w:val="21"/>
                <w:lang w:eastAsia="zh-CN"/>
              </w:rPr>
              <w:t>招标人</w:t>
            </w:r>
            <w:r>
              <w:rPr>
                <w:rFonts w:hint="eastAsia" w:ascii="宋体" w:hAnsi="宋体"/>
                <w:szCs w:val="21"/>
              </w:rPr>
              <w:t>有权制止现场违规或存在安全隐患的作业现象。</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color w:val="FF0000"/>
                <w:highlight w:val="yellow"/>
              </w:rPr>
            </w:pPr>
            <w:r>
              <w:rPr>
                <w:rFonts w:hint="eastAsia"/>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669"/>
              </w:tabs>
              <w:snapToGrid w:val="0"/>
              <w:spacing w:line="240" w:lineRule="auto"/>
              <w:ind w:left="535" w:hanging="535"/>
              <w:rPr>
                <w:rFonts w:ascii="宋体" w:hAnsi="宋体"/>
              </w:rPr>
            </w:pPr>
            <w:r>
              <w:rPr>
                <w:rFonts w:hint="eastAsia" w:ascii="宋体" w:hAnsi="宋体"/>
              </w:rPr>
              <w:t>投标人须指定项目负责人，负责人须持有有效的电气试验作业证，并提供该负责人姓名、电话、职务、身份证复印件或扫描件、职业或执业资格证书复印件或扫描件（以上复印件或扫描件加盖公章，原件备查）等信息，负责联络协调及跟进该项目具体实施。</w:t>
            </w:r>
          </w:p>
          <w:p>
            <w:pPr>
              <w:numPr>
                <w:ilvl w:val="0"/>
                <w:numId w:val="16"/>
              </w:numPr>
              <w:tabs>
                <w:tab w:val="left" w:pos="669"/>
              </w:tabs>
              <w:snapToGrid w:val="0"/>
              <w:spacing w:line="240" w:lineRule="auto"/>
              <w:ind w:left="535" w:hanging="535"/>
              <w:rPr>
                <w:rFonts w:ascii="宋体" w:hAnsi="宋体"/>
              </w:rPr>
            </w:pPr>
            <w:r>
              <w:rPr>
                <w:rFonts w:hint="eastAsia" w:ascii="宋体" w:hAnsi="宋体"/>
              </w:rPr>
              <w:t>投标人须设置具有有效安全员资格证书的专职安全员，须提交资格证书复印件或扫描件加盖公章。</w:t>
            </w:r>
          </w:p>
          <w:p>
            <w:pPr>
              <w:numPr>
                <w:ilvl w:val="0"/>
                <w:numId w:val="16"/>
              </w:numPr>
              <w:tabs>
                <w:tab w:val="left" w:pos="669"/>
              </w:tabs>
              <w:snapToGrid w:val="0"/>
              <w:spacing w:line="240" w:lineRule="auto"/>
              <w:ind w:left="535" w:hanging="535"/>
              <w:rPr>
                <w:rFonts w:ascii="宋体" w:hAnsi="宋体"/>
              </w:rPr>
            </w:pPr>
            <w:r>
              <w:rPr>
                <w:rFonts w:hint="eastAsia" w:ascii="宋体" w:hAnsi="宋体"/>
              </w:rPr>
              <w:t>投标人安排的现场施工人员须具备高压电工作业证，并提交拟安排人员资格证复印件或扫描件加盖公章（进场前须另行向</w:t>
            </w:r>
            <w:r>
              <w:rPr>
                <w:rFonts w:hint="eastAsia" w:ascii="宋体" w:hAnsi="宋体"/>
                <w:lang w:eastAsia="zh-CN"/>
              </w:rPr>
              <w:t>招标人</w:t>
            </w:r>
            <w:r>
              <w:rPr>
                <w:rFonts w:hint="eastAsia" w:ascii="宋体" w:hAnsi="宋体"/>
              </w:rPr>
              <w:t>书面报备）。</w:t>
            </w:r>
          </w:p>
          <w:p>
            <w:pPr>
              <w:tabs>
                <w:tab w:val="left" w:pos="531"/>
              </w:tabs>
              <w:snapToGrid w:val="0"/>
              <w:spacing w:line="240" w:lineRule="auto"/>
              <w:rPr>
                <w:color w:val="FF0000"/>
                <w:highlight w:val="yellow"/>
              </w:rPr>
            </w:pPr>
            <w:r>
              <w:rPr>
                <w:rFonts w:hint="eastAsia" w:ascii="宋体" w:hAnsi="宋体"/>
              </w:rPr>
              <w:t>未经招标人书面同意，拟投入本项目人员不得变动，进场前须另行向</w:t>
            </w:r>
            <w:r>
              <w:rPr>
                <w:rFonts w:hint="eastAsia" w:ascii="宋体" w:hAnsi="宋体"/>
                <w:lang w:eastAsia="zh-CN"/>
              </w:rPr>
              <w:t>招标人</w:t>
            </w:r>
            <w:r>
              <w:rPr>
                <w:rFonts w:hint="eastAsia" w:ascii="宋体" w:hAnsi="宋体"/>
              </w:rPr>
              <w:t>书面报备。如实际进场人员确实需要变动，则变动后的实际进场人员的规模及资格等级不得低于投标文件中拟投入人员资格情况。</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FF0000"/>
                <w:szCs w:val="21"/>
                <w:highlight w:val="yellow"/>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bookmarkStart w:id="40" w:name="_Toc116550349"/>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rPr>
            </w:pPr>
            <w:r>
              <w:rPr>
                <w:rFonts w:hint="eastAsia"/>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7"/>
              </w:numPr>
              <w:tabs>
                <w:tab w:val="left" w:pos="669"/>
              </w:tabs>
              <w:snapToGrid w:val="0"/>
              <w:spacing w:line="240" w:lineRule="auto"/>
              <w:rPr>
                <w:rFonts w:hint="eastAsia" w:ascii="宋体" w:hAnsi="宋体"/>
              </w:rPr>
            </w:pPr>
            <w:r>
              <w:rPr>
                <w:rFonts w:hint="eastAsia" w:ascii="宋体" w:hAnsi="宋体"/>
              </w:rPr>
              <w:t>本项目工程</w:t>
            </w:r>
            <w:r>
              <w:rPr>
                <w:rFonts w:hint="eastAsia" w:ascii="宋体" w:hAnsi="宋体"/>
                <w:szCs w:val="21"/>
              </w:rPr>
              <w:t>质量保证</w:t>
            </w:r>
            <w:r>
              <w:rPr>
                <w:rFonts w:hint="eastAsia" w:ascii="宋体" w:hAnsi="宋体"/>
              </w:rPr>
              <w:t>期至少为</w:t>
            </w:r>
            <w:r>
              <w:rPr>
                <w:rFonts w:hint="eastAsia" w:ascii="宋体" w:hAnsi="宋体"/>
                <w:color w:val="auto"/>
              </w:rPr>
              <w:t>6个月</w:t>
            </w:r>
            <w:r>
              <w:rPr>
                <w:rFonts w:hint="eastAsia" w:ascii="宋体" w:hAnsi="宋体"/>
              </w:rPr>
              <w:t>，最终</w:t>
            </w:r>
            <w:r>
              <w:rPr>
                <w:rFonts w:hint="eastAsia" w:ascii="宋体" w:hAnsi="宋体"/>
                <w:szCs w:val="21"/>
              </w:rPr>
              <w:t>质量保证</w:t>
            </w:r>
            <w:r>
              <w:rPr>
                <w:rFonts w:hint="eastAsia" w:ascii="宋体" w:hAnsi="宋体"/>
              </w:rPr>
              <w:t>期以《质量保证承诺书》上的免费保修年限承诺为准。</w:t>
            </w:r>
          </w:p>
          <w:p>
            <w:pPr>
              <w:numPr>
                <w:ilvl w:val="0"/>
                <w:numId w:val="17"/>
              </w:numPr>
              <w:tabs>
                <w:tab w:val="left" w:pos="669"/>
              </w:tabs>
              <w:snapToGrid w:val="0"/>
              <w:spacing w:line="240" w:lineRule="auto"/>
              <w:rPr>
                <w:rFonts w:hint="eastAsia" w:ascii="宋体" w:hAnsi="宋体"/>
              </w:rPr>
            </w:pPr>
            <w:r>
              <w:rPr>
                <w:rFonts w:hint="eastAsia" w:ascii="宋体" w:hAnsi="宋体"/>
              </w:rPr>
              <w:t>投标人须提供《质量保证承诺书》，包括但不限于质保期内出现质量问题的保修承诺，提交免费保修年限承诺及保修电话、联系人、责任人等。</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FF0000"/>
                <w:szCs w:val="21"/>
                <w:highlight w:val="yellow"/>
              </w:rPr>
            </w:pPr>
            <w:r>
              <w:rPr>
                <w:rFonts w:hint="eastAsia" w:ascii="宋体" w:hAnsi="宋体"/>
                <w:szCs w:val="21"/>
              </w:rPr>
              <w:t>不可偏离</w:t>
            </w:r>
          </w:p>
        </w:tc>
      </w:tr>
    </w:tbl>
    <w:p>
      <w:pPr>
        <w:numPr>
          <w:ilvl w:val="0"/>
          <w:numId w:val="1"/>
        </w:numPr>
        <w:spacing w:line="240" w:lineRule="auto"/>
        <w:jc w:val="left"/>
        <w:outlineLvl w:val="1"/>
        <w:rPr>
          <w:rFonts w:ascii="宋体" w:hAnsi="宋体"/>
          <w:b/>
          <w:szCs w:val="21"/>
        </w:rPr>
      </w:pPr>
      <w:bookmarkStart w:id="41" w:name="_Toc82591996"/>
      <w:bookmarkEnd w:id="41"/>
      <w:bookmarkStart w:id="42" w:name="_Toc82685552"/>
      <w:bookmarkEnd w:id="42"/>
      <w:bookmarkStart w:id="43" w:name="_Toc82684715"/>
      <w:bookmarkEnd w:id="43"/>
      <w:bookmarkStart w:id="44" w:name="_Toc82684600"/>
      <w:bookmarkEnd w:id="44"/>
      <w:r>
        <w:rPr>
          <w:rFonts w:hint="eastAsia" w:ascii="宋体" w:hAnsi="宋体" w:cs="宋体"/>
          <w:b/>
          <w:bCs/>
          <w:szCs w:val="21"/>
        </w:rPr>
        <w:t>设备试验要求</w:t>
      </w:r>
      <w:bookmarkEnd w:id="40"/>
    </w:p>
    <w:p>
      <w:pPr>
        <w:spacing w:line="240" w:lineRule="auto"/>
        <w:jc w:val="center"/>
        <w:rPr>
          <w:rFonts w:hint="eastAsia" w:ascii="宋体" w:hAnsi="宋体" w:cs="宋体"/>
          <w:b/>
          <w:bCs/>
          <w:szCs w:val="21"/>
        </w:rPr>
      </w:pPr>
      <w:r>
        <w:rPr>
          <w:rFonts w:hint="eastAsia" w:ascii="宋体" w:hAnsi="宋体" w:cs="宋体"/>
          <w:b/>
          <w:bCs/>
          <w:szCs w:val="21"/>
        </w:rPr>
        <w:t>设备试验要求</w:t>
      </w:r>
    </w:p>
    <w:p>
      <w:pPr>
        <w:spacing w:line="240" w:lineRule="auto"/>
        <w:jc w:val="center"/>
        <w:rPr>
          <w:rFonts w:ascii="宋体" w:hAnsi="宋体" w:cs="宋体"/>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5"/>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3"/>
          </w:tcPr>
          <w:p>
            <w:pPr>
              <w:spacing w:line="240" w:lineRule="auto"/>
              <w:jc w:val="center"/>
              <w:rPr>
                <w:rFonts w:ascii="宋体" w:hAnsi="宋体" w:cs="宋体"/>
                <w:szCs w:val="21"/>
              </w:rPr>
            </w:pPr>
            <w:r>
              <w:rPr>
                <w:rFonts w:hint="eastAsia" w:ascii="宋体" w:hAnsi="宋体" w:cs="宋体"/>
                <w:b/>
                <w:bCs/>
                <w:szCs w:val="21"/>
              </w:rPr>
              <w:t>中压开关柜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240" w:lineRule="auto"/>
              <w:jc w:val="center"/>
              <w:rPr>
                <w:rFonts w:ascii="宋体" w:hAnsi="宋体" w:cs="宋体"/>
                <w:szCs w:val="21"/>
              </w:rPr>
            </w:pPr>
            <w:r>
              <w:rPr>
                <w:rFonts w:hint="eastAsia" w:ascii="宋体" w:hAnsi="宋体" w:cs="宋体"/>
                <w:szCs w:val="21"/>
              </w:rPr>
              <w:t>序号</w:t>
            </w:r>
          </w:p>
        </w:tc>
        <w:tc>
          <w:tcPr>
            <w:tcW w:w="1560" w:type="dxa"/>
          </w:tcPr>
          <w:p>
            <w:pPr>
              <w:spacing w:line="240" w:lineRule="auto"/>
              <w:jc w:val="center"/>
              <w:rPr>
                <w:rFonts w:ascii="宋体" w:hAnsi="宋体" w:cs="宋体"/>
                <w:szCs w:val="21"/>
              </w:rPr>
            </w:pPr>
            <w:r>
              <w:rPr>
                <w:rFonts w:hint="eastAsia" w:ascii="宋体" w:hAnsi="宋体" w:cs="宋体"/>
                <w:szCs w:val="21"/>
              </w:rPr>
              <w:t>测试项目名称</w:t>
            </w:r>
          </w:p>
        </w:tc>
        <w:tc>
          <w:tcPr>
            <w:tcW w:w="7166" w:type="dxa"/>
          </w:tcPr>
          <w:p>
            <w:pPr>
              <w:spacing w:line="240" w:lineRule="auto"/>
              <w:jc w:val="center"/>
              <w:rPr>
                <w:rFonts w:ascii="宋体" w:hAnsi="宋体" w:cs="宋体"/>
                <w:szCs w:val="21"/>
              </w:rPr>
            </w:pPr>
            <w:r>
              <w:rPr>
                <w:rFonts w:hint="eastAsia" w:ascii="宋体" w:hAnsi="宋体" w:cs="宋体"/>
                <w:szCs w:val="21"/>
              </w:rPr>
              <w:t>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auto"/>
              <w:rPr>
                <w:rFonts w:ascii="宋体" w:hAnsi="宋体" w:cs="宋体"/>
                <w:szCs w:val="21"/>
              </w:rPr>
            </w:pPr>
            <w:r>
              <w:rPr>
                <w:rFonts w:hint="eastAsia" w:ascii="宋体" w:hAnsi="宋体" w:cs="宋体"/>
                <w:szCs w:val="21"/>
              </w:rPr>
              <w:t>1</w:t>
            </w:r>
          </w:p>
        </w:tc>
        <w:tc>
          <w:tcPr>
            <w:tcW w:w="1560" w:type="dxa"/>
            <w:vAlign w:val="center"/>
          </w:tcPr>
          <w:p>
            <w:pPr>
              <w:pStyle w:val="22"/>
              <w:tabs>
                <w:tab w:val="left" w:pos="531"/>
              </w:tabs>
              <w:spacing w:line="240" w:lineRule="auto"/>
              <w:ind w:firstLine="0" w:firstLineChars="0"/>
              <w:rPr>
                <w:rFonts w:ascii="宋体" w:hAnsi="宋体" w:eastAsia="宋体" w:cs="宋体"/>
                <w:szCs w:val="21"/>
              </w:rPr>
            </w:pPr>
            <w:r>
              <w:rPr>
                <w:rFonts w:hint="eastAsia" w:ascii="宋体" w:hAnsi="宋体" w:eastAsia="宋体" w:cs="宋体"/>
                <w:bCs/>
                <w:szCs w:val="21"/>
              </w:rPr>
              <w:t>真空断路器</w:t>
            </w:r>
          </w:p>
        </w:tc>
        <w:tc>
          <w:tcPr>
            <w:tcW w:w="7166" w:type="dxa"/>
          </w:tcPr>
          <w:p>
            <w:pPr>
              <w:pStyle w:val="22"/>
              <w:numPr>
                <w:ilvl w:val="0"/>
                <w:numId w:val="18"/>
              </w:numPr>
              <w:tabs>
                <w:tab w:val="left" w:pos="640"/>
              </w:tabs>
              <w:spacing w:line="240" w:lineRule="auto"/>
              <w:ind w:firstLine="0" w:firstLineChars="0"/>
              <w:rPr>
                <w:rFonts w:ascii="宋体" w:hAnsi="宋体" w:eastAsia="宋体" w:cs="宋体"/>
                <w:bCs/>
                <w:szCs w:val="21"/>
              </w:rPr>
            </w:pPr>
            <w:r>
              <w:rPr>
                <w:rFonts w:hint="eastAsia" w:ascii="宋体" w:hAnsi="宋体" w:eastAsia="宋体" w:cs="宋体"/>
                <w:bCs/>
                <w:szCs w:val="21"/>
              </w:rPr>
              <w:t>测量绝缘电阻：整体绝缘电阻值测量，不低于制造厂规定；绝缘拉杆的绝缘电阻值，在常温下不应低于300兆欧。</w:t>
            </w:r>
          </w:p>
          <w:p>
            <w:pPr>
              <w:pStyle w:val="22"/>
              <w:numPr>
                <w:ilvl w:val="0"/>
                <w:numId w:val="18"/>
              </w:numPr>
              <w:tabs>
                <w:tab w:val="left" w:pos="640"/>
              </w:tabs>
              <w:spacing w:line="240" w:lineRule="auto"/>
              <w:ind w:firstLine="0" w:firstLineChars="0"/>
              <w:rPr>
                <w:rFonts w:ascii="宋体" w:hAnsi="宋体" w:eastAsia="宋体" w:cs="宋体"/>
                <w:szCs w:val="21"/>
              </w:rPr>
            </w:pPr>
            <w:r>
              <w:rPr>
                <w:rFonts w:hint="eastAsia" w:ascii="宋体" w:hAnsi="宋体" w:eastAsia="宋体" w:cs="宋体"/>
                <w:bCs/>
                <w:szCs w:val="21"/>
              </w:rPr>
              <w:t>测量每相导电回路的直流电阻：用电流不小于100A的直流压降法测量，电阻值应不大于出厂值的120%。</w:t>
            </w:r>
          </w:p>
          <w:p>
            <w:pPr>
              <w:pStyle w:val="22"/>
              <w:numPr>
                <w:ilvl w:val="0"/>
                <w:numId w:val="18"/>
              </w:numPr>
              <w:tabs>
                <w:tab w:val="left" w:pos="640"/>
              </w:tabs>
              <w:spacing w:line="240" w:lineRule="auto"/>
              <w:ind w:firstLine="0" w:firstLineChars="0"/>
              <w:rPr>
                <w:rFonts w:ascii="宋体" w:hAnsi="宋体" w:eastAsia="宋体" w:cs="宋体"/>
                <w:szCs w:val="21"/>
              </w:rPr>
            </w:pPr>
            <w:r>
              <w:rPr>
                <w:rFonts w:hint="eastAsia" w:ascii="宋体" w:hAnsi="宋体" w:eastAsia="宋体" w:cs="宋体"/>
                <w:bCs/>
                <w:szCs w:val="21"/>
              </w:rPr>
              <w:t>交流耐压试验：断路器的交流耐压试验应在分、合闸状态下分别进行，设备对地及相间的试验电压按照：a、断路器连接如互感器等绝缘水平较低设备，不能分离试验时，按最低耐压试验电压标准；b、进口开关设备其绝缘水平低于42KV，按28KV进行。试验标准为无闪络击穿，耐压前后测量绝缘电阻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auto"/>
              <w:rPr>
                <w:rFonts w:ascii="宋体" w:hAnsi="宋体" w:cs="宋体"/>
                <w:szCs w:val="21"/>
              </w:rPr>
            </w:pPr>
            <w:r>
              <w:rPr>
                <w:rFonts w:hint="eastAsia" w:ascii="宋体" w:hAnsi="宋体" w:cs="宋体"/>
                <w:szCs w:val="21"/>
              </w:rPr>
              <w:t>2</w:t>
            </w:r>
          </w:p>
        </w:tc>
        <w:tc>
          <w:tcPr>
            <w:tcW w:w="1560" w:type="dxa"/>
            <w:vAlign w:val="center"/>
          </w:tcPr>
          <w:p>
            <w:pPr>
              <w:pStyle w:val="22"/>
              <w:numPr>
                <w:ilvl w:val="255"/>
                <w:numId w:val="0"/>
              </w:numPr>
              <w:tabs>
                <w:tab w:val="left" w:pos="531"/>
              </w:tabs>
              <w:spacing w:line="240" w:lineRule="auto"/>
              <w:rPr>
                <w:rFonts w:ascii="宋体" w:hAnsi="宋体" w:eastAsia="宋体" w:cs="宋体"/>
                <w:bCs/>
                <w:szCs w:val="21"/>
              </w:rPr>
            </w:pPr>
            <w:r>
              <w:rPr>
                <w:rFonts w:hint="eastAsia" w:ascii="宋体" w:hAnsi="宋体" w:eastAsia="宋体" w:cs="宋体"/>
                <w:bCs/>
                <w:szCs w:val="21"/>
              </w:rPr>
              <w:t>流互感器</w:t>
            </w:r>
          </w:p>
          <w:p>
            <w:pPr>
              <w:spacing w:line="240" w:lineRule="auto"/>
              <w:rPr>
                <w:rFonts w:ascii="宋体" w:hAnsi="宋体" w:cs="宋体"/>
                <w:szCs w:val="21"/>
              </w:rPr>
            </w:pPr>
          </w:p>
        </w:tc>
        <w:tc>
          <w:tcPr>
            <w:tcW w:w="7166" w:type="dxa"/>
          </w:tcPr>
          <w:p>
            <w:pPr>
              <w:spacing w:line="240" w:lineRule="auto"/>
              <w:jc w:val="left"/>
              <w:rPr>
                <w:rFonts w:ascii="宋体" w:hAnsi="宋体" w:cs="宋体"/>
                <w:szCs w:val="21"/>
              </w:rPr>
            </w:pPr>
            <w:r>
              <w:rPr>
                <w:rFonts w:hint="eastAsia" w:ascii="宋体" w:hAnsi="宋体" w:cs="宋体"/>
                <w:bCs/>
                <w:szCs w:val="21"/>
              </w:rPr>
              <w:t>测量绝缘电阻（测量高压对低压及对地的阻值）：分别测量一次绕组对二次绕组及对地、二次绕组对一次绕组及对地、二次绕组间绝缘电阻等阻值与出厂值有无明显变化，一般不低于1000兆欧（或不低于出厂值或初始值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04" w:type="dxa"/>
            <w:vAlign w:val="center"/>
          </w:tcPr>
          <w:p>
            <w:pPr>
              <w:spacing w:line="240" w:lineRule="auto"/>
              <w:rPr>
                <w:rFonts w:ascii="宋体" w:hAnsi="宋体" w:cs="宋体"/>
                <w:szCs w:val="21"/>
              </w:rPr>
            </w:pPr>
            <w:r>
              <w:rPr>
                <w:rFonts w:hint="eastAsia" w:ascii="宋体" w:hAnsi="宋体" w:cs="宋体"/>
                <w:szCs w:val="21"/>
              </w:rPr>
              <w:t>3</w:t>
            </w:r>
          </w:p>
        </w:tc>
        <w:tc>
          <w:tcPr>
            <w:tcW w:w="1560" w:type="dxa"/>
            <w:vAlign w:val="center"/>
          </w:tcPr>
          <w:p>
            <w:pPr>
              <w:pStyle w:val="22"/>
              <w:numPr>
                <w:ilvl w:val="255"/>
                <w:numId w:val="0"/>
              </w:numPr>
              <w:tabs>
                <w:tab w:val="left" w:pos="531"/>
              </w:tabs>
              <w:spacing w:line="240" w:lineRule="auto"/>
              <w:rPr>
                <w:rFonts w:ascii="宋体" w:hAnsi="宋体" w:eastAsia="宋体" w:cs="宋体"/>
                <w:bCs/>
                <w:szCs w:val="21"/>
              </w:rPr>
            </w:pPr>
            <w:r>
              <w:rPr>
                <w:rFonts w:hint="eastAsia" w:ascii="宋体" w:hAnsi="宋体" w:eastAsia="宋体" w:cs="宋体"/>
                <w:bCs/>
                <w:szCs w:val="21"/>
              </w:rPr>
              <w:t>电压互感器</w:t>
            </w:r>
          </w:p>
          <w:p>
            <w:pPr>
              <w:spacing w:line="240" w:lineRule="auto"/>
              <w:rPr>
                <w:rFonts w:ascii="宋体" w:hAnsi="宋体" w:cs="宋体"/>
                <w:szCs w:val="21"/>
              </w:rPr>
            </w:pPr>
          </w:p>
        </w:tc>
        <w:tc>
          <w:tcPr>
            <w:tcW w:w="7166" w:type="dxa"/>
          </w:tcPr>
          <w:p>
            <w:pPr>
              <w:pStyle w:val="22"/>
              <w:numPr>
                <w:ilvl w:val="0"/>
                <w:numId w:val="19"/>
              </w:numPr>
              <w:tabs>
                <w:tab w:val="left" w:pos="220"/>
                <w:tab w:val="clear" w:pos="312"/>
              </w:tabs>
              <w:spacing w:line="240" w:lineRule="auto"/>
              <w:ind w:firstLine="0" w:firstLineChars="0"/>
              <w:rPr>
                <w:rFonts w:ascii="宋体" w:hAnsi="宋体" w:eastAsia="宋体" w:cs="宋体"/>
                <w:szCs w:val="21"/>
              </w:rPr>
            </w:pPr>
            <w:r>
              <w:rPr>
                <w:rFonts w:hint="eastAsia" w:ascii="宋体" w:hAnsi="宋体" w:eastAsia="宋体" w:cs="宋体"/>
                <w:bCs/>
                <w:szCs w:val="21"/>
              </w:rPr>
              <w:t>交流耐压试验：试验电压按照38KV对地进行（只做装在移动小车上的互感器），试验标准为无闪络击穿。</w:t>
            </w:r>
          </w:p>
          <w:p>
            <w:pPr>
              <w:pStyle w:val="22"/>
              <w:numPr>
                <w:ilvl w:val="0"/>
                <w:numId w:val="19"/>
              </w:numPr>
              <w:tabs>
                <w:tab w:val="left" w:pos="220"/>
                <w:tab w:val="clear" w:pos="312"/>
              </w:tabs>
              <w:spacing w:line="240" w:lineRule="auto"/>
              <w:ind w:firstLine="0" w:firstLineChars="0"/>
              <w:rPr>
                <w:rFonts w:ascii="宋体" w:hAnsi="宋体" w:eastAsia="宋体" w:cs="宋体"/>
                <w:szCs w:val="21"/>
              </w:rPr>
            </w:pPr>
            <w:r>
              <w:rPr>
                <w:rFonts w:hint="eastAsia" w:ascii="宋体" w:hAnsi="宋体" w:eastAsia="宋体" w:cs="宋体"/>
                <w:bCs/>
                <w:szCs w:val="21"/>
              </w:rPr>
              <w:t>绝缘电阻：不低于出厂值或初始值的70%，只做装在小车上的互感器。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auto"/>
              <w:rPr>
                <w:rFonts w:ascii="宋体" w:hAnsi="宋体" w:cs="宋体"/>
                <w:szCs w:val="21"/>
              </w:rPr>
            </w:pPr>
            <w:r>
              <w:rPr>
                <w:rFonts w:hint="eastAsia" w:ascii="宋体" w:hAnsi="宋体" w:cs="宋体"/>
                <w:szCs w:val="21"/>
              </w:rPr>
              <w:t>4</w:t>
            </w:r>
          </w:p>
        </w:tc>
        <w:tc>
          <w:tcPr>
            <w:tcW w:w="1560" w:type="dxa"/>
            <w:vAlign w:val="center"/>
          </w:tcPr>
          <w:p>
            <w:pPr>
              <w:spacing w:line="240" w:lineRule="auto"/>
              <w:rPr>
                <w:rFonts w:ascii="宋体" w:hAnsi="宋体" w:cs="宋体"/>
                <w:szCs w:val="21"/>
              </w:rPr>
            </w:pPr>
            <w:r>
              <w:rPr>
                <w:rFonts w:hint="eastAsia" w:ascii="宋体" w:hAnsi="宋体" w:cs="宋体"/>
                <w:bCs/>
                <w:szCs w:val="21"/>
              </w:rPr>
              <w:t>氧化锌避雷器</w:t>
            </w:r>
          </w:p>
        </w:tc>
        <w:tc>
          <w:tcPr>
            <w:tcW w:w="7166" w:type="dxa"/>
          </w:tcPr>
          <w:p>
            <w:pPr>
              <w:tabs>
                <w:tab w:val="left" w:pos="531"/>
              </w:tabs>
              <w:spacing w:line="240" w:lineRule="auto"/>
              <w:jc w:val="left"/>
              <w:rPr>
                <w:rFonts w:ascii="宋体" w:hAnsi="宋体" w:cs="宋体"/>
                <w:szCs w:val="21"/>
              </w:rPr>
            </w:pPr>
            <w:r>
              <w:rPr>
                <w:rFonts w:hint="eastAsia" w:ascii="宋体" w:hAnsi="宋体" w:cs="宋体"/>
                <w:bCs/>
                <w:szCs w:val="21"/>
              </w:rPr>
              <w:t>测量绝缘电阻：不小于1000兆欧。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auto"/>
              <w:rPr>
                <w:rFonts w:ascii="宋体" w:hAnsi="宋体" w:cs="宋体"/>
                <w:szCs w:val="21"/>
              </w:rPr>
            </w:pPr>
            <w:r>
              <w:rPr>
                <w:rFonts w:hint="eastAsia" w:ascii="宋体" w:hAnsi="宋体" w:cs="宋体"/>
                <w:szCs w:val="21"/>
              </w:rPr>
              <w:t>5</w:t>
            </w:r>
          </w:p>
        </w:tc>
        <w:tc>
          <w:tcPr>
            <w:tcW w:w="1560" w:type="dxa"/>
            <w:vAlign w:val="center"/>
          </w:tcPr>
          <w:p>
            <w:pPr>
              <w:pStyle w:val="22"/>
              <w:tabs>
                <w:tab w:val="left" w:pos="531"/>
              </w:tabs>
              <w:spacing w:line="240" w:lineRule="auto"/>
              <w:ind w:firstLine="0" w:firstLineChars="0"/>
              <w:rPr>
                <w:rFonts w:ascii="宋体" w:hAnsi="宋体" w:cs="宋体"/>
                <w:szCs w:val="21"/>
              </w:rPr>
            </w:pPr>
            <w:r>
              <w:rPr>
                <w:rFonts w:hint="eastAsia" w:ascii="宋体" w:hAnsi="宋体" w:eastAsia="宋体" w:cs="宋体"/>
                <w:bCs/>
                <w:szCs w:val="21"/>
              </w:rPr>
              <w:t>绝缘子</w:t>
            </w:r>
          </w:p>
        </w:tc>
        <w:tc>
          <w:tcPr>
            <w:tcW w:w="7166" w:type="dxa"/>
          </w:tcPr>
          <w:p>
            <w:pPr>
              <w:tabs>
                <w:tab w:val="left" w:pos="420"/>
              </w:tabs>
              <w:spacing w:line="240" w:lineRule="auto"/>
              <w:jc w:val="left"/>
              <w:rPr>
                <w:rFonts w:ascii="宋体" w:hAnsi="宋体" w:cs="宋体"/>
                <w:szCs w:val="21"/>
              </w:rPr>
            </w:pPr>
            <w:r>
              <w:rPr>
                <w:rFonts w:hint="eastAsia" w:ascii="宋体" w:hAnsi="宋体" w:cs="宋体"/>
                <w:bCs/>
                <w:szCs w:val="21"/>
              </w:rPr>
              <w:t>运行在10KV电压的固体有机绝缘子按38KV进行，试验标准为无闪络击穿，耐压前后测量绝缘电阻无明显变化。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3"/>
          </w:tcPr>
          <w:p>
            <w:pPr>
              <w:tabs>
                <w:tab w:val="left" w:pos="531"/>
              </w:tabs>
              <w:snapToGrid w:val="0"/>
              <w:spacing w:line="240" w:lineRule="auto"/>
              <w:ind w:left="105" w:leftChars="50"/>
              <w:jc w:val="center"/>
              <w:rPr>
                <w:rFonts w:ascii="宋体" w:hAnsi="宋体" w:cs="宋体"/>
                <w:szCs w:val="21"/>
              </w:rPr>
            </w:pPr>
            <w:r>
              <w:rPr>
                <w:rFonts w:hint="eastAsia" w:ascii="宋体" w:hAnsi="宋体" w:cs="宋体"/>
                <w:b/>
                <w:bCs/>
                <w:szCs w:val="21"/>
              </w:rPr>
              <w:t>环网柜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auto"/>
              <w:rPr>
                <w:rFonts w:ascii="宋体" w:hAnsi="宋体" w:cs="宋体"/>
                <w:szCs w:val="21"/>
              </w:rPr>
            </w:pPr>
            <w:r>
              <w:rPr>
                <w:rFonts w:hint="eastAsia" w:ascii="宋体" w:hAnsi="宋体" w:cs="宋体"/>
                <w:szCs w:val="21"/>
              </w:rPr>
              <w:t>1</w:t>
            </w:r>
          </w:p>
        </w:tc>
        <w:tc>
          <w:tcPr>
            <w:tcW w:w="1560" w:type="dxa"/>
            <w:vAlign w:val="center"/>
          </w:tcPr>
          <w:p>
            <w:pPr>
              <w:spacing w:line="240" w:lineRule="auto"/>
              <w:rPr>
                <w:rFonts w:ascii="宋体" w:hAnsi="宋体" w:cs="宋体"/>
                <w:szCs w:val="21"/>
              </w:rPr>
            </w:pPr>
            <w:r>
              <w:rPr>
                <w:rFonts w:hint="eastAsia" w:ascii="宋体" w:hAnsi="宋体" w:cs="宋体"/>
                <w:bCs/>
                <w:szCs w:val="21"/>
              </w:rPr>
              <w:t>测量绝缘电阻</w:t>
            </w:r>
          </w:p>
        </w:tc>
        <w:tc>
          <w:tcPr>
            <w:tcW w:w="7166" w:type="dxa"/>
          </w:tcPr>
          <w:p>
            <w:pPr>
              <w:spacing w:line="240" w:lineRule="auto"/>
              <w:jc w:val="left"/>
              <w:rPr>
                <w:rFonts w:ascii="宋体" w:hAnsi="宋体" w:cs="宋体"/>
                <w:szCs w:val="21"/>
              </w:rPr>
            </w:pPr>
            <w:r>
              <w:rPr>
                <w:rFonts w:hint="eastAsia" w:ascii="宋体" w:hAnsi="宋体" w:cs="宋体"/>
                <w:bCs/>
                <w:szCs w:val="21"/>
              </w:rPr>
              <w:t>绝缘拉杆的绝缘电阻值，在常温下不应低于300兆欧。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auto"/>
              <w:rPr>
                <w:rFonts w:ascii="宋体" w:hAnsi="宋体" w:cs="宋体"/>
                <w:szCs w:val="21"/>
              </w:rPr>
            </w:pPr>
            <w:r>
              <w:rPr>
                <w:rFonts w:hint="eastAsia" w:ascii="宋体" w:hAnsi="宋体" w:cs="宋体"/>
                <w:szCs w:val="21"/>
              </w:rPr>
              <w:t>2</w:t>
            </w:r>
          </w:p>
        </w:tc>
        <w:tc>
          <w:tcPr>
            <w:tcW w:w="1560" w:type="dxa"/>
            <w:vAlign w:val="center"/>
          </w:tcPr>
          <w:p>
            <w:pPr>
              <w:spacing w:line="240" w:lineRule="auto"/>
              <w:rPr>
                <w:rFonts w:ascii="宋体" w:hAnsi="宋体" w:cs="宋体"/>
                <w:szCs w:val="21"/>
              </w:rPr>
            </w:pPr>
            <w:r>
              <w:rPr>
                <w:rFonts w:hint="eastAsia" w:ascii="宋体" w:hAnsi="宋体" w:cs="宋体"/>
                <w:bCs/>
                <w:szCs w:val="21"/>
              </w:rPr>
              <w:t>交流耐压试验</w:t>
            </w:r>
          </w:p>
        </w:tc>
        <w:tc>
          <w:tcPr>
            <w:tcW w:w="7166" w:type="dxa"/>
          </w:tcPr>
          <w:p>
            <w:pPr>
              <w:pStyle w:val="22"/>
              <w:numPr>
                <w:ilvl w:val="255"/>
                <w:numId w:val="0"/>
              </w:numPr>
              <w:tabs>
                <w:tab w:val="left" w:pos="531"/>
              </w:tabs>
              <w:spacing w:line="240" w:lineRule="auto"/>
              <w:rPr>
                <w:rFonts w:ascii="宋体" w:hAnsi="宋体" w:eastAsia="宋体" w:cs="宋体"/>
                <w:bCs/>
                <w:szCs w:val="21"/>
              </w:rPr>
            </w:pPr>
            <w:r>
              <w:rPr>
                <w:rFonts w:hint="eastAsia" w:ascii="宋体" w:hAnsi="宋体" w:eastAsia="宋体" w:cs="宋体"/>
                <w:bCs/>
                <w:szCs w:val="21"/>
              </w:rPr>
              <w:t>断路器的交流耐压试验应在分、合闸状态下分别进行，设备对地及相间的试验电压按照：</w:t>
            </w:r>
          </w:p>
          <w:p>
            <w:pPr>
              <w:pStyle w:val="22"/>
              <w:numPr>
                <w:ilvl w:val="0"/>
                <w:numId w:val="20"/>
              </w:numPr>
              <w:tabs>
                <w:tab w:val="left" w:pos="531"/>
                <w:tab w:val="clear" w:pos="312"/>
              </w:tabs>
              <w:spacing w:line="240" w:lineRule="auto"/>
              <w:ind w:firstLine="0" w:firstLineChars="0"/>
              <w:jc w:val="left"/>
              <w:rPr>
                <w:rFonts w:ascii="宋体" w:hAnsi="宋体" w:cs="宋体"/>
                <w:szCs w:val="21"/>
              </w:rPr>
            </w:pPr>
            <w:r>
              <w:rPr>
                <w:rFonts w:hint="eastAsia" w:ascii="宋体" w:hAnsi="宋体" w:eastAsia="宋体" w:cs="宋体"/>
                <w:bCs/>
                <w:szCs w:val="21"/>
              </w:rPr>
              <w:t>断路器连接如互感器等绝缘水平较低设备，不能分离试验时，按最低耐压试验电压标准；</w:t>
            </w:r>
          </w:p>
          <w:p>
            <w:pPr>
              <w:pStyle w:val="22"/>
              <w:numPr>
                <w:ilvl w:val="0"/>
                <w:numId w:val="20"/>
              </w:numPr>
              <w:tabs>
                <w:tab w:val="left" w:pos="531"/>
                <w:tab w:val="clear" w:pos="312"/>
              </w:tabs>
              <w:spacing w:line="240" w:lineRule="auto"/>
              <w:ind w:firstLine="0" w:firstLineChars="0"/>
              <w:jc w:val="left"/>
              <w:rPr>
                <w:rFonts w:ascii="宋体" w:hAnsi="宋体" w:cs="宋体"/>
                <w:szCs w:val="21"/>
              </w:rPr>
            </w:pPr>
            <w:r>
              <w:rPr>
                <w:rFonts w:hint="eastAsia" w:ascii="宋体" w:hAnsi="宋体" w:eastAsia="宋体" w:cs="宋体"/>
                <w:bCs/>
                <w:szCs w:val="21"/>
              </w:rPr>
              <w:t>进口开关设备其绝缘水平低于42KV，按28KV进行。试验标准为无闪络击穿。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3"/>
          </w:tcPr>
          <w:p>
            <w:pPr>
              <w:jc w:val="center"/>
              <w:rPr>
                <w:rFonts w:ascii="宋体" w:hAnsi="宋体" w:cs="宋体"/>
                <w:szCs w:val="21"/>
              </w:rPr>
            </w:pPr>
            <w:r>
              <w:rPr>
                <w:rFonts w:hint="eastAsia" w:ascii="宋体" w:hAnsi="宋体" w:cs="宋体"/>
                <w:b/>
                <w:bCs/>
                <w:szCs w:val="21"/>
              </w:rPr>
              <w:t>微机保护装置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宋体" w:hAnsi="宋体" w:cs="宋体"/>
                <w:szCs w:val="21"/>
              </w:rPr>
            </w:pPr>
            <w:r>
              <w:rPr>
                <w:rFonts w:hint="eastAsia" w:ascii="宋体" w:hAnsi="宋体" w:cs="宋体"/>
                <w:szCs w:val="21"/>
              </w:rPr>
              <w:t>1</w:t>
            </w:r>
          </w:p>
        </w:tc>
        <w:tc>
          <w:tcPr>
            <w:tcW w:w="1560" w:type="dxa"/>
            <w:vAlign w:val="center"/>
          </w:tcPr>
          <w:p>
            <w:pPr>
              <w:rPr>
                <w:rFonts w:ascii="宋体" w:hAnsi="宋体" w:cs="宋体"/>
                <w:szCs w:val="21"/>
              </w:rPr>
            </w:pPr>
            <w:r>
              <w:rPr>
                <w:rFonts w:hint="eastAsia" w:ascii="宋体" w:hAnsi="宋体" w:cs="宋体"/>
                <w:bCs/>
                <w:szCs w:val="21"/>
              </w:rPr>
              <w:t>通讯测试</w:t>
            </w:r>
          </w:p>
        </w:tc>
        <w:tc>
          <w:tcPr>
            <w:tcW w:w="7166" w:type="dxa"/>
          </w:tcPr>
          <w:p>
            <w:pPr>
              <w:pStyle w:val="22"/>
              <w:numPr>
                <w:ilvl w:val="255"/>
                <w:numId w:val="0"/>
              </w:numPr>
              <w:tabs>
                <w:tab w:val="left" w:pos="531"/>
              </w:tabs>
              <w:spacing w:line="240" w:lineRule="auto"/>
              <w:ind w:left="-53" w:leftChars="-25"/>
              <w:jc w:val="left"/>
              <w:rPr>
                <w:rFonts w:ascii="宋体" w:hAnsi="宋体" w:cs="宋体"/>
                <w:szCs w:val="21"/>
              </w:rPr>
            </w:pPr>
            <w:r>
              <w:rPr>
                <w:rFonts w:hint="eastAsia" w:ascii="宋体" w:hAnsi="宋体" w:eastAsia="宋体" w:cs="宋体"/>
                <w:bCs/>
                <w:szCs w:val="21"/>
              </w:rPr>
              <w:t>对设备的通讯链路进行测试。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宋体" w:hAnsi="宋体" w:cs="宋体"/>
                <w:szCs w:val="21"/>
              </w:rPr>
            </w:pPr>
            <w:r>
              <w:rPr>
                <w:rFonts w:hint="eastAsia" w:ascii="宋体" w:hAnsi="宋体" w:cs="宋体"/>
                <w:szCs w:val="21"/>
              </w:rPr>
              <w:t>2</w:t>
            </w:r>
          </w:p>
        </w:tc>
        <w:tc>
          <w:tcPr>
            <w:tcW w:w="1560" w:type="dxa"/>
            <w:vAlign w:val="center"/>
          </w:tcPr>
          <w:p>
            <w:pPr>
              <w:rPr>
                <w:rFonts w:ascii="宋体" w:hAnsi="宋体" w:cs="宋体"/>
                <w:szCs w:val="21"/>
              </w:rPr>
            </w:pPr>
            <w:r>
              <w:rPr>
                <w:rFonts w:hint="eastAsia" w:ascii="宋体" w:hAnsi="宋体" w:cs="宋体"/>
                <w:bCs/>
                <w:szCs w:val="21"/>
              </w:rPr>
              <w:t>保护功能测试</w:t>
            </w:r>
          </w:p>
        </w:tc>
        <w:tc>
          <w:tcPr>
            <w:tcW w:w="7166" w:type="dxa"/>
          </w:tcPr>
          <w:p>
            <w:pPr>
              <w:spacing w:line="240" w:lineRule="auto"/>
              <w:jc w:val="left"/>
              <w:rPr>
                <w:rFonts w:ascii="宋体" w:hAnsi="宋体" w:cs="宋体"/>
                <w:szCs w:val="21"/>
              </w:rPr>
            </w:pPr>
            <w:r>
              <w:rPr>
                <w:rFonts w:hint="eastAsia" w:ascii="宋体" w:hAnsi="宋体" w:cs="宋体"/>
                <w:bCs/>
                <w:szCs w:val="21"/>
              </w:rPr>
              <w:t>相过流保护， 接地故障/敏感接地故障，负荷不平衡、负序电流保护，断线监视，过压保护，低压保护，负序过压。各项保护参数核检，确保保护功能正常，通讯正常。</w:t>
            </w:r>
          </w:p>
        </w:tc>
      </w:tr>
    </w:tbl>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FF0000"/>
          <w:highlight w:val="yellow"/>
        </w:rPr>
      </w:pPr>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5" w:name="_Toc116550350"/>
      <w:r>
        <w:rPr>
          <w:rFonts w:hint="eastAsia" w:ascii="宋体" w:hAnsi="宋体"/>
          <w:b/>
          <w:sz w:val="32"/>
          <w:szCs w:val="32"/>
        </w:rPr>
        <w:t>第二部分：开标评标流程</w:t>
      </w:r>
      <w:bookmarkEnd w:id="45"/>
    </w:p>
    <w:p>
      <w:pPr>
        <w:numPr>
          <w:ilvl w:val="0"/>
          <w:numId w:val="1"/>
        </w:numPr>
        <w:spacing w:line="360" w:lineRule="auto"/>
        <w:outlineLvl w:val="1"/>
        <w:rPr>
          <w:b/>
        </w:rPr>
      </w:pPr>
      <w:bookmarkStart w:id="46" w:name="_Toc104994641"/>
      <w:bookmarkStart w:id="47" w:name="_Toc116550351"/>
      <w:bookmarkStart w:id="48" w:name="_Hlk104908581"/>
      <w:bookmarkStart w:id="49" w:name="_Hlk104908397"/>
      <w:r>
        <w:rPr>
          <w:rFonts w:hint="eastAsia"/>
          <w:b/>
        </w:rPr>
        <w:t>开标阶段</w:t>
      </w:r>
      <w:bookmarkEnd w:id="46"/>
      <w:bookmarkEnd w:id="47"/>
    </w:p>
    <w:bookmarkEnd w:id="48"/>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50" w:name="_Toc116550352"/>
      <w:bookmarkStart w:id="51" w:name="_Toc104994642"/>
      <w:r>
        <w:rPr>
          <w:rFonts w:hint="eastAsia"/>
          <w:b/>
        </w:rPr>
        <w:t>评标阶段</w:t>
      </w:r>
      <w:bookmarkEnd w:id="50"/>
      <w:bookmarkEnd w:id="51"/>
    </w:p>
    <w:p>
      <w:pPr>
        <w:pStyle w:val="22"/>
        <w:numPr>
          <w:ilvl w:val="0"/>
          <w:numId w:val="22"/>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9"/>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52" w:name="_Toc116550353"/>
      <w:r>
        <w:rPr>
          <w:rFonts w:hint="eastAsia" w:ascii="宋体" w:hAnsi="宋体"/>
          <w:b/>
          <w:sz w:val="32"/>
          <w:szCs w:val="32"/>
        </w:rPr>
        <w:t>第三部分：评审办法</w:t>
      </w:r>
      <w:bookmarkEnd w:id="52"/>
    </w:p>
    <w:p>
      <w:pPr>
        <w:numPr>
          <w:ilvl w:val="0"/>
          <w:numId w:val="1"/>
        </w:numPr>
        <w:spacing w:line="360" w:lineRule="auto"/>
        <w:outlineLvl w:val="1"/>
        <w:rPr>
          <w:rFonts w:ascii="宋体" w:hAnsi="宋体"/>
          <w:szCs w:val="21"/>
        </w:rPr>
      </w:pPr>
      <w:bookmarkStart w:id="53" w:name="_Toc116550354"/>
      <w:r>
        <w:rPr>
          <w:rFonts w:hint="eastAsia" w:ascii="宋体" w:hAnsi="宋体"/>
          <w:b/>
          <w:bCs/>
          <w:szCs w:val="21"/>
        </w:rPr>
        <w:t>评审办法</w:t>
      </w:r>
      <w:bookmarkEnd w:id="53"/>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w:t>
      </w:r>
      <w:r>
        <w:rPr>
          <w:rFonts w:hint="eastAsia" w:ascii="宋体" w:hAnsi="宋体"/>
          <w:color w:val="auto"/>
          <w:szCs w:val="21"/>
          <w:highlight w:val="none"/>
        </w:rPr>
        <w:t>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23"/>
        </w:numPr>
        <w:spacing w:before="156" w:beforeLines="50"/>
        <w:jc w:val="left"/>
        <w:outlineLvl w:val="2"/>
        <w:rPr>
          <w:rStyle w:val="29"/>
          <w:rFonts w:ascii="宋体" w:hAnsi="宋体"/>
          <w:b/>
          <w:szCs w:val="21"/>
        </w:rPr>
      </w:pPr>
      <w:bookmarkStart w:id="54" w:name="_Toc116550355"/>
      <w:r>
        <w:rPr>
          <w:rStyle w:val="29"/>
          <w:rFonts w:hint="eastAsia" w:ascii="宋体" w:hAnsi="宋体"/>
          <w:b/>
          <w:bCs/>
          <w:szCs w:val="21"/>
        </w:rPr>
        <w:t>符合性检查</w:t>
      </w:r>
      <w:bookmarkEnd w:id="54"/>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0"/>
                <w:numId w:val="24"/>
              </w:numPr>
              <w:tabs>
                <w:tab w:val="left" w:pos="531"/>
              </w:tabs>
              <w:snapToGrid w:val="0"/>
              <w:spacing w:line="240" w:lineRule="auto"/>
              <w:ind w:left="420" w:hanging="420"/>
              <w:rPr>
                <w:rFonts w:ascii="宋体" w:hAnsi="宋体"/>
                <w:szCs w:val="21"/>
              </w:rPr>
            </w:pPr>
            <w:r>
              <w:rPr>
                <w:rFonts w:hint="eastAsia" w:ascii="宋体" w:hAnsi="宋体"/>
                <w:szCs w:val="21"/>
              </w:rPr>
              <w:t>投标人</w:t>
            </w:r>
            <w:r>
              <w:rPr>
                <w:rFonts w:hint="eastAsia" w:ascii="宋体" w:hAnsi="宋体"/>
                <w:szCs w:val="21"/>
                <w:lang w:eastAsia="zh-CN"/>
              </w:rPr>
              <w:t>应为</w:t>
            </w:r>
            <w:r>
              <w:rPr>
                <w:rFonts w:hint="eastAsia" w:ascii="宋体" w:hAnsi="宋体"/>
                <w:szCs w:val="21"/>
              </w:rPr>
              <w:t>中华人民共和国境内注册且合法运作的企业，在法律和财务上独立。（提供企业营业执照扫描件，并加盖投标人公章。）</w:t>
            </w:r>
          </w:p>
          <w:p>
            <w:pPr>
              <w:numPr>
                <w:ilvl w:val="0"/>
                <w:numId w:val="24"/>
              </w:numPr>
              <w:tabs>
                <w:tab w:val="left" w:pos="531"/>
              </w:tabs>
              <w:snapToGrid w:val="0"/>
              <w:spacing w:line="240" w:lineRule="auto"/>
              <w:ind w:left="420" w:hanging="420"/>
              <w:rPr>
                <w:rFonts w:ascii="宋体" w:hAnsi="宋体"/>
                <w:szCs w:val="21"/>
              </w:rPr>
            </w:pPr>
            <w:r>
              <w:rPr>
                <w:rFonts w:hint="eastAsia" w:ascii="宋体" w:hAnsi="宋体"/>
                <w:szCs w:val="21"/>
              </w:rPr>
              <w:t>投标人必须无未改正的经营异常信息、无严重违法失信记录。</w:t>
            </w:r>
            <w:r>
              <w:rPr>
                <w:rFonts w:ascii="宋体" w:hAnsi="宋体"/>
                <w:szCs w:val="21"/>
              </w:rPr>
              <w:t>(</w:t>
            </w:r>
            <w:r>
              <w:rPr>
                <w:rFonts w:hint="eastAsia" w:ascii="宋体" w:hAnsi="宋体"/>
                <w:szCs w:val="21"/>
              </w:rPr>
              <w:t>提供国家企业信用信息公示系统（www.gsxt.gov.cn)公示的企业基础信息、经营异常信息、严重违法失信记录等信息查询页面打印件，并加盖投标人公章。）</w:t>
            </w:r>
          </w:p>
          <w:p>
            <w:pPr>
              <w:numPr>
                <w:ilvl w:val="0"/>
                <w:numId w:val="24"/>
              </w:numPr>
              <w:tabs>
                <w:tab w:val="left" w:pos="531"/>
              </w:tabs>
              <w:snapToGrid w:val="0"/>
              <w:spacing w:line="240" w:lineRule="auto"/>
              <w:ind w:left="420" w:hanging="420"/>
              <w:rPr>
                <w:rFonts w:ascii="宋体" w:hAnsi="宋体" w:cs="宋体"/>
                <w:szCs w:val="21"/>
              </w:rPr>
            </w:pPr>
            <w:r>
              <w:rPr>
                <w:rFonts w:hint="eastAsia" w:ascii="宋体" w:hAnsi="宋体"/>
                <w:szCs w:val="21"/>
              </w:rPr>
              <w:t>投标人是否具有有效的承装（修、试）电力设施许可证资质。（提供相应证明文件复印件或扫描件并加盖投标人公章）</w:t>
            </w:r>
          </w:p>
          <w:p>
            <w:pPr>
              <w:numPr>
                <w:ilvl w:val="0"/>
                <w:numId w:val="24"/>
              </w:numPr>
              <w:tabs>
                <w:tab w:val="left" w:pos="531"/>
              </w:tabs>
              <w:snapToGrid w:val="0"/>
              <w:spacing w:line="240" w:lineRule="auto"/>
            </w:pPr>
            <w:r>
              <w:rPr>
                <w:rFonts w:hint="eastAsia"/>
              </w:rPr>
              <w:t>是否联合体投标，是否转包或非法分包。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
                <w:szCs w:val="21"/>
              </w:rPr>
              <w:t>本项目报价是否高</w:t>
            </w:r>
            <w:r>
              <w:rPr>
                <w:rFonts w:hint="eastAsia" w:ascii="宋体" w:hAnsi="宋体" w:cs="仿宋"/>
                <w:color w:val="auto"/>
                <w:szCs w:val="21"/>
                <w:highlight w:val="none"/>
              </w:rPr>
              <w:t>于</w:t>
            </w:r>
            <w:r>
              <w:rPr>
                <w:rFonts w:hint="eastAsia" w:ascii="宋体" w:hAnsi="宋体"/>
                <w:color w:val="auto"/>
                <w:szCs w:val="21"/>
                <w:highlight w:val="none"/>
                <w:lang w:val="en-US" w:eastAsia="zh-CN"/>
              </w:rPr>
              <w:t>48.8</w:t>
            </w:r>
            <w:r>
              <w:rPr>
                <w:rFonts w:ascii="宋体" w:hAnsi="宋体" w:cs="仿宋"/>
                <w:color w:val="auto"/>
                <w:szCs w:val="21"/>
                <w:highlight w:val="none"/>
              </w:rPr>
              <w:t>万元（含税）</w:t>
            </w:r>
            <w:r>
              <w:rPr>
                <w:rFonts w:hint="eastAsia" w:ascii="宋体" w:hAnsi="宋体" w:cs="仿宋"/>
                <w:szCs w:val="21"/>
              </w:rPr>
              <w:t>，超过上述控制金额的视为无效报价。</w:t>
            </w:r>
          </w:p>
        </w:tc>
      </w:tr>
    </w:tbl>
    <w:p>
      <w:pPr>
        <w:numPr>
          <w:ilvl w:val="0"/>
          <w:numId w:val="23"/>
        </w:numPr>
        <w:spacing w:before="156" w:beforeLines="50" w:line="240" w:lineRule="auto"/>
        <w:jc w:val="left"/>
        <w:outlineLvl w:val="2"/>
        <w:rPr>
          <w:rStyle w:val="29"/>
          <w:rFonts w:ascii="宋体" w:hAnsi="宋体"/>
          <w:b/>
          <w:bCs/>
          <w:szCs w:val="21"/>
        </w:rPr>
      </w:pPr>
      <w:bookmarkStart w:id="55" w:name="_Toc116550356"/>
      <w:bookmarkStart w:id="56" w:name="_Toc114675512"/>
      <w:r>
        <w:rPr>
          <w:rStyle w:val="29"/>
          <w:rFonts w:hint="eastAsia" w:ascii="宋体" w:hAnsi="宋体"/>
          <w:b/>
          <w:bCs/>
          <w:szCs w:val="21"/>
        </w:rPr>
        <w:t>不可偏离项检查</w:t>
      </w:r>
      <w:bookmarkEnd w:id="55"/>
      <w:bookmarkEnd w:id="56"/>
    </w:p>
    <w:p>
      <w:pPr>
        <w:pStyle w:val="2"/>
        <w:spacing w:line="240" w:lineRule="auto"/>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23"/>
        </w:numPr>
        <w:spacing w:before="156" w:beforeLines="50" w:line="240" w:lineRule="auto"/>
        <w:jc w:val="left"/>
        <w:outlineLvl w:val="2"/>
        <w:rPr>
          <w:rFonts w:ascii="宋体" w:hAnsi="宋体"/>
          <w:b/>
          <w:bCs/>
          <w:szCs w:val="21"/>
        </w:rPr>
      </w:pPr>
      <w:bookmarkStart w:id="57" w:name="_Toc114675513"/>
      <w:bookmarkStart w:id="58" w:name="_Toc116550357"/>
      <w:r>
        <w:rPr>
          <w:rStyle w:val="29"/>
          <w:rFonts w:hint="eastAsia" w:ascii="宋体" w:hAnsi="宋体"/>
          <w:b/>
          <w:bCs/>
          <w:szCs w:val="21"/>
        </w:rPr>
        <w:t>综合评议指标表</w:t>
      </w:r>
      <w:bookmarkEnd w:id="57"/>
      <w:bookmarkEnd w:id="58"/>
    </w:p>
    <w:p>
      <w:pPr>
        <w:pStyle w:val="2"/>
        <w:spacing w:line="240" w:lineRule="auto"/>
      </w:pPr>
    </w:p>
    <w:p/>
    <w:p>
      <w:pPr>
        <w:pStyle w:val="2"/>
      </w:pPr>
    </w:p>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24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24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24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24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240" w:lineRule="auto"/>
              <w:jc w:val="center"/>
              <w:rPr>
                <w:rFonts w:ascii="宋体" w:hAnsi="宋体"/>
                <w:b/>
                <w:szCs w:val="21"/>
              </w:rPr>
            </w:pPr>
            <w:r>
              <w:rPr>
                <w:rFonts w:hint="eastAsia" w:ascii="宋体" w:hAnsi="宋体"/>
                <w:b/>
                <w:szCs w:val="21"/>
              </w:rPr>
              <w:t>商</w:t>
            </w:r>
            <w:r>
              <w:rPr>
                <w:rFonts w:hint="eastAsia" w:ascii="宋体" w:hAnsi="宋体"/>
                <w:b/>
                <w:color w:val="auto"/>
                <w:szCs w:val="21"/>
              </w:rPr>
              <w:t>务评议项（</w:t>
            </w:r>
            <w:r>
              <w:rPr>
                <w:rFonts w:hint="default" w:ascii="宋体" w:hAnsi="宋体"/>
                <w:color w:val="auto"/>
                <w:szCs w:val="21"/>
                <w:highlight w:val="yellow"/>
                <w:lang w:val="en-US" w:eastAsia="zh-CN"/>
              </w:rPr>
              <w:t>2</w:t>
            </w:r>
            <w:r>
              <w:rPr>
                <w:rFonts w:hint="eastAsia" w:ascii="宋体" w:hAnsi="宋体"/>
                <w:color w:val="auto"/>
                <w:szCs w:val="21"/>
                <w:highlight w:val="yellow"/>
                <w:lang w:val="en-US" w:eastAsia="zh-CN"/>
              </w:rPr>
              <w:t>0</w:t>
            </w:r>
            <w:r>
              <w:rPr>
                <w:rFonts w:hint="eastAsia" w:ascii="宋体" w:hAnsi="宋体"/>
                <w:b/>
                <w:color w:val="auto"/>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5"/>
              </w:numPr>
              <w:spacing w:line="24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ascii="宋体" w:hAnsi="宋体" w:eastAsia="宋体" w:cs="Times New Roman"/>
                <w:kern w:val="2"/>
                <w:sz w:val="21"/>
                <w:szCs w:val="21"/>
                <w:lang w:val="en-US" w:eastAsia="zh-CN" w:bidi="ar-SA"/>
              </w:rPr>
            </w:pPr>
            <w:r>
              <w:rPr>
                <w:rFonts w:hint="eastAsia" w:ascii="宋体" w:hAnsi="宋体"/>
                <w:szCs w:val="21"/>
              </w:rPr>
              <w:t>综合实力</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w:t>
            </w:r>
          </w:p>
        </w:tc>
        <w:tc>
          <w:tcPr>
            <w:tcW w:w="6804" w:type="dxa"/>
            <w:gridSpan w:val="2"/>
            <w:tcBorders>
              <w:tl2br w:val="nil"/>
              <w:tr2bl w:val="nil"/>
            </w:tcBorders>
            <w:tcMar>
              <w:top w:w="15" w:type="dxa"/>
              <w:left w:w="15" w:type="dxa"/>
              <w:bottom w:w="15" w:type="dxa"/>
              <w:right w:w="15" w:type="dxa"/>
            </w:tcMar>
            <w:vAlign w:val="center"/>
          </w:tcPr>
          <w:p>
            <w:pPr>
              <w:numPr>
                <w:ilvl w:val="0"/>
                <w:numId w:val="26"/>
              </w:numPr>
              <w:spacing w:line="240" w:lineRule="auto"/>
              <w:ind w:left="425" w:hanging="425"/>
              <w:rPr>
                <w:rFonts w:hint="eastAsia" w:ascii="宋体" w:hAnsi="宋体"/>
                <w:szCs w:val="21"/>
                <w:lang w:val="en-US" w:eastAsia="zh-CN"/>
              </w:rPr>
            </w:pPr>
            <w:r>
              <w:rPr>
                <w:rFonts w:hint="eastAsia" w:ascii="宋体" w:hAnsi="宋体"/>
                <w:szCs w:val="21"/>
                <w:lang w:eastAsia="zh-CN"/>
              </w:rPr>
              <w:t>具有</w:t>
            </w:r>
            <w:r>
              <w:rPr>
                <w:rFonts w:hint="eastAsia" w:ascii="宋体" w:hAnsi="宋体"/>
                <w:szCs w:val="21"/>
              </w:rPr>
              <w:t>承装（修、试）电力设施许可证资质</w:t>
            </w:r>
            <w:r>
              <w:rPr>
                <w:rFonts w:hint="eastAsia" w:ascii="宋体" w:hAnsi="宋体"/>
                <w:szCs w:val="21"/>
                <w:lang w:val="en-US" w:eastAsia="zh-CN"/>
              </w:rPr>
              <w:t>四</w:t>
            </w:r>
            <w:r>
              <w:rPr>
                <w:rFonts w:hint="eastAsia" w:ascii="宋体" w:hAnsi="宋体"/>
                <w:szCs w:val="21"/>
              </w:rPr>
              <w:t>级</w:t>
            </w:r>
            <w:r>
              <w:rPr>
                <w:rFonts w:hint="eastAsia" w:ascii="宋体" w:hAnsi="宋体"/>
                <w:szCs w:val="21"/>
                <w:lang w:eastAsia="zh-CN"/>
              </w:rPr>
              <w:t>得</w:t>
            </w:r>
            <w:r>
              <w:rPr>
                <w:rFonts w:hint="eastAsia" w:ascii="宋体" w:hAnsi="宋体"/>
                <w:szCs w:val="21"/>
                <w:lang w:val="en-US" w:eastAsia="zh-CN"/>
              </w:rPr>
              <w:t>2分，</w:t>
            </w:r>
            <w:r>
              <w:rPr>
                <w:rFonts w:hint="eastAsia" w:ascii="宋体" w:hAnsi="宋体"/>
                <w:szCs w:val="21"/>
              </w:rPr>
              <w:t>承装（修、试）电力设施许可证资质</w:t>
            </w:r>
            <w:r>
              <w:rPr>
                <w:rFonts w:hint="eastAsia" w:ascii="宋体" w:hAnsi="宋体"/>
                <w:szCs w:val="21"/>
                <w:lang w:val="en-US" w:eastAsia="zh-CN"/>
              </w:rPr>
              <w:t>三</w:t>
            </w:r>
            <w:r>
              <w:rPr>
                <w:rFonts w:hint="eastAsia" w:ascii="宋体" w:hAnsi="宋体"/>
                <w:szCs w:val="21"/>
              </w:rPr>
              <w:t>级</w:t>
            </w:r>
            <w:r>
              <w:rPr>
                <w:rFonts w:hint="eastAsia" w:ascii="宋体" w:hAnsi="宋体"/>
                <w:szCs w:val="21"/>
                <w:lang w:eastAsia="zh-CN"/>
              </w:rPr>
              <w:t>得</w:t>
            </w:r>
            <w:r>
              <w:rPr>
                <w:rFonts w:hint="eastAsia" w:ascii="宋体" w:hAnsi="宋体"/>
                <w:szCs w:val="21"/>
                <w:lang w:val="en-US" w:eastAsia="zh-CN"/>
              </w:rPr>
              <w:t>3分，</w:t>
            </w:r>
            <w:r>
              <w:rPr>
                <w:rFonts w:hint="eastAsia" w:ascii="宋体" w:hAnsi="宋体"/>
                <w:szCs w:val="21"/>
              </w:rPr>
              <w:t>承装（修、试）电力设施许可证资质</w:t>
            </w:r>
            <w:r>
              <w:rPr>
                <w:rFonts w:hint="eastAsia" w:ascii="宋体" w:hAnsi="宋体"/>
                <w:szCs w:val="21"/>
                <w:lang w:val="en-US" w:eastAsia="zh-CN"/>
              </w:rPr>
              <w:t>二</w:t>
            </w:r>
            <w:r>
              <w:rPr>
                <w:rFonts w:hint="eastAsia" w:ascii="宋体" w:hAnsi="宋体"/>
                <w:szCs w:val="21"/>
              </w:rPr>
              <w:t>级</w:t>
            </w:r>
            <w:r>
              <w:rPr>
                <w:rFonts w:hint="eastAsia" w:ascii="宋体" w:hAnsi="宋体"/>
                <w:szCs w:val="21"/>
                <w:lang w:eastAsia="zh-CN"/>
              </w:rPr>
              <w:t>及以上得</w:t>
            </w:r>
            <w:r>
              <w:rPr>
                <w:rFonts w:hint="eastAsia" w:ascii="宋体" w:hAnsi="宋体"/>
                <w:szCs w:val="21"/>
                <w:lang w:val="en-US" w:eastAsia="zh-CN"/>
              </w:rPr>
              <w:t>5分。</w:t>
            </w:r>
          </w:p>
          <w:p>
            <w:pPr>
              <w:numPr>
                <w:ilvl w:val="0"/>
                <w:numId w:val="26"/>
              </w:numPr>
              <w:spacing w:line="240" w:lineRule="auto"/>
              <w:ind w:left="425" w:hanging="425"/>
              <w:rPr>
                <w:rFonts w:ascii="宋体" w:hAnsi="宋体"/>
                <w:szCs w:val="21"/>
              </w:rPr>
            </w:pPr>
            <w:r>
              <w:rPr>
                <w:rFonts w:hint="eastAsia" w:ascii="宋体" w:hAnsi="宋体"/>
                <w:szCs w:val="21"/>
                <w:lang w:eastAsia="zh-CN"/>
              </w:rPr>
              <w:t>根据各投标人的综合</w:t>
            </w:r>
            <w:r>
              <w:rPr>
                <w:rFonts w:hint="eastAsia" w:ascii="宋体" w:hAnsi="宋体"/>
                <w:color w:val="auto"/>
                <w:szCs w:val="21"/>
                <w:lang w:eastAsia="zh-CN"/>
              </w:rPr>
              <w:t>实力</w:t>
            </w:r>
            <w:r>
              <w:rPr>
                <w:rFonts w:hint="eastAsia" w:ascii="宋体" w:hAnsi="宋体"/>
                <w:color w:val="auto"/>
                <w:szCs w:val="21"/>
              </w:rPr>
              <w:t>、信誉、知名度等进行综合评</w:t>
            </w:r>
            <w:r>
              <w:rPr>
                <w:rFonts w:hint="eastAsia" w:ascii="宋体" w:hAnsi="宋体"/>
                <w:szCs w:val="21"/>
              </w:rPr>
              <w:t>，优得</w:t>
            </w:r>
            <w:r>
              <w:rPr>
                <w:rFonts w:hint="eastAsia" w:ascii="宋体" w:hAnsi="宋体"/>
                <w:szCs w:val="21"/>
                <w:lang w:val="en-US" w:eastAsia="zh-CN"/>
              </w:rPr>
              <w:t>5</w:t>
            </w:r>
            <w:r>
              <w:rPr>
                <w:rFonts w:hint="eastAsia" w:ascii="宋体" w:hAnsi="宋体"/>
                <w:szCs w:val="21"/>
              </w:rPr>
              <w:t>分，良得</w:t>
            </w:r>
            <w:r>
              <w:rPr>
                <w:rFonts w:hint="eastAsia" w:ascii="宋体" w:hAnsi="宋体"/>
                <w:szCs w:val="21"/>
                <w:lang w:val="en-US" w:eastAsia="zh-CN"/>
              </w:rPr>
              <w:t>3</w:t>
            </w:r>
            <w:r>
              <w:rPr>
                <w:rFonts w:hint="eastAsia" w:ascii="宋体" w:hAnsi="宋体"/>
                <w:szCs w:val="21"/>
              </w:rPr>
              <w:t>分</w:t>
            </w:r>
            <w:r>
              <w:rPr>
                <w:rFonts w:ascii="宋体" w:hAnsi="宋体"/>
                <w:szCs w:val="21"/>
              </w:rPr>
              <w:t>,一</w:t>
            </w:r>
            <w:r>
              <w:rPr>
                <w:rFonts w:hint="eastAsia" w:ascii="宋体" w:hAnsi="宋体"/>
                <w:szCs w:val="21"/>
              </w:rPr>
              <w:t>般</w:t>
            </w:r>
            <w:r>
              <w:rPr>
                <w:rFonts w:ascii="宋体" w:hAnsi="宋体"/>
                <w:szCs w:val="21"/>
              </w:rPr>
              <w:t>得</w:t>
            </w:r>
            <w:r>
              <w:rPr>
                <w:rFonts w:hint="eastAsia" w:ascii="宋体" w:hAnsi="宋体"/>
                <w:szCs w:val="21"/>
                <w:lang w:val="en-US" w:eastAsia="zh-CN"/>
              </w:rPr>
              <w:t>2</w:t>
            </w:r>
            <w:r>
              <w:rPr>
                <w:rFonts w:hint="eastAsia" w:ascii="宋体" w:hAnsi="宋体"/>
                <w:szCs w:val="21"/>
              </w:rPr>
              <w:t>分。</w:t>
            </w:r>
          </w:p>
          <w:p>
            <w:pPr>
              <w:numPr>
                <w:ilvl w:val="0"/>
                <w:numId w:val="26"/>
              </w:numPr>
              <w:spacing w:line="240" w:lineRule="auto"/>
              <w:ind w:left="425" w:leftChars="0" w:hanging="425" w:firstLineChars="0"/>
              <w:rPr>
                <w:rFonts w:ascii="宋体" w:hAnsi="宋体" w:eastAsia="宋体" w:cs="宋体"/>
                <w:kern w:val="2"/>
                <w:sz w:val="21"/>
                <w:szCs w:val="24"/>
                <w:lang w:val="en-US" w:eastAsia="zh-CN" w:bidi="ar-SA"/>
              </w:rPr>
            </w:pPr>
            <w:r>
              <w:rPr>
                <w:rFonts w:hint="eastAsia" w:ascii="宋体" w:hAnsi="宋体"/>
                <w:szCs w:val="21"/>
              </w:rPr>
              <w:t>说明：根据投标人提供企业征信（信用中国网站生成的信用报告）和获奖情况等体现企业综合实力文件进行评议。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5"/>
              </w:numPr>
              <w:spacing w:line="24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ascii="Times New Roman" w:hAnsi="Times New Roman" w:eastAsia="宋体" w:cs="Times New Roman"/>
                <w:kern w:val="2"/>
                <w:sz w:val="21"/>
                <w:szCs w:val="24"/>
                <w:lang w:val="en-US" w:eastAsia="zh-CN" w:bidi="ar-SA"/>
              </w:rPr>
            </w:pPr>
            <w:r>
              <w:rPr>
                <w:rFonts w:hint="eastAsia" w:ascii="宋体" w:hAnsi="宋体" w:cs="宋体"/>
                <w:kern w:val="0"/>
                <w:szCs w:val="21"/>
              </w:rPr>
              <w:t>同类业绩</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eastAsia="宋体" w:cs="Times New Roman"/>
                <w:kern w:val="2"/>
                <w:sz w:val="21"/>
                <w:szCs w:val="21"/>
                <w:lang w:val="en-US" w:eastAsia="zh-CN" w:bidi="ar-SA"/>
              </w:rPr>
            </w:pPr>
            <w:r>
              <w:rPr>
                <w:rFonts w:ascii="宋体" w:hAnsi="宋体"/>
                <w:szCs w:val="21"/>
              </w:rPr>
              <w:t>1</w:t>
            </w:r>
            <w:r>
              <w:rPr>
                <w:rFonts w:hint="eastAsia" w:ascii="宋体" w:hAnsi="宋体"/>
                <w:szCs w:val="21"/>
                <w:lang w:val="en-US" w:eastAsia="zh-CN"/>
              </w:rPr>
              <w:t>0</w:t>
            </w:r>
          </w:p>
        </w:tc>
        <w:tc>
          <w:tcPr>
            <w:tcW w:w="6804" w:type="dxa"/>
            <w:gridSpan w:val="2"/>
            <w:tcBorders>
              <w:tl2br w:val="nil"/>
              <w:tr2bl w:val="nil"/>
            </w:tcBorders>
            <w:tcMar>
              <w:top w:w="15" w:type="dxa"/>
              <w:left w:w="15" w:type="dxa"/>
              <w:bottom w:w="15" w:type="dxa"/>
              <w:right w:w="15" w:type="dxa"/>
            </w:tcMar>
            <w:vAlign w:val="center"/>
          </w:tcPr>
          <w:p>
            <w:pPr>
              <w:rPr>
                <w:rFonts w:ascii="宋体" w:hAnsi="宋体"/>
                <w:szCs w:val="21"/>
              </w:rPr>
            </w:pPr>
            <w:r>
              <w:rPr>
                <w:rFonts w:hint="eastAsia" w:ascii="宋体" w:hAnsi="宋体"/>
                <w:szCs w:val="21"/>
              </w:rPr>
              <w:t>根据投标人2020年1月1日至本项目招标公告发布日（以合同签订时间为准）所承接的电</w:t>
            </w:r>
            <w:r>
              <w:rPr>
                <w:rFonts w:ascii="宋体" w:hAnsi="宋体"/>
                <w:szCs w:val="21"/>
              </w:rPr>
              <w:t>力</w:t>
            </w:r>
            <w:r>
              <w:rPr>
                <w:rFonts w:hint="eastAsia" w:ascii="宋体" w:hAnsi="宋体"/>
                <w:szCs w:val="21"/>
              </w:rPr>
              <w:t>设备（设施</w:t>
            </w:r>
            <w:r>
              <w:rPr>
                <w:rFonts w:ascii="宋体" w:hAnsi="宋体"/>
                <w:szCs w:val="21"/>
              </w:rPr>
              <w:t>）</w:t>
            </w:r>
            <w:r>
              <w:rPr>
                <w:rFonts w:hint="eastAsia" w:ascii="宋体" w:hAnsi="宋体"/>
                <w:szCs w:val="21"/>
              </w:rPr>
              <w:t>安装、施工、维修类相关施工项目业绩评议:</w:t>
            </w:r>
          </w:p>
          <w:p>
            <w:pPr>
              <w:numPr>
                <w:ilvl w:val="3"/>
                <w:numId w:val="27"/>
              </w:numPr>
              <w:tabs>
                <w:tab w:val="left" w:pos="639"/>
              </w:tabs>
              <w:ind w:left="639" w:hanging="629"/>
              <w:rPr>
                <w:rFonts w:ascii="宋体" w:hAnsi="宋体"/>
                <w:szCs w:val="21"/>
              </w:rPr>
            </w:pPr>
            <w:r>
              <w:rPr>
                <w:rFonts w:hint="eastAsia" w:ascii="宋体" w:hAnsi="宋体"/>
                <w:szCs w:val="21"/>
              </w:rPr>
              <w:t>单个合同金额≥</w:t>
            </w:r>
            <w:r>
              <w:rPr>
                <w:rFonts w:hint="eastAsia" w:ascii="宋体" w:hAnsi="宋体"/>
                <w:szCs w:val="21"/>
                <w:lang w:val="en-US" w:eastAsia="zh-CN"/>
              </w:rPr>
              <w:t>3</w:t>
            </w:r>
            <w:r>
              <w:rPr>
                <w:rFonts w:hint="eastAsia" w:ascii="宋体" w:hAnsi="宋体"/>
                <w:szCs w:val="21"/>
              </w:rPr>
              <w:t>00万元，得</w:t>
            </w:r>
            <w:r>
              <w:rPr>
                <w:rFonts w:ascii="宋体" w:hAnsi="宋体"/>
                <w:szCs w:val="21"/>
              </w:rPr>
              <w:t>1</w:t>
            </w:r>
            <w:r>
              <w:rPr>
                <w:rFonts w:hint="eastAsia" w:ascii="宋体" w:hAnsi="宋体"/>
                <w:szCs w:val="21"/>
                <w:lang w:val="en-US" w:eastAsia="zh-CN"/>
              </w:rPr>
              <w:t>0</w:t>
            </w:r>
            <w:r>
              <w:rPr>
                <w:rFonts w:hint="eastAsia" w:ascii="宋体" w:hAnsi="宋体"/>
                <w:szCs w:val="21"/>
              </w:rPr>
              <w:t>分；</w:t>
            </w:r>
          </w:p>
          <w:p>
            <w:pPr>
              <w:numPr>
                <w:ilvl w:val="3"/>
                <w:numId w:val="27"/>
              </w:numPr>
              <w:tabs>
                <w:tab w:val="left" w:pos="639"/>
              </w:tabs>
              <w:ind w:left="639" w:hanging="629"/>
              <w:rPr>
                <w:rFonts w:ascii="宋体" w:hAnsi="宋体"/>
                <w:szCs w:val="21"/>
              </w:rPr>
            </w:pPr>
            <w:r>
              <w:rPr>
                <w:rFonts w:hint="eastAsia" w:ascii="宋体" w:hAnsi="宋体"/>
                <w:szCs w:val="21"/>
                <w:lang w:val="en-US" w:eastAsia="zh-CN"/>
              </w:rPr>
              <w:t>20</w:t>
            </w:r>
            <w:r>
              <w:rPr>
                <w:rFonts w:hint="eastAsia" w:ascii="宋体" w:hAnsi="宋体"/>
                <w:szCs w:val="21"/>
              </w:rPr>
              <w:t>0万元≤单个合同金额＜</w:t>
            </w:r>
            <w:r>
              <w:rPr>
                <w:rFonts w:hint="eastAsia" w:ascii="宋体" w:hAnsi="宋体"/>
                <w:szCs w:val="21"/>
                <w:lang w:val="en-US" w:eastAsia="zh-CN"/>
              </w:rPr>
              <w:t>3</w:t>
            </w:r>
            <w:r>
              <w:rPr>
                <w:rFonts w:hint="eastAsia" w:ascii="宋体" w:hAnsi="宋体"/>
                <w:szCs w:val="21"/>
              </w:rPr>
              <w:t>00万元，得</w:t>
            </w:r>
            <w:r>
              <w:rPr>
                <w:rFonts w:hint="eastAsia" w:ascii="宋体" w:hAnsi="宋体"/>
                <w:szCs w:val="21"/>
                <w:lang w:val="en-US" w:eastAsia="zh-CN"/>
              </w:rPr>
              <w:t>8</w:t>
            </w:r>
            <w:r>
              <w:rPr>
                <w:rFonts w:hint="eastAsia" w:ascii="宋体" w:hAnsi="宋体"/>
                <w:szCs w:val="21"/>
              </w:rPr>
              <w:t>分；</w:t>
            </w:r>
          </w:p>
          <w:p>
            <w:pPr>
              <w:numPr>
                <w:ilvl w:val="3"/>
                <w:numId w:val="27"/>
              </w:numPr>
              <w:tabs>
                <w:tab w:val="left" w:pos="639"/>
              </w:tabs>
              <w:ind w:left="639" w:hanging="629"/>
              <w:rPr>
                <w:rFonts w:ascii="宋体" w:hAnsi="宋体"/>
                <w:szCs w:val="21"/>
              </w:rPr>
            </w:pPr>
            <w:r>
              <w:rPr>
                <w:rFonts w:hint="eastAsia" w:ascii="宋体" w:hAnsi="宋体"/>
                <w:szCs w:val="21"/>
                <w:lang w:val="en-US" w:eastAsia="zh-CN"/>
              </w:rPr>
              <w:t>1</w:t>
            </w:r>
            <w:r>
              <w:rPr>
                <w:rFonts w:hint="eastAsia" w:ascii="宋体" w:hAnsi="宋体"/>
                <w:szCs w:val="21"/>
              </w:rPr>
              <w:t>00万≤单个合同金额＜</w:t>
            </w:r>
            <w:r>
              <w:rPr>
                <w:rFonts w:hint="eastAsia" w:ascii="宋体" w:hAnsi="宋体"/>
                <w:szCs w:val="21"/>
                <w:lang w:val="en-US" w:eastAsia="zh-CN"/>
              </w:rPr>
              <w:t>20</w:t>
            </w:r>
            <w:r>
              <w:rPr>
                <w:rFonts w:hint="eastAsia" w:ascii="宋体" w:hAnsi="宋体"/>
                <w:szCs w:val="21"/>
              </w:rPr>
              <w:t>0万元，得</w:t>
            </w:r>
            <w:r>
              <w:rPr>
                <w:rFonts w:ascii="宋体" w:hAnsi="宋体"/>
                <w:szCs w:val="21"/>
              </w:rPr>
              <w:t>6</w:t>
            </w:r>
            <w:r>
              <w:rPr>
                <w:rFonts w:hint="eastAsia" w:ascii="宋体" w:hAnsi="宋体"/>
                <w:szCs w:val="21"/>
              </w:rPr>
              <w:t>分；</w:t>
            </w:r>
          </w:p>
          <w:p>
            <w:pPr>
              <w:numPr>
                <w:ilvl w:val="3"/>
                <w:numId w:val="27"/>
              </w:numPr>
              <w:tabs>
                <w:tab w:val="left" w:pos="639"/>
              </w:tabs>
              <w:ind w:left="639" w:hanging="629"/>
              <w:rPr>
                <w:rFonts w:ascii="宋体" w:hAnsi="宋体"/>
                <w:szCs w:val="21"/>
              </w:rPr>
            </w:pPr>
            <w:r>
              <w:rPr>
                <w:rFonts w:hint="eastAsia" w:ascii="宋体" w:hAnsi="宋体"/>
                <w:szCs w:val="21"/>
                <w:lang w:val="en-US" w:eastAsia="zh-CN"/>
              </w:rPr>
              <w:t>5</w:t>
            </w:r>
            <w:r>
              <w:rPr>
                <w:rFonts w:hint="eastAsia" w:ascii="宋体" w:hAnsi="宋体"/>
                <w:szCs w:val="21"/>
              </w:rPr>
              <w:t>0万≤单个合同金额＜</w:t>
            </w:r>
            <w:r>
              <w:rPr>
                <w:rFonts w:hint="eastAsia" w:ascii="宋体" w:hAnsi="宋体"/>
                <w:szCs w:val="21"/>
                <w:lang w:val="en-US" w:eastAsia="zh-CN"/>
              </w:rPr>
              <w:t>1</w:t>
            </w:r>
            <w:r>
              <w:rPr>
                <w:rFonts w:hint="eastAsia" w:ascii="宋体" w:hAnsi="宋体"/>
                <w:szCs w:val="21"/>
              </w:rPr>
              <w:t>00万元，得</w:t>
            </w:r>
            <w:r>
              <w:rPr>
                <w:rFonts w:ascii="宋体" w:hAnsi="宋体"/>
                <w:szCs w:val="21"/>
              </w:rPr>
              <w:t>4</w:t>
            </w:r>
            <w:r>
              <w:rPr>
                <w:rFonts w:hint="eastAsia" w:ascii="宋体" w:hAnsi="宋体"/>
                <w:szCs w:val="21"/>
              </w:rPr>
              <w:t>分；</w:t>
            </w:r>
          </w:p>
          <w:p>
            <w:pPr>
              <w:numPr>
                <w:ilvl w:val="3"/>
                <w:numId w:val="27"/>
              </w:numPr>
              <w:tabs>
                <w:tab w:val="left" w:pos="639"/>
              </w:tabs>
              <w:ind w:left="639" w:hanging="629"/>
              <w:rPr>
                <w:rFonts w:ascii="宋体" w:hAnsi="宋体"/>
                <w:szCs w:val="21"/>
              </w:rPr>
            </w:pPr>
            <w:r>
              <w:rPr>
                <w:rFonts w:hint="eastAsia" w:ascii="宋体" w:hAnsi="宋体"/>
                <w:szCs w:val="21"/>
              </w:rPr>
              <w:t>单个合同金额＜</w:t>
            </w:r>
            <w:r>
              <w:rPr>
                <w:rFonts w:hint="eastAsia" w:ascii="宋体" w:hAnsi="宋体"/>
                <w:szCs w:val="21"/>
                <w:lang w:val="en-US" w:eastAsia="zh-CN"/>
              </w:rPr>
              <w:t>5</w:t>
            </w:r>
            <w:r>
              <w:rPr>
                <w:rFonts w:hint="eastAsia" w:ascii="宋体" w:hAnsi="宋体"/>
                <w:szCs w:val="21"/>
              </w:rPr>
              <w:t>0万元，得</w:t>
            </w:r>
            <w:r>
              <w:rPr>
                <w:rFonts w:ascii="宋体" w:hAnsi="宋体"/>
                <w:szCs w:val="21"/>
              </w:rPr>
              <w:t>2</w:t>
            </w:r>
            <w:r>
              <w:rPr>
                <w:rFonts w:hint="eastAsia" w:ascii="宋体" w:hAnsi="宋体"/>
                <w:szCs w:val="21"/>
              </w:rPr>
              <w:t>分；</w:t>
            </w:r>
          </w:p>
          <w:p>
            <w:pPr>
              <w:rPr>
                <w:rFonts w:ascii="宋体" w:hAnsi="宋体"/>
                <w:szCs w:val="21"/>
              </w:rPr>
            </w:pPr>
            <w:r>
              <w:rPr>
                <w:rFonts w:hint="eastAsia" w:ascii="宋体" w:hAnsi="宋体"/>
                <w:szCs w:val="21"/>
              </w:rPr>
              <w:t>证明文件：</w:t>
            </w:r>
          </w:p>
          <w:p>
            <w:pPr>
              <w:numPr>
                <w:ilvl w:val="3"/>
                <w:numId w:val="28"/>
              </w:numPr>
              <w:tabs>
                <w:tab w:val="left" w:pos="639"/>
              </w:tabs>
              <w:ind w:left="639" w:hanging="629"/>
              <w:rPr>
                <w:rFonts w:ascii="宋体" w:hAnsi="宋体"/>
                <w:szCs w:val="21"/>
              </w:rPr>
            </w:pPr>
            <w:r>
              <w:rPr>
                <w:rFonts w:hint="eastAsia" w:ascii="宋体" w:hAnsi="宋体"/>
                <w:szCs w:val="21"/>
              </w:rPr>
              <w:t>投标人需提供包含但不仅限于能体现上述评审要素（如合同标的、签订时间、金额等等）的合同关键页复印件并加盖投标人公章。</w:t>
            </w:r>
          </w:p>
          <w:p>
            <w:pPr>
              <w:numPr>
                <w:ilvl w:val="-1"/>
                <w:numId w:val="0"/>
              </w:numPr>
              <w:tabs>
                <w:tab w:val="left" w:pos="639"/>
              </w:tabs>
              <w:spacing w:line="240" w:lineRule="auto"/>
              <w:ind w:left="0" w:leftChars="0" w:firstLine="0" w:firstLineChars="0"/>
              <w:rPr>
                <w:rFonts w:ascii="宋体" w:hAnsi="宋体" w:eastAsia="宋体" w:cs="宋体"/>
                <w:kern w:val="2"/>
                <w:sz w:val="21"/>
                <w:szCs w:val="21"/>
                <w:lang w:val="en-US" w:eastAsia="zh-CN" w:bidi="ar-SA"/>
              </w:rPr>
            </w:pPr>
            <w:r>
              <w:rPr>
                <w:rFonts w:hint="eastAsia" w:ascii="宋体" w:hAnsi="宋体"/>
                <w:szCs w:val="21"/>
              </w:rPr>
              <w:t>未提供或提供证明资料不清晰、不完整的，不得分。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24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240" w:lineRule="auto"/>
              <w:jc w:val="center"/>
              <w:rPr>
                <w:rFonts w:ascii="宋体" w:hAnsi="宋体"/>
                <w:b/>
                <w:color w:val="FF0000"/>
                <w:szCs w:val="21"/>
                <w:highlight w:val="yellow"/>
              </w:rPr>
            </w:pPr>
            <w:r>
              <w:rPr>
                <w:rFonts w:hint="eastAsia" w:ascii="宋体" w:hAnsi="宋体"/>
                <w:b/>
                <w:szCs w:val="21"/>
              </w:rPr>
              <w:t>技术服务评议</w:t>
            </w:r>
            <w:r>
              <w:rPr>
                <w:rFonts w:hint="eastAsia" w:ascii="宋体" w:hAnsi="宋体"/>
                <w:b/>
                <w:color w:val="auto"/>
                <w:szCs w:val="21"/>
                <w:highlight w:val="none"/>
              </w:rPr>
              <w:t>项（</w:t>
            </w:r>
            <w:r>
              <w:rPr>
                <w:rFonts w:hint="eastAsia" w:ascii="宋体" w:hAnsi="宋体"/>
                <w:color w:val="auto"/>
                <w:szCs w:val="21"/>
                <w:highlight w:val="none"/>
                <w:lang w:val="en-US" w:eastAsia="zh-CN"/>
              </w:rPr>
              <w:t>40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9"/>
              </w:numPr>
              <w:spacing w:line="24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ascii="Times New Roman" w:hAnsi="Times New Roman" w:eastAsia="宋体" w:cs="Times New Roman"/>
                <w:kern w:val="2"/>
                <w:sz w:val="21"/>
                <w:szCs w:val="24"/>
                <w:lang w:val="en-US" w:eastAsia="zh-CN" w:bidi="ar-SA"/>
              </w:rPr>
            </w:pPr>
            <w:r>
              <w:rPr>
                <w:rFonts w:hint="eastAsia" w:ascii="宋体" w:hAnsi="宋体"/>
                <w:kern w:val="0"/>
                <w:szCs w:val="21"/>
              </w:rPr>
              <w:t>安装技术服务方案</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15</w:t>
            </w:r>
          </w:p>
        </w:tc>
        <w:tc>
          <w:tcPr>
            <w:tcW w:w="6804" w:type="dxa"/>
            <w:gridSpan w:val="2"/>
            <w:tcBorders>
              <w:tl2br w:val="nil"/>
              <w:tr2bl w:val="nil"/>
            </w:tcBorders>
            <w:tcMar>
              <w:top w:w="15" w:type="dxa"/>
              <w:left w:w="15" w:type="dxa"/>
              <w:bottom w:w="15" w:type="dxa"/>
              <w:right w:w="15" w:type="dxa"/>
            </w:tcMar>
            <w:vAlign w:val="center"/>
          </w:tcPr>
          <w:p>
            <w:pPr>
              <w:spacing w:line="240" w:lineRule="auto"/>
              <w:rPr>
                <w:rFonts w:ascii="宋体" w:hAnsi="宋体"/>
                <w:szCs w:val="21"/>
              </w:rPr>
            </w:pPr>
            <w:r>
              <w:rPr>
                <w:rFonts w:hint="eastAsia" w:ascii="宋体" w:hAnsi="宋体"/>
                <w:szCs w:val="21"/>
              </w:rPr>
              <w:t>根据各投标人提交的施工方案综合比较评分，包括但不仅限于：材料的技术性能、安装工艺控制措施、安装服务组织方案、现场管理、主要技术组织措施、安全防护措施、应急预案等进行横向比较评分。</w:t>
            </w:r>
          </w:p>
          <w:p>
            <w:pPr>
              <w:widowControl/>
              <w:spacing w:line="240" w:lineRule="auto"/>
              <w:ind w:right="30" w:rightChars="0"/>
              <w:jc w:val="left"/>
              <w:rPr>
                <w:rFonts w:ascii="宋体" w:hAnsi="宋体" w:eastAsia="宋体" w:cs="Times New Roman"/>
                <w:kern w:val="2"/>
                <w:sz w:val="21"/>
                <w:szCs w:val="21"/>
                <w:lang w:val="en-US" w:eastAsia="zh-CN" w:bidi="ar-SA"/>
              </w:rPr>
            </w:pPr>
            <w:r>
              <w:rPr>
                <w:rFonts w:hint="eastAsia" w:ascii="宋体" w:hAnsi="宋体"/>
                <w:szCs w:val="21"/>
              </w:rPr>
              <w:t>评审标准：优秀得</w:t>
            </w:r>
            <w:r>
              <w:rPr>
                <w:rFonts w:hint="eastAsia" w:ascii="宋体" w:hAnsi="宋体"/>
                <w:szCs w:val="21"/>
                <w:lang w:val="en-US" w:eastAsia="zh-CN"/>
              </w:rPr>
              <w:t>15</w:t>
            </w:r>
            <w:r>
              <w:rPr>
                <w:rFonts w:hint="eastAsia" w:ascii="宋体" w:hAnsi="宋体"/>
                <w:szCs w:val="21"/>
              </w:rPr>
              <w:t>分；良好得</w:t>
            </w:r>
            <w:r>
              <w:rPr>
                <w:rFonts w:hint="eastAsia" w:ascii="宋体" w:hAnsi="宋体"/>
                <w:szCs w:val="21"/>
                <w:lang w:val="en-US" w:eastAsia="zh-CN"/>
              </w:rPr>
              <w:t>10</w:t>
            </w:r>
            <w:r>
              <w:rPr>
                <w:rFonts w:hint="eastAsia" w:ascii="宋体" w:hAnsi="宋体"/>
                <w:szCs w:val="21"/>
              </w:rPr>
              <w:t>分；一般得</w:t>
            </w:r>
            <w:r>
              <w:rPr>
                <w:rFonts w:hint="eastAsia" w:ascii="宋体" w:hAnsi="宋体"/>
                <w:szCs w:val="21"/>
                <w:lang w:val="en-US" w:eastAsia="zh-CN"/>
              </w:rPr>
              <w:t>5</w:t>
            </w:r>
            <w:r>
              <w:rPr>
                <w:rFonts w:hint="eastAsia" w:ascii="宋体" w:hAnsi="宋体"/>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9"/>
              </w:numPr>
              <w:spacing w:line="24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eastAsia"/>
              </w:rPr>
            </w:pPr>
            <w:r>
              <w:rPr>
                <w:rFonts w:hint="eastAsia" w:ascii="宋体" w:hAnsi="宋体"/>
                <w:kern w:val="0"/>
                <w:szCs w:val="21"/>
              </w:rPr>
              <w:t>工期</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eastAsia="宋体"/>
                <w:szCs w:val="21"/>
                <w:lang w:eastAsia="zh-CN"/>
              </w:rPr>
            </w:pPr>
            <w:r>
              <w:rPr>
                <w:rFonts w:hint="eastAsia" w:ascii="宋体" w:hAnsi="宋体"/>
                <w:szCs w:val="21"/>
                <w:lang w:val="en-US" w:eastAsia="zh-CN"/>
              </w:rPr>
              <w:t>5</w:t>
            </w:r>
          </w:p>
        </w:tc>
        <w:tc>
          <w:tcPr>
            <w:tcW w:w="6804" w:type="dxa"/>
            <w:gridSpan w:val="2"/>
            <w:tcBorders>
              <w:tl2br w:val="nil"/>
              <w:tr2bl w:val="nil"/>
            </w:tcBorders>
            <w:tcMar>
              <w:top w:w="15" w:type="dxa"/>
              <w:left w:w="15" w:type="dxa"/>
              <w:bottom w:w="15" w:type="dxa"/>
              <w:right w:w="15" w:type="dxa"/>
            </w:tcMar>
            <w:vAlign w:val="center"/>
          </w:tcPr>
          <w:p>
            <w:pPr>
              <w:snapToGrid w:val="0"/>
              <w:spacing w:line="240" w:lineRule="auto"/>
              <w:rPr>
                <w:rFonts w:hint="eastAsia" w:ascii="宋体" w:hAnsi="宋体" w:cs="宋体"/>
                <w:kern w:val="0"/>
                <w:szCs w:val="21"/>
              </w:rPr>
            </w:pPr>
            <w:r>
              <w:rPr>
                <w:rFonts w:hint="eastAsia" w:ascii="宋体" w:hAnsi="宋体"/>
                <w:szCs w:val="21"/>
              </w:rPr>
              <w:t>根据各投标人所承诺工期（含安装、调试时间），满足招标人要求并可提前完工者，按照工期由短到长排名，第一名得</w:t>
            </w:r>
            <w:r>
              <w:rPr>
                <w:rFonts w:hint="eastAsia" w:ascii="宋体" w:hAnsi="宋体"/>
                <w:szCs w:val="21"/>
                <w:lang w:val="en-US" w:eastAsia="zh-CN"/>
              </w:rPr>
              <w:t>5</w:t>
            </w:r>
            <w:r>
              <w:rPr>
                <w:rFonts w:hint="eastAsia" w:ascii="宋体" w:hAnsi="宋体"/>
                <w:szCs w:val="21"/>
              </w:rPr>
              <w:t>分，排名每下降一个名次得分递减1分，直至0分。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9"/>
              </w:numPr>
              <w:spacing w:line="24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eastAsia"/>
              </w:rPr>
            </w:pPr>
            <w:r>
              <w:rPr>
                <w:rFonts w:hint="eastAsia" w:ascii="宋体" w:hAnsi="宋体" w:cs="宋体"/>
                <w:kern w:val="0"/>
                <w:szCs w:val="21"/>
              </w:rPr>
              <w:t>拟派人员</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default" w:ascii="宋体" w:hAnsi="宋体" w:eastAsia="宋体"/>
                <w:szCs w:val="21"/>
                <w:lang w:val="en-US" w:eastAsia="zh-CN"/>
              </w:rPr>
            </w:pPr>
            <w:r>
              <w:rPr>
                <w:rFonts w:hint="eastAsia" w:ascii="宋体" w:hAnsi="宋体"/>
                <w:szCs w:val="21"/>
                <w:lang w:val="en-US" w:eastAsia="zh-CN"/>
              </w:rPr>
              <w:t>20</w:t>
            </w:r>
          </w:p>
        </w:tc>
        <w:tc>
          <w:tcPr>
            <w:tcW w:w="6804" w:type="dxa"/>
            <w:gridSpan w:val="2"/>
            <w:tcBorders>
              <w:tl2br w:val="nil"/>
              <w:tr2bl w:val="nil"/>
            </w:tcBorders>
            <w:tcMar>
              <w:top w:w="15" w:type="dxa"/>
              <w:left w:w="15" w:type="dxa"/>
              <w:bottom w:w="15" w:type="dxa"/>
              <w:right w:w="15" w:type="dxa"/>
            </w:tcMar>
            <w:vAlign w:val="center"/>
          </w:tcPr>
          <w:p>
            <w:pPr>
              <w:numPr>
                <w:ilvl w:val="0"/>
                <w:numId w:val="30"/>
              </w:numPr>
              <w:snapToGrid w:val="0"/>
              <w:spacing w:line="240" w:lineRule="auto"/>
              <w:rPr>
                <w:rFonts w:ascii="宋体" w:hAnsi="宋体"/>
                <w:szCs w:val="21"/>
              </w:rPr>
            </w:pPr>
            <w:r>
              <w:rPr>
                <w:rFonts w:hint="eastAsia" w:ascii="宋体" w:hAnsi="宋体"/>
                <w:szCs w:val="21"/>
              </w:rPr>
              <w:t>投标人拟派人员具有电工作业证且同时持有电工二级/技师及以上证书</w:t>
            </w:r>
            <w:r>
              <w:rPr>
                <w:rFonts w:hint="eastAsia" w:ascii="宋体" w:hAnsi="宋体"/>
                <w:szCs w:val="21"/>
                <w:lang w:eastAsia="zh-CN"/>
              </w:rPr>
              <w:t>得</w:t>
            </w:r>
            <w:r>
              <w:rPr>
                <w:rFonts w:hint="eastAsia" w:ascii="宋体" w:hAnsi="宋体"/>
                <w:szCs w:val="21"/>
              </w:rPr>
              <w:t>3分，同时持有电工三级/高级技能证书</w:t>
            </w:r>
            <w:r>
              <w:rPr>
                <w:rFonts w:hint="eastAsia" w:ascii="宋体" w:hAnsi="宋体"/>
                <w:szCs w:val="21"/>
                <w:lang w:eastAsia="zh-CN"/>
              </w:rPr>
              <w:t>得</w:t>
            </w:r>
            <w:r>
              <w:rPr>
                <w:rFonts w:hint="eastAsia" w:ascii="宋体" w:hAnsi="宋体"/>
                <w:szCs w:val="21"/>
              </w:rPr>
              <w:t>2分，同时持有电工四级/中级技能证书</w:t>
            </w:r>
            <w:r>
              <w:rPr>
                <w:rFonts w:hint="eastAsia" w:ascii="宋体" w:hAnsi="宋体"/>
                <w:szCs w:val="21"/>
                <w:lang w:eastAsia="zh-CN"/>
              </w:rPr>
              <w:t>得</w:t>
            </w:r>
            <w:r>
              <w:rPr>
                <w:rFonts w:hint="eastAsia" w:ascii="宋体" w:hAnsi="宋体"/>
                <w:szCs w:val="21"/>
              </w:rPr>
              <w:t>1分，本项最高1</w:t>
            </w:r>
            <w:r>
              <w:rPr>
                <w:rFonts w:hint="eastAsia" w:ascii="宋体" w:hAnsi="宋体"/>
                <w:szCs w:val="21"/>
                <w:lang w:val="en-US" w:eastAsia="zh-CN"/>
              </w:rPr>
              <w:t>5</w:t>
            </w:r>
            <w:r>
              <w:rPr>
                <w:rFonts w:hint="eastAsia" w:ascii="宋体" w:hAnsi="宋体"/>
                <w:szCs w:val="21"/>
              </w:rPr>
              <w:t>分。</w:t>
            </w:r>
          </w:p>
          <w:p>
            <w:pPr>
              <w:numPr>
                <w:ilvl w:val="0"/>
                <w:numId w:val="30"/>
              </w:numPr>
              <w:snapToGrid w:val="0"/>
              <w:spacing w:line="240" w:lineRule="auto"/>
              <w:rPr>
                <w:rFonts w:ascii="宋体" w:hAnsi="宋体"/>
                <w:szCs w:val="21"/>
              </w:rPr>
            </w:pPr>
            <w:r>
              <w:rPr>
                <w:rFonts w:hint="eastAsia" w:ascii="宋体" w:hAnsi="宋体"/>
                <w:szCs w:val="21"/>
              </w:rPr>
              <w:t>项目负责人具备一级建造师（机电专业）得5分，项目负责人无相关职称不得分。</w:t>
            </w:r>
          </w:p>
          <w:p>
            <w:pPr>
              <w:spacing w:line="240" w:lineRule="auto"/>
              <w:rPr>
                <w:rFonts w:ascii="宋体" w:hAnsi="宋体"/>
                <w:szCs w:val="21"/>
              </w:rPr>
            </w:pPr>
            <w:r>
              <w:rPr>
                <w:rFonts w:hint="eastAsia" w:ascii="宋体" w:hAnsi="宋体"/>
                <w:szCs w:val="21"/>
              </w:rPr>
              <w:t>证明文件及要求：</w:t>
            </w:r>
          </w:p>
          <w:p>
            <w:pPr>
              <w:pStyle w:val="22"/>
              <w:numPr>
                <w:ilvl w:val="0"/>
                <w:numId w:val="31"/>
              </w:numPr>
              <w:spacing w:line="240" w:lineRule="auto"/>
              <w:ind w:firstLineChars="0"/>
              <w:rPr>
                <w:rFonts w:ascii="宋体" w:hAnsi="宋体" w:eastAsia="宋体"/>
                <w:szCs w:val="21"/>
              </w:rPr>
            </w:pPr>
            <w:r>
              <w:rPr>
                <w:rFonts w:hint="eastAsia" w:ascii="宋体" w:hAnsi="宋体" w:eastAsia="宋体"/>
                <w:szCs w:val="21"/>
              </w:rPr>
              <w:t>同一人以最高等级证书得分，不重复给分。</w:t>
            </w:r>
          </w:p>
          <w:p>
            <w:pPr>
              <w:pStyle w:val="22"/>
              <w:numPr>
                <w:ilvl w:val="0"/>
                <w:numId w:val="31"/>
              </w:numPr>
              <w:spacing w:line="240" w:lineRule="auto"/>
              <w:ind w:left="420" w:leftChars="0" w:hanging="420" w:firstLineChars="0"/>
              <w:rPr>
                <w:rFonts w:hint="eastAsia" w:ascii="宋体" w:hAnsi="宋体" w:cs="宋体"/>
                <w:kern w:val="0"/>
                <w:szCs w:val="21"/>
              </w:rPr>
            </w:pPr>
            <w:r>
              <w:rPr>
                <w:rFonts w:hint="eastAsia" w:ascii="宋体" w:hAnsi="宋体" w:eastAsia="宋体"/>
                <w:szCs w:val="21"/>
              </w:rPr>
              <w:t>提供以上人员资格证明文件和近三个月(202</w:t>
            </w:r>
            <w:r>
              <w:rPr>
                <w:rFonts w:hint="eastAsia" w:ascii="宋体" w:hAnsi="宋体" w:eastAsia="宋体"/>
                <w:szCs w:val="21"/>
                <w:lang w:val="en-US" w:eastAsia="zh-CN"/>
              </w:rPr>
              <w:t>3</w:t>
            </w:r>
            <w:r>
              <w:rPr>
                <w:rFonts w:hint="eastAsia" w:ascii="宋体" w:hAnsi="宋体" w:eastAsia="宋体"/>
                <w:szCs w:val="21"/>
              </w:rPr>
              <w:t>年</w:t>
            </w:r>
            <w:r>
              <w:rPr>
                <w:rFonts w:hint="eastAsia" w:ascii="宋体" w:hAnsi="宋体" w:eastAsia="宋体"/>
                <w:szCs w:val="21"/>
                <w:lang w:val="en-US" w:eastAsia="zh-CN"/>
              </w:rPr>
              <w:t>1</w:t>
            </w:r>
            <w:r>
              <w:rPr>
                <w:rFonts w:hint="eastAsia" w:ascii="宋体" w:hAnsi="宋体" w:eastAsia="宋体"/>
                <w:szCs w:val="21"/>
              </w:rPr>
              <w:t>月至</w:t>
            </w:r>
            <w:r>
              <w:rPr>
                <w:rFonts w:hint="eastAsia" w:ascii="宋体" w:hAnsi="宋体" w:eastAsia="宋体"/>
                <w:szCs w:val="21"/>
                <w:lang w:val="en-US" w:eastAsia="zh-CN"/>
              </w:rPr>
              <w:t>3</w:t>
            </w:r>
            <w:r>
              <w:rPr>
                <w:rFonts w:hint="eastAsia" w:ascii="宋体" w:hAnsi="宋体" w:eastAsia="宋体"/>
                <w:szCs w:val="21"/>
              </w:rPr>
              <w:t>月)社保清单证明，如开标日上一个月的社保材料因社保部门原因暂时无法取得，则可以往前顺推一个月；如因疫情原因延缴或免缴社保的，需提供相应政府主管部门出具的审批文件。（社保证明须同时加盖投标人公章，未按要求提供或提供不清晰导致无法判断的不得分，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A3"/>
            </w: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32"/>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 xml:space="preserve">M= </w:t>
            </w:r>
            <w:r>
              <w:rPr>
                <w:rFonts w:hint="eastAsia" w:ascii="宋体" w:hAnsi="宋体"/>
                <w:color w:val="FF0000"/>
                <w:szCs w:val="21"/>
                <w:highlight w:val="none"/>
              </w:rPr>
              <w:t>××</w:t>
            </w:r>
            <w:r>
              <w:rPr>
                <w:rStyle w:val="19"/>
                <w:rFonts w:hint="eastAsia" w:ascii="宋体" w:hAnsi="宋体"/>
                <w:highlight w:val="none"/>
              </w:rPr>
              <w:t xml:space="preserve"> （价格评价分项满分值），Z为本次招标基准价；</w:t>
            </w:r>
          </w:p>
          <w:p>
            <w:pPr>
              <w:numPr>
                <w:ilvl w:val="0"/>
                <w:numId w:val="32"/>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w:t>
            </w:r>
            <w:r>
              <w:rPr>
                <w:rStyle w:val="19"/>
                <w:rFonts w:hint="eastAsia" w:ascii="宋体" w:hAnsi="宋体"/>
                <w:highlight w:val="none"/>
                <w:lang w:val="en-US" w:eastAsia="zh-CN"/>
              </w:rPr>
              <w:t>1</w:t>
            </w:r>
            <w:r>
              <w:rPr>
                <w:rStyle w:val="19"/>
                <w:rFonts w:hint="eastAsia" w:ascii="宋体" w:hAnsi="宋体"/>
                <w:highlight w:val="none"/>
              </w:rPr>
              <w:t>；当投标报价高于次招标基准价时，取A=1；</w:t>
            </w:r>
          </w:p>
          <w:p>
            <w:pPr>
              <w:numPr>
                <w:ilvl w:val="0"/>
                <w:numId w:val="32"/>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spacing w:line="240" w:lineRule="atLeast"/>
              <w:jc w:val="center"/>
              <w:rPr>
                <w:rFonts w:ascii="宋体" w:cs="宋体"/>
                <w:kern w:val="0"/>
                <w:szCs w:val="21"/>
                <w:highlight w:val="none"/>
              </w:rPr>
            </w:pPr>
            <w:r>
              <w:rPr>
                <w:rFonts w:hint="eastAsia"/>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33"/>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33"/>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9" w:name="_Toc116550358"/>
      <w:r>
        <w:rPr>
          <w:rFonts w:hint="eastAsia" w:ascii="宋体" w:hAnsi="宋体"/>
          <w:b/>
          <w:sz w:val="32"/>
          <w:szCs w:val="32"/>
        </w:rPr>
        <w:t>第四部分：合同条款及格式</w:t>
      </w:r>
      <w:bookmarkEnd w:id="59"/>
    </w:p>
    <w:p>
      <w:pPr>
        <w:jc w:val="center"/>
        <w:rPr>
          <w:rFonts w:ascii="方正小标宋简体" w:hAnsi="方正小标宋简体" w:eastAsia="方正小标宋简体" w:cs="方正小标宋简体"/>
          <w:bCs/>
          <w:kern w:val="0"/>
          <w:sz w:val="28"/>
          <w:szCs w:val="28"/>
        </w:rPr>
      </w:pPr>
    </w:p>
    <w:p>
      <w:pPr>
        <w:pStyle w:val="11"/>
      </w:pPr>
    </w:p>
    <w:p>
      <w:pPr>
        <w:pStyle w:val="11"/>
      </w:pPr>
    </w:p>
    <w:p>
      <w:pPr>
        <w:spacing w:after="124" w:afterLines="40"/>
        <w:ind w:firstLine="105" w:firstLineChars="50"/>
        <w:jc w:val="center"/>
        <w:rPr>
          <w:rFonts w:ascii="宋体" w:hAnsi="宋体" w:cs="宋体"/>
          <w:szCs w:val="21"/>
        </w:rPr>
      </w:pPr>
      <w:r>
        <w:rPr>
          <w:rFonts w:hint="eastAsia" w:ascii="宋体" w:hAnsi="宋体" w:cs="宋体"/>
          <w:b/>
          <w:szCs w:val="21"/>
        </w:rPr>
        <w:t>深圳会展中心电力电容更换项目合同（仅供参考）</w:t>
      </w:r>
    </w:p>
    <w:p>
      <w:pPr>
        <w:tabs>
          <w:tab w:val="left" w:pos="180"/>
        </w:tabs>
        <w:adjustRightInd w:val="0"/>
        <w:snapToGrid w:val="0"/>
        <w:spacing w:line="300" w:lineRule="auto"/>
        <w:jc w:val="left"/>
        <w:rPr>
          <w:rFonts w:ascii="微软雅黑" w:hAnsi="微软雅黑" w:eastAsia="微软雅黑"/>
          <w:sz w:val="72"/>
          <w:szCs w:val="72"/>
        </w:rPr>
      </w:pPr>
      <w:r>
        <w:rPr>
          <w:rFonts w:hint="eastAsia" w:ascii="微软雅黑" w:hAnsi="微软雅黑" w:eastAsia="微软雅黑"/>
          <w:sz w:val="72"/>
          <w:szCs w:val="72"/>
        </w:rPr>
        <w:drawing>
          <wp:inline distT="0" distB="0" distL="114300" distR="114300">
            <wp:extent cx="2828925" cy="733425"/>
            <wp:effectExtent l="0" t="0" r="9525" b="9525"/>
            <wp:docPr id="3" name="图片 3"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0-08-13 上午2.10.25"/>
                    <pic:cNvPicPr>
                      <a:picLocks noChangeAspect="1"/>
                    </pic:cNvPicPr>
                  </pic:nvPicPr>
                  <pic:blipFill>
                    <a:blip r:embed="rId7"/>
                    <a:stretch>
                      <a:fillRect/>
                    </a:stretch>
                  </pic:blipFill>
                  <pic:spPr>
                    <a:xfrm>
                      <a:off x="0" y="0"/>
                      <a:ext cx="2828925" cy="733425"/>
                    </a:xfrm>
                    <a:prstGeom prst="rect">
                      <a:avLst/>
                    </a:prstGeom>
                    <a:noFill/>
                    <a:ln>
                      <a:noFill/>
                    </a:ln>
                  </pic:spPr>
                </pic:pic>
              </a:graphicData>
            </a:graphic>
          </wp:inline>
        </w:drawing>
      </w:r>
    </w:p>
    <w:p>
      <w:pPr>
        <w:tabs>
          <w:tab w:val="left" w:pos="180"/>
        </w:tabs>
        <w:adjustRightInd w:val="0"/>
        <w:snapToGrid w:val="0"/>
        <w:spacing w:line="300" w:lineRule="auto"/>
        <w:jc w:val="right"/>
        <w:rPr>
          <w:rFonts w:cs="宋体"/>
        </w:rPr>
      </w:pPr>
    </w:p>
    <w:p>
      <w:pPr>
        <w:tabs>
          <w:tab w:val="left" w:pos="180"/>
        </w:tabs>
        <w:adjustRightInd w:val="0"/>
        <w:snapToGrid w:val="0"/>
        <w:spacing w:line="300" w:lineRule="auto"/>
        <w:jc w:val="right"/>
      </w:pPr>
      <w:r>
        <w:rPr>
          <w:rFonts w:hint="eastAsia" w:cs="宋体"/>
        </w:rPr>
        <w:t>合同编号（甲方）：</w:t>
      </w:r>
      <w:r>
        <w:t xml:space="preserve"> ___________________________ </w:t>
      </w:r>
    </w:p>
    <w:p>
      <w:pPr>
        <w:tabs>
          <w:tab w:val="left" w:pos="180"/>
        </w:tabs>
        <w:adjustRightInd w:val="0"/>
        <w:snapToGrid w:val="0"/>
        <w:spacing w:line="300" w:lineRule="auto"/>
        <w:jc w:val="right"/>
      </w:pPr>
      <w:r>
        <w:rPr>
          <w:rFonts w:hint="eastAsia" w:cs="宋体"/>
        </w:rPr>
        <w:t>合同编号（乙方）：</w:t>
      </w:r>
      <w:r>
        <w:t xml:space="preserve"> ___________________________</w:t>
      </w: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jc w:val="center"/>
        <w:rPr>
          <w:rFonts w:ascii="宋体" w:hAnsi="宋体"/>
          <w:b/>
          <w:kern w:val="0"/>
          <w:sz w:val="44"/>
          <w:szCs w:val="44"/>
        </w:rPr>
      </w:pPr>
      <w:r>
        <w:rPr>
          <w:rFonts w:hint="eastAsia" w:ascii="宋体" w:hAnsi="宋体" w:cs="宋体"/>
          <w:b/>
          <w:sz w:val="44"/>
          <w:szCs w:val="44"/>
        </w:rPr>
        <w:t>深圳会展中心中压开关柜环网柜检修和耐压测试项目合同</w:t>
      </w: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tabs>
          <w:tab w:val="left" w:pos="180"/>
        </w:tabs>
        <w:spacing w:line="640" w:lineRule="exact"/>
        <w:ind w:firstLine="240" w:firstLineChars="100"/>
        <w:rPr>
          <w:rFonts w:cs="宋体"/>
          <w:sz w:val="24"/>
        </w:rPr>
      </w:pPr>
      <w:r>
        <w:rPr>
          <w:rFonts w:hint="eastAsia" w:cs="宋体"/>
          <w:sz w:val="24"/>
        </w:rPr>
        <w:t>甲方（委托方）：深圳会展中心管理有限责任公司</w:t>
      </w:r>
    </w:p>
    <w:p>
      <w:pPr>
        <w:tabs>
          <w:tab w:val="left" w:pos="180"/>
        </w:tabs>
        <w:spacing w:line="640" w:lineRule="exact"/>
        <w:ind w:firstLine="240" w:firstLineChars="100"/>
        <w:rPr>
          <w:rFonts w:cs="宋体"/>
          <w:sz w:val="24"/>
        </w:rPr>
      </w:pPr>
      <w:r>
        <w:rPr>
          <w:rFonts w:hint="eastAsia" w:cs="宋体"/>
          <w:sz w:val="24"/>
        </w:rPr>
        <w:t>乙方（受托方）：</w:t>
      </w:r>
      <w:r>
        <w:rPr>
          <w:rFonts w:hint="eastAsia" w:ascii="宋体" w:hAnsi="宋体" w:cs="宋体"/>
          <w:sz w:val="24"/>
        </w:rPr>
        <w:t xml:space="preserve">      </w:t>
      </w:r>
      <w:r>
        <w:rPr>
          <w:rFonts w:hint="eastAsia" w:cs="宋体"/>
          <w:sz w:val="24"/>
        </w:rPr>
        <w:t xml:space="preserve">                    </w:t>
      </w:r>
    </w:p>
    <w:p>
      <w:pPr>
        <w:tabs>
          <w:tab w:val="left" w:pos="180"/>
        </w:tabs>
        <w:spacing w:line="640" w:lineRule="exact"/>
        <w:ind w:firstLine="240" w:firstLineChars="100"/>
        <w:rPr>
          <w:rFonts w:ascii="宋体" w:hAnsi="宋体" w:cs="宋体"/>
          <w:sz w:val="24"/>
        </w:rPr>
      </w:pPr>
      <w:r>
        <w:rPr>
          <w:rFonts w:hint="eastAsia" w:ascii="宋体" w:hAnsi="宋体" w:cs="宋体"/>
          <w:sz w:val="24"/>
        </w:rPr>
        <w:t>签订日期：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360" w:lineRule="auto"/>
        <w:jc w:val="left"/>
        <w:rPr>
          <w:rFonts w:ascii="宋体" w:hAnsi="宋体" w:cs="宋体"/>
          <w:sz w:val="24"/>
        </w:rPr>
      </w:pPr>
    </w:p>
    <w:p>
      <w:pPr>
        <w:adjustRightInd w:val="0"/>
        <w:snapToGrid w:val="0"/>
        <w:spacing w:line="360" w:lineRule="auto"/>
        <w:jc w:val="left"/>
        <w:rPr>
          <w:rFonts w:ascii="宋体" w:hAnsi="宋体" w:cs="宋体"/>
          <w:sz w:val="24"/>
        </w:rPr>
      </w:pPr>
    </w:p>
    <w:p>
      <w:pPr>
        <w:spacing w:after="124" w:afterLines="40"/>
        <w:ind w:firstLine="105"/>
        <w:rPr>
          <w:rFonts w:ascii="宋体" w:hAnsi="宋体" w:cs="宋体"/>
          <w:szCs w:val="21"/>
        </w:rPr>
      </w:pPr>
    </w:p>
    <w:p>
      <w:pPr>
        <w:spacing w:after="124" w:afterLines="40"/>
        <w:ind w:firstLine="105"/>
        <w:rPr>
          <w:rFonts w:ascii="宋体" w:hAnsi="宋体" w:cs="宋体"/>
          <w:szCs w:val="21"/>
        </w:rPr>
      </w:pPr>
    </w:p>
    <w:p>
      <w:pPr>
        <w:adjustRightInd w:val="0"/>
        <w:snapToGrid w:val="0"/>
        <w:spacing w:line="360" w:lineRule="auto"/>
        <w:jc w:val="left"/>
        <w:rPr>
          <w:rFonts w:ascii="宋体" w:hAnsi="宋体" w:cs="宋体"/>
          <w:sz w:val="24"/>
        </w:rPr>
      </w:pPr>
      <w:r>
        <w:rPr>
          <w:rFonts w:hint="eastAsia" w:ascii="宋体" w:hAnsi="宋体" w:cs="宋体"/>
          <w:sz w:val="24"/>
        </w:rPr>
        <w:t>甲方</w:t>
      </w:r>
      <w:r>
        <w:rPr>
          <w:rFonts w:hint="eastAsia" w:cs="宋体"/>
          <w:sz w:val="24"/>
        </w:rPr>
        <w:t>（委托方）</w:t>
      </w:r>
      <w:r>
        <w:rPr>
          <w:rFonts w:hint="eastAsia" w:ascii="宋体" w:hAnsi="宋体" w:cs="宋体"/>
          <w:sz w:val="24"/>
        </w:rPr>
        <w:t xml:space="preserve">：深圳会展中心管理有限责任公司   </w:t>
      </w:r>
    </w:p>
    <w:p>
      <w:pPr>
        <w:adjustRightInd w:val="0"/>
        <w:snapToGrid w:val="0"/>
        <w:spacing w:line="360" w:lineRule="auto"/>
        <w:jc w:val="left"/>
        <w:rPr>
          <w:rFonts w:ascii="宋体" w:hAnsi="宋体" w:cs="宋体"/>
          <w:sz w:val="24"/>
        </w:rPr>
      </w:pPr>
      <w:r>
        <w:rPr>
          <w:rFonts w:hint="eastAsia" w:ascii="宋体" w:hAnsi="宋体" w:cs="宋体"/>
          <w:sz w:val="24"/>
        </w:rPr>
        <w:t xml:space="preserve">地址：中国广东深圳福田区福华三路             </w:t>
      </w:r>
    </w:p>
    <w:p>
      <w:pPr>
        <w:adjustRightInd w:val="0"/>
        <w:snapToGrid w:val="0"/>
        <w:spacing w:line="360" w:lineRule="auto"/>
        <w:jc w:val="left"/>
        <w:rPr>
          <w:rFonts w:ascii="宋体" w:hAnsi="宋体" w:cs="宋体"/>
          <w:sz w:val="24"/>
        </w:rPr>
      </w:pPr>
      <w:r>
        <w:rPr>
          <w:rFonts w:hint="eastAsia" w:ascii="宋体" w:hAnsi="宋体" w:cs="宋体"/>
          <w:sz w:val="24"/>
        </w:rPr>
        <w:t xml:space="preserve">邮编：518000                                 </w:t>
      </w:r>
    </w:p>
    <w:p>
      <w:pPr>
        <w:adjustRightInd w:val="0"/>
        <w:snapToGrid w:val="0"/>
        <w:spacing w:line="360" w:lineRule="auto"/>
        <w:jc w:val="left"/>
        <w:rPr>
          <w:rFonts w:ascii="宋体" w:hAnsi="宋体" w:cs="宋体"/>
          <w:sz w:val="24"/>
        </w:rPr>
      </w:pPr>
      <w:r>
        <w:rPr>
          <w:rFonts w:hint="eastAsia" w:ascii="宋体" w:hAnsi="宋体" w:cs="宋体"/>
          <w:sz w:val="24"/>
        </w:rPr>
        <w:t xml:space="preserve">电话：0755-82848819                         </w:t>
      </w:r>
    </w:p>
    <w:p>
      <w:pPr>
        <w:adjustRightInd w:val="0"/>
        <w:snapToGrid w:val="0"/>
        <w:spacing w:line="360" w:lineRule="auto"/>
        <w:jc w:val="left"/>
        <w:rPr>
          <w:rFonts w:ascii="宋体" w:hAnsi="宋体" w:cs="宋体"/>
          <w:sz w:val="24"/>
        </w:rPr>
      </w:pPr>
      <w:r>
        <w:rPr>
          <w:rFonts w:hint="eastAsia" w:ascii="宋体" w:hAnsi="宋体" w:cs="宋体"/>
          <w:sz w:val="24"/>
        </w:rPr>
        <w:t xml:space="preserve">传真：                                       </w:t>
      </w:r>
    </w:p>
    <w:p>
      <w:pPr>
        <w:pStyle w:val="11"/>
      </w:pPr>
    </w:p>
    <w:p>
      <w:pPr>
        <w:adjustRightInd w:val="0"/>
        <w:snapToGrid w:val="0"/>
        <w:spacing w:line="360" w:lineRule="auto"/>
        <w:jc w:val="left"/>
        <w:rPr>
          <w:rFonts w:ascii="宋体" w:hAnsi="宋体" w:cs="宋体"/>
          <w:sz w:val="24"/>
        </w:rPr>
      </w:pPr>
      <w:r>
        <w:rPr>
          <w:rFonts w:hint="eastAsia" w:ascii="宋体" w:hAnsi="宋体" w:cs="宋体"/>
          <w:sz w:val="24"/>
        </w:rPr>
        <w:t>乙方</w:t>
      </w:r>
      <w:r>
        <w:rPr>
          <w:rFonts w:hint="eastAsia" w:cs="宋体"/>
          <w:sz w:val="24"/>
        </w:rPr>
        <w:t>（受托方）</w:t>
      </w:r>
      <w:r>
        <w:rPr>
          <w:rFonts w:hint="eastAsia" w:ascii="宋体" w:hAnsi="宋体" w:cs="宋体"/>
          <w:sz w:val="24"/>
        </w:rPr>
        <w:t xml:space="preserve">：                             </w:t>
      </w:r>
    </w:p>
    <w:p>
      <w:pPr>
        <w:adjustRightInd w:val="0"/>
        <w:snapToGrid w:val="0"/>
        <w:spacing w:line="360" w:lineRule="auto"/>
        <w:jc w:val="left"/>
        <w:rPr>
          <w:rFonts w:ascii="宋体" w:hAnsi="宋体" w:cs="宋体"/>
          <w:sz w:val="24"/>
        </w:rPr>
      </w:pPr>
      <w:r>
        <w:rPr>
          <w:rFonts w:hint="eastAsia" w:ascii="宋体" w:hAnsi="宋体" w:cs="宋体"/>
          <w:sz w:val="24"/>
        </w:rPr>
        <w:t xml:space="preserve">地址：                                       </w:t>
      </w:r>
    </w:p>
    <w:p>
      <w:pPr>
        <w:adjustRightInd w:val="0"/>
        <w:snapToGrid w:val="0"/>
        <w:spacing w:line="360" w:lineRule="auto"/>
        <w:jc w:val="left"/>
        <w:rPr>
          <w:rFonts w:ascii="宋体" w:hAnsi="宋体" w:cs="宋体"/>
          <w:sz w:val="24"/>
        </w:rPr>
      </w:pPr>
      <w:r>
        <w:rPr>
          <w:rFonts w:hint="eastAsia" w:ascii="宋体" w:hAnsi="宋体" w:cs="宋体"/>
          <w:sz w:val="24"/>
        </w:rPr>
        <w:t xml:space="preserve">邮编：                                       </w:t>
      </w:r>
    </w:p>
    <w:p>
      <w:pPr>
        <w:adjustRightInd w:val="0"/>
        <w:snapToGrid w:val="0"/>
        <w:spacing w:line="360" w:lineRule="auto"/>
        <w:jc w:val="left"/>
        <w:rPr>
          <w:rFonts w:ascii="宋体" w:hAnsi="宋体" w:cs="宋体"/>
          <w:sz w:val="24"/>
        </w:rPr>
      </w:pPr>
      <w:r>
        <w:rPr>
          <w:rFonts w:hint="eastAsia" w:ascii="宋体" w:hAnsi="宋体" w:cs="宋体"/>
          <w:sz w:val="24"/>
        </w:rPr>
        <w:t xml:space="preserve">电话：                                       </w:t>
      </w:r>
    </w:p>
    <w:p>
      <w:pPr>
        <w:spacing w:after="124" w:afterLines="40"/>
        <w:rPr>
          <w:rFonts w:ascii="宋体" w:hAnsi="宋体" w:cs="宋体"/>
          <w:szCs w:val="21"/>
        </w:rPr>
      </w:pPr>
      <w:r>
        <w:rPr>
          <w:rFonts w:hint="eastAsia" w:ascii="宋体" w:hAnsi="宋体" w:cs="宋体"/>
          <w:sz w:val="24"/>
        </w:rPr>
        <w:t xml:space="preserve">传真：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根据《中华人民共和国民法典》及其它有关法律、法规、标准规范和招标文件要求，甲、乙双方本着平等、自愿、公平和诚实信用原则，就乙方</w:t>
      </w:r>
      <w:r>
        <w:rPr>
          <w:rFonts w:hint="eastAsia" w:ascii="宋体" w:hAnsi="宋体" w:cs="宋体"/>
          <w:szCs w:val="21"/>
          <w:lang w:eastAsia="zh-CN"/>
        </w:rPr>
        <w:t>为</w:t>
      </w:r>
      <w:r>
        <w:rPr>
          <w:rFonts w:hint="eastAsia" w:ascii="宋体" w:hAnsi="宋体" w:cs="宋体"/>
          <w:szCs w:val="21"/>
        </w:rPr>
        <w:t>甲方</w:t>
      </w:r>
      <w:r>
        <w:rPr>
          <w:rFonts w:hint="eastAsia" w:ascii="宋体" w:hAnsi="宋体" w:cs="宋体"/>
          <w:szCs w:val="21"/>
          <w:lang w:eastAsia="zh-CN"/>
        </w:rPr>
        <w:t>实施</w:t>
      </w:r>
      <w:r>
        <w:rPr>
          <w:rFonts w:hint="eastAsia" w:ascii="宋体" w:hAnsi="宋体" w:cs="宋体"/>
          <w:szCs w:val="21"/>
        </w:rPr>
        <w:t>深圳会展中心中压开关柜环网柜检修和耐压测试项目有关事宜，经协商达成一致，签订本合同。</w:t>
      </w:r>
    </w:p>
    <w:p>
      <w:pPr>
        <w:adjustRightInd w:val="0"/>
        <w:snapToGrid w:val="0"/>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第1条  项目概况</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1.1 项目名称：深圳会展中心中压开关柜环网柜检修和耐压测试项目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 项目地点：</w:t>
      </w:r>
      <w:r>
        <w:rPr>
          <w:rFonts w:hint="eastAsia" w:ascii="宋体" w:hAnsi="宋体" w:cs="宋体"/>
          <w:szCs w:val="21"/>
          <w:u w:val="single"/>
        </w:rPr>
        <w:t xml:space="preserve">深圳会展中心（深圳市福田区）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1.3 项目内容：根据电力设备预防性试验规程的相关要求，对会展中心80面高压柜、17面环网柜、54台微机保护装置进行试验，工程量详见附件。</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 xml:space="preserve">1.4 工期：自合同签订起 </w:t>
      </w:r>
      <w:r>
        <w:rPr>
          <w:rFonts w:hint="eastAsia" w:ascii="宋体" w:hAnsi="宋体" w:cs="宋体"/>
          <w:b/>
          <w:bCs/>
          <w:szCs w:val="21"/>
          <w:lang w:val="en-US" w:eastAsia="zh-CN"/>
        </w:rPr>
        <w:t>XX</w:t>
      </w:r>
      <w:r>
        <w:rPr>
          <w:rFonts w:hint="eastAsia" w:ascii="宋体" w:hAnsi="宋体" w:cs="宋体"/>
          <w:szCs w:val="21"/>
        </w:rPr>
        <w:t>个日历日。</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1.5 工程质量验收标准</w:t>
      </w:r>
      <w:r>
        <w:rPr>
          <w:rFonts w:hint="eastAsia" w:ascii="宋体" w:hAnsi="宋体" w:cs="宋体"/>
          <w:szCs w:val="21"/>
          <w:u w:val="single"/>
        </w:rPr>
        <w:t xml:space="preserve">：合格  </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1.6 合同价款（人民币大写） </w:t>
      </w:r>
      <w:r>
        <w:rPr>
          <w:rFonts w:hint="eastAsia" w:ascii="宋体" w:hAnsi="宋体" w:cs="宋体"/>
          <w:szCs w:val="21"/>
          <w:lang w:val="en-US" w:eastAsia="zh-CN"/>
        </w:rPr>
        <w:t>XXX</w:t>
      </w:r>
      <w:r>
        <w:rPr>
          <w:rFonts w:hint="eastAsia" w:ascii="宋体" w:hAnsi="宋体" w:cs="宋体"/>
          <w:szCs w:val="21"/>
          <w:u w:val="single"/>
        </w:rPr>
        <w:t>元整</w:t>
      </w:r>
      <w:r>
        <w:rPr>
          <w:rFonts w:hint="eastAsia" w:ascii="宋体" w:hAnsi="宋体" w:cs="宋体"/>
          <w:szCs w:val="21"/>
        </w:rPr>
        <w:t>（人民币小写）：¥</w:t>
      </w:r>
      <w:r>
        <w:rPr>
          <w:rFonts w:hint="eastAsia" w:ascii="宋体" w:hAnsi="宋体" w:cs="宋体"/>
          <w:szCs w:val="21"/>
          <w:u w:val="single"/>
        </w:rPr>
        <w:t xml:space="preserve"> </w:t>
      </w:r>
      <w:r>
        <w:rPr>
          <w:rFonts w:hint="eastAsia" w:ascii="宋体" w:hAnsi="宋体" w:cs="宋体"/>
          <w:szCs w:val="21"/>
          <w:u w:val="single"/>
          <w:lang w:val="en-US" w:eastAsia="zh-CN"/>
        </w:rPr>
        <w:t xml:space="preserve">XX </w:t>
      </w:r>
      <w:r>
        <w:rPr>
          <w:rFonts w:hint="eastAsia" w:ascii="宋体" w:hAnsi="宋体" w:cs="宋体"/>
          <w:szCs w:val="21"/>
        </w:rPr>
        <w:t>（含一切费用及税费）。</w:t>
      </w:r>
    </w:p>
    <w:p>
      <w:pPr>
        <w:adjustRightInd w:val="0"/>
        <w:snapToGrid w:val="0"/>
        <w:spacing w:line="360" w:lineRule="auto"/>
        <w:ind w:firstLine="105"/>
        <w:jc w:val="center"/>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第2条  双方工作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2.1  甲方工作</w:t>
      </w:r>
    </w:p>
    <w:p>
      <w:pPr>
        <w:spacing w:line="360" w:lineRule="auto"/>
        <w:ind w:right="-197" w:rightChars="-94" w:firstLine="420" w:firstLineChars="200"/>
        <w:rPr>
          <w:rFonts w:ascii="宋体" w:hAnsi="宋体" w:cs="宋体"/>
          <w:szCs w:val="21"/>
        </w:rPr>
      </w:pPr>
      <w:r>
        <w:rPr>
          <w:rFonts w:hint="eastAsia" w:ascii="宋体" w:hAnsi="宋体" w:cs="宋体"/>
          <w:szCs w:val="21"/>
        </w:rPr>
        <w:t>2.1.1 协助乙方办理</w:t>
      </w:r>
      <w:bookmarkStart w:id="60" w:name="_Hlk60728821"/>
      <w:r>
        <w:rPr>
          <w:rFonts w:hint="eastAsia" w:ascii="宋体" w:hAnsi="宋体" w:cs="宋体"/>
          <w:szCs w:val="21"/>
        </w:rPr>
        <w:t>检修</w:t>
      </w:r>
      <w:bookmarkEnd w:id="60"/>
      <w:r>
        <w:rPr>
          <w:rFonts w:hint="eastAsia" w:ascii="宋体" w:hAnsi="宋体" w:cs="宋体"/>
          <w:szCs w:val="21"/>
        </w:rPr>
        <w:t>所涉及的各种申请、批件等手续，协助乙方安装调试所需的电，协调做好通道、电梯、消防设备的使用和保护。</w:t>
      </w:r>
    </w:p>
    <w:p>
      <w:pPr>
        <w:spacing w:line="360" w:lineRule="auto"/>
        <w:ind w:firstLine="420" w:firstLineChars="200"/>
        <w:rPr>
          <w:rFonts w:ascii="宋体" w:hAnsi="宋体" w:cs="宋体"/>
          <w:szCs w:val="21"/>
        </w:rPr>
      </w:pPr>
      <w:r>
        <w:rPr>
          <w:rFonts w:hint="eastAsia" w:ascii="宋体" w:hAnsi="宋体" w:cs="宋体"/>
          <w:szCs w:val="21"/>
        </w:rPr>
        <w:t>2.1.2 协助乙方熟悉所涉及的电气电路，配合乙方完成需要的停电和通电操作。</w:t>
      </w:r>
    </w:p>
    <w:p>
      <w:pPr>
        <w:spacing w:line="360" w:lineRule="auto"/>
        <w:ind w:firstLine="420" w:firstLineChars="200"/>
        <w:rPr>
          <w:rFonts w:ascii="宋体" w:hAnsi="宋体" w:cs="宋体"/>
          <w:szCs w:val="21"/>
        </w:rPr>
      </w:pPr>
      <w:r>
        <w:rPr>
          <w:rFonts w:hint="eastAsia" w:ascii="宋体" w:hAnsi="宋体" w:cs="宋体"/>
          <w:szCs w:val="21"/>
        </w:rPr>
        <w:t>2.1.3 指派</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为项目对接人（</w:t>
      </w:r>
      <w:r>
        <w:rPr>
          <w:rFonts w:hint="eastAsia" w:ascii="宋体" w:hAnsi="宋体" w:cs="宋体"/>
          <w:szCs w:val="21"/>
          <w:u w:val="single"/>
        </w:rPr>
        <w:t>联系方式</w:t>
      </w:r>
      <w:r>
        <w:rPr>
          <w:rFonts w:hint="eastAsia" w:ascii="宋体" w:hAnsi="宋体" w:cs="宋体"/>
          <w:szCs w:val="21"/>
          <w:u w:val="single"/>
          <w:lang w:val="en-US" w:eastAsia="zh-CN"/>
        </w:rPr>
        <w:t xml:space="preserve">       </w:t>
      </w:r>
      <w:r>
        <w:rPr>
          <w:rFonts w:hint="eastAsia" w:ascii="宋体" w:hAnsi="宋体" w:cs="宋体"/>
          <w:szCs w:val="21"/>
        </w:rPr>
        <w:t>），负责对项目质量、进度进行监督检查，办理验收、变更、登记手续和其他事宜。</w:t>
      </w:r>
    </w:p>
    <w:p>
      <w:pPr>
        <w:spacing w:line="360" w:lineRule="auto"/>
        <w:ind w:firstLine="105"/>
        <w:rPr>
          <w:rFonts w:ascii="宋体" w:hAnsi="宋体" w:cs="宋体"/>
          <w:szCs w:val="21"/>
        </w:rPr>
      </w:pPr>
      <w:r>
        <w:rPr>
          <w:rFonts w:hint="eastAsia" w:ascii="宋体" w:hAnsi="宋体" w:cs="宋体"/>
          <w:szCs w:val="21"/>
        </w:rPr>
        <w:t xml:space="preserve">   2.1.4 监督质量及进度计划执行情况。</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2.2  乙方工作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2.2.1 收到中标通知书后，立即拟定检修方案和进度计划，交甲方审定，并着手开展检修准备工作。</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2.2.2 严格执行相关安装规范、室内环境污染控制规范、安全操作规程、防火安全规定、环境保护规定。严格按照图纸或作法说明进行，做好各项质量检查记录。</w:t>
      </w:r>
      <w:r>
        <w:rPr>
          <w:rFonts w:hint="eastAsia" w:ascii="宋体" w:hAnsi="宋体"/>
          <w:szCs w:val="21"/>
        </w:rPr>
        <w:t>乙方承诺具备真实合法有效相关资质，按照国家和政府关于安全施工的有关规定以及国家的相关技术标准，进行标的物施工，并采取严格、科学的安全防护措施，确保设备安全和第三者的安全，自行承担由于自身安全措施防护不当造成事故的全部责任及损失赔偿，因乙方原因导致发生意外事故的，与甲方无关</w:t>
      </w:r>
      <w:r>
        <w:rPr>
          <w:rFonts w:hint="eastAsia" w:ascii="宋体" w:hAnsi="宋体"/>
          <w:szCs w:val="21"/>
          <w:highlight w:val="none"/>
        </w:rPr>
        <w:t>，造成甲方损失的，甲方有权向乙方进行全额追索。乙方开始设备安装调试前应自行检查确</w:t>
      </w:r>
      <w:r>
        <w:rPr>
          <w:rFonts w:hint="eastAsia" w:ascii="宋体" w:hAnsi="宋体"/>
          <w:szCs w:val="21"/>
        </w:rPr>
        <w:t>认环境安全，安全防护措施到位。</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2.2.3 指派</w:t>
      </w:r>
      <w:r>
        <w:rPr>
          <w:rFonts w:hint="eastAsia" w:ascii="宋体" w:hAnsi="宋体" w:cs="宋体"/>
          <w:szCs w:val="21"/>
          <w:u w:val="single"/>
        </w:rPr>
        <w:t xml:space="preserve">           </w:t>
      </w:r>
      <w:r>
        <w:rPr>
          <w:rFonts w:hint="eastAsia" w:ascii="宋体" w:hAnsi="宋体" w:cs="宋体"/>
          <w:szCs w:val="21"/>
        </w:rPr>
        <w:t>为施工负责人</w:t>
      </w:r>
      <w:r>
        <w:rPr>
          <w:rFonts w:hint="eastAsia" w:ascii="宋体" w:hAnsi="宋体" w:cs="宋体"/>
          <w:szCs w:val="21"/>
          <w:u w:val="single"/>
        </w:rPr>
        <w:t>（联系方式：      ）</w:t>
      </w:r>
      <w:r>
        <w:rPr>
          <w:rFonts w:hint="eastAsia" w:ascii="宋体" w:hAnsi="宋体" w:cs="宋体"/>
          <w:szCs w:val="21"/>
        </w:rPr>
        <w:t xml:space="preserve">，负责履行合同，组织安装，按期保质保量完成任务，解决由乙方负责的各项事宜。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2.2.4 乙方有义务按甲方的要求办理相关的进场手续，遵守甲方相关管理规定，保证施工安全。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2.2.5 乙方有义务事先告知甲方未知的在本项目设计或甲方指令中存在的问题或缺陷，避免造成项目损失。</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2.2.6 安装中涉及需要拆改原设备管线的，乙方应当向甲方提出意见。甲方未办理相关审批手续或未经甲方代表书面同意，乙方不得拆改原设备管线，否则，由此造成的事故或发生的损失（包括罚款），由乙方负责并承担。</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2.2.7 乙方应当妥善保护好现场周围建筑物、设备管线等不受破坏，做好现场保卫和垃圾清运等工作。</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2.2.8 乙方在项目施工中应妥善保护场地内外的甲方项目成品。项目竣工之前，负责对甲方现场的一切设施和工程成品进行保护。</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2.2.9 所有安装调试、材料进出等不得影响甲方正常经营生产。</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2.2.10 参加竣工验收。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2.2.11未经甲方书面同意，不得转包、分包。</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szCs w:val="21"/>
        </w:rPr>
      </w:pPr>
      <w:r>
        <w:rPr>
          <w:rFonts w:hint="eastAsia" w:ascii="宋体" w:hAnsi="宋体" w:cs="宋体"/>
          <w:b/>
          <w:szCs w:val="21"/>
        </w:rPr>
        <w:t>第3条  工期要求</w:t>
      </w:r>
    </w:p>
    <w:p>
      <w:pPr>
        <w:spacing w:line="360" w:lineRule="auto"/>
        <w:ind w:firstLine="420" w:firstLineChars="200"/>
        <w:rPr>
          <w:rFonts w:ascii="宋体" w:hAnsi="宋体" w:cs="宋体"/>
          <w:szCs w:val="21"/>
        </w:rPr>
      </w:pPr>
      <w:r>
        <w:rPr>
          <w:rFonts w:hint="eastAsia" w:ascii="宋体" w:hAnsi="宋体" w:cs="宋体"/>
          <w:szCs w:val="21"/>
        </w:rPr>
        <w:t>3.1 工期按本合同1.4执行。乙方应按照本合同约定的工期和招标文件要求、投标文件承诺按期完工。</w:t>
      </w:r>
    </w:p>
    <w:p>
      <w:pPr>
        <w:spacing w:line="360" w:lineRule="auto"/>
        <w:ind w:firstLine="105"/>
        <w:rPr>
          <w:rFonts w:ascii="宋体" w:hAnsi="宋体" w:cs="宋体"/>
          <w:szCs w:val="21"/>
        </w:rPr>
      </w:pPr>
      <w:r>
        <w:rPr>
          <w:rFonts w:hint="eastAsia" w:ascii="宋体" w:hAnsi="宋体" w:cs="宋体"/>
          <w:szCs w:val="21"/>
        </w:rPr>
        <w:t xml:space="preserve">   3.2 因乙方责任，不能按期开工或中途无故停工，影响工期，工期不顺延。</w:t>
      </w:r>
    </w:p>
    <w:p>
      <w:pPr>
        <w:spacing w:line="360" w:lineRule="auto"/>
        <w:ind w:firstLine="105"/>
        <w:rPr>
          <w:rFonts w:ascii="宋体" w:hAnsi="宋体" w:cs="宋体"/>
          <w:szCs w:val="21"/>
        </w:rPr>
      </w:pPr>
      <w:r>
        <w:rPr>
          <w:rFonts w:hint="eastAsia" w:ascii="宋体" w:hAnsi="宋体" w:cs="宋体"/>
          <w:szCs w:val="21"/>
        </w:rPr>
        <w:t xml:space="preserve">   3.3 由于项目质量原因返工，工期不顺延。</w:t>
      </w:r>
    </w:p>
    <w:p>
      <w:pPr>
        <w:spacing w:line="360" w:lineRule="auto"/>
        <w:ind w:firstLine="105"/>
        <w:rPr>
          <w:rFonts w:ascii="宋体" w:hAnsi="宋体" w:cs="宋体"/>
          <w:szCs w:val="21"/>
        </w:rPr>
      </w:pPr>
      <w:r>
        <w:rPr>
          <w:rFonts w:hint="eastAsia" w:ascii="宋体" w:hAnsi="宋体" w:cs="宋体"/>
          <w:szCs w:val="21"/>
        </w:rPr>
        <w:t xml:space="preserve">   3.4 因乙方预算少算、漏报所产生的增加项目，导致工期延误，工期不顺延。</w:t>
      </w:r>
    </w:p>
    <w:p>
      <w:pPr>
        <w:spacing w:line="360" w:lineRule="auto"/>
        <w:ind w:firstLine="420" w:firstLineChars="200"/>
        <w:rPr>
          <w:rFonts w:ascii="宋体" w:hAnsi="宋体" w:cs="宋体"/>
          <w:szCs w:val="21"/>
        </w:rPr>
      </w:pPr>
      <w:r>
        <w:rPr>
          <w:rFonts w:hint="eastAsia" w:ascii="宋体" w:hAnsi="宋体" w:cs="宋体"/>
          <w:szCs w:val="21"/>
        </w:rPr>
        <w:t>3.5 非乙方原因造成的停电及不可抗力等因素影响，导致停工8小时以上（一周内累计计算），工期相应顺延。</w:t>
      </w:r>
    </w:p>
    <w:p>
      <w:pPr>
        <w:spacing w:line="360" w:lineRule="auto"/>
        <w:ind w:firstLine="420" w:firstLineChars="200"/>
        <w:rPr>
          <w:rFonts w:ascii="宋体" w:hAnsi="宋体" w:cs="宋体"/>
          <w:szCs w:val="21"/>
        </w:rPr>
      </w:pPr>
      <w:r>
        <w:rPr>
          <w:rFonts w:hint="eastAsia" w:ascii="宋体" w:hAnsi="宋体" w:cs="宋体"/>
          <w:szCs w:val="21"/>
        </w:rPr>
        <w:t>3.6 乙方须充分考虑甲方正常经营生产可能对项目施工造成的影响，要调配足够的人力、物力，合理安排好检修作业时间，确保如期完工。</w:t>
      </w:r>
    </w:p>
    <w:p>
      <w:pPr>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第4条 材料设备的供应</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4.1 乙方供应的材料，经甲方验收后，由乙方负责保管，由于乙方保管不当或施工不当造成的损失，由乙方负责。</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4.2 材料、设备进场时，乙方应负责提供材料、设备的合格证明。若材料、设备不符合质量要求或规格出现差异，乙方应承担责任及由此发生的费用。</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4.3 乙方采购的材料均应当符合国家强制性文件要求。如乙方采购的材料不符要求，由乙方承担相应责任。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4.4 如由甲方供应的材料，乙方有义务事先告知甲方准确的材料用量。</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第5条  项目变更</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5.1 甲方变更设计，应在该项检修前7天向乙方发出书面通知。</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5.2 所有的设计变更和工程量增减，甲方应当办理签字确认手续，以作为费用调整依据，否则甲方有权拒付相关变更或增加费用。</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5.3 因甲方设计变更，造成乙方返工费用和相应损失均由甲方承担。</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5.4 由于设计变更，造成乙方材料积压，由双方协商处理。</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5.5 乙方按变更通知进行变更，并于7天内或双方认可的时间内向甲方提出变更价款的完整资料。甲方收到变更价款报告后7天内或双方认可的时间内予以签认或提出异议。</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5.6 乙方接到变更通知后，可按下列方法提出变更价款，送甲方同意后调整合同价款：</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5.6.1 合同附件的预算书中已有适用于变更项目单价的，按已有项目单价调整合同价款；</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5.6.2 合同附件的预算书中只有类似于变更项目单价的，可以参照类似项目单价确定变更项目单价，调整合同价款；</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5.6.3 合同附件的预算书中没有适用或类似变更项目单价的，按标底的编制方法同比例下浮后确定变更项目单价，调整合同价款。</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5.7 乙方根据现场实际情况提出合理建议，涉及到变更设计和对原定材料的更换，以及增加工程量，必须经甲方同意，并签字确认。未经甲方签字，乙方擅自变更设计或对原定材料更换，或增加工程量，甲方不予认可，由此造成的损失由乙方承担。</w:t>
      </w:r>
    </w:p>
    <w:p>
      <w:pPr>
        <w:adjustRightInd w:val="0"/>
        <w:snapToGrid w:val="0"/>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第6条  项目质量检验及验收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6.1本质量评定验收标准的依据：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6.1.1 项目相关的国家标准规范，包括不限于</w:t>
      </w:r>
      <w:r>
        <w:rPr>
          <w:rFonts w:hint="eastAsia" w:ascii="宋体" w:cs="宋体"/>
          <w:szCs w:val="21"/>
        </w:rPr>
        <w:t>《电力设备预防性试验规程》DL/T 596-2021。《电气装置安装工程高压电器施工及验收规范》GB 50147-2010。《继电保护和安全自动装置技术规程》GB/T 14285-2006。</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6.1.2 施工图纸、作法说明、设计变更；</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6.1.3 本项目招标文件要求和乙方投标文件承诺。</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6.2 甲乙双方应及时办理隐蔽工程和中间工程的检查与验收手续。当项目具备覆盖、遮盖条件或达到中间验收标准（如水管及电线管的凿槽暗敷恢复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pPr>
        <w:spacing w:line="360" w:lineRule="auto"/>
        <w:ind w:firstLine="105"/>
        <w:rPr>
          <w:rFonts w:ascii="宋体" w:hAnsi="宋体" w:cs="宋体"/>
          <w:szCs w:val="21"/>
        </w:rPr>
      </w:pPr>
      <w:r>
        <w:rPr>
          <w:rFonts w:hint="eastAsia" w:ascii="宋体" w:hAnsi="宋体" w:cs="宋体"/>
          <w:szCs w:val="21"/>
        </w:rPr>
        <w:t xml:space="preserve">   6.3 因乙方提供的材料、设备质量不合格而影响项目质量，由此造成的全部损失由乙方承担；因乙方施工质量问题造成材料、设备的损坏，其全部损失由乙方承担。</w:t>
      </w:r>
    </w:p>
    <w:p>
      <w:pPr>
        <w:spacing w:line="360" w:lineRule="auto"/>
        <w:ind w:firstLine="105"/>
        <w:rPr>
          <w:rFonts w:ascii="宋体" w:hAnsi="宋体" w:cs="宋体"/>
          <w:szCs w:val="21"/>
        </w:rPr>
      </w:pPr>
      <w:r>
        <w:rPr>
          <w:rFonts w:hint="eastAsia" w:ascii="宋体" w:hAnsi="宋体" w:cs="宋体"/>
          <w:szCs w:val="21"/>
        </w:rPr>
        <w:t xml:space="preserve">   6.4 项目竣工后，乙方应通知甲方验收，甲方自接到验收通知</w:t>
      </w:r>
      <w:r>
        <w:rPr>
          <w:rFonts w:hint="eastAsia" w:ascii="宋体" w:hAnsi="宋体" w:cs="宋体"/>
          <w:szCs w:val="21"/>
          <w:u w:val="single"/>
        </w:rPr>
        <w:t xml:space="preserve"> 7 </w:t>
      </w:r>
      <w:r>
        <w:rPr>
          <w:rFonts w:hint="eastAsia" w:ascii="宋体" w:hAnsi="宋体" w:cs="宋体"/>
          <w:szCs w:val="21"/>
        </w:rPr>
        <w:t>日内组织验收，如甲方在规定时间内不能组织验收，需及时通知乙方，另定验收日期。</w:t>
      </w:r>
    </w:p>
    <w:p>
      <w:pPr>
        <w:spacing w:line="360" w:lineRule="auto"/>
        <w:ind w:firstLine="105"/>
        <w:rPr>
          <w:rFonts w:ascii="宋体" w:hAnsi="宋体" w:cs="宋体"/>
          <w:szCs w:val="21"/>
        </w:rPr>
      </w:pPr>
      <w:r>
        <w:rPr>
          <w:rFonts w:hint="eastAsia" w:ascii="宋体" w:hAnsi="宋体" w:cs="宋体"/>
          <w:szCs w:val="21"/>
        </w:rPr>
        <w:t xml:space="preserve">   6.5 项目质量验收不合格，经整改后，另行验收，整改费用由乙方承担。整改后仍不合格，甲方可要求乙方继续整改，整改费用由乙方承担，也可要求乙方离场并赔偿不合格项目的损失。</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6.6 在项目质量验收后，双方办理书面验收手续。</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第7条 合同价款及支付</w:t>
      </w:r>
    </w:p>
    <w:p>
      <w:pPr>
        <w:spacing w:line="360" w:lineRule="auto"/>
        <w:ind w:firstLine="105"/>
        <w:rPr>
          <w:rFonts w:ascii="宋体" w:hAnsi="宋体" w:cs="宋体"/>
          <w:szCs w:val="21"/>
        </w:rPr>
      </w:pPr>
      <w:r>
        <w:rPr>
          <w:rFonts w:hint="eastAsia" w:ascii="宋体" w:hAnsi="宋体" w:cs="宋体"/>
          <w:szCs w:val="21"/>
        </w:rPr>
        <w:t xml:space="preserve">   7.1 双方商定本合同价采用下列第</w:t>
      </w:r>
      <w:r>
        <w:rPr>
          <w:rFonts w:hint="eastAsia" w:ascii="宋体" w:hAnsi="宋体" w:cs="宋体"/>
          <w:szCs w:val="21"/>
          <w:u w:val="single"/>
        </w:rPr>
        <w:t xml:space="preserve">  7.1.1</w:t>
      </w:r>
      <w:r>
        <w:rPr>
          <w:rFonts w:hint="eastAsia" w:ascii="宋体" w:hAnsi="宋体" w:cs="宋体"/>
          <w:szCs w:val="21"/>
        </w:rPr>
        <w:t>种方式。</w:t>
      </w:r>
    </w:p>
    <w:p>
      <w:pPr>
        <w:spacing w:line="360" w:lineRule="auto"/>
        <w:ind w:firstLine="105"/>
        <w:rPr>
          <w:rFonts w:ascii="宋体" w:hAnsi="宋体" w:cs="宋体"/>
          <w:szCs w:val="21"/>
        </w:rPr>
      </w:pPr>
      <w:r>
        <w:rPr>
          <w:rFonts w:hint="eastAsia" w:ascii="宋体" w:hAnsi="宋体" w:cs="宋体"/>
          <w:szCs w:val="21"/>
        </w:rPr>
        <w:t xml:space="preserve">   7.1.1 固定总价合同，即承包范围内此价格已涵盖全部费用，结算时除变更项目外不做任何调整。变更工程价款的确定，参照本合同第5条项下约定执行。</w:t>
      </w:r>
    </w:p>
    <w:p>
      <w:pPr>
        <w:spacing w:line="360" w:lineRule="auto"/>
        <w:ind w:firstLine="420" w:firstLineChars="200"/>
        <w:rPr>
          <w:rFonts w:ascii="宋体" w:hAnsi="宋体" w:cs="宋体"/>
          <w:szCs w:val="21"/>
        </w:rPr>
      </w:pPr>
      <w:r>
        <w:rPr>
          <w:rFonts w:hint="eastAsia" w:ascii="宋体" w:hAnsi="宋体" w:cs="宋体"/>
          <w:szCs w:val="21"/>
        </w:rPr>
        <w:t>7.1.2 固定单价合同，即项目结算时，工程量根据双方招标清单中确认的计量方式按实结算，承包范围内的项目单价按照中标价不作任何调整。变更项目价款的确定，参照本合同5.6条款的约定执行。</w:t>
      </w:r>
    </w:p>
    <w:p>
      <w:pPr>
        <w:spacing w:line="360" w:lineRule="auto"/>
        <w:ind w:firstLine="420" w:firstLineChars="200"/>
        <w:rPr>
          <w:rFonts w:ascii="宋体" w:hAnsi="宋体" w:cs="宋体"/>
          <w:szCs w:val="21"/>
        </w:rPr>
      </w:pPr>
      <w:r>
        <w:rPr>
          <w:rFonts w:hint="eastAsia" w:ascii="宋体" w:hAnsi="宋体" w:cs="宋体"/>
          <w:szCs w:val="21"/>
        </w:rPr>
        <w:t>7.1.3 可调单价合同，结算时按第三方造价咨询公司审核的价格为最终结算价。</w:t>
      </w:r>
    </w:p>
    <w:p>
      <w:pPr>
        <w:spacing w:line="360" w:lineRule="auto"/>
        <w:ind w:firstLine="420" w:firstLineChars="200"/>
        <w:rPr>
          <w:rFonts w:ascii="宋体" w:hAnsi="宋体" w:cs="宋体"/>
          <w:szCs w:val="21"/>
        </w:rPr>
      </w:pPr>
      <w:r>
        <w:rPr>
          <w:rFonts w:hint="eastAsia" w:ascii="宋体" w:hAnsi="宋体" w:cs="宋体"/>
          <w:szCs w:val="21"/>
        </w:rPr>
        <w:t>7.2 本项目合同价总额为乙方中标价，按本合同1.7执行。</w:t>
      </w:r>
    </w:p>
    <w:p>
      <w:pPr>
        <w:spacing w:line="360" w:lineRule="auto"/>
        <w:ind w:firstLine="420" w:firstLineChars="200"/>
        <w:rPr>
          <w:rFonts w:ascii="宋体" w:hAnsi="宋体" w:cs="宋体"/>
          <w:szCs w:val="21"/>
        </w:rPr>
      </w:pPr>
      <w:r>
        <w:rPr>
          <w:rFonts w:hint="eastAsia" w:ascii="宋体" w:hAnsi="宋体" w:cs="宋体"/>
          <w:szCs w:val="21"/>
        </w:rPr>
        <w:t>7.3双方约定，项目整体竣工经甲方书面验收合格，并在收到乙方开具的等额发票后支付合同总金额的97%，剩余3%合同金额留作质量保修金。质量保修期满后，完成违约责任清算后一次性支付剩余质量保修金（不计利息）。</w:t>
      </w:r>
    </w:p>
    <w:p>
      <w:pPr>
        <w:spacing w:line="360" w:lineRule="auto"/>
        <w:ind w:firstLine="420" w:firstLineChars="200"/>
        <w:rPr>
          <w:rFonts w:ascii="宋体" w:hAnsi="宋体" w:cs="宋体"/>
          <w:szCs w:val="21"/>
        </w:rPr>
      </w:pPr>
      <w:r>
        <w:rPr>
          <w:rFonts w:hint="eastAsia" w:ascii="宋体" w:hAnsi="宋体" w:cs="宋体"/>
          <w:szCs w:val="21"/>
        </w:rPr>
        <w:t>7.4 甲方付款前乙方应按项目款全额向甲方开具真实合法有效的增值税发票。</w:t>
      </w:r>
    </w:p>
    <w:p>
      <w:pPr>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第8条  索赔</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8.1 甲方未按合同约定提供检修所需条件、支付工程款、顺延工期或其他非乙方原因造成乙方经济损失，乙方可依照合同有关条款进行索赔。</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8.2 乙方未按合同约定履行义务或未全面履行合同约定的全部义务而造成甲方损失，甲方可依照合同有关条款进行索赔，赔偿范围包括实际损失及诉讼费用、律师费、保全费、公证费、鉴定费等维权费用。</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8.3 索赔程序</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8.3.1 索赔方知晓索赔事件发生</w:t>
      </w:r>
      <w:r>
        <w:rPr>
          <w:rFonts w:hint="eastAsia" w:ascii="宋体" w:hAnsi="宋体" w:cs="宋体"/>
          <w:szCs w:val="21"/>
          <w:u w:val="single"/>
        </w:rPr>
        <w:t xml:space="preserve"> 7  </w:t>
      </w:r>
      <w:r>
        <w:rPr>
          <w:rFonts w:hint="eastAsia" w:ascii="宋体" w:hAnsi="宋体" w:cs="宋体"/>
          <w:szCs w:val="21"/>
        </w:rPr>
        <w:t>天内，索赔方向被索赔方发出要求索赔的通知书；</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8.3.2 索赔方在发出索赔意向通知书后</w:t>
      </w:r>
      <w:r>
        <w:rPr>
          <w:rFonts w:hint="eastAsia" w:ascii="宋体" w:hAnsi="宋体" w:cs="宋体"/>
          <w:szCs w:val="21"/>
          <w:u w:val="single"/>
        </w:rPr>
        <w:t xml:space="preserve">  7 </w:t>
      </w:r>
      <w:r>
        <w:rPr>
          <w:rFonts w:hint="eastAsia" w:ascii="宋体" w:hAnsi="宋体" w:cs="宋体"/>
          <w:szCs w:val="21"/>
        </w:rPr>
        <w:t>天内，向被索赔方提交全部和详细的索赔资料；</w:t>
      </w:r>
    </w:p>
    <w:p>
      <w:pPr>
        <w:adjustRightInd w:val="0"/>
        <w:snapToGrid w:val="0"/>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第9条  安全和防火</w:t>
      </w:r>
    </w:p>
    <w:p>
      <w:pPr>
        <w:spacing w:line="360" w:lineRule="auto"/>
        <w:ind w:firstLine="105"/>
        <w:rPr>
          <w:rFonts w:ascii="宋体" w:hAnsi="宋体" w:cs="宋体"/>
          <w:szCs w:val="21"/>
        </w:rPr>
      </w:pPr>
      <w:r>
        <w:rPr>
          <w:rFonts w:hint="eastAsia" w:ascii="宋体" w:hAnsi="宋体" w:cs="宋体"/>
          <w:szCs w:val="21"/>
        </w:rPr>
        <w:t xml:space="preserve">   9.1 乙方提供的施工图纸或作法说明，应符合《中华人民共和国消防法》和有关防火设计规范。</w:t>
      </w:r>
    </w:p>
    <w:p>
      <w:pPr>
        <w:spacing w:line="360" w:lineRule="auto"/>
        <w:ind w:firstLine="420" w:firstLineChars="200"/>
        <w:rPr>
          <w:rFonts w:ascii="宋体" w:hAnsi="宋体" w:cs="宋体"/>
          <w:szCs w:val="21"/>
        </w:rPr>
      </w:pPr>
      <w:r>
        <w:rPr>
          <w:rFonts w:hint="eastAsia" w:ascii="宋体" w:hAnsi="宋体" w:cs="宋体"/>
          <w:szCs w:val="21"/>
        </w:rPr>
        <w:t>9.2 乙方在施工期间应严格遵守《建筑安装工程安全技术规程》、《建筑安装工程安全操作规程》、《中华人民共和国消防法》及其它相关的法规、规范，对施工区域做好安全围护或隔离。乙方在本项目检修过程中，自行承担一切因违反有关安全操作规程导致的安全责任和经济损失（包括因施工造成对第三方的伤害）。如有上述意外发生，均与甲方无关。甲方先行承担责任的，有权事后向乙方全额追偿。</w:t>
      </w:r>
    </w:p>
    <w:p>
      <w:pPr>
        <w:spacing w:line="360" w:lineRule="auto"/>
        <w:ind w:firstLine="420" w:firstLineChars="200"/>
        <w:rPr>
          <w:rFonts w:ascii="宋体" w:hAnsi="宋体" w:cs="宋体"/>
          <w:szCs w:val="21"/>
        </w:rPr>
      </w:pPr>
      <w:r>
        <w:rPr>
          <w:rFonts w:hint="eastAsia" w:ascii="宋体" w:hAnsi="宋体" w:cs="宋体"/>
          <w:szCs w:val="21"/>
        </w:rPr>
        <w:t>9.3 乙方在施工期间应严格遵守深圳会展中心管理有限责任公司规定，因乙方在施工过程中违反有关安全操作规程和消防法，导致发生安全事故或火灾，乙方承担由此引发的一切责任和经济损失</w:t>
      </w:r>
      <w:bookmarkStart w:id="61" w:name="_Hlk85559569"/>
      <w:r>
        <w:rPr>
          <w:rFonts w:hint="eastAsia" w:ascii="宋体" w:hAnsi="宋体" w:cs="宋体"/>
          <w:szCs w:val="21"/>
        </w:rPr>
        <w:t>，造成甲方损失的应予赔偿（损失包括实际损失及诉讼费用、律师费、公证费、鉴定费等维权费用）</w:t>
      </w:r>
      <w:bookmarkEnd w:id="61"/>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9.4 乙方应确保乙方人员进场施工前已完成相关培训并取得相关资格证书，并应确保已为乙方人员购买相应保险。乙方在施工过程中应采取符合国家相关规定的安全保障措施，如施工过程中发生任何人员伤亡事故均与甲方无关。</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第10条  违约责任</w:t>
      </w:r>
    </w:p>
    <w:p>
      <w:pPr>
        <w:spacing w:line="360" w:lineRule="auto"/>
        <w:ind w:firstLine="105"/>
        <w:rPr>
          <w:rFonts w:ascii="宋体" w:hAnsi="宋体" w:cs="宋体"/>
          <w:szCs w:val="21"/>
        </w:rPr>
      </w:pPr>
      <w:r>
        <w:rPr>
          <w:rFonts w:hint="eastAsia" w:ascii="宋体" w:hAnsi="宋体" w:cs="宋体"/>
          <w:szCs w:val="21"/>
        </w:rPr>
        <w:t xml:space="preserve">   10.1 甲方或乙方未按本协议条款约定内容履行自己的各项义务致使合同无法履行，应承担相应的违约责任，包括支付违约金，赔偿因其违约给对方造成的损失，赔偿范围包括实际损失及维权费用（包括但不仅限于律师费、诉讼费、公证费、鉴定费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10.2 由于乙方自身原因，导致延迟检修进度计划或逾期竣工，每延迟或逾期一天，乙方支付甲方人民币</w:t>
      </w:r>
      <w:r>
        <w:rPr>
          <w:rFonts w:hint="eastAsia" w:ascii="宋体" w:hAnsi="宋体" w:cs="宋体"/>
          <w:b/>
          <w:i/>
          <w:szCs w:val="21"/>
          <w:u w:val="single"/>
        </w:rPr>
        <w:t xml:space="preserve"> </w:t>
      </w:r>
      <w:r>
        <w:rPr>
          <w:rFonts w:ascii="宋体" w:hAnsi="宋体" w:cs="宋体"/>
          <w:bCs/>
          <w:iCs/>
          <w:szCs w:val="21"/>
          <w:u w:val="single"/>
        </w:rPr>
        <w:t>2000</w:t>
      </w:r>
      <w:r>
        <w:rPr>
          <w:rFonts w:hint="eastAsia" w:ascii="宋体" w:hAnsi="宋体" w:cs="宋体"/>
          <w:bCs/>
          <w:iCs/>
          <w:szCs w:val="21"/>
          <w:u w:val="single"/>
        </w:rPr>
        <w:t xml:space="preserve"> </w:t>
      </w:r>
      <w:r>
        <w:rPr>
          <w:rFonts w:hint="eastAsia" w:ascii="宋体" w:hAnsi="宋体" w:cs="宋体"/>
          <w:szCs w:val="21"/>
        </w:rPr>
        <w:t>元作为违约金，延迟15天以上的，甲方有权解除合同，要求乙方无条件离场并无需支付乙方费用。</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第11条  保修条款</w:t>
      </w:r>
    </w:p>
    <w:p>
      <w:pPr>
        <w:spacing w:line="360" w:lineRule="auto"/>
        <w:ind w:firstLine="105"/>
        <w:rPr>
          <w:rFonts w:ascii="宋体" w:hAnsi="宋体" w:cs="宋体"/>
          <w:szCs w:val="21"/>
        </w:rPr>
      </w:pPr>
      <w:r>
        <w:rPr>
          <w:rFonts w:hint="eastAsia" w:ascii="宋体" w:hAnsi="宋体" w:cs="宋体"/>
          <w:szCs w:val="21"/>
        </w:rPr>
        <w:t xml:space="preserve">   11.1本工程保修责任期（质量保修期）自竣工验收合格之日起</w:t>
      </w:r>
      <w:r>
        <w:rPr>
          <w:rFonts w:hint="eastAsia" w:ascii="宋体" w:hAnsi="宋体" w:cs="宋体"/>
          <w:szCs w:val="21"/>
          <w:u w:val="single"/>
          <w:lang w:val="en-US" w:eastAsia="zh-CN"/>
        </w:rPr>
        <w:t>X</w:t>
      </w:r>
      <w:r>
        <w:rPr>
          <w:rFonts w:hint="eastAsia" w:ascii="宋体" w:hAnsi="宋体" w:cs="宋体"/>
          <w:szCs w:val="21"/>
          <w:u w:val="single"/>
        </w:rPr>
        <w:t>年</w:t>
      </w:r>
      <w:r>
        <w:rPr>
          <w:rFonts w:hint="eastAsia" w:ascii="宋体" w:hAnsi="宋体" w:cs="宋体"/>
          <w:szCs w:val="21"/>
        </w:rPr>
        <w:t>。</w:t>
      </w:r>
    </w:p>
    <w:p>
      <w:pPr>
        <w:spacing w:line="360" w:lineRule="auto"/>
        <w:ind w:firstLine="105"/>
        <w:rPr>
          <w:rFonts w:ascii="宋体" w:hAnsi="宋体" w:cs="宋体"/>
          <w:szCs w:val="21"/>
        </w:rPr>
      </w:pPr>
      <w:r>
        <w:rPr>
          <w:rFonts w:hint="eastAsia" w:ascii="宋体" w:hAnsi="宋体" w:cs="宋体"/>
          <w:szCs w:val="21"/>
        </w:rPr>
        <w:t xml:space="preserve">   11.2 质量保修期内乙方保修范围为乙方施工的工程项目。</w:t>
      </w:r>
    </w:p>
    <w:p>
      <w:pPr>
        <w:spacing w:line="360" w:lineRule="auto"/>
        <w:ind w:firstLine="105"/>
        <w:rPr>
          <w:rFonts w:ascii="宋体" w:hAnsi="宋体" w:cs="宋体"/>
          <w:szCs w:val="21"/>
        </w:rPr>
      </w:pPr>
      <w:r>
        <w:rPr>
          <w:rFonts w:hint="eastAsia" w:ascii="宋体" w:hAnsi="宋体" w:cs="宋体"/>
          <w:szCs w:val="21"/>
        </w:rPr>
        <w:t xml:space="preserve">   11.3 质量保修期内因施工质量问题和乙方提供材料原因造成的损坏，由乙方保修。</w:t>
      </w:r>
    </w:p>
    <w:p>
      <w:pPr>
        <w:spacing w:line="360" w:lineRule="auto"/>
        <w:ind w:firstLine="105"/>
        <w:rPr>
          <w:rFonts w:ascii="宋体" w:hAnsi="宋体" w:cs="宋体"/>
          <w:szCs w:val="21"/>
        </w:rPr>
      </w:pPr>
      <w:r>
        <w:rPr>
          <w:rFonts w:hint="eastAsia" w:ascii="宋体" w:hAnsi="宋体" w:cs="宋体"/>
          <w:szCs w:val="21"/>
        </w:rPr>
        <w:t xml:space="preserve">   11.4 由于甲方提供的材料质量问题、人为造成的损坏和不可避免因素造成的损坏，不在乙方保修范围内。</w:t>
      </w:r>
    </w:p>
    <w:p>
      <w:pPr>
        <w:spacing w:line="360" w:lineRule="auto"/>
        <w:ind w:firstLine="420" w:firstLineChars="200"/>
        <w:rPr>
          <w:rFonts w:ascii="宋体" w:hAnsi="宋体" w:cs="宋体"/>
          <w:szCs w:val="21"/>
        </w:rPr>
      </w:pPr>
      <w:r>
        <w:rPr>
          <w:rFonts w:hint="eastAsia" w:ascii="宋体" w:hAnsi="宋体" w:cs="宋体"/>
          <w:szCs w:val="21"/>
        </w:rPr>
        <w:t>11.5 在质量保修期内，乙方工程质量原因造成的其它财产损失，由乙方按当时市场价格全额赔偿。</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11.6 质量保修期内，乙方在全天</w:t>
      </w:r>
      <w:r>
        <w:rPr>
          <w:rFonts w:hint="eastAsia" w:ascii="宋体" w:hAnsi="宋体" w:cs="宋体"/>
          <w:szCs w:val="21"/>
          <w:u w:val="single"/>
          <w:lang w:val="en-US" w:eastAsia="zh-CN"/>
        </w:rPr>
        <w:t xml:space="preserve">   </w:t>
      </w:r>
      <w:r>
        <w:rPr>
          <w:rFonts w:hint="eastAsia" w:ascii="宋体" w:hAnsi="宋体" w:cs="宋体"/>
          <w:szCs w:val="21"/>
        </w:rPr>
        <w:t>小时内电话响应，并在接到报障电话后，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小时之内到达现场进行服务。如故障非乙方原因，乙方仅收取材料成本费用，人工免费。如故障为乙方原因，乙方无偿更换或修理有问题的设备、零部件、材料，提供免费服务；质量保修期内发生非乙方原因引起的与设备、零部件、材料有关的问题时, 乙方在收到用户通知后4小时内派遣相关人员到达现场进行维修和必要的更换，乙方只向甲方收取零配件和人工等成本费。</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第12条  争议</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12.1 本合同在履行期间，双方发生争议时，在不影响工程进度的前提下，双方可采取协商解决。</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12.2 协商不成可通过</w:t>
      </w:r>
      <w:r>
        <w:rPr>
          <w:rFonts w:hint="eastAsia" w:ascii="宋体" w:hAnsi="宋体" w:cs="宋体"/>
          <w:szCs w:val="21"/>
          <w:u w:val="single"/>
        </w:rPr>
        <w:t>双方认可的部门或</w:t>
      </w:r>
      <w:r>
        <w:rPr>
          <w:rFonts w:hint="eastAsia" w:ascii="宋体" w:hAnsi="宋体" w:cs="宋体"/>
          <w:szCs w:val="21"/>
        </w:rPr>
        <w:t>机构调解。</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12.3 对项目质量或使用的原材料质量发生争议的，可以选择有资质的检测机构进行检测。</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12.4 当事人不愿意通过协商、调解解决或者协商调解不成时，双方可向工程所在地（深圳市福田区）人民法院提起诉讼。</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第13条  合同解除和终止</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13.1 有下列情形之一的，可以解除合同：</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13.1.1 甲乙双方协商一致；</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13.1.2 因不可抗力致使合同无法履行；</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13.1.3 因一方违约致使合同无法履行。</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13.2 甲乙双方履行完本合同全部义务，项目竣工结算、价款支付完毕，本合同即告终止。</w:t>
      </w:r>
    </w:p>
    <w:p>
      <w:pPr>
        <w:adjustRightInd w:val="0"/>
        <w:snapToGrid w:val="0"/>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第14条  附则</w:t>
      </w:r>
    </w:p>
    <w:p>
      <w:pPr>
        <w:spacing w:line="360" w:lineRule="auto"/>
        <w:ind w:firstLine="420" w:firstLineChars="200"/>
        <w:rPr>
          <w:rFonts w:ascii="宋体" w:hAnsi="宋体" w:cs="宋体"/>
          <w:szCs w:val="21"/>
        </w:rPr>
      </w:pPr>
      <w:r>
        <w:rPr>
          <w:rFonts w:hint="eastAsia" w:ascii="宋体" w:hAnsi="宋体" w:cs="宋体"/>
          <w:szCs w:val="21"/>
        </w:rPr>
        <w:t>14.1合同一式捌份，甲方执</w:t>
      </w:r>
      <w:r>
        <w:rPr>
          <w:rFonts w:hint="eastAsia" w:ascii="宋体" w:hAnsi="宋体" w:cs="宋体"/>
          <w:szCs w:val="21"/>
          <w:u w:val="single"/>
        </w:rPr>
        <w:t xml:space="preserve"> 肆 </w:t>
      </w:r>
      <w:r>
        <w:rPr>
          <w:rFonts w:hint="eastAsia" w:ascii="宋体" w:hAnsi="宋体" w:cs="宋体"/>
          <w:szCs w:val="21"/>
        </w:rPr>
        <w:t>份，乙方执</w:t>
      </w:r>
      <w:r>
        <w:rPr>
          <w:rFonts w:hint="eastAsia" w:ascii="宋体" w:hAnsi="宋体" w:cs="宋体"/>
          <w:szCs w:val="21"/>
          <w:u w:val="single"/>
        </w:rPr>
        <w:t xml:space="preserve"> 肆 </w:t>
      </w:r>
      <w:r>
        <w:rPr>
          <w:rFonts w:hint="eastAsia" w:ascii="宋体" w:hAnsi="宋体" w:cs="宋体"/>
          <w:szCs w:val="21"/>
        </w:rPr>
        <w:t>份，均具同等法律效力，自双方代表签字并加盖公章之日起生效。</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14.2 本项目招标清单或作法说明、招标文件、乙方投标文件、中标通知书属本合同的组成部分，甲乙双方需共同遵守。</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14.3本合同载明的联系方式（包括地址、联系人、联系电话）为双方约定的联系方式，若有变动，应提前书面告知对方，否则该联系方式为双方法定的送达和联系方式，一经发送至上述地址即视为送达。</w:t>
      </w:r>
    </w:p>
    <w:p>
      <w:pPr>
        <w:spacing w:line="360" w:lineRule="auto"/>
        <w:ind w:firstLine="422" w:firstLineChars="200"/>
        <w:rPr>
          <w:rFonts w:ascii="宋体" w:hAnsi="宋体" w:cs="宋体"/>
          <w:b/>
          <w:szCs w:val="21"/>
        </w:rPr>
      </w:pPr>
      <w:r>
        <w:rPr>
          <w:rFonts w:hint="eastAsia" w:ascii="宋体" w:hAnsi="宋体" w:cs="宋体"/>
          <w:b/>
          <w:szCs w:val="21"/>
        </w:rPr>
        <w:t>第15条  补充条款</w:t>
      </w:r>
    </w:p>
    <w:p>
      <w:pPr>
        <w:ind w:firstLine="420" w:firstLineChars="200"/>
        <w:rPr>
          <w:rFonts w:ascii="宋体" w:hAnsi="宋体" w:cs="宋体"/>
          <w:szCs w:val="21"/>
        </w:rPr>
      </w:pPr>
      <w:r>
        <w:rPr>
          <w:rFonts w:hint="eastAsia" w:ascii="宋体" w:hAnsi="宋体" w:cs="宋体"/>
          <w:szCs w:val="21"/>
        </w:rPr>
        <w:t>附件：《深圳会展中心与合作单位安全协议书》、设备试验要求及工程量作为本合同的组成部分。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（以下无正文，为合同签章页）</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rPr>
          <w:rFonts w:ascii="宋体" w:hAnsi="宋体" w:cs="宋体"/>
          <w:szCs w:val="21"/>
        </w:rPr>
      </w:pPr>
    </w:p>
    <w:tbl>
      <w:tblPr>
        <w:tblStyle w:val="14"/>
        <w:tblW w:w="8912" w:type="dxa"/>
        <w:tblInd w:w="0" w:type="dxa"/>
        <w:tblLayout w:type="autofit"/>
        <w:tblCellMar>
          <w:top w:w="0" w:type="dxa"/>
          <w:left w:w="108" w:type="dxa"/>
          <w:bottom w:w="0" w:type="dxa"/>
          <w:right w:w="108" w:type="dxa"/>
        </w:tblCellMar>
      </w:tblPr>
      <w:tblGrid>
        <w:gridCol w:w="4643"/>
        <w:gridCol w:w="4269"/>
      </w:tblGrid>
      <w:tr>
        <w:tblPrEx>
          <w:tblCellMar>
            <w:top w:w="0" w:type="dxa"/>
            <w:left w:w="108" w:type="dxa"/>
            <w:bottom w:w="0" w:type="dxa"/>
            <w:right w:w="108" w:type="dxa"/>
          </w:tblCellMar>
        </w:tblPrEx>
        <w:tc>
          <w:tcPr>
            <w:tcW w:w="4643" w:type="dxa"/>
          </w:tcPr>
          <w:p>
            <w:pPr>
              <w:ind w:firstLine="105" w:firstLineChars="50"/>
              <w:jc w:val="left"/>
              <w:rPr>
                <w:rFonts w:ascii="宋体" w:hAnsi="宋体"/>
                <w:szCs w:val="21"/>
                <w:u w:val="single"/>
              </w:rPr>
            </w:pPr>
            <w:r>
              <w:rPr>
                <w:rFonts w:hint="eastAsia" w:ascii="宋体" w:hAnsi="宋体"/>
                <w:szCs w:val="21"/>
              </w:rPr>
              <w:t>甲方（公章）：</w:t>
            </w:r>
            <w:r>
              <w:rPr>
                <w:rFonts w:hint="eastAsia" w:ascii="宋体" w:hAnsi="宋体"/>
                <w:szCs w:val="21"/>
                <w:u w:val="single"/>
              </w:rPr>
              <w:t>深圳会展中心管理有限责任公司</w:t>
            </w:r>
          </w:p>
          <w:p>
            <w:pPr>
              <w:ind w:firstLine="105" w:firstLineChars="50"/>
              <w:jc w:val="left"/>
              <w:rPr>
                <w:rFonts w:ascii="宋体" w:hAnsi="宋体"/>
                <w:szCs w:val="21"/>
              </w:rPr>
            </w:pPr>
          </w:p>
          <w:p>
            <w:pPr>
              <w:ind w:firstLine="105" w:firstLineChars="50"/>
              <w:jc w:val="left"/>
              <w:rPr>
                <w:rFonts w:ascii="宋体" w:hAnsi="宋体"/>
                <w:szCs w:val="21"/>
                <w:u w:val="single"/>
              </w:rPr>
            </w:pPr>
            <w:r>
              <w:rPr>
                <w:rFonts w:hint="eastAsia" w:ascii="宋体" w:hAnsi="宋体"/>
                <w:szCs w:val="21"/>
              </w:rPr>
              <w:t>甲方代表：</w:t>
            </w:r>
            <w:r>
              <w:rPr>
                <w:rFonts w:ascii="宋体" w:hAnsi="宋体"/>
                <w:szCs w:val="21"/>
                <w:u w:val="single"/>
              </w:rPr>
              <w:t xml:space="preserve">                  </w:t>
            </w:r>
          </w:p>
          <w:p>
            <w:pPr>
              <w:ind w:firstLine="105" w:firstLineChars="50"/>
              <w:jc w:val="left"/>
              <w:rPr>
                <w:rFonts w:ascii="宋体" w:hAnsi="宋体"/>
                <w:szCs w:val="21"/>
              </w:rPr>
            </w:pPr>
          </w:p>
          <w:p>
            <w:pPr>
              <w:ind w:firstLine="105" w:firstLineChars="5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ind w:firstLine="105" w:firstLineChars="50"/>
              <w:jc w:val="left"/>
              <w:rPr>
                <w:rFonts w:ascii="宋体" w:hAnsi="宋体"/>
              </w:rPr>
            </w:pPr>
          </w:p>
          <w:p>
            <w:pPr>
              <w:ind w:firstLine="105" w:firstLineChars="50"/>
              <w:jc w:val="left"/>
              <w:rPr>
                <w:rFonts w:ascii="宋体" w:hAnsi="宋体"/>
                <w:u w:val="single"/>
              </w:rPr>
            </w:pPr>
            <w:r>
              <w:rPr>
                <w:rFonts w:hint="eastAsia" w:ascii="宋体" w:hAnsi="宋体"/>
              </w:rPr>
              <w:t>签订日期：</w:t>
            </w:r>
            <w:r>
              <w:rPr>
                <w:rFonts w:hint="eastAsia" w:ascii="宋体" w:hAnsi="宋体"/>
                <w:u w:val="single"/>
              </w:rPr>
              <w:t xml:space="preserve">                  </w:t>
            </w:r>
          </w:p>
        </w:tc>
        <w:tc>
          <w:tcPr>
            <w:tcW w:w="4269" w:type="dxa"/>
          </w:tcPr>
          <w:p>
            <w:pPr>
              <w:ind w:left="1260" w:hanging="1260" w:hangingChars="600"/>
              <w:jc w:val="left"/>
              <w:rPr>
                <w:rFonts w:hint="eastAsia" w:ascii="宋体" w:hAnsi="宋体" w:eastAsia="宋体"/>
                <w:szCs w:val="21"/>
                <w:u w:val="single"/>
                <w:lang w:eastAsia="zh-CN"/>
              </w:rPr>
            </w:pPr>
            <w:r>
              <w:rPr>
                <w:rFonts w:hint="eastAsia" w:ascii="宋体" w:hAnsi="宋体"/>
                <w:szCs w:val="21"/>
              </w:rPr>
              <w:t>乙方（公章）：</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p>
          <w:p>
            <w:pPr>
              <w:ind w:firstLine="105" w:firstLineChars="50"/>
              <w:jc w:val="left"/>
              <w:rPr>
                <w:rFonts w:ascii="宋体" w:hAnsi="宋体"/>
                <w:szCs w:val="21"/>
              </w:rPr>
            </w:pPr>
          </w:p>
          <w:p>
            <w:pPr>
              <w:ind w:firstLine="105" w:firstLineChars="50"/>
              <w:jc w:val="left"/>
              <w:rPr>
                <w:rFonts w:ascii="宋体" w:hAnsi="宋体"/>
                <w:szCs w:val="21"/>
                <w:u w:val="single"/>
              </w:rPr>
            </w:pPr>
            <w:r>
              <w:rPr>
                <w:rFonts w:hint="eastAsia" w:ascii="宋体" w:hAnsi="宋体"/>
                <w:szCs w:val="21"/>
              </w:rPr>
              <w:t>乙方代表：</w:t>
            </w:r>
            <w:r>
              <w:rPr>
                <w:rFonts w:ascii="宋体" w:hAnsi="宋体"/>
                <w:szCs w:val="21"/>
                <w:u w:val="single"/>
              </w:rPr>
              <w:t xml:space="preserve">                  </w:t>
            </w:r>
          </w:p>
          <w:p>
            <w:pPr>
              <w:ind w:firstLine="105" w:firstLineChars="50"/>
              <w:jc w:val="left"/>
              <w:rPr>
                <w:rFonts w:ascii="宋体" w:hAnsi="宋体"/>
                <w:szCs w:val="21"/>
              </w:rPr>
            </w:pPr>
          </w:p>
          <w:p>
            <w:pPr>
              <w:ind w:firstLine="105" w:firstLineChars="5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ind w:firstLine="105" w:firstLineChars="50"/>
              <w:jc w:val="left"/>
              <w:rPr>
                <w:rFonts w:ascii="宋体" w:hAnsi="宋体"/>
                <w:szCs w:val="21"/>
                <w:u w:val="single"/>
              </w:rPr>
            </w:pPr>
          </w:p>
          <w:p>
            <w:pPr>
              <w:ind w:firstLine="105" w:firstLineChars="50"/>
              <w:jc w:val="left"/>
              <w:rPr>
                <w:rFonts w:ascii="宋体" w:hAnsi="宋体"/>
              </w:rPr>
            </w:pPr>
            <w:r>
              <w:rPr>
                <w:rFonts w:hint="eastAsia" w:ascii="宋体" w:hAnsi="宋体"/>
              </w:rPr>
              <w:t>签订日期：</w:t>
            </w:r>
            <w:r>
              <w:rPr>
                <w:rFonts w:hint="eastAsia" w:ascii="宋体" w:hAnsi="宋体"/>
                <w:u w:val="single"/>
              </w:rPr>
              <w:t xml:space="preserve">                  </w:t>
            </w:r>
          </w:p>
        </w:tc>
      </w:tr>
    </w:tbl>
    <w:p>
      <w:pPr>
        <w:widowControl/>
        <w:jc w:val="left"/>
        <w:rPr>
          <w:b/>
          <w:sz w:val="32"/>
          <w:szCs w:val="32"/>
        </w:rPr>
      </w:pPr>
      <w:r>
        <w:rPr>
          <w:b/>
          <w:sz w:val="32"/>
          <w:szCs w:val="32"/>
        </w:rPr>
        <w:br w:type="page"/>
      </w:r>
    </w:p>
    <w:p>
      <w:pPr>
        <w:spacing w:line="260" w:lineRule="exact"/>
        <w:ind w:firstLine="105"/>
        <w:rPr>
          <w:rFonts w:ascii="宋体" w:hAnsi="宋体" w:cs="宋体"/>
          <w:szCs w:val="21"/>
        </w:rPr>
      </w:pPr>
      <w:r>
        <w:rPr>
          <w:rFonts w:hint="eastAsia" w:ascii="宋体" w:hAnsi="宋体" w:cs="宋体"/>
          <w:szCs w:val="21"/>
        </w:rPr>
        <w:t>附件：</w:t>
      </w:r>
    </w:p>
    <w:p>
      <w:pPr>
        <w:jc w:val="center"/>
        <w:rPr>
          <w:rFonts w:ascii="宋体" w:hAnsi="宋体" w:cs="宋体"/>
          <w:b/>
          <w:szCs w:val="21"/>
        </w:rPr>
      </w:pPr>
      <w:r>
        <w:rPr>
          <w:rFonts w:hint="eastAsia" w:ascii="宋体" w:hAnsi="宋体" w:cs="宋体"/>
          <w:b/>
          <w:szCs w:val="21"/>
        </w:rPr>
        <w:t>深圳会展中心合作单位安全协议书</w:t>
      </w:r>
    </w:p>
    <w:p>
      <w:pPr>
        <w:jc w:val="center"/>
        <w:rPr>
          <w:rFonts w:ascii="宋体" w:hAnsi="宋体" w:cs="宋体"/>
          <w:b/>
          <w:szCs w:val="21"/>
        </w:rPr>
      </w:pPr>
    </w:p>
    <w:p>
      <w:pPr>
        <w:spacing w:line="360" w:lineRule="auto"/>
        <w:ind w:firstLine="630" w:firstLineChars="300"/>
        <w:rPr>
          <w:rFonts w:ascii="宋体" w:hAnsi="宋体" w:cs="宋体"/>
          <w:szCs w:val="21"/>
        </w:rPr>
      </w:pPr>
      <w:r>
        <w:rPr>
          <w:rFonts w:hint="eastAsia" w:ascii="宋体" w:hAnsi="宋体" w:cs="宋体"/>
          <w:szCs w:val="21"/>
          <w:u w:val="single"/>
        </w:rPr>
        <w:t xml:space="preserve">深圳会展中心中压开关柜环网柜检修和耐压测试 </w:t>
      </w:r>
      <w:r>
        <w:rPr>
          <w:rFonts w:hint="eastAsia" w:ascii="宋体" w:hAnsi="宋体" w:cs="宋体"/>
          <w:szCs w:val="21"/>
        </w:rPr>
        <w:t>项目合同的乙方:</w:t>
      </w:r>
      <w:r>
        <w:rPr>
          <w:rFonts w:hint="eastAsia" w:ascii="宋体" w:hAnsi="宋体" w:cs="宋体"/>
          <w:szCs w:val="21"/>
          <w:u w:val="single"/>
        </w:rPr>
        <w:t xml:space="preserve">               </w:t>
      </w:r>
      <w:r>
        <w:rPr>
          <w:rFonts w:hint="eastAsia" w:ascii="宋体" w:hAnsi="宋体" w:cs="宋体"/>
          <w:szCs w:val="21"/>
        </w:rPr>
        <w:t>作为合作单位,在深圳会展中心从事</w:t>
      </w:r>
      <w:r>
        <w:rPr>
          <w:rFonts w:hint="eastAsia" w:ascii="宋体" w:hAnsi="宋体" w:cs="宋体"/>
          <w:szCs w:val="21"/>
          <w:u w:val="single"/>
        </w:rPr>
        <w:t xml:space="preserve"> </w:t>
      </w:r>
      <w:r>
        <w:rPr>
          <w:rFonts w:hint="eastAsia" w:ascii="宋体" w:hAnsi="宋体" w:cs="宋体"/>
          <w:szCs w:val="21"/>
        </w:rPr>
        <w:t>项目的工程施工。</w:t>
      </w:r>
    </w:p>
    <w:p>
      <w:pPr>
        <w:spacing w:line="360" w:lineRule="auto"/>
        <w:ind w:firstLine="420" w:firstLineChars="200"/>
        <w:rPr>
          <w:rFonts w:ascii="宋体" w:hAnsi="宋体" w:cs="宋体"/>
          <w:szCs w:val="21"/>
        </w:rPr>
      </w:pPr>
      <w:r>
        <w:rPr>
          <w:rFonts w:hint="eastAsia" w:ascii="宋体" w:hAnsi="宋体" w:cs="宋体"/>
          <w:szCs w:val="21"/>
        </w:rPr>
        <w:t>为认真贯彻《中华人民共和国安全生产法》、《中华人民共和国消防法》、《公安部61号令》、《深圳经济特区消防条例》及《机关、团体、企业、事业单位消防安全管理规定》等法律、法规，进一步落实深圳会展中心与合作单位的安全责任，根据合作单位生产经营或活动的实际情况，深圳会展中心与</w:t>
      </w:r>
      <w:r>
        <w:rPr>
          <w:rFonts w:hint="eastAsia" w:ascii="宋体" w:hAnsi="宋体" w:cs="宋体"/>
          <w:szCs w:val="21"/>
          <w:u w:val="single"/>
        </w:rPr>
        <w:t xml:space="preserve">                    </w:t>
      </w:r>
      <w:r>
        <w:rPr>
          <w:rFonts w:hint="eastAsia" w:ascii="宋体" w:hAnsi="宋体" w:cs="宋体"/>
          <w:szCs w:val="21"/>
        </w:rPr>
        <w:t>合作单位界定双方的消防和安全生产责任如下：</w:t>
      </w:r>
    </w:p>
    <w:p>
      <w:pPr>
        <w:spacing w:line="360" w:lineRule="auto"/>
        <w:ind w:firstLine="422" w:firstLineChars="200"/>
        <w:rPr>
          <w:rFonts w:ascii="宋体" w:hAnsi="宋体" w:cs="宋体"/>
          <w:b/>
          <w:szCs w:val="21"/>
        </w:rPr>
      </w:pPr>
      <w:r>
        <w:rPr>
          <w:rFonts w:hint="eastAsia" w:ascii="宋体" w:hAnsi="宋体" w:cs="宋体"/>
          <w:b/>
          <w:szCs w:val="21"/>
        </w:rPr>
        <w:t>一、 通用条款：</w:t>
      </w:r>
    </w:p>
    <w:p>
      <w:pPr>
        <w:spacing w:line="360" w:lineRule="auto"/>
        <w:ind w:left="53" w:leftChars="25" w:firstLine="420" w:firstLineChars="200"/>
        <w:rPr>
          <w:rFonts w:ascii="宋体" w:hAnsi="宋体" w:cs="宋体"/>
          <w:szCs w:val="21"/>
        </w:rPr>
      </w:pPr>
      <w:r>
        <w:rPr>
          <w:rFonts w:hint="eastAsia" w:ascii="宋体" w:hAnsi="宋体" w:cs="宋体"/>
          <w:szCs w:val="21"/>
        </w:rPr>
        <w:t xml:space="preserve">1、根据“谁生产谁负责、谁实施谁负责”的原则，确定合作单位的法定代表人 </w:t>
      </w:r>
      <w:r>
        <w:rPr>
          <w:rFonts w:hint="eastAsia" w:ascii="宋体" w:hAnsi="宋体" w:cs="宋体"/>
          <w:szCs w:val="21"/>
          <w:u w:val="single"/>
        </w:rPr>
        <w:t xml:space="preserve">     （</w:t>
      </w:r>
      <w:r>
        <w:rPr>
          <w:rFonts w:hint="eastAsia" w:ascii="宋体" w:hAnsi="宋体" w:cs="宋体"/>
          <w:szCs w:val="21"/>
        </w:rPr>
        <w:t>先生\女士）为在深圳会展中心红线范围内合作生产经营或活动区域的安全生产第一责任人，对合作单位的安全工作全面负责，并对其生产经营或活动期间发生的所有安全责任事故承担主要责任，对其单位工作人员所造成的所有责任事故负全责。</w:t>
      </w:r>
    </w:p>
    <w:p>
      <w:pPr>
        <w:spacing w:line="360" w:lineRule="auto"/>
        <w:ind w:firstLine="420" w:firstLineChars="200"/>
        <w:rPr>
          <w:rFonts w:ascii="宋体" w:hAnsi="宋体" w:cs="宋体"/>
          <w:szCs w:val="21"/>
          <w:u w:val="single"/>
        </w:rPr>
      </w:pPr>
      <w:r>
        <w:rPr>
          <w:rFonts w:hint="eastAsia" w:ascii="宋体" w:hAnsi="宋体" w:cs="宋体"/>
          <w:szCs w:val="21"/>
        </w:rPr>
        <w:t>2、合作单位必须是经国家工商部门注册、拥有国家认可相关资质的企业，并保证在其业务允许范围内施工作业。</w:t>
      </w:r>
    </w:p>
    <w:p>
      <w:pPr>
        <w:spacing w:line="360" w:lineRule="auto"/>
        <w:ind w:firstLine="420" w:firstLineChars="200"/>
        <w:rPr>
          <w:rFonts w:ascii="宋体" w:hAnsi="宋体" w:cs="宋体"/>
          <w:szCs w:val="21"/>
        </w:rPr>
      </w:pPr>
      <w:r>
        <w:rPr>
          <w:rFonts w:hint="eastAsia" w:ascii="宋体" w:hAnsi="宋体" w:cs="宋体"/>
          <w:szCs w:val="21"/>
        </w:rPr>
        <w:t>3、合作单位应认真履行安全管理职责，监督其单位工作人员遵守国家及深圳市关于消防和安全生产的各项法律法规，确保所有工作人员不违反深圳会展中心关于消防安全和生产安全的各项规章制度。</w:t>
      </w:r>
    </w:p>
    <w:p>
      <w:pPr>
        <w:spacing w:line="360" w:lineRule="auto"/>
        <w:ind w:firstLine="420" w:firstLineChars="200"/>
        <w:rPr>
          <w:rFonts w:ascii="宋体" w:hAnsi="宋体" w:cs="宋体"/>
          <w:szCs w:val="21"/>
        </w:rPr>
      </w:pPr>
      <w:r>
        <w:rPr>
          <w:rFonts w:hint="eastAsia" w:ascii="宋体" w:hAnsi="宋体" w:cs="宋体"/>
          <w:szCs w:val="21"/>
        </w:rPr>
        <w:t>4、合作单位应逐级落实安全管理责任，确保生产经营或活动的安全开展。</w:t>
      </w:r>
    </w:p>
    <w:p>
      <w:pPr>
        <w:spacing w:line="360" w:lineRule="auto"/>
        <w:ind w:firstLine="420" w:firstLineChars="200"/>
        <w:rPr>
          <w:rFonts w:ascii="宋体" w:hAnsi="宋体" w:cs="宋体"/>
          <w:szCs w:val="21"/>
        </w:rPr>
      </w:pPr>
      <w:r>
        <w:rPr>
          <w:rFonts w:hint="eastAsia" w:ascii="宋体" w:hAnsi="宋体" w:cs="宋体"/>
          <w:szCs w:val="21"/>
        </w:rPr>
        <w:t>5、合作单位在生产经营或活动期间应设置专职安全管理人员，负责生产经营或活动期间的消防及安全生产监督工作，并定期组织安全检查。</w:t>
      </w:r>
    </w:p>
    <w:p>
      <w:pPr>
        <w:spacing w:line="360" w:lineRule="auto"/>
        <w:ind w:firstLine="420" w:firstLineChars="200"/>
        <w:rPr>
          <w:rFonts w:ascii="宋体" w:hAnsi="宋体" w:cs="宋体"/>
          <w:szCs w:val="21"/>
        </w:rPr>
      </w:pPr>
      <w:r>
        <w:rPr>
          <w:rFonts w:hint="eastAsia" w:ascii="宋体" w:hAnsi="宋体" w:cs="宋体"/>
          <w:szCs w:val="21"/>
        </w:rPr>
        <w:t>6、合作单位应制订安全应急预案，并在生产经营或活动前进行必要的演练。</w:t>
      </w:r>
    </w:p>
    <w:p>
      <w:pPr>
        <w:spacing w:line="360" w:lineRule="auto"/>
        <w:ind w:firstLine="420" w:firstLineChars="200"/>
        <w:rPr>
          <w:rFonts w:ascii="宋体" w:hAnsi="宋体" w:cs="宋体"/>
          <w:szCs w:val="21"/>
        </w:rPr>
      </w:pPr>
      <w:r>
        <w:rPr>
          <w:rFonts w:hint="eastAsia" w:ascii="宋体" w:hAnsi="宋体" w:cs="宋体"/>
          <w:szCs w:val="21"/>
        </w:rPr>
        <w:t>7、合作单位所使用的设备、工具必须达到安全要求，所有特种作业人员必须持证上岗。合作单位必须根据现场作业情况，做好各项安全的组织及技术措施并配备足够数量的合格的消防器材。</w:t>
      </w:r>
    </w:p>
    <w:p>
      <w:pPr>
        <w:spacing w:line="360" w:lineRule="auto"/>
        <w:ind w:firstLine="420" w:firstLineChars="200"/>
        <w:jc w:val="left"/>
        <w:rPr>
          <w:rFonts w:ascii="宋体" w:hAnsi="宋体" w:cs="宋体"/>
          <w:szCs w:val="21"/>
        </w:rPr>
      </w:pPr>
      <w:r>
        <w:rPr>
          <w:rFonts w:hint="eastAsia" w:ascii="宋体" w:hAnsi="宋体" w:cs="宋体"/>
          <w:szCs w:val="21"/>
        </w:rPr>
        <w:t>8、合作单位必须按照设计工艺及相关规范作业，其工作人员在作业中必须正确采取相应的安全防护措施，夜间作业时必须穿着反光衣，登高、吊装等危险作业时必须正确佩戴安全帽、安全带、安全绳和安全警示与围护等安全防护措施，保证作业人员及周围人员的人身安全。</w:t>
      </w:r>
    </w:p>
    <w:p>
      <w:pPr>
        <w:spacing w:line="360" w:lineRule="auto"/>
        <w:ind w:firstLine="420" w:firstLineChars="200"/>
        <w:rPr>
          <w:rFonts w:ascii="宋体" w:hAnsi="宋体" w:cs="宋体"/>
          <w:szCs w:val="21"/>
        </w:rPr>
      </w:pPr>
      <w:r>
        <w:rPr>
          <w:rFonts w:hint="eastAsia" w:ascii="宋体" w:hAnsi="宋体" w:cs="宋体"/>
          <w:szCs w:val="21"/>
        </w:rPr>
        <w:t>9、合作单位在作业过程中，所采用的材料必须符合展馆消防和结构安全要求。会展中心安全管理人员有权依照会展中心相关规定对不符合要求的材料进行处置（责令整改、禁用或清理出场等措施），并对所造成的后果不承担任何责任。</w:t>
      </w:r>
    </w:p>
    <w:p>
      <w:pPr>
        <w:spacing w:line="360" w:lineRule="auto"/>
        <w:ind w:firstLine="420" w:firstLineChars="200"/>
        <w:jc w:val="left"/>
        <w:rPr>
          <w:rFonts w:ascii="宋体" w:hAnsi="宋体" w:cs="宋体"/>
          <w:szCs w:val="21"/>
        </w:rPr>
      </w:pPr>
      <w:r>
        <w:rPr>
          <w:rFonts w:hint="eastAsia" w:ascii="宋体" w:hAnsi="宋体" w:cs="宋体"/>
          <w:szCs w:val="21"/>
        </w:rPr>
        <w:t>10、合作单位应为作业人员购买相关保险；如在作业期间出现各种消防、治安及其它意外事故，合作单位应在第一时间通知会展中心管理人员，并有义务先行采取必要的保护措施，控制事态进一步扩大。</w:t>
      </w:r>
    </w:p>
    <w:p>
      <w:pPr>
        <w:spacing w:line="360" w:lineRule="auto"/>
        <w:ind w:firstLine="420" w:firstLineChars="200"/>
        <w:rPr>
          <w:rFonts w:ascii="宋体" w:hAnsi="宋体" w:cs="宋体"/>
          <w:szCs w:val="21"/>
        </w:rPr>
      </w:pPr>
      <w:r>
        <w:rPr>
          <w:rFonts w:hint="eastAsia" w:ascii="宋体" w:hAnsi="宋体" w:cs="宋体"/>
          <w:szCs w:val="21"/>
        </w:rPr>
        <w:t>11、合作单位人员如有偷盗、损坏会展中心财物、展商财物、擅自进入或破坏会展中心设置的封闭区域等违反会展中心管理规定的行为，会展中心管理人员视情况严重程度将采取警告、处罚或移送公安机关处理等措施。合作单位必须负责承担其违规行为造成的所有经济损失。同时会展中心拥有根据备案情况取消相应合作单位今后进入会展中心作业资格的权利。</w:t>
      </w:r>
    </w:p>
    <w:p>
      <w:pPr>
        <w:spacing w:line="360" w:lineRule="auto"/>
        <w:ind w:firstLine="420" w:firstLineChars="200"/>
        <w:rPr>
          <w:rFonts w:ascii="宋体" w:hAnsi="宋体" w:cs="宋体"/>
          <w:szCs w:val="21"/>
        </w:rPr>
      </w:pPr>
      <w:r>
        <w:rPr>
          <w:rFonts w:hint="eastAsia" w:ascii="宋体" w:hAnsi="宋体" w:cs="宋体"/>
          <w:szCs w:val="21"/>
        </w:rPr>
        <w:t>12、会展中心应保证展馆公共消防设备设施完好，并在火灾发生时积极组织人员启用展馆固定消防设施进行人员疏散和灭火。</w:t>
      </w:r>
    </w:p>
    <w:p>
      <w:pPr>
        <w:spacing w:line="360" w:lineRule="auto"/>
        <w:ind w:firstLine="420" w:firstLineChars="200"/>
        <w:rPr>
          <w:rFonts w:ascii="宋体" w:hAnsi="宋体" w:cs="宋体"/>
          <w:szCs w:val="21"/>
        </w:rPr>
      </w:pPr>
      <w:r>
        <w:rPr>
          <w:rFonts w:hint="eastAsia" w:ascii="宋体" w:hAnsi="宋体" w:cs="宋体"/>
          <w:szCs w:val="21"/>
        </w:rPr>
        <w:t>13、在责任事故发生后，会展中心应迅速组织人员进行救援，并采取必要的应急措施防止事故扩大。</w:t>
      </w:r>
    </w:p>
    <w:p>
      <w:pPr>
        <w:spacing w:line="360" w:lineRule="auto"/>
        <w:ind w:firstLine="420" w:firstLineChars="200"/>
        <w:rPr>
          <w:rFonts w:ascii="宋体" w:hAnsi="宋体" w:cs="宋体"/>
          <w:szCs w:val="21"/>
        </w:rPr>
      </w:pPr>
      <w:r>
        <w:rPr>
          <w:rFonts w:hint="eastAsia" w:ascii="宋体" w:hAnsi="宋体" w:cs="宋体"/>
          <w:szCs w:val="21"/>
        </w:rPr>
        <w:t>14、如任何一方对涉及到本责任书中所引用的国家消防法律、法规和有关规章制度有疑义，可详细查阅《中华人民共和国安全生产法》、《中华人民共和国消防法》、《公安部61号令》、《深圳经济特区消防条例》及《机关、团体、企业、事业单位消防安全管理规定》文件规定，或者直接向深圳市公安消防机关、深圳市安监局、市应急办等机构咨询。</w:t>
      </w:r>
    </w:p>
    <w:p>
      <w:pPr>
        <w:spacing w:line="360" w:lineRule="auto"/>
        <w:ind w:firstLine="422" w:firstLineChars="200"/>
        <w:rPr>
          <w:rFonts w:ascii="宋体" w:hAnsi="宋体" w:cs="宋体"/>
          <w:b/>
          <w:szCs w:val="21"/>
        </w:rPr>
      </w:pPr>
      <w:r>
        <w:rPr>
          <w:rFonts w:hint="eastAsia" w:ascii="宋体" w:hAnsi="宋体" w:cs="宋体"/>
          <w:b/>
          <w:szCs w:val="21"/>
        </w:rPr>
        <w:t>二、专用条款：</w:t>
      </w:r>
    </w:p>
    <w:p>
      <w:pPr>
        <w:spacing w:line="360" w:lineRule="auto"/>
        <w:ind w:firstLine="422" w:firstLineChars="200"/>
        <w:rPr>
          <w:rFonts w:ascii="宋体" w:hAnsi="宋体" w:cs="宋体"/>
          <w:b/>
          <w:szCs w:val="21"/>
        </w:rPr>
      </w:pPr>
      <w:r>
        <w:rPr>
          <w:rFonts w:hint="eastAsia" w:ascii="宋体" w:hAnsi="宋体" w:cs="宋体"/>
          <w:b/>
          <w:szCs w:val="21"/>
        </w:rPr>
        <w:t>1、约定期限：</w:t>
      </w:r>
    </w:p>
    <w:p>
      <w:pPr>
        <w:spacing w:line="360" w:lineRule="auto"/>
        <w:ind w:firstLine="420" w:firstLineChars="200"/>
        <w:rPr>
          <w:rFonts w:ascii="宋体" w:hAnsi="宋体" w:cs="宋体"/>
          <w:szCs w:val="21"/>
        </w:rPr>
      </w:pPr>
      <w:r>
        <w:rPr>
          <w:rFonts w:hint="eastAsia" w:ascii="宋体" w:hAnsi="宋体" w:cs="宋体"/>
          <w:szCs w:val="21"/>
        </w:rPr>
        <w:t xml:space="preserve">合同期限为    </w:t>
      </w:r>
      <w:r>
        <w:rPr>
          <w:rFonts w:hint="eastAsia" w:ascii="宋体" w:hAnsi="宋体" w:cs="宋体"/>
          <w:szCs w:val="21"/>
          <w:u w:val="single"/>
        </w:rPr>
        <w:t xml:space="preserve"> 个</w:t>
      </w:r>
      <w:r>
        <w:rPr>
          <w:rFonts w:hint="eastAsia" w:ascii="宋体" w:hAnsi="宋体" w:cs="宋体"/>
          <w:szCs w:val="21"/>
        </w:rPr>
        <w:t>日历日，与主合同的时间相同。</w:t>
      </w:r>
    </w:p>
    <w:p>
      <w:pPr>
        <w:numPr>
          <w:ilvl w:val="0"/>
          <w:numId w:val="34"/>
        </w:numPr>
        <w:spacing w:line="360" w:lineRule="auto"/>
        <w:ind w:firstLine="0"/>
        <w:rPr>
          <w:rFonts w:ascii="宋体" w:hAnsi="宋体" w:cs="宋体"/>
          <w:b/>
          <w:szCs w:val="21"/>
        </w:rPr>
      </w:pPr>
      <w:r>
        <w:rPr>
          <w:rFonts w:hint="eastAsia" w:ascii="宋体" w:hAnsi="宋体" w:cs="宋体"/>
          <w:b/>
          <w:szCs w:val="21"/>
        </w:rPr>
        <w:t>安全要求：</w:t>
      </w:r>
    </w:p>
    <w:p>
      <w:pPr>
        <w:spacing w:line="276" w:lineRule="auto"/>
        <w:ind w:firstLine="420" w:firstLineChars="200"/>
        <w:rPr>
          <w:rFonts w:ascii="宋体" w:hAnsi="宋体" w:cs="宋体"/>
          <w:szCs w:val="21"/>
        </w:rPr>
      </w:pPr>
      <w:r>
        <w:rPr>
          <w:rFonts w:hint="eastAsia" w:ascii="宋体" w:hAnsi="宋体" w:cs="宋体"/>
          <w:szCs w:val="21"/>
        </w:rPr>
        <w:t>2）合作单位工作地点限于会展中心1、4号配电室内施工区域，特殊情况须在区域范围外作业的，须由甲方指定和安排。</w:t>
      </w:r>
    </w:p>
    <w:p>
      <w:pPr>
        <w:spacing w:line="276" w:lineRule="auto"/>
        <w:ind w:firstLine="420" w:firstLineChars="200"/>
        <w:rPr>
          <w:rFonts w:ascii="宋体" w:hAnsi="宋体" w:cs="宋体"/>
          <w:szCs w:val="21"/>
        </w:rPr>
      </w:pPr>
      <w:r>
        <w:rPr>
          <w:rFonts w:hint="eastAsia" w:ascii="宋体" w:hAnsi="宋体" w:cs="宋体"/>
          <w:szCs w:val="21"/>
        </w:rPr>
        <w:t>3）合作单位如需要使用有动火作业时，须提前向甲方提出申请。由甲方认可并办理动火许可证，做好防火及隔离措施后方可动火施工。</w:t>
      </w:r>
    </w:p>
    <w:p>
      <w:pPr>
        <w:spacing w:line="276" w:lineRule="auto"/>
        <w:ind w:firstLine="420" w:firstLineChars="200"/>
        <w:rPr>
          <w:rFonts w:ascii="宋体" w:hAnsi="宋体" w:cs="宋体"/>
          <w:szCs w:val="21"/>
        </w:rPr>
      </w:pPr>
      <w:r>
        <w:rPr>
          <w:rFonts w:hint="eastAsia" w:ascii="宋体" w:hAnsi="宋体" w:cs="宋体"/>
          <w:szCs w:val="21"/>
        </w:rPr>
        <w:t xml:space="preserve">4）合作单位人员从事特殊工种作业时须提前向甲方提供名单及相关证件，如电工等特殊工种，需在深圳会展中心设备部备案，并按照各工种要求穿戴齐全个人防护用品。 </w:t>
      </w:r>
    </w:p>
    <w:p>
      <w:pPr>
        <w:spacing w:line="276" w:lineRule="auto"/>
        <w:ind w:firstLine="420" w:firstLineChars="200"/>
        <w:rPr>
          <w:rFonts w:ascii="宋体" w:hAnsi="宋体" w:cs="宋体"/>
          <w:szCs w:val="21"/>
        </w:rPr>
      </w:pPr>
      <w:r>
        <w:rPr>
          <w:rFonts w:hint="eastAsia" w:ascii="宋体" w:hAnsi="宋体" w:cs="宋体"/>
          <w:szCs w:val="21"/>
        </w:rPr>
        <w:t>5）合作单位施工人员须严格遵守国家各项法律法规，遵守甲方的工作流程、操作规程、劳动安全、管理规定等各项规章制度（包括但不限于《展馆管理规定》、《展馆服务指南》）。</w:t>
      </w:r>
    </w:p>
    <w:p>
      <w:pPr>
        <w:spacing w:line="360" w:lineRule="auto"/>
        <w:ind w:firstLine="420" w:firstLineChars="200"/>
        <w:rPr>
          <w:rFonts w:ascii="宋体" w:hAnsi="宋体" w:cs="宋体"/>
          <w:szCs w:val="21"/>
        </w:rPr>
      </w:pPr>
      <w:r>
        <w:rPr>
          <w:rFonts w:hint="eastAsia" w:ascii="宋体" w:hAnsi="宋体" w:cs="宋体"/>
          <w:szCs w:val="21"/>
        </w:rPr>
        <w:t>三、该责任书一式四份，</w:t>
      </w:r>
      <w:r>
        <w:rPr>
          <w:rFonts w:hint="eastAsia" w:ascii="宋体" w:hAnsi="宋体" w:cs="宋体"/>
          <w:szCs w:val="21"/>
          <w:lang w:eastAsia="zh-CN"/>
        </w:rPr>
        <w:t>甲方执三分乙</w:t>
      </w:r>
      <w:r>
        <w:rPr>
          <w:rFonts w:hint="eastAsia" w:ascii="宋体" w:hAnsi="宋体" w:cs="宋体"/>
          <w:szCs w:val="21"/>
        </w:rPr>
        <w:t>方各执</w:t>
      </w:r>
      <w:r>
        <w:rPr>
          <w:rFonts w:hint="eastAsia" w:ascii="宋体" w:hAnsi="宋体" w:cs="宋体"/>
          <w:szCs w:val="21"/>
          <w:lang w:eastAsia="zh-CN"/>
        </w:rPr>
        <w:t>一</w:t>
      </w:r>
      <w:r>
        <w:rPr>
          <w:rFonts w:hint="eastAsia" w:ascii="宋体" w:hAnsi="宋体" w:cs="宋体"/>
          <w:szCs w:val="21"/>
        </w:rPr>
        <w:t>份，具有同等约束力，该责任书经双方法定代表人或法定代表人书面委托人签字并由双方盖章后在约定期限内有效。</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6300" w:hanging="6300" w:hangingChars="3000"/>
        <w:rPr>
          <w:rFonts w:ascii="宋体" w:hAnsi="宋体" w:cs="宋体"/>
          <w:szCs w:val="21"/>
        </w:rPr>
      </w:pPr>
      <w:r>
        <w:rPr>
          <w:rFonts w:hint="eastAsia" w:ascii="宋体" w:hAnsi="宋体" w:cs="宋体"/>
          <w:szCs w:val="21"/>
        </w:rPr>
        <w:t xml:space="preserve">深圳会展中心管理有限责任公司                    合作单位： </w:t>
      </w:r>
    </w:p>
    <w:p>
      <w:pPr>
        <w:spacing w:line="360" w:lineRule="auto"/>
        <w:ind w:left="6300" w:hanging="6300" w:hangingChars="3000"/>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法定代表人                                      合作单位法定代表人： </w:t>
      </w:r>
    </w:p>
    <w:p>
      <w:pPr>
        <w:tabs>
          <w:tab w:val="left" w:pos="-504"/>
        </w:tabs>
        <w:spacing w:line="360" w:lineRule="auto"/>
        <w:rPr>
          <w:rFonts w:ascii="宋体" w:hAnsi="宋体" w:cs="宋体"/>
          <w:szCs w:val="21"/>
        </w:rPr>
      </w:pPr>
      <w:r>
        <w:rPr>
          <w:rFonts w:hint="eastAsia" w:ascii="宋体" w:hAnsi="宋体" w:cs="宋体"/>
          <w:szCs w:val="21"/>
        </w:rPr>
        <w:t xml:space="preserve">（或委托代表人）：                              （或委托代表人）： </w:t>
      </w:r>
    </w:p>
    <w:p>
      <w:pPr>
        <w:spacing w:line="360" w:lineRule="auto"/>
        <w:rPr>
          <w:rFonts w:ascii="宋体" w:hAnsi="宋体" w:cs="宋体"/>
          <w:szCs w:val="21"/>
        </w:rPr>
      </w:pPr>
      <w:r>
        <w:rPr>
          <w:rFonts w:hint="eastAsia" w:ascii="宋体" w:hAnsi="宋体" w:cs="宋体"/>
          <w:szCs w:val="21"/>
        </w:rPr>
        <w:t xml:space="preserve">电  话：                                        电  话： </w:t>
      </w:r>
    </w:p>
    <w:p>
      <w:pPr>
        <w:spacing w:line="360" w:lineRule="auto"/>
        <w:rPr>
          <w:rFonts w:ascii="宋体" w:hAnsi="宋体" w:cs="宋体"/>
          <w:szCs w:val="21"/>
        </w:rPr>
      </w:pPr>
      <w:r>
        <w:rPr>
          <w:rFonts w:hint="eastAsia" w:ascii="宋体" w:hAnsi="宋体" w:cs="宋体"/>
          <w:szCs w:val="21"/>
        </w:rPr>
        <w:t>日  期：    年    月    日                      日  期：    年    月    日</w:t>
      </w:r>
    </w:p>
    <w:p>
      <w:pPr>
        <w:pStyle w:val="11"/>
        <w:rPr>
          <w:rFonts w:ascii="宋体" w:cs="宋体"/>
          <w:szCs w:val="21"/>
        </w:rPr>
      </w:pPr>
    </w:p>
    <w:p>
      <w:pPr>
        <w:pStyle w:val="11"/>
        <w:rPr>
          <w:rFonts w:ascii="宋体" w:cs="宋体"/>
          <w:szCs w:val="21"/>
        </w:rPr>
      </w:pPr>
    </w:p>
    <w:p>
      <w:pPr>
        <w:pStyle w:val="11"/>
      </w:pPr>
    </w:p>
    <w:p>
      <w:pPr>
        <w:jc w:val="center"/>
        <w:rPr>
          <w:rFonts w:ascii="宋体" w:hAnsi="宋体" w:cs="宋体"/>
          <w:szCs w:val="21"/>
        </w:rPr>
      </w:pPr>
      <w:r>
        <w:rPr>
          <w:rFonts w:hint="eastAsia" w:ascii="宋体" w:hAnsi="宋体" w:cs="宋体"/>
          <w:b/>
          <w:bCs/>
          <w:szCs w:val="21"/>
        </w:rPr>
        <w:t>设备试验要求及工程量</w:t>
      </w:r>
    </w:p>
    <w:p>
      <w:pPr>
        <w:jc w:val="center"/>
        <w:rPr>
          <w:rFonts w:ascii="宋体" w:hAnsi="宋体" w:cs="宋体"/>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63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jc w:val="center"/>
              <w:rPr>
                <w:rFonts w:ascii="宋体" w:hAnsi="宋体" w:cs="宋体"/>
                <w:szCs w:val="21"/>
              </w:rPr>
            </w:pPr>
            <w:r>
              <w:rPr>
                <w:rFonts w:hint="eastAsia" w:ascii="宋体" w:hAnsi="宋体" w:cs="宋体"/>
                <w:b/>
                <w:bCs/>
                <w:szCs w:val="21"/>
              </w:rPr>
              <w:t>中压开关柜（80面）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Pr>
          <w:p>
            <w:pPr>
              <w:jc w:val="center"/>
              <w:rPr>
                <w:rFonts w:ascii="宋体" w:hAnsi="宋体" w:cs="宋体"/>
                <w:szCs w:val="21"/>
              </w:rPr>
            </w:pPr>
            <w:r>
              <w:rPr>
                <w:rFonts w:hint="eastAsia" w:ascii="宋体" w:hAnsi="宋体" w:cs="宋体"/>
                <w:szCs w:val="21"/>
              </w:rPr>
              <w:t>序号</w:t>
            </w:r>
          </w:p>
        </w:tc>
        <w:tc>
          <w:tcPr>
            <w:tcW w:w="1634" w:type="dxa"/>
          </w:tcPr>
          <w:p>
            <w:pPr>
              <w:jc w:val="center"/>
              <w:rPr>
                <w:rFonts w:ascii="宋体" w:hAnsi="宋体" w:cs="宋体"/>
                <w:szCs w:val="21"/>
              </w:rPr>
            </w:pPr>
            <w:r>
              <w:rPr>
                <w:rFonts w:hint="eastAsia" w:ascii="宋体" w:hAnsi="宋体" w:cs="宋体"/>
                <w:szCs w:val="21"/>
              </w:rPr>
              <w:t>测试项目名称</w:t>
            </w:r>
          </w:p>
        </w:tc>
        <w:tc>
          <w:tcPr>
            <w:tcW w:w="6218" w:type="dxa"/>
            <w:vAlign w:val="center"/>
          </w:tcPr>
          <w:p>
            <w:pPr>
              <w:jc w:val="center"/>
              <w:rPr>
                <w:rFonts w:ascii="宋体" w:hAnsi="宋体" w:cs="宋体"/>
                <w:szCs w:val="21"/>
              </w:rPr>
            </w:pPr>
            <w:r>
              <w:rPr>
                <w:rFonts w:hint="eastAsia" w:ascii="宋体" w:hAnsi="宋体" w:cs="宋体"/>
                <w:szCs w:val="21"/>
              </w:rPr>
              <w:t>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rPr>
                <w:rFonts w:ascii="宋体" w:hAnsi="宋体" w:cs="宋体"/>
                <w:szCs w:val="21"/>
              </w:rPr>
            </w:pPr>
            <w:r>
              <w:rPr>
                <w:rFonts w:hint="eastAsia" w:ascii="宋体" w:hAnsi="宋体" w:cs="宋体"/>
                <w:szCs w:val="21"/>
              </w:rPr>
              <w:t>1</w:t>
            </w:r>
          </w:p>
        </w:tc>
        <w:tc>
          <w:tcPr>
            <w:tcW w:w="1634" w:type="dxa"/>
            <w:vAlign w:val="center"/>
          </w:tcPr>
          <w:p>
            <w:pPr>
              <w:pStyle w:val="22"/>
              <w:tabs>
                <w:tab w:val="left" w:pos="531"/>
              </w:tabs>
              <w:spacing w:line="360" w:lineRule="auto"/>
              <w:ind w:firstLine="0" w:firstLineChars="0"/>
              <w:rPr>
                <w:rFonts w:ascii="宋体" w:hAnsi="宋体" w:eastAsia="宋体" w:cs="宋体"/>
                <w:szCs w:val="21"/>
              </w:rPr>
            </w:pPr>
            <w:r>
              <w:rPr>
                <w:rFonts w:hint="eastAsia" w:ascii="宋体" w:hAnsi="宋体" w:eastAsia="宋体" w:cs="宋体"/>
                <w:bCs/>
                <w:szCs w:val="21"/>
              </w:rPr>
              <w:t>真空断路器</w:t>
            </w:r>
          </w:p>
        </w:tc>
        <w:tc>
          <w:tcPr>
            <w:tcW w:w="6218" w:type="dxa"/>
          </w:tcPr>
          <w:p>
            <w:pPr>
              <w:pStyle w:val="22"/>
              <w:numPr>
                <w:ilvl w:val="0"/>
                <w:numId w:val="35"/>
              </w:numPr>
              <w:tabs>
                <w:tab w:val="left" w:pos="640"/>
              </w:tabs>
              <w:spacing w:line="240" w:lineRule="auto"/>
              <w:ind w:firstLine="400" w:firstLineChars="0"/>
              <w:rPr>
                <w:rFonts w:ascii="宋体" w:hAnsi="宋体" w:eastAsia="宋体" w:cs="宋体"/>
                <w:bCs/>
                <w:szCs w:val="21"/>
              </w:rPr>
            </w:pPr>
            <w:r>
              <w:rPr>
                <w:rFonts w:hint="eastAsia" w:ascii="宋体" w:hAnsi="宋体" w:eastAsia="宋体" w:cs="宋体"/>
                <w:bCs/>
                <w:szCs w:val="21"/>
              </w:rPr>
              <w:t>测量绝缘电阻：整体绝缘电阻值测量，不低于制造厂规定；绝缘拉杆的绝缘电阻值，在常温下不应低于300兆欧。</w:t>
            </w:r>
          </w:p>
          <w:p>
            <w:pPr>
              <w:pStyle w:val="22"/>
              <w:numPr>
                <w:ilvl w:val="0"/>
                <w:numId w:val="35"/>
              </w:numPr>
              <w:tabs>
                <w:tab w:val="left" w:pos="640"/>
              </w:tabs>
              <w:spacing w:line="240" w:lineRule="auto"/>
              <w:ind w:firstLine="400" w:firstLineChars="0"/>
              <w:rPr>
                <w:rFonts w:ascii="宋体" w:hAnsi="宋体" w:eastAsia="宋体" w:cs="宋体"/>
                <w:szCs w:val="21"/>
              </w:rPr>
            </w:pPr>
            <w:r>
              <w:rPr>
                <w:rFonts w:hint="eastAsia" w:ascii="宋体" w:hAnsi="宋体" w:eastAsia="宋体" w:cs="宋体"/>
                <w:bCs/>
                <w:szCs w:val="21"/>
              </w:rPr>
              <w:t>测量每相导电回路的直流电阻：用电流不小于100A的直流压降法测量，电阻值应不大于出厂值的120%。</w:t>
            </w:r>
          </w:p>
          <w:p>
            <w:pPr>
              <w:pStyle w:val="22"/>
              <w:numPr>
                <w:ilvl w:val="0"/>
                <w:numId w:val="35"/>
              </w:numPr>
              <w:tabs>
                <w:tab w:val="left" w:pos="640"/>
              </w:tabs>
              <w:spacing w:line="240" w:lineRule="auto"/>
              <w:ind w:firstLine="400" w:firstLineChars="0"/>
              <w:rPr>
                <w:rFonts w:ascii="宋体" w:hAnsi="宋体" w:eastAsia="宋体" w:cs="宋体"/>
                <w:szCs w:val="21"/>
              </w:rPr>
            </w:pPr>
            <w:r>
              <w:rPr>
                <w:rFonts w:hint="eastAsia" w:ascii="宋体" w:hAnsi="宋体" w:eastAsia="宋体" w:cs="宋体"/>
                <w:bCs/>
                <w:szCs w:val="21"/>
              </w:rPr>
              <w:t>交流耐压试验：断路器的交流耐压试验应在分、合闸状态下分别进行，设备对地及相间的试验电压按照：a、断路器连接如互感器等绝缘水平较低设备，不能分离试验时，按最低耐压试验电压标准；b、进口开关设备其绝缘水平低于42KV，按28KV进行。试验标准为无闪络击穿，耐压前后测量绝缘电阻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rPr>
                <w:rFonts w:ascii="宋体" w:hAnsi="宋体" w:cs="宋体"/>
                <w:szCs w:val="21"/>
              </w:rPr>
            </w:pPr>
            <w:r>
              <w:rPr>
                <w:rFonts w:hint="eastAsia" w:ascii="宋体" w:hAnsi="宋体" w:cs="宋体"/>
                <w:szCs w:val="21"/>
              </w:rPr>
              <w:t>2</w:t>
            </w:r>
          </w:p>
        </w:tc>
        <w:tc>
          <w:tcPr>
            <w:tcW w:w="1634" w:type="dxa"/>
            <w:vAlign w:val="center"/>
          </w:tcPr>
          <w:p>
            <w:pPr>
              <w:pStyle w:val="22"/>
              <w:numPr>
                <w:ilvl w:val="255"/>
                <w:numId w:val="0"/>
              </w:numPr>
              <w:tabs>
                <w:tab w:val="left" w:pos="531"/>
              </w:tabs>
              <w:spacing w:line="360" w:lineRule="auto"/>
              <w:rPr>
                <w:rFonts w:ascii="宋体" w:hAnsi="宋体" w:eastAsia="宋体" w:cs="宋体"/>
                <w:bCs/>
                <w:szCs w:val="21"/>
              </w:rPr>
            </w:pPr>
            <w:r>
              <w:rPr>
                <w:rFonts w:hint="eastAsia" w:ascii="宋体" w:hAnsi="宋体" w:eastAsia="宋体" w:cs="宋体"/>
                <w:bCs/>
                <w:szCs w:val="21"/>
              </w:rPr>
              <w:t>流互感器</w:t>
            </w:r>
          </w:p>
          <w:p>
            <w:pPr>
              <w:rPr>
                <w:rFonts w:ascii="宋体" w:hAnsi="宋体" w:cs="宋体"/>
                <w:szCs w:val="21"/>
              </w:rPr>
            </w:pPr>
          </w:p>
        </w:tc>
        <w:tc>
          <w:tcPr>
            <w:tcW w:w="6218" w:type="dxa"/>
          </w:tcPr>
          <w:p>
            <w:pPr>
              <w:jc w:val="left"/>
              <w:rPr>
                <w:rFonts w:ascii="宋体" w:hAnsi="宋体" w:cs="宋体"/>
                <w:szCs w:val="21"/>
              </w:rPr>
            </w:pPr>
            <w:r>
              <w:rPr>
                <w:rFonts w:hint="eastAsia" w:ascii="宋体" w:hAnsi="宋体" w:cs="宋体"/>
                <w:bCs/>
                <w:szCs w:val="21"/>
              </w:rPr>
              <w:t>测量绝缘电阻（测量高压对低压及对地的阻值）：分别测量一次绕组对二次绕组及对地、二次绕组对一次绕组及对地、二次绕组间绝缘电阻等阻值与出厂值有无明显变化，一般不低于1000兆欧（或不低于出厂值或初始值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0" w:type="dxa"/>
            <w:vAlign w:val="center"/>
          </w:tcPr>
          <w:p>
            <w:pPr>
              <w:rPr>
                <w:rFonts w:ascii="宋体" w:hAnsi="宋体" w:cs="宋体"/>
                <w:szCs w:val="21"/>
              </w:rPr>
            </w:pPr>
            <w:r>
              <w:rPr>
                <w:rFonts w:hint="eastAsia" w:ascii="宋体" w:hAnsi="宋体" w:cs="宋体"/>
                <w:szCs w:val="21"/>
              </w:rPr>
              <w:t>3</w:t>
            </w:r>
          </w:p>
        </w:tc>
        <w:tc>
          <w:tcPr>
            <w:tcW w:w="1634" w:type="dxa"/>
            <w:vAlign w:val="center"/>
          </w:tcPr>
          <w:p>
            <w:pPr>
              <w:pStyle w:val="22"/>
              <w:numPr>
                <w:ilvl w:val="255"/>
                <w:numId w:val="0"/>
              </w:numPr>
              <w:tabs>
                <w:tab w:val="left" w:pos="531"/>
              </w:tabs>
              <w:spacing w:line="360" w:lineRule="auto"/>
              <w:rPr>
                <w:rFonts w:ascii="宋体" w:hAnsi="宋体" w:eastAsia="宋体" w:cs="宋体"/>
                <w:bCs/>
                <w:szCs w:val="21"/>
              </w:rPr>
            </w:pPr>
            <w:r>
              <w:rPr>
                <w:rFonts w:hint="eastAsia" w:ascii="宋体" w:hAnsi="宋体" w:eastAsia="宋体" w:cs="宋体"/>
                <w:bCs/>
                <w:szCs w:val="21"/>
              </w:rPr>
              <w:t>电压互感器</w:t>
            </w:r>
          </w:p>
          <w:p>
            <w:pPr>
              <w:rPr>
                <w:rFonts w:ascii="宋体" w:hAnsi="宋体" w:cs="宋体"/>
                <w:szCs w:val="21"/>
              </w:rPr>
            </w:pPr>
          </w:p>
        </w:tc>
        <w:tc>
          <w:tcPr>
            <w:tcW w:w="6218" w:type="dxa"/>
          </w:tcPr>
          <w:p>
            <w:pPr>
              <w:pStyle w:val="22"/>
              <w:numPr>
                <w:ilvl w:val="0"/>
                <w:numId w:val="36"/>
              </w:numPr>
              <w:tabs>
                <w:tab w:val="left" w:pos="220"/>
              </w:tabs>
              <w:spacing w:line="240" w:lineRule="auto"/>
              <w:ind w:firstLine="400" w:firstLineChars="0"/>
              <w:rPr>
                <w:rFonts w:ascii="宋体" w:hAnsi="宋体" w:eastAsia="宋体" w:cs="宋体"/>
                <w:szCs w:val="21"/>
              </w:rPr>
            </w:pPr>
            <w:r>
              <w:rPr>
                <w:rFonts w:hint="eastAsia" w:ascii="宋体" w:hAnsi="宋体" w:eastAsia="宋体" w:cs="宋体"/>
                <w:bCs/>
                <w:szCs w:val="21"/>
              </w:rPr>
              <w:t>交流耐压试验：试验电压按照38KV对地进行（只做装在移动小车上的互感器），试验标准为无闪络击穿。</w:t>
            </w:r>
          </w:p>
          <w:p>
            <w:pPr>
              <w:pStyle w:val="22"/>
              <w:numPr>
                <w:ilvl w:val="0"/>
                <w:numId w:val="36"/>
              </w:numPr>
              <w:tabs>
                <w:tab w:val="left" w:pos="220"/>
              </w:tabs>
              <w:spacing w:line="240" w:lineRule="auto"/>
              <w:ind w:firstLine="400" w:firstLineChars="0"/>
              <w:rPr>
                <w:rFonts w:ascii="宋体" w:hAnsi="宋体" w:eastAsia="宋体" w:cs="宋体"/>
                <w:szCs w:val="21"/>
              </w:rPr>
            </w:pPr>
            <w:r>
              <w:rPr>
                <w:rFonts w:hint="eastAsia" w:ascii="宋体" w:hAnsi="宋体" w:eastAsia="宋体" w:cs="宋体"/>
                <w:bCs/>
                <w:szCs w:val="21"/>
              </w:rPr>
              <w:t>绝缘电阻：不低于出厂值或初始值的70%，只做装在小车上的互感器。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rPr>
                <w:rFonts w:ascii="宋体" w:hAnsi="宋体" w:cs="宋体"/>
                <w:szCs w:val="21"/>
              </w:rPr>
            </w:pPr>
            <w:r>
              <w:rPr>
                <w:rFonts w:hint="eastAsia" w:ascii="宋体" w:hAnsi="宋体" w:cs="宋体"/>
                <w:szCs w:val="21"/>
              </w:rPr>
              <w:t>4</w:t>
            </w:r>
          </w:p>
        </w:tc>
        <w:tc>
          <w:tcPr>
            <w:tcW w:w="1634" w:type="dxa"/>
            <w:vAlign w:val="center"/>
          </w:tcPr>
          <w:p>
            <w:pPr>
              <w:rPr>
                <w:rFonts w:ascii="宋体" w:hAnsi="宋体" w:cs="宋体"/>
                <w:szCs w:val="21"/>
              </w:rPr>
            </w:pPr>
            <w:r>
              <w:rPr>
                <w:rFonts w:hint="eastAsia" w:ascii="宋体" w:hAnsi="宋体" w:cs="宋体"/>
                <w:bCs/>
                <w:szCs w:val="21"/>
              </w:rPr>
              <w:t>氧化锌避雷器</w:t>
            </w:r>
          </w:p>
        </w:tc>
        <w:tc>
          <w:tcPr>
            <w:tcW w:w="6218" w:type="dxa"/>
          </w:tcPr>
          <w:p>
            <w:pPr>
              <w:tabs>
                <w:tab w:val="left" w:pos="531"/>
              </w:tabs>
              <w:spacing w:line="240" w:lineRule="auto"/>
              <w:jc w:val="left"/>
              <w:rPr>
                <w:rFonts w:ascii="宋体" w:hAnsi="宋体" w:cs="宋体"/>
                <w:szCs w:val="21"/>
              </w:rPr>
            </w:pPr>
            <w:r>
              <w:rPr>
                <w:rFonts w:hint="eastAsia" w:ascii="宋体" w:hAnsi="宋体" w:cs="宋体"/>
                <w:bCs/>
                <w:szCs w:val="21"/>
              </w:rPr>
              <w:t>测量绝缘电阻：不小于1000兆欧。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rPr>
                <w:rFonts w:ascii="宋体" w:hAnsi="宋体" w:cs="宋体"/>
                <w:szCs w:val="21"/>
              </w:rPr>
            </w:pPr>
            <w:r>
              <w:rPr>
                <w:rFonts w:hint="eastAsia" w:ascii="宋体" w:hAnsi="宋体" w:cs="宋体"/>
                <w:szCs w:val="21"/>
              </w:rPr>
              <w:t>5</w:t>
            </w:r>
          </w:p>
        </w:tc>
        <w:tc>
          <w:tcPr>
            <w:tcW w:w="1634" w:type="dxa"/>
            <w:vAlign w:val="center"/>
          </w:tcPr>
          <w:p>
            <w:pPr>
              <w:pStyle w:val="22"/>
              <w:tabs>
                <w:tab w:val="left" w:pos="531"/>
              </w:tabs>
              <w:spacing w:line="360" w:lineRule="auto"/>
              <w:ind w:firstLine="0" w:firstLineChars="0"/>
              <w:rPr>
                <w:rFonts w:ascii="宋体" w:hAnsi="宋体" w:cs="宋体"/>
                <w:szCs w:val="21"/>
              </w:rPr>
            </w:pPr>
            <w:r>
              <w:rPr>
                <w:rFonts w:hint="eastAsia" w:ascii="宋体" w:hAnsi="宋体" w:eastAsia="宋体" w:cs="宋体"/>
                <w:bCs/>
                <w:szCs w:val="21"/>
              </w:rPr>
              <w:t>绝缘子</w:t>
            </w:r>
          </w:p>
        </w:tc>
        <w:tc>
          <w:tcPr>
            <w:tcW w:w="6218" w:type="dxa"/>
          </w:tcPr>
          <w:p>
            <w:pPr>
              <w:tabs>
                <w:tab w:val="left" w:pos="420"/>
              </w:tabs>
              <w:spacing w:line="240" w:lineRule="auto"/>
              <w:jc w:val="left"/>
              <w:rPr>
                <w:rFonts w:ascii="宋体" w:hAnsi="宋体" w:cs="宋体"/>
                <w:szCs w:val="21"/>
              </w:rPr>
            </w:pPr>
            <w:r>
              <w:rPr>
                <w:rFonts w:hint="eastAsia" w:ascii="宋体" w:hAnsi="宋体" w:cs="宋体"/>
                <w:bCs/>
                <w:szCs w:val="21"/>
              </w:rPr>
              <w:t>运行在10KV电压的固体有机绝缘子按38KV进行，试验标准为无闪络击穿，耐压前后测量绝缘电阻无明显变化。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tabs>
                <w:tab w:val="left" w:pos="531"/>
              </w:tabs>
              <w:snapToGrid w:val="0"/>
              <w:spacing w:line="240" w:lineRule="auto"/>
              <w:ind w:left="105" w:leftChars="50"/>
              <w:jc w:val="center"/>
              <w:rPr>
                <w:rFonts w:ascii="宋体" w:hAnsi="宋体" w:cs="宋体"/>
                <w:szCs w:val="21"/>
              </w:rPr>
            </w:pPr>
            <w:r>
              <w:rPr>
                <w:rFonts w:hint="eastAsia" w:ascii="宋体" w:hAnsi="宋体" w:cs="宋体"/>
                <w:b/>
                <w:bCs/>
                <w:szCs w:val="21"/>
              </w:rPr>
              <w:t>环网柜（17面）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rPr>
                <w:rFonts w:ascii="宋体" w:hAnsi="宋体" w:cs="宋体"/>
                <w:szCs w:val="21"/>
              </w:rPr>
            </w:pPr>
            <w:r>
              <w:rPr>
                <w:rFonts w:hint="eastAsia" w:ascii="宋体" w:hAnsi="宋体" w:cs="宋体"/>
                <w:szCs w:val="21"/>
              </w:rPr>
              <w:t>1</w:t>
            </w:r>
          </w:p>
        </w:tc>
        <w:tc>
          <w:tcPr>
            <w:tcW w:w="1634" w:type="dxa"/>
            <w:vAlign w:val="center"/>
          </w:tcPr>
          <w:p>
            <w:pPr>
              <w:rPr>
                <w:rFonts w:ascii="宋体" w:hAnsi="宋体" w:cs="宋体"/>
                <w:szCs w:val="21"/>
              </w:rPr>
            </w:pPr>
            <w:r>
              <w:rPr>
                <w:rFonts w:hint="eastAsia" w:ascii="宋体" w:hAnsi="宋体" w:cs="宋体"/>
                <w:bCs/>
                <w:szCs w:val="21"/>
              </w:rPr>
              <w:t>测量绝缘电阻</w:t>
            </w:r>
          </w:p>
        </w:tc>
        <w:tc>
          <w:tcPr>
            <w:tcW w:w="6218" w:type="dxa"/>
          </w:tcPr>
          <w:p>
            <w:pPr>
              <w:jc w:val="left"/>
              <w:rPr>
                <w:rFonts w:ascii="宋体" w:hAnsi="宋体" w:cs="宋体"/>
                <w:szCs w:val="21"/>
              </w:rPr>
            </w:pPr>
            <w:r>
              <w:rPr>
                <w:rFonts w:hint="eastAsia" w:ascii="宋体" w:hAnsi="宋体" w:cs="宋体"/>
                <w:bCs/>
                <w:szCs w:val="21"/>
              </w:rPr>
              <w:t>绝缘拉杆的绝缘电阻值，在常温下不应低于300兆欧。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rPr>
                <w:rFonts w:ascii="宋体" w:hAnsi="宋体" w:cs="宋体"/>
                <w:szCs w:val="21"/>
              </w:rPr>
            </w:pPr>
            <w:r>
              <w:rPr>
                <w:rFonts w:hint="eastAsia" w:ascii="宋体" w:hAnsi="宋体" w:cs="宋体"/>
                <w:szCs w:val="21"/>
              </w:rPr>
              <w:t>2</w:t>
            </w:r>
          </w:p>
        </w:tc>
        <w:tc>
          <w:tcPr>
            <w:tcW w:w="1634" w:type="dxa"/>
            <w:vAlign w:val="center"/>
          </w:tcPr>
          <w:p>
            <w:pPr>
              <w:rPr>
                <w:rFonts w:ascii="宋体" w:hAnsi="宋体" w:cs="宋体"/>
                <w:szCs w:val="21"/>
              </w:rPr>
            </w:pPr>
            <w:r>
              <w:rPr>
                <w:rFonts w:hint="eastAsia" w:ascii="宋体" w:hAnsi="宋体" w:cs="宋体"/>
                <w:bCs/>
                <w:szCs w:val="21"/>
              </w:rPr>
              <w:t>交流耐压试验</w:t>
            </w:r>
          </w:p>
        </w:tc>
        <w:tc>
          <w:tcPr>
            <w:tcW w:w="6218" w:type="dxa"/>
          </w:tcPr>
          <w:p>
            <w:pPr>
              <w:pStyle w:val="22"/>
              <w:numPr>
                <w:ilvl w:val="-1"/>
                <w:numId w:val="0"/>
              </w:numPr>
              <w:tabs>
                <w:tab w:val="left" w:pos="531"/>
              </w:tabs>
              <w:spacing w:line="240" w:lineRule="auto"/>
              <w:ind w:left="0" w:firstLine="0" w:firstLineChars="0"/>
              <w:jc w:val="left"/>
              <w:rPr>
                <w:rFonts w:ascii="宋体" w:hAnsi="宋体" w:eastAsia="宋体" w:cs="宋体"/>
                <w:bCs/>
                <w:szCs w:val="21"/>
              </w:rPr>
            </w:pPr>
            <w:r>
              <w:rPr>
                <w:rFonts w:hint="eastAsia" w:ascii="宋体" w:hAnsi="宋体" w:eastAsia="宋体" w:cs="宋体"/>
                <w:bCs/>
                <w:szCs w:val="21"/>
              </w:rPr>
              <w:t>断路器的交流耐压试验应在分、合闸状态下分别进行，设备对地及相间的试验电压按照：</w:t>
            </w:r>
          </w:p>
          <w:p>
            <w:pPr>
              <w:pStyle w:val="22"/>
              <w:numPr>
                <w:ilvl w:val="0"/>
                <w:numId w:val="37"/>
              </w:numPr>
              <w:tabs>
                <w:tab w:val="left" w:pos="531"/>
              </w:tabs>
              <w:spacing w:line="240" w:lineRule="auto"/>
              <w:ind w:left="0" w:firstLine="420" w:firstLineChars="200"/>
              <w:jc w:val="left"/>
              <w:rPr>
                <w:rFonts w:ascii="宋体" w:hAnsi="宋体" w:cs="宋体"/>
                <w:szCs w:val="21"/>
              </w:rPr>
            </w:pPr>
            <w:r>
              <w:rPr>
                <w:rFonts w:hint="eastAsia" w:ascii="宋体" w:hAnsi="宋体" w:eastAsia="宋体" w:cs="宋体"/>
                <w:bCs/>
                <w:szCs w:val="21"/>
              </w:rPr>
              <w:t>断路器连接如互感器等绝缘水平较低设备，不能分离试验时，按最低耐压试验电压标准；</w:t>
            </w:r>
          </w:p>
          <w:p>
            <w:pPr>
              <w:pStyle w:val="22"/>
              <w:numPr>
                <w:ilvl w:val="0"/>
                <w:numId w:val="37"/>
              </w:numPr>
              <w:tabs>
                <w:tab w:val="left" w:pos="531"/>
              </w:tabs>
              <w:spacing w:line="240" w:lineRule="auto"/>
              <w:ind w:left="0" w:firstLine="420" w:firstLineChars="200"/>
              <w:jc w:val="left"/>
              <w:rPr>
                <w:rFonts w:ascii="宋体" w:hAnsi="宋体" w:cs="宋体"/>
                <w:szCs w:val="21"/>
              </w:rPr>
            </w:pPr>
            <w:r>
              <w:rPr>
                <w:rFonts w:hint="eastAsia" w:ascii="宋体" w:hAnsi="宋体" w:eastAsia="宋体" w:cs="宋体"/>
                <w:bCs/>
                <w:szCs w:val="21"/>
              </w:rPr>
              <w:t>进口开关设备其绝缘水平低于42KV，按28KV进行。试验标准为无闪络击穿。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jc w:val="center"/>
              <w:rPr>
                <w:rFonts w:ascii="宋体" w:hAnsi="宋体" w:cs="宋体"/>
                <w:szCs w:val="21"/>
              </w:rPr>
            </w:pPr>
            <w:r>
              <w:rPr>
                <w:rFonts w:hint="eastAsia" w:ascii="宋体" w:hAnsi="宋体" w:cs="宋体"/>
                <w:b/>
                <w:bCs/>
                <w:szCs w:val="21"/>
              </w:rPr>
              <w:t>微机保护装置（54台）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rPr>
                <w:rFonts w:ascii="宋体" w:hAnsi="宋体" w:cs="宋体"/>
                <w:szCs w:val="21"/>
              </w:rPr>
            </w:pPr>
            <w:r>
              <w:rPr>
                <w:rFonts w:hint="eastAsia" w:ascii="宋体" w:hAnsi="宋体" w:cs="宋体"/>
                <w:szCs w:val="21"/>
              </w:rPr>
              <w:t>1</w:t>
            </w:r>
          </w:p>
        </w:tc>
        <w:tc>
          <w:tcPr>
            <w:tcW w:w="1634" w:type="dxa"/>
            <w:vAlign w:val="center"/>
          </w:tcPr>
          <w:p>
            <w:pPr>
              <w:rPr>
                <w:rFonts w:ascii="宋体" w:hAnsi="宋体" w:cs="宋体"/>
                <w:szCs w:val="21"/>
              </w:rPr>
            </w:pPr>
            <w:r>
              <w:rPr>
                <w:rFonts w:hint="eastAsia" w:ascii="宋体" w:hAnsi="宋体" w:cs="宋体"/>
                <w:bCs/>
                <w:szCs w:val="21"/>
              </w:rPr>
              <w:t>通讯测试</w:t>
            </w:r>
          </w:p>
        </w:tc>
        <w:tc>
          <w:tcPr>
            <w:tcW w:w="6218" w:type="dxa"/>
          </w:tcPr>
          <w:p>
            <w:pPr>
              <w:pStyle w:val="22"/>
              <w:numPr>
                <w:ilvl w:val="255"/>
                <w:numId w:val="0"/>
              </w:numPr>
              <w:tabs>
                <w:tab w:val="left" w:pos="531"/>
              </w:tabs>
              <w:spacing w:line="240" w:lineRule="auto"/>
              <w:ind w:left="-53" w:leftChars="-25"/>
              <w:jc w:val="left"/>
              <w:rPr>
                <w:rFonts w:ascii="宋体" w:hAnsi="宋体" w:cs="宋体"/>
                <w:szCs w:val="21"/>
              </w:rPr>
            </w:pPr>
            <w:r>
              <w:rPr>
                <w:rFonts w:hint="eastAsia" w:ascii="宋体" w:hAnsi="宋体" w:eastAsia="宋体" w:cs="宋体"/>
                <w:bCs/>
                <w:szCs w:val="21"/>
              </w:rPr>
              <w:t>对设备的通讯链路进行测试。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rPr>
                <w:rFonts w:ascii="宋体" w:hAnsi="宋体" w:cs="宋体"/>
                <w:szCs w:val="21"/>
              </w:rPr>
            </w:pPr>
            <w:r>
              <w:rPr>
                <w:rFonts w:hint="eastAsia" w:ascii="宋体" w:hAnsi="宋体" w:cs="宋体"/>
                <w:szCs w:val="21"/>
              </w:rPr>
              <w:t>2</w:t>
            </w:r>
          </w:p>
        </w:tc>
        <w:tc>
          <w:tcPr>
            <w:tcW w:w="1634" w:type="dxa"/>
            <w:vAlign w:val="center"/>
          </w:tcPr>
          <w:p>
            <w:pPr>
              <w:rPr>
                <w:rFonts w:ascii="宋体" w:hAnsi="宋体" w:cs="宋体"/>
                <w:szCs w:val="21"/>
              </w:rPr>
            </w:pPr>
            <w:r>
              <w:rPr>
                <w:rFonts w:hint="eastAsia" w:ascii="宋体" w:hAnsi="宋体" w:cs="宋体"/>
                <w:bCs/>
                <w:szCs w:val="21"/>
              </w:rPr>
              <w:t>保护功能测试</w:t>
            </w:r>
          </w:p>
        </w:tc>
        <w:tc>
          <w:tcPr>
            <w:tcW w:w="6218" w:type="dxa"/>
          </w:tcPr>
          <w:p>
            <w:pPr>
              <w:jc w:val="left"/>
              <w:rPr>
                <w:rFonts w:ascii="宋体" w:hAnsi="宋体" w:cs="宋体"/>
                <w:szCs w:val="21"/>
              </w:rPr>
            </w:pPr>
            <w:r>
              <w:rPr>
                <w:rFonts w:hint="eastAsia" w:ascii="宋体" w:hAnsi="宋体" w:cs="宋体"/>
                <w:bCs/>
                <w:szCs w:val="21"/>
              </w:rPr>
              <w:t>相过流保护， 接地故障/敏感接地故障，负荷不平衡、负序电流保护，断线监视，过压保护，低压保护，负序过压。各项保护参数核检，确保保护功能正常，通讯正常。</w:t>
            </w:r>
          </w:p>
        </w:tc>
      </w:tr>
    </w:tbl>
    <w:p>
      <w:pPr>
        <w:pStyle w:val="2"/>
        <w:ind w:left="0"/>
      </w:pPr>
    </w:p>
    <w:p>
      <w:pPr>
        <w:spacing w:before="312" w:beforeLines="100" w:after="312" w:afterLines="100" w:line="360" w:lineRule="auto"/>
        <w:jc w:val="center"/>
        <w:outlineLvl w:val="0"/>
        <w:rPr>
          <w:rFonts w:hint="eastAsia"/>
          <w:b/>
          <w:sz w:val="32"/>
          <w:szCs w:val="32"/>
        </w:rPr>
      </w:pPr>
      <w:bookmarkStart w:id="62" w:name="_Toc116550359"/>
      <w:r>
        <w:rPr>
          <w:rFonts w:hint="eastAsia"/>
          <w:b/>
          <w:sz w:val="32"/>
          <w:szCs w:val="32"/>
        </w:rPr>
        <w:t>第五部分：参考附件</w:t>
      </w:r>
      <w:bookmarkEnd w:id="62"/>
    </w:p>
    <w:p>
      <w:pPr>
        <w:pStyle w:val="2"/>
        <w:rPr>
          <w:rFonts w:hint="eastAsia"/>
          <w:b/>
          <w:sz w:val="32"/>
          <w:szCs w:val="32"/>
        </w:rPr>
      </w:pPr>
    </w:p>
    <w:p>
      <w:pPr>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b/>
          <w:sz w:val="32"/>
          <w:szCs w:val="32"/>
        </w:rPr>
      </w:pPr>
    </w:p>
    <w:p/>
    <w:p>
      <w:pPr>
        <w:spacing w:line="0" w:lineRule="atLeast"/>
        <w:outlineLvl w:val="1"/>
        <w:rPr>
          <w:rFonts w:ascii="宋体" w:hAnsi="宋体"/>
        </w:rPr>
      </w:pPr>
      <w:bookmarkStart w:id="63" w:name="_Toc116550360"/>
      <w:r>
        <w:rPr>
          <w:rFonts w:hint="eastAsia" w:ascii="宋体" w:hAnsi="宋体"/>
          <w:szCs w:val="21"/>
        </w:rPr>
        <w:t>附件1：</w:t>
      </w:r>
      <w:r>
        <w:rPr>
          <w:rFonts w:hint="eastAsia" w:ascii="宋体" w:hAnsi="宋体"/>
        </w:rPr>
        <w:t>报名回函</w:t>
      </w:r>
      <w:bookmarkEnd w:id="63"/>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4" w:name="_Toc116550361"/>
      <w:r>
        <w:rPr>
          <w:rFonts w:hint="eastAsia" w:ascii="宋体" w:hAnsi="宋体"/>
          <w:szCs w:val="21"/>
        </w:rPr>
        <w:t>附件2：投标函</w:t>
      </w:r>
      <w:bookmarkEnd w:id="64"/>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5" w:name="_Toc116550362"/>
      <w:r>
        <w:rPr>
          <w:rFonts w:hint="eastAsia" w:ascii="宋体" w:hAnsi="宋体"/>
          <w:szCs w:val="21"/>
        </w:rPr>
        <w:t>附件3：投标一览表</w:t>
      </w:r>
      <w:bookmarkEnd w:id="65"/>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6"/>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7" w:name="_Toc116550363"/>
      <w:r>
        <w:rPr>
          <w:rFonts w:hint="eastAsia" w:ascii="宋体" w:hAnsi="宋体"/>
          <w:szCs w:val="21"/>
        </w:rPr>
        <w:t>附件4：考察证明</w:t>
      </w:r>
      <w:bookmarkEnd w:id="67"/>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8"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9"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0" w:name="_Toc116550364"/>
      <w:r>
        <w:rPr>
          <w:rFonts w:hint="eastAsia" w:ascii="宋体" w:hAnsi="宋体"/>
          <w:szCs w:val="21"/>
        </w:rPr>
        <w:t>附件5：技术服务响应/偏离表</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18"/>
      <w:r>
        <w:rPr>
          <w:rFonts w:hint="eastAsia" w:ascii="方正小标宋_GBK" w:hAnsi="方正小标宋_GBK" w:eastAsia="方正小标宋_GBK"/>
          <w:b/>
          <w:sz w:val="32"/>
          <w:szCs w:val="32"/>
        </w:rPr>
        <w:t>技术服务响应/偏离表</w:t>
      </w:r>
      <w:bookmarkEnd w:id="71"/>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2"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46480945"/>
      <w:bookmarkStart w:id="74" w:name="_Toc236803114"/>
      <w:r>
        <w:rPr>
          <w:rFonts w:ascii="仿宋" w:hAnsi="仿宋" w:eastAsia="仿宋"/>
          <w:sz w:val="28"/>
          <w:szCs w:val="28"/>
        </w:rPr>
        <w:br w:type="page"/>
      </w:r>
    </w:p>
    <w:p>
      <w:pPr>
        <w:spacing w:line="0" w:lineRule="atLeast"/>
        <w:outlineLvl w:val="1"/>
        <w:rPr>
          <w:rFonts w:ascii="宋体" w:hAnsi="宋体"/>
          <w:szCs w:val="21"/>
        </w:rPr>
      </w:pPr>
      <w:bookmarkStart w:id="75" w:name="_Toc116550365"/>
      <w:r>
        <w:rPr>
          <w:rFonts w:hint="eastAsia" w:ascii="宋体" w:hAnsi="宋体"/>
          <w:szCs w:val="21"/>
        </w:rPr>
        <w:t>附件6：商务条款响应/偏离表</w:t>
      </w:r>
      <w:bookmarkEnd w:id="73"/>
      <w:bookmarkEnd w:id="74"/>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6" w:name="_Toc211248420"/>
      <w:r>
        <w:rPr>
          <w:rFonts w:hint="eastAsia" w:ascii="方正小标宋_GBK" w:hAnsi="方正小标宋_GBK" w:eastAsia="方正小标宋_GBK"/>
          <w:b/>
          <w:sz w:val="32"/>
          <w:szCs w:val="32"/>
        </w:rPr>
        <w:t>商务条款响应/偏离表</w:t>
      </w:r>
      <w:bookmarkEnd w:id="7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7" w:name="_Toc478387764"/>
      <w:bookmarkStart w:id="78" w:name="_Toc395883088"/>
      <w:bookmarkStart w:id="79" w:name="_Toc236803111"/>
      <w:r>
        <w:rPr>
          <w:rFonts w:ascii="仿宋" w:hAnsi="仿宋" w:eastAsia="仿宋"/>
          <w:sz w:val="28"/>
          <w:szCs w:val="28"/>
        </w:rPr>
        <w:br w:type="page"/>
      </w:r>
    </w:p>
    <w:p>
      <w:pPr>
        <w:spacing w:line="0" w:lineRule="atLeast"/>
        <w:outlineLvl w:val="1"/>
        <w:rPr>
          <w:rFonts w:ascii="宋体" w:hAnsi="宋体"/>
          <w:szCs w:val="21"/>
        </w:rPr>
      </w:pPr>
      <w:bookmarkStart w:id="80" w:name="_Toc116550366"/>
      <w:r>
        <w:rPr>
          <w:rFonts w:hint="eastAsia" w:ascii="宋体" w:hAnsi="宋体"/>
          <w:szCs w:val="21"/>
        </w:rPr>
        <w:t>附件7：报价一览表（货物）</w:t>
      </w:r>
      <w:r>
        <w:rPr>
          <w:rFonts w:hint="eastAsia" w:ascii="宋体" w:hAnsi="宋体"/>
          <w:color w:val="FF0000"/>
          <w:szCs w:val="21"/>
        </w:rPr>
        <w:t>（本项目不适用）</w:t>
      </w:r>
      <w:bookmarkEnd w:id="80"/>
    </w:p>
    <w:bookmarkEnd w:id="77"/>
    <w:bookmarkEnd w:id="78"/>
    <w:bookmarkEnd w:id="79"/>
    <w:p>
      <w:pPr>
        <w:spacing w:before="120" w:after="240"/>
        <w:jc w:val="center"/>
        <w:rPr>
          <w:rFonts w:ascii="宋体" w:hAnsi="宋体"/>
          <w:b/>
          <w:sz w:val="32"/>
          <w:szCs w:val="32"/>
        </w:rPr>
      </w:pPr>
      <w:bookmarkStart w:id="81" w:name="_Toc211248412"/>
      <w:r>
        <w:rPr>
          <w:rFonts w:hint="eastAsia" w:ascii="方正小标宋_GBK" w:hAnsi="方正小标宋_GBK" w:eastAsia="方正小标宋_GBK"/>
          <w:b/>
          <w:sz w:val="32"/>
          <w:szCs w:val="32"/>
        </w:rPr>
        <w:t>报价一览表</w:t>
      </w:r>
      <w:bookmarkEnd w:id="8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0"/>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0"/>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2" w:name="_Toc82095917"/>
      <w:bookmarkStart w:id="83"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82"/>
    <w:bookmarkEnd w:id="83"/>
    <w:p>
      <w:pPr>
        <w:spacing w:line="0" w:lineRule="atLeast"/>
        <w:outlineLvl w:val="1"/>
        <w:rPr>
          <w:rFonts w:ascii="宋体" w:hAnsi="宋体"/>
          <w:szCs w:val="21"/>
        </w:rPr>
      </w:pPr>
      <w:bookmarkStart w:id="84" w:name="_Toc116550367"/>
      <w:r>
        <w:rPr>
          <w:rFonts w:hint="eastAsia" w:ascii="宋体" w:hAnsi="宋体"/>
          <w:szCs w:val="21"/>
        </w:rPr>
        <w:t>附件8：报价一览表（服务）</w:t>
      </w:r>
      <w:r>
        <w:rPr>
          <w:rFonts w:hint="eastAsia" w:ascii="宋体" w:hAnsi="宋体"/>
          <w:color w:val="FF0000"/>
          <w:szCs w:val="21"/>
        </w:rPr>
        <w:t>（本项目不适用）</w:t>
      </w:r>
      <w:bookmarkEnd w:id="8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4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4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4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5" w:name="_Toc116550368"/>
      <w:r>
        <w:rPr>
          <w:rFonts w:hint="eastAsia" w:ascii="宋体" w:hAnsi="宋体"/>
          <w:szCs w:val="21"/>
        </w:rPr>
        <w:t>附件9：报价一览表（工程）</w:t>
      </w:r>
      <w:bookmarkEnd w:id="85"/>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2"/>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2"/>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6" w:name="_Toc116550369"/>
      <w:r>
        <w:rPr>
          <w:rFonts w:hint="eastAsia" w:ascii="宋体" w:hAnsi="宋体"/>
          <w:szCs w:val="21"/>
        </w:rPr>
        <w:t>附件10：法定代表人证明书</w:t>
      </w:r>
      <w:bookmarkEnd w:id="8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7"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44"/>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44"/>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44"/>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8"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9"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0" w:name="_Toc32341"/>
      <w:r>
        <w:rPr>
          <w:rFonts w:ascii="仿宋" w:hAnsi="仿宋" w:eastAsia="仿宋"/>
          <w:sz w:val="28"/>
          <w:szCs w:val="28"/>
        </w:rPr>
        <w:br w:type="page"/>
      </w:r>
    </w:p>
    <w:p>
      <w:pPr>
        <w:spacing w:line="0" w:lineRule="atLeast"/>
        <w:outlineLvl w:val="1"/>
        <w:rPr>
          <w:rFonts w:ascii="宋体" w:hAnsi="宋体"/>
          <w:szCs w:val="21"/>
        </w:rPr>
      </w:pPr>
      <w:bookmarkStart w:id="91"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0"/>
      <w:bookmarkEnd w:id="9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2" w:name="_Toc100848654"/>
      <w:bookmarkStart w:id="93" w:name="_Toc116550374"/>
      <w:r>
        <w:rPr>
          <w:rFonts w:hint="eastAsia" w:ascii="宋体" w:hAnsi="宋体"/>
        </w:rPr>
        <w:t>附件15：投标文件密码</w:t>
      </w:r>
      <w:bookmarkEnd w:id="92"/>
      <w:r>
        <w:rPr>
          <w:rFonts w:hint="eastAsia" w:ascii="宋体" w:hAnsi="宋体"/>
        </w:rPr>
        <w:t>单</w:t>
      </w:r>
      <w:bookmarkEnd w:id="9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4"/>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48"/>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1"/>
        <w:numPr>
          <w:ilvl w:val="0"/>
          <w:numId w:val="48"/>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00E31"/>
    <w:multiLevelType w:val="singleLevel"/>
    <w:tmpl w:val="94500E31"/>
    <w:lvl w:ilvl="0" w:tentative="0">
      <w:start w:val="1"/>
      <w:numFmt w:val="decimal"/>
      <w:lvlText w:val="(%1)"/>
      <w:lvlJc w:val="left"/>
      <w:pPr>
        <w:ind w:left="425" w:hanging="425"/>
      </w:pPr>
      <w:rPr>
        <w:rFonts w:hint="default"/>
      </w:rPr>
    </w:lvl>
  </w:abstractNum>
  <w:abstractNum w:abstractNumId="1">
    <w:nsid w:val="97D0473C"/>
    <w:multiLevelType w:val="singleLevel"/>
    <w:tmpl w:val="97D0473C"/>
    <w:lvl w:ilvl="0" w:tentative="0">
      <w:start w:val="1"/>
      <w:numFmt w:val="decimal"/>
      <w:lvlText w:val="%1."/>
      <w:lvlJc w:val="left"/>
      <w:pPr>
        <w:tabs>
          <w:tab w:val="left" w:pos="312"/>
        </w:tabs>
      </w:pPr>
    </w:lvl>
  </w:abstractNum>
  <w:abstractNum w:abstractNumId="2">
    <w:nsid w:val="A2281775"/>
    <w:multiLevelType w:val="singleLevel"/>
    <w:tmpl w:val="A2281775"/>
    <w:lvl w:ilvl="0" w:tentative="0">
      <w:start w:val="1"/>
      <w:numFmt w:val="decimal"/>
      <w:suff w:val="space"/>
      <w:lvlText w:val="%1."/>
      <w:lvlJc w:val="left"/>
    </w:lvl>
  </w:abstractNum>
  <w:abstractNum w:abstractNumId="3">
    <w:nsid w:val="C6F8A4C6"/>
    <w:multiLevelType w:val="singleLevel"/>
    <w:tmpl w:val="C6F8A4C6"/>
    <w:lvl w:ilvl="0" w:tentative="0">
      <w:start w:val="1"/>
      <w:numFmt w:val="decimal"/>
      <w:suff w:val="nothing"/>
      <w:lvlText w:val="%1．"/>
      <w:lvlJc w:val="left"/>
      <w:pPr>
        <w:ind w:left="0" w:firstLine="400"/>
      </w:pPr>
      <w:rPr>
        <w:rFonts w:hint="default"/>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D3051835"/>
    <w:multiLevelType w:val="singleLevel"/>
    <w:tmpl w:val="D3051835"/>
    <w:lvl w:ilvl="0" w:tentative="0">
      <w:start w:val="1"/>
      <w:numFmt w:val="decimal"/>
      <w:suff w:val="space"/>
      <w:lvlText w:val="%1."/>
      <w:lvlJc w:val="left"/>
    </w:lvl>
  </w:abstractNum>
  <w:abstractNum w:abstractNumId="6">
    <w:nsid w:val="D820C6E3"/>
    <w:multiLevelType w:val="singleLevel"/>
    <w:tmpl w:val="D820C6E3"/>
    <w:lvl w:ilvl="0" w:tentative="0">
      <w:start w:val="1"/>
      <w:numFmt w:val="decimal"/>
      <w:suff w:val="nothing"/>
      <w:lvlText w:val="%1．"/>
      <w:lvlJc w:val="left"/>
      <w:pPr>
        <w:ind w:left="0" w:firstLine="400"/>
      </w:pPr>
      <w:rPr>
        <w:rFonts w:hint="default"/>
      </w:rPr>
    </w:lvl>
  </w:abstractNum>
  <w:abstractNum w:abstractNumId="7">
    <w:nsid w:val="DAA5A57F"/>
    <w:multiLevelType w:val="singleLevel"/>
    <w:tmpl w:val="DAA5A57F"/>
    <w:lvl w:ilvl="0" w:tentative="0">
      <w:start w:val="1"/>
      <w:numFmt w:val="decimal"/>
      <w:suff w:val="space"/>
      <w:lvlText w:val="%1."/>
      <w:lvlJc w:val="left"/>
    </w:lvl>
  </w:abstractNum>
  <w:abstractNum w:abstractNumId="8">
    <w:nsid w:val="DC1F128D"/>
    <w:multiLevelType w:val="singleLevel"/>
    <w:tmpl w:val="DC1F128D"/>
    <w:lvl w:ilvl="0" w:tentative="0">
      <w:start w:val="1"/>
      <w:numFmt w:val="decimal"/>
      <w:lvlText w:val="(%1)"/>
      <w:lvlJc w:val="left"/>
      <w:pPr>
        <w:ind w:left="425" w:hanging="425"/>
      </w:pPr>
      <w:rPr>
        <w:rFonts w:hint="default"/>
      </w:rPr>
    </w:lvl>
  </w:abstractNum>
  <w:abstractNum w:abstractNumId="9">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3"/>
    <w:multiLevelType w:val="singleLevel"/>
    <w:tmpl w:val="00000013"/>
    <w:lvl w:ilvl="0" w:tentative="0">
      <w:start w:val="1"/>
      <w:numFmt w:val="decimal"/>
      <w:lvlText w:val="%1."/>
      <w:lvlJc w:val="left"/>
      <w:pPr>
        <w:ind w:left="420" w:hanging="420"/>
      </w:pPr>
    </w:lvl>
  </w:abstractNum>
  <w:abstractNum w:abstractNumId="13">
    <w:nsid w:val="00075451"/>
    <w:multiLevelType w:val="singleLevel"/>
    <w:tmpl w:val="00075451"/>
    <w:lvl w:ilvl="0" w:tentative="0">
      <w:start w:val="1"/>
      <w:numFmt w:val="decimal"/>
      <w:lvlText w:val="（%1）"/>
      <w:lvlJc w:val="left"/>
    </w:lvl>
  </w:abstractNum>
  <w:abstractNum w:abstractNumId="14">
    <w:nsid w:val="0C17757E"/>
    <w:multiLevelType w:val="multilevel"/>
    <w:tmpl w:val="0C17757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5517AC"/>
    <w:multiLevelType w:val="singleLevel"/>
    <w:tmpl w:val="135517AC"/>
    <w:lvl w:ilvl="0" w:tentative="0">
      <w:start w:val="1"/>
      <w:numFmt w:val="decimal"/>
      <w:lvlText w:val="(%1)"/>
      <w:lvlJc w:val="left"/>
      <w:pPr>
        <w:ind w:left="425" w:hanging="425"/>
      </w:pPr>
      <w:rPr>
        <w:rFonts w:hint="default"/>
      </w:rPr>
    </w:lvl>
  </w:abstractNum>
  <w:abstractNum w:abstractNumId="16">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8">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305886"/>
    <w:multiLevelType w:val="singleLevel"/>
    <w:tmpl w:val="21305886"/>
    <w:lvl w:ilvl="0" w:tentative="0">
      <w:start w:val="1"/>
      <w:numFmt w:val="decimal"/>
      <w:lvlText w:val="（%1）"/>
      <w:lvlJc w:val="left"/>
      <w:pPr>
        <w:ind w:left="420" w:hanging="420"/>
      </w:pPr>
      <w:rPr>
        <w:rFonts w:hint="eastAsia"/>
      </w:rPr>
    </w:lvl>
  </w:abstractNum>
  <w:abstractNum w:abstractNumId="21">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8E10C89"/>
    <w:multiLevelType w:val="singleLevel"/>
    <w:tmpl w:val="28E10C89"/>
    <w:lvl w:ilvl="0" w:tentative="0">
      <w:start w:val="1"/>
      <w:numFmt w:val="decimal"/>
      <w:suff w:val="space"/>
      <w:lvlText w:val="%1."/>
      <w:lvlJc w:val="left"/>
    </w:lvl>
  </w:abstractNum>
  <w:abstractNum w:abstractNumId="24">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9">
    <w:nsid w:val="3FCAF1A4"/>
    <w:multiLevelType w:val="singleLevel"/>
    <w:tmpl w:val="3FCAF1A4"/>
    <w:lvl w:ilvl="0" w:tentative="0">
      <w:start w:val="1"/>
      <w:numFmt w:val="decimal"/>
      <w:suff w:val="nothing"/>
      <w:lvlText w:val="%1．"/>
      <w:lvlJc w:val="left"/>
      <w:pPr>
        <w:ind w:left="0" w:firstLine="400"/>
      </w:pPr>
      <w:rPr>
        <w:rFonts w:hint="default"/>
      </w:rPr>
    </w:lvl>
  </w:abstractNum>
  <w:abstractNum w:abstractNumId="30">
    <w:nsid w:val="42020FD1"/>
    <w:multiLevelType w:val="singleLevel"/>
    <w:tmpl w:val="42020FD1"/>
    <w:lvl w:ilvl="0" w:tentative="0">
      <w:start w:val="1"/>
      <w:numFmt w:val="decimal"/>
      <w:suff w:val="nothing"/>
      <w:lvlText w:val="%1．"/>
      <w:lvlJc w:val="left"/>
      <w:pPr>
        <w:ind w:left="0" w:firstLine="400"/>
      </w:pPr>
      <w:rPr>
        <w:rFonts w:hint="default"/>
      </w:rPr>
    </w:lvl>
  </w:abstractNum>
  <w:abstractNum w:abstractNumId="31">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1851586"/>
    <w:multiLevelType w:val="singleLevel"/>
    <w:tmpl w:val="51851586"/>
    <w:lvl w:ilvl="0" w:tentative="0">
      <w:start w:val="1"/>
      <w:numFmt w:val="decimal"/>
      <w:lvlText w:val="（%1）"/>
      <w:lvlJc w:val="left"/>
      <w:pPr>
        <w:ind w:left="420" w:hanging="420"/>
      </w:pPr>
      <w:rPr>
        <w:rFonts w:hint="eastAsia"/>
      </w:rPr>
    </w:lvl>
  </w:abstractNum>
  <w:abstractNum w:abstractNumId="33">
    <w:nsid w:val="54155AAB"/>
    <w:multiLevelType w:val="singleLevel"/>
    <w:tmpl w:val="54155AAB"/>
    <w:lvl w:ilvl="0" w:tentative="0">
      <w:start w:val="1"/>
      <w:numFmt w:val="decimal"/>
      <w:lvlText w:val="(%1)"/>
      <w:lvlJc w:val="left"/>
      <w:pPr>
        <w:ind w:left="425" w:hanging="425"/>
      </w:pPr>
      <w:rPr>
        <w:rFonts w:hint="default"/>
      </w:rPr>
    </w:lvl>
  </w:abstractNum>
  <w:abstractNum w:abstractNumId="3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5">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6">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10B3C71"/>
    <w:multiLevelType w:val="multilevel"/>
    <w:tmpl w:val="610B3C7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7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7D40062"/>
    <w:multiLevelType w:val="multilevel"/>
    <w:tmpl w:val="67D40062"/>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0">
    <w:nsid w:val="68403F1C"/>
    <w:multiLevelType w:val="singleLevel"/>
    <w:tmpl w:val="68403F1C"/>
    <w:lvl w:ilvl="0" w:tentative="0">
      <w:start w:val="1"/>
      <w:numFmt w:val="decimal"/>
      <w:lvlText w:val="%1."/>
      <w:lvlJc w:val="left"/>
      <w:pPr>
        <w:tabs>
          <w:tab w:val="left" w:pos="312"/>
        </w:tabs>
      </w:pPr>
    </w:lvl>
  </w:abstractNum>
  <w:abstractNum w:abstractNumId="4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2">
    <w:nsid w:val="739433F9"/>
    <w:multiLevelType w:val="singleLevel"/>
    <w:tmpl w:val="739433F9"/>
    <w:lvl w:ilvl="0" w:tentative="0">
      <w:start w:val="1"/>
      <w:numFmt w:val="decimal"/>
      <w:suff w:val="space"/>
      <w:lvlText w:val="%1."/>
      <w:lvlJc w:val="left"/>
    </w:lvl>
  </w:abstractNum>
  <w:abstractNum w:abstractNumId="43">
    <w:nsid w:val="74CF667A"/>
    <w:multiLevelType w:val="singleLevel"/>
    <w:tmpl w:val="74CF667A"/>
    <w:lvl w:ilvl="0" w:tentative="0">
      <w:start w:val="1"/>
      <w:numFmt w:val="decimal"/>
      <w:lvlText w:val="(%1)"/>
      <w:lvlJc w:val="left"/>
      <w:pPr>
        <w:ind w:left="425" w:hanging="425"/>
      </w:pPr>
      <w:rPr>
        <w:rFonts w:hint="default"/>
      </w:rPr>
    </w:lvl>
  </w:abstractNum>
  <w:abstractNum w:abstractNumId="44">
    <w:nsid w:val="789A0917"/>
    <w:multiLevelType w:val="multilevel"/>
    <w:tmpl w:val="789A09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B4A4E0C"/>
    <w:multiLevelType w:val="singleLevel"/>
    <w:tmpl w:val="7B4A4E0C"/>
    <w:lvl w:ilvl="0" w:tentative="0">
      <w:start w:val="1"/>
      <w:numFmt w:val="decimal"/>
      <w:lvlText w:val="（%1）"/>
      <w:lvlJc w:val="left"/>
      <w:pPr>
        <w:ind w:left="420" w:hanging="420"/>
      </w:pPr>
      <w:rPr>
        <w:rFonts w:hint="eastAsia"/>
      </w:rPr>
    </w:lvl>
  </w:abstractNum>
  <w:abstractNum w:abstractNumId="46">
    <w:nsid w:val="7ED17433"/>
    <w:multiLevelType w:val="singleLevel"/>
    <w:tmpl w:val="7ED17433"/>
    <w:lvl w:ilvl="0" w:tentative="0">
      <w:start w:val="1"/>
      <w:numFmt w:val="decimal"/>
      <w:lvlText w:val="（%1）"/>
      <w:lvlJc w:val="left"/>
      <w:pPr>
        <w:ind w:left="420" w:hanging="420"/>
      </w:pPr>
      <w:rPr>
        <w:rFonts w:hint="eastAsia"/>
      </w:rPr>
    </w:lvl>
  </w:abstractNum>
  <w:num w:numId="1">
    <w:abstractNumId w:val="35"/>
  </w:num>
  <w:num w:numId="2">
    <w:abstractNumId w:val="41"/>
  </w:num>
  <w:num w:numId="3">
    <w:abstractNumId w:val="26"/>
  </w:num>
  <w:num w:numId="4">
    <w:abstractNumId w:val="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6"/>
  </w:num>
  <w:num w:numId="8">
    <w:abstractNumId w:val="27"/>
  </w:num>
  <w:num w:numId="9">
    <w:abstractNumId w:val="16"/>
  </w:num>
  <w:num w:numId="10">
    <w:abstractNumId w:val="45"/>
  </w:num>
  <w:num w:numId="11">
    <w:abstractNumId w:val="46"/>
  </w:num>
  <w:num w:numId="12">
    <w:abstractNumId w:val="20"/>
  </w:num>
  <w:num w:numId="13">
    <w:abstractNumId w:val="13"/>
  </w:num>
  <w:num w:numId="14">
    <w:abstractNumId w:val="43"/>
  </w:num>
  <w:num w:numId="15">
    <w:abstractNumId w:val="33"/>
  </w:num>
  <w:num w:numId="16">
    <w:abstractNumId w:val="32"/>
  </w:num>
  <w:num w:numId="17">
    <w:abstractNumId w:val="15"/>
  </w:num>
  <w:num w:numId="18">
    <w:abstractNumId w:val="29"/>
  </w:num>
  <w:num w:numId="19">
    <w:abstractNumId w:val="1"/>
  </w:num>
  <w:num w:numId="20">
    <w:abstractNumId w:val="40"/>
  </w:num>
  <w:num w:numId="21">
    <w:abstractNumId w:val="5"/>
  </w:num>
  <w:num w:numId="22">
    <w:abstractNumId w:val="23"/>
  </w:num>
  <w:num w:numId="23">
    <w:abstractNumId w:val="11"/>
  </w:num>
  <w:num w:numId="24">
    <w:abstractNumId w:val="42"/>
  </w:num>
  <w:num w:numId="25">
    <w:abstractNumId w:val="18"/>
  </w:num>
  <w:num w:numId="26">
    <w:abstractNumId w:val="0"/>
  </w:num>
  <w:num w:numId="27">
    <w:abstractNumId w:val="14"/>
  </w:num>
  <w:num w:numId="28">
    <w:abstractNumId w:val="37"/>
  </w:num>
  <w:num w:numId="29">
    <w:abstractNumId w:val="25"/>
  </w:num>
  <w:num w:numId="30">
    <w:abstractNumId w:val="8"/>
  </w:num>
  <w:num w:numId="31">
    <w:abstractNumId w:val="44"/>
  </w:num>
  <w:num w:numId="32">
    <w:abstractNumId w:val="2"/>
  </w:num>
  <w:num w:numId="33">
    <w:abstractNumId w:val="7"/>
  </w:num>
  <w:num w:numId="34">
    <w:abstractNumId w:val="38"/>
  </w:num>
  <w:num w:numId="35">
    <w:abstractNumId w:val="3"/>
  </w:num>
  <w:num w:numId="36">
    <w:abstractNumId w:val="6"/>
  </w:num>
  <w:num w:numId="37">
    <w:abstractNumId w:val="30"/>
  </w:num>
  <w:num w:numId="38">
    <w:abstractNumId w:val="10"/>
  </w:num>
  <w:num w:numId="39">
    <w:abstractNumId w:val="9"/>
  </w:num>
  <w:num w:numId="40">
    <w:abstractNumId w:val="39"/>
  </w:num>
  <w:num w:numId="41">
    <w:abstractNumId w:val="28"/>
  </w:num>
  <w:num w:numId="42">
    <w:abstractNumId w:val="24"/>
  </w:num>
  <w:num w:numId="43">
    <w:abstractNumId w:val="21"/>
  </w:num>
  <w:num w:numId="44">
    <w:abstractNumId w:val="31"/>
  </w:num>
  <w:num w:numId="45">
    <w:abstractNumId w:val="19"/>
  </w:num>
  <w:num w:numId="46">
    <w:abstractNumId w:val="12"/>
  </w:num>
  <w:num w:numId="47">
    <w:abstractNumId w:val="34"/>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D65B4"/>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4450729"/>
    <w:rsid w:val="04A159A3"/>
    <w:rsid w:val="04D46768"/>
    <w:rsid w:val="04F90B5F"/>
    <w:rsid w:val="0508501E"/>
    <w:rsid w:val="053A1CC8"/>
    <w:rsid w:val="06856661"/>
    <w:rsid w:val="077B4608"/>
    <w:rsid w:val="07B96A8C"/>
    <w:rsid w:val="07BB74B6"/>
    <w:rsid w:val="08493DEA"/>
    <w:rsid w:val="086E4EC9"/>
    <w:rsid w:val="09DB4F85"/>
    <w:rsid w:val="0B734A64"/>
    <w:rsid w:val="0CDE01F2"/>
    <w:rsid w:val="0DC12653"/>
    <w:rsid w:val="0DD201F4"/>
    <w:rsid w:val="0F4526B6"/>
    <w:rsid w:val="10091618"/>
    <w:rsid w:val="13E92730"/>
    <w:rsid w:val="152B64B8"/>
    <w:rsid w:val="15740DA4"/>
    <w:rsid w:val="195A6BC0"/>
    <w:rsid w:val="1A0B3364"/>
    <w:rsid w:val="1C5670DA"/>
    <w:rsid w:val="1DC22DF1"/>
    <w:rsid w:val="1F044472"/>
    <w:rsid w:val="1F7074E6"/>
    <w:rsid w:val="227A4EED"/>
    <w:rsid w:val="228D0750"/>
    <w:rsid w:val="244D449A"/>
    <w:rsid w:val="24786106"/>
    <w:rsid w:val="25A5748F"/>
    <w:rsid w:val="25D85A3C"/>
    <w:rsid w:val="267E19B6"/>
    <w:rsid w:val="26E95967"/>
    <w:rsid w:val="2A1D36D7"/>
    <w:rsid w:val="2B9E3425"/>
    <w:rsid w:val="2BD84FDD"/>
    <w:rsid w:val="2BFA4386"/>
    <w:rsid w:val="2CD73EA3"/>
    <w:rsid w:val="2D845ED0"/>
    <w:rsid w:val="30381F4F"/>
    <w:rsid w:val="34526F62"/>
    <w:rsid w:val="34A05B77"/>
    <w:rsid w:val="37097428"/>
    <w:rsid w:val="38AC36F6"/>
    <w:rsid w:val="39534553"/>
    <w:rsid w:val="3BB26AC4"/>
    <w:rsid w:val="3C35255B"/>
    <w:rsid w:val="3CB00FFF"/>
    <w:rsid w:val="3D3679ED"/>
    <w:rsid w:val="408D7227"/>
    <w:rsid w:val="41407E51"/>
    <w:rsid w:val="416718EC"/>
    <w:rsid w:val="41EE37EB"/>
    <w:rsid w:val="439D7A21"/>
    <w:rsid w:val="43D97719"/>
    <w:rsid w:val="447267E8"/>
    <w:rsid w:val="448446C6"/>
    <w:rsid w:val="44E431E5"/>
    <w:rsid w:val="46B30DE6"/>
    <w:rsid w:val="492A4A83"/>
    <w:rsid w:val="495C1F5C"/>
    <w:rsid w:val="4AF77150"/>
    <w:rsid w:val="4B8B03E4"/>
    <w:rsid w:val="4D9A3F67"/>
    <w:rsid w:val="4DDF67CC"/>
    <w:rsid w:val="4EE12BFB"/>
    <w:rsid w:val="4F031F80"/>
    <w:rsid w:val="50FA6A61"/>
    <w:rsid w:val="51794BC1"/>
    <w:rsid w:val="51CA37EB"/>
    <w:rsid w:val="53D25371"/>
    <w:rsid w:val="540F1FD2"/>
    <w:rsid w:val="54F141E4"/>
    <w:rsid w:val="561F6663"/>
    <w:rsid w:val="57315BF2"/>
    <w:rsid w:val="57594B93"/>
    <w:rsid w:val="594A6990"/>
    <w:rsid w:val="5A2E0F40"/>
    <w:rsid w:val="5BDD23FE"/>
    <w:rsid w:val="5C4C5214"/>
    <w:rsid w:val="5CCA32B4"/>
    <w:rsid w:val="5E8307E5"/>
    <w:rsid w:val="603257AA"/>
    <w:rsid w:val="60475C3F"/>
    <w:rsid w:val="60785544"/>
    <w:rsid w:val="60A60070"/>
    <w:rsid w:val="61A26997"/>
    <w:rsid w:val="622C21AB"/>
    <w:rsid w:val="62D00ABF"/>
    <w:rsid w:val="630A13FF"/>
    <w:rsid w:val="640C25AF"/>
    <w:rsid w:val="67457773"/>
    <w:rsid w:val="683A303D"/>
    <w:rsid w:val="68E97B63"/>
    <w:rsid w:val="68EF1BB3"/>
    <w:rsid w:val="6A011E04"/>
    <w:rsid w:val="6A5B2F9C"/>
    <w:rsid w:val="6B1E605C"/>
    <w:rsid w:val="6C5E0507"/>
    <w:rsid w:val="6C6B5505"/>
    <w:rsid w:val="6DF67C63"/>
    <w:rsid w:val="6E3F209B"/>
    <w:rsid w:val="6EFA74DC"/>
    <w:rsid w:val="725336E8"/>
    <w:rsid w:val="74783A1C"/>
    <w:rsid w:val="74AB354D"/>
    <w:rsid w:val="74B05132"/>
    <w:rsid w:val="76C52AAF"/>
    <w:rsid w:val="76E063E5"/>
    <w:rsid w:val="772A35DE"/>
    <w:rsid w:val="798425C1"/>
    <w:rsid w:val="79A35F22"/>
    <w:rsid w:val="79BF662E"/>
    <w:rsid w:val="7A0F42A2"/>
    <w:rsid w:val="7A751935"/>
    <w:rsid w:val="7B2952F2"/>
    <w:rsid w:val="7B3F79B7"/>
    <w:rsid w:val="7CF46BD3"/>
    <w:rsid w:val="7F8724FB"/>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2931</Words>
  <Characters>16712</Characters>
  <Lines>139</Lines>
  <Paragraphs>39</Paragraphs>
  <TotalTime>58</TotalTime>
  <ScaleCrop>false</ScaleCrop>
  <LinksUpToDate>false</LinksUpToDate>
  <CharactersWithSpaces>19604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黄奕璋</cp:lastModifiedBy>
  <dcterms:modified xsi:type="dcterms:W3CDTF">2023-03-27T02:09:11Z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F9DE856FCAB04E8D9030DDB32C78EB60</vt:lpwstr>
  </property>
</Properties>
</file>