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宋体" w:hAnsi="宋体" w:eastAsia="宋体" w:cs="宋体"/>
          <w:b/>
          <w:sz w:val="32"/>
          <w:szCs w:val="32"/>
          <w:lang w:val="en-US" w:eastAsia="zh-CN"/>
        </w:rPr>
        <w:t>深圳会展中心</w:t>
      </w:r>
      <w:r>
        <w:rPr>
          <w:rFonts w:hint="eastAsia" w:ascii="宋体" w:hAnsi="宋体" w:cs="宋体"/>
          <w:b/>
          <w:bCs/>
          <w:sz w:val="32"/>
          <w:szCs w:val="32"/>
          <w:lang w:val="en-US" w:eastAsia="zh-CN"/>
        </w:rPr>
        <w:t>电动堆垛车、电动搬运车采购</w:t>
      </w:r>
      <w:r>
        <w:rPr>
          <w:rFonts w:hint="eastAsia" w:ascii="宋体" w:hAnsi="宋体" w:eastAsia="宋体" w:cs="宋体"/>
          <w:b/>
          <w:bCs/>
          <w:color w:val="auto"/>
          <w:sz w:val="32"/>
          <w:szCs w:val="32"/>
          <w:highlight w:val="none"/>
        </w:rPr>
        <w:t>项目</w:t>
      </w:r>
    </w:p>
    <w:p>
      <w:pPr>
        <w:spacing w:line="360" w:lineRule="auto"/>
        <w:jc w:val="center"/>
        <w:rPr>
          <w:rFonts w:ascii="方正小标宋_GBK" w:hAnsi="方正小标宋_GBK" w:eastAsia="方正小标宋_GBK" w:cs="方正小标宋_GBK"/>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pStyle w:val="22"/>
        <w:numPr>
          <w:ilvl w:val="-1"/>
          <w:numId w:val="0"/>
        </w:numPr>
        <w:tabs>
          <w:tab w:val="left" w:pos="284"/>
        </w:tabs>
        <w:spacing w:line="360" w:lineRule="auto"/>
        <w:ind w:left="0" w:firstLine="0" w:firstLineChars="0"/>
        <w:jc w:val="left"/>
        <w:rPr>
          <w:rFonts w:hint="eastAsia" w:ascii="方正小标宋简体" w:hAnsi="宋体" w:eastAsia="方正小标宋简体"/>
          <w:b/>
          <w:color w:val="FF0000"/>
          <w:sz w:val="30"/>
          <w:szCs w:val="30"/>
          <w:highlight w:val="green"/>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3</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3</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Style w:val="18"/>
        </w:rPr>
        <w:fldChar w:fldCharType="begin"/>
      </w:r>
      <w:r>
        <w:rPr>
          <w:rStyle w:val="18"/>
        </w:rPr>
        <w:instrText xml:space="preserve"> </w:instrText>
      </w:r>
      <w:r>
        <w:instrText xml:space="preserve">HYPERLINK \l "_Toc106791252"</w:instrText>
      </w:r>
      <w:r>
        <w:rPr>
          <w:rStyle w:val="18"/>
        </w:rPr>
        <w:instrText xml:space="preserve"> </w:instrText>
      </w:r>
      <w:r>
        <w:rPr>
          <w:rStyle w:val="18"/>
        </w:rPr>
        <w:fldChar w:fldCharType="separate"/>
      </w:r>
      <w:r>
        <w:rPr>
          <w:rStyle w:val="18"/>
          <w:rFonts w:ascii="宋体" w:hAnsi="宋体"/>
          <w:b/>
        </w:rPr>
        <w:t>第一部分 项目要求</w:t>
      </w:r>
      <w:r>
        <w:tab/>
      </w:r>
      <w:r>
        <w:fldChar w:fldCharType="begin"/>
      </w:r>
      <w:r>
        <w:instrText xml:space="preserve"> PAGEREF _Toc106791252 \h </w:instrText>
      </w:r>
      <w:r>
        <w:fldChar w:fldCharType="separate"/>
      </w:r>
      <w:r>
        <w:t>1</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"_Toc106791253"</w:instrText>
      </w:r>
      <w:r>
        <w:rPr>
          <w:rStyle w:val="18"/>
        </w:rPr>
        <w:instrText xml:space="preserve"> </w:instrText>
      </w:r>
      <w:r>
        <w:rPr>
          <w:rStyle w:val="18"/>
        </w:rPr>
        <w:fldChar w:fldCharType="separate"/>
      </w:r>
      <w:r>
        <w:rPr>
          <w:rStyle w:val="18"/>
          <w:rFonts w:ascii="宋体" w:hAnsi="宋体" w:cs="仿宋"/>
          <w:b w:val="0"/>
          <w:bCs/>
        </w:rPr>
        <w:t>一、</w:t>
      </w:r>
      <w:r>
        <w:rPr>
          <w:rStyle w:val="18"/>
          <w:rFonts w:ascii="宋体" w:hAnsi="宋体"/>
          <w:b w:val="0"/>
        </w:rPr>
        <w:t>投标人须知</w:t>
      </w:r>
      <w:r>
        <w:tab/>
      </w:r>
      <w:r>
        <w:fldChar w:fldCharType="begin"/>
      </w:r>
      <w:r>
        <w:instrText xml:space="preserve"> PAGEREF _Toc106791253 \h </w:instrText>
      </w:r>
      <w:r>
        <w:fldChar w:fldCharType="separate"/>
      </w:r>
      <w:r>
        <w:t>1</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"_Toc106791254"</w:instrText>
      </w:r>
      <w:r>
        <w:rPr>
          <w:rStyle w:val="18"/>
        </w:rPr>
        <w:instrText xml:space="preserve"> </w:instrText>
      </w:r>
      <w:r>
        <w:rPr>
          <w:rStyle w:val="18"/>
        </w:rPr>
        <w:fldChar w:fldCharType="separate"/>
      </w:r>
      <w:r>
        <w:rPr>
          <w:rStyle w:val="18"/>
          <w:rFonts w:ascii="宋体" w:hAnsi="宋体" w:cs="仿宋"/>
          <w:b w:val="0"/>
          <w:bCs/>
        </w:rPr>
        <w:t>二、</w:t>
      </w:r>
      <w:r>
        <w:rPr>
          <w:rStyle w:val="18"/>
          <w:rFonts w:ascii="宋体" w:hAnsi="宋体"/>
          <w:b w:val="0"/>
        </w:rPr>
        <w:t>特别说明</w:t>
      </w:r>
      <w:r>
        <w:tab/>
      </w:r>
      <w:r>
        <w:fldChar w:fldCharType="begin"/>
      </w:r>
      <w:r>
        <w:instrText xml:space="preserve"> PAGEREF _Toc106791254 \h </w:instrText>
      </w:r>
      <w:r>
        <w:fldChar w:fldCharType="separate"/>
      </w:r>
      <w:r>
        <w:t>3</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"_Toc106791255"</w:instrText>
      </w:r>
      <w:r>
        <w:rPr>
          <w:rStyle w:val="18"/>
        </w:rPr>
        <w:instrText xml:space="preserve"> </w:instrText>
      </w:r>
      <w:r>
        <w:rPr>
          <w:rStyle w:val="18"/>
        </w:rPr>
        <w:fldChar w:fldCharType="separate"/>
      </w:r>
      <w:r>
        <w:rPr>
          <w:rStyle w:val="18"/>
          <w:rFonts w:ascii="宋体" w:hAnsi="宋体" w:cs="仿宋"/>
          <w:b w:val="0"/>
          <w:bCs/>
        </w:rPr>
        <w:t>三、</w:t>
      </w:r>
      <w:r>
        <w:rPr>
          <w:rStyle w:val="18"/>
          <w:rFonts w:ascii="宋体" w:hAnsi="宋体"/>
          <w:b w:val="0"/>
        </w:rPr>
        <w:t>投标文件编制</w:t>
      </w:r>
      <w:r>
        <w:tab/>
      </w:r>
      <w:r>
        <w:fldChar w:fldCharType="begin"/>
      </w:r>
      <w:r>
        <w:instrText xml:space="preserve"> PAGEREF _Toc106791255 \h </w:instrText>
      </w:r>
      <w:r>
        <w:fldChar w:fldCharType="separate"/>
      </w:r>
      <w:r>
        <w:t>3</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"_Toc106791256"</w:instrText>
      </w:r>
      <w:r>
        <w:rPr>
          <w:rStyle w:val="18"/>
        </w:rPr>
        <w:instrText xml:space="preserve"> </w:instrText>
      </w:r>
      <w:r>
        <w:rPr>
          <w:rStyle w:val="18"/>
        </w:rPr>
        <w:fldChar w:fldCharType="separate"/>
      </w:r>
      <w:r>
        <w:rPr>
          <w:rStyle w:val="18"/>
          <w:rFonts w:ascii="宋体" w:hAnsi="宋体" w:cs="仿宋"/>
          <w:b w:val="0"/>
          <w:bCs/>
        </w:rPr>
        <w:t>四、</w:t>
      </w:r>
      <w:r>
        <w:rPr>
          <w:rStyle w:val="18"/>
          <w:rFonts w:ascii="宋体" w:hAnsi="宋体"/>
          <w:b w:val="0"/>
        </w:rPr>
        <w:t>项目要求及数量</w:t>
      </w:r>
      <w:r>
        <w:tab/>
      </w:r>
      <w:r>
        <w:fldChar w:fldCharType="begin"/>
      </w:r>
      <w:r>
        <w:instrText xml:space="preserve"> PAGEREF _Toc106791256 \h </w:instrText>
      </w:r>
      <w:r>
        <w:fldChar w:fldCharType="separate"/>
      </w:r>
      <w:r>
        <w:t>4</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"_Toc106791257"</w:instrText>
      </w:r>
      <w:r>
        <w:rPr>
          <w:rStyle w:val="18"/>
        </w:rPr>
        <w:instrText xml:space="preserve"> </w:instrText>
      </w:r>
      <w:r>
        <w:rPr>
          <w:rStyle w:val="18"/>
        </w:rPr>
        <w:fldChar w:fldCharType="separate"/>
      </w:r>
      <w:r>
        <w:rPr>
          <w:rStyle w:val="18"/>
          <w:rFonts w:ascii="宋体" w:hAnsi="宋体" w:cs="仿宋"/>
          <w:b w:val="0"/>
          <w:bCs/>
        </w:rPr>
        <w:t>五、</w:t>
      </w:r>
      <w:r>
        <w:rPr>
          <w:rStyle w:val="18"/>
          <w:rFonts w:ascii="宋体" w:hAnsi="宋体"/>
          <w:b w:val="0"/>
        </w:rPr>
        <w:t>其他项目说明资料</w:t>
      </w:r>
      <w:r>
        <w:tab/>
      </w:r>
      <w:r>
        <w:fldChar w:fldCharType="begin"/>
      </w:r>
      <w:r>
        <w:instrText xml:space="preserve"> PAGEREF _Toc106791257 \h </w:instrText>
      </w:r>
      <w:r>
        <w:fldChar w:fldCharType="separate"/>
      </w:r>
      <w:r>
        <w:t>6</w:t>
      </w:r>
      <w:r>
        <w:fldChar w:fldCharType="end"/>
      </w:r>
      <w:r>
        <w:rPr>
          <w:rStyle w:val="18"/>
        </w:rPr>
        <w:fldChar w:fldCharType="end"/>
      </w:r>
    </w:p>
    <w:p>
      <w:pPr>
        <w:pStyle w:val="8"/>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"_Toc106791258"</w:instrText>
      </w:r>
      <w:r>
        <w:rPr>
          <w:rStyle w:val="18"/>
        </w:rPr>
        <w:instrText xml:space="preserve"> </w:instrText>
      </w:r>
      <w:r>
        <w:rPr>
          <w:rStyle w:val="18"/>
        </w:rPr>
        <w:fldChar w:fldCharType="separate"/>
      </w:r>
      <w:r>
        <w:rPr>
          <w:rStyle w:val="18"/>
          <w:rFonts w:ascii="宋体" w:hAnsi="宋体"/>
          <w:b/>
        </w:rPr>
        <w:t>第二部分：开标评标流程</w:t>
      </w:r>
      <w:r>
        <w:tab/>
      </w:r>
      <w:r>
        <w:fldChar w:fldCharType="begin"/>
      </w:r>
      <w:r>
        <w:instrText xml:space="preserve"> PAGEREF _Toc106791258 \h </w:instrText>
      </w:r>
      <w:r>
        <w:fldChar w:fldCharType="separate"/>
      </w:r>
      <w:r>
        <w:t>7</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"_Toc106791260"</w:instrText>
      </w:r>
      <w:r>
        <w:rPr>
          <w:rStyle w:val="18"/>
        </w:rPr>
        <w:instrText xml:space="preserve"> </w:instrText>
      </w:r>
      <w:r>
        <w:rPr>
          <w:rStyle w:val="18"/>
        </w:rPr>
        <w:fldChar w:fldCharType="separate"/>
      </w:r>
      <w:r>
        <w:rPr>
          <w:rStyle w:val="18"/>
          <w:rFonts w:ascii="宋体" w:hAnsi="宋体" w:cs="仿宋"/>
          <w:b w:val="0"/>
          <w:bCs/>
        </w:rPr>
        <w:t>六、</w:t>
      </w:r>
      <w:r>
        <w:rPr>
          <w:rStyle w:val="18"/>
          <w:b w:val="0"/>
        </w:rPr>
        <w:t>开标阶段</w:t>
      </w:r>
      <w:r>
        <w:tab/>
      </w:r>
      <w:r>
        <w:fldChar w:fldCharType="begin"/>
      </w:r>
      <w:r>
        <w:instrText xml:space="preserve"> PAGEREF _Toc106791260 \h </w:instrText>
      </w:r>
      <w:r>
        <w:fldChar w:fldCharType="separate"/>
      </w:r>
      <w:r>
        <w:t>7</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"_Toc106791261"</w:instrText>
      </w:r>
      <w:r>
        <w:rPr>
          <w:rStyle w:val="18"/>
        </w:rPr>
        <w:instrText xml:space="preserve"> </w:instrText>
      </w:r>
      <w:r>
        <w:rPr>
          <w:rStyle w:val="18"/>
        </w:rPr>
        <w:fldChar w:fldCharType="separate"/>
      </w:r>
      <w:r>
        <w:rPr>
          <w:rStyle w:val="18"/>
          <w:rFonts w:ascii="宋体" w:hAnsi="宋体" w:cs="仿宋"/>
          <w:b w:val="0"/>
          <w:bCs/>
        </w:rPr>
        <w:t>七、</w:t>
      </w:r>
      <w:r>
        <w:rPr>
          <w:rStyle w:val="18"/>
          <w:b w:val="0"/>
        </w:rPr>
        <w:t>评标阶段</w:t>
      </w:r>
      <w:r>
        <w:tab/>
      </w:r>
      <w:r>
        <w:fldChar w:fldCharType="begin"/>
      </w:r>
      <w:r>
        <w:instrText xml:space="preserve"> PAGEREF _Toc106791261 \h </w:instrText>
      </w:r>
      <w:r>
        <w:fldChar w:fldCharType="separate"/>
      </w:r>
      <w:r>
        <w:t>7</w:t>
      </w:r>
      <w:r>
        <w:fldChar w:fldCharType="end"/>
      </w:r>
      <w:r>
        <w:rPr>
          <w:rStyle w:val="18"/>
        </w:rPr>
        <w:fldChar w:fldCharType="end"/>
      </w:r>
    </w:p>
    <w:p>
      <w:pPr>
        <w:pStyle w:val="8"/>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"_Toc106791262"</w:instrText>
      </w:r>
      <w:r>
        <w:rPr>
          <w:rStyle w:val="18"/>
        </w:rPr>
        <w:instrText xml:space="preserve"> </w:instrText>
      </w:r>
      <w:r>
        <w:rPr>
          <w:rStyle w:val="18"/>
        </w:rPr>
        <w:fldChar w:fldCharType="separate"/>
      </w:r>
      <w:r>
        <w:rPr>
          <w:rStyle w:val="18"/>
          <w:rFonts w:ascii="宋体" w:hAnsi="宋体"/>
          <w:b/>
        </w:rPr>
        <w:t>第三部分：评审办法</w:t>
      </w:r>
      <w:r>
        <w:tab/>
      </w:r>
      <w:r>
        <w:fldChar w:fldCharType="begin"/>
      </w:r>
      <w:r>
        <w:instrText xml:space="preserve"> PAGEREF _Toc106791262 \h </w:instrText>
      </w:r>
      <w:r>
        <w:fldChar w:fldCharType="separate"/>
      </w:r>
      <w:r>
        <w:t>8</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"_Toc106791263"</w:instrText>
      </w:r>
      <w:r>
        <w:rPr>
          <w:rStyle w:val="18"/>
        </w:rPr>
        <w:instrText xml:space="preserve"> </w:instrText>
      </w:r>
      <w:r>
        <w:rPr>
          <w:rStyle w:val="18"/>
        </w:rPr>
        <w:fldChar w:fldCharType="separate"/>
      </w:r>
      <w:r>
        <w:rPr>
          <w:rStyle w:val="18"/>
          <w:rFonts w:ascii="宋体" w:hAnsi="宋体" w:cs="仿宋"/>
          <w:b w:val="0"/>
          <w:bCs/>
        </w:rPr>
        <w:t>八、</w:t>
      </w:r>
      <w:r>
        <w:rPr>
          <w:rStyle w:val="18"/>
          <w:rFonts w:ascii="宋体" w:hAnsi="宋体"/>
          <w:b w:val="0"/>
          <w:bCs/>
        </w:rPr>
        <w:t xml:space="preserve"> 评审办法</w:t>
      </w:r>
      <w:r>
        <w:tab/>
      </w:r>
      <w:r>
        <w:fldChar w:fldCharType="begin"/>
      </w:r>
      <w:r>
        <w:instrText xml:space="preserve"> PAGEREF _Toc106791263 \h </w:instrText>
      </w:r>
      <w:r>
        <w:fldChar w:fldCharType="separate"/>
      </w:r>
      <w:r>
        <w:t>8</w:t>
      </w:r>
      <w:r>
        <w:fldChar w:fldCharType="end"/>
      </w:r>
      <w:r>
        <w:rPr>
          <w:rStyle w:val="18"/>
        </w:rPr>
        <w:fldChar w:fldCharType="end"/>
      </w:r>
    </w:p>
    <w:p>
      <w:pPr>
        <w:pStyle w:val="4"/>
        <w:tabs>
          <w:tab w:val="right" w:leader="dot" w:pos="8296"/>
        </w:tabs>
        <w:ind w:left="0" w:leftChars="0" w:firstLine="420" w:firstLineChars="200"/>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"_Toc106791264"</w:instrText>
      </w:r>
      <w:r>
        <w:rPr>
          <w:rStyle w:val="18"/>
        </w:rPr>
        <w:instrText xml:space="preserve"> </w:instrText>
      </w:r>
      <w:r>
        <w:rPr>
          <w:rStyle w:val="18"/>
        </w:rPr>
        <w:fldChar w:fldCharType="separate"/>
      </w:r>
      <w:r>
        <w:rPr>
          <w:rStyle w:val="18"/>
          <w:rFonts w:ascii="宋体" w:hAnsi="宋体"/>
          <w:b w:val="0"/>
        </w:rPr>
        <w:t>（一）</w:t>
      </w:r>
      <w:r>
        <w:rPr>
          <w:rStyle w:val="18"/>
          <w:rFonts w:ascii="宋体" w:hAnsi="宋体"/>
          <w:b w:val="0"/>
          <w:bCs/>
        </w:rPr>
        <w:t>符合性检查</w:t>
      </w:r>
      <w:r>
        <w:tab/>
      </w:r>
      <w:r>
        <w:fldChar w:fldCharType="begin"/>
      </w:r>
      <w:r>
        <w:instrText xml:space="preserve"> PAGEREF _Toc106791264 \h </w:instrText>
      </w:r>
      <w:r>
        <w:fldChar w:fldCharType="separate"/>
      </w:r>
      <w:r>
        <w:t>8</w:t>
      </w:r>
      <w:r>
        <w:fldChar w:fldCharType="end"/>
      </w:r>
      <w:r>
        <w:rPr>
          <w:rStyle w:val="18"/>
        </w:rPr>
        <w:fldChar w:fldCharType="end"/>
      </w:r>
    </w:p>
    <w:p>
      <w:pPr>
        <w:pStyle w:val="4"/>
        <w:tabs>
          <w:tab w:val="right" w:leader="dot" w:pos="8296"/>
        </w:tabs>
        <w:ind w:left="0" w:leftChars="0" w:firstLine="420" w:firstLineChars="200"/>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"_Toc106791265"</w:instrText>
      </w:r>
      <w:r>
        <w:rPr>
          <w:rStyle w:val="18"/>
        </w:rPr>
        <w:instrText xml:space="preserve"> </w:instrText>
      </w:r>
      <w:r>
        <w:rPr>
          <w:rStyle w:val="18"/>
        </w:rPr>
        <w:fldChar w:fldCharType="separate"/>
      </w:r>
      <w:r>
        <w:rPr>
          <w:rStyle w:val="18"/>
          <w:rFonts w:ascii="宋体" w:hAnsi="宋体"/>
          <w:b w:val="0"/>
          <w:bCs/>
        </w:rPr>
        <w:t>（二）综合评议指标表</w:t>
      </w:r>
      <w:r>
        <w:tab/>
      </w:r>
      <w:r>
        <w:fldChar w:fldCharType="begin"/>
      </w:r>
      <w:r>
        <w:instrText xml:space="preserve"> PAGEREF _Toc106791265 \h </w:instrText>
      </w:r>
      <w:r>
        <w:fldChar w:fldCharType="separate"/>
      </w:r>
      <w:r>
        <w:t>10</w:t>
      </w:r>
      <w:r>
        <w:fldChar w:fldCharType="end"/>
      </w:r>
      <w:r>
        <w:rPr>
          <w:rStyle w:val="18"/>
        </w:rPr>
        <w:fldChar w:fldCharType="end"/>
      </w:r>
    </w:p>
    <w:p>
      <w:pPr>
        <w:pStyle w:val="8"/>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"_Toc106791266"</w:instrText>
      </w:r>
      <w:r>
        <w:rPr>
          <w:rStyle w:val="18"/>
        </w:rPr>
        <w:instrText xml:space="preserve"> </w:instrText>
      </w:r>
      <w:r>
        <w:rPr>
          <w:rStyle w:val="18"/>
        </w:rPr>
        <w:fldChar w:fldCharType="separate"/>
      </w:r>
      <w:r>
        <w:rPr>
          <w:rStyle w:val="18"/>
          <w:rFonts w:ascii="宋体" w:hAnsi="宋体"/>
          <w:b/>
        </w:rPr>
        <w:t>第四部分：合同条款及格式</w:t>
      </w:r>
      <w:r>
        <w:tab/>
      </w:r>
      <w:r>
        <w:fldChar w:fldCharType="begin"/>
      </w:r>
      <w:r>
        <w:instrText xml:space="preserve"> PAGEREF _Toc106791266 \h </w:instrText>
      </w:r>
      <w:r>
        <w:fldChar w:fldCharType="separate"/>
      </w:r>
      <w:r>
        <w:t>11</w:t>
      </w:r>
      <w:r>
        <w:fldChar w:fldCharType="end"/>
      </w:r>
      <w:r>
        <w:rPr>
          <w:rStyle w:val="18"/>
        </w:rPr>
        <w:fldChar w:fldCharType="end"/>
      </w:r>
    </w:p>
    <w:p>
      <w:pPr>
        <w:pStyle w:val="8"/>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"_Toc106791267"</w:instrText>
      </w:r>
      <w:r>
        <w:rPr>
          <w:rStyle w:val="18"/>
        </w:rPr>
        <w:instrText xml:space="preserve"> </w:instrText>
      </w:r>
      <w:r>
        <w:rPr>
          <w:rStyle w:val="18"/>
        </w:rPr>
        <w:fldChar w:fldCharType="separate"/>
      </w:r>
      <w:r>
        <w:rPr>
          <w:rStyle w:val="18"/>
          <w:b/>
        </w:rPr>
        <w:t>第五部分：参考附件</w:t>
      </w:r>
      <w:r>
        <w:tab/>
      </w:r>
      <w:r>
        <w:fldChar w:fldCharType="begin"/>
      </w:r>
      <w:r>
        <w:instrText xml:space="preserve"> PAGEREF _Toc106791267 \h </w:instrText>
      </w:r>
      <w:r>
        <w:fldChar w:fldCharType="separate"/>
      </w:r>
      <w:r>
        <w:t>12</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"_Toc106791268"</w:instrText>
      </w:r>
      <w:r>
        <w:rPr>
          <w:rStyle w:val="18"/>
        </w:rPr>
        <w:instrText xml:space="preserve"> </w:instrText>
      </w:r>
      <w:r>
        <w:rPr>
          <w:rStyle w:val="18"/>
        </w:rPr>
        <w:fldChar w:fldCharType="separate"/>
      </w:r>
      <w:r>
        <w:rPr>
          <w:rStyle w:val="18"/>
          <w:rFonts w:ascii="宋体" w:hAnsi="宋体"/>
        </w:rPr>
        <w:t>附件1：报名回函</w:t>
      </w:r>
      <w:r>
        <w:tab/>
      </w:r>
      <w:r>
        <w:fldChar w:fldCharType="begin"/>
      </w:r>
      <w:r>
        <w:instrText xml:space="preserve"> PAGEREF _Toc106791268 \h </w:instrText>
      </w:r>
      <w:r>
        <w:fldChar w:fldCharType="separate"/>
      </w:r>
      <w:r>
        <w:t>12</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"_Toc106791269"</w:instrText>
      </w:r>
      <w:r>
        <w:rPr>
          <w:rStyle w:val="18"/>
        </w:rPr>
        <w:instrText xml:space="preserve"> </w:instrText>
      </w:r>
      <w:r>
        <w:rPr>
          <w:rStyle w:val="18"/>
        </w:rPr>
        <w:fldChar w:fldCharType="separate"/>
      </w:r>
      <w:r>
        <w:rPr>
          <w:rStyle w:val="18"/>
          <w:rFonts w:ascii="宋体" w:hAnsi="宋体"/>
        </w:rPr>
        <w:t>附件2：投标函</w:t>
      </w:r>
      <w:r>
        <w:tab/>
      </w:r>
      <w:r>
        <w:fldChar w:fldCharType="begin"/>
      </w:r>
      <w:r>
        <w:instrText xml:space="preserve"> PAGEREF _Toc106791269 \h </w:instrText>
      </w:r>
      <w:r>
        <w:fldChar w:fldCharType="separate"/>
      </w:r>
      <w:r>
        <w:t>13</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"_Toc106791270"</w:instrText>
      </w:r>
      <w:r>
        <w:rPr>
          <w:rStyle w:val="18"/>
        </w:rPr>
        <w:instrText xml:space="preserve"> </w:instrText>
      </w:r>
      <w:r>
        <w:rPr>
          <w:rStyle w:val="18"/>
        </w:rPr>
        <w:fldChar w:fldCharType="separate"/>
      </w:r>
      <w:r>
        <w:rPr>
          <w:rStyle w:val="18"/>
          <w:rFonts w:ascii="宋体" w:hAnsi="宋体"/>
        </w:rPr>
        <w:t>附件3：投标一览表</w:t>
      </w:r>
      <w:r>
        <w:tab/>
      </w:r>
      <w:r>
        <w:fldChar w:fldCharType="begin"/>
      </w:r>
      <w:r>
        <w:instrText xml:space="preserve"> PAGEREF _Toc106791270 \h </w:instrText>
      </w:r>
      <w:r>
        <w:fldChar w:fldCharType="separate"/>
      </w:r>
      <w:r>
        <w:t>14</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"_Toc106791271"</w:instrText>
      </w:r>
      <w:r>
        <w:rPr>
          <w:rStyle w:val="18"/>
        </w:rPr>
        <w:instrText xml:space="preserve"> </w:instrText>
      </w:r>
      <w:r>
        <w:rPr>
          <w:rStyle w:val="18"/>
        </w:rPr>
        <w:fldChar w:fldCharType="separate"/>
      </w:r>
      <w:r>
        <w:rPr>
          <w:rStyle w:val="18"/>
          <w:rFonts w:ascii="宋体" w:hAnsi="宋体"/>
        </w:rPr>
        <w:t>附件4：考察证明</w:t>
      </w:r>
      <w:r>
        <w:tab/>
      </w:r>
      <w:r>
        <w:fldChar w:fldCharType="begin"/>
      </w:r>
      <w:r>
        <w:instrText xml:space="preserve"> PAGEREF _Toc106791271 \h </w:instrText>
      </w:r>
      <w:r>
        <w:fldChar w:fldCharType="separate"/>
      </w:r>
      <w:r>
        <w:t>15</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"_Toc106791272"</w:instrText>
      </w:r>
      <w:r>
        <w:rPr>
          <w:rStyle w:val="18"/>
        </w:rPr>
        <w:instrText xml:space="preserve"> </w:instrText>
      </w:r>
      <w:r>
        <w:rPr>
          <w:rStyle w:val="18"/>
        </w:rPr>
        <w:fldChar w:fldCharType="separate"/>
      </w:r>
      <w:r>
        <w:rPr>
          <w:rStyle w:val="18"/>
          <w:rFonts w:ascii="宋体" w:hAnsi="宋体"/>
        </w:rPr>
        <w:t>附件5：技术服务响应/偏离表</w:t>
      </w:r>
      <w:r>
        <w:tab/>
      </w:r>
      <w:r>
        <w:fldChar w:fldCharType="begin"/>
      </w:r>
      <w:r>
        <w:instrText xml:space="preserve"> PAGEREF _Toc106791272 \h </w:instrText>
      </w:r>
      <w:r>
        <w:fldChar w:fldCharType="separate"/>
      </w:r>
      <w:r>
        <w:t>16</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"_Toc106791273"</w:instrText>
      </w:r>
      <w:r>
        <w:rPr>
          <w:rStyle w:val="18"/>
        </w:rPr>
        <w:instrText xml:space="preserve"> </w:instrText>
      </w:r>
      <w:r>
        <w:rPr>
          <w:rStyle w:val="18"/>
        </w:rPr>
        <w:fldChar w:fldCharType="separate"/>
      </w:r>
      <w:r>
        <w:rPr>
          <w:rStyle w:val="18"/>
          <w:rFonts w:ascii="宋体" w:hAnsi="宋体"/>
        </w:rPr>
        <w:t>附件6：商务条款响应/偏离表</w:t>
      </w:r>
      <w:r>
        <w:tab/>
      </w:r>
      <w:r>
        <w:fldChar w:fldCharType="begin"/>
      </w:r>
      <w:r>
        <w:instrText xml:space="preserve"> PAGEREF _Toc106791273 \h </w:instrText>
      </w:r>
      <w:r>
        <w:fldChar w:fldCharType="separate"/>
      </w:r>
      <w:r>
        <w:t>17</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"_Toc106791274"</w:instrText>
      </w:r>
      <w:r>
        <w:rPr>
          <w:rStyle w:val="18"/>
        </w:rPr>
        <w:instrText xml:space="preserve"> </w:instrText>
      </w:r>
      <w:r>
        <w:rPr>
          <w:rStyle w:val="18"/>
        </w:rPr>
        <w:fldChar w:fldCharType="separate"/>
      </w:r>
      <w:r>
        <w:rPr>
          <w:rStyle w:val="18"/>
          <w:rFonts w:ascii="宋体" w:hAnsi="宋体"/>
        </w:rPr>
        <w:t>附件7：报价一览表（货物）（本项目不适用）</w:t>
      </w:r>
      <w:r>
        <w:tab/>
      </w:r>
      <w:r>
        <w:fldChar w:fldCharType="begin"/>
      </w:r>
      <w:r>
        <w:instrText xml:space="preserve"> PAGEREF _Toc106791274 \h </w:instrText>
      </w:r>
      <w:r>
        <w:fldChar w:fldCharType="separate"/>
      </w:r>
      <w:r>
        <w:t>18</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"_Toc106791275"</w:instrText>
      </w:r>
      <w:r>
        <w:rPr>
          <w:rStyle w:val="18"/>
        </w:rPr>
        <w:instrText xml:space="preserve"> </w:instrText>
      </w:r>
      <w:r>
        <w:rPr>
          <w:rStyle w:val="18"/>
        </w:rPr>
        <w:fldChar w:fldCharType="separate"/>
      </w:r>
      <w:r>
        <w:rPr>
          <w:rStyle w:val="18"/>
          <w:rFonts w:ascii="宋体" w:hAnsi="宋体"/>
        </w:rPr>
        <w:t>附件8：报价一览表（服务）（本项目不适用）</w:t>
      </w:r>
      <w:r>
        <w:tab/>
      </w:r>
      <w:r>
        <w:fldChar w:fldCharType="begin"/>
      </w:r>
      <w:r>
        <w:instrText xml:space="preserve"> PAGEREF _Toc106791275 \h </w:instrText>
      </w:r>
      <w:r>
        <w:fldChar w:fldCharType="separate"/>
      </w:r>
      <w:r>
        <w:t>19</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"_Toc106791276"</w:instrText>
      </w:r>
      <w:r>
        <w:rPr>
          <w:rStyle w:val="18"/>
        </w:rPr>
        <w:instrText xml:space="preserve"> </w:instrText>
      </w:r>
      <w:r>
        <w:rPr>
          <w:rStyle w:val="18"/>
        </w:rPr>
        <w:fldChar w:fldCharType="separate"/>
      </w:r>
      <w:r>
        <w:rPr>
          <w:rStyle w:val="18"/>
          <w:rFonts w:ascii="宋体" w:hAnsi="宋体"/>
        </w:rPr>
        <w:t>附件9：报价一览表（工程）</w:t>
      </w:r>
      <w:r>
        <w:tab/>
      </w:r>
      <w:r>
        <w:fldChar w:fldCharType="begin"/>
      </w:r>
      <w:r>
        <w:instrText xml:space="preserve"> PAGEREF _Toc106791276 \h </w:instrText>
      </w:r>
      <w:r>
        <w:fldChar w:fldCharType="separate"/>
      </w:r>
      <w:r>
        <w:t>20</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"_Toc106791277"</w:instrText>
      </w:r>
      <w:r>
        <w:rPr>
          <w:rStyle w:val="18"/>
        </w:rPr>
        <w:instrText xml:space="preserve"> </w:instrText>
      </w:r>
      <w:r>
        <w:rPr>
          <w:rStyle w:val="18"/>
        </w:rPr>
        <w:fldChar w:fldCharType="separate"/>
      </w:r>
      <w:r>
        <w:rPr>
          <w:rStyle w:val="18"/>
          <w:rFonts w:ascii="宋体" w:hAnsi="宋体"/>
        </w:rPr>
        <w:t>附件10：法定代表人证明书</w:t>
      </w:r>
      <w:r>
        <w:tab/>
      </w:r>
      <w:r>
        <w:fldChar w:fldCharType="begin"/>
      </w:r>
      <w:r>
        <w:instrText xml:space="preserve"> PAGEREF _Toc106791277 \h </w:instrText>
      </w:r>
      <w:r>
        <w:fldChar w:fldCharType="separate"/>
      </w:r>
      <w:r>
        <w:t>21</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"_Toc106791278"</w:instrText>
      </w:r>
      <w:r>
        <w:rPr>
          <w:rStyle w:val="18"/>
        </w:rPr>
        <w:instrText xml:space="preserve"> </w:instrText>
      </w:r>
      <w:r>
        <w:rPr>
          <w:rStyle w:val="18"/>
        </w:rPr>
        <w:fldChar w:fldCharType="separate"/>
      </w:r>
      <w:r>
        <w:rPr>
          <w:rStyle w:val="18"/>
          <w:rFonts w:ascii="宋体" w:hAnsi="宋体"/>
        </w:rPr>
        <w:t>附件11：法人授权委托证明书</w:t>
      </w:r>
      <w:r>
        <w:tab/>
      </w:r>
      <w:r>
        <w:fldChar w:fldCharType="begin"/>
      </w:r>
      <w:r>
        <w:instrText xml:space="preserve"> PAGEREF _Toc106791278 \h </w:instrText>
      </w:r>
      <w:r>
        <w:fldChar w:fldCharType="separate"/>
      </w:r>
      <w:r>
        <w:t>22</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"_Toc106791279"</w:instrText>
      </w:r>
      <w:r>
        <w:rPr>
          <w:rStyle w:val="18"/>
        </w:rPr>
        <w:instrText xml:space="preserve"> </w:instrText>
      </w:r>
      <w:r>
        <w:rPr>
          <w:rStyle w:val="18"/>
        </w:rPr>
        <w:fldChar w:fldCharType="separate"/>
      </w:r>
      <w:r>
        <w:rPr>
          <w:rStyle w:val="18"/>
          <w:rFonts w:ascii="宋体" w:hAnsi="宋体"/>
        </w:rPr>
        <w:t>附件12：经营业绩一览表</w:t>
      </w:r>
      <w:r>
        <w:tab/>
      </w:r>
      <w:r>
        <w:fldChar w:fldCharType="begin"/>
      </w:r>
      <w:r>
        <w:instrText xml:space="preserve"> PAGEREF _Toc106791279 \h </w:instrText>
      </w:r>
      <w:r>
        <w:fldChar w:fldCharType="separate"/>
      </w:r>
      <w:r>
        <w:t>23</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"_Toc106791280"</w:instrText>
      </w:r>
      <w:r>
        <w:rPr>
          <w:rStyle w:val="18"/>
        </w:rPr>
        <w:instrText xml:space="preserve"> </w:instrText>
      </w:r>
      <w:r>
        <w:rPr>
          <w:rStyle w:val="18"/>
        </w:rPr>
        <w:fldChar w:fldCharType="separate"/>
      </w:r>
      <w:r>
        <w:rPr>
          <w:rStyle w:val="18"/>
          <w:rFonts w:ascii="宋体" w:hAnsi="宋体"/>
        </w:rPr>
        <w:t>附件13：售后服务承诺书（质量保证服务承诺书）</w:t>
      </w:r>
      <w:r>
        <w:tab/>
      </w:r>
      <w:r>
        <w:fldChar w:fldCharType="begin"/>
      </w:r>
      <w:r>
        <w:instrText xml:space="preserve"> PAGEREF _Toc106791280 \h </w:instrText>
      </w:r>
      <w:r>
        <w:fldChar w:fldCharType="separate"/>
      </w:r>
      <w:r>
        <w:t>24</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"_Toc106791281"</w:instrText>
      </w:r>
      <w:r>
        <w:rPr>
          <w:rStyle w:val="18"/>
        </w:rPr>
        <w:instrText xml:space="preserve"> </w:instrText>
      </w:r>
      <w:r>
        <w:rPr>
          <w:rStyle w:val="18"/>
        </w:rPr>
        <w:fldChar w:fldCharType="separate"/>
      </w:r>
      <w:r>
        <w:rPr>
          <w:rStyle w:val="18"/>
          <w:rFonts w:ascii="宋体" w:hAnsi="宋体"/>
        </w:rPr>
        <w:t>附件14：履约情况及社会信誉承诺书</w:t>
      </w:r>
      <w:r>
        <w:tab/>
      </w:r>
      <w:r>
        <w:fldChar w:fldCharType="begin"/>
      </w:r>
      <w:r>
        <w:instrText xml:space="preserve"> PAGEREF _Toc106791281 \h </w:instrText>
      </w:r>
      <w:r>
        <w:fldChar w:fldCharType="separate"/>
      </w:r>
      <w:r>
        <w:t>25</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"_Toc106791282"</w:instrText>
      </w:r>
      <w:r>
        <w:rPr>
          <w:rStyle w:val="18"/>
        </w:rPr>
        <w:instrText xml:space="preserve"> </w:instrText>
      </w:r>
      <w:r>
        <w:rPr>
          <w:rStyle w:val="18"/>
        </w:rPr>
        <w:fldChar w:fldCharType="separate"/>
      </w:r>
      <w:r>
        <w:rPr>
          <w:rStyle w:val="18"/>
          <w:rFonts w:ascii="宋体" w:hAnsi="宋体"/>
        </w:rPr>
        <w:t>附件15：投标文件密码单</w:t>
      </w:r>
      <w:r>
        <w:tab/>
      </w:r>
      <w:r>
        <w:fldChar w:fldCharType="begin"/>
      </w:r>
      <w:r>
        <w:instrText xml:space="preserve"> PAGEREF _Toc106791282 \h </w:instrText>
      </w:r>
      <w:r>
        <w:fldChar w:fldCharType="separate"/>
      </w:r>
      <w:r>
        <w:t>26</w:t>
      </w:r>
      <w:r>
        <w:fldChar w:fldCharType="end"/>
      </w:r>
      <w:r>
        <w:rPr>
          <w:rStyle w:val="18"/>
        </w:rP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名称：深圳会展中心管理有限责任公司</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联系地址：深圳市福田区福华三路深圳会展中心</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黄生</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szCs w:val="21"/>
                <w:highlight w:val="none"/>
                <w:lang w:val="en-US" w:eastAsia="zh-CN"/>
              </w:rPr>
              <w:t>8822</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传真：0755-8284</w:t>
            </w:r>
            <w:r>
              <w:rPr>
                <w:rFonts w:hint="eastAsia" w:ascii="宋体" w:hAnsi="宋体"/>
                <w:szCs w:val="21"/>
                <w:highlight w:val="none"/>
                <w:lang w:val="en-US" w:eastAsia="zh-CN"/>
              </w:rPr>
              <w:t>8694</w:t>
            </w:r>
          </w:p>
          <w:p>
            <w:pPr>
              <w:wordWrap w:val="0"/>
              <w:autoSpaceDE w:val="0"/>
              <w:autoSpaceDN w:val="0"/>
              <w:adjustRightInd w:val="0"/>
              <w:snapToGrid w:val="0"/>
              <w:rPr>
                <w:rFonts w:ascii="宋体" w:hAnsi="宋体"/>
                <w:kern w:val="0"/>
                <w:szCs w:val="21"/>
                <w:highlight w:val="none"/>
                <w:u w:val="single"/>
              </w:rPr>
            </w:pPr>
            <w:r>
              <w:rPr>
                <w:rFonts w:hint="eastAsia" w:ascii="宋体" w:hAnsi="宋体"/>
                <w:szCs w:val="21"/>
                <w:highlight w:val="none"/>
              </w:rPr>
              <w:t>邮箱：</w:t>
            </w:r>
            <w:r>
              <w:rPr>
                <w:rFonts w:hint="eastAsia" w:ascii="宋体" w:hAnsi="宋体" w:cs="宋体"/>
                <w:color w:val="000000"/>
                <w:szCs w:val="21"/>
                <w:highlight w:val="none"/>
              </w:rPr>
              <w:t>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none"/>
              </w:rPr>
            </w:pPr>
            <w:r>
              <w:rPr>
                <w:rFonts w:hint="eastAsia" w:ascii="宋体" w:hAnsi="宋体" w:cs="宋体"/>
                <w:b w:val="0"/>
                <w:bCs w:val="0"/>
                <w:sz w:val="21"/>
                <w:szCs w:val="21"/>
                <w:highlight w:val="none"/>
                <w:lang w:val="en-US" w:eastAsia="zh-CN"/>
              </w:rPr>
              <w:t>深圳会展中心电动堆垛车、搬运车采购</w:t>
            </w:r>
            <w:r>
              <w:rPr>
                <w:rFonts w:hint="eastAsia" w:ascii="宋体" w:hAnsi="宋体" w:eastAsia="宋体" w:cs="宋体"/>
                <w:b w:val="0"/>
                <w:bCs w:val="0"/>
                <w:color w:val="auto"/>
                <w:sz w:val="21"/>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lang w:val="en-US" w:eastAsia="zh-CN"/>
              </w:rPr>
              <w:t>货物</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none"/>
              </w:rPr>
            </w:pPr>
            <w:r>
              <w:rPr>
                <w:rFonts w:hint="eastAsia" w:ascii="宋体" w:hAnsi="宋体"/>
                <w:i w:val="0"/>
                <w:iCs/>
                <w:color w:val="auto"/>
                <w:szCs w:val="21"/>
                <w:highlight w:val="none"/>
                <w:lang w:val="en-US" w:eastAsia="zh-CN"/>
              </w:rPr>
              <w:t>为了提高现场展位材料运输速度和能力，解决材料堆放问题，需购置电动堆垛车、电动搬运车各4台。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交货期</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highlight w:val="yellow"/>
              </w:rPr>
              <w:t>_</w:t>
            </w:r>
            <w:r>
              <w:rPr>
                <w:rFonts w:ascii="宋体" w:hAnsi="宋体"/>
                <w:color w:val="auto"/>
                <w:szCs w:val="21"/>
                <w:highlight w:val="yellow"/>
              </w:rPr>
              <w:t>_</w:t>
            </w:r>
            <w:r>
              <w:rPr>
                <w:rFonts w:hint="eastAsia" w:ascii="宋体" w:hAnsi="宋体"/>
                <w:color w:val="auto"/>
                <w:szCs w:val="21"/>
                <w:highlight w:val="yellow"/>
                <w:lang w:val="en-US" w:eastAsia="zh-CN"/>
              </w:rPr>
              <w:t>40</w:t>
            </w:r>
            <w:r>
              <w:rPr>
                <w:rFonts w:ascii="宋体" w:hAnsi="宋体"/>
                <w:color w:val="auto"/>
                <w:szCs w:val="21"/>
                <w:highlight w:val="yellow"/>
              </w:rPr>
              <w:t>__</w:t>
            </w:r>
            <w:r>
              <w:rPr>
                <w:rFonts w:hint="eastAsia" w:ascii="宋体" w:hAnsi="宋体"/>
                <w:color w:val="auto"/>
                <w:szCs w:val="21"/>
                <w:highlight w:val="yellow"/>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000000" w:themeColor="text1"/>
                <w:highlight w:val="none"/>
                <w14:textFill>
                  <w14:solidFill>
                    <w14:schemeClr w14:val="tx1"/>
                  </w14:solidFill>
                </w14:textFill>
              </w:rPr>
              <w:t>https://cg.szcec.com/sharing/PGFZ95pP5，</w:t>
            </w:r>
            <w:r>
              <w:rPr>
                <w:rFonts w:hint="eastAsia" w:ascii="宋体" w:hAnsi="宋体"/>
                <w:bCs/>
                <w:szCs w:val="21"/>
              </w:rPr>
              <w:t>并致电确认。</w:t>
            </w:r>
            <w:r>
              <w:rPr>
                <w:rFonts w:hint="eastAsia" w:ascii="宋体" w:hAnsi="宋体"/>
                <w:szCs w:val="21"/>
              </w:rPr>
              <w:t>逾</w:t>
            </w:r>
            <w:bookmarkStart w:id="85" w:name="_GoBack"/>
            <w:bookmarkEnd w:id="85"/>
            <w:r>
              <w:rPr>
                <w:rFonts w:hint="eastAsia" w:ascii="宋体" w:hAnsi="宋体"/>
                <w:szCs w:val="21"/>
              </w:rPr>
              <w:t>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rPr>
                <w:rFonts w:hint="eastAsia" w:ascii="宋体" w:hAnsi="宋体"/>
                <w:szCs w:val="21"/>
                <w:lang w:val="en-US" w:eastAsia="zh-CN"/>
              </w:rPr>
              <w:t>:</w:t>
            </w:r>
            <w:r>
              <w:rPr>
                <w:rFonts w:hint="eastAsia" w:ascii="宋体" w:hAnsi="宋体"/>
                <w:szCs w:val="21"/>
              </w:rPr>
              <w:t>（</w:t>
            </w:r>
            <w:r>
              <w:rPr>
                <w:rFonts w:ascii="宋体" w:hAnsi="宋体"/>
                <w:szCs w:val="21"/>
              </w:rPr>
              <w:fldChar w:fldCharType="begin"/>
            </w:r>
            <w:r>
              <w:rPr>
                <w:rFonts w:ascii="宋体" w:hAnsi="宋体"/>
                <w:szCs w:val="21"/>
              </w:rPr>
              <w:instrText xml:space="preserve"> HYPERLINK "https://www.szcec.com/News/index/id/256.html" </w:instrText>
            </w:r>
            <w:r>
              <w:rPr>
                <w:rFonts w:ascii="宋体" w:hAnsi="宋体"/>
                <w:szCs w:val="21"/>
              </w:rPr>
              <w:fldChar w:fldCharType="separate"/>
            </w:r>
            <w:r>
              <w:rPr>
                <w:rStyle w:val="18"/>
                <w:rFonts w:ascii="宋体" w:hAnsi="宋体"/>
                <w:szCs w:val="21"/>
              </w:rPr>
              <w:t>www.szcec.com</w:t>
            </w:r>
            <w:r>
              <w:rPr>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响应文件应以扫描</w:t>
            </w:r>
            <w:r>
              <w:rPr>
                <w:rFonts w:ascii="宋体" w:hAnsi="宋体"/>
                <w:color w:val="000000" w:themeColor="text1"/>
                <w:szCs w:val="21"/>
                <w:highlight w:val="none"/>
                <w14:textFill>
                  <w14:solidFill>
                    <w14:schemeClr w14:val="tx1"/>
                  </w14:solidFill>
                </w14:textFill>
              </w:rPr>
              <w:t>版（PDF</w:t>
            </w:r>
            <w:r>
              <w:rPr>
                <w:rFonts w:hint="eastAsia" w:ascii="宋体" w:hAnsi="宋体"/>
                <w:color w:val="000000" w:themeColor="text1"/>
                <w:szCs w:val="21"/>
                <w:highlight w:val="none"/>
                <w14:textFill>
                  <w14:solidFill>
                    <w14:schemeClr w14:val="tx1"/>
                  </w14:solidFill>
                </w14:textFill>
              </w:rPr>
              <w:t>版</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及</w:t>
            </w:r>
            <w:r>
              <w:rPr>
                <w:rFonts w:hint="eastAsia" w:ascii="宋体" w:hAnsi="宋体"/>
                <w:color w:val="000000" w:themeColor="text1"/>
                <w:szCs w:val="21"/>
                <w:highlight w:val="none"/>
                <w:lang w:val="en-US" w:eastAsia="zh-CN"/>
                <w14:textFill>
                  <w14:solidFill>
                    <w14:schemeClr w14:val="tx1"/>
                  </w14:solidFill>
                </w14:textFill>
              </w:rPr>
              <w:t>可编辑版（</w:t>
            </w:r>
            <w:r>
              <w:rPr>
                <w:rFonts w:ascii="宋体" w:hAnsi="宋体"/>
                <w:color w:val="000000" w:themeColor="text1"/>
                <w:szCs w:val="21"/>
                <w:highlight w:val="none"/>
                <w14:textFill>
                  <w14:solidFill>
                    <w14:schemeClr w14:val="tx1"/>
                  </w14:solidFill>
                </w14:textFill>
              </w:rPr>
              <w:t>Word</w:t>
            </w:r>
            <w:r>
              <w:rPr>
                <w:rFonts w:hint="eastAsia" w:ascii="宋体" w:hAnsi="宋体"/>
                <w:color w:val="000000" w:themeColor="text1"/>
                <w:szCs w:val="21"/>
                <w:highlight w:val="none"/>
                <w:lang w:val="en-US" w:eastAsia="zh-CN"/>
                <w14:textFill>
                  <w14:solidFill>
                    <w14:schemeClr w14:val="tx1"/>
                  </w14:solidFill>
                </w14:textFill>
              </w:rPr>
              <w:t>或WPS</w:t>
            </w:r>
            <w:r>
              <w:rPr>
                <w:rFonts w:hint="eastAsia" w:ascii="宋体" w:hAnsi="宋体"/>
                <w:color w:val="000000" w:themeColor="text1"/>
                <w:szCs w:val="21"/>
                <w:highlight w:val="none"/>
                <w14:textFill>
                  <w14:solidFill>
                    <w14:schemeClr w14:val="tx1"/>
                  </w14:solidFill>
                </w14:textFill>
              </w:rPr>
              <w:t>版</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加密形式上传至</w:t>
            </w:r>
            <w:r>
              <w:rPr>
                <w:rFonts w:hint="eastAsia" w:ascii="宋体" w:hAnsi="宋体"/>
                <w:bCs/>
                <w:color w:val="000000" w:themeColor="text1"/>
                <w:highlight w:val="none"/>
                <w14:textFill>
                  <w14:solidFill>
                    <w14:schemeClr w14:val="tx1"/>
                  </w14:solidFill>
                </w14:textFill>
              </w:rPr>
              <w:t>https://cg.szcec.com/sharing/TRRUHYT1n，</w:t>
            </w:r>
            <w:r>
              <w:rPr>
                <w:rFonts w:hint="eastAsia" w:ascii="宋体" w:hAnsi="宋体"/>
                <w:color w:val="000000" w:themeColor="text1"/>
                <w:szCs w:val="21"/>
                <w:highlight w:val="none"/>
                <w14:textFill>
                  <w14:solidFill>
                    <w14:schemeClr w14:val="tx1"/>
                  </w14:solidFill>
                </w14:textFill>
              </w:rPr>
              <w:t>并致电确认</w:t>
            </w:r>
            <w:bookmarkStart w:id="2" w:name="_Toc478393187"/>
            <w:bookmarkStart w:id="3" w:name="_Toc478110532"/>
            <w:bookmarkStart w:id="4" w:name="_Toc478392822"/>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注意事项如下：</w:t>
            </w:r>
          </w:p>
          <w:p>
            <w:pPr>
              <w:pStyle w:val="22"/>
              <w:numPr>
                <w:ilvl w:val="0"/>
                <w:numId w:val="3"/>
              </w:numPr>
              <w:ind w:left="0" w:firstLine="0" w:firstLineChars="0"/>
              <w:rPr>
                <w:rFonts w:ascii="宋体" w:hAnsi="宋体" w:eastAsia="宋体"/>
                <w:color w:val="000000" w:themeColor="text1"/>
                <w:szCs w:val="21"/>
                <w:highlight w:val="none"/>
                <w14:textFill>
                  <w14:solidFill>
                    <w14:schemeClr w14:val="tx1"/>
                  </w14:solidFill>
                </w14:textFill>
              </w:rPr>
            </w:pPr>
            <w:bookmarkStart w:id="5" w:name="_Hlk60498011"/>
            <w:r>
              <w:rPr>
                <w:rFonts w:hint="eastAsia" w:ascii="宋体" w:hAnsi="宋体" w:eastAsia="宋体"/>
                <w:color w:val="000000" w:themeColor="text1"/>
                <w:szCs w:val="21"/>
                <w:highlight w:val="none"/>
                <w14:textFill>
                  <w14:solidFill>
                    <w14:schemeClr w14:val="tx1"/>
                  </w14:solidFill>
                </w14:textFill>
              </w:rPr>
              <w:t>为便于开标时的解密操作，投标文件（</w:t>
            </w:r>
            <w:r>
              <w:rPr>
                <w:rFonts w:ascii="宋体" w:hAnsi="宋体" w:eastAsia="宋体"/>
                <w:color w:val="000000" w:themeColor="text1"/>
                <w:szCs w:val="21"/>
                <w:highlight w:val="none"/>
                <w14:textFill>
                  <w14:solidFill>
                    <w14:schemeClr w14:val="tx1"/>
                  </w14:solidFill>
                </w14:textFill>
              </w:rPr>
              <w:t>PDF</w:t>
            </w:r>
            <w:r>
              <w:rPr>
                <w:rFonts w:hint="eastAsia" w:ascii="宋体" w:hAnsi="宋体" w:eastAsia="宋体"/>
                <w:color w:val="000000" w:themeColor="text1"/>
                <w:szCs w:val="21"/>
                <w:highlight w:val="none"/>
                <w14:textFill>
                  <w14:solidFill>
                    <w14:schemeClr w14:val="tx1"/>
                  </w14:solidFill>
                </w14:textFill>
              </w:rPr>
              <w:t>版及Word版</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必须制作为一个压缩文件后再行加密，否则投标文件将被拒收。</w:t>
            </w:r>
            <w:r>
              <w:rPr>
                <w:rFonts w:ascii="宋体" w:hAnsi="宋体" w:eastAsia="宋体"/>
                <w:b/>
                <w:bCs/>
                <w:color w:val="000000" w:themeColor="text1"/>
                <w:szCs w:val="21"/>
                <w:highlight w:val="none"/>
                <w14:textFill>
                  <w14:solidFill>
                    <w14:schemeClr w14:val="tx1"/>
                  </w14:solidFill>
                </w14:textFill>
              </w:rPr>
              <w:t>建议</w:t>
            </w:r>
            <w:r>
              <w:rPr>
                <w:rFonts w:hint="eastAsia" w:ascii="宋体" w:hAnsi="宋体" w:eastAsia="宋体"/>
                <w:b/>
                <w:bCs/>
                <w:color w:val="000000" w:themeColor="text1"/>
                <w:szCs w:val="21"/>
                <w:highlight w:val="none"/>
                <w14:textFill>
                  <w14:solidFill>
                    <w14:schemeClr w14:val="tx1"/>
                  </w14:solidFill>
                </w14:textFill>
              </w:rPr>
              <w:t>编制文件目录</w:t>
            </w:r>
            <w:r>
              <w:rPr>
                <w:rFonts w:hint="eastAsia" w:ascii="宋体" w:hAnsi="宋体" w:eastAsia="宋体"/>
                <w:color w:val="000000" w:themeColor="text1"/>
                <w:szCs w:val="21"/>
                <w:highlight w:val="none"/>
                <w14:textFill>
                  <w14:solidFill>
                    <w14:schemeClr w14:val="tx1"/>
                  </w14:solidFill>
                </w14:textFill>
              </w:rPr>
              <w:t>并采用</w:t>
            </w:r>
            <w:r>
              <w:rPr>
                <w:rFonts w:ascii="宋体" w:hAnsi="宋体" w:eastAsia="宋体"/>
                <w:color w:val="000000" w:themeColor="text1"/>
                <w:szCs w:val="21"/>
                <w:highlight w:val="none"/>
                <w14:textFill>
                  <w14:solidFill>
                    <w14:schemeClr w14:val="tx1"/>
                  </w14:solidFill>
                </w14:textFill>
              </w:rPr>
              <w:t>WinRAR</w:t>
            </w:r>
            <w:r>
              <w:rPr>
                <w:rFonts w:hint="eastAsia" w:ascii="宋体" w:hAnsi="宋体" w:eastAsia="宋体"/>
                <w:color w:val="000000" w:themeColor="text1"/>
                <w:szCs w:val="21"/>
                <w:highlight w:val="none"/>
                <w14:textFill>
                  <w14:solidFill>
                    <w14:schemeClr w14:val="tx1"/>
                  </w14:solidFill>
                </w14:textFill>
              </w:rPr>
              <w:t>或</w:t>
            </w:r>
            <w:r>
              <w:rPr>
                <w:rFonts w:ascii="宋体" w:hAnsi="宋体" w:eastAsia="宋体"/>
                <w:color w:val="000000" w:themeColor="text1"/>
                <w:szCs w:val="21"/>
                <w:highlight w:val="none"/>
                <w14:textFill>
                  <w14:solidFill>
                    <w14:schemeClr w14:val="tx1"/>
                  </w14:solidFill>
                </w14:textFill>
              </w:rPr>
              <w:t>WinZip</w:t>
            </w:r>
            <w:r>
              <w:rPr>
                <w:rFonts w:hint="eastAsia" w:ascii="宋体" w:hAnsi="宋体" w:eastAsia="宋体"/>
                <w:color w:val="000000" w:themeColor="text1"/>
                <w:szCs w:val="21"/>
                <w:highlight w:val="none"/>
                <w14:textFill>
                  <w14:solidFill>
                    <w14:schemeClr w14:val="tx1"/>
                  </w14:solidFill>
                </w14:textFill>
              </w:rPr>
              <w:t>等常用</w:t>
            </w:r>
            <w:r>
              <w:rPr>
                <w:rFonts w:ascii="宋体" w:hAnsi="宋体" w:eastAsia="宋体"/>
                <w:color w:val="000000" w:themeColor="text1"/>
                <w:szCs w:val="21"/>
                <w:highlight w:val="none"/>
                <w14:textFill>
                  <w14:solidFill>
                    <w14:schemeClr w14:val="tx1"/>
                  </w14:solidFill>
                </w14:textFill>
              </w:rPr>
              <w:t>压缩</w:t>
            </w:r>
            <w:r>
              <w:rPr>
                <w:rFonts w:hint="eastAsia" w:ascii="宋体" w:hAnsi="宋体" w:eastAsia="宋体"/>
                <w:color w:val="000000" w:themeColor="text1"/>
                <w:szCs w:val="21"/>
                <w:highlight w:val="none"/>
                <w14:textFill>
                  <w14:solidFill>
                    <w14:schemeClr w14:val="tx1"/>
                  </w14:solidFill>
                </w14:textFill>
              </w:rPr>
              <w:t>软件进行压缩和</w:t>
            </w:r>
            <w:r>
              <w:rPr>
                <w:rFonts w:ascii="宋体" w:hAnsi="宋体" w:eastAsia="宋体"/>
                <w:color w:val="000000" w:themeColor="text1"/>
                <w:szCs w:val="21"/>
                <w:highlight w:val="none"/>
                <w14:textFill>
                  <w14:solidFill>
                    <w14:schemeClr w14:val="tx1"/>
                  </w14:solidFill>
                </w14:textFill>
              </w:rPr>
              <w:t>加密</w:t>
            </w:r>
            <w:bookmarkEnd w:id="5"/>
            <w:r>
              <w:rPr>
                <w:rFonts w:hint="eastAsia" w:ascii="宋体" w:hAnsi="宋体" w:eastAsia="宋体"/>
                <w:color w:val="000000" w:themeColor="text1"/>
                <w:szCs w:val="21"/>
                <w:highlight w:val="none"/>
                <w14:textFill>
                  <w14:solidFill>
                    <w14:schemeClr w14:val="tx1"/>
                  </w14:solidFill>
                </w14:textFill>
              </w:rPr>
              <w:t>。</w:t>
            </w:r>
          </w:p>
          <w:p>
            <w:pPr>
              <w:pStyle w:val="22"/>
              <w:numPr>
                <w:ilvl w:val="0"/>
                <w:numId w:val="3"/>
              </w:numPr>
              <w:ind w:left="0" w:firstLine="0" w:firstLineChars="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w:t>
            </w:r>
            <w:r>
              <w:rPr>
                <w:rFonts w:hint="eastAsia" w:ascii="宋体" w:hAnsi="宋体" w:eastAsia="宋体"/>
                <w:color w:val="000000" w:themeColor="text1"/>
                <w:szCs w:val="21"/>
                <w:highlight w:val="none"/>
                <w:lang w:val="en-US" w:eastAsia="zh-CN"/>
                <w14:textFill>
                  <w14:solidFill>
                    <w14:schemeClr w14:val="tx1"/>
                  </w14:solidFill>
                </w14:textFill>
              </w:rPr>
              <w:t>人</w:t>
            </w:r>
            <w:r>
              <w:rPr>
                <w:rFonts w:hint="eastAsia" w:ascii="宋体" w:hAnsi="宋体" w:eastAsia="宋体"/>
                <w:color w:val="000000" w:themeColor="text1"/>
                <w:szCs w:val="21"/>
                <w:highlight w:val="none"/>
                <w14:textFill>
                  <w14:solidFill>
                    <w14:schemeClr w14:val="tx1"/>
                  </w14:solidFill>
                </w14:textFill>
              </w:rPr>
              <w:t>授权代表须熟记文件密码，否则做废标处理。投标文件递交时间截止后，不再接受任何理由的撤回或重新提交文件请求。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本项目实质性响应内容以盖章扫描版（</w:t>
            </w:r>
            <w:r>
              <w:rPr>
                <w:rFonts w:ascii="宋体" w:hAnsi="宋体" w:eastAsia="宋体"/>
                <w:color w:val="000000" w:themeColor="text1"/>
                <w:szCs w:val="21"/>
                <w:highlight w:val="none"/>
                <w14:textFill>
                  <w14:solidFill>
                    <w14:schemeClr w14:val="tx1"/>
                  </w14:solidFill>
                </w14:textFill>
              </w:rPr>
              <w:t>PDF</w:t>
            </w:r>
            <w:r>
              <w:rPr>
                <w:rFonts w:hint="eastAsia" w:ascii="宋体" w:hAnsi="宋体" w:eastAsia="宋体"/>
                <w:color w:val="000000" w:themeColor="text1"/>
                <w:szCs w:val="21"/>
                <w:highlight w:val="none"/>
                <w14:textFill>
                  <w14:solidFill>
                    <w14:schemeClr w14:val="tx1"/>
                  </w14:solidFill>
                </w14:textFill>
              </w:rPr>
              <w:t>版）文件为准，</w:t>
            </w:r>
            <w:r>
              <w:rPr>
                <w:rFonts w:hint="eastAsia" w:ascii="宋体" w:hAnsi="宋体" w:eastAsia="宋体"/>
                <w:color w:val="000000" w:themeColor="text1"/>
                <w:szCs w:val="21"/>
                <w:highlight w:val="none"/>
                <w:lang w:val="en-US" w:eastAsia="zh-CN"/>
                <w14:textFill>
                  <w14:solidFill>
                    <w14:schemeClr w14:val="tx1"/>
                  </w14:solidFill>
                </w14:textFill>
              </w:rPr>
              <w:t>可编辑版（</w:t>
            </w:r>
            <w:r>
              <w:rPr>
                <w:rFonts w:hint="eastAsia" w:ascii="宋体" w:hAnsi="宋体" w:eastAsia="宋体"/>
                <w:color w:val="000000" w:themeColor="text1"/>
                <w:szCs w:val="21"/>
                <w:highlight w:val="none"/>
                <w14:textFill>
                  <w14:solidFill>
                    <w14:schemeClr w14:val="tx1"/>
                  </w14:solidFill>
                </w14:textFill>
              </w:rPr>
              <w:t>W</w:t>
            </w:r>
            <w:r>
              <w:rPr>
                <w:rFonts w:ascii="宋体" w:hAnsi="宋体" w:eastAsia="宋体"/>
                <w:color w:val="000000" w:themeColor="text1"/>
                <w:szCs w:val="21"/>
                <w:highlight w:val="none"/>
                <w14:textFill>
                  <w14:solidFill>
                    <w14:schemeClr w14:val="tx1"/>
                  </w14:solidFill>
                </w14:textFill>
              </w:rPr>
              <w:t>ord</w:t>
            </w:r>
            <w:r>
              <w:rPr>
                <w:rFonts w:hint="eastAsia" w:ascii="宋体" w:hAnsi="宋体" w:eastAsia="宋体"/>
                <w:color w:val="000000" w:themeColor="text1"/>
                <w:szCs w:val="21"/>
                <w:highlight w:val="none"/>
                <w:lang w:val="en-US" w:eastAsia="zh-CN"/>
                <w14:textFill>
                  <w14:solidFill>
                    <w14:schemeClr w14:val="tx1"/>
                  </w14:solidFill>
                </w14:textFill>
              </w:rPr>
              <w:t>或WPS</w:t>
            </w:r>
            <w:r>
              <w:rPr>
                <w:rFonts w:hint="eastAsia" w:ascii="宋体" w:hAnsi="宋体" w:eastAsia="宋体"/>
                <w:color w:val="000000" w:themeColor="text1"/>
                <w:szCs w:val="21"/>
                <w:highlight w:val="none"/>
                <w14:textFill>
                  <w14:solidFill>
                    <w14:schemeClr w14:val="tx1"/>
                  </w14:solidFill>
                </w14:textFill>
              </w:rPr>
              <w:t>版</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w:t>
            </w:r>
            <w:r>
              <w:rPr>
                <w:rFonts w:hint="eastAsia" w:ascii="宋体" w:hAnsi="宋体"/>
                <w:color w:val="000000" w:themeColor="text1"/>
                <w:szCs w:val="21"/>
                <w:lang w:val="en-US" w:eastAsia="zh-CN"/>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14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（北京时间</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腾讯会议号：968-790-575（免密，入会前必须改名为“公司简称+姓名”），届时请各投标人按采购公告要求准时提交投标文件及密码并参加在线开标。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在开标时按照招标人现场指令</w:t>
            </w:r>
            <w:r>
              <w:rPr>
                <w:rFonts w:hint="eastAsia" w:ascii="宋体" w:hAnsi="宋体"/>
                <w:color w:val="000000" w:themeColor="text1"/>
                <w:highlight w:val="none"/>
                <w14:textFill>
                  <w14:solidFill>
                    <w14:schemeClr w14:val="tx1"/>
                  </w14:solidFill>
                </w14:textFill>
              </w:rPr>
              <w:t>将投标文件解密密码（详见附件）上传至</w:t>
            </w:r>
            <w:r>
              <w:rPr>
                <w:rStyle w:val="18"/>
                <w:rFonts w:hint="eastAsia" w:ascii="宋体" w:hAnsi="宋体"/>
                <w:bCs/>
                <w:color w:val="000000" w:themeColor="text1"/>
                <w:highlight w:val="none"/>
                <w14:textFill>
                  <w14:solidFill>
                    <w14:schemeClr w14:val="tx1"/>
                  </w14:solidFill>
                </w14:textFill>
              </w:rPr>
              <w:t>https://cg.szcec.com/sharing/Z142Zt7HN</w:t>
            </w:r>
            <w:r>
              <w:rPr>
                <w:rFonts w:hint="eastAsia" w:ascii="宋体" w:hAnsi="宋体"/>
                <w:color w:val="000000" w:themeColor="text1"/>
                <w:szCs w:val="21"/>
                <w:highlight w:val="none"/>
                <w14:textFill>
                  <w14:solidFill>
                    <w14:schemeClr w14:val="tx1"/>
                  </w14:solidFill>
                </w14:textFill>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sym w:font="Wingdings 2" w:char="0052"/>
            </w:r>
            <w:r>
              <w:rPr>
                <w:rFonts w:hint="eastAsia" w:ascii="宋体" w:hAnsi="宋体" w:cstheme="minorBidi"/>
                <w:color w:val="000000" w:themeColor="text1"/>
                <w:szCs w:val="21"/>
                <w:highlight w:val="none"/>
                <w14:textFill>
                  <w14:solidFill>
                    <w14:schemeClr w14:val="tx1"/>
                  </w14:solidFill>
                </w14:textFill>
              </w:rPr>
              <w:t>不接受</w:t>
            </w:r>
          </w:p>
          <w:p>
            <w:pPr>
              <w:autoSpaceDE w:val="0"/>
              <w:autoSpaceDN w:val="0"/>
              <w:adjustRightInd w:val="0"/>
              <w:snapToGrid w:val="0"/>
              <w:rPr>
                <w:rFonts w:ascii="宋体" w:hAnsi="宋体"/>
                <w:color w:val="000000" w:themeColor="text1"/>
                <w:kern w:val="0"/>
                <w:szCs w:val="21"/>
                <w:highlight w:val="none"/>
                <w14:textFill>
                  <w14:solidFill>
                    <w14:schemeClr w14:val="tx1"/>
                  </w14:solidFill>
                </w14:textFill>
              </w:rPr>
            </w:pPr>
            <w:r>
              <w:rPr>
                <w:rFonts w:hint="eastAsia" w:ascii="宋体" w:hAnsi="宋体" w:cstheme="minorBidi"/>
                <w:color w:val="000000" w:themeColor="text1"/>
                <w:szCs w:val="21"/>
                <w:highlight w:val="none"/>
                <w14:textFill>
                  <w14:solidFill>
                    <w14:schemeClr w14:val="tx1"/>
                  </w14:solidFill>
                </w14:textFill>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color w:val="000000" w:themeColor="text1"/>
                <w:kern w:val="0"/>
                <w:szCs w:val="21"/>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sym w:font="Wingdings 2" w:char="0052"/>
            </w:r>
            <w:r>
              <w:rPr>
                <w:rFonts w:hint="eastAsia" w:ascii="宋体" w:hAnsi="宋体" w:cstheme="minorBidi"/>
                <w:color w:val="000000" w:themeColor="text1"/>
                <w:kern w:val="0"/>
                <w:szCs w:val="21"/>
                <w14:textFill>
                  <w14:solidFill>
                    <w14:schemeClr w14:val="tx1"/>
                  </w14:solidFill>
                </w14:textFill>
              </w:rPr>
              <w:t>不组织。可在</w:t>
            </w:r>
            <w:r>
              <w:rPr>
                <w:rFonts w:hint="eastAsia" w:ascii="宋体" w:hAnsi="宋体" w:cstheme="minorBidi"/>
                <w:color w:val="000000" w:themeColor="text1"/>
                <w:kern w:val="0"/>
                <w:szCs w:val="21"/>
                <w:lang w:val="en-US" w:eastAsia="zh-CN"/>
                <w14:textFill>
                  <w14:solidFill>
                    <w14:schemeClr w14:val="tx1"/>
                  </w14:solidFill>
                </w14:textFill>
              </w:rPr>
              <w:t>本项目</w:t>
            </w:r>
            <w:r>
              <w:rPr>
                <w:rFonts w:hint="eastAsia" w:ascii="宋体" w:hAnsi="宋体" w:cstheme="minorBidi"/>
                <w:color w:val="000000" w:themeColor="text1"/>
                <w:kern w:val="0"/>
                <w:szCs w:val="21"/>
                <w14:textFill>
                  <w14:solidFill>
                    <w14:schemeClr w14:val="tx1"/>
                  </w14:solidFill>
                </w14:textFill>
              </w:rPr>
              <w:t>招标</w:t>
            </w:r>
            <w:r>
              <w:rPr>
                <w:rFonts w:hint="eastAsia" w:ascii="宋体" w:hAnsi="宋体" w:cstheme="minorBidi"/>
                <w:color w:val="000000" w:themeColor="text1"/>
                <w:kern w:val="0"/>
                <w:szCs w:val="21"/>
                <w:lang w:val="en-US" w:eastAsia="zh-CN"/>
                <w14:textFill>
                  <w14:solidFill>
                    <w14:schemeClr w14:val="tx1"/>
                  </w14:solidFill>
                </w14:textFill>
              </w:rPr>
              <w:t>公告发布</w:t>
            </w:r>
            <w:r>
              <w:rPr>
                <w:rFonts w:hint="eastAsia" w:ascii="宋体" w:hAnsi="宋体" w:cstheme="minorBidi"/>
                <w:color w:val="000000" w:themeColor="text1"/>
                <w:kern w:val="0"/>
                <w:szCs w:val="21"/>
                <w14:textFill>
                  <w14:solidFill>
                    <w14:schemeClr w14:val="tx1"/>
                  </w14:solidFill>
                </w14:textFill>
              </w:rPr>
              <w:t>后至</w:t>
            </w:r>
            <w:r>
              <w:rPr>
                <w:rFonts w:hint="eastAsia" w:ascii="宋体" w:hAnsi="宋体" w:cstheme="minorBidi"/>
                <w:color w:val="000000" w:themeColor="text1"/>
                <w:kern w:val="0"/>
                <w:szCs w:val="21"/>
                <w:lang w:val="en-US" w:eastAsia="zh-CN"/>
                <w14:textFill>
                  <w14:solidFill>
                    <w14:schemeClr w14:val="tx1"/>
                  </w14:solidFill>
                </w14:textFill>
              </w:rPr>
              <w:t>报名（文件获取）时间截止</w:t>
            </w:r>
            <w:r>
              <w:rPr>
                <w:rFonts w:hint="eastAsia" w:ascii="宋体" w:hAnsi="宋体" w:cstheme="minorBidi"/>
                <w:color w:val="000000" w:themeColor="text1"/>
                <w:kern w:val="0"/>
                <w:szCs w:val="21"/>
                <w14:textFill>
                  <w14:solidFill>
                    <w14:schemeClr w14:val="tx1"/>
                  </w14:solidFill>
                </w14:textFill>
              </w:rPr>
              <w:t>前自行踏勘。</w:t>
            </w:r>
          </w:p>
          <w:p>
            <w:pPr>
              <w:numPr>
                <w:ilvl w:val="0"/>
                <w:numId w:val="4"/>
              </w:numPr>
              <w:tabs>
                <w:tab w:val="left" w:pos="281"/>
                <w:tab w:val="left" w:pos="541"/>
              </w:tabs>
              <w:snapToGrid w:val="0"/>
              <w:spacing w:after="156" w:afterLines="50"/>
              <w:rPr>
                <w:rFonts w:ascii="宋体" w:hAnsi="宋体" w:cstheme="minorBidi"/>
                <w:color w:val="000000" w:themeColor="text1"/>
                <w:kern w:val="0"/>
                <w:szCs w:val="21"/>
                <w14:textFill>
                  <w14:solidFill>
                    <w14:schemeClr w14:val="tx1"/>
                  </w14:solidFill>
                </w14:textFill>
              </w:rPr>
            </w:pPr>
            <w:r>
              <w:rPr>
                <w:rFonts w:hint="eastAsia" w:ascii="宋体" w:hAnsi="宋体" w:cstheme="minorBidi"/>
                <w:color w:val="000000" w:themeColor="text1"/>
                <w:kern w:val="0"/>
                <w:szCs w:val="21"/>
                <w14:textFill>
                  <w14:solidFill>
                    <w14:schemeClr w14:val="tx1"/>
                  </w14:solidFill>
                </w14:textFill>
              </w:rPr>
              <w:t>□组织，踏勘要求：</w:t>
            </w:r>
          </w:p>
          <w:p>
            <w:pPr>
              <w:pStyle w:val="22"/>
              <w:numPr>
                <w:ilvl w:val="0"/>
                <w:numId w:val="5"/>
              </w:numPr>
              <w:tabs>
                <w:tab w:val="left" w:pos="541"/>
              </w:tabs>
              <w:snapToGrid w:val="0"/>
              <w:ind w:left="805" w:hanging="227"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投标人是否必须参加：</w:t>
            </w:r>
          </w:p>
          <w:p>
            <w:pPr>
              <w:pStyle w:val="22"/>
              <w:tabs>
                <w:tab w:val="left" w:pos="541"/>
              </w:tabs>
              <w:snapToGrid w:val="0"/>
              <w:ind w:left="805" w:firstLine="8" w:firstLineChars="4"/>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□是（若不参加，将因投标文件不完整导致失去本项目投标资格）</w:t>
            </w:r>
          </w:p>
          <w:p>
            <w:pPr>
              <w:pStyle w:val="22"/>
              <w:tabs>
                <w:tab w:val="left" w:pos="541"/>
              </w:tabs>
              <w:snapToGrid w:val="0"/>
              <w:spacing w:after="156" w:afterLines="50"/>
              <w:ind w:left="805" w:firstLine="8" w:firstLineChars="4"/>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□否（可选择不参加，不影响投标资格但可能会产生不利后果）</w:t>
            </w:r>
          </w:p>
          <w:p>
            <w:pPr>
              <w:pStyle w:val="22"/>
              <w:numPr>
                <w:ilvl w:val="0"/>
                <w:numId w:val="6"/>
              </w:numPr>
              <w:tabs>
                <w:tab w:val="left" w:pos="541"/>
              </w:tabs>
              <w:snapToGrid w:val="0"/>
              <w:spacing w:after="156" w:afterLines="50"/>
              <w:ind w:left="805" w:hanging="22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招标人定于202×-××-×× ××: ××邀请投标人人员察看现场并讲解项目需求；现场踏勘。</w:t>
            </w:r>
          </w:p>
          <w:p>
            <w:pPr>
              <w:pStyle w:val="22"/>
              <w:numPr>
                <w:ilvl w:val="0"/>
                <w:numId w:val="6"/>
              </w:numPr>
              <w:tabs>
                <w:tab w:val="left" w:pos="541"/>
              </w:tabs>
              <w:snapToGrid w:val="0"/>
              <w:spacing w:after="156" w:afterLines="50"/>
              <w:ind w:left="805" w:hanging="22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156" w:afterLines="50"/>
              <w:ind w:left="805" w:hanging="22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踏勘联系人：×××</w:t>
            </w:r>
          </w:p>
          <w:p>
            <w:pPr>
              <w:pStyle w:val="22"/>
              <w:tabs>
                <w:tab w:val="left" w:pos="541"/>
              </w:tabs>
              <w:snapToGrid w:val="0"/>
              <w:ind w:left="805" w:firstLine="0"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电话：0755-8284××××，手机：XXXXX</w:t>
            </w:r>
          </w:p>
          <w:p>
            <w:pPr>
              <w:pStyle w:val="22"/>
              <w:tabs>
                <w:tab w:val="left" w:pos="541"/>
              </w:tabs>
              <w:snapToGrid w:val="0"/>
              <w:ind w:left="805" w:firstLine="0"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集合地点：××××××××××××××</w:t>
            </w:r>
          </w:p>
          <w:p>
            <w:pPr>
              <w:pStyle w:val="22"/>
              <w:numPr>
                <w:ilvl w:val="0"/>
                <w:numId w:val="6"/>
              </w:numPr>
              <w:tabs>
                <w:tab w:val="left" w:pos="541"/>
              </w:tabs>
              <w:snapToGrid w:val="0"/>
              <w:ind w:left="805" w:hanging="22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履约</w:t>
            </w:r>
            <w:r>
              <w:rPr>
                <w:rFonts w:ascii="宋体" w:hAnsi="宋体"/>
                <w:szCs w:val="21"/>
                <w:highlight w:val="none"/>
              </w:rPr>
              <w:t>保证金</w:t>
            </w:r>
          </w:p>
        </w:tc>
        <w:tc>
          <w:tcPr>
            <w:tcW w:w="7029" w:type="dxa"/>
            <w:vAlign w:val="center"/>
          </w:tcPr>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是否要求递交履约保证金：</w:t>
            </w:r>
            <w:r>
              <w:rPr>
                <w:rFonts w:ascii="宋体" w:hAnsi="宋体" w:cs="Segoe UI Symbol"/>
                <w:color w:val="000000" w:themeColor="text1"/>
                <w:kern w:val="0"/>
                <w:szCs w:val="21"/>
                <w:highlight w:val="none"/>
                <w14:textFill>
                  <w14:solidFill>
                    <w14:schemeClr w14:val="tx1"/>
                  </w14:solidFill>
                </w14:textFill>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sym w:font="Wingdings 2" w:char="0052"/>
            </w:r>
            <w:r>
              <w:rPr>
                <w:rFonts w:hint="eastAsia" w:ascii="宋体" w:hAnsi="宋体" w:eastAsia="宋体" w:cs="Segoe UI Symbol"/>
                <w:color w:val="000000" w:themeColor="text1"/>
                <w:kern w:val="0"/>
                <w:szCs w:val="21"/>
                <w:highlight w:val="none"/>
                <w14:textFill>
                  <w14:solidFill>
                    <w14:schemeClr w14:val="tx1"/>
                  </w14:solidFill>
                </w14:textFill>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履约保证金金额：人民币</w:t>
            </w:r>
            <w:r>
              <w:rPr>
                <w:rFonts w:hint="eastAsia" w:ascii="宋体" w:hAnsi="宋体" w:eastAsia="宋体" w:cs="Segoe UI Symbol"/>
                <w:color w:val="000000" w:themeColor="text1"/>
                <w:kern w:val="0"/>
                <w:szCs w:val="21"/>
                <w:highlight w:val="none"/>
                <w:u w:val="single"/>
                <w14:textFill>
                  <w14:solidFill>
                    <w14:schemeClr w14:val="tx1"/>
                  </w14:solidFill>
                </w14:textFill>
              </w:rPr>
              <w:t xml:space="preserve"> </w:t>
            </w:r>
            <w:r>
              <w:rPr>
                <w:rFonts w:ascii="宋体" w:hAnsi="宋体" w:eastAsia="宋体" w:cs="Segoe UI Symbol"/>
                <w:color w:val="000000" w:themeColor="text1"/>
                <w:kern w:val="0"/>
                <w:szCs w:val="21"/>
                <w:highlight w:val="none"/>
                <w:u w:val="single"/>
                <w14:textFill>
                  <w14:solidFill>
                    <w14:schemeClr w14:val="tx1"/>
                  </w14:solidFill>
                </w14:textFill>
              </w:rPr>
              <w:t>/</w:t>
            </w:r>
            <w:r>
              <w:rPr>
                <w:rFonts w:hint="eastAsia" w:ascii="宋体" w:hAnsi="宋体" w:eastAsia="宋体" w:cs="Segoe UI Symbol"/>
                <w:color w:val="000000" w:themeColor="text1"/>
                <w:kern w:val="0"/>
                <w:szCs w:val="21"/>
                <w:highlight w:val="none"/>
                <w:u w:val="single"/>
                <w14:textFill>
                  <w14:solidFill>
                    <w14:schemeClr w14:val="tx1"/>
                  </w14:solidFill>
                </w14:textFill>
              </w:rPr>
              <w:t xml:space="preserve"> </w:t>
            </w:r>
            <w:r>
              <w:rPr>
                <w:rFonts w:hint="eastAsia" w:ascii="宋体" w:hAnsi="宋体" w:eastAsia="宋体" w:cs="Segoe UI Symbol"/>
                <w:color w:val="000000" w:themeColor="text1"/>
                <w:kern w:val="0"/>
                <w:szCs w:val="21"/>
                <w:highlight w:val="none"/>
                <w14:textFill>
                  <w14:solidFill>
                    <w14:schemeClr w14:val="tx1"/>
                  </w14:solidFill>
                </w14:textFill>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履约保证金的</w:t>
            </w:r>
            <w:r>
              <w:rPr>
                <w:rFonts w:ascii="宋体" w:hAnsi="宋体" w:eastAsia="宋体" w:cs="Segoe UI Symbol"/>
                <w:color w:val="000000" w:themeColor="text1"/>
                <w:kern w:val="0"/>
                <w:szCs w:val="21"/>
                <w:highlight w:val="none"/>
                <w14:textFill>
                  <w14:solidFill>
                    <w14:schemeClr w14:val="tx1"/>
                  </w14:solidFill>
                </w14:textFill>
              </w:rPr>
              <w:t>形式：</w:t>
            </w:r>
            <w:r>
              <w:rPr>
                <w:rFonts w:hint="eastAsia" w:ascii="宋体" w:hAnsi="宋体" w:eastAsia="宋体" w:cs="Segoe UI Symbol"/>
                <w:color w:val="000000" w:themeColor="text1"/>
                <w:kern w:val="0"/>
                <w:szCs w:val="21"/>
                <w:highlight w:val="none"/>
                <w14:textFill>
                  <w14:solidFill>
                    <w14:schemeClr w14:val="tx1"/>
                  </w14:solidFill>
                </w14:textFill>
              </w:rPr>
              <w:t>□银行转账</w:t>
            </w:r>
            <w:r>
              <w:rPr>
                <w:rFonts w:ascii="宋体" w:hAnsi="宋体" w:eastAsia="宋体" w:cs="Segoe UI Symbol"/>
                <w:color w:val="000000" w:themeColor="text1"/>
                <w:kern w:val="0"/>
                <w:szCs w:val="21"/>
                <w:highlight w:val="none"/>
                <w14:textFill>
                  <w14:solidFill>
                    <w14:schemeClr w14:val="tx1"/>
                  </w14:solidFill>
                </w14:textFill>
              </w:rPr>
              <w:t xml:space="preserve">  </w:t>
            </w:r>
            <w:r>
              <w:rPr>
                <w:rFonts w:hint="eastAsia" w:ascii="宋体" w:hAnsi="宋体" w:eastAsia="宋体" w:cs="Segoe UI Symbol"/>
                <w:color w:val="000000" w:themeColor="text1"/>
                <w:kern w:val="0"/>
                <w:szCs w:val="21"/>
                <w:highlight w:val="none"/>
                <w14:textFill>
                  <w14:solidFill>
                    <w14:schemeClr w14:val="tx1"/>
                  </w14:solidFill>
                </w14:textFill>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投标人保证金</w:t>
            </w:r>
            <w:r>
              <w:rPr>
                <w:rFonts w:ascii="宋体" w:hAnsi="宋体" w:eastAsia="宋体" w:cs="Segoe UI Symbol"/>
                <w:color w:val="000000" w:themeColor="text1"/>
                <w:kern w:val="0"/>
                <w:szCs w:val="21"/>
                <w:highlight w:val="none"/>
                <w14:textFill>
                  <w14:solidFill>
                    <w14:schemeClr w14:val="tx1"/>
                  </w14:solidFill>
                </w14:textFill>
              </w:rPr>
              <w:t>收款</w:t>
            </w:r>
            <w:r>
              <w:rPr>
                <w:rFonts w:hint="eastAsia" w:ascii="宋体" w:hAnsi="宋体" w:eastAsia="宋体" w:cs="Segoe UI Symbol"/>
                <w:color w:val="000000" w:themeColor="text1"/>
                <w:kern w:val="0"/>
                <w:szCs w:val="21"/>
                <w:highlight w:val="none"/>
                <w14:textFill>
                  <w14:solidFill>
                    <w14:schemeClr w14:val="tx1"/>
                  </w14:solidFill>
                </w14:textFill>
              </w:rPr>
              <w:t>银行账户信息（选用“银行转账</w:t>
            </w:r>
            <w:r>
              <w:rPr>
                <w:rFonts w:ascii="宋体" w:hAnsi="宋体" w:eastAsia="宋体" w:cs="Segoe UI Symbol"/>
                <w:color w:val="000000" w:themeColor="text1"/>
                <w:kern w:val="0"/>
                <w:szCs w:val="21"/>
                <w:highlight w:val="none"/>
                <w14:textFill>
                  <w14:solidFill>
                    <w14:schemeClr w14:val="tx1"/>
                  </w14:solidFill>
                </w14:textFill>
              </w:rPr>
              <w:t>”</w:t>
            </w:r>
            <w:r>
              <w:rPr>
                <w:rFonts w:hint="eastAsia" w:ascii="宋体" w:hAnsi="宋体" w:eastAsia="宋体" w:cs="Segoe UI Symbol"/>
                <w:color w:val="000000" w:themeColor="text1"/>
                <w:kern w:val="0"/>
                <w:szCs w:val="21"/>
                <w:highlight w:val="none"/>
                <w14:textFill>
                  <w14:solidFill>
                    <w14:schemeClr w14:val="tx1"/>
                  </w14:solidFill>
                </w14:textFill>
              </w:rPr>
              <w:t>方式须填</w:t>
            </w:r>
            <w:r>
              <w:rPr>
                <w:rFonts w:ascii="宋体" w:hAnsi="宋体" w:eastAsia="宋体" w:cs="Segoe UI Symbol"/>
                <w:color w:val="000000" w:themeColor="text1"/>
                <w:kern w:val="0"/>
                <w:szCs w:val="21"/>
                <w:highlight w:val="none"/>
                <w14:textFill>
                  <w14:solidFill>
                    <w14:schemeClr w14:val="tx1"/>
                  </w14:solidFill>
                </w14:textFill>
              </w:rPr>
              <w:t>）</w:t>
            </w:r>
          </w:p>
          <w:p>
            <w:pPr>
              <w:autoSpaceDE w:val="0"/>
              <w:autoSpaceDN w:val="0"/>
              <w:adjustRightInd w:val="0"/>
              <w:snapToGrid w:val="0"/>
              <w:ind w:left="819" w:leftChars="390" w:firstLine="1"/>
              <w:jc w:val="left"/>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t>收款单位：</w:t>
            </w:r>
            <w:r>
              <w:rPr>
                <w:rFonts w:hint="eastAsia" w:ascii="宋体" w:hAnsi="宋体" w:cs="Segoe UI Symbol"/>
                <w:color w:val="000000" w:themeColor="text1"/>
                <w:kern w:val="0"/>
                <w:szCs w:val="21"/>
                <w:highlight w:val="none"/>
                <w:u w:val="single"/>
                <w14:textFill>
                  <w14:solidFill>
                    <w14:schemeClr w14:val="tx1"/>
                  </w14:solidFill>
                </w14:textFill>
              </w:rPr>
              <w:t>深圳深圳会展中心管理有限责任公司</w:t>
            </w:r>
          </w:p>
          <w:p>
            <w:pPr>
              <w:autoSpaceDE w:val="0"/>
              <w:autoSpaceDN w:val="0"/>
              <w:adjustRightInd w:val="0"/>
              <w:snapToGrid w:val="0"/>
              <w:ind w:left="819" w:leftChars="390" w:firstLine="1"/>
              <w:jc w:val="left"/>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t>开户银行：</w:t>
            </w:r>
            <w:r>
              <w:rPr>
                <w:rFonts w:ascii="宋体" w:hAnsi="宋体" w:cs="Segoe UI Symbol"/>
                <w:color w:val="000000" w:themeColor="text1"/>
                <w:kern w:val="0"/>
                <w:szCs w:val="21"/>
                <w:highlight w:val="none"/>
                <w:u w:val="single"/>
                <w14:textFill>
                  <w14:solidFill>
                    <w14:schemeClr w14:val="tx1"/>
                  </w14:solidFill>
                </w14:textFill>
              </w:rPr>
              <w:t xml:space="preserve">     </w:t>
            </w:r>
            <w:r>
              <w:rPr>
                <w:rFonts w:hint="eastAsia" w:ascii="宋体" w:hAnsi="宋体" w:cs="Segoe UI Symbol"/>
                <w:color w:val="000000" w:themeColor="text1"/>
                <w:kern w:val="0"/>
                <w:szCs w:val="21"/>
                <w:highlight w:val="none"/>
                <w:u w:val="single"/>
                <w14:textFill>
                  <w14:solidFill>
                    <w14:schemeClr w14:val="tx1"/>
                  </w14:solidFill>
                </w14:textFill>
              </w:rPr>
              <w:t>／</w:t>
            </w:r>
            <w:r>
              <w:rPr>
                <w:rFonts w:ascii="宋体" w:hAnsi="宋体" w:cs="Segoe UI Symbol"/>
                <w:color w:val="000000" w:themeColor="text1"/>
                <w:kern w:val="0"/>
                <w:szCs w:val="21"/>
                <w:highlight w:val="none"/>
                <w:u w:val="single"/>
                <w14:textFill>
                  <w14:solidFill>
                    <w14:schemeClr w14:val="tx1"/>
                  </w14:solidFill>
                </w14:textFill>
              </w:rPr>
              <w:t xml:space="preserve">       </w:t>
            </w:r>
          </w:p>
          <w:p>
            <w:pPr>
              <w:autoSpaceDE w:val="0"/>
              <w:autoSpaceDN w:val="0"/>
              <w:adjustRightInd w:val="0"/>
              <w:snapToGrid w:val="0"/>
              <w:ind w:left="819" w:leftChars="390" w:firstLine="1"/>
              <w:jc w:val="left"/>
              <w:rPr>
                <w:rFonts w:ascii="宋体" w:hAnsi="宋体" w:cs="Segoe UI Symbol"/>
                <w:color w:val="000000" w:themeColor="text1"/>
                <w:kern w:val="0"/>
                <w:szCs w:val="21"/>
                <w:highlight w:val="none"/>
                <w:u w:val="singl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银行账号</w:t>
            </w:r>
            <w:r>
              <w:rPr>
                <w:rFonts w:ascii="宋体" w:hAnsi="宋体" w:cs="Segoe UI Symbol"/>
                <w:color w:val="000000" w:themeColor="text1"/>
                <w:kern w:val="0"/>
                <w:szCs w:val="21"/>
                <w:highlight w:val="none"/>
                <w14:textFill>
                  <w14:solidFill>
                    <w14:schemeClr w14:val="tx1"/>
                  </w14:solidFill>
                </w14:textFill>
              </w:rPr>
              <w:t>：</w:t>
            </w:r>
            <w:r>
              <w:rPr>
                <w:rFonts w:ascii="宋体" w:hAnsi="宋体" w:cs="Segoe UI Symbol"/>
                <w:color w:val="000000" w:themeColor="text1"/>
                <w:kern w:val="0"/>
                <w:szCs w:val="21"/>
                <w:highlight w:val="none"/>
                <w:u w:val="single"/>
                <w14:textFill>
                  <w14:solidFill>
                    <w14:schemeClr w14:val="tx1"/>
                  </w14:solidFill>
                </w14:textFill>
              </w:rPr>
              <w:t xml:space="preserve">     </w:t>
            </w:r>
            <w:r>
              <w:rPr>
                <w:rFonts w:hint="eastAsia" w:ascii="宋体" w:hAnsi="宋体" w:cs="Segoe UI Symbol"/>
                <w:color w:val="000000" w:themeColor="text1"/>
                <w:kern w:val="0"/>
                <w:szCs w:val="21"/>
                <w:highlight w:val="none"/>
                <w:u w:val="single"/>
                <w14:textFill>
                  <w14:solidFill>
                    <w14:schemeClr w14:val="tx1"/>
                  </w14:solidFill>
                </w14:textFill>
              </w:rPr>
              <w:t>／</w:t>
            </w:r>
            <w:r>
              <w:rPr>
                <w:rFonts w:ascii="宋体" w:hAnsi="宋体" w:cs="Segoe UI Symbol"/>
                <w:color w:val="000000" w:themeColor="text1"/>
                <w:kern w:val="0"/>
                <w:szCs w:val="21"/>
                <w:highlight w:val="none"/>
                <w:u w:val="single"/>
                <w14:textFill>
                  <w14:solidFill>
                    <w14:schemeClr w14:val="tx1"/>
                  </w14:solidFill>
                </w14:textFill>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履约保证金的</w:t>
            </w:r>
            <w:r>
              <w:rPr>
                <w:rFonts w:ascii="宋体" w:hAnsi="宋体" w:eastAsia="宋体" w:cs="Segoe UI Symbol"/>
                <w:color w:val="000000" w:themeColor="text1"/>
                <w:kern w:val="0"/>
                <w:szCs w:val="21"/>
                <w:highlight w:val="none"/>
                <w14:textFill>
                  <w14:solidFill>
                    <w14:schemeClr w14:val="tx1"/>
                  </w14:solidFill>
                </w14:textFill>
              </w:rPr>
              <w:t>形式</w:t>
            </w:r>
            <w:r>
              <w:rPr>
                <w:rFonts w:hint="eastAsia" w:ascii="宋体" w:hAnsi="宋体" w:eastAsia="宋体" w:cs="Segoe UI Symbol"/>
                <w:color w:val="000000" w:themeColor="text1"/>
                <w:kern w:val="0"/>
                <w:szCs w:val="21"/>
                <w:highlight w:val="none"/>
                <w14:textFill>
                  <w14:solidFill>
                    <w14:schemeClr w14:val="tx1"/>
                  </w14:solidFill>
                </w14:textFill>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投标样品</w:t>
            </w:r>
          </w:p>
        </w:tc>
        <w:tc>
          <w:tcPr>
            <w:tcW w:w="7029" w:type="dxa"/>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不要求递交投标样品</w:t>
            </w:r>
          </w:p>
          <w:p>
            <w:pPr>
              <w:autoSpaceDE w:val="0"/>
              <w:autoSpaceDN w:val="0"/>
              <w:adjustRightInd w:val="0"/>
              <w:snapToGrid w:val="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□递交投标样品，具体要求：</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综合评分法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□最低价法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□其他：</w:t>
            </w:r>
            <w:r>
              <w:rPr>
                <w:rFonts w:hint="eastAsia" w:ascii="宋体" w:hAnsi="宋体" w:cs="Segoe UI Symbol"/>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highlight w:val="none"/>
              </w:rPr>
            </w:pPr>
            <w:r>
              <w:rPr>
                <w:rFonts w:hint="eastAsia" w:ascii="宋体" w:hAnsi="宋体" w:cs="宋体"/>
                <w:szCs w:val="21"/>
                <w:highlight w:val="none"/>
              </w:rPr>
              <w:t>推荐中标</w:t>
            </w:r>
          </w:p>
          <w:p>
            <w:pPr>
              <w:autoSpaceDE w:val="0"/>
              <w:autoSpaceDN w:val="0"/>
              <w:adjustRightInd w:val="0"/>
              <w:snapToGrid w:val="0"/>
              <w:jc w:val="center"/>
              <w:rPr>
                <w:rFonts w:ascii="宋体" w:hAnsi="宋体"/>
                <w:szCs w:val="21"/>
                <w:highlight w:val="none"/>
              </w:rPr>
            </w:pPr>
            <w:r>
              <w:rPr>
                <w:rFonts w:hint="eastAsia" w:ascii="宋体" w:hAnsi="宋体" w:cs="宋体"/>
                <w:szCs w:val="21"/>
                <w:highlight w:val="none"/>
              </w:rPr>
              <w:t>候选人数量</w:t>
            </w:r>
          </w:p>
        </w:tc>
        <w:tc>
          <w:tcPr>
            <w:tcW w:w="7029" w:type="dxa"/>
            <w:vAlign w:val="center"/>
          </w:tcPr>
          <w:p>
            <w:pPr>
              <w:autoSpaceDE w:val="0"/>
              <w:autoSpaceDN w:val="0"/>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内部招标评标</w:t>
            </w:r>
            <w:r>
              <w:rPr>
                <w:rFonts w:ascii="宋体" w:hAnsi="宋体" w:cs="Segoe UI Symbol"/>
                <w:color w:val="000000" w:themeColor="text1"/>
                <w:kern w:val="0"/>
                <w:szCs w:val="21"/>
                <w:highlight w:val="none"/>
                <w14:textFill>
                  <w14:solidFill>
                    <w14:schemeClr w14:val="tx1"/>
                  </w14:solidFill>
                </w14:textFill>
              </w:rPr>
              <w:t>小组推荐的中标候选人数</w:t>
            </w: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Segoe UI Symbol"/>
                <w:color w:val="000000" w:themeColor="text1"/>
                <w:kern w:val="0"/>
                <w:szCs w:val="21"/>
                <w:highlight w:val="none"/>
                <w:u w:val="single"/>
                <w14:textFill>
                  <w14:solidFill>
                    <w14:schemeClr w14:val="tx1"/>
                  </w14:solidFill>
                </w14:textFill>
              </w:rPr>
              <w:t xml:space="preserve">  1  个</w:t>
            </w:r>
            <w:r>
              <w:rPr>
                <w:rFonts w:hint="eastAsia" w:ascii="宋体" w:hAnsi="宋体" w:cs="Segoe UI Symbol"/>
                <w:color w:val="000000" w:themeColor="text1"/>
                <w:kern w:val="0"/>
                <w:szCs w:val="21"/>
                <w:highlight w:val="none"/>
                <w14:textFill>
                  <w14:solidFill>
                    <w14:schemeClr w14:val="tx1"/>
                  </w14:solidFill>
                </w14:textFill>
              </w:rPr>
              <w:t>。</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适用于采用</w:t>
            </w:r>
            <w:r>
              <w:rPr>
                <w:rFonts w:hint="eastAsia" w:ascii="宋体" w:hAnsi="宋体" w:cs="宋体"/>
                <w:b/>
                <w:bCs/>
                <w:color w:val="000000" w:themeColor="text1"/>
                <w:szCs w:val="21"/>
                <w:highlight w:val="none"/>
                <w14:textFill>
                  <w14:solidFill>
                    <w14:schemeClr w14:val="tx1"/>
                  </w14:solidFill>
                </w14:textFill>
              </w:rPr>
              <w:t>综合评分法</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最低价法</w:t>
            </w:r>
            <w:r>
              <w:rPr>
                <w:rFonts w:hint="eastAsia" w:ascii="宋体" w:hAnsi="宋体" w:cs="宋体"/>
                <w:bCs/>
                <w:color w:val="000000" w:themeColor="text1"/>
                <w:szCs w:val="21"/>
                <w:highlight w:val="none"/>
                <w14:textFill>
                  <w14:solidFill>
                    <w14:schemeClr w14:val="tx1"/>
                  </w14:solidFill>
                </w14:textFill>
              </w:rPr>
              <w:t>）</w:t>
            </w:r>
          </w:p>
        </w:tc>
      </w:tr>
    </w:tbl>
    <w:p>
      <w:pPr>
        <w:numPr>
          <w:ilvl w:val="0"/>
          <w:numId w:val="1"/>
        </w:numPr>
        <w:spacing w:line="560" w:lineRule="exact"/>
        <w:outlineLvl w:val="1"/>
        <w:rPr>
          <w:rFonts w:ascii="宋体" w:hAnsi="宋体"/>
          <w:b/>
          <w:szCs w:val="21"/>
        </w:rPr>
      </w:pPr>
      <w:bookmarkStart w:id="6" w:name="_Toc82684588"/>
      <w:bookmarkEnd w:id="6"/>
      <w:bookmarkStart w:id="7" w:name="_Toc82591926"/>
      <w:bookmarkEnd w:id="7"/>
      <w:bookmarkStart w:id="8" w:name="_Toc82591928"/>
      <w:bookmarkEnd w:id="8"/>
      <w:bookmarkStart w:id="9" w:name="_Toc82684705"/>
      <w:bookmarkEnd w:id="9"/>
      <w:bookmarkStart w:id="10" w:name="_Toc82685542"/>
      <w:bookmarkEnd w:id="10"/>
      <w:bookmarkStart w:id="11" w:name="_Toc82685543"/>
      <w:bookmarkEnd w:id="11"/>
      <w:bookmarkStart w:id="12" w:name="_Toc82684590"/>
      <w:bookmarkEnd w:id="12"/>
      <w:bookmarkStart w:id="13" w:name="_Toc82684589"/>
      <w:bookmarkEnd w:id="13"/>
      <w:bookmarkStart w:id="14" w:name="_Toc82685541"/>
      <w:bookmarkEnd w:id="14"/>
      <w:bookmarkStart w:id="15" w:name="_Toc82591925"/>
      <w:bookmarkEnd w:id="15"/>
      <w:bookmarkStart w:id="16" w:name="_Toc82684706"/>
      <w:bookmarkEnd w:id="16"/>
      <w:bookmarkStart w:id="17" w:name="_Toc82685540"/>
      <w:bookmarkEnd w:id="17"/>
      <w:bookmarkStart w:id="18" w:name="_Toc82591927"/>
      <w:bookmarkEnd w:id="18"/>
      <w:bookmarkStart w:id="19" w:name="_Toc82684704"/>
      <w:bookmarkEnd w:id="19"/>
      <w:bookmarkStart w:id="20" w:name="_Toc82684591"/>
      <w:bookmarkEnd w:id="20"/>
      <w:bookmarkStart w:id="21" w:name="_Toc82684703"/>
      <w:bookmarkEnd w:id="21"/>
      <w:bookmarkStart w:id="22" w:name="_Toc106791254"/>
      <w:r>
        <w:rPr>
          <w:rFonts w:hint="eastAsia" w:ascii="宋体" w:hAnsi="宋体"/>
          <w:b/>
          <w:szCs w:val="21"/>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45028463"/>
      <w:bookmarkStart w:id="24" w:name="_Toc517278751"/>
      <w:bookmarkStart w:id="25" w:name="_Toc478387747"/>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rPr>
        <w:t>本项目涉及的所有往来资料文件均需通过招标人报名回函上指定的</w:t>
      </w:r>
      <w:r>
        <w:rPr>
          <w:rFonts w:hint="eastAsia" w:ascii="宋体" w:hAnsi="宋体" w:eastAsia="宋体" w:cs="宋体"/>
          <w:szCs w:val="21"/>
          <w:highlight w:val="none"/>
        </w:rPr>
        <w:t>地址</w:t>
      </w:r>
      <w:r>
        <w:rPr>
          <w:rFonts w:hint="eastAsia" w:ascii="宋体" w:hAnsi="宋体" w:eastAsia="宋体" w:cs="宋体"/>
          <w:szCs w:val="21"/>
          <w:highlight w:val="none"/>
          <w:lang w:val="en-US" w:eastAsia="zh-CN"/>
        </w:rPr>
        <w:t>和方式</w:t>
      </w:r>
      <w:r>
        <w:rPr>
          <w:rFonts w:hint="eastAsia" w:ascii="宋体" w:hAnsi="宋体" w:eastAsia="宋体" w:cs="宋体"/>
          <w:szCs w:val="21"/>
        </w:rPr>
        <w:t>发送和接收</w:t>
      </w:r>
      <w:r>
        <w:rPr>
          <w:rFonts w:hint="eastAsia" w:ascii="宋体" w:hAnsi="宋体" w:eastAsia="宋体" w:cs="宋体"/>
          <w:szCs w:val="21"/>
          <w:highlight w:val="none"/>
        </w:rPr>
        <w:t>，否则可能导致文件不被接受的不利后果。</w:t>
      </w:r>
    </w:p>
    <w:p>
      <w:pPr>
        <w:pStyle w:val="22"/>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30"/>
      <w:bookmarkEnd w:id="26"/>
      <w:bookmarkStart w:id="27" w:name="_Toc82591986"/>
      <w:bookmarkEnd w:id="27"/>
      <w:bookmarkStart w:id="28" w:name="_Toc82684708"/>
      <w:bookmarkEnd w:id="28"/>
      <w:bookmarkStart w:id="29" w:name="_Toc82591985"/>
      <w:bookmarkEnd w:id="29"/>
      <w:bookmarkStart w:id="30" w:name="_Toc82685545"/>
      <w:bookmarkEnd w:id="30"/>
      <w:bookmarkStart w:id="31" w:name="_Toc82591988"/>
      <w:bookmarkEnd w:id="31"/>
      <w:bookmarkStart w:id="32" w:name="_Toc82591987"/>
      <w:bookmarkEnd w:id="32"/>
      <w:bookmarkStart w:id="33" w:name="_Toc82591989"/>
      <w:bookmarkEnd w:id="33"/>
      <w:bookmarkStart w:id="34" w:name="_Toc82684593"/>
      <w:bookmarkEnd w:id="34"/>
      <w:bookmarkStart w:id="35" w:name="_Toc106791255"/>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color w:val="auto"/>
              </w:rPr>
              <w:t>信用中国网站</w:t>
            </w:r>
            <w:r>
              <w:rPr>
                <w:rFonts w:hint="eastAsia" w:ascii="宋体" w:hAnsi="宋体"/>
                <w:color w:val="auto"/>
                <w:lang w:eastAsia="zh-CN"/>
              </w:rPr>
              <w:t>（</w:t>
            </w:r>
            <w:r>
              <w:rPr>
                <w:rFonts w:ascii="宋体" w:hAnsi="宋体"/>
                <w:color w:val="auto"/>
              </w:rPr>
              <w:t>www.creditchina.gov.cn</w:t>
            </w:r>
            <w:r>
              <w:rPr>
                <w:rFonts w:hint="eastAsia" w:ascii="宋体" w:hAnsi="宋体"/>
                <w:color w:val="auto"/>
                <w:lang w:eastAsia="zh-CN"/>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w:t>
            </w:r>
            <w:r>
              <w:rPr>
                <w:rFonts w:hint="eastAsia" w:ascii="宋体" w:hAnsi="宋体" w:cs="Courier New"/>
                <w:kern w:val="0"/>
                <w:szCs w:val="21"/>
                <w:lang w:eastAsia="zh-CN"/>
              </w:rPr>
              <w:t>（</w:t>
            </w:r>
            <w:r>
              <w:rPr>
                <w:rFonts w:hint="eastAsia" w:ascii="宋体" w:hAnsi="宋体" w:cs="Courier New"/>
                <w:kern w:val="0"/>
                <w:szCs w:val="21"/>
              </w:rPr>
              <w:t>售后</w:t>
            </w:r>
            <w:r>
              <w:rPr>
                <w:rFonts w:hint="eastAsia" w:ascii="宋体" w:hAnsi="宋体" w:cs="Courier New"/>
                <w:kern w:val="0"/>
                <w:szCs w:val="21"/>
                <w:lang w:eastAsia="zh-CN"/>
              </w:rPr>
              <w:t>）</w:t>
            </w:r>
            <w:r>
              <w:rPr>
                <w:rFonts w:hint="eastAsia" w:ascii="宋体" w:hAnsi="宋体" w:cs="Courier New"/>
                <w:kern w:val="0"/>
                <w:szCs w:val="21"/>
              </w:rPr>
              <w:t>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highlight w:val="none"/>
              </w:rPr>
            </w:pPr>
            <w:r>
              <w:rPr>
                <w:rFonts w:hint="eastAsia" w:ascii="宋体" w:hAnsi="宋体" w:cs="宋体"/>
                <w:b/>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、投标人应为中华人民共和国境内注册且合法运作的企业，能独立承担民事责任。（提供企业营业执照并加盖投标人公章）。</w:t>
            </w:r>
          </w:p>
          <w:p>
            <w:pPr>
              <w:numPr>
                <w:ilvl w:val="0"/>
                <w:numId w:val="0"/>
              </w:numPr>
              <w:tabs>
                <w:tab w:val="left" w:pos="531"/>
              </w:tabs>
              <w:snapToGrid w:val="0"/>
              <w:ind w:leftChars="0"/>
              <w:rPr>
                <w:rFonts w:hint="eastAsia" w:ascii="宋体" w:hAnsi="宋体" w:eastAsia="宋体" w:cs="宋体"/>
                <w:bCs/>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pPr>
              <w:widowControl w:val="0"/>
              <w:autoSpaceDE w:val="0"/>
              <w:autoSpaceDN w:val="0"/>
              <w:adjustRightInd w:val="0"/>
              <w:snapToGrid w:val="0"/>
              <w:ind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、投标人非所投产品制造企业的，投标人需要提供所投产品的销售授权或代理授权证明文件（加盖投标人公章）。</w:t>
            </w:r>
          </w:p>
          <w:p>
            <w:pPr>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、投标人须提供由国家市场监督管理总局颁发的适用所投产品的《中华人民共和国特种设备生产许可证》（提供复印件并加盖公章）。</w:t>
            </w:r>
          </w:p>
          <w:p>
            <w:pPr>
              <w:numPr>
                <w:ilvl w:val="0"/>
                <w:numId w:val="0"/>
              </w:numPr>
              <w:tabs>
                <w:tab w:val="left" w:pos="531"/>
              </w:tabs>
              <w:snapToGrid w:val="0"/>
              <w:rPr>
                <w:rFonts w:hint="eastAsia" w:ascii="宋体" w:hAnsi="宋体" w:eastAsia="宋体" w:cs="宋体"/>
                <w:color w:val="FF0000"/>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rPr>
              <w:t>报价以人民币为结算币种，投标报价不得出现可选择性的报价,含有备选方案的报价将导致</w:t>
            </w:r>
            <w:r>
              <w:rPr>
                <w:rFonts w:hint="eastAsia" w:ascii="宋体" w:hAnsi="宋体" w:eastAsia="宋体" w:cs="宋体"/>
                <w:color w:val="000000" w:themeColor="text1"/>
                <w:szCs w:val="21"/>
                <w:highlight w:val="none"/>
                <w14:textFill>
                  <w14:solidFill>
                    <w14:schemeClr w14:val="tx1"/>
                  </w14:solidFill>
                </w14:textFill>
              </w:rPr>
              <w:t>废标。</w:t>
            </w:r>
          </w:p>
          <w:p>
            <w:pPr>
              <w:numPr>
                <w:ilvl w:val="0"/>
                <w:numId w:val="10"/>
              </w:numPr>
              <w:tabs>
                <w:tab w:val="left" w:pos="531"/>
              </w:tabs>
              <w:snapToGrid w:val="0"/>
              <w:ind w:left="0"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报价以人民币为结算币种，《投标一览表》应包含税率、</w:t>
            </w:r>
            <w:r>
              <w:rPr>
                <w:rFonts w:hint="eastAsia" w:ascii="宋体" w:hAnsi="宋体" w:eastAsia="宋体" w:cs="宋体"/>
                <w:color w:val="000000" w:themeColor="text1"/>
                <w:szCs w:val="21"/>
                <w:highlight w:val="none"/>
                <w:lang w:val="en-US" w:eastAsia="zh-CN"/>
                <w14:textFill>
                  <w14:solidFill>
                    <w14:schemeClr w14:val="tx1"/>
                  </w14:solidFill>
                </w14:textFill>
              </w:rPr>
              <w:t>税额、</w:t>
            </w:r>
            <w:r>
              <w:rPr>
                <w:rFonts w:hint="eastAsia" w:ascii="宋体" w:hAnsi="宋体" w:eastAsia="宋体" w:cs="宋体"/>
                <w:color w:val="000000" w:themeColor="text1"/>
                <w:szCs w:val="21"/>
                <w:highlight w:val="none"/>
                <w14:textFill>
                  <w14:solidFill>
                    <w14:schemeClr w14:val="tx1"/>
                  </w14:solidFill>
                </w14:textFill>
              </w:rPr>
              <w:t>税前及税后总</w:t>
            </w:r>
            <w:r>
              <w:rPr>
                <w:rFonts w:hint="eastAsia" w:ascii="宋体" w:hAnsi="宋体" w:eastAsia="宋体" w:cs="宋体"/>
                <w:color w:val="000000" w:themeColor="text1"/>
                <w:szCs w:val="21"/>
                <w:highlight w:val="none"/>
                <w:lang w:val="en-US" w:eastAsia="zh-CN"/>
                <w14:textFill>
                  <w14:solidFill>
                    <w14:schemeClr w14:val="tx1"/>
                  </w14:solidFill>
                </w14:textFill>
              </w:rPr>
              <w:t>金额</w:t>
            </w:r>
            <w:r>
              <w:rPr>
                <w:rFonts w:hint="eastAsia" w:ascii="宋体" w:hAnsi="宋体" w:eastAsia="宋体" w:cs="宋体"/>
                <w:color w:val="000000" w:themeColor="text1"/>
                <w:szCs w:val="21"/>
                <w:highlight w:val="none"/>
                <w14:textFill>
                  <w14:solidFill>
                    <w14:schemeClr w14:val="tx1"/>
                  </w14:solidFill>
                </w14:textFill>
              </w:rPr>
              <w:t>。</w:t>
            </w:r>
          </w:p>
          <w:p>
            <w:pPr>
              <w:numPr>
                <w:ilvl w:val="0"/>
                <w:numId w:val="0"/>
              </w:numPr>
              <w:tabs>
                <w:tab w:val="left" w:pos="531"/>
              </w:tabs>
              <w:snapToGrid w:val="0"/>
              <w:ind w:leftChars="0"/>
              <w:rPr>
                <w:rFonts w:hint="eastAsia" w:ascii="宋体" w:hAnsi="宋体" w:eastAsia="宋体" w:cs="宋体"/>
                <w:szCs w:val="21"/>
                <w:highlight w:val="none"/>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投标报价不得出现</w:t>
            </w:r>
            <w:r>
              <w:rPr>
                <w:rFonts w:hint="eastAsia" w:ascii="宋体" w:hAnsi="宋体" w:eastAsia="宋体" w:cs="宋体"/>
                <w:szCs w:val="21"/>
                <w:highlight w:val="none"/>
              </w:rPr>
              <w:t>可选择性的报价,含有备选方案的报价将导致废标。</w:t>
            </w:r>
          </w:p>
          <w:p>
            <w:pPr>
              <w:numPr>
                <w:ilvl w:val="0"/>
                <w:numId w:val="0"/>
              </w:numPr>
              <w:tabs>
                <w:tab w:val="left" w:pos="531"/>
              </w:tabs>
              <w:snapToGrid w:val="0"/>
              <w:ind w:leftChars="0"/>
              <w:rPr>
                <w:rFonts w:hint="eastAsia" w:ascii="宋体" w:hAnsi="宋体" w:eastAsia="宋体" w:cs="宋体"/>
                <w:color w:val="FF0000"/>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投标报价包括但不限于</w:t>
            </w:r>
            <w:r>
              <w:rPr>
                <w:rFonts w:hint="eastAsia" w:ascii="宋体" w:hAnsi="宋体" w:eastAsia="宋体" w:cs="宋体"/>
                <w:color w:val="auto"/>
                <w:szCs w:val="21"/>
                <w:highlight w:val="none"/>
                <w:lang w:val="en-US" w:eastAsia="zh-CN"/>
              </w:rPr>
              <w:t>人工</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val="en-US" w:eastAsia="zh-CN"/>
              </w:rPr>
              <w:t>运输</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增值税费等</w:t>
            </w:r>
            <w:r>
              <w:rPr>
                <w:rFonts w:hint="eastAsia" w:ascii="宋体" w:hAnsi="宋体" w:eastAsia="宋体" w:cs="宋体"/>
                <w:szCs w:val="21"/>
                <w:highlight w:val="none"/>
              </w:rPr>
              <w:t>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color w:val="FF0000"/>
                <w:szCs w:val="21"/>
                <w:highlight w:val="none"/>
              </w:rPr>
            </w:pPr>
            <w:r>
              <w:rPr>
                <w:rFonts w:hint="eastAsia" w:ascii="宋体" w:hAnsi="宋体" w:eastAsia="宋体" w:cs="宋体"/>
                <w:color w:val="auto"/>
                <w:szCs w:val="21"/>
                <w:highlight w:val="none"/>
              </w:rPr>
              <w:t>本项目采购控制金额为人民币</w:t>
            </w:r>
            <w:r>
              <w:rPr>
                <w:rFonts w:hint="eastAsia" w:ascii="宋体" w:hAnsi="宋体" w:eastAsia="宋体" w:cs="宋体"/>
                <w:color w:val="auto"/>
                <w:szCs w:val="21"/>
                <w:highlight w:val="none"/>
                <w:lang w:val="en-US" w:eastAsia="zh-CN"/>
              </w:rPr>
              <w:t>88.00</w:t>
            </w:r>
            <w:r>
              <w:rPr>
                <w:rFonts w:hint="eastAsia" w:ascii="宋体" w:hAnsi="宋体" w:eastAsia="宋体" w:cs="宋体"/>
                <w:color w:val="auto"/>
                <w:szCs w:val="21"/>
                <w:highlight w:val="none"/>
              </w:rPr>
              <w:t>万元（含</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税），</w:t>
            </w:r>
            <w:r>
              <w:rPr>
                <w:rFonts w:hint="eastAsia" w:ascii="宋体" w:hAnsi="宋体" w:eastAsia="宋体" w:cs="宋体"/>
                <w:color w:val="auto"/>
                <w:szCs w:val="21"/>
                <w:highlight w:val="none"/>
                <w:lang w:val="en-US" w:eastAsia="zh-CN"/>
              </w:rPr>
              <w:t>电动堆垛车限额为12万元/台、电动搬运车限额为10万元/台，超过</w:t>
            </w:r>
            <w:r>
              <w:rPr>
                <w:rFonts w:hint="eastAsia" w:ascii="宋体" w:hAnsi="宋体" w:eastAsia="宋体" w:cs="宋体"/>
                <w:color w:val="auto"/>
                <w:szCs w:val="21"/>
                <w:highlight w:val="none"/>
              </w:rPr>
              <w:t>上述控制</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val="en-US" w:eastAsia="zh-CN"/>
              </w:rPr>
              <w:t>及单台金额</w:t>
            </w:r>
            <w:r>
              <w:rPr>
                <w:rFonts w:hint="eastAsia" w:ascii="宋体" w:hAnsi="宋体" w:eastAsia="宋体" w:cs="宋体"/>
                <w:color w:val="auto"/>
                <w:szCs w:val="21"/>
                <w:highlight w:val="none"/>
              </w:rPr>
              <w:t>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left"/>
              <w:rPr>
                <w:rFonts w:hint="eastAsia" w:ascii="宋体" w:hAnsi="宋体" w:eastAsia="宋体" w:cs="宋体"/>
                <w:sz w:val="21"/>
                <w:szCs w:val="21"/>
                <w:highlight w:val="none"/>
              </w:rPr>
            </w:pPr>
            <w:r>
              <w:rPr>
                <w:rFonts w:hint="eastAsia" w:ascii="宋体" w:hAnsi="宋体" w:eastAsia="宋体" w:cs="宋体"/>
                <w:szCs w:val="21"/>
                <w:highlight w:val="none"/>
              </w:rPr>
              <w:t>（1）</w:t>
            </w:r>
            <w:r>
              <w:rPr>
                <w:rFonts w:hint="eastAsia" w:ascii="宋体" w:hAnsi="宋体" w:eastAsia="宋体" w:cs="宋体"/>
                <w:sz w:val="21"/>
                <w:szCs w:val="21"/>
                <w:highlight w:val="none"/>
              </w:rPr>
              <w:t>交货、安装调试完毕并全部验收合格后，招标人向中标人支付合同总金额的9</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p>
          <w:p>
            <w:pPr>
              <w:widowControl w:val="0"/>
              <w:ind w:firstLine="0" w:firstLineChars="0"/>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rPr>
              <w:t>（2）质量保修期满后，合同所购全部设备未发生质量问题且各项性能指标达到合同规定的保证值，招标人一次性向中标人支付合同总额剩余</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%尾款。</w:t>
            </w:r>
          </w:p>
          <w:p>
            <w:pPr>
              <w:numPr>
                <w:ilvl w:val="0"/>
                <w:numId w:val="0"/>
              </w:numPr>
              <w:tabs>
                <w:tab w:val="left" w:pos="531"/>
              </w:tabs>
              <w:snapToGrid w:val="0"/>
              <w:ind w:leftChars="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（3）详细付款事宜以合同条款为准。</w:t>
            </w:r>
            <w:r>
              <w:rPr>
                <w:rFonts w:hint="eastAsia" w:ascii="宋体" w:hAnsi="宋体" w:eastAsia="宋体" w:cs="宋体"/>
                <w:color w:val="auto"/>
                <w:sz w:val="21"/>
                <w:szCs w:val="21"/>
                <w:highlight w:val="none"/>
                <w:lang w:val="en-US" w:eastAsia="zh-CN"/>
              </w:rPr>
              <w:t>货物送到深圳会展中心指定地点，经验收合格后，按照深圳会展中心付款流程，</w:t>
            </w:r>
            <w:r>
              <w:rPr>
                <w:rFonts w:hint="eastAsia" w:ascii="宋体" w:hAnsi="宋体" w:eastAsia="宋体" w:cs="宋体"/>
                <w:color w:val="auto"/>
                <w:sz w:val="21"/>
                <w:szCs w:val="21"/>
                <w:highlight w:val="none"/>
              </w:rPr>
              <w:t>一次性支付合同总金额</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百分之九十七，剩余百分之三作为质保金，待质保期结束后，一次性支付</w:t>
            </w:r>
            <w:r>
              <w:rPr>
                <w:rFonts w:hint="eastAsia" w:ascii="宋体" w:hAnsi="宋体" w:eastAsia="宋体" w:cs="宋体"/>
                <w:color w:val="auto"/>
                <w:sz w:val="21"/>
                <w:szCs w:val="21"/>
                <w:highlight w:val="none"/>
              </w:rPr>
              <w:t>。</w:t>
            </w:r>
          </w:p>
          <w:p>
            <w:pPr>
              <w:pStyle w:val="11"/>
              <w:rPr>
                <w:rFonts w:hint="eastAsia" w:ascii="宋体" w:hAnsi="宋体" w:eastAsia="宋体" w:cs="宋体"/>
                <w:color w:val="FF0000"/>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lang w:val="en-US" w:eastAsia="zh-CN"/>
              </w:rPr>
            </w:pPr>
            <w:r>
              <w:rPr>
                <w:rFonts w:hint="eastAsia"/>
                <w:color w:val="auto"/>
                <w:highlight w:val="none"/>
                <w:lang w:val="en-US" w:eastAsia="zh-CN"/>
              </w:rPr>
              <w:t>货物交付</w:t>
            </w:r>
          </w:p>
          <w:p>
            <w:pPr>
              <w:jc w:val="center"/>
              <w:rPr>
                <w:rFonts w:ascii="宋体" w:hAnsi="宋体" w:cs="宋体"/>
                <w:szCs w:val="21"/>
                <w:highlight w:val="none"/>
              </w:rPr>
            </w:pPr>
            <w:r>
              <w:rPr>
                <w:rFonts w:hint="eastAsia"/>
                <w:color w:val="auto"/>
                <w:highlight w:val="none"/>
                <w:lang w:val="en-US" w:eastAsia="zh-CN"/>
              </w:rPr>
              <w:t>时间、地点</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交货期为自合同签订之日起计</w:t>
            </w:r>
            <w:r>
              <w:rPr>
                <w:rFonts w:hint="eastAsia" w:ascii="宋体" w:hAnsi="宋体" w:cs="宋体"/>
                <w:szCs w:val="21"/>
                <w:highlight w:val="none"/>
                <w:lang w:val="en-US" w:eastAsia="zh-CN"/>
              </w:rPr>
              <w:t>40</w:t>
            </w:r>
            <w:r>
              <w:rPr>
                <w:rFonts w:hint="eastAsia" w:ascii="宋体" w:hAnsi="宋体" w:eastAsia="宋体" w:cs="宋体"/>
                <w:szCs w:val="21"/>
                <w:highlight w:val="none"/>
              </w:rPr>
              <w:t>个日历日以内（含</w:t>
            </w:r>
            <w:r>
              <w:rPr>
                <w:rFonts w:hint="eastAsia" w:ascii="宋体" w:hAnsi="宋体" w:cs="宋体"/>
                <w:szCs w:val="21"/>
                <w:highlight w:val="none"/>
                <w:lang w:val="en-US" w:eastAsia="zh-CN"/>
              </w:rPr>
              <w:t>4</w:t>
            </w:r>
            <w:r>
              <w:rPr>
                <w:rFonts w:hint="eastAsia" w:ascii="宋体" w:hAnsi="宋体" w:eastAsia="宋体" w:cs="宋体"/>
                <w:szCs w:val="21"/>
                <w:highlight w:val="none"/>
              </w:rPr>
              <w:t>0日）；</w:t>
            </w:r>
          </w:p>
          <w:p>
            <w:pPr>
              <w:pStyle w:val="11"/>
              <w:rPr>
                <w:rFonts w:hint="eastAsia" w:ascii="宋体" w:hAnsi="宋体" w:eastAsia="宋体" w:cs="宋体"/>
                <w:color w:val="FF0000"/>
                <w:szCs w:val="21"/>
                <w:highlight w:val="none"/>
              </w:rPr>
            </w:pPr>
            <w:r>
              <w:rPr>
                <w:rFonts w:hint="eastAsia" w:ascii="宋体" w:hAnsi="宋体" w:eastAsia="宋体" w:cs="宋体"/>
                <w:szCs w:val="21"/>
                <w:highlight w:val="none"/>
              </w:rPr>
              <w:t>交货地点：深圳会展中心。</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FF0000"/>
                <w:highlight w:val="none"/>
                <w:lang w:val="en-US" w:eastAsia="zh-CN"/>
              </w:rPr>
            </w:pPr>
            <w:r>
              <w:rPr>
                <w:rFonts w:hint="eastAsia"/>
                <w:color w:val="auto"/>
                <w:highlight w:val="none"/>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验收要求：货物运至现场并安装完毕后，由招标人牵头组织验收，验收时招标人和中标人双方必须同时在场；设备调试时处于正常工作状态，中标人签订合同后所提供产品须满足以下要求：设备所有参数必须符合技术指标标准、规范、合同及招标文件要求，如有偏离，视为中标人违约，招标人有权拒收产品；</w:t>
            </w:r>
          </w:p>
          <w:p>
            <w:pPr>
              <w:widowControl w:val="0"/>
              <w:numPr>
                <w:ilvl w:val="0"/>
                <w:numId w:val="0"/>
              </w:numPr>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设备要求外包装完好无损，有装箱单、出厂合格证以及检验证明（质检报告）；</w:t>
            </w:r>
          </w:p>
          <w:p>
            <w:pPr>
              <w:widowControl w:val="0"/>
              <w:numPr>
                <w:ilvl w:val="0"/>
                <w:numId w:val="0"/>
              </w:numPr>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若产品为国外</w:t>
            </w:r>
            <w:r>
              <w:rPr>
                <w:rFonts w:hint="eastAsia" w:ascii="宋体" w:hAnsi="宋体" w:eastAsia="宋体" w:cs="宋体"/>
                <w:szCs w:val="21"/>
                <w:highlight w:val="none"/>
                <w:lang w:val="en-US" w:eastAsia="zh-CN"/>
              </w:rPr>
              <w:t>原装进口</w:t>
            </w:r>
            <w:r>
              <w:rPr>
                <w:rFonts w:hint="eastAsia" w:ascii="宋体" w:hAnsi="宋体" w:eastAsia="宋体" w:cs="宋体"/>
                <w:szCs w:val="21"/>
                <w:highlight w:val="none"/>
              </w:rPr>
              <w:t>，必须出具海关报关资料（进口报关单、等）；</w:t>
            </w:r>
          </w:p>
          <w:p>
            <w:pPr>
              <w:widowControl w:val="0"/>
              <w:numPr>
                <w:ilvl w:val="0"/>
                <w:numId w:val="0"/>
              </w:numPr>
              <w:ind w:leftChars="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投标人提供技术说明书、设备安装手册、用户使用手册、维修（服务）手册及示意图等全部相关资料，文档应以纸面文字或电子文档两种方式交付。（以上资料需含中文版本）。</w:t>
            </w:r>
          </w:p>
          <w:p>
            <w:pPr>
              <w:pStyle w:val="11"/>
              <w:rPr>
                <w:rFonts w:hint="eastAsia" w:ascii="宋体" w:hAnsi="宋体" w:eastAsia="宋体" w:cs="宋体"/>
                <w:color w:val="FF0000"/>
                <w:szCs w:val="21"/>
                <w:highlight w:val="none"/>
              </w:rPr>
            </w:pPr>
            <w:r>
              <w:rPr>
                <w:rFonts w:hint="eastAsia" w:ascii="宋体" w:hAnsi="宋体" w:eastAsia="宋体" w:cs="宋体"/>
                <w:szCs w:val="21"/>
                <w:highlight w:val="none"/>
                <w:lang w:eastAsia="zh-CN"/>
              </w:rPr>
              <w:t>（</w:t>
            </w:r>
            <w:r>
              <w:rPr>
                <w:rFonts w:hint="eastAsia" w:ascii="宋体" w:hAnsi="宋体" w:eastAsia="宋体" w:cs="宋体"/>
                <w:kern w:val="2"/>
                <w:sz w:val="21"/>
                <w:szCs w:val="21"/>
                <w:highlight w:val="none"/>
                <w:lang w:val="en-US" w:eastAsia="zh-CN" w:bidi="ar-SA"/>
              </w:rPr>
              <w:t>5）附件清单齐全，与货品相符。中标人须提交随设备配置的全部备品备件及专业工具。</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车证办理要求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投标人负责办理特种车辆牌证，招标人协助提供办理特种车辆牌证所需资料。</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其它要求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1"/>
              </w:numPr>
              <w:ind w:left="0"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附随车配件清单。</w:t>
            </w:r>
          </w:p>
          <w:p>
            <w:pPr>
              <w:widowControl w:val="0"/>
              <w:numPr>
                <w:ilvl w:val="0"/>
                <w:numId w:val="11"/>
              </w:numPr>
              <w:ind w:left="0"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附产品维护保养手册（中文版）及产品技术资料（中文版）。</w:t>
            </w:r>
          </w:p>
          <w:p>
            <w:pPr>
              <w:pStyle w:val="11"/>
              <w:numPr>
                <w:ilvl w:val="0"/>
                <w:numId w:val="10"/>
              </w:numPr>
              <w:ind w:left="0"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随车配件附加一套常用维修工具。</w:t>
            </w:r>
          </w:p>
          <w:p>
            <w:pPr>
              <w:widowControl w:val="0"/>
              <w:ind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附件配置：</w:t>
            </w:r>
          </w:p>
          <w:p>
            <w:pPr>
              <w:pStyle w:val="11"/>
              <w:numPr>
                <w:ilvl w:val="-1"/>
                <w:numId w:val="0"/>
              </w:numPr>
              <w:ind w:left="0" w:firstLine="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投标产品设备加配</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米长充电器输出电源线。</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szCs w:val="21"/>
                <w:highlight w:val="none"/>
              </w:rPr>
            </w:pPr>
            <w:r>
              <w:rPr>
                <w:rFonts w:hint="eastAsia" w:ascii="宋体" w:hAnsi="宋体" w:eastAsia="宋体" w:cs="宋体"/>
                <w:b/>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lang w:val="en-US"/>
              </w:rPr>
            </w:pPr>
            <w:r>
              <w:rPr>
                <w:rFonts w:hint="eastAsia" w:ascii="宋体" w:hAnsi="宋体"/>
                <w:color w:val="auto"/>
                <w:szCs w:val="21"/>
                <w:highlight w:val="none"/>
                <w:lang w:val="en-US" w:eastAsia="zh-CN"/>
              </w:rPr>
              <w:t>1.6吨</w:t>
            </w:r>
            <w:r>
              <w:rPr>
                <w:rFonts w:hint="eastAsia" w:ascii="宋体" w:hAnsi="宋体"/>
                <w:color w:val="auto"/>
                <w:szCs w:val="21"/>
                <w:highlight w:val="none"/>
              </w:rPr>
              <w:t>电动</w:t>
            </w:r>
            <w:r>
              <w:rPr>
                <w:rFonts w:hint="eastAsia" w:ascii="宋体" w:hAnsi="宋体"/>
                <w:color w:val="auto"/>
                <w:szCs w:val="21"/>
                <w:highlight w:val="none"/>
                <w:lang w:val="en-US" w:eastAsia="zh-CN"/>
              </w:rPr>
              <w:t>堆垛车(4台)</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1.6吨站板式电动托盘堆垛叉车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最大载重需≥</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00千克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门架</w:t>
            </w:r>
            <w:r>
              <w:rPr>
                <w:rFonts w:hint="eastAsia" w:ascii="宋体" w:hAnsi="宋体" w:eastAsia="宋体" w:cs="宋体"/>
                <w:color w:val="auto"/>
                <w:sz w:val="21"/>
                <w:szCs w:val="21"/>
                <w:highlight w:val="none"/>
                <w:lang w:val="en-US" w:eastAsia="zh-CN"/>
              </w:rPr>
              <w:t>回缩时高度部超过1915mm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作业时</w:t>
            </w:r>
            <w:r>
              <w:rPr>
                <w:rFonts w:hint="eastAsia" w:ascii="宋体" w:hAnsi="宋体" w:eastAsia="宋体" w:cs="宋体"/>
                <w:color w:val="auto"/>
                <w:sz w:val="21"/>
                <w:szCs w:val="21"/>
                <w:highlight w:val="none"/>
              </w:rPr>
              <w:t>提升</w:t>
            </w:r>
            <w:r>
              <w:rPr>
                <w:rFonts w:hint="eastAsia" w:ascii="宋体" w:hAnsi="宋体" w:eastAsia="宋体" w:cs="宋体"/>
                <w:color w:val="auto"/>
                <w:sz w:val="21"/>
                <w:szCs w:val="21"/>
                <w:highlight w:val="none"/>
                <w:lang w:val="en-US" w:eastAsia="zh-CN"/>
              </w:rPr>
              <w:t>最大高度大</w:t>
            </w:r>
            <w:r>
              <w:rPr>
                <w:rFonts w:hint="eastAsia" w:ascii="宋体" w:hAnsi="宋体" w:eastAsia="宋体" w:cs="宋体"/>
                <w:color w:val="auto"/>
                <w:sz w:val="21"/>
                <w:szCs w:val="21"/>
                <w:highlight w:val="none"/>
              </w:rPr>
              <w:t>于3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米或以上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满载/空载最大爬坡能力6/15％，电池容量大于等于270AH</w:t>
            </w:r>
            <w:r>
              <w:rPr>
                <w:rFonts w:hint="eastAsia" w:ascii="宋体" w:hAnsi="宋体" w:eastAsia="宋体" w:cs="宋体"/>
                <w:color w:val="auto"/>
                <w:sz w:val="21"/>
                <w:szCs w:val="21"/>
                <w:highlight w:val="none"/>
              </w:rPr>
              <w:t>。机器重量需大于等于</w:t>
            </w:r>
            <w:r>
              <w:rPr>
                <w:rFonts w:hint="eastAsia" w:ascii="宋体" w:hAnsi="宋体" w:eastAsia="宋体" w:cs="宋体"/>
                <w:color w:val="auto"/>
                <w:sz w:val="21"/>
                <w:szCs w:val="21"/>
                <w:highlight w:val="none"/>
                <w:lang w:val="en-US" w:eastAsia="zh-CN"/>
              </w:rPr>
              <w:t>1325</w:t>
            </w:r>
            <w:r>
              <w:rPr>
                <w:rFonts w:hint="eastAsia" w:ascii="宋体" w:hAnsi="宋体" w:eastAsia="宋体" w:cs="宋体"/>
                <w:color w:val="auto"/>
                <w:sz w:val="21"/>
                <w:szCs w:val="21"/>
                <w:highlight w:val="none"/>
              </w:rPr>
              <w:t>千克。护顶架高度≤2250mm。</w:t>
            </w:r>
          </w:p>
          <w:p>
            <w:pPr>
              <w:pStyle w:val="2"/>
              <w:numPr>
                <w:ilvl w:val="0"/>
                <w:numId w:val="0"/>
              </w:numPr>
              <w:spacing w:line="240" w:lineRule="auto"/>
              <w:rPr>
                <w:rFonts w:hint="eastAsia" w:ascii="宋体" w:hAnsi="宋体" w:eastAsia="宋体" w:cs="宋体"/>
                <w:color w:val="auto"/>
                <w:spacing w:val="0"/>
                <w:kern w:val="2"/>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pacing w:val="0"/>
                <w:kern w:val="2"/>
                <w:sz w:val="21"/>
                <w:szCs w:val="21"/>
                <w:highlight w:val="none"/>
                <w:lang w:val="en-US" w:eastAsia="zh-CN"/>
              </w:rPr>
              <w:t>)</w:t>
            </w:r>
            <w:r>
              <w:rPr>
                <w:rFonts w:hint="eastAsia" w:ascii="宋体" w:hAnsi="宋体" w:eastAsia="宋体" w:cs="宋体"/>
                <w:color w:val="auto"/>
                <w:spacing w:val="0"/>
                <w:kern w:val="2"/>
                <w:sz w:val="21"/>
                <w:szCs w:val="21"/>
                <w:highlight w:val="none"/>
              </w:rPr>
              <w:t>电池为铅酸电池，工作电压为</w:t>
            </w:r>
            <w:r>
              <w:rPr>
                <w:rFonts w:hint="eastAsia" w:ascii="宋体" w:hAnsi="宋体" w:eastAsia="宋体" w:cs="宋体"/>
                <w:color w:val="auto"/>
                <w:spacing w:val="0"/>
                <w:kern w:val="2"/>
                <w:sz w:val="21"/>
                <w:szCs w:val="21"/>
                <w:highlight w:val="none"/>
                <w:lang w:val="en-US" w:eastAsia="zh-CN"/>
              </w:rPr>
              <w:t>24</w:t>
            </w:r>
            <w:r>
              <w:rPr>
                <w:rFonts w:hint="eastAsia" w:ascii="宋体" w:hAnsi="宋体" w:eastAsia="宋体" w:cs="宋体"/>
                <w:color w:val="auto"/>
                <w:spacing w:val="0"/>
                <w:kern w:val="2"/>
                <w:sz w:val="21"/>
                <w:szCs w:val="21"/>
                <w:highlight w:val="none"/>
              </w:rPr>
              <w:t>V或以上，整车电池重量须在</w:t>
            </w:r>
            <w:r>
              <w:rPr>
                <w:rFonts w:hint="eastAsia" w:ascii="宋体" w:hAnsi="宋体" w:eastAsia="宋体" w:cs="宋体"/>
                <w:color w:val="auto"/>
                <w:spacing w:val="0"/>
                <w:kern w:val="2"/>
                <w:sz w:val="21"/>
                <w:szCs w:val="21"/>
                <w:highlight w:val="none"/>
                <w:lang w:val="en-US" w:eastAsia="zh-CN"/>
              </w:rPr>
              <w:t>25</w:t>
            </w:r>
            <w:r>
              <w:rPr>
                <w:rFonts w:hint="eastAsia" w:ascii="宋体" w:hAnsi="宋体" w:eastAsia="宋体" w:cs="宋体"/>
                <w:color w:val="auto"/>
                <w:spacing w:val="0"/>
                <w:kern w:val="2"/>
                <w:sz w:val="21"/>
                <w:szCs w:val="21"/>
                <w:highlight w:val="none"/>
              </w:rPr>
              <w:t>0千克或以上。</w:t>
            </w:r>
          </w:p>
          <w:p>
            <w:pPr>
              <w:widowControl w:val="0"/>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电机和控制器要求：</w:t>
            </w:r>
          </w:p>
          <w:p>
            <w:pPr>
              <w:pStyle w:val="2"/>
              <w:numPr>
                <w:ilvl w:val="0"/>
                <w:numId w:val="0"/>
              </w:numPr>
              <w:spacing w:line="240" w:lineRule="auto"/>
              <w:ind w:leftChars="0"/>
              <w:rPr>
                <w:rFonts w:hint="eastAsia"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rPr>
              <w:t>电机</w:t>
            </w: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控制器</w:t>
            </w:r>
            <w:r>
              <w:rPr>
                <w:rFonts w:hint="eastAsia" w:ascii="宋体" w:hAnsi="宋体" w:eastAsia="宋体" w:cs="宋体"/>
                <w:color w:val="auto"/>
                <w:spacing w:val="0"/>
                <w:kern w:val="2"/>
                <w:sz w:val="21"/>
                <w:szCs w:val="21"/>
                <w:highlight w:val="none"/>
              </w:rPr>
              <w:t>具有结构紧凑、便于维修保养、可靠性强、并且免维护、能通过再生制动回收电能、以此延长电池工作时间。</w:t>
            </w:r>
          </w:p>
          <w:p>
            <w:pPr>
              <w:pStyle w:val="2"/>
              <w:numPr>
                <w:ilvl w:val="0"/>
                <w:numId w:val="0"/>
              </w:numPr>
              <w:spacing w:line="240" w:lineRule="auto"/>
              <w:ind w:leftChars="0"/>
              <w:rPr>
                <w:rFonts w:hint="eastAsia"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lang w:val="en-US" w:eastAsia="zh-CN"/>
              </w:rPr>
              <w:t>(4)</w:t>
            </w:r>
            <w:r>
              <w:rPr>
                <w:rFonts w:hint="eastAsia" w:ascii="宋体" w:hAnsi="宋体" w:eastAsia="宋体" w:cs="宋体"/>
                <w:color w:val="auto"/>
                <w:spacing w:val="0"/>
                <w:kern w:val="2"/>
                <w:sz w:val="21"/>
                <w:szCs w:val="21"/>
                <w:highlight w:val="none"/>
              </w:rPr>
              <w:t>蓄电池</w:t>
            </w:r>
            <w:r>
              <w:rPr>
                <w:rFonts w:hint="eastAsia" w:ascii="宋体" w:hAnsi="宋体" w:eastAsia="宋体" w:cs="宋体"/>
                <w:color w:val="auto"/>
                <w:spacing w:val="0"/>
                <w:kern w:val="2"/>
                <w:sz w:val="21"/>
                <w:szCs w:val="21"/>
                <w:highlight w:val="none"/>
                <w:lang w:val="en-US" w:eastAsia="zh-CN"/>
              </w:rPr>
              <w:t>采用国内或国际知名</w:t>
            </w:r>
            <w:r>
              <w:rPr>
                <w:rFonts w:hint="eastAsia" w:ascii="宋体" w:hAnsi="宋体" w:eastAsia="宋体" w:cs="宋体"/>
                <w:color w:val="auto"/>
                <w:spacing w:val="0"/>
                <w:kern w:val="2"/>
                <w:sz w:val="21"/>
                <w:szCs w:val="21"/>
                <w:highlight w:val="none"/>
              </w:rPr>
              <w:t>品牌，随机需同时配置自动补液系统。</w:t>
            </w:r>
          </w:p>
          <w:p>
            <w:pPr>
              <w:pStyle w:val="2"/>
              <w:numPr>
                <w:ilvl w:val="0"/>
                <w:numId w:val="0"/>
              </w:numPr>
              <w:spacing w:line="240" w:lineRule="auto"/>
              <w:ind w:leftChars="0"/>
              <w:rPr>
                <w:rFonts w:hint="eastAsia"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rPr>
              <w:t>车辆满载行驶速度不低于</w:t>
            </w:r>
            <w:r>
              <w:rPr>
                <w:rFonts w:hint="eastAsia" w:ascii="宋体" w:hAnsi="宋体" w:eastAsia="宋体" w:cs="宋体"/>
                <w:color w:val="auto"/>
                <w:spacing w:val="0"/>
                <w:kern w:val="2"/>
                <w:sz w:val="21"/>
                <w:szCs w:val="21"/>
                <w:highlight w:val="none"/>
                <w:lang w:val="en-US" w:eastAsia="zh-CN"/>
              </w:rPr>
              <w:t>7</w:t>
            </w:r>
            <w:r>
              <w:rPr>
                <w:rFonts w:hint="eastAsia" w:ascii="宋体" w:hAnsi="宋体" w:eastAsia="宋体" w:cs="宋体"/>
                <w:color w:val="auto"/>
                <w:spacing w:val="0"/>
                <w:kern w:val="2"/>
                <w:sz w:val="21"/>
                <w:szCs w:val="21"/>
                <w:highlight w:val="none"/>
              </w:rPr>
              <w:t>公里/小时。车辆最大爬坡能力需在15%或以上。</w:t>
            </w:r>
          </w:p>
          <w:p>
            <w:pPr>
              <w:pStyle w:val="2"/>
              <w:numPr>
                <w:ilvl w:val="0"/>
                <w:numId w:val="0"/>
              </w:numPr>
              <w:spacing w:line="240" w:lineRule="auto"/>
              <w:ind w:leftChars="0"/>
              <w:rPr>
                <w:rFonts w:hint="eastAsia" w:ascii="宋体" w:hAnsi="宋体" w:eastAsia="宋体" w:cs="宋体"/>
                <w:sz w:val="21"/>
                <w:szCs w:val="21"/>
                <w:highlight w:val="none"/>
              </w:rPr>
            </w:pPr>
            <w:r>
              <w:rPr>
                <w:rFonts w:hint="eastAsia" w:ascii="宋体" w:hAnsi="宋体" w:eastAsia="宋体" w:cs="宋体"/>
                <w:color w:val="auto"/>
                <w:spacing w:val="0"/>
                <w:kern w:val="2"/>
                <w:sz w:val="21"/>
                <w:szCs w:val="21"/>
                <w:highlight w:val="none"/>
                <w:lang w:val="en-US" w:eastAsia="zh-CN"/>
              </w:rPr>
              <w:t>(6)</w:t>
            </w:r>
            <w:r>
              <w:rPr>
                <w:rFonts w:hint="eastAsia" w:ascii="宋体" w:hAnsi="宋体" w:eastAsia="宋体" w:cs="宋体"/>
                <w:color w:val="auto"/>
                <w:spacing w:val="0"/>
                <w:kern w:val="2"/>
                <w:sz w:val="21"/>
                <w:szCs w:val="21"/>
                <w:highlight w:val="none"/>
              </w:rPr>
              <w:t>整车设计科学合理，时尚潮流、美观大方。车身油漆应采用耐久性强、高硬度、光亮度好的金属漆，具有平整、附着力好不易脱落等特点。</w:t>
            </w:r>
            <w:r>
              <w:rPr>
                <w:rFonts w:hint="eastAsia" w:ascii="宋体" w:hAnsi="宋体" w:eastAsia="宋体" w:cs="宋体"/>
                <w:color w:val="auto"/>
                <w:spacing w:val="0"/>
                <w:kern w:val="2"/>
                <w:sz w:val="21"/>
                <w:szCs w:val="21"/>
                <w:highlight w:val="none"/>
                <w:lang w:val="en-US" w:eastAsia="zh-CN"/>
              </w:rPr>
              <w:t>配备</w:t>
            </w:r>
            <w:r>
              <w:rPr>
                <w:rFonts w:hint="eastAsia" w:ascii="宋体" w:hAnsi="宋体" w:eastAsia="宋体" w:cs="宋体"/>
                <w:color w:val="auto"/>
                <w:spacing w:val="0"/>
                <w:kern w:val="2"/>
                <w:sz w:val="21"/>
                <w:szCs w:val="21"/>
                <w:highlight w:val="none"/>
              </w:rPr>
              <w:t>保护</w:t>
            </w:r>
            <w:r>
              <w:rPr>
                <w:rFonts w:hint="eastAsia" w:ascii="宋体" w:hAnsi="宋体" w:eastAsia="宋体" w:cs="宋体"/>
                <w:color w:val="auto"/>
                <w:spacing w:val="0"/>
                <w:kern w:val="2"/>
                <w:sz w:val="21"/>
                <w:szCs w:val="21"/>
                <w:highlight w:val="none"/>
                <w:lang w:val="en-US" w:eastAsia="zh-CN"/>
              </w:rPr>
              <w:t>装置,</w:t>
            </w:r>
            <w:r>
              <w:rPr>
                <w:rFonts w:hint="eastAsia" w:ascii="宋体" w:hAnsi="宋体" w:eastAsia="宋体" w:cs="宋体"/>
                <w:color w:val="auto"/>
                <w:spacing w:val="0"/>
                <w:kern w:val="2"/>
                <w:sz w:val="21"/>
                <w:szCs w:val="21"/>
                <w:highlight w:val="none"/>
              </w:rPr>
              <w:t>驱动控制方式需为微处理器控制，控制器为国际知名品牌。转向：液压助力转向</w:t>
            </w:r>
            <w:r>
              <w:rPr>
                <w:rFonts w:hint="eastAsia" w:ascii="宋体" w:hAnsi="宋体" w:eastAsia="宋体" w:cs="宋体"/>
                <w:color w:val="auto"/>
                <w:spacing w:val="0"/>
                <w:kern w:val="2"/>
                <w:sz w:val="21"/>
                <w:szCs w:val="21"/>
                <w:highlight w:val="none"/>
                <w:lang w:val="en-US" w:eastAsia="zh-CN"/>
              </w:rPr>
              <w:t>或电子助力转向</w:t>
            </w:r>
            <w:r>
              <w:rPr>
                <w:rFonts w:hint="eastAsia" w:ascii="宋体" w:hAnsi="宋体" w:eastAsia="宋体" w:cs="宋体"/>
                <w:color w:val="auto"/>
                <w:spacing w:val="0"/>
                <w:kern w:val="2"/>
                <w:sz w:val="21"/>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2吨</w:t>
            </w:r>
            <w:r>
              <w:rPr>
                <w:rFonts w:hint="eastAsia" w:ascii="宋体" w:hAnsi="宋体"/>
                <w:color w:val="auto"/>
                <w:szCs w:val="21"/>
                <w:highlight w:val="none"/>
              </w:rPr>
              <w:t>电动</w:t>
            </w:r>
            <w:r>
              <w:rPr>
                <w:rFonts w:hint="eastAsia" w:ascii="宋体" w:hAnsi="宋体"/>
                <w:color w:val="auto"/>
                <w:szCs w:val="21"/>
                <w:highlight w:val="none"/>
                <w:lang w:val="en-US" w:eastAsia="zh-CN"/>
              </w:rPr>
              <w:t>搬运车(4台)</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.0T电动（蓄电池）</w:t>
            </w:r>
            <w:r>
              <w:rPr>
                <w:rFonts w:hint="eastAsia" w:ascii="宋体" w:hAnsi="宋体" w:eastAsia="宋体" w:cs="宋体"/>
                <w:color w:val="auto"/>
                <w:sz w:val="21"/>
                <w:szCs w:val="21"/>
                <w:highlight w:val="none"/>
                <w:lang w:val="en-US" w:eastAsia="zh-CN"/>
              </w:rPr>
              <w:t>托盘搬运车,</w:t>
            </w:r>
            <w:r>
              <w:rPr>
                <w:rFonts w:hint="eastAsia" w:ascii="宋体" w:hAnsi="宋体" w:eastAsia="宋体" w:cs="宋体"/>
                <w:color w:val="auto"/>
                <w:sz w:val="21"/>
                <w:szCs w:val="21"/>
                <w:highlight w:val="none"/>
              </w:rPr>
              <w:t>最大载重需</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00千克。</w:t>
            </w:r>
            <w:r>
              <w:rPr>
                <w:rFonts w:hint="eastAsia" w:ascii="宋体" w:hAnsi="宋体" w:eastAsia="宋体" w:cs="宋体"/>
                <w:color w:val="auto"/>
                <w:sz w:val="21"/>
                <w:szCs w:val="21"/>
                <w:highlight w:val="none"/>
                <w:lang w:val="en-US" w:eastAsia="zh-CN"/>
              </w:rPr>
              <w:t>提升高度大于等于125mm，总体长度（含货叉）大于等于2365mm，满载/空载最大爬坡能力5/16％，电池容量大于等于260AH</w:t>
            </w:r>
            <w:r>
              <w:rPr>
                <w:rFonts w:hint="eastAsia" w:ascii="宋体" w:hAnsi="宋体" w:eastAsia="宋体" w:cs="宋体"/>
                <w:color w:val="auto"/>
                <w:sz w:val="21"/>
                <w:szCs w:val="21"/>
                <w:highlight w:val="none"/>
              </w:rPr>
              <w:t>。机器重量需大于等于</w:t>
            </w:r>
            <w:r>
              <w:rPr>
                <w:rFonts w:hint="eastAsia" w:ascii="宋体" w:hAnsi="宋体" w:eastAsia="宋体" w:cs="宋体"/>
                <w:color w:val="auto"/>
                <w:sz w:val="21"/>
                <w:szCs w:val="21"/>
                <w:highlight w:val="none"/>
                <w:lang w:val="en-US" w:eastAsia="zh-CN"/>
              </w:rPr>
              <w:t>77</w:t>
            </w:r>
            <w:r>
              <w:rPr>
                <w:rFonts w:hint="eastAsia" w:ascii="宋体" w:hAnsi="宋体" w:eastAsia="宋体" w:cs="宋体"/>
                <w:color w:val="auto"/>
                <w:sz w:val="21"/>
                <w:szCs w:val="21"/>
                <w:highlight w:val="none"/>
              </w:rPr>
              <w:t>0千克。护顶架高度≤2250mm。</w:t>
            </w:r>
          </w:p>
          <w:p>
            <w:pPr>
              <w:pStyle w:val="2"/>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电池为铅酸电池，工作电压为</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V或以上，整车电池重量须在</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0千克或以上。</w:t>
            </w:r>
          </w:p>
          <w:p>
            <w:pPr>
              <w:widowControl w:val="0"/>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电机和控制器要求：</w:t>
            </w:r>
          </w:p>
          <w:p>
            <w:pPr>
              <w:pStyle w:val="2"/>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控制器</w:t>
            </w:r>
            <w:r>
              <w:rPr>
                <w:rFonts w:hint="eastAsia" w:ascii="宋体" w:hAnsi="宋体" w:eastAsia="宋体" w:cs="宋体"/>
                <w:color w:val="auto"/>
                <w:sz w:val="21"/>
                <w:szCs w:val="21"/>
                <w:highlight w:val="none"/>
              </w:rPr>
              <w:t>具有结构紧凑、便于维修保养、可靠性强、并且免维护、能通过再生制动回收电能、以此延长电池工作时间。</w:t>
            </w:r>
          </w:p>
          <w:p>
            <w:pPr>
              <w:pStyle w:val="2"/>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蓄电池</w:t>
            </w:r>
            <w:r>
              <w:rPr>
                <w:rFonts w:hint="eastAsia" w:ascii="宋体" w:hAnsi="宋体" w:eastAsia="宋体" w:cs="宋体"/>
                <w:color w:val="auto"/>
                <w:sz w:val="21"/>
                <w:szCs w:val="21"/>
                <w:highlight w:val="none"/>
                <w:lang w:val="en-US" w:eastAsia="zh-CN"/>
              </w:rPr>
              <w:t>采用国内或国际知名</w:t>
            </w:r>
            <w:r>
              <w:rPr>
                <w:rFonts w:hint="eastAsia" w:ascii="宋体" w:hAnsi="宋体" w:eastAsia="宋体" w:cs="宋体"/>
                <w:color w:val="auto"/>
                <w:sz w:val="21"/>
                <w:szCs w:val="21"/>
                <w:highlight w:val="none"/>
              </w:rPr>
              <w:t>品牌，随机需同时配置自动补液系统。</w:t>
            </w:r>
          </w:p>
          <w:p>
            <w:pPr>
              <w:pStyle w:val="2"/>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车辆满载行驶速度不低于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公里/小时。车辆最大爬坡能力需在15%或以上。</w:t>
            </w:r>
          </w:p>
          <w:p>
            <w:pPr>
              <w:pStyle w:val="2"/>
              <w:numPr>
                <w:ilvl w:val="0"/>
                <w:numId w:val="0"/>
              </w:numPr>
              <w:spacing w:line="240" w:lineRule="auto"/>
              <w:ind w:left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整车设计科学合理，时尚潮流、美观大方。车身油漆应采用耐久性强、高硬度、光亮度好的金属漆，具有平整、附着力好不易脱落等特点。</w:t>
            </w:r>
            <w:r>
              <w:rPr>
                <w:rFonts w:hint="eastAsia" w:ascii="宋体" w:hAnsi="宋体" w:eastAsia="宋体" w:cs="宋体"/>
                <w:color w:val="auto"/>
                <w:sz w:val="21"/>
                <w:szCs w:val="21"/>
                <w:highlight w:val="none"/>
                <w:lang w:val="en-US" w:eastAsia="zh-CN"/>
              </w:rPr>
              <w:t>配备</w:t>
            </w:r>
            <w:r>
              <w:rPr>
                <w:rFonts w:hint="eastAsia" w:ascii="宋体" w:hAnsi="宋体" w:eastAsia="宋体" w:cs="宋体"/>
                <w:color w:val="auto"/>
                <w:sz w:val="21"/>
                <w:szCs w:val="21"/>
                <w:highlight w:val="none"/>
              </w:rPr>
              <w:t>保护</w:t>
            </w:r>
            <w:r>
              <w:rPr>
                <w:rFonts w:hint="eastAsia" w:ascii="宋体" w:hAnsi="宋体" w:eastAsia="宋体" w:cs="宋体"/>
                <w:color w:val="auto"/>
                <w:sz w:val="21"/>
                <w:szCs w:val="21"/>
                <w:highlight w:val="none"/>
                <w:lang w:val="en-US" w:eastAsia="zh-CN"/>
              </w:rPr>
              <w:t>装置,</w:t>
            </w:r>
            <w:r>
              <w:rPr>
                <w:rFonts w:hint="eastAsia" w:ascii="宋体" w:hAnsi="宋体" w:eastAsia="宋体" w:cs="宋体"/>
                <w:color w:val="auto"/>
                <w:sz w:val="21"/>
                <w:szCs w:val="21"/>
                <w:highlight w:val="none"/>
              </w:rPr>
              <w:t>驱动控制方式需为微处理器控制，控制器为国际知名品牌。转向：液压助力转向</w:t>
            </w:r>
            <w:r>
              <w:rPr>
                <w:rFonts w:hint="eastAsia" w:ascii="宋体" w:hAnsi="宋体" w:eastAsia="宋体" w:cs="宋体"/>
                <w:color w:val="auto"/>
                <w:sz w:val="21"/>
                <w:szCs w:val="21"/>
                <w:highlight w:val="none"/>
                <w:lang w:val="en-US" w:eastAsia="zh-CN"/>
              </w:rPr>
              <w:t>或电子助力转向</w:t>
            </w:r>
            <w:r>
              <w:rPr>
                <w:rFonts w:hint="eastAsia" w:ascii="宋体" w:hAnsi="宋体" w:eastAsia="宋体" w:cs="宋体"/>
                <w:color w:val="auto"/>
                <w:sz w:val="21"/>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highlight w:val="none"/>
              </w:rPr>
            </w:pPr>
            <w:r>
              <w:rPr>
                <w:rFonts w:hint="eastAsia" w:ascii="宋体" w:hAnsi="宋体"/>
                <w:b w:val="0"/>
                <w:bCs w:val="0"/>
                <w:szCs w:val="21"/>
                <w:highlight w:val="none"/>
              </w:rPr>
              <w:t>产品质量保证要求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2"/>
              </w:numPr>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设备质保期限至少1年。质保期最终以《质量保证承诺书》上的承诺年限为准；</w:t>
            </w:r>
          </w:p>
          <w:p>
            <w:pPr>
              <w:widowControl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（2）投标人需承诺产品终生维护，质保期后可适当收取人工及零部件成本费用；中标人需每年提供一次维修工时费及主要零配件报价；</w:t>
            </w:r>
          </w:p>
          <w:p>
            <w:pPr>
              <w:tabs>
                <w:tab w:val="left" w:pos="531"/>
              </w:tabs>
              <w:snapToGrid w:val="0"/>
              <w:rPr>
                <w:rFonts w:hint="eastAsia" w:ascii="宋体" w:hAnsi="宋体" w:eastAsia="宋体" w:cs="宋体"/>
                <w:color w:val="FF0000"/>
                <w:szCs w:val="21"/>
                <w:highlight w:val="none"/>
              </w:rPr>
            </w:pPr>
            <w:r>
              <w:rPr>
                <w:rFonts w:hint="eastAsia" w:ascii="宋体" w:hAnsi="宋体" w:eastAsia="宋体" w:cs="宋体"/>
                <w:szCs w:val="21"/>
                <w:highlight w:val="none"/>
              </w:rPr>
              <w:t>（3）投标人需提供《质量保证承诺书》，内容包括但不限于免费保修年限、质保期内响应时间、保养频次等承诺。</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highlight w:val="none"/>
              </w:rPr>
            </w:pPr>
            <w:r>
              <w:rPr>
                <w:rFonts w:hint="eastAsia" w:ascii="宋体" w:hAnsi="宋体"/>
                <w:b w:val="0"/>
                <w:bCs/>
                <w:szCs w:val="21"/>
                <w:highlight w:val="none"/>
              </w:rPr>
              <w:t>产品售后服务</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（1）投标人</w:t>
            </w:r>
            <w:r>
              <w:rPr>
                <w:rFonts w:hint="eastAsia" w:ascii="宋体" w:hAnsi="宋体" w:eastAsia="宋体" w:cs="宋体"/>
                <w:color w:val="auto"/>
                <w:szCs w:val="21"/>
                <w:highlight w:val="none"/>
              </w:rPr>
              <w:t>需</w:t>
            </w:r>
            <w:r>
              <w:rPr>
                <w:rFonts w:hint="eastAsia" w:ascii="宋体" w:hAnsi="宋体" w:eastAsia="宋体" w:cs="宋体"/>
                <w:color w:val="auto"/>
                <w:szCs w:val="21"/>
                <w:highlight w:val="none"/>
                <w:lang w:val="en-US" w:eastAsia="zh-CN"/>
              </w:rPr>
              <w:t>具备特种设备维修资质，</w:t>
            </w:r>
            <w:r>
              <w:rPr>
                <w:rFonts w:hint="eastAsia" w:ascii="宋体" w:hAnsi="宋体" w:eastAsia="宋体" w:cs="宋体"/>
                <w:color w:val="auto"/>
                <w:szCs w:val="21"/>
                <w:highlight w:val="none"/>
              </w:rPr>
              <w:t>提供专门售后服务计划书或方案：包括广东/深圳本地维修技术人员基本情况</w:t>
            </w:r>
            <w:r>
              <w:rPr>
                <w:rFonts w:hint="eastAsia" w:ascii="宋体" w:hAnsi="宋体" w:eastAsia="宋体" w:cs="宋体"/>
                <w:szCs w:val="21"/>
                <w:highlight w:val="none"/>
              </w:rPr>
              <w:t>、应急维修响应时间（须列明人员到位时间和最快使设备重新投入使用的时间）、快速维护手段，主要维修备件的价格清单；</w:t>
            </w:r>
          </w:p>
          <w:p>
            <w:pPr>
              <w:widowControl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（2）中标人在质保期内负责免费提供人员驾驶操作及设备日常维护保养培训，每台设备至少培训</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人；</w:t>
            </w:r>
          </w:p>
          <w:p>
            <w:pPr>
              <w:widowControl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（4）中标人在质保期内负责提供24小时售后服务响应；</w:t>
            </w:r>
          </w:p>
          <w:p>
            <w:pPr>
              <w:widowControl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（5）中标人在质保期内需每三个月对标的设备进行一次定期例检；</w:t>
            </w:r>
          </w:p>
          <w:p>
            <w:pPr>
              <w:tabs>
                <w:tab w:val="left" w:pos="531"/>
              </w:tabs>
              <w:snapToGrid w:val="0"/>
              <w:rPr>
                <w:rFonts w:hint="eastAsia" w:ascii="宋体" w:hAnsi="宋体" w:eastAsia="宋体" w:cs="宋体"/>
                <w:szCs w:val="21"/>
                <w:highlight w:val="none"/>
              </w:rPr>
            </w:pPr>
            <w:r>
              <w:rPr>
                <w:rFonts w:hint="eastAsia" w:ascii="宋体" w:hAnsi="宋体" w:eastAsia="宋体" w:cs="宋体"/>
                <w:szCs w:val="21"/>
                <w:highlight w:val="none"/>
              </w:rPr>
              <w:t>（6）中标人在质保期内需在每年文博会，高交会，派遣工作人员到现场进行维护指导及应急维修。</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highlight w:val="none"/>
              </w:rPr>
            </w:pPr>
            <w:r>
              <w:rPr>
                <w:rFonts w:hint="eastAsia"/>
                <w:color w:val="auto"/>
                <w:highlight w:val="none"/>
                <w:lang w:val="en-US" w:eastAsia="zh-CN"/>
              </w:rPr>
              <w:t>其它要求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kern w:val="0"/>
                <w:szCs w:val="21"/>
                <w:highlight w:val="none"/>
              </w:rPr>
              <w:t>投标产品参考品牌为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杭叉</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林德、诺力等同类产品</w:t>
            </w:r>
            <w:r>
              <w:rPr>
                <w:rFonts w:hint="eastAsia" w:ascii="宋体" w:hAnsi="宋体" w:eastAsia="宋体" w:cs="宋体"/>
                <w:color w:val="000000" w:themeColor="text1"/>
                <w:kern w:val="0"/>
                <w:szCs w:val="21"/>
                <w:highlight w:val="none"/>
                <w14:textFill>
                  <w14:solidFill>
                    <w14:schemeClr w14:val="tx1"/>
                  </w14:solidFill>
                </w14:textFill>
              </w:rPr>
              <w:t>。</w:t>
            </w:r>
          </w:p>
          <w:p>
            <w:pPr>
              <w:widowControl w:val="0"/>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（1）投标人</w:t>
            </w:r>
            <w:r>
              <w:rPr>
                <w:rFonts w:hint="eastAsia" w:ascii="宋体" w:hAnsi="宋体" w:eastAsia="宋体" w:cs="宋体"/>
                <w:sz w:val="21"/>
                <w:szCs w:val="21"/>
                <w:highlight w:val="none"/>
                <w:lang w:val="en-US" w:eastAsia="zh-CN"/>
              </w:rPr>
              <w:t>需</w:t>
            </w:r>
            <w:r>
              <w:rPr>
                <w:rFonts w:hint="eastAsia" w:ascii="宋体" w:hAnsi="宋体" w:eastAsia="宋体" w:cs="宋体"/>
                <w:sz w:val="21"/>
                <w:szCs w:val="21"/>
                <w:highlight w:val="none"/>
              </w:rPr>
              <w:t>在投标</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highlight w:val="none"/>
              </w:rPr>
              <w:t>中</w:t>
            </w:r>
            <w:r>
              <w:rPr>
                <w:rFonts w:hint="eastAsia" w:ascii="宋体" w:hAnsi="宋体" w:eastAsia="宋体" w:cs="宋体"/>
                <w:sz w:val="21"/>
                <w:szCs w:val="21"/>
                <w:highlight w:val="none"/>
                <w:lang w:val="en-US" w:eastAsia="zh-CN"/>
              </w:rPr>
              <w:t>列明电机、控制器、蓄电池</w:t>
            </w:r>
            <w:r>
              <w:rPr>
                <w:rFonts w:hint="eastAsia" w:ascii="宋体" w:hAnsi="宋体" w:eastAsia="宋体" w:cs="宋体"/>
                <w:sz w:val="21"/>
                <w:szCs w:val="21"/>
                <w:highlight w:val="none"/>
              </w:rPr>
              <w:t>品牌</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型号</w:t>
            </w:r>
            <w:r>
              <w:rPr>
                <w:rFonts w:hint="eastAsia" w:ascii="宋体" w:hAnsi="宋体" w:eastAsia="宋体" w:cs="宋体"/>
                <w:sz w:val="21"/>
                <w:szCs w:val="21"/>
                <w:highlight w:val="none"/>
                <w:lang w:val="en-US" w:eastAsia="zh-CN"/>
              </w:rPr>
              <w:t>价格</w:t>
            </w:r>
            <w:r>
              <w:rPr>
                <w:rFonts w:hint="eastAsia" w:ascii="宋体" w:hAnsi="宋体" w:eastAsia="宋体" w:cs="宋体"/>
                <w:sz w:val="21"/>
                <w:szCs w:val="21"/>
                <w:highlight w:val="none"/>
              </w:rPr>
              <w:t>，提供产品介绍或产品说明书等证明材料加盖投标人公章。</w:t>
            </w:r>
          </w:p>
          <w:p>
            <w:pPr>
              <w:tabs>
                <w:tab w:val="left" w:pos="531"/>
              </w:tabs>
              <w:snapToGrid w:val="0"/>
              <w:rPr>
                <w:rFonts w:hint="eastAsia" w:ascii="宋体" w:hAnsi="宋体" w:eastAsia="宋体" w:cs="宋体"/>
                <w:szCs w:val="21"/>
                <w:highlight w:val="none"/>
              </w:rPr>
            </w:pPr>
            <w:r>
              <w:rPr>
                <w:rFonts w:hint="eastAsia" w:ascii="宋体" w:hAnsi="宋体" w:eastAsia="宋体" w:cs="宋体"/>
                <w:kern w:val="0"/>
                <w:sz w:val="21"/>
                <w:szCs w:val="21"/>
                <w:highlight w:val="none"/>
              </w:rPr>
              <w:t>（2）投标文件所附产品简介、技术性能说明和有关资料应该与所投产品一致，且应提供中文版本。</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FF0000"/>
                <w:szCs w:val="21"/>
                <w:highlight w:val="none"/>
              </w:rPr>
            </w:pPr>
            <w:r>
              <w:rPr>
                <w:rFonts w:hint="eastAsia" w:ascii="宋体" w:hAnsi="宋体" w:cs="宋体"/>
                <w:szCs w:val="21"/>
                <w:highlight w:val="none"/>
              </w:rPr>
              <w:t>不可偏离</w:t>
            </w:r>
          </w:p>
        </w:tc>
      </w:tr>
    </w:tbl>
    <w:p>
      <w:pPr>
        <w:numPr>
          <w:ilvl w:val="0"/>
          <w:numId w:val="1"/>
        </w:numPr>
        <w:spacing w:before="0" w:beforeLines="-2147483648" w:line="240" w:lineRule="auto"/>
        <w:jc w:val="left"/>
        <w:outlineLvl w:val="1"/>
        <w:rPr>
          <w:rFonts w:hint="eastAsia" w:ascii="宋体" w:hAnsi="宋体"/>
          <w:b/>
          <w:szCs w:val="21"/>
        </w:rPr>
      </w:pPr>
      <w:bookmarkStart w:id="37" w:name="_Toc82684600"/>
      <w:bookmarkEnd w:id="37"/>
      <w:bookmarkStart w:id="38" w:name="_Toc82591996"/>
      <w:bookmarkEnd w:id="38"/>
      <w:bookmarkStart w:id="39" w:name="_Toc82684715"/>
      <w:bookmarkEnd w:id="39"/>
      <w:bookmarkStart w:id="40" w:name="_Toc82685552"/>
      <w:bookmarkEnd w:id="40"/>
      <w:bookmarkStart w:id="41" w:name="_Toc106791257"/>
      <w:r>
        <w:rPr>
          <w:rFonts w:hint="eastAsia" w:ascii="宋体" w:hAnsi="宋体"/>
          <w:b/>
          <w:szCs w:val="21"/>
        </w:rPr>
        <w:t>其他项目说明资料</w:t>
      </w:r>
      <w:bookmarkEnd w:id="41"/>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highlight w:val="yellow"/>
        </w:rPr>
      </w:pPr>
    </w:p>
    <w:p>
      <w:pPr>
        <w:pStyle w:val="2"/>
        <w:rPr>
          <w:color w:val="FF0000"/>
          <w:highlight w:val="yellow"/>
        </w:rPr>
      </w:pPr>
      <w:r>
        <w:rPr>
          <w:rFonts w:hint="eastAsia" w:eastAsia="宋体"/>
          <w:color w:val="FF0000"/>
          <w:highlight w:val="yellow"/>
          <w:lang w:eastAsia="zh-CN"/>
        </w:rPr>
        <w:drawing>
          <wp:anchor distT="0" distB="0" distL="114300" distR="114300" simplePos="0" relativeHeight="251662336" behindDoc="0" locked="0" layoutInCell="1" allowOverlap="1">
            <wp:simplePos x="0" y="0"/>
            <wp:positionH relativeFrom="column">
              <wp:posOffset>2284730</wp:posOffset>
            </wp:positionH>
            <wp:positionV relativeFrom="paragraph">
              <wp:posOffset>211455</wp:posOffset>
            </wp:positionV>
            <wp:extent cx="2486025" cy="2428875"/>
            <wp:effectExtent l="0" t="0" r="9525" b="9525"/>
            <wp:wrapSquare wrapText="bothSides"/>
            <wp:docPr id="3" name="图片 3" descr="db77ba7e-5715-44ea-968d-f96d01c4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77ba7e-5715-44ea-968d-f96d01c43654"/>
                    <pic:cNvPicPr>
                      <a:picLocks noChangeAspect="1"/>
                    </pic:cNvPicPr>
                  </pic:nvPicPr>
                  <pic:blipFill>
                    <a:blip r:embed="rId6"/>
                    <a:stretch>
                      <a:fillRect/>
                    </a:stretch>
                  </pic:blipFill>
                  <pic:spPr>
                    <a:xfrm>
                      <a:off x="0" y="0"/>
                      <a:ext cx="2486025" cy="2428875"/>
                    </a:xfrm>
                    <a:prstGeom prst="rect">
                      <a:avLst/>
                    </a:prstGeom>
                  </pic:spPr>
                </pic:pic>
              </a:graphicData>
            </a:graphic>
          </wp:anchor>
        </w:drawing>
      </w:r>
      <w:r>
        <w:rPr>
          <w:rFonts w:hint="eastAsia" w:eastAsia="宋体"/>
          <w:color w:val="FF0000"/>
          <w:highlight w:val="yellow"/>
          <w:lang w:eastAsia="zh-CN"/>
        </w:rPr>
        <w:drawing>
          <wp:anchor distT="0" distB="0" distL="114300" distR="114300" simplePos="0" relativeHeight="251661312" behindDoc="0" locked="0" layoutInCell="1" allowOverlap="1">
            <wp:simplePos x="0" y="0"/>
            <wp:positionH relativeFrom="column">
              <wp:posOffset>-437515</wp:posOffset>
            </wp:positionH>
            <wp:positionV relativeFrom="paragraph">
              <wp:posOffset>186055</wp:posOffset>
            </wp:positionV>
            <wp:extent cx="2447925" cy="2486025"/>
            <wp:effectExtent l="0" t="0" r="9525" b="9525"/>
            <wp:wrapSquare wrapText="bothSides"/>
            <wp:docPr id="4" name="图片 4" descr="58441fbc-2b93-4b6b-b089-ede2a7c055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8441fbc-2b93-4b6b-b089-ede2a7c055dc"/>
                    <pic:cNvPicPr>
                      <a:picLocks noChangeAspect="1"/>
                    </pic:cNvPicPr>
                  </pic:nvPicPr>
                  <pic:blipFill>
                    <a:blip r:embed="rId7"/>
                    <a:stretch>
                      <a:fillRect/>
                    </a:stretch>
                  </pic:blipFill>
                  <pic:spPr>
                    <a:xfrm>
                      <a:off x="0" y="0"/>
                      <a:ext cx="2447925" cy="2486025"/>
                    </a:xfrm>
                    <a:prstGeom prst="rect">
                      <a:avLst/>
                    </a:prstGeom>
                  </pic:spPr>
                </pic:pic>
              </a:graphicData>
            </a:graphic>
          </wp:anchor>
        </w:drawing>
      </w:r>
    </w:p>
    <w:p>
      <w:pPr>
        <w:pStyle w:val="2"/>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eastAsia="宋体"/>
          <w:color w:val="FF0000"/>
          <w:highlight w:val="yellow"/>
          <w:lang w:val="en-US" w:eastAsia="zh-CN"/>
        </w:rPr>
      </w:pPr>
      <w:r>
        <w:rPr>
          <w:rFonts w:hint="eastAsia"/>
          <w:color w:val="FF0000"/>
          <w:highlight w:val="yellow"/>
          <w:lang w:val="en-US" w:eastAsia="zh-CN"/>
        </w:rPr>
        <w:t>附件：</w:t>
      </w:r>
      <w:r>
        <w:rPr>
          <w:rFonts w:hint="eastAsia" w:ascii="宋体" w:hAnsi="宋体" w:eastAsia="宋体" w:cs="宋体"/>
          <w:color w:val="auto"/>
          <w:highlight w:val="none"/>
        </w:rPr>
        <w:t>202</w:t>
      </w:r>
      <w:r>
        <w:rPr>
          <w:rFonts w:hint="eastAsia" w:ascii="宋体" w:hAnsi="宋体" w:cs="宋体"/>
          <w:color w:val="auto"/>
          <w:highlight w:val="none"/>
          <w:lang w:val="en-US" w:eastAsia="zh-CN"/>
        </w:rPr>
        <w:t>1</w:t>
      </w:r>
      <w:r>
        <w:rPr>
          <w:rFonts w:hint="eastAsia" w:ascii="宋体" w:hAnsi="宋体" w:eastAsia="宋体" w:cs="宋体"/>
          <w:color w:val="auto"/>
          <w:highlight w:val="none"/>
        </w:rPr>
        <w:t>年全球20强叉车供应商排行榜（MMH）</w:t>
      </w:r>
    </w:p>
    <w:p>
      <w:pPr>
        <w:pStyle w:val="2"/>
        <w:rPr>
          <w:rFonts w:hint="eastAsia" w:eastAsia="宋体"/>
          <w:color w:val="FF0000"/>
          <w:highlight w:val="yellow"/>
          <w:lang w:eastAsia="zh-CN"/>
        </w:rPr>
      </w:pPr>
      <w:r>
        <w:rPr>
          <w:rFonts w:hint="eastAsia" w:eastAsia="宋体"/>
          <w:color w:val="FF0000"/>
          <w:highlight w:val="yellow"/>
          <w:lang w:eastAsia="zh-CN"/>
        </w:rPr>
        <w:drawing>
          <wp:inline distT="0" distB="0" distL="114300" distR="114300">
            <wp:extent cx="4055110" cy="9909810"/>
            <wp:effectExtent l="0" t="0" r="2540" b="15240"/>
            <wp:docPr id="5" name="图片 5" descr="20220902125029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209021250293311"/>
                    <pic:cNvPicPr>
                      <a:picLocks noChangeAspect="1"/>
                    </pic:cNvPicPr>
                  </pic:nvPicPr>
                  <pic:blipFill>
                    <a:blip r:embed="rId8"/>
                    <a:stretch>
                      <a:fillRect/>
                    </a:stretch>
                  </pic:blipFill>
                  <pic:spPr>
                    <a:xfrm>
                      <a:off x="0" y="0"/>
                      <a:ext cx="4055110" cy="9909810"/>
                    </a:xfrm>
                    <a:prstGeom prst="rect">
                      <a:avLst/>
                    </a:prstGeom>
                  </pic:spPr>
                </pic:pic>
              </a:graphicData>
            </a:graphic>
          </wp:inline>
        </w:drawing>
      </w:r>
    </w:p>
    <w:p>
      <w:pPr>
        <w:pStyle w:val="2"/>
        <w:rPr>
          <w:color w:val="FF0000"/>
          <w:highlight w:val="yellow"/>
        </w:rPr>
      </w:pPr>
    </w:p>
    <w:p>
      <w:pPr>
        <w:pStyle w:val="2"/>
        <w:ind w:left="0" w:leftChars="0" w:firstLine="0" w:firstLineChars="0"/>
        <w:rPr>
          <w:color w:val="FF0000"/>
          <w:highlight w:val="yellow"/>
        </w:rPr>
      </w:pPr>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highlight w:val="yellow"/>
        </w:rPr>
      </w:pPr>
    </w:p>
    <w:p>
      <w:pPr>
        <w:spacing w:line="360" w:lineRule="auto"/>
        <w:jc w:val="center"/>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numPr>
          <w:ilvl w:val="0"/>
          <w:numId w:val="1"/>
        </w:numPr>
        <w:spacing w:line="360" w:lineRule="auto"/>
        <w:ind w:left="0" w:firstLine="0"/>
        <w:jc w:val="both"/>
        <w:outlineLvl w:val="1"/>
        <w:rPr>
          <w:rStyle w:val="16"/>
          <w:b/>
        </w:rPr>
      </w:pPr>
      <w:bookmarkStart w:id="43" w:name="_Toc104994641"/>
      <w:bookmarkStart w:id="44" w:name="_Toc106791260"/>
      <w:bookmarkStart w:id="45" w:name="_Hlk104908581"/>
      <w:bookmarkStart w:id="46" w:name="_Hlk104908397"/>
      <w:r>
        <w:rPr>
          <w:rStyle w:val="16"/>
          <w:rFonts w:hint="eastAsia"/>
          <w:b/>
        </w:rPr>
        <w:t>开标阶段</w:t>
      </w:r>
      <w:bookmarkEnd w:id="43"/>
      <w:bookmarkEnd w:id="44"/>
    </w:p>
    <w:bookmarkEnd w:id="45"/>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ind w:left="0" w:firstLine="0"/>
        <w:jc w:val="both"/>
        <w:outlineLvl w:val="1"/>
        <w:rPr>
          <w:rStyle w:val="16"/>
          <w:b/>
        </w:rPr>
      </w:pPr>
      <w:bookmarkStart w:id="47" w:name="_Toc106791261"/>
      <w:bookmarkStart w:id="48" w:name="_Toc104994642"/>
      <w:r>
        <w:rPr>
          <w:rStyle w:val="16"/>
          <w:rFonts w:hint="eastAsia"/>
          <w:b/>
        </w:rPr>
        <w:t>评标阶段</w:t>
      </w:r>
      <w:bookmarkEnd w:id="47"/>
      <w:bookmarkEnd w:id="48"/>
    </w:p>
    <w:p>
      <w:pPr>
        <w:pStyle w:val="22"/>
        <w:numPr>
          <w:ilvl w:val="0"/>
          <w:numId w:val="14"/>
        </w:numPr>
        <w:spacing w:line="360" w:lineRule="auto"/>
        <w:ind w:left="416" w:leftChars="0"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w:t>
      </w:r>
      <w:r>
        <w:rPr>
          <w:rFonts w:hint="eastAsia" w:ascii="宋体" w:hAnsi="宋体" w:eastAsia="宋体"/>
          <w:szCs w:val="21"/>
          <w:lang w:val="en-US" w:eastAsia="zh-CN"/>
        </w:rPr>
        <w:t>中标</w:t>
      </w:r>
      <w:r>
        <w:rPr>
          <w:rFonts w:hint="eastAsia" w:ascii="宋体" w:hAnsi="宋体" w:eastAsia="宋体"/>
          <w:szCs w:val="21"/>
        </w:rPr>
        <w:t>候选供应商、第二候选供应商的确定及评标报告的出具。</w:t>
      </w:r>
    </w:p>
    <w:bookmarkEnd w:id="46"/>
    <w:p>
      <w:pPr>
        <w:widowControl/>
        <w:jc w:val="left"/>
        <w:rPr>
          <w:rFonts w:ascii="仿宋_GB2312" w:hAnsi="宋体" w:eastAsia="仿宋_GB2312"/>
        </w:rPr>
      </w:pPr>
      <w:r>
        <w:br w:type="page"/>
      </w:r>
    </w:p>
    <w:p>
      <w:pPr>
        <w:pStyle w:val="11"/>
        <w:rPr>
          <w:rFonts w:ascii="宋体" w:hAnsi="宋体"/>
          <w:b/>
          <w:sz w:val="28"/>
        </w:rPr>
      </w:pPr>
    </w:p>
    <w:p>
      <w:pPr>
        <w:spacing w:line="360" w:lineRule="auto"/>
        <w:jc w:val="center"/>
        <w:outlineLvl w:val="0"/>
        <w:rPr>
          <w:rFonts w:ascii="宋体" w:hAnsi="宋体"/>
          <w:b/>
          <w:sz w:val="32"/>
          <w:szCs w:val="32"/>
        </w:rPr>
      </w:pPr>
      <w:bookmarkStart w:id="49" w:name="_Toc106791262"/>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06791263"/>
      <w:r>
        <w:rPr>
          <w:rFonts w:hint="eastAsia" w:ascii="宋体" w:hAnsi="宋体"/>
          <w:b/>
          <w:bCs/>
          <w:szCs w:val="21"/>
        </w:rPr>
        <w:t>评审办法</w:t>
      </w:r>
      <w:bookmarkEnd w:id="50"/>
    </w:p>
    <w:p>
      <w:pPr>
        <w:spacing w:line="360" w:lineRule="auto"/>
        <w:ind w:firstLine="420" w:firstLineChars="200"/>
        <w:rPr>
          <w:rFonts w:hint="eastAsia" w:ascii="宋体" w:hAnsi="宋体"/>
          <w:color w:val="auto"/>
          <w:szCs w:val="21"/>
          <w:highlight w:val="none"/>
        </w:rPr>
      </w:pPr>
      <w:r>
        <w:rPr>
          <w:rFonts w:hint="eastAsia" w:ascii="宋体" w:hAnsi="宋体"/>
          <w:szCs w:val="21"/>
        </w:rPr>
        <w:t>首先对各投标人进行符合性审查</w:t>
      </w:r>
      <w:r>
        <w:rPr>
          <w:rFonts w:hint="eastAsia" w:ascii="宋体" w:hAnsi="宋体"/>
          <w:szCs w:val="21"/>
          <w:lang w:eastAsia="zh-CN"/>
        </w:rPr>
        <w:t>，</w:t>
      </w:r>
      <w:r>
        <w:rPr>
          <w:rFonts w:hint="eastAsia" w:ascii="宋体" w:hAnsi="宋体"/>
          <w:szCs w:val="21"/>
          <w:lang w:val="en-US" w:eastAsia="zh-CN"/>
        </w:rPr>
        <w:t>然后进行不可偏离项检查</w:t>
      </w:r>
      <w:r>
        <w:rPr>
          <w:rFonts w:hint="eastAsia" w:ascii="宋体" w:hAnsi="宋体"/>
          <w:szCs w:val="21"/>
        </w:rPr>
        <w:t>。对通过符合性审查</w:t>
      </w:r>
      <w:r>
        <w:rPr>
          <w:rFonts w:hint="eastAsia" w:ascii="宋体" w:hAnsi="宋体"/>
          <w:szCs w:val="21"/>
          <w:lang w:val="en-US" w:eastAsia="zh-CN"/>
        </w:rPr>
        <w:t>及不可偏离项检查</w:t>
      </w:r>
      <w:r>
        <w:rPr>
          <w:rFonts w:hint="eastAsia" w:ascii="宋体" w:hAnsi="宋体"/>
          <w:szCs w:val="21"/>
        </w:rPr>
        <w:t>的投标人，采</w:t>
      </w:r>
      <w:r>
        <w:rPr>
          <w:rFonts w:hint="eastAsia" w:ascii="宋体" w:hAnsi="宋体"/>
          <w:color w:val="auto"/>
          <w:szCs w:val="21"/>
          <w:highlight w:val="none"/>
        </w:rPr>
        <w:t>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jc w:val="center"/>
              <w:rPr>
                <w:color w:val="auto"/>
                <w:highlight w:val="none"/>
                <w:vertAlign w:val="baseline"/>
              </w:rPr>
            </w:pPr>
            <w:r>
              <w:rPr>
                <w:rFonts w:hint="eastAsia" w:ascii="宋体" w:hAnsi="宋体" w:cs="仿宋"/>
                <w:b/>
                <w:bCs/>
                <w:color w:val="auto"/>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eastAsia="宋体" w:cs="Times New Roman"/>
                <w:b/>
                <w:color w:val="auto"/>
                <w:kern w:val="2"/>
                <w:sz w:val="21"/>
                <w:szCs w:val="24"/>
                <w:highlight w:val="none"/>
                <w:lang w:val="en-US" w:eastAsia="zh-CN" w:bidi="ar-SA"/>
              </w:rPr>
            </w:pPr>
            <w:r>
              <w:rPr>
                <w:rFonts w:hint="eastAsia" w:ascii="宋体" w:hAnsi="宋体"/>
                <w:b/>
                <w:color w:val="auto"/>
                <w:highlight w:val="none"/>
              </w:rPr>
              <w:t>权重名称</w:t>
            </w:r>
          </w:p>
        </w:tc>
        <w:tc>
          <w:tcPr>
            <w:tcW w:w="2130" w:type="dxa"/>
            <w:vAlign w:val="center"/>
          </w:tcPr>
          <w:p>
            <w:pPr>
              <w:autoSpaceDE w:val="0"/>
              <w:autoSpaceDN w:val="0"/>
              <w:adjustRightInd w:val="0"/>
              <w:snapToGrid w:val="0"/>
              <w:jc w:val="center"/>
              <w:rPr>
                <w:rFonts w:ascii="宋体" w:hAnsi="宋体" w:eastAsia="宋体" w:cs="Times New Roman"/>
                <w:b/>
                <w:color w:val="auto"/>
                <w:kern w:val="2"/>
                <w:sz w:val="21"/>
                <w:szCs w:val="24"/>
                <w:highlight w:val="none"/>
                <w:lang w:val="en-US" w:eastAsia="zh-CN" w:bidi="ar-SA"/>
              </w:rPr>
            </w:pPr>
            <w:r>
              <w:rPr>
                <w:rFonts w:hint="eastAsia" w:ascii="宋体" w:hAnsi="宋体"/>
                <w:b/>
                <w:color w:val="auto"/>
                <w:highlight w:val="none"/>
              </w:rPr>
              <w:t>商务标权重</w:t>
            </w:r>
          </w:p>
        </w:tc>
        <w:tc>
          <w:tcPr>
            <w:tcW w:w="2131" w:type="dxa"/>
            <w:vAlign w:val="center"/>
          </w:tcPr>
          <w:p>
            <w:pPr>
              <w:autoSpaceDE w:val="0"/>
              <w:autoSpaceDN w:val="0"/>
              <w:adjustRightInd w:val="0"/>
              <w:snapToGrid w:val="0"/>
              <w:jc w:val="center"/>
              <w:rPr>
                <w:rFonts w:ascii="宋体" w:hAnsi="宋体" w:eastAsia="宋体" w:cs="Times New Roman"/>
                <w:b/>
                <w:color w:val="auto"/>
                <w:kern w:val="2"/>
                <w:sz w:val="21"/>
                <w:szCs w:val="24"/>
                <w:highlight w:val="none"/>
                <w:lang w:val="en-US" w:eastAsia="zh-CN" w:bidi="ar-SA"/>
              </w:rPr>
            </w:pPr>
            <w:r>
              <w:rPr>
                <w:rFonts w:hint="eastAsia" w:ascii="宋体" w:hAnsi="宋体"/>
                <w:b/>
                <w:color w:val="auto"/>
                <w:highlight w:val="none"/>
              </w:rPr>
              <w:t>技术标权重</w:t>
            </w:r>
          </w:p>
        </w:tc>
        <w:tc>
          <w:tcPr>
            <w:tcW w:w="2585" w:type="dxa"/>
            <w:vAlign w:val="center"/>
          </w:tcPr>
          <w:p>
            <w:pPr>
              <w:autoSpaceDE w:val="0"/>
              <w:autoSpaceDN w:val="0"/>
              <w:adjustRightInd w:val="0"/>
              <w:snapToGrid w:val="0"/>
              <w:jc w:val="center"/>
              <w:rPr>
                <w:rFonts w:ascii="宋体" w:hAnsi="宋体" w:eastAsia="宋体" w:cs="Times New Roman"/>
                <w:b/>
                <w:color w:val="auto"/>
                <w:kern w:val="2"/>
                <w:sz w:val="21"/>
                <w:szCs w:val="24"/>
                <w:highlight w:val="none"/>
                <w:lang w:val="en-US" w:eastAsia="zh-CN" w:bidi="ar-SA"/>
              </w:rPr>
            </w:pPr>
            <w:r>
              <w:rPr>
                <w:rFonts w:hint="eastAsia" w:ascii="宋体" w:hAnsi="宋体"/>
                <w:b/>
                <w:color w:val="auto"/>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权重</w:t>
            </w:r>
          </w:p>
        </w:tc>
        <w:tc>
          <w:tcPr>
            <w:tcW w:w="2130"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13</w:t>
            </w:r>
            <w:r>
              <w:rPr>
                <w:rFonts w:hint="eastAsia" w:ascii="宋体" w:hAnsi="宋体"/>
                <w:color w:val="auto"/>
                <w:highlight w:val="none"/>
              </w:rPr>
              <w:t>%</w:t>
            </w:r>
          </w:p>
        </w:tc>
        <w:tc>
          <w:tcPr>
            <w:tcW w:w="2131"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47</w:t>
            </w:r>
            <w:r>
              <w:rPr>
                <w:rFonts w:hint="eastAsia" w:ascii="宋体" w:hAnsi="宋体"/>
                <w:color w:val="auto"/>
                <w:highlight w:val="none"/>
              </w:rPr>
              <w:t>%</w:t>
            </w:r>
          </w:p>
        </w:tc>
        <w:tc>
          <w:tcPr>
            <w:tcW w:w="2585"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40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leftChars="0" w:firstLine="0" w:firstLineChars="0"/>
              <w:jc w:val="center"/>
              <w:rPr>
                <w:color w:val="auto"/>
                <w:highlight w:val="none"/>
                <w:vertAlign w:val="baseline"/>
              </w:rPr>
            </w:pPr>
            <w:r>
              <w:rPr>
                <w:rFonts w:hint="eastAsia" w:ascii="宋体" w:hAnsi="宋体"/>
                <w:color w:val="auto"/>
                <w:highlight w:val="none"/>
              </w:rPr>
              <w:t>投标人综合得分</w:t>
            </w:r>
          </w:p>
        </w:tc>
        <w:tc>
          <w:tcPr>
            <w:tcW w:w="6846" w:type="dxa"/>
            <w:gridSpan w:val="3"/>
            <w:vAlign w:val="center"/>
          </w:tcPr>
          <w:p>
            <w:pPr>
              <w:pStyle w:val="2"/>
              <w:jc w:val="center"/>
              <w:rPr>
                <w:color w:val="auto"/>
                <w:highlight w:val="none"/>
                <w:vertAlign w:val="baseline"/>
              </w:rPr>
            </w:pPr>
            <w:r>
              <w:rPr>
                <w:rFonts w:hint="eastAsia" w:ascii="宋体" w:hAnsi="宋体"/>
                <w:color w:val="auto"/>
                <w:highlight w:val="none"/>
              </w:rPr>
              <w:t>商务标得分+技术标得分+价格标得分=100</w:t>
            </w:r>
          </w:p>
        </w:tc>
      </w:tr>
    </w:tbl>
    <w:p>
      <w:pPr>
        <w:pStyle w:val="11"/>
        <w:rPr>
          <w:color w:val="auto"/>
          <w:highlight w:val="none"/>
        </w:rPr>
      </w:pPr>
    </w:p>
    <w:p>
      <w:pPr>
        <w:numPr>
          <w:ilvl w:val="0"/>
          <w:numId w:val="15"/>
        </w:numPr>
        <w:spacing w:line="360" w:lineRule="auto"/>
        <w:jc w:val="left"/>
        <w:outlineLvl w:val="2"/>
        <w:rPr>
          <w:rStyle w:val="29"/>
          <w:rFonts w:ascii="宋体" w:hAnsi="宋体"/>
          <w:b/>
          <w:color w:val="auto"/>
          <w:szCs w:val="21"/>
          <w:highlight w:val="none"/>
        </w:rPr>
      </w:pPr>
      <w:bookmarkStart w:id="51" w:name="_Toc106791264"/>
      <w:r>
        <w:rPr>
          <w:rStyle w:val="29"/>
          <w:rFonts w:hint="eastAsia" w:ascii="宋体" w:hAnsi="宋体"/>
          <w:b/>
          <w:bCs/>
          <w:color w:val="auto"/>
          <w:szCs w:val="21"/>
          <w:highlight w:val="none"/>
        </w:rPr>
        <w:t>符合性检查</w:t>
      </w:r>
      <w:bookmarkEnd w:id="51"/>
    </w:p>
    <w:tbl>
      <w:tblPr>
        <w:tblStyle w:val="14"/>
        <w:tblpPr w:leftFromText="180" w:rightFromText="180" w:vertAnchor="text" w:horzAnchor="page" w:tblpX="1260" w:tblpY="77"/>
        <w:tblOverlap w:val="never"/>
        <w:tblW w:w="9516" w:type="dxa"/>
        <w:tblCellSpacing w:w="0"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投标人提交的投标文件是否按要求编制目录、加密；投标文件的加密密码按要求发送至招标人且保证文件完整可正常打开；投标人必须提供由法人代表或其书面授权人签署并加盖投标人公章的投标响应文件</w:t>
            </w:r>
            <w:r>
              <w:rPr>
                <w:rFonts w:hint="eastAsia" w:ascii="宋体" w:hAnsi="宋体" w:eastAsia="宋体" w:cs="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widowControl w:val="0"/>
              <w:autoSpaceDE w:val="0"/>
              <w:autoSpaceDN w:val="0"/>
              <w:adjustRightInd w:val="0"/>
              <w:snapToGrid w:val="0"/>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投标人应为中华人民共和国境内注册且合法运作的企业，能独立承担民事责任。（提供企业营业执照并加盖投标人公章）。</w:t>
            </w:r>
          </w:p>
          <w:p>
            <w:pPr>
              <w:numPr>
                <w:ilvl w:val="0"/>
                <w:numId w:val="0"/>
              </w:numPr>
              <w:tabs>
                <w:tab w:val="left" w:pos="531"/>
              </w:tabs>
              <w:snapToGrid w:val="0"/>
              <w:ind w:left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pPr>
              <w:widowControl w:val="0"/>
              <w:autoSpaceDE w:val="0"/>
              <w:autoSpaceDN w:val="0"/>
              <w:adjustRightInd w:val="0"/>
              <w:snapToGrid w:val="0"/>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、投标人非所投产品制造企业的，投标人需要提供所投产品的销售授权或代理授权证明文件（加盖投标人公章）。</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、投标人须提供由国家市场监督管理总局颁发的适用所投产品的《中华人民共和国特种设备生产许可证》（提供复印件并加盖公章）。</w:t>
            </w:r>
          </w:p>
          <w:p>
            <w:pPr>
              <w:numPr>
                <w:ilvl w:val="0"/>
                <w:numId w:val="0"/>
              </w:numPr>
              <w:tabs>
                <w:tab w:val="left" w:pos="531"/>
              </w:tabs>
              <w:snapToGrid w:val="0"/>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240" w:lineRule="auto"/>
              <w:rPr>
                <w:rFonts w:hint="eastAsia" w:ascii="宋体" w:hAnsi="宋体" w:eastAsia="宋体" w:cs="宋体"/>
                <w:szCs w:val="21"/>
              </w:rPr>
            </w:pPr>
            <w:r>
              <w:rPr>
                <w:rFonts w:hint="eastAsia" w:ascii="宋体" w:hAnsi="宋体" w:eastAsia="宋体" w:cs="宋体"/>
                <w:szCs w:val="21"/>
              </w:rPr>
              <w:t>本项目报价是否高于</w:t>
            </w:r>
            <w:r>
              <w:rPr>
                <w:rFonts w:hint="eastAsia" w:ascii="宋体" w:hAnsi="宋体" w:eastAsia="宋体" w:cs="宋体"/>
                <w:color w:val="FF0000"/>
                <w:szCs w:val="21"/>
                <w:highlight w:val="none"/>
                <w:lang w:val="en-US" w:eastAsia="zh-CN"/>
              </w:rPr>
              <w:t>88</w:t>
            </w:r>
            <w:r>
              <w:rPr>
                <w:rFonts w:hint="eastAsia" w:ascii="宋体" w:hAnsi="宋体" w:eastAsia="宋体" w:cs="宋体"/>
                <w:szCs w:val="21"/>
                <w:highlight w:val="none"/>
              </w:rPr>
              <w:t>万元（含</w:t>
            </w:r>
            <w:r>
              <w:rPr>
                <w:rFonts w:hint="eastAsia" w:ascii="宋体" w:hAnsi="宋体" w:eastAsia="宋体" w:cs="宋体"/>
                <w:szCs w:val="21"/>
              </w:rPr>
              <w:t>税），超过上述控制金额的视为无效报价。</w:t>
            </w:r>
          </w:p>
        </w:tc>
      </w:tr>
    </w:tbl>
    <w:p>
      <w:pPr>
        <w:numPr>
          <w:ilvl w:val="0"/>
          <w:numId w:val="15"/>
        </w:numPr>
        <w:spacing w:line="360" w:lineRule="auto"/>
        <w:jc w:val="left"/>
        <w:outlineLvl w:val="2"/>
        <w:rPr>
          <w:rStyle w:val="29"/>
          <w:rFonts w:ascii="宋体" w:hAnsi="宋体"/>
          <w:b/>
          <w:bCs/>
          <w:szCs w:val="21"/>
        </w:rPr>
      </w:pPr>
      <w:bookmarkStart w:id="52" w:name="_Toc114675512"/>
      <w:r>
        <w:rPr>
          <w:rStyle w:val="29"/>
          <w:rFonts w:hint="eastAsia" w:ascii="宋体" w:hAnsi="宋体"/>
          <w:b/>
          <w:bCs/>
          <w:szCs w:val="21"/>
        </w:rPr>
        <w:t>不可偏离项检查</w:t>
      </w:r>
      <w:bookmarkEnd w:id="52"/>
    </w:p>
    <w:p>
      <w:pPr>
        <w:pStyle w:val="2"/>
      </w:pPr>
      <w:r>
        <w:rPr>
          <w:rFonts w:hint="eastAsia"/>
        </w:rPr>
        <w:t>检查内容详见第四条《项目要求》之（一）《商务需求》、（二）技术/服务需求。</w:t>
      </w:r>
    </w:p>
    <w:p>
      <w:pPr>
        <w:numPr>
          <w:ilvl w:val="0"/>
          <w:numId w:val="15"/>
        </w:numPr>
        <w:spacing w:line="360" w:lineRule="auto"/>
        <w:jc w:val="left"/>
        <w:outlineLvl w:val="2"/>
        <w:rPr>
          <w:rFonts w:ascii="宋体" w:hAnsi="宋体"/>
          <w:b/>
          <w:bCs/>
          <w:szCs w:val="21"/>
        </w:rPr>
      </w:pPr>
      <w:bookmarkStart w:id="53" w:name="_Toc114675513"/>
      <w:r>
        <w:rPr>
          <w:rStyle w:val="29"/>
          <w:rFonts w:hint="eastAsia" w:ascii="宋体" w:hAnsi="宋体"/>
          <w:b/>
          <w:bCs/>
          <w:szCs w:val="21"/>
        </w:rPr>
        <w:t>综合评议指标表</w:t>
      </w:r>
      <w:bookmarkEnd w:id="53"/>
    </w:p>
    <w:p>
      <w:pPr>
        <w:pStyle w:val="2"/>
        <w:rPr>
          <w:highlight w:val="none"/>
        </w:rPr>
      </w:pPr>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230"/>
        <w:gridCol w:w="613"/>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序号</w:t>
            </w:r>
          </w:p>
        </w:tc>
        <w:tc>
          <w:tcPr>
            <w:tcW w:w="1230"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highlight w:val="none"/>
              </w:rPr>
            </w:pPr>
            <w:r>
              <w:rPr>
                <w:rFonts w:hint="eastAsia" w:ascii="宋体" w:hAnsi="宋体"/>
                <w:b/>
                <w:szCs w:val="21"/>
                <w:highlight w:val="none"/>
              </w:rPr>
              <w:t>评议内容</w:t>
            </w:r>
          </w:p>
        </w:tc>
        <w:tc>
          <w:tcPr>
            <w:tcW w:w="613"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highlight w:val="none"/>
              </w:rPr>
            </w:pPr>
            <w:r>
              <w:rPr>
                <w:rFonts w:ascii="宋体" w:hAnsi="宋体"/>
                <w:b/>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highlight w:val="none"/>
              </w:rPr>
            </w:pPr>
            <w:r>
              <w:rPr>
                <w:rFonts w:hint="eastAsia" w:ascii="宋体" w:hAnsi="宋体"/>
                <w:b/>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商务评议项（</w:t>
            </w:r>
            <w:r>
              <w:rPr>
                <w:rFonts w:hint="eastAsia" w:ascii="宋体" w:hAnsi="宋体"/>
                <w:b/>
                <w:szCs w:val="21"/>
                <w:highlight w:val="none"/>
                <w:lang w:val="en-US" w:eastAsia="zh-CN"/>
              </w:rPr>
              <w:t>13</w:t>
            </w:r>
            <w:r>
              <w:rPr>
                <w:rFonts w:hint="eastAsia"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6"/>
              </w:numPr>
              <w:spacing w:line="360" w:lineRule="auto"/>
              <w:ind w:left="630" w:leftChars="0" w:firstLineChars="0"/>
              <w:jc w:val="center"/>
              <w:rPr>
                <w:rFonts w:ascii="宋体" w:hAnsi="宋体" w:eastAsia="宋体"/>
                <w:szCs w:val="21"/>
                <w:highlight w:val="none"/>
              </w:rPr>
            </w:pPr>
          </w:p>
        </w:tc>
        <w:tc>
          <w:tcPr>
            <w:tcW w:w="1230" w:type="dxa"/>
            <w:tcBorders>
              <w:tl2br w:val="nil"/>
              <w:tr2bl w:val="nil"/>
            </w:tcBorders>
            <w:tcMar>
              <w:top w:w="15" w:type="dxa"/>
              <w:left w:w="15" w:type="dxa"/>
              <w:bottom w:w="15" w:type="dxa"/>
              <w:right w:w="15" w:type="dxa"/>
            </w:tcMar>
            <w:vAlign w:val="center"/>
          </w:tcPr>
          <w:p>
            <w:pPr>
              <w:spacing w:line="320" w:lineRule="exact"/>
              <w:jc w:val="both"/>
              <w:rPr>
                <w:rFonts w:ascii="宋体" w:hAnsi="宋体"/>
                <w:color w:val="FF0000"/>
                <w:szCs w:val="21"/>
                <w:highlight w:val="none"/>
              </w:rPr>
            </w:pPr>
            <w:r>
              <w:rPr>
                <w:rFonts w:hint="eastAsia" w:ascii="宋体" w:hAnsi="宋体"/>
                <w:color w:val="auto"/>
                <w:szCs w:val="21"/>
                <w:highlight w:val="none"/>
              </w:rPr>
              <w:t>品牌实力</w:t>
            </w:r>
          </w:p>
        </w:tc>
        <w:tc>
          <w:tcPr>
            <w:tcW w:w="613"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none"/>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spacing w:line="24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根据投标人所投品牌制造商产品在国际和国内市场综合实力排名进行比较： </w:t>
            </w:r>
            <w:r>
              <w:rPr>
                <w:rFonts w:hint="eastAsia" w:ascii="宋体" w:hAnsi="宋体" w:cs="宋体"/>
                <w:color w:val="auto"/>
                <w:highlight w:val="none"/>
                <w:lang w:val="en-US" w:eastAsia="zh-CN"/>
              </w:rPr>
              <w:t>详见附件</w:t>
            </w:r>
            <w:r>
              <w:rPr>
                <w:rFonts w:hint="eastAsia" w:ascii="宋体" w:hAnsi="宋体" w:eastAsia="宋体" w:cs="宋体"/>
                <w:color w:val="auto"/>
                <w:highlight w:val="none"/>
              </w:rPr>
              <w:t>202</w:t>
            </w:r>
            <w:r>
              <w:rPr>
                <w:rFonts w:hint="eastAsia" w:ascii="宋体" w:hAnsi="宋体" w:cs="宋体"/>
                <w:color w:val="auto"/>
                <w:highlight w:val="none"/>
                <w:lang w:val="en-US" w:eastAsia="zh-CN"/>
              </w:rPr>
              <w:t>1</w:t>
            </w:r>
            <w:r>
              <w:rPr>
                <w:rFonts w:hint="eastAsia" w:ascii="宋体" w:hAnsi="宋体" w:eastAsia="宋体" w:cs="宋体"/>
                <w:color w:val="auto"/>
                <w:highlight w:val="none"/>
              </w:rPr>
              <w:t>年全球20强叉车供应商排行榜（MMH），第一到第</w:t>
            </w:r>
            <w:r>
              <w:rPr>
                <w:rFonts w:hint="eastAsia" w:ascii="宋体" w:hAnsi="宋体" w:cs="宋体"/>
                <w:color w:val="auto"/>
                <w:highlight w:val="none"/>
                <w:lang w:val="en-US" w:eastAsia="zh-CN"/>
              </w:rPr>
              <w:t>五</w:t>
            </w:r>
            <w:r>
              <w:rPr>
                <w:rFonts w:hint="eastAsia" w:ascii="宋体" w:hAnsi="宋体" w:eastAsia="宋体" w:cs="宋体"/>
                <w:color w:val="auto"/>
                <w:highlight w:val="none"/>
              </w:rPr>
              <w:t>名得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分、第</w:t>
            </w:r>
            <w:r>
              <w:rPr>
                <w:rFonts w:hint="eastAsia" w:ascii="宋体" w:hAnsi="宋体" w:cs="宋体"/>
                <w:color w:val="auto"/>
                <w:highlight w:val="none"/>
                <w:lang w:val="en-US" w:eastAsia="zh-CN"/>
              </w:rPr>
              <w:t>六</w:t>
            </w:r>
            <w:r>
              <w:rPr>
                <w:rFonts w:hint="eastAsia" w:ascii="宋体" w:hAnsi="宋体" w:eastAsia="宋体" w:cs="宋体"/>
                <w:color w:val="auto"/>
                <w:highlight w:val="none"/>
              </w:rPr>
              <w:t>到</w:t>
            </w:r>
            <w:r>
              <w:rPr>
                <w:rFonts w:hint="eastAsia" w:ascii="宋体" w:hAnsi="宋体" w:cs="宋体"/>
                <w:color w:val="auto"/>
                <w:highlight w:val="none"/>
                <w:lang w:val="en-US" w:eastAsia="zh-CN"/>
              </w:rPr>
              <w:t>十</w:t>
            </w:r>
            <w:r>
              <w:rPr>
                <w:rFonts w:hint="eastAsia" w:ascii="宋体" w:hAnsi="宋体" w:eastAsia="宋体" w:cs="宋体"/>
                <w:color w:val="auto"/>
                <w:highlight w:val="none"/>
              </w:rPr>
              <w:t>名得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分、第</w:t>
            </w:r>
            <w:r>
              <w:rPr>
                <w:rFonts w:hint="eastAsia" w:ascii="宋体" w:hAnsi="宋体" w:cs="宋体"/>
                <w:color w:val="auto"/>
                <w:highlight w:val="none"/>
                <w:lang w:val="en-US" w:eastAsia="zh-CN"/>
              </w:rPr>
              <w:t>十一</w:t>
            </w:r>
            <w:r>
              <w:rPr>
                <w:rFonts w:hint="eastAsia" w:ascii="宋体" w:hAnsi="宋体" w:eastAsia="宋体" w:cs="宋体"/>
                <w:color w:val="auto"/>
                <w:highlight w:val="none"/>
              </w:rPr>
              <w:t>到</w:t>
            </w:r>
            <w:r>
              <w:rPr>
                <w:rFonts w:hint="eastAsia" w:ascii="宋体" w:hAnsi="宋体" w:cs="宋体"/>
                <w:color w:val="auto"/>
                <w:highlight w:val="none"/>
                <w:lang w:val="en-US" w:eastAsia="zh-CN"/>
              </w:rPr>
              <w:t>十五</w:t>
            </w:r>
            <w:r>
              <w:rPr>
                <w:rFonts w:hint="eastAsia" w:ascii="宋体" w:hAnsi="宋体" w:eastAsia="宋体" w:cs="宋体"/>
                <w:color w:val="auto"/>
                <w:highlight w:val="none"/>
              </w:rPr>
              <w:t>名得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分,第</w:t>
            </w:r>
            <w:r>
              <w:rPr>
                <w:rFonts w:hint="eastAsia" w:ascii="宋体" w:hAnsi="宋体" w:cs="宋体"/>
                <w:color w:val="auto"/>
                <w:highlight w:val="none"/>
                <w:lang w:val="en-US" w:eastAsia="zh-CN"/>
              </w:rPr>
              <w:t>十六</w:t>
            </w:r>
            <w:r>
              <w:rPr>
                <w:rFonts w:hint="eastAsia" w:ascii="宋体" w:hAnsi="宋体" w:eastAsia="宋体" w:cs="宋体"/>
                <w:color w:val="auto"/>
                <w:highlight w:val="none"/>
              </w:rPr>
              <w:t>名及以后名次</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w:t>
            </w:r>
          </w:p>
          <w:p>
            <w:pPr>
              <w:rPr>
                <w:rFonts w:hint="eastAsia" w:ascii="宋体" w:hAnsi="宋体" w:eastAsia="宋体" w:cs="宋体"/>
                <w:color w:val="FF0000"/>
                <w:szCs w:val="21"/>
                <w:highlight w:val="none"/>
              </w:rPr>
            </w:pPr>
            <w:r>
              <w:rPr>
                <w:rFonts w:hint="eastAsia" w:ascii="宋体" w:hAnsi="宋体" w:eastAsia="宋体" w:cs="宋体"/>
                <w:b/>
                <w:color w:val="auto"/>
                <w:highlight w:val="none"/>
              </w:rPr>
              <w:t>评审依据：</w:t>
            </w:r>
            <w:r>
              <w:rPr>
                <w:rFonts w:hint="eastAsia" w:ascii="宋体" w:hAnsi="宋体" w:eastAsia="宋体" w:cs="宋体"/>
                <w:color w:val="auto"/>
                <w:highlight w:val="none"/>
              </w:rPr>
              <w:t>依据</w:t>
            </w:r>
            <w:r>
              <w:rPr>
                <w:rFonts w:hint="eastAsia" w:ascii="宋体" w:hAnsi="宋体" w:cs="宋体"/>
                <w:color w:val="auto"/>
                <w:highlight w:val="none"/>
                <w:lang w:val="en-US" w:eastAsia="zh-CN"/>
              </w:rPr>
              <w:t>2021年全球20强叉车供应商排行榜（MMH美国杂志）</w:t>
            </w:r>
            <w:r>
              <w:rPr>
                <w:rFonts w:hint="eastAsia" w:ascii="宋体" w:hAnsi="宋体" w:eastAsia="宋体" w:cs="宋体"/>
                <w:color w:val="auto"/>
                <w:highlight w:val="none"/>
              </w:rPr>
              <w:t>发布内容，投标方自行打印并提供202</w:t>
            </w:r>
            <w:r>
              <w:rPr>
                <w:rFonts w:hint="eastAsia" w:ascii="宋体" w:hAnsi="宋体" w:cs="宋体"/>
                <w:color w:val="auto"/>
                <w:highlight w:val="none"/>
                <w:lang w:val="en-US" w:eastAsia="zh-CN"/>
              </w:rPr>
              <w:t>1</w:t>
            </w:r>
            <w:r>
              <w:rPr>
                <w:rFonts w:hint="eastAsia" w:ascii="宋体" w:hAnsi="宋体" w:eastAsia="宋体" w:cs="宋体"/>
                <w:color w:val="auto"/>
                <w:highlight w:val="none"/>
              </w:rPr>
              <w:t>年全</w:t>
            </w:r>
            <w:r>
              <w:rPr>
                <w:rFonts w:hint="eastAsia" w:ascii="宋体" w:hAnsi="宋体" w:cs="宋体"/>
                <w:color w:val="auto"/>
                <w:highlight w:val="none"/>
                <w:lang w:val="en-US" w:eastAsia="zh-CN"/>
              </w:rPr>
              <w:t>球</w:t>
            </w:r>
            <w:r>
              <w:rPr>
                <w:rFonts w:hint="eastAsia" w:ascii="宋体" w:hAnsi="宋体" w:eastAsia="宋体" w:cs="宋体"/>
                <w:color w:val="auto"/>
                <w:highlight w:val="none"/>
              </w:rPr>
              <w:t>20强叉车供应商排行榜（MMH）查询结果页面并标出所投品牌排名（加盖投标单位公章）。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6"/>
              </w:numPr>
              <w:spacing w:line="360" w:lineRule="auto"/>
              <w:ind w:left="630" w:leftChars="0" w:firstLineChars="0"/>
              <w:jc w:val="center"/>
              <w:rPr>
                <w:rFonts w:ascii="宋体" w:hAnsi="宋体" w:eastAsia="宋体"/>
                <w:szCs w:val="21"/>
                <w:highlight w:val="none"/>
              </w:rPr>
            </w:pPr>
          </w:p>
        </w:tc>
        <w:tc>
          <w:tcPr>
            <w:tcW w:w="1230" w:type="dxa"/>
            <w:tcBorders>
              <w:tl2br w:val="nil"/>
              <w:tr2bl w:val="nil"/>
            </w:tcBorders>
            <w:tcMar>
              <w:top w:w="15" w:type="dxa"/>
              <w:left w:w="15" w:type="dxa"/>
              <w:bottom w:w="15" w:type="dxa"/>
              <w:right w:w="15" w:type="dxa"/>
            </w:tcMar>
            <w:vAlign w:val="center"/>
          </w:tcPr>
          <w:p>
            <w:pPr>
              <w:jc w:val="both"/>
              <w:rPr>
                <w:color w:val="FF0000"/>
                <w:highlight w:val="none"/>
              </w:rPr>
            </w:pPr>
            <w:r>
              <w:rPr>
                <w:rFonts w:hint="eastAsia" w:ascii="宋体" w:hAnsi="宋体"/>
                <w:szCs w:val="21"/>
                <w:highlight w:val="none"/>
              </w:rPr>
              <w:t>销售业绩</w:t>
            </w:r>
          </w:p>
        </w:tc>
        <w:tc>
          <w:tcPr>
            <w:tcW w:w="613" w:type="dxa"/>
            <w:tcBorders>
              <w:tl2br w:val="nil"/>
              <w:tr2bl w:val="nil"/>
            </w:tcBorders>
            <w:tcMar>
              <w:top w:w="15" w:type="dxa"/>
              <w:left w:w="15" w:type="dxa"/>
              <w:bottom w:w="15" w:type="dxa"/>
              <w:right w:w="15" w:type="dxa"/>
            </w:tcMar>
            <w:vAlign w:val="center"/>
          </w:tcPr>
          <w:p>
            <w:pPr>
              <w:jc w:val="center"/>
              <w:rPr>
                <w:rFonts w:ascii="宋体" w:hAnsi="宋体"/>
                <w:color w:val="FF0000"/>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autoSpaceDE w:val="0"/>
              <w:autoSpaceDN w:val="0"/>
              <w:spacing w:line="24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szCs w:val="21"/>
                <w:highlight w:val="none"/>
              </w:rPr>
              <w:t>对各投标</w:t>
            </w:r>
            <w:r>
              <w:rPr>
                <w:rFonts w:hint="eastAsia" w:ascii="宋体" w:hAnsi="宋体" w:cs="宋体"/>
                <w:szCs w:val="21"/>
                <w:highlight w:val="none"/>
                <w:lang w:val="en-US" w:eastAsia="zh-CN"/>
              </w:rPr>
              <w:t>单位</w:t>
            </w:r>
            <w:r>
              <w:rPr>
                <w:rFonts w:hint="eastAsia" w:ascii="宋体" w:hAnsi="宋体" w:eastAsia="宋体" w:cs="宋体"/>
                <w:szCs w:val="21"/>
                <w:highlight w:val="none"/>
              </w:rPr>
              <w:t>自20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年1月1日至本项目招标公告发布日期间（以合同签订时间为准</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所有电动叉车类</w:t>
            </w:r>
            <w:r>
              <w:rPr>
                <w:rFonts w:hint="eastAsia" w:ascii="宋体" w:hAnsi="宋体" w:eastAsia="宋体" w:cs="宋体"/>
                <w:color w:val="000000" w:themeColor="text1"/>
                <w:szCs w:val="21"/>
                <w:highlight w:val="none"/>
                <w14:textFill>
                  <w14:solidFill>
                    <w14:schemeClr w14:val="tx1"/>
                  </w14:solidFill>
                </w14:textFill>
              </w:rPr>
              <w:t>销售</w:t>
            </w:r>
            <w:r>
              <w:rPr>
                <w:rFonts w:hint="eastAsia" w:ascii="宋体" w:hAnsi="宋体" w:cs="宋体"/>
                <w:color w:val="000000" w:themeColor="text1"/>
                <w:szCs w:val="21"/>
                <w:highlight w:val="none"/>
                <w:lang w:val="en-US" w:eastAsia="zh-CN"/>
                <w14:textFill>
                  <w14:solidFill>
                    <w14:schemeClr w14:val="tx1"/>
                  </w14:solidFill>
                </w14:textFill>
              </w:rPr>
              <w:t>总台数</w:t>
            </w:r>
            <w:r>
              <w:rPr>
                <w:rFonts w:hint="eastAsia" w:ascii="宋体" w:hAnsi="宋体" w:eastAsia="宋体" w:cs="宋体"/>
                <w:color w:val="auto"/>
                <w:highlight w:val="none"/>
              </w:rPr>
              <w:t>进行综合比较，</w:t>
            </w:r>
            <w:r>
              <w:rPr>
                <w:rFonts w:hint="eastAsia" w:ascii="宋体" w:hAnsi="宋体" w:cs="宋体"/>
                <w:color w:val="auto"/>
                <w:highlight w:val="none"/>
                <w:lang w:val="en-US" w:eastAsia="zh-CN"/>
              </w:rPr>
              <w:t>台数越多，得分越高。</w:t>
            </w:r>
            <w:r>
              <w:rPr>
                <w:rFonts w:hint="eastAsia" w:ascii="宋体" w:hAnsi="宋体" w:eastAsia="宋体" w:cs="宋体"/>
                <w:color w:val="auto"/>
                <w:szCs w:val="21"/>
                <w:highlight w:val="none"/>
              </w:rPr>
              <w:t>第一名</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分、第二名</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分、第三名</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第四名4分、第五名3分、第六名2分、</w:t>
            </w:r>
            <w:r>
              <w:rPr>
                <w:rFonts w:hint="eastAsia" w:ascii="宋体" w:hAnsi="宋体" w:eastAsia="宋体" w:cs="宋体"/>
                <w:color w:val="auto"/>
                <w:szCs w:val="21"/>
                <w:highlight w:val="none"/>
              </w:rPr>
              <w:t>其他得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没有不得分</w:t>
            </w:r>
            <w:r>
              <w:rPr>
                <w:rFonts w:hint="eastAsia" w:ascii="宋体" w:hAnsi="宋体" w:eastAsia="宋体" w:cs="宋体"/>
                <w:color w:val="auto"/>
                <w:szCs w:val="21"/>
                <w:highlight w:val="none"/>
              </w:rPr>
              <w:t>。</w:t>
            </w:r>
          </w:p>
          <w:p>
            <w:pPr>
              <w:widowControl w:val="0"/>
              <w:snapToGrid w:val="0"/>
              <w:spacing w:line="240" w:lineRule="auto"/>
              <w:ind w:firstLine="0" w:firstLine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评审依据及要求：</w:t>
            </w:r>
          </w:p>
          <w:p>
            <w:pPr>
              <w:pStyle w:val="22"/>
              <w:widowControl w:val="0"/>
              <w:numPr>
                <w:ilvl w:val="0"/>
                <w:numId w:val="17"/>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以提供</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销售合同复印件或扫描件（加盖公章）为依据。（所指销售合同</w:t>
            </w:r>
            <w:r>
              <w:rPr>
                <w:rFonts w:hint="eastAsia" w:ascii="宋体" w:hAnsi="宋体" w:eastAsia="宋体" w:cs="宋体"/>
                <w:color w:val="auto"/>
                <w:szCs w:val="21"/>
                <w:highlight w:val="none"/>
                <w:lang w:val="en-US" w:eastAsia="zh-CN"/>
              </w:rPr>
              <w:t>仅</w:t>
            </w:r>
            <w:r>
              <w:rPr>
                <w:rFonts w:hint="eastAsia" w:ascii="宋体" w:hAnsi="宋体" w:eastAsia="宋体" w:cs="宋体"/>
                <w:color w:val="auto"/>
                <w:szCs w:val="21"/>
                <w:highlight w:val="none"/>
              </w:rPr>
              <w:t>限于投标</w:t>
            </w:r>
            <w:r>
              <w:rPr>
                <w:rFonts w:hint="eastAsia" w:ascii="宋体" w:hAnsi="宋体" w:eastAsia="宋体" w:cs="宋体"/>
                <w:color w:val="auto"/>
                <w:szCs w:val="21"/>
                <w:highlight w:val="none"/>
                <w:lang w:val="en-US" w:eastAsia="zh-CN"/>
              </w:rPr>
              <w:t>公司对所投品牌所有电动叉车的</w:t>
            </w:r>
            <w:r>
              <w:rPr>
                <w:rFonts w:hint="eastAsia" w:ascii="宋体" w:hAnsi="宋体" w:eastAsia="宋体" w:cs="宋体"/>
                <w:color w:val="auto"/>
                <w:szCs w:val="21"/>
                <w:highlight w:val="none"/>
              </w:rPr>
              <w:t>销售</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w:t>
            </w:r>
          </w:p>
          <w:p>
            <w:pPr>
              <w:pStyle w:val="22"/>
              <w:widowControl w:val="0"/>
              <w:numPr>
                <w:ilvl w:val="0"/>
                <w:numId w:val="17"/>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投标人需自行汇总销售合同</w:t>
            </w:r>
            <w:r>
              <w:rPr>
                <w:rStyle w:val="19"/>
                <w:rFonts w:hint="eastAsia" w:ascii="宋体" w:hAnsi="宋体" w:eastAsia="宋体" w:cs="宋体"/>
                <w:color w:val="auto"/>
                <w:highlight w:val="none"/>
                <w:lang w:val="en-US" w:eastAsia="zh-CN"/>
              </w:rPr>
              <w:t>所有</w:t>
            </w:r>
            <w:r>
              <w:rPr>
                <w:rFonts w:hint="eastAsia" w:ascii="宋体" w:hAnsi="宋体" w:eastAsia="宋体" w:cs="宋体"/>
                <w:color w:val="auto"/>
                <w:szCs w:val="21"/>
                <w:highlight w:val="none"/>
                <w:lang w:val="en-US" w:eastAsia="zh-CN"/>
              </w:rPr>
              <w:t>电动叉车类</w:t>
            </w:r>
            <w:r>
              <w:rPr>
                <w:rFonts w:hint="eastAsia" w:ascii="宋体" w:hAnsi="宋体" w:eastAsia="宋体" w:cs="宋体"/>
                <w:color w:val="auto"/>
                <w:szCs w:val="21"/>
                <w:highlight w:val="none"/>
              </w:rPr>
              <w:t>销售总台</w:t>
            </w:r>
            <w:r>
              <w:rPr>
                <w:rFonts w:hint="eastAsia" w:ascii="宋体" w:hAnsi="宋体" w:eastAsia="宋体" w:cs="宋体"/>
                <w:color w:val="auto"/>
                <w:szCs w:val="21"/>
                <w:highlight w:val="none"/>
                <w:lang w:val="en-US" w:eastAsia="zh-CN"/>
              </w:rPr>
              <w:t>数</w:t>
            </w:r>
            <w:r>
              <w:rPr>
                <w:rFonts w:hint="eastAsia" w:ascii="宋体" w:hAnsi="宋体" w:eastAsia="宋体" w:cs="宋体"/>
                <w:color w:val="auto"/>
                <w:szCs w:val="21"/>
                <w:highlight w:val="none"/>
              </w:rPr>
              <w:t>。</w:t>
            </w:r>
          </w:p>
          <w:p>
            <w:pPr>
              <w:pStyle w:val="22"/>
              <w:widowControl w:val="0"/>
              <w:numPr>
                <w:ilvl w:val="0"/>
                <w:numId w:val="17"/>
              </w:numPr>
              <w:snapToGrid w:val="0"/>
              <w:spacing w:line="240" w:lineRule="auto"/>
              <w:ind w:left="636" w:hanging="636" w:firstLineChars="0"/>
              <w:jc w:val="left"/>
              <w:rPr>
                <w:rFonts w:hint="eastAsia" w:ascii="宋体" w:hAnsi="宋体" w:eastAsia="宋体" w:cs="宋体"/>
                <w:szCs w:val="21"/>
                <w:highlight w:val="none"/>
              </w:rPr>
            </w:pPr>
            <w:r>
              <w:rPr>
                <w:rFonts w:hint="eastAsia" w:ascii="宋体" w:hAnsi="宋体" w:eastAsia="宋体" w:cs="宋体"/>
                <w:color w:val="auto"/>
                <w:szCs w:val="21"/>
                <w:highlight w:val="none"/>
              </w:rPr>
              <w:t>合同关键页应包含合同名称、采购方名称、合同签订时间、叉车规格型号及类型、台数、双方盖章等</w:t>
            </w:r>
            <w:r>
              <w:rPr>
                <w:rFonts w:hint="eastAsia" w:ascii="宋体" w:hAnsi="宋体" w:eastAsia="宋体" w:cs="宋体"/>
                <w:color w:val="000000"/>
                <w:szCs w:val="21"/>
                <w:highlight w:val="none"/>
              </w:rPr>
              <w:t>关键信息，并加盖投标单位公章。</w:t>
            </w:r>
          </w:p>
          <w:p>
            <w:pPr>
              <w:ind w:left="598" w:leftChars="285" w:firstLine="0" w:firstLineChars="0"/>
              <w:rPr>
                <w:rFonts w:hint="eastAsia" w:ascii="宋体" w:hAnsi="宋体" w:eastAsia="宋体" w:cs="宋体"/>
                <w:color w:val="FF0000"/>
                <w:szCs w:val="21"/>
                <w:highlight w:val="none"/>
              </w:rPr>
            </w:pPr>
            <w:r>
              <w:rPr>
                <w:rFonts w:hint="eastAsia" w:ascii="宋体" w:hAnsi="宋体" w:eastAsia="宋体" w:cs="宋体"/>
                <w:color w:val="000000"/>
                <w:szCs w:val="21"/>
                <w:highlight w:val="none"/>
              </w:rPr>
              <w:t>未提供合同关键页的，不得分；未按要求提供相应资料者或资料不清晰、不完整的，不得分。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none"/>
              </w:rPr>
            </w:pPr>
            <w:r>
              <w:rPr>
                <w:rFonts w:hint="eastAsia" w:ascii="宋体" w:hAnsi="宋体"/>
                <w:b/>
                <w:szCs w:val="21"/>
                <w:highlight w:val="none"/>
              </w:rPr>
              <w:t>技术服务评议项（</w:t>
            </w:r>
            <w:r>
              <w:rPr>
                <w:rFonts w:hint="eastAsia" w:ascii="宋体" w:hAnsi="宋体"/>
                <w:b/>
                <w:szCs w:val="21"/>
                <w:highlight w:val="none"/>
                <w:lang w:val="en-US" w:eastAsia="zh-CN"/>
              </w:rPr>
              <w:t>47</w:t>
            </w:r>
            <w:r>
              <w:rPr>
                <w:rFonts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6" w:hRule="atLeast"/>
          <w:tblCellSpacing w:w="0" w:type="dxa"/>
        </w:trPr>
        <w:tc>
          <w:tcPr>
            <w:tcW w:w="704" w:type="dxa"/>
            <w:tcBorders>
              <w:tl2br w:val="nil"/>
              <w:tr2bl w:val="nil"/>
            </w:tcBorders>
            <w:vAlign w:val="center"/>
          </w:tcPr>
          <w:p>
            <w:pPr>
              <w:pStyle w:val="22"/>
              <w:numPr>
                <w:ilvl w:val="0"/>
                <w:numId w:val="18"/>
              </w:numPr>
              <w:spacing w:line="360" w:lineRule="auto"/>
              <w:ind w:left="630" w:leftChars="0" w:firstLineChars="0"/>
              <w:jc w:val="center"/>
              <w:rPr>
                <w:rFonts w:ascii="宋体" w:hAnsi="宋体" w:eastAsia="宋体"/>
                <w:szCs w:val="21"/>
              </w:rPr>
            </w:pPr>
          </w:p>
        </w:tc>
        <w:tc>
          <w:tcPr>
            <w:tcW w:w="1230"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b w:val="0"/>
                <w:bCs w:val="0"/>
                <w:color w:val="auto"/>
                <w:sz w:val="21"/>
                <w:szCs w:val="21"/>
                <w:highlight w:val="none"/>
                <w:lang w:val="en-US" w:eastAsia="zh-CN"/>
              </w:rPr>
              <w:t>1.6吨站板式</w:t>
            </w:r>
            <w:r>
              <w:rPr>
                <w:rFonts w:hint="eastAsia" w:ascii="宋体" w:hAnsi="宋体"/>
                <w:b w:val="0"/>
                <w:bCs w:val="0"/>
                <w:color w:val="auto"/>
                <w:sz w:val="21"/>
                <w:szCs w:val="21"/>
                <w:highlight w:val="none"/>
              </w:rPr>
              <w:t>电动</w:t>
            </w:r>
            <w:r>
              <w:rPr>
                <w:rFonts w:hint="eastAsia" w:ascii="宋体" w:hAnsi="宋体"/>
                <w:b w:val="0"/>
                <w:bCs w:val="0"/>
                <w:color w:val="auto"/>
                <w:sz w:val="21"/>
                <w:szCs w:val="21"/>
                <w:highlight w:val="none"/>
                <w:lang w:val="en-US" w:eastAsia="zh-CN"/>
              </w:rPr>
              <w:t>托盘堆垛车</w:t>
            </w:r>
            <w:r>
              <w:rPr>
                <w:rFonts w:hint="eastAsia" w:ascii="宋体" w:hAnsi="宋体"/>
                <w:b w:val="0"/>
                <w:bCs/>
                <w:color w:val="auto"/>
                <w:szCs w:val="21"/>
                <w:highlight w:val="none"/>
              </w:rPr>
              <w:t>技术标评审标准</w:t>
            </w:r>
          </w:p>
        </w:tc>
        <w:tc>
          <w:tcPr>
            <w:tcW w:w="613" w:type="dxa"/>
            <w:tcBorders>
              <w:bottom w:val="single" w:color="auto" w:sz="4" w:space="0"/>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17</w:t>
            </w:r>
            <w:r>
              <w:rPr>
                <w:rFonts w:hint="eastAsia" w:ascii="宋体" w:hAnsi="宋体"/>
                <w:color w:val="auto"/>
                <w:szCs w:val="21"/>
                <w:highlight w:val="none"/>
              </w:rPr>
              <w:t>分</w:t>
            </w:r>
          </w:p>
        </w:tc>
        <w:tc>
          <w:tcPr>
            <w:tcW w:w="6804" w:type="dxa"/>
            <w:gridSpan w:val="2"/>
            <w:tcBorders>
              <w:bottom w:val="single" w:color="auto" w:sz="4" w:space="0"/>
              <w:tl2br w:val="nil"/>
              <w:tr2bl w:val="nil"/>
            </w:tcBorders>
            <w:tcMar>
              <w:top w:w="15" w:type="dxa"/>
              <w:left w:w="15" w:type="dxa"/>
              <w:bottom w:w="15" w:type="dxa"/>
              <w:right w:w="15" w:type="dxa"/>
            </w:tcMar>
            <w:vAlign w:val="center"/>
          </w:tcPr>
          <w:p>
            <w:pPr>
              <w:pStyle w:val="22"/>
              <w:widowControl w:val="0"/>
              <w:numPr>
                <w:ilvl w:val="0"/>
                <w:numId w:val="19"/>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电机采用参考品牌或经评委评议与参考品牌质量档次相同的其他品牌者得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 w:val="21"/>
                <w:szCs w:val="21"/>
                <w:highlight w:val="none"/>
              </w:rPr>
              <w:t>Juli，SME，</w:t>
            </w:r>
            <w:r>
              <w:rPr>
                <w:rFonts w:hint="eastAsia" w:ascii="宋体" w:hAnsi="宋体" w:eastAsia="宋体" w:cs="宋体"/>
                <w:color w:val="auto"/>
                <w:sz w:val="21"/>
                <w:szCs w:val="21"/>
                <w:highlight w:val="none"/>
                <w:lang w:val="en-US" w:eastAsia="zh-CN"/>
              </w:rPr>
              <w:t>美国KDS，</w:t>
            </w:r>
            <w:r>
              <w:rPr>
                <w:rFonts w:hint="eastAsia" w:ascii="宋体" w:hAnsi="宋体" w:eastAsia="宋体" w:cs="宋体"/>
                <w:color w:val="auto"/>
                <w:sz w:val="21"/>
                <w:szCs w:val="21"/>
                <w:highlight w:val="none"/>
              </w:rPr>
              <w:t>金泰德胜</w:t>
            </w:r>
            <w:r>
              <w:rPr>
                <w:rFonts w:hint="eastAsia" w:ascii="宋体" w:hAnsi="宋体" w:eastAsia="宋体" w:cs="宋体"/>
                <w:color w:val="auto"/>
                <w:szCs w:val="21"/>
                <w:highlight w:val="none"/>
              </w:rPr>
              <w:t>），未采用参考品牌得1分；</w:t>
            </w:r>
          </w:p>
          <w:p>
            <w:pPr>
              <w:pStyle w:val="22"/>
              <w:widowControl w:val="0"/>
              <w:numPr>
                <w:ilvl w:val="0"/>
                <w:numId w:val="19"/>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主控制器采用参考品牌者或经评委评议与参考品牌质量档次相同的其他品牌得2分（控制器参考品牌：</w:t>
            </w:r>
            <w:r>
              <w:rPr>
                <w:rFonts w:hint="eastAsia" w:ascii="宋体" w:hAnsi="宋体" w:eastAsia="宋体" w:cs="宋体"/>
                <w:color w:val="auto"/>
                <w:sz w:val="21"/>
                <w:szCs w:val="21"/>
                <w:highlight w:val="none"/>
              </w:rPr>
              <w:t>SICOS-AC，Zapi，</w:t>
            </w:r>
            <w:r>
              <w:rPr>
                <w:rFonts w:hint="eastAsia" w:ascii="宋体" w:hAnsi="宋体" w:eastAsia="宋体" w:cs="宋体"/>
                <w:color w:val="auto"/>
                <w:sz w:val="21"/>
                <w:szCs w:val="21"/>
                <w:highlight w:val="none"/>
                <w:lang w:val="en-US" w:eastAsia="zh-CN"/>
              </w:rPr>
              <w:t>CURTIS,</w:t>
            </w:r>
            <w:r>
              <w:rPr>
                <w:rFonts w:hint="eastAsia" w:ascii="宋体" w:hAnsi="宋体" w:eastAsia="宋体" w:cs="宋体"/>
                <w:color w:val="auto"/>
                <w:sz w:val="21"/>
                <w:szCs w:val="21"/>
                <w:highlight w:val="none"/>
              </w:rPr>
              <w:t>SME</w:t>
            </w:r>
            <w:r>
              <w:rPr>
                <w:rFonts w:hint="eastAsia" w:ascii="宋体" w:hAnsi="宋体" w:eastAsia="宋体" w:cs="宋体"/>
                <w:color w:val="auto"/>
                <w:szCs w:val="21"/>
                <w:highlight w:val="none"/>
              </w:rPr>
              <w:t>），未采用参考品牌得1分；</w:t>
            </w:r>
          </w:p>
          <w:p>
            <w:pPr>
              <w:pStyle w:val="22"/>
              <w:widowControl w:val="0"/>
              <w:numPr>
                <w:ilvl w:val="0"/>
                <w:numId w:val="19"/>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电池采用参考品牌或经评委评议与参考品牌质量档次相同的其他品牌者得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分（电池参考品牌GS、霍克、荷贝克），未采用参考品牌得1分。</w:t>
            </w:r>
          </w:p>
          <w:p>
            <w:pPr>
              <w:pStyle w:val="22"/>
              <w:widowControl w:val="0"/>
              <w:numPr>
                <w:ilvl w:val="0"/>
                <w:numId w:val="19"/>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电池容量大小进行排名，电池容量最大者，得2分，第二名得1分，其他名次不得分。</w:t>
            </w:r>
          </w:p>
          <w:p>
            <w:pPr>
              <w:numPr>
                <w:ilvl w:val="0"/>
                <w:numId w:val="19"/>
              </w:numPr>
              <w:spacing w:line="240" w:lineRule="atLeast"/>
              <w:ind w:left="636" w:leftChars="0" w:hanging="636" w:firstLineChars="0"/>
              <w:jc w:val="left"/>
              <w:rPr>
                <w:rFonts w:hint="eastAsia" w:ascii="宋体" w:hAnsi="宋体" w:eastAsia="宋体" w:cs="宋体"/>
                <w:color w:val="auto"/>
                <w:szCs w:val="21"/>
                <w:highlight w:val="none"/>
              </w:rPr>
            </w:pPr>
            <w:r>
              <w:rPr>
                <w:rFonts w:hint="eastAsia" w:ascii="宋体" w:hAnsi="宋体"/>
                <w:szCs w:val="21"/>
              </w:rPr>
              <w:t>按照所投产品的提升电机功率大于3</w:t>
            </w:r>
            <w:r>
              <w:rPr>
                <w:rFonts w:ascii="宋体" w:hAnsi="宋体"/>
                <w:szCs w:val="21"/>
              </w:rPr>
              <w:t>KW</w:t>
            </w:r>
            <w:r>
              <w:rPr>
                <w:rFonts w:hint="eastAsia" w:ascii="宋体" w:hAnsi="宋体"/>
                <w:szCs w:val="21"/>
              </w:rPr>
              <w:t>或以上，电机品牌参考</w:t>
            </w:r>
            <w:r>
              <w:rPr>
                <w:rFonts w:hint="eastAsia" w:ascii="宋体" w:hAnsi="宋体"/>
                <w:szCs w:val="21"/>
                <w:lang w:val="en-US" w:eastAsia="zh-CN"/>
              </w:rPr>
              <w:t>JULI、</w:t>
            </w:r>
            <w:r>
              <w:rPr>
                <w:rFonts w:hint="eastAsia" w:ascii="宋体" w:hAnsi="宋体" w:cs="宋体"/>
                <w:szCs w:val="21"/>
              </w:rPr>
              <w:t>H</w:t>
            </w:r>
            <w:r>
              <w:rPr>
                <w:rFonts w:ascii="宋体" w:hAnsi="宋体" w:cs="宋体"/>
                <w:szCs w:val="21"/>
              </w:rPr>
              <w:t>YDAC</w:t>
            </w:r>
            <w:r>
              <w:rPr>
                <w:rFonts w:hint="eastAsia" w:ascii="宋体" w:hAnsi="宋体" w:cs="宋体"/>
                <w:szCs w:val="21"/>
              </w:rPr>
              <w:t>、H</w:t>
            </w:r>
            <w:r>
              <w:rPr>
                <w:rFonts w:ascii="宋体" w:hAnsi="宋体" w:cs="宋体"/>
                <w:szCs w:val="21"/>
              </w:rPr>
              <w:t>PI</w:t>
            </w:r>
            <w:r>
              <w:rPr>
                <w:rFonts w:hint="eastAsia" w:ascii="宋体" w:hAnsi="宋体" w:cs="宋体"/>
                <w:szCs w:val="21"/>
              </w:rPr>
              <w:t>。两者都满足</w:t>
            </w:r>
            <w:r>
              <w:rPr>
                <w:rFonts w:hint="eastAsia" w:ascii="宋体" w:hAnsi="宋体"/>
                <w:szCs w:val="21"/>
              </w:rPr>
              <w:t>得5分，满足其一得2分，皆不满足不得分</w:t>
            </w:r>
            <w:r>
              <w:rPr>
                <w:rFonts w:hint="eastAsia" w:ascii="宋体" w:hAnsi="宋体"/>
                <w:szCs w:val="21"/>
                <w:lang w:eastAsia="zh-CN"/>
              </w:rPr>
              <w:t>。</w:t>
            </w:r>
          </w:p>
          <w:p>
            <w:pPr>
              <w:widowControl w:val="0"/>
              <w:numPr>
                <w:ilvl w:val="0"/>
                <w:numId w:val="19"/>
              </w:numPr>
              <w:snapToGrid w:val="0"/>
              <w:spacing w:line="240" w:lineRule="auto"/>
              <w:ind w:left="636" w:leftChars="0" w:hanging="636" w:firstLineChars="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按照所投车型最大载荷时门架最大提升高度排名，第一名得2分，第二名得1分，其他名次不得分。</w:t>
            </w:r>
          </w:p>
          <w:p>
            <w:pPr>
              <w:widowControl/>
              <w:spacing w:line="240" w:lineRule="auto"/>
              <w:ind w:right="30"/>
              <w:jc w:val="left"/>
              <w:rPr>
                <w:rFonts w:ascii="宋体" w:hAnsi="宋体" w:cs="宋体"/>
                <w:color w:val="auto"/>
                <w:kern w:val="0"/>
                <w:szCs w:val="21"/>
                <w:highlight w:val="none"/>
              </w:rPr>
            </w:pPr>
            <w:r>
              <w:rPr>
                <w:rFonts w:hint="eastAsia" w:ascii="宋体" w:hAnsi="宋体" w:eastAsia="宋体" w:cs="宋体"/>
                <w:b/>
                <w:color w:val="auto"/>
                <w:szCs w:val="21"/>
                <w:highlight w:val="none"/>
              </w:rPr>
              <w:t>评审依据：</w:t>
            </w:r>
            <w:r>
              <w:rPr>
                <w:rFonts w:hint="eastAsia" w:ascii="宋体" w:hAnsi="宋体" w:eastAsia="宋体" w:cs="宋体"/>
                <w:color w:val="auto"/>
                <w:szCs w:val="21"/>
                <w:highlight w:val="none"/>
              </w:rPr>
              <w:t>以投标产品参数及彩页资料参数为准，所有证明文件均须加盖投标单位公章。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8"/>
              </w:numPr>
              <w:spacing w:line="360" w:lineRule="auto"/>
              <w:ind w:left="630" w:leftChars="0" w:firstLineChars="0"/>
              <w:jc w:val="center"/>
              <w:rPr>
                <w:rFonts w:ascii="宋体" w:hAnsi="宋体" w:eastAsia="宋体"/>
                <w:color w:val="auto"/>
                <w:szCs w:val="21"/>
                <w:highlight w:val="none"/>
              </w:rPr>
            </w:pPr>
          </w:p>
        </w:tc>
        <w:tc>
          <w:tcPr>
            <w:tcW w:w="1230"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吨</w:t>
            </w:r>
            <w:r>
              <w:rPr>
                <w:rFonts w:hint="eastAsia" w:ascii="宋体" w:hAnsi="宋体" w:cs="宋体"/>
                <w:b w:val="0"/>
                <w:bCs w:val="0"/>
                <w:color w:val="auto"/>
                <w:sz w:val="21"/>
                <w:szCs w:val="21"/>
                <w:highlight w:val="none"/>
                <w:lang w:val="en-US" w:eastAsia="zh-CN"/>
              </w:rPr>
              <w:t>站驾式</w:t>
            </w:r>
            <w:r>
              <w:rPr>
                <w:rFonts w:hint="eastAsia" w:ascii="宋体" w:hAnsi="宋体" w:eastAsia="宋体" w:cs="宋体"/>
                <w:b w:val="0"/>
                <w:bCs w:val="0"/>
                <w:color w:val="auto"/>
                <w:sz w:val="21"/>
                <w:szCs w:val="21"/>
                <w:highlight w:val="none"/>
              </w:rPr>
              <w:t>电动</w:t>
            </w:r>
            <w:r>
              <w:rPr>
                <w:rFonts w:hint="eastAsia" w:ascii="宋体" w:hAnsi="宋体" w:cs="宋体"/>
                <w:b w:val="0"/>
                <w:bCs w:val="0"/>
                <w:color w:val="auto"/>
                <w:sz w:val="21"/>
                <w:szCs w:val="21"/>
                <w:highlight w:val="none"/>
                <w:lang w:val="en-US" w:eastAsia="zh-CN"/>
              </w:rPr>
              <w:t>托盘</w:t>
            </w:r>
            <w:r>
              <w:rPr>
                <w:rFonts w:hint="eastAsia" w:ascii="宋体" w:hAnsi="宋体" w:eastAsia="宋体" w:cs="宋体"/>
                <w:b w:val="0"/>
                <w:bCs w:val="0"/>
                <w:color w:val="auto"/>
                <w:sz w:val="21"/>
                <w:szCs w:val="21"/>
                <w:highlight w:val="none"/>
                <w:lang w:val="en-US" w:eastAsia="zh-CN"/>
              </w:rPr>
              <w:t>搬运车</w:t>
            </w:r>
            <w:r>
              <w:rPr>
                <w:rFonts w:hint="eastAsia" w:ascii="宋体" w:hAnsi="宋体"/>
                <w:b w:val="0"/>
                <w:bCs/>
                <w:color w:val="auto"/>
                <w:szCs w:val="21"/>
                <w:highlight w:val="none"/>
              </w:rPr>
              <w:t>技术标评审标</w:t>
            </w:r>
          </w:p>
        </w:tc>
        <w:tc>
          <w:tcPr>
            <w:tcW w:w="613"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2"/>
              <w:widowControl w:val="0"/>
              <w:numPr>
                <w:ilvl w:val="0"/>
                <w:numId w:val="20"/>
              </w:numPr>
              <w:snapToGrid w:val="0"/>
              <w:spacing w:line="240" w:lineRule="auto"/>
              <w:ind w:left="636" w:hanging="636"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电机采用参考品牌或经评委评议与参考品牌质量档次相同的其他品牌者得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分（电机参考品牌：Juli，SME，</w:t>
            </w:r>
            <w:r>
              <w:rPr>
                <w:rFonts w:hint="eastAsia" w:ascii="宋体" w:hAnsi="宋体" w:eastAsia="宋体" w:cs="宋体"/>
                <w:color w:val="auto"/>
                <w:sz w:val="21"/>
                <w:szCs w:val="21"/>
                <w:highlight w:val="none"/>
                <w:lang w:val="en-US" w:eastAsia="zh-CN"/>
              </w:rPr>
              <w:t>美国KDS，</w:t>
            </w:r>
            <w:r>
              <w:rPr>
                <w:rFonts w:hint="eastAsia" w:ascii="宋体" w:hAnsi="宋体" w:eastAsia="宋体" w:cs="宋体"/>
                <w:color w:val="000000"/>
                <w:szCs w:val="21"/>
                <w:highlight w:val="none"/>
              </w:rPr>
              <w:t>金泰德胜），未采用参考品牌得1分；</w:t>
            </w:r>
          </w:p>
          <w:p>
            <w:pPr>
              <w:pStyle w:val="22"/>
              <w:widowControl w:val="0"/>
              <w:numPr>
                <w:ilvl w:val="0"/>
                <w:numId w:val="20"/>
              </w:numPr>
              <w:snapToGrid w:val="0"/>
              <w:spacing w:line="240" w:lineRule="auto"/>
              <w:ind w:left="636" w:hanging="636"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主控制器采用参考品牌者或经评委评议与参考品牌质量档次相同的其他品牌得2分（控制器参考品牌：</w:t>
            </w:r>
            <w:r>
              <w:rPr>
                <w:rFonts w:hint="eastAsia" w:ascii="宋体" w:hAnsi="宋体" w:eastAsia="宋体" w:cs="宋体"/>
                <w:color w:val="auto"/>
                <w:sz w:val="21"/>
                <w:szCs w:val="21"/>
                <w:highlight w:val="none"/>
              </w:rPr>
              <w:t>SICOS-AC，Zapi，</w:t>
            </w:r>
            <w:r>
              <w:rPr>
                <w:rFonts w:hint="eastAsia" w:ascii="宋体" w:hAnsi="宋体" w:eastAsia="宋体" w:cs="宋体"/>
                <w:color w:val="auto"/>
                <w:sz w:val="21"/>
                <w:szCs w:val="21"/>
                <w:highlight w:val="none"/>
                <w:lang w:val="en-US" w:eastAsia="zh-CN"/>
              </w:rPr>
              <w:t>CURTIS,</w:t>
            </w:r>
            <w:r>
              <w:rPr>
                <w:rFonts w:hint="eastAsia" w:ascii="宋体" w:hAnsi="宋体" w:eastAsia="宋体" w:cs="宋体"/>
                <w:color w:val="auto"/>
                <w:sz w:val="21"/>
                <w:szCs w:val="21"/>
                <w:highlight w:val="none"/>
              </w:rPr>
              <w:t>SME</w:t>
            </w:r>
            <w:r>
              <w:rPr>
                <w:rFonts w:hint="eastAsia" w:ascii="宋体" w:hAnsi="宋体" w:eastAsia="宋体" w:cs="宋体"/>
                <w:color w:val="000000"/>
                <w:szCs w:val="21"/>
                <w:highlight w:val="none"/>
              </w:rPr>
              <w:t>），未采用参考品牌得1分；</w:t>
            </w:r>
          </w:p>
          <w:p>
            <w:pPr>
              <w:pStyle w:val="22"/>
              <w:widowControl w:val="0"/>
              <w:numPr>
                <w:ilvl w:val="0"/>
                <w:numId w:val="20"/>
              </w:numPr>
              <w:snapToGrid w:val="0"/>
              <w:spacing w:line="240" w:lineRule="auto"/>
              <w:ind w:left="636" w:hanging="636"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电池采用参考品牌或经评委评议与参考品牌质量档次相同的其他品牌者得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分（电池参考品牌GS、霍克、荷贝克），未采用参考品牌得1分。</w:t>
            </w:r>
          </w:p>
          <w:p>
            <w:pPr>
              <w:pStyle w:val="22"/>
              <w:widowControl w:val="0"/>
              <w:numPr>
                <w:ilvl w:val="0"/>
                <w:numId w:val="20"/>
              </w:numPr>
              <w:snapToGrid w:val="0"/>
              <w:spacing w:line="240" w:lineRule="auto"/>
              <w:ind w:left="636" w:hanging="636"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电池容量大小进行排名，电池容量最大者，得2分，第二名得1分，其他名次不得分。</w:t>
            </w:r>
          </w:p>
          <w:p>
            <w:pPr>
              <w:widowControl w:val="0"/>
              <w:numPr>
                <w:ilvl w:val="0"/>
                <w:numId w:val="20"/>
              </w:numPr>
              <w:spacing w:line="240" w:lineRule="auto"/>
              <w:ind w:left="636" w:leftChars="0" w:hanging="636" w:firstLineChars="0"/>
              <w:jc w:val="left"/>
              <w:rPr>
                <w:rFonts w:hint="eastAsia" w:ascii="宋体" w:hAnsi="宋体" w:eastAsia="宋体" w:cs="宋体"/>
                <w:szCs w:val="21"/>
                <w:highlight w:val="none"/>
              </w:rPr>
            </w:pPr>
            <w:r>
              <w:rPr>
                <w:rFonts w:hint="eastAsia" w:ascii="宋体" w:hAnsi="宋体" w:eastAsia="宋体" w:cs="宋体"/>
                <w:szCs w:val="21"/>
                <w:highlight w:val="none"/>
              </w:rPr>
              <w:t>按照所投产品的提升电机功率大小进行排名，第一名，得5分，排名第二的得3分，排名第三的得1分，其他名次不得分</w:t>
            </w:r>
          </w:p>
          <w:p>
            <w:pPr>
              <w:numPr>
                <w:ilvl w:val="0"/>
                <w:numId w:val="20"/>
              </w:numPr>
              <w:spacing w:line="240" w:lineRule="atLeast"/>
              <w:ind w:left="636" w:leftChars="0" w:hanging="636" w:firstLineChars="0"/>
              <w:jc w:val="left"/>
              <w:rPr>
                <w:rFonts w:hint="eastAsia" w:ascii="宋体" w:hAnsi="宋体" w:eastAsia="宋体" w:cs="宋体"/>
                <w:color w:val="auto"/>
                <w:szCs w:val="21"/>
                <w:highlight w:val="none"/>
              </w:rPr>
            </w:pPr>
            <w:r>
              <w:rPr>
                <w:rFonts w:hint="eastAsia" w:ascii="宋体" w:hAnsi="宋体"/>
                <w:szCs w:val="21"/>
              </w:rPr>
              <w:t>按照所投车型，</w:t>
            </w:r>
            <w:r>
              <w:rPr>
                <w:rFonts w:hint="eastAsia" w:ascii="宋体" w:hAnsi="宋体" w:cs="宋体"/>
                <w:szCs w:val="21"/>
              </w:rPr>
              <w:t>标配1</w:t>
            </w:r>
            <w:r>
              <w:rPr>
                <w:rFonts w:ascii="宋体" w:hAnsi="宋体" w:cs="宋体"/>
                <w:szCs w:val="21"/>
              </w:rPr>
              <w:t>.7KW</w:t>
            </w:r>
            <w:r>
              <w:rPr>
                <w:rFonts w:hint="eastAsia" w:ascii="宋体" w:hAnsi="宋体" w:cs="宋体"/>
                <w:szCs w:val="21"/>
              </w:rPr>
              <w:t>或以上的驱动交流电机，</w:t>
            </w:r>
            <w:r>
              <w:rPr>
                <w:rFonts w:hint="eastAsia" w:ascii="宋体" w:hAnsi="宋体"/>
                <w:szCs w:val="21"/>
              </w:rPr>
              <w:t>品牌参考</w:t>
            </w:r>
            <w:r>
              <w:rPr>
                <w:rFonts w:hint="eastAsia" w:ascii="宋体" w:hAnsi="宋体" w:cs="宋体"/>
                <w:szCs w:val="21"/>
              </w:rPr>
              <w:t>K</w:t>
            </w:r>
            <w:r>
              <w:rPr>
                <w:rFonts w:ascii="宋体" w:hAnsi="宋体" w:cs="宋体"/>
                <w:szCs w:val="21"/>
              </w:rPr>
              <w:t>DS</w:t>
            </w:r>
            <w:r>
              <w:rPr>
                <w:rFonts w:hint="eastAsia" w:ascii="宋体" w:hAnsi="宋体" w:cs="宋体"/>
                <w:szCs w:val="21"/>
              </w:rPr>
              <w:t>、</w:t>
            </w:r>
            <w:r>
              <w:rPr>
                <w:rFonts w:ascii="宋体" w:hAnsi="宋体" w:cs="宋体"/>
                <w:szCs w:val="21"/>
              </w:rPr>
              <w:t>JULI</w:t>
            </w:r>
            <w:r>
              <w:rPr>
                <w:rFonts w:hint="eastAsia" w:ascii="宋体" w:hAnsi="宋体" w:cs="宋体"/>
                <w:color w:val="auto"/>
                <w:szCs w:val="21"/>
                <w:lang w:eastAsia="zh-CN"/>
              </w:rPr>
              <w:t>、</w:t>
            </w:r>
            <w:r>
              <w:rPr>
                <w:rFonts w:hint="eastAsia" w:ascii="宋体" w:hAnsi="宋体" w:cs="宋体"/>
                <w:color w:val="auto"/>
                <w:szCs w:val="21"/>
                <w:lang w:val="en-US" w:eastAsia="zh-CN"/>
              </w:rPr>
              <w:t>AMER</w:t>
            </w:r>
            <w:r>
              <w:rPr>
                <w:rFonts w:hint="eastAsia" w:ascii="宋体" w:hAnsi="宋体" w:cs="宋体"/>
                <w:szCs w:val="21"/>
              </w:rPr>
              <w:t>。</w:t>
            </w:r>
            <w:r>
              <w:rPr>
                <w:rFonts w:hint="eastAsia" w:ascii="宋体" w:hAnsi="宋体"/>
                <w:szCs w:val="21"/>
              </w:rPr>
              <w:t>标配知名品牌齿轮箱，品牌参考Z</w:t>
            </w:r>
            <w:r>
              <w:rPr>
                <w:rFonts w:ascii="宋体" w:hAnsi="宋体"/>
                <w:szCs w:val="21"/>
              </w:rPr>
              <w:t>F</w:t>
            </w:r>
            <w:r>
              <w:rPr>
                <w:rFonts w:hint="eastAsia" w:ascii="宋体" w:hAnsi="宋体" w:eastAsia="宋体" w:cs="宋体"/>
                <w:color w:val="000000"/>
                <w:szCs w:val="21"/>
                <w:highlight w:val="none"/>
              </w:rPr>
              <w:t>、</w:t>
            </w:r>
            <w:r>
              <w:rPr>
                <w:rFonts w:hint="eastAsia" w:ascii="宋体" w:hAnsi="宋体"/>
                <w:szCs w:val="21"/>
              </w:rPr>
              <w:t>采埃孚。两者要求达到者得3分，满足其一得1分，皆不满足不得分。</w:t>
            </w:r>
          </w:p>
          <w:p>
            <w:pPr>
              <w:widowControl w:val="0"/>
              <w:numPr>
                <w:ilvl w:val="0"/>
                <w:numId w:val="20"/>
              </w:numPr>
              <w:spacing w:line="240" w:lineRule="atLeast"/>
              <w:ind w:left="636" w:hanging="636" w:firstLineChars="0"/>
              <w:jc w:val="left"/>
              <w:rPr>
                <w:rFonts w:ascii="宋体" w:hAnsi="宋体"/>
                <w:szCs w:val="21"/>
              </w:rPr>
            </w:pPr>
            <w:r>
              <w:rPr>
                <w:rFonts w:hint="eastAsia" w:ascii="宋体" w:hAnsi="宋体"/>
                <w:szCs w:val="21"/>
              </w:rPr>
              <w:t>按照所投车型</w:t>
            </w:r>
            <w:r>
              <w:rPr>
                <w:rFonts w:hint="eastAsia" w:ascii="宋体" w:hAnsi="宋体"/>
                <w:szCs w:val="21"/>
                <w:lang w:eastAsia="zh-CN"/>
              </w:rPr>
              <w:t>，</w:t>
            </w:r>
            <w:r>
              <w:rPr>
                <w:rFonts w:hint="eastAsia" w:ascii="宋体" w:hAnsi="宋体"/>
                <w:szCs w:val="21"/>
                <w:lang w:val="en-US" w:eastAsia="zh-CN"/>
              </w:rPr>
              <w:t>驾驶人员脚踏板周围设置半包围式防护装置</w:t>
            </w:r>
            <w:r>
              <w:rPr>
                <w:rFonts w:hint="eastAsia" w:ascii="宋体" w:hAnsi="宋体"/>
                <w:szCs w:val="21"/>
              </w:rPr>
              <w:t>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val="en-US" w:eastAsia="zh-CN"/>
              </w:rPr>
              <w:t>没有</w:t>
            </w:r>
            <w:r>
              <w:rPr>
                <w:rFonts w:hint="eastAsia" w:ascii="宋体" w:hAnsi="宋体"/>
                <w:szCs w:val="21"/>
              </w:rPr>
              <w:t>不得分。</w:t>
            </w:r>
          </w:p>
          <w:p>
            <w:pPr>
              <w:widowControl w:val="0"/>
              <w:spacing w:line="240" w:lineRule="auto"/>
              <w:ind w:firstLine="0" w:firstLineChars="0"/>
              <w:jc w:val="left"/>
              <w:rPr>
                <w:rFonts w:hint="eastAsia" w:ascii="宋体" w:hAnsi="宋体" w:eastAsia="宋体" w:cs="宋体"/>
                <w:color w:val="auto"/>
                <w:szCs w:val="21"/>
                <w:highlight w:val="none"/>
                <w:lang w:eastAsia="zh-CN"/>
              </w:rPr>
            </w:pPr>
          </w:p>
          <w:p>
            <w:pPr>
              <w:widowControl/>
              <w:spacing w:line="240" w:lineRule="auto"/>
              <w:ind w:right="30"/>
              <w:jc w:val="left"/>
              <w:rPr>
                <w:rFonts w:ascii="宋体" w:hAnsi="宋体" w:cs="宋体"/>
                <w:color w:val="FF0000"/>
                <w:kern w:val="0"/>
                <w:szCs w:val="21"/>
                <w:highlight w:val="none"/>
              </w:rPr>
            </w:pPr>
            <w:r>
              <w:rPr>
                <w:rFonts w:hint="eastAsia" w:ascii="宋体" w:hAnsi="宋体" w:eastAsia="宋体" w:cs="宋体"/>
                <w:b/>
                <w:color w:val="auto"/>
                <w:szCs w:val="21"/>
                <w:highlight w:val="none"/>
              </w:rPr>
              <w:t>评审依据：</w:t>
            </w:r>
            <w:r>
              <w:rPr>
                <w:rFonts w:hint="eastAsia" w:ascii="宋体" w:hAnsi="宋体" w:eastAsia="宋体" w:cs="宋体"/>
                <w:color w:val="auto"/>
                <w:szCs w:val="21"/>
                <w:highlight w:val="none"/>
              </w:rPr>
              <w:t>以投标产品参数及彩页资料参数为准，所有证明文件均须加盖投标单位公章。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restart"/>
            <w:tcBorders>
              <w:tl2br w:val="nil"/>
              <w:tr2bl w:val="nil"/>
            </w:tcBorders>
            <w:vAlign w:val="center"/>
          </w:tcPr>
          <w:p>
            <w:pPr>
              <w:pStyle w:val="22"/>
              <w:numPr>
                <w:ilvl w:val="0"/>
                <w:numId w:val="18"/>
              </w:numPr>
              <w:spacing w:line="360" w:lineRule="auto"/>
              <w:ind w:left="630" w:leftChars="0" w:firstLineChars="0"/>
              <w:jc w:val="center"/>
              <w:rPr>
                <w:rFonts w:ascii="宋体" w:hAnsi="宋体" w:eastAsia="宋体"/>
                <w:color w:val="auto"/>
                <w:szCs w:val="21"/>
                <w:highlight w:val="none"/>
              </w:rPr>
            </w:pPr>
          </w:p>
        </w:tc>
        <w:tc>
          <w:tcPr>
            <w:tcW w:w="1230" w:type="dxa"/>
            <w:vMerge w:val="restart"/>
            <w:tcBorders>
              <w:tl2br w:val="nil"/>
              <w:tr2bl w:val="nil"/>
            </w:tcBorders>
            <w:tcMar>
              <w:top w:w="15" w:type="dxa"/>
              <w:left w:w="15" w:type="dxa"/>
              <w:bottom w:w="15" w:type="dxa"/>
              <w:right w:w="15" w:type="dxa"/>
            </w:tcMar>
            <w:vAlign w:val="center"/>
          </w:tcPr>
          <w:p>
            <w:pPr>
              <w:spacing w:line="320" w:lineRule="exact"/>
              <w:jc w:val="both"/>
              <w:rPr>
                <w:color w:val="auto"/>
                <w:highlight w:val="none"/>
              </w:rPr>
            </w:pPr>
            <w:r>
              <w:rPr>
                <w:rFonts w:hint="eastAsia" w:ascii="宋体" w:hAnsi="宋体"/>
                <w:b w:val="0"/>
                <w:bCs w:val="0"/>
                <w:color w:val="auto"/>
                <w:sz w:val="21"/>
                <w:szCs w:val="21"/>
                <w:highlight w:val="none"/>
                <w:lang w:val="en-US" w:eastAsia="zh-CN"/>
              </w:rPr>
              <w:t>1.6吨站板式</w:t>
            </w:r>
            <w:r>
              <w:rPr>
                <w:rFonts w:hint="eastAsia" w:ascii="宋体" w:hAnsi="宋体"/>
                <w:b w:val="0"/>
                <w:bCs w:val="0"/>
                <w:color w:val="auto"/>
                <w:sz w:val="21"/>
                <w:szCs w:val="21"/>
                <w:highlight w:val="none"/>
              </w:rPr>
              <w:t>电动</w:t>
            </w:r>
            <w:r>
              <w:rPr>
                <w:rFonts w:hint="eastAsia" w:ascii="宋体" w:hAnsi="宋体"/>
                <w:b w:val="0"/>
                <w:bCs w:val="0"/>
                <w:color w:val="auto"/>
                <w:sz w:val="21"/>
                <w:szCs w:val="21"/>
                <w:highlight w:val="none"/>
                <w:lang w:val="en-US" w:eastAsia="zh-CN"/>
              </w:rPr>
              <w:t>托盘堆垛车</w:t>
            </w:r>
            <w:r>
              <w:rPr>
                <w:rFonts w:hint="eastAsia" w:ascii="宋体" w:hAnsi="宋体"/>
                <w:b w:val="0"/>
                <w:bCs w:val="0"/>
                <w:color w:val="auto"/>
                <w:szCs w:val="21"/>
                <w:highlight w:val="none"/>
              </w:rPr>
              <w:t>和</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吨</w:t>
            </w:r>
            <w:r>
              <w:rPr>
                <w:rFonts w:hint="eastAsia" w:ascii="宋体" w:hAnsi="宋体" w:cs="宋体"/>
                <w:b w:val="0"/>
                <w:bCs w:val="0"/>
                <w:color w:val="auto"/>
                <w:sz w:val="21"/>
                <w:szCs w:val="21"/>
                <w:highlight w:val="none"/>
                <w:lang w:val="en-US" w:eastAsia="zh-CN"/>
              </w:rPr>
              <w:t>站驾式</w:t>
            </w:r>
            <w:r>
              <w:rPr>
                <w:rFonts w:hint="eastAsia" w:ascii="宋体" w:hAnsi="宋体" w:eastAsia="宋体" w:cs="宋体"/>
                <w:b w:val="0"/>
                <w:bCs w:val="0"/>
                <w:color w:val="auto"/>
                <w:sz w:val="21"/>
                <w:szCs w:val="21"/>
                <w:highlight w:val="none"/>
              </w:rPr>
              <w:t>电动</w:t>
            </w:r>
            <w:r>
              <w:rPr>
                <w:rFonts w:hint="eastAsia" w:ascii="宋体" w:hAnsi="宋体" w:cs="宋体"/>
                <w:b w:val="0"/>
                <w:bCs w:val="0"/>
                <w:color w:val="auto"/>
                <w:sz w:val="21"/>
                <w:szCs w:val="21"/>
                <w:highlight w:val="none"/>
                <w:lang w:val="en-US" w:eastAsia="zh-CN"/>
              </w:rPr>
              <w:t>托盘</w:t>
            </w:r>
            <w:r>
              <w:rPr>
                <w:rFonts w:hint="eastAsia" w:ascii="宋体" w:hAnsi="宋体" w:eastAsia="宋体" w:cs="宋体"/>
                <w:b w:val="0"/>
                <w:bCs w:val="0"/>
                <w:color w:val="auto"/>
                <w:sz w:val="21"/>
                <w:szCs w:val="21"/>
                <w:highlight w:val="none"/>
                <w:lang w:val="en-US" w:eastAsia="zh-CN"/>
              </w:rPr>
              <w:t>搬运车</w:t>
            </w:r>
            <w:r>
              <w:rPr>
                <w:rFonts w:hint="eastAsia" w:ascii="宋体" w:hAnsi="宋体"/>
                <w:b w:val="0"/>
                <w:bCs w:val="0"/>
                <w:color w:val="auto"/>
                <w:szCs w:val="21"/>
                <w:highlight w:val="none"/>
              </w:rPr>
              <w:t>共性技术标评审标准</w:t>
            </w:r>
          </w:p>
        </w:tc>
        <w:tc>
          <w:tcPr>
            <w:tcW w:w="613"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根据所投产品的安全防护功能进行综合评议，包括但不仅限于制动系统制动方式、防水防尘等级、电池设计安装位置、座椅安全开关、转弯自动减速功能、整车线束设计以及其他安全防护功能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 电子助力转向</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等方面。优得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分，良得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分，一般得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分，差则不得分。</w:t>
            </w:r>
          </w:p>
          <w:p>
            <w:pPr>
              <w:widowControl/>
              <w:spacing w:line="240" w:lineRule="auto"/>
              <w:ind w:right="30"/>
              <w:jc w:val="left"/>
              <w:rPr>
                <w:rFonts w:hint="eastAsia" w:ascii="宋体" w:hAnsi="宋体" w:eastAsia="宋体" w:cs="宋体"/>
                <w:color w:val="FF0000"/>
                <w:kern w:val="0"/>
                <w:szCs w:val="21"/>
                <w:highlight w:val="none"/>
              </w:rPr>
            </w:pPr>
            <w:r>
              <w:rPr>
                <w:rFonts w:hint="eastAsia" w:ascii="宋体" w:hAnsi="宋体" w:eastAsia="宋体" w:cs="宋体"/>
                <w:b/>
                <w:color w:val="auto"/>
                <w:szCs w:val="21"/>
                <w:highlight w:val="none"/>
              </w:rPr>
              <w:t>评审依据：</w:t>
            </w:r>
            <w:r>
              <w:rPr>
                <w:rFonts w:hint="eastAsia" w:ascii="宋体" w:hAnsi="宋体" w:eastAsia="宋体" w:cs="宋体"/>
                <w:color w:val="auto"/>
                <w:szCs w:val="21"/>
                <w:highlight w:val="none"/>
              </w:rPr>
              <w:t>以彩页资料或其他说明资料为准</w:t>
            </w:r>
            <w:r>
              <w:rPr>
                <w:rFonts w:hint="eastAsia" w:ascii="宋体" w:hAnsi="宋体" w:eastAsia="宋体" w:cs="宋体"/>
                <w:color w:val="auto"/>
                <w:highlight w:val="none"/>
              </w:rPr>
              <w:t>，须加盖投标单位公章。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continue"/>
            <w:tcBorders>
              <w:tl2br w:val="nil"/>
              <w:tr2bl w:val="nil"/>
            </w:tcBorders>
            <w:vAlign w:val="center"/>
          </w:tcPr>
          <w:p>
            <w:pPr>
              <w:pStyle w:val="22"/>
              <w:spacing w:line="360" w:lineRule="auto"/>
              <w:ind w:left="630" w:leftChars="0" w:firstLineChars="0"/>
              <w:jc w:val="center"/>
              <w:rPr>
                <w:rFonts w:ascii="宋体" w:hAnsi="宋体" w:eastAsia="宋体"/>
                <w:szCs w:val="21"/>
              </w:rPr>
            </w:pPr>
          </w:p>
        </w:tc>
        <w:tc>
          <w:tcPr>
            <w:tcW w:w="1230" w:type="dxa"/>
            <w:vMerge w:val="continue"/>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p>
        </w:tc>
        <w:tc>
          <w:tcPr>
            <w:tcW w:w="613"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2"/>
              <w:widowControl w:val="0"/>
              <w:numPr>
                <w:ilvl w:val="0"/>
                <w:numId w:val="21"/>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质保期至少1年；质保期在1年的基础上每增加1年再加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分，本项最高得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pStyle w:val="22"/>
              <w:widowControl w:val="0"/>
              <w:numPr>
                <w:ilvl w:val="0"/>
                <w:numId w:val="21"/>
              </w:numPr>
              <w:snapToGrid w:val="0"/>
              <w:spacing w:line="240" w:lineRule="auto"/>
              <w:ind w:left="636" w:hanging="636"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highlight w:val="none"/>
              </w:rPr>
              <w:t>特种设备维修资质证</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根据售后服务方案的综合评议，售后服务方案包含但不仅限于售后服务或维修网点具体位置、售后服务或维保人员资格水平、响应时间、应急方案、维修成本、备品备件库存等方面。</w:t>
            </w: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分，良得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分，一般得1分，差则不得分。</w:t>
            </w:r>
          </w:p>
          <w:p>
            <w:pPr>
              <w:widowControl w:val="0"/>
              <w:spacing w:line="240" w:lineRule="atLeast"/>
              <w:ind w:left="0" w:firstLine="0" w:firstLineChars="0"/>
              <w:jc w:val="left"/>
              <w:rPr>
                <w:rFonts w:hint="eastAsia" w:ascii="宋体" w:hAnsi="宋体" w:eastAsia="宋体" w:cs="宋体"/>
                <w:color w:val="auto"/>
                <w:highlight w:val="none"/>
              </w:rPr>
            </w:pPr>
          </w:p>
          <w:p>
            <w:pPr>
              <w:widowControl/>
              <w:spacing w:line="240" w:lineRule="auto"/>
              <w:ind w:right="30"/>
              <w:jc w:val="left"/>
              <w:rPr>
                <w:rFonts w:hint="eastAsia" w:ascii="宋体" w:hAnsi="宋体" w:eastAsia="宋体" w:cs="宋体"/>
                <w:color w:val="FF0000"/>
                <w:kern w:val="0"/>
                <w:szCs w:val="21"/>
                <w:highlight w:val="none"/>
              </w:rPr>
            </w:pPr>
            <w:r>
              <w:rPr>
                <w:rFonts w:hint="eastAsia" w:ascii="宋体" w:hAnsi="宋体" w:eastAsia="宋体" w:cs="宋体"/>
                <w:b/>
                <w:color w:val="auto"/>
                <w:szCs w:val="21"/>
                <w:highlight w:val="none"/>
              </w:rPr>
              <w:t>评审依据：</w:t>
            </w:r>
            <w:r>
              <w:rPr>
                <w:rFonts w:hint="eastAsia" w:ascii="宋体" w:hAnsi="宋体" w:eastAsia="宋体" w:cs="宋体"/>
                <w:color w:val="auto"/>
                <w:highlight w:val="none"/>
              </w:rPr>
              <w:t>以投标人提供的售后服务方案为准综合评判打分。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rFonts w:hint="eastAsia"/>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230"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417"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230" w:type="dxa"/>
            <w:vMerge w:val="continue"/>
            <w:tcBorders>
              <w:tl2br w:val="nil"/>
              <w:tr2bl w:val="nil"/>
            </w:tcBorders>
            <w:vAlign w:val="center"/>
          </w:tcPr>
          <w:p>
            <w:pPr>
              <w:spacing w:line="360" w:lineRule="auto"/>
              <w:jc w:val="center"/>
              <w:rPr>
                <w:rFonts w:ascii="宋体" w:hAnsi="宋体"/>
                <w:szCs w:val="21"/>
              </w:rPr>
            </w:pPr>
          </w:p>
        </w:tc>
        <w:tc>
          <w:tcPr>
            <w:tcW w:w="7417"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230" w:type="dxa"/>
            <w:vMerge w:val="continue"/>
            <w:tcBorders>
              <w:tl2br w:val="nil"/>
              <w:tr2bl w:val="nil"/>
            </w:tcBorders>
            <w:vAlign w:val="center"/>
          </w:tcPr>
          <w:p>
            <w:pPr>
              <w:spacing w:line="360" w:lineRule="auto"/>
              <w:jc w:val="center"/>
              <w:rPr>
                <w:rFonts w:ascii="宋体" w:hAnsi="宋体"/>
                <w:szCs w:val="21"/>
              </w:rPr>
            </w:pPr>
          </w:p>
        </w:tc>
        <w:tc>
          <w:tcPr>
            <w:tcW w:w="7417"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230"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467"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230" w:type="dxa"/>
            <w:vMerge w:val="continue"/>
            <w:tcBorders>
              <w:tl2br w:val="nil"/>
              <w:tr2bl w:val="nil"/>
            </w:tcBorders>
            <w:vAlign w:val="center"/>
          </w:tcPr>
          <w:p>
            <w:pPr>
              <w:spacing w:line="360" w:lineRule="auto"/>
              <w:jc w:val="center"/>
              <w:rPr>
                <w:rFonts w:ascii="宋体" w:hAnsi="宋体"/>
                <w:szCs w:val="21"/>
              </w:rPr>
            </w:pPr>
          </w:p>
        </w:tc>
        <w:tc>
          <w:tcPr>
            <w:tcW w:w="613" w:type="dxa"/>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□固定乘积法</w:t>
            </w:r>
          </w:p>
        </w:tc>
        <w:tc>
          <w:tcPr>
            <w:tcW w:w="6804" w:type="dxa"/>
            <w:gridSpan w:val="2"/>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22"/>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rPr>
              <w:t>××</w:t>
            </w:r>
            <w:r>
              <w:rPr>
                <w:rStyle w:val="19"/>
                <w:rFonts w:hint="eastAsia" w:ascii="宋体" w:hAnsi="宋体"/>
                <w:highlight w:val="none"/>
              </w:rPr>
              <w:t xml:space="preserve"> （价格评价分项满分值），Z为本次招标基准价；</w:t>
            </w:r>
          </w:p>
          <w:p>
            <w:pPr>
              <w:numPr>
                <w:ilvl w:val="0"/>
                <w:numId w:val="22"/>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A为价格调整系数，当投标报价低于本次招标最佳报价（即基准价）时，A=0.5；当投标报价高于次招标</w:t>
            </w:r>
            <w:r>
              <w:rPr>
                <w:rStyle w:val="19"/>
                <w:rFonts w:hint="eastAsia" w:ascii="宋体" w:hAnsi="宋体"/>
                <w:highlight w:val="none"/>
                <w:lang w:val="en-US" w:eastAsia="zh-CN"/>
              </w:rPr>
              <w:t>基准</w:t>
            </w:r>
            <w:r>
              <w:rPr>
                <w:rStyle w:val="19"/>
                <w:rFonts w:hint="eastAsia" w:ascii="宋体" w:hAnsi="宋体"/>
                <w:highlight w:val="none"/>
              </w:rPr>
              <w:t>价时，取A=1；</w:t>
            </w:r>
          </w:p>
          <w:p>
            <w:pPr>
              <w:numPr>
                <w:ilvl w:val="0"/>
                <w:numId w:val="22"/>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230" w:type="dxa"/>
            <w:vMerge w:val="continue"/>
            <w:tcBorders>
              <w:tl2br w:val="nil"/>
              <w:tr2bl w:val="nil"/>
            </w:tcBorders>
            <w:vAlign w:val="center"/>
          </w:tcPr>
          <w:p>
            <w:pPr>
              <w:spacing w:line="360" w:lineRule="auto"/>
              <w:jc w:val="center"/>
              <w:rPr>
                <w:rFonts w:ascii="宋体" w:hAnsi="宋体"/>
                <w:szCs w:val="21"/>
              </w:rPr>
            </w:pPr>
          </w:p>
        </w:tc>
        <w:tc>
          <w:tcPr>
            <w:tcW w:w="613" w:type="dxa"/>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804" w:type="dxa"/>
            <w:gridSpan w:val="2"/>
            <w:tcBorders>
              <w:tl2br w:val="nil"/>
              <w:tr2bl w:val="nil"/>
            </w:tcBorders>
            <w:vAlign w:val="center"/>
          </w:tcPr>
          <w:p>
            <w:pPr>
              <w:widowControl/>
              <w:ind w:right="30"/>
              <w:jc w:val="left"/>
              <w:rPr>
                <w:color w:val="auto"/>
                <w:highlight w:val="none"/>
              </w:rPr>
            </w:pPr>
            <w:r>
              <w:rPr>
                <w:rFonts w:hint="eastAsia"/>
                <w:color w:val="auto"/>
                <w:highlight w:val="none"/>
              </w:rPr>
              <w:t>价格得分=（1-｜投标报价-基准价｜</w:t>
            </w:r>
            <w:r>
              <w:rPr>
                <w:color w:val="auto"/>
                <w:highlight w:val="none"/>
              </w:rPr>
              <w:t>÷</w:t>
            </w:r>
            <w:r>
              <w:rPr>
                <w:rFonts w:hint="eastAsia"/>
                <w:color w:val="auto"/>
                <w:highlight w:val="none"/>
              </w:rPr>
              <w:t>基准价）</w:t>
            </w:r>
            <w:r>
              <w:rPr>
                <w:color w:val="auto"/>
                <w:highlight w:val="none"/>
              </w:rPr>
              <w:t>×</w:t>
            </w:r>
            <w:r>
              <w:rPr>
                <w:rFonts w:hint="eastAsia"/>
                <w:color w:val="auto"/>
                <w:highlight w:val="none"/>
              </w:rPr>
              <w:t>价格权重分</w:t>
            </w:r>
          </w:p>
          <w:p>
            <w:pPr>
              <w:spacing w:line="240" w:lineRule="atLeast"/>
              <w:jc w:val="center"/>
              <w:rPr>
                <w:rFonts w:ascii="宋体" w:cs="宋体"/>
                <w:kern w:val="0"/>
                <w:szCs w:val="21"/>
                <w:highlight w:val="none"/>
              </w:rPr>
            </w:pPr>
            <w:r>
              <w:rPr>
                <w:rFonts w:hint="eastAsia"/>
                <w:color w:val="auto"/>
                <w:highlight w:val="none"/>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3"/>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3"/>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4" w:name="_Toc106791266"/>
      <w:r>
        <w:rPr>
          <w:rFonts w:hint="eastAsia" w:ascii="宋体" w:hAnsi="宋体"/>
          <w:b/>
          <w:sz w:val="32"/>
          <w:szCs w:val="32"/>
        </w:rPr>
        <w:t>第四部分：合同条款及格式</w:t>
      </w:r>
      <w:bookmarkEnd w:id="54"/>
    </w:p>
    <w:p>
      <w:pPr>
        <w:jc w:val="center"/>
        <w:rPr>
          <w:rFonts w:ascii="方正小标宋简体" w:hAnsi="方正小标宋简体" w:eastAsia="方正小标宋简体" w:cs="方正小标宋简体"/>
          <w:bCs/>
          <w:kern w:val="0"/>
          <w:sz w:val="28"/>
          <w:szCs w:val="28"/>
          <w:highlight w:val="none"/>
        </w:rPr>
      </w:pPr>
    </w:p>
    <w:p>
      <w:pPr>
        <w:jc w:val="center"/>
        <w:rPr>
          <w:rFonts w:ascii="方正小标宋简体" w:hAnsi="方正小标宋简体" w:eastAsia="方正小标宋简体" w:cs="方正小标宋简体"/>
          <w:bCs/>
          <w:kern w:val="0"/>
          <w:sz w:val="28"/>
          <w:szCs w:val="28"/>
          <w:highlight w:val="none"/>
        </w:rPr>
      </w:pPr>
      <w:r>
        <w:rPr>
          <w:rFonts w:hint="eastAsia" w:ascii="宋体" w:hAnsi="宋体"/>
          <w:color w:val="FF0000"/>
          <w:szCs w:val="21"/>
          <w:highlight w:val="none"/>
        </w:rPr>
        <w:t>××××××××××××××××××××××××××××××</w:t>
      </w:r>
      <w:r>
        <w:rPr>
          <w:rFonts w:hint="eastAsia" w:ascii="方正小标宋简体" w:hAnsi="方正小标宋简体" w:eastAsia="方正小标宋简体" w:cs="方正小标宋简体"/>
          <w:bCs/>
          <w:kern w:val="0"/>
          <w:sz w:val="28"/>
          <w:szCs w:val="28"/>
          <w:highlight w:val="none"/>
        </w:rPr>
        <w:t>合同</w:t>
      </w:r>
    </w:p>
    <w:p>
      <w:pPr>
        <w:jc w:val="center"/>
        <w:rPr>
          <w:rFonts w:ascii="宋体" w:hAnsi="宋体"/>
          <w:szCs w:val="21"/>
          <w:highlight w:val="none"/>
        </w:rPr>
      </w:pPr>
      <w:r>
        <w:rPr>
          <w:rFonts w:hint="eastAsia" w:ascii="方正小标宋简体" w:hAnsi="方正小标宋简体" w:eastAsia="方正小标宋简体" w:cs="方正小标宋简体"/>
          <w:bCs/>
          <w:kern w:val="0"/>
          <w:sz w:val="28"/>
          <w:szCs w:val="28"/>
          <w:highlight w:val="none"/>
        </w:rPr>
        <w:t>（仅供参考）</w:t>
      </w:r>
    </w:p>
    <w:p>
      <w:pPr>
        <w:ind w:firstLine="420" w:firstLineChars="200"/>
        <w:jc w:val="left"/>
        <w:rPr>
          <w:rFonts w:ascii="宋体" w:hAnsi="宋体"/>
          <w:szCs w:val="21"/>
          <w:highlight w:val="none"/>
        </w:rPr>
      </w:pPr>
    </w:p>
    <w:p>
      <w:pPr>
        <w:spacing w:line="440" w:lineRule="exact"/>
        <w:rPr>
          <w:rFonts w:ascii="宋体" w:hAnsi="宋体"/>
          <w:szCs w:val="21"/>
          <w:highlight w:val="none"/>
        </w:rPr>
      </w:pPr>
    </w:p>
    <w:p>
      <w:pPr>
        <w:widowControl/>
        <w:snapToGrid w:val="0"/>
        <w:spacing w:line="520" w:lineRule="exact"/>
        <w:jc w:val="left"/>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甲方：深圳会展中心管理有限责任公司（简称“会展中心”）</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法定代表人：</w:t>
      </w:r>
      <w:r>
        <w:rPr>
          <w:rFonts w:hint="eastAsia" w:ascii="仿宋" w:hAnsi="仿宋" w:eastAsia="仿宋" w:cs="宋体"/>
          <w:kern w:val="0"/>
          <w:sz w:val="28"/>
          <w:szCs w:val="28"/>
          <w:highlight w:val="none"/>
          <w:lang w:val="en-US" w:eastAsia="zh-CN"/>
        </w:rPr>
        <w:t>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地址：深圳市福田区福华三路深圳会展中心</w:t>
      </w:r>
    </w:p>
    <w:p>
      <w:pPr>
        <w:widowControl/>
        <w:snapToGrid w:val="0"/>
        <w:spacing w:line="360" w:lineRule="auto"/>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rPr>
        <w:t>联系人：</w:t>
      </w:r>
      <w:r>
        <w:rPr>
          <w:rFonts w:hint="eastAsia" w:ascii="仿宋" w:hAnsi="仿宋" w:eastAsia="仿宋" w:cs="宋体"/>
          <w:kern w:val="0"/>
          <w:sz w:val="28"/>
          <w:szCs w:val="28"/>
          <w:highlight w:val="none"/>
          <w:lang w:val="en-US" w:eastAsia="zh-CN"/>
        </w:rPr>
        <w:t>XXX</w:t>
      </w:r>
    </w:p>
    <w:p>
      <w:pPr>
        <w:autoSpaceDE w:val="0"/>
        <w:autoSpaceDN w:val="0"/>
        <w:adjustRightInd w:val="0"/>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电话：0755-8284</w:t>
      </w:r>
      <w:r>
        <w:rPr>
          <w:rFonts w:hint="eastAsia" w:ascii="仿宋" w:hAnsi="仿宋" w:eastAsia="仿宋" w:cs="宋体"/>
          <w:kern w:val="0"/>
          <w:sz w:val="28"/>
          <w:szCs w:val="28"/>
          <w:highlight w:val="none"/>
          <w:lang w:val="en-US" w:eastAsia="zh-CN"/>
        </w:rPr>
        <w:t>XXXX</w:t>
      </w:r>
      <w:r>
        <w:rPr>
          <w:rFonts w:ascii="仿宋" w:hAnsi="仿宋" w:eastAsia="仿宋" w:cs="宋体"/>
          <w:kern w:val="0"/>
          <w:sz w:val="28"/>
          <w:szCs w:val="28"/>
          <w:highlight w:val="none"/>
        </w:rPr>
        <w:t xml:space="preserve"> </w:t>
      </w:r>
    </w:p>
    <w:p>
      <w:pPr>
        <w:widowControl/>
        <w:snapToGrid w:val="0"/>
        <w:spacing w:line="360" w:lineRule="auto"/>
        <w:ind w:firstLine="560"/>
        <w:rPr>
          <w:rFonts w:ascii="仿宋" w:hAnsi="仿宋" w:eastAsia="仿宋" w:cs="宋体"/>
          <w:kern w:val="0"/>
          <w:sz w:val="28"/>
          <w:szCs w:val="28"/>
          <w:highlight w:val="none"/>
        </w:rPr>
      </w:pPr>
    </w:p>
    <w:p>
      <w:pPr>
        <w:widowControl/>
        <w:snapToGrid w:val="0"/>
        <w:spacing w:line="360" w:lineRule="auto"/>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乙方：</w:t>
      </w:r>
      <w:r>
        <w:rPr>
          <w:rFonts w:hint="eastAsia" w:ascii="仿宋" w:hAnsi="仿宋" w:eastAsia="仿宋" w:cs="宋体"/>
          <w:b/>
          <w:kern w:val="0"/>
          <w:sz w:val="28"/>
          <w:szCs w:val="28"/>
          <w:highlight w:val="none"/>
          <w:lang w:val="en-US" w:eastAsia="zh-CN"/>
        </w:rPr>
        <w:t>XXXX</w:t>
      </w:r>
      <w:r>
        <w:rPr>
          <w:rFonts w:hint="eastAsia" w:ascii="仿宋" w:hAnsi="仿宋" w:eastAsia="仿宋" w:cs="宋体"/>
          <w:b/>
          <w:kern w:val="0"/>
          <w:sz w:val="28"/>
          <w:szCs w:val="28"/>
          <w:highlight w:val="none"/>
        </w:rPr>
        <w:t>公司（简称“</w:t>
      </w:r>
      <w:r>
        <w:rPr>
          <w:rFonts w:hint="eastAsia" w:ascii="仿宋" w:hAnsi="仿宋" w:eastAsia="仿宋" w:cs="宋体"/>
          <w:b/>
          <w:kern w:val="0"/>
          <w:sz w:val="28"/>
          <w:szCs w:val="28"/>
          <w:highlight w:val="none"/>
          <w:lang w:val="en-US" w:eastAsia="zh-CN"/>
        </w:rPr>
        <w:t>XXXX</w:t>
      </w:r>
      <w:r>
        <w:rPr>
          <w:rFonts w:hint="eastAsia" w:ascii="仿宋" w:hAnsi="仿宋" w:eastAsia="仿宋" w:cs="宋体"/>
          <w:b/>
          <w:kern w:val="0"/>
          <w:sz w:val="28"/>
          <w:szCs w:val="28"/>
          <w:highlight w:val="none"/>
        </w:rPr>
        <w:t>”）</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法定代表人：</w:t>
      </w:r>
      <w:r>
        <w:rPr>
          <w:rFonts w:hint="eastAsia" w:ascii="仿宋" w:hAnsi="仿宋" w:eastAsia="仿宋" w:cs="宋体"/>
          <w:kern w:val="0"/>
          <w:sz w:val="28"/>
          <w:szCs w:val="28"/>
          <w:highlight w:val="none"/>
          <w:lang w:val="en-US" w:eastAsia="zh-CN"/>
        </w:rPr>
        <w:t>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w:t>
      </w:r>
      <w:r>
        <w:rPr>
          <w:rFonts w:hint="eastAsia" w:ascii="仿宋" w:hAnsi="仿宋" w:eastAsia="仿宋" w:cs="宋体"/>
          <w:kern w:val="0"/>
          <w:sz w:val="28"/>
          <w:szCs w:val="28"/>
          <w:highlight w:val="none"/>
          <w:lang w:val="en-US" w:eastAsia="zh-CN"/>
        </w:rPr>
        <w:t>XXXXXXXXXXXX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联系人：</w:t>
      </w:r>
      <w:r>
        <w:rPr>
          <w:rFonts w:hint="eastAsia" w:ascii="仿宋" w:hAnsi="仿宋" w:eastAsia="仿宋" w:cs="宋体"/>
          <w:kern w:val="0"/>
          <w:sz w:val="28"/>
          <w:szCs w:val="28"/>
          <w:highlight w:val="none"/>
          <w:lang w:val="en-US" w:eastAsia="zh-CN"/>
        </w:rPr>
        <w:t>XXX</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 xml:space="preserve">  </w:t>
      </w:r>
    </w:p>
    <w:p>
      <w:pPr>
        <w:widowControl/>
        <w:snapToGrid w:val="0"/>
        <w:spacing w:line="360" w:lineRule="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电话：0755-</w:t>
      </w:r>
      <w:r>
        <w:rPr>
          <w:rFonts w:hint="eastAsia" w:ascii="仿宋" w:hAnsi="仿宋" w:eastAsia="仿宋" w:cs="宋体"/>
          <w:kern w:val="0"/>
          <w:sz w:val="28"/>
          <w:szCs w:val="28"/>
          <w:highlight w:val="none"/>
          <w:lang w:val="en-US" w:eastAsia="zh-CN"/>
        </w:rPr>
        <w:t>XXXXXX</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依据《中华人民共和国民法典》及相关法律、法规的规定</w:t>
      </w:r>
      <w:r>
        <w:rPr>
          <w:rFonts w:hint="eastAsia" w:ascii="仿宋" w:hAnsi="仿宋" w:eastAsia="仿宋" w:cs="Arial"/>
          <w:sz w:val="28"/>
          <w:szCs w:val="28"/>
          <w:highlight w:val="none"/>
          <w:lang w:val="en-US" w:eastAsia="zh-CN"/>
        </w:rPr>
        <w:t>及行业规范</w:t>
      </w:r>
      <w:r>
        <w:rPr>
          <w:rFonts w:hint="eastAsia" w:ascii="仿宋" w:hAnsi="仿宋" w:eastAsia="仿宋" w:cs="Arial"/>
          <w:sz w:val="28"/>
          <w:szCs w:val="28"/>
          <w:highlight w:val="none"/>
        </w:rPr>
        <w:t>，</w:t>
      </w:r>
      <w:r>
        <w:rPr>
          <w:rFonts w:hint="eastAsia" w:ascii="仿宋" w:hAnsi="仿宋" w:eastAsia="仿宋" w:cs="仿宋"/>
          <w:sz w:val="28"/>
          <w:szCs w:val="28"/>
          <w:highlight w:val="none"/>
        </w:rPr>
        <w:t>甲、乙双方本着公平合理、平等互利、诚信自愿的原则，</w:t>
      </w:r>
      <w:r>
        <w:rPr>
          <w:rFonts w:hint="eastAsia" w:ascii="仿宋" w:hAnsi="仿宋" w:eastAsia="仿宋" w:cs="Arial"/>
          <w:sz w:val="28"/>
          <w:szCs w:val="28"/>
          <w:highlight w:val="none"/>
        </w:rPr>
        <w:t>乙方受甲方委托为甲方提供</w:t>
      </w:r>
      <w:r>
        <w:rPr>
          <w:rFonts w:hint="eastAsia" w:ascii="仿宋" w:hAnsi="仿宋" w:eastAsia="仿宋" w:cs="宋体"/>
          <w:kern w:val="0"/>
          <w:sz w:val="28"/>
          <w:szCs w:val="28"/>
          <w:highlight w:val="none"/>
          <w:lang w:val="en-US" w:eastAsia="zh-CN"/>
        </w:rPr>
        <w:t>XXXXXXXXXXXX</w:t>
      </w:r>
      <w:r>
        <w:rPr>
          <w:rFonts w:hint="eastAsia" w:ascii="仿宋" w:hAnsi="仿宋" w:eastAsia="仿宋" w:cs="Arial"/>
          <w:sz w:val="28"/>
          <w:szCs w:val="28"/>
          <w:highlight w:val="none"/>
        </w:rPr>
        <w:t>服务，甲乙双方经协商一致，签订本合同，双方保证严格遵守和执行。</w:t>
      </w:r>
    </w:p>
    <w:p>
      <w:pPr>
        <w:pStyle w:val="2"/>
        <w:keepNext w:val="0"/>
        <w:keepLines w:val="0"/>
        <w:pageBreakBefore w:val="0"/>
        <w:widowControl/>
        <w:numPr>
          <w:ilvl w:val="0"/>
          <w:numId w:val="24"/>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服务内容及要求</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eastAsia="仿宋" w:cs="宋体"/>
          <w:kern w:val="0"/>
          <w:sz w:val="28"/>
          <w:szCs w:val="28"/>
          <w:highlight w:val="none"/>
          <w:lang w:val="en-US" w:eastAsia="zh-CN"/>
        </w:rPr>
        <w:t>XXXXXXXXXXXX</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项目实施地点：深圳会展中心</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服务内容</w:t>
      </w:r>
    </w:p>
    <w:p>
      <w:pPr>
        <w:pStyle w:val="2"/>
        <w:keepNext w:val="0"/>
        <w:keepLines w:val="0"/>
        <w:pageBreakBefore w:val="0"/>
        <w:widowControl/>
        <w:numPr>
          <w:ilvl w:val="0"/>
          <w:numId w:val="26"/>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宋体"/>
          <w:kern w:val="0"/>
          <w:sz w:val="28"/>
          <w:szCs w:val="28"/>
          <w:highlight w:val="none"/>
          <w:lang w:val="en-US" w:eastAsia="zh-CN"/>
        </w:rPr>
        <w:t>XXXXXXXXXXXXXXXXXXXXXXXX</w:t>
      </w:r>
    </w:p>
    <w:p>
      <w:pPr>
        <w:pStyle w:val="2"/>
        <w:keepNext w:val="0"/>
        <w:keepLines w:val="0"/>
        <w:pageBreakBefore w:val="0"/>
        <w:widowControl/>
        <w:numPr>
          <w:ilvl w:val="0"/>
          <w:numId w:val="26"/>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增值服务（如有）</w:t>
      </w:r>
    </w:p>
    <w:p>
      <w:pPr>
        <w:pStyle w:val="2"/>
        <w:keepNext w:val="0"/>
        <w:keepLines w:val="0"/>
        <w:pageBreakBefore w:val="0"/>
        <w:widowControl/>
        <w:numPr>
          <w:ilvl w:val="0"/>
          <w:numId w:val="27"/>
        </w:numPr>
        <w:kinsoku/>
        <w:wordWrap/>
        <w:overflowPunct/>
        <w:topLinePunct w:val="0"/>
        <w:autoSpaceDE/>
        <w:autoSpaceDN/>
        <w:bidi w:val="0"/>
        <w:adjustRightInd/>
        <w:snapToGrid/>
        <w:spacing w:line="360" w:lineRule="auto"/>
        <w:ind w:left="425" w:leftChars="0" w:hanging="5" w:firstLineChars="0"/>
        <w:textAlignment w:val="auto"/>
        <w:rPr>
          <w:rFonts w:hint="default" w:ascii="仿宋" w:hAnsi="仿宋" w:eastAsia="仿宋" w:cs="仿宋"/>
          <w:sz w:val="28"/>
          <w:szCs w:val="28"/>
          <w:highlight w:val="none"/>
          <w:lang w:val="en-US" w:eastAsia="zh-CN"/>
        </w:rPr>
      </w:pPr>
      <w:r>
        <w:rPr>
          <w:rFonts w:hint="eastAsia" w:ascii="仿宋" w:hAnsi="仿宋" w:eastAsia="仿宋" w:cs="宋体"/>
          <w:kern w:val="0"/>
          <w:sz w:val="28"/>
          <w:szCs w:val="28"/>
          <w:highlight w:val="none"/>
          <w:lang w:val="en-US" w:eastAsia="zh-CN"/>
        </w:rPr>
        <w:t>XXXXXXXXXXXXXXXXXXXXXXXX</w:t>
      </w:r>
    </w:p>
    <w:p>
      <w:pPr>
        <w:pStyle w:val="2"/>
        <w:keepNext w:val="0"/>
        <w:keepLines w:val="0"/>
        <w:pageBreakBefore w:val="0"/>
        <w:widowControl/>
        <w:numPr>
          <w:ilvl w:val="0"/>
          <w:numId w:val="27"/>
        </w:numPr>
        <w:kinsoku/>
        <w:wordWrap/>
        <w:overflowPunct/>
        <w:topLinePunct w:val="0"/>
        <w:autoSpaceDE/>
        <w:autoSpaceDN/>
        <w:bidi w:val="0"/>
        <w:adjustRightInd/>
        <w:snapToGrid/>
        <w:spacing w:line="360" w:lineRule="auto"/>
        <w:ind w:left="425" w:leftChars="0" w:hanging="5" w:firstLineChars="0"/>
        <w:textAlignment w:val="auto"/>
        <w:rPr>
          <w:rFonts w:hint="default" w:ascii="仿宋" w:hAnsi="仿宋" w:eastAsia="仿宋" w:cs="仿宋"/>
          <w:sz w:val="28"/>
          <w:szCs w:val="28"/>
          <w:highlight w:val="none"/>
          <w:lang w:val="en-US" w:eastAsia="zh-CN"/>
        </w:rPr>
      </w:pPr>
      <w:r>
        <w:rPr>
          <w:rFonts w:hint="eastAsia" w:ascii="仿宋" w:hAnsi="仿宋" w:eastAsia="仿宋" w:cs="宋体"/>
          <w:kern w:val="0"/>
          <w:sz w:val="28"/>
          <w:szCs w:val="28"/>
          <w:highlight w:val="none"/>
          <w:lang w:val="en-US" w:eastAsia="zh-CN"/>
        </w:rPr>
        <w:t>......</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服务要求</w:t>
      </w:r>
    </w:p>
    <w:p>
      <w:pPr>
        <w:pStyle w:val="2"/>
        <w:keepNext w:val="0"/>
        <w:keepLines w:val="0"/>
        <w:pageBreakBefore w:val="0"/>
        <w:widowControl/>
        <w:numPr>
          <w:ilvl w:val="0"/>
          <w:numId w:val="28"/>
        </w:numPr>
        <w:kinsoku/>
        <w:wordWrap/>
        <w:overflowPunct/>
        <w:topLinePunct w:val="0"/>
        <w:autoSpaceDE/>
        <w:autoSpaceDN/>
        <w:bidi w:val="0"/>
        <w:adjustRightInd/>
        <w:snapToGrid/>
        <w:spacing w:line="360" w:lineRule="auto"/>
        <w:ind w:left="425" w:leftChars="0" w:hanging="5" w:firstLineChars="0"/>
        <w:textAlignment w:val="auto"/>
        <w:rPr>
          <w:rFonts w:hint="default" w:ascii="仿宋" w:hAnsi="仿宋" w:eastAsia="仿宋" w:cs="仿宋"/>
          <w:sz w:val="28"/>
          <w:szCs w:val="28"/>
          <w:highlight w:val="none"/>
          <w:lang w:val="en-US" w:eastAsia="zh-CN"/>
        </w:rPr>
      </w:pPr>
      <w:r>
        <w:rPr>
          <w:rFonts w:hint="eastAsia" w:ascii="仿宋" w:hAnsi="仿宋" w:eastAsia="仿宋" w:cs="宋体"/>
          <w:kern w:val="0"/>
          <w:sz w:val="28"/>
          <w:szCs w:val="28"/>
          <w:highlight w:val="none"/>
          <w:lang w:val="en-US" w:eastAsia="zh-CN"/>
        </w:rPr>
        <w:t>XXXXXXXXXXXXXXXXXXXXXXXX</w:t>
      </w:r>
    </w:p>
    <w:p>
      <w:pPr>
        <w:pStyle w:val="2"/>
        <w:keepNext w:val="0"/>
        <w:keepLines w:val="0"/>
        <w:pageBreakBefore w:val="0"/>
        <w:widowControl/>
        <w:numPr>
          <w:ilvl w:val="0"/>
          <w:numId w:val="28"/>
        </w:numPr>
        <w:kinsoku/>
        <w:wordWrap/>
        <w:overflowPunct/>
        <w:topLinePunct w:val="0"/>
        <w:autoSpaceDE/>
        <w:autoSpaceDN/>
        <w:bidi w:val="0"/>
        <w:adjustRightInd/>
        <w:snapToGrid/>
        <w:spacing w:line="360" w:lineRule="auto"/>
        <w:ind w:left="425" w:leftChars="0" w:hanging="5" w:firstLineChars="0"/>
        <w:textAlignment w:val="auto"/>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w:t>
      </w:r>
    </w:p>
    <w:p>
      <w:pPr>
        <w:pStyle w:val="2"/>
        <w:keepNext w:val="0"/>
        <w:keepLines w:val="0"/>
        <w:pageBreakBefore w:val="0"/>
        <w:widowControl/>
        <w:numPr>
          <w:ilvl w:val="0"/>
          <w:numId w:val="24"/>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服务期限</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val="0"/>
          <w:bCs w:val="0"/>
          <w:sz w:val="28"/>
          <w:szCs w:val="28"/>
          <w:highlight w:val="none"/>
          <w:lang w:val="en-US" w:eastAsia="zh-CN"/>
        </w:rPr>
        <w:t>本项目服务期限为XX年，从本合同签订生效之日起至XXXX年X月X日止。</w:t>
      </w:r>
      <w:r>
        <w:rPr>
          <w:rFonts w:hint="eastAsia" w:ascii="仿宋" w:hAnsi="仿宋" w:eastAsia="仿宋" w:cs="仿宋"/>
          <w:sz w:val="28"/>
          <w:szCs w:val="28"/>
          <w:highlight w:val="none"/>
        </w:rPr>
        <w:t>年度服务期满前两个月，乙方应主动向甲方申请对其本年度服务情况进行评审，经甲方综合考核评审服务达</w:t>
      </w:r>
      <w:r>
        <w:rPr>
          <w:rFonts w:hint="eastAsia" w:ascii="仿宋" w:hAnsi="仿宋" w:eastAsia="仿宋" w:cs="仿宋"/>
          <w:sz w:val="28"/>
          <w:szCs w:val="28"/>
          <w:highlight w:val="none"/>
          <w:lang w:val="en-US" w:eastAsia="zh-CN"/>
        </w:rPr>
        <w:t>到优良</w:t>
      </w:r>
      <w:r>
        <w:rPr>
          <w:rFonts w:hint="eastAsia" w:ascii="仿宋" w:hAnsi="仿宋" w:eastAsia="仿宋" w:cs="仿宋"/>
          <w:sz w:val="28"/>
          <w:szCs w:val="28"/>
          <w:highlight w:val="none"/>
        </w:rPr>
        <w:t>（综合得分</w:t>
      </w:r>
      <w:r>
        <w:rPr>
          <w:rFonts w:ascii="仿宋" w:hAnsi="仿宋" w:eastAsia="仿宋" w:cs="仿宋"/>
          <w:sz w:val="28"/>
          <w:szCs w:val="28"/>
          <w:highlight w:val="none"/>
        </w:rPr>
        <w:t>≥</w:t>
      </w:r>
      <w:r>
        <w:rPr>
          <w:rFonts w:hint="eastAsia" w:ascii="仿宋" w:hAnsi="仿宋" w:eastAsia="仿宋" w:cs="仿宋"/>
          <w:sz w:val="28"/>
          <w:szCs w:val="28"/>
          <w:highlight w:val="none"/>
        </w:rPr>
        <w:t>80分），则执行下一年度服务合同。如综合考核评审服务未达</w:t>
      </w:r>
      <w:r>
        <w:rPr>
          <w:rFonts w:hint="eastAsia" w:ascii="仿宋" w:hAnsi="仿宋" w:eastAsia="仿宋" w:cs="仿宋"/>
          <w:sz w:val="28"/>
          <w:szCs w:val="28"/>
          <w:highlight w:val="none"/>
          <w:lang w:val="en-US" w:eastAsia="zh-CN"/>
        </w:rPr>
        <w:t>到优良</w:t>
      </w:r>
      <w:r>
        <w:rPr>
          <w:rFonts w:hint="eastAsia" w:ascii="仿宋" w:hAnsi="仿宋" w:eastAsia="仿宋" w:cs="仿宋"/>
          <w:sz w:val="28"/>
          <w:szCs w:val="28"/>
          <w:highlight w:val="none"/>
        </w:rPr>
        <w:t>，甲方有权终止下一年度服务合同。综合考核评审细则详见附件《</w:t>
      </w:r>
      <w:r>
        <w:rPr>
          <w:rFonts w:hint="eastAsia" w:ascii="仿宋" w:hAnsi="仿宋" w:eastAsia="仿宋" w:cs="仿宋"/>
          <w:sz w:val="28"/>
          <w:szCs w:val="28"/>
          <w:highlight w:val="none"/>
          <w:lang w:val="en-US" w:eastAsia="zh-CN"/>
        </w:rPr>
        <w:t>XXXX</w:t>
      </w:r>
      <w:r>
        <w:rPr>
          <w:rFonts w:hint="eastAsia" w:ascii="仿宋" w:hAnsi="仿宋" w:eastAsia="仿宋" w:cs="仿宋"/>
          <w:sz w:val="28"/>
          <w:szCs w:val="28"/>
          <w:highlight w:val="none"/>
        </w:rPr>
        <w:t>考核评审细则》。</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合同金额及付款要求</w:t>
      </w:r>
    </w:p>
    <w:p>
      <w:pPr>
        <w:pStyle w:val="22"/>
        <w:numPr>
          <w:ilvl w:val="1"/>
          <w:numId w:val="29"/>
        </w:numPr>
        <w:spacing w:line="500" w:lineRule="exact"/>
        <w:ind w:left="5" w:firstLine="635" w:firstLineChars="0"/>
        <w:rPr>
          <w:rFonts w:ascii="仿宋" w:hAnsi="仿宋" w:eastAsia="仿宋" w:cs="仿宋"/>
          <w:spacing w:val="-2"/>
          <w:sz w:val="28"/>
          <w:szCs w:val="28"/>
          <w:highlight w:val="none"/>
        </w:rPr>
      </w:pPr>
      <w:r>
        <w:rPr>
          <w:rFonts w:hint="eastAsia" w:ascii="仿宋" w:hAnsi="仿宋" w:eastAsia="仿宋" w:cs="仿宋"/>
          <w:sz w:val="28"/>
          <w:szCs w:val="28"/>
          <w:highlight w:val="none"/>
        </w:rPr>
        <w:t>合同金额</w:t>
      </w:r>
    </w:p>
    <w:p>
      <w:pPr>
        <w:pStyle w:val="22"/>
        <w:numPr>
          <w:ilvl w:val="0"/>
          <w:numId w:val="30"/>
        </w:numPr>
        <w:spacing w:line="500" w:lineRule="exact"/>
        <w:ind w:firstLine="560" w:firstLineChars="200"/>
        <w:rPr>
          <w:rFonts w:hint="eastAsia" w:ascii="仿宋" w:hAnsi="仿宋" w:eastAsia="仿宋" w:cs="仿宋"/>
          <w:spacing w:val="-2"/>
          <w:sz w:val="28"/>
          <w:szCs w:val="28"/>
          <w:highlight w:val="none"/>
          <w:lang w:eastAsia="zh-CN"/>
        </w:rPr>
      </w:pPr>
      <w:r>
        <w:rPr>
          <w:rFonts w:hint="eastAsia" w:ascii="仿宋" w:hAnsi="仿宋" w:eastAsia="仿宋" w:cs="仿宋"/>
          <w:bCs/>
          <w:sz w:val="28"/>
          <w:szCs w:val="28"/>
          <w:highlight w:val="none"/>
        </w:rPr>
        <w:t>本项</w:t>
      </w:r>
      <w:r>
        <w:rPr>
          <w:rFonts w:hint="eastAsia" w:ascii="仿宋" w:hAnsi="仿宋" w:eastAsia="仿宋" w:cs="仿宋"/>
          <w:sz w:val="28"/>
          <w:szCs w:val="28"/>
          <w:highlight w:val="none"/>
        </w:rPr>
        <w:t>目合同金额</w:t>
      </w:r>
      <w:r>
        <w:rPr>
          <w:rFonts w:hint="eastAsia" w:ascii="仿宋" w:hAnsi="仿宋" w:eastAsia="仿宋" w:cs="仿宋"/>
          <w:bCs/>
          <w:sz w:val="28"/>
          <w:szCs w:val="28"/>
          <w:highlight w:val="none"/>
        </w:rPr>
        <w:t>为¥</w:t>
      </w:r>
      <w:r>
        <w:rPr>
          <w:rFonts w:hint="eastAsia" w:ascii="仿宋" w:hAnsi="仿宋" w:eastAsia="仿宋" w:cs="仿宋"/>
          <w:bCs/>
          <w:sz w:val="28"/>
          <w:szCs w:val="28"/>
          <w:highlight w:val="none"/>
          <w:lang w:val="en-US" w:eastAsia="zh-CN"/>
        </w:rPr>
        <w:t>XXX</w:t>
      </w:r>
      <w:r>
        <w:rPr>
          <w:rFonts w:hint="eastAsia" w:ascii="仿宋" w:hAnsi="仿宋" w:eastAsia="仿宋" w:cs="仿宋"/>
          <w:bCs/>
          <w:sz w:val="28"/>
          <w:szCs w:val="28"/>
          <w:highlight w:val="none"/>
        </w:rPr>
        <w:t>万元（</w:t>
      </w:r>
      <w:r>
        <w:rPr>
          <w:rFonts w:hint="eastAsia" w:ascii="仿宋" w:hAnsi="仿宋" w:eastAsia="仿宋" w:cs="仿宋"/>
          <w:sz w:val="28"/>
          <w:szCs w:val="28"/>
          <w:highlight w:val="none"/>
        </w:rPr>
        <w:t>大写人民币：</w:t>
      </w:r>
      <w:r>
        <w:rPr>
          <w:rFonts w:hint="eastAsia" w:ascii="仿宋" w:hAnsi="仿宋" w:eastAsia="仿宋" w:cs="仿宋"/>
          <w:sz w:val="28"/>
          <w:szCs w:val="28"/>
          <w:highlight w:val="none"/>
          <w:u w:val="single"/>
          <w:lang w:val="en-US" w:eastAsia="zh-CN"/>
        </w:rPr>
        <w:t>XXXX</w:t>
      </w:r>
      <w:r>
        <w:rPr>
          <w:rFonts w:hint="eastAsia" w:ascii="仿宋" w:hAnsi="仿宋" w:eastAsia="仿宋" w:cs="仿宋"/>
          <w:sz w:val="28"/>
          <w:szCs w:val="28"/>
          <w:highlight w:val="none"/>
          <w:u w:val="single"/>
        </w:rPr>
        <w:t>元整</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），税率</w:t>
      </w:r>
      <w:r>
        <w:rPr>
          <w:rFonts w:hint="eastAsia" w:ascii="仿宋" w:hAnsi="仿宋" w:eastAsia="仿宋" w:cs="仿宋"/>
          <w:sz w:val="28"/>
          <w:szCs w:val="28"/>
          <w:highlight w:val="none"/>
          <w:lang w:val="en-US" w:eastAsia="zh-CN"/>
        </w:rPr>
        <w:t>为X</w:t>
      </w:r>
      <w:r>
        <w:rPr>
          <w:rFonts w:hint="eastAsia" w:ascii="仿宋" w:hAnsi="仿宋" w:eastAsia="仿宋" w:cs="仿宋"/>
          <w:sz w:val="28"/>
          <w:szCs w:val="28"/>
          <w:highlight w:val="none"/>
        </w:rPr>
        <w:t>%</w:t>
      </w:r>
      <w:r>
        <w:rPr>
          <w:rFonts w:hint="eastAsia" w:ascii="仿宋" w:hAnsi="仿宋" w:eastAsia="仿宋" w:cs="仿宋"/>
          <w:spacing w:val="-2"/>
          <w:sz w:val="28"/>
          <w:szCs w:val="28"/>
          <w:highlight w:val="none"/>
          <w:lang w:eastAsia="zh-CN"/>
        </w:rPr>
        <w:t>。</w:t>
      </w:r>
    </w:p>
    <w:p>
      <w:pPr>
        <w:pStyle w:val="22"/>
        <w:numPr>
          <w:ilvl w:val="0"/>
          <w:numId w:val="30"/>
        </w:numPr>
        <w:spacing w:line="500" w:lineRule="exact"/>
        <w:ind w:firstLine="560" w:firstLineChars="200"/>
        <w:rPr>
          <w:rFonts w:hint="eastAsia" w:ascii="仿宋" w:hAnsi="仿宋" w:eastAsia="仿宋" w:cs="仿宋"/>
          <w:spacing w:val="-2"/>
          <w:sz w:val="28"/>
          <w:szCs w:val="28"/>
          <w:highlight w:val="none"/>
          <w:lang w:eastAsia="zh-CN"/>
        </w:rPr>
      </w:pPr>
      <w:r>
        <w:rPr>
          <w:rFonts w:hint="eastAsia" w:ascii="仿宋" w:hAnsi="仿宋" w:eastAsia="仿宋" w:cs="仿宋"/>
          <w:bCs/>
          <w:sz w:val="28"/>
          <w:szCs w:val="28"/>
          <w:highlight w:val="none"/>
        </w:rPr>
        <w:t>以上金额已经包含项目费用开具增值税专用发票所产生的税费及乙方</w:t>
      </w:r>
      <w:r>
        <w:rPr>
          <w:rFonts w:hint="eastAsia" w:ascii="仿宋" w:hAnsi="仿宋" w:eastAsia="仿宋" w:cs="仿宋"/>
          <w:bCs/>
          <w:sz w:val="28"/>
          <w:szCs w:val="28"/>
          <w:highlight w:val="none"/>
          <w:lang w:val="en-US" w:eastAsia="zh-CN"/>
        </w:rPr>
        <w:t>完成本项目服务所发生的</w:t>
      </w:r>
      <w:r>
        <w:rPr>
          <w:rFonts w:hint="eastAsia" w:ascii="仿宋" w:hAnsi="仿宋" w:eastAsia="仿宋" w:cs="仿宋"/>
          <w:sz w:val="28"/>
          <w:szCs w:val="28"/>
          <w:highlight w:val="none"/>
        </w:rPr>
        <w:t>全部费用</w:t>
      </w:r>
      <w:r>
        <w:rPr>
          <w:rFonts w:hint="eastAsia" w:ascii="仿宋" w:hAnsi="仿宋" w:eastAsia="仿宋" w:cs="仿宋"/>
          <w:sz w:val="28"/>
          <w:szCs w:val="28"/>
          <w:highlight w:val="none"/>
          <w:lang w:eastAsia="zh-CN"/>
        </w:rPr>
        <w:t>。</w:t>
      </w:r>
    </w:p>
    <w:p>
      <w:pPr>
        <w:pStyle w:val="22"/>
        <w:numPr>
          <w:ilvl w:val="1"/>
          <w:numId w:val="29"/>
        </w:numPr>
        <w:spacing w:line="500" w:lineRule="exact"/>
        <w:ind w:left="5" w:firstLine="635" w:firstLineChars="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付款要求</w:t>
      </w:r>
    </w:p>
    <w:p>
      <w:pPr>
        <w:pStyle w:val="22"/>
        <w:numPr>
          <w:ilvl w:val="0"/>
          <w:numId w:val="31"/>
        </w:numPr>
        <w:spacing w:line="500" w:lineRule="exact"/>
        <w:ind w:left="0" w:firstLine="640" w:firstLineChars="0"/>
        <w:rPr>
          <w:rFonts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合同签订</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lang w:val="en-US" w:eastAsia="zh-CN"/>
        </w:rPr>
        <w:t>乙方完成XXX</w:t>
      </w:r>
      <w:r>
        <w:rPr>
          <w:rFonts w:hint="eastAsia" w:ascii="仿宋" w:hAnsi="仿宋" w:eastAsia="仿宋" w:cs="仿宋"/>
          <w:spacing w:val="-2"/>
          <w:sz w:val="28"/>
          <w:szCs w:val="28"/>
          <w:highlight w:val="none"/>
        </w:rPr>
        <w:t>后</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15个工作日内甲方</w:t>
      </w:r>
      <w:r>
        <w:rPr>
          <w:rFonts w:hint="eastAsia" w:ascii="仿宋" w:hAnsi="仿宋" w:eastAsia="仿宋" w:cs="仿宋"/>
          <w:spacing w:val="-2"/>
          <w:sz w:val="28"/>
          <w:szCs w:val="28"/>
          <w:highlight w:val="none"/>
          <w:lang w:val="en-US" w:eastAsia="zh-CN"/>
        </w:rPr>
        <w:t>向</w:t>
      </w:r>
      <w:r>
        <w:rPr>
          <w:rFonts w:hint="eastAsia" w:ascii="仿宋" w:hAnsi="仿宋" w:eastAsia="仿宋" w:cs="仿宋"/>
          <w:spacing w:val="-2"/>
          <w:sz w:val="28"/>
          <w:szCs w:val="28"/>
          <w:highlight w:val="none"/>
        </w:rPr>
        <w:t>乙方支付合同金额</w:t>
      </w:r>
      <w:r>
        <w:rPr>
          <w:rFonts w:hint="eastAsia" w:ascii="仿宋" w:hAnsi="仿宋" w:eastAsia="仿宋" w:cs="仿宋"/>
          <w:spacing w:val="-2"/>
          <w:sz w:val="28"/>
          <w:szCs w:val="28"/>
          <w:highlight w:val="none"/>
          <w:lang w:val="en-US" w:eastAsia="zh-CN"/>
        </w:rPr>
        <w:t>XX</w:t>
      </w:r>
      <w:r>
        <w:rPr>
          <w:rFonts w:hint="eastAsia" w:ascii="仿宋" w:hAnsi="仿宋" w:eastAsia="仿宋" w:cs="仿宋"/>
          <w:spacing w:val="-2"/>
          <w:sz w:val="28"/>
          <w:szCs w:val="28"/>
          <w:highlight w:val="none"/>
        </w:rPr>
        <w:t>％款项，即人民币</w:t>
      </w:r>
      <w:r>
        <w:rPr>
          <w:rFonts w:hint="eastAsia" w:ascii="仿宋" w:hAnsi="仿宋" w:eastAsia="仿宋" w:cs="仿宋"/>
          <w:spacing w:val="-2"/>
          <w:sz w:val="28"/>
          <w:szCs w:val="28"/>
          <w:highlight w:val="none"/>
          <w:lang w:val="en-US" w:eastAsia="zh-CN"/>
        </w:rPr>
        <w:t>XXXX</w:t>
      </w:r>
      <w:r>
        <w:rPr>
          <w:rFonts w:hint="eastAsia" w:ascii="仿宋" w:hAnsi="仿宋" w:eastAsia="仿宋" w:cs="仿宋"/>
          <w:spacing w:val="-2"/>
          <w:sz w:val="28"/>
          <w:szCs w:val="28"/>
          <w:highlight w:val="none"/>
        </w:rPr>
        <w:t>元（大写：</w:t>
      </w:r>
      <w:r>
        <w:rPr>
          <w:rFonts w:hint="eastAsia" w:ascii="仿宋" w:hAnsi="仿宋" w:eastAsia="仿宋" w:cs="仿宋"/>
          <w:spacing w:val="-2"/>
          <w:sz w:val="28"/>
          <w:szCs w:val="28"/>
          <w:highlight w:val="none"/>
          <w:lang w:val="en-US" w:eastAsia="zh-CN"/>
        </w:rPr>
        <w:t>XXXX</w:t>
      </w:r>
      <w:r>
        <w:rPr>
          <w:rFonts w:hint="eastAsia" w:ascii="仿宋" w:hAnsi="仿宋" w:eastAsia="仿宋" w:cs="仿宋"/>
          <w:spacing w:val="-2"/>
          <w:sz w:val="28"/>
          <w:szCs w:val="28"/>
          <w:highlight w:val="none"/>
        </w:rPr>
        <w:t>元整）；</w:t>
      </w:r>
    </w:p>
    <w:p>
      <w:pPr>
        <w:pStyle w:val="22"/>
        <w:numPr>
          <w:ilvl w:val="0"/>
          <w:numId w:val="31"/>
        </w:numPr>
        <w:spacing w:line="500" w:lineRule="exact"/>
        <w:ind w:left="0" w:firstLine="640" w:firstLineChars="0"/>
        <w:rPr>
          <w:rFonts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完成本项目所有服务内容并经甲方验收合格且完成违约责任清算后，甲方支付本项目剩余款项。</w:t>
      </w:r>
    </w:p>
    <w:p>
      <w:pPr>
        <w:pStyle w:val="22"/>
        <w:numPr>
          <w:ilvl w:val="0"/>
          <w:numId w:val="31"/>
        </w:numPr>
        <w:spacing w:line="500" w:lineRule="exact"/>
        <w:ind w:left="0" w:firstLine="640" w:firstLineChars="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甲方办理合同款项支付前，乙方需</w:t>
      </w:r>
      <w:r>
        <w:rPr>
          <w:rFonts w:hint="eastAsia" w:ascii="仿宋" w:hAnsi="仿宋" w:eastAsia="仿宋" w:cs="仿宋"/>
          <w:sz w:val="28"/>
          <w:szCs w:val="28"/>
          <w:highlight w:val="none"/>
          <w:lang w:val="en-US" w:eastAsia="zh-CN"/>
        </w:rPr>
        <w:t>先向甲方</w:t>
      </w:r>
      <w:r>
        <w:rPr>
          <w:rFonts w:hint="eastAsia" w:ascii="仿宋" w:hAnsi="仿宋" w:eastAsia="仿宋" w:cs="仿宋"/>
          <w:sz w:val="28"/>
          <w:szCs w:val="28"/>
          <w:highlight w:val="none"/>
        </w:rPr>
        <w:t>提供全额</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等额</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真实</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合法有效的增值税专用发票。</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验收标准</w:t>
      </w:r>
    </w:p>
    <w:p>
      <w:pPr>
        <w:pStyle w:val="2"/>
        <w:numPr>
          <w:ilvl w:val="0"/>
          <w:numId w:val="32"/>
        </w:numPr>
        <w:ind w:left="522" w:leftChars="0" w:firstLine="0" w:firstLineChars="0"/>
        <w:rPr>
          <w:rFonts w:hint="default" w:ascii="仿宋" w:hAnsi="仿宋" w:eastAsia="仿宋" w:cs="仿宋"/>
          <w:b w:val="0"/>
          <w:bCs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XXXXXXXXXXXXXXXXXXXXXXXX</w:t>
      </w:r>
    </w:p>
    <w:p>
      <w:pPr>
        <w:pStyle w:val="2"/>
        <w:numPr>
          <w:ilvl w:val="0"/>
          <w:numId w:val="32"/>
        </w:numPr>
        <w:ind w:left="522" w:leftChars="0" w:firstLine="0" w:firstLineChars="0"/>
        <w:rPr>
          <w:rFonts w:hint="default" w:ascii="仿宋" w:hAnsi="仿宋" w:eastAsia="仿宋" w:cs="宋体"/>
          <w:kern w:val="0"/>
          <w:sz w:val="28"/>
          <w:szCs w:val="28"/>
          <w:highlight w:val="none"/>
          <w:lang w:val="en-US" w:eastAsia="zh-CN"/>
        </w:rPr>
      </w:pPr>
      <w:r>
        <w:rPr>
          <w:rFonts w:hint="eastAsia" w:ascii="仿宋" w:hAnsi="仿宋" w:eastAsia="仿宋" w:cs="仿宋"/>
          <w:b/>
          <w:bCs/>
          <w:sz w:val="28"/>
          <w:szCs w:val="28"/>
          <w:highlight w:val="none"/>
          <w:lang w:val="en-US" w:eastAsia="zh-CN"/>
        </w:rPr>
        <w:t>.</w:t>
      </w:r>
      <w:r>
        <w:rPr>
          <w:rFonts w:hint="eastAsia" w:ascii="仿宋" w:hAnsi="仿宋" w:eastAsia="仿宋" w:cs="宋体"/>
          <w:kern w:val="0"/>
          <w:sz w:val="28"/>
          <w:szCs w:val="28"/>
          <w:highlight w:val="none"/>
          <w:lang w:val="en-US" w:eastAsia="zh-CN"/>
        </w:rPr>
        <w:t>.....</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双方权利与义务</w:t>
      </w:r>
    </w:p>
    <w:p>
      <w:pPr>
        <w:pStyle w:val="2"/>
        <w:numPr>
          <w:ilvl w:val="0"/>
          <w:numId w:val="33"/>
        </w:numPr>
        <w:ind w:left="522" w:leftChars="0" w:firstLine="0" w:firstLineChars="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甲方权利与义务</w:t>
      </w:r>
    </w:p>
    <w:p>
      <w:pPr>
        <w:pStyle w:val="2"/>
        <w:numPr>
          <w:ilvl w:val="0"/>
          <w:numId w:val="34"/>
        </w:numPr>
        <w:ind w:left="522" w:leftChars="0"/>
        <w:rPr>
          <w:rFonts w:hint="default" w:ascii="仿宋" w:hAnsi="仿宋" w:eastAsia="仿宋" w:cs="仿宋"/>
          <w:b w:val="0"/>
          <w:bCs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XXXXXXXXXXXXXXXXXXXXXXXXXX</w:t>
      </w:r>
    </w:p>
    <w:p>
      <w:pPr>
        <w:pStyle w:val="2"/>
        <w:numPr>
          <w:ilvl w:val="0"/>
          <w:numId w:val="34"/>
        </w:numPr>
        <w:ind w:left="522" w:leftChars="0"/>
        <w:rPr>
          <w:rFonts w:hint="default" w:ascii="仿宋" w:hAnsi="仿宋" w:eastAsia="仿宋" w:cs="宋体"/>
          <w:b w:val="0"/>
          <w:bCs w:val="0"/>
          <w:kern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w:t>
      </w:r>
    </w:p>
    <w:p>
      <w:pPr>
        <w:pStyle w:val="2"/>
        <w:numPr>
          <w:ilvl w:val="0"/>
          <w:numId w:val="33"/>
        </w:numPr>
        <w:ind w:left="522" w:leftChars="0" w:firstLine="0" w:firstLineChars="0"/>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乙方权利与义务</w:t>
      </w:r>
    </w:p>
    <w:p>
      <w:pPr>
        <w:pStyle w:val="2"/>
        <w:numPr>
          <w:ilvl w:val="0"/>
          <w:numId w:val="35"/>
        </w:numPr>
        <w:ind w:left="0" w:leftChars="0" w:firstLine="418" w:firstLineChars="155"/>
        <w:rPr>
          <w:rFonts w:hint="default" w:ascii="仿宋" w:hAnsi="仿宋" w:eastAsia="仿宋" w:cs="仿宋"/>
          <w:b w:val="0"/>
          <w:bCs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XXXXXXXXXXXXXXXXXXXXXXXXXX</w:t>
      </w:r>
    </w:p>
    <w:p>
      <w:pPr>
        <w:pStyle w:val="2"/>
        <w:numPr>
          <w:ilvl w:val="0"/>
          <w:numId w:val="35"/>
        </w:numPr>
        <w:ind w:left="0" w:leftChars="0" w:firstLine="418" w:firstLineChars="155"/>
        <w:rPr>
          <w:rFonts w:hint="default" w:ascii="仿宋" w:hAnsi="仿宋" w:eastAsia="仿宋" w:cs="仿宋"/>
          <w:b w:val="0"/>
          <w:bCs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处罚标准（如有）</w:t>
      </w:r>
    </w:p>
    <w:p>
      <w:pPr>
        <w:pStyle w:val="2"/>
        <w:numPr>
          <w:ilvl w:val="0"/>
          <w:numId w:val="36"/>
        </w:numPr>
        <w:ind w:left="0" w:leftChars="0" w:firstLine="418" w:firstLineChars="155"/>
        <w:rPr>
          <w:rFonts w:hint="default" w:ascii="仿宋" w:hAnsi="仿宋" w:eastAsia="仿宋" w:cs="仿宋"/>
          <w:b w:val="0"/>
          <w:bCs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XXXXXXXXXXXXXXXXXXXXXXXXXX</w:t>
      </w:r>
    </w:p>
    <w:p>
      <w:pPr>
        <w:pStyle w:val="2"/>
        <w:numPr>
          <w:ilvl w:val="0"/>
          <w:numId w:val="36"/>
        </w:numPr>
        <w:ind w:left="0" w:leftChars="0" w:firstLine="418" w:firstLineChars="155"/>
        <w:rPr>
          <w:rFonts w:hint="default" w:ascii="仿宋" w:hAnsi="仿宋" w:eastAsia="仿宋" w:cs="仿宋"/>
          <w:b/>
          <w:bCs/>
          <w:sz w:val="28"/>
          <w:szCs w:val="28"/>
          <w:highlight w:val="none"/>
          <w:lang w:val="en-US" w:eastAsia="zh-CN"/>
        </w:rPr>
      </w:pPr>
      <w:r>
        <w:rPr>
          <w:rFonts w:hint="eastAsia" w:ascii="仿宋" w:hAnsi="仿宋" w:eastAsia="仿宋" w:cs="宋体"/>
          <w:b w:val="0"/>
          <w:bCs w:val="0"/>
          <w:kern w:val="0"/>
          <w:sz w:val="28"/>
          <w:szCs w:val="28"/>
          <w:highlight w:val="none"/>
          <w:lang w:val="en-US" w:eastAsia="zh-CN"/>
        </w:rPr>
        <w:t>......</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知识产权归属（如有）</w:t>
      </w:r>
    </w:p>
    <w:p>
      <w:pPr>
        <w:pStyle w:val="2"/>
        <w:numPr>
          <w:ilvl w:val="0"/>
          <w:numId w:val="37"/>
        </w:numPr>
        <w:ind w:left="0" w:leftChars="0" w:firstLine="418" w:firstLineChars="155"/>
        <w:rPr>
          <w:rFonts w:hint="default" w:ascii="仿宋" w:hAnsi="仿宋" w:eastAsia="仿宋" w:cs="仿宋"/>
          <w:b w:val="0"/>
          <w:bCs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XXXXXXXXXXXXXXXXXXXXXXXXXX</w:t>
      </w:r>
    </w:p>
    <w:p>
      <w:pPr>
        <w:pStyle w:val="2"/>
        <w:numPr>
          <w:ilvl w:val="0"/>
          <w:numId w:val="37"/>
        </w:numPr>
        <w:ind w:left="0" w:leftChars="0" w:firstLine="418" w:firstLineChars="155"/>
        <w:rPr>
          <w:rFonts w:hint="default" w:ascii="仿宋" w:hAnsi="仿宋" w:eastAsia="仿宋" w:cs="仿宋"/>
          <w:b/>
          <w:bCs/>
          <w:sz w:val="28"/>
          <w:szCs w:val="28"/>
          <w:highlight w:val="none"/>
          <w:lang w:val="en-US" w:eastAsia="zh-CN"/>
        </w:rPr>
      </w:pPr>
      <w:r>
        <w:rPr>
          <w:rFonts w:hint="eastAsia" w:ascii="仿宋" w:hAnsi="仿宋" w:eastAsia="仿宋" w:cs="宋体"/>
          <w:b w:val="0"/>
          <w:bCs w:val="0"/>
          <w:kern w:val="0"/>
          <w:sz w:val="28"/>
          <w:szCs w:val="28"/>
          <w:highlight w:val="none"/>
          <w:lang w:val="en-US" w:eastAsia="zh-CN"/>
        </w:rPr>
        <w:t>......</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违约责任</w:t>
      </w:r>
    </w:p>
    <w:p>
      <w:pPr>
        <w:numPr>
          <w:ilvl w:val="0"/>
          <w:numId w:val="38"/>
        </w:num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甲乙双方任何一方违反约定事项造成对方实际损失的，应在</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天内向对方支付年度合同金额</w:t>
      </w:r>
      <w:r>
        <w:rPr>
          <w:rFonts w:hint="eastAsia" w:ascii="仿宋" w:hAnsi="仿宋" w:eastAsia="仿宋" w:cs="仿宋"/>
          <w:sz w:val="28"/>
          <w:szCs w:val="28"/>
          <w:highlight w:val="none"/>
          <w:lang w:val="en-US" w:eastAsia="zh-CN"/>
        </w:rPr>
        <w:t>XX</w:t>
      </w:r>
      <w:r>
        <w:rPr>
          <w:rFonts w:hint="eastAsia" w:ascii="仿宋" w:hAnsi="仿宋" w:eastAsia="仿宋" w:cs="仿宋"/>
          <w:sz w:val="28"/>
          <w:szCs w:val="28"/>
          <w:highlight w:val="none"/>
        </w:rPr>
        <w:t>%的赔偿金和违约金。</w:t>
      </w:r>
    </w:p>
    <w:p>
      <w:pPr>
        <w:numPr>
          <w:ilvl w:val="0"/>
          <w:numId w:val="38"/>
        </w:num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合同变更、终止</w:t>
      </w:r>
    </w:p>
    <w:p>
      <w:pPr>
        <w:numPr>
          <w:ilvl w:val="0"/>
          <w:numId w:val="39"/>
        </w:numPr>
        <w:snapToGrid w:val="0"/>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如果出现不可预见的情形，影响</w:t>
      </w:r>
      <w:r>
        <w:rPr>
          <w:rFonts w:hint="eastAsia" w:ascii="仿宋" w:hAnsi="仿宋" w:eastAsia="仿宋" w:cs="仿宋"/>
          <w:sz w:val="28"/>
          <w:szCs w:val="28"/>
          <w:highlight w:val="none"/>
          <w:lang w:val="en-US" w:eastAsia="zh-CN"/>
        </w:rPr>
        <w:t>本合同项下相关服务的执行</w:t>
      </w:r>
      <w:r>
        <w:rPr>
          <w:rFonts w:hint="eastAsia" w:ascii="仿宋" w:hAnsi="仿宋" w:eastAsia="仿宋" w:cs="仿宋"/>
          <w:sz w:val="28"/>
          <w:szCs w:val="28"/>
          <w:highlight w:val="none"/>
        </w:rPr>
        <w:t>时，甲乙双方均可要求变更约定事项，但应提前通知对方，并由双方协商解决。</w:t>
      </w:r>
    </w:p>
    <w:p>
      <w:pPr>
        <w:numPr>
          <w:ilvl w:val="0"/>
          <w:numId w:val="39"/>
        </w:numPr>
        <w:snapToGrid w:val="0"/>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本合同签订后，双方应当按约履行，不得无故终止。如遇法定情形或特殊原因确需终止的,提出终止的一方应提前书面通知另一方。</w:t>
      </w:r>
    </w:p>
    <w:p>
      <w:pPr>
        <w:numPr>
          <w:ilvl w:val="0"/>
          <w:numId w:val="39"/>
        </w:numPr>
        <w:snapToGrid w:val="0"/>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在甲方因自身原因单方终止</w:t>
      </w:r>
      <w:r>
        <w:rPr>
          <w:rFonts w:hint="eastAsia" w:ascii="仿宋" w:hAnsi="仿宋" w:eastAsia="仿宋" w:cs="仿宋"/>
          <w:sz w:val="28"/>
          <w:szCs w:val="28"/>
          <w:highlight w:val="none"/>
          <w:lang w:val="en-US" w:eastAsia="zh-CN"/>
        </w:rPr>
        <w:t>本合同</w:t>
      </w:r>
      <w:r>
        <w:rPr>
          <w:rFonts w:hint="eastAsia" w:ascii="仿宋" w:hAnsi="仿宋" w:eastAsia="仿宋" w:cs="仿宋"/>
          <w:sz w:val="28"/>
          <w:szCs w:val="28"/>
          <w:highlight w:val="none"/>
        </w:rPr>
        <w:t>的情况下，</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因如约履行本项目合同且已实际发生的直接费用，</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可按实予以结算。同时，</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不再承担</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由此造成的其他间接费用和损失，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亦不得再就上述事项进行任何形式的索赔。</w:t>
      </w:r>
    </w:p>
    <w:p>
      <w:pPr>
        <w:pStyle w:val="2"/>
        <w:ind w:left="0" w:leftChars="0" w:firstLine="639" w:firstLineChars="237"/>
        <w:rPr>
          <w:rFonts w:hint="default" w:eastAsia="仿宋"/>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在乙方因自身原因单方终止本合同的情况下，乙方须退回甲方已经支付的本合同项下乙方未完成和未开始实施项相关费用。</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保密条款</w:t>
      </w:r>
    </w:p>
    <w:p>
      <w:pPr>
        <w:pStyle w:val="2"/>
        <w:numPr>
          <w:ilvl w:val="0"/>
          <w:numId w:val="0"/>
        </w:numPr>
        <w:ind w:firstLine="54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甲乙双方必须严格</w:t>
      </w:r>
      <w:r>
        <w:rPr>
          <w:rFonts w:hint="eastAsia" w:ascii="仿宋" w:hAnsi="仿宋" w:eastAsia="仿宋" w:cs="仿宋"/>
          <w:sz w:val="28"/>
          <w:szCs w:val="28"/>
          <w:highlight w:val="none"/>
          <w:lang w:val="en-US" w:eastAsia="zh-CN"/>
        </w:rPr>
        <w:t>保</w:t>
      </w:r>
      <w:r>
        <w:rPr>
          <w:rFonts w:hint="eastAsia" w:ascii="仿宋" w:hAnsi="仿宋" w:eastAsia="仿宋" w:cs="仿宋"/>
          <w:sz w:val="28"/>
          <w:szCs w:val="28"/>
          <w:highlight w:val="none"/>
        </w:rPr>
        <w:t>守对方机密，任何一方不得以任何理由和方式泄露项目内容和企业机密。对于乙方所知悉的甲方的商业秘密、商业机会等一切经营信息，乙方</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仿宋" w:hAnsi="仿宋" w:eastAsia="仿宋" w:cs="仿宋"/>
          <w:sz w:val="28"/>
          <w:szCs w:val="28"/>
          <w:highlight w:val="none"/>
          <w:lang w:val="en-US" w:eastAsia="zh-CN"/>
        </w:rPr>
        <w:t>均</w:t>
      </w:r>
      <w:r>
        <w:rPr>
          <w:rFonts w:hint="eastAsia" w:ascii="仿宋" w:hAnsi="仿宋" w:eastAsia="仿宋" w:cs="仿宋"/>
          <w:sz w:val="28"/>
          <w:szCs w:val="28"/>
          <w:highlight w:val="none"/>
        </w:rPr>
        <w:t>约束双方。任何一方违反前述约定，守约方有权追究违约方违约责任。</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不可抗力</w:t>
      </w:r>
    </w:p>
    <w:p>
      <w:pPr>
        <w:pStyle w:val="22"/>
        <w:numPr>
          <w:ilvl w:val="0"/>
          <w:numId w:val="40"/>
        </w:numPr>
        <w:spacing w:line="500" w:lineRule="exact"/>
        <w:ind w:left="0" w:leftChars="0" w:firstLine="635" w:firstLineChars="227"/>
        <w:rPr>
          <w:rFonts w:ascii="仿宋" w:hAnsi="仿宋" w:eastAsia="仿宋" w:cs="仿宋"/>
          <w:sz w:val="28"/>
          <w:szCs w:val="28"/>
          <w:highlight w:val="none"/>
        </w:rPr>
      </w:pPr>
      <w:r>
        <w:rPr>
          <w:rFonts w:hint="eastAsia" w:ascii="仿宋" w:hAnsi="仿宋" w:eastAsia="仿宋" w:cs="仿宋"/>
          <w:sz w:val="28"/>
          <w:szCs w:val="28"/>
          <w:highlight w:val="none"/>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highlight w:val="none"/>
        </w:rPr>
        <w:t>,</w:t>
      </w:r>
      <w:r>
        <w:rPr>
          <w:rFonts w:hint="eastAsia" w:ascii="仿宋" w:hAnsi="仿宋" w:eastAsia="仿宋" w:cs="仿宋"/>
          <w:sz w:val="28"/>
          <w:szCs w:val="28"/>
          <w:highlight w:val="none"/>
        </w:rPr>
        <w:t>并提供有效证明，该方不被视为违反本合同</w:t>
      </w:r>
      <w:r>
        <w:rPr>
          <w:rFonts w:hint="eastAsia" w:ascii="仿宋" w:hAnsi="仿宋" w:eastAsia="仿宋" w:cs="仿宋"/>
          <w:sz w:val="28"/>
          <w:szCs w:val="28"/>
          <w:highlight w:val="none"/>
          <w:lang w:eastAsia="zh-CN"/>
        </w:rPr>
        <w:t>。</w:t>
      </w:r>
    </w:p>
    <w:p>
      <w:pPr>
        <w:pStyle w:val="22"/>
        <w:numPr>
          <w:ilvl w:val="0"/>
          <w:numId w:val="40"/>
        </w:numPr>
        <w:spacing w:line="500" w:lineRule="exact"/>
        <w:ind w:left="0" w:leftChars="0" w:firstLine="635" w:firstLineChars="227"/>
        <w:rPr>
          <w:rFonts w:ascii="仿宋" w:hAnsi="仿宋" w:eastAsia="仿宋" w:cs="仿宋"/>
          <w:sz w:val="28"/>
          <w:szCs w:val="28"/>
          <w:highlight w:val="none"/>
        </w:rPr>
      </w:pPr>
      <w:r>
        <w:rPr>
          <w:rFonts w:hint="eastAsia" w:ascii="仿宋" w:hAnsi="仿宋" w:eastAsia="仿宋" w:cs="仿宋"/>
          <w:sz w:val="28"/>
          <w:szCs w:val="28"/>
          <w:highlight w:val="none"/>
        </w:rPr>
        <w:t>本合同项下的不可抗力是指：无法预见、无法避免且无法克服的客观事实，包括但不限于</w:t>
      </w:r>
      <w:r>
        <w:rPr>
          <w:rFonts w:hint="eastAsia" w:ascii="仿宋" w:hAnsi="仿宋" w:eastAsia="仿宋"/>
          <w:bCs/>
          <w:sz w:val="28"/>
          <w:szCs w:val="28"/>
          <w:highlight w:val="none"/>
        </w:rPr>
        <w:t>战争、罢工、倒闭、暴乱、疾病蔓延、戒严令、火灾、洪水、暴风雨、干旱、火山爆发、爆炸、核或化学事件或辐射、海啸、任何自然灾害</w:t>
      </w:r>
      <w:r>
        <w:rPr>
          <w:rFonts w:hint="eastAsia" w:ascii="仿宋" w:hAnsi="仿宋" w:eastAsia="仿宋" w:cs="仿宋"/>
          <w:sz w:val="28"/>
          <w:szCs w:val="28"/>
          <w:highlight w:val="none"/>
        </w:rPr>
        <w:t>等。</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争议解决</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因本合同有关的任何纠纷或争议，双方应协商解决。协商不成的，双方均可向甲方所在地的人民法院提起诉讼。</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其他条款</w:t>
      </w:r>
    </w:p>
    <w:p>
      <w:pPr>
        <w:numPr>
          <w:ilvl w:val="0"/>
          <w:numId w:val="41"/>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本合同经双方代表人签字并加盖单位公章之日起生效，并在双方履行完成约定事项后终止。</w:t>
      </w:r>
    </w:p>
    <w:p>
      <w:pPr>
        <w:numPr>
          <w:ilvl w:val="0"/>
          <w:numId w:val="41"/>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本合同一式陆份，甲</w:t>
      </w:r>
      <w:r>
        <w:rPr>
          <w:rFonts w:hint="eastAsia" w:ascii="仿宋" w:hAnsi="仿宋" w:eastAsia="仿宋" w:cs="仿宋"/>
          <w:sz w:val="28"/>
          <w:szCs w:val="28"/>
          <w:highlight w:val="none"/>
          <w:lang w:val="en-US" w:eastAsia="zh-CN"/>
        </w:rPr>
        <w:t>方执肆份，</w:t>
      </w:r>
      <w:r>
        <w:rPr>
          <w:rFonts w:hint="eastAsia" w:ascii="仿宋" w:hAnsi="仿宋" w:eastAsia="仿宋" w:cs="仿宋"/>
          <w:sz w:val="28"/>
          <w:szCs w:val="28"/>
          <w:highlight w:val="none"/>
        </w:rPr>
        <w:t>乙方执</w:t>
      </w:r>
      <w:r>
        <w:rPr>
          <w:rFonts w:hint="eastAsia" w:ascii="仿宋" w:hAnsi="仿宋" w:eastAsia="仿宋" w:cs="仿宋"/>
          <w:sz w:val="28"/>
          <w:szCs w:val="28"/>
          <w:highlight w:val="none"/>
          <w:lang w:val="en-US" w:eastAsia="zh-CN"/>
        </w:rPr>
        <w:t>贰</w:t>
      </w:r>
      <w:r>
        <w:rPr>
          <w:rFonts w:hint="eastAsia" w:ascii="仿宋" w:hAnsi="仿宋" w:eastAsia="仿宋" w:cs="仿宋"/>
          <w:sz w:val="28"/>
          <w:szCs w:val="28"/>
          <w:highlight w:val="none"/>
        </w:rPr>
        <w:t>份，具有同等法律效力。</w:t>
      </w:r>
    </w:p>
    <w:p>
      <w:pPr>
        <w:numPr>
          <w:ilvl w:val="0"/>
          <w:numId w:val="41"/>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本合同未尽事宜，经双方协商另行签订补充协议，本合同的附件及任何补充协议与本合同具有同等法律效力。</w:t>
      </w:r>
    </w:p>
    <w:p>
      <w:pPr>
        <w:numPr>
          <w:ilvl w:val="0"/>
          <w:numId w:val="41"/>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hint="eastAsia" w:ascii="仿宋" w:hAnsi="仿宋" w:eastAsia="仿宋" w:cs="仿宋"/>
          <w:b/>
          <w:bCs/>
          <w:sz w:val="28"/>
          <w:szCs w:val="28"/>
          <w:highlight w:val="none"/>
          <w:lang w:val="en-US" w:eastAsia="zh-CN"/>
        </w:rPr>
      </w:pPr>
      <w:r>
        <w:rPr>
          <w:rFonts w:hint="eastAsia" w:ascii="仿宋" w:hAnsi="仿宋" w:eastAsia="仿宋" w:cs="仿宋"/>
          <w:spacing w:val="0"/>
          <w:kern w:val="2"/>
          <w:sz w:val="28"/>
          <w:szCs w:val="28"/>
          <w:highlight w:val="none"/>
        </w:rPr>
        <w:t>（以下无正文，为合同签章页）</w:t>
      </w:r>
      <w:r>
        <w:rPr>
          <w:rFonts w:hint="eastAsia" w:ascii="仿宋" w:hAnsi="仿宋" w:eastAsia="仿宋" w:cs="仿宋"/>
          <w:b/>
          <w:bCs/>
          <w:sz w:val="28"/>
          <w:szCs w:val="28"/>
          <w:highlight w:val="none"/>
          <w:lang w:val="en-US" w:eastAsia="zh-CN"/>
        </w:rPr>
        <w:t xml:space="preserve">    </w:t>
      </w:r>
    </w:p>
    <w:p>
      <w:pPr>
        <w:pStyle w:val="2"/>
        <w:rPr>
          <w:rFonts w:hint="eastAsia" w:ascii="仿宋" w:hAnsi="仿宋" w:eastAsia="仿宋" w:cs="仿宋"/>
          <w:b/>
          <w:bCs/>
          <w:sz w:val="28"/>
          <w:szCs w:val="28"/>
          <w:highlight w:val="none"/>
          <w:lang w:val="en-US" w:eastAsia="zh-CN"/>
        </w:rPr>
      </w:pPr>
    </w:p>
    <w:p>
      <w:pPr>
        <w:spacing w:line="520" w:lineRule="exact"/>
        <w:ind w:firstLine="560"/>
        <w:rPr>
          <w:rFonts w:hint="eastAsia" w:ascii="仿宋" w:hAnsi="仿宋" w:eastAsia="仿宋" w:cs="仿宋"/>
          <w:sz w:val="28"/>
          <w:szCs w:val="28"/>
          <w:highlight w:val="none"/>
        </w:rPr>
      </w:pPr>
      <w:r>
        <w:rPr>
          <w:rFonts w:hint="eastAsia" w:ascii="仿宋" w:hAnsi="仿宋" w:eastAsia="仿宋" w:cs="宋体"/>
          <w:b/>
          <w:kern w:val="0"/>
          <w:sz w:val="28"/>
          <w:szCs w:val="28"/>
          <w:highlight w:val="none"/>
        </w:rPr>
        <w:t>甲  方(盖章)： 深圳会展中心管理有限责任公司</w:t>
      </w:r>
    </w:p>
    <w:p>
      <w:pPr>
        <w:spacing w:line="52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spacing w:line="520" w:lineRule="exact"/>
        <w:ind w:firstLine="562"/>
        <w:rPr>
          <w:rFonts w:hint="eastAsia" w:ascii="仿宋" w:hAnsi="仿宋" w:eastAsia="仿宋" w:cs="仿宋"/>
          <w:sz w:val="28"/>
          <w:szCs w:val="28"/>
          <w:highlight w:val="none"/>
        </w:rPr>
      </w:pPr>
      <w:r>
        <w:rPr>
          <w:rFonts w:hint="eastAsia" w:ascii="仿宋" w:hAnsi="仿宋" w:eastAsia="仿宋" w:cs="仿宋"/>
          <w:b/>
          <w:bCs/>
          <w:sz w:val="28"/>
          <w:szCs w:val="28"/>
          <w:highlight w:val="none"/>
        </w:rPr>
        <w:t>签约时间：</w:t>
      </w:r>
      <w:r>
        <w:rPr>
          <w:rFonts w:hint="eastAsia" w:ascii="仿宋" w:hAnsi="仿宋" w:eastAsia="仿宋" w:cs="仿宋"/>
          <w:sz w:val="28"/>
          <w:szCs w:val="28"/>
          <w:highlight w:val="none"/>
        </w:rPr>
        <w:t xml:space="preserve">      年   月   日      </w:t>
      </w:r>
    </w:p>
    <w:p>
      <w:pPr>
        <w:spacing w:line="520" w:lineRule="exact"/>
        <w:ind w:firstLine="560"/>
        <w:rPr>
          <w:rFonts w:hint="eastAsia" w:ascii="仿宋" w:hAnsi="仿宋" w:eastAsia="仿宋" w:cs="仿宋"/>
          <w:sz w:val="28"/>
          <w:szCs w:val="28"/>
          <w:highlight w:val="none"/>
        </w:rPr>
      </w:pPr>
    </w:p>
    <w:p>
      <w:pPr>
        <w:spacing w:line="520" w:lineRule="exact"/>
        <w:ind w:firstLine="560"/>
        <w:rPr>
          <w:rFonts w:hint="eastAsia" w:ascii="仿宋" w:hAnsi="仿宋" w:eastAsia="仿宋" w:cs="宋体"/>
          <w:b/>
          <w:kern w:val="0"/>
          <w:sz w:val="28"/>
          <w:szCs w:val="28"/>
          <w:highlight w:val="none"/>
        </w:rPr>
      </w:pPr>
      <w:r>
        <w:rPr>
          <w:rFonts w:hint="eastAsia" w:ascii="仿宋" w:hAnsi="仿宋" w:eastAsia="仿宋" w:cs="宋体"/>
          <w:b/>
          <w:kern w:val="0"/>
          <w:sz w:val="28"/>
          <w:szCs w:val="28"/>
          <w:highlight w:val="none"/>
        </w:rPr>
        <w:t xml:space="preserve">乙  方（盖章）：  </w:t>
      </w:r>
    </w:p>
    <w:p>
      <w:pPr>
        <w:spacing w:line="52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法定代表人/授权代表（签名)：</w:t>
      </w:r>
      <w:r>
        <w:rPr>
          <w:rFonts w:hint="eastAsia" w:ascii="仿宋" w:hAnsi="仿宋" w:eastAsia="仿宋" w:cs="仿宋"/>
          <w:sz w:val="28"/>
          <w:szCs w:val="28"/>
          <w:highlight w:val="none"/>
          <w:u w:val="single"/>
        </w:rPr>
        <w:t xml:space="preserve">                  </w:t>
      </w:r>
    </w:p>
    <w:p>
      <w:pPr>
        <w:pStyle w:val="11"/>
        <w:rPr>
          <w:highlight w:val="none"/>
        </w:rPr>
      </w:pPr>
      <w:r>
        <w:rPr>
          <w:rFonts w:hint="eastAsia" w:ascii="仿宋" w:hAnsi="仿宋" w:eastAsia="仿宋" w:cs="仿宋"/>
          <w:b/>
          <w:bCs/>
          <w:sz w:val="28"/>
          <w:szCs w:val="28"/>
          <w:highlight w:val="none"/>
        </w:rPr>
        <w:t>签约时间：</w:t>
      </w:r>
      <w:r>
        <w:rPr>
          <w:rFonts w:hint="eastAsia" w:ascii="仿宋" w:hAnsi="仿宋" w:eastAsia="仿宋" w:cs="仿宋"/>
          <w:sz w:val="28"/>
          <w:szCs w:val="28"/>
          <w:highlight w:val="none"/>
        </w:rPr>
        <w:t xml:space="preserve">      年   月   日   </w:t>
      </w:r>
      <w:r>
        <w:rPr>
          <w:rFonts w:hint="eastAsia" w:ascii="仿宋" w:hAnsi="仿宋" w:eastAsia="仿宋" w:cs="仿宋"/>
          <w:b/>
          <w:bCs/>
          <w:sz w:val="28"/>
          <w:szCs w:val="28"/>
          <w:highlight w:val="none"/>
          <w:lang w:val="en-US" w:eastAsia="zh-CN"/>
        </w:rPr>
        <w:t xml:space="preserve">     </w:t>
      </w:r>
    </w:p>
    <w:p>
      <w:pPr>
        <w:pStyle w:val="11"/>
        <w:rPr>
          <w:highlight w:val="none"/>
        </w:rPr>
      </w:pPr>
    </w:p>
    <w:p>
      <w:pPr>
        <w:pStyle w:val="11"/>
        <w:rPr>
          <w:highlight w:val="none"/>
        </w:rPr>
      </w:pPr>
    </w:p>
    <w:p>
      <w:pPr>
        <w:widowControl/>
        <w:jc w:val="left"/>
        <w:rPr>
          <w:b/>
          <w:sz w:val="32"/>
          <w:szCs w:val="32"/>
          <w:highlight w:val="none"/>
        </w:rPr>
      </w:pPr>
      <w:r>
        <w:rPr>
          <w:b/>
          <w:sz w:val="32"/>
          <w:szCs w:val="32"/>
          <w:highlight w:val="none"/>
        </w:rPr>
        <w:br w:type="page"/>
      </w:r>
    </w:p>
    <w:p>
      <w:pPr>
        <w:spacing w:before="312" w:beforeLines="100" w:after="312" w:afterLines="100" w:line="360" w:lineRule="auto"/>
        <w:jc w:val="center"/>
        <w:outlineLvl w:val="0"/>
        <w:rPr>
          <w:rFonts w:ascii="仿宋" w:hAnsi="仿宋" w:eastAsia="仿宋"/>
          <w:sz w:val="32"/>
          <w:szCs w:val="32"/>
          <w:highlight w:val="none"/>
        </w:rPr>
      </w:pPr>
      <w:bookmarkStart w:id="55" w:name="_Toc106791267"/>
      <w:r>
        <w:rPr>
          <w:rFonts w:hint="eastAsia"/>
          <w:b/>
          <w:sz w:val="32"/>
          <w:szCs w:val="32"/>
          <w:highlight w:val="none"/>
        </w:rPr>
        <w:t>第五部分：参考附件</w:t>
      </w:r>
      <w:bookmarkEnd w:id="55"/>
    </w:p>
    <w:p>
      <w:pPr>
        <w:spacing w:line="0" w:lineRule="atLeast"/>
        <w:outlineLvl w:val="1"/>
        <w:rPr>
          <w:rFonts w:ascii="宋体" w:hAnsi="宋体"/>
          <w:highlight w:val="none"/>
        </w:rPr>
      </w:pPr>
      <w:bookmarkStart w:id="56" w:name="_Toc106791268"/>
      <w:r>
        <w:rPr>
          <w:rFonts w:hint="eastAsia" w:ascii="宋体" w:hAnsi="宋体"/>
          <w:szCs w:val="21"/>
          <w:highlight w:val="none"/>
        </w:rPr>
        <w:t>附件1：</w:t>
      </w:r>
      <w:r>
        <w:rPr>
          <w:rFonts w:hint="eastAsia" w:ascii="宋体" w:hAnsi="宋体"/>
          <w:highlight w:val="none"/>
        </w:rPr>
        <w:t>报名回函</w:t>
      </w:r>
      <w:bookmarkEnd w:id="56"/>
    </w:p>
    <w:p>
      <w:pPr>
        <w:pStyle w:val="11"/>
        <w:rPr>
          <w:highlight w:val="none"/>
        </w:rPr>
      </w:pPr>
    </w:p>
    <w:p>
      <w:pPr>
        <w:pStyle w:val="12"/>
        <w:jc w:val="center"/>
        <w:rPr>
          <w:rFonts w:ascii="方正小标宋简体" w:hAnsi="方正小标宋_GBK" w:eastAsia="方正小标宋简体"/>
          <w:sz w:val="32"/>
          <w:szCs w:val="32"/>
          <w:highlight w:val="none"/>
        </w:rPr>
      </w:pPr>
      <w:r>
        <w:rPr>
          <w:rStyle w:val="17"/>
          <w:rFonts w:hint="eastAsia" w:ascii="方正小标宋简体" w:hAnsi="方正小标宋_GBK" w:eastAsia="方正小标宋简体"/>
          <w:sz w:val="32"/>
          <w:szCs w:val="32"/>
          <w:highlight w:val="none"/>
        </w:rPr>
        <w:t>关于确认参加_________________项目投标的回函</w:t>
      </w:r>
    </w:p>
    <w:p>
      <w:pPr>
        <w:pStyle w:val="12"/>
        <w:rPr>
          <w:rFonts w:ascii="微软雅黑" w:hAnsi="微软雅黑" w:eastAsia="微软雅黑"/>
          <w:sz w:val="18"/>
          <w:szCs w:val="18"/>
          <w:highlight w:val="none"/>
        </w:rPr>
      </w:pPr>
    </w:p>
    <w:p>
      <w:pPr>
        <w:pStyle w:val="12"/>
        <w:rPr>
          <w:rFonts w:ascii="微软雅黑" w:hAnsi="微软雅黑" w:eastAsia="微软雅黑"/>
          <w:sz w:val="18"/>
          <w:szCs w:val="18"/>
          <w:highlight w:val="none"/>
        </w:rPr>
      </w:pPr>
    </w:p>
    <w:p>
      <w:pPr>
        <w:pStyle w:val="12"/>
        <w:rPr>
          <w:rFonts w:ascii="仿宋" w:hAnsi="仿宋" w:eastAsia="仿宋" w:cs="Times New Roman"/>
          <w:bCs/>
          <w:kern w:val="2"/>
          <w:sz w:val="28"/>
          <w:szCs w:val="28"/>
          <w:highlight w:val="none"/>
        </w:rPr>
      </w:pPr>
      <w:r>
        <w:rPr>
          <w:rFonts w:hint="eastAsia" w:ascii="仿宋" w:hAnsi="仿宋" w:eastAsia="仿宋" w:cs="Times New Roman"/>
          <w:bCs/>
          <w:kern w:val="2"/>
          <w:sz w:val="28"/>
          <w:szCs w:val="28"/>
          <w:highlight w:val="none"/>
        </w:rPr>
        <w:t>深圳会展中心管理有限责任公司：</w:t>
      </w:r>
    </w:p>
    <w:p>
      <w:pPr>
        <w:pStyle w:val="12"/>
        <w:spacing w:after="240"/>
        <w:ind w:firstLine="616" w:firstLineChars="220"/>
        <w:rPr>
          <w:rFonts w:ascii="仿宋" w:hAnsi="仿宋" w:eastAsia="仿宋" w:cs="Times New Roman"/>
          <w:bCs/>
          <w:kern w:val="2"/>
          <w:sz w:val="28"/>
          <w:szCs w:val="28"/>
          <w:highlight w:val="none"/>
        </w:rPr>
      </w:pPr>
      <w:r>
        <w:rPr>
          <w:rFonts w:hint="eastAsia" w:ascii="仿宋" w:hAnsi="仿宋" w:eastAsia="仿宋" w:cs="Times New Roman"/>
          <w:bCs/>
          <w:kern w:val="2"/>
          <w:sz w:val="28"/>
          <w:szCs w:val="28"/>
          <w:highlight w:val="none"/>
        </w:rPr>
        <w:t>我公司符合</w:t>
      </w:r>
      <w:r>
        <w:rPr>
          <w:rFonts w:hint="eastAsia" w:ascii="仿宋" w:hAnsi="仿宋" w:eastAsia="仿宋" w:cs="Times New Roman"/>
          <w:b/>
          <w:kern w:val="2"/>
          <w:sz w:val="28"/>
          <w:szCs w:val="28"/>
          <w:highlight w:val="none"/>
        </w:rPr>
        <w:t>_</w:t>
      </w:r>
      <w:r>
        <w:rPr>
          <w:rFonts w:ascii="仿宋" w:hAnsi="仿宋" w:eastAsia="仿宋" w:cs="Times New Roman"/>
          <w:b/>
          <w:kern w:val="2"/>
          <w:sz w:val="28"/>
          <w:szCs w:val="28"/>
          <w:highlight w:val="none"/>
        </w:rPr>
        <w:t>________________</w:t>
      </w:r>
      <w:r>
        <w:rPr>
          <w:rFonts w:hint="eastAsia" w:ascii="仿宋" w:hAnsi="仿宋" w:eastAsia="仿宋" w:cs="Times New Roman"/>
          <w:b/>
          <w:kern w:val="2"/>
          <w:sz w:val="28"/>
          <w:szCs w:val="28"/>
          <w:highlight w:val="none"/>
        </w:rPr>
        <w:t>项目</w:t>
      </w:r>
      <w:r>
        <w:rPr>
          <w:rFonts w:hint="eastAsia" w:ascii="仿宋" w:hAnsi="仿宋" w:eastAsia="仿宋" w:cs="Times New Roman"/>
          <w:bCs/>
          <w:kern w:val="2"/>
          <w:sz w:val="28"/>
          <w:szCs w:val="28"/>
          <w:highlight w:val="none"/>
        </w:rPr>
        <w:t>的资质条件及项目要求，确定按时、按要求提交本项目投标文件。</w:t>
      </w:r>
    </w:p>
    <w:p>
      <w:pPr>
        <w:pStyle w:val="12"/>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联 系 人：</w:t>
      </w:r>
      <w:r>
        <w:rPr>
          <w:rFonts w:hint="eastAsia" w:ascii="仿宋" w:hAnsi="仿宋" w:eastAsia="仿宋"/>
          <w:sz w:val="28"/>
          <w:szCs w:val="28"/>
          <w:highlight w:val="none"/>
          <w:u w:val="single"/>
        </w:rPr>
        <w:t xml:space="preserve">                </w:t>
      </w:r>
      <w:r>
        <w:rPr>
          <w:rFonts w:hint="eastAsia" w:ascii="仿宋" w:hAnsi="仿宋" w:eastAsia="仿宋"/>
          <w:highlight w:val="none"/>
        </w:rPr>
        <w:t>（</w:t>
      </w:r>
      <w:r>
        <w:rPr>
          <w:rFonts w:hint="eastAsia" w:ascii="仿宋" w:hAnsi="仿宋" w:eastAsia="仿宋"/>
          <w:b/>
          <w:bCs/>
          <w:color w:val="FF0000"/>
          <w:highlight w:val="none"/>
        </w:rPr>
        <w:t>必须为本项目的授权代表</w:t>
      </w:r>
      <w:r>
        <w:rPr>
          <w:rFonts w:hint="eastAsia" w:ascii="仿宋" w:hAnsi="仿宋" w:eastAsia="仿宋"/>
          <w:highlight w:val="none"/>
        </w:rPr>
        <w:t>）</w:t>
      </w:r>
    </w:p>
    <w:p>
      <w:pPr>
        <w:pStyle w:val="12"/>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手机号码：</w:t>
      </w:r>
      <w:r>
        <w:rPr>
          <w:rFonts w:hint="eastAsia" w:ascii="仿宋" w:hAnsi="仿宋" w:eastAsia="仿宋"/>
          <w:sz w:val="28"/>
          <w:szCs w:val="28"/>
          <w:highlight w:val="none"/>
          <w:u w:val="single"/>
        </w:rPr>
        <w:t xml:space="preserve">                </w:t>
      </w:r>
    </w:p>
    <w:p>
      <w:pPr>
        <w:pStyle w:val="12"/>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办公电话：</w:t>
      </w:r>
      <w:r>
        <w:rPr>
          <w:rFonts w:hint="eastAsia" w:ascii="仿宋" w:hAnsi="仿宋" w:eastAsia="仿宋"/>
          <w:sz w:val="28"/>
          <w:szCs w:val="28"/>
          <w:highlight w:val="none"/>
          <w:u w:val="single"/>
        </w:rPr>
        <w:t xml:space="preserve">                </w:t>
      </w:r>
      <w:r>
        <w:rPr>
          <w:rFonts w:hint="eastAsia" w:ascii="仿宋" w:hAnsi="仿宋" w:eastAsia="仿宋"/>
          <w:highlight w:val="none"/>
        </w:rPr>
        <w:t>（</w:t>
      </w:r>
      <w:r>
        <w:rPr>
          <w:rFonts w:hint="eastAsia" w:ascii="仿宋" w:hAnsi="仿宋" w:eastAsia="仿宋"/>
          <w:b/>
          <w:color w:val="FF0000"/>
          <w:highlight w:val="none"/>
        </w:rPr>
        <w:t>固定电话</w:t>
      </w:r>
      <w:r>
        <w:rPr>
          <w:rFonts w:hint="eastAsia" w:ascii="仿宋" w:hAnsi="仿宋" w:eastAsia="仿宋"/>
          <w:highlight w:val="none"/>
        </w:rPr>
        <w:t>）</w:t>
      </w:r>
    </w:p>
    <w:p>
      <w:pPr>
        <w:pStyle w:val="12"/>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电子邮箱：</w:t>
      </w:r>
      <w:r>
        <w:rPr>
          <w:rFonts w:hint="eastAsia" w:ascii="仿宋" w:hAnsi="仿宋" w:eastAsia="仿宋"/>
          <w:sz w:val="28"/>
          <w:szCs w:val="28"/>
          <w:highlight w:val="none"/>
          <w:u w:val="single"/>
        </w:rPr>
        <w:t xml:space="preserve">                </w:t>
      </w:r>
      <w:r>
        <w:rPr>
          <w:rFonts w:hint="eastAsia" w:ascii="仿宋" w:hAnsi="仿宋" w:eastAsia="仿宋"/>
          <w:highlight w:val="none"/>
        </w:rPr>
        <w:t>（</w:t>
      </w:r>
      <w:r>
        <w:rPr>
          <w:rFonts w:hint="eastAsia" w:ascii="仿宋" w:hAnsi="仿宋" w:eastAsia="仿宋"/>
          <w:b/>
          <w:bCs/>
          <w:color w:val="FF0000"/>
          <w:highlight w:val="none"/>
        </w:rPr>
        <w:t>所有往来文件需通过此邮箱收发</w:t>
      </w:r>
      <w:r>
        <w:rPr>
          <w:rFonts w:hint="eastAsia" w:ascii="仿宋" w:hAnsi="仿宋" w:eastAsia="仿宋"/>
          <w:highlight w:val="none"/>
        </w:rPr>
        <w:t>）</w:t>
      </w:r>
    </w:p>
    <w:p>
      <w:pPr>
        <w:pStyle w:val="12"/>
        <w:spacing w:after="240"/>
        <w:ind w:firstLine="616" w:firstLineChars="220"/>
        <w:rPr>
          <w:rFonts w:ascii="仿宋" w:hAnsi="仿宋" w:eastAsia="仿宋"/>
          <w:sz w:val="28"/>
          <w:szCs w:val="28"/>
          <w:highlight w:val="none"/>
        </w:rPr>
      </w:pPr>
    </w:p>
    <w:p>
      <w:pPr>
        <w:pStyle w:val="12"/>
        <w:jc w:val="right"/>
        <w:rPr>
          <w:rFonts w:ascii="仿宋" w:hAnsi="仿宋" w:eastAsia="仿宋"/>
          <w:sz w:val="28"/>
          <w:szCs w:val="28"/>
          <w:highlight w:val="none"/>
          <w:u w:val="single"/>
        </w:rPr>
      </w:pPr>
      <w:r>
        <w:rPr>
          <w:rFonts w:hint="eastAsia" w:ascii="仿宋" w:hAnsi="仿宋" w:eastAsia="仿宋"/>
          <w:sz w:val="28"/>
          <w:szCs w:val="28"/>
          <w:highlight w:val="none"/>
        </w:rPr>
        <w:t>投标人名称及盖章：</w:t>
      </w:r>
      <w:r>
        <w:rPr>
          <w:rFonts w:hint="eastAsia" w:ascii="仿宋" w:hAnsi="仿宋" w:eastAsia="仿宋"/>
          <w:sz w:val="28"/>
          <w:szCs w:val="28"/>
          <w:highlight w:val="none"/>
          <w:u w:val="single"/>
        </w:rPr>
        <w:t>_________________________</w:t>
      </w:r>
    </w:p>
    <w:p>
      <w:pPr>
        <w:pStyle w:val="11"/>
        <w:jc w:val="right"/>
        <w:rPr>
          <w:sz w:val="28"/>
          <w:szCs w:val="28"/>
          <w:highlight w:val="none"/>
        </w:rPr>
      </w:pPr>
      <w:r>
        <w:rPr>
          <w:rFonts w:hint="eastAsia" w:ascii="仿宋" w:hAnsi="仿宋" w:eastAsia="仿宋"/>
          <w:sz w:val="28"/>
          <w:szCs w:val="28"/>
          <w:highlight w:val="none"/>
        </w:rPr>
        <w:t>日期：</w:t>
      </w:r>
      <w:r>
        <w:rPr>
          <w:rFonts w:hint="eastAsia" w:ascii="仿宋" w:hAnsi="仿宋" w:eastAsia="仿宋"/>
          <w:sz w:val="28"/>
          <w:szCs w:val="28"/>
          <w:highlight w:val="none"/>
          <w:u w:val="single"/>
        </w:rPr>
        <w:t>________</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__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__ </w:t>
      </w:r>
      <w:r>
        <w:rPr>
          <w:rFonts w:hint="eastAsia" w:ascii="仿宋" w:hAnsi="仿宋" w:eastAsia="仿宋"/>
          <w:sz w:val="28"/>
          <w:szCs w:val="28"/>
          <w:highlight w:val="none"/>
        </w:rPr>
        <w:t>日</w:t>
      </w: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57" w:name="_Toc106791269"/>
      <w:r>
        <w:rPr>
          <w:rFonts w:hint="eastAsia" w:ascii="宋体" w:hAnsi="宋体"/>
          <w:szCs w:val="21"/>
        </w:rPr>
        <w:t>附件2：投标函</w:t>
      </w:r>
      <w:bookmarkEnd w:id="57"/>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widowControl w:val="0"/>
        <w:spacing w:line="0" w:lineRule="atLeast"/>
        <w:outlineLvl w:val="1"/>
        <w:rPr>
          <w:rFonts w:ascii="宋体" w:hAnsi="宋体"/>
          <w:szCs w:val="21"/>
        </w:rPr>
      </w:pPr>
      <w:bookmarkStart w:id="58" w:name="_Toc106791270"/>
      <w:r>
        <w:rPr>
          <w:rFonts w:hint="eastAsia" w:ascii="宋体" w:hAnsi="宋体"/>
          <w:szCs w:val="21"/>
        </w:rPr>
        <w:t>附件3：投标一览表</w:t>
      </w:r>
      <w:bookmarkEnd w:id="58"/>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单位：人民币元</w:t>
      </w:r>
    </w:p>
    <w:p>
      <w:pPr>
        <w:pStyle w:val="2"/>
        <w:spacing w:after="0" w:line="240" w:lineRule="auto"/>
        <w:ind w:left="-2" w:leftChars="-1" w:firstLine="1" w:firstLineChars="1"/>
        <w:jc w:val="left"/>
        <w:rPr>
          <w:rFonts w:hint="eastAsia" w:eastAsia="宋体"/>
          <w:lang w:val="en-US" w:eastAsia="zh-CN"/>
        </w:rPr>
      </w:pPr>
      <w:r>
        <w:rPr>
          <w:rFonts w:hint="eastAsia" w:ascii="宋体" w:hAnsi="宋体"/>
          <w:szCs w:val="21"/>
        </w:rPr>
        <w:t>发票类型</w:t>
      </w:r>
      <w:r>
        <w:rPr>
          <w:rFonts w:hint="eastAsia" w:ascii="宋体" w:hAnsi="宋体"/>
          <w:szCs w:val="21"/>
          <w:lang w:eastAsia="zh-CN"/>
        </w:rPr>
        <w:t>：</w:t>
      </w:r>
      <w:r>
        <w:rPr>
          <w:rFonts w:hint="eastAsia" w:ascii="宋体" w:hAnsi="宋体"/>
          <w:sz w:val="21"/>
          <w:szCs w:val="21"/>
        </w:rPr>
        <w:sym w:font="Wingdings 2" w:char="00A3"/>
      </w:r>
      <w:r>
        <w:rPr>
          <w:rFonts w:hint="eastAsia" w:ascii="宋体" w:hAnsi="宋体"/>
          <w:sz w:val="21"/>
          <w:szCs w:val="21"/>
        </w:rPr>
        <w:t>增值税普通发票</w:t>
      </w:r>
      <w:r>
        <w:rPr>
          <w:rFonts w:hint="eastAsia" w:ascii="宋体" w:hAnsi="宋体"/>
          <w:sz w:val="21"/>
          <w:szCs w:val="21"/>
          <w:lang w:val="en-US" w:eastAsia="zh-CN"/>
        </w:rPr>
        <w:t xml:space="preserve">  </w:t>
      </w:r>
      <w:r>
        <w:rPr>
          <w:rFonts w:hint="eastAsia" w:ascii="宋体" w:hAnsi="宋体"/>
          <w:szCs w:val="21"/>
        </w:rPr>
        <w:t>□增值税专用发票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150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2"/>
              <w:ind w:left="0"/>
              <w:jc w:val="center"/>
              <w:rPr>
                <w:rFonts w:hint="eastAsia"/>
                <w:lang w:val="en-US" w:eastAsia="zh-CN"/>
              </w:rPr>
            </w:pPr>
            <w:r>
              <w:rPr>
                <w:rFonts w:hint="eastAsia"/>
                <w:lang w:val="en-US" w:eastAsia="zh-CN"/>
              </w:rPr>
              <w:t>税前总金额</w:t>
            </w:r>
          </w:p>
          <w:p>
            <w:pPr>
              <w:pStyle w:val="2"/>
              <w:ind w:left="0"/>
              <w:jc w:val="center"/>
              <w:rPr>
                <w:rFonts w:hint="default" w:eastAsia="宋体"/>
                <w:lang w:val="en-US" w:eastAsia="zh-CN"/>
              </w:rPr>
            </w:pPr>
            <w:r>
              <w:rPr>
                <w:rFonts w:hint="eastAsia"/>
                <w:lang w:val="en-US" w:eastAsia="zh-CN"/>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ascii="宋体" w:hAnsi="宋体"/>
                <w:szCs w:val="21"/>
              </w:rPr>
            </w:pPr>
            <w:r>
              <w:rPr>
                <w:rFonts w:hint="eastAsia" w:ascii="宋体" w:hAnsi="宋体"/>
                <w:szCs w:val="21"/>
              </w:rPr>
              <w:t>含税总金额</w:t>
            </w:r>
          </w:p>
        </w:tc>
        <w:tc>
          <w:tcPr>
            <w:tcW w:w="1330" w:type="dxa"/>
            <w:vAlign w:val="center"/>
          </w:tcPr>
          <w:p>
            <w:pPr>
              <w:spacing w:line="360" w:lineRule="auto"/>
              <w:jc w:val="center"/>
              <w:rPr>
                <w:rFonts w:ascii="宋体" w:hAnsi="宋体"/>
                <w:szCs w:val="21"/>
              </w:rPr>
            </w:pPr>
            <w:r>
              <w:rPr>
                <w:rFonts w:hint="eastAsia" w:ascii="宋体" w:hAnsi="宋体"/>
                <w:szCs w:val="21"/>
              </w:rPr>
              <w:t>工期/服务期（自然日）</w:t>
            </w:r>
          </w:p>
        </w:tc>
        <w:tc>
          <w:tcPr>
            <w:tcW w:w="1506" w:type="dxa"/>
            <w:vAlign w:val="center"/>
          </w:tcPr>
          <w:p>
            <w:pPr>
              <w:spacing w:line="360" w:lineRule="auto"/>
              <w:jc w:val="center"/>
              <w:rPr>
                <w:rFonts w:hint="eastAsia" w:ascii="宋体" w:hAnsi="宋体"/>
                <w:szCs w:val="21"/>
              </w:rPr>
            </w:pPr>
            <w:r>
              <w:rPr>
                <w:rFonts w:hint="eastAsia" w:ascii="宋体" w:hAnsi="宋体"/>
                <w:szCs w:val="21"/>
              </w:rPr>
              <w:t>项目负责人</w:t>
            </w:r>
          </w:p>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及联系方式</w:t>
            </w:r>
          </w:p>
        </w:tc>
        <w:tc>
          <w:tcPr>
            <w:tcW w:w="1764" w:type="dxa"/>
            <w:vAlign w:val="center"/>
          </w:tcPr>
          <w:p>
            <w:pPr>
              <w:spacing w:line="360" w:lineRule="auto"/>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330" w:type="dxa"/>
          </w:tcPr>
          <w:p>
            <w:pPr>
              <w:spacing w:line="360" w:lineRule="auto"/>
              <w:jc w:val="center"/>
              <w:rPr>
                <w:rFonts w:ascii="宋体" w:hAnsi="宋体"/>
                <w:szCs w:val="21"/>
              </w:rPr>
            </w:pPr>
          </w:p>
        </w:tc>
        <w:tc>
          <w:tcPr>
            <w:tcW w:w="1506"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r>
        <w:rPr>
          <w:rFonts w:hint="eastAsia" w:ascii="宋体" w:hAnsi="宋体"/>
          <w:szCs w:val="21"/>
        </w:rPr>
        <w:t>说明：表中</w:t>
      </w:r>
      <w:r>
        <w:rPr>
          <w:rFonts w:hint="eastAsia" w:ascii="宋体" w:hAnsi="宋体"/>
          <w:szCs w:val="21"/>
          <w:lang w:eastAsia="zh-CN"/>
        </w:rPr>
        <w:t>“</w:t>
      </w:r>
      <w:r>
        <w:rPr>
          <w:rFonts w:hint="eastAsia" w:ascii="宋体" w:hAnsi="宋体"/>
          <w:szCs w:val="21"/>
        </w:rPr>
        <w:t>安全管理员</w:t>
      </w:r>
      <w:r>
        <w:rPr>
          <w:rFonts w:hint="eastAsia" w:ascii="宋体" w:hAnsi="宋体"/>
          <w:szCs w:val="21"/>
          <w:lang w:eastAsia="zh-CN"/>
        </w:rPr>
        <w:t>”</w:t>
      </w:r>
      <w:r>
        <w:rPr>
          <w:rFonts w:hint="eastAsia" w:ascii="宋体" w:hAnsi="宋体"/>
          <w:szCs w:val="21"/>
        </w:rPr>
        <w:t>项为选填项，根据具体项目要求填写。</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widowControl w:val="0"/>
        <w:spacing w:line="0" w:lineRule="atLeast"/>
        <w:outlineLvl w:val="1"/>
        <w:rPr>
          <w:rFonts w:ascii="宋体" w:hAnsi="宋体"/>
          <w:szCs w:val="21"/>
        </w:rPr>
      </w:pPr>
      <w:bookmarkStart w:id="59" w:name="_Toc106791271"/>
      <w:r>
        <w:rPr>
          <w:rFonts w:hint="eastAsia" w:ascii="宋体" w:hAnsi="宋体"/>
          <w:szCs w:val="21"/>
        </w:rPr>
        <w:t>附件4：考察证明</w:t>
      </w:r>
      <w:bookmarkEnd w:id="59"/>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highlight w:val="none"/>
        </w:rPr>
      </w:pPr>
      <w:r>
        <w:rPr>
          <w:rFonts w:hint="eastAsia" w:ascii="仿宋" w:hAnsi="仿宋" w:eastAsia="仿宋"/>
          <w:sz w:val="28"/>
          <w:szCs w:val="28"/>
        </w:rPr>
        <w:t xml:space="preserve">投标人（   </w:t>
      </w:r>
      <w:r>
        <w:rPr>
          <w:rFonts w:hint="eastAsia" w:ascii="仿宋" w:hAnsi="仿宋" w:eastAsia="仿宋"/>
          <w:sz w:val="28"/>
          <w:szCs w:val="28"/>
          <w:highlight w:val="none"/>
        </w:rPr>
        <w:t xml:space="preserve">                         ）：</w:t>
      </w:r>
    </w:p>
    <w:p>
      <w:pPr>
        <w:spacing w:line="360" w:lineRule="auto"/>
        <w:jc w:val="left"/>
        <w:rPr>
          <w:rFonts w:ascii="仿宋" w:hAnsi="仿宋" w:eastAsia="仿宋"/>
          <w:sz w:val="28"/>
          <w:szCs w:val="28"/>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你单位</w:t>
      </w:r>
      <w:r>
        <w:rPr>
          <w:rFonts w:hint="eastAsia" w:ascii="仿宋" w:hAnsi="仿宋" w:eastAsia="仿宋"/>
          <w:sz w:val="28"/>
          <w:szCs w:val="28"/>
          <w:highlight w:val="none"/>
        </w:rPr>
        <w:t>已于</w:t>
      </w:r>
      <w:r>
        <w:rPr>
          <w:rFonts w:hint="eastAsia" w:ascii="仿宋" w:hAnsi="仿宋" w:eastAsia="仿宋"/>
          <w:b/>
          <w:sz w:val="28"/>
          <w:szCs w:val="28"/>
          <w:highlight w:val="none"/>
          <w:lang w:val="en-US" w:eastAsia="zh-CN"/>
        </w:rPr>
        <w:t xml:space="preserve">      </w:t>
      </w:r>
      <w:r>
        <w:rPr>
          <w:rFonts w:hint="eastAsia" w:ascii="仿宋" w:hAnsi="仿宋" w:eastAsia="仿宋"/>
          <w:b w:val="0"/>
          <w:bCs/>
          <w:sz w:val="28"/>
          <w:szCs w:val="28"/>
          <w:highlight w:val="none"/>
        </w:rPr>
        <w:t>年</w:t>
      </w:r>
      <w:r>
        <w:rPr>
          <w:rFonts w:hint="eastAsia" w:ascii="仿宋" w:hAnsi="仿宋" w:eastAsia="仿宋"/>
          <w:b w:val="0"/>
          <w:bCs/>
          <w:sz w:val="28"/>
          <w:szCs w:val="28"/>
          <w:highlight w:val="none"/>
          <w:lang w:val="en-US" w:eastAsia="zh-CN"/>
        </w:rPr>
        <w:t xml:space="preserve">  </w:t>
      </w:r>
      <w:r>
        <w:rPr>
          <w:rFonts w:hint="eastAsia" w:ascii="仿宋" w:hAnsi="仿宋" w:eastAsia="仿宋"/>
          <w:b w:val="0"/>
          <w:bCs/>
          <w:sz w:val="28"/>
          <w:szCs w:val="28"/>
          <w:highlight w:val="none"/>
        </w:rPr>
        <w:t>月</w:t>
      </w:r>
      <w:r>
        <w:rPr>
          <w:rFonts w:hint="eastAsia" w:ascii="仿宋" w:hAnsi="仿宋" w:eastAsia="仿宋"/>
          <w:b w:val="0"/>
          <w:bCs/>
          <w:sz w:val="28"/>
          <w:szCs w:val="28"/>
          <w:highlight w:val="none"/>
          <w:lang w:val="en-US" w:eastAsia="zh-CN"/>
        </w:rPr>
        <w:t xml:space="preserve">  </w:t>
      </w:r>
      <w:r>
        <w:rPr>
          <w:rFonts w:hint="eastAsia" w:ascii="仿宋" w:hAnsi="仿宋" w:eastAsia="仿宋"/>
          <w:b w:val="0"/>
          <w:bCs/>
          <w:sz w:val="28"/>
          <w:szCs w:val="28"/>
          <w:highlight w:val="none"/>
        </w:rPr>
        <w:t>日</w:t>
      </w:r>
      <w:r>
        <w:rPr>
          <w:rFonts w:hint="eastAsia" w:ascii="仿宋" w:hAnsi="仿宋" w:eastAsia="仿宋"/>
          <w:b w:val="0"/>
          <w:bCs/>
          <w:sz w:val="28"/>
          <w:szCs w:val="28"/>
          <w:highlight w:val="none"/>
          <w:lang w:val="en-US" w:eastAsia="zh-CN"/>
        </w:rPr>
        <w:t>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lang w:val="en-US" w:eastAsia="zh-CN"/>
        </w:rPr>
        <w:t xml:space="preserve">                           </w:t>
      </w:r>
      <w:r>
        <w:rPr>
          <w:rFonts w:hint="eastAsia" w:ascii="仿宋" w:hAnsi="仿宋" w:eastAsia="仿宋"/>
          <w:b/>
          <w:sz w:val="28"/>
          <w:szCs w:val="28"/>
          <w:highlight w:val="none"/>
        </w:rPr>
        <w:t>项目的现场考察</w:t>
      </w:r>
      <w:r>
        <w:rPr>
          <w:rFonts w:hint="eastAsia" w:ascii="仿宋" w:hAnsi="仿宋" w:eastAsia="仿宋"/>
          <w:sz w:val="28"/>
          <w:szCs w:val="28"/>
          <w:highlight w:val="none"/>
        </w:rPr>
        <w:t>，详细听取了招标人的讲解</w:t>
      </w:r>
      <w:r>
        <w:rPr>
          <w:rFonts w:hint="eastAsia" w:ascii="仿宋" w:hAnsi="仿宋" w:eastAsia="仿宋"/>
          <w:sz w:val="28"/>
          <w:szCs w:val="28"/>
        </w:rPr>
        <w:t>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0" w:name="_Toc106791272"/>
      <w:r>
        <w:rPr>
          <w:rFonts w:hint="eastAsia" w:ascii="宋体" w:hAnsi="宋体"/>
          <w:szCs w:val="21"/>
        </w:rPr>
        <w:t>附件5：技术服务响应/偏离表</w:t>
      </w:r>
      <w:bookmarkEnd w:id="6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1" w:name="_Toc211248418"/>
      <w:r>
        <w:rPr>
          <w:rFonts w:hint="eastAsia" w:ascii="方正小标宋_GBK" w:hAnsi="方正小标宋_GBK" w:eastAsia="方正小标宋_GBK"/>
          <w:b/>
          <w:sz w:val="32"/>
          <w:szCs w:val="32"/>
        </w:rPr>
        <w:t>技术服务响应/偏离表</w:t>
      </w:r>
      <w:bookmarkEnd w:id="61"/>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hint="eastAsia"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hint="eastAsia"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hint="eastAsia"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hint="eastAsia"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sz w:val="28"/>
          <w:szCs w:val="28"/>
          <w:lang w:val="en-US" w:eastAsia="zh-CN"/>
        </w:rPr>
        <w:t>不</w:t>
      </w:r>
      <w:r>
        <w:rPr>
          <w:rFonts w:hint="eastAsia" w:ascii="仿宋" w:hAnsi="仿宋" w:eastAsia="仿宋"/>
          <w:sz w:val="28"/>
          <w:szCs w:val="28"/>
        </w:rPr>
        <w:t>完全</w:t>
      </w:r>
      <w:r>
        <w:rPr>
          <w:rFonts w:hint="eastAsia" w:ascii="仿宋" w:hAnsi="仿宋" w:eastAsia="仿宋"/>
          <w:sz w:val="28"/>
          <w:szCs w:val="28"/>
          <w:lang w:val="en-US" w:eastAsia="zh-CN"/>
        </w:rPr>
        <w:t>响应</w:t>
      </w:r>
      <w:r>
        <w:rPr>
          <w:rFonts w:hint="eastAsia" w:ascii="仿宋" w:hAnsi="仿宋" w:eastAsia="仿宋"/>
          <w:sz w:val="28"/>
          <w:szCs w:val="28"/>
        </w:rPr>
        <w:t>《技术服务明细》内容</w:t>
      </w:r>
      <w:r>
        <w:rPr>
          <w:rFonts w:hint="eastAsia" w:ascii="仿宋" w:hAnsi="仿宋" w:eastAsia="仿宋"/>
          <w:sz w:val="28"/>
          <w:szCs w:val="28"/>
          <w:lang w:val="en-US" w:eastAsia="zh-CN"/>
        </w:rPr>
        <w:t>的</w:t>
      </w:r>
      <w:r>
        <w:rPr>
          <w:rFonts w:hint="eastAsia" w:ascii="仿宋" w:hAnsi="仿宋" w:eastAsia="仿宋"/>
          <w:sz w:val="28"/>
          <w:szCs w:val="28"/>
        </w:rPr>
        <w:t>，将会导致该投标文件不能通过</w:t>
      </w:r>
      <w:r>
        <w:rPr>
          <w:rFonts w:hint="eastAsia" w:ascii="仿宋" w:hAnsi="仿宋" w:eastAsia="仿宋"/>
          <w:sz w:val="28"/>
          <w:szCs w:val="28"/>
          <w:lang w:val="en-US" w:eastAsia="zh-CN"/>
        </w:rPr>
        <w:t>不可偏离项</w:t>
      </w:r>
      <w:r>
        <w:rPr>
          <w:rFonts w:hint="eastAsia" w:ascii="仿宋" w:hAnsi="仿宋" w:eastAsia="仿宋"/>
          <w:sz w:val="28"/>
          <w:szCs w:val="28"/>
        </w:rPr>
        <w:t>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lang w:val="en-US" w:eastAsia="zh-CN"/>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w:t>
      </w:r>
      <w:r>
        <w:rPr>
          <w:rFonts w:hint="eastAsia" w:ascii="仿宋" w:hAnsi="仿宋" w:eastAsia="仿宋"/>
          <w:sz w:val="28"/>
          <w:szCs w:val="28"/>
          <w:lang w:val="en-US" w:eastAsia="zh-CN"/>
        </w:rPr>
        <w:t>仅可</w:t>
      </w:r>
      <w:r>
        <w:rPr>
          <w:rFonts w:hint="eastAsia" w:ascii="仿宋" w:hAnsi="仿宋" w:eastAsia="仿宋"/>
          <w:sz w:val="28"/>
          <w:szCs w:val="28"/>
        </w:rPr>
        <w:t>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lang w:val="en-US" w:eastAsia="zh-CN"/>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2"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2"/>
      <w:bookmarkStart w:id="63" w:name="_Toc236803114"/>
      <w:bookmarkStart w:id="64" w:name="_Toc246480945"/>
      <w:r>
        <w:rPr>
          <w:rFonts w:ascii="仿宋" w:hAnsi="仿宋" w:eastAsia="仿宋"/>
          <w:sz w:val="28"/>
          <w:szCs w:val="28"/>
        </w:rPr>
        <w:br w:type="page"/>
      </w:r>
    </w:p>
    <w:p>
      <w:pPr>
        <w:spacing w:line="0" w:lineRule="atLeast"/>
        <w:outlineLvl w:val="1"/>
        <w:rPr>
          <w:rFonts w:ascii="宋体" w:hAnsi="宋体"/>
          <w:szCs w:val="21"/>
        </w:rPr>
      </w:pPr>
      <w:bookmarkStart w:id="65" w:name="_Toc106791273"/>
      <w:r>
        <w:rPr>
          <w:rFonts w:hint="eastAsia" w:ascii="宋体" w:hAnsi="宋体"/>
          <w:szCs w:val="21"/>
        </w:rPr>
        <w:t>附件6：商务条款响应/偏离表</w:t>
      </w:r>
      <w:bookmarkEnd w:id="63"/>
      <w:bookmarkEnd w:id="64"/>
      <w:bookmarkEnd w:id="6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6" w:name="_Toc211248420"/>
      <w:r>
        <w:rPr>
          <w:rFonts w:hint="eastAsia" w:ascii="方正小标宋_GBK" w:hAnsi="方正小标宋_GBK" w:eastAsia="方正小标宋_GBK"/>
          <w:b/>
          <w:sz w:val="32"/>
          <w:szCs w:val="32"/>
        </w:rPr>
        <w:t>商务条款响应/偏离表</w:t>
      </w:r>
      <w:bookmarkEnd w:id="6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sz w:val="28"/>
          <w:szCs w:val="28"/>
          <w:lang w:val="en-US" w:eastAsia="zh-CN"/>
        </w:rPr>
        <w:t>不</w:t>
      </w:r>
      <w:r>
        <w:rPr>
          <w:rFonts w:hint="eastAsia" w:ascii="仿宋" w:hAnsi="仿宋" w:eastAsia="仿宋"/>
          <w:sz w:val="28"/>
          <w:szCs w:val="28"/>
        </w:rPr>
        <w:t>完全</w:t>
      </w:r>
      <w:r>
        <w:rPr>
          <w:rFonts w:hint="eastAsia" w:ascii="仿宋" w:hAnsi="仿宋" w:eastAsia="仿宋"/>
          <w:sz w:val="28"/>
          <w:szCs w:val="28"/>
          <w:lang w:val="en-US" w:eastAsia="zh-CN"/>
        </w:rPr>
        <w:t>响应</w:t>
      </w:r>
      <w:r>
        <w:rPr>
          <w:rFonts w:hint="eastAsia" w:ascii="仿宋" w:hAnsi="仿宋" w:eastAsia="仿宋"/>
          <w:sz w:val="28"/>
          <w:szCs w:val="28"/>
        </w:rPr>
        <w:t>《商务要求明细》内容</w:t>
      </w:r>
      <w:r>
        <w:rPr>
          <w:rFonts w:hint="eastAsia" w:ascii="仿宋" w:hAnsi="仿宋" w:eastAsia="仿宋"/>
          <w:sz w:val="28"/>
          <w:szCs w:val="28"/>
          <w:lang w:val="en-US" w:eastAsia="zh-CN"/>
        </w:rPr>
        <w:t>的</w:t>
      </w:r>
      <w:r>
        <w:rPr>
          <w:rFonts w:hint="eastAsia" w:ascii="仿宋" w:hAnsi="仿宋" w:eastAsia="仿宋"/>
          <w:sz w:val="28"/>
          <w:szCs w:val="28"/>
        </w:rPr>
        <w:t>，将会导致该投标文件不能通过</w:t>
      </w:r>
      <w:r>
        <w:rPr>
          <w:rFonts w:hint="eastAsia" w:ascii="仿宋" w:hAnsi="仿宋" w:eastAsia="仿宋"/>
          <w:sz w:val="28"/>
          <w:szCs w:val="28"/>
          <w:lang w:val="en-US" w:eastAsia="zh-CN"/>
        </w:rPr>
        <w:t>不可偏离项</w:t>
      </w:r>
      <w:r>
        <w:rPr>
          <w:rFonts w:hint="eastAsia" w:ascii="仿宋" w:hAnsi="仿宋" w:eastAsia="仿宋"/>
          <w:sz w:val="28"/>
          <w:szCs w:val="28"/>
        </w:rPr>
        <w:t>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lang w:val="en-US" w:eastAsia="zh-CN"/>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w:t>
      </w:r>
      <w:r>
        <w:rPr>
          <w:rFonts w:hint="eastAsia" w:ascii="仿宋" w:hAnsi="仿宋" w:eastAsia="仿宋"/>
          <w:sz w:val="28"/>
          <w:szCs w:val="28"/>
          <w:lang w:val="en-US" w:eastAsia="zh-CN"/>
        </w:rPr>
        <w:t>仅可</w:t>
      </w:r>
      <w:r>
        <w:rPr>
          <w:rFonts w:hint="eastAsia" w:ascii="仿宋" w:hAnsi="仿宋" w:eastAsia="仿宋"/>
          <w:sz w:val="28"/>
          <w:szCs w:val="28"/>
        </w:rPr>
        <w:t>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lang w:val="en-US" w:eastAsia="zh-CN"/>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7" w:name="_Toc236803111"/>
      <w:bookmarkStart w:id="68" w:name="_Toc478387764"/>
      <w:bookmarkStart w:id="69" w:name="_Toc395883088"/>
      <w:r>
        <w:rPr>
          <w:rFonts w:ascii="仿宋" w:hAnsi="仿宋" w:eastAsia="仿宋"/>
          <w:sz w:val="28"/>
          <w:szCs w:val="28"/>
        </w:rPr>
        <w:br w:type="page"/>
      </w:r>
    </w:p>
    <w:p>
      <w:pPr>
        <w:spacing w:line="0" w:lineRule="atLeast"/>
        <w:outlineLvl w:val="1"/>
        <w:rPr>
          <w:rFonts w:ascii="宋体" w:hAnsi="宋体"/>
          <w:szCs w:val="21"/>
        </w:rPr>
      </w:pPr>
      <w:bookmarkStart w:id="70" w:name="_Toc106791274"/>
      <w:r>
        <w:rPr>
          <w:rFonts w:hint="eastAsia" w:ascii="宋体" w:hAnsi="宋体"/>
          <w:szCs w:val="21"/>
        </w:rPr>
        <w:t>附件7：报价一览表（货物）</w:t>
      </w:r>
      <w:bookmarkEnd w:id="70"/>
    </w:p>
    <w:bookmarkEnd w:id="67"/>
    <w:bookmarkEnd w:id="68"/>
    <w:bookmarkEnd w:id="69"/>
    <w:p>
      <w:pPr>
        <w:spacing w:before="120" w:after="240"/>
        <w:jc w:val="center"/>
        <w:rPr>
          <w:rFonts w:ascii="宋体" w:hAnsi="宋体"/>
          <w:b/>
          <w:sz w:val="32"/>
          <w:szCs w:val="32"/>
        </w:rPr>
      </w:pPr>
      <w:bookmarkStart w:id="71" w:name="_Toc211248412"/>
      <w:r>
        <w:rPr>
          <w:rFonts w:hint="eastAsia" w:ascii="方正小标宋_GBK" w:hAnsi="方正小标宋_GBK" w:eastAsia="方正小标宋_GBK"/>
          <w:b/>
          <w:sz w:val="32"/>
          <w:szCs w:val="32"/>
        </w:rPr>
        <w:t>报价一览表</w:t>
      </w:r>
      <w:bookmarkEnd w:id="7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2" w:name="_Toc82095917"/>
      <w:bookmarkStart w:id="73"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72"/>
    <w:bookmarkEnd w:id="73"/>
    <w:p>
      <w:pPr>
        <w:spacing w:line="0" w:lineRule="atLeast"/>
        <w:outlineLvl w:val="1"/>
        <w:rPr>
          <w:rFonts w:ascii="宋体" w:hAnsi="宋体"/>
          <w:szCs w:val="21"/>
        </w:rPr>
      </w:pPr>
      <w:bookmarkStart w:id="74" w:name="_Toc106791275"/>
      <w:r>
        <w:rPr>
          <w:rFonts w:hint="eastAsia" w:ascii="宋体" w:hAnsi="宋体"/>
          <w:szCs w:val="21"/>
        </w:rPr>
        <w:t>附件8：报价一览表（服务）</w:t>
      </w:r>
      <w:r>
        <w:rPr>
          <w:rFonts w:hint="eastAsia" w:ascii="宋体" w:hAnsi="宋体"/>
          <w:color w:val="FF0000"/>
          <w:szCs w:val="21"/>
        </w:rPr>
        <w:t>（本项目不适用）</w:t>
      </w:r>
      <w:bookmarkEnd w:id="7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4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5" w:name="_Toc106791276"/>
      <w:r>
        <w:rPr>
          <w:rFonts w:hint="eastAsia" w:ascii="宋体" w:hAnsi="宋体"/>
          <w:szCs w:val="21"/>
        </w:rPr>
        <w:t>附件9：报价一览表（工程）</w:t>
      </w:r>
      <w:bookmarkEnd w:id="75"/>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6"/>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6" w:name="_Toc106791277"/>
      <w:r>
        <w:rPr>
          <w:rFonts w:hint="eastAsia" w:ascii="宋体" w:hAnsi="宋体"/>
          <w:szCs w:val="21"/>
        </w:rPr>
        <w:t>附件10：法定代表人证明书</w:t>
      </w:r>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7"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8"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7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9"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0" w:name="_Toc32341"/>
      <w:r>
        <w:rPr>
          <w:rFonts w:ascii="仿宋" w:hAnsi="仿宋" w:eastAsia="仿宋"/>
          <w:sz w:val="28"/>
          <w:szCs w:val="28"/>
        </w:rPr>
        <w:br w:type="page"/>
      </w:r>
    </w:p>
    <w:p>
      <w:pPr>
        <w:spacing w:line="0" w:lineRule="atLeast"/>
        <w:outlineLvl w:val="1"/>
        <w:rPr>
          <w:rFonts w:ascii="宋体" w:hAnsi="宋体"/>
          <w:szCs w:val="21"/>
        </w:rPr>
      </w:pPr>
      <w:bookmarkStart w:id="81"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0"/>
      <w:bookmarkEnd w:id="8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82" w:name="_Toc100848654"/>
      <w:bookmarkStart w:id="83" w:name="_Toc106791282"/>
      <w:r>
        <w:rPr>
          <w:rFonts w:hint="eastAsia" w:ascii="宋体" w:hAnsi="宋体"/>
        </w:rPr>
        <w:t>附件15：投标文件密码</w:t>
      </w:r>
      <w:bookmarkEnd w:id="82"/>
      <w:r>
        <w:rPr>
          <w:rFonts w:hint="eastAsia" w:ascii="宋体" w:hAnsi="宋体"/>
        </w:rPr>
        <w:t>单</w:t>
      </w:r>
      <w:bookmarkEnd w:id="8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4"/>
    </w:p>
    <w:p>
      <w:pPr>
        <w:jc w:val="center"/>
        <w:rPr>
          <w:rFonts w:hint="eastAsia"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hint="eastAsia" w:ascii="仿宋" w:hAnsi="仿宋" w:eastAsia="仿宋"/>
          <w:b/>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49"/>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1"/>
        <w:numPr>
          <w:ilvl w:val="0"/>
          <w:numId w:val="49"/>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leftChars="0" w:firstLine="0" w:firstLineChars="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DBCE2824"/>
    <w:multiLevelType w:val="singleLevel"/>
    <w:tmpl w:val="DBCE2824"/>
    <w:lvl w:ilvl="0" w:tentative="0">
      <w:start w:val="1"/>
      <w:numFmt w:val="decimal"/>
      <w:suff w:val="nothing"/>
      <w:lvlText w:val="（%1）"/>
      <w:lvlJc w:val="left"/>
    </w:lvl>
  </w:abstractNum>
  <w:abstractNum w:abstractNumId="12">
    <w:nsid w:val="EBB28CBD"/>
    <w:multiLevelType w:val="singleLevel"/>
    <w:tmpl w:val="EBB28CBD"/>
    <w:lvl w:ilvl="0" w:tentative="0">
      <w:start w:val="1"/>
      <w:numFmt w:val="decimal"/>
      <w:suff w:val="space"/>
      <w:lvlText w:val="%1."/>
      <w:lvlJc w:val="left"/>
      <w:pPr>
        <w:ind w:left="520" w:leftChars="0" w:firstLine="0" w:firstLineChars="0"/>
      </w:pPr>
    </w:lvl>
  </w:abstractNum>
  <w:abstractNum w:abstractNumId="13">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singleLevel"/>
    <w:tmpl w:val="00000013"/>
    <w:lvl w:ilvl="0" w:tentative="0">
      <w:start w:val="1"/>
      <w:numFmt w:val="decimal"/>
      <w:lvlText w:val="%1."/>
      <w:lvlJc w:val="left"/>
      <w:pPr>
        <w:ind w:left="420" w:hanging="420"/>
      </w:pPr>
    </w:lvl>
  </w:abstractNum>
  <w:abstractNum w:abstractNumId="18">
    <w:nsid w:val="0041604C"/>
    <w:multiLevelType w:val="multilevel"/>
    <w:tmpl w:val="0041604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1D69C2C"/>
    <w:multiLevelType w:val="singleLevel"/>
    <w:tmpl w:val="11D69C2C"/>
    <w:lvl w:ilvl="0" w:tentative="0">
      <w:start w:val="1"/>
      <w:numFmt w:val="decimal"/>
      <w:suff w:val="space"/>
      <w:lvlText w:val="%1."/>
      <w:lvlJc w:val="left"/>
    </w:lvl>
  </w:abstractNum>
  <w:abstractNum w:abstractNumId="2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80C3107"/>
    <w:multiLevelType w:val="multilevel"/>
    <w:tmpl w:val="180C31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E793B13"/>
    <w:multiLevelType w:val="multilevel"/>
    <w:tmpl w:val="1E793B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0AB9193"/>
    <w:multiLevelType w:val="singleLevel"/>
    <w:tmpl w:val="20AB9193"/>
    <w:lvl w:ilvl="0" w:tentative="0">
      <w:start w:val="1"/>
      <w:numFmt w:val="decimal"/>
      <w:lvlText w:val="%1."/>
      <w:lvlJc w:val="left"/>
      <w:pPr>
        <w:ind w:left="425" w:hanging="425"/>
      </w:pPr>
      <w:rPr>
        <w:rFonts w:hint="default"/>
      </w:rPr>
    </w:lvl>
  </w:abstractNum>
  <w:abstractNum w:abstractNumId="26">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E10C89"/>
    <w:multiLevelType w:val="singleLevel"/>
    <w:tmpl w:val="28E10C89"/>
    <w:lvl w:ilvl="0" w:tentative="0">
      <w:start w:val="1"/>
      <w:numFmt w:val="decimal"/>
      <w:suff w:val="space"/>
      <w:lvlText w:val="%1."/>
      <w:lvlJc w:val="left"/>
    </w:lvl>
  </w:abstractNum>
  <w:abstractNum w:abstractNumId="2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3A26D2"/>
    <w:multiLevelType w:val="multilevel"/>
    <w:tmpl w:val="353A26D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E143EB"/>
    <w:multiLevelType w:val="multilevel"/>
    <w:tmpl w:val="35E143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34">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8">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9">
    <w:nsid w:val="556A08DC"/>
    <w:multiLevelType w:val="multilevel"/>
    <w:tmpl w:val="556A08DC"/>
    <w:lvl w:ilvl="0" w:tentative="0">
      <w:start w:val="1"/>
      <w:numFmt w:val="decimal"/>
      <w:lvlText w:val="(%1)"/>
      <w:lvlJc w:val="left"/>
      <w:pPr>
        <w:ind w:left="84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2">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6">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7">
    <w:nsid w:val="7ED17433"/>
    <w:multiLevelType w:val="singleLevel"/>
    <w:tmpl w:val="7ED17433"/>
    <w:lvl w:ilvl="0" w:tentative="0">
      <w:start w:val="1"/>
      <w:numFmt w:val="decimal"/>
      <w:lvlText w:val="（%1）"/>
      <w:lvlJc w:val="left"/>
      <w:pPr>
        <w:ind w:left="420" w:hanging="420"/>
      </w:pPr>
      <w:rPr>
        <w:rFonts w:hint="eastAsia"/>
      </w:rPr>
    </w:lvl>
  </w:abstractNum>
  <w:num w:numId="1">
    <w:abstractNumId w:val="41"/>
  </w:num>
  <w:num w:numId="2">
    <w:abstractNumId w:val="45"/>
  </w:num>
  <w:num w:numId="3">
    <w:abstractNumId w:val="32"/>
  </w:num>
  <w:num w:numId="4">
    <w:abstractNumId w:val="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2"/>
  </w:num>
  <w:num w:numId="8">
    <w:abstractNumId w:val="35"/>
  </w:num>
  <w:num w:numId="9">
    <w:abstractNumId w:val="20"/>
  </w:num>
  <w:num w:numId="10">
    <w:abstractNumId w:val="47"/>
  </w:num>
  <w:num w:numId="11">
    <w:abstractNumId w:val="39"/>
  </w:num>
  <w:num w:numId="12">
    <w:abstractNumId w:val="11"/>
  </w:num>
  <w:num w:numId="13">
    <w:abstractNumId w:val="7"/>
  </w:num>
  <w:num w:numId="14">
    <w:abstractNumId w:val="28"/>
  </w:num>
  <w:num w:numId="15">
    <w:abstractNumId w:val="16"/>
  </w:num>
  <w:num w:numId="16">
    <w:abstractNumId w:val="23"/>
  </w:num>
  <w:num w:numId="17">
    <w:abstractNumId w:val="24"/>
  </w:num>
  <w:num w:numId="18">
    <w:abstractNumId w:val="30"/>
  </w:num>
  <w:num w:numId="19">
    <w:abstractNumId w:val="18"/>
  </w:num>
  <w:num w:numId="20">
    <w:abstractNumId w:val="21"/>
  </w:num>
  <w:num w:numId="21">
    <w:abstractNumId w:val="31"/>
  </w:num>
  <w:num w:numId="22">
    <w:abstractNumId w:val="3"/>
  </w:num>
  <w:num w:numId="23">
    <w:abstractNumId w:val="9"/>
  </w:num>
  <w:num w:numId="24">
    <w:abstractNumId w:val="36"/>
  </w:num>
  <w:num w:numId="25">
    <w:abstractNumId w:val="33"/>
  </w:num>
  <w:num w:numId="26">
    <w:abstractNumId w:val="12"/>
  </w:num>
  <w:num w:numId="27">
    <w:abstractNumId w:val="25"/>
  </w:num>
  <w:num w:numId="28">
    <w:abstractNumId w:val="6"/>
  </w:num>
  <w:num w:numId="29">
    <w:abstractNumId w:val="43"/>
  </w:num>
  <w:num w:numId="30">
    <w:abstractNumId w:val="19"/>
  </w:num>
  <w:num w:numId="31">
    <w:abstractNumId w:val="38"/>
  </w:num>
  <w:num w:numId="32">
    <w:abstractNumId w:val="4"/>
  </w:num>
  <w:num w:numId="33">
    <w:abstractNumId w:val="26"/>
  </w:num>
  <w:num w:numId="34">
    <w:abstractNumId w:val="1"/>
  </w:num>
  <w:num w:numId="35">
    <w:abstractNumId w:val="10"/>
  </w:num>
  <w:num w:numId="36">
    <w:abstractNumId w:val="8"/>
  </w:num>
  <w:num w:numId="37">
    <w:abstractNumId w:val="46"/>
  </w:num>
  <w:num w:numId="38">
    <w:abstractNumId w:val="0"/>
  </w:num>
  <w:num w:numId="39">
    <w:abstractNumId w:val="2"/>
  </w:num>
  <w:num w:numId="40">
    <w:abstractNumId w:val="34"/>
  </w:num>
  <w:num w:numId="41">
    <w:abstractNumId w:val="13"/>
  </w:num>
  <w:num w:numId="42">
    <w:abstractNumId w:val="15"/>
  </w:num>
  <w:num w:numId="43">
    <w:abstractNumId w:val="14"/>
  </w:num>
  <w:num w:numId="44">
    <w:abstractNumId w:val="44"/>
  </w:num>
  <w:num w:numId="45">
    <w:abstractNumId w:val="37"/>
  </w:num>
  <w:num w:numId="46">
    <w:abstractNumId w:val="29"/>
  </w:num>
  <w:num w:numId="47">
    <w:abstractNumId w:val="17"/>
  </w:num>
  <w:num w:numId="48">
    <w:abstractNumId w:val="4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C73DA"/>
    <w:rsid w:val="00CD24C8"/>
    <w:rsid w:val="00CD4DCE"/>
    <w:rsid w:val="00CE24CE"/>
    <w:rsid w:val="00CE34F4"/>
    <w:rsid w:val="00CE5F16"/>
    <w:rsid w:val="00CF3F58"/>
    <w:rsid w:val="00D13594"/>
    <w:rsid w:val="00D2411A"/>
    <w:rsid w:val="00D4224E"/>
    <w:rsid w:val="00D43550"/>
    <w:rsid w:val="00D629CE"/>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A092E"/>
    <w:rsid w:val="00FA63B5"/>
    <w:rsid w:val="00FA6D58"/>
    <w:rsid w:val="00FD52D3"/>
    <w:rsid w:val="00FE72DF"/>
    <w:rsid w:val="00FF2F91"/>
    <w:rsid w:val="028433EC"/>
    <w:rsid w:val="02B47C4D"/>
    <w:rsid w:val="031D2708"/>
    <w:rsid w:val="037F438C"/>
    <w:rsid w:val="04450729"/>
    <w:rsid w:val="04D46768"/>
    <w:rsid w:val="04F90B5F"/>
    <w:rsid w:val="053A1CC8"/>
    <w:rsid w:val="06856661"/>
    <w:rsid w:val="077B4608"/>
    <w:rsid w:val="07BB74B6"/>
    <w:rsid w:val="08493DEA"/>
    <w:rsid w:val="086E4EC9"/>
    <w:rsid w:val="0B734A64"/>
    <w:rsid w:val="0B7D0179"/>
    <w:rsid w:val="0C0D2A09"/>
    <w:rsid w:val="0CDE01F2"/>
    <w:rsid w:val="0DD201F4"/>
    <w:rsid w:val="0F4526B6"/>
    <w:rsid w:val="0FF974D2"/>
    <w:rsid w:val="10091618"/>
    <w:rsid w:val="104A7010"/>
    <w:rsid w:val="10C12762"/>
    <w:rsid w:val="14E47C15"/>
    <w:rsid w:val="152B64B8"/>
    <w:rsid w:val="15740DA4"/>
    <w:rsid w:val="167F5380"/>
    <w:rsid w:val="17527030"/>
    <w:rsid w:val="185C5CFD"/>
    <w:rsid w:val="195A6BC0"/>
    <w:rsid w:val="1AC20755"/>
    <w:rsid w:val="1BE95DD6"/>
    <w:rsid w:val="1C5670DA"/>
    <w:rsid w:val="227A4EED"/>
    <w:rsid w:val="228D0750"/>
    <w:rsid w:val="24786106"/>
    <w:rsid w:val="25A5748F"/>
    <w:rsid w:val="25D85A3C"/>
    <w:rsid w:val="267E19B6"/>
    <w:rsid w:val="26E95967"/>
    <w:rsid w:val="2A1D36D7"/>
    <w:rsid w:val="2A6F3CE1"/>
    <w:rsid w:val="2B9E3425"/>
    <w:rsid w:val="2BD84FDD"/>
    <w:rsid w:val="2BFA4386"/>
    <w:rsid w:val="2CD73EA3"/>
    <w:rsid w:val="2D6D1AF7"/>
    <w:rsid w:val="2D845ED0"/>
    <w:rsid w:val="2E174120"/>
    <w:rsid w:val="2E8634FD"/>
    <w:rsid w:val="2F5377F4"/>
    <w:rsid w:val="2F922F0C"/>
    <w:rsid w:val="30381F4F"/>
    <w:rsid w:val="32D27E8A"/>
    <w:rsid w:val="34A05B77"/>
    <w:rsid w:val="37097428"/>
    <w:rsid w:val="382675D6"/>
    <w:rsid w:val="38AC36F6"/>
    <w:rsid w:val="39070114"/>
    <w:rsid w:val="39934392"/>
    <w:rsid w:val="3A4837E2"/>
    <w:rsid w:val="3BB26AC4"/>
    <w:rsid w:val="3C35255B"/>
    <w:rsid w:val="3D3679ED"/>
    <w:rsid w:val="408D7227"/>
    <w:rsid w:val="41407E51"/>
    <w:rsid w:val="416718EC"/>
    <w:rsid w:val="430F5AD0"/>
    <w:rsid w:val="431B14E6"/>
    <w:rsid w:val="439D7A21"/>
    <w:rsid w:val="43D97719"/>
    <w:rsid w:val="447267E8"/>
    <w:rsid w:val="44E431E5"/>
    <w:rsid w:val="45F6663D"/>
    <w:rsid w:val="46B30DE6"/>
    <w:rsid w:val="492A4A83"/>
    <w:rsid w:val="495C1F5C"/>
    <w:rsid w:val="4A201B27"/>
    <w:rsid w:val="4AF77150"/>
    <w:rsid w:val="4B8B03E4"/>
    <w:rsid w:val="4D9A3F67"/>
    <w:rsid w:val="4DDF67CC"/>
    <w:rsid w:val="4EE12BFB"/>
    <w:rsid w:val="50FA6A61"/>
    <w:rsid w:val="51794BC1"/>
    <w:rsid w:val="53D25371"/>
    <w:rsid w:val="540F1FD2"/>
    <w:rsid w:val="54CC613F"/>
    <w:rsid w:val="561F6663"/>
    <w:rsid w:val="57315BF2"/>
    <w:rsid w:val="57594B93"/>
    <w:rsid w:val="594A6990"/>
    <w:rsid w:val="59B711E0"/>
    <w:rsid w:val="5A2E0F40"/>
    <w:rsid w:val="5ABA41DD"/>
    <w:rsid w:val="5D1161E1"/>
    <w:rsid w:val="5E8307E5"/>
    <w:rsid w:val="5F4A7BAF"/>
    <w:rsid w:val="5F6A2EE9"/>
    <w:rsid w:val="60A60070"/>
    <w:rsid w:val="617961BE"/>
    <w:rsid w:val="61A26997"/>
    <w:rsid w:val="62005A78"/>
    <w:rsid w:val="622C21AB"/>
    <w:rsid w:val="62D00ABF"/>
    <w:rsid w:val="63391D10"/>
    <w:rsid w:val="640C25AF"/>
    <w:rsid w:val="64366D70"/>
    <w:rsid w:val="6780314C"/>
    <w:rsid w:val="683A303D"/>
    <w:rsid w:val="68E97B63"/>
    <w:rsid w:val="6A5B2F9C"/>
    <w:rsid w:val="6B1E605C"/>
    <w:rsid w:val="6C5E0507"/>
    <w:rsid w:val="6C6B5505"/>
    <w:rsid w:val="6D0307D2"/>
    <w:rsid w:val="6DF67C63"/>
    <w:rsid w:val="6E3F209B"/>
    <w:rsid w:val="71E86EEC"/>
    <w:rsid w:val="725336E8"/>
    <w:rsid w:val="72A65D8B"/>
    <w:rsid w:val="74783A1C"/>
    <w:rsid w:val="74AB354D"/>
    <w:rsid w:val="74B05132"/>
    <w:rsid w:val="752B423E"/>
    <w:rsid w:val="76C52AAF"/>
    <w:rsid w:val="76E063E5"/>
    <w:rsid w:val="772A35DE"/>
    <w:rsid w:val="77F15420"/>
    <w:rsid w:val="798425C1"/>
    <w:rsid w:val="79A35F22"/>
    <w:rsid w:val="79BF662E"/>
    <w:rsid w:val="7A751935"/>
    <w:rsid w:val="7B2952F2"/>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15547-53C4-4572-9D4E-3AA5E166CB94}">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12902</Words>
  <Characters>13829</Characters>
  <Lines>131</Lines>
  <Paragraphs>37</Paragraphs>
  <TotalTime>25</TotalTime>
  <ScaleCrop>false</ScaleCrop>
  <LinksUpToDate>false</LinksUpToDate>
  <CharactersWithSpaces>16485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2022-06-22T02:22:00Z</dcterms:created>
  <dc:creator>Tony Young</dc:creator>
  <cp:lastModifiedBy>黄奕璋</cp:lastModifiedBy>
  <dcterms:modified xsi:type="dcterms:W3CDTF">2023-03-27T02:54:03Z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