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lang w:val="en-US" w:eastAsia="zh-CN"/>
        </w:rPr>
        <w:t>深圳会展中心购买采购与成本管理系统</w:t>
      </w:r>
      <w:r>
        <w:rPr>
          <w:rFonts w:hint="eastAsia" w:ascii="方正小标宋简体" w:hAnsi="方正小标宋_GBK" w:eastAsia="方正小标宋简体" w:cs="方正小标宋_GBK"/>
          <w:b/>
          <w:color w:val="auto"/>
          <w:sz w:val="32"/>
          <w:szCs w:val="32"/>
          <w:highlight w:val="none"/>
        </w:rPr>
        <w:t>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5</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深圳会展中心购买采购与成本管理系统</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eastAsia" w:ascii="宋体" w:hAnsi="宋体" w:eastAsia="宋体"/>
                <w:i/>
                <w:color w:val="auto"/>
                <w:szCs w:val="21"/>
                <w:highlight w:val="none"/>
                <w:lang w:val="en-US" w:eastAsia="zh-CN"/>
              </w:rPr>
            </w:pPr>
            <w:bookmarkStart w:id="96" w:name="_GoBack"/>
            <w:r>
              <w:rPr>
                <w:rFonts w:hint="eastAsia" w:ascii="宋体" w:hAnsi="宋体"/>
                <w:color w:val="auto"/>
                <w:szCs w:val="21"/>
                <w:highlight w:val="none"/>
              </w:rPr>
              <w:t>为规范和优化公司物资采购、库存管理以及物资领用等业务流程，提高成本管控精细化程度，办公室拟购买采购与成本管理系统</w:t>
            </w:r>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eastAsia="宋体" w:cs="宋体"/>
                <w:szCs w:val="21"/>
              </w:rPr>
              <w:t>本项目交付期限为合同签订后</w:t>
            </w:r>
            <w:r>
              <w:rPr>
                <w:rFonts w:hint="eastAsia" w:ascii="宋体" w:eastAsia="宋体" w:cs="宋体"/>
                <w:szCs w:val="21"/>
                <w:lang w:val="en-US" w:eastAsia="zh-CN"/>
              </w:rPr>
              <w:t>60</w:t>
            </w:r>
            <w:r>
              <w:rPr>
                <w:rFonts w:hint="eastAsia" w:ascii="宋体" w:eastAsia="宋体" w:cs="宋体"/>
                <w:szCs w:val="21"/>
              </w:rPr>
              <w:t>个自然日（</w:t>
            </w:r>
            <w:r>
              <w:rPr>
                <w:rFonts w:hint="eastAsia" w:ascii="宋体" w:hAnsi="宋体" w:eastAsia="宋体" w:cs="宋体"/>
                <w:szCs w:val="21"/>
                <w:lang w:val="en-US" w:eastAsia="zh-CN"/>
              </w:rPr>
              <w:t>其中包含完成需求调研、设计、编码、测试、部署上线的时间）</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w:t>
            </w:r>
            <w:r>
              <w:rPr>
                <w:rFonts w:hint="eastAsia" w:ascii="宋体" w:hAnsi="宋体"/>
                <w:b/>
                <w:bCs/>
                <w:szCs w:val="21"/>
                <w:highlight w:val="yellow"/>
                <w:lang w:val="en-US" w:eastAsia="zh-CN"/>
              </w:rPr>
              <w:t>4</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https://cg.szcec.com/sharing/oPktLo5Ku</w:t>
            </w:r>
            <w:r>
              <w:rPr>
                <w:rFonts w:hint="eastAsia" w:ascii="宋体" w:hAnsi="宋体"/>
                <w:b/>
                <w:bCs/>
                <w:szCs w:val="21"/>
                <w:highlight w:val="yellow"/>
                <w:lang w:eastAsia="zh-CN"/>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 xml:space="preserve"> </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w:t>
            </w:r>
            <w:r>
              <w:rPr>
                <w:rFonts w:hint="eastAsia" w:ascii="宋体" w:hAnsi="宋体"/>
                <w:b/>
                <w:bCs/>
                <w:szCs w:val="21"/>
                <w:highlight w:val="yellow"/>
                <w:lang w:val="en-US" w:eastAsia="zh-CN"/>
              </w:rPr>
              <w:t>14</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https://cg.szcec.com/sharing/cHDLaQ6rq，</w:t>
            </w:r>
            <w:r>
              <w:rPr>
                <w:rFonts w:hint="eastAsia" w:ascii="宋体" w:hAnsi="宋体"/>
                <w:szCs w:val="21"/>
              </w:rPr>
              <w:t>并致电确认</w:t>
            </w:r>
            <w:bookmarkStart w:id="3" w:name="_Toc478393187"/>
            <w:bookmarkStart w:id="4" w:name="_Toc478392822"/>
            <w:bookmarkStart w:id="5"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w:t>
            </w:r>
            <w:r>
              <w:rPr>
                <w:rFonts w:hint="eastAsia" w:ascii="宋体" w:hAnsi="宋体"/>
                <w:b/>
                <w:bCs/>
                <w:szCs w:val="21"/>
                <w:highlight w:val="yellow"/>
                <w:lang w:val="en-US" w:eastAsia="zh-CN"/>
              </w:rPr>
              <w:t>16</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525</w:t>
            </w:r>
            <w:r>
              <w:rPr>
                <w:rFonts w:hint="eastAsia" w:ascii="宋体" w:hAnsi="宋体"/>
                <w:b/>
                <w:bCs/>
                <w:szCs w:val="21"/>
                <w:highlight w:val="yellow"/>
              </w:rPr>
              <w:t>-</w:t>
            </w:r>
            <w:r>
              <w:rPr>
                <w:rFonts w:hint="eastAsia" w:ascii="宋体" w:hAnsi="宋体"/>
                <w:b/>
                <w:bCs/>
                <w:szCs w:val="21"/>
                <w:highlight w:val="yellow"/>
                <w:lang w:val="en-US" w:eastAsia="zh-CN"/>
              </w:rPr>
              <w:t>171</w:t>
            </w:r>
            <w:r>
              <w:rPr>
                <w:rFonts w:hint="eastAsia" w:ascii="宋体" w:hAnsi="宋体"/>
                <w:b/>
                <w:bCs/>
                <w:szCs w:val="21"/>
                <w:highlight w:val="yellow"/>
              </w:rPr>
              <w:t>-</w:t>
            </w:r>
            <w:r>
              <w:rPr>
                <w:rFonts w:hint="eastAsia" w:ascii="宋体" w:hAnsi="宋体"/>
                <w:b/>
                <w:bCs/>
                <w:szCs w:val="21"/>
                <w:highlight w:val="yellow"/>
                <w:lang w:val="en-US" w:eastAsia="zh-CN"/>
              </w:rPr>
              <w:t>203</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https://cg.szcec.com/sharing/fqaexs9ZC</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□组织，踏</w:t>
            </w:r>
            <w:r>
              <w:rPr>
                <w:rFonts w:hint="eastAsia" w:ascii="宋体" w:hAnsi="宋体" w:cstheme="minorBidi"/>
                <w:kern w:val="0"/>
                <w:szCs w:val="21"/>
              </w:rPr>
              <w:t>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588"/>
      <w:bookmarkEnd w:id="7"/>
      <w:bookmarkStart w:id="8" w:name="_Toc82684590"/>
      <w:bookmarkEnd w:id="8"/>
      <w:bookmarkStart w:id="9" w:name="_Toc82684706"/>
      <w:bookmarkEnd w:id="9"/>
      <w:bookmarkStart w:id="10" w:name="_Toc82684589"/>
      <w:bookmarkEnd w:id="10"/>
      <w:bookmarkStart w:id="11" w:name="_Toc82684703"/>
      <w:bookmarkEnd w:id="11"/>
      <w:bookmarkStart w:id="12" w:name="_Toc82685543"/>
      <w:bookmarkEnd w:id="12"/>
      <w:bookmarkStart w:id="13" w:name="_Toc82684704"/>
      <w:bookmarkEnd w:id="13"/>
      <w:bookmarkStart w:id="14" w:name="_Toc82591926"/>
      <w:bookmarkEnd w:id="14"/>
      <w:bookmarkStart w:id="15" w:name="_Toc82685542"/>
      <w:bookmarkEnd w:id="15"/>
      <w:bookmarkStart w:id="16" w:name="_Toc82591928"/>
      <w:bookmarkEnd w:id="16"/>
      <w:bookmarkStart w:id="17" w:name="_Toc82685540"/>
      <w:bookmarkEnd w:id="17"/>
      <w:bookmarkStart w:id="18" w:name="_Toc82591927"/>
      <w:bookmarkEnd w:id="18"/>
      <w:bookmarkStart w:id="19" w:name="_Toc82684591"/>
      <w:bookmarkEnd w:id="19"/>
      <w:bookmarkStart w:id="20" w:name="_Toc82685541"/>
      <w:bookmarkEnd w:id="20"/>
      <w:bookmarkStart w:id="21" w:name="_Toc82591925"/>
      <w:bookmarkEnd w:id="21"/>
      <w:bookmarkStart w:id="22" w:name="_Toc82684705"/>
      <w:bookmarkEnd w:id="22"/>
      <w:bookmarkStart w:id="23" w:name="_Toc116550346"/>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30"/>
      <w:bookmarkEnd w:id="27"/>
      <w:bookmarkStart w:id="28" w:name="_Toc82685545"/>
      <w:bookmarkEnd w:id="28"/>
      <w:bookmarkStart w:id="29" w:name="_Toc82591989"/>
      <w:bookmarkEnd w:id="29"/>
      <w:bookmarkStart w:id="30" w:name="_Toc82591987"/>
      <w:bookmarkEnd w:id="30"/>
      <w:bookmarkStart w:id="31" w:name="_Toc82591988"/>
      <w:bookmarkEnd w:id="31"/>
      <w:bookmarkStart w:id="32" w:name="_Toc82684708"/>
      <w:bookmarkEnd w:id="32"/>
      <w:bookmarkStart w:id="33" w:name="_Toc82591985"/>
      <w:bookmarkEnd w:id="33"/>
      <w:bookmarkStart w:id="34" w:name="_Toc82684593"/>
      <w:bookmarkEnd w:id="34"/>
      <w:bookmarkStart w:id="35" w:name="_Toc82591986"/>
      <w:bookmarkEnd w:id="35"/>
      <w:bookmarkStart w:id="36" w:name="_Toc116550347"/>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hint="eastAsia"/>
                <w:lang w:val="en-US" w:eastAsia="zh-CN"/>
              </w:rPr>
              <w:t>被授权人身份证复印件。</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最少提供</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份时间自2020年3月1日至本公告发布之日（以合同签订日期为准）合计金额不低于</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万的</w:t>
            </w:r>
            <w:r>
              <w:rPr>
                <w:rFonts w:hint="eastAsia" w:ascii="宋体" w:hAnsi="宋体" w:cs="宋体"/>
                <w:color w:val="auto"/>
                <w:szCs w:val="21"/>
                <w:highlight w:val="none"/>
                <w:lang w:val="en-US" w:eastAsia="zh-CN"/>
              </w:rPr>
              <w:t>同类软件</w:t>
            </w:r>
            <w:r>
              <w:rPr>
                <w:rFonts w:hint="eastAsia" w:ascii="宋体" w:hAnsi="宋体" w:cs="宋体"/>
                <w:color w:val="auto"/>
                <w:szCs w:val="21"/>
                <w:highlight w:val="none"/>
              </w:rPr>
              <w:t>系统服务合同业绩。提供合同关键页复印件并加盖参加单位公章。合同关键页包含但不限于项目名称、业主方名称、合同金额、合同主要内容、签订时间、甲乙双方盖章等信息。</w:t>
            </w:r>
          </w:p>
          <w:p>
            <w:pPr>
              <w:numPr>
                <w:ilvl w:val="-1"/>
                <w:numId w:val="0"/>
              </w:numPr>
              <w:tabs>
                <w:tab w:val="left" w:pos="531"/>
              </w:tabs>
              <w:snapToGrid w:val="0"/>
              <w:ind w:left="0" w:firstLine="0"/>
              <w:rPr>
                <w:rFonts w:ascii="宋体" w:hAnsi="宋体" w:cs="宋体"/>
                <w:color w:val="FF0000"/>
                <w:highlight w:val="yellow"/>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ascii="宋体" w:hAnsi="宋体" w:cs="仿宋_GB2312"/>
                <w:color w:val="auto"/>
                <w:szCs w:val="21"/>
                <w:highlight w:val="none"/>
              </w:rPr>
              <w:t>投标报价包括但不限于</w:t>
            </w:r>
            <w:r>
              <w:rPr>
                <w:rFonts w:hint="eastAsia" w:ascii="宋体" w:hAnsi="宋体" w:cs="仿宋_GB2312"/>
                <w:color w:val="auto"/>
                <w:szCs w:val="21"/>
                <w:highlight w:val="none"/>
                <w:lang w:eastAsia="zh-CN"/>
              </w:rPr>
              <w:t>软件</w:t>
            </w:r>
            <w:r>
              <w:rPr>
                <w:rFonts w:hint="eastAsia" w:ascii="宋体" w:hAnsi="宋体" w:eastAsia="宋体" w:cs="仿宋_GB2312"/>
                <w:color w:val="auto"/>
                <w:szCs w:val="21"/>
                <w:highlight w:val="none"/>
              </w:rPr>
              <w:t>开发费、安装部署</w:t>
            </w:r>
            <w:r>
              <w:rPr>
                <w:rFonts w:hint="eastAsia" w:ascii="宋体" w:hAnsi="宋体" w:cs="仿宋_GB2312"/>
                <w:color w:val="auto"/>
                <w:szCs w:val="21"/>
                <w:highlight w:val="none"/>
                <w:lang w:val="en-US" w:eastAsia="zh-CN"/>
              </w:rPr>
              <w:t>费</w:t>
            </w:r>
            <w:r>
              <w:rPr>
                <w:rFonts w:hint="eastAsia" w:ascii="宋体" w:hAnsi="宋体" w:eastAsia="宋体" w:cs="仿宋_GB2312"/>
                <w:color w:val="auto"/>
                <w:szCs w:val="21"/>
                <w:highlight w:val="none"/>
              </w:rPr>
              <w:t>、相关软件</w:t>
            </w:r>
            <w:r>
              <w:rPr>
                <w:rFonts w:hint="eastAsia" w:ascii="宋体" w:hAnsi="宋体" w:cs="仿宋_GB2312"/>
                <w:color w:val="auto"/>
                <w:szCs w:val="21"/>
                <w:highlight w:val="none"/>
                <w:lang w:val="en-US" w:eastAsia="zh-CN"/>
              </w:rPr>
              <w:t>版权费</w:t>
            </w:r>
            <w:r>
              <w:rPr>
                <w:rFonts w:hint="eastAsia" w:ascii="宋体" w:hAnsi="宋体" w:eastAsia="宋体" w:cs="仿宋_GB2312"/>
                <w:color w:val="auto"/>
                <w:szCs w:val="21"/>
                <w:highlight w:val="none"/>
              </w:rPr>
              <w:t>、调试</w:t>
            </w:r>
            <w:r>
              <w:rPr>
                <w:rFonts w:hint="eastAsia" w:ascii="宋体" w:hAnsi="宋体" w:cs="仿宋_GB2312"/>
                <w:color w:val="auto"/>
                <w:szCs w:val="21"/>
                <w:highlight w:val="none"/>
                <w:lang w:val="en-US" w:eastAsia="zh-CN"/>
              </w:rPr>
              <w:t>费</w:t>
            </w:r>
            <w:r>
              <w:rPr>
                <w:rFonts w:hint="eastAsia" w:ascii="宋体" w:hAnsi="宋体" w:eastAsia="宋体" w:cs="仿宋_GB2312"/>
                <w:color w:val="auto"/>
                <w:szCs w:val="21"/>
                <w:highlight w:val="none"/>
              </w:rPr>
              <w:t>、培</w:t>
            </w:r>
            <w:r>
              <w:rPr>
                <w:rFonts w:hint="eastAsia" w:ascii="宋体" w:hAnsi="宋体" w:cs="仿宋_GB2312"/>
                <w:color w:val="auto"/>
                <w:szCs w:val="21"/>
                <w:highlight w:val="none"/>
                <w:lang w:val="en-US" w:eastAsia="zh-CN"/>
              </w:rPr>
              <w:t>训费</w:t>
            </w:r>
            <w:r>
              <w:rPr>
                <w:rFonts w:hint="eastAsia" w:ascii="宋体" w:hAnsi="宋体" w:eastAsia="宋体" w:cs="仿宋_GB2312"/>
                <w:color w:val="auto"/>
                <w:szCs w:val="21"/>
                <w:highlight w:val="none"/>
              </w:rPr>
              <w:t>、加班差旅费</w:t>
            </w:r>
            <w:r>
              <w:rPr>
                <w:rFonts w:hint="eastAsia" w:ascii="宋体" w:hAnsi="宋体"/>
                <w:color w:val="auto"/>
                <w:szCs w:val="21"/>
                <w:highlight w:val="none"/>
              </w:rPr>
              <w:t>及增值税费等</w:t>
            </w:r>
            <w:r>
              <w:rPr>
                <w:rFonts w:hint="eastAsia" w:ascii="宋体" w:hAnsi="宋体" w:cs="仿宋_GB2312"/>
                <w:color w:val="auto"/>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34.92</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1" w:leftChars="0"/>
              <w:rPr>
                <w:rFonts w:hint="eastAsia" w:ascii="宋体" w:hAnsi="宋体" w:cs="仿宋_GB2312"/>
                <w:szCs w:val="21"/>
              </w:rPr>
            </w:pPr>
            <w:r>
              <w:rPr>
                <w:rFonts w:hint="eastAsia" w:ascii="宋体" w:hAnsi="宋体" w:cs="仿宋_GB2312"/>
                <w:szCs w:val="21"/>
                <w:lang w:val="en-US" w:eastAsia="zh-CN"/>
              </w:rPr>
              <w:t>（1）合同签订</w:t>
            </w:r>
            <w:r>
              <w:rPr>
                <w:rFonts w:hint="eastAsia" w:ascii="宋体" w:hAnsi="宋体" w:cs="仿宋_GB2312"/>
                <w:szCs w:val="21"/>
              </w:rPr>
              <w:t>后，支付合同总金额的</w:t>
            </w:r>
            <w:r>
              <w:rPr>
                <w:rFonts w:hint="eastAsia" w:ascii="宋体" w:hAnsi="宋体" w:cs="仿宋_GB2312"/>
                <w:szCs w:val="21"/>
                <w:lang w:val="en-US" w:eastAsia="zh-CN"/>
              </w:rPr>
              <w:t>30</w:t>
            </w:r>
            <w:r>
              <w:rPr>
                <w:rFonts w:hint="eastAsia" w:ascii="宋体" w:hAnsi="宋体" w:cs="仿宋_GB2312"/>
                <w:szCs w:val="21"/>
              </w:rPr>
              <w:t>%。</w:t>
            </w:r>
          </w:p>
          <w:p>
            <w:pPr>
              <w:numPr>
                <w:ilvl w:val="0"/>
                <w:numId w:val="0"/>
              </w:numPr>
              <w:tabs>
                <w:tab w:val="left" w:pos="531"/>
              </w:tabs>
              <w:snapToGrid w:val="0"/>
              <w:ind w:left="-1" w:leftChars="0"/>
              <w:rPr>
                <w:rFonts w:hint="eastAsia" w:ascii="宋体" w:hAnsi="宋体" w:cs="仿宋_GB2312"/>
                <w:szCs w:val="21"/>
              </w:rPr>
            </w:pPr>
            <w:r>
              <w:rPr>
                <w:rFonts w:hint="eastAsia" w:ascii="宋体" w:hAnsi="宋体" w:cs="仿宋_GB2312"/>
                <w:szCs w:val="21"/>
                <w:lang w:val="en-US" w:eastAsia="zh-CN"/>
              </w:rPr>
              <w:t>（2）项目成果交付验收完成后，</w:t>
            </w:r>
            <w:r>
              <w:rPr>
                <w:rFonts w:hint="eastAsia" w:ascii="宋体" w:hAnsi="宋体" w:cs="仿宋_GB2312"/>
                <w:szCs w:val="21"/>
              </w:rPr>
              <w:t>支付合同总金额的</w:t>
            </w:r>
            <w:r>
              <w:rPr>
                <w:rFonts w:hint="eastAsia" w:ascii="宋体" w:hAnsi="宋体" w:cs="仿宋_GB2312"/>
                <w:szCs w:val="21"/>
                <w:lang w:val="en-US" w:eastAsia="zh-CN"/>
              </w:rPr>
              <w:t>67</w:t>
            </w:r>
            <w:r>
              <w:rPr>
                <w:rFonts w:hint="eastAsia" w:ascii="宋体" w:hAnsi="宋体" w:cs="仿宋_GB2312"/>
                <w:szCs w:val="21"/>
              </w:rPr>
              <w:t>%。</w:t>
            </w:r>
          </w:p>
          <w:p>
            <w:pPr>
              <w:numPr>
                <w:ilvl w:val="0"/>
                <w:numId w:val="0"/>
              </w:numPr>
              <w:tabs>
                <w:tab w:val="left" w:pos="531"/>
              </w:tabs>
              <w:snapToGrid w:val="0"/>
              <w:ind w:left="-1" w:leftChars="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合同总金额的</w:t>
            </w:r>
            <w:r>
              <w:rPr>
                <w:rFonts w:hint="eastAsia" w:ascii="宋体" w:hAnsi="宋体" w:cs="仿宋_GB2312"/>
                <w:szCs w:val="21"/>
                <w:lang w:val="en-US" w:eastAsia="zh-CN"/>
              </w:rPr>
              <w:t>3</w:t>
            </w:r>
            <w:r>
              <w:rPr>
                <w:rFonts w:hint="eastAsia" w:ascii="宋体" w:hAnsi="宋体" w:cs="仿宋_GB2312"/>
                <w:szCs w:val="21"/>
              </w:rPr>
              <w:t>%款项留作质保金，</w:t>
            </w:r>
            <w:r>
              <w:rPr>
                <w:rFonts w:hint="eastAsia" w:ascii="宋体" w:hAnsi="宋体" w:cs="仿宋_GB2312"/>
                <w:szCs w:val="21"/>
                <w:lang w:val="en-US" w:eastAsia="zh-CN"/>
              </w:rPr>
              <w:t>质保期一年。</w:t>
            </w:r>
            <w:r>
              <w:rPr>
                <w:rFonts w:hint="eastAsia" w:ascii="宋体" w:hAnsi="宋体" w:cs="仿宋_GB2312"/>
                <w:szCs w:val="21"/>
              </w:rPr>
              <w:t>待质保期满</w:t>
            </w:r>
            <w:r>
              <w:rPr>
                <w:rFonts w:hint="eastAsia" w:ascii="宋体" w:hAnsi="宋体" w:cs="仿宋_GB2312"/>
                <w:szCs w:val="21"/>
                <w:lang w:eastAsia="zh-CN"/>
              </w:rPr>
              <w:t>，</w:t>
            </w:r>
            <w:r>
              <w:rPr>
                <w:rFonts w:hint="eastAsia" w:ascii="宋体" w:hAnsi="宋体" w:cs="仿宋_GB2312"/>
                <w:szCs w:val="21"/>
              </w:rPr>
              <w:t>无质量和遗留问题，且完成罚金、违约金等清算后，一次性支付剩余款项（不计利息）。</w:t>
            </w:r>
          </w:p>
          <w:p>
            <w:pPr>
              <w:numPr>
                <w:ilvl w:val="0"/>
                <w:numId w:val="0"/>
              </w:numPr>
              <w:tabs>
                <w:tab w:val="left" w:pos="531"/>
              </w:tabs>
              <w:snapToGrid w:val="0"/>
              <w:ind w:left="-1" w:firstLine="0"/>
              <w:rPr>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cs="宋体"/>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ind w:leftChars="0"/>
              <w:rPr>
                <w:rFonts w:hint="eastAsia" w:ascii="宋体" w:hAnsi="宋体" w:cs="宋体"/>
                <w:szCs w:val="21"/>
                <w:highlight w:val="none"/>
                <w:lang w:eastAsia="zh-CN"/>
              </w:rPr>
            </w:pPr>
            <w:r>
              <w:rPr>
                <w:rFonts w:hint="eastAsia" w:ascii="宋体" w:hAnsi="宋体" w:eastAsia="宋体" w:cs="宋体"/>
                <w:kern w:val="2"/>
                <w:sz w:val="21"/>
                <w:szCs w:val="21"/>
                <w:lang w:val="en-US" w:eastAsia="zh-CN" w:bidi="ar-SA"/>
              </w:rPr>
              <w:t>投标人对在服务过程中所接触或获知一切资料数据及商业秘密负有保密义务。未经对方同意，任何一方不得以任何形式向第三方泄露本项目资料或在项目中接触到的资料，不得将其用于履行本合同之外的其他用途。投标人因违反本条约定而给招标人造成损失的，应当赔偿全部损失。本项目的保密义务不因本合同的变更、终止、期满或完成而解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rPr>
            </w:pPr>
            <w:r>
              <w:rPr>
                <w:rFonts w:hint="eastAsia" w:ascii="宋体" w:cs="宋体"/>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ind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在本项目服务过程中不得出现任何侵权行为，若因投标人侵犯第三方合法权利（包括但不限于著作权、商标权、专利权、专有技术或商业秘密）所带来的法律责任以及造成的损失均由投标人自行承担；若由此给招标人造成损失的，投标人还需承担损失赔偿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Merge w:val="restart"/>
            <w:tcBorders>
              <w:top w:val="single" w:color="auto" w:sz="4" w:space="0"/>
              <w:left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1</w:t>
            </w:r>
          </w:p>
        </w:tc>
        <w:tc>
          <w:tcPr>
            <w:tcW w:w="1341" w:type="dxa"/>
            <w:vMerge w:val="restart"/>
            <w:tcBorders>
              <w:top w:val="single" w:color="auto" w:sz="4" w:space="0"/>
              <w:left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系统功能及参数要求</w:t>
            </w:r>
          </w:p>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2"/>
              </w:numPr>
              <w:spacing w:line="240" w:lineRule="auto"/>
              <w:jc w:val="left"/>
              <w:rPr>
                <w:rFonts w:hint="eastAsia"/>
                <w:lang w:val="en-US" w:eastAsia="zh-CN"/>
              </w:rPr>
            </w:pPr>
            <w:r>
              <w:rPr>
                <w:rFonts w:hint="eastAsia"/>
                <w:lang w:val="en-US" w:eastAsia="zh-CN"/>
              </w:rPr>
              <w:t>系统需采用当前国内外先进和成熟的计算机软硬件技术和网络通讯技术。确保系统的高可靠性和快速响应。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8"/>
              <w:numPr>
                <w:ilvl w:val="0"/>
                <w:numId w:val="12"/>
              </w:numPr>
              <w:rPr>
                <w:rFonts w:hint="eastAsia"/>
                <w:lang w:val="en-US" w:eastAsia="zh-CN"/>
              </w:rPr>
            </w:pPr>
            <w:r>
              <w:rPr>
                <w:rFonts w:hint="eastAsia"/>
                <w:lang w:val="en-US" w:eastAsia="zh-CN"/>
              </w:rPr>
              <w:t>会展业务服务项目及需求在不断地增加，对应的软件系统也必须适应这种变化，系统模块应可以灵活配置和增加，系统的功能也必须能够扩展或增加。并且承诺无条件免费升级同版本的软件。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8"/>
              <w:numPr>
                <w:ilvl w:val="0"/>
                <w:numId w:val="12"/>
              </w:numPr>
              <w:rPr>
                <w:rFonts w:hint="eastAsia"/>
                <w:lang w:val="en-US" w:eastAsia="zh-CN"/>
              </w:rPr>
            </w:pPr>
            <w:r>
              <w:rPr>
                <w:rFonts w:hint="eastAsia"/>
                <w:lang w:val="en-US" w:eastAsia="zh-CN"/>
              </w:rPr>
              <w:t>必须提供运行系统所需的正版操作系统、数据库等基础软件。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8"/>
              <w:numPr>
                <w:ilvl w:val="0"/>
                <w:numId w:val="12"/>
              </w:numPr>
              <w:rPr>
                <w:rFonts w:hint="eastAsia"/>
                <w:lang w:val="en-US" w:eastAsia="zh-CN"/>
              </w:rPr>
            </w:pPr>
            <w:r>
              <w:rPr>
                <w:rFonts w:hint="eastAsia"/>
                <w:lang w:val="en-US" w:eastAsia="zh-CN"/>
              </w:rPr>
              <w:t>所有产品提供至少一年的维保。</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8"/>
              <w:numPr>
                <w:ilvl w:val="0"/>
                <w:numId w:val="12"/>
              </w:numPr>
              <w:rPr>
                <w:rFonts w:hint="eastAsia"/>
                <w:lang w:val="en-US" w:eastAsia="zh-CN"/>
              </w:rPr>
            </w:pPr>
            <w:r>
              <w:rPr>
                <w:rFonts w:hint="eastAsia"/>
                <w:highlight w:val="none"/>
                <w:lang w:val="en-US" w:eastAsia="zh-CN"/>
              </w:rPr>
              <w:t>由于此项目的特殊性，系统要能与金碟EAS财务系统做总账凭证对接。</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8"/>
              <w:numPr>
                <w:ilvl w:val="0"/>
                <w:numId w:val="12"/>
              </w:numPr>
              <w:rPr>
                <w:rFonts w:hint="eastAsia"/>
                <w:lang w:val="en-US" w:eastAsia="zh-CN"/>
              </w:rPr>
            </w:pPr>
            <w:r>
              <w:rPr>
                <w:rFonts w:hint="eastAsia"/>
                <w:lang w:val="en-US" w:eastAsia="zh-CN"/>
              </w:rPr>
              <w:t>支持移动端审批，进销存自动化功能。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rPr>
            </w:pPr>
          </w:p>
        </w:tc>
        <w:tc>
          <w:tcPr>
            <w:tcW w:w="1341" w:type="dxa"/>
            <w:vMerge w:val="continue"/>
            <w:tcBorders>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8"/>
              <w:numPr>
                <w:ilvl w:val="0"/>
                <w:numId w:val="12"/>
              </w:numPr>
              <w:rPr>
                <w:rFonts w:hint="eastAsia"/>
                <w:color w:val="auto"/>
                <w:lang w:val="en-US" w:eastAsia="zh-CN"/>
              </w:rPr>
            </w:pPr>
            <w:r>
              <w:rPr>
                <w:rFonts w:hint="eastAsia"/>
                <w:lang w:val="en-US" w:eastAsia="zh-CN"/>
              </w:rPr>
              <w:t>系统实施后提供至少一次培训。</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rPr>
            </w:pPr>
          </w:p>
        </w:tc>
        <w:tc>
          <w:tcPr>
            <w:tcW w:w="1341" w:type="dxa"/>
            <w:tcBorders>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8"/>
              <w:numPr>
                <w:ilvl w:val="0"/>
                <w:numId w:val="12"/>
              </w:numPr>
              <w:rPr>
                <w:rFonts w:hint="eastAsia"/>
                <w:lang w:val="en-US" w:eastAsia="zh-CN"/>
              </w:rPr>
            </w:pPr>
            <w:r>
              <w:rPr>
                <w:rFonts w:hint="eastAsia"/>
                <w:highlight w:val="none"/>
                <w:lang w:val="en-US" w:eastAsia="zh-CN"/>
              </w:rPr>
              <w:t>需提供支持云收货的电子秤设备。</w:t>
            </w:r>
          </w:p>
        </w:tc>
        <w:tc>
          <w:tcPr>
            <w:tcW w:w="784"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9" w:type="dxa"/>
            <w:tcBorders>
              <w:top w:val="single" w:color="auto" w:sz="4" w:space="0"/>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FF0000"/>
                <w:szCs w:val="21"/>
              </w:rPr>
            </w:pPr>
            <w:r>
              <w:rPr>
                <w:rFonts w:hint="eastAsia" w:ascii="宋体" w:hAnsi="宋体" w:eastAsia="宋体" w:cs="宋体"/>
                <w:color w:val="auto"/>
                <w:szCs w:val="21"/>
                <w:highlight w:val="none"/>
                <w:lang w:val="en-US" w:eastAsia="zh-CN"/>
              </w:rPr>
              <w:t>功能清单</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eastAsia="宋体"/>
                <w:b/>
                <w:bCs/>
                <w:color w:val="FF0000"/>
                <w:lang w:val="en-US" w:eastAsia="zh-CN"/>
              </w:rPr>
            </w:pPr>
            <w:r>
              <w:rPr>
                <w:rFonts w:hint="eastAsia"/>
                <w:lang w:val="en-US" w:eastAsia="zh-CN"/>
              </w:rPr>
              <w:t>详见《采购与成本管理系统模块功能清单》。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eastAsia="zh-CN"/>
              </w:rPr>
            </w:pPr>
            <w:r>
              <w:rPr>
                <w:rFonts w:hint="eastAsia" w:ascii="宋体" w:hAnsi="宋体" w:cs="宋体"/>
                <w:color w:val="auto"/>
                <w:szCs w:val="21"/>
                <w:highlight w:val="none"/>
              </w:rPr>
              <w:t>工期/服务期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firstLine="0"/>
              <w:jc w:val="left"/>
              <w:rPr>
                <w:rFonts w:hint="eastAsia" w:ascii="宋体" w:hAnsi="宋体" w:eastAsia="宋体" w:cs="Times New Roman"/>
                <w:spacing w:val="-5"/>
                <w:kern w:val="0"/>
                <w:sz w:val="20"/>
                <w:szCs w:val="21"/>
                <w:lang w:val="en-US" w:eastAsia="zh-CN" w:bidi="ar-SA"/>
              </w:rPr>
            </w:pPr>
            <w:r>
              <w:rPr>
                <w:rFonts w:hint="eastAsia" w:ascii="宋体" w:eastAsia="宋体" w:cs="宋体"/>
                <w:szCs w:val="21"/>
              </w:rPr>
              <w:t>本项目交付期限为合同签订后</w:t>
            </w:r>
            <w:r>
              <w:rPr>
                <w:rFonts w:hint="eastAsia" w:ascii="宋体" w:eastAsia="宋体" w:cs="宋体"/>
                <w:szCs w:val="21"/>
                <w:lang w:val="en-US" w:eastAsia="zh-CN"/>
              </w:rPr>
              <w:t>60</w:t>
            </w:r>
            <w:r>
              <w:rPr>
                <w:rFonts w:hint="eastAsia" w:ascii="宋体" w:eastAsia="宋体" w:cs="宋体"/>
                <w:szCs w:val="21"/>
              </w:rPr>
              <w:t>个自然日（</w:t>
            </w:r>
            <w:r>
              <w:rPr>
                <w:rFonts w:hint="eastAsia" w:ascii="宋体" w:hAnsi="宋体" w:eastAsia="宋体" w:cs="宋体"/>
                <w:szCs w:val="21"/>
                <w:lang w:val="en-US" w:eastAsia="zh-CN"/>
              </w:rPr>
              <w:t>其中包含完成需求调研、设计、编码、测试、部署上线的时间）</w:t>
            </w:r>
            <w:r>
              <w:rPr>
                <w:rFonts w:hint="eastAsia" w:ascii="宋体" w:hAnsi="宋体" w:cs="宋体"/>
                <w:szCs w:val="21"/>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eastAsia="zh-CN"/>
              </w:rPr>
            </w:pPr>
            <w:r>
              <w:rPr>
                <w:rFonts w:hint="eastAsia" w:ascii="宋体" w:hAnsi="宋体" w:cs="宋体"/>
                <w:color w:val="auto"/>
                <w:szCs w:val="21"/>
                <w:highlight w:val="none"/>
              </w:rPr>
              <w:t>质保期/服务承诺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ind w:firstLine="0"/>
              <w:rPr>
                <w:rFonts w:ascii="宋体" w:hAnsi="宋体" w:cs="宋体"/>
                <w:szCs w:val="21"/>
              </w:rPr>
            </w:pPr>
            <w:r>
              <w:rPr>
                <w:rFonts w:hint="eastAsia" w:ascii="宋体" w:hAnsi="宋体" w:cs="宋体"/>
                <w:color w:val="auto"/>
                <w:highlight w:val="none"/>
                <w:lang w:val="en-US" w:eastAsia="zh-CN"/>
              </w:rPr>
              <w:t>（1）质保期为自项目</w:t>
            </w:r>
            <w:r>
              <w:rPr>
                <w:rFonts w:hint="eastAsia" w:ascii="宋体" w:hAnsi="宋体" w:cs="宋体"/>
                <w:color w:val="auto"/>
                <w:highlight w:val="none"/>
                <w:lang w:eastAsia="zh-CN"/>
              </w:rPr>
              <w:t>验收合格</w:t>
            </w:r>
            <w:r>
              <w:rPr>
                <w:rFonts w:hint="eastAsia" w:ascii="宋体" w:hAnsi="宋体" w:cs="宋体"/>
                <w:color w:val="auto"/>
                <w:highlight w:val="none"/>
                <w:lang w:val="en-US" w:eastAsia="zh-CN"/>
              </w:rPr>
              <w:t>之日起</w:t>
            </w:r>
            <w:r>
              <w:rPr>
                <w:rFonts w:hint="eastAsia" w:ascii="宋体" w:hAnsi="宋体" w:cs="宋体"/>
                <w:color w:val="auto"/>
                <w:highlight w:val="none"/>
                <w:lang w:eastAsia="zh-CN"/>
              </w:rPr>
              <w:t>一年</w:t>
            </w:r>
            <w:r>
              <w:rPr>
                <w:rFonts w:hint="eastAsia" w:ascii="宋体" w:hAnsi="宋体" w:cs="宋体"/>
                <w:color w:val="auto"/>
                <w:highlight w:val="none"/>
                <w:lang w:val="en-US" w:eastAsia="zh-CN"/>
              </w:rPr>
              <w:t>。</w:t>
            </w:r>
          </w:p>
          <w:p>
            <w:pPr>
              <w:numPr>
                <w:ilvl w:val="0"/>
                <w:numId w:val="0"/>
              </w:numPr>
              <w:jc w:val="left"/>
              <w:rPr>
                <w:rFonts w:hint="default"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质保期内，中标单位须按售后服务方案对系统进行维护。</w:t>
            </w:r>
          </w:p>
          <w:p>
            <w:pPr>
              <w:widowControl/>
              <w:numPr>
                <w:ilvl w:val="0"/>
                <w:numId w:val="0"/>
              </w:numPr>
              <w:ind w:left="0" w:firstLine="0"/>
              <w:jc w:val="left"/>
              <w:rPr>
                <w:rFonts w:hint="eastAsia" w:ascii="宋体" w:hAnsi="宋体" w:eastAsia="宋体" w:cs="Times New Roman"/>
                <w:spacing w:val="-5"/>
                <w:kern w:val="0"/>
                <w:sz w:val="20"/>
                <w:szCs w:val="21"/>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kern w:val="2"/>
                <w:sz w:val="21"/>
                <w:szCs w:val="21"/>
                <w:lang w:val="en-US" w:eastAsia="zh-CN" w:bidi="ar-SA"/>
              </w:rPr>
              <w:t>参加单位须提供售后服务方案，包括但不仅限于售后服务内容、服务范围、应急服务、负责人、联系方式（至少两种）、服务响应时间。</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cs="宋体"/>
                <w:color w:val="auto"/>
                <w:highlight w:val="none"/>
                <w:lang w:eastAsia="zh-CN"/>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firstLine="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（1）完成本项目全部设计、开发工作及自测自调结果达到要求后，中</w:t>
            </w:r>
            <w:r>
              <w:rPr>
                <w:rFonts w:hint="eastAsia" w:ascii="宋体" w:hAnsi="宋体" w:cs="宋体"/>
                <w:spacing w:val="0"/>
                <w:kern w:val="2"/>
                <w:sz w:val="21"/>
                <w:szCs w:val="21"/>
                <w:lang w:val="en-US" w:eastAsia="zh-CN" w:bidi="ar-SA"/>
              </w:rPr>
              <w:t>标</w:t>
            </w:r>
            <w:r>
              <w:rPr>
                <w:rFonts w:hint="eastAsia" w:ascii="宋体" w:hAnsi="宋体" w:eastAsia="宋体" w:cs="宋体"/>
                <w:spacing w:val="0"/>
                <w:kern w:val="2"/>
                <w:sz w:val="21"/>
                <w:szCs w:val="21"/>
                <w:lang w:val="en-US" w:eastAsia="zh-CN" w:bidi="ar-SA"/>
              </w:rPr>
              <w:t>单位向</w:t>
            </w:r>
            <w:r>
              <w:rPr>
                <w:rFonts w:hint="eastAsia" w:ascii="宋体" w:hAnsi="宋体" w:cs="宋体"/>
                <w:spacing w:val="0"/>
                <w:kern w:val="2"/>
                <w:sz w:val="21"/>
                <w:szCs w:val="21"/>
                <w:lang w:val="en-US" w:eastAsia="zh-CN" w:bidi="ar-SA"/>
              </w:rPr>
              <w:t>招标</w:t>
            </w:r>
            <w:r>
              <w:rPr>
                <w:rFonts w:hint="eastAsia" w:ascii="宋体" w:hAnsi="宋体" w:eastAsia="宋体" w:cs="宋体"/>
                <w:spacing w:val="0"/>
                <w:kern w:val="2"/>
                <w:sz w:val="21"/>
                <w:szCs w:val="21"/>
                <w:lang w:val="en-US" w:eastAsia="zh-CN" w:bidi="ar-SA"/>
              </w:rPr>
              <w:t>人提交书面验收申请，由</w:t>
            </w:r>
            <w:r>
              <w:rPr>
                <w:rFonts w:hint="eastAsia" w:ascii="宋体" w:hAnsi="宋体" w:cs="宋体"/>
                <w:spacing w:val="0"/>
                <w:kern w:val="2"/>
                <w:sz w:val="21"/>
                <w:szCs w:val="21"/>
                <w:lang w:val="en-US" w:eastAsia="zh-CN" w:bidi="ar-SA"/>
              </w:rPr>
              <w:t>招标</w:t>
            </w:r>
            <w:r>
              <w:rPr>
                <w:rFonts w:hint="eastAsia" w:ascii="宋体" w:hAnsi="宋体" w:eastAsia="宋体" w:cs="宋体"/>
                <w:spacing w:val="0"/>
                <w:kern w:val="2"/>
                <w:sz w:val="21"/>
                <w:szCs w:val="21"/>
                <w:lang w:val="en-US" w:eastAsia="zh-CN" w:bidi="ar-SA"/>
              </w:rPr>
              <w:t>人组织验收。</w:t>
            </w:r>
          </w:p>
          <w:p>
            <w:pPr>
              <w:widowControl/>
              <w:numPr>
                <w:ilvl w:val="0"/>
                <w:numId w:val="0"/>
              </w:numPr>
              <w:ind w:left="0" w:firstLine="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（2）验收时，中</w:t>
            </w:r>
            <w:r>
              <w:rPr>
                <w:rFonts w:hint="eastAsia" w:ascii="宋体" w:hAnsi="宋体" w:cs="宋体"/>
                <w:spacing w:val="0"/>
                <w:kern w:val="2"/>
                <w:sz w:val="21"/>
                <w:szCs w:val="21"/>
                <w:lang w:val="en-US" w:eastAsia="zh-CN" w:bidi="ar-SA"/>
              </w:rPr>
              <w:t>标</w:t>
            </w:r>
            <w:r>
              <w:rPr>
                <w:rFonts w:hint="eastAsia" w:ascii="宋体" w:hAnsi="宋体" w:eastAsia="宋体" w:cs="宋体"/>
                <w:spacing w:val="0"/>
                <w:kern w:val="2"/>
                <w:sz w:val="21"/>
                <w:szCs w:val="21"/>
                <w:lang w:val="en-US" w:eastAsia="zh-CN" w:bidi="ar-SA"/>
              </w:rPr>
              <w:t>单位需提交相关使用文档，包括但不限于系统使用手册、系统维护手册等（需提供纸质版和电子版）。</w:t>
            </w:r>
          </w:p>
          <w:p>
            <w:pPr>
              <w:widowControl/>
              <w:numPr>
                <w:ilvl w:val="0"/>
                <w:numId w:val="0"/>
              </w:numPr>
              <w:ind w:left="0" w:firstLine="0"/>
              <w:jc w:val="left"/>
              <w:rPr>
                <w:rFonts w:hint="eastAsia" w:ascii="宋体" w:hAnsi="宋体" w:eastAsia="宋体"/>
                <w:szCs w:val="21"/>
                <w:lang w:eastAsia="zh-CN"/>
              </w:rPr>
            </w:pPr>
            <w:r>
              <w:rPr>
                <w:rFonts w:hint="eastAsia" w:ascii="宋体" w:hAnsi="宋体" w:eastAsia="宋体" w:cs="宋体"/>
                <w:spacing w:val="0"/>
                <w:kern w:val="2"/>
                <w:sz w:val="21"/>
                <w:szCs w:val="21"/>
                <w:lang w:val="en-US" w:eastAsia="zh-CN" w:bidi="ar-SA"/>
              </w:rPr>
              <w:t>（3）系统实施后提供一次培训。</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bl>
    <w:p>
      <w:pPr>
        <w:numPr>
          <w:ilvl w:val="0"/>
          <w:numId w:val="0"/>
        </w:numPr>
        <w:spacing w:line="560" w:lineRule="exact"/>
        <w:outlineLvl w:val="1"/>
        <w:rPr>
          <w:rFonts w:ascii="宋体" w:hAnsi="宋体"/>
          <w:b/>
          <w:szCs w:val="21"/>
        </w:rPr>
      </w:pPr>
    </w:p>
    <w:p>
      <w:pPr>
        <w:numPr>
          <w:ilvl w:val="0"/>
          <w:numId w:val="1"/>
        </w:numPr>
        <w:jc w:val="left"/>
        <w:outlineLvl w:val="1"/>
        <w:rPr>
          <w:rFonts w:ascii="宋体" w:hAnsi="宋体"/>
          <w:b/>
          <w:szCs w:val="21"/>
        </w:rPr>
      </w:pPr>
      <w:bookmarkStart w:id="38" w:name="_Toc82684600"/>
      <w:bookmarkEnd w:id="38"/>
      <w:bookmarkStart w:id="39" w:name="_Toc82685552"/>
      <w:bookmarkEnd w:id="39"/>
      <w:bookmarkStart w:id="40" w:name="_Toc82591996"/>
      <w:bookmarkEnd w:id="40"/>
      <w:bookmarkStart w:id="41" w:name="_Toc82684715"/>
      <w:bookmarkEnd w:id="41"/>
      <w:bookmarkStart w:id="42" w:name="_Toc116550349"/>
      <w:r>
        <w:rPr>
          <w:rFonts w:hint="eastAsia" w:ascii="宋体" w:hAnsi="宋体"/>
          <w:b/>
          <w:szCs w:val="21"/>
        </w:rPr>
        <w:t>其他项目说明资料</w:t>
      </w:r>
      <w:bookmarkEnd w:id="42"/>
    </w:p>
    <w:p>
      <w:pPr>
        <w:tabs>
          <w:tab w:val="left" w:pos="709"/>
          <w:tab w:val="left" w:pos="1734"/>
          <w:tab w:val="left" w:pos="2814"/>
          <w:tab w:val="left" w:pos="3894"/>
          <w:tab w:val="left" w:pos="5334"/>
          <w:tab w:val="left" w:pos="6414"/>
          <w:tab w:val="left" w:pos="7254"/>
          <w:tab w:val="left" w:pos="8574"/>
          <w:tab w:val="left" w:pos="9654"/>
        </w:tabs>
        <w:spacing w:line="360" w:lineRule="auto"/>
        <w:ind w:firstLine="422" w:firstLineChars="200"/>
        <w:jc w:val="center"/>
        <w:rPr>
          <w:rFonts w:hint="eastAsia"/>
          <w:b/>
          <w:bCs/>
          <w:lang w:val="en-US" w:eastAsia="zh-CN"/>
        </w:rPr>
      </w:pPr>
      <w:r>
        <w:rPr>
          <w:rFonts w:hint="eastAsia"/>
          <w:b/>
          <w:bCs/>
          <w:lang w:val="en-US" w:eastAsia="zh-CN"/>
        </w:rPr>
        <w:t>采购与成本管理系统模块功能清单</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2" w:firstLineChars="200"/>
        <w:jc w:val="center"/>
        <w:rPr>
          <w:rFonts w:hint="default"/>
          <w:b/>
          <w:bCs/>
          <w:color w:val="FF0000"/>
          <w:highlight w:val="yellow"/>
          <w:lang w:val="en-US"/>
        </w:rPr>
      </w:pPr>
      <w:r>
        <w:rPr>
          <w:rFonts w:hint="eastAsia"/>
          <w:b/>
          <w:bCs/>
          <w:lang w:val="en-US" w:eastAsia="zh-CN"/>
        </w:rPr>
        <w:t>（该清单中一下内容只能增多，不能减少）</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FF0000"/>
                <w:szCs w:val="21"/>
                <w:lang w:val="en-US" w:eastAsia="zh-CN"/>
              </w:rPr>
            </w:pPr>
            <w:r>
              <w:rPr>
                <w:rFonts w:hint="eastAsia" w:ascii="Times New Roman" w:hAnsi="Times New Roman" w:eastAsia="宋体" w:cs="Times New Roman"/>
                <w:b/>
                <w:bCs/>
                <w:spacing w:val="0"/>
                <w:kern w:val="2"/>
                <w:sz w:val="21"/>
                <w:szCs w:val="24"/>
                <w:lang w:val="en-US" w:eastAsia="zh-CN" w:bidi="ar-SA"/>
              </w:rPr>
              <w:t>模块</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default" w:eastAsia="宋体"/>
                <w:b/>
                <w:bCs/>
                <w:color w:val="FF0000"/>
                <w:lang w:val="en-US" w:eastAsia="zh-CN"/>
              </w:rPr>
            </w:pPr>
            <w:r>
              <w:rPr>
                <w:rFonts w:hint="eastAsia" w:ascii="Times New Roman" w:hAnsi="Times New Roman" w:eastAsia="宋体" w:cs="Times New Roman"/>
                <w:b/>
                <w:bCs/>
                <w:spacing w:val="0"/>
                <w:kern w:val="2"/>
                <w:sz w:val="21"/>
                <w:szCs w:val="24"/>
                <w:lang w:val="en-US" w:eastAsia="zh-CN" w:bidi="ar-SA"/>
              </w:rPr>
              <w:t>功能清单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采购</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日常采购单(PR单)申请、定价、审批、追踪</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厨房采购单（ML单)申请、定价、审批、追踪、模板管理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采购订单（PO单)生成及管理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报价信息导入及管理</w:t>
            </w:r>
          </w:p>
          <w:p>
            <w:pPr>
              <w:pStyle w:val="2"/>
              <w:numPr>
                <w:ilvl w:val="0"/>
                <w:numId w:val="13"/>
              </w:numPr>
              <w:spacing w:after="0" w:line="240" w:lineRule="auto"/>
              <w:ind w:left="0"/>
              <w:jc w:val="left"/>
              <w:rPr>
                <w:rFonts w:hint="eastAsia" w:ascii="宋体" w:hAnsi="宋体"/>
                <w:szCs w:val="21"/>
              </w:rPr>
            </w:pPr>
            <w:r>
              <w:rPr>
                <w:rFonts w:hint="eastAsia" w:ascii="Times New Roman" w:hAnsi="Times New Roman" w:eastAsia="宋体" w:cs="Times New Roman"/>
                <w:spacing w:val="0"/>
                <w:kern w:val="2"/>
                <w:sz w:val="21"/>
                <w:szCs w:val="24"/>
                <w:lang w:val="en-US" w:eastAsia="zh-CN" w:bidi="ar-SA"/>
              </w:rPr>
              <w:t>订单报表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仓库管理</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收货管理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调拨和领用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报损管理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销售管理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库存盘点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部门</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领用申请</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销售商品</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销售管理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销售导入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报表管理</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与应付接口数据</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部门仓库物品余额</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收发明细汇总</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采购预算表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部门仓库分类盘存表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最小库存预警</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滞销物品列表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最后使用物品列表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仓库和部门分类余额表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转库统计表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检验报告</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根据科目报表模板，制作自定义报表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单据统计</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供应商供、退货统计</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仓库收、退货统计</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部门收、退货统计</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仓库领用、退回统计</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部门领用、退回统计</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仓库转入、转出统计</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部门转入、转出统计</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仓库、部门盘点</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未完成物品列表</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供应商日志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基础设置</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物品信息</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单位定义</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供应商管理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部门和仓库设置</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销售商品</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安全库存</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简单代码</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结构代码</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扩展代码定义</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物品信息导入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系统维护</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期末结转</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用户管理</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核算期设置</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菜单定义</w:t>
            </w:r>
          </w:p>
          <w:p>
            <w:pPr>
              <w:pStyle w:val="2"/>
              <w:numPr>
                <w:ilvl w:val="0"/>
                <w:numId w:val="13"/>
              </w:numPr>
              <w:spacing w:after="0" w:line="240" w:lineRule="auto"/>
              <w:ind w:left="0"/>
              <w:jc w:val="left"/>
              <w:rPr>
                <w:rFonts w:hint="eastAsia" w:ascii="Times New Roman" w:hAnsi="Times New Roman" w:eastAsia="宋体" w:cs="Times New Roman"/>
                <w:spacing w:val="0"/>
                <w:kern w:val="2"/>
                <w:sz w:val="21"/>
                <w:szCs w:val="24"/>
                <w:lang w:val="en-US" w:eastAsia="zh-CN" w:bidi="ar-SA"/>
              </w:rPr>
            </w:pPr>
            <w:r>
              <w:rPr>
                <w:rFonts w:hint="eastAsia" w:ascii="Times New Roman" w:hAnsi="Times New Roman" w:eastAsia="宋体" w:cs="Times New Roman"/>
                <w:spacing w:val="0"/>
                <w:kern w:val="2"/>
                <w:sz w:val="21"/>
                <w:szCs w:val="24"/>
                <w:lang w:val="en-US" w:eastAsia="zh-CN" w:bidi="ar-SA"/>
              </w:rPr>
              <w:t>系统参数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ascii="宋体" w:hAnsi="宋体"/>
                <w:szCs w:val="21"/>
              </w:rPr>
              <w:t>移动端</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jc w:val="left"/>
              <w:rPr>
                <w:rFonts w:hint="eastAsia"/>
              </w:rPr>
            </w:pPr>
            <w:r>
              <w:rPr>
                <w:rFonts w:hint="eastAsia"/>
              </w:rPr>
              <w:t>支持安卓和苹果系统</w:t>
            </w:r>
          </w:p>
          <w:p>
            <w:pPr>
              <w:pStyle w:val="2"/>
              <w:numPr>
                <w:ilvl w:val="0"/>
                <w:numId w:val="13"/>
              </w:numPr>
              <w:spacing w:after="0" w:line="240" w:lineRule="auto"/>
              <w:ind w:left="0"/>
              <w:jc w:val="left"/>
              <w:rPr>
                <w:rFonts w:hint="default"/>
                <w:color w:val="FF0000"/>
                <w:lang w:val="en-US" w:eastAsia="zh-CN"/>
              </w:rPr>
            </w:pPr>
            <w:r>
              <w:rPr>
                <w:rFonts w:hint="eastAsia" w:ascii="宋体" w:hAnsi="宋体"/>
                <w:szCs w:val="21"/>
              </w:rPr>
              <w:t>安装、升级、使用方便、操作容易</w:t>
            </w:r>
          </w:p>
          <w:p>
            <w:pPr>
              <w:pStyle w:val="2"/>
              <w:numPr>
                <w:ilvl w:val="0"/>
                <w:numId w:val="13"/>
              </w:numPr>
              <w:spacing w:after="0" w:line="240" w:lineRule="auto"/>
              <w:ind w:left="0"/>
              <w:jc w:val="left"/>
              <w:rPr>
                <w:rFonts w:hint="default"/>
                <w:lang w:val="en-US" w:eastAsia="zh-CN"/>
              </w:rPr>
            </w:pPr>
            <w:r>
              <w:rPr>
                <w:rFonts w:hint="eastAsia" w:ascii="宋体" w:hAnsi="宋体"/>
                <w:szCs w:val="21"/>
              </w:rPr>
              <w:t>采购单据审批</w:t>
            </w:r>
          </w:p>
          <w:p>
            <w:pPr>
              <w:pStyle w:val="2"/>
              <w:numPr>
                <w:ilvl w:val="0"/>
                <w:numId w:val="13"/>
              </w:numPr>
              <w:spacing w:after="0" w:line="240" w:lineRule="auto"/>
              <w:ind w:left="0"/>
              <w:jc w:val="left"/>
              <w:rPr>
                <w:rFonts w:hint="default"/>
                <w:lang w:val="en-US" w:eastAsia="zh-CN"/>
              </w:rPr>
            </w:pPr>
            <w:r>
              <w:rPr>
                <w:rFonts w:hint="eastAsia" w:ascii="宋体" w:hAnsi="宋体"/>
                <w:szCs w:val="21"/>
              </w:rPr>
              <w:t>采购单据查询</w:t>
            </w:r>
          </w:p>
          <w:p>
            <w:pPr>
              <w:pStyle w:val="2"/>
              <w:numPr>
                <w:ilvl w:val="0"/>
                <w:numId w:val="13"/>
              </w:numPr>
              <w:spacing w:after="0" w:line="240" w:lineRule="auto"/>
              <w:ind w:left="0"/>
              <w:jc w:val="left"/>
              <w:rPr>
                <w:rFonts w:hint="default"/>
                <w:lang w:val="en-US" w:eastAsia="zh-CN"/>
              </w:rPr>
            </w:pPr>
            <w:r>
              <w:rPr>
                <w:rFonts w:hint="eastAsia" w:ascii="宋体" w:hAnsi="宋体"/>
                <w:szCs w:val="21"/>
              </w:rPr>
              <w:t>附件上传及查询</w:t>
            </w:r>
          </w:p>
          <w:p>
            <w:pPr>
              <w:pStyle w:val="2"/>
              <w:numPr>
                <w:ilvl w:val="0"/>
                <w:numId w:val="13"/>
              </w:numPr>
              <w:spacing w:after="0" w:line="240" w:lineRule="auto"/>
              <w:ind w:left="0"/>
              <w:jc w:val="left"/>
              <w:rPr>
                <w:rFonts w:hint="default"/>
                <w:lang w:val="en-US" w:eastAsia="zh-CN"/>
              </w:rPr>
            </w:pPr>
            <w:r>
              <w:rPr>
                <w:rFonts w:hint="eastAsia" w:ascii="宋体" w:hAnsi="宋体"/>
                <w:szCs w:val="21"/>
              </w:rPr>
              <w:t>电子收货功能</w:t>
            </w:r>
          </w:p>
        </w:tc>
      </w:tr>
    </w:tbl>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2"/>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40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6"/>
        </w:numPr>
        <w:spacing w:before="156" w:beforeLines="50"/>
        <w:jc w:val="left"/>
        <w:outlineLvl w:val="2"/>
        <w:rPr>
          <w:rStyle w:val="29"/>
          <w:rFonts w:ascii="宋体" w:hAnsi="宋体"/>
          <w:b/>
          <w:szCs w:val="21"/>
        </w:rPr>
      </w:pPr>
      <w:bookmarkStart w:id="52" w:name="_Toc116550355"/>
      <w:r>
        <w:rPr>
          <w:rStyle w:val="29"/>
          <w:rFonts w:hint="eastAsia" w:ascii="宋体" w:hAnsi="宋体"/>
          <w:b/>
          <w:bCs/>
          <w:szCs w:val="21"/>
        </w:rPr>
        <w:t>符合性检查</w:t>
      </w:r>
      <w:bookmarkEnd w:id="52"/>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rPr>
            </w:pPr>
            <w:r>
              <w:rPr>
                <w:rFonts w:hint="eastAsia" w:ascii="宋体" w:hAnsi="宋体" w:cs="仿宋"/>
                <w:szCs w:val="21"/>
              </w:rPr>
              <w:t>投标单位是否提供以下证明文件：</w:t>
            </w:r>
          </w:p>
          <w:p>
            <w:pPr>
              <w:numPr>
                <w:ilvl w:val="0"/>
                <w:numId w:val="17"/>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7"/>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7"/>
              </w:numPr>
              <w:tabs>
                <w:tab w:val="left" w:pos="531"/>
              </w:tabs>
              <w:snapToGrid w:val="0"/>
              <w:ind w:left="0" w:firstLine="0"/>
            </w:pPr>
            <w:r>
              <w:rPr>
                <w:rFonts w:hint="eastAsia" w:ascii="Times New Roman" w:hAnsi="Times New Roman" w:eastAsia="宋体" w:cs="Times New Roman"/>
              </w:rPr>
              <w:t>参加单位最少提供</w:t>
            </w:r>
            <w:r>
              <w:rPr>
                <w:rFonts w:hint="eastAsia" w:ascii="Times New Roman" w:hAnsi="Times New Roman" w:eastAsia="宋体" w:cs="Times New Roman"/>
                <w:lang w:val="en-US" w:eastAsia="zh-CN"/>
              </w:rPr>
              <w:t>1</w:t>
            </w:r>
            <w:r>
              <w:rPr>
                <w:rFonts w:hint="eastAsia" w:ascii="Times New Roman" w:hAnsi="Times New Roman" w:eastAsia="宋体" w:cs="Times New Roman"/>
              </w:rPr>
              <w:t>份时间自2020年3月1日至本公告发布之日（以合同签订日期为准）合计金额不低于</w:t>
            </w:r>
            <w:r>
              <w:rPr>
                <w:rFonts w:hint="eastAsia" w:ascii="Times New Roman" w:hAnsi="Times New Roman" w:eastAsia="宋体" w:cs="Times New Roman"/>
                <w:lang w:val="en-US" w:eastAsia="zh-CN"/>
              </w:rPr>
              <w:t>5</w:t>
            </w:r>
            <w:r>
              <w:rPr>
                <w:rFonts w:hint="eastAsia" w:ascii="Times New Roman" w:hAnsi="Times New Roman" w:eastAsia="宋体" w:cs="Times New Roman"/>
              </w:rPr>
              <w:t>万的</w:t>
            </w:r>
            <w:r>
              <w:rPr>
                <w:rFonts w:hint="eastAsia" w:ascii="Times New Roman" w:hAnsi="Times New Roman" w:eastAsia="宋体" w:cs="Times New Roman"/>
                <w:lang w:val="en-US" w:eastAsia="zh-CN"/>
              </w:rPr>
              <w:t>同类软件</w:t>
            </w:r>
            <w:r>
              <w:rPr>
                <w:rFonts w:hint="eastAsia" w:ascii="Times New Roman" w:hAnsi="Times New Roman" w:eastAsia="宋体" w:cs="Times New Roman"/>
              </w:rPr>
              <w:t>系统服务合同业绩。提供合同关键页复印件并加盖参加单位公章。合同关键页包含但不限于项目名称、业主方名称、合同金额、合同主要内容、签订时间、甲乙双方盖章等信息。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s="宋体"/>
                <w:color w:val="auto"/>
                <w:szCs w:val="21"/>
                <w:highlight w:val="none"/>
                <w:lang w:val="en-US" w:eastAsia="zh-CN"/>
              </w:rPr>
              <w:t>34.92</w:t>
            </w:r>
            <w:r>
              <w:rPr>
                <w:rFonts w:hint="eastAsia" w:ascii="宋体" w:hAnsi="宋体" w:eastAsia="宋体" w:cs="仿宋"/>
                <w:szCs w:val="21"/>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6"/>
        </w:numPr>
        <w:spacing w:before="156" w:beforeLines="50"/>
        <w:jc w:val="left"/>
        <w:outlineLvl w:val="2"/>
        <w:rPr>
          <w:rStyle w:val="29"/>
          <w:rFonts w:ascii="宋体" w:hAnsi="宋体"/>
          <w:b/>
          <w:bCs/>
          <w:szCs w:val="21"/>
        </w:rPr>
      </w:pPr>
      <w:bookmarkStart w:id="53" w:name="_Toc114675512"/>
      <w:bookmarkStart w:id="54" w:name="_Toc116550356"/>
      <w:r>
        <w:rPr>
          <w:rStyle w:val="29"/>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6"/>
        </w:numPr>
        <w:spacing w:before="156" w:beforeLines="50"/>
        <w:jc w:val="left"/>
        <w:outlineLvl w:val="2"/>
        <w:rPr>
          <w:rFonts w:ascii="宋体" w:hAnsi="宋体"/>
          <w:b/>
          <w:bCs/>
          <w:szCs w:val="21"/>
        </w:rPr>
      </w:pPr>
      <w:bookmarkStart w:id="55" w:name="_Toc114675513"/>
      <w:bookmarkStart w:id="56" w:name="_Toc116550357"/>
      <w:r>
        <w:rPr>
          <w:rStyle w:val="29"/>
          <w:rFonts w:hint="eastAsia" w:ascii="宋体" w:hAnsi="宋体"/>
          <w:b/>
          <w:bCs/>
          <w:szCs w:val="21"/>
        </w:rPr>
        <w:t>综合评议指标表</w:t>
      </w:r>
      <w:bookmarkEnd w:id="55"/>
      <w:bookmarkEnd w:id="56"/>
    </w:p>
    <w:p>
      <w:pPr>
        <w:pStyle w:val="2"/>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8"/>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tabs>
                <w:tab w:val="left" w:pos="531"/>
              </w:tabs>
              <w:snapToGrid w:val="0"/>
              <w:spacing w:line="240" w:lineRule="auto"/>
              <w:ind w:firstLine="0" w:firstLineChars="0"/>
              <w:jc w:val="center"/>
              <w:rPr>
                <w:rFonts w:hint="eastAsia" w:ascii="宋体" w:hAnsi="宋体"/>
                <w:szCs w:val="21"/>
              </w:rPr>
            </w:pPr>
            <w:r>
              <w:rPr>
                <w:rFonts w:hint="eastAsia" w:ascii="宋体" w:hAnsi="宋体" w:eastAsia="宋体" w:cs="Times New Roman"/>
                <w:sz w:val="21"/>
                <w:szCs w:val="21"/>
              </w:rPr>
              <w:t>公司业绩及同类经验</w:t>
            </w:r>
          </w:p>
        </w:tc>
        <w:tc>
          <w:tcPr>
            <w:tcW w:w="709" w:type="dxa"/>
            <w:tcBorders>
              <w:tl2br w:val="nil"/>
              <w:tr2bl w:val="nil"/>
            </w:tcBorders>
            <w:tcMar>
              <w:top w:w="15" w:type="dxa"/>
              <w:left w:w="15" w:type="dxa"/>
              <w:bottom w:w="15" w:type="dxa"/>
              <w:right w:w="15" w:type="dxa"/>
            </w:tcMar>
            <w:vAlign w:val="center"/>
          </w:tcPr>
          <w:p>
            <w:pPr>
              <w:tabs>
                <w:tab w:val="left" w:pos="531"/>
              </w:tabs>
              <w:snapToGrid w:val="0"/>
              <w:spacing w:line="240" w:lineRule="auto"/>
              <w:ind w:firstLine="0" w:firstLineChars="0"/>
              <w:jc w:val="center"/>
              <w:rPr>
                <w:rFonts w:hint="eastAsia" w:ascii="宋体" w:hAnsi="宋体"/>
                <w:szCs w:val="21"/>
              </w:rPr>
            </w:pPr>
            <w:r>
              <w:rPr>
                <w:rFonts w:hint="eastAsia" w:ascii="宋体" w:hAnsi="宋体" w:eastAsia="宋体" w:cs="Times New Roman"/>
                <w:szCs w:val="21"/>
                <w:lang w:val="en-US" w:eastAsia="zh-CN"/>
              </w:rPr>
              <w:t>20</w:t>
            </w:r>
            <w:r>
              <w:rPr>
                <w:rFonts w:hint="eastAsia" w:ascii="宋体" w:hAnsi="宋体" w:eastAsia="宋体" w:cs="Times New Roman"/>
                <w:szCs w:val="21"/>
              </w:rPr>
              <w:t>分</w:t>
            </w:r>
          </w:p>
        </w:tc>
        <w:tc>
          <w:tcPr>
            <w:tcW w:w="6804" w:type="dxa"/>
            <w:gridSpan w:val="2"/>
            <w:tcBorders>
              <w:tl2br w:val="nil"/>
              <w:tr2bl w:val="nil"/>
            </w:tcBorders>
            <w:tcMar>
              <w:top w:w="15" w:type="dxa"/>
              <w:left w:w="15" w:type="dxa"/>
              <w:bottom w:w="15" w:type="dxa"/>
              <w:right w:w="15" w:type="dxa"/>
            </w:tcMar>
            <w:vAlign w:val="center"/>
          </w:tcPr>
          <w:p>
            <w:pPr>
              <w:snapToGrid/>
              <w:ind w:firstLine="420" w:firstLineChars="200"/>
              <w:jc w:val="left"/>
              <w:rPr>
                <w:rFonts w:ascii="宋体" w:hAnsi="宋体"/>
                <w:szCs w:val="21"/>
              </w:rPr>
            </w:pPr>
            <w:r>
              <w:rPr>
                <w:rFonts w:hint="eastAsia" w:ascii="宋体" w:hAnsi="宋体"/>
                <w:szCs w:val="21"/>
              </w:rPr>
              <w:t>根据投标人提供的自20</w:t>
            </w:r>
            <w:r>
              <w:rPr>
                <w:rFonts w:ascii="宋体" w:hAnsi="宋体"/>
                <w:szCs w:val="21"/>
              </w:rPr>
              <w:t>20</w:t>
            </w:r>
            <w:r>
              <w:rPr>
                <w:rFonts w:hint="eastAsia" w:ascii="宋体" w:hAnsi="宋体"/>
                <w:szCs w:val="21"/>
              </w:rPr>
              <w:t>年</w:t>
            </w:r>
            <w:r>
              <w:rPr>
                <w:rFonts w:ascii="宋体" w:hAnsi="宋体"/>
                <w:szCs w:val="21"/>
              </w:rPr>
              <w:t>1</w:t>
            </w:r>
            <w:r>
              <w:rPr>
                <w:rFonts w:hint="eastAsia" w:ascii="宋体" w:hAnsi="宋体"/>
                <w:szCs w:val="21"/>
              </w:rPr>
              <w:t>月1日至本项目招标公告发布之日（以合同签订时间为准）期间</w:t>
            </w:r>
            <w:r>
              <w:rPr>
                <w:rFonts w:hint="eastAsia" w:ascii="宋体" w:hAnsi="宋体"/>
                <w:szCs w:val="21"/>
                <w:lang w:val="en-US" w:eastAsia="zh-CN"/>
              </w:rPr>
              <w:t>同类</w:t>
            </w:r>
            <w:r>
              <w:rPr>
                <w:rFonts w:hint="eastAsia" w:ascii="宋体" w:hAnsi="宋体"/>
                <w:szCs w:val="21"/>
              </w:rPr>
              <w:t>合同进行评议：</w:t>
            </w:r>
          </w:p>
          <w:p>
            <w:pPr>
              <w:snapToGrid/>
              <w:ind w:firstLine="420" w:firstLineChars="200"/>
              <w:rPr>
                <w:rFonts w:hint="eastAsia" w:ascii="宋体" w:hAnsi="宋体" w:eastAsia="宋体"/>
                <w:szCs w:val="21"/>
              </w:rPr>
            </w:pPr>
            <w:r>
              <w:rPr>
                <w:rFonts w:hint="eastAsia" w:ascii="宋体" w:hAnsi="宋体"/>
                <w:szCs w:val="21"/>
              </w:rPr>
              <w:t>根据其提交</w:t>
            </w:r>
            <w:r>
              <w:rPr>
                <w:rFonts w:hint="eastAsia" w:ascii="宋体" w:hAnsi="宋体"/>
                <w:szCs w:val="21"/>
                <w:lang w:val="en-US" w:eastAsia="zh-CN"/>
              </w:rPr>
              <w:t>的</w:t>
            </w:r>
            <w:r>
              <w:rPr>
                <w:rFonts w:hint="eastAsia" w:ascii="宋体" w:hAnsi="宋体"/>
                <w:szCs w:val="21"/>
              </w:rPr>
              <w:t>合同累计</w:t>
            </w:r>
            <w:r>
              <w:rPr>
                <w:rFonts w:hint="eastAsia" w:ascii="宋体" w:hAnsi="宋体"/>
                <w:szCs w:val="21"/>
                <w:lang w:val="en-US" w:eastAsia="zh-CN"/>
              </w:rPr>
              <w:t>金额</w:t>
            </w:r>
            <w:r>
              <w:rPr>
                <w:rFonts w:hint="eastAsia" w:ascii="宋体" w:hAnsi="宋体"/>
                <w:szCs w:val="21"/>
              </w:rPr>
              <w:t>由多到少进行排名：第一名得</w:t>
            </w:r>
            <w:r>
              <w:rPr>
                <w:rFonts w:hint="eastAsia" w:ascii="宋体" w:hAnsi="宋体"/>
                <w:szCs w:val="21"/>
                <w:lang w:val="en-US" w:eastAsia="zh-CN"/>
              </w:rPr>
              <w:t>20</w:t>
            </w:r>
            <w:r>
              <w:rPr>
                <w:rFonts w:hint="eastAsia" w:ascii="宋体" w:hAnsi="宋体"/>
                <w:szCs w:val="21"/>
              </w:rPr>
              <w:t>分，每降低一个名次，得分减少</w:t>
            </w:r>
            <w:r>
              <w:rPr>
                <w:rFonts w:hint="eastAsia" w:ascii="宋体" w:hAnsi="宋体"/>
                <w:szCs w:val="21"/>
                <w:lang w:val="en-US" w:eastAsia="zh-CN"/>
              </w:rPr>
              <w:t>4</w:t>
            </w:r>
            <w:r>
              <w:rPr>
                <w:rFonts w:hint="eastAsia" w:ascii="宋体" w:hAnsi="宋体"/>
                <w:szCs w:val="21"/>
              </w:rPr>
              <w:t>分，直至0分。</w:t>
            </w:r>
          </w:p>
          <w:p>
            <w:pPr>
              <w:ind w:firstLine="420" w:firstLineChars="200"/>
              <w:rPr>
                <w:rFonts w:ascii="宋体" w:hAnsi="宋体" w:eastAsia="宋体"/>
                <w:szCs w:val="21"/>
              </w:rPr>
            </w:pPr>
            <w:r>
              <w:rPr>
                <w:rFonts w:hint="eastAsia" w:ascii="宋体" w:hAnsi="宋体" w:eastAsia="宋体"/>
                <w:szCs w:val="21"/>
              </w:rPr>
              <w:t>投标人须提交合同业绩汇总表，内容包括但不限于序号、合同签订时间、合同名称、合同标的、合同金额、</w:t>
            </w:r>
            <w:r>
              <w:rPr>
                <w:rFonts w:hint="eastAsia" w:ascii="宋体" w:hAnsi="宋体" w:eastAsia="宋体"/>
                <w:szCs w:val="21"/>
                <w:lang w:val="en-US" w:eastAsia="zh-CN"/>
              </w:rPr>
              <w:t>采购方</w:t>
            </w:r>
            <w:r>
              <w:rPr>
                <w:rFonts w:hint="eastAsia" w:ascii="宋体" w:hAnsi="宋体" w:eastAsia="宋体"/>
                <w:szCs w:val="21"/>
              </w:rPr>
              <w:t>名称等能体现上述评分的所有内容。</w:t>
            </w:r>
          </w:p>
          <w:p>
            <w:pPr>
              <w:numPr>
                <w:ilvl w:val="-1"/>
                <w:numId w:val="0"/>
              </w:numPr>
              <w:snapToGrid/>
              <w:ind w:leftChars="0" w:firstLine="420" w:firstLineChars="200"/>
              <w:jc w:val="left"/>
              <w:rPr>
                <w:rFonts w:ascii="宋体" w:hAnsi="宋体"/>
                <w:color w:val="FF0000"/>
                <w:szCs w:val="21"/>
              </w:rPr>
            </w:pPr>
            <w:r>
              <w:rPr>
                <w:rFonts w:hint="eastAsia" w:ascii="宋体" w:hAnsi="宋体" w:eastAsia="宋体"/>
                <w:szCs w:val="21"/>
              </w:rPr>
              <w:t>未提供或所提供的证明资料不清晰、不完整的，均不计分。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tabs>
                <w:tab w:val="left" w:pos="531"/>
              </w:tabs>
              <w:snapToGrid w:val="0"/>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人员配备</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5</w:t>
            </w:r>
          </w:p>
        </w:tc>
        <w:tc>
          <w:tcPr>
            <w:tcW w:w="6804" w:type="dxa"/>
            <w:gridSpan w:val="2"/>
            <w:tcBorders>
              <w:tl2br w:val="nil"/>
              <w:tr2bl w:val="nil"/>
            </w:tcBorders>
            <w:tcMar>
              <w:top w:w="15" w:type="dxa"/>
              <w:left w:w="15" w:type="dxa"/>
              <w:bottom w:w="15" w:type="dxa"/>
              <w:right w:w="15" w:type="dxa"/>
            </w:tcMar>
            <w:vAlign w:val="center"/>
          </w:tcPr>
          <w:p>
            <w:pPr>
              <w:pStyle w:val="22"/>
              <w:numPr>
                <w:ilvl w:val="-1"/>
                <w:numId w:val="0"/>
              </w:numPr>
              <w:snapToGrid w:val="0"/>
              <w:ind w:left="0" w:leftChars="0" w:firstLine="420" w:firstLineChars="200"/>
              <w:rPr>
                <w:rFonts w:hint="eastAsia" w:ascii="宋体" w:hAnsi="宋体" w:eastAsia="宋体"/>
                <w:szCs w:val="21"/>
                <w:lang w:val="en-US" w:eastAsia="zh-CN"/>
              </w:rPr>
            </w:pPr>
            <w:r>
              <w:rPr>
                <w:rFonts w:hint="eastAsia" w:ascii="宋体" w:hAnsi="宋体" w:eastAsia="宋体"/>
                <w:szCs w:val="21"/>
              </w:rPr>
              <w:t>根据项目团队配置情况进行比较：根据投标人确定为本项目配备的工作人员</w:t>
            </w:r>
            <w:r>
              <w:rPr>
                <w:rFonts w:hint="eastAsia" w:ascii="宋体" w:hAnsi="宋体" w:eastAsia="宋体"/>
                <w:szCs w:val="21"/>
                <w:lang w:val="en-US" w:eastAsia="zh-CN"/>
              </w:rPr>
              <w:t>的工作经验</w:t>
            </w:r>
            <w:r>
              <w:rPr>
                <w:rFonts w:hint="eastAsia" w:ascii="宋体" w:hAnsi="宋体" w:eastAsia="宋体"/>
                <w:szCs w:val="21"/>
              </w:rPr>
              <w:t>进行横向比较后：</w:t>
            </w:r>
            <w:r>
              <w:rPr>
                <w:rFonts w:hint="eastAsia" w:ascii="宋体" w:hAnsi="宋体" w:eastAsia="宋体"/>
                <w:szCs w:val="21"/>
                <w:lang w:val="en-US" w:eastAsia="zh-CN"/>
              </w:rPr>
              <w:t>优</w:t>
            </w:r>
            <w:r>
              <w:rPr>
                <w:rFonts w:hint="eastAsia" w:ascii="宋体" w:hAnsi="宋体" w:eastAsia="宋体"/>
                <w:szCs w:val="21"/>
              </w:rPr>
              <w:t>得</w:t>
            </w:r>
            <w:r>
              <w:rPr>
                <w:rFonts w:hint="eastAsia" w:ascii="宋体" w:hAnsi="宋体" w:eastAsia="宋体"/>
                <w:szCs w:val="21"/>
                <w:lang w:val="en-US" w:eastAsia="zh-CN"/>
              </w:rPr>
              <w:t>5</w:t>
            </w:r>
            <w:r>
              <w:rPr>
                <w:rFonts w:hint="eastAsia" w:ascii="宋体" w:hAnsi="宋体" w:eastAsia="宋体"/>
                <w:szCs w:val="21"/>
              </w:rPr>
              <w:t>分，</w:t>
            </w:r>
            <w:r>
              <w:rPr>
                <w:rFonts w:hint="eastAsia" w:ascii="宋体" w:hAnsi="宋体" w:eastAsia="宋体"/>
                <w:szCs w:val="21"/>
                <w:lang w:val="en-US" w:eastAsia="zh-CN"/>
              </w:rPr>
              <w:t>良得2分 ，差得0分。</w:t>
            </w:r>
          </w:p>
          <w:p>
            <w:pPr>
              <w:pStyle w:val="22"/>
              <w:numPr>
                <w:ilvl w:val="-1"/>
                <w:numId w:val="0"/>
              </w:numPr>
              <w:snapToGrid w:val="0"/>
              <w:ind w:left="0" w:leftChars="0" w:firstLine="420" w:firstLineChars="200"/>
              <w:rPr>
                <w:rFonts w:hint="default" w:ascii="宋体" w:hAnsi="宋体" w:eastAsia="宋体"/>
                <w:szCs w:val="21"/>
                <w:lang w:val="en-US" w:eastAsia="zh-CN"/>
              </w:rPr>
            </w:pPr>
            <w:r>
              <w:rPr>
                <w:rFonts w:hint="eastAsia" w:ascii="宋体" w:hAnsi="宋体" w:eastAsia="宋体"/>
                <w:szCs w:val="21"/>
                <w:lang w:val="en-US" w:eastAsia="zh-CN"/>
              </w:rPr>
              <w:t>投标人需提供本项目配备人员的社保清单，及以往负责项目的相关介绍及证明资料。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6" w:hRule="atLeast"/>
          <w:tblCellSpacing w:w="0" w:type="dxa"/>
        </w:trPr>
        <w:tc>
          <w:tcPr>
            <w:tcW w:w="704" w:type="dxa"/>
            <w:tcBorders>
              <w:tl2br w:val="nil"/>
              <w:tr2bl w:val="nil"/>
            </w:tcBorders>
            <w:vAlign w:val="center"/>
          </w:tcPr>
          <w:p>
            <w:pPr>
              <w:pStyle w:val="22"/>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tabs>
                <w:tab w:val="left" w:pos="531"/>
              </w:tabs>
              <w:snapToGrid w:val="0"/>
              <w:spacing w:line="24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Times New Roman"/>
                <w:color w:val="FF0000"/>
                <w:kern w:val="2"/>
                <w:sz w:val="21"/>
                <w:szCs w:val="21"/>
                <w:lang w:val="en-US" w:eastAsia="zh-CN" w:bidi="ar-SA"/>
              </w:rPr>
            </w:pPr>
            <w:r>
              <w:rPr>
                <w:rFonts w:hint="eastAsia" w:ascii="仿宋" w:hAnsi="仿宋" w:eastAsia="仿宋" w:cs="仿宋"/>
                <w:lang w:val="en-US" w:eastAsia="zh-CN"/>
              </w:rPr>
              <w:t>20分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0" w:firstLine="420" w:firstLineChars="200"/>
              <w:jc w:val="left"/>
              <w:rPr>
                <w:rFonts w:hint="eastAsia"/>
              </w:rPr>
            </w:pPr>
            <w:r>
              <w:rPr>
                <w:rFonts w:hint="eastAsia"/>
              </w:rPr>
              <w:t>根据</w:t>
            </w:r>
            <w:r>
              <w:rPr>
                <w:rFonts w:hint="eastAsia"/>
                <w:lang w:val="en-US" w:eastAsia="zh-CN"/>
              </w:rPr>
              <w:t>产品</w:t>
            </w:r>
            <w:r>
              <w:rPr>
                <w:rFonts w:hint="eastAsia"/>
              </w:rPr>
              <w:t>项目方案</w:t>
            </w:r>
            <w:r>
              <w:rPr>
                <w:rFonts w:hint="eastAsia"/>
                <w:lang w:val="en-US" w:eastAsia="zh-CN"/>
              </w:rPr>
              <w:t>板块功能实用性、简便性</w:t>
            </w:r>
            <w:r>
              <w:rPr>
                <w:rFonts w:hint="eastAsia"/>
              </w:rPr>
              <w:t>等</w:t>
            </w:r>
            <w:r>
              <w:rPr>
                <w:rFonts w:hint="eastAsia"/>
                <w:lang w:val="en-US" w:eastAsia="zh-CN"/>
              </w:rPr>
              <w:t>综合</w:t>
            </w:r>
            <w:r>
              <w:rPr>
                <w:rFonts w:hint="eastAsia"/>
              </w:rPr>
              <w:t>对比</w:t>
            </w:r>
            <w:r>
              <w:rPr>
                <w:rFonts w:hint="eastAsia"/>
                <w:lang w:val="en-US" w:eastAsia="zh-CN"/>
              </w:rPr>
              <w:t>：</w:t>
            </w:r>
            <w:r>
              <w:rPr>
                <w:rFonts w:hint="eastAsia"/>
              </w:rPr>
              <w:t>优得</w:t>
            </w:r>
            <w:r>
              <w:t>2</w:t>
            </w:r>
            <w:r>
              <w:rPr>
                <w:rFonts w:hint="eastAsia"/>
              </w:rPr>
              <w:t>0分；</w:t>
            </w:r>
            <w:r>
              <w:rPr>
                <w:rFonts w:hint="eastAsia"/>
                <w:lang w:val="en-US" w:eastAsia="zh-CN"/>
              </w:rPr>
              <w:t>良</w:t>
            </w:r>
            <w:r>
              <w:rPr>
                <w:rFonts w:hint="eastAsia"/>
              </w:rPr>
              <w:t>得</w:t>
            </w:r>
            <w:r>
              <w:t>15</w:t>
            </w:r>
            <w:r>
              <w:rPr>
                <w:rFonts w:hint="eastAsia"/>
              </w:rPr>
              <w:t>分；</w:t>
            </w:r>
            <w:r>
              <w:rPr>
                <w:rFonts w:hint="eastAsia"/>
                <w:lang w:val="en-US" w:eastAsia="zh-CN"/>
              </w:rPr>
              <w:t>一般得10</w:t>
            </w:r>
            <w:r>
              <w:rPr>
                <w:rFonts w:hint="eastAsia"/>
              </w:rPr>
              <w:t>分；差得</w:t>
            </w:r>
            <w:r>
              <w:rPr>
                <w:rFonts w:hint="eastAsia"/>
                <w:lang w:val="en-US" w:eastAsia="zh-CN"/>
              </w:rPr>
              <w:t>5</w:t>
            </w:r>
            <w:r>
              <w:rPr>
                <w:rFonts w:hint="eastAsia"/>
              </w:rPr>
              <w:t>分。</w:t>
            </w:r>
          </w:p>
          <w:p>
            <w:pPr>
              <w:pStyle w:val="2"/>
              <w:spacing w:line="240" w:lineRule="auto"/>
              <w:ind w:left="0" w:leftChars="0" w:firstLine="420" w:firstLineChars="200"/>
              <w:rPr>
                <w:rFonts w:hint="eastAsia" w:ascii="Arial" w:hAnsi="Arial" w:eastAsia="仿宋" w:cs="Times New Roman"/>
                <w:spacing w:val="-5"/>
                <w:kern w:val="0"/>
                <w:sz w:val="20"/>
                <w:szCs w:val="24"/>
                <w:lang w:val="en-US" w:eastAsia="zh-CN" w:bidi="ar-SA"/>
              </w:rPr>
            </w:pPr>
            <w:r>
              <w:rPr>
                <w:rFonts w:hint="eastAsia" w:ascii="Times New Roman" w:hAnsi="Times New Roman" w:eastAsia="宋体" w:cs="Times New Roman"/>
                <w:spacing w:val="0"/>
                <w:kern w:val="2"/>
                <w:sz w:val="21"/>
                <w:szCs w:val="24"/>
                <w:lang w:val="en-US" w:eastAsia="zh-CN"/>
              </w:rPr>
              <w:t>提供：对所投项目的功能详细介绍，方式不限。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tabs>
                <w:tab w:val="left" w:pos="531"/>
              </w:tabs>
              <w:snapToGrid w:val="0"/>
              <w:spacing w:line="240" w:lineRule="auto"/>
              <w:jc w:val="center"/>
              <w:rPr>
                <w:rFonts w:hint="eastAsia" w:ascii="宋体" w:hAnsi="宋体" w:eastAsia="宋体"/>
                <w:szCs w:val="21"/>
                <w:lang w:val="en-US" w:eastAsia="zh-CN"/>
              </w:rPr>
            </w:pPr>
            <w:r>
              <w:rPr>
                <w:rFonts w:hint="eastAsia" w:ascii="宋体" w:hAnsi="宋体" w:eastAsia="宋体" w:cs="Times New Roman"/>
                <w:szCs w:val="21"/>
                <w:lang w:val="en-US" w:eastAsia="zh-CN"/>
              </w:rPr>
              <w:t>售后</w:t>
            </w:r>
            <w:r>
              <w:rPr>
                <w:rFonts w:hint="eastAsia" w:ascii="宋体" w:hAnsi="宋体" w:eastAsia="宋体" w:cs="Times New Roman"/>
                <w:szCs w:val="21"/>
              </w:rPr>
              <w:t>方案</w:t>
            </w:r>
          </w:p>
        </w:tc>
        <w:tc>
          <w:tcPr>
            <w:tcW w:w="709" w:type="dxa"/>
            <w:tcBorders>
              <w:tl2br w:val="nil"/>
              <w:tr2bl w:val="nil"/>
            </w:tcBorders>
            <w:tcMar>
              <w:top w:w="15" w:type="dxa"/>
              <w:left w:w="15" w:type="dxa"/>
              <w:bottom w:w="15" w:type="dxa"/>
              <w:right w:w="15" w:type="dxa"/>
            </w:tcMar>
            <w:vAlign w:val="center"/>
          </w:tcPr>
          <w:p>
            <w:pPr>
              <w:widowControl/>
              <w:spacing w:line="240" w:lineRule="auto"/>
              <w:jc w:val="center"/>
              <w:rPr>
                <w:rFonts w:hint="eastAsia" w:ascii="Times New Roman" w:hAnsi="Times New Roman"/>
                <w:szCs w:val="24"/>
              </w:rPr>
            </w:pPr>
            <w:r>
              <w:rPr>
                <w:rFonts w:hint="eastAsia" w:cs="Times New Roman"/>
                <w:lang w:val="en-US" w:eastAsia="zh-CN"/>
              </w:rPr>
              <w:t>5</w:t>
            </w:r>
            <w:r>
              <w:rPr>
                <w:rFonts w:hint="eastAsia" w:ascii="Times New Roman" w:hAnsi="Times New Roman" w:eastAsia="宋体" w:cs="Times New Roman"/>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0" w:firstLine="420" w:firstLineChars="200"/>
              <w:jc w:val="left"/>
              <w:rPr>
                <w:rFonts w:hint="eastAsia"/>
              </w:rPr>
            </w:pPr>
            <w:r>
              <w:rPr>
                <w:rFonts w:hint="eastAsia"/>
              </w:rPr>
              <w:t>根据产品质保的及时性、处理办法、响应速度</w:t>
            </w:r>
            <w:r>
              <w:rPr>
                <w:rFonts w:hint="eastAsia"/>
                <w:lang w:eastAsia="zh-CN"/>
              </w:rPr>
              <w:t>、</w:t>
            </w:r>
            <w:r>
              <w:rPr>
                <w:rFonts w:hint="eastAsia"/>
                <w:lang w:val="en-US" w:eastAsia="zh-CN"/>
              </w:rPr>
              <w:t>培训计划</w:t>
            </w:r>
            <w:r>
              <w:rPr>
                <w:rFonts w:hint="eastAsia"/>
              </w:rPr>
              <w:t>等</w:t>
            </w:r>
            <w:r>
              <w:rPr>
                <w:rFonts w:hint="eastAsia"/>
                <w:lang w:val="en-US" w:eastAsia="zh-CN"/>
              </w:rPr>
              <w:t>综合对比：优</w:t>
            </w:r>
            <w:r>
              <w:rPr>
                <w:rFonts w:hint="eastAsia"/>
              </w:rPr>
              <w:t>得</w:t>
            </w:r>
            <w:r>
              <w:rPr>
                <w:rFonts w:hint="eastAsia"/>
                <w:lang w:val="en-US" w:eastAsia="zh-CN"/>
              </w:rPr>
              <w:t>5</w:t>
            </w:r>
            <w:r>
              <w:rPr>
                <w:rFonts w:hint="eastAsia"/>
              </w:rPr>
              <w:t>分</w:t>
            </w:r>
            <w:r>
              <w:rPr>
                <w:rFonts w:hint="eastAsia"/>
                <w:lang w:eastAsia="zh-CN"/>
              </w:rPr>
              <w:t>；</w:t>
            </w:r>
            <w:r>
              <w:rPr>
                <w:rFonts w:hint="eastAsia"/>
                <w:lang w:val="en-US" w:eastAsia="zh-CN"/>
              </w:rPr>
              <w:t>良</w:t>
            </w:r>
            <w:r>
              <w:rPr>
                <w:rFonts w:hint="eastAsia"/>
              </w:rPr>
              <w:t>得</w:t>
            </w:r>
            <w:r>
              <w:rPr>
                <w:rFonts w:hint="eastAsia"/>
                <w:lang w:val="en-US" w:eastAsia="zh-CN"/>
              </w:rPr>
              <w:t>3</w:t>
            </w:r>
            <w:r>
              <w:rPr>
                <w:rFonts w:hint="eastAsia"/>
              </w:rPr>
              <w:t>分</w:t>
            </w:r>
            <w:r>
              <w:rPr>
                <w:rFonts w:hint="eastAsia"/>
                <w:lang w:eastAsia="zh-CN"/>
              </w:rPr>
              <w:t>；</w:t>
            </w:r>
            <w:r>
              <w:rPr>
                <w:rFonts w:hint="eastAsia"/>
              </w:rPr>
              <w:t>一般得</w:t>
            </w:r>
            <w:r>
              <w:rPr>
                <w:rFonts w:hint="eastAsia"/>
                <w:lang w:val="en-US" w:eastAsia="zh-CN"/>
              </w:rPr>
              <w:t>1</w:t>
            </w:r>
            <w:r>
              <w:rPr>
                <w:rFonts w:hint="eastAsia"/>
              </w:rPr>
              <w:t>分</w:t>
            </w:r>
            <w:r>
              <w:rPr>
                <w:rFonts w:hint="eastAsia"/>
                <w:lang w:eastAsia="zh-CN"/>
              </w:rPr>
              <w:t>；</w:t>
            </w:r>
            <w:r>
              <w:rPr>
                <w:rFonts w:hint="eastAsia"/>
              </w:rPr>
              <w:t>差得0分。</w:t>
            </w:r>
          </w:p>
          <w:p>
            <w:pPr>
              <w:spacing w:line="240" w:lineRule="auto"/>
              <w:ind w:firstLine="420" w:firstLineChars="200"/>
              <w:jc w:val="left"/>
              <w:rPr>
                <w:rFonts w:hint="eastAsia" w:eastAsia="宋体"/>
                <w:lang w:val="en-US" w:eastAsia="zh-CN"/>
              </w:rPr>
            </w:pPr>
            <w:r>
              <w:rPr>
                <w:rFonts w:hint="eastAsia" w:ascii="Times New Roman" w:hAnsi="Times New Roman" w:eastAsia="宋体" w:cs="Times New Roman"/>
                <w:szCs w:val="24"/>
                <w:lang w:val="en-US" w:eastAsia="zh-CN"/>
              </w:rPr>
              <w:t>投标人需提供本项目售后方案并加盖公章。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tabs>
                <w:tab w:val="left" w:pos="531"/>
              </w:tabs>
              <w:snapToGrid w:val="0"/>
              <w:spacing w:line="24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培训方案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0" w:firstLine="420" w:firstLineChars="200"/>
              <w:jc w:val="left"/>
              <w:rPr>
                <w:rFonts w:hint="eastAsia"/>
                <w:lang w:val="en-US" w:eastAsia="zh-CN"/>
              </w:rPr>
            </w:pPr>
            <w:r>
              <w:rPr>
                <w:rFonts w:hint="eastAsia"/>
                <w:lang w:val="en-US" w:eastAsia="zh-CN"/>
              </w:rPr>
              <w:t xml:space="preserve">根据产品所有板块的功能制定详细的培训方案及培训计划，综合对比，培训方案越完善得分越高：优得10分；良得6分；一般得2分；差得0分。   </w:t>
            </w:r>
          </w:p>
          <w:p>
            <w:pPr>
              <w:widowControl/>
              <w:spacing w:line="240" w:lineRule="auto"/>
              <w:ind w:right="0" w:firstLine="420" w:firstLineChars="200"/>
              <w:jc w:val="left"/>
              <w:rPr>
                <w:rFonts w:hint="default"/>
                <w:lang w:val="en-US" w:eastAsia="zh-CN"/>
              </w:rPr>
            </w:pPr>
            <w:r>
              <w:rPr>
                <w:rFonts w:hint="eastAsia" w:ascii="Times New Roman" w:hAnsi="Times New Roman" w:eastAsia="宋体" w:cs="Times New Roman"/>
                <w:spacing w:val="0"/>
                <w:kern w:val="2"/>
                <w:sz w:val="21"/>
                <w:szCs w:val="24"/>
                <w:lang w:val="en-US" w:eastAsia="zh-CN"/>
              </w:rPr>
              <w:t>投标人需提供本项目培训方案并加盖公章</w:t>
            </w:r>
            <w:r>
              <w:rPr>
                <w:rFonts w:hint="eastAsia" w:cs="Times New Roman"/>
                <w:spacing w:val="0"/>
                <w:kern w:val="2"/>
                <w:sz w:val="21"/>
                <w:szCs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20"/>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20"/>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pPr>
              <w:numPr>
                <w:ilvl w:val="0"/>
                <w:numId w:val="20"/>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numPr>
                <w:ilvl w:val="255"/>
                <w:numId w:val="0"/>
              </w:numPr>
              <w:tabs>
                <w:tab w:val="left" w:pos="3780"/>
              </w:tabs>
              <w:snapToGrid w:val="0"/>
              <w:jc w:val="left"/>
              <w:rPr>
                <w:rFonts w:ascii="宋体" w:hAnsi="宋体" w:cs="宋体"/>
                <w:color w:val="auto"/>
                <w:kern w:val="0"/>
                <w:szCs w:val="21"/>
                <w:highlight w:val="none"/>
              </w:rPr>
            </w:pPr>
            <w:r>
              <w:rPr>
                <w:rFonts w:hint="eastAsia" w:ascii="宋体" w:hAnsi="宋体"/>
                <w:color w:val="auto"/>
                <w:szCs w:val="21"/>
                <w:highlight w:val="none"/>
              </w:rPr>
              <w:t>价格得分=（1</w:t>
            </w:r>
            <w:r>
              <w:rPr>
                <w:rFonts w:ascii="宋体" w:hAnsi="宋体"/>
                <w:color w:val="auto"/>
                <w:szCs w:val="21"/>
                <w:highlight w:val="none"/>
              </w:rPr>
              <w:t>-</w:t>
            </w:r>
            <w:r>
              <w:rPr>
                <w:rFonts w:hint="eastAsia" w:ascii="宋体" w:hAnsi="宋体" w:cs="宋体"/>
                <w:color w:val="auto"/>
                <w:kern w:val="0"/>
                <w:szCs w:val="21"/>
                <w:highlight w:val="none"/>
              </w:rPr>
              <w:t>|投标报价-基准价|÷基准价）×价格权重分</w:t>
            </w:r>
          </w:p>
          <w:p>
            <w:pPr>
              <w:spacing w:line="240" w:lineRule="atLeast"/>
              <w:jc w:val="left"/>
              <w:rPr>
                <w:rFonts w:ascii="宋体" w:cs="宋体"/>
                <w:kern w:val="0"/>
                <w:szCs w:val="21"/>
                <w:highlight w:val="none"/>
              </w:rPr>
            </w:pPr>
            <w:r>
              <w:rPr>
                <w:rFonts w:hint="eastAsia" w:ascii="宋体" w:hAnsi="宋体" w:eastAsia="宋体" w:cs="宋体"/>
                <w:color w:val="auto"/>
                <w:kern w:val="0"/>
                <w:szCs w:val="21"/>
                <w:highlight w:val="none"/>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spacing w:line="360" w:lineRule="auto"/>
        <w:jc w:val="center"/>
        <w:outlineLvl w:val="0"/>
        <w:rPr>
          <w:rFonts w:hint="eastAsia" w:ascii="宋体" w:hAnsi="宋体" w:eastAsia="宋体" w:cs="Times New Roman"/>
          <w:b/>
          <w:sz w:val="32"/>
          <w:szCs w:val="32"/>
        </w:rPr>
      </w:pPr>
      <w:bookmarkStart w:id="58" w:name="_Hlk116549198"/>
      <w:r>
        <w:rPr>
          <w:rFonts w:hint="eastAsia" w:ascii="宋体" w:hAnsi="宋体" w:eastAsia="宋体" w:cs="Times New Roman"/>
          <w:b/>
          <w:sz w:val="32"/>
          <w:szCs w:val="32"/>
        </w:rPr>
        <w:t>深圳会展中心</w:t>
      </w:r>
      <w:r>
        <w:rPr>
          <w:rFonts w:hint="eastAsia" w:ascii="宋体" w:hAnsi="宋体" w:cs="Times New Roman"/>
          <w:b/>
          <w:sz w:val="32"/>
          <w:szCs w:val="32"/>
          <w:lang w:val="en-US" w:eastAsia="zh-CN"/>
        </w:rPr>
        <w:t>采购与成本管理系统购销</w:t>
      </w:r>
      <w:r>
        <w:rPr>
          <w:rFonts w:hint="eastAsia" w:ascii="宋体" w:hAnsi="宋体" w:eastAsia="宋体" w:cs="Times New Roman"/>
          <w:b/>
          <w:sz w:val="32"/>
          <w:szCs w:val="32"/>
        </w:rPr>
        <w:t>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r>
        <w:rPr>
          <w:rFonts w:hint="eastAsia" w:ascii="方正小标宋简体" w:hAnsi="方正小标宋简体" w:eastAsia="方正小标宋简体" w:cs="方正小标宋简体"/>
          <w:bCs/>
          <w:kern w:val="0"/>
          <w:sz w:val="28"/>
          <w:szCs w:val="28"/>
          <w:lang w:eastAsia="zh-CN"/>
        </w:rPr>
        <w:t>，</w:t>
      </w:r>
      <w:r>
        <w:rPr>
          <w:rFonts w:hint="eastAsia" w:ascii="方正小标宋简体" w:hAnsi="方正小标宋简体" w:eastAsia="方正小标宋简体" w:cs="方正小标宋简体"/>
          <w:bCs/>
          <w:kern w:val="0"/>
          <w:sz w:val="28"/>
          <w:szCs w:val="28"/>
          <w:lang w:val="en-US" w:eastAsia="zh-CN"/>
        </w:rPr>
        <w:t>后续根据开标结果补充</w:t>
      </w:r>
      <w:r>
        <w:rPr>
          <w:rFonts w:hint="eastAsia" w:ascii="方正小标宋简体" w:hAnsi="方正小标宋简体" w:eastAsia="方正小标宋简体" w:cs="方正小标宋简体"/>
          <w:bCs/>
          <w:kern w:val="0"/>
          <w:sz w:val="28"/>
          <w:szCs w:val="28"/>
        </w:rPr>
        <w:t>）</w:t>
      </w:r>
    </w:p>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4"/>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6"/>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27"/>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28"/>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28"/>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27"/>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29"/>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2"/>
        <w:numPr>
          <w:ilvl w:val="0"/>
          <w:numId w:val="29"/>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29"/>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0"/>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4"/>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5"/>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6"/>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6"/>
        </w:numPr>
        <w:snapToGrid w:val="0"/>
        <w:spacing w:line="360" w:lineRule="auto"/>
        <w:ind w:firstLine="420" w:firstLineChars="200"/>
        <w:rPr>
          <w:rFonts w:ascii="宋体" w:hAnsi="宋体" w:cs="仿宋"/>
          <w:szCs w:val="21"/>
        </w:rPr>
      </w:pPr>
      <w:r>
        <w:rPr>
          <w:rFonts w:hint="eastAsia" w:ascii="宋体" w:hAnsi="宋体" w:cs="仿宋"/>
          <w:szCs w:val="21"/>
          <w:highlight w:val="none"/>
        </w:rPr>
        <w:t>乙方因存在重大过错且造成甲方损失的，应当向甲方赔</w:t>
      </w:r>
      <w:r>
        <w:rPr>
          <w:rFonts w:hint="eastAsia" w:ascii="宋体" w:hAnsi="宋体" w:cs="仿宋"/>
          <w:szCs w:val="21"/>
        </w:rPr>
        <w:t>偿，赔偿金额不低于乙方因过错给甲方造成的损失金额，赔偿范围包括甲方实际损失、诉讼费、律师费、公证费、鉴定费等全部维权费用。</w:t>
      </w:r>
    </w:p>
    <w:p>
      <w:pPr>
        <w:pStyle w:val="2"/>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38"/>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38"/>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9"/>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9"/>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9"/>
        </w:numPr>
        <w:spacing w:line="360" w:lineRule="auto"/>
        <w:rPr>
          <w:rFonts w:ascii="宋体" w:hAnsi="宋体" w:eastAsia="宋体" w:cs="仿宋"/>
          <w:szCs w:val="21"/>
        </w:rPr>
      </w:pPr>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p>
    <w:p>
      <w:pPr>
        <w:numPr>
          <w:ilvl w:val="0"/>
          <w:numId w:val="39"/>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9"/>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u w:val="single"/>
        </w:rPr>
        <w:t xml:space="preserve">      </w:t>
      </w:r>
      <w:r>
        <w:rPr>
          <w:rFonts w:hint="eastAsia" w:ascii="宋体" w:hAnsi="宋体" w:cs="仿宋"/>
          <w:szCs w:val="21"/>
        </w:rPr>
        <w:t>年</w:t>
      </w:r>
      <w:r>
        <w:rPr>
          <w:rFonts w:hint="eastAsia" w:ascii="宋体" w:hAnsi="宋体" w:cs="仿宋"/>
          <w:szCs w:val="21"/>
          <w:u w:val="single"/>
        </w:rPr>
        <w:t xml:space="preserve">   </w:t>
      </w:r>
      <w:r>
        <w:rPr>
          <w:rFonts w:hint="eastAsia" w:ascii="宋体" w:hAnsi="宋体" w:cs="仿宋"/>
          <w:szCs w:val="21"/>
        </w:rPr>
        <w:t>月</w:t>
      </w:r>
      <w:r>
        <w:rPr>
          <w:rFonts w:hint="eastAsia" w:ascii="宋体" w:hAnsi="宋体" w:cs="仿宋"/>
          <w:szCs w:val="21"/>
          <w:u w:val="single"/>
        </w:rPr>
        <w:t xml:space="preserve">   </w:t>
      </w:r>
      <w:r>
        <w:rPr>
          <w:rFonts w:hint="eastAsia" w:ascii="宋体" w:hAnsi="宋体" w:cs="仿宋"/>
          <w:szCs w:val="21"/>
        </w:rPr>
        <w:t xml:space="preserve">日      </w:t>
      </w:r>
    </w:p>
    <w:p>
      <w:pPr>
        <w:spacing w:line="360" w:lineRule="auto"/>
        <w:ind w:firstLine="560"/>
        <w:rPr>
          <w:rFonts w:ascii="宋体" w:hAnsi="宋体" w:cs="仿宋"/>
          <w:szCs w:val="21"/>
        </w:rPr>
      </w:pPr>
    </w:p>
    <w:p>
      <w:pPr>
        <w:spacing w:line="360" w:lineRule="auto"/>
        <w:ind w:firstLine="560"/>
        <w:rPr>
          <w:rFonts w:hint="eastAsia" w:ascii="宋体" w:hAnsi="宋体" w:cs="宋体"/>
          <w:b/>
          <w:kern w:val="0"/>
          <w:szCs w:val="21"/>
          <w:u w:val="single"/>
          <w:lang w:val="en-US" w:eastAsia="zh-CN"/>
        </w:rPr>
      </w:pPr>
      <w:r>
        <w:rPr>
          <w:rFonts w:hint="eastAsia" w:ascii="宋体" w:hAnsi="宋体" w:cs="宋体"/>
          <w:b/>
          <w:kern w:val="0"/>
          <w:szCs w:val="21"/>
        </w:rPr>
        <w:t>乙  方（盖章）：</w:t>
      </w:r>
      <w:r>
        <w:rPr>
          <w:rFonts w:hint="eastAsia" w:ascii="宋体" w:hAnsi="宋体" w:cs="宋体"/>
          <w:b/>
          <w:kern w:val="0"/>
          <w:szCs w:val="21"/>
          <w:u w:val="single"/>
          <w:lang w:eastAsia="zh-CN"/>
        </w:rPr>
        <w:t xml:space="preserve"> </w:t>
      </w:r>
      <w:r>
        <w:rPr>
          <w:rFonts w:hint="eastAsia" w:ascii="宋体" w:hAnsi="宋体" w:cs="宋体"/>
          <w:b/>
          <w:kern w:val="0"/>
          <w:szCs w:val="21"/>
          <w:u w:val="single"/>
          <w:lang w:val="en-US" w:eastAsia="zh-CN"/>
        </w:rPr>
        <w:t xml:space="preserve">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日期：</w:t>
      </w:r>
      <w:r>
        <w:rPr>
          <w:rFonts w:hint="eastAsia" w:ascii="宋体" w:hAnsi="宋体" w:cs="仿宋"/>
          <w:b/>
          <w:bCs/>
          <w:szCs w:val="21"/>
          <w:u w:val="single"/>
        </w:rPr>
        <w:t xml:space="preserve">     </w:t>
      </w:r>
      <w:r>
        <w:rPr>
          <w:rFonts w:hint="eastAsia" w:ascii="宋体" w:hAnsi="宋体" w:cs="仿宋"/>
          <w:b/>
          <w:bCs/>
          <w:szCs w:val="21"/>
        </w:rPr>
        <w:t xml:space="preserve"> 年</w:t>
      </w:r>
      <w:r>
        <w:rPr>
          <w:rFonts w:hint="eastAsia" w:ascii="宋体" w:hAnsi="宋体" w:cs="仿宋"/>
          <w:b/>
          <w:bCs/>
          <w:szCs w:val="21"/>
          <w:u w:val="single"/>
        </w:rPr>
        <w:t xml:space="preserve">   </w:t>
      </w:r>
      <w:r>
        <w:rPr>
          <w:rFonts w:hint="eastAsia" w:ascii="宋体" w:hAnsi="宋体" w:cs="仿宋"/>
          <w:b/>
          <w:bCs/>
          <w:szCs w:val="21"/>
        </w:rPr>
        <w:t>月</w:t>
      </w:r>
      <w:r>
        <w:rPr>
          <w:rFonts w:hint="eastAsia" w:ascii="宋体" w:hAnsi="宋体" w:cs="仿宋"/>
          <w:b/>
          <w:bCs/>
          <w:szCs w:val="21"/>
          <w:u w:val="single"/>
        </w:rPr>
        <w:t xml:space="preserve">   </w:t>
      </w:r>
      <w:r>
        <w:rPr>
          <w:rFonts w:hint="eastAsia" w:ascii="宋体" w:hAnsi="宋体" w:cs="仿宋"/>
          <w:b/>
          <w:bCs/>
          <w:szCs w:val="21"/>
        </w:rPr>
        <w:t xml:space="preserve">日       </w:t>
      </w:r>
      <w:r>
        <w:rPr>
          <w:rFonts w:ascii="宋体" w:hAnsi="宋体" w:cs="仿宋"/>
          <w:b/>
          <w:bCs/>
          <w:szCs w:val="21"/>
        </w:rPr>
        <w:br w:type="page"/>
      </w:r>
    </w:p>
    <w:bookmarkEnd w:id="58"/>
    <w:p>
      <w:pPr>
        <w:spacing w:before="0" w:beforeLines="-2147483648" w:after="0" w:afterLines="-2147483648" w:line="360" w:lineRule="auto"/>
        <w:ind w:firstLine="562"/>
        <w:jc w:val="center"/>
        <w:outlineLvl w:val="9"/>
        <w:rPr>
          <w:rFonts w:ascii="仿宋" w:hAnsi="仿宋" w:eastAsia="仿宋"/>
          <w:sz w:val="32"/>
          <w:szCs w:val="32"/>
        </w:rPr>
      </w:pPr>
      <w:r>
        <w:rPr>
          <w:rFonts w:hint="eastAsia" w:ascii="宋体" w:hAnsi="宋体" w:cs="仿宋"/>
          <w:b/>
          <w:bCs/>
          <w:szCs w:val="21"/>
        </w:rPr>
        <w:t xml:space="preserve"> </w:t>
      </w:r>
      <w:bookmarkStart w:id="59" w:name="_Toc116550359"/>
      <w:r>
        <w:rPr>
          <w:rFonts w:hint="eastAsia"/>
          <w:b/>
          <w:sz w:val="32"/>
          <w:szCs w:val="32"/>
        </w:rPr>
        <w:t>第五部分：参考附件</w:t>
      </w:r>
      <w:bookmarkEnd w:id="59"/>
    </w:p>
    <w:p>
      <w:pPr>
        <w:spacing w:line="0" w:lineRule="atLeast"/>
        <w:outlineLvl w:val="1"/>
        <w:rPr>
          <w:rFonts w:hint="eastAsia" w:ascii="宋体" w:hAnsi="宋体"/>
          <w:szCs w:val="21"/>
        </w:rPr>
      </w:pPr>
      <w:bookmarkStart w:id="60" w:name="_Toc116550360"/>
    </w:p>
    <w:p>
      <w:pPr>
        <w:spacing w:line="0" w:lineRule="atLeast"/>
        <w:outlineLvl w:val="1"/>
        <w:rPr>
          <w:rFonts w:hint="eastAsia" w:ascii="宋体" w:hAnsi="宋体"/>
          <w:szCs w:val="21"/>
        </w:rPr>
      </w:pPr>
    </w:p>
    <w:p>
      <w:pPr>
        <w:spacing w:line="0" w:lineRule="atLeast"/>
        <w:outlineLvl w:val="1"/>
        <w:rPr>
          <w:rFonts w:ascii="宋体" w:hAnsi="宋体"/>
        </w:rPr>
      </w:pPr>
      <w:r>
        <w:rPr>
          <w:rFonts w:hint="eastAsia" w:ascii="宋体" w:hAnsi="宋体"/>
          <w:szCs w:val="21"/>
        </w:rPr>
        <w:t>附件1：</w:t>
      </w:r>
      <w:r>
        <w:rPr>
          <w:rFonts w:hint="eastAsia" w:ascii="宋体" w:hAnsi="宋体"/>
        </w:rPr>
        <w:t>报名回函</w:t>
      </w:r>
      <w:bookmarkEnd w:id="60"/>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3191" w:type="dxa"/>
            <w:vAlign w:val="center"/>
          </w:tcPr>
          <w:p>
            <w:pPr>
              <w:spacing w:line="300" w:lineRule="exact"/>
              <w:jc w:val="center"/>
              <w:rPr>
                <w:rFonts w:ascii="宋体" w:hAnsi="宋体"/>
                <w:szCs w:val="21"/>
              </w:rPr>
            </w:pPr>
            <w:r>
              <w:rPr>
                <w:rFonts w:hint="eastAsia" w:ascii="宋体" w:hAnsi="宋体"/>
                <w:szCs w:val="21"/>
              </w:rPr>
              <w:t>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319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4" w:name="_Toc116550363"/>
      <w:r>
        <w:rPr>
          <w:rFonts w:hint="eastAsia" w:ascii="宋体" w:hAnsi="宋体"/>
          <w:szCs w:val="21"/>
        </w:rPr>
        <w:t>附件4：考察证明</w:t>
      </w:r>
      <w:bookmarkEnd w:id="64"/>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highlight w:val="none"/>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6"/>
    <w:p>
      <w:pPr>
        <w:spacing w:line="0" w:lineRule="atLeast"/>
        <w:rPr>
          <w:rFonts w:ascii="仿宋" w:hAnsi="仿宋" w:eastAsia="仿宋"/>
          <w:sz w:val="28"/>
          <w:szCs w:val="28"/>
          <w:highlight w:val="none"/>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w:t>
      </w:r>
      <w:r>
        <w:rPr>
          <w:rFonts w:hint="eastAsia" w:ascii="仿宋" w:hAnsi="仿宋" w:eastAsia="仿宋"/>
          <w:color w:val="auto"/>
          <w:sz w:val="28"/>
          <w:szCs w:val="28"/>
        </w:rPr>
        <w:t>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auto"/>
          <w:sz w:val="28"/>
          <w:szCs w:val="28"/>
        </w:rPr>
        <w:t>“不可偏离项”响应内容</w:t>
      </w:r>
      <w:r>
        <w:rPr>
          <w:rFonts w:hint="eastAsia" w:ascii="仿宋" w:hAnsi="仿宋" w:eastAsia="仿宋"/>
          <w:color w:val="auto"/>
          <w:sz w:val="28"/>
          <w:szCs w:val="28"/>
        </w:rPr>
        <w:t>涉及偏离内容</w:t>
      </w:r>
      <w:r>
        <w:rPr>
          <w:rFonts w:ascii="仿宋" w:hAnsi="仿宋" w:eastAsia="仿宋"/>
          <w:color w:val="auto"/>
          <w:sz w:val="28"/>
          <w:szCs w:val="28"/>
        </w:rPr>
        <w:t>的，视同偏离本项目要求，该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rPr>
        <w:t>不可偏离项</w:t>
      </w:r>
      <w:r>
        <w:rPr>
          <w:rFonts w:ascii="仿宋" w:hAnsi="仿宋" w:eastAsia="仿宋"/>
          <w:color w:val="auto"/>
          <w:sz w:val="28"/>
          <w:szCs w:val="28"/>
        </w:rPr>
        <w:t>检查。</w:t>
      </w:r>
    </w:p>
    <w:p>
      <w:pPr>
        <w:spacing w:line="400" w:lineRule="exact"/>
        <w:ind w:left="9" w:firstLine="417"/>
        <w:rPr>
          <w:rFonts w:ascii="仿宋" w:hAnsi="仿宋" w:eastAsia="仿宋"/>
          <w:color w:val="auto"/>
          <w:sz w:val="28"/>
          <w:szCs w:val="28"/>
        </w:rPr>
      </w:pPr>
      <w:r>
        <w:rPr>
          <w:rFonts w:hint="eastAsia" w:ascii="仿宋" w:hAnsi="仿宋" w:eastAsia="仿宋"/>
          <w:color w:val="auto"/>
          <w:sz w:val="28"/>
          <w:szCs w:val="28"/>
        </w:rPr>
        <w:t>3.《有/无偏离》栏仅可填“有”或“无”。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rPr>
        <w:t>优于（或高于）本项目需求的</w:t>
      </w:r>
      <w:r>
        <w:rPr>
          <w:rFonts w:ascii="仿宋" w:hAnsi="仿宋" w:eastAsia="仿宋"/>
          <w:color w:val="auto"/>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w:t>
      </w:r>
      <w:r>
        <w:rPr>
          <w:rFonts w:hint="eastAsia" w:ascii="仿宋" w:hAnsi="仿宋" w:eastAsia="仿宋"/>
          <w:color w:val="auto"/>
          <w:sz w:val="28"/>
          <w:szCs w:val="28"/>
        </w:rPr>
        <w:t>章）。凡在本栏出现遗漏、不填或不完全响应《商务要求明细》内容的，将会导致该投标文件不能通过不可偏离项检查。</w:t>
      </w:r>
      <w:r>
        <w:rPr>
          <w:rFonts w:ascii="仿宋" w:hAnsi="仿宋" w:eastAsia="仿宋"/>
          <w:color w:val="auto"/>
          <w:sz w:val="28"/>
          <w:szCs w:val="28"/>
        </w:rPr>
        <w:t>“不可偏离项”响应内容</w:t>
      </w:r>
      <w:r>
        <w:rPr>
          <w:rFonts w:hint="eastAsia" w:ascii="仿宋" w:hAnsi="仿宋" w:eastAsia="仿宋"/>
          <w:color w:val="auto"/>
          <w:sz w:val="28"/>
          <w:szCs w:val="28"/>
        </w:rPr>
        <w:t>涉及偏离内容的</w:t>
      </w:r>
      <w:r>
        <w:rPr>
          <w:rFonts w:ascii="仿宋" w:hAnsi="仿宋" w:eastAsia="仿宋"/>
          <w:color w:val="auto"/>
          <w:sz w:val="28"/>
          <w:szCs w:val="28"/>
        </w:rPr>
        <w:t>，视同偏离本项目要求，该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rPr>
        <w:t>不可偏离项检查</w:t>
      </w:r>
      <w:r>
        <w:rPr>
          <w:rFonts w:ascii="仿宋" w:hAnsi="仿宋" w:eastAsia="仿宋"/>
          <w:color w:val="auto"/>
          <w:sz w:val="28"/>
          <w:szCs w:val="28"/>
        </w:rPr>
        <w:t>。</w:t>
      </w:r>
    </w:p>
    <w:p>
      <w:pPr>
        <w:spacing w:line="400" w:lineRule="exact"/>
        <w:ind w:left="709" w:hanging="283"/>
        <w:rPr>
          <w:rFonts w:ascii="仿宋" w:hAnsi="仿宋" w:eastAsia="仿宋"/>
          <w:color w:val="auto"/>
          <w:sz w:val="28"/>
          <w:szCs w:val="28"/>
        </w:rPr>
      </w:pPr>
      <w:r>
        <w:rPr>
          <w:rFonts w:hint="eastAsia" w:ascii="仿宋" w:hAnsi="仿宋" w:eastAsia="仿宋"/>
          <w:color w:val="auto"/>
          <w:sz w:val="28"/>
          <w:szCs w:val="28"/>
        </w:rPr>
        <w:t>3.《有/无偏离》栏仅可填“有”或“无”，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rPr>
        <w:t>优于（或高于）本项目需求的</w:t>
      </w:r>
      <w:r>
        <w:rPr>
          <w:rFonts w:ascii="仿宋" w:hAnsi="仿宋" w:eastAsia="仿宋"/>
          <w:color w:val="auto"/>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236803111"/>
      <w:bookmarkStart w:id="76" w:name="_Toc395883088"/>
      <w:bookmarkStart w:id="77" w:name="_Toc478387764"/>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auto"/>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2"/>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3" w:name="_Toc116550368"/>
      <w:r>
        <w:rPr>
          <w:rFonts w:hint="eastAsia" w:ascii="宋体" w:hAnsi="宋体"/>
          <w:szCs w:val="21"/>
        </w:rPr>
        <w:t>附件9：报价一览表（工程）</w:t>
      </w:r>
      <w:bookmarkEnd w:id="83"/>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4"/>
        </w:numPr>
        <w:spacing w:line="400" w:lineRule="exact"/>
        <w:ind w:firstLineChars="0"/>
        <w:rPr>
          <w:rFonts w:ascii="仿宋" w:hAnsi="仿宋" w:eastAsia="仿宋"/>
          <w:color w:val="auto"/>
          <w:sz w:val="28"/>
          <w:szCs w:val="28"/>
        </w:rPr>
      </w:pPr>
      <w:r>
        <w:rPr>
          <w:rFonts w:hint="eastAsia" w:ascii="仿宋" w:hAnsi="仿宋" w:eastAsia="仿宋"/>
          <w:sz w:val="28"/>
          <w:szCs w:val="28"/>
        </w:rPr>
        <w:t>投标人使用本表或自由报价单格式报价均可，但应能清晰体现</w:t>
      </w:r>
      <w:r>
        <w:rPr>
          <w:rFonts w:hint="eastAsia" w:ascii="仿宋" w:hAnsi="仿宋" w:eastAsia="仿宋"/>
          <w:color w:val="auto"/>
          <w:sz w:val="28"/>
          <w:szCs w:val="28"/>
        </w:rPr>
        <w:t>总报价及分项报价信息。</w:t>
      </w:r>
    </w:p>
    <w:p>
      <w:pPr>
        <w:pStyle w:val="22"/>
        <w:numPr>
          <w:ilvl w:val="1"/>
          <w:numId w:val="44"/>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如果分项报价与总价不一致，以总价为准。</w:t>
      </w:r>
    </w:p>
    <w:p>
      <w:pPr>
        <w:pStyle w:val="22"/>
        <w:numPr>
          <w:ilvl w:val="1"/>
          <w:numId w:val="44"/>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6"/>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6"/>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50"/>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50"/>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3"/>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D130A"/>
    <w:multiLevelType w:val="singleLevel"/>
    <w:tmpl w:val="848D130A"/>
    <w:lvl w:ilvl="0" w:tentative="0">
      <w:start w:val="1"/>
      <w:numFmt w:val="decimal"/>
      <w:lvlText w:val="（%1）"/>
      <w:lvlJc w:val="left"/>
      <w:pPr>
        <w:ind w:left="420" w:hanging="420"/>
      </w:pPr>
      <w:rPr>
        <w:rFonts w:hint="eastAsia"/>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8F9216C3"/>
    <w:multiLevelType w:val="singleLevel"/>
    <w:tmpl w:val="8F9216C3"/>
    <w:lvl w:ilvl="0" w:tentative="0">
      <w:start w:val="1"/>
      <w:numFmt w:val="decimal"/>
      <w:suff w:val="nothing"/>
      <w:lvlText w:val="（%1）"/>
      <w:lvlJc w:val="left"/>
    </w:lvl>
  </w:abstractNum>
  <w:abstractNum w:abstractNumId="4">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9B01E3F"/>
    <w:multiLevelType w:val="singleLevel"/>
    <w:tmpl w:val="19B01E3F"/>
    <w:lvl w:ilvl="0" w:tentative="0">
      <w:start w:val="1"/>
      <w:numFmt w:val="decimal"/>
      <w:suff w:val="nothing"/>
      <w:lvlText w:val="（%1）"/>
      <w:lvlJc w:val="left"/>
      <w:rPr>
        <w:rFonts w:hint="default"/>
        <w:color w:val="auto"/>
      </w:rPr>
    </w:lvl>
  </w:abstractNum>
  <w:abstractNum w:abstractNumId="23">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8E10C89"/>
    <w:multiLevelType w:val="singleLevel"/>
    <w:tmpl w:val="28E10C89"/>
    <w:lvl w:ilvl="0" w:tentative="0">
      <w:start w:val="1"/>
      <w:numFmt w:val="decimal"/>
      <w:suff w:val="space"/>
      <w:lvlText w:val="%1."/>
      <w:lvlJc w:val="left"/>
    </w:lvl>
  </w:abstractNum>
  <w:abstractNum w:abstractNumId="3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7">
    <w:nsid w:val="7B4A4E0C"/>
    <w:multiLevelType w:val="singleLevel"/>
    <w:tmpl w:val="7B4A4E0C"/>
    <w:lvl w:ilvl="0" w:tentative="0">
      <w:start w:val="1"/>
      <w:numFmt w:val="decimal"/>
      <w:lvlText w:val="（%1）"/>
      <w:lvlJc w:val="left"/>
      <w:pPr>
        <w:ind w:left="420" w:hanging="420"/>
      </w:pPr>
      <w:rPr>
        <w:rFonts w:hint="eastAsia"/>
      </w:rPr>
    </w:lvl>
  </w:abstractNum>
  <w:abstractNum w:abstractNumId="48">
    <w:nsid w:val="7ED17433"/>
    <w:multiLevelType w:val="singleLevel"/>
    <w:tmpl w:val="7ED17433"/>
    <w:lvl w:ilvl="0" w:tentative="0">
      <w:start w:val="1"/>
      <w:numFmt w:val="decimal"/>
      <w:lvlText w:val="（%1）"/>
      <w:lvlJc w:val="left"/>
      <w:pPr>
        <w:ind w:left="420" w:hanging="420"/>
      </w:pPr>
      <w:rPr>
        <w:rFonts w:hint="eastAsia"/>
      </w:rPr>
    </w:lvl>
  </w:abstractNum>
  <w:num w:numId="1">
    <w:abstractNumId w:val="41"/>
  </w:num>
  <w:num w:numId="2">
    <w:abstractNumId w:val="45"/>
  </w:num>
  <w:num w:numId="3">
    <w:abstractNumId w:val="32"/>
  </w:num>
  <w:num w:numId="4">
    <w:abstractNumId w:val="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2"/>
  </w:num>
  <w:num w:numId="8">
    <w:abstractNumId w:val="35"/>
  </w:num>
  <w:num w:numId="9">
    <w:abstractNumId w:val="20"/>
  </w:num>
  <w:num w:numId="10">
    <w:abstractNumId w:val="47"/>
  </w:num>
  <w:num w:numId="11">
    <w:abstractNumId w:val="48"/>
  </w:num>
  <w:num w:numId="12">
    <w:abstractNumId w:val="3"/>
  </w:num>
  <w:num w:numId="13">
    <w:abstractNumId w:val="22"/>
  </w:num>
  <w:num w:numId="14">
    <w:abstractNumId w:val="9"/>
  </w:num>
  <w:num w:numId="15">
    <w:abstractNumId w:val="29"/>
  </w:num>
  <w:num w:numId="16">
    <w:abstractNumId w:val="17"/>
  </w:num>
  <w:num w:numId="17">
    <w:abstractNumId w:val="0"/>
  </w:num>
  <w:num w:numId="18">
    <w:abstractNumId w:val="23"/>
  </w:num>
  <w:num w:numId="19">
    <w:abstractNumId w:val="31"/>
  </w:num>
  <w:num w:numId="20">
    <w:abstractNumId w:val="5"/>
  </w:num>
  <w:num w:numId="21">
    <w:abstractNumId w:val="11"/>
  </w:num>
  <w:num w:numId="22">
    <w:abstractNumId w:val="36"/>
  </w:num>
  <w:num w:numId="23">
    <w:abstractNumId w:val="33"/>
  </w:num>
  <w:num w:numId="24">
    <w:abstractNumId w:val="13"/>
  </w:num>
  <w:num w:numId="25">
    <w:abstractNumId w:val="24"/>
  </w:num>
  <w:num w:numId="26">
    <w:abstractNumId w:val="8"/>
  </w:num>
  <w:num w:numId="27">
    <w:abstractNumId w:val="43"/>
  </w:num>
  <w:num w:numId="28">
    <w:abstractNumId w:val="19"/>
  </w:num>
  <w:num w:numId="29">
    <w:abstractNumId w:val="38"/>
  </w:num>
  <w:num w:numId="30">
    <w:abstractNumId w:val="6"/>
  </w:num>
  <w:num w:numId="31">
    <w:abstractNumId w:val="26"/>
  </w:num>
  <w:num w:numId="32">
    <w:abstractNumId w:val="2"/>
  </w:num>
  <w:num w:numId="33">
    <w:abstractNumId w:val="12"/>
  </w:num>
  <w:num w:numId="34">
    <w:abstractNumId w:val="10"/>
  </w:num>
  <w:num w:numId="35">
    <w:abstractNumId w:val="46"/>
  </w:num>
  <w:num w:numId="36">
    <w:abstractNumId w:val="1"/>
  </w:num>
  <w:num w:numId="37">
    <w:abstractNumId w:val="4"/>
  </w:num>
  <w:num w:numId="38">
    <w:abstractNumId w:val="34"/>
  </w:num>
  <w:num w:numId="39">
    <w:abstractNumId w:val="14"/>
  </w:num>
  <w:num w:numId="40">
    <w:abstractNumId w:val="16"/>
  </w:num>
  <w:num w:numId="41">
    <w:abstractNumId w:val="15"/>
  </w:num>
  <w:num w:numId="42">
    <w:abstractNumId w:val="44"/>
  </w:num>
  <w:num w:numId="43">
    <w:abstractNumId w:val="37"/>
  </w:num>
  <w:num w:numId="44">
    <w:abstractNumId w:val="30"/>
  </w:num>
  <w:num w:numId="45">
    <w:abstractNumId w:val="27"/>
  </w:num>
  <w:num w:numId="46">
    <w:abstractNumId w:val="39"/>
  </w:num>
  <w:num w:numId="47">
    <w:abstractNumId w:val="25"/>
  </w:num>
  <w:num w:numId="48">
    <w:abstractNumId w:val="18"/>
  </w:num>
  <w:num w:numId="49">
    <w:abstractNumId w:val="4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iNzBhZGNmYzhmZGI1MGIxNmFjZTQwNjU3MTdkZGY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3851"/>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3E41018"/>
    <w:rsid w:val="04450729"/>
    <w:rsid w:val="04D46768"/>
    <w:rsid w:val="04F90B5F"/>
    <w:rsid w:val="051F335E"/>
    <w:rsid w:val="053A1CC8"/>
    <w:rsid w:val="06856661"/>
    <w:rsid w:val="077B4608"/>
    <w:rsid w:val="07BB74B6"/>
    <w:rsid w:val="07D7576E"/>
    <w:rsid w:val="08493DEA"/>
    <w:rsid w:val="086E4EC9"/>
    <w:rsid w:val="08840D84"/>
    <w:rsid w:val="08E26EC1"/>
    <w:rsid w:val="0A8266AF"/>
    <w:rsid w:val="0B734A64"/>
    <w:rsid w:val="0CDE01F2"/>
    <w:rsid w:val="0DD201F4"/>
    <w:rsid w:val="0F4526B6"/>
    <w:rsid w:val="0FF556B0"/>
    <w:rsid w:val="10091618"/>
    <w:rsid w:val="110E15E8"/>
    <w:rsid w:val="11426D9C"/>
    <w:rsid w:val="11D332B1"/>
    <w:rsid w:val="127B2E60"/>
    <w:rsid w:val="12DE4EB3"/>
    <w:rsid w:val="14273AF2"/>
    <w:rsid w:val="143516C6"/>
    <w:rsid w:val="14F54C45"/>
    <w:rsid w:val="152B64B8"/>
    <w:rsid w:val="15740DA4"/>
    <w:rsid w:val="161767F2"/>
    <w:rsid w:val="195A6BC0"/>
    <w:rsid w:val="1C5670DA"/>
    <w:rsid w:val="1CCA380C"/>
    <w:rsid w:val="1F7074E6"/>
    <w:rsid w:val="1FB510A5"/>
    <w:rsid w:val="202832B1"/>
    <w:rsid w:val="227A4EED"/>
    <w:rsid w:val="228D0750"/>
    <w:rsid w:val="2306680E"/>
    <w:rsid w:val="23E928F7"/>
    <w:rsid w:val="246758CC"/>
    <w:rsid w:val="24786106"/>
    <w:rsid w:val="24B33487"/>
    <w:rsid w:val="25A5748F"/>
    <w:rsid w:val="25BE1EBF"/>
    <w:rsid w:val="25D85A3C"/>
    <w:rsid w:val="267E19B6"/>
    <w:rsid w:val="26E95967"/>
    <w:rsid w:val="28CB1ED7"/>
    <w:rsid w:val="2A1D36D7"/>
    <w:rsid w:val="2A7F2E6E"/>
    <w:rsid w:val="2AE135A2"/>
    <w:rsid w:val="2B9E3425"/>
    <w:rsid w:val="2BD84FDD"/>
    <w:rsid w:val="2BFA4386"/>
    <w:rsid w:val="2CD73EA3"/>
    <w:rsid w:val="2CE42215"/>
    <w:rsid w:val="2D783141"/>
    <w:rsid w:val="2D845ED0"/>
    <w:rsid w:val="2EAB6E76"/>
    <w:rsid w:val="30381F4F"/>
    <w:rsid w:val="31D75C50"/>
    <w:rsid w:val="34A05B77"/>
    <w:rsid w:val="35F67F15"/>
    <w:rsid w:val="3638029F"/>
    <w:rsid w:val="37097428"/>
    <w:rsid w:val="37B10D82"/>
    <w:rsid w:val="387463B2"/>
    <w:rsid w:val="38AC36F6"/>
    <w:rsid w:val="394A3FAD"/>
    <w:rsid w:val="39FC040D"/>
    <w:rsid w:val="3AAD7F79"/>
    <w:rsid w:val="3ABD23EC"/>
    <w:rsid w:val="3B177C9B"/>
    <w:rsid w:val="3B991A52"/>
    <w:rsid w:val="3BB26AC4"/>
    <w:rsid w:val="3BE21889"/>
    <w:rsid w:val="3C35255B"/>
    <w:rsid w:val="3D3679ED"/>
    <w:rsid w:val="408D7227"/>
    <w:rsid w:val="40FC2CED"/>
    <w:rsid w:val="41407E51"/>
    <w:rsid w:val="416718EC"/>
    <w:rsid w:val="439D7A21"/>
    <w:rsid w:val="43D97719"/>
    <w:rsid w:val="447267E8"/>
    <w:rsid w:val="44E431E5"/>
    <w:rsid w:val="45ED557C"/>
    <w:rsid w:val="46B30DE6"/>
    <w:rsid w:val="476A2638"/>
    <w:rsid w:val="492A4A83"/>
    <w:rsid w:val="495C1F5C"/>
    <w:rsid w:val="4A9A569D"/>
    <w:rsid w:val="4AF77150"/>
    <w:rsid w:val="4B8B03E4"/>
    <w:rsid w:val="4D9A3F67"/>
    <w:rsid w:val="4DDF67CC"/>
    <w:rsid w:val="4EE12BFB"/>
    <w:rsid w:val="4F0A6CD0"/>
    <w:rsid w:val="5045033F"/>
    <w:rsid w:val="50FA6A61"/>
    <w:rsid w:val="51794BC1"/>
    <w:rsid w:val="53D25371"/>
    <w:rsid w:val="540F1FD2"/>
    <w:rsid w:val="561F6663"/>
    <w:rsid w:val="57315BF2"/>
    <w:rsid w:val="57594B93"/>
    <w:rsid w:val="594A6990"/>
    <w:rsid w:val="5A206872"/>
    <w:rsid w:val="5A2E0F40"/>
    <w:rsid w:val="5C5114D8"/>
    <w:rsid w:val="5C525FF9"/>
    <w:rsid w:val="5E8307E5"/>
    <w:rsid w:val="5EA8345E"/>
    <w:rsid w:val="5FFB106D"/>
    <w:rsid w:val="60475C3F"/>
    <w:rsid w:val="60785544"/>
    <w:rsid w:val="60A60070"/>
    <w:rsid w:val="610F63AD"/>
    <w:rsid w:val="613101AE"/>
    <w:rsid w:val="61A26997"/>
    <w:rsid w:val="622C21AB"/>
    <w:rsid w:val="62D00ABF"/>
    <w:rsid w:val="640152C5"/>
    <w:rsid w:val="640C25AF"/>
    <w:rsid w:val="6541126B"/>
    <w:rsid w:val="65D17B18"/>
    <w:rsid w:val="67B84230"/>
    <w:rsid w:val="683A303D"/>
    <w:rsid w:val="68695CA9"/>
    <w:rsid w:val="68E97B63"/>
    <w:rsid w:val="6A5B2F9C"/>
    <w:rsid w:val="6B1E605C"/>
    <w:rsid w:val="6C5E0507"/>
    <w:rsid w:val="6C6B5505"/>
    <w:rsid w:val="6C891EB5"/>
    <w:rsid w:val="6D5D69E5"/>
    <w:rsid w:val="6DF67C63"/>
    <w:rsid w:val="6E3F209B"/>
    <w:rsid w:val="6ED02117"/>
    <w:rsid w:val="6F432E23"/>
    <w:rsid w:val="719C7804"/>
    <w:rsid w:val="725336E8"/>
    <w:rsid w:val="74783A1C"/>
    <w:rsid w:val="74AB354D"/>
    <w:rsid w:val="74B05132"/>
    <w:rsid w:val="74BB1938"/>
    <w:rsid w:val="75E225C6"/>
    <w:rsid w:val="75E4611D"/>
    <w:rsid w:val="76C52AAF"/>
    <w:rsid w:val="76E063E5"/>
    <w:rsid w:val="771C3265"/>
    <w:rsid w:val="772A35DE"/>
    <w:rsid w:val="781B5752"/>
    <w:rsid w:val="798425C1"/>
    <w:rsid w:val="79A35F22"/>
    <w:rsid w:val="79BF662E"/>
    <w:rsid w:val="7A5D4426"/>
    <w:rsid w:val="7A751935"/>
    <w:rsid w:val="7B2952F2"/>
    <w:rsid w:val="7CF46BD3"/>
    <w:rsid w:val="7ED50538"/>
    <w:rsid w:val="7F9364DF"/>
    <w:rsid w:val="7FDF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32</Pages>
  <Words>14146</Words>
  <Characters>15209</Characters>
  <Lines>140</Lines>
  <Paragraphs>39</Paragraphs>
  <TotalTime>18</TotalTime>
  <ScaleCrop>false</ScaleCrop>
  <LinksUpToDate>false</LinksUpToDate>
  <CharactersWithSpaces>17770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2023-04-28T09:03:11Z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7AF7F471028A4FE8B44D3C23011F0355_13</vt:lpwstr>
  </property>
</Properties>
</file>