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询比价采购文件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宋体" w:hAnsi="宋体"/>
          <w:b/>
          <w:sz w:val="32"/>
          <w:szCs w:val="32"/>
        </w:rPr>
      </w:pPr>
      <w:r>
        <w:rPr>
          <w:rFonts w:hint="eastAsia" w:ascii="方正小标宋简体" w:hAnsi="方正小标宋_GBK" w:eastAsia="方正小标宋简体" w:cs="方正小标宋_GBK"/>
          <w:b/>
          <w:sz w:val="32"/>
          <w:szCs w:val="32"/>
        </w:rPr>
        <w:t>项目名称：</w:t>
      </w:r>
      <w:bookmarkStart w:id="90" w:name="_GoBack"/>
      <w:r>
        <w:rPr>
          <w:rFonts w:hint="eastAsia" w:ascii="方正小标宋简体" w:hAnsi="方正小标宋_GBK" w:eastAsia="方正小标宋简体" w:cs="方正小标宋_GBK"/>
          <w:b/>
          <w:color w:val="000000" w:themeColor="text1"/>
          <w:sz w:val="32"/>
          <w:szCs w:val="32"/>
          <w14:textFill>
            <w14:solidFill>
              <w14:schemeClr w14:val="tx1"/>
            </w14:solidFill>
          </w14:textFill>
        </w:rPr>
        <w:t>深圳会展中心自办展会通用物料（长条桌、一米栏、桌布等）租赁项目</w:t>
      </w:r>
    </w:p>
    <w:bookmarkEnd w:id="90"/>
    <w:p>
      <w:pPr>
        <w:jc w:val="center"/>
        <w:rPr>
          <w:rFonts w:ascii="方正小标宋简体" w:hAnsi="宋体" w:eastAsia="方正小标宋简体"/>
          <w:b/>
          <w:color w:val="0D0D0D" w:themeColor="text1" w:themeTint="F2"/>
          <w:sz w:val="30"/>
          <w:szCs w:val="30"/>
          <w14:textFill>
            <w14:solidFill>
              <w14:schemeClr w14:val="tx1">
                <w14:lumMod w14:val="95000"/>
                <w14:lumOff w14:val="5000"/>
              </w14:schemeClr>
            </w14:solidFill>
          </w14:textFill>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2023年5月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9"/>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9"/>
          <w:rFonts w:ascii="宋体" w:hAnsi="宋体" w:cs="仿宋"/>
          <w:bCs/>
        </w:rPr>
        <w:t>一、</w:t>
      </w:r>
      <w:r>
        <w:rPr>
          <w:rStyle w:val="19"/>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9"/>
          <w:rFonts w:ascii="宋体" w:hAnsi="宋体" w:cs="仿宋"/>
          <w:bCs/>
        </w:rPr>
        <w:t>二、</w:t>
      </w:r>
      <w:r>
        <w:rPr>
          <w:rStyle w:val="19"/>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9"/>
          <w:rFonts w:ascii="宋体" w:hAnsi="宋体" w:cs="仿宋"/>
          <w:bCs/>
        </w:rPr>
        <w:t>三、</w:t>
      </w:r>
      <w:r>
        <w:rPr>
          <w:rStyle w:val="19"/>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9"/>
          <w:rFonts w:ascii="宋体" w:hAnsi="宋体" w:cs="仿宋"/>
          <w:bCs/>
        </w:rPr>
        <w:t>四、</w:t>
      </w:r>
      <w:r>
        <w:rPr>
          <w:rStyle w:val="19"/>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9"/>
          <w:rFonts w:ascii="宋体" w:hAnsi="宋体" w:cs="仿宋"/>
          <w:bCs/>
        </w:rPr>
        <w:t>五、</w:t>
      </w:r>
      <w:r>
        <w:rPr>
          <w:rStyle w:val="19"/>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9"/>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9"/>
          <w:rFonts w:ascii="宋体" w:hAnsi="宋体" w:cs="仿宋"/>
          <w:bCs/>
        </w:rPr>
        <w:t>六、</w:t>
      </w:r>
      <w:r>
        <w:rPr>
          <w:rStyle w:val="19"/>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9"/>
          <w:rFonts w:ascii="宋体" w:hAnsi="宋体" w:cs="仿宋"/>
          <w:bCs/>
        </w:rPr>
        <w:t>七、</w:t>
      </w:r>
      <w:r>
        <w:rPr>
          <w:rStyle w:val="19"/>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9"/>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9"/>
          <w:rFonts w:ascii="宋体" w:hAnsi="宋体" w:cs="仿宋"/>
          <w:bCs/>
        </w:rPr>
        <w:t>八、</w:t>
      </w:r>
      <w:r>
        <w:rPr>
          <w:rStyle w:val="19"/>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9"/>
          <w:rFonts w:ascii="宋体" w:hAnsi="宋体"/>
        </w:rPr>
        <w:t>（一）</w:t>
      </w:r>
      <w:r>
        <w:rPr>
          <w:rFonts w:asciiTheme="minorHAnsi" w:hAnsiTheme="minorHAnsi" w:eastAsiaTheme="minorEastAsia" w:cstheme="minorBidi"/>
          <w:szCs w:val="22"/>
        </w:rPr>
        <w:tab/>
      </w:r>
      <w:r>
        <w:rPr>
          <w:rStyle w:val="19"/>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9"/>
          <w:rFonts w:ascii="宋体" w:hAnsi="宋体"/>
          <w:bCs/>
        </w:rPr>
        <w:t>（二）</w:t>
      </w:r>
      <w:r>
        <w:rPr>
          <w:rFonts w:asciiTheme="minorHAnsi" w:hAnsiTheme="minorHAnsi" w:eastAsiaTheme="minorEastAsia" w:cstheme="minorBidi"/>
          <w:szCs w:val="22"/>
        </w:rPr>
        <w:tab/>
      </w:r>
      <w:r>
        <w:rPr>
          <w:rStyle w:val="19"/>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9"/>
          <w:rFonts w:ascii="宋体" w:hAnsi="宋体"/>
          <w:bCs/>
        </w:rPr>
        <w:t>（三）</w:t>
      </w:r>
      <w:r>
        <w:rPr>
          <w:rFonts w:asciiTheme="minorHAnsi" w:hAnsiTheme="minorHAnsi" w:eastAsiaTheme="minorEastAsia" w:cstheme="minorBidi"/>
          <w:szCs w:val="22"/>
        </w:rPr>
        <w:tab/>
      </w:r>
      <w:r>
        <w:rPr>
          <w:rStyle w:val="19"/>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9"/>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9"/>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9"/>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9"/>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9"/>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9"/>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9"/>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9"/>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9"/>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9"/>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9"/>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9"/>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9"/>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9"/>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9"/>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9"/>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9"/>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s="方正小标宋_GBK"/>
                <w:bCs/>
                <w:color w:val="FF0000"/>
                <w:szCs w:val="21"/>
                <w:highlight w:val="yellow"/>
              </w:rPr>
              <w:t>深圳会展中心自办展会通用物料（（长条桌、一米栏、桌布等）租赁项目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FF0000"/>
                <w:szCs w:val="21"/>
                <w:highlight w:val="yellow"/>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color w:val="FF0000"/>
                <w:szCs w:val="21"/>
                <w:highlight w:val="yellow"/>
              </w:rPr>
              <w:t>为更好的筹办深圳会展中心自办展会项目，自办展会通用物料租赁工作，拟寻找一家合适的供应商提供相关物料租赁服务。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u w:val="single"/>
              </w:rPr>
              <w:t>租赁时间</w:t>
            </w:r>
            <w:r>
              <w:rPr>
                <w:rFonts w:hint="eastAsia" w:ascii="宋体" w:hAnsi="宋体"/>
                <w:color w:val="FF0000"/>
                <w:szCs w:val="21"/>
                <w:highlight w:val="yellow"/>
              </w:rPr>
              <w:t>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5</w:t>
            </w:r>
            <w:r>
              <w:rPr>
                <w:rFonts w:ascii="宋体" w:hAnsi="宋体"/>
                <w:szCs w:val="21"/>
              </w:rPr>
              <w:t xml:space="preserve"> </w:t>
            </w:r>
            <w:r>
              <w:rPr>
                <w:rFonts w:hint="eastAsia" w:ascii="宋体" w:hAnsi="宋体"/>
                <w:szCs w:val="21"/>
              </w:rPr>
              <w:t>9</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https://cg.szcec.com/sharing/oI3m7hD57，</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https://cg.szcec.com/sharing/4Jmos0txt，</w:t>
            </w:r>
            <w:r>
              <w:rPr>
                <w:rFonts w:hint="eastAsia" w:ascii="宋体" w:hAnsi="宋体"/>
                <w:szCs w:val="21"/>
              </w:rPr>
              <w:t>并致电确认</w:t>
            </w:r>
            <w:bookmarkStart w:id="2" w:name="_Toc478392822"/>
            <w:bookmarkStart w:id="3" w:name="_Toc478393187"/>
            <w:bookmarkStart w:id="4" w:name="_Toc478110532"/>
            <w:r>
              <w:rPr>
                <w:rFonts w:hint="eastAsia" w:ascii="宋体" w:hAnsi="宋体"/>
                <w:szCs w:val="21"/>
              </w:rPr>
              <w:t>。</w:t>
            </w:r>
            <w:r>
              <w:rPr>
                <w:rFonts w:hint="eastAsia" w:ascii="宋体" w:hAnsi="宋体"/>
              </w:rPr>
              <w:t>注意事项如下：</w:t>
            </w:r>
          </w:p>
          <w:p>
            <w:pPr>
              <w:pStyle w:val="23"/>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10</w:t>
            </w:r>
            <w:r>
              <w:rPr>
                <w:rFonts w:ascii="宋体" w:hAnsi="宋体"/>
                <w:szCs w:val="21"/>
              </w:rPr>
              <w:t xml:space="preserve"> </w:t>
            </w:r>
            <w:r>
              <w:rPr>
                <w:rFonts w:hint="eastAsia" w:ascii="宋体" w:hAnsi="宋体"/>
                <w:szCs w:val="21"/>
                <w:lang w:val="en-US" w:eastAsia="zh-CN"/>
              </w:rPr>
              <w:t>10</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5分钟内将投标文件解密密码上传至https://cg.szcec.com/sharing/QUFOt8J4C</w:t>
            </w:r>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kern w:val="0"/>
                <w:szCs w:val="21"/>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3"/>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hint="eastAsia" w:ascii="宋体" w:hAnsi="宋体" w:cs="Segoe UI Symbol"/>
                <w:color w:val="FF0000"/>
                <w:kern w:val="0"/>
                <w:szCs w:val="21"/>
                <w:highlight w:val="yellow"/>
              </w:rPr>
              <w:t>□</w:t>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ascii="宋体" w:hAnsi="宋体" w:cs="Segoe UI Symbol"/>
                <w:kern w:val="0"/>
                <w:szCs w:val="21"/>
                <w:highlight w:val="yellow"/>
              </w:rPr>
              <w:sym w:font="Wingdings 2" w:char="0052"/>
            </w: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r>
              <w:rPr>
                <w:rFonts w:hint="eastAsia" w:ascii="宋体" w:hAnsi="宋体"/>
                <w:color w:val="FF0000"/>
                <w:szCs w:val="21"/>
                <w:u w:val="single"/>
              </w:rPr>
              <w:t>拍摄实物照片，录实物视频，必要时招标人将通过远程视频方式确认租赁物品规格、数量、品相等。</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p>
        </w:tc>
      </w:tr>
    </w:tbl>
    <w:p>
      <w:pPr>
        <w:numPr>
          <w:ilvl w:val="0"/>
          <w:numId w:val="1"/>
        </w:numPr>
        <w:spacing w:line="560" w:lineRule="exact"/>
        <w:outlineLvl w:val="1"/>
        <w:rPr>
          <w:rFonts w:ascii="宋体" w:hAnsi="宋体"/>
          <w:b/>
          <w:szCs w:val="21"/>
        </w:rPr>
      </w:pPr>
      <w:bookmarkStart w:id="6" w:name="_Toc82591926"/>
      <w:bookmarkEnd w:id="6"/>
      <w:bookmarkStart w:id="7" w:name="_Toc82685542"/>
      <w:bookmarkEnd w:id="7"/>
      <w:bookmarkStart w:id="8" w:name="_Toc82591925"/>
      <w:bookmarkEnd w:id="8"/>
      <w:bookmarkStart w:id="9" w:name="_Toc82685540"/>
      <w:bookmarkEnd w:id="9"/>
      <w:bookmarkStart w:id="10" w:name="_Toc82684706"/>
      <w:bookmarkEnd w:id="10"/>
      <w:bookmarkStart w:id="11" w:name="_Toc82684588"/>
      <w:bookmarkEnd w:id="11"/>
      <w:bookmarkStart w:id="12" w:name="_Toc82684705"/>
      <w:bookmarkEnd w:id="12"/>
      <w:bookmarkStart w:id="13" w:name="_Toc82685541"/>
      <w:bookmarkEnd w:id="13"/>
      <w:bookmarkStart w:id="14" w:name="_Toc82685543"/>
      <w:bookmarkEnd w:id="14"/>
      <w:bookmarkStart w:id="15" w:name="_Toc82591927"/>
      <w:bookmarkEnd w:id="15"/>
      <w:bookmarkStart w:id="16" w:name="_Toc82684589"/>
      <w:bookmarkEnd w:id="16"/>
      <w:bookmarkStart w:id="17" w:name="_Toc82684590"/>
      <w:bookmarkEnd w:id="17"/>
      <w:bookmarkStart w:id="18" w:name="_Toc82591928"/>
      <w:bookmarkEnd w:id="18"/>
      <w:bookmarkStart w:id="19" w:name="_Toc82684591"/>
      <w:bookmarkEnd w:id="19"/>
      <w:bookmarkStart w:id="20" w:name="_Toc82684703"/>
      <w:bookmarkEnd w:id="20"/>
      <w:bookmarkStart w:id="21" w:name="_Toc82684704"/>
      <w:bookmarkEnd w:id="21"/>
      <w:bookmarkStart w:id="22" w:name="_Toc116550346"/>
      <w:r>
        <w:rPr>
          <w:rFonts w:hint="eastAsia" w:ascii="宋体" w:hAnsi="宋体"/>
          <w:b/>
          <w:szCs w:val="21"/>
        </w:rPr>
        <w:t>特别说明</w:t>
      </w:r>
      <w:bookmarkEnd w:id="22"/>
    </w:p>
    <w:p>
      <w:pPr>
        <w:pStyle w:val="23"/>
        <w:numPr>
          <w:ilvl w:val="0"/>
          <w:numId w:val="7"/>
        </w:numPr>
        <w:spacing w:line="360" w:lineRule="auto"/>
        <w:ind w:left="0" w:firstLine="420" w:firstLineChars="0"/>
        <w:rPr>
          <w:rFonts w:ascii="宋体" w:hAnsi="宋体" w:eastAsia="宋体" w:cs="宋体"/>
          <w:szCs w:val="21"/>
        </w:rPr>
      </w:pPr>
      <w:bookmarkStart w:id="23" w:name="_Toc45028463"/>
      <w:bookmarkStart w:id="24" w:name="_Toc517278751"/>
      <w:bookmarkStart w:id="25"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7"/>
      <w:bookmarkEnd w:id="26"/>
      <w:bookmarkStart w:id="27" w:name="_Toc82591989"/>
      <w:bookmarkEnd w:id="27"/>
      <w:bookmarkStart w:id="28" w:name="_Toc82685545"/>
      <w:bookmarkEnd w:id="28"/>
      <w:bookmarkStart w:id="29" w:name="_Toc82591985"/>
      <w:bookmarkEnd w:id="29"/>
      <w:bookmarkStart w:id="30" w:name="_Toc82591930"/>
      <w:bookmarkEnd w:id="30"/>
      <w:bookmarkStart w:id="31" w:name="_Toc82684708"/>
      <w:bookmarkEnd w:id="31"/>
      <w:bookmarkStart w:id="32" w:name="_Toc82591988"/>
      <w:bookmarkEnd w:id="32"/>
      <w:bookmarkStart w:id="33" w:name="_Toc82591986"/>
      <w:bookmarkEnd w:id="33"/>
      <w:bookmarkStart w:id="34" w:name="_Toc82684593"/>
      <w:bookmarkEnd w:id="34"/>
      <w:bookmarkStart w:id="35" w:name="_Toc116550347"/>
      <w:r>
        <w:rPr>
          <w:rFonts w:hint="eastAsia" w:ascii="宋体" w:hAnsi="宋体"/>
          <w:b/>
          <w:szCs w:val="21"/>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8"/>
              </w:numPr>
              <w:tabs>
                <w:tab w:val="left" w:pos="531"/>
              </w:tabs>
              <w:snapToGrid w:val="0"/>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8"/>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0"/>
                <w:numId w:val="8"/>
              </w:numPr>
              <w:tabs>
                <w:tab w:val="left" w:pos="531"/>
              </w:tabs>
              <w:snapToGrid w:val="0"/>
              <w:rPr>
                <w:rFonts w:ascii="宋体" w:hAnsi="宋体" w:cs="宋体"/>
                <w:color w:val="FF0000"/>
                <w:highlight w:val="yellow"/>
              </w:rPr>
            </w:pPr>
            <w:r>
              <w:rPr>
                <w:rFonts w:hint="eastAsia" w:ascii="宋体" w:hAnsi="宋体" w:cs="宋体"/>
                <w:color w:val="FF0000"/>
                <w:szCs w:val="21"/>
                <w:highlight w:val="yellow"/>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报价以人民币为结算币种，报价</w:t>
            </w:r>
            <w:r>
              <w:rPr>
                <w:rFonts w:hint="eastAsia" w:ascii="宋体" w:hAnsi="宋体"/>
                <w:color w:val="000000" w:themeColor="text1"/>
                <w:szCs w:val="21"/>
                <w14:textFill>
                  <w14:solidFill>
                    <w14:schemeClr w14:val="tx1"/>
                  </w14:solidFill>
                </w14:textFill>
              </w:rPr>
              <w:t>应包含税率、</w:t>
            </w:r>
            <w:r>
              <w:rPr>
                <w:rFonts w:hint="eastAsia" w:ascii="宋体" w:hAnsi="宋体" w:cs="宋体"/>
                <w:color w:val="000000" w:themeColor="text1"/>
                <w:szCs w:val="21"/>
                <w14:textFill>
                  <w14:solidFill>
                    <w14:schemeClr w14:val="tx1"/>
                  </w14:solidFill>
                </w14:textFill>
              </w:rPr>
              <w:t>单价和总价。</w:t>
            </w:r>
          </w:p>
          <w:p>
            <w:pPr>
              <w:numPr>
                <w:ilvl w:val="0"/>
                <w:numId w:val="9"/>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报价不得出现可选择性的报价,含有备选方案的报价将导致废标。</w:t>
            </w:r>
          </w:p>
          <w:p>
            <w:pPr>
              <w:numPr>
                <w:ilvl w:val="0"/>
                <w:numId w:val="9"/>
              </w:numPr>
              <w:tabs>
                <w:tab w:val="left" w:pos="531"/>
              </w:tabs>
              <w:snapToGrid w:val="0"/>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投标报价包括但不限于物品租赁费、人工费、配送费、运输装卸费以及各项税费等完成本项目所需的全部费用。</w:t>
            </w:r>
          </w:p>
          <w:p>
            <w:pPr>
              <w:numPr>
                <w:ilvl w:val="0"/>
                <w:numId w:val="9"/>
              </w:numPr>
              <w:tabs>
                <w:tab w:val="left" w:pos="531"/>
              </w:tabs>
              <w:snapToGrid w:val="0"/>
              <w:ind w:left="0" w:firstLine="0"/>
              <w:rPr>
                <w:color w:val="FF0000"/>
                <w:highlight w:val="yellow"/>
              </w:rPr>
            </w:pPr>
            <w:r>
              <w:rPr>
                <w:rFonts w:hint="eastAsia" w:ascii="宋体" w:hAnsi="宋体" w:cs="宋体"/>
                <w:color w:val="000000" w:themeColor="text1"/>
                <w:szCs w:val="21"/>
                <w14:textFill>
                  <w14:solidFill>
                    <w14:schemeClr w14:val="tx1"/>
                  </w14:solidFill>
                </w14:textFill>
              </w:rPr>
              <w:t>因投标人自身原因导致的返工等问题，均由投标人自行承担，招标人不再支付其他任何费用</w:t>
            </w:r>
            <w:r>
              <w:rPr>
                <w:rFonts w:hint="eastAsia" w:ascii="宋体" w:hAnsi="宋体"/>
                <w:color w:val="000000" w:themeColor="text1"/>
                <w:szCs w:val="21"/>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color w:val="000000"/>
              </w:rPr>
              <w:t>本项目控制金额为人民币</w:t>
            </w:r>
            <w:r>
              <w:rPr>
                <w:rFonts w:ascii="宋体" w:hAnsi="宋体" w:cs="宋体"/>
                <w:color w:val="000000"/>
              </w:rPr>
              <w:t>40.68</w:t>
            </w:r>
            <w:r>
              <w:rPr>
                <w:rFonts w:hint="eastAsia" w:ascii="宋体" w:hAnsi="宋体" w:cs="宋体"/>
                <w:color w:val="000000"/>
              </w:rPr>
              <w:t>万元（含税），报价高于上述控制金额的，参加单位的响应文件视同无效。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rPr>
                <w:rFonts w:ascii="宋体" w:hAnsi="宋体" w:cs="宋体"/>
                <w:color w:val="000000" w:themeColor="text1"/>
                <w14:textFill>
                  <w14:solidFill>
                    <w14:schemeClr w14:val="tx1"/>
                  </w14:solidFill>
                </w14:textFill>
              </w:rPr>
            </w:pPr>
            <w:r>
              <w:rPr>
                <w:rFonts w:hint="eastAsia"/>
              </w:rPr>
              <w:t>根据招标人确认验收的实际使用数量，根据单价据实结算。</w:t>
            </w:r>
          </w:p>
          <w:p>
            <w:pPr>
              <w:pStyle w:val="23"/>
              <w:spacing w:line="0" w:lineRule="atLeast"/>
              <w:ind w:firstLine="0"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验收合格后三十个工作日内招标人向中标人支付结算全款。</w:t>
            </w:r>
          </w:p>
          <w:p>
            <w:pPr>
              <w:pStyle w:val="12"/>
              <w:rPr>
                <w:color w:val="FF0000"/>
              </w:rPr>
            </w:pPr>
            <w:r>
              <w:rPr>
                <w:rFonts w:hint="eastAsia" w:ascii="宋体" w:eastAsia="宋体" w:cs="宋体"/>
                <w:color w:val="000000" w:themeColor="text1"/>
                <w:szCs w:val="21"/>
                <w14:textFill>
                  <w14:solidFill>
                    <w14:schemeClr w14:val="tx1"/>
                  </w14:solidFill>
                </w14:textFill>
              </w:rPr>
              <w:t>（3）招标人向中选单位支付款项前，中选单位须提供等额、有效的增值税发票。因中选人不及时或未按照要求提供有效的正规发票导致招标人延期付款，招标人不承担任何责任。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服务期</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rPr>
                <w:rFonts w:ascii="宋体" w:eastAsia="宋体" w:cs="宋体"/>
                <w:color w:val="FF0000"/>
                <w:highlight w:val="yellow"/>
              </w:rPr>
            </w:pPr>
            <w:r>
              <w:rPr>
                <w:rFonts w:hint="eastAsia" w:ascii="宋体" w:eastAsia="宋体" w:cs="宋体"/>
                <w:color w:val="000000"/>
              </w:rPr>
              <w:t>项目所有产品须在5月1</w:t>
            </w:r>
            <w:r>
              <w:rPr>
                <w:rFonts w:ascii="宋体" w:eastAsia="宋体" w:cs="宋体"/>
                <w:color w:val="000000"/>
              </w:rPr>
              <w:t>2</w:t>
            </w:r>
            <w:r>
              <w:rPr>
                <w:rFonts w:hint="eastAsia" w:ascii="宋体" w:eastAsia="宋体" w:cs="宋体"/>
                <w:color w:val="000000"/>
              </w:rPr>
              <w:t>日前完成并验收交接。如因项目需求变化，服务期调整须经双方协商一致实施。</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color w:val="000000"/>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000000"/>
              </w:rPr>
            </w:pPr>
            <w:r>
              <w:rPr>
                <w:rFonts w:hint="eastAsia" w:ascii="宋体" w:hAnsi="宋体" w:cs="宋体"/>
                <w:color w:val="000000"/>
              </w:rPr>
              <w:t>（1）所有通用物料以招标人确认的最终需要、尺寸来进行提供，投标人须充分考虑紧急情况下的应急预案（特别是数量临时增加的情形），具体数量根据实际需要进行调整。中选单位需按照招标人指定摆放位置进行物料配送，展会现场如需更改摆放位置则按照现场要求进行物料的重新摆放。</w:t>
            </w:r>
          </w:p>
          <w:p>
            <w:pPr>
              <w:pStyle w:val="23"/>
              <w:spacing w:line="0" w:lineRule="atLeast"/>
              <w:ind w:firstLine="0" w:firstLineChars="0"/>
              <w:jc w:val="left"/>
              <w:rPr>
                <w:rFonts w:ascii="宋体" w:hAnsi="宋体" w:cs="宋体"/>
                <w:color w:val="000000"/>
              </w:rPr>
            </w:pPr>
            <w:r>
              <w:rPr>
                <w:rFonts w:hint="eastAsia" w:ascii="宋体" w:hAnsi="宋体" w:eastAsia="宋体" w:cs="宋体"/>
                <w:color w:val="000000"/>
              </w:rPr>
              <w:t>（2）未经招标人允许，中选单位保证不会将招标人提供的素材、数据及相关内容等任何信息泄露给第三方；因此而导致任何争议，由中选单位负责解决，并赔偿招标人因此所遭受的一切损失。</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szCs w:val="21"/>
              </w:rPr>
            </w:pPr>
            <w:r>
              <w:rPr>
                <w:rFonts w:hint="eastAsia" w:ascii="宋体" w:hAnsi="宋体" w:cs="宋体"/>
                <w:color w:val="000000"/>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spacing w:line="0" w:lineRule="atLeast"/>
              <w:ind w:firstLine="0" w:firstLineChars="0"/>
              <w:jc w:val="left"/>
              <w:rPr>
                <w:rFonts w:ascii="宋体" w:hAnsi="宋体" w:eastAsia="宋体" w:cs="宋体"/>
                <w:color w:val="000000"/>
              </w:rPr>
            </w:pPr>
            <w:r>
              <w:rPr>
                <w:rFonts w:hint="eastAsia" w:ascii="宋体" w:hAnsi="宋体" w:eastAsia="宋体" w:cs="宋体"/>
                <w:color w:val="000000"/>
              </w:rPr>
              <w:t>中选供应商负责将租赁物品运送至招标人指定地点。招标人组织相关专业人员参照技术参数要求及最终确认的样板进行验收。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szCs w:val="21"/>
              </w:rPr>
            </w:pPr>
            <w:r>
              <w:rPr>
                <w:rFonts w:hint="eastAsia" w:ascii="宋体" w:hAnsi="宋体" w:cs="宋体"/>
                <w:color w:val="000000"/>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spacing w:line="0" w:lineRule="atLeast"/>
              <w:ind w:firstLine="0" w:firstLineChars="0"/>
              <w:jc w:val="left"/>
              <w:rPr>
                <w:rFonts w:ascii="宋体" w:hAnsi="宋体" w:eastAsia="宋体" w:cs="宋体"/>
                <w:color w:val="000000"/>
              </w:rPr>
            </w:pPr>
            <w:r>
              <w:rPr>
                <w:rFonts w:hint="eastAsia" w:ascii="宋体" w:hAnsi="宋体" w:eastAsia="宋体" w:cs="宋体"/>
                <w:color w:val="000000"/>
              </w:rPr>
              <w:t>当招标人自办展会项目无法正常开展并终止时，本项目自通知发布之时合同即时自动终止并解除，此期间中选单位因如约履行本项目合同且已实际发生的直接费用，招标人可按实予以结算。同时，招标人不再承担中标人由此造成的其他间接费用和损失，中标人亦不得再就上述事项进行任何形式的索赔。</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szCs w:val="21"/>
              </w:rPr>
            </w:pPr>
            <w:r>
              <w:rPr>
                <w:rFonts w:hint="eastAsia" w:ascii="宋体" w:hAnsi="宋体" w:cs="宋体"/>
                <w:color w:val="000000"/>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9</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样品要求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spacing w:line="0" w:lineRule="atLeast"/>
              <w:ind w:firstLine="0" w:firstLineChars="0"/>
              <w:jc w:val="left"/>
              <w:rPr>
                <w:rFonts w:ascii="宋体" w:hAnsi="宋体" w:eastAsia="宋体" w:cs="宋体"/>
                <w:color w:val="000000"/>
              </w:rPr>
            </w:pPr>
            <w:r>
              <w:rPr>
                <w:rFonts w:hint="eastAsia" w:ascii="宋体" w:hAnsi="宋体" w:eastAsia="宋体" w:cs="宋体"/>
                <w:color w:val="000000"/>
              </w:rPr>
              <w:t>拍摄实物照片，录制实物小视频</w:t>
            </w:r>
            <w:r>
              <w:rPr>
                <w:rFonts w:hint="eastAsia" w:ascii="宋体" w:hAnsi="宋体"/>
                <w:color w:val="FF0000"/>
                <w:szCs w:val="21"/>
                <w:u w:val="single"/>
              </w:rPr>
              <w:t>，</w:t>
            </w:r>
            <w:r>
              <w:rPr>
                <w:rFonts w:hint="eastAsia" w:ascii="宋体" w:hAnsi="宋体" w:eastAsia="宋体" w:cs="宋体"/>
                <w:color w:val="000000"/>
              </w:rPr>
              <w:t xml:space="preserve">必要时招标人将通过远程视频方式确认租赁物品规格、数量、品相、款式、材质等。 </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szCs w:val="21"/>
              </w:rPr>
            </w:pPr>
            <w:r>
              <w:rPr>
                <w:rFonts w:hint="eastAsia" w:ascii="宋体" w:hAnsi="宋体" w:cs="宋体"/>
                <w:color w:val="000000"/>
                <w:szCs w:val="21"/>
              </w:rPr>
              <w:t>不可偏离</w:t>
            </w:r>
          </w:p>
        </w:tc>
      </w:tr>
    </w:tbl>
    <w:p>
      <w:pPr>
        <w:jc w:val="left"/>
        <w:outlineLvl w:val="1"/>
      </w:pPr>
      <w:bookmarkStart w:id="37" w:name="_Toc82685552"/>
      <w:bookmarkEnd w:id="37"/>
      <w:bookmarkStart w:id="38" w:name="_Toc82591996"/>
      <w:bookmarkEnd w:id="38"/>
      <w:bookmarkStart w:id="39" w:name="_Toc82684600"/>
      <w:bookmarkEnd w:id="39"/>
      <w:bookmarkStart w:id="40" w:name="_Toc82684715"/>
      <w:bookmarkEnd w:id="40"/>
      <w:bookmarkStart w:id="41" w:name="_Toc116550349"/>
      <w:r>
        <w:rPr>
          <w:rFonts w:hint="eastAsia" w:ascii="宋体" w:hAnsi="宋体"/>
          <w:b/>
          <w:szCs w:val="21"/>
        </w:rPr>
        <w:t>其他项目说明资料</w:t>
      </w:r>
      <w:bookmarkEnd w:id="41"/>
    </w:p>
    <w:p>
      <w:pPr>
        <w:widowControl/>
        <w:jc w:val="left"/>
        <w:rPr>
          <w:color w:val="FF0000"/>
        </w:rPr>
      </w:pPr>
    </w:p>
    <w:tbl>
      <w:tblPr>
        <w:tblStyle w:val="15"/>
        <w:tblW w:w="8075" w:type="dxa"/>
        <w:tblInd w:w="0" w:type="dxa"/>
        <w:tblLayout w:type="autofit"/>
        <w:tblCellMar>
          <w:top w:w="0" w:type="dxa"/>
          <w:left w:w="108" w:type="dxa"/>
          <w:bottom w:w="0" w:type="dxa"/>
          <w:right w:w="108" w:type="dxa"/>
        </w:tblCellMar>
      </w:tblPr>
      <w:tblGrid>
        <w:gridCol w:w="704"/>
        <w:gridCol w:w="1843"/>
        <w:gridCol w:w="3685"/>
        <w:gridCol w:w="709"/>
        <w:gridCol w:w="1134"/>
      </w:tblGrid>
      <w:tr>
        <w:tblPrEx>
          <w:tblCellMar>
            <w:top w:w="0" w:type="dxa"/>
            <w:left w:w="108" w:type="dxa"/>
            <w:bottom w:w="0" w:type="dxa"/>
            <w:right w:w="108" w:type="dxa"/>
          </w:tblCellMar>
        </w:tblPrEx>
        <w:trPr>
          <w:trHeight w:val="501"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序号</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项目名称</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规格、参数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需求数量</w:t>
            </w:r>
          </w:p>
        </w:tc>
      </w:tr>
      <w:tr>
        <w:tblPrEx>
          <w:tblCellMar>
            <w:top w:w="0" w:type="dxa"/>
            <w:left w:w="108" w:type="dxa"/>
            <w:bottom w:w="0" w:type="dxa"/>
            <w:right w:w="108" w:type="dxa"/>
          </w:tblCellMar>
        </w:tblPrEx>
        <w:trPr>
          <w:trHeight w:val="501"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长条桌</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hint="eastAsia" w:ascii="宋体" w:hAnsi="宋体"/>
                <w:color w:val="000000"/>
                <w:kern w:val="0"/>
                <w:szCs w:val="21"/>
              </w:rPr>
              <w:t>长1.2M*宽0.6M*高0.75M</w:t>
            </w:r>
            <w:r>
              <w:rPr>
                <w:rFonts w:ascii="宋体" w:hAnsi="宋体"/>
                <w:color w:val="000000"/>
                <w:kern w:val="0"/>
                <w:szCs w:val="21"/>
              </w:rPr>
              <w:t xml:space="preserve">  </w:t>
            </w:r>
            <w:r>
              <w:rPr>
                <w:rFonts w:hint="eastAsia" w:ascii="宋体" w:hAnsi="宋体"/>
                <w:color w:val="000000"/>
                <w:kern w:val="0"/>
                <w:szCs w:val="21"/>
              </w:rPr>
              <w:t>木制面板 白色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张</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2400</w:t>
            </w:r>
          </w:p>
        </w:tc>
      </w:tr>
      <w:tr>
        <w:tblPrEx>
          <w:tblCellMar>
            <w:top w:w="0" w:type="dxa"/>
            <w:left w:w="108" w:type="dxa"/>
            <w:bottom w:w="0" w:type="dxa"/>
            <w:right w:w="108" w:type="dxa"/>
          </w:tblCellMar>
        </w:tblPrEx>
        <w:trPr>
          <w:trHeight w:val="501"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2</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ascii="宋体" w:hAnsi="宋体" w:cs="Arial"/>
                <w:kern w:val="0"/>
                <w:szCs w:val="21"/>
              </w:rPr>
              <w:t>桌布</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宽1</w:t>
            </w:r>
            <w:r>
              <w:rPr>
                <w:rFonts w:ascii="宋体" w:hAnsi="宋体" w:cs="Arial"/>
                <w:kern w:val="0"/>
                <w:szCs w:val="21"/>
              </w:rPr>
              <w:t>.5M*</w:t>
            </w:r>
            <w:r>
              <w:rPr>
                <w:rFonts w:hint="eastAsia" w:ascii="宋体" w:hAnsi="宋体" w:cs="Arial"/>
                <w:kern w:val="0"/>
                <w:szCs w:val="21"/>
              </w:rPr>
              <w:t>长2</w:t>
            </w:r>
            <w:r>
              <w:rPr>
                <w:rFonts w:ascii="宋体" w:hAnsi="宋体" w:cs="Arial"/>
                <w:kern w:val="0"/>
                <w:szCs w:val="21"/>
              </w:rPr>
              <w:t xml:space="preserve">.5M     </w:t>
            </w:r>
            <w:r>
              <w:rPr>
                <w:rFonts w:hint="eastAsia" w:ascii="宋体" w:hAnsi="宋体" w:cs="Arial"/>
                <w:kern w:val="0"/>
                <w:szCs w:val="21"/>
              </w:rPr>
              <w:t>蓝色绒布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块</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800</w:t>
            </w:r>
          </w:p>
        </w:tc>
      </w:tr>
      <w:tr>
        <w:tblPrEx>
          <w:tblCellMar>
            <w:top w:w="0" w:type="dxa"/>
            <w:left w:w="108" w:type="dxa"/>
            <w:bottom w:w="0" w:type="dxa"/>
            <w:right w:w="108" w:type="dxa"/>
          </w:tblCellMar>
        </w:tblPrEx>
        <w:trPr>
          <w:trHeight w:val="501"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3</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ascii="宋体" w:hAnsi="宋体" w:cs="Arial"/>
                <w:kern w:val="0"/>
                <w:szCs w:val="21"/>
              </w:rPr>
              <w:t>一米栏</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9</w:t>
            </w:r>
            <w:r>
              <w:rPr>
                <w:rFonts w:ascii="宋体" w:hAnsi="宋体" w:cs="Arial"/>
                <w:kern w:val="0"/>
                <w:szCs w:val="21"/>
              </w:rPr>
              <w:t>00mm*320mm,</w:t>
            </w:r>
            <w:r>
              <w:rPr>
                <w:rFonts w:hint="eastAsia" w:ascii="宋体" w:hAnsi="宋体" w:cs="Arial"/>
                <w:kern w:val="0"/>
                <w:szCs w:val="21"/>
              </w:rPr>
              <w:t>伸缩带长1</w:t>
            </w:r>
            <w:r>
              <w:rPr>
                <w:rFonts w:ascii="宋体" w:hAnsi="宋体" w:cs="Arial"/>
                <w:kern w:val="0"/>
                <w:szCs w:val="21"/>
              </w:rPr>
              <w:t>.5</w:t>
            </w:r>
            <w:r>
              <w:rPr>
                <w:rFonts w:hint="eastAsia" w:ascii="宋体" w:hAnsi="宋体" w:cs="Arial"/>
                <w:kern w:val="0"/>
                <w:szCs w:val="21"/>
              </w:rPr>
              <w:t>M宽</w:t>
            </w:r>
            <w:r>
              <w:rPr>
                <w:rFonts w:ascii="宋体" w:hAnsi="宋体" w:cs="Arial"/>
                <w:kern w:val="0"/>
                <w:szCs w:val="21"/>
              </w:rPr>
              <w:t>4.8</w:t>
            </w:r>
            <w:r>
              <w:rPr>
                <w:rFonts w:hint="eastAsia" w:ascii="宋体" w:hAnsi="宋体" w:cs="Arial"/>
                <w:kern w:val="0"/>
                <w:szCs w:val="21"/>
              </w:rPr>
              <w:t>cm</w:t>
            </w:r>
            <w:r>
              <w:rPr>
                <w:rFonts w:ascii="宋体" w:hAnsi="宋体" w:cs="Arial"/>
                <w:kern w:val="0"/>
                <w:szCs w:val="21"/>
              </w:rPr>
              <w:t xml:space="preserve">, </w:t>
            </w:r>
            <w:r>
              <w:rPr>
                <w:rFonts w:hint="eastAsia" w:ascii="宋体" w:hAnsi="宋体" w:cs="Arial"/>
                <w:kern w:val="0"/>
                <w:szCs w:val="21"/>
              </w:rPr>
              <w:t>柱子为不锈钢铁材质+伸缩条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个</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4800</w:t>
            </w:r>
          </w:p>
        </w:tc>
      </w:tr>
      <w:tr>
        <w:tblPrEx>
          <w:tblCellMar>
            <w:top w:w="0" w:type="dxa"/>
            <w:left w:w="108" w:type="dxa"/>
            <w:bottom w:w="0" w:type="dxa"/>
            <w:right w:w="108" w:type="dxa"/>
          </w:tblCellMar>
        </w:tblPrEx>
        <w:trPr>
          <w:trHeight w:val="501"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4</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ascii="宋体" w:hAnsi="宋体" w:cs="Arial"/>
                <w:kern w:val="0"/>
                <w:szCs w:val="21"/>
              </w:rPr>
              <w:t>高吧椅</w:t>
            </w:r>
            <w:r>
              <w:rPr>
                <w:rFonts w:hint="eastAsia" w:ascii="宋体" w:hAnsi="宋体" w:cs="Arial"/>
                <w:kern w:val="0"/>
                <w:szCs w:val="21"/>
              </w:rPr>
              <w:t>（黑色）</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升降高度4</w:t>
            </w:r>
            <w:r>
              <w:rPr>
                <w:rFonts w:ascii="宋体" w:hAnsi="宋体" w:cs="Arial"/>
                <w:kern w:val="0"/>
                <w:szCs w:val="21"/>
              </w:rPr>
              <w:t>8-73cm,</w:t>
            </w:r>
            <w:r>
              <w:rPr>
                <w:rFonts w:hint="eastAsia" w:ascii="宋体" w:hAnsi="宋体" w:cs="Arial"/>
                <w:kern w:val="0"/>
                <w:szCs w:val="21"/>
              </w:rPr>
              <w:t>地盘直径4</w:t>
            </w:r>
            <w:r>
              <w:rPr>
                <w:rFonts w:ascii="宋体" w:hAnsi="宋体" w:cs="Arial"/>
                <w:kern w:val="0"/>
                <w:szCs w:val="21"/>
              </w:rPr>
              <w:t>0</w:t>
            </w:r>
            <w:r>
              <w:rPr>
                <w:rFonts w:hint="eastAsia" w:ascii="宋体" w:hAnsi="宋体" w:cs="Arial"/>
                <w:kern w:val="0"/>
                <w:szCs w:val="21"/>
              </w:rPr>
              <w:t>cm，坐深3</w:t>
            </w:r>
            <w:r>
              <w:rPr>
                <w:rFonts w:ascii="宋体" w:hAnsi="宋体" w:cs="Arial"/>
                <w:kern w:val="0"/>
                <w:szCs w:val="21"/>
              </w:rPr>
              <w:t>4</w:t>
            </w:r>
            <w:r>
              <w:rPr>
                <w:rFonts w:hint="eastAsia" w:ascii="宋体" w:hAnsi="宋体" w:cs="Arial"/>
                <w:kern w:val="0"/>
                <w:szCs w:val="21"/>
              </w:rPr>
              <w:t>cm，坐宽3</w:t>
            </w:r>
            <w:r>
              <w:rPr>
                <w:rFonts w:ascii="宋体" w:hAnsi="宋体" w:cs="Arial"/>
                <w:kern w:val="0"/>
                <w:szCs w:val="21"/>
              </w:rPr>
              <w:t>3</w:t>
            </w:r>
            <w:r>
              <w:rPr>
                <w:rFonts w:hint="eastAsia" w:ascii="宋体" w:hAnsi="宋体" w:cs="Arial"/>
                <w:kern w:val="0"/>
                <w:szCs w:val="21"/>
              </w:rPr>
              <w:t>cm</w:t>
            </w:r>
            <w:r>
              <w:rPr>
                <w:rFonts w:ascii="宋体" w:hAnsi="宋体" w:cs="Arial"/>
                <w:kern w:val="0"/>
                <w:szCs w:val="21"/>
              </w:rPr>
              <w:t xml:space="preserve">   PU</w:t>
            </w:r>
            <w:r>
              <w:rPr>
                <w:rFonts w:hint="eastAsia" w:ascii="宋体" w:hAnsi="宋体" w:cs="Arial"/>
                <w:kern w:val="0"/>
                <w:szCs w:val="21"/>
              </w:rPr>
              <w:t>皮质 黑色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张</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30</w:t>
            </w:r>
          </w:p>
        </w:tc>
      </w:tr>
      <w:tr>
        <w:tblPrEx>
          <w:tblCellMar>
            <w:top w:w="0" w:type="dxa"/>
            <w:left w:w="108" w:type="dxa"/>
            <w:bottom w:w="0" w:type="dxa"/>
            <w:right w:w="108" w:type="dxa"/>
          </w:tblCellMar>
        </w:tblPrEx>
        <w:trPr>
          <w:trHeight w:val="501"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5</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ascii="宋体" w:hAnsi="宋体" w:cs="Arial"/>
                <w:kern w:val="0"/>
                <w:szCs w:val="21"/>
              </w:rPr>
              <w:t>皮椅</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长</w:t>
            </w:r>
            <w:r>
              <w:rPr>
                <w:rFonts w:ascii="宋体" w:hAnsi="宋体" w:cs="Arial"/>
                <w:kern w:val="0"/>
                <w:szCs w:val="21"/>
              </w:rPr>
              <w:t>0.55M*</w:t>
            </w:r>
            <w:r>
              <w:rPr>
                <w:rFonts w:hint="eastAsia" w:ascii="宋体" w:hAnsi="宋体" w:cs="Arial"/>
                <w:kern w:val="0"/>
                <w:szCs w:val="21"/>
              </w:rPr>
              <w:t>宽</w:t>
            </w:r>
            <w:r>
              <w:rPr>
                <w:rFonts w:ascii="宋体" w:hAnsi="宋体" w:cs="Arial"/>
                <w:kern w:val="0"/>
                <w:szCs w:val="21"/>
              </w:rPr>
              <w:t>0.48M*</w:t>
            </w:r>
            <w:r>
              <w:rPr>
                <w:rFonts w:hint="eastAsia" w:ascii="宋体" w:hAnsi="宋体" w:cs="Arial"/>
                <w:kern w:val="0"/>
                <w:szCs w:val="21"/>
              </w:rPr>
              <w:t>高</w:t>
            </w:r>
            <w:r>
              <w:rPr>
                <w:rFonts w:ascii="宋体" w:hAnsi="宋体" w:cs="Arial"/>
                <w:kern w:val="0"/>
                <w:szCs w:val="21"/>
              </w:rPr>
              <w:t>0.78M  PU</w:t>
            </w:r>
            <w:r>
              <w:rPr>
                <w:rFonts w:hint="eastAsia" w:ascii="宋体" w:hAnsi="宋体" w:cs="Arial"/>
                <w:kern w:val="0"/>
                <w:szCs w:val="21"/>
              </w:rPr>
              <w:t>皮质 黑色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把</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600</w:t>
            </w:r>
          </w:p>
        </w:tc>
      </w:tr>
      <w:tr>
        <w:tblPrEx>
          <w:tblCellMar>
            <w:top w:w="0" w:type="dxa"/>
            <w:left w:w="108" w:type="dxa"/>
            <w:bottom w:w="0" w:type="dxa"/>
            <w:right w:w="108" w:type="dxa"/>
          </w:tblCellMar>
        </w:tblPrEx>
        <w:trPr>
          <w:trHeight w:val="501"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6</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Cs w:val="21"/>
              </w:rPr>
            </w:pPr>
            <w:r>
              <w:rPr>
                <w:rFonts w:hint="eastAsia" w:ascii="宋体" w:hAnsi="宋体" w:cs="Arial"/>
                <w:color w:val="000000"/>
                <w:kern w:val="0"/>
                <w:szCs w:val="21"/>
              </w:rPr>
              <w:t>方桌</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Cs w:val="21"/>
              </w:rPr>
            </w:pPr>
            <w:r>
              <w:rPr>
                <w:rFonts w:hint="eastAsia" w:ascii="宋体" w:hAnsi="宋体" w:cs="Arial"/>
                <w:color w:val="000000"/>
                <w:kern w:val="0"/>
                <w:szCs w:val="21"/>
              </w:rPr>
              <w:t>长0.6M*长0.6M*高0.75M</w:t>
            </w:r>
            <w:r>
              <w:rPr>
                <w:rFonts w:ascii="宋体" w:hAnsi="宋体" w:cs="Arial"/>
                <w:color w:val="000000"/>
                <w:kern w:val="0"/>
                <w:szCs w:val="21"/>
              </w:rPr>
              <w:t xml:space="preserve"> </w:t>
            </w:r>
            <w:r>
              <w:rPr>
                <w:rFonts w:hint="eastAsia" w:ascii="宋体" w:hAnsi="宋体" w:cs="Arial"/>
                <w:color w:val="000000"/>
                <w:kern w:val="0"/>
                <w:szCs w:val="21"/>
              </w:rPr>
              <w:t xml:space="preserve">不锈钢柱子+底盘 </w:t>
            </w:r>
            <w:r>
              <w:rPr>
                <w:rFonts w:ascii="宋体" w:hAnsi="宋体" w:cs="Arial"/>
                <w:color w:val="000000"/>
                <w:kern w:val="0"/>
                <w:szCs w:val="21"/>
              </w:rPr>
              <w:t xml:space="preserve"> </w:t>
            </w:r>
            <w:r>
              <w:rPr>
                <w:rFonts w:hint="eastAsia" w:ascii="宋体" w:hAnsi="宋体" w:cs="Arial"/>
                <w:color w:val="000000"/>
                <w:kern w:val="0"/>
                <w:szCs w:val="21"/>
              </w:rPr>
              <w:t>木制面板 白色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张</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ascii="宋体" w:hAnsi="宋体" w:cs="Arial"/>
                <w:kern w:val="0"/>
                <w:szCs w:val="21"/>
              </w:rPr>
              <w:t>200</w:t>
            </w:r>
          </w:p>
        </w:tc>
      </w:tr>
    </w:tbl>
    <w:p>
      <w:pPr>
        <w:widowControl/>
        <w:jc w:val="left"/>
        <w:rPr>
          <w:color w:val="FF0000"/>
        </w:rPr>
      </w:pPr>
      <w:r>
        <w:rPr>
          <w:rFonts w:hint="eastAsia"/>
          <w:color w:val="FF0000"/>
        </w:rPr>
        <w:t>备注：以上物品正负偏离尺寸为</w:t>
      </w:r>
      <w:r>
        <w:rPr>
          <w:rFonts w:hint="eastAsia" w:ascii="微软雅黑" w:hAnsi="微软雅黑" w:eastAsia="微软雅黑" w:cs="微软雅黑"/>
          <w:color w:val="333333"/>
          <w:sz w:val="24"/>
          <w:shd w:val="clear" w:color="auto" w:fill="FFFFFF"/>
        </w:rPr>
        <w:t>±</w:t>
      </w:r>
      <w:r>
        <w:rPr>
          <w:rFonts w:hint="eastAsia"/>
          <w:color w:val="FF0000"/>
        </w:rPr>
        <w:t>5%</w:t>
      </w:r>
      <w:r>
        <w:rPr>
          <w:color w:val="FF0000"/>
        </w:rPr>
        <w:br w:type="page"/>
      </w:r>
    </w:p>
    <w:p>
      <w:pPr>
        <w:spacing w:line="360" w:lineRule="auto"/>
        <w:jc w:val="center"/>
        <w:outlineLvl w:val="0"/>
        <w:rPr>
          <w:rFonts w:ascii="宋体" w:hAnsi="宋体"/>
          <w:b/>
          <w:sz w:val="32"/>
          <w:szCs w:val="32"/>
        </w:rPr>
      </w:pPr>
      <w:bookmarkStart w:id="42" w:name="_Toc116550350"/>
      <w:r>
        <w:rPr>
          <w:rFonts w:hint="eastAsia" w:ascii="宋体" w:hAnsi="宋体"/>
          <w:b/>
          <w:sz w:val="32"/>
          <w:szCs w:val="32"/>
        </w:rPr>
        <w:t>第二部分：开标评标流程</w:t>
      </w:r>
      <w:bookmarkEnd w:id="42"/>
    </w:p>
    <w:p>
      <w:pPr>
        <w:numPr>
          <w:ilvl w:val="0"/>
          <w:numId w:val="11"/>
        </w:numPr>
        <w:spacing w:line="300" w:lineRule="auto"/>
        <w:outlineLvl w:val="0"/>
        <w:rPr>
          <w:rFonts w:ascii="宋体" w:hAnsi="宋体" w:cs="宋体"/>
          <w:b/>
          <w:sz w:val="24"/>
        </w:rPr>
      </w:pPr>
      <w:bookmarkStart w:id="43" w:name="_Toc128989098"/>
      <w:r>
        <w:rPr>
          <w:rFonts w:hint="eastAsia" w:ascii="宋体" w:hAnsi="宋体" w:cs="宋体"/>
          <w:b/>
          <w:sz w:val="24"/>
        </w:rPr>
        <w:t>开标评标流程</w:t>
      </w:r>
      <w:bookmarkEnd w:id="43"/>
    </w:p>
    <w:p>
      <w:pPr>
        <w:numPr>
          <w:ilvl w:val="0"/>
          <w:numId w:val="12"/>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按时发送文件密码至招标人</w:t>
      </w:r>
      <w:r>
        <w:rPr>
          <w:rFonts w:hint="eastAsia" w:ascii="宋体" w:hAnsi="宋体"/>
          <w:szCs w:val="21"/>
          <w:highlight w:val="yellow"/>
        </w:rPr>
        <w:t>指定地址；</w:t>
      </w:r>
    </w:p>
    <w:p>
      <w:pPr>
        <w:numPr>
          <w:ilvl w:val="0"/>
          <w:numId w:val="12"/>
        </w:numPr>
        <w:ind w:hanging="5"/>
        <w:rPr>
          <w:rFonts w:ascii="宋体" w:hAnsi="宋体" w:cs="宋体"/>
          <w:szCs w:val="21"/>
        </w:rPr>
      </w:pPr>
      <w:r>
        <w:rPr>
          <w:rFonts w:hint="eastAsia" w:ascii="宋体" w:hAnsi="宋体"/>
          <w:szCs w:val="21"/>
        </w:rPr>
        <w:t>宣读开标注意事项、流程；</w:t>
      </w:r>
    </w:p>
    <w:p>
      <w:pPr>
        <w:numPr>
          <w:ilvl w:val="0"/>
          <w:numId w:val="12"/>
        </w:numPr>
        <w:ind w:hanging="5"/>
        <w:rPr>
          <w:rFonts w:ascii="宋体" w:hAnsi="宋体" w:cs="宋体"/>
          <w:szCs w:val="21"/>
        </w:rPr>
      </w:pPr>
      <w:r>
        <w:rPr>
          <w:rFonts w:hint="eastAsia" w:ascii="宋体" w:hAnsi="宋体" w:cs="宋体"/>
          <w:szCs w:val="21"/>
        </w:rPr>
        <w:t>评标小组推选组长；</w:t>
      </w:r>
    </w:p>
    <w:p>
      <w:pPr>
        <w:numPr>
          <w:ilvl w:val="0"/>
          <w:numId w:val="12"/>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2"/>
        </w:numPr>
        <w:ind w:hanging="5"/>
        <w:rPr>
          <w:rFonts w:ascii="宋体" w:hAnsi="宋体" w:cs="宋体"/>
          <w:szCs w:val="21"/>
        </w:rPr>
      </w:pPr>
      <w:r>
        <w:rPr>
          <w:rFonts w:hint="eastAsia" w:ascii="宋体" w:hAnsi="宋体" w:cs="宋体"/>
          <w:szCs w:val="21"/>
        </w:rPr>
        <w:t>商务及技术/服务需求响应性评定；</w:t>
      </w:r>
    </w:p>
    <w:p>
      <w:pPr>
        <w:numPr>
          <w:ilvl w:val="0"/>
          <w:numId w:val="12"/>
        </w:numPr>
        <w:ind w:hanging="5"/>
        <w:rPr>
          <w:rFonts w:ascii="宋体" w:hAnsi="宋体" w:cs="宋体"/>
          <w:szCs w:val="21"/>
        </w:rPr>
      </w:pPr>
      <w:r>
        <w:rPr>
          <w:rFonts w:hint="eastAsia" w:ascii="宋体" w:hAnsi="宋体" w:cs="宋体"/>
          <w:szCs w:val="21"/>
        </w:rPr>
        <w:t>确定中标候选供应商及评标报告的出具。</w:t>
      </w:r>
    </w:p>
    <w:p>
      <w:pPr>
        <w:pStyle w:val="12"/>
        <w:rPr>
          <w:rFonts w:ascii="宋体" w:eastAsia="宋体" w:cs="宋体"/>
        </w:rPr>
      </w:pPr>
    </w:p>
    <w:p>
      <w:pPr>
        <w:numPr>
          <w:ilvl w:val="0"/>
          <w:numId w:val="11"/>
        </w:numPr>
        <w:spacing w:line="300" w:lineRule="auto"/>
        <w:outlineLvl w:val="0"/>
        <w:rPr>
          <w:rFonts w:ascii="宋体" w:hAnsi="宋体" w:cs="宋体"/>
          <w:b/>
          <w:sz w:val="24"/>
        </w:rPr>
      </w:pPr>
      <w:bookmarkStart w:id="44" w:name="_Toc128989099"/>
      <w:r>
        <w:rPr>
          <w:rFonts w:hint="eastAsia" w:ascii="宋体" w:hAnsi="宋体" w:cs="宋体"/>
          <w:b/>
          <w:sz w:val="24"/>
        </w:rPr>
        <w:t>评审办法</w:t>
      </w:r>
      <w:bookmarkEnd w:id="44"/>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2</w:t>
            </w:r>
            <w:r>
              <w:rPr>
                <w:rFonts w:ascii="宋体" w:hAnsi="宋体"/>
                <w:color w:val="FF0000"/>
                <w:szCs w:val="21"/>
              </w:rPr>
              <w:t>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4</w:t>
            </w:r>
            <w:r>
              <w:rPr>
                <w:rFonts w:ascii="宋体" w:hAnsi="宋体"/>
                <w:color w:val="FF0000"/>
                <w:szCs w:val="21"/>
              </w:rPr>
              <w:t>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4</w:t>
            </w:r>
            <w:r>
              <w:rPr>
                <w:rFonts w:ascii="宋体" w:hAnsi="宋体"/>
                <w:color w:val="FF0000"/>
                <w:szCs w:val="21"/>
              </w:rPr>
              <w:t>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3"/>
        </w:numPr>
        <w:spacing w:before="156" w:beforeLines="50"/>
        <w:jc w:val="left"/>
        <w:outlineLvl w:val="2"/>
        <w:rPr>
          <w:rStyle w:val="30"/>
          <w:rFonts w:ascii="宋体" w:hAnsi="宋体"/>
          <w:b/>
          <w:szCs w:val="21"/>
        </w:rPr>
      </w:pPr>
      <w:bookmarkStart w:id="45" w:name="_Toc116550355"/>
      <w:r>
        <w:rPr>
          <w:rStyle w:val="30"/>
          <w:rFonts w:hint="eastAsia" w:ascii="宋体" w:hAnsi="宋体"/>
          <w:b/>
          <w:bCs/>
          <w:szCs w:val="21"/>
        </w:rPr>
        <w:t>符合性检查</w:t>
      </w:r>
      <w:bookmarkEnd w:id="45"/>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bCs/>
                <w:szCs w:val="21"/>
              </w:rPr>
            </w:pPr>
            <w:r>
              <w:rPr>
                <w:rFonts w:hint="eastAsia" w:ascii="宋体" w:hAnsi="宋体" w:cs="仿宋"/>
                <w:bCs/>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spacing w:line="360" w:lineRule="auto"/>
              <w:rPr>
                <w:rFonts w:ascii="宋体" w:hAnsi="宋体" w:cs="仿宋"/>
                <w:bCs/>
                <w:szCs w:val="21"/>
              </w:rPr>
            </w:pPr>
            <w:r>
              <w:rPr>
                <w:rFonts w:hint="eastAsia" w:ascii="宋体" w:hAnsi="宋体" w:cs="仿宋"/>
                <w:bCs/>
                <w:szCs w:val="21"/>
              </w:rPr>
              <w:t>（2）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spacing w:line="360" w:lineRule="auto"/>
            </w:pPr>
            <w:r>
              <w:rPr>
                <w:rFonts w:hint="eastAsia" w:ascii="宋体" w:hAnsi="宋体" w:cs="仿宋"/>
                <w:bCs/>
                <w:szCs w:val="21"/>
              </w:rPr>
              <w:t>（3）本项目不接受联合体投标，严禁转包或非法分包。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ascii="宋体" w:hAnsi="宋体"/>
                <w:color w:val="FF0000"/>
                <w:szCs w:val="21"/>
                <w:highlight w:val="yellow"/>
              </w:rPr>
              <w:t>40.68</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3"/>
        </w:numPr>
        <w:spacing w:before="156" w:beforeLines="50"/>
        <w:jc w:val="left"/>
        <w:outlineLvl w:val="2"/>
        <w:rPr>
          <w:rStyle w:val="30"/>
          <w:rFonts w:ascii="宋体" w:hAnsi="宋体"/>
          <w:b/>
          <w:bCs/>
          <w:szCs w:val="21"/>
        </w:rPr>
      </w:pPr>
      <w:bookmarkStart w:id="46" w:name="_Toc116550356"/>
      <w:bookmarkStart w:id="47" w:name="_Toc114675512"/>
      <w:r>
        <w:rPr>
          <w:rStyle w:val="30"/>
          <w:rFonts w:hint="eastAsia" w:ascii="宋体" w:hAnsi="宋体"/>
          <w:b/>
          <w:bCs/>
          <w:szCs w:val="21"/>
        </w:rPr>
        <w:t>不可偏离项检查</w:t>
      </w:r>
      <w:bookmarkEnd w:id="46"/>
      <w:bookmarkEnd w:id="47"/>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3"/>
        </w:numPr>
        <w:spacing w:before="156" w:beforeLines="50"/>
        <w:jc w:val="left"/>
        <w:outlineLvl w:val="2"/>
        <w:rPr>
          <w:rFonts w:ascii="宋体" w:hAnsi="宋体"/>
          <w:b/>
          <w:bCs/>
          <w:szCs w:val="21"/>
        </w:rPr>
      </w:pPr>
      <w:bookmarkStart w:id="48" w:name="_Toc114675513"/>
      <w:bookmarkStart w:id="49" w:name="_Toc116550357"/>
      <w:r>
        <w:rPr>
          <w:rStyle w:val="30"/>
          <w:rFonts w:hint="eastAsia" w:ascii="宋体" w:hAnsi="宋体"/>
          <w:b/>
          <w:bCs/>
          <w:szCs w:val="21"/>
        </w:rPr>
        <w:t>综合评议指标表</w:t>
      </w:r>
      <w:bookmarkEnd w:id="48"/>
      <w:bookmarkEnd w:id="49"/>
    </w:p>
    <w:p>
      <w:pPr>
        <w:pStyle w:val="2"/>
        <w:ind w:left="833"/>
      </w:pPr>
    </w:p>
    <w:tbl>
      <w:tblPr>
        <w:tblStyle w:val="15"/>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cs="宋体"/>
                <w:b/>
                <w:szCs w:val="21"/>
              </w:rPr>
            </w:pPr>
            <w:r>
              <w:rPr>
                <w:rFonts w:hint="eastAsia" w:ascii="宋体" w:hAnsi="宋体" w:cs="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分值</w:t>
            </w:r>
          </w:p>
        </w:tc>
        <w:tc>
          <w:tcPr>
            <w:tcW w:w="6804" w:type="dxa"/>
            <w:tcBorders>
              <w:tl2br w:val="nil"/>
              <w:tr2bl w:val="nil"/>
            </w:tcBorders>
            <w:shd w:val="clear" w:color="auto" w:fill="EEEEEE"/>
            <w:vAlign w:val="center"/>
          </w:tcPr>
          <w:p>
            <w:pPr>
              <w:spacing w:line="360" w:lineRule="auto"/>
              <w:jc w:val="center"/>
              <w:rPr>
                <w:rFonts w:ascii="宋体" w:hAnsi="宋体" w:cs="宋体"/>
                <w:b/>
                <w:szCs w:val="21"/>
              </w:rPr>
            </w:pPr>
            <w:r>
              <w:rPr>
                <w:rFonts w:hint="eastAsia" w:ascii="宋体" w:hAnsi="宋体" w:cs="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cs="宋体"/>
                <w:b/>
                <w:szCs w:val="21"/>
              </w:rPr>
            </w:pPr>
            <w:r>
              <w:rPr>
                <w:rFonts w:hint="eastAsia" w:ascii="宋体" w:hAnsi="宋体" w:cs="宋体"/>
                <w:b/>
                <w:szCs w:val="21"/>
              </w:rPr>
              <w:t>商务评议项（</w:t>
            </w:r>
            <w:r>
              <w:rPr>
                <w:rFonts w:hint="eastAsia" w:ascii="宋体" w:hAnsi="宋体" w:cs="宋体"/>
                <w:color w:val="FF0000"/>
                <w:szCs w:val="21"/>
              </w:rPr>
              <w:t>20</w:t>
            </w:r>
            <w:r>
              <w:rPr>
                <w:rFonts w:hint="eastAsia" w:ascii="宋体" w:hAnsi="宋体" w:cs="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adjustRightInd w:val="0"/>
              <w:ind w:firstLine="0" w:firstLineChars="0"/>
              <w:jc w:val="center"/>
              <w:rPr>
                <w:rFonts w:ascii="宋体" w:hAnsi="宋体" w:eastAsia="宋体" w:cs="宋体"/>
                <w:szCs w:val="21"/>
              </w:rPr>
            </w:pPr>
            <w:r>
              <w:rPr>
                <w:rFonts w:hint="eastAsia" w:ascii="宋体" w:hAnsi="宋体" w:eastAsia="宋体" w:cs="宋体"/>
                <w:szCs w:val="21"/>
              </w:rPr>
              <w:t>1</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5分</w:t>
            </w:r>
          </w:p>
        </w:tc>
        <w:tc>
          <w:tcPr>
            <w:tcW w:w="6804" w:type="dxa"/>
            <w:tcBorders>
              <w:tl2br w:val="nil"/>
              <w:tr2bl w:val="nil"/>
            </w:tcBorders>
            <w:tcMar>
              <w:top w:w="15" w:type="dxa"/>
              <w:left w:w="15" w:type="dxa"/>
              <w:bottom w:w="15" w:type="dxa"/>
              <w:right w:w="15" w:type="dxa"/>
            </w:tcMar>
            <w:vAlign w:val="center"/>
          </w:tcPr>
          <w:p>
            <w:pPr>
              <w:numPr>
                <w:ilvl w:val="255"/>
                <w:numId w:val="0"/>
              </w:numPr>
              <w:tabs>
                <w:tab w:val="left" w:pos="531"/>
              </w:tabs>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（1）根据投标人公司规模、物料仓库占地面积，物料种类及数量等进行综合比较评分，优秀得5分，良好得2分，一般得1分。</w:t>
            </w:r>
          </w:p>
          <w:p>
            <w:pPr>
              <w:tabs>
                <w:tab w:val="left" w:pos="531"/>
              </w:tabs>
              <w:snapToGrid w:val="0"/>
              <w:rPr>
                <w:rFonts w:ascii="宋体" w:hAnsi="宋体" w:cs="宋体"/>
                <w:color w:val="000000" w:themeColor="text1"/>
                <w:szCs w:val="21"/>
                <w14:textFill>
                  <w14:solidFill>
                    <w14:schemeClr w14:val="tx1"/>
                  </w14:solidFill>
                </w14:textFill>
              </w:rPr>
            </w:pPr>
            <w:r>
              <w:rPr>
                <w:rFonts w:hint="eastAsia" w:ascii="宋体" w:hAnsi="宋体" w:cs="宋体"/>
                <w:szCs w:val="21"/>
              </w:rPr>
              <w:t>证明文件：根据参加单位提供的房屋租赁凭证及土地使用证明、物料种类及数量等文件进行综合评定。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0" w:hRule="atLeast"/>
          <w:tblCellSpacing w:w="0" w:type="dxa"/>
        </w:trPr>
        <w:tc>
          <w:tcPr>
            <w:tcW w:w="704" w:type="dxa"/>
            <w:tcBorders>
              <w:tl2br w:val="nil"/>
              <w:tr2bl w:val="nil"/>
            </w:tcBorders>
            <w:vAlign w:val="center"/>
          </w:tcPr>
          <w:p>
            <w:pPr>
              <w:pStyle w:val="23"/>
              <w:spacing w:line="360" w:lineRule="auto"/>
              <w:ind w:firstLine="0" w:firstLineChars="0"/>
              <w:jc w:val="center"/>
              <w:rPr>
                <w:rFonts w:ascii="宋体" w:hAnsi="宋体" w:eastAsia="宋体" w:cs="宋体"/>
                <w:szCs w:val="21"/>
              </w:rPr>
            </w:pPr>
            <w:r>
              <w:rPr>
                <w:rFonts w:hint="eastAsia" w:ascii="宋体" w:hAnsi="宋体" w:eastAsia="宋体" w:cs="宋体"/>
                <w:szCs w:val="21"/>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6分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pPr>
            <w:r>
              <w:rPr>
                <w:rFonts w:hint="eastAsia"/>
              </w:rPr>
              <w:t>（1）根据投标人2021年至2022年度，单个租赁同类物料数量超过5万元以上业绩进行评分，</w:t>
            </w:r>
            <w:r>
              <w:rPr>
                <w:rFonts w:hint="eastAsia" w:ascii="宋体" w:hAnsi="宋体" w:cs="宋体"/>
                <w:szCs w:val="21"/>
              </w:rPr>
              <w:t>每提供一个业绩合同或工程确认单得2分</w:t>
            </w:r>
            <w:r>
              <w:rPr>
                <w:rFonts w:hint="eastAsia"/>
              </w:rPr>
              <w:t>，最高6分。</w:t>
            </w:r>
          </w:p>
          <w:p>
            <w:pPr>
              <w:tabs>
                <w:tab w:val="left" w:pos="531"/>
              </w:tabs>
              <w:snapToGrid w:val="0"/>
            </w:pPr>
            <w:r>
              <w:rPr>
                <w:rFonts w:hint="eastAsia"/>
              </w:rPr>
              <w:t>证明材料：提供合同关键页或工程确认单</w:t>
            </w:r>
            <w:r>
              <w:rPr>
                <w:rFonts w:hint="eastAsia" w:ascii="宋体" w:hAnsi="宋体" w:cs="宋体"/>
                <w:szCs w:val="21"/>
              </w:rPr>
              <w:t>，不清晰、不确定或无法证明的不得分</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6" w:hRule="atLeast"/>
          <w:tblCellSpacing w:w="0" w:type="dxa"/>
        </w:trPr>
        <w:tc>
          <w:tcPr>
            <w:tcW w:w="704" w:type="dxa"/>
            <w:tcBorders>
              <w:tl2br w:val="nil"/>
              <w:tr2bl w:val="nil"/>
            </w:tcBorders>
            <w:vAlign w:val="center"/>
          </w:tcPr>
          <w:p>
            <w:pPr>
              <w:pStyle w:val="23"/>
              <w:spacing w:line="360" w:lineRule="auto"/>
              <w:ind w:firstLine="0" w:firstLineChars="0"/>
              <w:jc w:val="center"/>
              <w:rPr>
                <w:rFonts w:ascii="宋体" w:hAnsi="宋体" w:eastAsia="宋体" w:cs="宋体"/>
                <w:szCs w:val="21"/>
              </w:rPr>
            </w:pPr>
            <w:r>
              <w:rPr>
                <w:rFonts w:hint="eastAsia" w:ascii="宋体" w:hAnsi="宋体" w:eastAsia="宋体" w:cs="宋体"/>
                <w:szCs w:val="21"/>
              </w:rPr>
              <w:t>3</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服务经验</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9分</w:t>
            </w:r>
          </w:p>
        </w:tc>
        <w:tc>
          <w:tcPr>
            <w:tcW w:w="6804" w:type="dxa"/>
            <w:tcBorders>
              <w:tl2br w:val="nil"/>
              <w:tr2bl w:val="nil"/>
            </w:tcBorders>
            <w:tcMar>
              <w:top w:w="15" w:type="dxa"/>
              <w:left w:w="15" w:type="dxa"/>
              <w:bottom w:w="15" w:type="dxa"/>
              <w:right w:w="15" w:type="dxa"/>
            </w:tcMar>
            <w:vAlign w:val="center"/>
          </w:tcPr>
          <w:p>
            <w:pPr>
              <w:numPr>
                <w:ilvl w:val="0"/>
                <w:numId w:val="14"/>
              </w:numPr>
              <w:snapToGrid w:val="0"/>
              <w:ind w:left="0" w:firstLine="0"/>
            </w:pPr>
            <w:r>
              <w:rPr>
                <w:rFonts w:hint="eastAsia"/>
              </w:rPr>
              <w:t>投标人有为10万平方米及以上展会提供租赁服务经验的，得9分；</w:t>
            </w:r>
          </w:p>
          <w:p>
            <w:pPr>
              <w:numPr>
                <w:ilvl w:val="0"/>
                <w:numId w:val="14"/>
              </w:numPr>
              <w:snapToGrid w:val="0"/>
              <w:ind w:left="0" w:firstLine="0"/>
            </w:pPr>
            <w:r>
              <w:rPr>
                <w:rFonts w:hint="eastAsia"/>
              </w:rPr>
              <w:t>投标人有为5万平方米及以上展会提供租赁服务经验的，得6分；</w:t>
            </w:r>
          </w:p>
          <w:p>
            <w:pPr>
              <w:numPr>
                <w:ilvl w:val="0"/>
                <w:numId w:val="14"/>
              </w:numPr>
              <w:snapToGrid w:val="0"/>
              <w:ind w:left="0" w:firstLine="0"/>
            </w:pPr>
            <w:r>
              <w:rPr>
                <w:rFonts w:hint="eastAsia"/>
              </w:rPr>
              <w:t>投标人有为2万平方米及以上展会提供租赁服务经验的，得3分。</w:t>
            </w:r>
          </w:p>
          <w:p>
            <w:pPr>
              <w:pStyle w:val="2"/>
              <w:ind w:left="0"/>
            </w:pPr>
            <w:r>
              <w:rPr>
                <w:rFonts w:hint="eastAsia"/>
                <w:spacing w:val="0"/>
                <w:kern w:val="2"/>
                <w:sz w:val="21"/>
              </w:rPr>
              <w:t>证明材料：提供</w:t>
            </w:r>
            <w:r>
              <w:rPr>
                <w:rFonts w:hint="eastAsia" w:ascii="Times New Roman" w:hAnsi="Times New Roman"/>
                <w:spacing w:val="0"/>
                <w:kern w:val="2"/>
                <w:sz w:val="21"/>
              </w:rPr>
              <w:t>合同关键页或工程确认单</w:t>
            </w:r>
            <w:r>
              <w:rPr>
                <w:rFonts w:hint="eastAsia" w:ascii="宋体" w:hAnsi="宋体" w:cs="宋体"/>
                <w:sz w:val="21"/>
                <w:szCs w:val="21"/>
              </w:rPr>
              <w:t>，不清晰、不确定或无法证明的不得分</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9351" w:type="dxa"/>
            <w:gridSpan w:val="4"/>
            <w:tcBorders>
              <w:tl2br w:val="nil"/>
              <w:tr2bl w:val="nil"/>
            </w:tcBorders>
          </w:tcPr>
          <w:p>
            <w:pPr>
              <w:spacing w:line="360" w:lineRule="auto"/>
              <w:jc w:val="center"/>
              <w:rPr>
                <w:rFonts w:ascii="宋体" w:hAnsi="宋体" w:cs="宋体"/>
                <w:b/>
                <w:color w:val="FF0000"/>
                <w:szCs w:val="21"/>
                <w:highlight w:val="yellow"/>
              </w:rPr>
            </w:pPr>
            <w:r>
              <w:rPr>
                <w:rFonts w:hint="eastAsia" w:ascii="宋体" w:hAnsi="宋体" w:cs="宋体"/>
                <w:b/>
                <w:szCs w:val="21"/>
              </w:rPr>
              <w:t>技术服务评议项（</w:t>
            </w:r>
            <w:r>
              <w:rPr>
                <w:rFonts w:hint="eastAsia" w:ascii="宋体" w:hAnsi="宋体" w:cs="宋体"/>
                <w:color w:val="FF0000"/>
                <w:szCs w:val="21"/>
              </w:rPr>
              <w:t>40</w:t>
            </w:r>
            <w:r>
              <w:rPr>
                <w:rFonts w:hint="eastAsia" w:ascii="宋体" w:hAnsi="宋体" w:cs="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spacing w:line="360" w:lineRule="auto"/>
              <w:ind w:firstLine="0" w:firstLineChars="0"/>
              <w:jc w:val="center"/>
              <w:rPr>
                <w:rFonts w:ascii="宋体" w:hAnsi="宋体" w:eastAsia="宋体" w:cs="宋体"/>
                <w:szCs w:val="21"/>
              </w:rPr>
            </w:pPr>
            <w:r>
              <w:rPr>
                <w:rFonts w:hint="eastAsia" w:ascii="宋体" w:hAnsi="宋体" w:eastAsia="宋体" w:cs="宋体"/>
                <w:szCs w:val="21"/>
              </w:rPr>
              <w:t>1</w:t>
            </w:r>
          </w:p>
        </w:tc>
        <w:tc>
          <w:tcPr>
            <w:tcW w:w="1134" w:type="dxa"/>
            <w:tcBorders>
              <w:tl2br w:val="nil"/>
              <w:tr2bl w:val="nil"/>
            </w:tcBorders>
            <w:tcMar>
              <w:top w:w="15" w:type="dxa"/>
              <w:left w:w="15" w:type="dxa"/>
              <w:bottom w:w="15" w:type="dxa"/>
              <w:right w:w="15" w:type="dxa"/>
            </w:tcMar>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物品质量</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40分</w:t>
            </w:r>
          </w:p>
        </w:tc>
        <w:tc>
          <w:tcPr>
            <w:tcW w:w="6804" w:type="dxa"/>
            <w:tcBorders>
              <w:tl2br w:val="nil"/>
              <w:tr2bl w:val="nil"/>
            </w:tcBorders>
            <w:tcMar>
              <w:top w:w="15" w:type="dxa"/>
              <w:left w:w="15" w:type="dxa"/>
              <w:bottom w:w="15" w:type="dxa"/>
              <w:right w:w="15" w:type="dxa"/>
            </w:tcMar>
            <w:vAlign w:val="center"/>
          </w:tcPr>
          <w:p>
            <w:pPr>
              <w:numPr>
                <w:ilvl w:val="255"/>
                <w:numId w:val="0"/>
              </w:numPr>
              <w:snapToGrid w:val="0"/>
              <w:ind w:left="-420" w:leftChars="-200"/>
              <w:jc w:val="left"/>
              <w:rPr>
                <w:rFonts w:ascii="宋体" w:hAnsi="宋体" w:cs="宋体"/>
                <w:szCs w:val="21"/>
              </w:rPr>
            </w:pPr>
            <w:r>
              <w:rPr>
                <w:rFonts w:hint="eastAsia"/>
              </w:rPr>
              <w:t>根据根据投标人提供租赁物品的新旧程度、物品的款式、材质、技术参数等方面综合评定，优得</w:t>
            </w:r>
            <w:r>
              <w:rPr>
                <w:rFonts w:hint="eastAsia" w:ascii="宋体" w:hAnsi="宋体" w:cs="宋体"/>
                <w:szCs w:val="21"/>
              </w:rPr>
              <w:t>30-40分，良得20-30分，差得10-20分。</w:t>
            </w:r>
          </w:p>
          <w:p>
            <w:pPr>
              <w:pStyle w:val="2"/>
              <w:spacing w:after="0" w:line="240" w:lineRule="auto"/>
              <w:ind w:left="0"/>
              <w:rPr>
                <w:rFonts w:ascii="宋体" w:hAnsi="宋体" w:cs="宋体"/>
                <w:sz w:val="21"/>
                <w:szCs w:val="21"/>
              </w:rPr>
            </w:pPr>
            <w:r>
              <w:rPr>
                <w:rFonts w:hint="eastAsia" w:ascii="宋体" w:hAnsi="宋体" w:cs="宋体"/>
                <w:spacing w:val="0"/>
                <w:kern w:val="2"/>
                <w:sz w:val="21"/>
                <w:szCs w:val="21"/>
              </w:rPr>
              <w:t>证明文件：投标文件提供的样品照片、各物品主要技术参数及小视频进行评定。必要时招标人将通过远程视频方式确认租赁物品规格、数量、品相、款式、材质等。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jc w:val="center"/>
              <w:rPr>
                <w:rFonts w:ascii="宋体" w:hAnsi="宋体" w:cs="宋体"/>
                <w:b/>
                <w:bCs/>
                <w:szCs w:val="21"/>
              </w:rPr>
            </w:pPr>
            <w:r>
              <w:rPr>
                <w:rFonts w:hint="eastAsia" w:ascii="宋体" w:hAnsi="宋体" w:cs="宋体"/>
                <w:b/>
                <w:bCs/>
                <w:szCs w:val="21"/>
              </w:rPr>
              <w:t>价格评议项（40分）</w:t>
            </w:r>
          </w:p>
          <w:p>
            <w:pPr>
              <w:jc w:val="center"/>
              <w:rPr>
                <w:rFonts w:ascii="宋体" w:hAnsi="宋体" w:cs="宋体"/>
                <w:szCs w:val="21"/>
              </w:rPr>
            </w:pPr>
            <w:r>
              <w:rPr>
                <w:rFonts w:hint="eastAsia" w:ascii="宋体" w:hAnsi="宋体" w:cs="宋体"/>
                <w:b/>
                <w:bCs/>
                <w:color w:val="FF0000"/>
                <w:szCs w:val="21"/>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cs="宋体"/>
                <w:szCs w:val="21"/>
              </w:rPr>
            </w:pPr>
            <w:r>
              <w:rPr>
                <w:rFonts w:hint="eastAsia" w:ascii="宋体" w:hAnsi="宋体" w:cs="宋体"/>
                <w:b/>
                <w:szCs w:val="21"/>
              </w:rPr>
              <w:t>基准价和算法类型选择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restart"/>
            <w:tcBorders>
              <w:tl2br w:val="nil"/>
              <w:tr2bl w:val="nil"/>
            </w:tcBorders>
            <w:vAlign w:val="center"/>
          </w:tcPr>
          <w:p>
            <w:pPr>
              <w:spacing w:line="360" w:lineRule="auto"/>
              <w:jc w:val="center"/>
              <w:rPr>
                <w:rFonts w:ascii="宋体" w:hAnsi="宋体" w:cs="宋体"/>
                <w:szCs w:val="21"/>
              </w:rPr>
            </w:pPr>
            <w:r>
              <w:rPr>
                <w:rFonts w:hint="eastAsia" w:ascii="宋体" w:hAnsi="宋体" w:cs="宋体"/>
                <w:bCs/>
                <w:szCs w:val="21"/>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cs="宋体"/>
                <w:szCs w:val="21"/>
                <w:highlight w:val="yellow"/>
              </w:rPr>
            </w:pPr>
            <w:r>
              <w:rPr>
                <w:rFonts w:hint="eastAsia" w:ascii="宋体" w:hAnsi="宋体" w:cs="宋体"/>
                <w:szCs w:val="21"/>
                <w:highlight w:val="yellow"/>
              </w:rPr>
              <w:t>□各有效投标报价大于n家时，去掉一个最高和最低报价后的算术平均值乘以</w:t>
            </w:r>
            <w:r>
              <w:rPr>
                <w:rFonts w:hint="eastAsia" w:ascii="宋体" w:hAnsi="宋体" w:cs="宋体"/>
                <w:szCs w:val="21"/>
                <w:highlight w:val="yellow"/>
                <w:u w:val="single"/>
              </w:rPr>
              <w:t xml:space="preserve">    </w:t>
            </w:r>
            <w:r>
              <w:rPr>
                <w:rFonts w:hint="eastAsia" w:ascii="宋体" w:hAnsi="宋体" w:cs="宋体"/>
                <w:szCs w:val="21"/>
                <w:highlight w:val="yellow"/>
              </w:rPr>
              <w:t>％。当有效投标报价少于n（含）家时，则以所有有效投标报价的算术平均值乘以</w:t>
            </w:r>
            <w:r>
              <w:rPr>
                <w:rFonts w:hint="eastAsia" w:ascii="宋体" w:hAnsi="宋体" w:cs="宋体"/>
                <w:szCs w:val="21"/>
                <w:highlight w:val="yellow"/>
                <w:u w:val="single"/>
              </w:rPr>
              <w:t xml:space="preserve">    </w:t>
            </w:r>
            <w:r>
              <w:rPr>
                <w:rFonts w:hint="eastAsia" w:ascii="宋体" w:hAnsi="宋体" w:cs="宋体"/>
                <w:szCs w:val="21"/>
                <w:highlight w:val="yellow"/>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continue"/>
            <w:tcBorders>
              <w:tl2br w:val="nil"/>
              <w:tr2bl w:val="nil"/>
            </w:tcBorders>
            <w:vAlign w:val="center"/>
          </w:tcPr>
          <w:p>
            <w:pPr>
              <w:spacing w:line="360" w:lineRule="auto"/>
              <w:jc w:val="center"/>
              <w:rPr>
                <w:rFonts w:ascii="宋体" w:hAnsi="宋体" w:cs="宋体"/>
                <w:szCs w:val="21"/>
              </w:rPr>
            </w:pPr>
          </w:p>
        </w:tc>
        <w:tc>
          <w:tcPr>
            <w:tcW w:w="7513" w:type="dxa"/>
            <w:gridSpan w:val="2"/>
            <w:tcBorders>
              <w:tl2br w:val="nil"/>
              <w:tr2bl w:val="nil"/>
            </w:tcBorders>
            <w:vAlign w:val="center"/>
          </w:tcPr>
          <w:p>
            <w:pPr>
              <w:spacing w:line="240" w:lineRule="atLeast"/>
              <w:jc w:val="left"/>
              <w:rPr>
                <w:rFonts w:ascii="宋体" w:hAnsi="宋体" w:cs="宋体"/>
                <w:szCs w:val="21"/>
                <w:highlight w:val="yellow"/>
              </w:rPr>
            </w:pPr>
            <w:r>
              <w:rPr>
                <w:rFonts w:hint="eastAsia" w:ascii="宋体" w:hAnsi="宋体" w:cs="宋体"/>
                <w:szCs w:val="21"/>
                <w:highlight w:val="yellow"/>
              </w:rPr>
              <w:sym w:font="Wingdings 2" w:char="0052"/>
            </w:r>
            <w:r>
              <w:rPr>
                <w:rFonts w:hint="eastAsia" w:ascii="宋体" w:hAnsi="宋体" w:cs="宋体"/>
                <w:szCs w:val="21"/>
                <w:highlight w:val="yellow"/>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continue"/>
            <w:tcBorders>
              <w:tl2br w:val="nil"/>
              <w:tr2bl w:val="nil"/>
            </w:tcBorders>
            <w:vAlign w:val="center"/>
          </w:tcPr>
          <w:p>
            <w:pPr>
              <w:spacing w:line="360" w:lineRule="auto"/>
              <w:jc w:val="center"/>
              <w:rPr>
                <w:rFonts w:ascii="宋体" w:hAnsi="宋体" w:cs="宋体"/>
                <w:szCs w:val="21"/>
              </w:rPr>
            </w:pPr>
          </w:p>
        </w:tc>
        <w:tc>
          <w:tcPr>
            <w:tcW w:w="7513" w:type="dxa"/>
            <w:gridSpan w:val="2"/>
            <w:tcBorders>
              <w:tl2br w:val="nil"/>
              <w:tr2bl w:val="nil"/>
            </w:tcBorders>
            <w:vAlign w:val="center"/>
          </w:tcPr>
          <w:p>
            <w:pPr>
              <w:spacing w:line="240" w:lineRule="atLeast"/>
              <w:jc w:val="left"/>
              <w:rPr>
                <w:rFonts w:ascii="宋体" w:hAnsi="宋体" w:cs="宋体"/>
                <w:szCs w:val="21"/>
                <w:highlight w:val="yellow"/>
              </w:rPr>
            </w:pPr>
            <w:r>
              <w:rPr>
                <w:rFonts w:hint="eastAsia" w:ascii="宋体" w:hAnsi="宋体" w:cs="宋体"/>
                <w:szCs w:val="21"/>
              </w:rPr>
              <w:sym w:font="Wingdings 2" w:char="00A3"/>
            </w:r>
            <w:r>
              <w:rPr>
                <w:rFonts w:hint="eastAsia" w:ascii="宋体" w:hAnsi="宋体" w:cs="宋体"/>
                <w:szCs w:val="21"/>
                <w:highlight w:val="yellow"/>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restart"/>
            <w:tcBorders>
              <w:tl2br w:val="nil"/>
              <w:tr2bl w:val="nil"/>
            </w:tcBorders>
            <w:vAlign w:val="center"/>
          </w:tcPr>
          <w:p>
            <w:pPr>
              <w:spacing w:line="360" w:lineRule="auto"/>
              <w:jc w:val="center"/>
              <w:rPr>
                <w:rFonts w:ascii="宋体" w:hAnsi="宋体" w:cs="宋体"/>
                <w:szCs w:val="21"/>
              </w:rPr>
            </w:pPr>
            <w:r>
              <w:rPr>
                <w:rFonts w:hint="eastAsia" w:ascii="宋体" w:hAnsi="宋体" w:cs="宋体"/>
                <w:bCs/>
                <w:szCs w:val="21"/>
              </w:rPr>
              <w:t>算法类型</w:t>
            </w:r>
          </w:p>
        </w:tc>
        <w:tc>
          <w:tcPr>
            <w:tcW w:w="709" w:type="dxa"/>
            <w:tcBorders>
              <w:tl2br w:val="nil"/>
              <w:tr2bl w:val="nil"/>
            </w:tcBorders>
            <w:vAlign w:val="center"/>
          </w:tcPr>
          <w:p>
            <w:pPr>
              <w:spacing w:line="240" w:lineRule="atLeast"/>
              <w:jc w:val="center"/>
              <w:rPr>
                <w:rFonts w:ascii="宋体" w:hAnsi="宋体" w:cs="宋体"/>
                <w:kern w:val="0"/>
                <w:szCs w:val="21"/>
                <w:highlight w:val="yellow"/>
              </w:rPr>
            </w:pPr>
            <w:r>
              <w:rPr>
                <w:rFonts w:hint="eastAsia" w:ascii="宋体" w:hAnsi="宋体" w:cs="宋体"/>
                <w:szCs w:val="21"/>
                <w:highlight w:val="yellow"/>
              </w:rPr>
              <w:t>□固定比例法</w:t>
            </w:r>
          </w:p>
        </w:tc>
        <w:tc>
          <w:tcPr>
            <w:tcW w:w="6804" w:type="dxa"/>
            <w:tcBorders>
              <w:tl2br w:val="nil"/>
              <w:tr2bl w:val="nil"/>
            </w:tcBorders>
            <w:vAlign w:val="center"/>
          </w:tcPr>
          <w:p>
            <w:pPr>
              <w:autoSpaceDE w:val="0"/>
              <w:autoSpaceDN w:val="0"/>
              <w:adjustRightInd w:val="0"/>
              <w:snapToGrid w:val="0"/>
              <w:jc w:val="left"/>
              <w:rPr>
                <w:rFonts w:ascii="宋体" w:hAnsi="宋体" w:cs="宋体"/>
                <w:szCs w:val="21"/>
                <w:highlight w:val="yellow"/>
              </w:rPr>
            </w:pPr>
            <w:r>
              <w:rPr>
                <w:rFonts w:hint="eastAsia" w:ascii="宋体" w:hAnsi="宋体" w:cs="宋体"/>
                <w:szCs w:val="21"/>
                <w:highlight w:val="yellow"/>
              </w:rPr>
              <w:t>价格得分=M-[（｜投标价格-基准价｜/基准价）*100/N]*扣分值</w:t>
            </w:r>
          </w:p>
          <w:p>
            <w:pPr>
              <w:autoSpaceDE w:val="0"/>
              <w:autoSpaceDN w:val="0"/>
              <w:adjustRightInd w:val="0"/>
              <w:snapToGrid w:val="0"/>
              <w:jc w:val="left"/>
              <w:rPr>
                <w:rFonts w:ascii="宋体" w:hAnsi="宋体" w:cs="宋体"/>
                <w:szCs w:val="21"/>
                <w:highlight w:val="yellow"/>
              </w:rPr>
            </w:pPr>
            <w:r>
              <w:rPr>
                <w:rFonts w:hint="eastAsia" w:ascii="宋体" w:hAnsi="宋体" w:cs="宋体"/>
                <w:szCs w:val="21"/>
                <w:highlight w:val="yellow"/>
              </w:rPr>
              <w:t>M=</w:t>
            </w:r>
            <w:r>
              <w:rPr>
                <w:rFonts w:hint="eastAsia" w:ascii="宋体" w:hAnsi="宋体" w:cs="宋体"/>
                <w:szCs w:val="21"/>
                <w:highlight w:val="yellow"/>
                <w:u w:val="single"/>
              </w:rPr>
              <w:t xml:space="preserve">    </w:t>
            </w:r>
            <w:r>
              <w:rPr>
                <w:rFonts w:hint="eastAsia" w:ascii="宋体" w:hAnsi="宋体" w:cs="宋体"/>
                <w:szCs w:val="21"/>
                <w:highlight w:val="yellow"/>
              </w:rPr>
              <w:t>（价格评价分项满分值），N=</w:t>
            </w:r>
            <w:r>
              <w:rPr>
                <w:rFonts w:hint="eastAsia" w:ascii="宋体" w:hAnsi="宋体" w:cs="宋体"/>
                <w:szCs w:val="21"/>
                <w:highlight w:val="yellow"/>
                <w:u w:val="single"/>
              </w:rPr>
              <w:t xml:space="preserve">    </w:t>
            </w:r>
            <w:r>
              <w:rPr>
                <w:rFonts w:hint="eastAsia" w:ascii="宋体" w:hAnsi="宋体" w:cs="宋体"/>
                <w:szCs w:val="21"/>
                <w:highlight w:val="yellow"/>
              </w:rPr>
              <w:t>，投标价格每高于N％时，扣</w:t>
            </w:r>
            <w:r>
              <w:rPr>
                <w:rFonts w:hint="eastAsia" w:ascii="宋体" w:hAnsi="宋体" w:cs="宋体"/>
                <w:szCs w:val="21"/>
                <w:highlight w:val="yellow"/>
                <w:u w:val="single"/>
              </w:rPr>
              <w:t xml:space="preserve">    </w:t>
            </w:r>
            <w:r>
              <w:rPr>
                <w:rFonts w:hint="eastAsia" w:ascii="宋体" w:hAnsi="宋体" w:cs="宋体"/>
                <w:szCs w:val="21"/>
                <w:highlight w:val="yellow"/>
              </w:rPr>
              <w:t>分；每低于N％时，扣</w:t>
            </w:r>
            <w:r>
              <w:rPr>
                <w:rFonts w:hint="eastAsia" w:ascii="宋体" w:hAnsi="宋体" w:cs="宋体"/>
                <w:szCs w:val="21"/>
                <w:highlight w:val="yellow"/>
                <w:u w:val="single"/>
              </w:rPr>
              <w:t xml:space="preserve">    </w:t>
            </w:r>
            <w:r>
              <w:rPr>
                <w:rFonts w:hint="eastAsia" w:ascii="宋体" w:hAnsi="宋体" w:cs="宋体"/>
                <w:szCs w:val="21"/>
                <w:highlight w:val="yellow"/>
              </w:rPr>
              <w:t>分；</w:t>
            </w:r>
          </w:p>
          <w:p>
            <w:pPr>
              <w:spacing w:line="240" w:lineRule="atLeast"/>
              <w:jc w:val="left"/>
              <w:rPr>
                <w:rFonts w:ascii="宋体" w:hAnsi="宋体" w:cs="宋体"/>
                <w:kern w:val="0"/>
                <w:szCs w:val="21"/>
                <w:highlight w:val="yellow"/>
              </w:rPr>
            </w:pPr>
            <w:r>
              <w:rPr>
                <w:rFonts w:hint="eastAsia" w:ascii="宋体" w:hAnsi="宋体" w:cs="宋体"/>
                <w:szCs w:val="21"/>
                <w:highlight w:val="yellow"/>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continue"/>
            <w:tcBorders>
              <w:tl2br w:val="nil"/>
              <w:tr2bl w:val="nil"/>
            </w:tcBorders>
            <w:vAlign w:val="center"/>
          </w:tcPr>
          <w:p>
            <w:pPr>
              <w:spacing w:line="360" w:lineRule="auto"/>
              <w:jc w:val="center"/>
              <w:rPr>
                <w:rFonts w:ascii="宋体" w:hAnsi="宋体" w:cs="宋体"/>
                <w:szCs w:val="21"/>
              </w:rPr>
            </w:pPr>
          </w:p>
        </w:tc>
        <w:tc>
          <w:tcPr>
            <w:tcW w:w="709" w:type="dxa"/>
            <w:tcBorders>
              <w:tl2br w:val="nil"/>
              <w:tr2bl w:val="nil"/>
            </w:tcBorders>
            <w:vAlign w:val="center"/>
          </w:tcPr>
          <w:p>
            <w:pPr>
              <w:spacing w:line="240" w:lineRule="atLeast"/>
              <w:jc w:val="center"/>
              <w:rPr>
                <w:rFonts w:ascii="宋体" w:hAnsi="宋体" w:cs="宋体"/>
                <w:kern w:val="0"/>
                <w:szCs w:val="21"/>
                <w:highlight w:val="yellow"/>
              </w:rPr>
            </w:pPr>
            <w:r>
              <w:rPr>
                <w:rFonts w:hint="eastAsia" w:ascii="宋体" w:hAnsi="宋体" w:cs="宋体"/>
                <w:szCs w:val="21"/>
                <w:highlight w:val="yellow"/>
              </w:rPr>
              <w:t>□固定乘积法</w:t>
            </w:r>
          </w:p>
        </w:tc>
        <w:tc>
          <w:tcPr>
            <w:tcW w:w="6804" w:type="dxa"/>
            <w:tcBorders>
              <w:tl2br w:val="nil"/>
              <w:tr2bl w:val="nil"/>
            </w:tcBorders>
            <w:vAlign w:val="center"/>
          </w:tcPr>
          <w:p>
            <w:pPr>
              <w:autoSpaceDE w:val="0"/>
              <w:autoSpaceDN w:val="0"/>
              <w:adjustRightInd w:val="0"/>
              <w:snapToGrid w:val="0"/>
              <w:jc w:val="left"/>
              <w:rPr>
                <w:rStyle w:val="20"/>
                <w:rFonts w:ascii="宋体" w:hAnsi="宋体" w:cs="宋体"/>
                <w:highlight w:val="yellow"/>
              </w:rPr>
            </w:pPr>
            <w:r>
              <w:rPr>
                <w:rStyle w:val="20"/>
                <w:rFonts w:hint="eastAsia" w:ascii="宋体" w:hAnsi="宋体" w:cs="宋体"/>
                <w:highlight w:val="yellow"/>
              </w:rPr>
              <w:t>价格得分=（1-A×｜1-投标报价/Z｜）×M</w:t>
            </w:r>
          </w:p>
          <w:p>
            <w:pPr>
              <w:numPr>
                <w:ilvl w:val="0"/>
                <w:numId w:val="15"/>
              </w:numPr>
              <w:autoSpaceDE w:val="0"/>
              <w:autoSpaceDN w:val="0"/>
              <w:adjustRightInd w:val="0"/>
              <w:snapToGrid w:val="0"/>
              <w:jc w:val="left"/>
              <w:rPr>
                <w:rStyle w:val="20"/>
                <w:rFonts w:ascii="宋体" w:hAnsi="宋体" w:cs="宋体"/>
                <w:highlight w:val="yellow"/>
              </w:rPr>
            </w:pPr>
            <w:r>
              <w:rPr>
                <w:rStyle w:val="20"/>
                <w:rFonts w:hint="eastAsia" w:ascii="宋体" w:hAnsi="宋体" w:cs="宋体"/>
                <w:highlight w:val="yellow"/>
              </w:rPr>
              <w:t xml:space="preserve">M= </w:t>
            </w:r>
            <w:r>
              <w:rPr>
                <w:rFonts w:hint="eastAsia" w:ascii="宋体" w:hAnsi="宋体" w:cs="宋体"/>
                <w:color w:val="FF0000"/>
                <w:szCs w:val="21"/>
                <w:highlight w:val="yellow"/>
              </w:rPr>
              <w:t>××</w:t>
            </w:r>
            <w:r>
              <w:rPr>
                <w:rStyle w:val="20"/>
                <w:rFonts w:hint="eastAsia" w:ascii="宋体" w:hAnsi="宋体" w:cs="宋体"/>
                <w:highlight w:val="yellow"/>
              </w:rPr>
              <w:t xml:space="preserve"> （价格评价分项满分值），Z为本次招标基准价；</w:t>
            </w:r>
          </w:p>
          <w:p>
            <w:pPr>
              <w:numPr>
                <w:ilvl w:val="0"/>
                <w:numId w:val="15"/>
              </w:numPr>
              <w:autoSpaceDE w:val="0"/>
              <w:autoSpaceDN w:val="0"/>
              <w:adjustRightInd w:val="0"/>
              <w:snapToGrid w:val="0"/>
              <w:jc w:val="left"/>
              <w:rPr>
                <w:rStyle w:val="20"/>
                <w:rFonts w:ascii="宋体" w:hAnsi="宋体" w:cs="宋体"/>
                <w:highlight w:val="yellow"/>
              </w:rPr>
            </w:pPr>
            <w:r>
              <w:rPr>
                <w:rStyle w:val="20"/>
                <w:rFonts w:hint="eastAsia" w:ascii="宋体" w:hAnsi="宋体" w:cs="宋体"/>
                <w:highlight w:val="yellow"/>
              </w:rPr>
              <w:t>A为价格调整系数，当投标报价低于本次招标最佳报价（即基准价）时，A=0.5；当投标报价高于次招标基准价时，取A=1；</w:t>
            </w:r>
          </w:p>
          <w:p>
            <w:pPr>
              <w:numPr>
                <w:ilvl w:val="0"/>
                <w:numId w:val="15"/>
              </w:numPr>
              <w:jc w:val="left"/>
              <w:rPr>
                <w:rFonts w:ascii="宋体" w:hAnsi="宋体" w:cs="宋体"/>
                <w:kern w:val="0"/>
                <w:szCs w:val="21"/>
                <w:highlight w:val="yellow"/>
              </w:rPr>
            </w:pPr>
            <w:r>
              <w:rPr>
                <w:rStyle w:val="20"/>
                <w:rFonts w:hint="eastAsia" w:ascii="宋体" w:hAnsi="宋体" w:cs="宋体"/>
                <w:highlight w:val="yellow"/>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continue"/>
            <w:tcBorders>
              <w:tl2br w:val="nil"/>
              <w:tr2bl w:val="nil"/>
            </w:tcBorders>
            <w:vAlign w:val="center"/>
          </w:tcPr>
          <w:p>
            <w:pPr>
              <w:spacing w:line="360" w:lineRule="auto"/>
              <w:jc w:val="center"/>
              <w:rPr>
                <w:rFonts w:ascii="宋体" w:hAnsi="宋体" w:cs="宋体"/>
                <w:szCs w:val="21"/>
              </w:rPr>
            </w:pPr>
          </w:p>
        </w:tc>
        <w:tc>
          <w:tcPr>
            <w:tcW w:w="709" w:type="dxa"/>
            <w:tcBorders>
              <w:tl2br w:val="nil"/>
              <w:tr2bl w:val="nil"/>
            </w:tcBorders>
            <w:vAlign w:val="center"/>
          </w:tcPr>
          <w:p>
            <w:pPr>
              <w:spacing w:line="240" w:lineRule="atLeast"/>
              <w:jc w:val="center"/>
              <w:rPr>
                <w:rFonts w:ascii="宋体" w:hAnsi="宋体" w:cs="宋体"/>
                <w:szCs w:val="21"/>
                <w:highlight w:val="yellow"/>
              </w:rPr>
            </w:pPr>
            <w:r>
              <w:rPr>
                <w:rFonts w:hint="eastAsia" w:ascii="宋体" w:hAnsi="宋体" w:cs="宋体"/>
                <w:szCs w:val="21"/>
                <w:highlight w:val="yellow"/>
              </w:rPr>
              <w:sym w:font="Wingdings 2" w:char="0052"/>
            </w:r>
            <w:r>
              <w:rPr>
                <w:rFonts w:hint="eastAsia" w:ascii="宋体" w:hAnsi="宋体" w:cs="宋体"/>
                <w:szCs w:val="21"/>
                <w:highlight w:val="yellow"/>
              </w:rPr>
              <w:t>其他方法</w:t>
            </w:r>
          </w:p>
        </w:tc>
        <w:tc>
          <w:tcPr>
            <w:tcW w:w="6804" w:type="dxa"/>
            <w:tcBorders>
              <w:tl2br w:val="nil"/>
              <w:tr2bl w:val="nil"/>
            </w:tcBorders>
            <w:vAlign w:val="center"/>
          </w:tcPr>
          <w:p>
            <w:pPr>
              <w:widowControl/>
              <w:ind w:right="30"/>
              <w:jc w:val="left"/>
              <w:rPr>
                <w:rFonts w:ascii="宋体" w:hAnsi="宋体" w:cs="宋体"/>
                <w:szCs w:val="21"/>
              </w:rPr>
            </w:pPr>
            <w:r>
              <w:rPr>
                <w:rFonts w:hint="eastAsia" w:ascii="宋体" w:hAnsi="宋体" w:cs="宋体"/>
                <w:szCs w:val="21"/>
              </w:rPr>
              <w:t>价格得分=（1-｜投标报价-基准价｜÷基准价）×价格权重分</w:t>
            </w:r>
          </w:p>
          <w:p>
            <w:pPr>
              <w:spacing w:line="240" w:lineRule="atLeast"/>
              <w:jc w:val="center"/>
              <w:rPr>
                <w:rFonts w:ascii="宋体" w:hAnsi="宋体" w:cs="宋体"/>
                <w:kern w:val="0"/>
                <w:szCs w:val="21"/>
                <w:highlight w:val="yellow"/>
              </w:rPr>
            </w:pPr>
            <w:r>
              <w:rPr>
                <w:rFonts w:hint="eastAsia" w:ascii="宋体" w:hAnsi="宋体" w:cs="宋体"/>
                <w:szCs w:val="21"/>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1928" w:firstLineChars="600"/>
        <w:jc w:val="left"/>
        <w:rPr>
          <w:rFonts w:ascii="宋体" w:hAnsi="宋体"/>
          <w:b/>
          <w:sz w:val="32"/>
          <w:szCs w:val="32"/>
        </w:rPr>
      </w:pPr>
      <w:bookmarkStart w:id="50" w:name="_Toc116550358"/>
      <w:r>
        <w:rPr>
          <w:rFonts w:hint="eastAsia" w:ascii="宋体" w:hAnsi="宋体"/>
          <w:b/>
          <w:sz w:val="32"/>
          <w:szCs w:val="32"/>
        </w:rPr>
        <w:t>第三部分：合同条款及格式</w:t>
      </w:r>
      <w:bookmarkEnd w:id="50"/>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1"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51"/>
    <w:p>
      <w:pPr>
        <w:jc w:val="center"/>
        <w:rPr>
          <w:rFonts w:ascii="宋体" w:hAnsi="宋体"/>
          <w:szCs w:val="21"/>
        </w:rPr>
      </w:pPr>
      <w:bookmarkStart w:id="52" w:name="_Hlk116549211"/>
      <w:r>
        <w:rPr>
          <w:rFonts w:hint="eastAsia" w:ascii="方正小标宋简体" w:hAnsi="方正小标宋简体" w:eastAsia="方正小标宋简体" w:cs="方正小标宋简体"/>
          <w:bCs/>
          <w:kern w:val="0"/>
          <w:sz w:val="28"/>
          <w:szCs w:val="28"/>
        </w:rPr>
        <w:t>（仅供参考）</w:t>
      </w:r>
    </w:p>
    <w:bookmarkEnd w:id="52"/>
    <w:p>
      <w:pPr>
        <w:ind w:firstLine="420" w:firstLineChars="200"/>
        <w:jc w:val="left"/>
        <w:rPr>
          <w:rFonts w:ascii="宋体" w:hAnsi="宋体"/>
          <w:szCs w:val="21"/>
        </w:rPr>
      </w:pPr>
    </w:p>
    <w:p>
      <w:pPr>
        <w:spacing w:line="360" w:lineRule="auto"/>
        <w:rPr>
          <w:rFonts w:ascii="宋体" w:hAnsi="宋体"/>
          <w:szCs w:val="21"/>
        </w:rPr>
      </w:pPr>
    </w:p>
    <w:p>
      <w:pPr>
        <w:spacing w:line="360" w:lineRule="auto"/>
        <w:rPr>
          <w:rFonts w:ascii="宋体" w:hAnsi="宋体" w:cs="仿宋"/>
          <w:b/>
          <w:bCs/>
          <w:szCs w:val="21"/>
        </w:rPr>
      </w:pP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53" w:name="_Toc116550359"/>
      <w:r>
        <w:rPr>
          <w:rFonts w:hint="eastAsia"/>
          <w:b/>
          <w:sz w:val="32"/>
          <w:szCs w:val="32"/>
        </w:rPr>
        <w:t>第四部分：参考附件</w:t>
      </w:r>
      <w:bookmarkEnd w:id="53"/>
    </w:p>
    <w:p>
      <w:pPr>
        <w:spacing w:line="0" w:lineRule="atLeast"/>
        <w:outlineLvl w:val="1"/>
        <w:rPr>
          <w:rFonts w:ascii="宋体" w:hAnsi="宋体"/>
        </w:rPr>
      </w:pPr>
      <w:bookmarkStart w:id="54" w:name="_Toc116550360"/>
      <w:r>
        <w:rPr>
          <w:rFonts w:hint="eastAsia" w:ascii="宋体" w:hAnsi="宋体"/>
          <w:szCs w:val="21"/>
        </w:rPr>
        <w:t>附件1：</w:t>
      </w:r>
      <w:r>
        <w:rPr>
          <w:rFonts w:hint="eastAsia" w:ascii="宋体" w:hAnsi="宋体"/>
        </w:rPr>
        <w:t>报名回函</w:t>
      </w:r>
      <w:bookmarkEnd w:id="54"/>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55" w:name="_Toc116550361"/>
      <w:r>
        <w:rPr>
          <w:rFonts w:hint="eastAsia" w:ascii="宋体" w:hAnsi="宋体"/>
          <w:szCs w:val="21"/>
        </w:rPr>
        <w:t>附件2：投标函</w:t>
      </w:r>
      <w:bookmarkEnd w:id="55"/>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6" w:name="_Toc116550362"/>
      <w:r>
        <w:rPr>
          <w:rFonts w:hint="eastAsia" w:ascii="宋体" w:hAnsi="宋体"/>
          <w:szCs w:val="21"/>
        </w:rPr>
        <w:t>附件3：投标一览表</w:t>
      </w:r>
      <w:bookmarkEnd w:id="56"/>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57"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57"/>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58" w:name="_Toc116550363"/>
      <w:r>
        <w:rPr>
          <w:rFonts w:hint="eastAsia" w:ascii="宋体" w:hAnsi="宋体"/>
          <w:szCs w:val="21"/>
        </w:rPr>
        <w:t>附件4：考察证明</w:t>
      </w:r>
      <w:bookmarkEnd w:id="58"/>
      <w:r>
        <w:rPr>
          <w:rFonts w:hint="eastAsia" w:ascii="宋体" w:hAnsi="宋体"/>
          <w:color w:val="FF0000"/>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59"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0"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0"/>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59"/>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1" w:name="_Toc116550364"/>
      <w:r>
        <w:rPr>
          <w:rFonts w:hint="eastAsia" w:ascii="宋体" w:hAnsi="宋体"/>
          <w:szCs w:val="21"/>
        </w:rPr>
        <w:t>附件5：技术服务响应/偏离表</w:t>
      </w:r>
      <w:bookmarkEnd w:id="6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2" w:name="_Toc211248418"/>
      <w:r>
        <w:rPr>
          <w:rFonts w:hint="eastAsia" w:ascii="方正小标宋_GBK" w:hAnsi="方正小标宋_GBK" w:eastAsia="方正小标宋_GBK"/>
          <w:b/>
          <w:sz w:val="32"/>
          <w:szCs w:val="32"/>
        </w:rPr>
        <w:t>技术服务响应/偏离表</w:t>
      </w:r>
      <w:bookmarkEnd w:id="62"/>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3" w:name="_Hlk127434997"/>
      <w:bookmarkStart w:id="64" w:name="_Toc211243320"/>
      <w:r>
        <w:rPr>
          <w:rFonts w:hint="eastAsia" w:ascii="仿宋" w:hAnsi="仿宋" w:eastAsia="仿宋"/>
          <w:sz w:val="30"/>
          <w:szCs w:val="30"/>
        </w:rPr>
        <w:t>法定代表人或其授权委托人（签字或盖章）：</w:t>
      </w:r>
      <w:bookmarkEnd w:id="63"/>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4"/>
      <w:bookmarkStart w:id="65" w:name="_Toc246480945"/>
      <w:bookmarkStart w:id="66" w:name="_Toc236803114"/>
      <w:r>
        <w:rPr>
          <w:rFonts w:ascii="仿宋" w:hAnsi="仿宋" w:eastAsia="仿宋"/>
          <w:sz w:val="28"/>
          <w:szCs w:val="28"/>
        </w:rPr>
        <w:br w:type="page"/>
      </w:r>
    </w:p>
    <w:p>
      <w:pPr>
        <w:spacing w:line="0" w:lineRule="atLeast"/>
        <w:outlineLvl w:val="1"/>
        <w:rPr>
          <w:rFonts w:ascii="宋体" w:hAnsi="宋体"/>
          <w:szCs w:val="21"/>
        </w:rPr>
      </w:pPr>
      <w:bookmarkStart w:id="67" w:name="_Toc116550365"/>
      <w:r>
        <w:rPr>
          <w:rFonts w:hint="eastAsia" w:ascii="宋体" w:hAnsi="宋体"/>
          <w:szCs w:val="21"/>
        </w:rPr>
        <w:t>附件6：商务条款响应/偏离表</w:t>
      </w:r>
      <w:bookmarkEnd w:id="65"/>
      <w:bookmarkEnd w:id="66"/>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20"/>
      <w:r>
        <w:rPr>
          <w:rFonts w:hint="eastAsia" w:ascii="方正小标宋_GBK" w:hAnsi="方正小标宋_GBK" w:eastAsia="方正小标宋_GBK"/>
          <w:b/>
          <w:sz w:val="32"/>
          <w:szCs w:val="32"/>
        </w:rPr>
        <w:t>商务条款响应/偏离表</w:t>
      </w:r>
      <w:bookmarkEnd w:id="6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9" w:name="_Toc478387764"/>
      <w:bookmarkStart w:id="70" w:name="_Toc395883088"/>
      <w:bookmarkStart w:id="71" w:name="_Toc236803111"/>
      <w:r>
        <w:rPr>
          <w:rFonts w:ascii="仿宋" w:hAnsi="仿宋" w:eastAsia="仿宋"/>
          <w:sz w:val="28"/>
          <w:szCs w:val="28"/>
        </w:rPr>
        <w:br w:type="page"/>
      </w:r>
    </w:p>
    <w:p>
      <w:pPr>
        <w:spacing w:line="0" w:lineRule="atLeast"/>
        <w:outlineLvl w:val="1"/>
        <w:rPr>
          <w:rFonts w:ascii="宋体" w:hAnsi="宋体"/>
          <w:szCs w:val="21"/>
        </w:rPr>
      </w:pPr>
      <w:bookmarkStart w:id="72" w:name="_Toc116550366"/>
      <w:r>
        <w:rPr>
          <w:rFonts w:hint="eastAsia" w:ascii="宋体" w:hAnsi="宋体"/>
          <w:szCs w:val="21"/>
        </w:rPr>
        <w:t>附件7：报价一览表（货物）</w:t>
      </w:r>
      <w:r>
        <w:rPr>
          <w:rFonts w:hint="eastAsia" w:ascii="宋体" w:hAnsi="宋体"/>
          <w:color w:val="FF0000"/>
          <w:szCs w:val="21"/>
        </w:rPr>
        <w:t>（本项目不适用）</w:t>
      </w:r>
      <w:bookmarkEnd w:id="72"/>
    </w:p>
    <w:bookmarkEnd w:id="69"/>
    <w:bookmarkEnd w:id="70"/>
    <w:bookmarkEnd w:id="71"/>
    <w:p>
      <w:pPr>
        <w:spacing w:before="120" w:after="240"/>
        <w:jc w:val="center"/>
        <w:rPr>
          <w:rFonts w:ascii="宋体" w:hAnsi="宋体"/>
          <w:b/>
          <w:sz w:val="32"/>
          <w:szCs w:val="32"/>
        </w:rPr>
      </w:pPr>
      <w:bookmarkStart w:id="73" w:name="_Toc211248412"/>
      <w:r>
        <w:rPr>
          <w:rFonts w:hint="eastAsia" w:ascii="方正小标宋_GBK" w:hAnsi="方正小标宋_GBK" w:eastAsia="方正小标宋_GBK"/>
          <w:b/>
          <w:sz w:val="32"/>
          <w:szCs w:val="32"/>
        </w:rPr>
        <w:t>报价一览表</w:t>
      </w:r>
      <w:bookmarkEnd w:id="7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3"/>
        <w:numPr>
          <w:ilvl w:val="1"/>
          <w:numId w:val="19"/>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19"/>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3"/>
        <w:numPr>
          <w:ilvl w:val="1"/>
          <w:numId w:val="1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3"/>
        <w:numPr>
          <w:ilvl w:val="1"/>
          <w:numId w:val="1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4" w:name="_Toc82359026"/>
      <w:bookmarkStart w:id="75"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74"/>
    <w:bookmarkEnd w:id="75"/>
    <w:p>
      <w:pPr>
        <w:spacing w:line="0" w:lineRule="atLeast"/>
        <w:outlineLvl w:val="1"/>
        <w:rPr>
          <w:rFonts w:ascii="宋体" w:hAnsi="宋体"/>
          <w:szCs w:val="21"/>
        </w:rPr>
      </w:pPr>
      <w:bookmarkStart w:id="76" w:name="_Toc116550367"/>
      <w:r>
        <w:rPr>
          <w:rFonts w:hint="eastAsia" w:ascii="宋体" w:hAnsi="宋体"/>
          <w:szCs w:val="21"/>
        </w:rPr>
        <w:t>附件8：报价一览表（服务）</w:t>
      </w:r>
      <w:bookmarkEnd w:id="76"/>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3"/>
        <w:numPr>
          <w:ilvl w:val="1"/>
          <w:numId w:val="2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3"/>
        <w:numPr>
          <w:ilvl w:val="1"/>
          <w:numId w:val="2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3"/>
        <w:numPr>
          <w:ilvl w:val="1"/>
          <w:numId w:val="2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7" w:name="_Toc116550368"/>
      <w:r>
        <w:rPr>
          <w:rFonts w:hint="eastAsia" w:ascii="宋体" w:hAnsi="宋体"/>
          <w:szCs w:val="21"/>
        </w:rPr>
        <w:t>附件9：报价一览表（工程）</w:t>
      </w:r>
      <w:bookmarkEnd w:id="77"/>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3"/>
        <w:numPr>
          <w:ilvl w:val="1"/>
          <w:numId w:val="21"/>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21"/>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3"/>
        <w:numPr>
          <w:ilvl w:val="1"/>
          <w:numId w:val="2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3"/>
        <w:numPr>
          <w:ilvl w:val="1"/>
          <w:numId w:val="2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8" w:name="_Toc116550369"/>
      <w:r>
        <w:rPr>
          <w:rFonts w:hint="eastAsia" w:ascii="宋体" w:hAnsi="宋体"/>
          <w:szCs w:val="21"/>
        </w:rPr>
        <w:t>附件10：法定代表人证明书</w:t>
      </w:r>
      <w:bookmarkEnd w:id="7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9"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9"/>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3"/>
        <w:numPr>
          <w:ilvl w:val="1"/>
          <w:numId w:val="2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3"/>
        <w:numPr>
          <w:ilvl w:val="1"/>
          <w:numId w:val="2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3"/>
        <w:numPr>
          <w:ilvl w:val="1"/>
          <w:numId w:val="2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0"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0"/>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1"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1"/>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2" w:name="_Toc32341"/>
      <w:r>
        <w:rPr>
          <w:rFonts w:ascii="仿宋" w:hAnsi="仿宋" w:eastAsia="仿宋"/>
          <w:sz w:val="28"/>
          <w:szCs w:val="28"/>
        </w:rPr>
        <w:br w:type="page"/>
      </w:r>
    </w:p>
    <w:p>
      <w:pPr>
        <w:spacing w:line="0" w:lineRule="atLeast"/>
        <w:outlineLvl w:val="1"/>
        <w:rPr>
          <w:rFonts w:ascii="宋体" w:hAnsi="宋体"/>
          <w:szCs w:val="21"/>
        </w:rPr>
      </w:pPr>
      <w:bookmarkStart w:id="83"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2"/>
      <w:bookmarkEnd w:id="83"/>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4" w:name="_Toc100848654"/>
      <w:bookmarkStart w:id="85" w:name="_Toc116550374"/>
      <w:r>
        <w:rPr>
          <w:rFonts w:hint="eastAsia" w:ascii="宋体" w:hAnsi="宋体"/>
        </w:rPr>
        <w:t>附件15：投标文件密码</w:t>
      </w:r>
      <w:bookmarkEnd w:id="84"/>
      <w:r>
        <w:rPr>
          <w:rFonts w:hint="eastAsia" w:ascii="宋体" w:hAnsi="宋体"/>
        </w:rPr>
        <w:t>单</w:t>
      </w:r>
      <w:bookmarkEnd w:id="85"/>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6"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6"/>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27"/>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27"/>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87"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87"/>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88" w:name="_Hlk116546063"/>
    <w:bookmarkStart w:id="89"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88"/>
    <w:bookmarkEnd w:id="8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AA5A57F"/>
    <w:multiLevelType w:val="singleLevel"/>
    <w:tmpl w:val="DAA5A57F"/>
    <w:lvl w:ilvl="0" w:tentative="0">
      <w:start w:val="1"/>
      <w:numFmt w:val="decimal"/>
      <w:suff w:val="space"/>
      <w:lvlText w:val="%1."/>
      <w:lvlJc w:val="left"/>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singleLevel"/>
    <w:tmpl w:val="00000013"/>
    <w:lvl w:ilvl="0" w:tentative="0">
      <w:start w:val="1"/>
      <w:numFmt w:val="decimal"/>
      <w:lvlText w:val="%1."/>
      <w:lvlJc w:val="left"/>
      <w:pPr>
        <w:ind w:left="420" w:hanging="420"/>
      </w:pPr>
    </w:lvl>
  </w:abstractNum>
  <w:abstractNum w:abstractNumId="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305886"/>
    <w:multiLevelType w:val="singleLevel"/>
    <w:tmpl w:val="21305886"/>
    <w:lvl w:ilvl="0" w:tentative="0">
      <w:start w:val="1"/>
      <w:numFmt w:val="decimal"/>
      <w:lvlText w:val="（%1）"/>
      <w:lvlJc w:val="left"/>
      <w:pPr>
        <w:ind w:left="420" w:hanging="420"/>
      </w:pPr>
      <w:rPr>
        <w:rFonts w:hint="eastAsia"/>
      </w:rPr>
    </w:lvl>
  </w:abstractNum>
  <w:abstractNum w:abstractNumId="11">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6">
    <w:nsid w:val="472D6470"/>
    <w:multiLevelType w:val="singleLevel"/>
    <w:tmpl w:val="472D6470"/>
    <w:lvl w:ilvl="0" w:tentative="0">
      <w:start w:val="1"/>
      <w:numFmt w:val="decimal"/>
      <w:lvlText w:val="%1."/>
      <w:lvlJc w:val="left"/>
      <w:pPr>
        <w:ind w:left="425" w:hanging="425"/>
      </w:pPr>
      <w:rPr>
        <w:rFonts w:hint="default"/>
      </w:rPr>
    </w:lvl>
  </w:abstractNum>
  <w:abstractNum w:abstractNumId="1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9">
    <w:nsid w:val="4BB35576"/>
    <w:multiLevelType w:val="singleLevel"/>
    <w:tmpl w:val="4BB35576"/>
    <w:lvl w:ilvl="0" w:tentative="0">
      <w:start w:val="1"/>
      <w:numFmt w:val="decimal"/>
      <w:lvlText w:val="（%1）"/>
      <w:lvlJc w:val="left"/>
      <w:pPr>
        <w:ind w:left="420" w:hanging="420"/>
      </w:pPr>
      <w:rPr>
        <w:rFonts w:hint="eastAsia"/>
      </w:rPr>
    </w:lvl>
  </w:abstractNum>
  <w:abstractNum w:abstractNumId="2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4">
    <w:nsid w:val="7B4A4E0C"/>
    <w:multiLevelType w:val="singleLevel"/>
    <w:tmpl w:val="7B4A4E0C"/>
    <w:lvl w:ilvl="0" w:tentative="0">
      <w:start w:val="1"/>
      <w:numFmt w:val="decimal"/>
      <w:lvlText w:val="（%1）"/>
      <w:lvlJc w:val="left"/>
      <w:pPr>
        <w:ind w:left="420" w:hanging="420"/>
      </w:pPr>
      <w:rPr>
        <w:rFonts w:hint="eastAsia"/>
      </w:rPr>
    </w:lvl>
  </w:abstractNum>
  <w:abstractNum w:abstractNumId="25">
    <w:nsid w:val="7ED17433"/>
    <w:multiLevelType w:val="singleLevel"/>
    <w:tmpl w:val="7ED17433"/>
    <w:lvl w:ilvl="0" w:tentative="0">
      <w:start w:val="1"/>
      <w:numFmt w:val="decimal"/>
      <w:lvlText w:val="（%1）"/>
      <w:lvlJc w:val="left"/>
      <w:pPr>
        <w:ind w:left="420" w:hanging="420"/>
      </w:pPr>
      <w:rPr>
        <w:rFonts w:hint="eastAsia"/>
        <w:color w:val="000000" w:themeColor="text1"/>
        <w14:textFill>
          <w14:solidFill>
            <w14:schemeClr w14:val="tx1"/>
          </w14:solidFill>
        </w14:textFill>
      </w:rPr>
    </w:lvl>
  </w:abstractNum>
  <w:num w:numId="1">
    <w:abstractNumId w:val="21"/>
  </w:num>
  <w:num w:numId="2">
    <w:abstractNumId w:val="23"/>
  </w:num>
  <w:num w:numId="3">
    <w:abstractNumId w:val="14"/>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24"/>
  </w:num>
  <w:num w:numId="9">
    <w:abstractNumId w:val="25"/>
  </w:num>
  <w:num w:numId="10">
    <w:abstractNumId w:val="10"/>
  </w:num>
  <w:num w:numId="11">
    <w:abstractNumId w:val="18"/>
  </w:num>
  <w:num w:numId="12">
    <w:abstractNumId w:val="16"/>
  </w:num>
  <w:num w:numId="13">
    <w:abstractNumId w:val="5"/>
  </w:num>
  <w:num w:numId="14">
    <w:abstractNumId w:val="19"/>
  </w:num>
  <w:num w:numId="15">
    <w:abstractNumId w:val="0"/>
  </w:num>
  <w:num w:numId="16">
    <w:abstractNumId w:val="2"/>
  </w:num>
  <w:num w:numId="17">
    <w:abstractNumId w:val="4"/>
  </w:num>
  <w:num w:numId="18">
    <w:abstractNumId w:val="3"/>
  </w:num>
  <w:num w:numId="19">
    <w:abstractNumId w:val="22"/>
  </w:num>
  <w:num w:numId="20">
    <w:abstractNumId w:val="15"/>
  </w:num>
  <w:num w:numId="21">
    <w:abstractNumId w:val="13"/>
  </w:num>
  <w:num w:numId="22">
    <w:abstractNumId w:val="11"/>
  </w:num>
  <w:num w:numId="23">
    <w:abstractNumId w:val="17"/>
  </w:num>
  <w:num w:numId="24">
    <w:abstractNumId w:val="9"/>
  </w:num>
  <w:num w:numId="25">
    <w:abstractNumId w:val="6"/>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38F"/>
    <w:rsid w:val="00071803"/>
    <w:rsid w:val="00074891"/>
    <w:rsid w:val="00077160"/>
    <w:rsid w:val="00080360"/>
    <w:rsid w:val="00093F3A"/>
    <w:rsid w:val="00095512"/>
    <w:rsid w:val="000A2942"/>
    <w:rsid w:val="000A77C8"/>
    <w:rsid w:val="000B0DDE"/>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554CD"/>
    <w:rsid w:val="00162049"/>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2E4754"/>
    <w:rsid w:val="002F31A2"/>
    <w:rsid w:val="002F7642"/>
    <w:rsid w:val="00301E77"/>
    <w:rsid w:val="003158DE"/>
    <w:rsid w:val="00316428"/>
    <w:rsid w:val="0032368E"/>
    <w:rsid w:val="00323F66"/>
    <w:rsid w:val="003255E6"/>
    <w:rsid w:val="003300CC"/>
    <w:rsid w:val="00337D03"/>
    <w:rsid w:val="00337EE5"/>
    <w:rsid w:val="003436BC"/>
    <w:rsid w:val="00350184"/>
    <w:rsid w:val="00354484"/>
    <w:rsid w:val="003545D1"/>
    <w:rsid w:val="00356F92"/>
    <w:rsid w:val="00362661"/>
    <w:rsid w:val="0037679F"/>
    <w:rsid w:val="003823A8"/>
    <w:rsid w:val="00397C1E"/>
    <w:rsid w:val="003A09E6"/>
    <w:rsid w:val="003B01FB"/>
    <w:rsid w:val="003C1643"/>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66DB"/>
    <w:rsid w:val="00717FB9"/>
    <w:rsid w:val="007223F3"/>
    <w:rsid w:val="00722D53"/>
    <w:rsid w:val="007347D6"/>
    <w:rsid w:val="007542A8"/>
    <w:rsid w:val="007559E5"/>
    <w:rsid w:val="00760715"/>
    <w:rsid w:val="007672EE"/>
    <w:rsid w:val="0076763C"/>
    <w:rsid w:val="007744CB"/>
    <w:rsid w:val="0077621A"/>
    <w:rsid w:val="00781DFA"/>
    <w:rsid w:val="00782E08"/>
    <w:rsid w:val="00790A8A"/>
    <w:rsid w:val="007933D2"/>
    <w:rsid w:val="007A0023"/>
    <w:rsid w:val="007C02CE"/>
    <w:rsid w:val="007C3EB8"/>
    <w:rsid w:val="007C50B2"/>
    <w:rsid w:val="00803FA2"/>
    <w:rsid w:val="00805A2B"/>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33CD"/>
    <w:rsid w:val="009B7189"/>
    <w:rsid w:val="009C0135"/>
    <w:rsid w:val="009C4CF2"/>
    <w:rsid w:val="009D1C89"/>
    <w:rsid w:val="009D7A17"/>
    <w:rsid w:val="009E19A2"/>
    <w:rsid w:val="009E25C8"/>
    <w:rsid w:val="009E2781"/>
    <w:rsid w:val="009E3D67"/>
    <w:rsid w:val="009E47FF"/>
    <w:rsid w:val="009E7342"/>
    <w:rsid w:val="009F502A"/>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55D9"/>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B15FB"/>
    <w:rsid w:val="00BC0C0B"/>
    <w:rsid w:val="00BC40BD"/>
    <w:rsid w:val="00BD120A"/>
    <w:rsid w:val="00BD666B"/>
    <w:rsid w:val="00BF52E8"/>
    <w:rsid w:val="00C01654"/>
    <w:rsid w:val="00C07208"/>
    <w:rsid w:val="00C15CC0"/>
    <w:rsid w:val="00C30244"/>
    <w:rsid w:val="00C5180D"/>
    <w:rsid w:val="00C53AB0"/>
    <w:rsid w:val="00C53D1D"/>
    <w:rsid w:val="00C57330"/>
    <w:rsid w:val="00C61FB2"/>
    <w:rsid w:val="00C6530D"/>
    <w:rsid w:val="00C65571"/>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CF7A63"/>
    <w:rsid w:val="00D05E1F"/>
    <w:rsid w:val="00D13594"/>
    <w:rsid w:val="00D2411A"/>
    <w:rsid w:val="00D2540B"/>
    <w:rsid w:val="00D36CF5"/>
    <w:rsid w:val="00D4224E"/>
    <w:rsid w:val="00D43550"/>
    <w:rsid w:val="00D629CE"/>
    <w:rsid w:val="00D7438B"/>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0229"/>
    <w:rsid w:val="00E27F91"/>
    <w:rsid w:val="00E31BD7"/>
    <w:rsid w:val="00E45D07"/>
    <w:rsid w:val="00E677C6"/>
    <w:rsid w:val="00E70687"/>
    <w:rsid w:val="00E710FC"/>
    <w:rsid w:val="00E75726"/>
    <w:rsid w:val="00E76F44"/>
    <w:rsid w:val="00E86CB7"/>
    <w:rsid w:val="00E928C6"/>
    <w:rsid w:val="00E92A4B"/>
    <w:rsid w:val="00EA0513"/>
    <w:rsid w:val="00EB3FCD"/>
    <w:rsid w:val="00EB4AAE"/>
    <w:rsid w:val="00EC13B7"/>
    <w:rsid w:val="00EC57A0"/>
    <w:rsid w:val="00EC5AF5"/>
    <w:rsid w:val="00ED6D11"/>
    <w:rsid w:val="00EF7656"/>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1512"/>
    <w:rsid w:val="00F64816"/>
    <w:rsid w:val="00F73354"/>
    <w:rsid w:val="00FA092E"/>
    <w:rsid w:val="00FA63B5"/>
    <w:rsid w:val="00FA6D58"/>
    <w:rsid w:val="00FD52D3"/>
    <w:rsid w:val="00FE72DF"/>
    <w:rsid w:val="00FF2F91"/>
    <w:rsid w:val="026A5F86"/>
    <w:rsid w:val="02B47C4D"/>
    <w:rsid w:val="03990E5C"/>
    <w:rsid w:val="04450729"/>
    <w:rsid w:val="04695012"/>
    <w:rsid w:val="04D46768"/>
    <w:rsid w:val="04F90B5F"/>
    <w:rsid w:val="053A1CC8"/>
    <w:rsid w:val="06856661"/>
    <w:rsid w:val="077B4608"/>
    <w:rsid w:val="07BB74B6"/>
    <w:rsid w:val="07D7576E"/>
    <w:rsid w:val="08493DEA"/>
    <w:rsid w:val="086E4EC9"/>
    <w:rsid w:val="0B017F75"/>
    <w:rsid w:val="0B734A64"/>
    <w:rsid w:val="0CDE01F2"/>
    <w:rsid w:val="0D85064B"/>
    <w:rsid w:val="0DD201F4"/>
    <w:rsid w:val="0DF60FC6"/>
    <w:rsid w:val="0F4526B6"/>
    <w:rsid w:val="10091618"/>
    <w:rsid w:val="14855FCA"/>
    <w:rsid w:val="152B64B8"/>
    <w:rsid w:val="15740DA4"/>
    <w:rsid w:val="15E64120"/>
    <w:rsid w:val="195A6BC0"/>
    <w:rsid w:val="1C5670DA"/>
    <w:rsid w:val="1C9167B1"/>
    <w:rsid w:val="1F7074E6"/>
    <w:rsid w:val="207D356E"/>
    <w:rsid w:val="215178F9"/>
    <w:rsid w:val="21BF6A73"/>
    <w:rsid w:val="227A4EED"/>
    <w:rsid w:val="228D0750"/>
    <w:rsid w:val="22D562AA"/>
    <w:rsid w:val="24786106"/>
    <w:rsid w:val="248D47E9"/>
    <w:rsid w:val="25A5748F"/>
    <w:rsid w:val="25BE1EBF"/>
    <w:rsid w:val="25D85A3C"/>
    <w:rsid w:val="267E19B6"/>
    <w:rsid w:val="26E95967"/>
    <w:rsid w:val="2A1D36D7"/>
    <w:rsid w:val="2A701803"/>
    <w:rsid w:val="2B9E3425"/>
    <w:rsid w:val="2BD84FDD"/>
    <w:rsid w:val="2BFA4386"/>
    <w:rsid w:val="2CD73EA3"/>
    <w:rsid w:val="2D845ED0"/>
    <w:rsid w:val="2EAB6E76"/>
    <w:rsid w:val="30381F4F"/>
    <w:rsid w:val="30C503AF"/>
    <w:rsid w:val="34A05B77"/>
    <w:rsid w:val="35D272B6"/>
    <w:rsid w:val="37097428"/>
    <w:rsid w:val="38AC36F6"/>
    <w:rsid w:val="394A3FAD"/>
    <w:rsid w:val="3AAD7F79"/>
    <w:rsid w:val="3B991A52"/>
    <w:rsid w:val="3BB26AC4"/>
    <w:rsid w:val="3C35255B"/>
    <w:rsid w:val="3D3679ED"/>
    <w:rsid w:val="3F014E6C"/>
    <w:rsid w:val="408D7227"/>
    <w:rsid w:val="41407E51"/>
    <w:rsid w:val="416718EC"/>
    <w:rsid w:val="43695C61"/>
    <w:rsid w:val="439D7A21"/>
    <w:rsid w:val="43D97719"/>
    <w:rsid w:val="447267E8"/>
    <w:rsid w:val="44E431E5"/>
    <w:rsid w:val="45956253"/>
    <w:rsid w:val="46B30DE6"/>
    <w:rsid w:val="47B95D5D"/>
    <w:rsid w:val="48571751"/>
    <w:rsid w:val="492A4A83"/>
    <w:rsid w:val="495C1F5C"/>
    <w:rsid w:val="4AF77150"/>
    <w:rsid w:val="4B8B03E4"/>
    <w:rsid w:val="4D9A3F67"/>
    <w:rsid w:val="4DDF67CC"/>
    <w:rsid w:val="4EE12BFB"/>
    <w:rsid w:val="4F0A59A4"/>
    <w:rsid w:val="50FA6A61"/>
    <w:rsid w:val="51794BC1"/>
    <w:rsid w:val="53D25371"/>
    <w:rsid w:val="540F1FD2"/>
    <w:rsid w:val="556128AE"/>
    <w:rsid w:val="561F6663"/>
    <w:rsid w:val="57315BF2"/>
    <w:rsid w:val="57594B93"/>
    <w:rsid w:val="594A6990"/>
    <w:rsid w:val="5A2E0F40"/>
    <w:rsid w:val="5E084AEB"/>
    <w:rsid w:val="5E5C3C27"/>
    <w:rsid w:val="5E8307E5"/>
    <w:rsid w:val="60475C3F"/>
    <w:rsid w:val="60785544"/>
    <w:rsid w:val="60A60070"/>
    <w:rsid w:val="61A26997"/>
    <w:rsid w:val="622C21AB"/>
    <w:rsid w:val="62D00ABF"/>
    <w:rsid w:val="640C25AF"/>
    <w:rsid w:val="6541126B"/>
    <w:rsid w:val="67A27E17"/>
    <w:rsid w:val="683A303D"/>
    <w:rsid w:val="68E97B63"/>
    <w:rsid w:val="6A5B2F9C"/>
    <w:rsid w:val="6B1E605C"/>
    <w:rsid w:val="6C5E0507"/>
    <w:rsid w:val="6C6B5505"/>
    <w:rsid w:val="6DF67C63"/>
    <w:rsid w:val="6E3F209B"/>
    <w:rsid w:val="6ED02117"/>
    <w:rsid w:val="725336E8"/>
    <w:rsid w:val="74783A1C"/>
    <w:rsid w:val="74AB354D"/>
    <w:rsid w:val="74B05132"/>
    <w:rsid w:val="76C52AAF"/>
    <w:rsid w:val="76E063E5"/>
    <w:rsid w:val="772A35DE"/>
    <w:rsid w:val="781B5752"/>
    <w:rsid w:val="798425C1"/>
    <w:rsid w:val="79A35F22"/>
    <w:rsid w:val="79BF662E"/>
    <w:rsid w:val="7A751935"/>
    <w:rsid w:val="7B2952F2"/>
    <w:rsid w:val="7CF46BD3"/>
    <w:rsid w:val="7D9C2DC6"/>
    <w:rsid w:val="7F9364DF"/>
    <w:rsid w:val="7FC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5"/>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Date"/>
    <w:basedOn w:val="1"/>
    <w:next w:val="1"/>
    <w:link w:val="36"/>
    <w:unhideWhenUsed/>
    <w:qFormat/>
    <w:uiPriority w:val="99"/>
    <w:pPr>
      <w:ind w:left="100" w:leftChars="2500"/>
    </w:pPr>
  </w:style>
  <w:style w:type="paragraph" w:styleId="6">
    <w:name w:val="Balloon Text"/>
    <w:basedOn w:val="1"/>
    <w:link w:val="27"/>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4"/>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3"/>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列表段落 字符"/>
    <w:link w:val="23"/>
    <w:qFormat/>
    <w:uiPriority w:val="34"/>
    <w:rPr>
      <w:rFonts w:ascii="Times New Roman" w:hAnsi="Times New Roman"/>
      <w:szCs w:val="24"/>
    </w:rPr>
  </w:style>
  <w:style w:type="paragraph" w:styleId="23">
    <w:name w:val="List Paragraph"/>
    <w:basedOn w:val="1"/>
    <w:link w:val="22"/>
    <w:qFormat/>
    <w:uiPriority w:val="34"/>
    <w:pPr>
      <w:ind w:firstLine="420" w:firstLineChars="200"/>
    </w:pPr>
    <w:rPr>
      <w:rFonts w:eastAsiaTheme="minorEastAsia" w:cstheme="minorBidi"/>
    </w:rPr>
  </w:style>
  <w:style w:type="character" w:customStyle="1" w:styleId="24">
    <w:name w:val="批注文字 字符"/>
    <w:basedOn w:val="17"/>
    <w:semiHidden/>
    <w:qFormat/>
    <w:uiPriority w:val="99"/>
    <w:rPr>
      <w:rFonts w:ascii="Times New Roman" w:hAnsi="Times New Roman" w:eastAsia="宋体" w:cs="Times New Roman"/>
      <w:szCs w:val="24"/>
    </w:rPr>
  </w:style>
  <w:style w:type="character" w:customStyle="1" w:styleId="25">
    <w:name w:val="批注文字 字符1"/>
    <w:link w:val="3"/>
    <w:qFormat/>
    <w:uiPriority w:val="99"/>
    <w:rPr>
      <w:rFonts w:ascii="Times New Roman" w:hAnsi="Times New Roman" w:eastAsia="宋体" w:cs="Times New Roman"/>
      <w:szCs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字符"/>
    <w:basedOn w:val="17"/>
    <w:link w:val="6"/>
    <w:semiHidden/>
    <w:qFormat/>
    <w:uiPriority w:val="99"/>
    <w:rPr>
      <w:rFonts w:ascii="Times New Roman" w:hAnsi="Times New Roman" w:eastAsia="宋体" w:cs="Times New Roman"/>
      <w:sz w:val="18"/>
      <w:szCs w:val="18"/>
    </w:rPr>
  </w:style>
  <w:style w:type="character" w:customStyle="1" w:styleId="28">
    <w:name w:val="页眉 字符"/>
    <w:basedOn w:val="17"/>
    <w:link w:val="8"/>
    <w:qFormat/>
    <w:uiPriority w:val="99"/>
    <w:rPr>
      <w:rFonts w:ascii="Times New Roman" w:hAnsi="Times New Roman" w:eastAsia="宋体" w:cs="Times New Roman"/>
      <w:sz w:val="18"/>
      <w:szCs w:val="18"/>
    </w:rPr>
  </w:style>
  <w:style w:type="character" w:customStyle="1" w:styleId="29">
    <w:name w:val="页脚 字符"/>
    <w:basedOn w:val="17"/>
    <w:link w:val="7"/>
    <w:qFormat/>
    <w:uiPriority w:val="99"/>
    <w:rPr>
      <w:rFonts w:ascii="Times New Roman" w:hAnsi="Times New Roman" w:eastAsia="宋体" w:cs="Times New Roman"/>
      <w:sz w:val="18"/>
      <w:szCs w:val="18"/>
    </w:rPr>
  </w:style>
  <w:style w:type="character" w:customStyle="1" w:styleId="30">
    <w:name w:val="标题1"/>
    <w:basedOn w:val="17"/>
    <w:qFormat/>
    <w:uiPriority w:val="0"/>
  </w:style>
  <w:style w:type="character" w:customStyle="1" w:styleId="31">
    <w:name w:val="批注主题 字符"/>
    <w:basedOn w:val="25"/>
    <w:link w:val="14"/>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字符"/>
    <w:basedOn w:val="17"/>
    <w:link w:val="12"/>
    <w:qFormat/>
    <w:uiPriority w:val="0"/>
    <w:rPr>
      <w:rFonts w:ascii="仿宋_GB2312" w:hAnsi="宋体" w:eastAsia="仿宋_GB2312"/>
      <w:kern w:val="2"/>
      <w:sz w:val="21"/>
      <w:szCs w:val="24"/>
    </w:rPr>
  </w:style>
  <w:style w:type="character" w:customStyle="1" w:styleId="34">
    <w:name w:val="脚注文本 字符"/>
    <w:basedOn w:val="17"/>
    <w:link w:val="10"/>
    <w:semiHidden/>
    <w:qFormat/>
    <w:uiPriority w:val="99"/>
    <w:rPr>
      <w:kern w:val="2"/>
      <w:sz w:val="18"/>
      <w:szCs w:val="18"/>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36">
    <w:name w:val="日期 字符"/>
    <w:link w:val="5"/>
    <w:qFormat/>
    <w:uiPriority w:val="99"/>
    <w:rPr>
      <w:kern w:val="2"/>
      <w:sz w:val="21"/>
      <w:szCs w:val="24"/>
    </w:rPr>
  </w:style>
  <w:style w:type="character" w:customStyle="1" w:styleId="37">
    <w:name w:val="日期 字符1"/>
    <w:basedOn w:val="17"/>
    <w:semiHidden/>
    <w:qFormat/>
    <w:uiPriority w:val="99"/>
    <w:rPr>
      <w:kern w:val="2"/>
      <w:sz w:val="21"/>
      <w:szCs w:val="24"/>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26</Pages>
  <Words>2574</Words>
  <Characters>14678</Characters>
  <Lines>122</Lines>
  <Paragraphs>34</Paragraphs>
  <TotalTime>42</TotalTime>
  <ScaleCrop>false</ScaleCrop>
  <LinksUpToDate>false</LinksUpToDate>
  <CharactersWithSpaces>17218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2023-05-04T09:17:00Z</dcterms:created>
  <dc:creator>Tony Young</dc:creator>
  <cp:lastModifiedBy>黄奕璋</cp:lastModifiedBy>
  <dcterms:modified xsi:type="dcterms:W3CDTF">2023-05-05T01:24:52Z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A2D43DB86A9447DD82A75142A6BF8A4B_13</vt:lpwstr>
  </property>
</Properties>
</file>