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深圳国际会展中心二期概念设计</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ind w:left="0" w:leftChars="0" w:firstLine="0" w:firstLineChars="0"/>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5</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黄生</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8822</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深圳国际会展中心二期概念设计项目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pStyle w:val="29"/>
              <w:numPr>
                <w:ilvl w:val="0"/>
                <w:numId w:val="0"/>
              </w:numPr>
              <w:autoSpaceDE w:val="0"/>
              <w:autoSpaceDN w:val="0"/>
              <w:adjustRightInd w:val="0"/>
              <w:snapToGrid w:val="0"/>
              <w:rPr>
                <w:rFonts w:ascii="宋体" w:hAnsi="宋体"/>
                <w:i/>
                <w:color w:val="FF0000"/>
                <w:szCs w:val="21"/>
                <w:highlight w:val="yellow"/>
              </w:rPr>
            </w:pPr>
            <w:r>
              <w:rPr>
                <w:rFonts w:hint="eastAsia" w:ascii="宋体" w:hAnsi="宋体"/>
                <w:lang w:val="en-US" w:eastAsia="zh-CN"/>
              </w:rPr>
              <w:t>深圳国际会展中心二期净会展面积暂定12万㎡（具体需专项分析），总建筑面积预计约40万㎡，依据交通运输要求，二期需预留一层货车轮候区。需按照用地面积13.2万㎡，结合一期实际情况，开展相关规划设计。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https://cg.szcec.com/sharing/emZ1ODTwV，</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https://cg.szcec.com/sharing/GabCcUipV，</w:t>
            </w:r>
            <w:r>
              <w:rPr>
                <w:rFonts w:hint="eastAsia" w:ascii="宋体" w:hAnsi="宋体"/>
                <w:szCs w:val="21"/>
              </w:rPr>
              <w:t>并致电确认</w:t>
            </w:r>
            <w:bookmarkStart w:id="1" w:name="_Toc478392822"/>
            <w:bookmarkStart w:id="2" w:name="_Toc478393187"/>
            <w:bookmarkStart w:id="3" w:name="_Toc47811053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lang w:bidi="ar"/>
              </w:rPr>
              <w:t>请在开标</w:t>
            </w:r>
            <w:r>
              <w:rPr>
                <w:rFonts w:hint="eastAsia" w:ascii="宋体" w:hAnsi="宋体" w:cs="宋体"/>
                <w:color w:val="FF0000"/>
                <w:szCs w:val="21"/>
                <w:highlight w:val="cyan"/>
                <w:lang w:val="en-US" w:eastAsia="zh-CN" w:bidi="ar"/>
              </w:rPr>
              <w:t>后15</w:t>
            </w:r>
            <w:r>
              <w:rPr>
                <w:rFonts w:hint="eastAsia" w:ascii="宋体" w:hAnsi="宋体" w:cs="宋体"/>
                <w:color w:val="FF0000"/>
                <w:szCs w:val="21"/>
                <w:highlight w:val="cyan"/>
                <w:lang w:bidi="ar"/>
              </w:rPr>
              <w:t>分钟内将投标文件解密密码上传至https://cg.szcec.com/sharing/4dkVoMrtf</w:t>
            </w:r>
            <w:bookmarkStart w:id="50" w:name="_GoBack"/>
            <w:bookmarkEnd w:id="50"/>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517278751"/>
      <w:bookmarkStart w:id="6" w:name="_Toc478387747"/>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snapToGrid w:val="0"/>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参加单位必须是在</w:t>
            </w:r>
            <w:r>
              <w:rPr>
                <w:rFonts w:hint="eastAsia" w:ascii="宋体" w:hAnsi="宋体" w:cs="仿宋_GB2312"/>
                <w:color w:val="000000" w:themeColor="text1"/>
                <w:szCs w:val="21"/>
                <w:highlight w:val="none"/>
                <w14:textFill>
                  <w14:solidFill>
                    <w14:schemeClr w14:val="tx1"/>
                  </w14:solidFill>
                </w14:textFill>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000000" w:themeColor="text1"/>
                <w:szCs w:val="21"/>
                <w:highlight w:val="none"/>
                <w:lang w:eastAsia="zh-CN"/>
                <w14:textFill>
                  <w14:solidFill>
                    <w14:schemeClr w14:val="tx1"/>
                  </w14:solidFill>
                </w14:textFill>
              </w:rPr>
              <w:t>参加单位</w:t>
            </w:r>
            <w:r>
              <w:rPr>
                <w:rFonts w:hint="eastAsia" w:ascii="宋体" w:hAnsi="宋体" w:cs="仿宋_GB2312"/>
                <w:color w:val="000000" w:themeColor="text1"/>
                <w:szCs w:val="21"/>
                <w:highlight w:val="none"/>
                <w14:textFill>
                  <w14:solidFill>
                    <w14:schemeClr w14:val="tx1"/>
                  </w14:solidFill>
                </w14:textFill>
              </w:rPr>
              <w:t>公章。被列入失信主体、经营异常的，将被拒绝参与本项目的采购活动。）</w:t>
            </w:r>
          </w:p>
          <w:p>
            <w:pPr>
              <w:numPr>
                <w:ilvl w:val="0"/>
                <w:numId w:val="9"/>
              </w:numPr>
              <w:snapToGrid w:val="0"/>
              <w:ind w:left="0" w:firstLine="0" w:firstLineChars="0"/>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10" w:name="OLE_LINK3"/>
            <w:bookmarkStart w:id="11" w:name="OLE_LINK4"/>
            <w:r>
              <w:rPr>
                <w:rFonts w:hint="eastAsia" w:ascii="宋体" w:hAnsi="宋体" w:cs="宋体"/>
                <w:color w:val="000000" w:themeColor="text1"/>
                <w:highlight w:val="none"/>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highlight w:val="none"/>
                <w:lang w:eastAsia="zh-CN"/>
                <w14:textFill>
                  <w14:solidFill>
                    <w14:schemeClr w14:val="tx1"/>
                  </w14:solidFill>
                </w14:textFill>
              </w:rPr>
              <w:t>参加单位</w:t>
            </w:r>
            <w:r>
              <w:rPr>
                <w:rFonts w:hint="eastAsia" w:ascii="宋体" w:hAnsi="宋体" w:cs="宋体"/>
                <w:color w:val="000000" w:themeColor="text1"/>
                <w:highlight w:val="none"/>
                <w14:textFill>
                  <w14:solidFill>
                    <w14:schemeClr w14:val="tx1"/>
                  </w14:solidFill>
                </w14:textFill>
              </w:rPr>
              <w:t>公章；如单位法定代表人为本项目授权代表，则仅需提供法定代表人证明书及身份证复印件，各证明书须加盖公章，身份证原件备查）。</w:t>
            </w:r>
            <w:bookmarkEnd w:id="10"/>
            <w:bookmarkEnd w:id="11"/>
          </w:p>
          <w:p>
            <w:pPr>
              <w:numPr>
                <w:ilvl w:val="0"/>
                <w:numId w:val="9"/>
              </w:numPr>
              <w:snapToGrid w:val="0"/>
              <w:ind w:left="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参加单位须</w:t>
            </w:r>
            <w:r>
              <w:rPr>
                <w:rFonts w:hint="eastAsia" w:ascii="宋体" w:hAnsi="宋体" w:eastAsia="宋体" w:cs="宋体"/>
                <w:i w:val="0"/>
                <w:caps w:val="0"/>
                <w:color w:val="000000" w:themeColor="text1"/>
                <w:spacing w:val="0"/>
                <w:sz w:val="21"/>
                <w:szCs w:val="24"/>
                <w:highlight w:val="none"/>
                <w:shd w:val="clear"/>
                <w14:textFill>
                  <w14:solidFill>
                    <w14:schemeClr w14:val="tx1"/>
                  </w14:solidFill>
                </w14:textFill>
              </w:rPr>
              <w:t>具有</w:t>
            </w:r>
            <w:r>
              <w:rPr>
                <w:rFonts w:hint="eastAsia" w:ascii="宋体" w:hAnsi="宋体" w:cs="宋体"/>
                <w:i w:val="0"/>
                <w:caps w:val="0"/>
                <w:color w:val="000000" w:themeColor="text1"/>
                <w:spacing w:val="0"/>
                <w:sz w:val="21"/>
                <w:szCs w:val="24"/>
                <w:highlight w:val="none"/>
                <w:shd w:val="clear"/>
                <w:lang w:val="en-US" w:eastAsia="zh-CN"/>
                <w14:textFill>
                  <w14:solidFill>
                    <w14:schemeClr w14:val="tx1"/>
                  </w14:solidFill>
                </w14:textFill>
              </w:rPr>
              <w:t>工程设计资质（</w:t>
            </w:r>
            <w:r>
              <w:rPr>
                <w:rFonts w:hint="eastAsia" w:ascii="宋体" w:hAnsi="宋体" w:eastAsia="宋体" w:cs="宋体"/>
                <w:i w:val="0"/>
                <w:caps w:val="0"/>
                <w:color w:val="000000" w:themeColor="text1"/>
                <w:spacing w:val="0"/>
                <w:sz w:val="21"/>
                <w:szCs w:val="24"/>
                <w:highlight w:val="none"/>
                <w:shd w:val="clear"/>
                <w14:textFill>
                  <w14:solidFill>
                    <w14:schemeClr w14:val="tx1"/>
                  </w14:solidFill>
                </w14:textFill>
              </w:rPr>
              <w:t>建筑行业建筑工程）乙级或城乡规划编制</w:t>
            </w:r>
            <w:r>
              <w:rPr>
                <w:rFonts w:hint="eastAsia" w:ascii="宋体" w:hAnsi="宋体" w:cs="宋体"/>
                <w:i w:val="0"/>
                <w:caps w:val="0"/>
                <w:color w:val="000000" w:themeColor="text1"/>
                <w:spacing w:val="0"/>
                <w:sz w:val="21"/>
                <w:szCs w:val="24"/>
                <w:highlight w:val="none"/>
                <w:shd w:val="clear"/>
                <w:lang w:val="en-US" w:eastAsia="zh-CN"/>
                <w14:textFill>
                  <w14:solidFill>
                    <w14:schemeClr w14:val="tx1"/>
                  </w14:solidFill>
                </w14:textFill>
              </w:rPr>
              <w:t>资质</w:t>
            </w:r>
            <w:r>
              <w:rPr>
                <w:rFonts w:hint="eastAsia" w:ascii="宋体" w:hAnsi="宋体" w:eastAsia="宋体" w:cs="宋体"/>
                <w:i w:val="0"/>
                <w:caps w:val="0"/>
                <w:color w:val="000000" w:themeColor="text1"/>
                <w:spacing w:val="0"/>
                <w:sz w:val="21"/>
                <w:szCs w:val="24"/>
                <w:highlight w:val="none"/>
                <w:shd w:val="clear"/>
                <w14:textFill>
                  <w14:solidFill>
                    <w14:schemeClr w14:val="tx1"/>
                  </w14:solidFill>
                </w14:textFill>
              </w:rPr>
              <w:t>乙级</w:t>
            </w:r>
            <w:r>
              <w:rPr>
                <w:rFonts w:hint="eastAsia" w:ascii="宋体" w:hAnsi="宋体" w:cs="宋体"/>
                <w:i w:val="0"/>
                <w:caps w:val="0"/>
                <w:color w:val="000000" w:themeColor="text1"/>
                <w:spacing w:val="0"/>
                <w:sz w:val="21"/>
                <w:szCs w:val="24"/>
                <w:highlight w:val="none"/>
                <w:shd w:val="clear"/>
                <w:lang w:val="en-US" w:eastAsia="zh-CN"/>
                <w14:textFill>
                  <w14:solidFill>
                    <w14:schemeClr w14:val="tx1"/>
                  </w14:solidFill>
                </w14:textFill>
              </w:rPr>
              <w:t>或</w:t>
            </w:r>
            <w:r>
              <w:rPr>
                <w:rFonts w:hint="eastAsia" w:ascii="宋体" w:hAnsi="宋体" w:eastAsia="宋体" w:cs="宋体"/>
                <w:i w:val="0"/>
                <w:caps w:val="0"/>
                <w:color w:val="000000" w:themeColor="text1"/>
                <w:spacing w:val="0"/>
                <w:sz w:val="21"/>
                <w:szCs w:val="24"/>
                <w:highlight w:val="none"/>
                <w:shd w:val="clear"/>
                <w14:textFill>
                  <w14:solidFill>
                    <w14:schemeClr w14:val="tx1"/>
                  </w14:solidFill>
                </w14:textFill>
              </w:rPr>
              <w:t>以上资质</w:t>
            </w:r>
            <w:r>
              <w:rPr>
                <w:rFonts w:hint="eastAsia" w:ascii="宋体" w:hAnsi="宋体" w:cs="宋体"/>
                <w:color w:val="000000" w:themeColor="text1"/>
                <w:highlight w:val="none"/>
                <w:lang w:eastAsia="zh-CN"/>
                <w14:textFill>
                  <w14:solidFill>
                    <w14:schemeClr w14:val="tx1"/>
                  </w14:solidFill>
                </w14:textFill>
              </w:rPr>
              <w:t>。</w:t>
            </w:r>
          </w:p>
          <w:p>
            <w:pPr>
              <w:numPr>
                <w:ilvl w:val="0"/>
                <w:numId w:val="9"/>
              </w:numPr>
              <w:snapToGrid w:val="0"/>
              <w:ind w:left="0" w:firstLine="0" w:firstLineChars="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报价以人民币为结算币种，报价</w:t>
            </w:r>
            <w:r>
              <w:rPr>
                <w:rFonts w:hint="eastAsia" w:ascii="宋体" w:hAnsi="宋体"/>
                <w:color w:val="000000" w:themeColor="text1"/>
                <w:szCs w:val="21"/>
                <w:highlight w:val="none"/>
                <w14:textFill>
                  <w14:solidFill>
                    <w14:schemeClr w14:val="tx1"/>
                  </w14:solidFill>
                </w14:textFill>
              </w:rPr>
              <w:t>应包含税率、</w:t>
            </w:r>
            <w:r>
              <w:rPr>
                <w:rFonts w:hint="eastAsia" w:ascii="宋体" w:hAnsi="宋体" w:cs="宋体"/>
                <w:color w:val="000000" w:themeColor="text1"/>
                <w:szCs w:val="21"/>
                <w:highlight w:val="none"/>
                <w14:textFill>
                  <w14:solidFill>
                    <w14:schemeClr w14:val="tx1"/>
                  </w14:solidFill>
                </w14:textFill>
              </w:rPr>
              <w:t>单价和总价。</w:t>
            </w:r>
          </w:p>
          <w:p>
            <w:pPr>
              <w:numPr>
                <w:ilvl w:val="0"/>
                <w:numId w:val="10"/>
              </w:numPr>
              <w:tabs>
                <w:tab w:val="left" w:pos="531"/>
              </w:tabs>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报价不得出现可选择性的报价,含有备选方案的报价将导致废标。</w:t>
            </w:r>
          </w:p>
          <w:p>
            <w:pPr>
              <w:numPr>
                <w:ilvl w:val="0"/>
                <w:numId w:val="10"/>
              </w:numPr>
              <w:tabs>
                <w:tab w:val="left" w:pos="531"/>
              </w:tabs>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报价包括但不限于</w:t>
            </w:r>
            <w:r>
              <w:rPr>
                <w:rFonts w:hint="eastAsia" w:ascii="宋体" w:hAnsi="宋体" w:cs="宋体"/>
                <w:color w:val="000000" w:themeColor="text1"/>
                <w:szCs w:val="21"/>
                <w:highlight w:val="none"/>
                <w:lang w:val="en-US" w:eastAsia="zh-CN"/>
                <w14:textFill>
                  <w14:solidFill>
                    <w14:schemeClr w14:val="tx1"/>
                  </w14:solidFill>
                </w14:textFill>
              </w:rPr>
              <w:t>设计</w:t>
            </w:r>
            <w:r>
              <w:rPr>
                <w:rFonts w:hint="eastAsia"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lang w:val="en-US" w:eastAsia="zh-CN"/>
                <w14:textFill>
                  <w14:solidFill>
                    <w14:schemeClr w14:val="tx1"/>
                  </w14:solidFill>
                </w14:textFill>
              </w:rPr>
              <w:t>人工费、管理</w:t>
            </w:r>
            <w:r>
              <w:rPr>
                <w:rFonts w:hint="eastAsia"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lang w:val="en-US" w:eastAsia="zh-CN"/>
                <w14:textFill>
                  <w14:solidFill>
                    <w14:schemeClr w14:val="tx1"/>
                  </w14:solidFill>
                </w14:textFill>
              </w:rPr>
              <w:t>交通</w:t>
            </w:r>
            <w:r>
              <w:rPr>
                <w:rFonts w:hint="eastAsia" w:ascii="宋体" w:hAnsi="宋体" w:cs="宋体"/>
                <w:color w:val="000000" w:themeColor="text1"/>
                <w:szCs w:val="21"/>
                <w:highlight w:val="none"/>
                <w14:textFill>
                  <w14:solidFill>
                    <w14:schemeClr w14:val="tx1"/>
                  </w14:solidFill>
                </w14:textFill>
              </w:rPr>
              <w:t>费及增值税等完成本项目所需的全部费用。</w:t>
            </w:r>
          </w:p>
          <w:p>
            <w:pPr>
              <w:numPr>
                <w:ilvl w:val="0"/>
                <w:numId w:val="10"/>
              </w:numPr>
              <w:tabs>
                <w:tab w:val="left" w:pos="531"/>
              </w:tabs>
              <w:snapToGrid w:val="0"/>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本项目承包方式为总价包干，采购人不再支付其他任何费用。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本项目控制金额为人民币</w:t>
            </w:r>
            <w:r>
              <w:rPr>
                <w:rFonts w:hint="eastAsia" w:ascii="宋体" w:hAnsi="宋体" w:cs="宋体"/>
                <w:color w:val="000000" w:themeColor="text1"/>
                <w:highlight w:val="yellow"/>
                <w:lang w:val="en-US" w:eastAsia="zh-CN"/>
                <w14:textFill>
                  <w14:solidFill>
                    <w14:schemeClr w14:val="tx1"/>
                  </w14:solidFill>
                </w14:textFill>
              </w:rPr>
              <w:t>31</w:t>
            </w:r>
            <w:r>
              <w:rPr>
                <w:rFonts w:hint="eastAsia" w:ascii="宋体" w:hAnsi="宋体" w:cs="宋体"/>
                <w:color w:val="000000" w:themeColor="text1"/>
                <w:highlight w:val="yellow"/>
                <w14:textFill>
                  <w14:solidFill>
                    <w14:schemeClr w14:val="tx1"/>
                  </w14:solidFill>
                </w14:textFill>
              </w:rPr>
              <w:t>万元（含税</w:t>
            </w:r>
            <w:r>
              <w:rPr>
                <w:rFonts w:hint="eastAsia" w:ascii="宋体" w:hAnsi="宋体" w:cs="宋体"/>
                <w:color w:val="000000" w:themeColor="text1"/>
                <w:highlight w:val="none"/>
                <w14:textFill>
                  <w14:solidFill>
                    <w14:schemeClr w14:val="tx1"/>
                  </w14:solidFill>
                </w14:textFill>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本项目不设预付款，完成最终成果文件，</w:t>
            </w:r>
            <w:r>
              <w:rPr>
                <w:rStyle w:val="20"/>
                <w:rFonts w:hint="eastAsia"/>
                <w:color w:val="000000" w:themeColor="text1"/>
                <w:highlight w:val="none"/>
                <w14:textFill>
                  <w14:solidFill>
                    <w14:schemeClr w14:val="tx1"/>
                  </w14:solidFill>
                </w14:textFill>
              </w:rPr>
              <w:t>并经</w:t>
            </w:r>
            <w:r>
              <w:rPr>
                <w:rStyle w:val="20"/>
                <w:rFonts w:hint="eastAsia"/>
                <w:color w:val="000000" w:themeColor="text1"/>
                <w:highlight w:val="none"/>
                <w:lang w:val="en-US" w:eastAsia="zh-CN"/>
                <w14:textFill>
                  <w14:solidFill>
                    <w14:schemeClr w14:val="tx1"/>
                  </w14:solidFill>
                </w14:textFill>
              </w:rPr>
              <w:t>招标人</w:t>
            </w:r>
            <w:r>
              <w:rPr>
                <w:rStyle w:val="20"/>
                <w:rFonts w:hint="eastAsia"/>
                <w:color w:val="000000" w:themeColor="text1"/>
                <w:highlight w:val="none"/>
                <w14:textFill>
                  <w14:solidFill>
                    <w14:schemeClr w14:val="tx1"/>
                  </w14:solidFill>
                </w14:textFill>
              </w:rPr>
              <w:t>验收合格</w:t>
            </w:r>
            <w:r>
              <w:rPr>
                <w:rFonts w:hint="eastAsia" w:ascii="宋体" w:hAnsi="宋体" w:cs="宋体"/>
                <w:color w:val="000000" w:themeColor="text1"/>
                <w:highlight w:val="none"/>
                <w14:textFill>
                  <w14:solidFill>
                    <w14:schemeClr w14:val="tx1"/>
                  </w14:solidFill>
                </w14:textFill>
              </w:rPr>
              <w:t>后，一次性支付合同</w:t>
            </w:r>
            <w:r>
              <w:rPr>
                <w:rFonts w:hint="eastAsia" w:ascii="宋体" w:hAnsi="宋体" w:cs="宋体"/>
                <w:color w:val="000000" w:themeColor="text1"/>
                <w:highlight w:val="none"/>
                <w:lang w:val="en-US" w:eastAsia="zh-CN"/>
                <w14:textFill>
                  <w14:solidFill>
                    <w14:schemeClr w14:val="tx1"/>
                  </w14:solidFill>
                </w14:textFill>
              </w:rPr>
              <w:t>全部款项</w:t>
            </w:r>
            <w:r>
              <w:rPr>
                <w:rFonts w:hint="eastAsia" w:ascii="宋体" w:hAnsi="宋体" w:cs="宋体"/>
                <w:color w:val="000000" w:themeColor="text1"/>
                <w:highlight w:val="none"/>
                <w14:textFill>
                  <w14:solidFill>
                    <w14:schemeClr w14:val="tx1"/>
                  </w14:solidFill>
                </w14:textFill>
              </w:rPr>
              <w:t>。</w:t>
            </w:r>
          </w:p>
          <w:p>
            <w:pPr>
              <w:numPr>
                <w:ilvl w:val="0"/>
                <w:numId w:val="11"/>
              </w:numPr>
              <w:tabs>
                <w:tab w:val="left" w:pos="531"/>
              </w:tabs>
              <w:snapToGrid w:val="0"/>
              <w:ind w:left="0" w:firstLine="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kern w:val="0"/>
                <w:sz w:val="24"/>
              </w:rPr>
            </w:pPr>
            <w:r>
              <w:rPr>
                <w:rFonts w:hint="eastAsia" w:ascii="宋体" w:hAnsi="宋体" w:cs="宋体"/>
                <w:szCs w:val="21"/>
              </w:rPr>
              <w:t>为提高工作效率，</w:t>
            </w:r>
            <w:r>
              <w:rPr>
                <w:rFonts w:hint="eastAsia" w:ascii="宋体" w:hAnsi="宋体" w:cs="宋体"/>
                <w:szCs w:val="21"/>
                <w:lang w:val="en-US" w:eastAsia="zh-CN"/>
              </w:rPr>
              <w:t>参加单位</w:t>
            </w:r>
            <w:r>
              <w:rPr>
                <w:rFonts w:hint="eastAsia" w:ascii="宋体" w:hAnsi="宋体" w:cs="宋体"/>
                <w:szCs w:val="21"/>
              </w:rPr>
              <w:t>应承诺中标后可按</w:t>
            </w:r>
            <w:r>
              <w:rPr>
                <w:rFonts w:hint="eastAsia" w:ascii="宋体" w:hAnsi="宋体" w:cs="宋体"/>
                <w:szCs w:val="21"/>
                <w:lang w:val="en-US" w:eastAsia="zh-CN"/>
              </w:rPr>
              <w:t>采购</w:t>
            </w:r>
            <w:r>
              <w:rPr>
                <w:rFonts w:hint="eastAsia" w:ascii="宋体" w:hAnsi="宋体" w:cs="宋体"/>
                <w:szCs w:val="21"/>
              </w:rPr>
              <w:t>人要求，及时安排项目人员到到</w:t>
            </w:r>
            <w:r>
              <w:rPr>
                <w:rFonts w:hint="eastAsia" w:ascii="宋体" w:hAnsi="宋体" w:cs="宋体"/>
                <w:szCs w:val="21"/>
                <w:lang w:val="en-US" w:eastAsia="zh-CN"/>
              </w:rPr>
              <w:t>采购人</w:t>
            </w:r>
            <w:r>
              <w:rPr>
                <w:rFonts w:hint="eastAsia" w:ascii="宋体" w:hAnsi="宋体" w:cs="宋体"/>
                <w:szCs w:val="21"/>
              </w:rPr>
              <w:t>办公地现场进行调研、开会讨论方案等相关事宜。</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default"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验收要示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hint="eastAsia" w:ascii="宋体" w:hAnsi="宋体" w:cs="宋体"/>
                <w:szCs w:val="21"/>
              </w:rPr>
            </w:pPr>
            <w:r>
              <w:rPr>
                <w:rFonts w:hint="eastAsia" w:ascii="宋体" w:hAnsi="宋体" w:cs="宋体"/>
                <w:szCs w:val="21"/>
              </w:rPr>
              <w:t>本项目根据相关国家标准、行业标准及本项目合同等要求进行验收。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color w:val="auto"/>
                <w:highlight w:val="none"/>
                <w:lang w:val="en-US" w:eastAsia="zh-CN"/>
              </w:rPr>
              <w:t>设计内容</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包括但不限于以下部分：</w:t>
            </w:r>
          </w:p>
          <w:p>
            <w:pPr>
              <w:numPr>
                <w:ilvl w:val="0"/>
                <w:numId w:val="0"/>
              </w:numPr>
              <w:tabs>
                <w:tab w:val="left" w:pos="531"/>
              </w:tabs>
              <w:snapToGrid w:val="0"/>
              <w:ind w:leftChars="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rPr>
              <w:t>上层次规划分析</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区位关系图</w:t>
            </w:r>
            <w:r>
              <w:rPr>
                <w:rFonts w:hint="eastAsia" w:ascii="宋体" w:hAnsi="宋体" w:cs="宋体"/>
                <w:color w:val="auto"/>
                <w:highlight w:val="none"/>
                <w:lang w:val="en-US" w:eastAsia="zh-CN"/>
              </w:rPr>
              <w:t>；</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地块及周边现状条件分析图(交通、景观、生态自然条件、建筑空间等)</w:t>
            </w:r>
            <w:r>
              <w:rPr>
                <w:rFonts w:hint="eastAsia" w:ascii="宋体" w:hAnsi="宋体" w:cs="宋体"/>
                <w:color w:val="auto"/>
                <w:highlight w:val="none"/>
                <w:lang w:val="en-US" w:eastAsia="zh-CN"/>
              </w:rPr>
              <w:t>；</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地块及周边上层次规划条件分析图（交通、景观、生态自然条件、建筑空间等）</w:t>
            </w:r>
            <w:r>
              <w:rPr>
                <w:rFonts w:hint="eastAsia" w:ascii="宋体" w:hAnsi="宋体" w:cs="宋体"/>
                <w:color w:val="auto"/>
                <w:highlight w:val="none"/>
                <w:lang w:val="en-US" w:eastAsia="zh-CN"/>
              </w:rPr>
              <w:t>；</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规划结构分析图</w:t>
            </w:r>
            <w:r>
              <w:rPr>
                <w:rFonts w:hint="eastAsia" w:ascii="宋体" w:hAnsi="宋体" w:cs="宋体"/>
                <w:color w:val="auto"/>
                <w:highlight w:val="none"/>
                <w:lang w:val="en-US" w:eastAsia="zh-CN"/>
              </w:rPr>
              <w:t>；</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道路交通规划图</w:t>
            </w:r>
            <w:r>
              <w:rPr>
                <w:rFonts w:hint="eastAsia" w:ascii="宋体" w:hAnsi="宋体" w:cs="宋体"/>
                <w:color w:val="auto"/>
                <w:highlight w:val="none"/>
                <w:lang w:val="en-US" w:eastAsia="zh-CN"/>
              </w:rPr>
              <w:t>；</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绿化景观系统规划示意图</w:t>
            </w:r>
            <w:r>
              <w:rPr>
                <w:rFonts w:hint="eastAsia" w:ascii="宋体" w:hAnsi="宋体" w:cs="宋体"/>
                <w:color w:val="auto"/>
                <w:highlight w:val="none"/>
                <w:lang w:val="en-US" w:eastAsia="zh-CN"/>
              </w:rPr>
              <w:t>；</w:t>
            </w:r>
          </w:p>
          <w:p>
            <w:pPr>
              <w:numPr>
                <w:ilvl w:val="0"/>
                <w:numId w:val="12"/>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其他表达设计理念的分析图或示意图</w:t>
            </w:r>
            <w:r>
              <w:rPr>
                <w:rFonts w:hint="eastAsia" w:ascii="宋体" w:hAnsi="宋体" w:cs="宋体"/>
                <w:color w:val="auto"/>
                <w:highlight w:val="none"/>
                <w:lang w:eastAsia="zh-CN"/>
              </w:rPr>
              <w:t>。</w:t>
            </w:r>
          </w:p>
          <w:p>
            <w:pPr>
              <w:numPr>
                <w:ilvl w:val="0"/>
                <w:numId w:val="0"/>
              </w:numPr>
              <w:tabs>
                <w:tab w:val="left" w:pos="531"/>
              </w:tabs>
              <w:snapToGrid w:val="0"/>
              <w:ind w:leftChars="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周边建筑分析</w:t>
            </w:r>
          </w:p>
          <w:p>
            <w:pPr>
              <w:numPr>
                <w:ilvl w:val="0"/>
                <w:numId w:val="13"/>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深圳国际会展中心一期规划分析</w:t>
            </w:r>
            <w:r>
              <w:rPr>
                <w:rFonts w:hint="eastAsia" w:ascii="宋体" w:hAnsi="宋体" w:cs="宋体"/>
                <w:color w:val="auto"/>
                <w:highlight w:val="none"/>
                <w:lang w:val="en-US" w:eastAsia="zh-CN"/>
              </w:rPr>
              <w:t>；</w:t>
            </w:r>
          </w:p>
          <w:p>
            <w:pPr>
              <w:numPr>
                <w:ilvl w:val="0"/>
                <w:numId w:val="13"/>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深圳国际会展中心建筑及配套分析</w:t>
            </w:r>
            <w:r>
              <w:rPr>
                <w:rFonts w:hint="eastAsia" w:ascii="宋体" w:hAnsi="宋体" w:cs="宋体"/>
                <w:color w:val="auto"/>
                <w:highlight w:val="none"/>
                <w:lang w:val="en-US" w:eastAsia="zh-CN"/>
              </w:rPr>
              <w:t>；</w:t>
            </w:r>
          </w:p>
          <w:p>
            <w:pPr>
              <w:numPr>
                <w:ilvl w:val="0"/>
                <w:numId w:val="13"/>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二期用地隔离酒店规划分析</w:t>
            </w:r>
            <w:r>
              <w:rPr>
                <w:rFonts w:hint="eastAsia" w:ascii="宋体" w:hAnsi="宋体" w:cs="宋体"/>
                <w:color w:val="auto"/>
                <w:highlight w:val="none"/>
                <w:lang w:val="en-US" w:eastAsia="zh-CN"/>
              </w:rPr>
              <w:t>；</w:t>
            </w:r>
          </w:p>
          <w:p>
            <w:pPr>
              <w:numPr>
                <w:ilvl w:val="0"/>
                <w:numId w:val="13"/>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二期用地隔离酒店建筑及配套分析</w:t>
            </w:r>
            <w:r>
              <w:rPr>
                <w:rFonts w:hint="eastAsia" w:ascii="宋体" w:hAnsi="宋体" w:cs="宋体"/>
                <w:color w:val="auto"/>
                <w:highlight w:val="none"/>
                <w:lang w:val="en-US" w:eastAsia="zh-CN"/>
              </w:rPr>
              <w:t>；</w:t>
            </w:r>
          </w:p>
          <w:p>
            <w:pPr>
              <w:numPr>
                <w:ilvl w:val="0"/>
                <w:numId w:val="0"/>
              </w:numPr>
              <w:tabs>
                <w:tab w:val="left" w:pos="531"/>
              </w:tabs>
              <w:snapToGrid w:val="0"/>
              <w:ind w:leftChars="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建筑概念设计</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总平面图</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单体平面图</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剖面图</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概念方案效果图</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概念方案功能分析</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概念方案交通分析</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hint="eastAsia" w:ascii="宋体" w:hAnsi="宋体" w:cs="宋体"/>
                <w:color w:val="auto"/>
                <w:highlight w:val="none"/>
              </w:rPr>
            </w:pPr>
            <w:r>
              <w:rPr>
                <w:rFonts w:hint="eastAsia" w:ascii="宋体" w:hAnsi="宋体" w:cs="宋体"/>
                <w:color w:val="auto"/>
                <w:highlight w:val="none"/>
              </w:rPr>
              <w:t>其他必要的分析图纸</w:t>
            </w:r>
            <w:r>
              <w:rPr>
                <w:rFonts w:hint="eastAsia" w:ascii="宋体" w:hAnsi="宋体" w:cs="宋体"/>
                <w:color w:val="auto"/>
                <w:highlight w:val="none"/>
                <w:lang w:val="en-US" w:eastAsia="zh-CN"/>
              </w:rPr>
              <w:t>；</w:t>
            </w:r>
          </w:p>
          <w:p>
            <w:pPr>
              <w:numPr>
                <w:ilvl w:val="0"/>
                <w:numId w:val="14"/>
              </w:numPr>
              <w:snapToGrid w:val="0"/>
              <w:ind w:left="0" w:leftChars="0" w:firstLine="420" w:firstLineChars="200"/>
              <w:rPr>
                <w:rFonts w:ascii="宋体" w:hAnsi="宋体" w:cs="宋体"/>
                <w:sz w:val="24"/>
              </w:rPr>
            </w:pPr>
            <w:r>
              <w:rPr>
                <w:rFonts w:hint="eastAsia" w:ascii="宋体" w:hAnsi="宋体" w:cs="宋体"/>
                <w:color w:val="auto"/>
                <w:highlight w:val="none"/>
              </w:rPr>
              <w:t>面积功能指标</w:t>
            </w:r>
            <w:r>
              <w:rPr>
                <w:rFonts w:hint="eastAsia" w:ascii="宋体" w:hAnsi="宋体" w:cs="宋体"/>
                <w:color w:val="auto"/>
                <w:highlight w:val="none"/>
                <w:lang w:val="en-US" w:eastAsia="zh-CN"/>
              </w:rPr>
              <w:t>；</w:t>
            </w:r>
          </w:p>
          <w:p>
            <w:pPr>
              <w:numPr>
                <w:ilvl w:val="-1"/>
                <w:numId w:val="0"/>
              </w:numPr>
              <w:snapToGrid w:val="0"/>
              <w:ind w:left="0" w:leftChars="0" w:firstLine="0" w:firstLineChars="0"/>
              <w:rPr>
                <w:rFonts w:hint="default" w:ascii="宋体" w:hAnsi="宋体" w:cs="宋体"/>
                <w:sz w:val="24"/>
                <w:lang w:val="en-US"/>
              </w:rPr>
            </w:pPr>
            <w:r>
              <w:rPr>
                <w:rFonts w:hint="eastAsia" w:ascii="宋体" w:hAnsi="宋体" w:cs="宋体"/>
                <w:color w:val="auto"/>
                <w:highlight w:val="none"/>
                <w:lang w:val="en-US" w:eastAsia="zh-CN"/>
              </w:rPr>
              <w:t>（4）根据规划设计出具建设费用估算</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1"/>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人员</w:t>
            </w:r>
            <w:r>
              <w:rPr>
                <w:rFonts w:hint="eastAsia" w:ascii="宋体" w:hAnsi="宋体" w:cs="宋体"/>
                <w:color w:val="000000" w:themeColor="text1"/>
                <w:szCs w:val="21"/>
                <w:highlight w:val="none"/>
                <w14:textFill>
                  <w14:solidFill>
                    <w14:schemeClr w14:val="tx1"/>
                  </w14:solidFill>
                </w14:textFill>
              </w:rPr>
              <w:t>团队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pacing w:line="0" w:lineRule="atLeast"/>
              <w:rPr>
                <w:rFonts w:hint="default" w:ascii="宋体" w:hAnsi="宋体" w:eastAsia="宋体" w:cs="宋体"/>
                <w:sz w:val="21"/>
                <w:szCs w:val="21"/>
                <w:lang w:val="en-US" w:eastAsia="zh-CN"/>
              </w:rPr>
            </w:pPr>
            <w:r>
              <w:rPr>
                <w:rFonts w:hint="eastAsia" w:ascii="宋体" w:hAnsi="宋体" w:cs="宋体"/>
                <w:szCs w:val="21"/>
                <w:lang w:eastAsia="zh-CN"/>
              </w:rPr>
              <w:t>参加单位</w:t>
            </w:r>
            <w:r>
              <w:rPr>
                <w:rFonts w:hint="eastAsia" w:ascii="宋体" w:hAnsi="宋体" w:cs="宋体"/>
                <w:szCs w:val="21"/>
              </w:rPr>
              <w:t>须指定本项目负责人，并提供该负责人姓名、电话、职务及身份证复印件（加盖公章，原件备查）等信息，负责联络、沟通、协调及跟进该项目具体实施。</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1"/>
                <w:szCs w:val="21"/>
                <w:highlight w:val="none"/>
              </w:rPr>
            </w:pPr>
            <w:r>
              <w:rPr>
                <w:rFonts w:hint="eastAsia"/>
                <w:color w:val="000000" w:themeColor="text1"/>
                <w:highlight w:val="none"/>
                <w14:textFill>
                  <w14:solidFill>
                    <w14:schemeClr w14:val="tx1"/>
                  </w14:solidFill>
                </w14:textFill>
              </w:rPr>
              <w:t>时间要求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pacing w:line="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10天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项目交付</w:t>
            </w:r>
          </w:p>
        </w:tc>
        <w:tc>
          <w:tcPr>
            <w:tcW w:w="684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（1）成果（包括但不限于附件）交付须以原始电子文档和PDF格式提交终稿文件；</w:t>
            </w:r>
          </w:p>
          <w:p>
            <w:pPr>
              <w:pStyle w:val="29"/>
              <w:numPr>
                <w:ilvl w:val="0"/>
                <w:numId w:val="0"/>
              </w:numPr>
              <w:spacing w:line="0" w:lineRule="atLeast"/>
              <w:rPr>
                <w:rFonts w:hint="eastAsia" w:ascii="宋体" w:hAnsi="宋体" w:cs="宋体"/>
                <w:sz w:val="21"/>
                <w:szCs w:val="21"/>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成果</w:t>
            </w:r>
            <w:r>
              <w:rPr>
                <w:rFonts w:hint="eastAsia" w:ascii="宋体" w:hAnsi="宋体"/>
                <w:color w:val="000000" w:themeColor="text1"/>
                <w14:textFill>
                  <w14:solidFill>
                    <w14:schemeClr w14:val="tx1"/>
                  </w14:solidFill>
                </w14:textFill>
              </w:rPr>
              <w:t>终稿文件须提交</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份印刷成品资料。</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版权归属</w:t>
            </w:r>
          </w:p>
        </w:tc>
        <w:tc>
          <w:tcPr>
            <w:tcW w:w="684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（1）本项目的</w:t>
            </w:r>
            <w:r>
              <w:rPr>
                <w:rFonts w:hint="eastAsia" w:ascii="宋体" w:hAnsi="宋体"/>
                <w:color w:val="000000" w:themeColor="text1"/>
                <w:lang w:val="en-US" w:eastAsia="zh-CN"/>
                <w14:textFill>
                  <w14:solidFill>
                    <w14:schemeClr w14:val="tx1"/>
                  </w14:solidFill>
                </w14:textFill>
              </w:rPr>
              <w:t>方案</w:t>
            </w:r>
            <w:r>
              <w:rPr>
                <w:rFonts w:hint="eastAsia" w:ascii="宋体" w:hAnsi="宋体"/>
                <w:color w:val="000000" w:themeColor="text1"/>
                <w14:textFill>
                  <w14:solidFill>
                    <w14:schemeClr w14:val="tx1"/>
                  </w14:solidFill>
                </w14:textFill>
              </w:rPr>
              <w:t>成果版权归深圳会展中心管理有限责任公司所有；</w:t>
            </w:r>
          </w:p>
          <w:p>
            <w:pPr>
              <w:pStyle w:val="29"/>
              <w:numPr>
                <w:ilvl w:val="0"/>
                <w:numId w:val="0"/>
              </w:numPr>
              <w:spacing w:line="0" w:lineRule="atLeast"/>
              <w:rPr>
                <w:rFonts w:hint="eastAsia" w:ascii="宋体" w:hAnsi="宋体" w:cs="宋体"/>
                <w:sz w:val="21"/>
                <w:szCs w:val="21"/>
              </w:rPr>
            </w:pPr>
            <w:r>
              <w:rPr>
                <w:rFonts w:hint="eastAsia" w:ascii="宋体" w:hAnsi="宋体"/>
                <w:color w:val="000000" w:themeColor="text1"/>
                <w14:textFill>
                  <w14:solidFill>
                    <w14:schemeClr w14:val="tx1"/>
                  </w14:solidFill>
                </w14:textFill>
              </w:rPr>
              <w:t>（2）参加单位必须对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2" w:name="_Toc128989097"/>
      <w:r>
        <w:rPr>
          <w:rFonts w:hint="eastAsia" w:ascii="宋体" w:hAnsi="宋体" w:cs="宋体"/>
          <w:b/>
          <w:sz w:val="24"/>
        </w:rPr>
        <w:t>其他项目说明资料</w:t>
      </w:r>
      <w:bookmarkEnd w:id="12"/>
    </w:p>
    <w:p>
      <w:pPr>
        <w:pStyle w:val="11"/>
        <w:ind w:firstLine="1050" w:firstLineChars="500"/>
        <w:rPr>
          <w:rFonts w:ascii="宋体" w:eastAsia="宋体" w:cs="宋体"/>
          <w:color w:val="FF0000"/>
          <w:highlight w:val="yellow"/>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15"/>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5"/>
        </w:numPr>
        <w:ind w:hanging="5"/>
        <w:rPr>
          <w:rFonts w:ascii="宋体" w:hAnsi="宋体" w:cs="宋体"/>
          <w:szCs w:val="21"/>
        </w:rPr>
      </w:pPr>
      <w:r>
        <w:rPr>
          <w:rFonts w:hint="eastAsia" w:ascii="宋体" w:hAnsi="宋体"/>
          <w:szCs w:val="21"/>
        </w:rPr>
        <w:t>宣读开标注意事项、流程；</w:t>
      </w:r>
    </w:p>
    <w:p>
      <w:pPr>
        <w:numPr>
          <w:ilvl w:val="0"/>
          <w:numId w:val="15"/>
        </w:numPr>
        <w:ind w:hanging="5"/>
        <w:rPr>
          <w:rFonts w:ascii="宋体" w:hAnsi="宋体" w:cs="宋体"/>
          <w:szCs w:val="21"/>
        </w:rPr>
      </w:pPr>
      <w:r>
        <w:rPr>
          <w:rFonts w:hint="eastAsia" w:ascii="宋体" w:hAnsi="宋体" w:cs="宋体"/>
          <w:szCs w:val="21"/>
        </w:rPr>
        <w:t>评标小组推选组长；</w:t>
      </w:r>
    </w:p>
    <w:p>
      <w:pPr>
        <w:numPr>
          <w:ilvl w:val="0"/>
          <w:numId w:val="15"/>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5"/>
        </w:numPr>
        <w:ind w:hanging="5"/>
        <w:rPr>
          <w:rFonts w:ascii="宋体" w:hAnsi="宋体" w:cs="宋体"/>
          <w:szCs w:val="21"/>
        </w:rPr>
      </w:pPr>
      <w:r>
        <w:rPr>
          <w:rFonts w:hint="eastAsia" w:ascii="宋体" w:hAnsi="宋体" w:cs="宋体"/>
          <w:szCs w:val="21"/>
        </w:rPr>
        <w:t>商务及技术/服务需求响应性评定；</w:t>
      </w:r>
    </w:p>
    <w:p>
      <w:pPr>
        <w:numPr>
          <w:ilvl w:val="0"/>
          <w:numId w:val="15"/>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val="en-US" w:eastAsia="zh-CN"/>
        </w:rPr>
        <w:t>综合评分</w:t>
      </w:r>
      <w:r>
        <w:rPr>
          <w:rFonts w:hint="eastAsia" w:ascii="宋体" w:hAnsi="宋体" w:cs="宋体"/>
          <w:b/>
          <w:szCs w:val="21"/>
          <w:highlight w:val="yellow"/>
        </w:rPr>
        <w:t>法</w:t>
      </w:r>
      <w:r>
        <w:rPr>
          <w:rFonts w:hint="eastAsia" w:ascii="宋体" w:hAnsi="宋体" w:cs="宋体"/>
          <w:szCs w:val="21"/>
        </w:rPr>
        <w:t>进行评审。</w:t>
      </w:r>
    </w:p>
    <w:p>
      <w:pPr>
        <w:numPr>
          <w:ilvl w:val="0"/>
          <w:numId w:val="16"/>
        </w:numPr>
        <w:spacing w:line="300" w:lineRule="auto"/>
        <w:jc w:val="center"/>
        <w:outlineLvl w:val="1"/>
        <w:rPr>
          <w:rFonts w:ascii="宋体" w:hAnsi="宋体" w:cs="宋体"/>
          <w:sz w:val="24"/>
        </w:rPr>
      </w:pPr>
      <w:bookmarkStart w:id="15" w:name="_Toc128989100"/>
      <w:r>
        <w:rPr>
          <w:rStyle w:val="27"/>
          <w:rFonts w:hint="eastAsia" w:ascii="宋体" w:hAnsi="宋体" w:cs="宋体"/>
          <w:b/>
          <w:bCs/>
          <w:sz w:val="24"/>
        </w:rPr>
        <w:t>符合性检查</w:t>
      </w:r>
      <w:bookmarkEnd w:id="15"/>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numPr>
                <w:ilvl w:val="0"/>
                <w:numId w:val="17"/>
              </w:numPr>
              <w:tabs>
                <w:tab w:val="left" w:pos="531"/>
              </w:tabs>
              <w:snapToGrid w:val="0"/>
              <w:rPr>
                <w:rFonts w:hint="eastAsia" w:ascii="宋体" w:hAnsi="宋体" w:eastAsia="宋体" w:cs="仿宋_GB2312"/>
                <w:szCs w:val="21"/>
              </w:rPr>
            </w:pPr>
            <w:r>
              <w:rPr>
                <w:rFonts w:hint="eastAsia" w:ascii="宋体" w:hAnsi="宋体" w:eastAsia="宋体" w:cs="仿宋_GB2312"/>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1"/>
                <w:numId w:val="0"/>
              </w:numPr>
              <w:snapToGrid w:val="0"/>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参加单位必须是在</w:t>
            </w:r>
            <w:r>
              <w:rPr>
                <w:rFonts w:hint="eastAsia" w:ascii="宋体" w:hAnsi="宋体" w:cs="仿宋_GB2312"/>
                <w:color w:val="000000" w:themeColor="text1"/>
                <w:szCs w:val="21"/>
                <w:highlight w:val="none"/>
                <w14:textFill>
                  <w14:solidFill>
                    <w14:schemeClr w14:val="tx1"/>
                  </w14:solidFill>
                </w14:textFill>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000000" w:themeColor="text1"/>
                <w:szCs w:val="21"/>
                <w:highlight w:val="none"/>
                <w:lang w:eastAsia="zh-CN"/>
                <w14:textFill>
                  <w14:solidFill>
                    <w14:schemeClr w14:val="tx1"/>
                  </w14:solidFill>
                </w14:textFill>
              </w:rPr>
              <w:t>参加单位</w:t>
            </w:r>
            <w:r>
              <w:rPr>
                <w:rFonts w:hint="eastAsia" w:ascii="宋体" w:hAnsi="宋体" w:cs="仿宋_GB2312"/>
                <w:color w:val="000000" w:themeColor="text1"/>
                <w:szCs w:val="21"/>
                <w:highlight w:val="none"/>
                <w14:textFill>
                  <w14:solidFill>
                    <w14:schemeClr w14:val="tx1"/>
                  </w14:solidFill>
                </w14:textFill>
              </w:rPr>
              <w:t>公章。被列入失信主体、经营异常的，将被拒绝参与本项目的采购活动。）</w:t>
            </w:r>
          </w:p>
          <w:p>
            <w:pPr>
              <w:numPr>
                <w:ilvl w:val="-1"/>
                <w:numId w:val="0"/>
              </w:numPr>
              <w:snapToGrid w:val="0"/>
              <w:ind w:left="0" w:firstLine="0" w:firstLineChars="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highlight w:val="none"/>
                <w:lang w:eastAsia="zh-CN"/>
                <w14:textFill>
                  <w14:solidFill>
                    <w14:schemeClr w14:val="tx1"/>
                  </w14:solidFill>
                </w14:textFill>
              </w:rPr>
              <w:t>参加单位</w:t>
            </w:r>
            <w:r>
              <w:rPr>
                <w:rFonts w:hint="eastAsia" w:ascii="宋体" w:hAnsi="宋体" w:cs="宋体"/>
                <w:color w:val="000000" w:themeColor="text1"/>
                <w:highlight w:val="none"/>
                <w14:textFill>
                  <w14:solidFill>
                    <w14:schemeClr w14:val="tx1"/>
                  </w14:solidFill>
                </w14:textFill>
              </w:rPr>
              <w:t>公章；如单位法定代表人为本项目授权代表，则仅需提供法定代表人证明书及身份证复印件，各证明书须加盖公章，身份证原件备查）。</w:t>
            </w:r>
          </w:p>
          <w:p>
            <w:pPr>
              <w:numPr>
                <w:ilvl w:val="-1"/>
                <w:numId w:val="0"/>
              </w:numPr>
              <w:snapToGrid w:val="0"/>
              <w:ind w:left="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（3）参加单位须</w:t>
            </w:r>
            <w:r>
              <w:rPr>
                <w:rFonts w:hint="eastAsia" w:ascii="宋体" w:hAnsi="宋体" w:eastAsia="宋体" w:cs="宋体"/>
                <w:i w:val="0"/>
                <w:caps w:val="0"/>
                <w:color w:val="000000" w:themeColor="text1"/>
                <w:spacing w:val="0"/>
                <w:sz w:val="21"/>
                <w:szCs w:val="24"/>
                <w:highlight w:val="none"/>
                <w:shd w:val="clear"/>
                <w14:textFill>
                  <w14:solidFill>
                    <w14:schemeClr w14:val="tx1"/>
                  </w14:solidFill>
                </w14:textFill>
              </w:rPr>
              <w:t>具有建筑行业（建筑工程）乙级或城乡规划编制乙级及以上资质</w:t>
            </w:r>
            <w:r>
              <w:rPr>
                <w:rFonts w:hint="eastAsia" w:ascii="宋体" w:hAnsi="宋体" w:cs="宋体"/>
                <w:color w:val="000000" w:themeColor="text1"/>
                <w:highlight w:val="none"/>
                <w:lang w:eastAsia="zh-CN"/>
                <w14:textFill>
                  <w14:solidFill>
                    <w14:schemeClr w14:val="tx1"/>
                  </w14:solidFill>
                </w14:textFill>
              </w:rPr>
              <w:t>。</w:t>
            </w:r>
          </w:p>
          <w:p>
            <w:pPr>
              <w:numPr>
                <w:ilvl w:val="-1"/>
                <w:numId w:val="0"/>
              </w:numPr>
              <w:tabs>
                <w:tab w:val="left" w:pos="531"/>
              </w:tabs>
              <w:snapToGrid w:val="0"/>
              <w:ind w:left="0" w:firstLine="0"/>
              <w:rPr>
                <w:rFonts w:hint="eastAsia" w:ascii="宋体" w:hAnsi="宋体" w:eastAsia="宋体" w:cs="仿宋_GB2312"/>
                <w:szCs w:val="21"/>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本项目不接受联合体投标，严禁转包或非法分包。</w:t>
            </w:r>
          </w:p>
          <w:p>
            <w:pPr>
              <w:numPr>
                <w:ilvl w:val="-1"/>
                <w:numId w:val="0"/>
              </w:numPr>
              <w:tabs>
                <w:tab w:val="left" w:pos="531"/>
              </w:tabs>
              <w:snapToGrid w:val="0"/>
              <w:ind w:left="0" w:firstLine="0"/>
              <w:rPr>
                <w:rFonts w:hint="eastAsia" w:ascii="宋体" w:hAnsi="宋体" w:eastAsia="宋体" w:cs="仿宋_GB2312"/>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31</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6"/>
        </w:numPr>
        <w:spacing w:before="156" w:beforeLines="50" w:line="300" w:lineRule="auto"/>
        <w:jc w:val="center"/>
        <w:outlineLvl w:val="1"/>
        <w:rPr>
          <w:rStyle w:val="27"/>
          <w:rFonts w:ascii="宋体" w:hAnsi="宋体" w:cs="宋体"/>
          <w:b/>
          <w:bCs/>
          <w:sz w:val="24"/>
        </w:rPr>
      </w:pPr>
      <w:bookmarkStart w:id="16" w:name="_Toc128989101"/>
      <w:r>
        <w:rPr>
          <w:rStyle w:val="27"/>
          <w:rFonts w:hint="eastAsia" w:ascii="宋体" w:hAnsi="宋体" w:cs="宋体"/>
          <w:b/>
          <w:bCs/>
          <w:sz w:val="24"/>
        </w:rPr>
        <w:t>价格</w:t>
      </w:r>
      <w:r>
        <w:rPr>
          <w:rStyle w:val="27"/>
          <w:rFonts w:hint="eastAsia" w:ascii="宋体" w:hAnsi="宋体" w:cs="宋体"/>
          <w:b/>
          <w:bCs/>
          <w:sz w:val="24"/>
          <w:lang w:val="en-US" w:eastAsia="zh-CN"/>
        </w:rPr>
        <w:t>和</w:t>
      </w:r>
      <w:r>
        <w:rPr>
          <w:rStyle w:val="27"/>
          <w:rFonts w:hint="eastAsia" w:ascii="宋体" w:hAnsi="宋体" w:cs="宋体"/>
          <w:b/>
          <w:bCs/>
          <w:sz w:val="24"/>
          <w:szCs w:val="21"/>
          <w:lang w:val="en-US" w:eastAsia="zh-CN"/>
        </w:rPr>
        <w:t>技术（服务）</w:t>
      </w:r>
      <w:r>
        <w:rPr>
          <w:rStyle w:val="27"/>
          <w:rFonts w:hint="eastAsia" w:ascii="宋体" w:hAnsi="宋体" w:cs="宋体"/>
          <w:b/>
          <w:bCs/>
          <w:sz w:val="24"/>
        </w:rPr>
        <w:t>评议</w:t>
      </w:r>
      <w:bookmarkEnd w:id="16"/>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uto"/>
              <w:jc w:val="center"/>
              <w:rPr>
                <w:rFonts w:ascii="Times New Roman" w:hAnsi="Times New Roman" w:cs="Times New Roman"/>
                <w:b w:val="0"/>
                <w:szCs w:val="24"/>
              </w:rPr>
            </w:pPr>
            <w:r>
              <w:rPr>
                <w:rFonts w:hint="default" w:ascii="Times New Roman" w:hAnsi="Times New Roman" w:cs="Times New Roman"/>
                <w:b w:val="0"/>
                <w:szCs w:val="24"/>
              </w:rPr>
              <w:t>评议内容</w:t>
            </w:r>
          </w:p>
        </w:tc>
        <w:tc>
          <w:tcPr>
            <w:tcW w:w="567" w:type="dxa"/>
            <w:tcBorders>
              <w:top w:val="outset" w:color="DDDDDD" w:sz="6" w:space="0"/>
              <w:left w:val="outset" w:color="DDDDDD" w:sz="6" w:space="0"/>
              <w:right w:val="outset" w:color="DDDDDD" w:sz="6" w:space="0"/>
            </w:tcBorders>
            <w:shd w:val="clear" w:color="auto" w:fill="D9D9D9"/>
            <w:vAlign w:val="center"/>
          </w:tcPr>
          <w:p>
            <w:pPr>
              <w:jc w:val="center"/>
            </w:pPr>
            <w:r>
              <w:rPr>
                <w:rFonts w:hint="eastAsia"/>
              </w:rPr>
              <w:t>权重</w:t>
            </w:r>
          </w:p>
        </w:tc>
        <w:tc>
          <w:tcPr>
            <w:tcW w:w="6836" w:type="dxa"/>
            <w:tcBorders>
              <w:top w:val="outset" w:color="DDDDDD" w:sz="6" w:space="0"/>
              <w:left w:val="outset" w:color="DDDDDD" w:sz="6" w:space="0"/>
              <w:right w:val="outset" w:color="DDDDDD" w:sz="6" w:space="0"/>
            </w:tcBorders>
            <w:shd w:val="clear" w:color="auto" w:fill="D9D9D9"/>
            <w:vAlign w:val="center"/>
          </w:tcPr>
          <w:p>
            <w:pPr>
              <w:jc w:val="center"/>
              <w:rPr>
                <w:rFonts w:hint="default"/>
                <w:b w:val="0"/>
                <w:bCs w:val="0"/>
              </w:rPr>
            </w:pPr>
            <w:r>
              <w:rPr>
                <w:rFonts w:hint="eastAsia"/>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0</w:t>
            </w:r>
          </w:p>
        </w:tc>
        <w:tc>
          <w:tcPr>
            <w:tcW w:w="6836" w:type="dxa"/>
            <w:tcBorders>
              <w:top w:val="outset" w:color="DDDDDD" w:sz="6" w:space="0"/>
              <w:left w:val="outset" w:color="DDDDDD" w:sz="6" w:space="0"/>
              <w:bottom w:val="outset" w:color="DDDDDD" w:sz="6" w:space="0"/>
              <w:right w:val="outset" w:color="DDDDDD" w:sz="6" w:space="0"/>
            </w:tcBorders>
            <w:vAlign w:val="center"/>
          </w:tcPr>
          <w:p>
            <w:pPr>
              <w:snapToGrid/>
              <w:jc w:val="left"/>
              <w:rPr>
                <w:rFonts w:hint="eastAsia" w:ascii="宋体" w:hAnsi="宋体" w:cs="宋体"/>
                <w:color w:val="auto"/>
                <w:kern w:val="0"/>
                <w:szCs w:val="21"/>
                <w:highlight w:val="none"/>
              </w:rPr>
            </w:pPr>
            <w:r>
              <w:rPr>
                <w:rFonts w:hint="eastAsia"/>
                <w:color w:val="auto"/>
                <w:szCs w:val="21"/>
                <w:highlight w:val="none"/>
              </w:rPr>
              <w:t>评标基准价：对所有通过初步评审且报价不超过预算控制金额的有效投标报价</w:t>
            </w:r>
            <w:r>
              <w:rPr>
                <w:rFonts w:hint="eastAsia"/>
                <w:color w:val="auto"/>
                <w:szCs w:val="21"/>
                <w:highlight w:val="none"/>
                <w:lang w:eastAsia="zh-CN"/>
              </w:rPr>
              <w:t>（</w:t>
            </w:r>
            <w:r>
              <w:rPr>
                <w:rFonts w:hint="eastAsia"/>
                <w:color w:val="auto"/>
                <w:szCs w:val="21"/>
                <w:highlight w:val="none"/>
                <w:lang w:val="en-US" w:eastAsia="zh-CN"/>
              </w:rPr>
              <w:t>各参加单位未税总报价</w:t>
            </w:r>
            <w:r>
              <w:rPr>
                <w:rFonts w:hint="eastAsia"/>
                <w:color w:val="auto"/>
                <w:szCs w:val="21"/>
                <w:highlight w:val="none"/>
                <w:lang w:eastAsia="zh-CN"/>
              </w:rPr>
              <w:t>）</w:t>
            </w:r>
            <w:r>
              <w:rPr>
                <w:rFonts w:hint="eastAsia"/>
                <w:color w:val="auto"/>
                <w:szCs w:val="21"/>
                <w:highlight w:val="none"/>
              </w:rPr>
              <w:t>取算术平均值。</w:t>
            </w:r>
          </w:p>
          <w:p>
            <w:pPr>
              <w:snapToGrid/>
              <w:jc w:val="left"/>
              <w:rPr>
                <w:rFonts w:ascii="宋体" w:hAnsi="宋体" w:cs="宋体"/>
                <w:color w:val="auto"/>
                <w:kern w:val="0"/>
                <w:szCs w:val="21"/>
                <w:highlight w:val="none"/>
              </w:rPr>
            </w:pPr>
            <w:r>
              <w:rPr>
                <w:rFonts w:hint="eastAsia" w:ascii="宋体" w:hAnsi="宋体" w:cs="宋体"/>
                <w:color w:val="auto"/>
                <w:kern w:val="0"/>
                <w:szCs w:val="21"/>
                <w:highlight w:val="none"/>
              </w:rPr>
              <w:t>价格分计算公式：</w:t>
            </w:r>
          </w:p>
          <w:p>
            <w:pPr>
              <w:snapToGrid/>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未税</w:t>
            </w:r>
            <w:r>
              <w:rPr>
                <w:rFonts w:hint="eastAsia" w:ascii="宋体" w:hAnsi="宋体" w:cs="宋体"/>
                <w:color w:val="auto"/>
                <w:kern w:val="0"/>
                <w:sz w:val="21"/>
                <w:szCs w:val="21"/>
                <w:highlight w:val="none"/>
                <w:lang w:val="en-US" w:eastAsia="zh-CN"/>
              </w:rPr>
              <w:t>投标总</w:t>
            </w:r>
            <w:r>
              <w:rPr>
                <w:rFonts w:hint="eastAsia" w:ascii="宋体" w:hAnsi="宋体" w:eastAsia="宋体" w:cs="宋体"/>
                <w:color w:val="auto"/>
                <w:kern w:val="0"/>
                <w:sz w:val="21"/>
                <w:szCs w:val="21"/>
                <w:highlight w:val="none"/>
              </w:rPr>
              <w:t>报价-基准价|÷基准价）×价格权重</w:t>
            </w:r>
          </w:p>
          <w:p>
            <w:pPr>
              <w:widowControl/>
              <w:jc w:val="left"/>
              <w:rPr>
                <w:rFonts w:hint="default" w:ascii="宋体" w:eastAsia="宋体" w:cs="宋体"/>
                <w:color w:val="auto"/>
                <w:kern w:val="0"/>
                <w:szCs w:val="21"/>
                <w:highlight w:val="none"/>
              </w:rPr>
            </w:pPr>
            <w:r>
              <w:rPr>
                <w:rFonts w:hint="default" w:ascii="宋体" w:eastAsia="宋体" w:cs="宋体"/>
                <w:color w:val="auto"/>
                <w:kern w:val="0"/>
                <w:szCs w:val="21"/>
                <w:highlight w:val="none"/>
              </w:rPr>
              <w:t>说明：报价最接近基准价的投标人价格分最高，价格分保留至小数点后两位。</w:t>
            </w:r>
          </w:p>
          <w:p>
            <w:pPr>
              <w:widowControl/>
              <w:jc w:val="left"/>
              <w:rPr>
                <w:rFonts w:ascii="宋体" w:hAnsi="宋体" w:cs="宋体"/>
                <w:szCs w:val="21"/>
              </w:rPr>
            </w:pPr>
            <w:r>
              <w:rPr>
                <w:rFonts w:hint="default"/>
                <w:b w:val="0"/>
                <w:bCs w:val="0"/>
              </w:rPr>
              <w:t>（说明：称的“报价”均是指税前总金额，即净价）</w:t>
            </w:r>
            <w:r>
              <w:rPr>
                <w:rFonts w:hint="eastAsia"/>
                <w:b w:val="0"/>
                <w:bCs w:val="0"/>
                <w:lang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66" w:hRule="atLeast"/>
          <w:tblCellSpacing w:w="0" w:type="dxa"/>
          <w:jc w:val="center"/>
        </w:trPr>
        <w:tc>
          <w:tcPr>
            <w:tcW w:w="8486" w:type="dxa"/>
            <w:gridSpan w:val="3"/>
            <w:tcBorders>
              <w:top w:val="outset" w:color="DDDDDD" w:sz="6" w:space="0"/>
              <w:left w:val="outset" w:color="DDDDDD" w:sz="6" w:space="0"/>
              <w:bottom w:val="outset" w:color="DDDDDD" w:sz="6" w:space="0"/>
              <w:right w:val="outset" w:color="DDDDDD" w:sz="6" w:space="0"/>
            </w:tcBorders>
            <w:vAlign w:val="center"/>
          </w:tcPr>
          <w:p>
            <w:pPr>
              <w:widowControl/>
              <w:tabs>
                <w:tab w:val="left" w:pos="4858"/>
              </w:tabs>
              <w:jc w:val="center"/>
              <w:rPr>
                <w:rFonts w:hint="eastAsia" w:ascii="宋体" w:eastAsia="宋体" w:cs="宋体"/>
                <w:color w:val="auto"/>
                <w:kern w:val="0"/>
                <w:szCs w:val="21"/>
                <w:highlight w:val="none"/>
                <w:lang w:eastAsia="zh-CN"/>
              </w:rPr>
            </w:pPr>
            <w:bookmarkStart w:id="17" w:name="_Toc128989102"/>
            <w:r>
              <w:rPr>
                <w:rFonts w:hint="eastAsia" w:ascii="宋体" w:hAnsi="宋体" w:cs="宋体"/>
                <w:szCs w:val="21"/>
                <w:lang w:val="en-US" w:eastAsia="zh-CN"/>
              </w:rPr>
              <w:t>技术（服务）评议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规划方案</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eastAsia" w:ascii="宋体" w:hAnsi="宋体" w:eastAsia="宋体" w:cs="宋体"/>
                <w:color w:val="auto"/>
                <w:szCs w:val="21"/>
              </w:rPr>
            </w:pPr>
            <w:r>
              <w:rPr>
                <w:rFonts w:hint="eastAsia" w:ascii="宋体" w:hAnsi="宋体"/>
                <w:color w:val="auto"/>
                <w:kern w:val="1"/>
                <w:szCs w:val="21"/>
                <w:lang w:val="en-US" w:eastAsia="zh-CN"/>
              </w:rPr>
              <w:t>根据</w:t>
            </w:r>
            <w:r>
              <w:rPr>
                <w:rFonts w:hint="eastAsia" w:ascii="宋体" w:hAnsi="宋体"/>
                <w:color w:val="auto"/>
                <w:kern w:val="1"/>
                <w:szCs w:val="21"/>
              </w:rPr>
              <w:t>各</w:t>
            </w:r>
            <w:r>
              <w:rPr>
                <w:rFonts w:hint="eastAsia" w:ascii="宋体" w:hAnsi="宋体"/>
                <w:color w:val="auto"/>
                <w:kern w:val="1"/>
                <w:szCs w:val="21"/>
                <w:lang w:val="en-US" w:eastAsia="zh-CN"/>
              </w:rPr>
              <w:t>参加</w:t>
            </w:r>
            <w:r>
              <w:rPr>
                <w:rFonts w:hint="eastAsia" w:ascii="宋体" w:hAnsi="宋体"/>
                <w:color w:val="auto"/>
                <w:kern w:val="1"/>
                <w:szCs w:val="21"/>
              </w:rPr>
              <w:t>单位所提供的</w:t>
            </w:r>
            <w:r>
              <w:rPr>
                <w:rFonts w:hint="eastAsia" w:ascii="宋体" w:hAnsi="宋体"/>
                <w:color w:val="auto"/>
                <w:kern w:val="1"/>
                <w:szCs w:val="21"/>
                <w:lang w:val="en-US" w:eastAsia="zh-CN"/>
              </w:rPr>
              <w:t>规划</w:t>
            </w:r>
            <w:r>
              <w:rPr>
                <w:rFonts w:hint="eastAsia"/>
                <w:color w:val="auto"/>
                <w:kern w:val="1"/>
              </w:rPr>
              <w:t>方案</w:t>
            </w:r>
            <w:r>
              <w:rPr>
                <w:rFonts w:hint="eastAsia"/>
                <w:color w:val="auto"/>
                <w:kern w:val="1"/>
                <w:lang w:val="en-US" w:eastAsia="zh-CN"/>
              </w:rPr>
              <w:t>的</w:t>
            </w:r>
            <w:r>
              <w:rPr>
                <w:rFonts w:hint="eastAsia" w:ascii="宋体" w:hAnsi="宋体"/>
                <w:color w:val="auto"/>
                <w:kern w:val="1"/>
                <w:szCs w:val="21"/>
              </w:rPr>
              <w:t>科学合理</w:t>
            </w:r>
            <w:r>
              <w:rPr>
                <w:rFonts w:hint="eastAsia" w:ascii="宋体" w:hAnsi="宋体"/>
                <w:color w:val="auto"/>
                <w:kern w:val="1"/>
                <w:szCs w:val="21"/>
                <w:lang w:val="en-US" w:eastAsia="zh-CN"/>
              </w:rPr>
              <w:t>、</w:t>
            </w:r>
            <w:r>
              <w:rPr>
                <w:rFonts w:hint="eastAsia" w:ascii="宋体" w:hAnsi="宋体"/>
                <w:color w:val="auto"/>
                <w:kern w:val="1"/>
                <w:szCs w:val="21"/>
              </w:rPr>
              <w:t>可操作性</w:t>
            </w:r>
            <w:r>
              <w:rPr>
                <w:rFonts w:hint="eastAsia" w:ascii="宋体" w:hAnsi="宋体"/>
                <w:color w:val="auto"/>
                <w:kern w:val="1"/>
                <w:szCs w:val="21"/>
                <w:lang w:val="en-US" w:eastAsia="zh-CN"/>
              </w:rPr>
              <w:t>等</w:t>
            </w:r>
            <w:r>
              <w:rPr>
                <w:rFonts w:hint="eastAsia"/>
                <w:color w:val="auto"/>
                <w:kern w:val="1"/>
                <w:lang w:val="en-US" w:eastAsia="zh-CN"/>
              </w:rPr>
              <w:t>进行综合评议，</w:t>
            </w:r>
            <w:r>
              <w:rPr>
                <w:rFonts w:hint="eastAsia" w:ascii="宋体" w:hAnsi="宋体"/>
                <w:color w:val="auto"/>
                <w:kern w:val="1"/>
                <w:szCs w:val="21"/>
                <w:lang w:val="en-US" w:eastAsia="zh-CN"/>
              </w:rPr>
              <w:t>评价</w:t>
            </w:r>
            <w:r>
              <w:rPr>
                <w:rFonts w:hint="eastAsia" w:ascii="宋体" w:hAnsi="宋体" w:cs="宋体"/>
                <w:color w:val="auto"/>
                <w:kern w:val="1"/>
                <w:szCs w:val="21"/>
              </w:rPr>
              <w:t>优得</w:t>
            </w:r>
            <w:r>
              <w:rPr>
                <w:rFonts w:hint="eastAsia" w:ascii="宋体" w:hAnsi="宋体" w:cs="宋体"/>
                <w:color w:val="auto"/>
                <w:kern w:val="1"/>
                <w:szCs w:val="21"/>
                <w:lang w:val="en-US" w:eastAsia="zh-CN"/>
              </w:rPr>
              <w:t>4</w:t>
            </w:r>
            <w:r>
              <w:rPr>
                <w:rFonts w:hint="eastAsia" w:ascii="宋体" w:hAnsi="宋体" w:cs="宋体"/>
                <w:color w:val="auto"/>
                <w:kern w:val="1"/>
                <w:szCs w:val="21"/>
              </w:rPr>
              <w:t>0分，良得</w:t>
            </w:r>
            <w:r>
              <w:rPr>
                <w:rFonts w:hint="eastAsia" w:ascii="宋体" w:hAnsi="宋体" w:cs="宋体"/>
                <w:color w:val="auto"/>
                <w:kern w:val="1"/>
                <w:szCs w:val="21"/>
                <w:lang w:val="en-US" w:eastAsia="zh-CN"/>
              </w:rPr>
              <w:t>30</w:t>
            </w:r>
            <w:r>
              <w:rPr>
                <w:rFonts w:hint="eastAsia" w:ascii="宋体" w:hAnsi="宋体" w:cs="宋体"/>
                <w:color w:val="auto"/>
                <w:kern w:val="1"/>
                <w:szCs w:val="21"/>
              </w:rPr>
              <w:t>分，一般得</w:t>
            </w:r>
            <w:r>
              <w:rPr>
                <w:rFonts w:hint="eastAsia" w:ascii="宋体" w:hAnsi="宋体" w:cs="宋体"/>
                <w:color w:val="auto"/>
                <w:kern w:val="1"/>
                <w:szCs w:val="21"/>
                <w:lang w:val="en-US" w:eastAsia="zh-CN"/>
              </w:rPr>
              <w:t>20</w:t>
            </w:r>
            <w:r>
              <w:rPr>
                <w:rFonts w:hint="eastAsia" w:ascii="宋体" w:hAnsi="宋体" w:cs="宋体"/>
                <w:color w:val="auto"/>
                <w:kern w:val="1"/>
                <w:szCs w:val="21"/>
              </w:rPr>
              <w:t>分，差得</w:t>
            </w:r>
            <w:r>
              <w:rPr>
                <w:rFonts w:hint="eastAsia" w:ascii="宋体" w:hAnsi="宋体" w:cs="宋体"/>
                <w:color w:val="auto"/>
                <w:kern w:val="1"/>
                <w:szCs w:val="21"/>
                <w:lang w:val="en-US" w:eastAsia="zh-CN"/>
              </w:rPr>
              <w:t>5</w:t>
            </w:r>
            <w:r>
              <w:rPr>
                <w:rFonts w:hint="eastAsia" w:ascii="宋体" w:hAnsi="宋体" w:cs="宋体"/>
                <w:color w:val="auto"/>
                <w:kern w:val="1"/>
                <w:szCs w:val="21"/>
              </w:rPr>
              <w:t>分，未提供不得分。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人员配置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根据各参加单位针对本项目的人员配置进行评议，</w:t>
            </w:r>
            <w:r>
              <w:rPr>
                <w:rFonts w:hint="eastAsia" w:ascii="宋体" w:hAnsi="宋体"/>
                <w:color w:val="auto"/>
                <w:kern w:val="1"/>
                <w:szCs w:val="21"/>
                <w:lang w:val="en-US" w:eastAsia="zh-CN"/>
              </w:rPr>
              <w:t>评价</w:t>
            </w:r>
            <w:r>
              <w:rPr>
                <w:rFonts w:hint="eastAsia" w:ascii="宋体" w:hAnsi="宋体" w:cs="宋体"/>
                <w:color w:val="auto"/>
                <w:kern w:val="1"/>
                <w:szCs w:val="21"/>
              </w:rPr>
              <w:t>优得20分，良得1</w:t>
            </w:r>
            <w:r>
              <w:rPr>
                <w:rFonts w:hint="eastAsia" w:ascii="宋体" w:hAnsi="宋体" w:cs="宋体"/>
                <w:color w:val="auto"/>
                <w:kern w:val="1"/>
                <w:szCs w:val="21"/>
                <w:lang w:val="en-US" w:eastAsia="zh-CN"/>
              </w:rPr>
              <w:t>5</w:t>
            </w:r>
            <w:r>
              <w:rPr>
                <w:rFonts w:hint="eastAsia" w:ascii="宋体" w:hAnsi="宋体" w:cs="宋体"/>
                <w:color w:val="auto"/>
                <w:kern w:val="1"/>
                <w:szCs w:val="21"/>
              </w:rPr>
              <w:t>分，一般得</w:t>
            </w:r>
            <w:r>
              <w:rPr>
                <w:rFonts w:hint="eastAsia" w:ascii="宋体" w:hAnsi="宋体" w:cs="宋体"/>
                <w:color w:val="auto"/>
                <w:kern w:val="1"/>
                <w:szCs w:val="21"/>
                <w:lang w:val="en-US" w:eastAsia="zh-CN"/>
              </w:rPr>
              <w:t>10</w:t>
            </w:r>
            <w:r>
              <w:rPr>
                <w:rFonts w:hint="eastAsia" w:ascii="宋体" w:hAnsi="宋体" w:cs="宋体"/>
                <w:color w:val="auto"/>
                <w:kern w:val="1"/>
                <w:szCs w:val="21"/>
              </w:rPr>
              <w:t>分，差得</w:t>
            </w:r>
            <w:r>
              <w:rPr>
                <w:rFonts w:hint="eastAsia" w:ascii="宋体" w:hAnsi="宋体" w:cs="宋体"/>
                <w:color w:val="auto"/>
                <w:kern w:val="1"/>
                <w:szCs w:val="21"/>
                <w:lang w:val="en-US" w:eastAsia="zh-CN"/>
              </w:rPr>
              <w:t>5</w:t>
            </w:r>
            <w:r>
              <w:rPr>
                <w:rFonts w:hint="eastAsia" w:ascii="宋体" w:hAnsi="宋体" w:cs="宋体"/>
                <w:color w:val="auto"/>
                <w:kern w:val="1"/>
                <w:szCs w:val="21"/>
              </w:rPr>
              <w:t>分，未提供不得分。</w:t>
            </w:r>
          </w:p>
        </w:tc>
      </w:tr>
    </w:tbl>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28989103"/>
      <w:r>
        <w:rPr>
          <w:rFonts w:hint="eastAsia" w:ascii="宋体" w:hAnsi="宋体" w:cs="宋体"/>
          <w:b/>
          <w:sz w:val="24"/>
        </w:rPr>
        <w:t>合同条款及格式</w:t>
      </w:r>
      <w:bookmarkEnd w:id="18"/>
    </w:p>
    <w:p>
      <w:pPr>
        <w:pStyle w:val="29"/>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19"/>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0" w:name="_Toc128989104"/>
      <w:r>
        <w:rPr>
          <w:rFonts w:hint="eastAsia" w:ascii="宋体" w:hAnsi="宋体" w:cs="宋体"/>
          <w:b/>
          <w:sz w:val="24"/>
        </w:rPr>
        <w:t>附件</w:t>
      </w:r>
      <w:bookmarkEnd w:id="20"/>
    </w:p>
    <w:p>
      <w:pPr>
        <w:pStyle w:val="11"/>
        <w:rPr>
          <w:rFonts w:ascii="仿宋" w:hAnsi="仿宋" w:eastAsia="仿宋" w:cs="仿宋"/>
          <w:sz w:val="28"/>
          <w:szCs w:val="28"/>
        </w:rPr>
      </w:pPr>
      <w:bookmarkStart w:id="21" w:name="_Toc478387760"/>
    </w:p>
    <w:p>
      <w:pPr>
        <w:pStyle w:val="11"/>
        <w:rPr>
          <w:rFonts w:ascii="仿宋" w:hAnsi="仿宋" w:eastAsia="仿宋" w:cs="仿宋"/>
          <w:sz w:val="28"/>
          <w:szCs w:val="28"/>
        </w:rPr>
      </w:pPr>
    </w:p>
    <w:p>
      <w:pPr>
        <w:spacing w:line="0" w:lineRule="atLeast"/>
        <w:outlineLvl w:val="0"/>
        <w:rPr>
          <w:rFonts w:ascii="宋体" w:hAnsi="宋体"/>
        </w:rPr>
      </w:pPr>
      <w:bookmarkStart w:id="22" w:name="_Toc128989105"/>
      <w:r>
        <w:rPr>
          <w:rFonts w:hint="eastAsia" w:ascii="仿宋" w:hAnsi="仿宋" w:eastAsia="仿宋" w:cs="仿宋"/>
          <w:sz w:val="28"/>
          <w:szCs w:val="28"/>
        </w:rPr>
        <w:t>附件1：报名回函</w:t>
      </w:r>
      <w:bookmarkEnd w:id="22"/>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3" w:name="_Toc128989106"/>
      <w:r>
        <w:rPr>
          <w:rFonts w:hint="eastAsia" w:ascii="仿宋" w:hAnsi="仿宋" w:eastAsia="仿宋" w:cs="仿宋"/>
          <w:sz w:val="28"/>
          <w:szCs w:val="28"/>
        </w:rPr>
        <w:t>附件2：考察证明</w:t>
      </w:r>
      <w:bookmarkEnd w:id="21"/>
      <w:bookmarkEnd w:id="23"/>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4"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参加了采购人（深圳会展中心管理有限责任公司）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rPr>
        <w:t>，详细听取了采购人的讲解和要求，已经知晓招标人本次项目的所有内容以及技术要求等。</w:t>
      </w:r>
    </w:p>
    <w:bookmarkEnd w:id="2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5"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8"/>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6" w:name="_Toc25356"/>
      <w:r>
        <w:rPr>
          <w:rFonts w:hint="eastAsia" w:ascii="仿宋" w:hAnsi="仿宋" w:eastAsia="仿宋" w:cs="仿宋"/>
          <w:sz w:val="28"/>
          <w:szCs w:val="28"/>
        </w:rPr>
        <w:t>日期：_________年____月____日</w:t>
      </w:r>
      <w:bookmarkEnd w:id="26"/>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8"/>
      <w:r>
        <w:rPr>
          <w:rFonts w:hint="eastAsia" w:ascii="仿宋" w:hAnsi="仿宋" w:eastAsia="仿宋" w:cs="仿宋"/>
          <w:sz w:val="28"/>
          <w:szCs w:val="28"/>
        </w:rPr>
        <w:t>附件4：报价一览表（服务）</w:t>
      </w:r>
      <w:bookmarkEnd w:id="27"/>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8" w:name="_Toc211248412"/>
      <w:r>
        <w:rPr>
          <w:rFonts w:hint="eastAsia" w:ascii="仿宋" w:hAnsi="仿宋" w:eastAsia="仿宋" w:cs="仿宋"/>
          <w:sz w:val="28"/>
          <w:szCs w:val="28"/>
        </w:rPr>
        <w:br w:type="page"/>
      </w:r>
      <w:bookmarkEnd w:id="28"/>
      <w:bookmarkStart w:id="29" w:name="_Toc128989109"/>
      <w:bookmarkStart w:id="30"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9"/>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20"/>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1" w:name="_Toc128989110"/>
      <w:r>
        <w:rPr>
          <w:rFonts w:hint="eastAsia" w:ascii="仿宋" w:hAnsi="仿宋" w:eastAsia="仿宋" w:cs="仿宋"/>
          <w:color w:val="000000"/>
          <w:sz w:val="28"/>
          <w:szCs w:val="28"/>
        </w:rPr>
        <w:t>附件6：商务条款响应/偏离表</w:t>
      </w:r>
      <w:bookmarkEnd w:id="31"/>
    </w:p>
    <w:p>
      <w:pPr>
        <w:adjustRightInd w:val="0"/>
        <w:snapToGrid w:val="0"/>
        <w:spacing w:before="240" w:after="240" w:line="400" w:lineRule="exact"/>
        <w:jc w:val="center"/>
        <w:rPr>
          <w:rFonts w:ascii="仿宋" w:hAnsi="仿宋" w:eastAsia="仿宋" w:cs="仿宋"/>
          <w:color w:val="000000"/>
          <w:sz w:val="28"/>
          <w:szCs w:val="28"/>
        </w:rPr>
      </w:pPr>
      <w:bookmarkStart w:id="32"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2"/>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3" w:name="_Toc85808702"/>
      <w:bookmarkStart w:id="34" w:name="_Toc236803114"/>
      <w:bookmarkStart w:id="35" w:name="_Toc128989111"/>
      <w:r>
        <w:rPr>
          <w:rFonts w:hint="eastAsia" w:ascii="仿宋" w:hAnsi="仿宋" w:eastAsia="仿宋" w:cs="仿宋"/>
          <w:color w:val="000000"/>
          <w:sz w:val="28"/>
          <w:szCs w:val="28"/>
        </w:rPr>
        <w:t>附件7： 技术（服务）响应/偏离表</w:t>
      </w:r>
      <w:bookmarkEnd w:id="33"/>
      <w:bookmarkEnd w:id="34"/>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7" w:name="_Toc128989112"/>
      <w:r>
        <w:rPr>
          <w:rFonts w:hint="eastAsia" w:ascii="仿宋" w:hAnsi="仿宋" w:eastAsia="仿宋" w:cs="仿宋"/>
          <w:sz w:val="28"/>
          <w:szCs w:val="28"/>
        </w:rPr>
        <w:t>附件8：法定代表人证明书</w:t>
      </w:r>
      <w:bookmarkEnd w:id="30"/>
      <w:bookmarkEnd w:id="37"/>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8"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9" w:name="_Toc128989113"/>
      <w:r>
        <w:rPr>
          <w:rFonts w:hint="eastAsia" w:ascii="仿宋" w:hAnsi="仿宋" w:eastAsia="仿宋" w:cs="仿宋"/>
          <w:sz w:val="28"/>
          <w:szCs w:val="28"/>
        </w:rPr>
        <w:t>附件9：法人授权委托证明书</w:t>
      </w:r>
      <w:bookmarkEnd w:id="38"/>
      <w:bookmarkEnd w:id="3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0" w:name="_Toc54773235"/>
      <w:bookmarkStart w:id="41" w:name="_Toc128989114"/>
      <w:r>
        <w:rPr>
          <w:rFonts w:hint="eastAsia" w:ascii="仿宋" w:hAnsi="仿宋" w:eastAsia="仿宋" w:cs="仿宋"/>
          <w:sz w:val="28"/>
          <w:szCs w:val="28"/>
        </w:rPr>
        <w:t>附件10：经营业绩一览表</w:t>
      </w:r>
      <w:bookmarkEnd w:id="40"/>
      <w:bookmarkEnd w:id="41"/>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2" w:name="_Toc54773236"/>
      <w:bookmarkStart w:id="43" w:name="_Toc128989115"/>
      <w:r>
        <w:rPr>
          <w:rFonts w:hint="eastAsia" w:ascii="仿宋" w:hAnsi="仿宋" w:eastAsia="仿宋" w:cs="仿宋"/>
          <w:sz w:val="28"/>
          <w:szCs w:val="28"/>
        </w:rPr>
        <w:t>附件11：售后服务承诺书</w:t>
      </w:r>
      <w:bookmarkEnd w:id="42"/>
      <w:r>
        <w:rPr>
          <w:rFonts w:ascii="仿宋" w:hAnsi="仿宋" w:eastAsia="仿宋" w:cs="仿宋"/>
          <w:sz w:val="28"/>
          <w:szCs w:val="28"/>
        </w:rPr>
        <w:t>/质量保修服务承诺书（根据项目类型选择）</w:t>
      </w:r>
      <w:bookmarkEnd w:id="43"/>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4" w:name="_Toc32341"/>
      <w:r>
        <w:rPr>
          <w:rFonts w:hint="eastAsia" w:ascii="仿宋" w:hAnsi="仿宋" w:eastAsia="仿宋" w:cs="仿宋"/>
          <w:sz w:val="28"/>
          <w:szCs w:val="28"/>
        </w:rPr>
        <w:br w:type="page"/>
      </w:r>
      <w:bookmarkStart w:id="45" w:name="_Toc54773237"/>
      <w:bookmarkStart w:id="46" w:name="_Toc128989116"/>
      <w:r>
        <w:rPr>
          <w:rFonts w:hint="eastAsia" w:ascii="仿宋" w:hAnsi="仿宋" w:eastAsia="仿宋" w:cs="仿宋"/>
          <w:sz w:val="28"/>
          <w:szCs w:val="28"/>
        </w:rPr>
        <w:t>附件12：履约情况及社会信誉承诺书</w:t>
      </w:r>
      <w:bookmarkEnd w:id="44"/>
      <w:bookmarkEnd w:id="45"/>
      <w:bookmarkEnd w:id="46"/>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7"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7"/>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8" w:name="_Toc128989117"/>
      <w:r>
        <w:rPr>
          <w:rFonts w:hint="eastAsia" w:ascii="仿宋" w:hAnsi="仿宋" w:eastAsia="仿宋" w:cs="仿宋"/>
          <w:sz w:val="28"/>
          <w:szCs w:val="28"/>
        </w:rPr>
        <w:t>附件13：投标文件密码</w:t>
      </w:r>
      <w:bookmarkEnd w:id="48"/>
    </w:p>
    <w:p>
      <w:pPr>
        <w:spacing w:line="360" w:lineRule="auto"/>
        <w:jc w:val="center"/>
        <w:rPr>
          <w:rFonts w:ascii="宋体" w:hAnsi="宋体"/>
          <w:b/>
          <w:sz w:val="44"/>
          <w:szCs w:val="44"/>
        </w:rPr>
      </w:pPr>
    </w:p>
    <w:p>
      <w:pPr>
        <w:jc w:val="center"/>
        <w:rPr>
          <w:rFonts w:ascii="宋体" w:hAnsi="宋体"/>
          <w:b/>
          <w:color w:val="000000"/>
          <w:sz w:val="32"/>
          <w:szCs w:val="32"/>
        </w:rPr>
      </w:pPr>
      <w:bookmarkStart w:id="4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9"/>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B6FE4"/>
    <w:multiLevelType w:val="singleLevel"/>
    <w:tmpl w:val="86AB6FE4"/>
    <w:lvl w:ilvl="0" w:tentative="0">
      <w:start w:val="1"/>
      <w:numFmt w:val="decimal"/>
      <w:lvlText w:val="%1)"/>
      <w:lvlJc w:val="left"/>
      <w:pPr>
        <w:ind w:left="425" w:hanging="425"/>
      </w:pPr>
      <w:rPr>
        <w:rFonts w:hint="default"/>
      </w:rPr>
    </w:lvl>
  </w:abstractNum>
  <w:abstractNum w:abstractNumId="1">
    <w:nsid w:val="B41E5135"/>
    <w:multiLevelType w:val="singleLevel"/>
    <w:tmpl w:val="B41E5135"/>
    <w:lvl w:ilvl="0" w:tentative="0">
      <w:start w:val="1"/>
      <w:numFmt w:val="decimal"/>
      <w:lvlText w:val="%1)"/>
      <w:lvlJc w:val="left"/>
      <w:pPr>
        <w:ind w:left="425" w:hanging="425"/>
      </w:pPr>
      <w:rPr>
        <w:rFonts w:hint="default"/>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21305886"/>
    <w:multiLevelType w:val="singleLevel"/>
    <w:tmpl w:val="21305886"/>
    <w:lvl w:ilvl="0" w:tentative="0">
      <w:start w:val="1"/>
      <w:numFmt w:val="decimal"/>
      <w:lvlText w:val="（%1）"/>
      <w:lvlJc w:val="left"/>
      <w:pPr>
        <w:ind w:left="420" w:hanging="420"/>
      </w:pPr>
      <w:rPr>
        <w:rFonts w:hint="eastAsia"/>
      </w:r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2D6470"/>
    <w:multiLevelType w:val="singleLevel"/>
    <w:tmpl w:val="472D6470"/>
    <w:lvl w:ilvl="0" w:tentative="0">
      <w:start w:val="1"/>
      <w:numFmt w:val="decimal"/>
      <w:lvlText w:val="%1."/>
      <w:lvlJc w:val="left"/>
      <w:pPr>
        <w:ind w:left="425" w:hanging="425"/>
      </w:pPr>
      <w:rPr>
        <w:rFonts w:hint="default"/>
      </w:rPr>
    </w:lvl>
  </w:abstractNum>
  <w:abstractNum w:abstractNumId="1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9">
    <w:nsid w:val="4C994F10"/>
    <w:multiLevelType w:val="singleLevel"/>
    <w:tmpl w:val="4C994F10"/>
    <w:lvl w:ilvl="0" w:tentative="0">
      <w:start w:val="1"/>
      <w:numFmt w:val="decimal"/>
      <w:lvlText w:val="%1)"/>
      <w:lvlJc w:val="left"/>
      <w:pPr>
        <w:ind w:left="425" w:hanging="425"/>
      </w:pPr>
      <w:rPr>
        <w:rFonts w:hint="default"/>
      </w:rPr>
    </w:lvl>
  </w:abstractNum>
  <w:abstractNum w:abstractNumId="2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5">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26">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18"/>
  </w:num>
  <w:num w:numId="2">
    <w:abstractNumId w:val="24"/>
  </w:num>
  <w:num w:numId="3">
    <w:abstractNumId w:val="14"/>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0"/>
  </w:num>
  <w:num w:numId="9">
    <w:abstractNumId w:val="3"/>
  </w:num>
  <w:num w:numId="10">
    <w:abstractNumId w:val="27"/>
  </w:num>
  <w:num w:numId="11">
    <w:abstractNumId w:val="11"/>
  </w:num>
  <w:num w:numId="12">
    <w:abstractNumId w:val="0"/>
  </w:num>
  <w:num w:numId="13">
    <w:abstractNumId w:val="1"/>
  </w:num>
  <w:num w:numId="14">
    <w:abstractNumId w:val="19"/>
  </w:num>
  <w:num w:numId="15">
    <w:abstractNumId w:val="17"/>
  </w:num>
  <w:num w:numId="16">
    <w:abstractNumId w:val="6"/>
  </w:num>
  <w:num w:numId="17">
    <w:abstractNumId w:val="25"/>
  </w:num>
  <w:num w:numId="18">
    <w:abstractNumId w:val="23"/>
  </w:num>
  <w:num w:numId="19">
    <w:abstractNumId w:val="15"/>
  </w:num>
  <w:num w:numId="20">
    <w:abstractNumId w:val="13"/>
  </w:num>
  <w:num w:numId="21">
    <w:abstractNumId w:val="4"/>
  </w:num>
  <w:num w:numId="22">
    <w:abstractNumId w:val="8"/>
  </w:num>
  <w:num w:numId="23">
    <w:abstractNumId w:val="5"/>
  </w:num>
  <w:num w:numId="24">
    <w:abstractNumId w:val="26"/>
  </w:num>
  <w:num w:numId="25">
    <w:abstractNumId w:val="16"/>
  </w:num>
  <w:num w:numId="26">
    <w:abstractNumId w:val="22"/>
  </w:num>
  <w:num w:numId="27">
    <w:abstractNumId w:val="7"/>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B8428C"/>
    <w:rsid w:val="06D05917"/>
    <w:rsid w:val="07F47C05"/>
    <w:rsid w:val="09550008"/>
    <w:rsid w:val="0BB540F7"/>
    <w:rsid w:val="0CBF3E0A"/>
    <w:rsid w:val="0D6C68DD"/>
    <w:rsid w:val="0DE325EB"/>
    <w:rsid w:val="0FE67E91"/>
    <w:rsid w:val="0FF30054"/>
    <w:rsid w:val="101605F7"/>
    <w:rsid w:val="10AB64EF"/>
    <w:rsid w:val="114C469F"/>
    <w:rsid w:val="11672EFE"/>
    <w:rsid w:val="12233FCD"/>
    <w:rsid w:val="12843799"/>
    <w:rsid w:val="146B7570"/>
    <w:rsid w:val="14C14D59"/>
    <w:rsid w:val="17F6273C"/>
    <w:rsid w:val="1828123D"/>
    <w:rsid w:val="189C2AC0"/>
    <w:rsid w:val="18A624A5"/>
    <w:rsid w:val="19E55AF8"/>
    <w:rsid w:val="1B9A1A18"/>
    <w:rsid w:val="1CCD79EE"/>
    <w:rsid w:val="1D012599"/>
    <w:rsid w:val="1D9D4BEE"/>
    <w:rsid w:val="1E020668"/>
    <w:rsid w:val="1E1C321D"/>
    <w:rsid w:val="1E6A5405"/>
    <w:rsid w:val="2182668C"/>
    <w:rsid w:val="22C64C6F"/>
    <w:rsid w:val="22C90A12"/>
    <w:rsid w:val="252941C0"/>
    <w:rsid w:val="2676651C"/>
    <w:rsid w:val="28413D6F"/>
    <w:rsid w:val="28C21443"/>
    <w:rsid w:val="2907316B"/>
    <w:rsid w:val="298D33FE"/>
    <w:rsid w:val="2A694883"/>
    <w:rsid w:val="2B733A0B"/>
    <w:rsid w:val="2D341708"/>
    <w:rsid w:val="2DD81582"/>
    <w:rsid w:val="2FAD3F9D"/>
    <w:rsid w:val="2FB81CD2"/>
    <w:rsid w:val="2FEE58B7"/>
    <w:rsid w:val="32A82BA2"/>
    <w:rsid w:val="33984304"/>
    <w:rsid w:val="347E0722"/>
    <w:rsid w:val="3486272E"/>
    <w:rsid w:val="360109F6"/>
    <w:rsid w:val="366E373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CA8610E"/>
    <w:rsid w:val="3D0C7562"/>
    <w:rsid w:val="3E857452"/>
    <w:rsid w:val="3F5E1222"/>
    <w:rsid w:val="41AE46E3"/>
    <w:rsid w:val="4296659D"/>
    <w:rsid w:val="44663420"/>
    <w:rsid w:val="4479539E"/>
    <w:rsid w:val="44D742D8"/>
    <w:rsid w:val="452E5288"/>
    <w:rsid w:val="46E55B04"/>
    <w:rsid w:val="47887C1E"/>
    <w:rsid w:val="481C5C5C"/>
    <w:rsid w:val="48A23D12"/>
    <w:rsid w:val="48D32A87"/>
    <w:rsid w:val="4AD12B48"/>
    <w:rsid w:val="4C314B4E"/>
    <w:rsid w:val="4C6E0823"/>
    <w:rsid w:val="4C844900"/>
    <w:rsid w:val="4D8712BE"/>
    <w:rsid w:val="4E3426DD"/>
    <w:rsid w:val="4E976357"/>
    <w:rsid w:val="50764612"/>
    <w:rsid w:val="51CB596B"/>
    <w:rsid w:val="51D17820"/>
    <w:rsid w:val="51FF52E5"/>
    <w:rsid w:val="527032EE"/>
    <w:rsid w:val="52EE0307"/>
    <w:rsid w:val="52F57C70"/>
    <w:rsid w:val="53B53AF9"/>
    <w:rsid w:val="53FE2BDF"/>
    <w:rsid w:val="55C74643"/>
    <w:rsid w:val="561332A1"/>
    <w:rsid w:val="573A7EFD"/>
    <w:rsid w:val="57CC741D"/>
    <w:rsid w:val="580C55F4"/>
    <w:rsid w:val="5991464D"/>
    <w:rsid w:val="5ABF0408"/>
    <w:rsid w:val="5B6C034E"/>
    <w:rsid w:val="5C9546B7"/>
    <w:rsid w:val="5CA52C31"/>
    <w:rsid w:val="5EB66460"/>
    <w:rsid w:val="5F7C7776"/>
    <w:rsid w:val="619B20E5"/>
    <w:rsid w:val="62B324EB"/>
    <w:rsid w:val="63141A74"/>
    <w:rsid w:val="67027BAA"/>
    <w:rsid w:val="67DD1DA1"/>
    <w:rsid w:val="68C34FD4"/>
    <w:rsid w:val="68D4038F"/>
    <w:rsid w:val="69A30E21"/>
    <w:rsid w:val="6A731806"/>
    <w:rsid w:val="6AD21273"/>
    <w:rsid w:val="6B87489F"/>
    <w:rsid w:val="6C370286"/>
    <w:rsid w:val="6D9018A4"/>
    <w:rsid w:val="6E1B6D8D"/>
    <w:rsid w:val="6E597A7A"/>
    <w:rsid w:val="6F4A172C"/>
    <w:rsid w:val="6FBE3414"/>
    <w:rsid w:val="70DC5DB0"/>
    <w:rsid w:val="74701065"/>
    <w:rsid w:val="75106734"/>
    <w:rsid w:val="751975AF"/>
    <w:rsid w:val="755A63B4"/>
    <w:rsid w:val="75864917"/>
    <w:rsid w:val="764269C5"/>
    <w:rsid w:val="778B51DA"/>
    <w:rsid w:val="78D435AA"/>
    <w:rsid w:val="795D1CA3"/>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8899</Words>
  <Characters>9754</Characters>
  <Lines>95</Lines>
  <Paragraphs>27</Paragraphs>
  <TotalTime>28</TotalTime>
  <ScaleCrop>false</ScaleCrop>
  <LinksUpToDate>false</LinksUpToDate>
  <CharactersWithSpaces>11432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2023-05-11T07:32:00Z</cp:lastPrinted>
  <dcterms:modified xsi:type="dcterms:W3CDTF">2023-05-11T12:34:24Z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