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ind w:left="1483" w:leftChars="-95" w:hanging="1682" w:firstLineChars="0"/>
        <w:jc w:val="left"/>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2023年度专项安全隐患排查及应急演练策划实施项目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pStyle w:val="1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31</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color w:val="auto"/>
                <w:szCs w:val="21"/>
              </w:rPr>
            </w:pPr>
            <w:r>
              <w:rPr>
                <w:rFonts w:hint="eastAsia" w:ascii="宋体" w:hAnsi="宋体"/>
                <w:bCs/>
                <w:color w:val="auto"/>
                <w:szCs w:val="21"/>
              </w:rPr>
              <w:t>招标人</w:t>
            </w:r>
          </w:p>
        </w:tc>
        <w:tc>
          <w:tcPr>
            <w:tcW w:w="7029" w:type="dxa"/>
            <w:vAlign w:val="center"/>
          </w:tcPr>
          <w:p>
            <w:pPr>
              <w:wordWrap w:val="0"/>
              <w:autoSpaceDE w:val="0"/>
              <w:autoSpaceDN w:val="0"/>
              <w:adjustRightInd w:val="0"/>
              <w:snapToGrid w:val="0"/>
              <w:rPr>
                <w:rFonts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联系人：刘女士</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电话：0755-82848826</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传真：0755-8284694</w:t>
            </w:r>
          </w:p>
          <w:p>
            <w:pPr>
              <w:wordWrap w:val="0"/>
              <w:autoSpaceDE w:val="0"/>
              <w:autoSpaceDN w:val="0"/>
              <w:adjustRightInd w:val="0"/>
              <w:snapToGrid w:val="0"/>
              <w:rPr>
                <w:rFonts w:ascii="宋体" w:hAnsi="宋体"/>
                <w:color w:val="auto"/>
                <w:kern w:val="0"/>
                <w:szCs w:val="21"/>
                <w:u w:val="single"/>
              </w:rPr>
            </w:pPr>
            <w:r>
              <w:rPr>
                <w:rFonts w:hint="eastAsia" w:ascii="宋体" w:hAnsi="宋体"/>
                <w:color w:val="auto"/>
                <w:szCs w:val="21"/>
              </w:rPr>
              <w:t>邮箱：</w:t>
            </w:r>
            <w:r>
              <w:rPr>
                <w:color w:val="auto"/>
              </w:rPr>
              <w:fldChar w:fldCharType="begin"/>
            </w:r>
            <w:r>
              <w:rPr>
                <w:color w:val="auto"/>
              </w:rPr>
              <w:instrText xml:space="preserve"> HYPERLINK "mailto:*@qq.com" </w:instrText>
            </w:r>
            <w:r>
              <w:rPr>
                <w:color w:val="auto"/>
              </w:rPr>
              <w:fldChar w:fldCharType="separate"/>
            </w:r>
            <w:r>
              <w:rPr>
                <w:rFonts w:hint="eastAsia" w:ascii="宋体" w:hAnsi="宋体"/>
                <w:color w:val="auto"/>
                <w:szCs w:val="21"/>
              </w:rPr>
              <w:t>liuxh@c</w:t>
            </w:r>
            <w:r>
              <w:rPr>
                <w:rFonts w:hint="eastAsia" w:ascii="宋体" w:hAnsi="宋体"/>
                <w:color w:val="auto"/>
                <w:szCs w:val="21"/>
              </w:rPr>
              <w:fldChar w:fldCharType="end"/>
            </w:r>
            <w:r>
              <w:rPr>
                <w:rFonts w:hint="eastAsia" w:ascii="宋体" w:hAnsi="宋体"/>
                <w:color w:val="auto"/>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2023年度专项安全隐患排查及应急演练策划实施</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Cs w:val="21"/>
                <w:highlight w:val="none"/>
              </w:rPr>
              <w:t>结合202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年安全生产月活动</w:t>
            </w:r>
            <w:r>
              <w:rPr>
                <w:rFonts w:hint="eastAsia" w:ascii="宋体" w:hAnsi="宋体" w:eastAsia="宋体" w:cs="宋体"/>
                <w:color w:val="auto"/>
                <w:szCs w:val="21"/>
                <w:highlight w:val="none"/>
                <w:lang w:val="en-US" w:eastAsia="zh-CN"/>
              </w:rPr>
              <w:t>及第二十五届高交会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分两次（6月、11月）在深圳会展中心</w:t>
            </w:r>
            <w:r>
              <w:rPr>
                <w:rFonts w:hint="eastAsia" w:ascii="宋体" w:hAnsi="宋体" w:eastAsia="宋体" w:cs="宋体"/>
                <w:color w:val="auto"/>
                <w:szCs w:val="21"/>
                <w:highlight w:val="none"/>
              </w:rPr>
              <w:t>开展专项</w:t>
            </w:r>
            <w:r>
              <w:rPr>
                <w:rFonts w:hint="eastAsia" w:ascii="宋体" w:hAnsi="宋体" w:eastAsia="宋体" w:cs="宋体"/>
                <w:color w:val="auto"/>
                <w:szCs w:val="21"/>
                <w:highlight w:val="none"/>
                <w:lang w:val="en-US" w:eastAsia="zh-CN"/>
              </w:rPr>
              <w:t>安全</w:t>
            </w:r>
            <w:r>
              <w:rPr>
                <w:rFonts w:hint="eastAsia" w:ascii="宋体" w:hAnsi="宋体" w:eastAsia="宋体" w:cs="宋体"/>
                <w:color w:val="auto"/>
                <w:szCs w:val="21"/>
                <w:highlight w:val="none"/>
              </w:rPr>
              <w:t>隐患排查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并协助会展中心策划实施年度综合应急演练</w:t>
            </w:r>
            <w:r>
              <w:rPr>
                <w:rFonts w:hint="eastAsia" w:ascii="宋体" w:hAnsi="宋体" w:eastAsia="宋体" w:cs="宋体"/>
                <w:color w:val="auto"/>
                <w:szCs w:val="21"/>
                <w:highlight w:val="none"/>
              </w:rPr>
              <w:t>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进一步强化公司安全主体责任，督导和</w:t>
            </w:r>
            <w:r>
              <w:rPr>
                <w:rFonts w:hint="eastAsia" w:ascii="宋体" w:hAnsi="宋体" w:eastAsia="宋体" w:cs="宋体"/>
                <w:color w:val="auto"/>
                <w:szCs w:val="21"/>
                <w:highlight w:val="none"/>
              </w:rPr>
              <w:t>加强隐患排查治理，</w:t>
            </w:r>
            <w:r>
              <w:rPr>
                <w:rFonts w:hint="eastAsia" w:ascii="宋体" w:hAnsi="宋体" w:eastAsia="宋体" w:cs="宋体"/>
                <w:color w:val="auto"/>
                <w:szCs w:val="21"/>
                <w:highlight w:val="none"/>
                <w:lang w:val="en-US" w:eastAsia="zh-CN"/>
              </w:rPr>
              <w:t>提升公司</w:t>
            </w:r>
            <w:r>
              <w:rPr>
                <w:rFonts w:hint="eastAsia" w:ascii="宋体" w:hAnsi="宋体" w:eastAsia="宋体" w:cs="宋体"/>
                <w:color w:val="auto"/>
                <w:szCs w:val="21"/>
                <w:highlight w:val="none"/>
              </w:rPr>
              <w:t>安全生产管理</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深圳会展中心（福田）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u w:val="none"/>
                <w:lang w:val="en-US" w:eastAsia="zh-CN"/>
              </w:rPr>
              <w:t>180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https://cg.szcec.com/sharing/543VdGhXi，</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https://cg.szcec.com/sharing/WEURQiYKF，</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bookmarkStart w:id="95" w:name="_GoBack"/>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121759117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https://cg.szcec.com/sharing/146aRnYjA</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stheme="minorBidi"/>
                <w:color w:val="auto"/>
                <w:szCs w:val="21"/>
                <w:highlight w:val="none"/>
                <w:lang w:eastAsia="zh-CN"/>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szCs w:val="21"/>
                <w:highlight w:val="none"/>
                <w:lang w:eastAsia="zh-CN"/>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lang w:eastAsia="zh-CN"/>
              </w:rPr>
              <w:t>□</w:t>
            </w: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703"/>
      <w:bookmarkEnd w:id="7"/>
      <w:bookmarkStart w:id="8" w:name="_Toc82684705"/>
      <w:bookmarkEnd w:id="8"/>
      <w:bookmarkStart w:id="9" w:name="_Toc82685543"/>
      <w:bookmarkEnd w:id="9"/>
      <w:bookmarkStart w:id="10" w:name="_Toc82591927"/>
      <w:bookmarkEnd w:id="10"/>
      <w:bookmarkStart w:id="11" w:name="_Toc82684589"/>
      <w:bookmarkEnd w:id="11"/>
      <w:bookmarkStart w:id="12" w:name="_Toc82591926"/>
      <w:bookmarkEnd w:id="12"/>
      <w:bookmarkStart w:id="13" w:name="_Toc82684590"/>
      <w:bookmarkEnd w:id="13"/>
      <w:bookmarkStart w:id="14" w:name="_Toc82684706"/>
      <w:bookmarkEnd w:id="14"/>
      <w:bookmarkStart w:id="15" w:name="_Toc82684588"/>
      <w:bookmarkEnd w:id="15"/>
      <w:bookmarkStart w:id="16" w:name="_Toc82685540"/>
      <w:bookmarkEnd w:id="16"/>
      <w:bookmarkStart w:id="17" w:name="_Toc82685541"/>
      <w:bookmarkEnd w:id="17"/>
      <w:bookmarkStart w:id="18" w:name="_Toc82591925"/>
      <w:bookmarkEnd w:id="18"/>
      <w:bookmarkStart w:id="19" w:name="_Toc82684704"/>
      <w:bookmarkEnd w:id="19"/>
      <w:bookmarkStart w:id="20" w:name="_Toc82591928"/>
      <w:bookmarkEnd w:id="20"/>
      <w:bookmarkStart w:id="21" w:name="_Toc82684591"/>
      <w:bookmarkEnd w:id="21"/>
      <w:bookmarkStart w:id="22" w:name="_Toc82685542"/>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593"/>
      <w:bookmarkEnd w:id="27"/>
      <w:bookmarkStart w:id="28" w:name="_Toc82591986"/>
      <w:bookmarkEnd w:id="28"/>
      <w:bookmarkStart w:id="29" w:name="_Toc82591987"/>
      <w:bookmarkEnd w:id="29"/>
      <w:bookmarkStart w:id="30" w:name="_Toc82684708"/>
      <w:bookmarkEnd w:id="30"/>
      <w:bookmarkStart w:id="31" w:name="_Toc82685545"/>
      <w:bookmarkEnd w:id="31"/>
      <w:bookmarkStart w:id="32" w:name="_Toc82591988"/>
      <w:bookmarkEnd w:id="32"/>
      <w:bookmarkStart w:id="33" w:name="_Toc82591985"/>
      <w:bookmarkEnd w:id="33"/>
      <w:bookmarkStart w:id="34" w:name="_Toc82591989"/>
      <w:bookmarkEnd w:id="34"/>
      <w:bookmarkStart w:id="35" w:name="_Toc82591930"/>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Theme="majorEastAsia" w:hAnsiTheme="majorEastAsia" w:eastAsiaTheme="majorEastAsia" w:cstheme="majorEastAsia"/>
                <w:color w:val="auto"/>
                <w:szCs w:val="21"/>
                <w:highlight w:val="none"/>
                <w:lang w:val="en-US" w:eastAsia="zh-CN"/>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经验要求</w:t>
            </w:r>
          </w:p>
        </w:tc>
        <w:tc>
          <w:tcPr>
            <w:tcW w:w="7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需具有丰富的安全咨询</w:t>
            </w:r>
            <w:r>
              <w:rPr>
                <w:rFonts w:hint="eastAsia" w:ascii="宋体" w:hAnsi="宋体" w:cs="宋体"/>
                <w:szCs w:val="21"/>
                <w:lang w:eastAsia="zh-CN"/>
              </w:rPr>
              <w:t>、</w:t>
            </w:r>
            <w:r>
              <w:rPr>
                <w:rFonts w:hint="eastAsia" w:ascii="宋体" w:hAnsi="宋体" w:cs="宋体"/>
                <w:szCs w:val="21"/>
              </w:rPr>
              <w:t>隐患排查治理</w:t>
            </w:r>
            <w:r>
              <w:rPr>
                <w:rFonts w:hint="eastAsia" w:ascii="宋体" w:hAnsi="宋体" w:cs="宋体"/>
                <w:szCs w:val="21"/>
                <w:lang w:val="en-US" w:eastAsia="zh-CN"/>
              </w:rPr>
              <w:t>及演练活动策划实施</w:t>
            </w:r>
            <w:r>
              <w:rPr>
                <w:rFonts w:hint="eastAsia" w:ascii="宋体" w:hAnsi="宋体" w:cs="宋体"/>
                <w:szCs w:val="21"/>
              </w:rPr>
              <w:t>等相关经验，提供2020年1月1日至本项目招标公告发布之日（以合同签订日期为准）</w:t>
            </w:r>
            <w:r>
              <w:rPr>
                <w:rFonts w:hint="eastAsia" w:ascii="宋体" w:hAnsi="宋体" w:cs="宋体"/>
                <w:szCs w:val="21"/>
                <w:lang w:val="en-US" w:eastAsia="zh-CN"/>
              </w:rPr>
              <w:t>以上经验</w:t>
            </w:r>
            <w:r>
              <w:rPr>
                <w:rFonts w:hint="eastAsia" w:ascii="宋体" w:hAnsi="宋体" w:cs="宋体"/>
                <w:szCs w:val="21"/>
              </w:rPr>
              <w:t>相关</w:t>
            </w:r>
            <w:r>
              <w:rPr>
                <w:rFonts w:hint="eastAsia" w:ascii="宋体" w:hAnsi="宋体" w:cs="宋体"/>
                <w:szCs w:val="21"/>
                <w:lang w:val="en-US" w:eastAsia="zh-CN"/>
              </w:rPr>
              <w:t>项目业绩</w:t>
            </w:r>
            <w:r>
              <w:rPr>
                <w:rFonts w:hint="eastAsia" w:ascii="宋体" w:hAnsi="宋体" w:cs="宋体"/>
                <w:szCs w:val="21"/>
              </w:rPr>
              <w:t>合同关键页复印件并加</w:t>
            </w:r>
            <w:r>
              <w:rPr>
                <w:rFonts w:hint="eastAsia" w:ascii="宋体" w:hAnsi="宋体" w:cs="宋体"/>
                <w:szCs w:val="21"/>
                <w:lang w:val="en-US" w:eastAsia="zh-CN"/>
              </w:rPr>
              <w:t>盖投标人</w:t>
            </w:r>
            <w:r>
              <w:rPr>
                <w:rFonts w:hint="eastAsia" w:ascii="宋体" w:hAnsi="宋体" w:cs="宋体"/>
                <w:szCs w:val="21"/>
              </w:rPr>
              <w:t>公章</w:t>
            </w:r>
            <w:r>
              <w:rPr>
                <w:rFonts w:hint="eastAsia" w:ascii="宋体" w:hAnsi="宋体" w:cs="宋体"/>
                <w:szCs w:val="21"/>
                <w:lang w:eastAsia="zh-CN"/>
              </w:rPr>
              <w:t>（合同关键页包含但不限于项目名称、业主方名称、合同主要内容、签订时间、甲乙双方盖章等信息）</w:t>
            </w:r>
            <w:r>
              <w:rPr>
                <w:rFonts w:hint="eastAsia" w:ascii="宋体" w:hAnsi="宋体" w:cs="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eastAsia="宋体" w:cs="仿宋_GB2312"/>
                <w:color w:val="auto"/>
                <w:kern w:val="2"/>
                <w:sz w:val="21"/>
                <w:szCs w:val="21"/>
                <w:highlight w:val="none"/>
                <w:lang w:val="en-US" w:eastAsia="zh-CN" w:bidi="ar-SA"/>
              </w:rPr>
              <w:t>人工</w:t>
            </w:r>
            <w:r>
              <w:rPr>
                <w:rFonts w:hint="eastAsia" w:ascii="宋体" w:hAnsi="宋体" w:eastAsia="宋体" w:cs="仿宋_GB2312"/>
                <w:color w:val="auto"/>
                <w:szCs w:val="21"/>
                <w:highlight w:val="none"/>
                <w:lang w:val="en-US" w:eastAsia="zh-CN"/>
              </w:rPr>
              <w:t>费、技术</w:t>
            </w:r>
            <w:r>
              <w:rPr>
                <w:rFonts w:hint="eastAsia" w:ascii="宋体" w:hAnsi="宋体" w:cs="仿宋_GB2312"/>
                <w:color w:val="auto"/>
                <w:szCs w:val="21"/>
                <w:highlight w:val="none"/>
                <w:lang w:val="en-US" w:eastAsia="zh-CN"/>
              </w:rPr>
              <w:t>支持</w:t>
            </w:r>
            <w:r>
              <w:rPr>
                <w:rFonts w:hint="eastAsia" w:ascii="宋体" w:hAnsi="宋体" w:eastAsia="宋体" w:cs="仿宋_GB2312"/>
                <w:color w:val="auto"/>
                <w:szCs w:val="21"/>
                <w:highlight w:val="none"/>
                <w:lang w:val="en-US" w:eastAsia="zh-CN"/>
              </w:rPr>
              <w:t>费、</w:t>
            </w:r>
            <w:r>
              <w:rPr>
                <w:rFonts w:hint="eastAsia" w:ascii="宋体" w:hAnsi="宋体" w:cs="仿宋_GB2312"/>
                <w:color w:val="auto"/>
                <w:szCs w:val="21"/>
                <w:highlight w:val="none"/>
                <w:lang w:val="en-US" w:eastAsia="zh-CN"/>
              </w:rPr>
              <w:t>材料设备、</w:t>
            </w:r>
            <w:r>
              <w:rPr>
                <w:rFonts w:hint="eastAsia" w:ascii="宋体" w:hAnsi="宋体" w:eastAsia="宋体" w:cs="仿宋_GB2312"/>
                <w:color w:val="auto"/>
                <w:szCs w:val="21"/>
                <w:highlight w:val="none"/>
                <w:lang w:val="en-US" w:eastAsia="zh-CN"/>
              </w:rPr>
              <w:t>食宿费及增值税等</w:t>
            </w:r>
            <w:r>
              <w:rPr>
                <w:rFonts w:hint="eastAsia" w:ascii="宋体" w:hAnsi="宋体" w:eastAsia="宋体" w:cs="仿宋_GB2312"/>
                <w:color w:val="auto"/>
                <w:kern w:val="2"/>
                <w:sz w:val="21"/>
                <w:szCs w:val="21"/>
                <w:highlight w:val="none"/>
                <w:lang w:val="en-US" w:eastAsia="zh-CN" w:bidi="ar-SA"/>
              </w:rPr>
              <w:t>完成本项目所需的全部费用。</w:t>
            </w:r>
          </w:p>
          <w:p>
            <w:pPr>
              <w:numPr>
                <w:ilvl w:val="0"/>
                <w:numId w:val="11"/>
              </w:numPr>
              <w:tabs>
                <w:tab w:val="left" w:pos="531"/>
              </w:tabs>
              <w:snapToGrid w:val="0"/>
              <w:ind w:left="0" w:firstLine="0"/>
              <w:rPr>
                <w:color w:val="auto"/>
                <w:highlight w:val="none"/>
              </w:rPr>
            </w:pPr>
            <w:r>
              <w:rPr>
                <w:rFonts w:hint="eastAsia" w:ascii="宋体" w:hAnsi="宋体" w:eastAsia="宋体" w:cs="仿宋_GB2312"/>
                <w:color w:val="auto"/>
                <w:szCs w:val="21"/>
                <w:highlight w:val="none"/>
                <w:lang w:val="en-US" w:eastAsia="zh-CN"/>
              </w:rPr>
              <w:t>本项目承包方式为总价包干，因</w:t>
            </w:r>
            <w:r>
              <w:rPr>
                <w:rFonts w:hint="eastAsia" w:ascii="宋体" w:hAnsi="宋体" w:cs="仿宋_GB2312"/>
                <w:color w:val="auto"/>
                <w:szCs w:val="21"/>
                <w:highlight w:val="none"/>
                <w:lang w:val="en-US" w:eastAsia="zh-CN"/>
              </w:rPr>
              <w:t>投标人</w:t>
            </w:r>
            <w:r>
              <w:rPr>
                <w:rFonts w:hint="eastAsia" w:ascii="宋体" w:hAnsi="宋体" w:eastAsia="宋体" w:cs="仿宋_GB2312"/>
                <w:color w:val="auto"/>
                <w:szCs w:val="21"/>
                <w:highlight w:val="none"/>
                <w:lang w:val="en-US" w:eastAsia="zh-CN"/>
              </w:rPr>
              <w:t>业务安排或管理原因导致的延误等问题，均由</w:t>
            </w:r>
            <w:r>
              <w:rPr>
                <w:rFonts w:hint="eastAsia" w:ascii="宋体" w:hAnsi="宋体" w:cs="仿宋_GB2312"/>
                <w:color w:val="auto"/>
                <w:szCs w:val="21"/>
                <w:highlight w:val="none"/>
                <w:lang w:val="en-US" w:eastAsia="zh-CN"/>
              </w:rPr>
              <w:t>投标人</w:t>
            </w:r>
            <w:r>
              <w:rPr>
                <w:rFonts w:hint="eastAsia" w:ascii="宋体" w:hAnsi="宋体" w:eastAsia="宋体" w:cs="仿宋_GB2312"/>
                <w:color w:val="auto"/>
                <w:szCs w:val="21"/>
                <w:highlight w:val="none"/>
                <w:lang w:val="en-US" w:eastAsia="zh-CN"/>
              </w:rPr>
              <w:t>自行承担，采购人不再支付其他任何费用。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25</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val="en-US" w:eastAsia="zh-CN"/>
              </w:rPr>
              <w:t>服务</w:t>
            </w:r>
            <w:r>
              <w:rPr>
                <w:rFonts w:hint="eastAsia" w:ascii="宋体" w:hAnsi="宋体" w:cs="宋体"/>
                <w:color w:val="auto"/>
                <w:highlight w:val="none"/>
              </w:rPr>
              <w:t>项目</w:t>
            </w:r>
            <w:r>
              <w:rPr>
                <w:rFonts w:hint="eastAsia" w:ascii="宋体" w:hAnsi="宋体" w:cs="宋体"/>
                <w:color w:val="auto"/>
                <w:highlight w:val="none"/>
                <w:lang w:val="en-US" w:eastAsia="zh-CN"/>
              </w:rPr>
              <w:t>分两阶段完成，完成6月份安全生产月专项隐患排查及相关工作，并提交阶段总结</w:t>
            </w:r>
            <w:r>
              <w:rPr>
                <w:rFonts w:hint="eastAsia" w:ascii="宋体" w:hAnsi="宋体" w:cs="宋体"/>
                <w:color w:val="auto"/>
                <w:highlight w:val="none"/>
              </w:rPr>
              <w:t>且验收合格后，</w:t>
            </w:r>
            <w:r>
              <w:rPr>
                <w:rFonts w:hint="eastAsia" w:ascii="宋体" w:hAnsi="宋体" w:cs="宋体"/>
                <w:color w:val="auto"/>
                <w:highlight w:val="none"/>
                <w:lang w:val="en-US" w:eastAsia="zh-CN"/>
              </w:rPr>
              <w:t>甲方支付</w:t>
            </w:r>
            <w:r>
              <w:rPr>
                <w:rFonts w:hint="eastAsia" w:ascii="宋体" w:hAnsi="宋体" w:cs="宋体"/>
                <w:color w:val="auto"/>
                <w:highlight w:val="none"/>
              </w:rPr>
              <w:t>合同总金额的</w:t>
            </w:r>
            <w:r>
              <w:rPr>
                <w:rFonts w:hint="eastAsia" w:ascii="宋体" w:hAnsi="宋体" w:cs="宋体"/>
                <w:color w:val="auto"/>
                <w:highlight w:val="none"/>
                <w:lang w:val="en-US" w:eastAsia="zh-CN"/>
              </w:rPr>
              <w:t>30</w:t>
            </w:r>
            <w:r>
              <w:rPr>
                <w:rFonts w:hint="eastAsia" w:ascii="宋体" w:hAnsi="宋体" w:cs="宋体"/>
                <w:color w:val="auto"/>
                <w:highlight w:val="none"/>
              </w:rPr>
              <w:t>%</w:t>
            </w:r>
            <w:r>
              <w:rPr>
                <w:rFonts w:hint="eastAsia" w:ascii="宋体" w:hAnsi="宋体" w:cs="宋体"/>
                <w:color w:val="auto"/>
                <w:highlight w:val="none"/>
                <w:lang w:val="en-US" w:eastAsia="zh-CN"/>
              </w:rPr>
              <w:t>进度款</w:t>
            </w:r>
            <w:r>
              <w:rPr>
                <w:rFonts w:hint="eastAsia" w:ascii="宋体" w:hAnsi="宋体" w:cs="宋体"/>
                <w:color w:val="auto"/>
                <w:highlight w:val="none"/>
              </w:rPr>
              <w:t>。</w:t>
            </w:r>
          </w:p>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lang w:val="en-US" w:eastAsia="zh-CN"/>
              </w:rPr>
              <w:t>完成第二十五届高交会专项隐患排查及年度综合应急演练相关工作，并提交项目总结报告</w:t>
            </w:r>
            <w:r>
              <w:rPr>
                <w:rFonts w:hint="eastAsia" w:ascii="宋体" w:hAnsi="宋体" w:cs="宋体"/>
                <w:color w:val="auto"/>
                <w:highlight w:val="none"/>
              </w:rPr>
              <w:t>且验收合格后，</w:t>
            </w:r>
            <w:r>
              <w:rPr>
                <w:rFonts w:hint="eastAsia" w:ascii="宋体" w:hAnsi="宋体" w:cs="宋体"/>
                <w:color w:val="auto"/>
                <w:highlight w:val="none"/>
                <w:lang w:val="en-US" w:eastAsia="zh-CN"/>
              </w:rPr>
              <w:t>甲方支付</w:t>
            </w:r>
            <w:r>
              <w:rPr>
                <w:rFonts w:hint="eastAsia" w:ascii="宋体" w:hAnsi="宋体" w:cs="宋体"/>
                <w:color w:val="auto"/>
                <w:highlight w:val="none"/>
              </w:rPr>
              <w:t>合同总金额</w:t>
            </w:r>
            <w:r>
              <w:rPr>
                <w:rFonts w:hint="eastAsia" w:ascii="宋体" w:hAnsi="宋体" w:cs="宋体"/>
                <w:color w:val="auto"/>
                <w:highlight w:val="none"/>
                <w:lang w:val="en-US" w:eastAsia="zh-CN"/>
              </w:rPr>
              <w:t>的剩余70</w:t>
            </w:r>
            <w:r>
              <w:rPr>
                <w:rFonts w:hint="eastAsia" w:ascii="宋体" w:hAnsi="宋体" w:cs="宋体"/>
                <w:color w:val="auto"/>
                <w:highlight w:val="none"/>
              </w:rPr>
              <w:t>%</w:t>
            </w:r>
            <w:r>
              <w:rPr>
                <w:rFonts w:hint="eastAsia" w:ascii="宋体" w:hAnsi="宋体" w:cs="宋体"/>
                <w:color w:val="auto"/>
                <w:highlight w:val="none"/>
                <w:lang w:val="en-US" w:eastAsia="zh-CN"/>
              </w:rPr>
              <w:t>款项</w:t>
            </w:r>
            <w:r>
              <w:rPr>
                <w:rFonts w:hint="eastAsia" w:ascii="宋体" w:hAnsi="宋体" w:cs="宋体"/>
                <w:color w:val="auto"/>
                <w:highlight w:val="none"/>
              </w:rPr>
              <w:t>。</w:t>
            </w:r>
          </w:p>
          <w:p>
            <w:pPr>
              <w:numPr>
                <w:ilvl w:val="0"/>
                <w:numId w:val="12"/>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0" w:firstLine="0"/>
              <w:rPr>
                <w:rFonts w:hint="eastAsia" w:ascii="宋体" w:hAnsi="Times New Roman" w:cs="宋体"/>
                <w:color w:val="auto"/>
                <w:spacing w:val="-5"/>
                <w:kern w:val="0"/>
                <w:sz w:val="21"/>
                <w:szCs w:val="21"/>
                <w:highlight w:val="none"/>
                <w:lang w:val="en-US" w:eastAsia="zh-CN"/>
              </w:rPr>
            </w:pPr>
            <w:r>
              <w:rPr>
                <w:rFonts w:hint="eastAsia" w:ascii="宋体" w:hAnsi="宋体" w:cs="宋体"/>
                <w:color w:val="auto"/>
                <w:sz w:val="21"/>
                <w:szCs w:val="21"/>
                <w:highlight w:val="none"/>
                <w:lang w:val="en-US" w:eastAsia="zh-CN"/>
              </w:rPr>
              <w:t>完成</w:t>
            </w:r>
            <w:r>
              <w:rPr>
                <w:rFonts w:hint="eastAsia" w:ascii="宋体" w:hAnsi="Times New Roman" w:cs="宋体"/>
                <w:color w:val="auto"/>
                <w:spacing w:val="-5"/>
                <w:kern w:val="0"/>
                <w:sz w:val="21"/>
                <w:szCs w:val="21"/>
                <w:highlight w:val="none"/>
                <w:lang w:val="en-US" w:eastAsia="zh-CN"/>
              </w:rPr>
              <w:t>（6月、11月）两次专项隐患排查工作，提供相应输出文件</w:t>
            </w:r>
            <w:r>
              <w:rPr>
                <w:rFonts w:hint="eastAsia" w:ascii="宋体" w:cs="宋体"/>
                <w:color w:val="auto"/>
                <w:spacing w:val="-5"/>
                <w:kern w:val="0"/>
                <w:sz w:val="21"/>
                <w:szCs w:val="21"/>
                <w:highlight w:val="none"/>
                <w:lang w:val="en-US" w:eastAsia="zh-CN"/>
              </w:rPr>
              <w:t>（</w:t>
            </w:r>
            <w:r>
              <w:rPr>
                <w:rFonts w:hint="eastAsia" w:ascii="宋体" w:hAnsi="宋体" w:eastAsia="宋体" w:cs="宋体"/>
                <w:color w:val="auto"/>
                <w:spacing w:val="-5"/>
                <w:kern w:val="0"/>
                <w:sz w:val="21"/>
                <w:szCs w:val="21"/>
                <w:highlight w:val="none"/>
                <w:lang w:val="en-US" w:eastAsia="zh-CN" w:bidi="ar-SA"/>
              </w:rPr>
              <w:t>安全隐患管理台账</w:t>
            </w:r>
            <w:r>
              <w:rPr>
                <w:rFonts w:hint="eastAsia" w:ascii="宋体" w:hAnsi="宋体" w:cs="宋体"/>
                <w:color w:val="auto"/>
                <w:spacing w:val="-5"/>
                <w:kern w:val="0"/>
                <w:sz w:val="21"/>
                <w:szCs w:val="21"/>
                <w:highlight w:val="none"/>
                <w:lang w:val="en-US" w:eastAsia="zh-CN" w:bidi="ar-SA"/>
              </w:rPr>
              <w:t>、高交会每日</w:t>
            </w:r>
            <w:r>
              <w:rPr>
                <w:rFonts w:hint="eastAsia" w:ascii="宋体" w:hAnsi="宋体" w:eastAsia="宋体" w:cs="宋体"/>
                <w:color w:val="auto"/>
                <w:spacing w:val="-5"/>
                <w:kern w:val="0"/>
                <w:sz w:val="21"/>
                <w:szCs w:val="21"/>
                <w:highlight w:val="none"/>
                <w:lang w:val="en-US" w:eastAsia="zh-CN" w:bidi="ar-SA"/>
              </w:rPr>
              <w:t>安全生产简报</w:t>
            </w:r>
            <w:r>
              <w:rPr>
                <w:rFonts w:hint="eastAsia" w:ascii="宋体" w:hAnsi="宋体" w:cs="宋体"/>
                <w:color w:val="auto"/>
                <w:spacing w:val="-5"/>
                <w:kern w:val="0"/>
                <w:sz w:val="21"/>
                <w:szCs w:val="21"/>
                <w:highlight w:val="none"/>
                <w:lang w:val="en-US" w:eastAsia="zh-CN" w:bidi="ar-SA"/>
              </w:rPr>
              <w:t>）和</w:t>
            </w:r>
            <w:r>
              <w:rPr>
                <w:rFonts w:hint="eastAsia" w:ascii="宋体" w:hAnsi="Times New Roman" w:cs="宋体"/>
                <w:color w:val="auto"/>
                <w:spacing w:val="-5"/>
                <w:kern w:val="0"/>
                <w:sz w:val="21"/>
                <w:szCs w:val="21"/>
                <w:highlight w:val="none"/>
                <w:lang w:val="en-US" w:eastAsia="zh-CN"/>
              </w:rPr>
              <w:t>过程记录材料</w:t>
            </w:r>
            <w:r>
              <w:rPr>
                <w:rFonts w:hint="eastAsia" w:ascii="宋体" w:cs="宋体"/>
                <w:color w:val="auto"/>
                <w:spacing w:val="-5"/>
                <w:kern w:val="0"/>
                <w:sz w:val="21"/>
                <w:szCs w:val="21"/>
                <w:highlight w:val="none"/>
                <w:lang w:val="en-US" w:eastAsia="zh-CN"/>
              </w:rPr>
              <w:t>。</w:t>
            </w:r>
          </w:p>
          <w:p>
            <w:pPr>
              <w:numPr>
                <w:ilvl w:val="0"/>
                <w:numId w:val="13"/>
              </w:numPr>
              <w:tabs>
                <w:tab w:val="left" w:pos="531"/>
              </w:tabs>
              <w:snapToGrid w:val="0"/>
              <w:ind w:left="0" w:firstLine="0"/>
              <w:rPr>
                <w:rFonts w:hint="eastAsia"/>
                <w:color w:val="auto"/>
                <w:szCs w:val="21"/>
                <w:highlight w:val="none"/>
                <w:lang w:val="en-US" w:eastAsia="zh-CN"/>
              </w:rPr>
            </w:pPr>
            <w:r>
              <w:rPr>
                <w:rFonts w:hint="eastAsia" w:ascii="宋体" w:hAnsi="Times New Roman" w:cs="宋体"/>
                <w:color w:val="auto"/>
                <w:spacing w:val="-5"/>
                <w:kern w:val="0"/>
                <w:sz w:val="21"/>
                <w:szCs w:val="21"/>
                <w:highlight w:val="none"/>
                <w:lang w:val="en-US" w:eastAsia="zh-CN"/>
              </w:rPr>
              <w:t>完成年度综合应急演练工作，提供</w:t>
            </w:r>
            <w:r>
              <w:rPr>
                <w:rFonts w:hint="eastAsia" w:ascii="宋体" w:eastAsia="宋体" w:cs="宋体"/>
                <w:color w:val="auto"/>
                <w:spacing w:val="-5"/>
                <w:kern w:val="0"/>
                <w:sz w:val="21"/>
                <w:szCs w:val="21"/>
                <w:highlight w:val="none"/>
                <w:lang w:val="en-US" w:eastAsia="zh-CN" w:bidi="ar-SA"/>
              </w:rPr>
              <w:t>《演练方案》、演练脚本口令、录制演练全程视频、演练后期制作剪辑（浓缩至5分钟）、演练评估报告等</w:t>
            </w:r>
            <w:r>
              <w:rPr>
                <w:rFonts w:hint="eastAsia" w:ascii="宋体" w:cs="宋体"/>
                <w:color w:val="auto"/>
                <w:spacing w:val="-5"/>
                <w:kern w:val="0"/>
                <w:sz w:val="21"/>
                <w:szCs w:val="21"/>
                <w:highlight w:val="none"/>
                <w:lang w:val="en-US" w:eastAsia="zh-CN" w:bidi="ar-SA"/>
              </w:rPr>
              <w:t>材料。</w:t>
            </w:r>
          </w:p>
          <w:p>
            <w:pPr>
              <w:pStyle w:val="2"/>
              <w:numPr>
                <w:ilvl w:val="0"/>
                <w:numId w:val="0"/>
              </w:numPr>
              <w:spacing w:line="0" w:lineRule="atLeast"/>
              <w:rPr>
                <w:rFonts w:hint="eastAsia" w:ascii="宋体" w:eastAsia="宋体" w:cs="宋体"/>
                <w:color w:val="FF0000"/>
                <w:highlight w:val="yellow"/>
                <w:lang w:val="en-US" w:eastAsia="zh-CN"/>
              </w:rPr>
            </w:pPr>
            <w:r>
              <w:rPr>
                <w:rFonts w:hint="eastAsia" w:ascii="宋体" w:hAnsi="宋体" w:cs="宋体"/>
                <w:color w:val="auto"/>
                <w:sz w:val="21"/>
                <w:szCs w:val="21"/>
                <w:highlight w:val="none"/>
                <w:lang w:val="en-US" w:eastAsia="zh-CN"/>
              </w:rPr>
              <w:t>（3）形成项目总结报告，经甲方组织相关管理人员评价验收合格。</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color w:val="auto"/>
                <w:szCs w:val="21"/>
                <w:highlight w:val="none"/>
                <w:lang w:val="en-US" w:eastAsia="zh-CN"/>
              </w:rPr>
              <w:t>项目实施内容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snapToGrid w:val="0"/>
              <w:ind w:left="0" w:firstLine="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别于6月、11月期间对会展中心红线范围内开展全面的隐患排查，并对同期展会（包含布、撤展）各场馆的现场施工作业、及相关安全状况开展检查，及时发现隐患，制定整改措施，建立隐患台账，对隐患整改进度进行跟踪；</w:t>
            </w:r>
          </w:p>
          <w:p>
            <w:pPr>
              <w:numPr>
                <w:ilvl w:val="0"/>
                <w:numId w:val="14"/>
              </w:numPr>
              <w:snapToGrid w:val="0"/>
              <w:ind w:left="0" w:firstLine="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对会展中心安全生产现状进行摸排，并进行安全评估；</w:t>
            </w:r>
          </w:p>
          <w:p>
            <w:pPr>
              <w:numPr>
                <w:ilvl w:val="0"/>
                <w:numId w:val="14"/>
              </w:numPr>
              <w:snapToGrid w:val="0"/>
              <w:ind w:left="0" w:firstLine="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协助会展中心2023年安全月系列活动的组织实施；</w:t>
            </w:r>
          </w:p>
          <w:p>
            <w:pPr>
              <w:numPr>
                <w:ilvl w:val="0"/>
                <w:numId w:val="14"/>
              </w:numPr>
              <w:snapToGrid w:val="0"/>
              <w:ind w:left="0" w:firstLine="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协助会展中心2023年度综合应急演练活动开展并参与策划实施；</w:t>
            </w:r>
          </w:p>
          <w:p>
            <w:pPr>
              <w:numPr>
                <w:ilvl w:val="0"/>
                <w:numId w:val="14"/>
              </w:numPr>
              <w:snapToGrid w:val="0"/>
              <w:ind w:left="0" w:firstLine="0"/>
              <w:rPr>
                <w:rFonts w:hint="eastAsia" w:eastAsia="宋体" w:asciiTheme="majorEastAsia" w:hAnsiTheme="majorEastAsia" w:cstheme="majorEastAsia"/>
                <w:color w:val="auto"/>
                <w:szCs w:val="21"/>
                <w:highlight w:val="none"/>
                <w:lang w:val="en-US" w:eastAsia="zh-CN"/>
              </w:rPr>
            </w:pPr>
            <w:r>
              <w:rPr>
                <w:rFonts w:hint="eastAsia" w:ascii="宋体" w:hAnsi="宋体" w:eastAsia="宋体" w:cs="宋体"/>
                <w:color w:val="auto"/>
                <w:szCs w:val="21"/>
                <w:highlight w:val="none"/>
                <w:lang w:val="en-US" w:eastAsia="zh-CN"/>
              </w:rPr>
              <w:t>本项目完成阶段工作后，服务单位需按采购人要求提交阶段项目成果。安全月活动后应编制《安全隐患管理台账》及《安全评估报告》，第二十五届高交会结束后应编制《安全隐患管理台账》、《安全评估报告》及《应急演练评估报告》，需通过采购人对本项目成果的评估及审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lang w:val="en-US" w:eastAsia="zh-CN"/>
              </w:rPr>
            </w:pPr>
            <w:r>
              <w:rPr>
                <w:rFonts w:hint="eastAsia" w:ascii="宋体" w:hAnsi="宋体" w:eastAsia="宋体" w:cs="宋体"/>
                <w:lang w:val="en-US" w:eastAsia="zh-CN"/>
              </w:rPr>
              <w:t>（1）针对深圳会展中心的特点，根据2023年深投控物业及工业生产安全检查标准，编制具体的检查计划（6月、11月各一次），包括检查项目、涉及地点、涉及设备、涉及人员、时间安排、注意事项等（总计不低于60人工）。</w:t>
            </w:r>
          </w:p>
          <w:p>
            <w:pPr>
              <w:numPr>
                <w:ilvl w:val="0"/>
                <w:numId w:val="0"/>
              </w:numPr>
              <w:tabs>
                <w:tab w:val="left" w:pos="531"/>
              </w:tabs>
              <w:snapToGrid w:val="0"/>
              <w:ind w:leftChars="0"/>
              <w:rPr>
                <w:rFonts w:hint="eastAsia" w:ascii="宋体" w:hAnsi="宋体" w:eastAsia="宋体" w:cs="宋体"/>
                <w:lang w:val="en-US" w:eastAsia="zh-CN"/>
              </w:rPr>
            </w:pPr>
            <w:r>
              <w:rPr>
                <w:rFonts w:hint="eastAsia" w:ascii="宋体" w:hAnsi="宋体" w:eastAsia="宋体" w:cs="宋体"/>
                <w:lang w:val="en-US" w:eastAsia="zh-CN"/>
              </w:rPr>
              <w:t>（2）检查主要从展会安全管理、消防安全管理、电气安全管理、特种设备安全管理等方面分项开展检查，涉及各类重点部位、设备机房、停车场、展厅、仓库、会议区、办公区、公共区域等，对现场的安全管理行为和安全管理状态进行评价，并对检查过程进行全程记录，对安全隐患应进行拍摄留证。</w:t>
            </w:r>
          </w:p>
          <w:p>
            <w:pPr>
              <w:numPr>
                <w:ilvl w:val="0"/>
                <w:numId w:val="0"/>
              </w:numPr>
              <w:tabs>
                <w:tab w:val="left" w:pos="531"/>
              </w:tabs>
              <w:snapToGrid w:val="0"/>
              <w:ind w:leftChars="0"/>
              <w:rPr>
                <w:rFonts w:hint="eastAsia" w:ascii="宋体" w:hAnsi="宋体" w:eastAsia="宋体" w:cs="宋体"/>
                <w:lang w:val="en-US" w:eastAsia="zh-CN"/>
              </w:rPr>
            </w:pPr>
            <w:r>
              <w:rPr>
                <w:rFonts w:hint="eastAsia" w:ascii="宋体" w:hAnsi="宋体" w:eastAsia="宋体" w:cs="宋体"/>
                <w:lang w:val="en-US" w:eastAsia="zh-CN"/>
              </w:rPr>
              <w:t>（3）检查次数为2次，标准为2023年深投控物业及工业企业安全生产管理行为检查评分表各项检查内容。详见附件14：物业及工业企业第三安全生产检查与评价方案详见相关信息。</w:t>
            </w:r>
          </w:p>
          <w:p>
            <w:pPr>
              <w:numPr>
                <w:ilvl w:val="0"/>
                <w:numId w:val="0"/>
              </w:numPr>
              <w:tabs>
                <w:tab w:val="left" w:pos="531"/>
              </w:tabs>
              <w:snapToGrid w:val="0"/>
              <w:ind w:leftChars="0"/>
              <w:rPr>
                <w:rFonts w:hint="eastAsia" w:ascii="宋体" w:hAnsi="宋体" w:eastAsia="宋体" w:cs="宋体"/>
                <w:lang w:val="en-US" w:eastAsia="zh-CN"/>
              </w:rPr>
            </w:pPr>
            <w:r>
              <w:rPr>
                <w:rFonts w:hint="eastAsia" w:ascii="宋体" w:hAnsi="宋体" w:eastAsia="宋体" w:cs="宋体"/>
                <w:lang w:val="en-US" w:eastAsia="zh-CN"/>
              </w:rPr>
              <w:t>（4）协助应急演练实施内容包括：演练方案编制、活动策划、演练彩排及正式演练等工作，活动道具采购及租赁、场景搭建及拆除、安保人员租赁、相关单位及专家邀请，演练全程视频拍摄、直播、后期制作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拟投入人员要求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ind w:left="0" w:firstLine="0"/>
              <w:rPr>
                <w:rFonts w:hint="eastAsia"/>
              </w:rPr>
            </w:pPr>
            <w:r>
              <w:rPr>
                <w:rFonts w:hint="eastAsia"/>
                <w:lang w:eastAsia="zh-CN"/>
              </w:rPr>
              <w:t>投标人</w:t>
            </w:r>
            <w:r>
              <w:rPr>
                <w:rFonts w:hint="eastAsia"/>
              </w:rPr>
              <w:t>拟派本项目人员</w:t>
            </w:r>
            <w:r>
              <w:rPr>
                <w:rFonts w:hint="eastAsia"/>
                <w:lang w:val="en-US" w:eastAsia="zh-CN"/>
              </w:rPr>
              <w:t>均须</w:t>
            </w:r>
            <w:r>
              <w:rPr>
                <w:rFonts w:hint="eastAsia"/>
              </w:rPr>
              <w:t>具备</w:t>
            </w:r>
            <w:r>
              <w:rPr>
                <w:rFonts w:hint="eastAsia"/>
                <w:lang w:val="en-US" w:eastAsia="zh-CN"/>
              </w:rPr>
              <w:t>国家</w:t>
            </w:r>
            <w:r>
              <w:rPr>
                <w:rFonts w:hint="eastAsia"/>
              </w:rPr>
              <w:t>注册安全工程师</w:t>
            </w:r>
            <w:r>
              <w:rPr>
                <w:rFonts w:hint="eastAsia"/>
                <w:lang w:eastAsia="zh-CN"/>
              </w:rPr>
              <w:t>、</w:t>
            </w:r>
            <w:r>
              <w:rPr>
                <w:rFonts w:hint="eastAsia"/>
                <w:lang w:val="en-US" w:eastAsia="zh-CN"/>
              </w:rPr>
              <w:t>注册消防工程师或</w:t>
            </w:r>
            <w:r>
              <w:rPr>
                <w:rFonts w:hint="eastAsia"/>
              </w:rPr>
              <w:t>注册安全评价师资格证书</w:t>
            </w:r>
            <w:r>
              <w:rPr>
                <w:rFonts w:hint="eastAsia"/>
                <w:lang w:eastAsia="zh-CN"/>
              </w:rPr>
              <w:t>（</w:t>
            </w:r>
            <w:r>
              <w:rPr>
                <w:rFonts w:hint="eastAsia"/>
                <w:lang w:val="en-US" w:eastAsia="zh-CN"/>
              </w:rPr>
              <w:t>至少具备其一</w:t>
            </w:r>
            <w:r>
              <w:rPr>
                <w:rFonts w:hint="eastAsia"/>
                <w:lang w:eastAsia="zh-CN"/>
              </w:rPr>
              <w:t>）</w:t>
            </w:r>
            <w:r>
              <w:rPr>
                <w:rFonts w:hint="eastAsia"/>
                <w:lang w:val="en-US" w:eastAsia="zh-CN"/>
              </w:rPr>
              <w:t>，</w:t>
            </w:r>
            <w:r>
              <w:rPr>
                <w:rFonts w:hint="eastAsia"/>
              </w:rPr>
              <w:t>需提供相应的咨格证书复印件并</w:t>
            </w:r>
            <w:r>
              <w:rPr>
                <w:rFonts w:hint="eastAsia"/>
                <w:lang w:val="en-US" w:eastAsia="zh-CN"/>
              </w:rPr>
              <w:t>提供查询证书相应证明</w:t>
            </w:r>
            <w:r>
              <w:rPr>
                <w:rFonts w:hint="eastAsia"/>
              </w:rPr>
              <w:t>加盖</w:t>
            </w:r>
            <w:r>
              <w:rPr>
                <w:rFonts w:hint="eastAsia"/>
                <w:lang w:eastAsia="zh-CN"/>
              </w:rPr>
              <w:t>投标人</w:t>
            </w:r>
            <w:r>
              <w:rPr>
                <w:rFonts w:hint="eastAsia"/>
              </w:rPr>
              <w:t>公章。</w:t>
            </w:r>
            <w:r>
              <w:rPr>
                <w:rFonts w:hint="eastAsia"/>
                <w:lang w:val="en-US" w:eastAsia="zh-CN"/>
              </w:rPr>
              <w:t>可登录http://rmocse.chinasafety.ac.cn查询证书</w:t>
            </w:r>
            <w:r>
              <w:rPr>
                <w:rFonts w:hint="eastAsia"/>
              </w:rPr>
              <w:t>。</w:t>
            </w:r>
          </w:p>
          <w:p>
            <w:pPr>
              <w:numPr>
                <w:ilvl w:val="0"/>
                <w:numId w:val="15"/>
              </w:numPr>
              <w:snapToGrid w:val="0"/>
              <w:ind w:left="0" w:firstLine="0"/>
              <w:rPr>
                <w:rFonts w:hint="eastAsia"/>
              </w:rPr>
            </w:pPr>
            <w:r>
              <w:rPr>
                <w:rFonts w:hint="eastAsia"/>
              </w:rPr>
              <w:t>项目组成员不少于</w:t>
            </w:r>
            <w:r>
              <w:rPr>
                <w:rFonts w:hint="eastAsia"/>
                <w:lang w:val="en-US" w:eastAsia="zh-CN"/>
              </w:rPr>
              <w:t>6</w:t>
            </w:r>
            <w:r>
              <w:rPr>
                <w:rFonts w:hint="eastAsia"/>
              </w:rPr>
              <w:t>人，其中1人须具备高级工程师职称。</w:t>
            </w:r>
          </w:p>
          <w:p>
            <w:pPr>
              <w:numPr>
                <w:ilvl w:val="0"/>
                <w:numId w:val="15"/>
              </w:numPr>
              <w:snapToGrid w:val="0"/>
              <w:ind w:left="0" w:firstLine="0"/>
              <w:rPr>
                <w:rFonts w:hint="eastAsia" w:eastAsia="宋体"/>
                <w:lang w:eastAsia="zh-CN"/>
              </w:rPr>
            </w:pPr>
            <w:r>
              <w:rPr>
                <w:rFonts w:hint="eastAsia"/>
                <w:lang w:val="en-US" w:eastAsia="zh-CN"/>
              </w:rPr>
              <w:t>拟投入本项目人员一经指定，不得随意更换，除非招标人提出更换。如中选单位确需更换，需取得招标人同意。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bl>
    <w:p>
      <w:pPr>
        <w:numPr>
          <w:ilvl w:val="0"/>
          <w:numId w:val="1"/>
        </w:numPr>
        <w:jc w:val="left"/>
        <w:outlineLvl w:val="1"/>
        <w:rPr>
          <w:rFonts w:ascii="宋体" w:hAnsi="宋体"/>
          <w:b/>
          <w:szCs w:val="21"/>
        </w:rPr>
      </w:pPr>
      <w:bookmarkStart w:id="38" w:name="_Toc82684715"/>
      <w:bookmarkEnd w:id="38"/>
      <w:bookmarkStart w:id="39" w:name="_Toc82684600"/>
      <w:bookmarkEnd w:id="39"/>
      <w:bookmarkStart w:id="40" w:name="_Toc82685552"/>
      <w:bookmarkEnd w:id="40"/>
      <w:bookmarkStart w:id="41" w:name="_Toc82591996"/>
      <w:bookmarkEnd w:id="41"/>
      <w:bookmarkStart w:id="42" w:name="_Toc116550349"/>
      <w:r>
        <w:rPr>
          <w:rFonts w:hint="eastAsia" w:ascii="宋体" w:hAnsi="宋体"/>
          <w:b/>
          <w:szCs w:val="21"/>
        </w:rPr>
        <w:t>其他项目说明资料</w:t>
      </w:r>
      <w:bookmarkEnd w:id="42"/>
    </w:p>
    <w:p>
      <w:pPr>
        <w:widowControl/>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r>
        <w:rPr>
          <w:rFonts w:hint="eastAsia"/>
          <w:color w:val="FF0000"/>
          <w:highlight w:val="yellow"/>
          <w:lang w:val="en-US" w:eastAsia="zh-CN"/>
        </w:rPr>
        <w:t>无</w:t>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4"/>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35</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8"/>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numPr>
                <w:ilvl w:val="0"/>
                <w:numId w:val="0"/>
              </w:numPr>
              <w:tabs>
                <w:tab w:val="left" w:pos="531"/>
              </w:tabs>
              <w:snapToGrid w:val="0"/>
              <w:ind w:left="-1" w:leftChars="0"/>
              <w:rPr>
                <w:rFonts w:ascii="宋体"/>
                <w:color w:val="auto"/>
                <w:highlight w:val="none"/>
              </w:rPr>
            </w:pP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hint="eastAsia" w:asciiTheme="majorEastAsia" w:hAnsiTheme="majorEastAsia" w:eastAsiaTheme="majorEastAsia" w:cstheme="majorEastAsia"/>
                <w:color w:val="auto"/>
                <w:szCs w:val="21"/>
                <w:highlight w:val="none"/>
                <w:lang w:val="en-US" w:eastAsia="zh-CN"/>
              </w:rPr>
            </w:pPr>
            <w:r>
              <w:rPr>
                <w:rFonts w:hint="eastAsia"/>
                <w:color w:val="auto"/>
                <w:highlight w:val="none"/>
                <w:lang w:val="en-US" w:eastAsia="zh-CN"/>
              </w:rPr>
              <w:t>2.</w:t>
            </w: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s="仿宋"/>
                <w:color w:val="auto"/>
                <w:szCs w:val="21"/>
                <w:highlight w:val="none"/>
                <w:lang w:val="en-US" w:eastAsia="zh-CN"/>
              </w:rPr>
              <w:t>25</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8"/>
        </w:numPr>
        <w:spacing w:before="156" w:beforeLines="50"/>
        <w:jc w:val="left"/>
        <w:outlineLvl w:val="2"/>
        <w:rPr>
          <w:rStyle w:val="31"/>
          <w:rFonts w:ascii="宋体" w:hAnsi="宋体"/>
          <w:b/>
          <w:bCs/>
          <w:color w:val="auto"/>
          <w:szCs w:val="21"/>
          <w:highlight w:val="none"/>
        </w:rPr>
      </w:pPr>
      <w:bookmarkStart w:id="53" w:name="_Toc116550356"/>
      <w:bookmarkStart w:id="54" w:name="_Toc114675512"/>
      <w:r>
        <w:rPr>
          <w:rStyle w:val="31"/>
          <w:rFonts w:hint="eastAsia" w:ascii="宋体" w:hAnsi="宋体"/>
          <w:b/>
          <w:bCs/>
          <w:color w:val="auto"/>
          <w:szCs w:val="21"/>
          <w:highlight w:val="none"/>
        </w:rPr>
        <w:t>不可偏离项检查</w:t>
      </w:r>
      <w:bookmarkEnd w:id="53"/>
      <w:bookmarkEnd w:id="54"/>
    </w:p>
    <w:p>
      <w:pPr>
        <w:pStyle w:val="2"/>
        <w:rPr>
          <w:rFonts w:ascii="宋体" w:hAnsi="宋体"/>
          <w:color w:val="auto"/>
          <w:sz w:val="21"/>
          <w:szCs w:val="21"/>
          <w:highlight w:val="none"/>
        </w:rPr>
      </w:pPr>
      <w:r>
        <w:rPr>
          <w:rFonts w:hint="eastAsia" w:ascii="宋体" w:hAnsi="宋体"/>
          <w:color w:val="auto"/>
          <w:sz w:val="21"/>
          <w:szCs w:val="21"/>
          <w:highlight w:val="none"/>
        </w:rPr>
        <w:t>检查内容详见第四条《项目要求》之（一）《商务需求》、（二）技术/服务需求。</w:t>
      </w:r>
    </w:p>
    <w:p>
      <w:pPr>
        <w:numPr>
          <w:ilvl w:val="0"/>
          <w:numId w:val="18"/>
        </w:numPr>
        <w:spacing w:before="156" w:beforeLines="50"/>
        <w:jc w:val="left"/>
        <w:outlineLvl w:val="2"/>
        <w:rPr>
          <w:rFonts w:ascii="宋体" w:hAnsi="宋体"/>
          <w:b/>
          <w:bCs/>
          <w:szCs w:val="21"/>
        </w:rPr>
      </w:pPr>
      <w:bookmarkStart w:id="55" w:name="_Toc114675513"/>
      <w:bookmarkStart w:id="56" w:name="_Toc116550357"/>
      <w:r>
        <w:rPr>
          <w:rStyle w:val="31"/>
          <w:rFonts w:hint="eastAsia" w:ascii="宋体" w:hAnsi="宋体"/>
          <w:b/>
          <w:bCs/>
          <w:szCs w:val="21"/>
        </w:rPr>
        <w:t>综合评议指标表</w:t>
      </w:r>
      <w:bookmarkEnd w:id="55"/>
      <w:bookmarkEnd w:id="56"/>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25</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keepNext w:val="0"/>
              <w:keepLines w:val="0"/>
              <w:pageBreakBefore w:val="0"/>
              <w:numPr>
                <w:ilvl w:val="0"/>
                <w:numId w:val="19"/>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highlight w:val="none"/>
              </w:rPr>
              <w:t>供应商资质情况</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评审标准：</w:t>
            </w:r>
            <w:r>
              <w:rPr>
                <w:rFonts w:hint="eastAsia" w:ascii="宋体" w:hAnsi="宋体" w:eastAsia="宋体" w:cs="宋体"/>
                <w:sz w:val="21"/>
                <w:szCs w:val="21"/>
                <w:highlight w:val="none"/>
              </w:rPr>
              <w:t>投标人具有以下资质</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广东省安全生产标准化建设指导单位资质，得</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CMA</w:t>
            </w:r>
            <w:r>
              <w:rPr>
                <w:rFonts w:hint="eastAsia" w:ascii="宋体" w:hAnsi="宋体" w:eastAsia="宋体" w:cs="宋体"/>
                <w:sz w:val="21"/>
                <w:szCs w:val="21"/>
                <w:highlight w:val="none"/>
                <w:lang w:eastAsia="zh-CN"/>
              </w:rPr>
              <w:t>检测检验机构</w:t>
            </w:r>
            <w:r>
              <w:rPr>
                <w:rFonts w:hint="eastAsia" w:ascii="宋体" w:hAnsi="宋体" w:eastAsia="宋体" w:cs="宋体"/>
                <w:sz w:val="21"/>
                <w:szCs w:val="21"/>
                <w:highlight w:val="none"/>
              </w:rPr>
              <w:t>资质认定</w:t>
            </w:r>
            <w:r>
              <w:rPr>
                <w:rFonts w:hint="eastAsia" w:ascii="宋体" w:hAnsi="宋体" w:eastAsia="宋体" w:cs="宋体"/>
                <w:sz w:val="21"/>
                <w:szCs w:val="21"/>
                <w:highlight w:val="none"/>
                <w:lang w:eastAsia="zh-CN"/>
              </w:rPr>
              <w:t>证书（计量认证项目类别包括电气防火等）</w:t>
            </w:r>
            <w:r>
              <w:rPr>
                <w:rFonts w:hint="eastAsia" w:ascii="宋体" w:hAnsi="宋体" w:eastAsia="宋体" w:cs="宋体"/>
                <w:sz w:val="21"/>
                <w:szCs w:val="21"/>
                <w:highlight w:val="none"/>
              </w:rPr>
              <w:t>，得2</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消防安全评估及维保单位资质，得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以上满分得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FF0000"/>
                <w:sz w:val="21"/>
                <w:szCs w:val="21"/>
                <w:highlight w:val="yellow"/>
              </w:rPr>
            </w:pPr>
            <w:r>
              <w:rPr>
                <w:rFonts w:hint="eastAsia" w:ascii="宋体" w:hAnsi="宋体" w:eastAsia="宋体" w:cs="宋体"/>
                <w:b/>
                <w:bCs/>
                <w:sz w:val="21"/>
                <w:szCs w:val="21"/>
                <w:highlight w:val="none"/>
              </w:rPr>
              <w:t>证明文件：</w:t>
            </w:r>
            <w:r>
              <w:rPr>
                <w:rFonts w:hint="eastAsia" w:ascii="宋体" w:hAnsi="宋体" w:eastAsia="宋体" w:cs="宋体"/>
                <w:sz w:val="21"/>
                <w:szCs w:val="21"/>
                <w:highlight w:val="none"/>
              </w:rPr>
              <w:t>投标人需提供政府网站公告截图或证书复印件。管理类需提供全国认证许可的信息公共服务平台（</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"http://cx.cnca.cn/" </w:instrText>
            </w:r>
            <w:r>
              <w:rPr>
                <w:rFonts w:hint="eastAsia" w:ascii="宋体" w:hAnsi="宋体" w:eastAsia="宋体" w:cs="宋体"/>
                <w:sz w:val="21"/>
                <w:szCs w:val="21"/>
                <w:highlight w:val="none"/>
              </w:rPr>
              <w:fldChar w:fldCharType="separate"/>
            </w:r>
            <w:r>
              <w:rPr>
                <w:rStyle w:val="20"/>
                <w:rFonts w:hint="eastAsia" w:ascii="宋体" w:hAnsi="宋体" w:eastAsia="宋体" w:cs="宋体"/>
                <w:color w:val="auto"/>
                <w:sz w:val="21"/>
                <w:szCs w:val="21"/>
                <w:highlight w:val="none"/>
              </w:rPr>
              <w:t>http://cx.cnca.cn/</w:t>
            </w:r>
            <w:r>
              <w:rPr>
                <w:rStyle w:val="20"/>
                <w:rFonts w:hint="eastAsia" w:ascii="宋体" w:hAnsi="宋体" w:eastAsia="宋体" w:cs="宋体"/>
                <w:color w:val="auto"/>
                <w:sz w:val="21"/>
                <w:szCs w:val="21"/>
                <w:highlight w:val="none"/>
              </w:rPr>
              <w:fldChar w:fldCharType="end"/>
            </w:r>
            <w:r>
              <w:rPr>
                <w:rFonts w:hint="eastAsia" w:ascii="宋体" w:hAnsi="宋体" w:eastAsia="宋体" w:cs="宋体"/>
                <w:sz w:val="21"/>
                <w:szCs w:val="21"/>
                <w:highlight w:val="none"/>
              </w:rPr>
              <w:t>）的认证信息截图（须体现网站信息），原件备查，未按要求提供或提供不清晰导致专家无法判断的不得分。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keepNext w:val="0"/>
              <w:keepLines w:val="0"/>
              <w:pageBreakBefore w:val="0"/>
              <w:numPr>
                <w:ilvl w:val="0"/>
                <w:numId w:val="19"/>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体系认证</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numPr>
                <w:ilvl w:val="-1"/>
                <w:numId w:val="0"/>
              </w:numPr>
              <w:kinsoku/>
              <w:wordWrap/>
              <w:overflowPunct/>
              <w:topLinePunct w:val="0"/>
              <w:autoSpaceDE/>
              <w:autoSpaceDN/>
              <w:bidi w:val="0"/>
              <w:adjustRightInd/>
              <w:snapToGrid w:val="0"/>
              <w:spacing w:line="360" w:lineRule="auto"/>
              <w:ind w:lef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1、评审标准：</w:t>
            </w:r>
          </w:p>
          <w:p>
            <w:pPr>
              <w:keepNext w:val="0"/>
              <w:keepLines w:val="0"/>
              <w:pageBreakBefore w:val="0"/>
              <w:numPr>
                <w:ilvl w:val="0"/>
                <w:numId w:val="20"/>
              </w:numPr>
              <w:kinsoku/>
              <w:wordWrap/>
              <w:overflowPunct/>
              <w:topLinePunct w:val="0"/>
              <w:autoSpaceDE/>
              <w:autoSpaceDN/>
              <w:bidi w:val="0"/>
              <w:adjustRightInd/>
              <w:snapToGrid w:val="0"/>
              <w:spacing w:line="360" w:lineRule="auto"/>
              <w:ind w:lef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职业健康安全管理体系认证</w:t>
            </w:r>
            <w:r>
              <w:rPr>
                <w:rFonts w:hint="eastAsia" w:ascii="宋体" w:hAnsi="宋体" w:eastAsia="宋体" w:cs="宋体"/>
                <w:sz w:val="21"/>
                <w:szCs w:val="21"/>
                <w:highlight w:val="none"/>
                <w:lang w:eastAsia="zh-CN"/>
              </w:rPr>
              <w:t xml:space="preserve">（GB/T 45001-2020 </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ISO45001:2018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2分；</w:t>
            </w:r>
          </w:p>
          <w:p>
            <w:pPr>
              <w:keepNext w:val="0"/>
              <w:keepLines w:val="0"/>
              <w:pageBreakBefore w:val="0"/>
              <w:numPr>
                <w:ilvl w:val="0"/>
                <w:numId w:val="2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质量管理体系认证</w:t>
            </w:r>
            <w:r>
              <w:rPr>
                <w:rFonts w:hint="eastAsia" w:ascii="宋体" w:hAnsi="宋体" w:eastAsia="宋体" w:cs="宋体"/>
                <w:sz w:val="21"/>
                <w:szCs w:val="21"/>
                <w:highlight w:val="none"/>
                <w:lang w:eastAsia="zh-CN"/>
              </w:rPr>
              <w:t>（GB/T19001-2016</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IS</w:t>
            </w:r>
            <w:r>
              <w:rPr>
                <w:rFonts w:hint="eastAsia" w:ascii="宋体" w:hAnsi="宋体" w:eastAsia="宋体" w:cs="宋体"/>
                <w:sz w:val="21"/>
                <w:szCs w:val="21"/>
                <w:highlight w:val="none"/>
                <w:lang w:val="en-US" w:eastAsia="zh-CN"/>
              </w:rPr>
              <w:t>O</w:t>
            </w:r>
            <w:r>
              <w:rPr>
                <w:rFonts w:hint="eastAsia" w:ascii="宋体" w:hAnsi="宋体" w:eastAsia="宋体" w:cs="宋体"/>
                <w:sz w:val="21"/>
                <w:szCs w:val="21"/>
                <w:highlight w:val="none"/>
                <w:lang w:eastAsia="zh-CN"/>
              </w:rPr>
              <w:t>9001:201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rPr>
              <w:t>；</w:t>
            </w:r>
          </w:p>
          <w:p>
            <w:pPr>
              <w:keepNext w:val="0"/>
              <w:keepLines w:val="0"/>
              <w:pageBreakBefore w:val="0"/>
              <w:numPr>
                <w:ilvl w:val="0"/>
                <w:numId w:val="2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环境管理体系认证</w:t>
            </w:r>
            <w:r>
              <w:rPr>
                <w:rFonts w:hint="eastAsia" w:ascii="宋体" w:hAnsi="宋体" w:eastAsia="宋体" w:cs="宋体"/>
                <w:sz w:val="21"/>
                <w:szCs w:val="21"/>
                <w:highlight w:val="none"/>
                <w:lang w:eastAsia="zh-CN"/>
              </w:rPr>
              <w:t>（GB/T24001-2016</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IS</w:t>
            </w:r>
            <w:r>
              <w:rPr>
                <w:rFonts w:hint="eastAsia" w:ascii="宋体" w:hAnsi="宋体" w:eastAsia="宋体" w:cs="宋体"/>
                <w:sz w:val="21"/>
                <w:szCs w:val="21"/>
                <w:highlight w:val="none"/>
                <w:lang w:val="en-US" w:eastAsia="zh-CN"/>
              </w:rPr>
              <w:t>O</w:t>
            </w:r>
            <w:r>
              <w:rPr>
                <w:rFonts w:hint="eastAsia" w:ascii="宋体" w:hAnsi="宋体" w:eastAsia="宋体" w:cs="宋体"/>
                <w:sz w:val="21"/>
                <w:szCs w:val="21"/>
                <w:highlight w:val="none"/>
                <w:lang w:eastAsia="zh-CN"/>
              </w:rPr>
              <w:t>14001:201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以上满分得</w:t>
            </w:r>
            <w:r>
              <w:rPr>
                <w:rFonts w:hint="eastAsia" w:ascii="宋体" w:hAnsi="宋体" w:eastAsia="宋体" w:cs="宋体"/>
                <w:sz w:val="21"/>
                <w:szCs w:val="21"/>
                <w:highlight w:val="none"/>
                <w:lang w:val="en-US" w:eastAsia="zh-CN"/>
              </w:rPr>
              <w:t>6分</w:t>
            </w:r>
            <w:r>
              <w:rPr>
                <w:rFonts w:hint="eastAsia" w:ascii="宋体" w:hAnsi="宋体" w:eastAsia="宋体" w:cs="宋体"/>
                <w:sz w:val="21"/>
                <w:szCs w:val="21"/>
                <w:highlight w:val="none"/>
              </w:rPr>
              <w:t>。</w:t>
            </w:r>
          </w:p>
          <w:p>
            <w:pPr>
              <w:keepNext w:val="0"/>
              <w:keepLines w:val="0"/>
              <w:pageBreakBefore w:val="0"/>
              <w:numPr>
                <w:ilvl w:val="0"/>
                <w:numId w:val="21"/>
              </w:numPr>
              <w:kinsoku/>
              <w:wordWrap/>
              <w:overflowPunct/>
              <w:topLinePunct w:val="0"/>
              <w:autoSpaceDE/>
              <w:autoSpaceDN/>
              <w:bidi w:val="0"/>
              <w:adjustRightInd/>
              <w:snapToGrid w:val="0"/>
              <w:spacing w:line="360" w:lineRule="auto"/>
              <w:ind w:left="0" w:hanging="31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2、证明文件：</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rPr>
              <w:t>认证范围应包括：安全生产技术服务（含教育培训）、应急管理技术服务、电气防火安全技术检测、消防设施维护保养检测/评估等，提供相关机构颁发的上述认证证书及认证信息查询截图（截图需显示证书状态为有效）扫描件，原件备查；认证证书与查询信息截图（截图以全国认证认可信息公共服务平台（http://cx.cnca.cn/）为准）必须同时提供，缺一不可。未同时提供的不得分。未提供证明材料或者提供的证明材料不符合要求或提供的证明材料不清晰评审专家无法辨认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keepNext w:val="0"/>
              <w:keepLines w:val="0"/>
              <w:pageBreakBefore w:val="0"/>
              <w:numPr>
                <w:ilvl w:val="0"/>
                <w:numId w:val="19"/>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同类业绩</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numPr>
                <w:ilvl w:val="0"/>
                <w:numId w:val="22"/>
              </w:numPr>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根据投标人提供的</w:t>
            </w:r>
            <w:r>
              <w:rPr>
                <w:rFonts w:hint="eastAsia" w:ascii="宋体" w:hAnsi="宋体" w:eastAsia="宋体" w:cs="宋体"/>
                <w:sz w:val="21"/>
                <w:szCs w:val="21"/>
                <w:highlight w:val="none"/>
              </w:rPr>
              <w:t>2020年1月1日至本项目招标公告发布之日（以合同签订日期为准）</w:t>
            </w:r>
            <w:r>
              <w:rPr>
                <w:rFonts w:hint="eastAsia" w:ascii="宋体" w:hAnsi="宋体" w:cs="宋体"/>
                <w:sz w:val="21"/>
                <w:szCs w:val="21"/>
                <w:highlight w:val="none"/>
                <w:lang w:val="en-US" w:eastAsia="zh-CN"/>
              </w:rPr>
              <w:t>业绩情况评审</w:t>
            </w:r>
          </w:p>
          <w:p>
            <w:pPr>
              <w:keepNext w:val="0"/>
              <w:keepLines w:val="0"/>
              <w:pageBreakBefore w:val="0"/>
              <w:numPr>
                <w:ilvl w:val="0"/>
                <w:numId w:val="23"/>
              </w:numPr>
              <w:kinsoku/>
              <w:wordWrap/>
              <w:overflowPunct/>
              <w:topLinePunct w:val="0"/>
              <w:autoSpaceDE/>
              <w:autoSpaceDN/>
              <w:bidi w:val="0"/>
              <w:adjustRightInd/>
              <w:snapToGrid w:val="0"/>
              <w:spacing w:line="360" w:lineRule="auto"/>
              <w:ind w:left="425" w:hanging="425"/>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eastAsia="zh-CN"/>
              </w:rPr>
              <w:t>政府机关</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事业单位</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大型综合体或场馆类安全</w:t>
            </w:r>
            <w:r>
              <w:rPr>
                <w:rFonts w:hint="eastAsia" w:ascii="宋体" w:hAnsi="宋体" w:eastAsia="宋体" w:cs="宋体"/>
                <w:sz w:val="21"/>
                <w:szCs w:val="21"/>
                <w:highlight w:val="none"/>
              </w:rPr>
              <w:t>专项检查或</w:t>
            </w:r>
            <w:r>
              <w:rPr>
                <w:rFonts w:hint="eastAsia" w:ascii="宋体" w:hAnsi="宋体" w:cs="宋体"/>
                <w:sz w:val="21"/>
                <w:szCs w:val="21"/>
                <w:highlight w:val="none"/>
                <w:lang w:val="en-US" w:eastAsia="zh-CN"/>
              </w:rPr>
              <w:t>安全</w:t>
            </w:r>
            <w:r>
              <w:rPr>
                <w:rFonts w:hint="eastAsia" w:ascii="宋体" w:hAnsi="宋体" w:eastAsia="宋体" w:cs="宋体"/>
                <w:sz w:val="21"/>
                <w:szCs w:val="21"/>
                <w:highlight w:val="none"/>
              </w:rPr>
              <w:t>专项整治类安全生产技术相关业绩，每提供一个得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分，最高</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pPr>
              <w:keepNext w:val="0"/>
              <w:keepLines w:val="0"/>
              <w:pageBreakBefore w:val="0"/>
              <w:numPr>
                <w:ilvl w:val="0"/>
                <w:numId w:val="23"/>
              </w:numPr>
              <w:kinsoku/>
              <w:wordWrap/>
              <w:overflowPunct/>
              <w:topLinePunct w:val="0"/>
              <w:autoSpaceDE/>
              <w:autoSpaceDN/>
              <w:bidi w:val="0"/>
              <w:adjustRightInd/>
              <w:snapToGrid w:val="0"/>
              <w:spacing w:line="360" w:lineRule="auto"/>
              <w:ind w:left="425" w:leftChars="0" w:hanging="425" w:firstLineChars="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eastAsia="zh-CN"/>
              </w:rPr>
              <w:t>政府机关</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事业单位</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大型综合体或场馆类</w:t>
            </w:r>
            <w:r>
              <w:rPr>
                <w:rFonts w:hint="eastAsia" w:ascii="宋体" w:hAnsi="宋体" w:eastAsia="宋体" w:cs="宋体"/>
                <w:sz w:val="21"/>
                <w:szCs w:val="21"/>
                <w:highlight w:val="none"/>
                <w:lang w:eastAsia="zh-CN"/>
              </w:rPr>
              <w:t>应急演练服务</w:t>
            </w:r>
            <w:r>
              <w:rPr>
                <w:rFonts w:hint="eastAsia" w:ascii="宋体" w:hAnsi="宋体" w:eastAsia="宋体" w:cs="宋体"/>
                <w:sz w:val="21"/>
                <w:szCs w:val="21"/>
                <w:highlight w:val="none"/>
              </w:rPr>
              <w:t>相关业绩，每提供一个得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分，最高</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hanging="42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以上满分得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2、证明文件：</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提供合同关键页复印件或扫描件加盖投标人公章，原件备查。未按要求提供或提供不清晰导致专家无法判断的不得分</w:t>
            </w:r>
            <w:r>
              <w:rPr>
                <w:rFonts w:hint="eastAsia" w:asciiTheme="majorEastAsia" w:hAnsiTheme="majorEastAsia" w:eastAsiaTheme="majorEastAsia" w:cstheme="majorEastAsia"/>
                <w:szCs w:val="21"/>
                <w:lang w:eastAsia="zh-CN"/>
              </w:rPr>
              <w:t>（合同关键页包含但不限于项目名称、业主方名称、合同主要内容、签订时间、甲乙双方盖章等信息）</w:t>
            </w:r>
            <w:r>
              <w:rPr>
                <w:rFonts w:hint="eastAsia" w:ascii="宋体" w:hAnsi="宋体" w:eastAsia="宋体" w:cs="宋体"/>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FF0000"/>
                <w:sz w:val="21"/>
                <w:szCs w:val="21"/>
                <w:highlight w:val="yellow"/>
              </w:rPr>
            </w:pPr>
            <w:r>
              <w:rPr>
                <w:rFonts w:hint="eastAsia" w:ascii="宋体" w:hAnsi="宋体" w:eastAsia="宋体" w:cs="宋体"/>
                <w:b/>
                <w:sz w:val="21"/>
                <w:szCs w:val="21"/>
              </w:rPr>
              <w:t>技术服务评议项（</w:t>
            </w:r>
            <w:r>
              <w:rPr>
                <w:rFonts w:hint="eastAsia" w:ascii="宋体" w:hAnsi="宋体" w:cs="宋体"/>
                <w:b/>
                <w:sz w:val="21"/>
                <w:szCs w:val="21"/>
                <w:lang w:val="en-US" w:eastAsia="zh-CN"/>
              </w:rPr>
              <w:t>3</w:t>
            </w:r>
            <w:r>
              <w:rPr>
                <w:rFonts w:hint="eastAsia" w:ascii="宋体" w:hAnsi="宋体" w:eastAsia="宋体" w:cs="宋体"/>
                <w:b/>
                <w:sz w:val="21"/>
                <w:szCs w:val="21"/>
                <w:lang w:val="en-US" w:eastAsia="zh-CN"/>
              </w:rPr>
              <w:t>5</w:t>
            </w:r>
            <w:r>
              <w:rPr>
                <w:rFonts w:hint="eastAsia" w:ascii="宋体" w:hAnsi="宋体" w:eastAsia="宋体" w:cs="宋体"/>
                <w:b/>
                <w:sz w:val="21"/>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pageBreakBefore w:val="0"/>
              <w:numPr>
                <w:ilvl w:val="0"/>
                <w:numId w:val="24"/>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技术服务方案</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评审标准：</w:t>
            </w:r>
            <w:r>
              <w:rPr>
                <w:rFonts w:hint="eastAsia" w:ascii="宋体" w:hAnsi="宋体" w:eastAsia="宋体" w:cs="宋体"/>
                <w:b w:val="0"/>
                <w:bCs/>
                <w:kern w:val="0"/>
                <w:sz w:val="21"/>
                <w:szCs w:val="21"/>
                <w:highlight w:val="none"/>
              </w:rPr>
              <w:t>投标人提供技术服务</w:t>
            </w:r>
            <w:r>
              <w:rPr>
                <w:rFonts w:hint="eastAsia" w:ascii="宋体" w:hAnsi="宋体" w:eastAsia="宋体" w:cs="宋体"/>
                <w:b w:val="0"/>
                <w:bCs/>
                <w:sz w:val="21"/>
                <w:szCs w:val="21"/>
                <w:highlight w:val="none"/>
              </w:rPr>
              <w:t>方</w:t>
            </w:r>
            <w:r>
              <w:rPr>
                <w:rFonts w:hint="eastAsia" w:ascii="宋体" w:hAnsi="宋体" w:eastAsia="宋体" w:cs="宋体"/>
                <w:sz w:val="21"/>
                <w:szCs w:val="21"/>
                <w:highlight w:val="none"/>
              </w:rPr>
              <w:t>案能够结合本项目相关要求，领悟整治要点，对项目的分析是否深入，方案是否可行，目标是否明确，措施是否得当，对项目重点、难点、关键技术点的把握是否到位，</w:t>
            </w:r>
            <w:r>
              <w:rPr>
                <w:rFonts w:hint="eastAsia" w:ascii="宋体" w:hAnsi="宋体" w:cs="宋体"/>
                <w:sz w:val="21"/>
                <w:szCs w:val="21"/>
                <w:highlight w:val="none"/>
                <w:lang w:val="en-US" w:eastAsia="zh-CN"/>
              </w:rPr>
              <w:t>按以下方面综合评价得分</w:t>
            </w:r>
            <w:r>
              <w:rPr>
                <w:rFonts w:hint="eastAsia" w:ascii="宋体" w:hAnsi="宋体" w:eastAsia="宋体" w:cs="宋体"/>
                <w:sz w:val="21"/>
                <w:szCs w:val="21"/>
                <w:highlight w:val="none"/>
              </w:rPr>
              <w:t>：</w:t>
            </w:r>
          </w:p>
          <w:p>
            <w:pPr>
              <w:pStyle w:val="2"/>
              <w:keepNext w:val="0"/>
              <w:keepLines w:val="0"/>
              <w:pageBreakBefore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sz w:val="21"/>
                <w:szCs w:val="21"/>
                <w:highlight w:val="none"/>
              </w:rPr>
            </w:pPr>
            <w:r>
              <w:rPr>
                <w:rFonts w:hint="eastAsia" w:ascii="宋体" w:hAnsi="宋体" w:cs="宋体"/>
                <w:spacing w:val="0"/>
                <w:kern w:val="2"/>
                <w:sz w:val="21"/>
                <w:szCs w:val="21"/>
                <w:highlight w:val="none"/>
                <w:lang w:val="en-US" w:eastAsia="zh-CN"/>
              </w:rPr>
              <w:t>根据</w:t>
            </w:r>
            <w:r>
              <w:rPr>
                <w:rFonts w:hint="eastAsia" w:ascii="宋体" w:hAnsi="宋体" w:eastAsia="宋体" w:cs="宋体"/>
                <w:spacing w:val="0"/>
                <w:kern w:val="2"/>
                <w:sz w:val="21"/>
                <w:szCs w:val="21"/>
                <w:highlight w:val="none"/>
              </w:rPr>
              <w:t>技术服务方案内容全面</w:t>
            </w:r>
            <w:r>
              <w:rPr>
                <w:rFonts w:hint="eastAsia" w:ascii="宋体" w:hAnsi="宋体" w:cs="宋体"/>
                <w:spacing w:val="0"/>
                <w:kern w:val="2"/>
                <w:sz w:val="21"/>
                <w:szCs w:val="21"/>
                <w:highlight w:val="none"/>
                <w:lang w:val="en-US" w:eastAsia="zh-CN"/>
              </w:rPr>
              <w:t>性</w:t>
            </w:r>
            <w:r>
              <w:rPr>
                <w:rFonts w:hint="eastAsia" w:ascii="宋体" w:hAnsi="宋体" w:cs="宋体"/>
                <w:spacing w:val="0"/>
                <w:kern w:val="2"/>
                <w:sz w:val="21"/>
                <w:szCs w:val="21"/>
                <w:highlight w:val="none"/>
                <w:lang w:eastAsia="zh-CN"/>
              </w:rPr>
              <w:t>、</w:t>
            </w:r>
            <w:r>
              <w:rPr>
                <w:rFonts w:hint="eastAsia" w:ascii="宋体" w:hAnsi="宋体" w:eastAsia="宋体" w:cs="宋体"/>
                <w:sz w:val="21"/>
                <w:szCs w:val="21"/>
                <w:highlight w:val="none"/>
              </w:rPr>
              <w:t>内容具体</w:t>
            </w:r>
            <w:r>
              <w:rPr>
                <w:rFonts w:hint="eastAsia" w:ascii="宋体" w:hAnsi="宋体" w:cs="宋体"/>
                <w:sz w:val="21"/>
                <w:szCs w:val="21"/>
                <w:highlight w:val="none"/>
                <w:lang w:val="en-US" w:eastAsia="zh-CN"/>
              </w:rPr>
              <w:t>程度</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科学合理</w:t>
            </w:r>
            <w:r>
              <w:rPr>
                <w:rFonts w:hint="eastAsia" w:ascii="宋体" w:hAnsi="宋体" w:cs="宋体"/>
                <w:sz w:val="21"/>
                <w:szCs w:val="21"/>
                <w:highlight w:val="none"/>
                <w:lang w:val="en-US" w:eastAsia="zh-CN"/>
              </w:rPr>
              <w:t>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内容针对性</w:t>
            </w:r>
            <w:r>
              <w:rPr>
                <w:rFonts w:hint="eastAsia" w:ascii="宋体" w:hAnsi="宋体" w:cs="宋体"/>
                <w:sz w:val="21"/>
                <w:szCs w:val="21"/>
                <w:highlight w:val="none"/>
                <w:lang w:val="en-US" w:eastAsia="zh-CN"/>
              </w:rPr>
              <w:t>强弱</w:t>
            </w:r>
            <w:r>
              <w:rPr>
                <w:rFonts w:hint="eastAsia" w:ascii="宋体" w:hAnsi="宋体" w:cs="宋体"/>
                <w:sz w:val="21"/>
                <w:szCs w:val="21"/>
                <w:highlight w:val="none"/>
                <w:lang w:eastAsia="zh-CN"/>
              </w:rPr>
              <w:t>、</w:t>
            </w:r>
            <w:r>
              <w:rPr>
                <w:rFonts w:hint="eastAsia" w:ascii="宋体" w:hAnsi="宋体" w:eastAsia="宋体" w:cs="宋体"/>
                <w:spacing w:val="0"/>
                <w:kern w:val="2"/>
                <w:sz w:val="21"/>
                <w:szCs w:val="21"/>
                <w:highlight w:val="none"/>
              </w:rPr>
              <w:t>内容可操作性强</w:t>
            </w:r>
            <w:r>
              <w:rPr>
                <w:rFonts w:hint="eastAsia" w:ascii="宋体" w:hAnsi="宋体" w:cs="宋体"/>
                <w:spacing w:val="0"/>
                <w:kern w:val="2"/>
                <w:sz w:val="21"/>
                <w:szCs w:val="21"/>
                <w:highlight w:val="none"/>
                <w:lang w:val="en-US" w:eastAsia="zh-CN"/>
              </w:rPr>
              <w:t>弱</w:t>
            </w:r>
            <w:r>
              <w:rPr>
                <w:rFonts w:hint="eastAsia" w:ascii="宋体" w:hAnsi="宋体" w:cs="宋体"/>
                <w:spacing w:val="0"/>
                <w:kern w:val="2"/>
                <w:sz w:val="21"/>
                <w:szCs w:val="21"/>
                <w:highlight w:val="none"/>
                <w:lang w:eastAsia="zh-CN"/>
              </w:rPr>
              <w:t>，</w:t>
            </w:r>
            <w:r>
              <w:rPr>
                <w:rFonts w:hint="eastAsia" w:ascii="宋体" w:hAnsi="宋体" w:cs="宋体"/>
                <w:spacing w:val="0"/>
                <w:kern w:val="2"/>
                <w:sz w:val="21"/>
                <w:szCs w:val="21"/>
                <w:highlight w:val="none"/>
                <w:lang w:val="en-US" w:eastAsia="zh-CN"/>
              </w:rPr>
              <w:t>综合评议。</w:t>
            </w:r>
            <w:r>
              <w:rPr>
                <w:rFonts w:hint="eastAsia" w:ascii="宋体" w:hAnsi="宋体" w:eastAsia="宋体" w:cs="宋体"/>
                <w:spacing w:val="0"/>
                <w:kern w:val="2"/>
                <w:sz w:val="21"/>
                <w:szCs w:val="21"/>
                <w:highlight w:val="none"/>
              </w:rPr>
              <w:t>评价为优得10</w:t>
            </w:r>
            <w:r>
              <w:rPr>
                <w:rFonts w:hint="eastAsia" w:ascii="宋体" w:hAnsi="宋体" w:cs="宋体"/>
                <w:spacing w:val="0"/>
                <w:kern w:val="2"/>
                <w:sz w:val="21"/>
                <w:szCs w:val="21"/>
                <w:highlight w:val="none"/>
                <w:lang w:val="en-US" w:eastAsia="zh-CN"/>
              </w:rPr>
              <w:t>-8</w:t>
            </w:r>
            <w:r>
              <w:rPr>
                <w:rFonts w:hint="eastAsia" w:ascii="宋体" w:hAnsi="宋体" w:eastAsia="宋体" w:cs="宋体"/>
                <w:spacing w:val="0"/>
                <w:kern w:val="2"/>
                <w:sz w:val="21"/>
                <w:szCs w:val="21"/>
                <w:highlight w:val="none"/>
              </w:rPr>
              <w:t>分</w:t>
            </w:r>
            <w:r>
              <w:rPr>
                <w:rFonts w:hint="eastAsia" w:ascii="宋体" w:hAnsi="宋体" w:cs="宋体"/>
                <w:spacing w:val="0"/>
                <w:kern w:val="2"/>
                <w:sz w:val="21"/>
                <w:szCs w:val="21"/>
                <w:highlight w:val="none"/>
                <w:lang w:eastAsia="zh-CN"/>
              </w:rPr>
              <w:t>，</w:t>
            </w:r>
            <w:r>
              <w:rPr>
                <w:rFonts w:hint="eastAsia" w:ascii="宋体" w:hAnsi="宋体" w:cs="宋体"/>
                <w:spacing w:val="0"/>
                <w:kern w:val="2"/>
                <w:sz w:val="21"/>
                <w:szCs w:val="21"/>
                <w:highlight w:val="none"/>
                <w:lang w:val="en-US" w:eastAsia="zh-CN"/>
              </w:rPr>
              <w:t>良7-5分，可4-3分，差2-0分。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kern w:val="0"/>
                <w:sz w:val="21"/>
                <w:szCs w:val="21"/>
              </w:rPr>
            </w:pPr>
            <w:r>
              <w:rPr>
                <w:rFonts w:hint="eastAsia" w:ascii="宋体" w:hAnsi="宋体" w:eastAsia="宋体" w:cs="宋体"/>
                <w:sz w:val="21"/>
                <w:szCs w:val="21"/>
                <w:highlight w:val="none"/>
              </w:rPr>
              <w:t>此项最高累计得1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pageBreakBefore w:val="0"/>
              <w:numPr>
                <w:ilvl w:val="0"/>
                <w:numId w:val="24"/>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项目质量管理及</w:t>
            </w:r>
            <w:r>
              <w:rPr>
                <w:rFonts w:hint="eastAsia" w:ascii="宋体" w:hAnsi="宋体" w:cs="宋体"/>
                <w:sz w:val="21"/>
                <w:szCs w:val="21"/>
                <w:highlight w:val="none"/>
                <w:lang w:val="en-US" w:eastAsia="zh-CN"/>
              </w:rPr>
              <w:t>保障</w:t>
            </w:r>
            <w:r>
              <w:rPr>
                <w:rFonts w:hint="eastAsia" w:ascii="宋体" w:hAnsi="宋体" w:eastAsia="宋体" w:cs="宋体"/>
                <w:sz w:val="21"/>
                <w:szCs w:val="21"/>
                <w:highlight w:val="none"/>
              </w:rPr>
              <w:t>措施</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val="0"/>
                <w:kern w:val="2"/>
                <w:sz w:val="21"/>
                <w:szCs w:val="21"/>
                <w:highlight w:val="none"/>
              </w:rPr>
              <w:t>评审标准：</w:t>
            </w:r>
            <w:r>
              <w:rPr>
                <w:rFonts w:hint="eastAsia" w:ascii="宋体" w:hAnsi="宋体" w:eastAsia="宋体" w:cs="宋体"/>
                <w:sz w:val="21"/>
                <w:szCs w:val="21"/>
                <w:highlight w:val="none"/>
              </w:rPr>
              <w:t>投标人提供关于本项目的质量管理及</w:t>
            </w:r>
            <w:r>
              <w:rPr>
                <w:rFonts w:hint="eastAsia" w:ascii="宋体" w:hAnsi="宋体" w:cs="宋体"/>
                <w:sz w:val="21"/>
                <w:szCs w:val="21"/>
                <w:highlight w:val="none"/>
                <w:lang w:val="en-US" w:eastAsia="zh-CN"/>
              </w:rPr>
              <w:t>保障</w:t>
            </w:r>
            <w:r>
              <w:rPr>
                <w:rFonts w:hint="eastAsia" w:ascii="宋体" w:hAnsi="宋体" w:eastAsia="宋体" w:cs="宋体"/>
                <w:sz w:val="21"/>
                <w:szCs w:val="21"/>
                <w:highlight w:val="none"/>
              </w:rPr>
              <w:t>措施计划，内容包括结合本项目技术要求实际，有针对性的项目质量控制文件和质量管控程序</w:t>
            </w:r>
            <w:r>
              <w:rPr>
                <w:rFonts w:hint="eastAsia" w:ascii="宋体" w:hAnsi="宋体" w:eastAsia="宋体" w:cs="宋体"/>
                <w:sz w:val="21"/>
                <w:szCs w:val="21"/>
                <w:highlight w:val="none"/>
                <w:lang w:eastAsia="zh-CN"/>
              </w:rPr>
              <w:t>、质量保障措施</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应急演练初步方案框架、安全保障措施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应急处置等</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按以下方面综合评价得分</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根据</w:t>
            </w:r>
            <w:r>
              <w:rPr>
                <w:rFonts w:hint="eastAsia" w:ascii="宋体" w:hAnsi="宋体" w:eastAsia="宋体" w:cs="宋体"/>
                <w:sz w:val="21"/>
                <w:szCs w:val="21"/>
                <w:highlight w:val="none"/>
              </w:rPr>
              <w:t>项目质量管理及</w:t>
            </w:r>
            <w:r>
              <w:rPr>
                <w:rFonts w:hint="eastAsia" w:ascii="宋体" w:hAnsi="宋体" w:cs="宋体"/>
                <w:sz w:val="21"/>
                <w:szCs w:val="21"/>
                <w:highlight w:val="none"/>
                <w:lang w:val="en-US" w:eastAsia="zh-CN"/>
              </w:rPr>
              <w:t>保障</w:t>
            </w:r>
            <w:r>
              <w:rPr>
                <w:rFonts w:hint="eastAsia" w:ascii="宋体" w:hAnsi="宋体" w:eastAsia="宋体" w:cs="宋体"/>
                <w:sz w:val="21"/>
                <w:szCs w:val="21"/>
                <w:highlight w:val="none"/>
              </w:rPr>
              <w:t>措施内容全面</w:t>
            </w:r>
            <w:r>
              <w:rPr>
                <w:rFonts w:hint="eastAsia" w:ascii="宋体" w:hAnsi="宋体" w:cs="宋体"/>
                <w:sz w:val="21"/>
                <w:szCs w:val="21"/>
                <w:highlight w:val="none"/>
                <w:lang w:val="en-US" w:eastAsia="zh-CN"/>
              </w:rPr>
              <w:t>性、内容具体程度、科学合理性、内容针对性强弱、内容可操作性强弱，综合评议。评价为优</w:t>
            </w:r>
            <w:r>
              <w:rPr>
                <w:rFonts w:hint="eastAsia" w:ascii="宋体" w:hAnsi="宋体" w:eastAsia="宋体" w:cs="宋体"/>
                <w:spacing w:val="0"/>
                <w:kern w:val="2"/>
                <w:sz w:val="21"/>
                <w:szCs w:val="21"/>
                <w:highlight w:val="none"/>
              </w:rPr>
              <w:t>得10</w:t>
            </w:r>
            <w:r>
              <w:rPr>
                <w:rFonts w:hint="eastAsia" w:ascii="宋体" w:hAnsi="宋体" w:cs="宋体"/>
                <w:spacing w:val="0"/>
                <w:kern w:val="2"/>
                <w:sz w:val="21"/>
                <w:szCs w:val="21"/>
                <w:highlight w:val="none"/>
                <w:lang w:val="en-US" w:eastAsia="zh-CN"/>
              </w:rPr>
              <w:t>-8</w:t>
            </w:r>
            <w:r>
              <w:rPr>
                <w:rFonts w:hint="eastAsia" w:ascii="宋体" w:hAnsi="宋体" w:eastAsia="宋体" w:cs="宋体"/>
                <w:spacing w:val="0"/>
                <w:kern w:val="2"/>
                <w:sz w:val="21"/>
                <w:szCs w:val="21"/>
                <w:highlight w:val="none"/>
              </w:rPr>
              <w:t>分</w:t>
            </w:r>
            <w:r>
              <w:rPr>
                <w:rFonts w:hint="eastAsia" w:ascii="宋体" w:hAnsi="宋体" w:cs="宋体"/>
                <w:spacing w:val="0"/>
                <w:kern w:val="2"/>
                <w:sz w:val="21"/>
                <w:szCs w:val="21"/>
                <w:highlight w:val="none"/>
                <w:lang w:eastAsia="zh-CN"/>
              </w:rPr>
              <w:t>，</w:t>
            </w:r>
            <w:r>
              <w:rPr>
                <w:rFonts w:hint="eastAsia" w:ascii="宋体" w:hAnsi="宋体" w:cs="宋体"/>
                <w:spacing w:val="0"/>
                <w:kern w:val="2"/>
                <w:sz w:val="21"/>
                <w:szCs w:val="21"/>
                <w:highlight w:val="none"/>
                <w:lang w:val="en-US" w:eastAsia="zh-CN"/>
              </w:rPr>
              <w:t>良7-5分，可4-3分，差2-0分。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sz w:val="21"/>
                <w:szCs w:val="21"/>
                <w:highlight w:val="none"/>
              </w:rPr>
              <w:t>此项最高累计得1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pageBreakBefore w:val="0"/>
              <w:numPr>
                <w:ilvl w:val="0"/>
                <w:numId w:val="24"/>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拟派本项目负责人情况（仅限1人）</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rPr>
            </w:pPr>
            <w:r>
              <w:rPr>
                <w:rFonts w:hint="eastAsia" w:ascii="宋体" w:hAnsi="宋体" w:eastAsia="宋体" w:cs="宋体"/>
                <w:kern w:val="2"/>
                <w:sz w:val="21"/>
                <w:szCs w:val="21"/>
                <w:highlight w:val="none"/>
                <w:lang w:val="en-US" w:eastAsia="zh-CN" w:bidi="ar-SA"/>
              </w:rPr>
              <w:t>5</w:t>
            </w:r>
          </w:p>
        </w:tc>
        <w:tc>
          <w:tcPr>
            <w:tcW w:w="6804" w:type="dxa"/>
            <w:gridSpan w:val="2"/>
            <w:tcBorders>
              <w:tl2br w:val="nil"/>
              <w:tr2bl w:val="nil"/>
            </w:tcBorders>
            <w:tcMar>
              <w:top w:w="15" w:type="dxa"/>
              <w:left w:w="15" w:type="dxa"/>
              <w:bottom w:w="15" w:type="dxa"/>
              <w:right w:w="15" w:type="dxa"/>
            </w:tcMar>
            <w:vAlign w:val="top"/>
          </w:tcPr>
          <w:p>
            <w:pPr>
              <w:keepNext w:val="0"/>
              <w:keepLines w:val="0"/>
              <w:pageBreakBefore w:val="0"/>
              <w:numPr>
                <w:ilvl w:val="-1"/>
                <w:numId w:val="0"/>
              </w:numPr>
              <w:kinsoku/>
              <w:wordWrap/>
              <w:overflowPunct/>
              <w:topLinePunct w:val="0"/>
              <w:autoSpaceDE/>
              <w:autoSpaceDN/>
              <w:bidi w:val="0"/>
              <w:adjustRightInd/>
              <w:snapToGrid w:val="0"/>
              <w:spacing w:line="360" w:lineRule="auto"/>
              <w:ind w:left="0" w:firstLine="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1、评审标准：</w:t>
            </w:r>
          </w:p>
          <w:p>
            <w:pPr>
              <w:keepNext w:val="0"/>
              <w:keepLines w:val="0"/>
              <w:pageBreakBefore w:val="0"/>
              <w:numPr>
                <w:ilvl w:val="-1"/>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具有</w:t>
            </w:r>
            <w:r>
              <w:rPr>
                <w:rFonts w:hint="eastAsia" w:ascii="宋体" w:hAnsi="宋体" w:cs="宋体"/>
                <w:sz w:val="21"/>
                <w:szCs w:val="21"/>
                <w:highlight w:val="none"/>
                <w:lang w:val="en-US" w:eastAsia="zh-CN"/>
              </w:rPr>
              <w:t>安全工程</w:t>
            </w:r>
            <w:r>
              <w:rPr>
                <w:rFonts w:hint="eastAsia" w:ascii="宋体" w:hAnsi="宋体" w:eastAsia="宋体" w:cs="宋体"/>
                <w:sz w:val="21"/>
                <w:szCs w:val="21"/>
                <w:highlight w:val="none"/>
              </w:rPr>
              <w:t>全日制本科</w:t>
            </w:r>
            <w:r>
              <w:rPr>
                <w:rFonts w:hint="eastAsia" w:ascii="宋体" w:hAnsi="宋体" w:cs="宋体"/>
                <w:sz w:val="21"/>
                <w:szCs w:val="21"/>
                <w:highlight w:val="none"/>
                <w:lang w:val="en-US" w:eastAsia="zh-CN"/>
              </w:rPr>
              <w:t>及以上</w:t>
            </w:r>
            <w:r>
              <w:rPr>
                <w:rFonts w:hint="eastAsia" w:ascii="宋体" w:hAnsi="宋体" w:eastAsia="宋体" w:cs="宋体"/>
                <w:sz w:val="21"/>
                <w:szCs w:val="21"/>
                <w:highlight w:val="none"/>
              </w:rPr>
              <w:t>学历</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1分</w:t>
            </w:r>
            <w:r>
              <w:rPr>
                <w:rFonts w:hint="eastAsia" w:ascii="宋体" w:hAnsi="宋体" w:cs="宋体"/>
                <w:sz w:val="21"/>
                <w:szCs w:val="21"/>
                <w:highlight w:val="none"/>
                <w:lang w:val="en-US" w:eastAsia="zh-CN"/>
              </w:rPr>
              <w:t>；</w:t>
            </w:r>
          </w:p>
          <w:p>
            <w:pPr>
              <w:keepNext w:val="0"/>
              <w:keepLines w:val="0"/>
              <w:pageBreakBefore w:val="0"/>
              <w:numPr>
                <w:ilvl w:val="-1"/>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（2）具有</w:t>
            </w:r>
            <w:r>
              <w:rPr>
                <w:rFonts w:hint="eastAsia" w:ascii="宋体" w:hAnsi="宋体" w:eastAsia="宋体" w:cs="宋体"/>
                <w:sz w:val="21"/>
                <w:szCs w:val="21"/>
                <w:highlight w:val="none"/>
              </w:rPr>
              <w:t>8年</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以上国家注册安全工程师，得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5年及以上不足8年得0.5分；5年以下不得分；</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lang w:eastAsia="zh-CN"/>
              </w:rPr>
              <w:t>高级工程师职称</w:t>
            </w:r>
            <w:r>
              <w:rPr>
                <w:rFonts w:hint="eastAsia" w:ascii="宋体" w:hAnsi="宋体" w:cs="宋体"/>
                <w:sz w:val="21"/>
                <w:szCs w:val="21"/>
                <w:highlight w:val="none"/>
                <w:lang w:val="en-US" w:eastAsia="zh-CN"/>
              </w:rPr>
              <w:t>或国家一级注册消防工程师</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1分</w:t>
            </w:r>
            <w:r>
              <w:rPr>
                <w:rFonts w:hint="eastAsia" w:ascii="宋体" w:hAnsi="宋体" w:cs="宋体"/>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省</w:t>
            </w:r>
            <w:r>
              <w:rPr>
                <w:rFonts w:hint="eastAsia" w:ascii="宋体" w:hAnsi="宋体" w:cs="宋体"/>
                <w:sz w:val="21"/>
                <w:szCs w:val="21"/>
                <w:highlight w:val="none"/>
                <w:lang w:val="en-US" w:eastAsia="zh-CN"/>
              </w:rPr>
              <w:t>级或以上</w:t>
            </w:r>
            <w:r>
              <w:rPr>
                <w:rFonts w:hint="eastAsia" w:ascii="宋体" w:hAnsi="宋体" w:eastAsia="宋体" w:cs="宋体"/>
                <w:sz w:val="21"/>
                <w:szCs w:val="21"/>
                <w:highlight w:val="none"/>
              </w:rPr>
              <w:t>安全生产协会专家库专家资质得</w:t>
            </w:r>
            <w:r>
              <w:rPr>
                <w:rFonts w:hint="eastAsia" w:ascii="宋体" w:hAnsi="宋体" w:eastAsia="宋体" w:cs="宋体"/>
                <w:sz w:val="21"/>
                <w:szCs w:val="21"/>
                <w:highlight w:val="none"/>
                <w:lang w:val="en-US" w:eastAsia="zh-CN"/>
              </w:rPr>
              <w:t>1分</w:t>
            </w:r>
            <w:r>
              <w:rPr>
                <w:rFonts w:hint="eastAsia" w:ascii="宋体" w:hAnsi="宋体" w:eastAsia="宋体" w:cs="宋体"/>
                <w:sz w:val="21"/>
                <w:szCs w:val="21"/>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rPr>
              <w:t>二级及以上安全生产标准化评审员资质，得</w:t>
            </w:r>
            <w:r>
              <w:rPr>
                <w:rFonts w:hint="eastAsia" w:ascii="宋体" w:hAnsi="宋体" w:eastAsia="宋体" w:cs="宋体"/>
                <w:sz w:val="21"/>
                <w:szCs w:val="21"/>
                <w:highlight w:val="none"/>
                <w:lang w:val="en-US" w:eastAsia="zh-CN"/>
              </w:rPr>
              <w:t>1分</w:t>
            </w:r>
            <w:r>
              <w:rPr>
                <w:rFonts w:hint="eastAsia" w:ascii="宋体" w:hAnsi="宋体" w:eastAsia="宋体" w:cs="宋体"/>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rPr>
              <w:t>以上满分为</w:t>
            </w:r>
            <w:r>
              <w:rPr>
                <w:rFonts w:hint="eastAsia" w:ascii="宋体" w:hAnsi="宋体" w:eastAsia="宋体" w:cs="宋体"/>
                <w:bCs/>
                <w:color w:val="000000"/>
                <w:kern w:val="0"/>
                <w:sz w:val="21"/>
                <w:szCs w:val="21"/>
                <w:highlight w:val="none"/>
                <w:lang w:val="en-US" w:eastAsia="zh-CN"/>
              </w:rPr>
              <w:t>5分。</w:t>
            </w:r>
          </w:p>
          <w:p>
            <w:pPr>
              <w:keepNext w:val="0"/>
              <w:keepLines w:val="0"/>
              <w:pageBreakBefore w:val="0"/>
              <w:numPr>
                <w:ilvl w:val="-1"/>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证明文件：</w:t>
            </w:r>
          </w:p>
          <w:p>
            <w:pPr>
              <w:keepNext w:val="0"/>
              <w:keepLines w:val="0"/>
              <w:pageBreakBefore w:val="0"/>
              <w:numPr>
                <w:ilvl w:val="-1"/>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kern w:val="0"/>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eastAsia="宋体" w:cs="宋体"/>
                <w:bCs w:val="0"/>
                <w:color w:val="auto"/>
                <w:kern w:val="0"/>
                <w:sz w:val="21"/>
                <w:szCs w:val="21"/>
                <w:highlight w:val="none"/>
              </w:rPr>
              <w:t>项目</w:t>
            </w:r>
            <w:r>
              <w:rPr>
                <w:rFonts w:hint="eastAsia" w:ascii="宋体" w:hAnsi="宋体" w:eastAsia="宋体" w:cs="宋体"/>
                <w:bCs/>
                <w:color w:val="000000"/>
                <w:kern w:val="0"/>
                <w:sz w:val="21"/>
                <w:szCs w:val="21"/>
                <w:highlight w:val="none"/>
              </w:rPr>
              <w:t>负责人必须为投标人自有员工，</w:t>
            </w:r>
            <w:r>
              <w:rPr>
                <w:rFonts w:hint="eastAsia" w:ascii="宋体" w:hAnsi="宋体" w:cs="宋体"/>
                <w:bCs/>
                <w:color w:val="000000"/>
                <w:kern w:val="0"/>
                <w:sz w:val="21"/>
                <w:szCs w:val="21"/>
                <w:highlight w:val="none"/>
                <w:lang w:val="en-US" w:eastAsia="zh-CN"/>
              </w:rPr>
              <w:t>提供</w:t>
            </w:r>
            <w:r>
              <w:rPr>
                <w:rFonts w:hint="eastAsia" w:ascii="宋体" w:hAnsi="宋体" w:eastAsia="宋体" w:cs="宋体"/>
                <w:sz w:val="21"/>
                <w:szCs w:val="21"/>
                <w:highlight w:val="none"/>
              </w:rPr>
              <w:t>社保部门出具的投标企业缴纳的相关人员的开标前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个月社保证明文件原件扫描件，如开标日上一个月的社保材料因社保部门原因暂时无法取得，则可以往前顺延一个月；</w:t>
            </w:r>
            <w:r>
              <w:rPr>
                <w:rFonts w:hint="eastAsia" w:ascii="宋体" w:hAnsi="宋体" w:eastAsia="宋体" w:cs="宋体"/>
                <w:kern w:val="0"/>
                <w:sz w:val="21"/>
                <w:szCs w:val="21"/>
                <w:highlight w:val="none"/>
              </w:rPr>
              <w:t xml:space="preserve"> </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kern w:val="0"/>
                <w:sz w:val="21"/>
                <w:szCs w:val="21"/>
              </w:rPr>
            </w:pPr>
            <w:r>
              <w:rPr>
                <w:rFonts w:hint="eastAsia" w:ascii="宋体" w:hAnsi="宋体" w:cs="宋体"/>
                <w:sz w:val="21"/>
                <w:szCs w:val="21"/>
                <w:highlight w:val="none"/>
                <w:lang w:val="en-US" w:eastAsia="zh-CN"/>
              </w:rPr>
              <w:t>（2）</w:t>
            </w:r>
            <w:r>
              <w:rPr>
                <w:rFonts w:hint="eastAsia" w:ascii="宋体" w:hAnsi="宋体" w:eastAsia="宋体" w:cs="宋体"/>
                <w:kern w:val="0"/>
                <w:sz w:val="21"/>
                <w:szCs w:val="21"/>
                <w:highlight w:val="none"/>
              </w:rPr>
              <w:t>提供人员的学历证书、职称证书</w:t>
            </w:r>
            <w:r>
              <w:rPr>
                <w:rFonts w:hint="eastAsia" w:ascii="宋体" w:hAnsi="宋体" w:cs="宋体"/>
                <w:kern w:val="0"/>
                <w:sz w:val="21"/>
                <w:szCs w:val="21"/>
                <w:highlight w:val="none"/>
                <w:lang w:eastAsia="zh-CN"/>
              </w:rPr>
              <w:t>、</w:t>
            </w:r>
            <w:r>
              <w:rPr>
                <w:rFonts w:hint="eastAsia" w:ascii="宋体" w:hAnsi="宋体" w:eastAsia="宋体" w:cs="宋体"/>
                <w:bCs/>
                <w:color w:val="000000"/>
                <w:kern w:val="0"/>
                <w:sz w:val="21"/>
                <w:szCs w:val="21"/>
                <w:highlight w:val="none"/>
              </w:rPr>
              <w:t>资格证书</w:t>
            </w:r>
            <w:r>
              <w:rPr>
                <w:rFonts w:hint="eastAsia" w:ascii="宋体" w:hAnsi="宋体" w:eastAsia="宋体" w:cs="宋体"/>
                <w:kern w:val="0"/>
                <w:sz w:val="21"/>
                <w:szCs w:val="21"/>
                <w:highlight w:val="none"/>
              </w:rPr>
              <w:t>扫描件</w:t>
            </w:r>
            <w:r>
              <w:rPr>
                <w:rFonts w:hint="eastAsia" w:ascii="宋体" w:hAnsi="宋体" w:cs="宋体"/>
                <w:kern w:val="0"/>
                <w:sz w:val="21"/>
                <w:szCs w:val="21"/>
                <w:highlight w:val="none"/>
                <w:lang w:eastAsia="zh-CN"/>
              </w:rPr>
              <w:t>，</w:t>
            </w:r>
            <w:r>
              <w:rPr>
                <w:rFonts w:hint="eastAsia" w:ascii="宋体" w:hAnsi="宋体" w:eastAsia="宋体" w:cs="宋体"/>
                <w:bCs/>
                <w:color w:val="000000"/>
                <w:kern w:val="0"/>
                <w:sz w:val="21"/>
                <w:szCs w:val="21"/>
                <w:highlight w:val="none"/>
              </w:rPr>
              <w:t>未按要求提供或提供不清晰导致专家无法判断的不得分，原件备查。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pageBreakBefore w:val="0"/>
              <w:numPr>
                <w:ilvl w:val="0"/>
                <w:numId w:val="24"/>
              </w:numPr>
              <w:kinsoku/>
              <w:wordWrap/>
              <w:overflowPunct/>
              <w:topLinePunct w:val="0"/>
              <w:autoSpaceDE/>
              <w:autoSpaceDN/>
              <w:bidi w:val="0"/>
              <w:adjustRightInd/>
              <w:snapToGrid/>
              <w:spacing w:line="240" w:lineRule="auto"/>
              <w:ind w:firstLineChars="0"/>
              <w:jc w:val="center"/>
              <w:textAlignment w:val="auto"/>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拟安排的项目团队成员情况</w:t>
            </w:r>
          </w:p>
        </w:tc>
        <w:tc>
          <w:tcPr>
            <w:tcW w:w="709" w:type="dxa"/>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FF0000"/>
                <w:sz w:val="21"/>
                <w:szCs w:val="21"/>
                <w:lang w:val="en-US"/>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评审标准：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项目组成员</w:t>
            </w:r>
            <w:r>
              <w:rPr>
                <w:rFonts w:hint="eastAsia" w:ascii="宋体" w:hAnsi="宋体" w:eastAsia="宋体" w:cs="宋体"/>
                <w:sz w:val="21"/>
                <w:szCs w:val="21"/>
                <w:highlight w:val="none"/>
                <w:lang w:val="en-US" w:eastAsia="zh-CN"/>
              </w:rPr>
              <w:t>具有</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lang w:val="en-US" w:eastAsia="zh-CN"/>
              </w:rPr>
              <w:t>高级工程师职称，同时具备</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lang w:val="en-US" w:eastAsia="zh-CN"/>
              </w:rPr>
              <w:t>注册安全工程师资格的，每人得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分，此项最高得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项目组成员</w:t>
            </w:r>
            <w:r>
              <w:rPr>
                <w:rFonts w:hint="eastAsia" w:ascii="宋体" w:hAnsi="宋体" w:eastAsia="宋体" w:cs="宋体"/>
                <w:sz w:val="21"/>
                <w:szCs w:val="21"/>
                <w:highlight w:val="none"/>
                <w:lang w:val="en-US" w:eastAsia="zh-CN"/>
              </w:rPr>
              <w:t>具备</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lang w:val="en-US" w:eastAsia="zh-CN"/>
              </w:rPr>
              <w:t>注册消防工程师的，每人得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分，此项最高得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项目组成员</w:t>
            </w:r>
            <w:r>
              <w:rPr>
                <w:rFonts w:hint="eastAsia" w:ascii="宋体" w:hAnsi="宋体" w:eastAsia="宋体" w:cs="宋体"/>
                <w:sz w:val="21"/>
                <w:szCs w:val="21"/>
                <w:highlight w:val="none"/>
                <w:lang w:val="en-US" w:eastAsia="zh-CN"/>
              </w:rPr>
              <w:t>具备</w:t>
            </w:r>
            <w:r>
              <w:rPr>
                <w:rFonts w:hint="eastAsia" w:ascii="宋体" w:hAnsi="宋体" w:cs="宋体"/>
                <w:sz w:val="21"/>
                <w:szCs w:val="21"/>
                <w:highlight w:val="none"/>
                <w:lang w:val="en-US" w:eastAsia="zh-CN"/>
              </w:rPr>
              <w:t>有效</w:t>
            </w:r>
            <w:r>
              <w:rPr>
                <w:rFonts w:hint="eastAsia" w:ascii="宋体" w:hAnsi="宋体" w:eastAsia="宋体" w:cs="宋体"/>
                <w:sz w:val="21"/>
                <w:szCs w:val="21"/>
                <w:highlight w:val="none"/>
                <w:lang w:val="en-US" w:eastAsia="zh-CN"/>
              </w:rPr>
              <w:t>注册安全工程师的，每人得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分，此项最高得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（已在第一项得分的不再累计得分）</w:t>
            </w:r>
            <w:r>
              <w:rPr>
                <w:rFonts w:hint="eastAsia" w:ascii="宋体" w:hAnsi="宋体" w:eastAsia="宋体" w:cs="宋体"/>
                <w:sz w:val="21"/>
                <w:szCs w:val="21"/>
                <w:highlight w:val="none"/>
                <w:lang w:val="en-US" w:eastAsia="zh-CN"/>
              </w:rPr>
              <w:t>;</w:t>
            </w:r>
          </w:p>
          <w:p>
            <w:pPr>
              <w:pStyle w:val="37"/>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以上人员累计最多得分为</w:t>
            </w: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0</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bCs/>
                <w:color w:val="000000"/>
                <w:kern w:val="0"/>
                <w:sz w:val="21"/>
                <w:szCs w:val="21"/>
                <w:highlight w:val="none"/>
                <w:lang w:eastAsia="zh-CN"/>
              </w:rPr>
            </w:pPr>
            <w:r>
              <w:rPr>
                <w:rFonts w:hint="eastAsia" w:ascii="宋体" w:hAnsi="宋体" w:eastAsia="宋体" w:cs="宋体"/>
                <w:b/>
                <w:bCs/>
                <w:sz w:val="21"/>
                <w:szCs w:val="21"/>
                <w:highlight w:val="none"/>
              </w:rPr>
              <w:t>证明文件：</w:t>
            </w:r>
            <w:r>
              <w:rPr>
                <w:rFonts w:hint="eastAsia" w:ascii="宋体" w:hAnsi="宋体" w:eastAsia="宋体" w:cs="宋体"/>
                <w:bCs/>
                <w:color w:val="000000"/>
                <w:kern w:val="0"/>
                <w:sz w:val="21"/>
                <w:szCs w:val="21"/>
                <w:highlight w:val="none"/>
              </w:rPr>
              <w:t>提供相关人员（学历/职称）</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bCs/>
                <w:color w:val="000000"/>
                <w:kern w:val="0"/>
                <w:sz w:val="21"/>
                <w:szCs w:val="21"/>
                <w:highlight w:val="none"/>
              </w:rPr>
              <w:t>项目</w:t>
            </w:r>
            <w:r>
              <w:rPr>
                <w:rFonts w:hint="eastAsia" w:ascii="宋体" w:hAnsi="宋体" w:cs="宋体"/>
                <w:bCs/>
                <w:color w:val="000000"/>
                <w:kern w:val="0"/>
                <w:sz w:val="21"/>
                <w:szCs w:val="21"/>
                <w:highlight w:val="none"/>
                <w:lang w:val="en-US" w:eastAsia="zh-CN"/>
              </w:rPr>
              <w:t>人员</w:t>
            </w:r>
            <w:r>
              <w:rPr>
                <w:rFonts w:hint="eastAsia" w:ascii="宋体" w:hAnsi="宋体" w:eastAsia="宋体" w:cs="宋体"/>
                <w:bCs/>
                <w:color w:val="000000"/>
                <w:kern w:val="0"/>
                <w:sz w:val="21"/>
                <w:szCs w:val="21"/>
                <w:highlight w:val="none"/>
              </w:rPr>
              <w:t>必须为投标人自有员工</w:t>
            </w:r>
            <w:r>
              <w:rPr>
                <w:rFonts w:hint="eastAsia" w:ascii="宋体" w:hAnsi="宋体" w:cs="宋体"/>
                <w:bCs/>
                <w:color w:val="000000"/>
                <w:kern w:val="0"/>
                <w:sz w:val="21"/>
                <w:szCs w:val="21"/>
                <w:highlight w:val="none"/>
                <w:lang w:eastAsia="zh-CN"/>
              </w:rPr>
              <w:t>，</w:t>
            </w:r>
            <w:r>
              <w:rPr>
                <w:rFonts w:hint="eastAsia" w:ascii="宋体" w:hAnsi="宋体" w:eastAsia="宋体" w:cs="宋体"/>
                <w:sz w:val="21"/>
                <w:szCs w:val="21"/>
                <w:highlight w:val="none"/>
              </w:rPr>
              <w:t>社保部门出具的投标企业缴纳的相关人员的开标前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个月社保证明文件原件扫描件，如开标日上一个月的社保材料因社保部门原因暂时无法取得，则可以往前顺延一个月；</w:t>
            </w:r>
            <w:r>
              <w:rPr>
                <w:rFonts w:hint="eastAsia" w:ascii="宋体" w:hAnsi="宋体" w:eastAsia="宋体" w:cs="宋体"/>
                <w:kern w:val="0"/>
                <w:sz w:val="21"/>
                <w:szCs w:val="21"/>
                <w:highlight w:val="none"/>
              </w:rPr>
              <w:t xml:space="preserve"> </w:t>
            </w:r>
          </w:p>
          <w:p>
            <w:pPr>
              <w:keepNext w:val="0"/>
              <w:keepLines w:val="0"/>
              <w:pageBreakBefore w:val="0"/>
              <w:numPr>
                <w:ilvl w:val="0"/>
                <w:numId w:val="25"/>
              </w:numPr>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FF0000"/>
                <w:kern w:val="0"/>
                <w:sz w:val="21"/>
                <w:szCs w:val="21"/>
              </w:rPr>
            </w:pPr>
            <w:r>
              <w:rPr>
                <w:rFonts w:hint="eastAsia" w:ascii="宋体" w:hAnsi="宋体" w:eastAsia="宋体" w:cs="宋体"/>
                <w:kern w:val="0"/>
                <w:sz w:val="21"/>
                <w:szCs w:val="21"/>
                <w:highlight w:val="none"/>
              </w:rPr>
              <w:t>（2）提供人员的学历证书、职称证书</w:t>
            </w:r>
            <w:r>
              <w:rPr>
                <w:rFonts w:hint="eastAsia" w:ascii="宋体" w:hAnsi="宋体" w:cs="宋体"/>
                <w:kern w:val="0"/>
                <w:sz w:val="21"/>
                <w:szCs w:val="21"/>
                <w:highlight w:val="none"/>
                <w:lang w:eastAsia="zh-CN"/>
              </w:rPr>
              <w:t>、</w:t>
            </w:r>
            <w:r>
              <w:rPr>
                <w:rFonts w:hint="eastAsia" w:ascii="宋体" w:hAnsi="宋体" w:eastAsia="宋体" w:cs="宋体"/>
                <w:bCs/>
                <w:color w:val="000000"/>
                <w:kern w:val="0"/>
                <w:sz w:val="21"/>
                <w:szCs w:val="21"/>
                <w:highlight w:val="none"/>
              </w:rPr>
              <w:t>资格证书</w:t>
            </w:r>
            <w:r>
              <w:rPr>
                <w:rFonts w:hint="eastAsia" w:ascii="宋体" w:hAnsi="宋体" w:eastAsia="宋体" w:cs="宋体"/>
                <w:kern w:val="0"/>
                <w:sz w:val="21"/>
                <w:szCs w:val="21"/>
                <w:highlight w:val="none"/>
              </w:rPr>
              <w:t>扫描件</w:t>
            </w:r>
            <w:r>
              <w:rPr>
                <w:rFonts w:hint="eastAsia" w:ascii="宋体" w:hAnsi="宋体" w:cs="宋体"/>
                <w:kern w:val="0"/>
                <w:sz w:val="21"/>
                <w:szCs w:val="21"/>
                <w:highlight w:val="none"/>
                <w:lang w:eastAsia="zh-CN"/>
              </w:rPr>
              <w:t>，</w:t>
            </w:r>
            <w:r>
              <w:rPr>
                <w:rFonts w:hint="eastAsia" w:ascii="宋体" w:hAnsi="宋体" w:eastAsia="宋体" w:cs="宋体"/>
                <w:bCs/>
                <w:color w:val="000000"/>
                <w:kern w:val="0"/>
                <w:sz w:val="21"/>
                <w:szCs w:val="21"/>
                <w:highlight w:val="none"/>
              </w:rPr>
              <w:t>未按要求提供或提供不清晰导致专家无法判断的不得分，原件备查。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固定乘积法</w:t>
            </w:r>
          </w:p>
        </w:tc>
        <w:tc>
          <w:tcPr>
            <w:tcW w:w="6804" w:type="dxa"/>
            <w:gridSpan w:val="2"/>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26"/>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Fonts w:hint="eastAsia" w:ascii="宋体" w:hAnsi="宋体"/>
                <w:color w:val="auto"/>
                <w:szCs w:val="21"/>
                <w:highlight w:val="none"/>
                <w:lang w:val="en-US" w:eastAsia="zh-CN"/>
              </w:rPr>
              <w:t>40</w:t>
            </w:r>
            <w:r>
              <w:rPr>
                <w:rStyle w:val="21"/>
                <w:rFonts w:hint="eastAsia" w:ascii="宋体" w:hAnsi="宋体"/>
                <w:color w:val="auto"/>
                <w:highlight w:val="none"/>
              </w:rPr>
              <w:t>（价格评价分项满分值），Z为本次招标基准价；</w:t>
            </w:r>
          </w:p>
          <w:p>
            <w:pPr>
              <w:numPr>
                <w:ilvl w:val="0"/>
                <w:numId w:val="26"/>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A为价格调整系数，当投标报价低于本次招标最佳报价（即基准价）时，A=0.5；当投标报价高于次招标基准价时，取A=1；</w:t>
            </w:r>
          </w:p>
          <w:p>
            <w:pPr>
              <w:numPr>
                <w:ilvl w:val="0"/>
                <w:numId w:val="26"/>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6804" w:type="dxa"/>
            <w:gridSpan w:val="2"/>
            <w:tcBorders>
              <w:tl2br w:val="nil"/>
              <w:tr2bl w:val="nil"/>
            </w:tcBorders>
            <w:vAlign w:val="center"/>
          </w:tcPr>
          <w:p>
            <w:pPr>
              <w:spacing w:line="240" w:lineRule="atLeast"/>
              <w:jc w:val="center"/>
              <w:rPr>
                <w:rFonts w:ascii="宋体" w:cs="宋体"/>
                <w:color w:val="auto"/>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highlight w:val="none"/>
        </w:rPr>
      </w:pPr>
      <w:bookmarkStart w:id="58" w:name="_Hlk116549198"/>
      <w:r>
        <w:rPr>
          <w:rFonts w:hint="eastAsia" w:ascii="方正小标宋简体" w:hAnsi="方正小标宋简体" w:eastAsia="方正小标宋简体" w:cs="方正小标宋简体"/>
          <w:bCs/>
          <w:kern w:val="0"/>
          <w:sz w:val="28"/>
          <w:szCs w:val="28"/>
          <w:highlight w:val="none"/>
          <w:lang w:val="en-US" w:eastAsia="zh-CN"/>
        </w:rPr>
        <w:t>2023年度专项安全隐患排查及应急演练策划实施</w:t>
      </w:r>
      <w:r>
        <w:rPr>
          <w:rFonts w:hint="eastAsia" w:ascii="方正小标宋简体" w:hAnsi="方正小标宋简体" w:eastAsia="方正小标宋简体" w:cs="方正小标宋简体"/>
          <w:bCs/>
          <w:kern w:val="0"/>
          <w:sz w:val="28"/>
          <w:szCs w:val="28"/>
          <w:highlight w:val="none"/>
        </w:rPr>
        <w:t>项目合同</w:t>
      </w:r>
    </w:p>
    <w:bookmarkEnd w:id="58"/>
    <w:p>
      <w:pPr>
        <w:jc w:val="center"/>
        <w:rPr>
          <w:rFonts w:ascii="宋体" w:hAnsi="宋体"/>
          <w:szCs w:val="21"/>
          <w:highlight w:val="none"/>
        </w:rPr>
      </w:pPr>
      <w:bookmarkStart w:id="59"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模板</w:t>
      </w:r>
      <w:r>
        <w:rPr>
          <w:rFonts w:hint="eastAsia" w:ascii="方正小标宋简体" w:hAnsi="方正小标宋简体" w:eastAsia="方正小标宋简体" w:cs="方正小标宋简体"/>
          <w:bCs/>
          <w:kern w:val="0"/>
          <w:sz w:val="28"/>
          <w:szCs w:val="28"/>
          <w:highlight w:val="none"/>
        </w:rPr>
        <w:t>仅供参考）</w:t>
      </w:r>
    </w:p>
    <w:bookmarkEnd w:id="59"/>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Arial"/>
          <w:sz w:val="21"/>
          <w:szCs w:val="21"/>
          <w:highlight w:val="none"/>
          <w:lang w:val="en-US" w:eastAsia="zh-CN"/>
        </w:rPr>
        <w:t>专项安全隐患排查及应急演练策划实施</w:t>
      </w:r>
      <w:r>
        <w:rPr>
          <w:rFonts w:hint="eastAsia" w:ascii="宋体" w:hAnsi="宋体" w:cs="Arial"/>
          <w:sz w:val="21"/>
          <w:szCs w:val="21"/>
          <w:highlight w:val="none"/>
        </w:rPr>
        <w:t>服务，甲乙双方经协商一致，签订本合同，双方保证严格遵守和执行。</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仿宋"/>
          <w:sz w:val="21"/>
          <w:szCs w:val="21"/>
          <w:highlight w:val="none"/>
          <w:lang w:val="en-US" w:eastAsia="zh-CN"/>
        </w:rPr>
        <w:t>2023年度专项安全隐患排查及应急演练策划实施</w:t>
      </w:r>
      <w:r>
        <w:rPr>
          <w:rFonts w:hint="eastAsia" w:ascii="宋体" w:hAnsi="宋体" w:cs="仿宋"/>
          <w:sz w:val="21"/>
          <w:szCs w:val="21"/>
          <w:highlight w:val="none"/>
        </w:rPr>
        <w:t>项目</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30"/>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乙方根据相关法律法规，结合深投控物业及工业生产安全检查标准对深圳会展中心责任范围内开展</w:t>
      </w:r>
      <w:r>
        <w:rPr>
          <w:rFonts w:hint="eastAsia" w:ascii="宋体" w:hAnsi="宋体" w:cs="宋体"/>
          <w:sz w:val="21"/>
          <w:szCs w:val="21"/>
          <w:highlight w:val="none"/>
          <w:lang w:val="en-US" w:eastAsia="zh-CN"/>
        </w:rPr>
        <w:t>两次（6月、11月）</w:t>
      </w:r>
      <w:r>
        <w:rPr>
          <w:rFonts w:hint="eastAsia" w:ascii="宋体" w:hAnsi="宋体" w:cs="宋体"/>
          <w:sz w:val="21"/>
          <w:szCs w:val="21"/>
          <w:highlight w:val="none"/>
        </w:rPr>
        <w:t>专项隐患排查，</w:t>
      </w:r>
      <w:r>
        <w:rPr>
          <w:rFonts w:hint="eastAsia" w:ascii="宋体" w:hAnsi="宋体" w:cs="宋体"/>
          <w:sz w:val="21"/>
          <w:szCs w:val="21"/>
          <w:highlight w:val="none"/>
          <w:lang w:val="en-US" w:eastAsia="zh-CN"/>
        </w:rPr>
        <w:t>主要</w:t>
      </w:r>
      <w:r>
        <w:rPr>
          <w:rFonts w:hint="eastAsia" w:ascii="宋体" w:hAnsi="宋体" w:cs="宋体"/>
          <w:sz w:val="21"/>
          <w:szCs w:val="21"/>
          <w:highlight w:val="none"/>
        </w:rPr>
        <w:t>对甲方业务覆盖范围开展隐患排查工作，重点检查同期展会（包含布撤展）各场馆的现场施工作业、及相关安全状况，及时发现隐患，制定整改措施，建立隐患台账，对隐患整改进度进行跟踪。通过项目的实施，协助甲方准确掌握企业EHS隐患管理现状，确保安全管理工作落到实处，切实抓好企业安全管理重点，强化危险源管理，理清展会过程中隐患分布情况，推动隐患管理评估、分组分类管理，从而达到风险实时更新、主动管控的目的</w:t>
      </w:r>
      <w:r>
        <w:rPr>
          <w:rFonts w:hint="eastAsia" w:ascii="宋体" w:hAnsi="宋体" w:cs="宋体"/>
          <w:sz w:val="21"/>
          <w:szCs w:val="21"/>
          <w:highlight w:val="none"/>
          <w:lang w:eastAsia="zh-CN"/>
        </w:rPr>
        <w:t>，</w:t>
      </w:r>
      <w:r>
        <w:rPr>
          <w:rFonts w:hint="eastAsia" w:ascii="宋体" w:hAnsi="宋体" w:cs="宋体"/>
          <w:sz w:val="21"/>
          <w:szCs w:val="21"/>
          <w:highlight w:val="none"/>
        </w:rPr>
        <w:t>使企业安全管理进一步提升。</w:t>
      </w:r>
    </w:p>
    <w:p>
      <w:pPr>
        <w:pStyle w:val="2"/>
        <w:numPr>
          <w:ilvl w:val="0"/>
          <w:numId w:val="0"/>
        </w:numPr>
        <w:spacing w:after="0" w:line="360" w:lineRule="auto"/>
        <w:ind w:firstLine="40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针对深圳会展中心的特点编制具体的检查工作计划，包括检查项目、涉及地点、涉及设备、涉及人员、时间安排、注意事项等内容（</w:t>
      </w:r>
      <w:r>
        <w:rPr>
          <w:rFonts w:hint="eastAsia" w:ascii="宋体" w:hAnsi="宋体" w:cs="宋体"/>
          <w:sz w:val="21"/>
          <w:szCs w:val="21"/>
          <w:highlight w:val="none"/>
          <w:lang w:val="en-US" w:eastAsia="zh-CN"/>
        </w:rPr>
        <w:t>两轮检查</w:t>
      </w:r>
      <w:r>
        <w:rPr>
          <w:rFonts w:hint="eastAsia" w:ascii="宋体" w:hAnsi="宋体" w:cs="宋体"/>
          <w:sz w:val="21"/>
          <w:szCs w:val="21"/>
          <w:highlight w:val="none"/>
        </w:rPr>
        <w:t>总计不低于</w:t>
      </w:r>
      <w:r>
        <w:rPr>
          <w:rFonts w:hint="eastAsia" w:ascii="宋体" w:hAnsi="宋体" w:cs="宋体"/>
          <w:sz w:val="21"/>
          <w:szCs w:val="21"/>
          <w:highlight w:val="none"/>
          <w:lang w:val="en-US" w:eastAsia="zh-CN"/>
        </w:rPr>
        <w:t>6</w:t>
      </w:r>
      <w:r>
        <w:rPr>
          <w:rFonts w:hint="eastAsia" w:ascii="宋体" w:hAnsi="宋体" w:cs="宋体"/>
          <w:sz w:val="21"/>
          <w:szCs w:val="21"/>
          <w:highlight w:val="none"/>
        </w:rPr>
        <w:t>0人工）</w:t>
      </w:r>
      <w:r>
        <w:rPr>
          <w:rFonts w:hint="eastAsia" w:ascii="宋体" w:hAnsi="宋体" w:cs="宋体"/>
          <w:sz w:val="21"/>
          <w:szCs w:val="21"/>
          <w:highlight w:val="none"/>
          <w:lang w:eastAsia="zh-CN"/>
        </w:rPr>
        <w:t>。</w:t>
      </w:r>
    </w:p>
    <w:p>
      <w:pPr>
        <w:pStyle w:val="2"/>
        <w:numPr>
          <w:ilvl w:val="0"/>
          <w:numId w:val="0"/>
        </w:numPr>
        <w:spacing w:after="0" w:line="360" w:lineRule="auto"/>
        <w:ind w:firstLine="400" w:firstLineChars="200"/>
        <w:rPr>
          <w:rFonts w:hint="eastAsia" w:ascii="宋体" w:hAnsi="宋体" w:cs="宋体"/>
          <w:spacing w:val="-5"/>
          <w:kern w:val="0"/>
          <w:sz w:val="21"/>
          <w:szCs w:val="21"/>
          <w:highlight w:val="none"/>
          <w:lang w:val="en-US" w:eastAsia="zh-CN" w:bidi="ar-SA"/>
        </w:rPr>
      </w:pPr>
      <w:r>
        <w:rPr>
          <w:rFonts w:hint="eastAsia" w:ascii="宋体" w:hAnsi="宋体" w:eastAsia="宋体" w:cs="宋体"/>
          <w:spacing w:val="-5"/>
          <w:kern w:val="0"/>
          <w:sz w:val="21"/>
          <w:szCs w:val="21"/>
          <w:highlight w:val="none"/>
          <w:lang w:val="en-US" w:eastAsia="zh-CN" w:bidi="ar-SA"/>
        </w:rPr>
        <w:t>（2）根据深投控物业及工业生产安全检查标准，从展会安全管理、消防安全管理、电气安全管理、特种设备安全管理等方面分项开展检查，包括各类重点部位、设备机房、停车场、展厅、仓库、会议区、办公区、公共区域等，对现场的安全管理行为和安全管理状态进行评价，并对检查过程进行全程记录，对安全隐患进行拍摄留证。检查完成后，及时将隐患问题反馈给会展中心安委办，并协助安委办组织各责任部门召开专题总结会，将排查出来的问题点进行沟通和交流</w:t>
      </w:r>
      <w:r>
        <w:rPr>
          <w:rFonts w:hint="eastAsia" w:ascii="宋体" w:hAnsi="宋体" w:cs="宋体"/>
          <w:spacing w:val="-5"/>
          <w:kern w:val="0"/>
          <w:sz w:val="21"/>
          <w:szCs w:val="21"/>
          <w:highlight w:val="none"/>
          <w:lang w:val="en-US" w:eastAsia="zh-CN" w:bidi="ar-SA"/>
        </w:rPr>
        <w:t>。</w:t>
      </w:r>
    </w:p>
    <w:p>
      <w:pPr>
        <w:pStyle w:val="2"/>
        <w:numPr>
          <w:ilvl w:val="0"/>
          <w:numId w:val="0"/>
        </w:numPr>
        <w:spacing w:after="0" w:line="360" w:lineRule="auto"/>
        <w:ind w:firstLine="400" w:firstLineChars="200"/>
        <w:rPr>
          <w:rFonts w:hint="eastAsia" w:ascii="宋体" w:hAnsi="宋体" w:eastAsia="宋体" w:cs="宋体"/>
          <w:spacing w:val="-5"/>
          <w:kern w:val="0"/>
          <w:sz w:val="21"/>
          <w:szCs w:val="21"/>
          <w:highlight w:val="none"/>
          <w:lang w:val="en-US" w:eastAsia="zh-CN" w:bidi="ar-SA"/>
        </w:rPr>
      </w:pPr>
      <w:r>
        <w:rPr>
          <w:rFonts w:hint="eastAsia" w:ascii="宋体" w:hAnsi="宋体" w:eastAsia="宋体" w:cs="宋体"/>
          <w:spacing w:val="-5"/>
          <w:kern w:val="0"/>
          <w:sz w:val="21"/>
          <w:szCs w:val="21"/>
          <w:highlight w:val="none"/>
          <w:lang w:val="en-US" w:eastAsia="zh-CN" w:bidi="ar-SA"/>
        </w:rPr>
        <w:t>（3）根据现场安全检查结果，编制会展中心《安全隐患管理台账》和</w:t>
      </w:r>
      <w:r>
        <w:rPr>
          <w:rFonts w:hint="eastAsia" w:ascii="宋体" w:hAnsi="宋体" w:cs="宋体"/>
          <w:spacing w:val="-5"/>
          <w:kern w:val="0"/>
          <w:sz w:val="21"/>
          <w:szCs w:val="21"/>
          <w:highlight w:val="none"/>
          <w:lang w:val="en-US" w:eastAsia="zh-CN" w:bidi="ar-SA"/>
        </w:rPr>
        <w:t>高交会</w:t>
      </w:r>
      <w:r>
        <w:rPr>
          <w:rFonts w:hint="eastAsia" w:ascii="宋体" w:hAnsi="宋体" w:eastAsia="宋体" w:cs="宋体"/>
          <w:spacing w:val="-5"/>
          <w:kern w:val="0"/>
          <w:sz w:val="21"/>
          <w:szCs w:val="21"/>
          <w:highlight w:val="none"/>
          <w:lang w:val="en-US" w:eastAsia="zh-CN" w:bidi="ar-SA"/>
        </w:rPr>
        <w:t>《</w:t>
      </w:r>
      <w:r>
        <w:rPr>
          <w:rFonts w:hint="eastAsia" w:ascii="宋体" w:hAnsi="宋体" w:cs="宋体"/>
          <w:spacing w:val="-5"/>
          <w:kern w:val="0"/>
          <w:sz w:val="21"/>
          <w:szCs w:val="21"/>
          <w:highlight w:val="none"/>
          <w:lang w:val="en-US" w:eastAsia="zh-CN" w:bidi="ar-SA"/>
        </w:rPr>
        <w:t>每日</w:t>
      </w:r>
      <w:r>
        <w:rPr>
          <w:rFonts w:hint="eastAsia" w:ascii="宋体" w:hAnsi="宋体" w:eastAsia="宋体" w:cs="宋体"/>
          <w:spacing w:val="-5"/>
          <w:kern w:val="0"/>
          <w:sz w:val="21"/>
          <w:szCs w:val="21"/>
          <w:highlight w:val="none"/>
          <w:lang w:val="en-US" w:eastAsia="zh-CN" w:bidi="ar-SA"/>
        </w:rPr>
        <w:t>安全生产简报》，提供每一条隐患问题对应的法律法规及隐患管控整改措施、跟踪重点整改措施要点。</w:t>
      </w:r>
    </w:p>
    <w:p>
      <w:pPr>
        <w:pStyle w:val="2"/>
        <w:numPr>
          <w:ilvl w:val="0"/>
          <w:numId w:val="30"/>
        </w:numPr>
        <w:spacing w:after="0" w:line="360" w:lineRule="auto"/>
        <w:ind w:left="0" w:firstLine="400" w:firstLineChars="200"/>
        <w:rPr>
          <w:rFonts w:hint="eastAsia" w:ascii="宋体" w:hAnsi="宋体" w:cs="宋体"/>
          <w:sz w:val="21"/>
          <w:szCs w:val="21"/>
          <w:highlight w:val="none"/>
        </w:rPr>
      </w:pPr>
      <w:bookmarkStart w:id="60" w:name="_Toc419753018"/>
      <w:r>
        <w:rPr>
          <w:rFonts w:hint="eastAsia" w:ascii="宋体" w:hAnsi="宋体" w:cs="宋体"/>
          <w:sz w:val="21"/>
          <w:szCs w:val="21"/>
          <w:highlight w:val="none"/>
          <w:lang w:val="en-US" w:eastAsia="zh-CN"/>
        </w:rPr>
        <w:t>结合甲方实际，针对第二十五届高交会实际情况，协助甲方策划实施年度综合应急演练工作。</w:t>
      </w:r>
      <w:r>
        <w:rPr>
          <w:rFonts w:hint="eastAsia" w:ascii="宋体" w:hAnsi="宋体" w:cs="宋体"/>
          <w:sz w:val="21"/>
          <w:szCs w:val="21"/>
          <w:highlight w:val="none"/>
        </w:rPr>
        <w:t>进一步落实公司安全生产主体责任，</w:t>
      </w:r>
      <w:r>
        <w:rPr>
          <w:rFonts w:hint="eastAsia" w:ascii="宋体" w:hAnsi="宋体" w:cs="宋体"/>
          <w:sz w:val="21"/>
          <w:szCs w:val="21"/>
          <w:highlight w:val="none"/>
          <w:lang w:val="en-US" w:eastAsia="zh-CN"/>
        </w:rPr>
        <w:t>强化安全生产教育培训，</w:t>
      </w:r>
      <w:r>
        <w:rPr>
          <w:rFonts w:hint="eastAsia" w:ascii="宋体" w:hAnsi="宋体" w:cs="宋体"/>
          <w:sz w:val="21"/>
          <w:szCs w:val="21"/>
          <w:highlight w:val="none"/>
        </w:rPr>
        <w:t>检验</w:t>
      </w:r>
      <w:r>
        <w:rPr>
          <w:rFonts w:hint="eastAsia" w:ascii="宋体" w:hAnsi="宋体" w:cs="宋体"/>
          <w:sz w:val="21"/>
          <w:szCs w:val="21"/>
          <w:highlight w:val="none"/>
          <w:lang w:val="en-US" w:eastAsia="zh-CN"/>
        </w:rPr>
        <w:t>和提高深圳会展中心各级人员应急</w:t>
      </w:r>
      <w:r>
        <w:rPr>
          <w:rFonts w:hint="eastAsia" w:ascii="宋体" w:hAnsi="宋体" w:cs="宋体"/>
          <w:sz w:val="21"/>
          <w:szCs w:val="21"/>
          <w:highlight w:val="none"/>
        </w:rPr>
        <w:t>突发事件应</w:t>
      </w:r>
      <w:r>
        <w:rPr>
          <w:rFonts w:hint="eastAsia" w:ascii="宋体" w:hAnsi="宋体" w:cs="宋体"/>
          <w:sz w:val="21"/>
          <w:szCs w:val="21"/>
          <w:highlight w:val="none"/>
          <w:lang w:val="en-US" w:eastAsia="zh-CN"/>
        </w:rPr>
        <w:t>对</w:t>
      </w:r>
      <w:r>
        <w:rPr>
          <w:rFonts w:hint="eastAsia" w:ascii="宋体" w:hAnsi="宋体" w:cs="宋体"/>
          <w:sz w:val="21"/>
          <w:szCs w:val="21"/>
          <w:highlight w:val="none"/>
        </w:rPr>
        <w:t>处置</w:t>
      </w:r>
      <w:r>
        <w:rPr>
          <w:rFonts w:hint="eastAsia" w:ascii="宋体" w:hAnsi="宋体" w:cs="宋体"/>
          <w:sz w:val="21"/>
          <w:szCs w:val="21"/>
          <w:highlight w:val="none"/>
          <w:lang w:val="en-US" w:eastAsia="zh-CN"/>
        </w:rPr>
        <w:t>能力，</w:t>
      </w:r>
      <w:r>
        <w:rPr>
          <w:rFonts w:hint="eastAsia" w:ascii="宋体" w:hAnsi="宋体" w:cs="宋体"/>
          <w:sz w:val="21"/>
          <w:szCs w:val="21"/>
          <w:highlight w:val="none"/>
        </w:rPr>
        <w:t>协调反应</w:t>
      </w:r>
      <w:r>
        <w:rPr>
          <w:rFonts w:hint="eastAsia" w:ascii="宋体" w:hAnsi="宋体" w:cs="宋体"/>
          <w:sz w:val="21"/>
          <w:szCs w:val="21"/>
          <w:highlight w:val="none"/>
          <w:lang w:val="en-US" w:eastAsia="zh-CN"/>
        </w:rPr>
        <w:t>和</w:t>
      </w:r>
      <w:r>
        <w:rPr>
          <w:rFonts w:hint="eastAsia" w:ascii="宋体" w:hAnsi="宋体" w:cs="宋体"/>
          <w:sz w:val="21"/>
          <w:szCs w:val="21"/>
          <w:highlight w:val="none"/>
        </w:rPr>
        <w:t>实</w:t>
      </w:r>
      <w:bookmarkEnd w:id="60"/>
      <w:r>
        <w:rPr>
          <w:rFonts w:hint="eastAsia" w:ascii="宋体" w:hAnsi="宋体" w:cs="宋体"/>
          <w:sz w:val="21"/>
          <w:szCs w:val="21"/>
          <w:highlight w:val="none"/>
        </w:rPr>
        <w:t>战能力</w:t>
      </w:r>
      <w:r>
        <w:rPr>
          <w:rFonts w:hint="eastAsia" w:ascii="宋体" w:hAnsi="宋体" w:cs="宋体"/>
          <w:sz w:val="21"/>
          <w:szCs w:val="21"/>
          <w:highlight w:val="none"/>
          <w:lang w:eastAsia="zh-CN"/>
        </w:rPr>
        <w:t>，</w:t>
      </w:r>
      <w:r>
        <w:rPr>
          <w:rFonts w:hint="eastAsia" w:ascii="宋体" w:hAnsi="宋体" w:cs="宋体"/>
          <w:sz w:val="21"/>
          <w:szCs w:val="21"/>
          <w:highlight w:val="none"/>
        </w:rPr>
        <w:t>健全</w:t>
      </w:r>
      <w:r>
        <w:rPr>
          <w:rFonts w:hint="eastAsia" w:ascii="宋体" w:hAnsi="宋体" w:cs="宋体"/>
          <w:sz w:val="21"/>
          <w:szCs w:val="21"/>
          <w:highlight w:val="none"/>
          <w:lang w:val="en-US" w:eastAsia="zh-CN"/>
        </w:rPr>
        <w:t>完善公司</w:t>
      </w:r>
      <w:r>
        <w:rPr>
          <w:rFonts w:hint="eastAsia" w:ascii="宋体" w:hAnsi="宋体" w:cs="宋体"/>
          <w:sz w:val="21"/>
          <w:szCs w:val="21"/>
          <w:highlight w:val="none"/>
        </w:rPr>
        <w:t>应急预案</w:t>
      </w:r>
      <w:r>
        <w:rPr>
          <w:rFonts w:hint="eastAsia" w:ascii="宋体" w:hAnsi="宋体" w:cs="宋体"/>
          <w:sz w:val="21"/>
          <w:szCs w:val="21"/>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pacing w:val="-5"/>
          <w:kern w:val="0"/>
          <w:sz w:val="21"/>
          <w:szCs w:val="21"/>
          <w:highlight w:val="none"/>
          <w:lang w:val="en-US" w:eastAsia="zh-CN" w:bidi="ar-SA"/>
        </w:rPr>
      </w:pPr>
      <w:r>
        <w:rPr>
          <w:rFonts w:hint="eastAsia" w:ascii="宋体" w:hAnsi="宋体" w:eastAsia="宋体" w:cs="宋体"/>
          <w:spacing w:val="-5"/>
          <w:kern w:val="0"/>
          <w:sz w:val="21"/>
          <w:szCs w:val="21"/>
          <w:highlight w:val="none"/>
          <w:lang w:val="en-US" w:eastAsia="zh-CN" w:bidi="ar-SA"/>
        </w:rPr>
        <w:t>协助应急演练实施内容包括：演练方案编制、活动策划、演练彩排及正式演练等工作，活动道具采购及租赁、场景搭建及拆除、安保人员租赁、相关单位及专家邀请，演练全程视频拍摄、直播、后期制作等。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仿宋_GB2312"/>
          <w:highlight w:val="none"/>
          <w:lang w:val="en-US" w:eastAsia="zh-CN"/>
        </w:rPr>
      </w:pPr>
      <w:r>
        <w:rPr>
          <w:rFonts w:hint="eastAsia"/>
          <w:highlight w:val="none"/>
          <w:lang w:val="en-US" w:eastAsia="zh-CN"/>
        </w:rPr>
        <w:t xml:space="preserve">    </w:t>
      </w:r>
      <w:r>
        <w:rPr>
          <w:rFonts w:hint="eastAsia" w:ascii="宋体" w:hAnsi="宋体" w:eastAsia="宋体" w:cs="宋体"/>
          <w:spacing w:val="-5"/>
          <w:kern w:val="0"/>
          <w:sz w:val="21"/>
          <w:szCs w:val="21"/>
          <w:highlight w:val="none"/>
          <w:lang w:val="en-US" w:eastAsia="zh-CN" w:bidi="ar-SA"/>
        </w:rPr>
        <w:t>（2）演练成果输出</w:t>
      </w:r>
      <w:r>
        <w:rPr>
          <w:rFonts w:hint="eastAsia" w:ascii="宋体" w:eastAsia="宋体" w:cs="宋体"/>
          <w:spacing w:val="-5"/>
          <w:kern w:val="0"/>
          <w:sz w:val="21"/>
          <w:szCs w:val="21"/>
          <w:highlight w:val="none"/>
          <w:lang w:val="en-US" w:eastAsia="zh-CN" w:bidi="ar-SA"/>
        </w:rPr>
        <w:t>包括：《演练方案》、演练脚本口令、录制演练全程视频、演练后期制作剪辑（浓缩至5分钟）、演练评估报告等。</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lang w:val="en-US" w:eastAsia="zh-CN"/>
        </w:rPr>
        <w:t>项目服务人员应严格遵守会展中心相关制度和规范要求，项目实施期间工作严谨、实事求是、认真负责，将发现的各类隐患问题如实反馈甲方，并提出合理、有效的整改建议。</w:t>
      </w:r>
    </w:p>
    <w:p>
      <w:pPr>
        <w:pStyle w:val="2"/>
        <w:numPr>
          <w:ilvl w:val="0"/>
          <w:numId w:val="32"/>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lang w:val="en-US" w:eastAsia="zh-CN"/>
        </w:rPr>
        <w:t>项目服务过程，工作人员在检查中应根据相关规范要求做好个人安全防护，未经甲方许可禁止随意进入各类机房、仓库或触碰相关设备设施，如遇突发状况应及时通知甲方安全管理人员。</w:t>
      </w:r>
    </w:p>
    <w:p>
      <w:pPr>
        <w:rPr>
          <w:rFonts w:hint="default"/>
          <w:highlight w:val="none"/>
          <w:lang w:val="en-US"/>
        </w:rPr>
      </w:pPr>
      <w:r>
        <w:rPr>
          <w:rFonts w:hint="eastAsia" w:ascii="宋体" w:hAnsi="宋体" w:cs="宋体"/>
          <w:sz w:val="21"/>
          <w:szCs w:val="21"/>
          <w:highlight w:val="none"/>
          <w:lang w:val="en-US" w:eastAsia="zh-CN"/>
        </w:rPr>
        <w:t xml:space="preserve">    3.项目服务期间应保持项目组成员统一，未经甲方许可不得随意更换组员。</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w:t>
      </w:r>
      <w:r>
        <w:rPr>
          <w:rFonts w:hint="eastAsia" w:ascii="宋体" w:hAnsi="宋体" w:cs="仿宋"/>
          <w:sz w:val="21"/>
          <w:szCs w:val="21"/>
          <w:highlight w:val="none"/>
          <w:lang w:val="en-US" w:eastAsia="zh-CN"/>
        </w:rPr>
        <w:t>6个月</w:t>
      </w:r>
      <w:r>
        <w:rPr>
          <w:rFonts w:hint="eastAsia" w:ascii="宋体" w:hAnsi="宋体" w:cs="仿宋"/>
          <w:sz w:val="21"/>
          <w:szCs w:val="21"/>
          <w:highlight w:val="none"/>
        </w:rPr>
        <w:t>，从本合同签订生效之日起至</w:t>
      </w:r>
      <w:r>
        <w:rPr>
          <w:rFonts w:hint="eastAsia" w:ascii="宋体" w:hAnsi="宋体" w:cs="仿宋"/>
          <w:sz w:val="21"/>
          <w:szCs w:val="21"/>
          <w:highlight w:val="none"/>
          <w:lang w:val="en-US" w:eastAsia="zh-CN"/>
        </w:rPr>
        <w:t>2023年11</w:t>
      </w:r>
      <w:r>
        <w:rPr>
          <w:rFonts w:hint="eastAsia" w:ascii="宋体" w:hAnsi="宋体" w:cs="仿宋"/>
          <w:sz w:val="21"/>
          <w:szCs w:val="21"/>
          <w:highlight w:val="none"/>
        </w:rPr>
        <w:t>月</w:t>
      </w:r>
      <w:r>
        <w:rPr>
          <w:rFonts w:hint="eastAsia" w:ascii="宋体" w:hAnsi="宋体" w:cs="仿宋"/>
          <w:sz w:val="21"/>
          <w:szCs w:val="21"/>
          <w:highlight w:val="none"/>
          <w:lang w:val="en-US" w:eastAsia="zh-CN"/>
        </w:rPr>
        <w:t>30</w:t>
      </w:r>
      <w:r>
        <w:rPr>
          <w:rFonts w:hint="eastAsia" w:ascii="宋体" w:hAnsi="宋体" w:cs="仿宋"/>
          <w:sz w:val="21"/>
          <w:szCs w:val="21"/>
          <w:highlight w:val="none"/>
        </w:rPr>
        <w:t>日止。</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33"/>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34"/>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34"/>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33"/>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35"/>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w:t>
      </w:r>
      <w:r>
        <w:rPr>
          <w:rFonts w:hint="eastAsia" w:ascii="宋体" w:hAnsi="宋体" w:eastAsia="宋体" w:cs="仿宋"/>
          <w:spacing w:val="-2"/>
          <w:szCs w:val="21"/>
          <w:highlight w:val="none"/>
          <w:lang w:val="en-US" w:eastAsia="zh-CN"/>
        </w:rPr>
        <w:t>2023年安全月专项隐患排查工作</w:t>
      </w:r>
      <w:r>
        <w:rPr>
          <w:rFonts w:hint="eastAsia" w:ascii="宋体" w:hAnsi="宋体" w:eastAsia="宋体" w:cs="仿宋"/>
          <w:spacing w:val="-2"/>
          <w:szCs w:val="21"/>
          <w:highlight w:val="none"/>
        </w:rPr>
        <w:t>后，15个工作日内甲方向乙方支付合同金额</w:t>
      </w:r>
      <w:r>
        <w:rPr>
          <w:rFonts w:hint="eastAsia" w:ascii="宋体" w:hAnsi="宋体" w:eastAsia="宋体" w:cs="仿宋"/>
          <w:spacing w:val="-2"/>
          <w:szCs w:val="21"/>
          <w:highlight w:val="none"/>
          <w:lang w:val="en-US" w:eastAsia="zh-CN"/>
        </w:rPr>
        <w:t>30</w:t>
      </w:r>
      <w:r>
        <w:rPr>
          <w:rFonts w:hint="eastAsia" w:ascii="宋体" w:hAnsi="宋体" w:eastAsia="宋体" w:cs="仿宋"/>
          <w:spacing w:val="-2"/>
          <w:szCs w:val="21"/>
          <w:highlight w:val="none"/>
        </w:rPr>
        <w:t>％款项，即人民币XXXX元（大写：XXXX元整）；</w:t>
      </w:r>
    </w:p>
    <w:p>
      <w:pPr>
        <w:pStyle w:val="24"/>
        <w:numPr>
          <w:ilvl w:val="0"/>
          <w:numId w:val="35"/>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w:t>
      </w:r>
      <w:r>
        <w:rPr>
          <w:rFonts w:hint="eastAsia" w:ascii="宋体" w:hAnsi="宋体" w:eastAsia="宋体" w:cs="仿宋"/>
          <w:spacing w:val="-2"/>
          <w:szCs w:val="21"/>
          <w:highlight w:val="none"/>
          <w:lang w:val="en-US" w:eastAsia="zh-CN"/>
        </w:rPr>
        <w:t>本项目第二十五届高交会专项隐患排查及年度综合应急演练相关工作，并提交项目总结报告经甲方</w:t>
      </w:r>
      <w:r>
        <w:rPr>
          <w:rFonts w:hint="eastAsia" w:ascii="宋体" w:hAnsi="宋体" w:eastAsia="宋体" w:cs="仿宋"/>
          <w:spacing w:val="-2"/>
          <w:szCs w:val="21"/>
          <w:highlight w:val="none"/>
        </w:rPr>
        <w:t>验收合格且完成违约责任清算后，甲方支付本项目剩余</w:t>
      </w:r>
      <w:r>
        <w:rPr>
          <w:rFonts w:hint="eastAsia" w:ascii="宋体" w:hAnsi="宋体" w:eastAsia="宋体" w:cs="仿宋"/>
          <w:spacing w:val="-2"/>
          <w:szCs w:val="21"/>
          <w:highlight w:val="none"/>
          <w:lang w:val="en-US" w:eastAsia="zh-CN"/>
        </w:rPr>
        <w:t>70</w:t>
      </w:r>
      <w:r>
        <w:rPr>
          <w:rFonts w:hint="eastAsia" w:ascii="宋体" w:hAnsi="宋体" w:eastAsia="宋体" w:cs="仿宋"/>
          <w:spacing w:val="-2"/>
          <w:szCs w:val="21"/>
          <w:highlight w:val="none"/>
        </w:rPr>
        <w:t>%款项。</w:t>
      </w:r>
    </w:p>
    <w:p>
      <w:pPr>
        <w:pStyle w:val="24"/>
        <w:numPr>
          <w:ilvl w:val="0"/>
          <w:numId w:val="35"/>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0"/>
        </w:numPr>
        <w:spacing w:after="0" w:line="360" w:lineRule="auto"/>
        <w:ind w:firstLine="400" w:firstLineChars="200"/>
        <w:rPr>
          <w:rFonts w:ascii="宋体" w:hAnsi="宋体" w:cs="宋体"/>
          <w:sz w:val="21"/>
          <w:szCs w:val="21"/>
          <w:highlight w:val="none"/>
        </w:rPr>
      </w:pPr>
      <w:r>
        <w:rPr>
          <w:rFonts w:hint="eastAsia" w:ascii="宋体" w:hAnsi="宋体" w:cs="宋体"/>
          <w:sz w:val="21"/>
          <w:szCs w:val="21"/>
          <w:highlight w:val="none"/>
          <w:lang w:val="en-US" w:eastAsia="zh-CN"/>
        </w:rPr>
        <w:t>完成（6月、11月）两次专项隐患排查及年度综合应急演练工作，提供相应输出文件及过程记录材料，形成项目总结报告，经甲方组织相关管理人员评价验收合格</w:t>
      </w:r>
      <w:r>
        <w:rPr>
          <w:rFonts w:hint="eastAsia" w:asciiTheme="majorEastAsia" w:hAnsiTheme="majorEastAsia" w:cstheme="majorEastAsia"/>
          <w:color w:val="auto"/>
          <w:szCs w:val="21"/>
          <w:highlight w:val="none"/>
          <w:lang w:val="en-US" w:eastAsia="zh-CN"/>
        </w:rPr>
        <w:t>。</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7"/>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提出服务实施要求，确定参加人员并指定项目对接负责人；</w:t>
      </w:r>
    </w:p>
    <w:p>
      <w:pPr>
        <w:pStyle w:val="2"/>
        <w:numPr>
          <w:ilvl w:val="0"/>
          <w:numId w:val="37"/>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在乙方现场服务期间，为乙方工作人员提供工作场所；</w:t>
      </w:r>
    </w:p>
    <w:p>
      <w:pPr>
        <w:pStyle w:val="2"/>
        <w:numPr>
          <w:ilvl w:val="0"/>
          <w:numId w:val="37"/>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根据项目进度，</w:t>
      </w:r>
      <w:r>
        <w:rPr>
          <w:rFonts w:hint="eastAsia" w:ascii="宋体" w:hAnsi="宋体" w:cs="宋体"/>
          <w:sz w:val="21"/>
          <w:szCs w:val="21"/>
          <w:highlight w:val="none"/>
        </w:rPr>
        <w:t>按时支付合同款；</w:t>
      </w:r>
    </w:p>
    <w:p>
      <w:pPr>
        <w:pStyle w:val="2"/>
        <w:numPr>
          <w:ilvl w:val="0"/>
          <w:numId w:val="3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按照乙方的指导要求提供相关管理记录资料，开展相应的工作。</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8"/>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指派合格人员（包含人员资质、符合当前</w:t>
      </w:r>
      <w:r>
        <w:rPr>
          <w:rFonts w:hint="eastAsia" w:ascii="宋体" w:hAnsi="宋体" w:cs="宋体"/>
          <w:sz w:val="21"/>
          <w:szCs w:val="21"/>
          <w:highlight w:val="none"/>
          <w:lang w:val="en-US" w:eastAsia="zh-CN"/>
        </w:rPr>
        <w:t>展会安全管控</w:t>
      </w:r>
      <w:r>
        <w:rPr>
          <w:rFonts w:hint="eastAsia" w:ascii="宋体" w:hAnsi="宋体" w:cs="宋体"/>
          <w:sz w:val="21"/>
          <w:szCs w:val="21"/>
          <w:highlight w:val="none"/>
        </w:rPr>
        <w:t>要求、相关经验等）对甲方提供项目服务工作；</w:t>
      </w:r>
    </w:p>
    <w:p>
      <w:pPr>
        <w:pStyle w:val="2"/>
        <w:numPr>
          <w:ilvl w:val="0"/>
          <w:numId w:val="38"/>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按合同中约定的要求，到甲方所在地完成合同约定的工作内容，未经甲方书面同意不得将本合同约定义务部分或者全部转交或转包给第三方完成；</w:t>
      </w:r>
    </w:p>
    <w:p>
      <w:pPr>
        <w:pStyle w:val="2"/>
        <w:numPr>
          <w:ilvl w:val="0"/>
          <w:numId w:val="38"/>
        </w:numPr>
        <w:spacing w:after="0" w:line="36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服务过程中，对甲方就相关工作提出的问题给予专业技术解答，或及时调整人员与方案；</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对甲方提供的资料承担保密义务。</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w:t>
      </w:r>
    </w:p>
    <w:p>
      <w:pPr>
        <w:pStyle w:val="2"/>
        <w:numPr>
          <w:ilvl w:val="0"/>
          <w:numId w:val="0"/>
        </w:numPr>
        <w:spacing w:after="0" w:line="360" w:lineRule="auto"/>
        <w:ind w:firstLine="400" w:firstLineChars="200"/>
        <w:rPr>
          <w:rFonts w:ascii="宋体" w:hAnsi="宋体" w:cs="仿宋"/>
          <w:b/>
          <w:bCs/>
          <w:sz w:val="21"/>
          <w:szCs w:val="21"/>
          <w:highlight w:val="none"/>
        </w:rPr>
      </w:pPr>
      <w:r>
        <w:rPr>
          <w:rFonts w:hint="eastAsia" w:ascii="宋体" w:hAnsi="宋体" w:cs="宋体"/>
          <w:sz w:val="21"/>
          <w:szCs w:val="21"/>
          <w:highlight w:val="none"/>
        </w:rPr>
        <w:t>乙方向甲方提供项目服务方案</w:t>
      </w:r>
      <w:r>
        <w:rPr>
          <w:rFonts w:hint="eastAsia" w:ascii="宋体" w:hAnsi="宋体" w:cs="宋体"/>
          <w:sz w:val="21"/>
          <w:szCs w:val="21"/>
          <w:highlight w:val="none"/>
          <w:lang w:eastAsia="zh-CN"/>
        </w:rPr>
        <w:t>、</w:t>
      </w:r>
      <w:r>
        <w:rPr>
          <w:rFonts w:hint="eastAsia" w:ascii="宋体" w:hAnsi="宋体" w:cs="宋体"/>
          <w:sz w:val="21"/>
          <w:szCs w:val="21"/>
          <w:highlight w:val="none"/>
        </w:rPr>
        <w:t>成果</w:t>
      </w:r>
      <w:r>
        <w:rPr>
          <w:rFonts w:hint="eastAsia" w:ascii="宋体" w:hAnsi="宋体" w:cs="宋体"/>
          <w:sz w:val="21"/>
          <w:szCs w:val="21"/>
          <w:highlight w:val="none"/>
          <w:lang w:val="en-US" w:eastAsia="zh-CN"/>
        </w:rPr>
        <w:t>等</w:t>
      </w:r>
      <w:r>
        <w:rPr>
          <w:rFonts w:hint="eastAsia" w:ascii="宋体" w:hAnsi="宋体" w:cs="宋体"/>
          <w:sz w:val="21"/>
          <w:szCs w:val="21"/>
          <w:highlight w:val="none"/>
        </w:rPr>
        <w:t>知识产权归甲方所有，未经甲方同意，乙方不得将方案等</w:t>
      </w:r>
      <w:r>
        <w:rPr>
          <w:rFonts w:hint="eastAsia" w:ascii="宋体" w:hAnsi="宋体" w:cs="宋体"/>
          <w:sz w:val="21"/>
          <w:szCs w:val="21"/>
          <w:highlight w:val="none"/>
          <w:lang w:val="en-US" w:eastAsia="zh-CN"/>
        </w:rPr>
        <w:t>资料</w:t>
      </w:r>
      <w:r>
        <w:rPr>
          <w:rFonts w:hint="eastAsia" w:ascii="宋体" w:hAnsi="宋体" w:cs="宋体"/>
          <w:sz w:val="21"/>
          <w:szCs w:val="21"/>
          <w:highlight w:val="none"/>
        </w:rPr>
        <w:t>用于本合同之外的目的或对第三方公开或发表。</w:t>
      </w:r>
    </w:p>
    <w:p>
      <w:pPr>
        <w:pStyle w:val="2"/>
        <w:numPr>
          <w:ilvl w:val="0"/>
          <w:numId w:val="28"/>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9"/>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甲乙双方任何一方违反约定事项造成对方实际损失的，应在15天内向对方支付合同金额</w:t>
      </w:r>
      <w:r>
        <w:rPr>
          <w:rFonts w:hint="eastAsia" w:ascii="宋体" w:hAnsi="宋体" w:cs="仿宋"/>
          <w:szCs w:val="21"/>
          <w:highlight w:val="none"/>
          <w:lang w:val="en-US" w:eastAsia="zh-CN"/>
        </w:rPr>
        <w:t>30</w:t>
      </w:r>
      <w:r>
        <w:rPr>
          <w:rFonts w:hint="eastAsia" w:ascii="宋体" w:hAnsi="宋体" w:cs="仿宋"/>
          <w:szCs w:val="21"/>
          <w:highlight w:val="none"/>
        </w:rPr>
        <w:t>%的赔偿金和违约金。</w:t>
      </w:r>
    </w:p>
    <w:p>
      <w:pPr>
        <w:numPr>
          <w:ilvl w:val="0"/>
          <w:numId w:val="39"/>
        </w:numPr>
        <w:snapToGrid w:val="0"/>
        <w:spacing w:line="360" w:lineRule="auto"/>
        <w:ind w:firstLine="420" w:firstLineChars="200"/>
        <w:rPr>
          <w:rFonts w:hint="eastAsia" w:ascii="宋体" w:hAnsi="宋体" w:cs="仿宋"/>
          <w:szCs w:val="21"/>
        </w:rPr>
      </w:pPr>
      <w:r>
        <w:rPr>
          <w:rFonts w:hint="eastAsia" w:ascii="宋体" w:hAnsi="宋体" w:cs="仿宋"/>
          <w:szCs w:val="21"/>
          <w:highlight w:val="none"/>
        </w:rPr>
        <w:t>乙方应按合同规定时间完成所有工作任务，如遇不可抗</w:t>
      </w:r>
      <w:r>
        <w:rPr>
          <w:rFonts w:hint="eastAsia" w:ascii="宋体" w:hAnsi="宋体" w:cs="仿宋"/>
          <w:szCs w:val="21"/>
          <w:highlight w:val="none"/>
          <w:lang w:val="en-US" w:eastAsia="zh-CN"/>
        </w:rPr>
        <w:t>力</w:t>
      </w:r>
      <w:r>
        <w:rPr>
          <w:rFonts w:hint="eastAsia" w:ascii="宋体" w:hAnsi="宋体" w:cs="仿宋"/>
          <w:szCs w:val="21"/>
          <w:highlight w:val="none"/>
        </w:rPr>
        <w:t>或因配合甲方经营造成的工期延误，经甲方签字确认可顺延合同工期。否则每延时一天甲方将按照合同金额1％的标准扣除乙方服务费用作为违约金。由于乙方原因造成项目成果质量低劣，不能满足甲方要求时，乙方应继续完善该项目工</w:t>
      </w:r>
      <w:r>
        <w:rPr>
          <w:rFonts w:hint="eastAsia" w:ascii="宋体" w:hAnsi="宋体" w:cs="仿宋"/>
          <w:szCs w:val="21"/>
        </w:rPr>
        <w:t>作，其费用由乙方承担。</w:t>
      </w:r>
    </w:p>
    <w:p>
      <w:pPr>
        <w:numPr>
          <w:ilvl w:val="0"/>
          <w:numId w:val="39"/>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41"/>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41"/>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42"/>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hint="eastAsia" w:ascii="方正小标宋_GBK" w:hAnsi="方正小标宋_GBK" w:eastAsia="宋体"/>
          <w:b/>
          <w:bCs/>
          <w:sz w:val="32"/>
          <w:szCs w:val="32"/>
          <w:lang w:eastAsia="zh-CN"/>
        </w:rPr>
      </w:pPr>
      <w:r>
        <w:rPr>
          <w:rFonts w:hint="eastAsia" w:ascii="方正小标宋_GBK" w:hAnsi="方正小标宋_GBK" w:eastAsia="宋体"/>
          <w:b/>
          <w:bCs/>
          <w:sz w:val="32"/>
          <w:szCs w:val="32"/>
          <w:lang w:val="en-US" w:eastAsia="zh-CN"/>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hint="default" w:ascii="方正小标宋_GBK" w:hAnsi="方正小标宋_GBK" w:eastAsia="宋体"/>
          <w:b/>
          <w:sz w:val="28"/>
          <w:szCs w:val="28"/>
          <w:lang w:val="en-US" w:eastAsia="zh-CN"/>
        </w:rPr>
      </w:pPr>
      <w:r>
        <w:rPr>
          <w:rFonts w:hint="eastAsia" w:ascii="方正小标宋_GBK" w:hAnsi="方正小标宋_GBK" w:eastAsia="宋体"/>
          <w:b/>
          <w:sz w:val="28"/>
          <w:szCs w:val="28"/>
          <w:lang w:val="en-US" w:eastAsia="zh-CN"/>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116550363"/>
      <w:r>
        <w:rPr>
          <w:rFonts w:hint="eastAsia" w:ascii="宋体" w:hAnsi="宋体"/>
          <w:szCs w:val="21"/>
        </w:rPr>
        <w:t>附件4：考察证明</w:t>
      </w:r>
      <w:bookmarkEnd w:id="67"/>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hint="default" w:ascii="方正小标宋_GBK" w:hAnsi="方正小标宋_GBK" w:eastAsia="宋体"/>
          <w:b/>
          <w:sz w:val="32"/>
          <w:szCs w:val="32"/>
          <w:lang w:val="en-US" w:eastAsia="zh-CN"/>
        </w:rPr>
      </w:pPr>
      <w:bookmarkStart w:id="68" w:name="_Hlk116549366"/>
      <w:r>
        <w:rPr>
          <w:rFonts w:hint="eastAsia" w:ascii="方正小标宋_GBK" w:hAnsi="方正小标宋_GBK" w:eastAsia="宋体"/>
          <w:b/>
          <w:sz w:val="32"/>
          <w:szCs w:val="32"/>
          <w:lang w:val="en-US" w:eastAsia="zh-CN"/>
        </w:rPr>
        <w:t>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hint="default" w:ascii="方正小标宋_GBK" w:hAnsi="方正小标宋_GBK" w:eastAsia="仿宋"/>
          <w:b/>
          <w:sz w:val="32"/>
          <w:szCs w:val="32"/>
          <w:lang w:val="en-US" w:eastAsia="zh-CN"/>
        </w:rPr>
      </w:pPr>
      <w:r>
        <w:rPr>
          <w:rFonts w:hint="eastAsia" w:ascii="方正小标宋_GBK" w:hAnsi="方正小标宋_GBK" w:eastAsia="宋体"/>
          <w:b/>
          <w:sz w:val="32"/>
          <w:szCs w:val="32"/>
          <w:lang w:val="en-US" w:eastAsia="zh-CN"/>
        </w:rPr>
        <w:t>技术服务响应</w:t>
      </w:r>
      <w:r>
        <w:rPr>
          <w:rFonts w:hint="eastAsia" w:ascii="仿宋" w:hAnsi="仿宋" w:eastAsia="仿宋"/>
          <w:sz w:val="28"/>
          <w:szCs w:val="28"/>
        </w:rPr>
        <w:t>/</w:t>
      </w:r>
      <w:r>
        <w:rPr>
          <w:rFonts w:hint="eastAsia" w:ascii="方正小标宋_GBK" w:hAnsi="方正小标宋_GBK" w:eastAsia="宋体"/>
          <w:b/>
          <w:sz w:val="32"/>
          <w:szCs w:val="32"/>
          <w:lang w:val="en-US" w:eastAsia="zh-CN"/>
        </w:rPr>
        <w:t>偏离表</w:t>
      </w:r>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b/>
          <w:sz w:val="32"/>
          <w:szCs w:val="32"/>
          <w:lang w:val="en-US" w:eastAsia="zh-CN"/>
        </w:rPr>
        <w:t>商务条款</w:t>
      </w:r>
      <w:r>
        <w:rPr>
          <w:rFonts w:hint="eastAsia" w:ascii="方正小标宋_GBK" w:hAnsi="方正小标宋_GBK" w:eastAsia="宋体"/>
          <w:b/>
          <w:sz w:val="32"/>
          <w:szCs w:val="32"/>
          <w:lang w:val="en-US" w:eastAsia="zh-CN"/>
        </w:rPr>
        <w:t>响应</w:t>
      </w:r>
      <w:r>
        <w:rPr>
          <w:rFonts w:hint="eastAsia" w:ascii="仿宋" w:hAnsi="仿宋" w:eastAsia="仿宋"/>
          <w:sz w:val="28"/>
          <w:szCs w:val="28"/>
        </w:rPr>
        <w:t>/</w:t>
      </w:r>
      <w:r>
        <w:rPr>
          <w:rFonts w:hint="eastAsia" w:ascii="方正小标宋_GBK" w:hAnsi="方正小标宋_GBK" w:eastAsia="宋体"/>
          <w:b/>
          <w:sz w:val="32"/>
          <w:szCs w:val="32"/>
          <w:lang w:val="en-US" w:eastAsia="zh-CN"/>
        </w:rPr>
        <w:t>偏离表</w:t>
      </w:r>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478387764"/>
      <w:bookmarkStart w:id="77" w:name="_Toc395883088"/>
      <w:bookmarkStart w:id="78" w:name="_Toc236803111"/>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hint="eastAsia" w:ascii="方正小标宋简体" w:hAnsi="方正小标宋简体" w:eastAsia="方正小标宋简体" w:cs="方正小标宋简体"/>
          <w:b/>
          <w:sz w:val="32"/>
          <w:szCs w:val="32"/>
        </w:rPr>
      </w:pPr>
      <w:bookmarkStart w:id="80" w:name="_Toc211248412"/>
      <w:r>
        <w:rPr>
          <w:rFonts w:hint="eastAsia" w:ascii="方正小标宋简体" w:hAnsi="方正小标宋简体" w:eastAsia="方正小标宋简体" w:cs="方正小标宋简体"/>
          <w:b/>
          <w:sz w:val="32"/>
          <w:szCs w:val="32"/>
        </w:rPr>
        <w:t>报价一览表</w:t>
      </w:r>
      <w:bookmarkEnd w:id="80"/>
      <w:r>
        <w:rPr>
          <w:rFonts w:hint="eastAsia" w:ascii="方正小标宋简体" w:hAnsi="方正小标宋简体" w:eastAsia="方正小标宋简体" w:cs="方正小标宋简体"/>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4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bookmarkEnd w:id="83"/>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color w:val="FF0000"/>
          <w:szCs w:val="21"/>
        </w:rPr>
        <w:t>（本项目不适用）</w:t>
      </w:r>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544830</wp:posOffset>
                </wp:positionV>
                <wp:extent cx="2555875" cy="1609725"/>
                <wp:effectExtent l="4445" t="4445" r="11430" b="508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42.9pt;height:126.75pt;width:201.25pt;z-index:251661312;mso-width-relative:page;mso-height-relative:page;" fillcolor="#FFFFFF" filled="t" stroked="t" coordsize="21600,21600" o:gfxdata="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no4x2QAAAAoBAAAPAAAA&#10;AAAAAAEAIAAAACIAAABkcnMvZG93bnJldi54bWxQSwECFAAUAAAACACHTuJAq4TVABQCAAA5BAAA&#10;DgAAAAAAAAABACAAAAAoAQAAZHJzL2Uyb0RvYy54bWxQSwUGAAAAAAYABgBZAQAArgU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553720</wp:posOffset>
                </wp:positionV>
                <wp:extent cx="2517775" cy="1609725"/>
                <wp:effectExtent l="4445" t="4445" r="11430" b="508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43.6pt;height:126.75pt;width:198.25pt;z-index:251662336;mso-width-relative:page;mso-height-relative:page;" fillcolor="#FFFFFF" filled="t" stroked="t" coordsize="21600,21600" o:gfxdata="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w8Yi2QAAAAoBAAAPAAAA&#10;AAAAAAEAIAAAACIAAABkcnMvZG93bnJldi54bWxQSwECFAAUAAAACACHTuJAgvjciBQCAAA5BAAA&#10;DgAAAAAAAAABACAAAAAoAQAAZHJzL2Uyb0RvYy54bWxQSwUGAAAAAAYABgBZAQAArgU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hint="eastAsia" w:ascii="宋体" w:hAnsi="宋体"/>
          <w:szCs w:val="21"/>
        </w:rPr>
      </w:pPr>
      <w:bookmarkStart w:id="87" w:name="_Toc116550371"/>
    </w:p>
    <w:p>
      <w:pPr>
        <w:spacing w:line="0" w:lineRule="atLeast"/>
        <w:outlineLvl w:val="1"/>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53"/>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53"/>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4"/>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 w:name="Microsoft JhengHei UI">
    <w:panose1 w:val="020B0604030504040204"/>
    <w:charset w:val="88"/>
    <w:family w:val="auto"/>
    <w:pitch w:val="default"/>
    <w:sig w:usb0="000002A7" w:usb1="28CF4400" w:usb2="00000016" w:usb3="00000000" w:csb0="00100009" w:csb1="00000000"/>
  </w:font>
  <w:font w:name="Bahnschrift Light">
    <w:panose1 w:val="020B0502040204020203"/>
    <w:charset w:val="00"/>
    <w:family w:val="auto"/>
    <w:pitch w:val="default"/>
    <w:sig w:usb0="A00002C7" w:usb1="00000002" w:usb2="00000000" w:usb3="00000000" w:csb0="2000019F" w:csb1="00000000"/>
  </w:font>
  <w:font w:name="Microsoft YaHei UI Light">
    <w:panose1 w:val="020B0502040204020203"/>
    <w:charset w:val="86"/>
    <w:family w:val="auto"/>
    <w:pitch w:val="default"/>
    <w:sig w:usb0="80000287" w:usb1="2ACF001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AD22B0E"/>
    <w:multiLevelType w:val="singleLevel"/>
    <w:tmpl w:val="8AD22B0E"/>
    <w:lvl w:ilvl="0" w:tentative="0">
      <w:start w:val="1"/>
      <w:numFmt w:val="decimal"/>
      <w:suff w:val="nothing"/>
      <w:lvlText w:val="%1、"/>
      <w:lvlJc w:val="left"/>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6990378"/>
    <w:multiLevelType w:val="singleLevel"/>
    <w:tmpl w:val="96990378"/>
    <w:lvl w:ilvl="0" w:tentative="0">
      <w:start w:val="1"/>
      <w:numFmt w:val="decimal"/>
      <w:suff w:val="nothing"/>
      <w:lvlText w:val="（%1）"/>
      <w:lvlJc w:val="left"/>
    </w:lvl>
  </w:abstractNum>
  <w:abstractNum w:abstractNumId="5">
    <w:nsid w:val="A133C592"/>
    <w:multiLevelType w:val="singleLevel"/>
    <w:tmpl w:val="A133C592"/>
    <w:lvl w:ilvl="0" w:tentative="0">
      <w:start w:val="1"/>
      <w:numFmt w:val="decimal"/>
      <w:suff w:val="nothing"/>
      <w:lvlText w:val="（%1）"/>
      <w:lvlJc w:val="left"/>
    </w:lvl>
  </w:abstractNum>
  <w:abstractNum w:abstractNumId="6">
    <w:nsid w:val="A2281775"/>
    <w:multiLevelType w:val="singleLevel"/>
    <w:tmpl w:val="A2281775"/>
    <w:lvl w:ilvl="0" w:tentative="0">
      <w:start w:val="1"/>
      <w:numFmt w:val="decimal"/>
      <w:suff w:val="space"/>
      <w:lvlText w:val="%1."/>
      <w:lvlJc w:val="left"/>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FB050FF7"/>
    <w:multiLevelType w:val="singleLevel"/>
    <w:tmpl w:val="FB050FF7"/>
    <w:lvl w:ilvl="0" w:tentative="0">
      <w:start w:val="1"/>
      <w:numFmt w:val="decimal"/>
      <w:lvlText w:val="(%1)"/>
      <w:lvlJc w:val="left"/>
      <w:pPr>
        <w:ind w:left="425" w:hanging="425"/>
      </w:pPr>
      <w:rPr>
        <w:rFonts w:hint="default"/>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5172401"/>
    <w:multiLevelType w:val="singleLevel"/>
    <w:tmpl w:val="05172401"/>
    <w:lvl w:ilvl="0" w:tentative="0">
      <w:start w:val="1"/>
      <w:numFmt w:val="decimal"/>
      <w:suff w:val="nothing"/>
      <w:lvlText w:val="（%1）"/>
      <w:lvlJc w:val="left"/>
    </w:lvl>
  </w:abstractNum>
  <w:abstractNum w:abstractNumId="20">
    <w:nsid w:val="0CE2A388"/>
    <w:multiLevelType w:val="singleLevel"/>
    <w:tmpl w:val="0CE2A388"/>
    <w:lvl w:ilvl="0" w:tentative="0">
      <w:start w:val="1"/>
      <w:numFmt w:val="decimal"/>
      <w:lvlText w:val="(%1)"/>
      <w:lvlJc w:val="left"/>
      <w:pPr>
        <w:ind w:left="425" w:hanging="425"/>
      </w:pPr>
      <w:rPr>
        <w:rFonts w:hint="default"/>
      </w:r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92F552F"/>
    <w:multiLevelType w:val="multilevel"/>
    <w:tmpl w:val="192F55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1305886"/>
    <w:multiLevelType w:val="singleLevel"/>
    <w:tmpl w:val="21305886"/>
    <w:lvl w:ilvl="0" w:tentative="0">
      <w:start w:val="1"/>
      <w:numFmt w:val="decimal"/>
      <w:lvlText w:val="（%1）"/>
      <w:lvlJc w:val="left"/>
      <w:pPr>
        <w:ind w:left="420" w:hanging="420"/>
      </w:pPr>
      <w:rPr>
        <w:rFonts w:hint="eastAsia"/>
      </w:rPr>
    </w:lvl>
  </w:abstractNum>
  <w:abstractNum w:abstractNumId="28">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8E10C89"/>
    <w:multiLevelType w:val="singleLevel"/>
    <w:tmpl w:val="28E10C89"/>
    <w:lvl w:ilvl="0" w:tentative="0">
      <w:start w:val="1"/>
      <w:numFmt w:val="decimal"/>
      <w:suff w:val="space"/>
      <w:lvlText w:val="%1."/>
      <w:lvlJc w:val="left"/>
    </w:lvl>
  </w:abstractNum>
  <w:abstractNum w:abstractNumId="3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8">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50E760B"/>
    <w:multiLevelType w:val="singleLevel"/>
    <w:tmpl w:val="750E760B"/>
    <w:lvl w:ilvl="0" w:tentative="0">
      <w:start w:val="1"/>
      <w:numFmt w:val="decimal"/>
      <w:lvlText w:val="（%1）"/>
      <w:lvlJc w:val="left"/>
      <w:pPr>
        <w:ind w:left="420" w:hanging="420"/>
      </w:pPr>
      <w:rPr>
        <w:rFonts w:hint="eastAsia"/>
      </w:rPr>
    </w:lvl>
  </w:abstractNum>
  <w:abstractNum w:abstractNumId="50">
    <w:nsid w:val="7B4A4E0C"/>
    <w:multiLevelType w:val="singleLevel"/>
    <w:tmpl w:val="7B4A4E0C"/>
    <w:lvl w:ilvl="0" w:tentative="0">
      <w:start w:val="1"/>
      <w:numFmt w:val="decimal"/>
      <w:lvlText w:val="（%1）"/>
      <w:lvlJc w:val="left"/>
      <w:pPr>
        <w:ind w:left="420" w:hanging="420"/>
      </w:pPr>
      <w:rPr>
        <w:rFonts w:hint="eastAsia"/>
      </w:rPr>
    </w:lvl>
  </w:abstractNum>
  <w:abstractNum w:abstractNumId="51">
    <w:nsid w:val="7ED17433"/>
    <w:multiLevelType w:val="singleLevel"/>
    <w:tmpl w:val="7ED17433"/>
    <w:lvl w:ilvl="0" w:tentative="0">
      <w:start w:val="1"/>
      <w:numFmt w:val="decimal"/>
      <w:lvlText w:val="（%1）"/>
      <w:lvlJc w:val="left"/>
      <w:pPr>
        <w:ind w:left="420" w:hanging="420"/>
      </w:pPr>
      <w:rPr>
        <w:rFonts w:hint="eastAsia"/>
      </w:rPr>
    </w:lvl>
  </w:abstractNum>
  <w:num w:numId="1">
    <w:abstractNumId w:val="43"/>
  </w:num>
  <w:num w:numId="2">
    <w:abstractNumId w:val="47"/>
  </w:num>
  <w:num w:numId="3">
    <w:abstractNumId w:val="34"/>
  </w:num>
  <w:num w:numId="4">
    <w:abstractNumId w:val="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4"/>
  </w:num>
  <w:num w:numId="8">
    <w:abstractNumId w:val="37"/>
  </w:num>
  <w:num w:numId="9">
    <w:abstractNumId w:val="22"/>
  </w:num>
  <w:num w:numId="10">
    <w:abstractNumId w:val="50"/>
  </w:num>
  <w:num w:numId="11">
    <w:abstractNumId w:val="51"/>
  </w:num>
  <w:num w:numId="12">
    <w:abstractNumId w:val="27"/>
  </w:num>
  <w:num w:numId="13">
    <w:abstractNumId w:val="5"/>
  </w:num>
  <w:num w:numId="14">
    <w:abstractNumId w:val="49"/>
  </w:num>
  <w:num w:numId="15">
    <w:abstractNumId w:val="19"/>
  </w:num>
  <w:num w:numId="16">
    <w:abstractNumId w:val="9"/>
  </w:num>
  <w:num w:numId="17">
    <w:abstractNumId w:val="31"/>
  </w:num>
  <w:num w:numId="18">
    <w:abstractNumId w:val="17"/>
  </w:num>
  <w:num w:numId="19">
    <w:abstractNumId w:val="25"/>
  </w:num>
  <w:num w:numId="20">
    <w:abstractNumId w:val="14"/>
  </w:num>
  <w:num w:numId="21">
    <w:abstractNumId w:val="48"/>
  </w:num>
  <w:num w:numId="22">
    <w:abstractNumId w:val="1"/>
  </w:num>
  <w:num w:numId="23">
    <w:abstractNumId w:val="20"/>
  </w:num>
  <w:num w:numId="24">
    <w:abstractNumId w:val="33"/>
  </w:num>
  <w:num w:numId="25">
    <w:abstractNumId w:val="24"/>
  </w:num>
  <w:num w:numId="26">
    <w:abstractNumId w:val="6"/>
  </w:num>
  <w:num w:numId="27">
    <w:abstractNumId w:val="10"/>
  </w:num>
  <w:num w:numId="28">
    <w:abstractNumId w:val="38"/>
  </w:num>
  <w:num w:numId="29">
    <w:abstractNumId w:val="35"/>
  </w:num>
  <w:num w:numId="30">
    <w:abstractNumId w:val="12"/>
  </w:num>
  <w:num w:numId="31">
    <w:abstractNumId w:val="4"/>
  </w:num>
  <w:num w:numId="32">
    <w:abstractNumId w:val="8"/>
  </w:num>
  <w:num w:numId="33">
    <w:abstractNumId w:val="45"/>
  </w:num>
  <w:num w:numId="34">
    <w:abstractNumId w:val="21"/>
  </w:num>
  <w:num w:numId="35">
    <w:abstractNumId w:val="40"/>
  </w:num>
  <w:num w:numId="36">
    <w:abstractNumId w:val="28"/>
  </w:num>
  <w:num w:numId="37">
    <w:abstractNumId w:val="2"/>
  </w:num>
  <w:num w:numId="38">
    <w:abstractNumId w:val="11"/>
  </w:num>
  <w:num w:numId="39">
    <w:abstractNumId w:val="0"/>
  </w:num>
  <w:num w:numId="40">
    <w:abstractNumId w:val="3"/>
  </w:num>
  <w:num w:numId="41">
    <w:abstractNumId w:val="36"/>
  </w:num>
  <w:num w:numId="42">
    <w:abstractNumId w:val="13"/>
  </w:num>
  <w:num w:numId="43">
    <w:abstractNumId w:val="16"/>
  </w:num>
  <w:num w:numId="44">
    <w:abstractNumId w:val="15"/>
  </w:num>
  <w:num w:numId="45">
    <w:abstractNumId w:val="46"/>
  </w:num>
  <w:num w:numId="46">
    <w:abstractNumId w:val="39"/>
  </w:num>
  <w:num w:numId="47">
    <w:abstractNumId w:val="32"/>
  </w:num>
  <w:num w:numId="48">
    <w:abstractNumId w:val="29"/>
  </w:num>
  <w:num w:numId="49">
    <w:abstractNumId w:val="41"/>
  </w:num>
  <w:num w:numId="50">
    <w:abstractNumId w:val="26"/>
  </w:num>
  <w:num w:numId="51">
    <w:abstractNumId w:val="18"/>
  </w:num>
  <w:num w:numId="52">
    <w:abstractNumId w:val="42"/>
  </w:num>
  <w:num w:numId="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066B11"/>
    <w:rsid w:val="067C5C86"/>
    <w:rsid w:val="06856661"/>
    <w:rsid w:val="06B17C6C"/>
    <w:rsid w:val="077B4608"/>
    <w:rsid w:val="07BB74B6"/>
    <w:rsid w:val="07D7576E"/>
    <w:rsid w:val="08493DEA"/>
    <w:rsid w:val="086E4EC9"/>
    <w:rsid w:val="0B734A64"/>
    <w:rsid w:val="0CDE01F2"/>
    <w:rsid w:val="0DD201F4"/>
    <w:rsid w:val="0DE50A4C"/>
    <w:rsid w:val="0F2C6301"/>
    <w:rsid w:val="0F4526B6"/>
    <w:rsid w:val="10091618"/>
    <w:rsid w:val="10D731D0"/>
    <w:rsid w:val="11D31EFE"/>
    <w:rsid w:val="12814514"/>
    <w:rsid w:val="152B64B8"/>
    <w:rsid w:val="15740DA4"/>
    <w:rsid w:val="177B0D14"/>
    <w:rsid w:val="1946493F"/>
    <w:rsid w:val="195A6BC0"/>
    <w:rsid w:val="196E538C"/>
    <w:rsid w:val="1A730946"/>
    <w:rsid w:val="1C5670DA"/>
    <w:rsid w:val="1C73421C"/>
    <w:rsid w:val="1C8B0226"/>
    <w:rsid w:val="1DC56C5F"/>
    <w:rsid w:val="1E0B74A4"/>
    <w:rsid w:val="1EAB65FC"/>
    <w:rsid w:val="1EF867CF"/>
    <w:rsid w:val="1F7074E6"/>
    <w:rsid w:val="20F60248"/>
    <w:rsid w:val="227A4EED"/>
    <w:rsid w:val="228D0750"/>
    <w:rsid w:val="22F45D9C"/>
    <w:rsid w:val="235376E7"/>
    <w:rsid w:val="24786106"/>
    <w:rsid w:val="24F629DE"/>
    <w:rsid w:val="25A5748F"/>
    <w:rsid w:val="25BE1EBF"/>
    <w:rsid w:val="25D85A3C"/>
    <w:rsid w:val="267E19B6"/>
    <w:rsid w:val="26E95967"/>
    <w:rsid w:val="276D4EE8"/>
    <w:rsid w:val="2961155A"/>
    <w:rsid w:val="29F80E60"/>
    <w:rsid w:val="2A1D36D7"/>
    <w:rsid w:val="2AE10B7D"/>
    <w:rsid w:val="2B503D9E"/>
    <w:rsid w:val="2B9E3425"/>
    <w:rsid w:val="2BD84FDD"/>
    <w:rsid w:val="2BFA4386"/>
    <w:rsid w:val="2C931647"/>
    <w:rsid w:val="2CD73EA3"/>
    <w:rsid w:val="2D845ED0"/>
    <w:rsid w:val="2EAB6E76"/>
    <w:rsid w:val="30162CBD"/>
    <w:rsid w:val="30381F4F"/>
    <w:rsid w:val="31097E8B"/>
    <w:rsid w:val="32790974"/>
    <w:rsid w:val="32A53641"/>
    <w:rsid w:val="33E802EB"/>
    <w:rsid w:val="34A05B77"/>
    <w:rsid w:val="34BA3204"/>
    <w:rsid w:val="357125AD"/>
    <w:rsid w:val="37097428"/>
    <w:rsid w:val="38AC36F6"/>
    <w:rsid w:val="3AAD7F79"/>
    <w:rsid w:val="3B093D2F"/>
    <w:rsid w:val="3B991A52"/>
    <w:rsid w:val="3BB26AC4"/>
    <w:rsid w:val="3C35255B"/>
    <w:rsid w:val="3C91141A"/>
    <w:rsid w:val="3CC63B6C"/>
    <w:rsid w:val="3D3679ED"/>
    <w:rsid w:val="3E713699"/>
    <w:rsid w:val="3E9828E8"/>
    <w:rsid w:val="407223E5"/>
    <w:rsid w:val="408D7227"/>
    <w:rsid w:val="41407E51"/>
    <w:rsid w:val="414603D7"/>
    <w:rsid w:val="416718EC"/>
    <w:rsid w:val="42521266"/>
    <w:rsid w:val="43186D77"/>
    <w:rsid w:val="43226380"/>
    <w:rsid w:val="43630FF8"/>
    <w:rsid w:val="439D7A21"/>
    <w:rsid w:val="43D97719"/>
    <w:rsid w:val="447267E8"/>
    <w:rsid w:val="44E431E5"/>
    <w:rsid w:val="46B30DE6"/>
    <w:rsid w:val="46CD06C6"/>
    <w:rsid w:val="47F45792"/>
    <w:rsid w:val="492A4A83"/>
    <w:rsid w:val="495C1F5C"/>
    <w:rsid w:val="4AF77150"/>
    <w:rsid w:val="4B8B03E4"/>
    <w:rsid w:val="4D9A3F67"/>
    <w:rsid w:val="4DDF67CC"/>
    <w:rsid w:val="4E8D01CA"/>
    <w:rsid w:val="4EE12BFB"/>
    <w:rsid w:val="4F8971FE"/>
    <w:rsid w:val="4FF955D3"/>
    <w:rsid w:val="50FA6A61"/>
    <w:rsid w:val="51794BC1"/>
    <w:rsid w:val="51B158A1"/>
    <w:rsid w:val="52010BC3"/>
    <w:rsid w:val="535F74E1"/>
    <w:rsid w:val="53D25371"/>
    <w:rsid w:val="540F1FD2"/>
    <w:rsid w:val="546B7FD5"/>
    <w:rsid w:val="548106A2"/>
    <w:rsid w:val="558C636F"/>
    <w:rsid w:val="561F6663"/>
    <w:rsid w:val="57315BF2"/>
    <w:rsid w:val="574D4B34"/>
    <w:rsid w:val="57594B93"/>
    <w:rsid w:val="5890594E"/>
    <w:rsid w:val="594A6990"/>
    <w:rsid w:val="5A2E0F40"/>
    <w:rsid w:val="5E1F5917"/>
    <w:rsid w:val="5E8307E5"/>
    <w:rsid w:val="5FFB3BA6"/>
    <w:rsid w:val="60475C3F"/>
    <w:rsid w:val="60785544"/>
    <w:rsid w:val="60A60070"/>
    <w:rsid w:val="61A26997"/>
    <w:rsid w:val="6207355D"/>
    <w:rsid w:val="621822F4"/>
    <w:rsid w:val="622C21AB"/>
    <w:rsid w:val="62D00ABF"/>
    <w:rsid w:val="62F5351D"/>
    <w:rsid w:val="631A46B3"/>
    <w:rsid w:val="640C25AF"/>
    <w:rsid w:val="6541126B"/>
    <w:rsid w:val="67F40C99"/>
    <w:rsid w:val="683A303D"/>
    <w:rsid w:val="6868213F"/>
    <w:rsid w:val="68E97B63"/>
    <w:rsid w:val="695E0A84"/>
    <w:rsid w:val="6A5B2F9C"/>
    <w:rsid w:val="6B1E605C"/>
    <w:rsid w:val="6B2E00D1"/>
    <w:rsid w:val="6BDF0BE4"/>
    <w:rsid w:val="6C097709"/>
    <w:rsid w:val="6C5E0507"/>
    <w:rsid w:val="6C6B5505"/>
    <w:rsid w:val="6C822F69"/>
    <w:rsid w:val="6DF67C63"/>
    <w:rsid w:val="6E072BB6"/>
    <w:rsid w:val="6E3F209B"/>
    <w:rsid w:val="6F6334B6"/>
    <w:rsid w:val="725336E8"/>
    <w:rsid w:val="73DE1DD9"/>
    <w:rsid w:val="7436553D"/>
    <w:rsid w:val="74783A1C"/>
    <w:rsid w:val="74AB354D"/>
    <w:rsid w:val="74B05132"/>
    <w:rsid w:val="76C52AAF"/>
    <w:rsid w:val="76E063E5"/>
    <w:rsid w:val="772A35DE"/>
    <w:rsid w:val="77D80BC4"/>
    <w:rsid w:val="781B5752"/>
    <w:rsid w:val="78BF6D2E"/>
    <w:rsid w:val="790A12C0"/>
    <w:rsid w:val="798425C1"/>
    <w:rsid w:val="79A35F22"/>
    <w:rsid w:val="79BF662E"/>
    <w:rsid w:val="7A751935"/>
    <w:rsid w:val="7B2952F2"/>
    <w:rsid w:val="7C1827CB"/>
    <w:rsid w:val="7CC81C06"/>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qFormat/>
    <w:uiPriority w:val="0"/>
    <w:pPr>
      <w:spacing w:after="120" w:afterLines="0" w:afterAutospacing="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PlainText"/>
    <w:basedOn w:val="1"/>
    <w:qFormat/>
    <w:uiPriority w:val="0"/>
    <w:pPr>
      <w:textAlignment w:val="baseline"/>
    </w:pPr>
    <w:rPr>
      <w:rFonts w:ascii="宋体" w:hAnsi="Courier New"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33</Pages>
  <Words>17113</Words>
  <Characters>18190</Characters>
  <Lines>140</Lines>
  <Paragraphs>39</Paragraphs>
  <TotalTime>21</TotalTime>
  <ScaleCrop>false</ScaleCrop>
  <LinksUpToDate>false</LinksUpToDate>
  <CharactersWithSpaces>20677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admin</cp:lastModifiedBy>
  <dcterms:modified xsi:type="dcterms:W3CDTF">2023-05-24T08:27:00Z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FDC08E9BCD3D4B49A5040E3AA3612533_13</vt:lpwstr>
  </property>
</Properties>
</file>