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_GBK" w:cs="方正小标宋_GBK"/>
          <w:b/>
          <w:sz w:val="32"/>
          <w:szCs w:val="32"/>
          <w:lang w:eastAsia="zh-CN"/>
        </w:rPr>
      </w:pPr>
      <w:r>
        <w:rPr>
          <w:rFonts w:hint="eastAsia" w:ascii="方正小标宋简体" w:hAnsi="方正小标宋_GBK" w:eastAsia="方正小标宋简体" w:cs="方正小标宋_GBK"/>
          <w:b/>
          <w:sz w:val="32"/>
          <w:szCs w:val="32"/>
        </w:rPr>
        <w:t>项目名称：</w:t>
      </w:r>
      <w:r>
        <w:rPr>
          <w:rFonts w:hint="eastAsia" w:ascii="方正小标宋_GBK" w:hAnsi="方正小标宋_GBK" w:eastAsia="方正小标宋_GBK" w:cs="方正小标宋_GBK"/>
          <w:b/>
          <w:sz w:val="32"/>
          <w:szCs w:val="32"/>
        </w:rPr>
        <w:t>深圳会展中心高压电缆线耐压和绝缘测试项目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03</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8"/>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8"/>
          <w:rFonts w:ascii="宋体" w:hAnsi="宋体" w:cs="仿宋"/>
          <w:bCs/>
        </w:rPr>
        <w:t>一、</w:t>
      </w:r>
      <w:r>
        <w:rPr>
          <w:rStyle w:val="18"/>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8"/>
          <w:rFonts w:ascii="宋体" w:hAnsi="宋体" w:cs="仿宋"/>
          <w:bCs/>
        </w:rPr>
        <w:t>二、</w:t>
      </w:r>
      <w:r>
        <w:rPr>
          <w:rStyle w:val="18"/>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8"/>
          <w:rFonts w:ascii="宋体" w:hAnsi="宋体" w:cs="仿宋"/>
          <w:bCs/>
        </w:rPr>
        <w:t>三、</w:t>
      </w:r>
      <w:r>
        <w:rPr>
          <w:rStyle w:val="18"/>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8"/>
          <w:rFonts w:ascii="宋体" w:hAnsi="宋体" w:cs="仿宋"/>
          <w:bCs/>
        </w:rPr>
        <w:t>四、</w:t>
      </w:r>
      <w:r>
        <w:rPr>
          <w:rStyle w:val="18"/>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8"/>
          <w:rFonts w:ascii="宋体" w:hAnsi="宋体" w:cs="仿宋"/>
          <w:bCs/>
        </w:rPr>
        <w:t>五、</w:t>
      </w:r>
      <w:r>
        <w:rPr>
          <w:rStyle w:val="18"/>
          <w:rFonts w:ascii="宋体" w:hAnsi="宋体"/>
        </w:rPr>
        <w:t xml:space="preserve"> 其他项目说明资料</w:t>
      </w:r>
      <w:r>
        <w:tab/>
      </w:r>
      <w:r>
        <w:fldChar w:fldCharType="begin"/>
      </w:r>
      <w:r>
        <w:instrText xml:space="preserve"> PAGEREF _Toc116550349 \h </w:instrText>
      </w:r>
      <w:r>
        <w:fldChar w:fldCharType="separate"/>
      </w:r>
      <w:r>
        <w:t>5</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8"/>
          <w:rFonts w:ascii="宋体" w:hAnsi="宋体"/>
          <w:b/>
        </w:rPr>
        <w:t>第二部分：开标评标流程</w:t>
      </w:r>
      <w:r>
        <w:tab/>
      </w:r>
      <w:r>
        <w:fldChar w:fldCharType="begin"/>
      </w:r>
      <w:r>
        <w:instrText xml:space="preserve"> PAGEREF _Toc116550350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8"/>
          <w:rFonts w:ascii="宋体" w:hAnsi="宋体" w:cs="仿宋"/>
          <w:bCs/>
        </w:rPr>
        <w:t>六、</w:t>
      </w:r>
      <w:r>
        <w:rPr>
          <w:rStyle w:val="18"/>
        </w:rPr>
        <w:t xml:space="preserve"> 开标阶段</w:t>
      </w:r>
      <w:r>
        <w:tab/>
      </w:r>
      <w:r>
        <w:fldChar w:fldCharType="begin"/>
      </w:r>
      <w:r>
        <w:instrText xml:space="preserve"> PAGEREF _Toc116550351 \h </w:instrText>
      </w:r>
      <w:r>
        <w:fldChar w:fldCharType="separate"/>
      </w:r>
      <w:r>
        <w:t>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8"/>
          <w:rFonts w:ascii="宋体" w:hAnsi="宋体" w:cs="仿宋"/>
          <w:bCs/>
        </w:rPr>
        <w:t>七、</w:t>
      </w:r>
      <w:r>
        <w:rPr>
          <w:rStyle w:val="18"/>
        </w:rPr>
        <w:t xml:space="preserve"> 评标阶段</w:t>
      </w:r>
      <w:r>
        <w:tab/>
      </w:r>
      <w:r>
        <w:fldChar w:fldCharType="begin"/>
      </w:r>
      <w:r>
        <w:instrText xml:space="preserve"> PAGEREF _Toc116550352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8"/>
          <w:rFonts w:ascii="宋体" w:hAnsi="宋体"/>
          <w:b/>
        </w:rPr>
        <w:t>第三部分：评审办法</w:t>
      </w:r>
      <w:r>
        <w:tab/>
      </w:r>
      <w:r>
        <w:fldChar w:fldCharType="begin"/>
      </w:r>
      <w:r>
        <w:instrText xml:space="preserve"> PAGEREF _Toc116550353 \h </w:instrText>
      </w:r>
      <w:r>
        <w:fldChar w:fldCharType="separate"/>
      </w:r>
      <w:r>
        <w:t>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8"/>
          <w:rFonts w:ascii="宋体" w:hAnsi="宋体" w:cs="仿宋"/>
          <w:bCs/>
        </w:rPr>
        <w:t>八、</w:t>
      </w:r>
      <w:r>
        <w:rPr>
          <w:rStyle w:val="18"/>
          <w:rFonts w:ascii="宋体" w:hAnsi="宋体"/>
          <w:bCs/>
        </w:rPr>
        <w:t xml:space="preserve"> 评审办法</w:t>
      </w:r>
      <w:r>
        <w:tab/>
      </w:r>
      <w:r>
        <w:fldChar w:fldCharType="begin"/>
      </w:r>
      <w:r>
        <w:instrText xml:space="preserve"> PAGEREF _Toc116550354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8"/>
          <w:rFonts w:ascii="宋体" w:hAnsi="宋体"/>
        </w:rPr>
        <w:t>（一）</w:t>
      </w:r>
      <w:r>
        <w:rPr>
          <w:rFonts w:asciiTheme="minorHAnsi" w:hAnsiTheme="minorHAnsi" w:eastAsiaTheme="minorEastAsia" w:cstheme="minorBidi"/>
          <w:szCs w:val="22"/>
        </w:rPr>
        <w:tab/>
      </w:r>
      <w:r>
        <w:rPr>
          <w:rStyle w:val="18"/>
          <w:rFonts w:ascii="宋体" w:hAnsi="宋体"/>
          <w:bCs/>
        </w:rPr>
        <w:t>符合性检查</w:t>
      </w:r>
      <w:r>
        <w:tab/>
      </w:r>
      <w:r>
        <w:fldChar w:fldCharType="begin"/>
      </w:r>
      <w:r>
        <w:instrText xml:space="preserve"> PAGEREF _Toc116550355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8"/>
          <w:rFonts w:ascii="宋体" w:hAnsi="宋体"/>
          <w:bCs/>
        </w:rPr>
        <w:t>（二）</w:t>
      </w:r>
      <w:r>
        <w:rPr>
          <w:rFonts w:asciiTheme="minorHAnsi" w:hAnsiTheme="minorHAnsi" w:eastAsiaTheme="minorEastAsia" w:cstheme="minorBidi"/>
          <w:szCs w:val="22"/>
        </w:rPr>
        <w:tab/>
      </w:r>
      <w:r>
        <w:rPr>
          <w:rStyle w:val="18"/>
          <w:rFonts w:ascii="宋体" w:hAnsi="宋体"/>
          <w:bCs/>
        </w:rPr>
        <w:t>不可偏离项检查</w:t>
      </w:r>
      <w:r>
        <w:tab/>
      </w:r>
      <w:r>
        <w:fldChar w:fldCharType="begin"/>
      </w:r>
      <w:r>
        <w:instrText xml:space="preserve"> PAGEREF _Toc116550356 \h </w:instrText>
      </w:r>
      <w:r>
        <w:fldChar w:fldCharType="separate"/>
      </w:r>
      <w:r>
        <w:t>7</w:t>
      </w:r>
      <w:r>
        <w:fldChar w:fldCharType="end"/>
      </w:r>
      <w:r>
        <w:fldChar w:fldCharType="end"/>
      </w:r>
    </w:p>
    <w:p>
      <w:pPr>
        <w:pStyle w:val="4"/>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8"/>
          <w:rFonts w:ascii="宋体" w:hAnsi="宋体"/>
          <w:bCs/>
        </w:rPr>
        <w:t>（三）</w:t>
      </w:r>
      <w:r>
        <w:rPr>
          <w:rFonts w:asciiTheme="minorHAnsi" w:hAnsiTheme="minorHAnsi" w:eastAsiaTheme="minorEastAsia" w:cstheme="minorBidi"/>
          <w:szCs w:val="22"/>
        </w:rPr>
        <w:tab/>
      </w:r>
      <w:r>
        <w:rPr>
          <w:rStyle w:val="18"/>
          <w:rFonts w:ascii="宋体" w:hAnsi="宋体"/>
          <w:bCs/>
        </w:rPr>
        <w:t>综合评议指标表</w:t>
      </w:r>
      <w:r>
        <w:tab/>
      </w:r>
      <w:r>
        <w:fldChar w:fldCharType="begin"/>
      </w:r>
      <w:r>
        <w:instrText xml:space="preserve"> PAGEREF _Toc116550357 \h </w:instrText>
      </w:r>
      <w:r>
        <w:fldChar w:fldCharType="separate"/>
      </w:r>
      <w:r>
        <w:t>7</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8"/>
          <w:rFonts w:ascii="宋体" w:hAnsi="宋体"/>
          <w:b/>
        </w:rPr>
        <w:t>第四部分：合同条款及格式</w:t>
      </w:r>
      <w:r>
        <w:tab/>
      </w:r>
      <w:r>
        <w:fldChar w:fldCharType="begin"/>
      </w:r>
      <w:r>
        <w:instrText xml:space="preserve"> PAGEREF _Toc116550358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8"/>
          <w:b/>
        </w:rPr>
        <w:t>第五部分：参考附件</w:t>
      </w:r>
      <w:r>
        <w:tab/>
      </w:r>
      <w:r>
        <w:fldChar w:fldCharType="begin"/>
      </w:r>
      <w:r>
        <w:instrText xml:space="preserve"> PAGEREF _Toc116550359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8"/>
          <w:rFonts w:ascii="宋体" w:hAnsi="宋体"/>
        </w:rPr>
        <w:t>附件1：报名回函</w:t>
      </w:r>
      <w:r>
        <w:tab/>
      </w:r>
      <w:r>
        <w:fldChar w:fldCharType="begin"/>
      </w:r>
      <w:r>
        <w:instrText xml:space="preserve"> PAGEREF _Toc116550360 \h </w:instrText>
      </w:r>
      <w:r>
        <w:fldChar w:fldCharType="separate"/>
      </w:r>
      <w:r>
        <w:t>16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8"/>
          <w:rFonts w:ascii="宋体" w:hAnsi="宋体"/>
        </w:rPr>
        <w:t>附件2：投标函</w:t>
      </w:r>
      <w:r>
        <w:tab/>
      </w:r>
      <w:r>
        <w:fldChar w:fldCharType="begin"/>
      </w:r>
      <w:r>
        <w:instrText xml:space="preserve"> PAGEREF _Toc116550361 \h </w:instrText>
      </w:r>
      <w:r>
        <w:fldChar w:fldCharType="separate"/>
      </w:r>
      <w:r>
        <w:t>17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8"/>
          <w:rFonts w:ascii="宋体" w:hAnsi="宋体"/>
        </w:rPr>
        <w:t>附件3：投标一览表</w:t>
      </w:r>
      <w:r>
        <w:tab/>
      </w:r>
      <w:r>
        <w:fldChar w:fldCharType="begin"/>
      </w:r>
      <w:r>
        <w:instrText xml:space="preserve"> PAGEREF _Toc116550362 \h </w:instrText>
      </w:r>
      <w:r>
        <w:fldChar w:fldCharType="separate"/>
      </w:r>
      <w:r>
        <w:t>18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8"/>
          <w:rFonts w:ascii="宋体" w:hAnsi="宋体"/>
        </w:rPr>
        <w:t>附件4：考察证明</w:t>
      </w:r>
      <w:r>
        <w:tab/>
      </w:r>
      <w:r>
        <w:fldChar w:fldCharType="begin"/>
      </w:r>
      <w:r>
        <w:instrText xml:space="preserve"> PAGEREF _Toc116550363 \h </w:instrText>
      </w:r>
      <w:r>
        <w:fldChar w:fldCharType="separate"/>
      </w:r>
      <w:r>
        <w:t>19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8"/>
          <w:rFonts w:ascii="宋体" w:hAnsi="宋体"/>
        </w:rPr>
        <w:t>附件5：技术服务响应/偏离表</w:t>
      </w:r>
      <w:r>
        <w:tab/>
      </w:r>
      <w:r>
        <w:fldChar w:fldCharType="begin"/>
      </w:r>
      <w:r>
        <w:instrText xml:space="preserve"> PAGEREF _Toc116550364 \h </w:instrText>
      </w:r>
      <w:r>
        <w:fldChar w:fldCharType="separate"/>
      </w:r>
      <w:r>
        <w:t>20</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8"/>
          <w:rFonts w:ascii="宋体" w:hAnsi="宋体"/>
        </w:rPr>
        <w:t>附件6：商务条款响应/偏离表</w:t>
      </w:r>
      <w:r>
        <w:tab/>
      </w:r>
      <w:r>
        <w:fldChar w:fldCharType="begin"/>
      </w:r>
      <w:r>
        <w:instrText xml:space="preserve"> PAGEREF _Toc116550365 \h </w:instrText>
      </w:r>
      <w:r>
        <w:fldChar w:fldCharType="separate"/>
      </w:r>
      <w:r>
        <w:t>21</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8"/>
          <w:rFonts w:ascii="宋体" w:hAnsi="宋体"/>
        </w:rPr>
        <w:t>附件7：报价一览表（货物）（本项目不适用）</w:t>
      </w:r>
      <w:r>
        <w:tab/>
      </w:r>
      <w:r>
        <w:fldChar w:fldCharType="begin"/>
      </w:r>
      <w:r>
        <w:instrText xml:space="preserve"> PAGEREF _Toc116550366 \h </w:instrText>
      </w:r>
      <w:r>
        <w:fldChar w:fldCharType="separate"/>
      </w:r>
      <w:r>
        <w:t>22</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8"/>
          <w:rFonts w:ascii="宋体" w:hAnsi="宋体"/>
        </w:rPr>
        <w:t>附件8：报价一览表（服务）（本项目不适用）</w:t>
      </w:r>
      <w:r>
        <w:tab/>
      </w:r>
      <w:r>
        <w:fldChar w:fldCharType="begin"/>
      </w:r>
      <w:r>
        <w:instrText xml:space="preserve"> PAGEREF _Toc116550367 \h </w:instrText>
      </w:r>
      <w:r>
        <w:fldChar w:fldCharType="separate"/>
      </w:r>
      <w:r>
        <w:t>23</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8"/>
          <w:rFonts w:ascii="宋体" w:hAnsi="宋体"/>
        </w:rPr>
        <w:t>附件9：报价一览表（工程）</w:t>
      </w:r>
      <w:r>
        <w:tab/>
      </w:r>
      <w:r>
        <w:fldChar w:fldCharType="begin"/>
      </w:r>
      <w:r>
        <w:instrText xml:space="preserve"> PAGEREF _Toc116550368 \h </w:instrText>
      </w:r>
      <w:r>
        <w:fldChar w:fldCharType="separate"/>
      </w:r>
      <w:r>
        <w:t>24</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8"/>
          <w:rFonts w:ascii="宋体" w:hAnsi="宋体"/>
        </w:rPr>
        <w:t>附件10：法定代表人证明书</w:t>
      </w:r>
      <w:r>
        <w:tab/>
      </w:r>
      <w:r>
        <w:fldChar w:fldCharType="begin"/>
      </w:r>
      <w:r>
        <w:instrText xml:space="preserve"> PAGEREF _Toc116550369 \h </w:instrText>
      </w:r>
      <w:r>
        <w:fldChar w:fldCharType="separate"/>
      </w:r>
      <w:r>
        <w:t>25</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8"/>
          <w:rFonts w:ascii="宋体" w:hAnsi="宋体"/>
        </w:rPr>
        <w:t>附件11：法人授权委托证明书</w:t>
      </w:r>
      <w:r>
        <w:tab/>
      </w:r>
      <w:r>
        <w:fldChar w:fldCharType="begin"/>
      </w:r>
      <w:r>
        <w:instrText xml:space="preserve"> PAGEREF _Toc116550370 \h </w:instrText>
      </w:r>
      <w:r>
        <w:fldChar w:fldCharType="separate"/>
      </w:r>
      <w:r>
        <w:t>26</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8"/>
          <w:rFonts w:ascii="宋体" w:hAnsi="宋体"/>
        </w:rPr>
        <w:t>附件12：经营业绩一览表</w:t>
      </w:r>
      <w:r>
        <w:tab/>
      </w:r>
      <w:r>
        <w:fldChar w:fldCharType="begin"/>
      </w:r>
      <w:r>
        <w:instrText xml:space="preserve"> PAGEREF _Toc116550371 \h </w:instrText>
      </w:r>
      <w:r>
        <w:fldChar w:fldCharType="separate"/>
      </w:r>
      <w:r>
        <w:t>27</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8"/>
          <w:rFonts w:ascii="宋体" w:hAnsi="宋体"/>
        </w:rPr>
        <w:t>附件13：售后服务承诺书（质量保证服务承诺书）</w:t>
      </w:r>
      <w:r>
        <w:tab/>
      </w:r>
      <w:r>
        <w:fldChar w:fldCharType="begin"/>
      </w:r>
      <w:r>
        <w:instrText xml:space="preserve"> PAGEREF _Toc116550372 \h </w:instrText>
      </w:r>
      <w:r>
        <w:fldChar w:fldCharType="separate"/>
      </w:r>
      <w:r>
        <w:t>28</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8"/>
          <w:rFonts w:ascii="宋体" w:hAnsi="宋体"/>
        </w:rPr>
        <w:t>附件14：履约情况及社会信誉承诺书</w:t>
      </w:r>
      <w:r>
        <w:tab/>
      </w:r>
      <w:r>
        <w:fldChar w:fldCharType="begin"/>
      </w:r>
      <w:r>
        <w:instrText xml:space="preserve"> PAGEREF _Toc116550373 \h </w:instrText>
      </w:r>
      <w:r>
        <w:fldChar w:fldCharType="separate"/>
      </w:r>
      <w:r>
        <w:t>29</w:t>
      </w:r>
      <w:r>
        <w:fldChar w:fldCharType="end"/>
      </w:r>
      <w:r>
        <w:fldChar w:fldCharType="end"/>
      </w:r>
    </w:p>
    <w:p>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8"/>
          <w:rFonts w:ascii="宋体" w:hAnsi="宋体"/>
        </w:rPr>
        <w:t>附件15：投标文件密码单</w:t>
      </w:r>
      <w:r>
        <w:tab/>
      </w:r>
      <w:r>
        <w:fldChar w:fldCharType="begin"/>
      </w:r>
      <w:r>
        <w:instrText xml:space="preserve"> PAGEREF _Toc116550374 \h </w:instrText>
      </w:r>
      <w:r>
        <w:fldChar w:fldCharType="separate"/>
      </w:r>
      <w:r>
        <w:t>30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ascii="宋体" w:hAnsi="宋体"/>
                <w:color w:val="auto"/>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深圳会展中心高压电缆线耐压和绝缘测试项目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eastAsia="zh-CN"/>
              </w:rPr>
              <w:t>工程</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color w:val="auto"/>
                <w:szCs w:val="21"/>
                <w:highlight w:val="none"/>
              </w:rPr>
              <w:t>根据国家相关标准和规范要求，</w:t>
            </w:r>
            <w:r>
              <w:rPr>
                <w:rFonts w:hint="eastAsia" w:ascii="宋体" w:hAnsi="宋体"/>
                <w:color w:val="auto"/>
                <w:szCs w:val="21"/>
                <w:highlight w:val="none"/>
                <w:lang w:eastAsia="zh-CN"/>
              </w:rPr>
              <w:t>深圳会展中心</w:t>
            </w:r>
            <w:r>
              <w:rPr>
                <w:rFonts w:hint="eastAsia" w:ascii="宋体" w:hAnsi="宋体"/>
                <w:color w:val="auto"/>
                <w:szCs w:val="21"/>
                <w:highlight w:val="none"/>
              </w:rPr>
              <w:t>对</w:t>
            </w:r>
            <w:r>
              <w:rPr>
                <w:rFonts w:hint="eastAsia" w:ascii="宋体" w:hAnsi="宋体"/>
                <w:color w:val="auto"/>
                <w:szCs w:val="21"/>
                <w:highlight w:val="none"/>
                <w:lang w:val="en-US" w:eastAsia="zh-CN"/>
              </w:rPr>
              <w:t>59条高压电缆线</w:t>
            </w:r>
            <w:r>
              <w:rPr>
                <w:rFonts w:hint="eastAsia" w:ascii="宋体" w:hAnsi="宋体"/>
                <w:color w:val="auto"/>
                <w:szCs w:val="21"/>
                <w:highlight w:val="none"/>
              </w:rPr>
              <w:t>进行耐压测试</w:t>
            </w:r>
            <w:r>
              <w:rPr>
                <w:rFonts w:hint="eastAsia" w:ascii="宋体" w:hAnsi="宋体"/>
                <w:color w:val="auto"/>
                <w:szCs w:val="21"/>
                <w:highlight w:val="none"/>
                <w:lang w:eastAsia="zh-CN"/>
              </w:rPr>
              <w:t>，更换</w:t>
            </w:r>
            <w:r>
              <w:rPr>
                <w:rFonts w:hint="eastAsia" w:ascii="宋体" w:hAnsi="宋体"/>
                <w:color w:val="auto"/>
                <w:szCs w:val="21"/>
                <w:highlight w:val="none"/>
                <w:lang w:val="en-US" w:eastAsia="zh-CN"/>
              </w:rPr>
              <w:t>15套高压电缆终端头</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会展中心1</w:t>
            </w:r>
            <w:r>
              <w:rPr>
                <w:rFonts w:hint="eastAsia" w:ascii="宋体" w:hAnsi="宋体"/>
                <w:color w:val="auto"/>
                <w:szCs w:val="21"/>
                <w:highlight w:val="none"/>
                <w:lang w:eastAsia="zh-CN"/>
              </w:rPr>
              <w:t>号和</w:t>
            </w:r>
            <w:r>
              <w:rPr>
                <w:rFonts w:hint="eastAsia" w:ascii="宋体" w:hAnsi="宋体"/>
                <w:color w:val="auto"/>
                <w:szCs w:val="21"/>
                <w:highlight w:val="none"/>
              </w:rPr>
              <w:t>4</w:t>
            </w:r>
            <w:r>
              <w:rPr>
                <w:rFonts w:hint="eastAsia" w:ascii="宋体" w:hAnsi="宋体"/>
                <w:color w:val="auto"/>
                <w:szCs w:val="21"/>
                <w:highlight w:val="none"/>
                <w:lang w:eastAsia="zh-CN"/>
              </w:rPr>
              <w:t>号</w:t>
            </w:r>
            <w:r>
              <w:rPr>
                <w:rFonts w:hint="eastAsia" w:ascii="宋体" w:hAnsi="宋体"/>
                <w:color w:val="auto"/>
                <w:szCs w:val="21"/>
                <w:highlight w:val="none"/>
              </w:rPr>
              <w:t>配电室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color w:val="auto"/>
                <w:szCs w:val="21"/>
              </w:rPr>
            </w:pPr>
            <w:r>
              <w:rPr>
                <w:rFonts w:hint="eastAsia" w:ascii="宋体" w:hAnsi="宋体"/>
                <w:color w:val="auto"/>
                <w:szCs w:val="21"/>
              </w:rPr>
              <w:t>2</w:t>
            </w:r>
            <w:r>
              <w:rPr>
                <w:rFonts w:ascii="宋体" w:hAnsi="宋体"/>
                <w:color w:val="auto"/>
                <w:szCs w:val="21"/>
              </w:rPr>
              <w:t>02</w:t>
            </w:r>
            <w:r>
              <w:rPr>
                <w:rFonts w:hint="eastAsia" w:ascii="宋体" w:hAnsi="宋体"/>
                <w:color w:val="auto"/>
                <w:szCs w:val="21"/>
                <w:lang w:val="en-US" w:eastAsia="zh-CN"/>
              </w:rPr>
              <w:t>3</w:t>
            </w:r>
            <w:r>
              <w:rPr>
                <w:rFonts w:ascii="宋体" w:hAnsi="宋体"/>
                <w:color w:val="auto"/>
                <w:szCs w:val="21"/>
              </w:rPr>
              <w:t>-</w:t>
            </w:r>
            <w:r>
              <w:rPr>
                <w:rFonts w:hint="eastAsia" w:ascii="宋体" w:hAnsi="宋体"/>
                <w:color w:val="auto"/>
                <w:szCs w:val="21"/>
                <w:lang w:val="en-US" w:eastAsia="zh-CN"/>
              </w:rPr>
              <w:t>5</w:t>
            </w:r>
            <w:r>
              <w:rPr>
                <w:rFonts w:ascii="宋体" w:hAnsi="宋体"/>
                <w:color w:val="auto"/>
                <w:szCs w:val="21"/>
              </w:rPr>
              <w:t>-</w:t>
            </w:r>
            <w:r>
              <w:rPr>
                <w:rFonts w:hint="eastAsia" w:ascii="宋体" w:hAnsi="宋体"/>
                <w:color w:val="auto"/>
                <w:szCs w:val="21"/>
                <w:lang w:val="en-US" w:eastAsia="zh-CN"/>
              </w:rPr>
              <w:t>25</w:t>
            </w:r>
            <w:r>
              <w:rPr>
                <w:rFonts w:ascii="宋体" w:hAnsi="宋体"/>
                <w:color w:val="auto"/>
                <w:szCs w:val="21"/>
              </w:rPr>
              <w:t xml:space="preserve"> </w:t>
            </w:r>
            <w:r>
              <w:rPr>
                <w:rFonts w:hint="eastAsia" w:ascii="宋体" w:hAnsi="宋体"/>
                <w:color w:val="auto"/>
                <w:szCs w:val="21"/>
                <w:lang w:val="en-US" w:eastAsia="zh-CN"/>
              </w:rPr>
              <w:t>17</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lang w:val="en-US" w:eastAsia="zh-CN"/>
              </w:rPr>
              <w:t>30</w:t>
            </w:r>
            <w:r>
              <w:rPr>
                <w:rFonts w:hint="eastAsia" w:ascii="宋体" w:hAnsi="宋体"/>
                <w:color w:val="auto"/>
                <w:szCs w:val="21"/>
              </w:rPr>
              <w:t>（北京时间</w:t>
            </w:r>
            <w:r>
              <w:rPr>
                <w:rFonts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https://cg.szcec.com/sharing/zESu0Dun1，</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https://cg.szcec.com/sharing/f19DXegXz，</w:t>
            </w:r>
            <w:r>
              <w:rPr>
                <w:rFonts w:hint="eastAsia" w:ascii="宋体" w:hAnsi="宋体"/>
                <w:szCs w:val="21"/>
              </w:rPr>
              <w:t>并致电确认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6</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629421763</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https://cg.szcec.com/sharing/ESiG7C3zV</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A3"/>
            </w:r>
            <w:r>
              <w:rPr>
                <w:rFonts w:hint="eastAsia" w:ascii="宋体" w:hAnsi="宋体" w:cstheme="minorBidi"/>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sym w:font="Wingdings 2" w:char="0052"/>
            </w: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w:t>
            </w:r>
            <w:r>
              <w:rPr>
                <w:rFonts w:hint="eastAsia" w:ascii="宋体" w:hAnsi="宋体" w:eastAsia="宋体"/>
                <w:kern w:val="0"/>
                <w:szCs w:val="21"/>
                <w:highlight w:val="yellow"/>
              </w:rPr>
              <w:t>于202</w:t>
            </w:r>
            <w:r>
              <w:rPr>
                <w:rFonts w:hint="eastAsia" w:ascii="宋体" w:hAnsi="宋体" w:eastAsia="宋体"/>
                <w:kern w:val="0"/>
                <w:szCs w:val="21"/>
                <w:highlight w:val="yellow"/>
                <w:lang w:val="en-US" w:eastAsia="zh-CN"/>
              </w:rPr>
              <w:t>3</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6</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 xml:space="preserve">1 </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10</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00</w:t>
            </w:r>
            <w:r>
              <w:rPr>
                <w:rFonts w:hint="eastAsia" w:ascii="宋体" w:hAnsi="宋体" w:eastAsia="宋体"/>
                <w:kern w:val="0"/>
                <w:szCs w:val="21"/>
              </w:rPr>
              <w:t>邀请投标人人员察看现场并讲解项目需求；投标人应指派完全符合疫情防控要求的人员参加本项目的现场踏勘。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周工</w:t>
            </w:r>
          </w:p>
          <w:p>
            <w:pPr>
              <w:pStyle w:val="22"/>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kern w:val="0"/>
                <w:szCs w:val="21"/>
                <w:lang w:val="en-US" w:eastAsia="zh-CN"/>
              </w:rPr>
              <w:t>8819</w:t>
            </w:r>
            <w:r>
              <w:rPr>
                <w:rFonts w:hint="eastAsia" w:ascii="宋体" w:hAnsi="宋体" w:eastAsia="宋体"/>
                <w:kern w:val="0"/>
                <w:szCs w:val="21"/>
              </w:rPr>
              <w:t>，手机：</w:t>
            </w:r>
            <w:r>
              <w:rPr>
                <w:rFonts w:hint="eastAsia" w:ascii="宋体" w:hAnsi="宋体" w:eastAsia="宋体"/>
                <w:kern w:val="0"/>
                <w:szCs w:val="21"/>
                <w:lang w:val="en-US" w:eastAsia="zh-CN"/>
              </w:rPr>
              <w:t>18998919684</w:t>
            </w:r>
          </w:p>
          <w:p>
            <w:pPr>
              <w:pStyle w:val="22"/>
              <w:tabs>
                <w:tab w:val="left" w:pos="541"/>
              </w:tabs>
              <w:snapToGrid w:val="0"/>
              <w:ind w:left="805" w:firstLine="0" w:firstLineChars="0"/>
              <w:rPr>
                <w:rFonts w:hint="eastAsia" w:ascii="宋体" w:hAnsi="宋体" w:eastAsia="宋体"/>
                <w:kern w:val="0"/>
                <w:szCs w:val="21"/>
                <w:lang w:eastAsia="zh-CN"/>
              </w:rPr>
            </w:pPr>
            <w:r>
              <w:rPr>
                <w:rFonts w:hint="eastAsia" w:ascii="宋体" w:hAnsi="宋体" w:eastAsia="宋体"/>
                <w:kern w:val="0"/>
                <w:szCs w:val="21"/>
              </w:rPr>
              <w:t>集合地点：</w:t>
            </w:r>
            <w:r>
              <w:rPr>
                <w:rFonts w:hint="eastAsia" w:ascii="宋体" w:hAnsi="宋体" w:eastAsia="宋体"/>
                <w:kern w:val="0"/>
                <w:szCs w:val="21"/>
                <w:lang w:eastAsia="zh-CN"/>
              </w:rPr>
              <w:t>会展中心北二门</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sym w:font="Wingdings 2" w:char="00A3"/>
            </w: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color w:val="auto"/>
          <w:szCs w:val="21"/>
          <w:highlight w:val="none"/>
        </w:rPr>
      </w:pPr>
      <w:bookmarkStart w:id="6" w:name="_Toc82685543"/>
      <w:bookmarkEnd w:id="6"/>
      <w:bookmarkStart w:id="7" w:name="_Toc82684588"/>
      <w:bookmarkEnd w:id="7"/>
      <w:bookmarkStart w:id="8" w:name="_Toc82591927"/>
      <w:bookmarkEnd w:id="8"/>
      <w:bookmarkStart w:id="9" w:name="_Toc82684590"/>
      <w:bookmarkEnd w:id="9"/>
      <w:bookmarkStart w:id="10" w:name="_Toc82685541"/>
      <w:bookmarkEnd w:id="10"/>
      <w:bookmarkStart w:id="11" w:name="_Toc82591928"/>
      <w:bookmarkEnd w:id="11"/>
      <w:bookmarkStart w:id="12" w:name="_Toc82685542"/>
      <w:bookmarkEnd w:id="12"/>
      <w:bookmarkStart w:id="13" w:name="_Toc82685540"/>
      <w:bookmarkEnd w:id="13"/>
      <w:bookmarkStart w:id="14" w:name="_Toc82591926"/>
      <w:bookmarkEnd w:id="14"/>
      <w:bookmarkStart w:id="15" w:name="_Toc82684703"/>
      <w:bookmarkEnd w:id="15"/>
      <w:bookmarkStart w:id="16" w:name="_Toc82684706"/>
      <w:bookmarkEnd w:id="16"/>
      <w:bookmarkStart w:id="17" w:name="_Toc82684591"/>
      <w:bookmarkEnd w:id="17"/>
      <w:bookmarkStart w:id="18" w:name="_Toc82684704"/>
      <w:bookmarkEnd w:id="18"/>
      <w:bookmarkStart w:id="19" w:name="_Toc82684589"/>
      <w:bookmarkEnd w:id="19"/>
      <w:bookmarkStart w:id="20" w:name="_Toc82684705"/>
      <w:bookmarkEnd w:id="20"/>
      <w:bookmarkStart w:id="21" w:name="_Toc82591925"/>
      <w:bookmarkEnd w:id="21"/>
      <w:bookmarkStart w:id="22" w:name="_Toc116550346"/>
      <w:r>
        <w:rPr>
          <w:rFonts w:hint="eastAsia" w:ascii="宋体" w:hAnsi="宋体"/>
          <w:b/>
          <w:color w:val="auto"/>
          <w:szCs w:val="21"/>
          <w:highlight w:val="none"/>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color w:val="auto"/>
          <w:szCs w:val="21"/>
          <w:highlight w:val="none"/>
        </w:rPr>
        <w:t>投标人必须具备开展视频会议所需的基本网络设备及网络环境，</w:t>
      </w:r>
      <w:r>
        <w:rPr>
          <w:rFonts w:hint="eastAsia" w:ascii="宋体" w:hAnsi="宋体" w:eastAsia="宋体" w:cs="宋体"/>
          <w:b/>
          <w:bCs/>
          <w:color w:val="auto"/>
          <w:szCs w:val="21"/>
          <w:highlight w:val="none"/>
        </w:rPr>
        <w:t>视频会议期间禁止</w:t>
      </w:r>
      <w:r>
        <w:rPr>
          <w:rFonts w:hint="eastAsia" w:ascii="宋体" w:hAnsi="宋体" w:eastAsia="宋体" w:cs="宋体"/>
          <w:b/>
          <w:bCs/>
          <w:color w:val="FF0000"/>
          <w:szCs w:val="21"/>
        </w:rPr>
        <w:t>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88"/>
      <w:bookmarkEnd w:id="26"/>
      <w:bookmarkStart w:id="27" w:name="_Toc82684593"/>
      <w:bookmarkEnd w:id="27"/>
      <w:bookmarkStart w:id="28" w:name="_Toc82591987"/>
      <w:bookmarkEnd w:id="28"/>
      <w:bookmarkStart w:id="29" w:name="_Toc82591930"/>
      <w:bookmarkEnd w:id="29"/>
      <w:bookmarkStart w:id="30" w:name="_Toc82591989"/>
      <w:bookmarkEnd w:id="30"/>
      <w:bookmarkStart w:id="31" w:name="_Toc82684708"/>
      <w:bookmarkEnd w:id="31"/>
      <w:bookmarkStart w:id="32" w:name="_Toc82685545"/>
      <w:bookmarkEnd w:id="32"/>
      <w:bookmarkStart w:id="33" w:name="_Toc82591986"/>
      <w:bookmarkEnd w:id="33"/>
      <w:bookmarkStart w:id="34" w:name="_Toc82591985"/>
      <w:bookmarkEnd w:id="34"/>
      <w:bookmarkStart w:id="35" w:name="_Toc116550347"/>
      <w:r>
        <w:rPr>
          <w:rFonts w:hint="eastAsia" w:ascii="宋体" w:hAnsi="宋体"/>
          <w:b/>
          <w:szCs w:val="21"/>
        </w:rPr>
        <w:t>投标文件编制</w:t>
      </w:r>
      <w:bookmarkEnd w:id="35"/>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color w:val="auto"/>
                <w:highlight w:val="none"/>
              </w:rPr>
            </w:pPr>
            <w:r>
              <w:rPr>
                <w:rFonts w:hint="eastAsia" w:ascii="宋体" w:hAnsi="宋体" w:cs="仿宋_GB2312"/>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color w:val="auto"/>
                <w:highlight w:val="none"/>
              </w:rPr>
            </w:pPr>
            <w:r>
              <w:rPr>
                <w:rFonts w:hint="eastAsia"/>
                <w:color w:val="auto"/>
                <w:highlight w:val="none"/>
              </w:rPr>
              <w:t>投标人代表必须是投标单位的法定代表人或持有法定代表人亲自签署的法人授权委托证明书的人员。（提供法定代表人证明书、法人授权委托证明书</w:t>
            </w:r>
            <w:r>
              <w:rPr>
                <w:rFonts w:hint="eastAsia" w:ascii="宋体" w:hAnsi="宋体" w:cs="宋体"/>
                <w:color w:val="000000"/>
                <w:highlight w:val="none"/>
              </w:rPr>
              <w:t>及法定代表人、被委托人身份证扫描件并加盖</w:t>
            </w:r>
            <w:r>
              <w:rPr>
                <w:rFonts w:hint="eastAsia" w:ascii="宋体" w:hAnsi="宋体" w:cs="宋体"/>
                <w:color w:val="000000"/>
                <w:highlight w:val="none"/>
                <w:lang w:val="en-US" w:eastAsia="zh-CN"/>
              </w:rPr>
              <w:t>参加单位</w:t>
            </w:r>
            <w:r>
              <w:rPr>
                <w:rFonts w:hint="eastAsia" w:ascii="宋体" w:hAnsi="宋体" w:cs="宋体"/>
                <w:color w:val="000000"/>
                <w:highlight w:val="none"/>
              </w:rPr>
              <w:t>公章</w:t>
            </w:r>
            <w:r>
              <w:rPr>
                <w:rFonts w:hint="eastAsia"/>
                <w:color w:val="auto"/>
                <w:highlight w:val="none"/>
              </w:rPr>
              <w:t>，如单位法定代表人为本项目授权代表，则仅提供法定代表人证明书及身份证复印件，各证明书须加盖公章，身份证原件备查）。</w:t>
            </w:r>
          </w:p>
          <w:p>
            <w:pPr>
              <w:numPr>
                <w:ilvl w:val="0"/>
                <w:numId w:val="10"/>
              </w:numPr>
              <w:tabs>
                <w:tab w:val="left" w:pos="0"/>
              </w:tabs>
              <w:snapToGrid w:val="0"/>
              <w:ind w:left="15" w:leftChars="0" w:hanging="15" w:firstLineChars="0"/>
              <w:rPr>
                <w:rFonts w:ascii="宋体" w:hAnsi="宋体" w:cs="宋体"/>
                <w:color w:val="auto"/>
                <w:szCs w:val="21"/>
                <w:highlight w:val="none"/>
              </w:rPr>
            </w:pPr>
            <w:bookmarkStart w:id="37" w:name="OLE_LINK4"/>
            <w:bookmarkStart w:id="38" w:name="OLE_LINK3"/>
            <w:r>
              <w:rPr>
                <w:rFonts w:hint="eastAsia" w:ascii="宋体" w:hAnsi="宋体"/>
                <w:color w:val="auto"/>
                <w:szCs w:val="21"/>
                <w:highlight w:val="none"/>
              </w:rPr>
              <w:t>投标人具有有效的</w:t>
            </w:r>
            <w:r>
              <w:rPr>
                <w:rFonts w:hint="eastAsia" w:ascii="宋体" w:hAnsi="宋体"/>
                <w:color w:val="auto"/>
                <w:szCs w:val="21"/>
                <w:highlight w:val="none"/>
                <w:lang w:val="en-US" w:eastAsia="zh-CN"/>
              </w:rPr>
              <w:t>五级</w:t>
            </w:r>
            <w:r>
              <w:rPr>
                <w:rFonts w:hint="eastAsia" w:ascii="宋体" w:hAnsi="宋体"/>
                <w:szCs w:val="21"/>
                <w:lang w:val="en-US" w:eastAsia="zh-CN"/>
              </w:rPr>
              <w:t>或以上</w:t>
            </w:r>
            <w:r>
              <w:rPr>
                <w:rFonts w:hint="eastAsia" w:ascii="宋体" w:hAnsi="宋体"/>
                <w:color w:val="auto"/>
                <w:szCs w:val="21"/>
                <w:highlight w:val="none"/>
              </w:rPr>
              <w:t>承装（修、试）电力设施许可证资质。（提供相应证明文件复印件</w:t>
            </w:r>
            <w:r>
              <w:rPr>
                <w:rFonts w:hint="eastAsia" w:ascii="宋体" w:hAnsi="宋体" w:eastAsia="宋体"/>
                <w:color w:val="auto"/>
                <w:szCs w:val="21"/>
                <w:highlight w:val="none"/>
              </w:rPr>
              <w:t>或扫描件</w:t>
            </w:r>
            <w:r>
              <w:rPr>
                <w:rFonts w:hint="eastAsia" w:ascii="宋体" w:hAnsi="宋体"/>
                <w:color w:val="auto"/>
                <w:szCs w:val="21"/>
                <w:highlight w:val="none"/>
              </w:rPr>
              <w:t>并加盖投标人公章）</w:t>
            </w:r>
            <w:bookmarkEnd w:id="37"/>
            <w:bookmarkEnd w:id="38"/>
          </w:p>
          <w:p>
            <w:pPr>
              <w:numPr>
                <w:ilvl w:val="0"/>
                <w:numId w:val="10"/>
              </w:numPr>
              <w:tabs>
                <w:tab w:val="left" w:pos="531"/>
              </w:tabs>
              <w:snapToGrid w:val="0"/>
              <w:rPr>
                <w:rFonts w:ascii="宋体" w:hAnsi="宋体" w:cs="宋体"/>
                <w:color w:val="auto"/>
                <w:highlight w:val="none"/>
              </w:rPr>
            </w:pP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应包含税率、税额、税前及税后总金额。</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投标报价包括但不限于</w:t>
            </w:r>
            <w:r>
              <w:rPr>
                <w:rFonts w:hint="eastAsia" w:ascii="宋体" w:hAnsi="宋体"/>
                <w:color w:val="auto"/>
                <w:szCs w:val="21"/>
                <w:highlight w:val="none"/>
              </w:rPr>
              <w:t>材料费、施工费（拆卸及安装）、调试费、安全管理费、措施费及各项规费、垃圾清运、增值税费等</w:t>
            </w:r>
            <w:r>
              <w:rPr>
                <w:rFonts w:hint="eastAsia" w:ascii="宋体" w:hAnsi="宋体" w:cs="仿宋_GB2312"/>
                <w:color w:val="auto"/>
                <w:szCs w:val="21"/>
                <w:highlight w:val="none"/>
              </w:rPr>
              <w:t>完成本项目所需的全部费用。</w:t>
            </w:r>
          </w:p>
          <w:p>
            <w:pPr>
              <w:numPr>
                <w:ilvl w:val="0"/>
                <w:numId w:val="0"/>
              </w:numPr>
              <w:tabs>
                <w:tab w:val="left" w:pos="531"/>
              </w:tabs>
              <w:snapToGrid w:val="0"/>
              <w:ind w:leftChars="0"/>
              <w:rPr>
                <w:color w:val="auto"/>
                <w:highlight w:val="none"/>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auto"/>
                <w:szCs w:val="21"/>
                <w:highlight w:val="none"/>
              </w:rPr>
            </w:pPr>
            <w:r>
              <w:rPr>
                <w:rFonts w:hint="eastAsia" w:ascii="宋体" w:hAnsi="宋体" w:cs="宋体"/>
                <w:color w:val="auto"/>
                <w:szCs w:val="21"/>
                <w:highlight w:val="none"/>
              </w:rPr>
              <w:t>本项目采购控制金额为人民币</w:t>
            </w:r>
            <w:r>
              <w:rPr>
                <w:rFonts w:hint="eastAsia" w:ascii="宋体" w:hAnsi="宋体"/>
                <w:color w:val="auto"/>
                <w:szCs w:val="21"/>
                <w:highlight w:val="none"/>
                <w:lang w:val="en-US" w:eastAsia="zh-CN"/>
              </w:rPr>
              <w:t>21.01</w:t>
            </w:r>
            <w:r>
              <w:rPr>
                <w:rFonts w:ascii="宋体" w:hAnsi="宋体" w:cs="宋体"/>
                <w:color w:val="auto"/>
                <w:szCs w:val="21"/>
                <w:highlight w:val="none"/>
              </w:rPr>
              <w:t>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auto"/>
                <w:highlight w:val="none"/>
              </w:rPr>
            </w:pPr>
            <w:r>
              <w:rPr>
                <w:rFonts w:hint="eastAsia" w:ascii="宋体" w:hAnsi="宋体" w:cs="宋体"/>
                <w:color w:val="auto"/>
                <w:highlight w:val="none"/>
              </w:rPr>
              <w:t>本项目施工完毕且验收合格后，一次性支付合同总金额的97%。</w:t>
            </w:r>
          </w:p>
          <w:p>
            <w:pPr>
              <w:numPr>
                <w:ilvl w:val="0"/>
                <w:numId w:val="12"/>
              </w:numPr>
              <w:tabs>
                <w:tab w:val="left" w:pos="531"/>
              </w:tabs>
              <w:snapToGrid w:val="0"/>
              <w:ind w:left="0" w:firstLine="0"/>
              <w:rPr>
                <w:rFonts w:ascii="宋体" w:hAnsi="宋体" w:cs="宋体"/>
                <w:color w:val="auto"/>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12"/>
              </w:numPr>
              <w:tabs>
                <w:tab w:val="left" w:pos="531"/>
              </w:tabs>
              <w:snapToGrid w:val="0"/>
              <w:ind w:left="0" w:firstLine="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napToGrid/>
                <w:spacing w:val="0"/>
                <w:kern w:val="2"/>
                <w:sz w:val="21"/>
                <w:szCs w:val="21"/>
              </w:rPr>
              <w:t>工期要求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ascii="宋体" w:eastAsia="宋体" w:cs="宋体"/>
                <w:color w:val="FF0000"/>
                <w:highlight w:val="yellow"/>
              </w:rPr>
            </w:pPr>
            <w:r>
              <w:rPr>
                <w:rFonts w:hint="eastAsia" w:ascii="宋体" w:hAnsi="宋体" w:cs="宋体"/>
                <w:snapToGrid/>
                <w:spacing w:val="0"/>
                <w:kern w:val="2"/>
                <w:sz w:val="21"/>
                <w:szCs w:val="21"/>
              </w:rPr>
              <w:t>合同签订后，</w:t>
            </w:r>
            <w:r>
              <w:rPr>
                <w:rFonts w:hint="eastAsia" w:ascii="宋体" w:hAnsi="宋体" w:cs="宋体"/>
                <w:snapToGrid/>
                <w:spacing w:val="0"/>
                <w:kern w:val="2"/>
                <w:sz w:val="21"/>
                <w:szCs w:val="21"/>
                <w:lang w:val="en-US" w:eastAsia="zh-CN"/>
              </w:rPr>
              <w:t>1</w:t>
            </w:r>
            <w:r>
              <w:rPr>
                <w:rFonts w:hint="eastAsia" w:ascii="宋体" w:hAnsi="宋体" w:cs="宋体"/>
                <w:snapToGrid/>
                <w:spacing w:val="0"/>
                <w:kern w:val="2"/>
                <w:sz w:val="21"/>
                <w:szCs w:val="21"/>
              </w:rPr>
              <w:t>0个日历日完成竣工验收。如遇不可抗拒或因配合招标人经营造成的工期延误，经招标人书面签字确认后可顺延合同工期。否则，招标人将按2000元/天的标准直接从当期应付款项中扣除相应款项作为违约金。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spacing w:val="0"/>
                <w:kern w:val="2"/>
                <w:sz w:val="21"/>
                <w:szCs w:val="21"/>
              </w:rPr>
            </w:pPr>
            <w:r>
              <w:rPr>
                <w:rFonts w:hint="eastAsia" w:ascii="宋体" w:hAnsi="宋体" w:cs="宋体"/>
                <w:snapToGrid/>
                <w:spacing w:val="0"/>
                <w:kern w:val="2"/>
                <w:sz w:val="21"/>
                <w:szCs w:val="21"/>
              </w:rPr>
              <w:t>验收标准</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ind w:leftChars="0"/>
              <w:rPr>
                <w:rFonts w:hint="eastAsia"/>
              </w:rPr>
            </w:pPr>
            <w:r>
              <w:rPr>
                <w:rFonts w:hint="eastAsia"/>
                <w:lang w:val="en-US" w:eastAsia="zh-CN"/>
              </w:rPr>
              <w:t>施工需符合</w:t>
            </w:r>
            <w:r>
              <w:rPr>
                <w:rFonts w:hint="eastAsia"/>
              </w:rPr>
              <w:t>《电气装置安装工程电缆线路施工及验收规范》GB 50168-2018</w:t>
            </w:r>
            <w:r>
              <w:rPr>
                <w:rFonts w:hint="eastAsia"/>
                <w:lang w:val="en-US" w:eastAsia="zh-CN"/>
              </w:rPr>
              <w:t>标准。</w:t>
            </w:r>
          </w:p>
          <w:p>
            <w:pPr>
              <w:pStyle w:val="2"/>
              <w:numPr>
                <w:ilvl w:val="0"/>
                <w:numId w:val="13"/>
              </w:numPr>
              <w:ind w:left="14" w:leftChars="0" w:hanging="14" w:hangingChars="7"/>
              <w:rPr>
                <w:rFonts w:hint="eastAsia"/>
              </w:rPr>
            </w:pPr>
            <w:r>
              <w:rPr>
                <w:rFonts w:hint="eastAsia" w:ascii="Times New Roman" w:hAnsi="Times New Roman" w:cs="Times New Roman"/>
                <w:color w:val="auto"/>
                <w:spacing w:val="0"/>
                <w:kern w:val="2"/>
                <w:sz w:val="21"/>
                <w:highlight w:val="none"/>
              </w:rPr>
              <w:t>施工完毕</w:t>
            </w:r>
            <w:r>
              <w:rPr>
                <w:rFonts w:hint="eastAsia" w:ascii="Times New Roman" w:hAnsi="Times New Roman" w:cs="Times New Roman"/>
                <w:spacing w:val="0"/>
                <w:kern w:val="2"/>
                <w:sz w:val="21"/>
                <w:szCs w:val="24"/>
                <w:lang w:eastAsia="zh-CN"/>
              </w:rPr>
              <w:t>投标人</w:t>
            </w:r>
            <w:r>
              <w:rPr>
                <w:rFonts w:hint="eastAsia" w:ascii="Times New Roman" w:hAnsi="Times New Roman" w:cs="Times New Roman"/>
                <w:spacing w:val="0"/>
                <w:kern w:val="2"/>
                <w:sz w:val="21"/>
                <w:szCs w:val="24"/>
              </w:rPr>
              <w:t>须提</w:t>
            </w:r>
            <w:r>
              <w:rPr>
                <w:rFonts w:hint="eastAsia" w:ascii="Times New Roman" w:hAnsi="Times New Roman" w:cs="Times New Roman"/>
                <w:spacing w:val="0"/>
                <w:kern w:val="2"/>
                <w:sz w:val="21"/>
                <w:szCs w:val="24"/>
                <w:lang w:val="en-US" w:eastAsia="zh-CN"/>
              </w:rPr>
              <w:t>验收</w:t>
            </w:r>
            <w:r>
              <w:rPr>
                <w:rFonts w:hint="eastAsia" w:ascii="Times New Roman" w:hAnsi="Times New Roman" w:cs="Times New Roman"/>
                <w:spacing w:val="0"/>
                <w:kern w:val="2"/>
                <w:sz w:val="21"/>
                <w:szCs w:val="24"/>
              </w:rPr>
              <w:t>报告，</w:t>
            </w:r>
            <w:r>
              <w:rPr>
                <w:rFonts w:hint="eastAsia" w:ascii="Times New Roman" w:hAnsi="Times New Roman" w:cs="Times New Roman"/>
                <w:spacing w:val="0"/>
                <w:kern w:val="2"/>
                <w:sz w:val="21"/>
                <w:szCs w:val="24"/>
                <w:lang w:val="en-US" w:eastAsia="zh-CN"/>
              </w:rPr>
              <w:t>经招标人验收合格后支付合同款的97%。如在验收过程中发现服务未达</w:t>
            </w:r>
            <w:r>
              <w:rPr>
                <w:rFonts w:hint="eastAsia" w:ascii="Times New Roman" w:hAnsi="Times New Roman" w:cs="Times New Roman"/>
                <w:spacing w:val="0"/>
                <w:kern w:val="2"/>
                <w:sz w:val="21"/>
                <w:szCs w:val="24"/>
              </w:rPr>
              <w:t>国家、所属地政府</w:t>
            </w:r>
            <w:r>
              <w:rPr>
                <w:rFonts w:hint="eastAsia" w:ascii="Times New Roman" w:hAnsi="Times New Roman" w:cs="Times New Roman"/>
                <w:spacing w:val="0"/>
                <w:kern w:val="2"/>
                <w:sz w:val="21"/>
                <w:szCs w:val="24"/>
                <w:lang w:val="en-US" w:eastAsia="zh-CN"/>
              </w:rPr>
              <w:t>服务规范要求、未全部完成合同规定内容或存在其他整改内容的情况，则需要中标人按合同要求后完成服务后，扣除罚款项后支付剩余服务款。</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val="en-US" w:eastAsia="zh-CN"/>
              </w:rPr>
            </w:pPr>
            <w:r>
              <w:rPr>
                <w:rFonts w:hint="eastAsia" w:ascii="宋体" w:hAnsi="宋体" w:cs="宋体"/>
                <w:b w:val="0"/>
                <w:bCs/>
                <w:szCs w:val="21"/>
                <w:lang w:val="en-US" w:eastAsia="zh-CN"/>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Cs w:val="21"/>
                <w:lang w:eastAsia="zh-CN"/>
              </w:rPr>
            </w:pPr>
            <w:r>
              <w:rPr>
                <w:rFonts w:hint="eastAsia" w:ascii="宋体" w:hAnsi="宋体" w:cs="宋体"/>
                <w:b w:val="0"/>
                <w:bCs/>
                <w:szCs w:val="21"/>
                <w:lang w:eastAsia="zh-CN"/>
              </w:rPr>
              <w:t>项目地点</w:t>
            </w:r>
          </w:p>
        </w:tc>
        <w:tc>
          <w:tcPr>
            <w:tcW w:w="743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jc w:val="left"/>
              <w:rPr>
                <w:rFonts w:hint="default" w:ascii="宋体" w:hAnsi="宋体" w:eastAsia="宋体" w:cs="宋体"/>
                <w:b/>
                <w:szCs w:val="21"/>
                <w:lang w:val="en-US" w:eastAsia="zh-CN"/>
              </w:rPr>
            </w:pPr>
            <w:r>
              <w:rPr>
                <w:rFonts w:hint="eastAsia" w:ascii="宋体" w:hAnsi="宋体" w:cs="宋体"/>
                <w:b w:val="0"/>
                <w:bCs/>
                <w:szCs w:val="21"/>
                <w:lang w:eastAsia="zh-CN"/>
              </w:rPr>
              <w:t>会展中心</w:t>
            </w:r>
            <w:r>
              <w:rPr>
                <w:rFonts w:hint="eastAsia" w:ascii="宋体" w:hAnsi="宋体" w:cs="宋体"/>
                <w:b w:val="0"/>
                <w:bCs/>
                <w:szCs w:val="21"/>
                <w:lang w:val="en-US" w:eastAsia="zh-CN"/>
              </w:rPr>
              <w:t>1号变电室和4号变电室。</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color w:val="auto"/>
              </w:rPr>
              <w:t>工程量清单</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5"/>
              </w:tabs>
              <w:snapToGrid w:val="0"/>
              <w:jc w:val="left"/>
              <w:rPr>
                <w:rFonts w:ascii="宋体" w:hAnsi="宋体" w:cs="宋体"/>
                <w:color w:val="auto"/>
              </w:rPr>
            </w:pPr>
            <w:r>
              <w:rPr>
                <w:rFonts w:hint="eastAsia" w:ascii="宋体" w:hAnsi="宋体" w:cs="宋体"/>
                <w:color w:val="auto"/>
                <w:lang w:val="en-US" w:eastAsia="zh-CN"/>
              </w:rPr>
              <w:t>59条高压电缆线测试（17条高压开关柜及环网柜，17条环网柜至至变压器，7条高压冷水机组，14条高压开关柜至变压器，4条高压开关联络柜）</w:t>
            </w:r>
            <w:r>
              <w:rPr>
                <w:rFonts w:hint="eastAsia" w:ascii="宋体" w:hAnsi="宋体" w:cs="宋体"/>
                <w:color w:val="auto"/>
                <w:lang w:eastAsia="zh-CN"/>
              </w:rPr>
              <w:t>；</w:t>
            </w:r>
          </w:p>
          <w:p>
            <w:pPr>
              <w:numPr>
                <w:ilvl w:val="0"/>
                <w:numId w:val="14"/>
              </w:numPr>
              <w:tabs>
                <w:tab w:val="left" w:pos="535"/>
              </w:tabs>
              <w:snapToGrid w:val="0"/>
              <w:jc w:val="left"/>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5</w:t>
            </w:r>
            <w:r>
              <w:rPr>
                <w:rFonts w:hint="eastAsia" w:ascii="宋体" w:hAnsi="宋体" w:cs="宋体"/>
                <w:color w:val="auto"/>
                <w:lang w:eastAsia="zh-CN"/>
              </w:rPr>
              <w:t>个电缆终端头制作；</w:t>
            </w:r>
          </w:p>
          <w:p>
            <w:pPr>
              <w:numPr>
                <w:ilvl w:val="0"/>
                <w:numId w:val="14"/>
              </w:numPr>
              <w:tabs>
                <w:tab w:val="left" w:pos="535"/>
              </w:tabs>
              <w:snapToGrid w:val="0"/>
              <w:jc w:val="left"/>
              <w:rPr>
                <w:rFonts w:ascii="宋体" w:hAnsi="宋体"/>
                <w:color w:val="auto"/>
              </w:rPr>
            </w:pPr>
            <w:r>
              <w:rPr>
                <w:rFonts w:hint="eastAsia" w:ascii="宋体" w:hAnsi="宋体" w:cs="宋体"/>
                <w:color w:val="auto"/>
                <w:lang w:eastAsia="zh-CN"/>
              </w:rPr>
              <w:t>具体测试方法详见《五、电缆测试要求》</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rPr>
              <w:t>安装调试和施工要求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5"/>
              </w:tabs>
              <w:snapToGrid w:val="0"/>
              <w:rPr>
                <w:rFonts w:hint="eastAsia" w:ascii="宋体" w:hAnsi="宋体"/>
                <w:szCs w:val="21"/>
              </w:rPr>
            </w:pPr>
            <w:r>
              <w:rPr>
                <w:rFonts w:hint="eastAsia" w:ascii="宋体" w:hAnsi="宋体"/>
                <w:szCs w:val="21"/>
              </w:rPr>
              <w:t>投标人需提交施工方案,包括但不限于人员组织、施工工艺、施工进度表、安全管理措施等。</w:t>
            </w:r>
          </w:p>
          <w:p>
            <w:pPr>
              <w:numPr>
                <w:ilvl w:val="0"/>
                <w:numId w:val="15"/>
              </w:numPr>
              <w:tabs>
                <w:tab w:val="left" w:pos="535"/>
              </w:tabs>
              <w:snapToGrid w:val="0"/>
              <w:rPr>
                <w:rFonts w:hint="eastAsia" w:ascii="宋体" w:hAnsi="宋体"/>
                <w:szCs w:val="21"/>
              </w:rPr>
            </w:pPr>
            <w:r>
              <w:rPr>
                <w:rFonts w:hint="eastAsia" w:ascii="宋体" w:hAnsi="宋体"/>
                <w:szCs w:val="21"/>
              </w:rPr>
              <w:t>在测试中如发现除本项目涉及的1</w:t>
            </w:r>
            <w:r>
              <w:rPr>
                <w:rFonts w:hint="eastAsia" w:ascii="宋体" w:hAnsi="宋体"/>
                <w:szCs w:val="21"/>
                <w:lang w:val="en-US" w:eastAsia="zh-CN"/>
              </w:rPr>
              <w:t>5</w:t>
            </w:r>
            <w:r>
              <w:rPr>
                <w:rFonts w:hint="eastAsia" w:ascii="宋体" w:hAnsi="宋体"/>
                <w:szCs w:val="21"/>
              </w:rPr>
              <w:t>条高压电缆线头外的不合格设备、材料的，由</w:t>
            </w:r>
            <w:r>
              <w:rPr>
                <w:rFonts w:hint="eastAsia" w:ascii="宋体" w:hAnsi="宋体"/>
                <w:szCs w:val="21"/>
                <w:lang w:eastAsia="zh-CN"/>
              </w:rPr>
              <w:t>招标人</w:t>
            </w:r>
            <w:r>
              <w:rPr>
                <w:rFonts w:hint="eastAsia" w:ascii="宋体" w:hAnsi="宋体"/>
                <w:szCs w:val="21"/>
              </w:rPr>
              <w:t>负责采购相应设备、材料，中</w:t>
            </w:r>
            <w:r>
              <w:rPr>
                <w:rFonts w:hint="eastAsia" w:ascii="宋体" w:hAnsi="宋体"/>
                <w:szCs w:val="21"/>
                <w:lang w:val="en-US" w:eastAsia="zh-CN"/>
              </w:rPr>
              <w:t>标</w:t>
            </w:r>
            <w:r>
              <w:rPr>
                <w:rFonts w:hint="eastAsia" w:ascii="宋体" w:hAnsi="宋体"/>
                <w:szCs w:val="21"/>
              </w:rPr>
              <w:t>单位负责安装调试。</w:t>
            </w:r>
          </w:p>
          <w:p>
            <w:pPr>
              <w:numPr>
                <w:ilvl w:val="0"/>
                <w:numId w:val="15"/>
              </w:numPr>
              <w:tabs>
                <w:tab w:val="left" w:pos="535"/>
              </w:tabs>
              <w:snapToGrid w:val="0"/>
              <w:rPr>
                <w:rFonts w:hint="eastAsia" w:ascii="宋体" w:hAnsi="宋体"/>
                <w:szCs w:val="21"/>
              </w:rPr>
            </w:pPr>
            <w:r>
              <w:rPr>
                <w:rFonts w:hint="eastAsia" w:ascii="宋体" w:hAnsi="宋体"/>
                <w:szCs w:val="21"/>
              </w:rPr>
              <w:t>投标人须根据施工现场的实际情况，制定并提交紧急情况或意外事故的应急预案。</w:t>
            </w:r>
          </w:p>
          <w:p>
            <w:pPr>
              <w:numPr>
                <w:ilvl w:val="0"/>
                <w:numId w:val="15"/>
              </w:numPr>
              <w:tabs>
                <w:tab w:val="left" w:pos="535"/>
              </w:tabs>
              <w:snapToGrid w:val="0"/>
              <w:rPr>
                <w:rFonts w:hint="eastAsia" w:ascii="宋体" w:hAnsi="宋体"/>
                <w:szCs w:val="21"/>
              </w:rPr>
            </w:pPr>
            <w:r>
              <w:rPr>
                <w:rFonts w:hint="eastAsia" w:ascii="宋体" w:hAnsi="宋体"/>
                <w:szCs w:val="21"/>
                <w:lang w:val="en-US" w:eastAsia="zh-CN"/>
              </w:rPr>
              <w:t>中标</w:t>
            </w:r>
            <w:r>
              <w:rPr>
                <w:rFonts w:hint="eastAsia" w:ascii="宋体" w:hAnsi="宋体"/>
                <w:szCs w:val="21"/>
              </w:rPr>
              <w:t>人要熟悉电缆线所有技术参数与检测规范，能应急处理各种问题，发现设备缺陷</w:t>
            </w:r>
            <w:r>
              <w:rPr>
                <w:rFonts w:hint="eastAsia" w:ascii="宋体" w:hAnsi="宋体"/>
                <w:szCs w:val="21"/>
                <w:lang w:eastAsia="zh-CN"/>
              </w:rPr>
              <w:t>需</w:t>
            </w:r>
            <w:r>
              <w:rPr>
                <w:rFonts w:hint="eastAsia" w:ascii="宋体" w:hAnsi="宋体"/>
                <w:szCs w:val="21"/>
              </w:rPr>
              <w:t>及时书面告知</w:t>
            </w:r>
            <w:r>
              <w:rPr>
                <w:rFonts w:hint="eastAsia" w:ascii="宋体" w:hAnsi="宋体"/>
                <w:szCs w:val="21"/>
                <w:lang w:eastAsia="zh-CN"/>
              </w:rPr>
              <w:t>招标人</w:t>
            </w:r>
            <w:r>
              <w:rPr>
                <w:rFonts w:hint="eastAsia" w:ascii="宋体" w:hAnsi="宋体"/>
                <w:szCs w:val="21"/>
              </w:rPr>
              <w:t>。</w:t>
            </w:r>
          </w:p>
          <w:p>
            <w:pPr>
              <w:numPr>
                <w:ilvl w:val="0"/>
                <w:numId w:val="15"/>
              </w:numPr>
              <w:tabs>
                <w:tab w:val="left" w:pos="535"/>
              </w:tabs>
              <w:snapToGrid w:val="0"/>
              <w:rPr>
                <w:rFonts w:hint="eastAsia" w:ascii="宋体" w:hAnsi="宋体"/>
                <w:szCs w:val="21"/>
              </w:rPr>
            </w:pPr>
            <w:r>
              <w:rPr>
                <w:rFonts w:hint="eastAsia" w:ascii="宋体" w:hAnsi="宋体"/>
                <w:szCs w:val="21"/>
              </w:rPr>
              <w:t>试验前后的高压停送电的开关倒闸操作，严格按照高压倒闸操作规程操作。倒闸操作人员必须具备电力电缆作业证或高压电工作业证。</w:t>
            </w:r>
          </w:p>
          <w:p>
            <w:pPr>
              <w:numPr>
                <w:ilvl w:val="0"/>
                <w:numId w:val="15"/>
              </w:numPr>
              <w:tabs>
                <w:tab w:val="left" w:pos="535"/>
              </w:tabs>
              <w:snapToGrid w:val="0"/>
              <w:rPr>
                <w:rFonts w:hint="eastAsia" w:ascii="宋体" w:hAnsi="宋体"/>
                <w:szCs w:val="21"/>
              </w:rPr>
            </w:pPr>
            <w:r>
              <w:rPr>
                <w:rFonts w:hint="eastAsia" w:ascii="宋体" w:hAnsi="宋体"/>
                <w:szCs w:val="21"/>
              </w:rPr>
              <w:t>拆除本次试验的电缆线头，并使所有的电缆线头与设备保持安全距离；测试完成后再安装复原，且所有螺丝安装扭矩符合国家相关标准。</w:t>
            </w:r>
          </w:p>
          <w:p>
            <w:pPr>
              <w:numPr>
                <w:ilvl w:val="0"/>
                <w:numId w:val="15"/>
              </w:numPr>
              <w:tabs>
                <w:tab w:val="left" w:pos="535"/>
              </w:tabs>
              <w:snapToGrid w:val="0"/>
              <w:rPr>
                <w:rFonts w:hint="eastAsia" w:ascii="宋体" w:hAnsi="宋体"/>
                <w:szCs w:val="21"/>
              </w:rPr>
            </w:pPr>
            <w:r>
              <w:rPr>
                <w:rFonts w:hint="eastAsia" w:ascii="宋体" w:hAnsi="宋体"/>
                <w:szCs w:val="21"/>
              </w:rPr>
              <w:t>拆除前须做好相序标识，必须确保完成测试并送电后的相序与测试前保持一致。</w:t>
            </w:r>
          </w:p>
          <w:p>
            <w:pPr>
              <w:numPr>
                <w:ilvl w:val="0"/>
                <w:numId w:val="15"/>
              </w:numPr>
              <w:tabs>
                <w:tab w:val="left" w:pos="535"/>
              </w:tabs>
              <w:snapToGrid w:val="0"/>
              <w:rPr>
                <w:rFonts w:hint="eastAsia" w:ascii="宋体" w:hAnsi="宋体"/>
                <w:szCs w:val="21"/>
              </w:rPr>
            </w:pPr>
            <w:r>
              <w:rPr>
                <w:rFonts w:hint="eastAsia" w:ascii="宋体" w:hAnsi="宋体"/>
                <w:szCs w:val="21"/>
              </w:rPr>
              <w:t>施工前须对现场进行勘查，熟悉现场情况。</w:t>
            </w:r>
          </w:p>
          <w:p>
            <w:pPr>
              <w:numPr>
                <w:ilvl w:val="0"/>
                <w:numId w:val="15"/>
              </w:numPr>
              <w:tabs>
                <w:tab w:val="left" w:pos="535"/>
              </w:tabs>
              <w:snapToGrid w:val="0"/>
              <w:rPr>
                <w:rFonts w:hint="eastAsia" w:ascii="宋体" w:hAnsi="宋体"/>
                <w:szCs w:val="21"/>
              </w:rPr>
            </w:pPr>
            <w:r>
              <w:rPr>
                <w:rFonts w:hint="eastAsia" w:ascii="宋体" w:hAnsi="宋体"/>
                <w:szCs w:val="21"/>
              </w:rPr>
              <w:t>测试完后提供高压电缆线检测报告和总结报告。</w:t>
            </w:r>
          </w:p>
          <w:p>
            <w:pPr>
              <w:numPr>
                <w:ilvl w:val="0"/>
                <w:numId w:val="15"/>
              </w:numPr>
              <w:tabs>
                <w:tab w:val="left" w:pos="535"/>
              </w:tabs>
              <w:snapToGrid w:val="0"/>
              <w:rPr>
                <w:rFonts w:hint="eastAsia" w:ascii="宋体" w:hAnsi="宋体"/>
                <w:szCs w:val="21"/>
              </w:rPr>
            </w:pPr>
            <w:r>
              <w:rPr>
                <w:rFonts w:hint="eastAsia" w:ascii="宋体" w:hAnsi="宋体"/>
                <w:szCs w:val="21"/>
              </w:rPr>
              <w:t>投标人须注重现场的文明施工，对施工区域的施工垃圾须及时自行清除，不得乱堆乱放。</w:t>
            </w:r>
          </w:p>
          <w:p>
            <w:pPr>
              <w:numPr>
                <w:ilvl w:val="0"/>
                <w:numId w:val="15"/>
              </w:numPr>
              <w:tabs>
                <w:tab w:val="left" w:pos="535"/>
              </w:tabs>
              <w:snapToGrid w:val="0"/>
              <w:rPr>
                <w:rFonts w:ascii="宋体" w:hAnsi="宋体"/>
                <w:szCs w:val="21"/>
              </w:rPr>
            </w:pPr>
            <w:r>
              <w:rPr>
                <w:rFonts w:hint="eastAsia" w:ascii="宋体" w:hAnsi="宋体"/>
                <w:szCs w:val="21"/>
              </w:rPr>
              <w:t>投标人应对现场施工作业人员的安全负全部责任，采取切实有效的安全措施、设置安全可靠的防护设施，确保现场人员人身及</w:t>
            </w:r>
            <w:r>
              <w:rPr>
                <w:rFonts w:hint="eastAsia" w:ascii="宋体" w:hAnsi="宋体"/>
                <w:szCs w:val="21"/>
                <w:lang w:eastAsia="zh-CN"/>
              </w:rPr>
              <w:t>招标人</w:t>
            </w:r>
            <w:r>
              <w:rPr>
                <w:rFonts w:hint="eastAsia" w:ascii="宋体" w:hAnsi="宋体"/>
                <w:szCs w:val="21"/>
              </w:rPr>
              <w:t>财产安全，并自觉杜绝所有违法违章违规及无防护措施的危险作业行为。如因中标单位管理不善、组织不力或监管缺失等造成安全责任事故及财产损失的由中标单位负全部责任。</w:t>
            </w:r>
          </w:p>
          <w:p>
            <w:pPr>
              <w:numPr>
                <w:ilvl w:val="0"/>
                <w:numId w:val="15"/>
              </w:numPr>
              <w:tabs>
                <w:tab w:val="left" w:pos="535"/>
              </w:tabs>
              <w:snapToGrid w:val="0"/>
              <w:rPr>
                <w:color w:val="FF0000"/>
              </w:rPr>
            </w:pPr>
            <w:r>
              <w:rPr>
                <w:rFonts w:hint="eastAsia" w:ascii="宋体" w:hAnsi="宋体"/>
                <w:szCs w:val="21"/>
              </w:rPr>
              <w:t>投标人承诺严格按照安全规程安排施工作业，</w:t>
            </w:r>
            <w:r>
              <w:rPr>
                <w:rFonts w:hint="eastAsia" w:ascii="宋体" w:hAnsi="宋体"/>
                <w:szCs w:val="21"/>
                <w:lang w:val="en-US" w:eastAsia="zh-CN"/>
              </w:rPr>
              <w:t>施工需符合国家及属地主管部分颁发的相关规范及要求。</w:t>
            </w:r>
            <w:r>
              <w:rPr>
                <w:rFonts w:hint="eastAsia" w:ascii="宋体" w:hAnsi="宋体"/>
                <w:szCs w:val="21"/>
                <w:lang w:eastAsia="zh-CN"/>
              </w:rPr>
              <w:t>招标人</w:t>
            </w:r>
            <w:r>
              <w:rPr>
                <w:rFonts w:hint="eastAsia" w:ascii="宋体" w:hAnsi="宋体"/>
                <w:szCs w:val="21"/>
              </w:rPr>
              <w:t>有权制止现场违规或存在安全隐患的作业。</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color w:val="FF0000"/>
                <w:highlight w:val="yellow"/>
              </w:rPr>
            </w:pPr>
            <w:r>
              <w:rPr>
                <w:rFonts w:hint="eastAsia"/>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669"/>
              </w:tabs>
              <w:snapToGrid w:val="0"/>
              <w:ind w:left="535" w:hanging="535"/>
              <w:rPr>
                <w:rFonts w:ascii="宋体" w:hAnsi="宋体"/>
              </w:rPr>
            </w:pPr>
            <w:r>
              <w:rPr>
                <w:rFonts w:hint="eastAsia" w:ascii="宋体" w:hAnsi="宋体"/>
              </w:rPr>
              <w:t>投标人须指定项目负责人，</w:t>
            </w:r>
            <w:r>
              <w:rPr>
                <w:rFonts w:hint="eastAsia" w:ascii="宋体" w:hAnsi="宋体"/>
                <w:lang w:eastAsia="zh-CN"/>
              </w:rPr>
              <w:t>项目</w:t>
            </w:r>
            <w:r>
              <w:rPr>
                <w:rFonts w:hint="eastAsia" w:ascii="宋体" w:hAnsi="宋体"/>
              </w:rPr>
              <w:t>负责人须</w:t>
            </w:r>
            <w:r>
              <w:rPr>
                <w:rFonts w:hint="eastAsia" w:ascii="宋体" w:hAnsi="宋体"/>
                <w:lang w:eastAsia="zh-CN"/>
              </w:rPr>
              <w:t>二级建造师</w:t>
            </w:r>
            <w:r>
              <w:rPr>
                <w:rFonts w:hint="eastAsia" w:ascii="宋体" w:hAnsi="宋体"/>
                <w:lang w:val="en-US" w:eastAsia="zh-CN"/>
              </w:rPr>
              <w:t>或</w:t>
            </w:r>
            <w:r>
              <w:rPr>
                <w:rFonts w:hint="eastAsia" w:ascii="宋体" w:hAnsi="宋体"/>
                <w:lang w:eastAsia="zh-CN"/>
              </w:rPr>
              <w:t>以上</w:t>
            </w:r>
            <w:r>
              <w:rPr>
                <w:rFonts w:hint="eastAsia" w:ascii="宋体" w:hAnsi="宋体"/>
              </w:rPr>
              <w:t>，并提供该负责人姓名、电话、职务、身份证复印件或扫描件、职业或执业资格证书复印件或扫描件（以上复印件或扫描件加盖公章，原件备查）等信息，负责联络协调及跟进该项目具体实施。</w:t>
            </w:r>
          </w:p>
          <w:p>
            <w:pPr>
              <w:numPr>
                <w:ilvl w:val="0"/>
                <w:numId w:val="16"/>
              </w:numPr>
              <w:tabs>
                <w:tab w:val="left" w:pos="669"/>
              </w:tabs>
              <w:snapToGrid w:val="0"/>
              <w:ind w:left="535" w:hanging="535"/>
              <w:rPr>
                <w:rFonts w:ascii="宋体" w:hAnsi="宋体"/>
              </w:rPr>
            </w:pPr>
            <w:r>
              <w:rPr>
                <w:rFonts w:hint="eastAsia" w:ascii="宋体" w:hAnsi="宋体"/>
              </w:rPr>
              <w:t>投标人安排的现场施工人员须具备高压电工作业证</w:t>
            </w:r>
            <w:r>
              <w:rPr>
                <w:rFonts w:hint="eastAsia" w:ascii="宋体" w:hAnsi="宋体"/>
                <w:lang w:eastAsia="zh-CN"/>
              </w:rPr>
              <w:t>或电力电缆作业证，试验人员持有有效的电气试验作业证</w:t>
            </w:r>
            <w:r>
              <w:rPr>
                <w:rFonts w:hint="eastAsia" w:ascii="宋体" w:hAnsi="宋体"/>
              </w:rPr>
              <w:t>，并提交拟安排人员资格证复印件或扫描件加盖公章。</w:t>
            </w:r>
          </w:p>
          <w:p>
            <w:pPr>
              <w:numPr>
                <w:ilvl w:val="0"/>
                <w:numId w:val="16"/>
              </w:numPr>
              <w:tabs>
                <w:tab w:val="left" w:pos="669"/>
              </w:tabs>
              <w:snapToGrid w:val="0"/>
              <w:ind w:left="535" w:hanging="535"/>
              <w:rPr>
                <w:color w:val="FF0000"/>
                <w:highlight w:val="yellow"/>
              </w:rPr>
            </w:pPr>
            <w:r>
              <w:rPr>
                <w:rFonts w:hint="eastAsia" w:ascii="宋体" w:hAnsi="宋体"/>
              </w:rPr>
              <w:t>未经招标人书面同意，拟投入本项目人员不得变动，进场前须另行向</w:t>
            </w:r>
            <w:r>
              <w:rPr>
                <w:rFonts w:hint="eastAsia" w:ascii="宋体" w:hAnsi="宋体"/>
                <w:lang w:eastAsia="zh-CN"/>
              </w:rPr>
              <w:t>招标人</w:t>
            </w:r>
            <w:r>
              <w:rPr>
                <w:rFonts w:hint="eastAsia" w:ascii="宋体" w:hAnsi="宋体"/>
              </w:rPr>
              <w:t>书面报备。</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hint="eastAsia" w:ascii="宋体" w:hAnsi="宋体" w:eastAsia="宋体" w:cs="宋体"/>
                <w:snapToGrid/>
                <w:spacing w:val="0"/>
                <w:kern w:val="2"/>
                <w:sz w:val="21"/>
                <w:szCs w:val="21"/>
                <w:lang w:val="en-US" w:eastAsia="zh-CN"/>
              </w:rPr>
            </w:pPr>
            <w:bookmarkStart w:id="39" w:name="_Toc116550349"/>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lang w:val="en-US" w:eastAsia="zh-CN"/>
              </w:rPr>
              <w:t>质保</w:t>
            </w:r>
            <w:r>
              <w:rPr>
                <w:rFonts w:hint="eastAsia"/>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7"/>
              </w:numPr>
              <w:tabs>
                <w:tab w:val="left" w:pos="669"/>
              </w:tabs>
              <w:snapToGrid w:val="0"/>
              <w:rPr>
                <w:rFonts w:hint="eastAsia" w:ascii="宋体" w:hAnsi="宋体"/>
              </w:rPr>
            </w:pPr>
            <w:r>
              <w:rPr>
                <w:rFonts w:hint="eastAsia" w:ascii="宋体" w:hAnsi="宋体"/>
              </w:rPr>
              <w:t>本项目工程</w:t>
            </w:r>
            <w:r>
              <w:rPr>
                <w:rFonts w:hint="eastAsia" w:ascii="宋体" w:hAnsi="宋体"/>
                <w:szCs w:val="21"/>
              </w:rPr>
              <w:t>质量保</w:t>
            </w:r>
            <w:r>
              <w:rPr>
                <w:rFonts w:hint="eastAsia" w:ascii="宋体" w:hAnsi="宋体"/>
                <w:szCs w:val="21"/>
                <w:lang w:val="en-US" w:eastAsia="zh-CN"/>
              </w:rPr>
              <w:t>修</w:t>
            </w:r>
            <w:r>
              <w:rPr>
                <w:rFonts w:hint="eastAsia" w:ascii="宋体" w:hAnsi="宋体"/>
              </w:rPr>
              <w:t>期至少为</w:t>
            </w:r>
            <w:r>
              <w:rPr>
                <w:rFonts w:hint="eastAsia" w:ascii="宋体" w:hAnsi="宋体"/>
                <w:color w:val="auto"/>
                <w:lang w:val="en-US" w:eastAsia="zh-CN"/>
              </w:rPr>
              <w:t>12</w:t>
            </w:r>
            <w:r>
              <w:rPr>
                <w:rFonts w:hint="eastAsia" w:ascii="宋体" w:hAnsi="宋体"/>
                <w:color w:val="auto"/>
              </w:rPr>
              <w:t>个月</w:t>
            </w:r>
            <w:r>
              <w:rPr>
                <w:rFonts w:hint="eastAsia" w:ascii="宋体" w:hAnsi="宋体"/>
              </w:rPr>
              <w:t>，最终</w:t>
            </w:r>
            <w:r>
              <w:rPr>
                <w:rFonts w:hint="eastAsia" w:ascii="宋体" w:hAnsi="宋体"/>
                <w:szCs w:val="21"/>
              </w:rPr>
              <w:t>质量保</w:t>
            </w:r>
            <w:r>
              <w:rPr>
                <w:rFonts w:hint="eastAsia" w:ascii="宋体" w:hAnsi="宋体"/>
                <w:szCs w:val="21"/>
                <w:lang w:val="en-US" w:eastAsia="zh-CN"/>
              </w:rPr>
              <w:t>修</w:t>
            </w:r>
            <w:r>
              <w:rPr>
                <w:rFonts w:hint="eastAsia" w:ascii="宋体" w:hAnsi="宋体"/>
              </w:rPr>
              <w:t>期以《质量保证承诺书》上的免费保修年限承诺为准。</w:t>
            </w:r>
          </w:p>
          <w:p>
            <w:pPr>
              <w:numPr>
                <w:ilvl w:val="0"/>
                <w:numId w:val="17"/>
              </w:numPr>
              <w:tabs>
                <w:tab w:val="left" w:pos="669"/>
              </w:tabs>
              <w:snapToGrid w:val="0"/>
              <w:rPr>
                <w:rFonts w:hint="eastAsia" w:ascii="宋体" w:hAnsi="宋体"/>
              </w:rPr>
            </w:pPr>
            <w:r>
              <w:rPr>
                <w:rFonts w:hint="eastAsia" w:ascii="宋体" w:hAnsi="宋体"/>
              </w:rPr>
              <w:t>投标人须提供《质量保证承诺书》，包括但不限于质</w:t>
            </w:r>
            <w:r>
              <w:rPr>
                <w:rFonts w:hint="eastAsia" w:ascii="宋体" w:hAnsi="宋体"/>
                <w:lang w:val="en-US" w:eastAsia="zh-CN"/>
              </w:rPr>
              <w:t>量</w:t>
            </w:r>
            <w:r>
              <w:rPr>
                <w:rFonts w:hint="eastAsia" w:ascii="宋体" w:hAnsi="宋体"/>
              </w:rPr>
              <w:t>保</w:t>
            </w:r>
            <w:r>
              <w:rPr>
                <w:rFonts w:hint="eastAsia" w:ascii="宋体" w:hAnsi="宋体"/>
                <w:lang w:val="en-US" w:eastAsia="zh-CN"/>
              </w:rPr>
              <w:t>证</w:t>
            </w:r>
            <w:r>
              <w:rPr>
                <w:rFonts w:hint="eastAsia" w:ascii="宋体" w:hAnsi="宋体"/>
              </w:rPr>
              <w:t>期内出现质量问题的保修承诺，提交免费保修年限承诺及保修电话、联系人、责任人等。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szCs w:val="21"/>
              </w:rPr>
              <w:t>不可偏离</w:t>
            </w:r>
          </w:p>
        </w:tc>
      </w:tr>
    </w:tbl>
    <w:p>
      <w:pPr>
        <w:numPr>
          <w:ilvl w:val="0"/>
          <w:numId w:val="1"/>
        </w:numPr>
        <w:jc w:val="left"/>
        <w:outlineLvl w:val="1"/>
        <w:rPr>
          <w:rFonts w:ascii="宋体" w:hAnsi="宋体"/>
          <w:b/>
          <w:szCs w:val="21"/>
        </w:rPr>
      </w:pPr>
      <w:bookmarkStart w:id="40" w:name="_Toc82591996"/>
      <w:bookmarkEnd w:id="40"/>
      <w:bookmarkStart w:id="41" w:name="_Toc82685552"/>
      <w:bookmarkEnd w:id="41"/>
      <w:bookmarkStart w:id="42" w:name="_Toc82684600"/>
      <w:bookmarkEnd w:id="42"/>
      <w:bookmarkStart w:id="43" w:name="_Toc82684715"/>
      <w:bookmarkEnd w:id="43"/>
      <w:r>
        <w:rPr>
          <w:rFonts w:hint="eastAsia" w:ascii="宋体" w:hAnsi="宋体" w:cs="宋体"/>
          <w:b/>
          <w:bCs/>
          <w:szCs w:val="21"/>
          <w:lang w:eastAsia="zh-CN"/>
        </w:rPr>
        <w:t>电缆测试</w:t>
      </w:r>
      <w:r>
        <w:rPr>
          <w:rFonts w:hint="eastAsia" w:ascii="宋体" w:hAnsi="宋体" w:cs="宋体"/>
          <w:b/>
          <w:bCs/>
          <w:szCs w:val="21"/>
        </w:rPr>
        <w:t>要求</w:t>
      </w:r>
      <w:bookmarkEnd w:id="39"/>
      <w:r>
        <w:rPr>
          <w:rFonts w:hint="eastAsia" w:ascii="宋体" w:hAnsi="宋体" w:cs="宋体"/>
          <w:b/>
          <w:bCs/>
          <w:szCs w:val="21"/>
          <w:lang w:eastAsia="zh-CN"/>
        </w:rPr>
        <w:t>（</w:t>
      </w:r>
      <w:r>
        <w:rPr>
          <w:rFonts w:hint="eastAsia" w:ascii="宋体" w:hAnsi="宋体" w:cs="宋体"/>
          <w:b/>
          <w:bCs/>
          <w:szCs w:val="21"/>
          <w:lang w:val="en-US" w:eastAsia="zh-CN"/>
        </w:rPr>
        <w:t>不可偏离</w:t>
      </w:r>
      <w:r>
        <w:rPr>
          <w:rFonts w:hint="eastAsia" w:ascii="宋体" w:hAnsi="宋体" w:cs="宋体"/>
          <w:b/>
          <w:bCs/>
          <w:szCs w:val="21"/>
          <w:lang w:eastAsia="zh-CN"/>
        </w:rPr>
        <w:t>）</w:t>
      </w:r>
    </w:p>
    <w:p>
      <w:pPr>
        <w:jc w:val="center"/>
        <w:rPr>
          <w:rFonts w:hint="eastAsia" w:ascii="宋体" w:hAnsi="宋体" w:cs="宋体"/>
          <w:b/>
          <w:bCs/>
          <w:szCs w:val="21"/>
        </w:rPr>
      </w:pPr>
      <w:r>
        <w:rPr>
          <w:rFonts w:hint="eastAsia" w:ascii="宋体" w:hAnsi="宋体" w:cs="宋体"/>
          <w:b/>
          <w:bCs/>
          <w:szCs w:val="21"/>
          <w:lang w:eastAsia="zh-CN"/>
        </w:rPr>
        <w:t>电缆测试</w:t>
      </w:r>
      <w:r>
        <w:rPr>
          <w:rFonts w:hint="eastAsia" w:ascii="宋体" w:hAnsi="宋体" w:cs="宋体"/>
          <w:b/>
          <w:bCs/>
          <w:szCs w:val="21"/>
        </w:rPr>
        <w:t>要求</w:t>
      </w:r>
    </w:p>
    <w:p>
      <w:pPr>
        <w:jc w:val="center"/>
        <w:rPr>
          <w:rFonts w:ascii="宋体" w:hAnsi="宋体" w:cs="宋体"/>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5"/>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jc w:val="center"/>
              <w:rPr>
                <w:rFonts w:ascii="宋体" w:hAnsi="宋体" w:cs="宋体"/>
                <w:szCs w:val="21"/>
              </w:rPr>
            </w:pPr>
            <w:r>
              <w:rPr>
                <w:rFonts w:hint="eastAsia" w:ascii="宋体" w:hAnsi="宋体" w:cs="宋体"/>
                <w:szCs w:val="21"/>
              </w:rPr>
              <w:t>序号</w:t>
            </w:r>
          </w:p>
        </w:tc>
        <w:tc>
          <w:tcPr>
            <w:tcW w:w="1425" w:type="dxa"/>
          </w:tcPr>
          <w:p>
            <w:pPr>
              <w:jc w:val="center"/>
              <w:rPr>
                <w:rFonts w:ascii="宋体" w:hAnsi="宋体" w:cs="宋体"/>
                <w:szCs w:val="21"/>
              </w:rPr>
            </w:pPr>
            <w:r>
              <w:rPr>
                <w:rFonts w:hint="eastAsia" w:ascii="宋体" w:hAnsi="宋体" w:cs="宋体"/>
                <w:szCs w:val="21"/>
              </w:rPr>
              <w:t>项目名称</w:t>
            </w:r>
          </w:p>
        </w:tc>
        <w:tc>
          <w:tcPr>
            <w:tcW w:w="6426" w:type="dxa"/>
          </w:tcPr>
          <w:p>
            <w:pPr>
              <w:jc w:val="center"/>
              <w:rPr>
                <w:rFonts w:ascii="宋体" w:hAnsi="宋体" w:cs="宋体"/>
                <w:szCs w:val="21"/>
              </w:rPr>
            </w:pPr>
            <w:r>
              <w:rPr>
                <w:rFonts w:hint="eastAsia" w:ascii="宋体" w:hAnsi="宋体" w:cs="宋体"/>
                <w:szCs w:val="21"/>
                <w:lang w:eastAsia="zh-CN"/>
              </w:rPr>
              <w:t>测试</w:t>
            </w:r>
            <w:r>
              <w:rPr>
                <w:rFonts w:hint="eastAsia" w:ascii="宋体" w:hAnsi="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rPr>
                <w:rFonts w:ascii="宋体" w:hAnsi="宋体" w:cs="宋体"/>
                <w:szCs w:val="21"/>
              </w:rPr>
            </w:pPr>
            <w:r>
              <w:rPr>
                <w:rFonts w:hint="eastAsia" w:ascii="宋体" w:hAnsi="宋体" w:cs="宋体"/>
                <w:szCs w:val="21"/>
              </w:rPr>
              <w:t>1</w:t>
            </w:r>
          </w:p>
        </w:tc>
        <w:tc>
          <w:tcPr>
            <w:tcW w:w="1425" w:type="dxa"/>
            <w:vAlign w:val="center"/>
          </w:tcPr>
          <w:p>
            <w:pPr>
              <w:pStyle w:val="22"/>
              <w:tabs>
                <w:tab w:val="left" w:pos="531"/>
              </w:tabs>
              <w:spacing w:line="360" w:lineRule="auto"/>
              <w:ind w:firstLine="0" w:firstLineChars="0"/>
              <w:rPr>
                <w:rFonts w:hint="eastAsia" w:ascii="宋体" w:hAnsi="宋体" w:eastAsia="宋体" w:cs="宋体"/>
                <w:szCs w:val="21"/>
                <w:lang w:eastAsia="zh-CN"/>
              </w:rPr>
            </w:pPr>
            <w:r>
              <w:rPr>
                <w:rFonts w:hint="eastAsia" w:ascii="宋体" w:hAnsi="宋体" w:eastAsia="宋体" w:cs="宋体"/>
                <w:bCs/>
                <w:szCs w:val="21"/>
                <w:lang w:eastAsia="zh-CN"/>
              </w:rPr>
              <w:t>电缆</w:t>
            </w:r>
          </w:p>
        </w:tc>
        <w:tc>
          <w:tcPr>
            <w:tcW w:w="6426" w:type="dxa"/>
          </w:tcPr>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分别对每一相电缆进行绝缘电阻测量。测量方法：对其中一相电缆进行试验或测量时，应将其它两相电缆导体、金属屏蔽或金属套与铠装层一起接地。</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检查电缆外观有无明显缺陷、油污、裂纹等，颜色、规格是否符合安全运行的要求。</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 xml:space="preserve">绝缘线芯颜色或数字标识是否齐全，有无褪色。 </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电缆的接头检查。</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直流耐压试验：测试耐压5分钟时的泄漏电流值是否大于耐压1分钟时的泄漏电流值。</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工频耐压试验：测试电缆是否能够承受工频试验电压1分钟而不发生击穿以及绝缘闪络。</w:t>
            </w:r>
          </w:p>
          <w:p>
            <w:pPr>
              <w:pStyle w:val="22"/>
              <w:numPr>
                <w:ilvl w:val="0"/>
                <w:numId w:val="18"/>
              </w:numPr>
              <w:tabs>
                <w:tab w:val="left" w:pos="640"/>
              </w:tabs>
              <w:spacing w:line="360" w:lineRule="auto"/>
              <w:ind w:left="425" w:leftChars="0" w:hanging="425" w:firstLineChars="0"/>
              <w:rPr>
                <w:rFonts w:ascii="宋体" w:hAnsi="宋体" w:eastAsia="宋体" w:cs="宋体"/>
                <w:szCs w:val="21"/>
              </w:rPr>
            </w:pPr>
            <w:r>
              <w:rPr>
                <w:rFonts w:hint="eastAsia" w:ascii="宋体" w:hAnsi="宋体" w:eastAsia="宋体" w:cs="宋体"/>
                <w:bCs/>
                <w:szCs w:val="21"/>
              </w:rPr>
              <w:t>电缆绝缘电阻测量：对电缆线芯之间和线芯与外皮之间绝缘电阻进行测量。检测绝缘电阻值是否符合国家相关标准。</w:t>
            </w:r>
          </w:p>
          <w:p>
            <w:pPr>
              <w:pStyle w:val="22"/>
              <w:numPr>
                <w:ilvl w:val="0"/>
                <w:numId w:val="0"/>
              </w:numPr>
              <w:tabs>
                <w:tab w:val="left" w:pos="640"/>
              </w:tabs>
              <w:spacing w:line="360" w:lineRule="auto"/>
              <w:ind w:leftChars="0"/>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rPr>
                <w:rFonts w:ascii="宋体" w:hAnsi="宋体" w:cs="宋体"/>
                <w:szCs w:val="21"/>
              </w:rPr>
            </w:pPr>
            <w:r>
              <w:rPr>
                <w:rFonts w:hint="eastAsia" w:ascii="宋体" w:hAnsi="宋体" w:cs="宋体"/>
                <w:szCs w:val="21"/>
              </w:rPr>
              <w:t>2</w:t>
            </w:r>
          </w:p>
        </w:tc>
        <w:tc>
          <w:tcPr>
            <w:tcW w:w="1425" w:type="dxa"/>
            <w:vAlign w:val="center"/>
          </w:tcPr>
          <w:p>
            <w:pPr>
              <w:pStyle w:val="22"/>
              <w:numPr>
                <w:ilvl w:val="255"/>
                <w:numId w:val="0"/>
              </w:numPr>
              <w:tabs>
                <w:tab w:val="left" w:pos="531"/>
              </w:tabs>
              <w:spacing w:line="360" w:lineRule="auto"/>
              <w:rPr>
                <w:rFonts w:hint="default" w:ascii="宋体" w:hAnsi="宋体" w:eastAsia="宋体" w:cs="宋体"/>
                <w:bCs/>
                <w:szCs w:val="21"/>
                <w:lang w:val="en-US" w:eastAsia="zh-CN"/>
              </w:rPr>
            </w:pPr>
            <w:r>
              <w:rPr>
                <w:rFonts w:hint="eastAsia" w:ascii="宋体" w:hAnsi="宋体" w:eastAsia="宋体" w:cs="宋体"/>
                <w:bCs/>
                <w:szCs w:val="21"/>
                <w:lang w:eastAsia="zh-CN"/>
              </w:rPr>
              <w:t>电缆头制作</w:t>
            </w:r>
            <w:r>
              <w:rPr>
                <w:rFonts w:hint="eastAsia" w:ascii="宋体" w:hAnsi="宋体" w:eastAsia="宋体" w:cs="宋体"/>
                <w:bCs/>
                <w:szCs w:val="21"/>
                <w:lang w:val="en-US" w:eastAsia="zh-CN"/>
              </w:rPr>
              <w:t xml:space="preserve"> </w:t>
            </w:r>
          </w:p>
          <w:p>
            <w:pPr>
              <w:rPr>
                <w:rFonts w:ascii="宋体" w:hAnsi="宋体" w:cs="宋体"/>
                <w:szCs w:val="21"/>
              </w:rPr>
            </w:pPr>
          </w:p>
        </w:tc>
        <w:tc>
          <w:tcPr>
            <w:tcW w:w="6426" w:type="dxa"/>
          </w:tcPr>
          <w:p>
            <w:pPr>
              <w:numPr>
                <w:ilvl w:val="0"/>
                <w:numId w:val="19"/>
              </w:numPr>
              <w:ind w:left="425" w:leftChars="0" w:hanging="425" w:firstLineChars="0"/>
              <w:jc w:val="left"/>
              <w:rPr>
                <w:rFonts w:hint="eastAsia" w:ascii="宋体" w:hAnsi="宋体" w:cs="宋体"/>
                <w:szCs w:val="21"/>
              </w:rPr>
            </w:pPr>
            <w:r>
              <w:rPr>
                <w:rFonts w:hint="eastAsia" w:ascii="宋体" w:hAnsi="宋体" w:cs="宋体"/>
                <w:szCs w:val="21"/>
              </w:rPr>
              <w:t>高压电缆线在试验过程中需要对电缆线的终端头拆除后才能进行检测。</w:t>
            </w:r>
          </w:p>
          <w:p>
            <w:pPr>
              <w:numPr>
                <w:ilvl w:val="0"/>
                <w:numId w:val="19"/>
              </w:numPr>
              <w:ind w:left="425" w:leftChars="0" w:hanging="425" w:firstLineChars="0"/>
              <w:jc w:val="left"/>
              <w:rPr>
                <w:rFonts w:hint="eastAsia" w:ascii="宋体" w:hAnsi="宋体" w:cs="宋体"/>
                <w:szCs w:val="21"/>
              </w:rPr>
            </w:pPr>
            <w:r>
              <w:rPr>
                <w:rFonts w:hint="eastAsia" w:ascii="宋体" w:hAnsi="宋体" w:cs="宋体"/>
                <w:szCs w:val="21"/>
              </w:rPr>
              <w:t>电缆终端头的拆除和安装。</w:t>
            </w:r>
          </w:p>
          <w:p>
            <w:pPr>
              <w:numPr>
                <w:ilvl w:val="0"/>
                <w:numId w:val="19"/>
              </w:numPr>
              <w:ind w:left="425" w:leftChars="0" w:hanging="425" w:firstLineChars="0"/>
              <w:jc w:val="left"/>
              <w:rPr>
                <w:rFonts w:hint="eastAsia" w:ascii="宋体" w:hAnsi="宋体" w:cs="宋体"/>
                <w:szCs w:val="21"/>
              </w:rPr>
            </w:pPr>
            <w:r>
              <w:rPr>
                <w:rFonts w:hint="eastAsia" w:ascii="宋体" w:hAnsi="宋体" w:cs="宋体"/>
                <w:szCs w:val="21"/>
              </w:rPr>
              <w:t>95mm2线耳</w:t>
            </w:r>
            <w:r>
              <w:rPr>
                <w:rFonts w:hint="eastAsia" w:ascii="宋体" w:hAnsi="宋体" w:cs="宋体"/>
                <w:szCs w:val="21"/>
                <w:lang w:val="en-US" w:eastAsia="zh-CN"/>
              </w:rPr>
              <w:t>45</w:t>
            </w:r>
            <w:r>
              <w:rPr>
                <w:rFonts w:hint="eastAsia" w:ascii="宋体" w:hAnsi="宋体" w:cs="宋体"/>
                <w:szCs w:val="21"/>
              </w:rPr>
              <w:t>个、配套螺丝一批。</w:t>
            </w:r>
          </w:p>
          <w:p>
            <w:pPr>
              <w:numPr>
                <w:ilvl w:val="0"/>
                <w:numId w:val="19"/>
              </w:numPr>
              <w:ind w:left="425" w:leftChars="0" w:hanging="425" w:firstLineChars="0"/>
              <w:jc w:val="left"/>
              <w:rPr>
                <w:rFonts w:ascii="宋体" w:hAnsi="宋体" w:cs="宋体"/>
                <w:szCs w:val="21"/>
              </w:rPr>
            </w:pPr>
            <w:r>
              <w:rPr>
                <w:rFonts w:hint="eastAsia" w:ascii="宋体" w:hAnsi="宋体" w:cs="宋体"/>
                <w:szCs w:val="21"/>
              </w:rPr>
              <w:t>提供1</w:t>
            </w:r>
            <w:r>
              <w:rPr>
                <w:rFonts w:hint="eastAsia" w:ascii="宋体" w:hAnsi="宋体" w:cs="宋体"/>
                <w:szCs w:val="21"/>
                <w:lang w:val="en-US" w:eastAsia="zh-CN"/>
              </w:rPr>
              <w:t>5</w:t>
            </w:r>
            <w:r>
              <w:rPr>
                <w:rFonts w:hint="eastAsia" w:ascii="宋体" w:hAnsi="宋体" w:cs="宋体"/>
                <w:szCs w:val="21"/>
              </w:rPr>
              <w:t>套三芯户内终端冷缩头8.7/15KV以及安装。</w:t>
            </w:r>
          </w:p>
        </w:tc>
      </w:tr>
    </w:tbl>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color w:val="FF0000"/>
          <w:highlight w:val="yellow"/>
        </w:rPr>
      </w:pP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4" w:name="_Toc116550350"/>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04994641"/>
      <w:bookmarkStart w:id="46" w:name="_Toc116550351"/>
      <w:bookmarkStart w:id="47" w:name="_Hlk104908581"/>
      <w:bookmarkStart w:id="48" w:name="_Hlk104908397"/>
      <w:r>
        <w:rPr>
          <w:rFonts w:hint="eastAsia"/>
          <w:b/>
        </w:rPr>
        <w:t>开标阶段</w:t>
      </w:r>
      <w:bookmarkEnd w:id="45"/>
      <w:bookmarkEnd w:id="46"/>
    </w:p>
    <w:bookmarkEnd w:id="47"/>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2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04994642"/>
      <w:bookmarkStart w:id="50" w:name="_Toc116550352"/>
      <w:r>
        <w:rPr>
          <w:rFonts w:hint="eastAsia"/>
          <w:b/>
        </w:rPr>
        <w:t>评标阶段</w:t>
      </w:r>
      <w:bookmarkEnd w:id="49"/>
      <w:bookmarkEnd w:id="50"/>
    </w:p>
    <w:p>
      <w:pPr>
        <w:pStyle w:val="22"/>
        <w:numPr>
          <w:ilvl w:val="0"/>
          <w:numId w:val="21"/>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2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1" w:name="_Toc11655035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116550354"/>
      <w:r>
        <w:rPr>
          <w:rFonts w:hint="eastAsia" w:ascii="宋体" w:hAnsi="宋体"/>
          <w:b/>
          <w:bCs/>
          <w:szCs w:val="21"/>
        </w:rPr>
        <w:t>评审办法</w:t>
      </w:r>
      <w:bookmarkEnd w:id="5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w:t>
      </w:r>
      <w:r>
        <w:rPr>
          <w:rFonts w:hint="eastAsia" w:ascii="宋体" w:hAnsi="宋体"/>
          <w:color w:val="auto"/>
          <w:szCs w:val="21"/>
          <w:highlight w:val="none"/>
        </w:rPr>
        <w:t>用</w:t>
      </w:r>
      <w:r>
        <w:rPr>
          <w:rFonts w:hint="eastAsia" w:ascii="宋体" w:hAnsi="宋体"/>
          <w:b/>
          <w:color w:val="auto"/>
          <w:szCs w:val="21"/>
          <w:highlight w:val="none"/>
        </w:rPr>
        <w:t>100分制综合评分法</w:t>
      </w:r>
      <w:r>
        <w:rPr>
          <w:rFonts w:hint="eastAsia" w:ascii="宋体" w:hAnsi="宋体"/>
          <w:color w:val="auto"/>
          <w:szCs w:val="21"/>
          <w:highlight w:val="none"/>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22</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38</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22"/>
        </w:numPr>
        <w:spacing w:before="156" w:beforeLines="50"/>
        <w:jc w:val="left"/>
        <w:outlineLvl w:val="2"/>
        <w:rPr>
          <w:rStyle w:val="29"/>
          <w:rFonts w:ascii="宋体" w:hAnsi="宋体"/>
          <w:b/>
          <w:szCs w:val="21"/>
        </w:rPr>
      </w:pPr>
      <w:bookmarkStart w:id="53" w:name="_Toc116550355"/>
      <w:r>
        <w:rPr>
          <w:rStyle w:val="29"/>
          <w:rFonts w:hint="eastAsia" w:ascii="宋体" w:hAnsi="宋体"/>
          <w:b/>
          <w:bCs/>
          <w:szCs w:val="21"/>
        </w:rPr>
        <w:t>符合性检查</w:t>
      </w:r>
      <w:bookmarkEnd w:id="53"/>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olor w:val="auto"/>
                <w:szCs w:val="21"/>
                <w:highlight w:val="none"/>
              </w:rPr>
              <w:t>投标人代表必须是投标单位的法定代表人或持有法定代表人亲自签署的法人授权委托证明书的人员。（提供法定代表人证明书、法人授权委托证明书</w:t>
            </w:r>
            <w:r>
              <w:rPr>
                <w:rFonts w:hint="eastAsia" w:ascii="宋体" w:hAnsi="宋体" w:cs="Times New Roman"/>
                <w:color w:val="auto"/>
                <w:szCs w:val="21"/>
                <w:highlight w:val="none"/>
              </w:rPr>
              <w:t>及法定代表人、被委托人身份证扫描件并加盖</w:t>
            </w:r>
            <w:r>
              <w:rPr>
                <w:rFonts w:hint="eastAsia" w:ascii="宋体" w:hAnsi="宋体" w:cs="Times New Roman"/>
                <w:color w:val="auto"/>
                <w:szCs w:val="21"/>
                <w:highlight w:val="none"/>
                <w:lang w:val="en-US" w:eastAsia="zh-CN"/>
              </w:rPr>
              <w:t>参加单位</w:t>
            </w:r>
            <w:r>
              <w:rPr>
                <w:rFonts w:hint="eastAsia" w:ascii="宋体" w:hAnsi="宋体" w:cs="Times New Roman"/>
                <w:color w:val="auto"/>
                <w:szCs w:val="21"/>
                <w:highlight w:val="none"/>
              </w:rPr>
              <w:t>公章</w:t>
            </w:r>
            <w:r>
              <w:rPr>
                <w:rFonts w:hint="eastAsia" w:ascii="宋体" w:hAnsi="宋体"/>
                <w:color w:val="auto"/>
                <w:szCs w:val="21"/>
                <w:highlight w:val="none"/>
              </w:rPr>
              <w:t>，如单位法定代表人为本项目授权代表，则仅提供法定代表人证明书及身份证复印件，各证明书须加盖公章，身份证原件备查）</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1"/>
                <w:numId w:val="0"/>
              </w:numPr>
              <w:tabs>
                <w:tab w:val="left" w:pos="531"/>
              </w:tabs>
              <w:snapToGrid w:val="0"/>
              <w:ind w:left="0" w:firstLine="0"/>
              <w:rPr>
                <w:rFonts w:ascii="宋体" w:hAnsi="宋体"/>
                <w:szCs w:val="21"/>
              </w:rPr>
            </w:pPr>
            <w:r>
              <w:rPr>
                <w:rFonts w:hint="eastAsia" w:ascii="宋体" w:hAnsi="宋体"/>
                <w:szCs w:val="21"/>
                <w:lang w:eastAsia="zh-CN"/>
              </w:rPr>
              <w:t>（</w:t>
            </w:r>
            <w:r>
              <w:rPr>
                <w:rFonts w:hint="eastAsia" w:ascii="宋体" w:hAnsi="宋体"/>
                <w:szCs w:val="21"/>
                <w:lang w:val="en-US" w:eastAsia="zh-CN"/>
              </w:rPr>
              <w:t>1</w:t>
            </w:r>
            <w:r>
              <w:rPr>
                <w:rFonts w:hint="eastAsia" w:ascii="宋体" w:hAnsi="宋体"/>
                <w:szCs w:val="21"/>
                <w:lang w:eastAsia="zh-CN"/>
              </w:rPr>
              <w:t>）</w:t>
            </w:r>
            <w:r>
              <w:rPr>
                <w:rFonts w:hint="eastAsia" w:ascii="宋体" w:hAnsi="宋体"/>
                <w:szCs w:val="21"/>
              </w:rPr>
              <w:t>投标人</w:t>
            </w:r>
            <w:r>
              <w:rPr>
                <w:rFonts w:hint="eastAsia" w:ascii="宋体" w:hAnsi="宋体"/>
                <w:szCs w:val="21"/>
                <w:lang w:eastAsia="zh-CN"/>
              </w:rPr>
              <w:t>应为</w:t>
            </w:r>
            <w:r>
              <w:rPr>
                <w:rFonts w:hint="eastAsia" w:ascii="宋体" w:hAnsi="宋体"/>
                <w:szCs w:val="21"/>
              </w:rPr>
              <w:t>中华人民共和国境内注册且合法运作</w:t>
            </w:r>
            <w:r>
              <w:rPr>
                <w:rFonts w:hint="eastAsia" w:ascii="宋体" w:hAnsi="宋体" w:cs="Times New Roman"/>
                <w:color w:val="auto"/>
                <w:szCs w:val="21"/>
                <w:highlight w:val="none"/>
              </w:rPr>
              <w:t>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1"/>
                <w:numId w:val="0"/>
              </w:numPr>
              <w:tabs>
                <w:tab w:val="left" w:pos="531"/>
              </w:tabs>
              <w:snapToGrid w:val="0"/>
              <w:ind w:left="0" w:firstLine="0"/>
              <w:rPr>
                <w:rFonts w:ascii="宋体" w:hAnsi="宋体" w:cs="宋体"/>
                <w:szCs w:val="21"/>
              </w:rPr>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投标人是否具有有效的</w:t>
            </w:r>
            <w:r>
              <w:rPr>
                <w:rFonts w:hint="eastAsia" w:ascii="宋体" w:hAnsi="宋体"/>
                <w:color w:val="auto"/>
                <w:szCs w:val="21"/>
                <w:highlight w:val="none"/>
                <w:lang w:val="en-US" w:eastAsia="zh-CN"/>
              </w:rPr>
              <w:t>五级</w:t>
            </w:r>
            <w:r>
              <w:rPr>
                <w:rFonts w:hint="eastAsia" w:ascii="宋体" w:hAnsi="宋体"/>
                <w:szCs w:val="21"/>
                <w:lang w:val="en-US" w:eastAsia="zh-CN"/>
              </w:rPr>
              <w:t>或以上</w:t>
            </w:r>
            <w:r>
              <w:rPr>
                <w:rFonts w:hint="eastAsia" w:ascii="宋体" w:hAnsi="宋体"/>
                <w:color w:val="auto"/>
                <w:szCs w:val="21"/>
                <w:highlight w:val="none"/>
              </w:rPr>
              <w:t>承装（修、试）电力设施许可证资质</w:t>
            </w:r>
            <w:r>
              <w:rPr>
                <w:rFonts w:hint="eastAsia" w:ascii="宋体" w:hAnsi="宋体"/>
                <w:szCs w:val="21"/>
              </w:rPr>
              <w:t>。（提供相应证明文件复印件或扫描件并加盖投标人公章）</w:t>
            </w:r>
          </w:p>
          <w:p>
            <w:pPr>
              <w:numPr>
                <w:ilvl w:val="-1"/>
                <w:numId w:val="0"/>
              </w:numPr>
              <w:tabs>
                <w:tab w:val="left" w:pos="531"/>
              </w:tabs>
              <w:snapToGrid w:val="0"/>
              <w:spacing w:line="360" w:lineRule="auto"/>
            </w:pPr>
            <w:r>
              <w:rPr>
                <w:rFonts w:hint="eastAsia"/>
                <w:lang w:eastAsia="zh-CN"/>
              </w:rPr>
              <w:t>（</w:t>
            </w:r>
            <w:r>
              <w:rPr>
                <w:rFonts w:hint="eastAsia"/>
                <w:lang w:val="en-US" w:eastAsia="zh-CN"/>
              </w:rPr>
              <w:t>3</w:t>
            </w:r>
            <w:r>
              <w:rPr>
                <w:rFonts w:hint="eastAsia"/>
                <w:lang w:eastAsia="zh-CN"/>
              </w:rPr>
              <w:t>）</w:t>
            </w:r>
            <w:r>
              <w:rPr>
                <w:rFonts w:hint="eastAsia"/>
              </w:rPr>
              <w:t>是否联合体投标，是否转包或非法分包。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s="仿宋"/>
                <w:color w:val="auto"/>
                <w:szCs w:val="21"/>
                <w:highlight w:val="none"/>
                <w:lang w:val="en-US" w:eastAsia="zh-CN"/>
              </w:rPr>
              <w:t>人民币</w:t>
            </w:r>
            <w:r>
              <w:rPr>
                <w:rFonts w:hint="eastAsia" w:ascii="宋体" w:hAnsi="宋体"/>
                <w:color w:val="auto"/>
                <w:szCs w:val="21"/>
                <w:highlight w:val="none"/>
                <w:lang w:val="en-US" w:eastAsia="zh-CN"/>
              </w:rPr>
              <w:t>21.01</w:t>
            </w:r>
            <w:r>
              <w:rPr>
                <w:rFonts w:ascii="宋体" w:hAnsi="宋体" w:cs="仿宋"/>
                <w:color w:val="auto"/>
                <w:szCs w:val="21"/>
                <w:highlight w:val="none"/>
              </w:rPr>
              <w:t>万元（含税）</w:t>
            </w:r>
            <w:r>
              <w:rPr>
                <w:rFonts w:hint="eastAsia" w:ascii="宋体" w:hAnsi="宋体" w:cs="仿宋"/>
                <w:szCs w:val="21"/>
              </w:rPr>
              <w:t>，超过上述控制金额的视为无效报价。</w:t>
            </w:r>
          </w:p>
        </w:tc>
      </w:tr>
    </w:tbl>
    <w:p>
      <w:pPr>
        <w:numPr>
          <w:ilvl w:val="0"/>
          <w:numId w:val="22"/>
        </w:numPr>
        <w:spacing w:before="156" w:beforeLines="50"/>
        <w:jc w:val="left"/>
        <w:outlineLvl w:val="2"/>
        <w:rPr>
          <w:rStyle w:val="29"/>
          <w:rFonts w:ascii="宋体" w:hAnsi="宋体"/>
          <w:b/>
          <w:bCs/>
          <w:szCs w:val="21"/>
        </w:rPr>
      </w:pPr>
      <w:bookmarkStart w:id="54" w:name="_Toc116550356"/>
      <w:bookmarkStart w:id="55" w:name="_Toc114675512"/>
      <w:r>
        <w:rPr>
          <w:rStyle w:val="29"/>
          <w:rFonts w:hint="eastAsia" w:ascii="宋体" w:hAnsi="宋体"/>
          <w:b/>
          <w:bCs/>
          <w:szCs w:val="21"/>
        </w:rPr>
        <w:t>不可偏离项检查</w:t>
      </w:r>
      <w:bookmarkEnd w:id="54"/>
      <w:bookmarkEnd w:id="55"/>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22"/>
        </w:numPr>
        <w:spacing w:before="156" w:beforeLines="50"/>
        <w:jc w:val="left"/>
        <w:outlineLvl w:val="2"/>
        <w:rPr>
          <w:rFonts w:ascii="宋体" w:hAnsi="宋体"/>
          <w:b/>
          <w:bCs/>
          <w:szCs w:val="21"/>
        </w:rPr>
      </w:pPr>
      <w:bookmarkStart w:id="56" w:name="_Toc114675513"/>
      <w:bookmarkStart w:id="57" w:name="_Toc116550357"/>
      <w:r>
        <w:rPr>
          <w:rStyle w:val="29"/>
          <w:rFonts w:hint="eastAsia" w:ascii="宋体" w:hAnsi="宋体"/>
          <w:b/>
          <w:bCs/>
          <w:szCs w:val="21"/>
        </w:rPr>
        <w:t>综合评议指标表</w:t>
      </w:r>
      <w:bookmarkEnd w:id="56"/>
      <w:bookmarkEnd w:id="57"/>
    </w:p>
    <w:p>
      <w:pPr>
        <w:pStyle w:val="2"/>
      </w:pPr>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highlight w:val="none"/>
              </w:rPr>
              <w:t>商</w:t>
            </w:r>
            <w:r>
              <w:rPr>
                <w:rFonts w:hint="eastAsia" w:ascii="宋体" w:hAnsi="宋体"/>
                <w:b/>
                <w:color w:val="auto"/>
                <w:szCs w:val="21"/>
                <w:highlight w:val="none"/>
              </w:rPr>
              <w:t>务评议项（</w:t>
            </w:r>
            <w:r>
              <w:rPr>
                <w:rFonts w:hint="default" w:ascii="宋体" w:hAnsi="宋体"/>
                <w:color w:val="auto"/>
                <w:szCs w:val="21"/>
                <w:highlight w:val="none"/>
                <w:lang w:val="en-US" w:eastAsia="zh-CN"/>
              </w:rPr>
              <w:t>2</w:t>
            </w:r>
            <w:r>
              <w:rPr>
                <w:rFonts w:hint="eastAsia" w:ascii="宋体" w:hAnsi="宋体"/>
                <w:color w:val="auto"/>
                <w:szCs w:val="21"/>
                <w:highlight w:val="none"/>
                <w:lang w:val="en-US" w:eastAsia="zh-CN"/>
              </w:rPr>
              <w:t>2</w:t>
            </w:r>
            <w:r>
              <w:rPr>
                <w:rFonts w:hint="eastAsia"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综合实力</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w:t>
            </w:r>
          </w:p>
        </w:tc>
        <w:tc>
          <w:tcPr>
            <w:tcW w:w="6804" w:type="dxa"/>
            <w:gridSpan w:val="2"/>
            <w:tcBorders>
              <w:tl2br w:val="nil"/>
              <w:tr2bl w:val="nil"/>
            </w:tcBorders>
            <w:tcMar>
              <w:top w:w="15" w:type="dxa"/>
              <w:left w:w="15" w:type="dxa"/>
              <w:bottom w:w="15" w:type="dxa"/>
              <w:right w:w="15" w:type="dxa"/>
            </w:tcMar>
            <w:vAlign w:val="center"/>
          </w:tcPr>
          <w:p>
            <w:pPr>
              <w:numPr>
                <w:ilvl w:val="0"/>
                <w:numId w:val="24"/>
              </w:numPr>
              <w:ind w:left="425" w:hanging="425"/>
              <w:rPr>
                <w:rFonts w:hint="eastAsia" w:ascii="宋体" w:hAnsi="宋体"/>
                <w:szCs w:val="21"/>
                <w:lang w:val="en-US" w:eastAsia="zh-CN"/>
              </w:rPr>
            </w:pPr>
            <w:r>
              <w:rPr>
                <w:rFonts w:hint="eastAsia" w:ascii="宋体" w:hAnsi="宋体"/>
                <w:szCs w:val="21"/>
                <w:lang w:eastAsia="zh-CN"/>
              </w:rPr>
              <w:t>具有</w:t>
            </w:r>
            <w:r>
              <w:rPr>
                <w:rFonts w:hint="eastAsia" w:ascii="宋体" w:hAnsi="宋体"/>
                <w:szCs w:val="21"/>
              </w:rPr>
              <w:t>承装（修、试）电力设施许可证资质</w:t>
            </w:r>
            <w:r>
              <w:rPr>
                <w:rFonts w:hint="eastAsia" w:ascii="宋体" w:hAnsi="宋体"/>
                <w:szCs w:val="21"/>
                <w:lang w:val="en-US" w:eastAsia="zh-CN"/>
              </w:rPr>
              <w:t>四</w:t>
            </w:r>
            <w:r>
              <w:rPr>
                <w:rFonts w:hint="eastAsia" w:ascii="宋体" w:hAnsi="宋体"/>
                <w:szCs w:val="21"/>
              </w:rPr>
              <w:t>级</w:t>
            </w:r>
            <w:r>
              <w:rPr>
                <w:rFonts w:hint="eastAsia" w:ascii="宋体" w:hAnsi="宋体"/>
                <w:szCs w:val="21"/>
                <w:lang w:eastAsia="zh-CN"/>
              </w:rPr>
              <w:t>得</w:t>
            </w:r>
            <w:r>
              <w:rPr>
                <w:rFonts w:hint="eastAsia" w:ascii="宋体" w:hAnsi="宋体"/>
                <w:szCs w:val="21"/>
                <w:lang w:val="en-US" w:eastAsia="zh-CN"/>
              </w:rPr>
              <w:t>2分，</w:t>
            </w:r>
            <w:r>
              <w:rPr>
                <w:rFonts w:hint="eastAsia" w:ascii="宋体" w:hAnsi="宋体"/>
                <w:szCs w:val="21"/>
              </w:rPr>
              <w:t>承装（修、试）电力设施许可证资质</w:t>
            </w:r>
            <w:r>
              <w:rPr>
                <w:rFonts w:hint="eastAsia" w:ascii="宋体" w:hAnsi="宋体"/>
                <w:szCs w:val="21"/>
                <w:lang w:val="en-US" w:eastAsia="zh-CN"/>
              </w:rPr>
              <w:t>三</w:t>
            </w:r>
            <w:r>
              <w:rPr>
                <w:rFonts w:hint="eastAsia" w:ascii="宋体" w:hAnsi="宋体"/>
                <w:szCs w:val="21"/>
              </w:rPr>
              <w:t>级</w:t>
            </w:r>
            <w:r>
              <w:rPr>
                <w:rFonts w:hint="eastAsia" w:ascii="宋体" w:hAnsi="宋体"/>
                <w:szCs w:val="21"/>
                <w:lang w:eastAsia="zh-CN"/>
              </w:rPr>
              <w:t>得</w:t>
            </w:r>
            <w:r>
              <w:rPr>
                <w:rFonts w:hint="eastAsia" w:ascii="宋体" w:hAnsi="宋体"/>
                <w:szCs w:val="21"/>
                <w:lang w:val="en-US" w:eastAsia="zh-CN"/>
              </w:rPr>
              <w:t>3分，</w:t>
            </w:r>
            <w:r>
              <w:rPr>
                <w:rFonts w:hint="eastAsia" w:ascii="宋体" w:hAnsi="宋体"/>
                <w:szCs w:val="21"/>
              </w:rPr>
              <w:t>承装（修、试）电力设施许可证资质</w:t>
            </w:r>
            <w:r>
              <w:rPr>
                <w:rFonts w:hint="eastAsia" w:ascii="宋体" w:hAnsi="宋体"/>
                <w:szCs w:val="21"/>
                <w:lang w:val="en-US" w:eastAsia="zh-CN"/>
              </w:rPr>
              <w:t>二</w:t>
            </w:r>
            <w:r>
              <w:rPr>
                <w:rFonts w:hint="eastAsia" w:ascii="宋体" w:hAnsi="宋体"/>
                <w:szCs w:val="21"/>
              </w:rPr>
              <w:t>级</w:t>
            </w:r>
            <w:r>
              <w:rPr>
                <w:rFonts w:hint="eastAsia" w:ascii="宋体" w:hAnsi="宋体"/>
                <w:szCs w:val="21"/>
                <w:lang w:eastAsia="zh-CN"/>
              </w:rPr>
              <w:t>及以上得</w:t>
            </w:r>
            <w:r>
              <w:rPr>
                <w:rFonts w:hint="eastAsia" w:ascii="宋体" w:hAnsi="宋体"/>
                <w:szCs w:val="21"/>
                <w:lang w:val="en-US" w:eastAsia="zh-CN"/>
              </w:rPr>
              <w:t>5分（本项目以承试的资质为评议依据）。</w:t>
            </w:r>
          </w:p>
          <w:p>
            <w:pPr>
              <w:numPr>
                <w:ilvl w:val="0"/>
                <w:numId w:val="24"/>
              </w:numPr>
              <w:ind w:left="425" w:hanging="425"/>
              <w:rPr>
                <w:rFonts w:ascii="宋体" w:hAnsi="宋体"/>
                <w:szCs w:val="21"/>
              </w:rPr>
            </w:pPr>
            <w:r>
              <w:rPr>
                <w:rFonts w:hint="eastAsia" w:ascii="宋体" w:hAnsi="宋体"/>
                <w:szCs w:val="21"/>
                <w:lang w:eastAsia="zh-CN"/>
              </w:rPr>
              <w:t>根据各投标人的综合</w:t>
            </w:r>
            <w:r>
              <w:rPr>
                <w:rFonts w:hint="eastAsia" w:ascii="宋体" w:hAnsi="宋体"/>
                <w:color w:val="auto"/>
                <w:szCs w:val="21"/>
                <w:lang w:eastAsia="zh-CN"/>
              </w:rPr>
              <w:t>实力</w:t>
            </w:r>
            <w:r>
              <w:rPr>
                <w:rFonts w:hint="eastAsia" w:ascii="宋体" w:hAnsi="宋体"/>
                <w:color w:val="auto"/>
                <w:szCs w:val="21"/>
              </w:rPr>
              <w:t>、信誉、知名度等进行综合评</w:t>
            </w:r>
            <w:r>
              <w:rPr>
                <w:rFonts w:hint="eastAsia" w:ascii="宋体" w:hAnsi="宋体"/>
                <w:szCs w:val="21"/>
              </w:rPr>
              <w:t>，优得</w:t>
            </w:r>
            <w:r>
              <w:rPr>
                <w:rFonts w:hint="eastAsia" w:ascii="宋体" w:hAnsi="宋体"/>
                <w:szCs w:val="21"/>
                <w:lang w:val="en-US" w:eastAsia="zh-CN"/>
              </w:rPr>
              <w:t>5</w:t>
            </w:r>
            <w:r>
              <w:rPr>
                <w:rFonts w:hint="eastAsia" w:ascii="宋体" w:hAnsi="宋体"/>
                <w:szCs w:val="21"/>
              </w:rPr>
              <w:t>分，良得</w:t>
            </w:r>
            <w:r>
              <w:rPr>
                <w:rFonts w:hint="eastAsia" w:ascii="宋体" w:hAnsi="宋体"/>
                <w:szCs w:val="21"/>
                <w:lang w:val="en-US" w:eastAsia="zh-CN"/>
              </w:rPr>
              <w:t>3</w:t>
            </w:r>
            <w:r>
              <w:rPr>
                <w:rFonts w:hint="eastAsia" w:ascii="宋体" w:hAnsi="宋体"/>
                <w:szCs w:val="21"/>
              </w:rPr>
              <w:t>分</w:t>
            </w:r>
            <w:r>
              <w:rPr>
                <w:rFonts w:ascii="宋体" w:hAnsi="宋体"/>
                <w:szCs w:val="21"/>
              </w:rPr>
              <w:t>,一</w:t>
            </w:r>
            <w:r>
              <w:rPr>
                <w:rFonts w:hint="eastAsia" w:ascii="宋体" w:hAnsi="宋体"/>
                <w:szCs w:val="21"/>
              </w:rPr>
              <w:t>般</w:t>
            </w:r>
            <w:r>
              <w:rPr>
                <w:rFonts w:ascii="宋体" w:hAnsi="宋体"/>
                <w:szCs w:val="21"/>
              </w:rPr>
              <w:t>得</w:t>
            </w:r>
            <w:r>
              <w:rPr>
                <w:rFonts w:hint="eastAsia" w:ascii="宋体" w:hAnsi="宋体"/>
                <w:szCs w:val="21"/>
                <w:lang w:val="en-US" w:eastAsia="zh-CN"/>
              </w:rPr>
              <w:t>2</w:t>
            </w:r>
            <w:r>
              <w:rPr>
                <w:rFonts w:hint="eastAsia" w:ascii="宋体" w:hAnsi="宋体"/>
                <w:szCs w:val="21"/>
              </w:rPr>
              <w:t>分。</w:t>
            </w:r>
          </w:p>
          <w:p>
            <w:pPr>
              <w:numPr>
                <w:ilvl w:val="0"/>
                <w:numId w:val="24"/>
              </w:numPr>
              <w:ind w:left="425" w:leftChars="0" w:hanging="425" w:firstLineChars="0"/>
              <w:rPr>
                <w:rFonts w:ascii="宋体" w:hAnsi="宋体" w:eastAsia="宋体" w:cs="宋体"/>
                <w:kern w:val="2"/>
                <w:sz w:val="21"/>
                <w:szCs w:val="24"/>
                <w:lang w:val="en-US" w:eastAsia="zh-CN" w:bidi="ar-SA"/>
              </w:rPr>
            </w:pPr>
            <w:r>
              <w:rPr>
                <w:rFonts w:hint="eastAsia" w:ascii="宋体" w:hAnsi="宋体"/>
                <w:szCs w:val="21"/>
              </w:rPr>
              <w:t>说明：</w:t>
            </w:r>
            <w:r>
              <w:rPr>
                <w:rFonts w:hint="eastAsia" w:ascii="宋体" w:hAnsi="宋体"/>
                <w:szCs w:val="21"/>
                <w:lang w:eastAsia="zh-CN"/>
              </w:rPr>
              <w:t>根据投标</w:t>
            </w:r>
            <w:r>
              <w:rPr>
                <w:rFonts w:hint="eastAsia"/>
                <w:lang w:val="en-US" w:eastAsia="zh-CN"/>
              </w:rPr>
              <w:t>企业技术人员数量或者经营收入</w:t>
            </w:r>
            <w:r>
              <w:rPr>
                <w:rFonts w:hint="eastAsia" w:ascii="宋体" w:hAnsi="宋体"/>
                <w:szCs w:val="21"/>
              </w:rPr>
              <w:t>情况等体现企业综合实力文件进行评议。</w:t>
            </w:r>
            <w:r>
              <w:rPr>
                <w:rFonts w:hint="eastAsia" w:ascii="宋体" w:hAnsi="宋体"/>
                <w:szCs w:val="21"/>
                <w:lang w:val="en-US" w:eastAsia="zh-CN"/>
              </w:rPr>
              <w:t>需提供相关证明材料及近一个月的社保证明，</w:t>
            </w:r>
            <w:r>
              <w:rPr>
                <w:rFonts w:hint="eastAsia" w:ascii="宋体" w:hAnsi="宋体"/>
                <w:szCs w:val="21"/>
              </w:rPr>
              <w:t>未提供或提供证明资料不清晰、不完整</w:t>
            </w:r>
            <w:r>
              <w:rPr>
                <w:rFonts w:hint="eastAsia" w:ascii="宋体" w:hAnsi="宋体"/>
                <w:szCs w:val="21"/>
                <w:lang w:eastAsia="zh-CN"/>
              </w:rPr>
              <w:t>、</w:t>
            </w:r>
            <w:r>
              <w:rPr>
                <w:rFonts w:hint="eastAsia" w:ascii="宋体" w:hAnsi="宋体"/>
                <w:szCs w:val="21"/>
                <w:lang w:val="en-US" w:eastAsia="zh-CN"/>
              </w:rPr>
              <w:t>无法证明的，不得分。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2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cs="宋体"/>
                <w:kern w:val="0"/>
                <w:szCs w:val="21"/>
              </w:rPr>
              <w:t>同类业绩</w:t>
            </w:r>
          </w:p>
        </w:tc>
        <w:tc>
          <w:tcPr>
            <w:tcW w:w="709" w:type="dxa"/>
            <w:tcBorders>
              <w:tl2br w:val="nil"/>
              <w:tr2bl w:val="nil"/>
            </w:tcBorders>
            <w:tcMar>
              <w:top w:w="15" w:type="dxa"/>
              <w:left w:w="15" w:type="dxa"/>
              <w:bottom w:w="15" w:type="dxa"/>
              <w:right w:w="15" w:type="dxa"/>
            </w:tcMar>
            <w:vAlign w:val="center"/>
          </w:tcPr>
          <w:p>
            <w:pPr>
              <w:jc w:val="center"/>
              <w:rPr>
                <w:rFonts w:ascii="宋体" w:hAnsi="宋体" w:eastAsia="宋体" w:cs="Times New Roman"/>
                <w:kern w:val="2"/>
                <w:sz w:val="21"/>
                <w:szCs w:val="21"/>
                <w:lang w:val="en-US" w:eastAsia="zh-CN" w:bidi="ar-SA"/>
              </w:rPr>
            </w:pPr>
            <w:r>
              <w:rPr>
                <w:rFonts w:ascii="宋体" w:hAnsi="宋体"/>
                <w:szCs w:val="21"/>
              </w:rPr>
              <w:t>12</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szCs w:val="21"/>
              </w:rPr>
            </w:pPr>
            <w:r>
              <w:rPr>
                <w:rFonts w:hint="eastAsia" w:ascii="宋体" w:hAnsi="宋体"/>
                <w:szCs w:val="21"/>
              </w:rPr>
              <w:t>根据投标人202</w:t>
            </w:r>
            <w:r>
              <w:rPr>
                <w:rFonts w:hint="eastAsia" w:ascii="宋体" w:hAnsi="宋体"/>
                <w:szCs w:val="21"/>
                <w:lang w:val="en-US" w:eastAsia="zh-CN"/>
              </w:rPr>
              <w:t>1</w:t>
            </w:r>
            <w:r>
              <w:rPr>
                <w:rFonts w:hint="eastAsia" w:ascii="宋体" w:hAnsi="宋体"/>
                <w:szCs w:val="21"/>
              </w:rPr>
              <w:t>年1月1日至本项目招标公告发布日（以合同签订时间为准）所承接的电</w:t>
            </w:r>
            <w:r>
              <w:rPr>
                <w:rFonts w:ascii="宋体" w:hAnsi="宋体"/>
                <w:szCs w:val="21"/>
              </w:rPr>
              <w:t>力</w:t>
            </w:r>
            <w:r>
              <w:rPr>
                <w:rFonts w:hint="eastAsia" w:ascii="宋体" w:hAnsi="宋体"/>
                <w:szCs w:val="21"/>
              </w:rPr>
              <w:t>设备（设施</w:t>
            </w:r>
            <w:r>
              <w:rPr>
                <w:rFonts w:ascii="宋体" w:hAnsi="宋体"/>
                <w:szCs w:val="21"/>
              </w:rPr>
              <w:t>）</w:t>
            </w:r>
            <w:r>
              <w:rPr>
                <w:rFonts w:hint="eastAsia" w:ascii="宋体" w:hAnsi="宋体"/>
                <w:szCs w:val="21"/>
              </w:rPr>
              <w:t>安装、施工、维修类相关项目业绩</w:t>
            </w:r>
            <w:r>
              <w:rPr>
                <w:rFonts w:hint="eastAsia" w:ascii="宋体" w:hAnsi="宋体"/>
                <w:szCs w:val="21"/>
                <w:lang w:val="en-US" w:eastAsia="zh-CN"/>
              </w:rPr>
              <w:t>进行</w:t>
            </w:r>
            <w:r>
              <w:rPr>
                <w:rFonts w:hint="eastAsia" w:ascii="宋体" w:hAnsi="宋体"/>
                <w:szCs w:val="21"/>
              </w:rPr>
              <w:t>评议:</w:t>
            </w:r>
          </w:p>
          <w:p>
            <w:pPr>
              <w:numPr>
                <w:ilvl w:val="3"/>
                <w:numId w:val="25"/>
              </w:numPr>
              <w:tabs>
                <w:tab w:val="left" w:pos="639"/>
              </w:tabs>
              <w:ind w:left="639" w:hanging="629"/>
              <w:rPr>
                <w:rFonts w:ascii="宋体" w:hAnsi="宋体"/>
                <w:szCs w:val="21"/>
              </w:rPr>
            </w:pPr>
            <w:r>
              <w:rPr>
                <w:rFonts w:hint="eastAsia" w:ascii="宋体" w:hAnsi="宋体"/>
                <w:szCs w:val="21"/>
              </w:rPr>
              <w:t>单个合同金额≥</w:t>
            </w:r>
            <w:r>
              <w:rPr>
                <w:rFonts w:hint="eastAsia" w:ascii="宋体" w:hAnsi="宋体"/>
                <w:szCs w:val="21"/>
                <w:lang w:val="en-US" w:eastAsia="zh-CN"/>
              </w:rPr>
              <w:t>2</w:t>
            </w:r>
            <w:r>
              <w:rPr>
                <w:rFonts w:hint="eastAsia" w:ascii="宋体" w:hAnsi="宋体"/>
                <w:szCs w:val="21"/>
              </w:rPr>
              <w:t>00万元，得</w:t>
            </w:r>
            <w:r>
              <w:rPr>
                <w:rFonts w:ascii="宋体" w:hAnsi="宋体"/>
                <w:szCs w:val="21"/>
              </w:rPr>
              <w:t>12</w:t>
            </w:r>
            <w:r>
              <w:rPr>
                <w:rFonts w:hint="eastAsia" w:ascii="宋体" w:hAnsi="宋体"/>
                <w:szCs w:val="21"/>
              </w:rPr>
              <w:t>分；</w:t>
            </w:r>
          </w:p>
          <w:p>
            <w:pPr>
              <w:numPr>
                <w:ilvl w:val="3"/>
                <w:numId w:val="25"/>
              </w:numPr>
              <w:tabs>
                <w:tab w:val="left" w:pos="639"/>
              </w:tabs>
              <w:ind w:left="639" w:hanging="629"/>
              <w:rPr>
                <w:rFonts w:ascii="宋体" w:hAnsi="宋体"/>
                <w:szCs w:val="21"/>
              </w:rPr>
            </w:pPr>
            <w:r>
              <w:rPr>
                <w:rFonts w:hint="eastAsia" w:ascii="宋体" w:hAnsi="宋体"/>
                <w:szCs w:val="21"/>
                <w:lang w:val="en-US" w:eastAsia="zh-CN"/>
              </w:rPr>
              <w:t>15</w:t>
            </w:r>
            <w:r>
              <w:rPr>
                <w:rFonts w:hint="eastAsia" w:ascii="宋体" w:hAnsi="宋体"/>
                <w:szCs w:val="21"/>
              </w:rPr>
              <w:t>0万元≤单个合同金额＜</w:t>
            </w:r>
            <w:r>
              <w:rPr>
                <w:rFonts w:hint="eastAsia" w:ascii="宋体" w:hAnsi="宋体"/>
                <w:szCs w:val="21"/>
                <w:lang w:val="en-US" w:eastAsia="zh-CN"/>
              </w:rPr>
              <w:t>2</w:t>
            </w:r>
            <w:r>
              <w:rPr>
                <w:rFonts w:hint="eastAsia" w:ascii="宋体" w:hAnsi="宋体"/>
                <w:szCs w:val="21"/>
              </w:rPr>
              <w:t>00万元，得</w:t>
            </w:r>
            <w:r>
              <w:rPr>
                <w:rFonts w:ascii="宋体" w:hAnsi="宋体"/>
                <w:szCs w:val="21"/>
              </w:rPr>
              <w:t>10</w:t>
            </w:r>
            <w:r>
              <w:rPr>
                <w:rFonts w:hint="eastAsia" w:ascii="宋体" w:hAnsi="宋体"/>
                <w:szCs w:val="21"/>
              </w:rPr>
              <w:t>分；</w:t>
            </w:r>
          </w:p>
          <w:p>
            <w:pPr>
              <w:numPr>
                <w:ilvl w:val="3"/>
                <w:numId w:val="25"/>
              </w:numPr>
              <w:tabs>
                <w:tab w:val="left" w:pos="639"/>
              </w:tabs>
              <w:ind w:left="639" w:hanging="629"/>
              <w:rPr>
                <w:rFonts w:ascii="宋体" w:hAnsi="宋体"/>
                <w:szCs w:val="21"/>
              </w:rPr>
            </w:pPr>
            <w:r>
              <w:rPr>
                <w:rFonts w:hint="eastAsia" w:ascii="宋体" w:hAnsi="宋体"/>
                <w:szCs w:val="21"/>
                <w:lang w:val="en-US" w:eastAsia="zh-CN"/>
              </w:rPr>
              <w:t>1</w:t>
            </w:r>
            <w:r>
              <w:rPr>
                <w:rFonts w:hint="eastAsia" w:ascii="宋体" w:hAnsi="宋体"/>
                <w:szCs w:val="21"/>
              </w:rPr>
              <w:t>00万≤单个合同金额＜</w:t>
            </w:r>
            <w:r>
              <w:rPr>
                <w:rFonts w:hint="eastAsia" w:ascii="宋体" w:hAnsi="宋体"/>
                <w:szCs w:val="21"/>
                <w:lang w:val="en-US" w:eastAsia="zh-CN"/>
              </w:rPr>
              <w:t>15</w:t>
            </w:r>
            <w:r>
              <w:rPr>
                <w:rFonts w:hint="eastAsia" w:ascii="宋体" w:hAnsi="宋体"/>
                <w:szCs w:val="21"/>
              </w:rPr>
              <w:t>0万元，得</w:t>
            </w:r>
            <w:r>
              <w:rPr>
                <w:rFonts w:ascii="宋体" w:hAnsi="宋体"/>
                <w:szCs w:val="21"/>
              </w:rPr>
              <w:t>6</w:t>
            </w:r>
            <w:r>
              <w:rPr>
                <w:rFonts w:hint="eastAsia" w:ascii="宋体" w:hAnsi="宋体"/>
                <w:szCs w:val="21"/>
              </w:rPr>
              <w:t>分；</w:t>
            </w:r>
          </w:p>
          <w:p>
            <w:pPr>
              <w:numPr>
                <w:ilvl w:val="3"/>
                <w:numId w:val="25"/>
              </w:numPr>
              <w:tabs>
                <w:tab w:val="left" w:pos="639"/>
              </w:tabs>
              <w:ind w:left="639" w:hanging="629"/>
              <w:rPr>
                <w:rFonts w:ascii="宋体" w:hAnsi="宋体"/>
                <w:szCs w:val="21"/>
              </w:rPr>
            </w:pPr>
            <w:r>
              <w:rPr>
                <w:rFonts w:hint="eastAsia" w:ascii="宋体" w:hAnsi="宋体"/>
                <w:szCs w:val="21"/>
                <w:lang w:val="en-US" w:eastAsia="zh-CN"/>
              </w:rPr>
              <w:t>5</w:t>
            </w:r>
            <w:r>
              <w:rPr>
                <w:rFonts w:hint="eastAsia" w:ascii="宋体" w:hAnsi="宋体"/>
                <w:szCs w:val="21"/>
              </w:rPr>
              <w:t>0万≤单个合同金额＜</w:t>
            </w:r>
            <w:r>
              <w:rPr>
                <w:rFonts w:hint="eastAsia" w:ascii="宋体" w:hAnsi="宋体"/>
                <w:szCs w:val="21"/>
                <w:lang w:val="en-US" w:eastAsia="zh-CN"/>
              </w:rPr>
              <w:t>1</w:t>
            </w:r>
            <w:r>
              <w:rPr>
                <w:rFonts w:hint="eastAsia" w:ascii="宋体" w:hAnsi="宋体"/>
                <w:szCs w:val="21"/>
              </w:rPr>
              <w:t>00万元，得</w:t>
            </w:r>
            <w:r>
              <w:rPr>
                <w:rFonts w:ascii="宋体" w:hAnsi="宋体"/>
                <w:szCs w:val="21"/>
              </w:rPr>
              <w:t>4</w:t>
            </w:r>
            <w:r>
              <w:rPr>
                <w:rFonts w:hint="eastAsia" w:ascii="宋体" w:hAnsi="宋体"/>
                <w:szCs w:val="21"/>
              </w:rPr>
              <w:t>分；</w:t>
            </w:r>
          </w:p>
          <w:p>
            <w:pPr>
              <w:numPr>
                <w:ilvl w:val="3"/>
                <w:numId w:val="25"/>
              </w:numPr>
              <w:tabs>
                <w:tab w:val="left" w:pos="639"/>
              </w:tabs>
              <w:ind w:left="639" w:hanging="629"/>
              <w:rPr>
                <w:rFonts w:ascii="宋体" w:hAnsi="宋体"/>
                <w:szCs w:val="21"/>
              </w:rPr>
            </w:pPr>
            <w:r>
              <w:rPr>
                <w:rFonts w:hint="eastAsia" w:ascii="宋体" w:hAnsi="宋体"/>
                <w:szCs w:val="21"/>
              </w:rPr>
              <w:t>单个合同金额＜</w:t>
            </w:r>
            <w:r>
              <w:rPr>
                <w:rFonts w:hint="eastAsia" w:ascii="宋体" w:hAnsi="宋体"/>
                <w:szCs w:val="21"/>
                <w:lang w:val="en-US" w:eastAsia="zh-CN"/>
              </w:rPr>
              <w:t>5</w:t>
            </w:r>
            <w:r>
              <w:rPr>
                <w:rFonts w:hint="eastAsia" w:ascii="宋体" w:hAnsi="宋体"/>
                <w:szCs w:val="21"/>
              </w:rPr>
              <w:t>0万元，得</w:t>
            </w:r>
            <w:r>
              <w:rPr>
                <w:rFonts w:ascii="宋体" w:hAnsi="宋体"/>
                <w:szCs w:val="21"/>
              </w:rPr>
              <w:t>2</w:t>
            </w:r>
            <w:r>
              <w:rPr>
                <w:rFonts w:hint="eastAsia" w:ascii="宋体" w:hAnsi="宋体"/>
                <w:szCs w:val="21"/>
              </w:rPr>
              <w:t>分；</w:t>
            </w:r>
          </w:p>
          <w:p>
            <w:pPr>
              <w:rPr>
                <w:rFonts w:ascii="宋体" w:hAnsi="宋体"/>
                <w:szCs w:val="21"/>
              </w:rPr>
            </w:pPr>
            <w:r>
              <w:rPr>
                <w:rFonts w:hint="eastAsia" w:ascii="宋体" w:hAnsi="宋体"/>
                <w:szCs w:val="21"/>
              </w:rPr>
              <w:t>证明文件：</w:t>
            </w:r>
          </w:p>
          <w:p>
            <w:pPr>
              <w:numPr>
                <w:ilvl w:val="3"/>
                <w:numId w:val="26"/>
              </w:numPr>
              <w:tabs>
                <w:tab w:val="left" w:pos="639"/>
              </w:tabs>
              <w:ind w:left="639" w:hanging="629"/>
              <w:rPr>
                <w:rFonts w:ascii="宋体" w:hAnsi="宋体"/>
                <w:szCs w:val="21"/>
              </w:rPr>
            </w:pPr>
            <w:r>
              <w:rPr>
                <w:rFonts w:hint="eastAsia" w:ascii="宋体" w:hAnsi="宋体"/>
                <w:szCs w:val="21"/>
              </w:rPr>
              <w:t>投标人需提供包含但不仅限于能体现上述评审要素（如合同标的、签订时间、金额等）的合同关键页复印件并加盖投标人公章。</w:t>
            </w:r>
          </w:p>
          <w:p>
            <w:pPr>
              <w:numPr>
                <w:ilvl w:val="3"/>
                <w:numId w:val="26"/>
              </w:numPr>
              <w:tabs>
                <w:tab w:val="left" w:pos="639"/>
              </w:tabs>
              <w:ind w:left="1206" w:leftChars="0" w:hanging="1196" w:firstLineChars="0"/>
              <w:rPr>
                <w:rFonts w:ascii="宋体" w:hAnsi="宋体" w:eastAsia="宋体" w:cs="宋体"/>
                <w:kern w:val="2"/>
                <w:sz w:val="21"/>
                <w:szCs w:val="21"/>
                <w:lang w:val="en-US" w:eastAsia="zh-CN" w:bidi="ar-SA"/>
              </w:rPr>
            </w:pPr>
            <w:r>
              <w:rPr>
                <w:rFonts w:hint="eastAsia" w:ascii="宋体" w:hAnsi="宋体"/>
                <w:szCs w:val="21"/>
              </w:rPr>
              <w:t>未提供或提供证明资料不清晰、不完整的，不得分。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w:t>
            </w:r>
            <w:r>
              <w:rPr>
                <w:rFonts w:hint="eastAsia" w:ascii="宋体" w:hAnsi="宋体"/>
                <w:b/>
                <w:color w:val="auto"/>
                <w:szCs w:val="21"/>
                <w:highlight w:val="none"/>
              </w:rPr>
              <w:t>项（</w:t>
            </w:r>
            <w:r>
              <w:rPr>
                <w:rFonts w:hint="eastAsia" w:ascii="宋体" w:hAnsi="宋体"/>
                <w:color w:val="auto"/>
                <w:szCs w:val="21"/>
                <w:highlight w:val="none"/>
                <w:lang w:val="en-US" w:eastAsia="zh-CN"/>
              </w:rPr>
              <w:t>38</w:t>
            </w:r>
            <w:r>
              <w:rPr>
                <w:rFonts w:ascii="宋体" w:hAnsi="宋体"/>
                <w:b/>
                <w:color w:val="auto"/>
                <w:szCs w:val="21"/>
                <w:highlight w:val="none"/>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Times New Roman" w:hAnsi="Times New Roman" w:eastAsia="宋体" w:cs="Times New Roman"/>
                <w:kern w:val="2"/>
                <w:sz w:val="21"/>
                <w:szCs w:val="24"/>
                <w:lang w:val="en-US" w:eastAsia="zh-CN" w:bidi="ar-SA"/>
              </w:rPr>
            </w:pPr>
            <w:r>
              <w:rPr>
                <w:rFonts w:hint="eastAsia" w:ascii="宋体" w:hAnsi="宋体"/>
                <w:kern w:val="0"/>
                <w:szCs w:val="21"/>
              </w:rPr>
              <w:t>安装技术服务方案</w:t>
            </w:r>
          </w:p>
        </w:tc>
        <w:tc>
          <w:tcPr>
            <w:tcW w:w="709" w:type="dxa"/>
            <w:tcBorders>
              <w:tl2br w:val="nil"/>
              <w:tr2bl w:val="nil"/>
            </w:tcBorders>
            <w:tcMar>
              <w:top w:w="15" w:type="dxa"/>
              <w:left w:w="15" w:type="dxa"/>
              <w:bottom w:w="15" w:type="dxa"/>
              <w:right w:w="15" w:type="dxa"/>
            </w:tcMar>
            <w:vAlign w:val="center"/>
          </w:tcPr>
          <w:p>
            <w:pPr>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15</w:t>
            </w:r>
          </w:p>
        </w:tc>
        <w:tc>
          <w:tcPr>
            <w:tcW w:w="6804" w:type="dxa"/>
            <w:gridSpan w:val="2"/>
            <w:tcBorders>
              <w:tl2br w:val="nil"/>
              <w:tr2bl w:val="nil"/>
            </w:tcBorders>
            <w:tcMar>
              <w:top w:w="15" w:type="dxa"/>
              <w:left w:w="15" w:type="dxa"/>
              <w:bottom w:w="15" w:type="dxa"/>
              <w:right w:w="15" w:type="dxa"/>
            </w:tcMar>
            <w:vAlign w:val="center"/>
          </w:tcPr>
          <w:p>
            <w:pPr>
              <w:widowControl/>
              <w:ind w:right="0" w:rightChars="0"/>
              <w:jc w:val="left"/>
              <w:rPr>
                <w:rFonts w:ascii="宋体" w:hAnsi="宋体" w:eastAsia="宋体" w:cs="Times New Roman"/>
                <w:kern w:val="2"/>
                <w:sz w:val="21"/>
                <w:szCs w:val="21"/>
                <w:lang w:val="en-US" w:eastAsia="zh-CN" w:bidi="ar-SA"/>
              </w:rPr>
            </w:pPr>
            <w:r>
              <w:rPr>
                <w:rFonts w:hint="eastAsia" w:ascii="宋体" w:hAnsi="宋体"/>
                <w:szCs w:val="21"/>
              </w:rPr>
              <w:t>根据各投标人提交的施工方案</w:t>
            </w:r>
            <w:r>
              <w:rPr>
                <w:rFonts w:hint="eastAsia" w:ascii="宋体" w:hAnsi="宋体"/>
                <w:szCs w:val="21"/>
                <w:lang w:eastAsia="zh-CN"/>
              </w:rPr>
              <w:t>（</w:t>
            </w:r>
            <w:r>
              <w:rPr>
                <w:rFonts w:hint="eastAsia" w:ascii="宋体" w:hAnsi="宋体"/>
                <w:szCs w:val="21"/>
              </w:rPr>
              <w:t>包括但不仅限于：材料的技术性能、安装工艺控制措施、安装服务组织方案、现场管理、主要技术组织措施、安全防护措施、应急预案等</w:t>
            </w:r>
            <w:r>
              <w:rPr>
                <w:rFonts w:hint="eastAsia" w:ascii="宋体" w:hAnsi="宋体"/>
                <w:szCs w:val="21"/>
                <w:lang w:eastAsia="zh-CN"/>
              </w:rPr>
              <w:t>）</w:t>
            </w:r>
            <w:r>
              <w:rPr>
                <w:rFonts w:hint="eastAsia" w:ascii="宋体" w:hAnsi="宋体"/>
                <w:szCs w:val="21"/>
              </w:rPr>
              <w:t>进行横向比较</w:t>
            </w:r>
            <w:r>
              <w:rPr>
                <w:rFonts w:hint="eastAsia" w:ascii="宋体" w:hAnsi="宋体"/>
                <w:szCs w:val="21"/>
                <w:lang w:val="en-US" w:eastAsia="zh-CN"/>
              </w:rPr>
              <w:t>综合评议，</w:t>
            </w:r>
            <w:r>
              <w:rPr>
                <w:rFonts w:hint="eastAsia" w:ascii="宋体" w:hAnsi="宋体"/>
                <w:szCs w:val="21"/>
              </w:rPr>
              <w:t>优秀得</w:t>
            </w:r>
            <w:r>
              <w:rPr>
                <w:rFonts w:hint="eastAsia" w:ascii="宋体" w:hAnsi="宋体"/>
                <w:szCs w:val="21"/>
                <w:lang w:val="en-US" w:eastAsia="zh-CN"/>
              </w:rPr>
              <w:t>15</w:t>
            </w:r>
            <w:r>
              <w:rPr>
                <w:rFonts w:hint="eastAsia" w:ascii="宋体" w:hAnsi="宋体"/>
                <w:szCs w:val="21"/>
              </w:rPr>
              <w:t>分；良好得</w:t>
            </w:r>
            <w:r>
              <w:rPr>
                <w:rFonts w:hint="eastAsia" w:ascii="宋体" w:hAnsi="宋体"/>
                <w:szCs w:val="21"/>
                <w:lang w:val="en-US" w:eastAsia="zh-CN"/>
              </w:rPr>
              <w:t>10</w:t>
            </w:r>
            <w:r>
              <w:rPr>
                <w:rFonts w:hint="eastAsia" w:ascii="宋体" w:hAnsi="宋体"/>
                <w:szCs w:val="21"/>
              </w:rPr>
              <w:t>分；一般得</w:t>
            </w:r>
            <w:r>
              <w:rPr>
                <w:rFonts w:hint="eastAsia" w:ascii="宋体" w:hAnsi="宋体"/>
                <w:szCs w:val="21"/>
                <w:lang w:val="en-US" w:eastAsia="zh-CN"/>
              </w:rPr>
              <w:t>5</w:t>
            </w:r>
            <w:r>
              <w:rPr>
                <w:rFonts w:hint="eastAsia" w:ascii="宋体" w:hAnsi="宋体"/>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rPr>
            </w:pPr>
            <w:r>
              <w:rPr>
                <w:rFonts w:hint="eastAsia" w:ascii="宋体" w:hAnsi="宋体"/>
                <w:kern w:val="0"/>
                <w:szCs w:val="21"/>
              </w:rPr>
              <w:t>工期</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szCs w:val="21"/>
              </w:rPr>
            </w:pPr>
            <w:r>
              <w:rPr>
                <w:rFonts w:hint="eastAsia" w:ascii="宋体" w:hAnsi="宋体"/>
                <w:szCs w:val="21"/>
              </w:rPr>
              <w:t>4</w:t>
            </w:r>
          </w:p>
        </w:tc>
        <w:tc>
          <w:tcPr>
            <w:tcW w:w="6804" w:type="dxa"/>
            <w:gridSpan w:val="2"/>
            <w:tcBorders>
              <w:tl2br w:val="nil"/>
              <w:tr2bl w:val="nil"/>
            </w:tcBorders>
            <w:tcMar>
              <w:top w:w="15" w:type="dxa"/>
              <w:left w:w="15" w:type="dxa"/>
              <w:bottom w:w="15" w:type="dxa"/>
              <w:right w:w="15" w:type="dxa"/>
            </w:tcMar>
            <w:vAlign w:val="center"/>
          </w:tcPr>
          <w:p>
            <w:pPr>
              <w:snapToGrid w:val="0"/>
              <w:rPr>
                <w:rFonts w:hint="eastAsia"/>
              </w:rPr>
            </w:pPr>
            <w:r>
              <w:rPr>
                <w:rFonts w:hint="eastAsia"/>
              </w:rPr>
              <w:t>根据各投标人所承诺工期（含安装、调试时间），满足招标人</w:t>
            </w:r>
            <w:r>
              <w:rPr>
                <w:rFonts w:hint="eastAsia"/>
                <w:lang w:eastAsia="zh-CN"/>
              </w:rPr>
              <w:t>现场实际</w:t>
            </w:r>
            <w:r>
              <w:rPr>
                <w:rFonts w:hint="eastAsia"/>
              </w:rPr>
              <w:t>要求并</w:t>
            </w:r>
            <w:r>
              <w:rPr>
                <w:rFonts w:hint="eastAsia"/>
                <w:lang w:eastAsia="zh-CN"/>
              </w:rPr>
              <w:t>在合理的工期内</w:t>
            </w:r>
            <w:r>
              <w:rPr>
                <w:rFonts w:hint="eastAsia"/>
              </w:rPr>
              <w:t>可提前完工者，按照工期由短到长排名，第一名得4分，排名每下降一个名次得分递减1分，直至0分。</w:t>
            </w:r>
          </w:p>
          <w:p>
            <w:pPr>
              <w:pStyle w:val="2"/>
              <w:ind w:left="0"/>
              <w:rPr>
                <w:rFonts w:hint="eastAsia"/>
              </w:rPr>
            </w:pPr>
            <w:r>
              <w:rPr>
                <w:rFonts w:hint="eastAsia" w:ascii="Times New Roman" w:hAnsi="Times New Roman"/>
                <w:spacing w:val="0"/>
                <w:kern w:val="2"/>
                <w:sz w:val="21"/>
                <w:lang w:val="en-US" w:eastAsia="zh-CN"/>
              </w:rPr>
              <w:t>说明：需根据</w:t>
            </w:r>
            <w:r>
              <w:rPr>
                <w:rFonts w:hint="eastAsia" w:ascii="Times New Roman" w:hAnsi="Times New Roman"/>
                <w:spacing w:val="0"/>
                <w:kern w:val="2"/>
                <w:sz w:val="21"/>
                <w:szCs w:val="24"/>
                <w:lang w:val="en-US" w:eastAsia="zh-CN"/>
              </w:rPr>
              <w:t>招标人实际情况制定工期，不合理或不可能实现的工期承诺将被视为无效承诺，不得分。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2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hint="eastAsia"/>
              </w:rPr>
            </w:pPr>
            <w:r>
              <w:rPr>
                <w:rFonts w:hint="eastAsia" w:ascii="宋体" w:hAnsi="宋体" w:cs="宋体"/>
                <w:kern w:val="0"/>
                <w:szCs w:val="21"/>
              </w:rPr>
              <w:t>拟派人员</w:t>
            </w:r>
          </w:p>
        </w:tc>
        <w:tc>
          <w:tcPr>
            <w:tcW w:w="709" w:type="dxa"/>
            <w:tcBorders>
              <w:tl2br w:val="nil"/>
              <w:tr2bl w:val="nil"/>
            </w:tcBorders>
            <w:tcMar>
              <w:top w:w="15" w:type="dxa"/>
              <w:left w:w="15" w:type="dxa"/>
              <w:bottom w:w="15" w:type="dxa"/>
              <w:right w:w="15" w:type="dxa"/>
            </w:tcMar>
            <w:vAlign w:val="center"/>
          </w:tcPr>
          <w:p>
            <w:pPr>
              <w:jc w:val="center"/>
              <w:rPr>
                <w:rFonts w:hint="eastAsia" w:ascii="宋体" w:hAnsi="宋体"/>
                <w:szCs w:val="21"/>
              </w:rPr>
            </w:pPr>
            <w:r>
              <w:rPr>
                <w:rFonts w:hint="eastAsia" w:ascii="宋体" w:hAnsi="宋体"/>
                <w:szCs w:val="21"/>
              </w:rPr>
              <w:t>1</w:t>
            </w:r>
            <w:r>
              <w:rPr>
                <w:rFonts w:hint="eastAsia" w:ascii="宋体" w:hAnsi="宋体"/>
                <w:szCs w:val="21"/>
                <w:lang w:val="en-US" w:eastAsia="zh-CN"/>
              </w:rPr>
              <w:t>9</w:t>
            </w:r>
          </w:p>
        </w:tc>
        <w:tc>
          <w:tcPr>
            <w:tcW w:w="6804" w:type="dxa"/>
            <w:gridSpan w:val="2"/>
            <w:tcBorders>
              <w:tl2br w:val="nil"/>
              <w:tr2bl w:val="nil"/>
            </w:tcBorders>
            <w:tcMar>
              <w:top w:w="15" w:type="dxa"/>
              <w:left w:w="15" w:type="dxa"/>
              <w:bottom w:w="15" w:type="dxa"/>
              <w:right w:w="15" w:type="dxa"/>
            </w:tcMar>
            <w:vAlign w:val="center"/>
          </w:tcPr>
          <w:p>
            <w:pPr>
              <w:numPr>
                <w:ilvl w:val="0"/>
                <w:numId w:val="28"/>
              </w:numPr>
              <w:snapToGrid w:val="0"/>
              <w:rPr>
                <w:rFonts w:ascii="宋体" w:hAnsi="宋体"/>
                <w:szCs w:val="21"/>
              </w:rPr>
            </w:pPr>
            <w:r>
              <w:rPr>
                <w:rFonts w:hint="eastAsia" w:ascii="宋体" w:hAnsi="宋体"/>
                <w:szCs w:val="21"/>
              </w:rPr>
              <w:t>项目负责人具</w:t>
            </w:r>
            <w:r>
              <w:rPr>
                <w:rFonts w:hint="eastAsia" w:ascii="宋体" w:hAnsi="宋体"/>
                <w:szCs w:val="21"/>
                <w:lang w:val="en-US" w:eastAsia="zh-CN"/>
              </w:rPr>
              <w:t>有有效</w:t>
            </w:r>
            <w:r>
              <w:rPr>
                <w:rFonts w:hint="eastAsia" w:ascii="宋体" w:hAnsi="宋体"/>
                <w:szCs w:val="21"/>
              </w:rPr>
              <w:t>一级建造师（机电专业）</w:t>
            </w:r>
            <w:r>
              <w:rPr>
                <w:rFonts w:hint="eastAsia" w:ascii="宋体" w:hAnsi="宋体"/>
                <w:szCs w:val="21"/>
                <w:lang w:val="en-US" w:eastAsia="zh-CN"/>
              </w:rPr>
              <w:t>职业资格证的，</w:t>
            </w:r>
            <w:r>
              <w:rPr>
                <w:rFonts w:hint="eastAsia" w:ascii="宋体" w:hAnsi="宋体"/>
                <w:szCs w:val="21"/>
              </w:rPr>
              <w:t>得</w:t>
            </w:r>
            <w:r>
              <w:rPr>
                <w:rFonts w:hint="eastAsia" w:ascii="宋体" w:hAnsi="宋体"/>
                <w:szCs w:val="21"/>
                <w:lang w:val="en-US" w:eastAsia="zh-CN"/>
              </w:rPr>
              <w:t>2</w:t>
            </w:r>
            <w:r>
              <w:rPr>
                <w:rFonts w:hint="eastAsia" w:ascii="宋体" w:hAnsi="宋体"/>
                <w:szCs w:val="21"/>
              </w:rPr>
              <w:t>分。</w:t>
            </w:r>
          </w:p>
          <w:p>
            <w:pPr>
              <w:numPr>
                <w:ilvl w:val="0"/>
                <w:numId w:val="28"/>
              </w:numPr>
              <w:snapToGrid w:val="0"/>
              <w:rPr>
                <w:rFonts w:ascii="宋体" w:hAnsi="宋体"/>
                <w:szCs w:val="21"/>
              </w:rPr>
            </w:pPr>
            <w:r>
              <w:rPr>
                <w:rFonts w:hint="eastAsia" w:ascii="宋体" w:hAnsi="宋体"/>
                <w:szCs w:val="21"/>
              </w:rPr>
              <w:t>拟派人员每提供</w:t>
            </w:r>
            <w:r>
              <w:rPr>
                <w:rFonts w:hint="eastAsia" w:ascii="宋体" w:hAnsi="宋体"/>
                <w:szCs w:val="21"/>
                <w:lang w:val="en-US" w:eastAsia="zh-CN"/>
              </w:rPr>
              <w:t>有效</w:t>
            </w:r>
            <w:r>
              <w:rPr>
                <w:rFonts w:hint="eastAsia" w:ascii="宋体" w:hAnsi="宋体"/>
                <w:szCs w:val="21"/>
                <w:lang w:eastAsia="zh-CN"/>
              </w:rPr>
              <w:t>电气试验作业</w:t>
            </w:r>
            <w:r>
              <w:rPr>
                <w:rFonts w:hint="eastAsia" w:ascii="宋体" w:hAnsi="宋体"/>
                <w:szCs w:val="21"/>
              </w:rPr>
              <w:t>证1个得3分，每提供</w:t>
            </w:r>
            <w:r>
              <w:rPr>
                <w:rFonts w:hint="eastAsia" w:ascii="宋体" w:hAnsi="宋体"/>
                <w:szCs w:val="21"/>
                <w:lang w:val="en-US" w:eastAsia="zh-CN"/>
              </w:rPr>
              <w:t>有效</w:t>
            </w:r>
            <w:r>
              <w:rPr>
                <w:rFonts w:hint="eastAsia" w:ascii="宋体" w:hAnsi="宋体"/>
                <w:szCs w:val="21"/>
              </w:rPr>
              <w:t>电力电缆作业证或高压电工作业证1个得2分，最高1</w:t>
            </w:r>
            <w:r>
              <w:rPr>
                <w:rFonts w:hint="eastAsia" w:ascii="宋体" w:hAnsi="宋体"/>
                <w:szCs w:val="21"/>
                <w:lang w:val="en-US" w:eastAsia="zh-CN"/>
              </w:rPr>
              <w:t>5</w:t>
            </w:r>
            <w:r>
              <w:rPr>
                <w:rFonts w:hint="eastAsia" w:ascii="宋体" w:hAnsi="宋体"/>
                <w:szCs w:val="21"/>
              </w:rPr>
              <w:t>分</w:t>
            </w:r>
            <w:r>
              <w:rPr>
                <w:rFonts w:hint="eastAsia" w:ascii="宋体" w:hAnsi="宋体"/>
                <w:lang w:val="en-US" w:eastAsia="zh-CN"/>
              </w:rPr>
              <w:t>。</w:t>
            </w:r>
          </w:p>
          <w:p>
            <w:pPr>
              <w:numPr>
                <w:ilvl w:val="0"/>
                <w:numId w:val="28"/>
              </w:numPr>
              <w:snapToGrid w:val="0"/>
              <w:rPr>
                <w:rFonts w:hint="eastAsia" w:ascii="宋体" w:hAnsi="宋体"/>
                <w:szCs w:val="21"/>
                <w:lang w:eastAsia="zh-CN"/>
              </w:rPr>
            </w:pPr>
            <w:r>
              <w:rPr>
                <w:rFonts w:hint="eastAsia" w:ascii="宋体" w:hAnsi="宋体"/>
                <w:szCs w:val="21"/>
                <w:lang w:eastAsia="zh-CN"/>
              </w:rPr>
              <w:t>现场安全员提供有效安全生产管理人员合格证证书得</w:t>
            </w:r>
            <w:r>
              <w:rPr>
                <w:rFonts w:hint="eastAsia" w:ascii="宋体" w:hAnsi="宋体"/>
                <w:szCs w:val="21"/>
                <w:lang w:val="en-US" w:eastAsia="zh-CN"/>
              </w:rPr>
              <w:t>2分</w:t>
            </w:r>
            <w:r>
              <w:rPr>
                <w:rFonts w:hint="eastAsia" w:ascii="宋体" w:hAnsi="宋体"/>
                <w:szCs w:val="21"/>
                <w:lang w:eastAsia="zh-CN"/>
              </w:rPr>
              <w:t>。</w:t>
            </w:r>
          </w:p>
          <w:p>
            <w:pPr>
              <w:numPr>
                <w:ilvl w:val="0"/>
                <w:numId w:val="28"/>
              </w:numPr>
              <w:snapToGrid w:val="0"/>
              <w:rPr>
                <w:rFonts w:ascii="宋体" w:hAnsi="宋体"/>
                <w:szCs w:val="21"/>
              </w:rPr>
            </w:pPr>
            <w:r>
              <w:rPr>
                <w:rFonts w:hint="eastAsia" w:ascii="宋体" w:hAnsi="宋体"/>
                <w:szCs w:val="21"/>
                <w:lang w:eastAsia="zh-CN"/>
              </w:rPr>
              <w:t>同一个人同时持有上述证件时以得分高的证件计算得分</w:t>
            </w:r>
            <w:r>
              <w:rPr>
                <w:rFonts w:hint="eastAsia" w:ascii="宋体" w:hAnsi="宋体"/>
                <w:szCs w:val="21"/>
              </w:rPr>
              <w:t>，不重复计分</w:t>
            </w:r>
            <w:r>
              <w:rPr>
                <w:rFonts w:hint="eastAsia" w:ascii="宋体" w:hAnsi="宋体"/>
                <w:szCs w:val="21"/>
                <w:lang w:eastAsia="zh-CN"/>
              </w:rPr>
              <w:t>。</w:t>
            </w:r>
          </w:p>
          <w:p>
            <w:pPr>
              <w:rPr>
                <w:rFonts w:ascii="宋体" w:hAnsi="宋体"/>
                <w:szCs w:val="21"/>
              </w:rPr>
            </w:pPr>
            <w:r>
              <w:rPr>
                <w:rFonts w:hint="eastAsia" w:ascii="宋体" w:hAnsi="宋体"/>
                <w:szCs w:val="21"/>
              </w:rPr>
              <w:t>证明文件及要求：</w:t>
            </w:r>
          </w:p>
          <w:p>
            <w:pPr>
              <w:pStyle w:val="22"/>
              <w:numPr>
                <w:ilvl w:val="0"/>
                <w:numId w:val="29"/>
              </w:numPr>
              <w:ind w:firstLineChars="0"/>
              <w:rPr>
                <w:rFonts w:ascii="宋体" w:hAnsi="宋体" w:eastAsia="宋体"/>
                <w:szCs w:val="21"/>
              </w:rPr>
            </w:pPr>
            <w:r>
              <w:rPr>
                <w:rFonts w:hint="eastAsia" w:ascii="宋体" w:hAnsi="宋体" w:eastAsia="宋体"/>
                <w:szCs w:val="21"/>
              </w:rPr>
              <w:t>同一人以最高等级证书得分，不重复</w:t>
            </w:r>
            <w:r>
              <w:rPr>
                <w:rFonts w:hint="eastAsia" w:ascii="宋体" w:hAnsi="宋体" w:eastAsia="宋体"/>
                <w:szCs w:val="21"/>
                <w:lang w:val="en-US" w:eastAsia="zh-CN"/>
              </w:rPr>
              <w:t>得</w:t>
            </w:r>
            <w:r>
              <w:rPr>
                <w:rFonts w:hint="eastAsia" w:ascii="宋体" w:hAnsi="宋体" w:eastAsia="宋体"/>
                <w:szCs w:val="21"/>
              </w:rPr>
              <w:t>分。</w:t>
            </w:r>
          </w:p>
          <w:p>
            <w:pPr>
              <w:pStyle w:val="22"/>
              <w:numPr>
                <w:ilvl w:val="0"/>
                <w:numId w:val="29"/>
              </w:numPr>
              <w:ind w:left="420" w:leftChars="0" w:hanging="420" w:firstLineChars="0"/>
              <w:rPr>
                <w:rFonts w:hint="eastAsia" w:ascii="宋体" w:hAnsi="宋体" w:cs="宋体"/>
                <w:kern w:val="0"/>
                <w:szCs w:val="21"/>
              </w:rPr>
            </w:pPr>
            <w:r>
              <w:rPr>
                <w:rFonts w:hint="eastAsia" w:ascii="宋体" w:hAnsi="宋体" w:eastAsia="宋体"/>
                <w:szCs w:val="21"/>
              </w:rPr>
              <w:t>提供以上人员资格证明文件和近三个月社保清单证明，如开标日上一个月的社保材料因社保部门原因暂时无法取得，则可以往前顺推一个月。（社保证明须同时加盖投标人公章，未按要求提供或提供不清晰导致无法判断的不得分，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52"/>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highlight w:val="none"/>
              </w:rPr>
            </w:pPr>
            <w:r>
              <w:rPr>
                <w:rStyle w:val="19"/>
                <w:rFonts w:hint="eastAsia" w:ascii="宋体" w:hAnsi="宋体"/>
                <w:highlight w:val="none"/>
              </w:rPr>
              <w:t>价格得分=（1-A×｜1-投标报价/Z｜）×M</w:t>
            </w:r>
          </w:p>
          <w:p>
            <w:pPr>
              <w:numPr>
                <w:ilvl w:val="0"/>
                <w:numId w:val="30"/>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 xml:space="preserve">M= </w:t>
            </w:r>
            <w:r>
              <w:rPr>
                <w:rFonts w:hint="eastAsia" w:ascii="宋体" w:hAnsi="宋体"/>
                <w:color w:val="FF0000"/>
                <w:szCs w:val="21"/>
                <w:highlight w:val="none"/>
                <w:lang w:val="en-US" w:eastAsia="zh-CN"/>
              </w:rPr>
              <w:t>40</w:t>
            </w:r>
            <w:r>
              <w:rPr>
                <w:rStyle w:val="19"/>
                <w:rFonts w:hint="eastAsia" w:ascii="宋体" w:hAnsi="宋体"/>
                <w:highlight w:val="none"/>
              </w:rPr>
              <w:t xml:space="preserve"> （价格评价分项满分值），Z为本次招标基准价；</w:t>
            </w:r>
          </w:p>
          <w:p>
            <w:pPr>
              <w:numPr>
                <w:ilvl w:val="0"/>
                <w:numId w:val="30"/>
              </w:numPr>
              <w:autoSpaceDE w:val="0"/>
              <w:autoSpaceDN w:val="0"/>
              <w:adjustRightInd w:val="0"/>
              <w:snapToGrid w:val="0"/>
              <w:jc w:val="left"/>
              <w:rPr>
                <w:rStyle w:val="19"/>
                <w:rFonts w:ascii="宋体" w:hAnsi="宋体"/>
                <w:highlight w:val="none"/>
              </w:rPr>
            </w:pPr>
            <w:r>
              <w:rPr>
                <w:rStyle w:val="19"/>
                <w:rFonts w:hint="eastAsia" w:ascii="宋体" w:hAnsi="宋体"/>
                <w:highlight w:val="none"/>
              </w:rPr>
              <w:t>A为价格调整系数，当投标报价低于本次招标最佳报价（即基准价）时，A=</w:t>
            </w:r>
            <w:r>
              <w:rPr>
                <w:rStyle w:val="19"/>
                <w:rFonts w:hint="eastAsia" w:ascii="宋体" w:hAnsi="宋体"/>
                <w:highlight w:val="none"/>
                <w:lang w:val="en-US" w:eastAsia="zh-CN"/>
              </w:rPr>
              <w:t>1</w:t>
            </w:r>
            <w:r>
              <w:rPr>
                <w:rStyle w:val="19"/>
                <w:rFonts w:hint="eastAsia" w:ascii="宋体" w:hAnsi="宋体"/>
                <w:highlight w:val="none"/>
              </w:rPr>
              <w:t>；当投标报价高于次招标基准价时，取A=1；</w:t>
            </w:r>
          </w:p>
          <w:p>
            <w:pPr>
              <w:numPr>
                <w:ilvl w:val="0"/>
                <w:numId w:val="30"/>
              </w:numPr>
              <w:jc w:val="left"/>
              <w:rPr>
                <w:rFonts w:ascii="宋体" w:cs="宋体"/>
                <w:kern w:val="0"/>
                <w:szCs w:val="21"/>
                <w:highlight w:val="none"/>
              </w:rPr>
            </w:pPr>
            <w:r>
              <w:rPr>
                <w:rStyle w:val="19"/>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spacing w:line="240" w:lineRule="atLeast"/>
              <w:jc w:val="center"/>
              <w:rPr>
                <w:rFonts w:ascii="宋体" w:cs="宋体"/>
                <w:kern w:val="0"/>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1"/>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1"/>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8" w:name="_Toc116550358"/>
      <w:r>
        <w:rPr>
          <w:rFonts w:hint="eastAsia" w:ascii="宋体" w:hAnsi="宋体"/>
          <w:b/>
          <w:sz w:val="32"/>
          <w:szCs w:val="32"/>
        </w:rPr>
        <w:t>第四部分：合同条款及格式</w:t>
      </w:r>
      <w:bookmarkEnd w:id="58"/>
    </w:p>
    <w:p>
      <w:pPr>
        <w:jc w:val="center"/>
        <w:rPr>
          <w:rFonts w:ascii="方正小标宋简体" w:hAnsi="方正小标宋简体" w:eastAsia="方正小标宋简体" w:cs="方正小标宋简体"/>
          <w:bCs/>
          <w:kern w:val="0"/>
          <w:sz w:val="28"/>
          <w:szCs w:val="28"/>
        </w:rPr>
      </w:pPr>
    </w:p>
    <w:p>
      <w:pPr>
        <w:pStyle w:val="11"/>
      </w:pPr>
    </w:p>
    <w:p>
      <w:pPr>
        <w:pStyle w:val="11"/>
      </w:pPr>
    </w:p>
    <w:p>
      <w:pPr>
        <w:spacing w:after="124" w:afterLines="40"/>
        <w:ind w:firstLine="105" w:firstLineChars="50"/>
        <w:jc w:val="center"/>
        <w:rPr>
          <w:rFonts w:ascii="宋体" w:hAnsi="宋体" w:cs="宋体"/>
          <w:szCs w:val="21"/>
        </w:rPr>
      </w:pPr>
      <w:r>
        <w:rPr>
          <w:rFonts w:hint="eastAsia" w:ascii="宋体" w:hAnsi="宋体" w:cs="宋体"/>
          <w:b/>
          <w:szCs w:val="21"/>
        </w:rPr>
        <w:t>深圳会展中心电力电容更换项目合同（仅供参考）</w:t>
      </w:r>
    </w:p>
    <w:p>
      <w:pPr>
        <w:tabs>
          <w:tab w:val="left" w:pos="180"/>
        </w:tabs>
        <w:adjustRightInd w:val="0"/>
        <w:snapToGrid w:val="0"/>
        <w:spacing w:line="300" w:lineRule="auto"/>
        <w:jc w:val="left"/>
        <w:rPr>
          <w:rFonts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3" name="图片 3"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截屏2020-08-13 上午2.10.25"/>
                    <pic:cNvPicPr>
                      <a:picLocks noChangeAspect="1"/>
                    </pic:cNvPicPr>
                  </pic:nvPicPr>
                  <pic:blipFill>
                    <a:blip r:embed="rId7"/>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jc w:val="center"/>
        <w:rPr>
          <w:rFonts w:hint="eastAsia" w:ascii="宋体" w:hAnsi="宋体" w:cs="宋体"/>
          <w:b/>
          <w:sz w:val="44"/>
          <w:szCs w:val="44"/>
        </w:rPr>
      </w:pPr>
      <w:r>
        <w:rPr>
          <w:rFonts w:hint="eastAsia" w:ascii="宋体" w:hAnsi="宋体" w:cs="宋体"/>
          <w:b/>
          <w:sz w:val="44"/>
          <w:szCs w:val="44"/>
        </w:rPr>
        <w:t>深圳会展中心高压电缆线耐压和绝缘测试项目合同</w:t>
      </w:r>
    </w:p>
    <w:p>
      <w:pPr>
        <w:pStyle w:val="2"/>
        <w:rPr>
          <w:rFonts w:hint="eastAsia" w:eastAsia="宋体"/>
          <w:lang w:eastAsia="zh-CN"/>
        </w:rPr>
      </w:pPr>
      <w:r>
        <w:rPr>
          <w:rFonts w:hint="eastAsia" w:ascii="宋体" w:hAnsi="宋体" w:cs="宋体"/>
          <w:b/>
          <w:sz w:val="44"/>
          <w:szCs w:val="44"/>
          <w:lang w:eastAsia="zh-CN"/>
        </w:rPr>
        <w:t>（</w:t>
      </w:r>
      <w:r>
        <w:rPr>
          <w:rFonts w:hint="eastAsia" w:ascii="宋体" w:hAnsi="宋体" w:cs="宋体"/>
          <w:b/>
          <w:sz w:val="44"/>
          <w:szCs w:val="44"/>
          <w:lang w:val="en-US" w:eastAsia="zh-CN"/>
        </w:rPr>
        <w:t>本合同模板仅供参考</w:t>
      </w:r>
      <w:r>
        <w:rPr>
          <w:rFonts w:hint="eastAsia" w:ascii="宋体" w:hAnsi="宋体" w:cs="宋体"/>
          <w:b/>
          <w:sz w:val="44"/>
          <w:szCs w:val="44"/>
          <w:lang w:eastAsia="zh-CN"/>
        </w:rPr>
        <w:t>）</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tabs>
          <w:tab w:val="left" w:pos="180"/>
        </w:tabs>
        <w:spacing w:line="640" w:lineRule="exact"/>
        <w:ind w:firstLine="240" w:firstLineChars="100"/>
        <w:rPr>
          <w:rFonts w:cs="宋体"/>
          <w:sz w:val="24"/>
        </w:rPr>
      </w:pPr>
      <w:r>
        <w:rPr>
          <w:rFonts w:hint="eastAsia" w:cs="宋体"/>
          <w:sz w:val="24"/>
        </w:rPr>
        <w:t>甲方（委托方）：深圳会展中心管理有限责任公司</w:t>
      </w:r>
    </w:p>
    <w:p>
      <w:pPr>
        <w:tabs>
          <w:tab w:val="left" w:pos="180"/>
        </w:tabs>
        <w:spacing w:line="640" w:lineRule="exact"/>
        <w:ind w:firstLine="240" w:firstLineChars="100"/>
        <w:rPr>
          <w:rFonts w:cs="宋体"/>
          <w:sz w:val="24"/>
        </w:rPr>
      </w:pPr>
      <w:r>
        <w:rPr>
          <w:rFonts w:hint="eastAsia" w:cs="宋体"/>
          <w:sz w:val="24"/>
        </w:rPr>
        <w:t>乙方（受托方）：</w:t>
      </w:r>
      <w:r>
        <w:rPr>
          <w:rFonts w:hint="eastAsia" w:ascii="宋体" w:hAnsi="宋体" w:cs="宋体"/>
          <w:sz w:val="24"/>
        </w:rPr>
        <w:t xml:space="preserve">      </w:t>
      </w:r>
      <w:r>
        <w:rPr>
          <w:rFonts w:hint="eastAsia" w:cs="宋体"/>
          <w:sz w:val="24"/>
        </w:rPr>
        <w:t xml:space="preserve">                    </w:t>
      </w:r>
    </w:p>
    <w:p>
      <w:pPr>
        <w:tabs>
          <w:tab w:val="left" w:pos="180"/>
        </w:tabs>
        <w:spacing w:line="640" w:lineRule="exact"/>
        <w:ind w:firstLine="240" w:firstLineChars="100"/>
        <w:rPr>
          <w:rFonts w:ascii="宋体" w:hAnsi="宋体" w:cs="宋体"/>
          <w:sz w:val="24"/>
        </w:rPr>
      </w:pPr>
      <w:r>
        <w:rPr>
          <w:rFonts w:hint="eastAsia" w:ascii="宋体" w:hAnsi="宋体" w:cs="宋体"/>
          <w:sz w:val="24"/>
        </w:rPr>
        <w:t>签订日期：</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jc w:val="left"/>
        <w:rPr>
          <w:rFonts w:ascii="宋体" w:hAnsi="宋体" w:cs="宋体"/>
          <w:sz w:val="24"/>
        </w:rPr>
      </w:pPr>
    </w:p>
    <w:p>
      <w:pPr>
        <w:adjustRightInd w:val="0"/>
        <w:snapToGrid w:val="0"/>
        <w:spacing w:line="360" w:lineRule="auto"/>
        <w:jc w:val="left"/>
        <w:rPr>
          <w:rFonts w:ascii="宋体" w:hAnsi="宋体" w:cs="宋体"/>
          <w:sz w:val="24"/>
        </w:rPr>
      </w:pPr>
    </w:p>
    <w:p>
      <w:pPr>
        <w:spacing w:after="124" w:afterLines="40"/>
        <w:ind w:firstLine="105"/>
        <w:rPr>
          <w:rFonts w:ascii="宋体" w:hAnsi="宋体" w:cs="宋体"/>
          <w:szCs w:val="21"/>
        </w:rPr>
      </w:pPr>
    </w:p>
    <w:p>
      <w:pPr>
        <w:spacing w:after="124" w:afterLines="40"/>
        <w:ind w:firstLine="105"/>
        <w:rPr>
          <w:rFonts w:ascii="宋体" w:hAnsi="宋体" w:cs="宋体"/>
          <w:szCs w:val="21"/>
        </w:rPr>
      </w:pPr>
    </w:p>
    <w:p>
      <w:pPr>
        <w:adjustRightInd w:val="0"/>
        <w:snapToGrid w:val="0"/>
        <w:spacing w:line="360" w:lineRule="auto"/>
        <w:jc w:val="left"/>
        <w:rPr>
          <w:rFonts w:ascii="宋体" w:hAnsi="宋体" w:cs="宋体"/>
          <w:sz w:val="24"/>
        </w:rPr>
      </w:pPr>
      <w:r>
        <w:rPr>
          <w:rFonts w:hint="eastAsia" w:ascii="宋体" w:hAnsi="宋体" w:cs="宋体"/>
          <w:sz w:val="24"/>
        </w:rPr>
        <w:t>甲方</w:t>
      </w:r>
      <w:r>
        <w:rPr>
          <w:rFonts w:hint="eastAsia" w:cs="宋体"/>
          <w:sz w:val="24"/>
        </w:rPr>
        <w:t>（委托方）</w:t>
      </w:r>
      <w:r>
        <w:rPr>
          <w:rFonts w:hint="eastAsia" w:ascii="宋体" w:hAnsi="宋体" w:cs="宋体"/>
          <w:sz w:val="24"/>
        </w:rPr>
        <w:t xml:space="preserve">：深圳会展中心管理有限责任公司   </w:t>
      </w:r>
    </w:p>
    <w:p>
      <w:pPr>
        <w:adjustRightInd w:val="0"/>
        <w:snapToGrid w:val="0"/>
        <w:spacing w:line="360" w:lineRule="auto"/>
        <w:jc w:val="left"/>
        <w:rPr>
          <w:rFonts w:ascii="宋体" w:hAnsi="宋体" w:cs="宋体"/>
          <w:sz w:val="24"/>
        </w:rPr>
      </w:pPr>
      <w:r>
        <w:rPr>
          <w:rFonts w:hint="eastAsia" w:ascii="宋体" w:hAnsi="宋体" w:cs="宋体"/>
          <w:sz w:val="24"/>
        </w:rPr>
        <w:t xml:space="preserve">地址：中国广东深圳福田区福华三路             </w:t>
      </w:r>
    </w:p>
    <w:p>
      <w:pPr>
        <w:adjustRightInd w:val="0"/>
        <w:snapToGrid w:val="0"/>
        <w:spacing w:line="360" w:lineRule="auto"/>
        <w:jc w:val="left"/>
        <w:rPr>
          <w:rFonts w:ascii="宋体" w:hAnsi="宋体" w:cs="宋体"/>
          <w:sz w:val="24"/>
        </w:rPr>
      </w:pPr>
      <w:r>
        <w:rPr>
          <w:rFonts w:hint="eastAsia" w:ascii="宋体" w:hAnsi="宋体" w:cs="宋体"/>
          <w:sz w:val="24"/>
        </w:rPr>
        <w:t xml:space="preserve">邮编：518000                                 </w:t>
      </w:r>
    </w:p>
    <w:p>
      <w:pPr>
        <w:adjustRightInd w:val="0"/>
        <w:snapToGrid w:val="0"/>
        <w:spacing w:line="360" w:lineRule="auto"/>
        <w:jc w:val="left"/>
        <w:rPr>
          <w:rFonts w:ascii="宋体" w:hAnsi="宋体" w:cs="宋体"/>
          <w:sz w:val="24"/>
        </w:rPr>
      </w:pPr>
      <w:r>
        <w:rPr>
          <w:rFonts w:hint="eastAsia" w:ascii="宋体" w:hAnsi="宋体" w:cs="宋体"/>
          <w:sz w:val="24"/>
        </w:rPr>
        <w:t xml:space="preserve">电话：0755-82848819                         </w:t>
      </w:r>
    </w:p>
    <w:p>
      <w:pPr>
        <w:adjustRightInd w:val="0"/>
        <w:snapToGrid w:val="0"/>
        <w:spacing w:line="360" w:lineRule="auto"/>
        <w:jc w:val="left"/>
        <w:rPr>
          <w:rFonts w:ascii="宋体" w:hAnsi="宋体" w:cs="宋体"/>
          <w:sz w:val="24"/>
        </w:rPr>
      </w:pPr>
      <w:r>
        <w:rPr>
          <w:rFonts w:hint="eastAsia" w:ascii="宋体" w:hAnsi="宋体" w:cs="宋体"/>
          <w:sz w:val="24"/>
        </w:rPr>
        <w:t xml:space="preserve">传真：                                       </w:t>
      </w:r>
    </w:p>
    <w:p>
      <w:pPr>
        <w:pStyle w:val="11"/>
      </w:pPr>
    </w:p>
    <w:p>
      <w:pPr>
        <w:adjustRightInd w:val="0"/>
        <w:snapToGrid w:val="0"/>
        <w:spacing w:line="360" w:lineRule="auto"/>
        <w:jc w:val="left"/>
        <w:rPr>
          <w:rFonts w:ascii="宋体" w:hAnsi="宋体" w:cs="宋体"/>
          <w:sz w:val="24"/>
        </w:rPr>
      </w:pPr>
      <w:r>
        <w:rPr>
          <w:rFonts w:hint="eastAsia" w:ascii="宋体" w:hAnsi="宋体" w:cs="宋体"/>
          <w:sz w:val="24"/>
        </w:rPr>
        <w:t>乙方</w:t>
      </w:r>
      <w:r>
        <w:rPr>
          <w:rFonts w:hint="eastAsia" w:cs="宋体"/>
          <w:sz w:val="24"/>
        </w:rPr>
        <w:t>（受托方）</w:t>
      </w:r>
      <w:r>
        <w:rPr>
          <w:rFonts w:hint="eastAsia" w:ascii="宋体" w:hAnsi="宋体" w:cs="宋体"/>
          <w:sz w:val="24"/>
        </w:rPr>
        <w:t xml:space="preserve">：                             </w:t>
      </w:r>
    </w:p>
    <w:p>
      <w:pPr>
        <w:adjustRightInd w:val="0"/>
        <w:snapToGrid w:val="0"/>
        <w:spacing w:line="360" w:lineRule="auto"/>
        <w:jc w:val="left"/>
        <w:rPr>
          <w:rFonts w:ascii="宋体" w:hAnsi="宋体" w:cs="宋体"/>
          <w:sz w:val="24"/>
        </w:rPr>
      </w:pPr>
      <w:r>
        <w:rPr>
          <w:rFonts w:hint="eastAsia" w:ascii="宋体" w:hAnsi="宋体" w:cs="宋体"/>
          <w:sz w:val="24"/>
        </w:rPr>
        <w:t xml:space="preserve">地址：                                       </w:t>
      </w:r>
    </w:p>
    <w:p>
      <w:pPr>
        <w:adjustRightInd w:val="0"/>
        <w:snapToGrid w:val="0"/>
        <w:spacing w:line="360" w:lineRule="auto"/>
        <w:jc w:val="left"/>
        <w:rPr>
          <w:rFonts w:ascii="宋体" w:hAnsi="宋体" w:cs="宋体"/>
          <w:sz w:val="24"/>
        </w:rPr>
      </w:pPr>
      <w:r>
        <w:rPr>
          <w:rFonts w:hint="eastAsia" w:ascii="宋体" w:hAnsi="宋体" w:cs="宋体"/>
          <w:sz w:val="24"/>
        </w:rPr>
        <w:t xml:space="preserve">邮编：                                       </w:t>
      </w:r>
    </w:p>
    <w:p>
      <w:pPr>
        <w:adjustRightInd w:val="0"/>
        <w:snapToGrid w:val="0"/>
        <w:spacing w:line="360" w:lineRule="auto"/>
        <w:jc w:val="left"/>
        <w:rPr>
          <w:rFonts w:ascii="宋体" w:hAnsi="宋体" w:cs="宋体"/>
          <w:sz w:val="24"/>
        </w:rPr>
      </w:pPr>
      <w:r>
        <w:rPr>
          <w:rFonts w:hint="eastAsia" w:ascii="宋体" w:hAnsi="宋体" w:cs="宋体"/>
          <w:sz w:val="24"/>
        </w:rPr>
        <w:t xml:space="preserve">电话：                                       </w:t>
      </w:r>
    </w:p>
    <w:p>
      <w:pPr>
        <w:spacing w:after="124" w:afterLines="40"/>
        <w:rPr>
          <w:rFonts w:ascii="宋体" w:hAnsi="宋体" w:cs="宋体"/>
          <w:szCs w:val="21"/>
        </w:rPr>
      </w:pPr>
      <w:r>
        <w:rPr>
          <w:rFonts w:hint="eastAsia" w:ascii="宋体" w:hAnsi="宋体" w:cs="宋体"/>
          <w:sz w:val="24"/>
        </w:rPr>
        <w:t xml:space="preserve">传真：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根据《中华人民共和国民法典》及其它有关法律、法规、标准规范和招标文件要求，甲、乙双方本着平等、自愿、公平和诚实信用原则，就乙方</w:t>
      </w:r>
      <w:r>
        <w:rPr>
          <w:rFonts w:hint="eastAsia" w:ascii="宋体" w:hAnsi="宋体" w:cs="宋体"/>
          <w:szCs w:val="21"/>
          <w:lang w:eastAsia="zh-CN"/>
        </w:rPr>
        <w:t>为</w:t>
      </w:r>
      <w:r>
        <w:rPr>
          <w:rFonts w:hint="eastAsia" w:ascii="宋体" w:hAnsi="宋体" w:cs="宋体"/>
          <w:szCs w:val="21"/>
        </w:rPr>
        <w:t>甲方</w:t>
      </w:r>
      <w:r>
        <w:rPr>
          <w:rFonts w:hint="eastAsia" w:ascii="宋体" w:hAnsi="宋体" w:cs="宋体"/>
          <w:szCs w:val="21"/>
          <w:lang w:eastAsia="zh-CN"/>
        </w:rPr>
        <w:t>实施</w:t>
      </w:r>
      <w:r>
        <w:rPr>
          <w:rFonts w:hint="eastAsia" w:ascii="宋体" w:hAnsi="宋体" w:cs="宋体"/>
          <w:szCs w:val="21"/>
        </w:rPr>
        <w:t>深圳会展中心中压开关柜环网柜检修和耐压测试项目有关事宜，经协商达成一致，签订本合同。</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第1条  项目概况</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1.1 项目名称：深圳会展中心中压开关柜环网柜检修和耐压测试项目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 项目地点：</w:t>
      </w:r>
      <w:r>
        <w:rPr>
          <w:rFonts w:hint="eastAsia" w:ascii="宋体" w:hAnsi="宋体" w:cs="宋体"/>
          <w:szCs w:val="21"/>
          <w:u w:val="single"/>
        </w:rPr>
        <w:t xml:space="preserve">深圳会展中心（深圳市福田区）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1.3 项目内容：根据电力设备预防性试验规程的相关要求，对会展中心</w:t>
      </w:r>
      <w:r>
        <w:rPr>
          <w:rFonts w:hint="eastAsia" w:ascii="宋体" w:hAnsi="宋体" w:cs="宋体"/>
          <w:szCs w:val="21"/>
          <w:lang w:val="en-US" w:eastAsia="zh-CN"/>
        </w:rPr>
        <w:t>59条高压电缆线进行测试</w:t>
      </w:r>
      <w:r>
        <w:rPr>
          <w:rFonts w:hint="eastAsia" w:ascii="宋体" w:hAnsi="宋体" w:cs="宋体"/>
          <w:szCs w:val="21"/>
        </w:rPr>
        <w:t>，</w:t>
      </w:r>
      <w:r>
        <w:rPr>
          <w:rFonts w:hint="eastAsia" w:ascii="宋体" w:hAnsi="宋体" w:cs="宋体"/>
          <w:szCs w:val="21"/>
          <w:lang w:val="en-US" w:eastAsia="zh-CN"/>
        </w:rPr>
        <w:t>15条高压电最缆终端头制作，</w:t>
      </w:r>
      <w:r>
        <w:rPr>
          <w:rFonts w:hint="eastAsia" w:ascii="宋体" w:hAnsi="宋体" w:cs="宋体"/>
          <w:szCs w:val="21"/>
        </w:rPr>
        <w:t>工程量详见附件。</w:t>
      </w:r>
    </w:p>
    <w:p>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 xml:space="preserve">1.4 工期：自合同签订起 </w:t>
      </w:r>
      <w:r>
        <w:rPr>
          <w:rFonts w:hint="eastAsia" w:ascii="宋体" w:hAnsi="宋体" w:cs="宋体"/>
          <w:b/>
          <w:bCs/>
          <w:szCs w:val="21"/>
          <w:lang w:val="en-US" w:eastAsia="zh-CN"/>
        </w:rPr>
        <w:t>XX</w:t>
      </w:r>
      <w:r>
        <w:rPr>
          <w:rFonts w:hint="eastAsia" w:ascii="宋体" w:hAnsi="宋体" w:cs="宋体"/>
          <w:szCs w:val="21"/>
        </w:rPr>
        <w:t>个日历日。</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1.5 工程质量验收标准</w:t>
      </w:r>
      <w:r>
        <w:rPr>
          <w:rFonts w:hint="eastAsia" w:ascii="宋体" w:hAnsi="宋体" w:cs="宋体"/>
          <w:szCs w:val="21"/>
          <w:u w:val="single"/>
        </w:rPr>
        <w:t xml:space="preserve">：合格  </w:t>
      </w:r>
      <w:r>
        <w:rPr>
          <w:rFonts w:hint="eastAsia" w:ascii="宋体" w:hAns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1.6 合同价款（人民币大写） </w:t>
      </w:r>
      <w:r>
        <w:rPr>
          <w:rFonts w:hint="eastAsia" w:ascii="宋体" w:hAnsi="宋体" w:cs="宋体"/>
          <w:szCs w:val="21"/>
          <w:lang w:val="en-US" w:eastAsia="zh-CN"/>
        </w:rPr>
        <w:t>XXX</w:t>
      </w:r>
      <w:r>
        <w:rPr>
          <w:rFonts w:hint="eastAsia" w:ascii="宋体" w:hAnsi="宋体" w:cs="宋体"/>
          <w:szCs w:val="21"/>
          <w:u w:val="single"/>
        </w:rPr>
        <w:t>元整</w:t>
      </w:r>
      <w:r>
        <w:rPr>
          <w:rFonts w:hint="eastAsia" w:ascii="宋体" w:hAnsi="宋体" w:cs="宋体"/>
          <w:szCs w:val="21"/>
        </w:rPr>
        <w:t>（人民币小写）：¥</w:t>
      </w:r>
      <w:r>
        <w:rPr>
          <w:rFonts w:hint="eastAsia" w:ascii="宋体" w:hAnsi="宋体" w:cs="宋体"/>
          <w:szCs w:val="21"/>
          <w:u w:val="single"/>
        </w:rPr>
        <w:t xml:space="preserve"> </w:t>
      </w:r>
      <w:r>
        <w:rPr>
          <w:rFonts w:hint="eastAsia" w:ascii="宋体" w:hAnsi="宋体" w:cs="宋体"/>
          <w:szCs w:val="21"/>
          <w:u w:val="single"/>
          <w:lang w:val="en-US" w:eastAsia="zh-CN"/>
        </w:rPr>
        <w:t xml:space="preserve">XX </w:t>
      </w:r>
      <w:r>
        <w:rPr>
          <w:rFonts w:hint="eastAsia" w:ascii="宋体" w:hAnsi="宋体" w:cs="宋体"/>
          <w:szCs w:val="21"/>
        </w:rPr>
        <w:t>（含一切费用及税费）。</w:t>
      </w:r>
    </w:p>
    <w:p>
      <w:pPr>
        <w:adjustRightInd w:val="0"/>
        <w:snapToGrid w:val="0"/>
        <w:spacing w:line="360" w:lineRule="auto"/>
        <w:ind w:firstLine="105"/>
        <w:jc w:val="center"/>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第2条  双方工作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2.1  甲方工作</w:t>
      </w:r>
    </w:p>
    <w:p>
      <w:pPr>
        <w:spacing w:line="360" w:lineRule="auto"/>
        <w:ind w:right="-197" w:rightChars="-94" w:firstLine="420" w:firstLineChars="200"/>
        <w:rPr>
          <w:rFonts w:ascii="宋体" w:hAnsi="宋体" w:cs="宋体"/>
          <w:szCs w:val="21"/>
        </w:rPr>
      </w:pPr>
      <w:r>
        <w:rPr>
          <w:rFonts w:hint="eastAsia" w:ascii="宋体" w:hAnsi="宋体" w:cs="宋体"/>
          <w:szCs w:val="21"/>
        </w:rPr>
        <w:t>2.1.1 协助乙方办理</w:t>
      </w:r>
      <w:bookmarkStart w:id="59" w:name="_Hlk60728821"/>
      <w:r>
        <w:rPr>
          <w:rFonts w:hint="eastAsia" w:ascii="宋体" w:hAnsi="宋体" w:cs="宋体"/>
          <w:szCs w:val="21"/>
        </w:rPr>
        <w:t>检修</w:t>
      </w:r>
      <w:bookmarkEnd w:id="59"/>
      <w:r>
        <w:rPr>
          <w:rFonts w:hint="eastAsia" w:ascii="宋体" w:hAnsi="宋体" w:cs="宋体"/>
          <w:szCs w:val="21"/>
        </w:rPr>
        <w:t>所涉及的各种申请、批件等手续，协助乙方安装调试所需的电，协调做好通道、电梯、消防设备的使用和保护。</w:t>
      </w:r>
    </w:p>
    <w:p>
      <w:pPr>
        <w:spacing w:line="360" w:lineRule="auto"/>
        <w:ind w:firstLine="420" w:firstLineChars="200"/>
        <w:rPr>
          <w:rFonts w:ascii="宋体" w:hAnsi="宋体" w:cs="宋体"/>
          <w:szCs w:val="21"/>
        </w:rPr>
      </w:pPr>
      <w:r>
        <w:rPr>
          <w:rFonts w:hint="eastAsia" w:ascii="宋体" w:hAnsi="宋体" w:cs="宋体"/>
          <w:szCs w:val="21"/>
        </w:rPr>
        <w:t>2.1.2 协助乙方熟悉所涉及的电气电路，配合乙方完成需要的停电和通电操作。</w:t>
      </w:r>
    </w:p>
    <w:p>
      <w:pPr>
        <w:spacing w:line="360" w:lineRule="auto"/>
        <w:ind w:firstLine="420" w:firstLineChars="200"/>
        <w:rPr>
          <w:rFonts w:ascii="宋体" w:hAnsi="宋体" w:cs="宋体"/>
          <w:szCs w:val="21"/>
        </w:rPr>
      </w:pPr>
      <w:r>
        <w:rPr>
          <w:rFonts w:hint="eastAsia" w:ascii="宋体" w:hAnsi="宋体" w:cs="宋体"/>
          <w:szCs w:val="21"/>
        </w:rPr>
        <w:t>2.1.3 指派</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为项目对接人（</w:t>
      </w:r>
      <w:r>
        <w:rPr>
          <w:rFonts w:hint="eastAsia" w:ascii="宋体" w:hAnsi="宋体" w:cs="宋体"/>
          <w:szCs w:val="21"/>
          <w:u w:val="single"/>
        </w:rPr>
        <w:t>联系方式</w:t>
      </w:r>
      <w:r>
        <w:rPr>
          <w:rFonts w:hint="eastAsia" w:ascii="宋体" w:hAnsi="宋体" w:cs="宋体"/>
          <w:szCs w:val="21"/>
          <w:u w:val="single"/>
          <w:lang w:val="en-US" w:eastAsia="zh-CN"/>
        </w:rPr>
        <w:t xml:space="preserve">       </w:t>
      </w:r>
      <w:r>
        <w:rPr>
          <w:rFonts w:hint="eastAsia" w:ascii="宋体" w:hAnsi="宋体" w:cs="宋体"/>
          <w:szCs w:val="21"/>
        </w:rPr>
        <w:t>），负责对项目质量、进度进行监督检查，办理验收、变更、登记手续和其他事宜。</w:t>
      </w:r>
    </w:p>
    <w:p>
      <w:pPr>
        <w:spacing w:line="360" w:lineRule="auto"/>
        <w:ind w:firstLine="105"/>
        <w:rPr>
          <w:rFonts w:ascii="宋体" w:hAnsi="宋体" w:cs="宋体"/>
          <w:szCs w:val="21"/>
        </w:rPr>
      </w:pPr>
      <w:r>
        <w:rPr>
          <w:rFonts w:hint="eastAsia" w:ascii="宋体" w:hAnsi="宋体" w:cs="宋体"/>
          <w:szCs w:val="21"/>
        </w:rPr>
        <w:t xml:space="preserve">   2.1.4 监督质量及进度计划执行情况。</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  乙方工作</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 收到中标通知书后，立即拟定检修方案和进度计划，交甲方审定，并着手开展检修准备工作。</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2.2.2 严格执行相关安装规范、室内环境污染控制规范、安全操作规程、防火安全规定、环境保护规定。严格按照图纸或作法说明进行，做好各项质量检查记录。</w:t>
      </w:r>
      <w:r>
        <w:rPr>
          <w:rFonts w:hint="eastAsia" w:ascii="宋体" w:hAnsi="宋体"/>
          <w:szCs w:val="21"/>
        </w:rPr>
        <w:t>乙方承诺具备真实合法有效相关资质，按照国家和政府关于安全施工的有关规定以及国家的相关技术标准，进行标的物施工，并采取严格、科学的安全防护措施，确保设备安全和第三者的安全，自行承担由于自身安全措施防护不当造成事故的全部责任及损失赔偿，因乙方原因导致发生意外事故的，与甲方无关</w:t>
      </w:r>
      <w:r>
        <w:rPr>
          <w:rFonts w:hint="eastAsia" w:ascii="宋体" w:hAnsi="宋体"/>
          <w:szCs w:val="21"/>
          <w:highlight w:val="none"/>
        </w:rPr>
        <w:t>，造成甲方损失的，甲方有权向乙方进行全额追索。乙方开始设备安装调试前应自行检查确</w:t>
      </w:r>
      <w:r>
        <w:rPr>
          <w:rFonts w:hint="eastAsia" w:ascii="宋体" w:hAnsi="宋体"/>
          <w:szCs w:val="21"/>
        </w:rPr>
        <w:t>认环境安全，安全防护措施到位。</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2.2.3 指派</w:t>
      </w:r>
      <w:r>
        <w:rPr>
          <w:rFonts w:hint="eastAsia" w:ascii="宋体" w:hAnsi="宋体" w:cs="宋体"/>
          <w:szCs w:val="21"/>
          <w:u w:val="single"/>
        </w:rPr>
        <w:t xml:space="preserve">           </w:t>
      </w:r>
      <w:r>
        <w:rPr>
          <w:rFonts w:hint="eastAsia" w:ascii="宋体" w:hAnsi="宋体" w:cs="宋体"/>
          <w:szCs w:val="21"/>
        </w:rPr>
        <w:t>为施工负责人</w:t>
      </w:r>
      <w:r>
        <w:rPr>
          <w:rFonts w:hint="eastAsia" w:ascii="宋体" w:hAnsi="宋体" w:cs="宋体"/>
          <w:szCs w:val="21"/>
          <w:u w:val="single"/>
        </w:rPr>
        <w:t>（联系方式：      ）</w:t>
      </w:r>
      <w:r>
        <w:rPr>
          <w:rFonts w:hint="eastAsia" w:ascii="宋体" w:hAnsi="宋体" w:cs="宋体"/>
          <w:szCs w:val="21"/>
        </w:rPr>
        <w:t xml:space="preserve">，负责履行合同，组织安装，按期保质保量完成任务，解决由乙方负责的各项事宜。    </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2.2.4 乙方有义务按甲方的要求办理相关的进场手续，遵守甲方相关管理规定，保证施工安全。</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2.2.5 乙方有义务事先告知甲方未知的在本项目设计或甲方指令中存在的问题或缺陷，避免造成项目损失。</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2.2.6 安装中涉及需要拆改原设备管线的，乙方应当向甲方提出意见。甲方未办理相关审批手续或未经甲方代表书面同意，乙方不得拆改原设备管线，否则，由此造成的事故或发生的损失（包括罚款），由乙方负责并承担。</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2.2.7 乙方应当妥善保护好现场周围建筑物、设备管线等不受破坏，做好现场保卫和垃圾清运等工作。</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2.2.8 乙方在项目施工中应妥善保护场地内外的甲方项目成品。项目竣工之前，负责对甲方现场的一切设施和工程成品进行保护。</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2.2.9 所有安装调试、材料进出等不得影响甲方正常经营生产。</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2.2.10 参加竣工验收。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2.2.11未经甲方书面同意，不得转包、分包。</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szCs w:val="21"/>
        </w:rPr>
      </w:pPr>
      <w:r>
        <w:rPr>
          <w:rFonts w:hint="eastAsia" w:ascii="宋体" w:hAnsi="宋体" w:cs="宋体"/>
          <w:b/>
          <w:szCs w:val="21"/>
        </w:rPr>
        <w:t>第3条  工期要求</w:t>
      </w:r>
    </w:p>
    <w:p>
      <w:pPr>
        <w:spacing w:line="360" w:lineRule="auto"/>
        <w:ind w:firstLine="420" w:firstLineChars="200"/>
        <w:rPr>
          <w:rFonts w:ascii="宋体" w:hAnsi="宋体" w:cs="宋体"/>
          <w:szCs w:val="21"/>
        </w:rPr>
      </w:pPr>
      <w:r>
        <w:rPr>
          <w:rFonts w:hint="eastAsia" w:ascii="宋体" w:hAnsi="宋体" w:cs="宋体"/>
          <w:szCs w:val="21"/>
        </w:rPr>
        <w:t>3.1 工期按本合同1.4执行。乙方应按照本合同约定的工期和招标文件要求、投标文件承诺按期完工。</w:t>
      </w:r>
    </w:p>
    <w:p>
      <w:pPr>
        <w:spacing w:line="360" w:lineRule="auto"/>
        <w:ind w:firstLine="105"/>
        <w:rPr>
          <w:rFonts w:ascii="宋体" w:hAnsi="宋体" w:cs="宋体"/>
          <w:szCs w:val="21"/>
        </w:rPr>
      </w:pPr>
      <w:r>
        <w:rPr>
          <w:rFonts w:hint="eastAsia" w:ascii="宋体" w:hAnsi="宋体" w:cs="宋体"/>
          <w:szCs w:val="21"/>
        </w:rPr>
        <w:t xml:space="preserve">   3.2 因乙方责任，不能按期开工或中途无故停工，影响工期，工期不顺延。</w:t>
      </w:r>
    </w:p>
    <w:p>
      <w:pPr>
        <w:spacing w:line="360" w:lineRule="auto"/>
        <w:ind w:firstLine="105"/>
        <w:rPr>
          <w:rFonts w:ascii="宋体" w:hAnsi="宋体" w:cs="宋体"/>
          <w:szCs w:val="21"/>
        </w:rPr>
      </w:pPr>
      <w:r>
        <w:rPr>
          <w:rFonts w:hint="eastAsia" w:ascii="宋体" w:hAnsi="宋体" w:cs="宋体"/>
          <w:szCs w:val="21"/>
        </w:rPr>
        <w:t xml:space="preserve">   3.3 由于项目质量原因返工，工期不顺延。</w:t>
      </w:r>
    </w:p>
    <w:p>
      <w:pPr>
        <w:spacing w:line="360" w:lineRule="auto"/>
        <w:ind w:firstLine="105"/>
        <w:rPr>
          <w:rFonts w:ascii="宋体" w:hAnsi="宋体" w:cs="宋体"/>
          <w:szCs w:val="21"/>
        </w:rPr>
      </w:pPr>
      <w:r>
        <w:rPr>
          <w:rFonts w:hint="eastAsia" w:ascii="宋体" w:hAnsi="宋体" w:cs="宋体"/>
          <w:szCs w:val="21"/>
        </w:rPr>
        <w:t xml:space="preserve">   3.4 因乙方预算少算、漏报所产生的增加项目，导致工期延误，工期不顺延。</w:t>
      </w:r>
      <w:bookmarkStart w:id="94" w:name="_GoBack"/>
      <w:bookmarkEnd w:id="94"/>
    </w:p>
    <w:p>
      <w:pPr>
        <w:spacing w:line="360" w:lineRule="auto"/>
        <w:ind w:firstLine="420" w:firstLineChars="200"/>
        <w:rPr>
          <w:rFonts w:ascii="宋体" w:hAnsi="宋体" w:cs="宋体"/>
          <w:szCs w:val="21"/>
        </w:rPr>
      </w:pPr>
      <w:r>
        <w:rPr>
          <w:rFonts w:hint="eastAsia" w:ascii="宋体" w:hAnsi="宋体" w:cs="宋体"/>
          <w:szCs w:val="21"/>
        </w:rPr>
        <w:t>3.5 非乙方原因造成的停电及不可抗力等因素影响，导致停工8小时以上（一周内累计计算），工期相应顺延。</w:t>
      </w:r>
    </w:p>
    <w:p>
      <w:pPr>
        <w:spacing w:line="360" w:lineRule="auto"/>
        <w:ind w:firstLine="420" w:firstLineChars="200"/>
        <w:rPr>
          <w:rFonts w:ascii="宋体" w:hAnsi="宋体" w:cs="宋体"/>
          <w:szCs w:val="21"/>
        </w:rPr>
      </w:pPr>
      <w:r>
        <w:rPr>
          <w:rFonts w:hint="eastAsia" w:ascii="宋体" w:hAnsi="宋体" w:cs="宋体"/>
          <w:szCs w:val="21"/>
        </w:rPr>
        <w:t>3.6 乙方须充分考虑甲方正常经营生产可能对项目施工造成的影响，要调配足够的人力、物力，合理安排好检修作业时间，确保如期完工。</w:t>
      </w:r>
    </w:p>
    <w:p>
      <w:pPr>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第4条 材料设备的供应</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4.1 乙方供应的材料，经甲方验收后，由乙方负责保管，由于乙方保管不当或施工不当造成的损失，由乙方负责。</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4.3 乙方采购的材料均应当符合国家强制性文件要求。如乙方采购的材料不符要求，由乙方承担相应责任。</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4.4 如由甲方供应的材料，乙方有义务事先告知甲方准确的材料用量。</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第5条  项目变更</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5.1 甲方变更设计，应在该项检修前7天向乙方发出书面通知。</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5.2 所有的设计变更和工程量增减，甲方应当办理签字确认手续，以作为费用调整依据，否则甲方有权拒付相关变更或增加费用。</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5.3 因甲方设计变更，造成乙方返工费用和相应损失均由甲方承担。</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5.4 由于设计变更，造成乙方材料积压，由双方协商处理。</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 乙方接到变更通知后，可按下列方法提出变更价款，送甲方同意后调整合同价款：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5.6.1 合同附件的预算书中已有适用于变更项目单价的，按已有项目单价调整合同价款；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5.6.2 合同附件的预算书中只有类似于变更项目单价的，可以参照类似项目单价确定变更项目单价，调整合同价款；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5.6.3 合同附件的预算书中没有适用或类似变更项目单价的，按标底的编制方法同比例下浮后确定变更项目单价，调整合同价款。</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5.7 乙方根据现场实际情况提出合理建议，涉及到变更设计和对原定材料的更换，以及增加工程量，必须经甲方同意，并签字确认。未经甲方签字，乙方擅自变更设计或对原定材料更换，或增加工程量，甲方不予认可，由此造成的损失由乙方承担。</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第6条  项目质量检验及验收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6.1本质量评定验收标准的依据：</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6.1.1 项目相关的国家标准规范，包括不限于</w:t>
      </w:r>
      <w:r>
        <w:rPr>
          <w:rFonts w:hint="eastAsia" w:ascii="宋体" w:cs="宋体"/>
          <w:szCs w:val="21"/>
        </w:rPr>
        <w:t>《电力设备预防性试验规程》DL/T 596-2021。</w:t>
      </w:r>
      <w:r>
        <w:rPr>
          <w:rFonts w:hint="eastAsia" w:ascii="宋体" w:hAnsi="宋体" w:cs="宋体"/>
          <w:snapToGrid/>
          <w:spacing w:val="0"/>
          <w:kern w:val="2"/>
          <w:sz w:val="21"/>
          <w:szCs w:val="21"/>
        </w:rPr>
        <w:t>《电气装置安装工程电缆线路施工及验收规范》GB 50168-2018</w:t>
      </w:r>
      <w:r>
        <w:rPr>
          <w:rFonts w:hint="eastAsia" w:ascii="宋体" w:cs="宋体"/>
          <w:szCs w:val="21"/>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6.1.2 施工图纸、作法说明、设计变更；</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6.1.3 本项目招标文件要求和乙方投标文件承诺。</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6.2 甲乙双方应及时办理隐蔽工程和中间工程的检查与验收手续。当项目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05"/>
        <w:rPr>
          <w:rFonts w:ascii="宋体" w:hAnsi="宋体" w:cs="宋体"/>
          <w:szCs w:val="21"/>
        </w:rPr>
      </w:pPr>
      <w:r>
        <w:rPr>
          <w:rFonts w:hint="eastAsia" w:ascii="宋体" w:hAnsi="宋体" w:cs="宋体"/>
          <w:szCs w:val="21"/>
        </w:rPr>
        <w:t xml:space="preserve">   6.3 因乙方提供的材料、设备质量不合格而影响项目质量，由此造成的全部损失由乙方承担；因乙方施工质量问题造成材料、设备的损坏，其全部损失由乙方承担。</w:t>
      </w:r>
    </w:p>
    <w:p>
      <w:pPr>
        <w:spacing w:line="360" w:lineRule="auto"/>
        <w:ind w:firstLine="105"/>
        <w:rPr>
          <w:rFonts w:ascii="宋体" w:hAnsi="宋体" w:cs="宋体"/>
          <w:szCs w:val="21"/>
        </w:rPr>
      </w:pPr>
      <w:r>
        <w:rPr>
          <w:rFonts w:hint="eastAsia" w:ascii="宋体" w:hAnsi="宋体" w:cs="宋体"/>
          <w:szCs w:val="21"/>
        </w:rPr>
        <w:t xml:space="preserve">   6.4 项目竣工后，乙方应通知甲方验收，甲方自接到验收通知</w:t>
      </w:r>
      <w:r>
        <w:rPr>
          <w:rFonts w:hint="eastAsia" w:ascii="宋体" w:hAnsi="宋体" w:cs="宋体"/>
          <w:szCs w:val="21"/>
          <w:u w:val="single"/>
        </w:rPr>
        <w:t xml:space="preserve"> 7 </w:t>
      </w:r>
      <w:r>
        <w:rPr>
          <w:rFonts w:hint="eastAsia" w:ascii="宋体" w:hAnsi="宋体" w:cs="宋体"/>
          <w:szCs w:val="21"/>
        </w:rPr>
        <w:t>日内组织验收，如甲方在规定时间内不能组织验收，需及时通知乙方，另定验收日期。</w:t>
      </w:r>
    </w:p>
    <w:p>
      <w:pPr>
        <w:spacing w:line="360" w:lineRule="auto"/>
        <w:ind w:firstLine="105"/>
        <w:rPr>
          <w:rFonts w:ascii="宋体" w:hAnsi="宋体" w:cs="宋体"/>
          <w:szCs w:val="21"/>
        </w:rPr>
      </w:pPr>
      <w:r>
        <w:rPr>
          <w:rFonts w:hint="eastAsia" w:ascii="宋体" w:hAnsi="宋体" w:cs="宋体"/>
          <w:szCs w:val="21"/>
        </w:rPr>
        <w:t xml:space="preserve">   6.5 项目质量验收不合格，经整改后，另行验收，整改费用由乙方承担。整改后仍不合格，甲方可要求乙方继续整改，整改费用由乙方承担，也可要求乙方离场并赔偿不合格项目的损失。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6.6 在项目质量验收后，双方办理书面验收手续。</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第7条 合同价款及支付</w:t>
      </w:r>
    </w:p>
    <w:p>
      <w:pPr>
        <w:spacing w:line="360" w:lineRule="auto"/>
        <w:ind w:firstLine="105"/>
        <w:rPr>
          <w:rFonts w:ascii="宋体" w:hAnsi="宋体" w:cs="宋体"/>
          <w:szCs w:val="21"/>
        </w:rPr>
      </w:pPr>
      <w:r>
        <w:rPr>
          <w:rFonts w:hint="eastAsia" w:ascii="宋体" w:hAnsi="宋体" w:cs="宋体"/>
          <w:szCs w:val="21"/>
        </w:rPr>
        <w:t xml:space="preserve">   7.1 双方商定本合同价采用下列第</w:t>
      </w:r>
      <w:r>
        <w:rPr>
          <w:rFonts w:hint="eastAsia" w:ascii="宋体" w:hAnsi="宋体" w:cs="宋体"/>
          <w:szCs w:val="21"/>
          <w:u w:val="single"/>
        </w:rPr>
        <w:t xml:space="preserve">  7.1.1</w:t>
      </w:r>
      <w:r>
        <w:rPr>
          <w:rFonts w:hint="eastAsia" w:ascii="宋体" w:hAnsi="宋体" w:cs="宋体"/>
          <w:szCs w:val="21"/>
        </w:rPr>
        <w:t>种方式。</w:t>
      </w:r>
    </w:p>
    <w:p>
      <w:pPr>
        <w:spacing w:line="360" w:lineRule="auto"/>
        <w:ind w:firstLine="105"/>
        <w:rPr>
          <w:rFonts w:ascii="宋体" w:hAnsi="宋体" w:cs="宋体"/>
          <w:szCs w:val="21"/>
        </w:rPr>
      </w:pPr>
      <w:r>
        <w:rPr>
          <w:rFonts w:hint="eastAsia" w:ascii="宋体" w:hAnsi="宋体" w:cs="宋体"/>
          <w:szCs w:val="21"/>
        </w:rPr>
        <w:t xml:space="preserve">   7.1.1 固定总价合同，即承包范围内此价格已涵盖全部费用，结算时除变更项目外不做任何调整。变更工程价款的确定，参照本合同第5条项下约定执行。</w:t>
      </w:r>
    </w:p>
    <w:p>
      <w:pPr>
        <w:spacing w:line="360" w:lineRule="auto"/>
        <w:ind w:firstLine="420" w:firstLineChars="200"/>
        <w:rPr>
          <w:rFonts w:ascii="宋体" w:hAnsi="宋体" w:cs="宋体"/>
          <w:szCs w:val="21"/>
        </w:rPr>
      </w:pPr>
      <w:r>
        <w:rPr>
          <w:rFonts w:hint="eastAsia" w:ascii="宋体" w:hAnsi="宋体" w:cs="宋体"/>
          <w:szCs w:val="21"/>
        </w:rPr>
        <w:t>7.1.2 固定单价合同，即项目结算时，工程量根据双方招标清单中确认的计量方式按实结算，承包范围内的项目单价按照中标价不作任何调整。变更项目价款的确定，参照本合同5.6条款的约定执行。</w:t>
      </w:r>
    </w:p>
    <w:p>
      <w:pPr>
        <w:spacing w:line="360" w:lineRule="auto"/>
        <w:ind w:firstLine="420" w:firstLineChars="200"/>
        <w:rPr>
          <w:rFonts w:ascii="宋体" w:hAnsi="宋体" w:cs="宋体"/>
          <w:szCs w:val="21"/>
        </w:rPr>
      </w:pPr>
      <w:r>
        <w:rPr>
          <w:rFonts w:hint="eastAsia" w:ascii="宋体" w:hAnsi="宋体" w:cs="宋体"/>
          <w:szCs w:val="21"/>
        </w:rPr>
        <w:t>7.1.3 可调单价合同，结算时按第三方造价咨询公司审核的价格为最终结算价。</w:t>
      </w:r>
    </w:p>
    <w:p>
      <w:pPr>
        <w:spacing w:line="360" w:lineRule="auto"/>
        <w:ind w:firstLine="420" w:firstLineChars="200"/>
        <w:rPr>
          <w:rFonts w:ascii="宋体" w:hAnsi="宋体" w:cs="宋体"/>
          <w:szCs w:val="21"/>
        </w:rPr>
      </w:pPr>
      <w:r>
        <w:rPr>
          <w:rFonts w:hint="eastAsia" w:ascii="宋体" w:hAnsi="宋体" w:cs="宋体"/>
          <w:szCs w:val="21"/>
        </w:rPr>
        <w:t>7.2 本项目合同价总额为乙方中标价，按本合同1.7执行。</w:t>
      </w:r>
    </w:p>
    <w:p>
      <w:pPr>
        <w:spacing w:line="360" w:lineRule="auto"/>
        <w:ind w:firstLine="420" w:firstLineChars="200"/>
        <w:rPr>
          <w:rFonts w:ascii="宋体" w:hAnsi="宋体" w:cs="宋体"/>
          <w:szCs w:val="21"/>
        </w:rPr>
      </w:pPr>
      <w:r>
        <w:rPr>
          <w:rFonts w:hint="eastAsia" w:ascii="宋体" w:hAnsi="宋体" w:cs="宋体"/>
          <w:szCs w:val="21"/>
        </w:rPr>
        <w:t>7.3双方约定，项目整体竣工经甲方书面验收合格，并在收到乙方开具的等额发票后支付合同总金额的97%，剩余3%合同金额留作质量保修金。质量保修期满后，完成违约责任清算后一次性支付剩余质量保修金（不计利息）。</w:t>
      </w:r>
    </w:p>
    <w:p>
      <w:pPr>
        <w:spacing w:line="360" w:lineRule="auto"/>
        <w:ind w:firstLine="420" w:firstLineChars="200"/>
        <w:rPr>
          <w:rFonts w:ascii="宋体" w:hAnsi="宋体" w:cs="宋体"/>
          <w:szCs w:val="21"/>
        </w:rPr>
      </w:pPr>
      <w:r>
        <w:rPr>
          <w:rFonts w:hint="eastAsia" w:ascii="宋体" w:hAnsi="宋体" w:cs="宋体"/>
          <w:szCs w:val="21"/>
        </w:rPr>
        <w:t>7.4 甲方付款前乙方应按项目款全额向甲方开具真实合法有效的增值税发票。</w:t>
      </w:r>
    </w:p>
    <w:p>
      <w:pPr>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第8条  索赔</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8.1 甲方未按合同约定提供检修所需条件、支付工程款、顺延工期或其他非乙方原因造成乙方经济损失，乙方可依照合同有关条款进行索赔。</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8.2 乙方未按合同约定履行义务或未全面履行合同约定的全部义务而造成甲方损失，甲方可依照合同有关条款进行索赔，赔偿范围包括实际损失及诉讼费用、律师费、保全费、公证费、鉴定费等维权费用。</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8.3 索赔程序</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8.3.1 索赔方知晓索赔事件发生</w:t>
      </w:r>
      <w:r>
        <w:rPr>
          <w:rFonts w:hint="eastAsia" w:ascii="宋体" w:hAnsi="宋体" w:cs="宋体"/>
          <w:szCs w:val="21"/>
          <w:u w:val="single"/>
        </w:rPr>
        <w:t xml:space="preserve"> 7  </w:t>
      </w:r>
      <w:r>
        <w:rPr>
          <w:rFonts w:hint="eastAsia" w:ascii="宋体" w:hAnsi="宋体" w:cs="宋体"/>
          <w:szCs w:val="21"/>
        </w:rPr>
        <w:t>天内，索赔方向被索赔方发出要求索赔的通知书；</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8.3.2 索赔方在发出索赔意向通知书后</w:t>
      </w:r>
      <w:r>
        <w:rPr>
          <w:rFonts w:hint="eastAsia" w:ascii="宋体" w:hAnsi="宋体" w:cs="宋体"/>
          <w:szCs w:val="21"/>
          <w:u w:val="single"/>
        </w:rPr>
        <w:t xml:space="preserve">  7 </w:t>
      </w:r>
      <w:r>
        <w:rPr>
          <w:rFonts w:hint="eastAsia" w:ascii="宋体" w:hAnsi="宋体" w:cs="宋体"/>
          <w:szCs w:val="21"/>
        </w:rPr>
        <w:t>天内，向被索赔方提交全部和详细的索赔资料；</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第9条  安全和防火</w:t>
      </w:r>
    </w:p>
    <w:p>
      <w:pPr>
        <w:spacing w:line="360" w:lineRule="auto"/>
        <w:ind w:firstLine="105"/>
        <w:rPr>
          <w:rFonts w:ascii="宋体" w:hAnsi="宋体" w:cs="宋体"/>
          <w:szCs w:val="21"/>
        </w:rPr>
      </w:pPr>
      <w:r>
        <w:rPr>
          <w:rFonts w:hint="eastAsia" w:ascii="宋体" w:hAnsi="宋体" w:cs="宋体"/>
          <w:szCs w:val="21"/>
        </w:rPr>
        <w:t xml:space="preserve">   9.1 乙方提供的施工图纸或作法说明，应符合《中华人民共和国消防法》和有关防火设计规范。</w:t>
      </w:r>
    </w:p>
    <w:p>
      <w:pPr>
        <w:spacing w:line="360" w:lineRule="auto"/>
        <w:ind w:firstLine="420" w:firstLineChars="200"/>
        <w:rPr>
          <w:rFonts w:ascii="宋体" w:hAnsi="宋体" w:cs="宋体"/>
          <w:szCs w:val="21"/>
        </w:rPr>
      </w:pPr>
      <w:r>
        <w:rPr>
          <w:rFonts w:hint="eastAsia" w:ascii="宋体" w:hAnsi="宋体" w:cs="宋体"/>
          <w:szCs w:val="21"/>
        </w:rPr>
        <w:t>9.2 乙方在施工期间应严格遵守《建筑安装工程安全技术规程》、《建筑安装工程安全操作规程》、《中华人民共和国消防法》及其它相关的法规、规范，对施工区域做好安全围护或隔离。乙方在本项目检修过程中，自行承担一切因违反有关安全操作规程导致的安全责任和经济损失（包括因施工造成对第三方的伤害）。如有上述意外发生，均与甲方无关。甲方先行承担责任的，有权事后向乙方全额追偿。</w:t>
      </w:r>
    </w:p>
    <w:p>
      <w:pPr>
        <w:spacing w:line="360" w:lineRule="auto"/>
        <w:ind w:firstLine="420" w:firstLineChars="200"/>
        <w:rPr>
          <w:rFonts w:ascii="宋体" w:hAnsi="宋体" w:cs="宋体"/>
          <w:szCs w:val="21"/>
        </w:rPr>
      </w:pPr>
      <w:r>
        <w:rPr>
          <w:rFonts w:hint="eastAsia" w:ascii="宋体" w:hAnsi="宋体" w:cs="宋体"/>
          <w:szCs w:val="21"/>
        </w:rPr>
        <w:t>9.3 乙方在施工期间应严格遵守深圳会展中心管理有限责任公司规定，因乙方在施工过程中违反有关安全操作规程和消防法，导致发生安全事故或火灾，乙方承担由此引发的一切责任和经济损失</w:t>
      </w:r>
      <w:bookmarkStart w:id="60" w:name="_Hlk85559569"/>
      <w:r>
        <w:rPr>
          <w:rFonts w:hint="eastAsia" w:ascii="宋体" w:hAnsi="宋体" w:cs="宋体"/>
          <w:szCs w:val="21"/>
        </w:rPr>
        <w:t>，造成甲方损失的应予赔偿（损失包括实际损失及诉讼费用、律师费、公证费、鉴定费等维权费用）</w:t>
      </w:r>
      <w:bookmarkEnd w:id="60"/>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9.4 乙方应确保乙方人员进场施工前已完成相关培训并取得相关资格证书，并应确保已为乙方人员购买相应保险。乙方在施工过程中应采取符合国家相关规定的安全保障措施，如施工过程中发生任何人员伤亡事故均与甲方无关。</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第10条  违约责任</w:t>
      </w:r>
    </w:p>
    <w:p>
      <w:pPr>
        <w:spacing w:line="360" w:lineRule="auto"/>
        <w:ind w:firstLine="105"/>
        <w:rPr>
          <w:rFonts w:ascii="宋体" w:hAnsi="宋体" w:cs="宋体"/>
          <w:szCs w:val="21"/>
        </w:rPr>
      </w:pPr>
      <w:r>
        <w:rPr>
          <w:rFonts w:hint="eastAsia" w:ascii="宋体" w:hAnsi="宋体" w:cs="宋体"/>
          <w:szCs w:val="21"/>
        </w:rPr>
        <w:t xml:space="preserve">   10.1 甲方或乙方未按本协议条款约定内容履行自己的各项义务致使合同无法履行，应承担相应的违约责任，包括支付违约金，赔偿因其违约给对方造成的损失，赔偿范围包括实际损失及维权费用（包括但不仅限于律师费、诉讼费、公证费、鉴定费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10.2 由于乙方自身原因，导致延迟检修进度计划或逾期竣工，每延迟或逾期一天，乙方支付甲方人民币</w:t>
      </w:r>
      <w:r>
        <w:rPr>
          <w:rFonts w:hint="eastAsia" w:ascii="宋体" w:hAnsi="宋体" w:cs="宋体"/>
          <w:b/>
          <w:i/>
          <w:szCs w:val="21"/>
          <w:u w:val="single"/>
        </w:rPr>
        <w:t xml:space="preserve"> </w:t>
      </w:r>
      <w:r>
        <w:rPr>
          <w:rFonts w:ascii="宋体" w:hAnsi="宋体" w:cs="宋体"/>
          <w:bCs/>
          <w:iCs/>
          <w:szCs w:val="21"/>
          <w:u w:val="single"/>
        </w:rPr>
        <w:t>2000</w:t>
      </w:r>
      <w:r>
        <w:rPr>
          <w:rFonts w:hint="eastAsia" w:ascii="宋体" w:hAnsi="宋体" w:cs="宋体"/>
          <w:bCs/>
          <w:iCs/>
          <w:szCs w:val="21"/>
          <w:u w:val="single"/>
        </w:rPr>
        <w:t xml:space="preserve"> </w:t>
      </w:r>
      <w:r>
        <w:rPr>
          <w:rFonts w:hint="eastAsia" w:ascii="宋体" w:hAnsi="宋体" w:cs="宋体"/>
          <w:szCs w:val="21"/>
        </w:rPr>
        <w:t>元作为违约金，延迟15天以上的，甲方有权解除合同，要求乙方无条件离场并无需支付乙方费用。</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第11条  保修条款</w:t>
      </w:r>
    </w:p>
    <w:p>
      <w:pPr>
        <w:spacing w:line="360" w:lineRule="auto"/>
        <w:ind w:firstLine="105"/>
        <w:rPr>
          <w:rFonts w:ascii="宋体" w:hAnsi="宋体" w:cs="宋体"/>
          <w:szCs w:val="21"/>
        </w:rPr>
      </w:pPr>
      <w:r>
        <w:rPr>
          <w:rFonts w:hint="eastAsia" w:ascii="宋体" w:hAnsi="宋体" w:cs="宋体"/>
          <w:szCs w:val="21"/>
        </w:rPr>
        <w:t xml:space="preserve">   11.1本工程保修责任期（质量保修期）自竣工验收合格之日起</w:t>
      </w:r>
      <w:r>
        <w:rPr>
          <w:rFonts w:hint="eastAsia" w:ascii="宋体" w:hAnsi="宋体" w:cs="宋体"/>
          <w:szCs w:val="21"/>
          <w:u w:val="single"/>
          <w:lang w:val="en-US" w:eastAsia="zh-CN"/>
        </w:rPr>
        <w:t>X</w:t>
      </w:r>
      <w:r>
        <w:rPr>
          <w:rFonts w:hint="eastAsia" w:ascii="宋体" w:hAnsi="宋体" w:cs="宋体"/>
          <w:szCs w:val="21"/>
          <w:u w:val="single"/>
        </w:rPr>
        <w:t>年</w:t>
      </w:r>
      <w:r>
        <w:rPr>
          <w:rFonts w:hint="eastAsia" w:ascii="宋体" w:hAnsi="宋体" w:cs="宋体"/>
          <w:szCs w:val="21"/>
        </w:rPr>
        <w:t>。</w:t>
      </w:r>
    </w:p>
    <w:p>
      <w:pPr>
        <w:spacing w:line="360" w:lineRule="auto"/>
        <w:ind w:firstLine="105"/>
        <w:rPr>
          <w:rFonts w:ascii="宋体" w:hAnsi="宋体" w:cs="宋体"/>
          <w:szCs w:val="21"/>
        </w:rPr>
      </w:pPr>
      <w:r>
        <w:rPr>
          <w:rFonts w:hint="eastAsia" w:ascii="宋体" w:hAnsi="宋体" w:cs="宋体"/>
          <w:szCs w:val="21"/>
        </w:rPr>
        <w:t xml:space="preserve">   11.2 质量保修期内乙方保修范围为乙方施工的工程项目。</w:t>
      </w:r>
    </w:p>
    <w:p>
      <w:pPr>
        <w:spacing w:line="360" w:lineRule="auto"/>
        <w:ind w:firstLine="105"/>
        <w:rPr>
          <w:rFonts w:ascii="宋体" w:hAnsi="宋体" w:cs="宋体"/>
          <w:szCs w:val="21"/>
        </w:rPr>
      </w:pPr>
      <w:r>
        <w:rPr>
          <w:rFonts w:hint="eastAsia" w:ascii="宋体" w:hAnsi="宋体" w:cs="宋体"/>
          <w:szCs w:val="21"/>
        </w:rPr>
        <w:t xml:space="preserve">   11.3 质量保修期内因施工质量问题和乙方提供材料原因造成的损坏，由乙方保修。</w:t>
      </w:r>
    </w:p>
    <w:p>
      <w:pPr>
        <w:spacing w:line="360" w:lineRule="auto"/>
        <w:ind w:firstLine="105"/>
        <w:rPr>
          <w:rFonts w:ascii="宋体" w:hAnsi="宋体" w:cs="宋体"/>
          <w:szCs w:val="21"/>
        </w:rPr>
      </w:pPr>
      <w:r>
        <w:rPr>
          <w:rFonts w:hint="eastAsia" w:ascii="宋体" w:hAnsi="宋体" w:cs="宋体"/>
          <w:szCs w:val="21"/>
        </w:rPr>
        <w:t xml:space="preserve">   11.4 由于甲方提供的材料质量问题、人为造成的损坏和不可避免因素造成的损坏，不在乙方保修范围内。</w:t>
      </w:r>
    </w:p>
    <w:p>
      <w:pPr>
        <w:spacing w:line="360" w:lineRule="auto"/>
        <w:ind w:firstLine="420" w:firstLineChars="200"/>
        <w:rPr>
          <w:rFonts w:ascii="宋体" w:hAnsi="宋体" w:cs="宋体"/>
          <w:szCs w:val="21"/>
        </w:rPr>
      </w:pPr>
      <w:r>
        <w:rPr>
          <w:rFonts w:hint="eastAsia" w:ascii="宋体" w:hAnsi="宋体" w:cs="宋体"/>
          <w:szCs w:val="21"/>
        </w:rPr>
        <w:t>11.5 在质量保修期内，乙方工程质量原因造成的其它财产损失，由乙方按当时市场价格全额赔偿。</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11.6 质量保修期内，乙方在全天</w:t>
      </w:r>
      <w:r>
        <w:rPr>
          <w:rFonts w:hint="eastAsia" w:ascii="宋体" w:hAnsi="宋体" w:cs="宋体"/>
          <w:szCs w:val="21"/>
          <w:u w:val="single"/>
          <w:lang w:val="en-US" w:eastAsia="zh-CN"/>
        </w:rPr>
        <w:t xml:space="preserve">   </w:t>
      </w:r>
      <w:r>
        <w:rPr>
          <w:rFonts w:hint="eastAsia" w:ascii="宋体" w:hAnsi="宋体" w:cs="宋体"/>
          <w:szCs w:val="21"/>
        </w:rPr>
        <w:t>小时内电话响应，并在接到报障电话后，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小时之内到达现场进行服务。如故障非乙方原因，乙方仅收取材料成本费用，人工免费。如故障为乙方原因，乙方无偿更换或修理有问题的设备、零部件、材料，提供免费服务；质量保修期内发生非乙方原因引起的与设备、零部件、材料有关的问题时, 乙方在收到用户通知后4小时内派遣相关人员到达现场进行维修和必要的更换，乙方只向甲方收取零配件和人工等成本费。</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第12条  争议</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12.1 本合同在履行期间，双方发生争议时，在不影响工程进度的前提下，双方可采取协商解决。</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12.2 协商不成可通过</w:t>
      </w:r>
      <w:r>
        <w:rPr>
          <w:rFonts w:hint="eastAsia" w:ascii="宋体" w:hAnsi="宋体" w:cs="宋体"/>
          <w:szCs w:val="21"/>
          <w:u w:val="single"/>
        </w:rPr>
        <w:t>双方认可的部门或</w:t>
      </w:r>
      <w:r>
        <w:rPr>
          <w:rFonts w:hint="eastAsia" w:ascii="宋体" w:hAnsi="宋体" w:cs="宋体"/>
          <w:szCs w:val="21"/>
        </w:rPr>
        <w:t>机构调解。</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12.3 对项目质量或使用的原材料质量发生争议的，可以选择有资质的检测机构进行检测。</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12.4 当事人不愿意通过协商、调解解决或者协商调解不成时，双方可向工程所在地（深圳市福田区）人民法院提起诉讼。</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第13条  合同解除和终止</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 有下列情形之一的，可以解除合同：</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13.1.1 甲乙双方协商一致；</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13.1.2 因不可抗力致使合同无法履行；</w:t>
      </w:r>
    </w:p>
    <w:p>
      <w:pPr>
        <w:adjustRightInd w:val="0"/>
        <w:snapToGrid w:val="0"/>
        <w:spacing w:line="360" w:lineRule="auto"/>
        <w:ind w:firstLine="105"/>
        <w:rPr>
          <w:rFonts w:ascii="宋体" w:hAnsi="宋体" w:cs="宋体"/>
          <w:szCs w:val="21"/>
        </w:rPr>
      </w:pPr>
      <w:r>
        <w:rPr>
          <w:rFonts w:hint="eastAsia" w:ascii="宋体" w:hAnsi="宋体" w:cs="宋体"/>
          <w:szCs w:val="21"/>
        </w:rPr>
        <w:t xml:space="preserve">   13.1.3 因一方违约致使合同无法履行。</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13.2 甲乙双方履行完本合同全部义务，项目竣工结算、价款支付完毕，本合同即告终止。</w:t>
      </w:r>
    </w:p>
    <w:p>
      <w:pPr>
        <w:adjustRightInd w:val="0"/>
        <w:snapToGrid w:val="0"/>
        <w:spacing w:line="360" w:lineRule="auto"/>
        <w:ind w:firstLine="105"/>
        <w:rPr>
          <w:rFonts w:ascii="宋体" w:hAnsi="宋体" w:cs="宋体"/>
          <w:szCs w:val="21"/>
        </w:rPr>
      </w:pPr>
    </w:p>
    <w:p>
      <w:pPr>
        <w:adjustRightInd w:val="0"/>
        <w:snapToGrid w:val="0"/>
        <w:spacing w:line="360" w:lineRule="auto"/>
        <w:ind w:firstLine="422" w:firstLineChars="200"/>
        <w:rPr>
          <w:rFonts w:ascii="宋体" w:hAnsi="宋体" w:cs="宋体"/>
          <w:b/>
          <w:szCs w:val="21"/>
        </w:rPr>
      </w:pPr>
      <w:r>
        <w:rPr>
          <w:rFonts w:hint="eastAsia" w:ascii="宋体" w:hAnsi="宋体" w:cs="宋体"/>
          <w:b/>
          <w:szCs w:val="21"/>
        </w:rPr>
        <w:t>第14条  附则</w:t>
      </w:r>
    </w:p>
    <w:p>
      <w:pPr>
        <w:spacing w:line="360" w:lineRule="auto"/>
        <w:ind w:firstLine="420" w:firstLineChars="200"/>
        <w:rPr>
          <w:rFonts w:ascii="宋体" w:hAnsi="宋体" w:cs="宋体"/>
          <w:szCs w:val="21"/>
        </w:rPr>
      </w:pPr>
      <w:r>
        <w:rPr>
          <w:rFonts w:hint="eastAsia" w:ascii="宋体" w:hAnsi="宋体" w:cs="宋体"/>
          <w:szCs w:val="21"/>
        </w:rPr>
        <w:t>14.1合同一式捌份，甲方执</w:t>
      </w:r>
      <w:r>
        <w:rPr>
          <w:rFonts w:hint="eastAsia" w:ascii="宋体" w:hAnsi="宋体" w:cs="宋体"/>
          <w:szCs w:val="21"/>
          <w:u w:val="single"/>
        </w:rPr>
        <w:t xml:space="preserve"> 肆 </w:t>
      </w:r>
      <w:r>
        <w:rPr>
          <w:rFonts w:hint="eastAsia" w:ascii="宋体" w:hAnsi="宋体" w:cs="宋体"/>
          <w:szCs w:val="21"/>
        </w:rPr>
        <w:t>份，乙方执</w:t>
      </w:r>
      <w:r>
        <w:rPr>
          <w:rFonts w:hint="eastAsia" w:ascii="宋体" w:hAnsi="宋体" w:cs="宋体"/>
          <w:szCs w:val="21"/>
          <w:u w:val="single"/>
        </w:rPr>
        <w:t xml:space="preserve"> 肆 </w:t>
      </w:r>
      <w:r>
        <w:rPr>
          <w:rFonts w:hint="eastAsia" w:ascii="宋体" w:hAnsi="宋体" w:cs="宋体"/>
          <w:szCs w:val="21"/>
        </w:rPr>
        <w:t>份，均具同等法律效力，自双方代表签字并加盖公章之日起生效。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14.2 本项目招标清单或作法说明、招标文件、乙方投标文件、中标通知书属本合同的组成部分，甲乙双方需共同遵守。</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14.3本合同载明的联系方式（包括地址、联系人、联系电话）为双方约定的联系方式，若有变动，应提前书面告知对方，否则该联系方式为双方法定的送达和联系方式，一经发送至上述地址即视为送达。</w:t>
      </w:r>
    </w:p>
    <w:p>
      <w:pPr>
        <w:spacing w:line="360" w:lineRule="auto"/>
        <w:ind w:firstLine="422" w:firstLineChars="200"/>
        <w:rPr>
          <w:rFonts w:ascii="宋体" w:hAnsi="宋体" w:cs="宋体"/>
          <w:b/>
          <w:szCs w:val="21"/>
        </w:rPr>
      </w:pPr>
      <w:r>
        <w:rPr>
          <w:rFonts w:hint="eastAsia" w:ascii="宋体" w:hAnsi="宋体" w:cs="宋体"/>
          <w:b/>
          <w:szCs w:val="21"/>
        </w:rPr>
        <w:t>第15条  补充条款</w:t>
      </w:r>
    </w:p>
    <w:p>
      <w:pPr>
        <w:ind w:firstLine="420" w:firstLineChars="200"/>
        <w:rPr>
          <w:rFonts w:ascii="宋体" w:hAnsi="宋体" w:cs="宋体"/>
          <w:szCs w:val="21"/>
        </w:rPr>
      </w:pPr>
      <w:r>
        <w:rPr>
          <w:rFonts w:hint="eastAsia" w:ascii="宋体" w:hAnsi="宋体" w:cs="宋体"/>
          <w:szCs w:val="21"/>
        </w:rPr>
        <w:t>附件：《深圳会展中心与合作单位安全协议书》、高压电缆线测试要求及工程量作为本合同的组成部分。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（以下无正文，为合同签章页）</w:t>
      </w:r>
    </w:p>
    <w:p>
      <w:pPr>
        <w:adjustRightInd w:val="0"/>
        <w:snapToGrid w:val="0"/>
        <w:spacing w:line="360" w:lineRule="auto"/>
        <w:ind w:firstLine="420" w:firstLineChars="200"/>
        <w:rPr>
          <w:rFonts w:ascii="宋体" w:hAnsi="宋体" w:cs="宋体"/>
          <w:szCs w:val="21"/>
        </w:rPr>
      </w:pPr>
    </w:p>
    <w:p>
      <w:pPr>
        <w:adjustRightInd w:val="0"/>
        <w:snapToGrid w:val="0"/>
        <w:spacing w:line="360" w:lineRule="auto"/>
        <w:ind w:firstLine="420" w:firstLineChars="200"/>
        <w:rPr>
          <w:rFonts w:ascii="宋体" w:hAnsi="宋体" w:cs="宋体"/>
          <w:szCs w:val="21"/>
        </w:rPr>
      </w:pPr>
    </w:p>
    <w:p>
      <w:pPr>
        <w:rPr>
          <w:rFonts w:ascii="宋体" w:hAnsi="宋体" w:cs="宋体"/>
          <w:szCs w:val="21"/>
        </w:rPr>
      </w:pPr>
    </w:p>
    <w:tbl>
      <w:tblPr>
        <w:tblStyle w:val="14"/>
        <w:tblW w:w="8912" w:type="dxa"/>
        <w:tblInd w:w="0" w:type="dxa"/>
        <w:tblLayout w:type="autofit"/>
        <w:tblCellMar>
          <w:top w:w="0" w:type="dxa"/>
          <w:left w:w="108" w:type="dxa"/>
          <w:bottom w:w="0" w:type="dxa"/>
          <w:right w:w="108" w:type="dxa"/>
        </w:tblCellMar>
      </w:tblPr>
      <w:tblGrid>
        <w:gridCol w:w="4643"/>
        <w:gridCol w:w="4269"/>
      </w:tblGrid>
      <w:tr>
        <w:tc>
          <w:tcPr>
            <w:tcW w:w="4643" w:type="dxa"/>
          </w:tcPr>
          <w:p>
            <w:pPr>
              <w:ind w:firstLine="105" w:firstLineChars="50"/>
              <w:jc w:val="left"/>
              <w:rPr>
                <w:rFonts w:ascii="宋体" w:hAnsi="宋体"/>
                <w:szCs w:val="21"/>
                <w:u w:val="single"/>
              </w:rPr>
            </w:pPr>
            <w:r>
              <w:rPr>
                <w:rFonts w:hint="eastAsia" w:ascii="宋体" w:hAnsi="宋体"/>
                <w:szCs w:val="21"/>
              </w:rPr>
              <w:t>甲方（公章）：</w:t>
            </w:r>
            <w:r>
              <w:rPr>
                <w:rFonts w:hint="eastAsia" w:ascii="宋体" w:hAnsi="宋体"/>
                <w:szCs w:val="21"/>
                <w:u w:val="single"/>
              </w:rPr>
              <w:t>深圳会展中心管理有限责任公司</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甲方代表：</w:t>
            </w:r>
            <w:r>
              <w:rPr>
                <w:rFonts w:ascii="宋体" w:hAnsi="宋体"/>
                <w:szCs w:val="21"/>
                <w:u w:val="single"/>
              </w:rPr>
              <w:t xml:space="preserve">                  </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ind w:firstLine="105" w:firstLineChars="50"/>
              <w:jc w:val="left"/>
              <w:rPr>
                <w:rFonts w:ascii="宋体" w:hAnsi="宋体"/>
              </w:rPr>
            </w:pPr>
          </w:p>
          <w:p>
            <w:pPr>
              <w:ind w:firstLine="105" w:firstLineChars="50"/>
              <w:jc w:val="left"/>
              <w:rPr>
                <w:rFonts w:ascii="宋体" w:hAnsi="宋体"/>
                <w:u w:val="single"/>
              </w:rPr>
            </w:pPr>
            <w:r>
              <w:rPr>
                <w:rFonts w:hint="eastAsia" w:ascii="宋体" w:hAnsi="宋体"/>
              </w:rPr>
              <w:t>签订日期：</w:t>
            </w:r>
            <w:r>
              <w:rPr>
                <w:rFonts w:hint="eastAsia" w:ascii="宋体" w:hAnsi="宋体"/>
                <w:u w:val="single"/>
              </w:rPr>
              <w:t xml:space="preserve">                  </w:t>
            </w:r>
          </w:p>
        </w:tc>
        <w:tc>
          <w:tcPr>
            <w:tcW w:w="4269" w:type="dxa"/>
          </w:tcPr>
          <w:p>
            <w:pPr>
              <w:ind w:left="1260" w:hanging="1260" w:hangingChars="600"/>
              <w:jc w:val="left"/>
              <w:rPr>
                <w:rFonts w:hint="eastAsia" w:ascii="宋体" w:hAnsi="宋体" w:eastAsia="宋体"/>
                <w:szCs w:val="21"/>
                <w:u w:val="single"/>
                <w:lang w:eastAsia="zh-CN"/>
              </w:rPr>
            </w:pPr>
            <w:r>
              <w:rPr>
                <w:rFonts w:hint="eastAsia" w:ascii="宋体" w:hAnsi="宋体"/>
                <w:szCs w:val="21"/>
              </w:rPr>
              <w:t>乙方（公章）：</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乙方代表：</w:t>
            </w:r>
            <w:r>
              <w:rPr>
                <w:rFonts w:ascii="宋体" w:hAnsi="宋体"/>
                <w:szCs w:val="21"/>
                <w:u w:val="single"/>
              </w:rPr>
              <w:t xml:space="preserve">                  </w:t>
            </w:r>
          </w:p>
          <w:p>
            <w:pPr>
              <w:ind w:firstLine="105" w:firstLineChars="50"/>
              <w:jc w:val="left"/>
              <w:rPr>
                <w:rFonts w:ascii="宋体" w:hAnsi="宋体"/>
                <w:szCs w:val="21"/>
              </w:rPr>
            </w:pPr>
          </w:p>
          <w:p>
            <w:pPr>
              <w:ind w:firstLine="105" w:firstLineChars="50"/>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ind w:firstLine="105" w:firstLineChars="50"/>
              <w:jc w:val="left"/>
              <w:rPr>
                <w:rFonts w:ascii="宋体" w:hAnsi="宋体"/>
                <w:szCs w:val="21"/>
                <w:u w:val="single"/>
              </w:rPr>
            </w:pPr>
          </w:p>
          <w:p>
            <w:pPr>
              <w:ind w:firstLine="105" w:firstLineChars="50"/>
              <w:jc w:val="left"/>
              <w:rPr>
                <w:rFonts w:ascii="宋体" w:hAnsi="宋体"/>
              </w:rPr>
            </w:pPr>
            <w:r>
              <w:rPr>
                <w:rFonts w:hint="eastAsia" w:ascii="宋体" w:hAnsi="宋体"/>
              </w:rPr>
              <w:t>签订日期：</w:t>
            </w:r>
            <w:r>
              <w:rPr>
                <w:rFonts w:hint="eastAsia" w:ascii="宋体" w:hAnsi="宋体"/>
                <w:u w:val="single"/>
              </w:rPr>
              <w:t xml:space="preserve">                  </w:t>
            </w:r>
          </w:p>
        </w:tc>
      </w:tr>
    </w:tbl>
    <w:p>
      <w:pPr>
        <w:widowControl/>
        <w:jc w:val="left"/>
        <w:rPr>
          <w:b/>
          <w:sz w:val="32"/>
          <w:szCs w:val="32"/>
        </w:rPr>
      </w:pPr>
      <w:r>
        <w:rPr>
          <w:b/>
          <w:sz w:val="32"/>
          <w:szCs w:val="32"/>
        </w:rPr>
        <w:br w:type="page"/>
      </w:r>
    </w:p>
    <w:p>
      <w:pPr>
        <w:spacing w:line="260" w:lineRule="exact"/>
        <w:ind w:firstLine="105"/>
        <w:rPr>
          <w:rFonts w:ascii="宋体" w:hAnsi="宋体" w:cs="宋体"/>
          <w:szCs w:val="21"/>
        </w:rPr>
      </w:pPr>
      <w:r>
        <w:rPr>
          <w:rFonts w:hint="eastAsia" w:ascii="宋体" w:hAnsi="宋体" w:cs="宋体"/>
          <w:szCs w:val="21"/>
        </w:rPr>
        <w:t>附件：</w:t>
      </w:r>
    </w:p>
    <w:p>
      <w:pPr>
        <w:jc w:val="center"/>
        <w:rPr>
          <w:rFonts w:ascii="宋体" w:hAnsi="宋体" w:cs="宋体"/>
          <w:b/>
          <w:szCs w:val="21"/>
        </w:rPr>
      </w:pPr>
      <w:r>
        <w:rPr>
          <w:rFonts w:hint="eastAsia" w:ascii="宋体" w:hAnsi="宋体" w:cs="宋体"/>
          <w:b/>
          <w:szCs w:val="21"/>
        </w:rPr>
        <w:t>深圳会展中心合作单位安全协议书</w:t>
      </w:r>
    </w:p>
    <w:p>
      <w:pPr>
        <w:jc w:val="center"/>
        <w:rPr>
          <w:rFonts w:ascii="宋体" w:hAnsi="宋体" w:cs="宋体"/>
          <w:b/>
          <w:szCs w:val="21"/>
        </w:rPr>
      </w:pPr>
    </w:p>
    <w:p>
      <w:pPr>
        <w:spacing w:line="360" w:lineRule="auto"/>
        <w:ind w:firstLine="630" w:firstLineChars="300"/>
        <w:rPr>
          <w:rFonts w:ascii="宋体" w:hAnsi="宋体" w:cs="宋体"/>
          <w:szCs w:val="21"/>
        </w:rPr>
      </w:pPr>
      <w:r>
        <w:rPr>
          <w:rFonts w:hint="eastAsia" w:ascii="宋体" w:hAnsi="宋体" w:cs="宋体"/>
          <w:szCs w:val="21"/>
          <w:u w:val="single"/>
        </w:rPr>
        <w:t xml:space="preserve">深圳会展中心高压电缆线耐压和绝缘测试 </w:t>
      </w:r>
      <w:r>
        <w:rPr>
          <w:rFonts w:hint="eastAsia" w:ascii="宋体" w:hAnsi="宋体" w:cs="宋体"/>
          <w:szCs w:val="21"/>
        </w:rPr>
        <w:t>项目合同的乙方:</w:t>
      </w:r>
      <w:r>
        <w:rPr>
          <w:rFonts w:hint="eastAsia" w:ascii="宋体" w:hAnsi="宋体" w:cs="宋体"/>
          <w:szCs w:val="21"/>
          <w:u w:val="single"/>
        </w:rPr>
        <w:t xml:space="preserve">               </w:t>
      </w:r>
      <w:r>
        <w:rPr>
          <w:rFonts w:hint="eastAsia" w:ascii="宋体" w:hAnsi="宋体" w:cs="宋体"/>
          <w:szCs w:val="21"/>
        </w:rPr>
        <w:t>作为合作单位,在深圳会展中心从事</w:t>
      </w:r>
      <w:r>
        <w:rPr>
          <w:rFonts w:hint="eastAsia" w:ascii="宋体" w:hAnsi="宋体" w:cs="宋体"/>
          <w:szCs w:val="21"/>
          <w:u w:val="single"/>
        </w:rPr>
        <w:t xml:space="preserve"> </w:t>
      </w:r>
      <w:r>
        <w:rPr>
          <w:rFonts w:hint="eastAsia" w:ascii="宋体" w:hAnsi="宋体" w:cs="宋体"/>
          <w:szCs w:val="21"/>
        </w:rPr>
        <w:t>项目的工程施工。</w:t>
      </w:r>
    </w:p>
    <w:p>
      <w:pPr>
        <w:spacing w:line="360" w:lineRule="auto"/>
        <w:ind w:firstLine="420" w:firstLineChars="200"/>
        <w:rPr>
          <w:rFonts w:ascii="宋体" w:hAnsi="宋体" w:cs="宋体"/>
          <w:szCs w:val="21"/>
        </w:rPr>
      </w:pPr>
      <w:r>
        <w:rPr>
          <w:rFonts w:hint="eastAsia" w:ascii="宋体" w:hAnsi="宋体" w:cs="宋体"/>
          <w:szCs w:val="21"/>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u w:val="single"/>
        </w:rPr>
        <w:t xml:space="preserve">                    </w:t>
      </w:r>
      <w:r>
        <w:rPr>
          <w:rFonts w:hint="eastAsia" w:ascii="宋体" w:hAnsi="宋体" w:cs="宋体"/>
          <w:szCs w:val="21"/>
        </w:rPr>
        <w:t>合作单位界定双方的消防和安全生产责任如下：</w:t>
      </w:r>
    </w:p>
    <w:p>
      <w:pPr>
        <w:spacing w:line="360" w:lineRule="auto"/>
        <w:ind w:firstLine="422" w:firstLineChars="200"/>
        <w:rPr>
          <w:rFonts w:ascii="宋体" w:hAnsi="宋体" w:cs="宋体"/>
          <w:b/>
          <w:szCs w:val="21"/>
        </w:rPr>
      </w:pPr>
      <w:r>
        <w:rPr>
          <w:rFonts w:hint="eastAsia" w:ascii="宋体" w:hAnsi="宋体" w:cs="宋体"/>
          <w:b/>
          <w:szCs w:val="21"/>
        </w:rPr>
        <w:t>一、 通用条款：</w:t>
      </w:r>
    </w:p>
    <w:p>
      <w:pPr>
        <w:spacing w:line="360" w:lineRule="auto"/>
        <w:ind w:left="53" w:leftChars="25" w:firstLine="420" w:firstLineChars="200"/>
        <w:rPr>
          <w:rFonts w:ascii="宋体" w:hAnsi="宋体" w:cs="宋体"/>
          <w:szCs w:val="21"/>
        </w:rPr>
      </w:pPr>
      <w:r>
        <w:rPr>
          <w:rFonts w:hint="eastAsia" w:ascii="宋体" w:hAnsi="宋体" w:cs="宋体"/>
          <w:szCs w:val="21"/>
        </w:rPr>
        <w:t xml:space="preserve">1、根据“谁生产谁负责、谁实施谁负责”的原则，确定合作单位的法定代表人 </w:t>
      </w:r>
      <w:r>
        <w:rPr>
          <w:rFonts w:hint="eastAsia" w:ascii="宋体" w:hAnsi="宋体" w:cs="宋体"/>
          <w:szCs w:val="21"/>
          <w:u w:val="single"/>
        </w:rPr>
        <w:t xml:space="preserve">     （</w:t>
      </w:r>
      <w:r>
        <w:rPr>
          <w:rFonts w:hint="eastAsia" w:ascii="宋体" w:hAnsi="宋体" w:cs="宋体"/>
          <w:szCs w:val="21"/>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u w:val="single"/>
        </w:rPr>
      </w:pPr>
      <w:r>
        <w:rPr>
          <w:rFonts w:hint="eastAsia" w:ascii="宋体" w:hAnsi="宋体" w:cs="宋体"/>
          <w:szCs w:val="21"/>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rPr>
      </w:pPr>
      <w:r>
        <w:rPr>
          <w:rFonts w:hint="eastAsia" w:ascii="宋体" w:hAnsi="宋体" w:cs="宋体"/>
          <w:szCs w:val="21"/>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rPr>
      </w:pPr>
      <w:r>
        <w:rPr>
          <w:rFonts w:hint="eastAsia" w:ascii="宋体" w:hAnsi="宋体" w:cs="宋体"/>
          <w:szCs w:val="21"/>
        </w:rPr>
        <w:t>4、合作单位应逐级落实安全管理责任，确保生产经营或活动的安全开展。</w:t>
      </w:r>
    </w:p>
    <w:p>
      <w:pPr>
        <w:spacing w:line="360" w:lineRule="auto"/>
        <w:ind w:firstLine="420" w:firstLineChars="200"/>
        <w:rPr>
          <w:rFonts w:ascii="宋体" w:hAnsi="宋体" w:cs="宋体"/>
          <w:szCs w:val="21"/>
        </w:rPr>
      </w:pPr>
      <w:r>
        <w:rPr>
          <w:rFonts w:hint="eastAsia" w:ascii="宋体" w:hAnsi="宋体" w:cs="宋体"/>
          <w:szCs w:val="21"/>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rPr>
      </w:pPr>
      <w:r>
        <w:rPr>
          <w:rFonts w:hint="eastAsia" w:ascii="宋体" w:hAnsi="宋体" w:cs="宋体"/>
          <w:szCs w:val="21"/>
        </w:rPr>
        <w:t>6、合作单位应制订安全应急预案，并在生产经营或活动前进行必要的演练。</w:t>
      </w:r>
    </w:p>
    <w:p>
      <w:pPr>
        <w:spacing w:line="360" w:lineRule="auto"/>
        <w:ind w:firstLine="420" w:firstLineChars="200"/>
        <w:rPr>
          <w:rFonts w:ascii="宋体" w:hAnsi="宋体" w:cs="宋体"/>
          <w:szCs w:val="21"/>
        </w:rPr>
      </w:pPr>
      <w:r>
        <w:rPr>
          <w:rFonts w:hint="eastAsia" w:ascii="宋体" w:hAnsi="宋体" w:cs="宋体"/>
          <w:szCs w:val="21"/>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rPr>
      </w:pPr>
      <w:r>
        <w:rPr>
          <w:rFonts w:hint="eastAsia" w:ascii="宋体" w:hAnsi="宋体" w:cs="宋体"/>
          <w:szCs w:val="21"/>
        </w:rPr>
        <w:t>8、合作单位必须按照设计工艺及相关规范作业，其工作人员在作业中必须正确采取相应的安全防护措施，夜间作业时必须穿着反光衣，登高、吊装等危险作业时必须正确佩戴安全帽、安全带、安全绳和安全警示与围护等安全防护措施，保证作业人员及周围人员的人身安全。</w:t>
      </w:r>
    </w:p>
    <w:p>
      <w:pPr>
        <w:spacing w:line="360" w:lineRule="auto"/>
        <w:ind w:firstLine="420" w:firstLineChars="200"/>
        <w:rPr>
          <w:rFonts w:ascii="宋体" w:hAnsi="宋体" w:cs="宋体"/>
          <w:szCs w:val="21"/>
        </w:rPr>
      </w:pPr>
      <w:r>
        <w:rPr>
          <w:rFonts w:hint="eastAsia" w:ascii="宋体" w:hAnsi="宋体" w:cs="宋体"/>
          <w:szCs w:val="21"/>
        </w:rPr>
        <w:t>9、合作单位在作业过程中，所采用的材料必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rPr>
      </w:pPr>
      <w:r>
        <w:rPr>
          <w:rFonts w:hint="eastAsia" w:ascii="宋体" w:hAnsi="宋体" w:cs="宋体"/>
          <w:szCs w:val="21"/>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rPr>
      </w:pPr>
      <w:r>
        <w:rPr>
          <w:rFonts w:hint="eastAsia" w:ascii="宋体" w:hAnsi="宋体" w:cs="宋体"/>
          <w:szCs w:val="21"/>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rPr>
      </w:pPr>
      <w:r>
        <w:rPr>
          <w:rFonts w:hint="eastAsia" w:ascii="宋体" w:hAnsi="宋体" w:cs="宋体"/>
          <w:szCs w:val="21"/>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rPr>
      </w:pPr>
      <w:r>
        <w:rPr>
          <w:rFonts w:hint="eastAsia" w:ascii="宋体" w:hAnsi="宋体" w:cs="宋体"/>
          <w:szCs w:val="21"/>
        </w:rPr>
        <w:t>13、在责任事故发生后，会展中心应迅速组织人员进行救援，并采取必要的应急措施防止事故扩大。</w:t>
      </w:r>
    </w:p>
    <w:p>
      <w:pPr>
        <w:spacing w:line="360" w:lineRule="auto"/>
        <w:ind w:firstLine="420" w:firstLineChars="200"/>
        <w:rPr>
          <w:rFonts w:ascii="宋体" w:hAnsi="宋体" w:cs="宋体"/>
          <w:szCs w:val="21"/>
        </w:rPr>
      </w:pPr>
      <w:r>
        <w:rPr>
          <w:rFonts w:hint="eastAsia" w:ascii="宋体" w:hAnsi="宋体" w:cs="宋体"/>
          <w:szCs w:val="21"/>
        </w:rPr>
        <w:t>14、如任何一方对涉及到本责任书中所引用的国家消防法律、法规和有关规章制度有疑义，可详细查阅《中华人民共和国安全生产法》、《中华人民共和国消防法》、《公安部61号令》、《深圳经济特区消防条例》及《机关、团体、企业、事业单位消防安全管理规定》文件规定，或者直接向深圳市公安消防机关、深圳市安监局、市应急办等机构咨询。</w:t>
      </w:r>
    </w:p>
    <w:p>
      <w:pPr>
        <w:spacing w:line="360" w:lineRule="auto"/>
        <w:ind w:firstLine="422" w:firstLineChars="200"/>
        <w:rPr>
          <w:rFonts w:ascii="宋体" w:hAnsi="宋体" w:cs="宋体"/>
          <w:b/>
          <w:szCs w:val="21"/>
        </w:rPr>
      </w:pPr>
      <w:r>
        <w:rPr>
          <w:rFonts w:hint="eastAsia" w:ascii="宋体" w:hAnsi="宋体" w:cs="宋体"/>
          <w:b/>
          <w:szCs w:val="21"/>
        </w:rPr>
        <w:t>二、专用条款：</w:t>
      </w:r>
    </w:p>
    <w:p>
      <w:pPr>
        <w:spacing w:line="360" w:lineRule="auto"/>
        <w:ind w:firstLine="422" w:firstLineChars="200"/>
        <w:rPr>
          <w:rFonts w:ascii="宋体" w:hAnsi="宋体" w:cs="宋体"/>
          <w:b/>
          <w:szCs w:val="21"/>
        </w:rPr>
      </w:pPr>
      <w:r>
        <w:rPr>
          <w:rFonts w:hint="eastAsia" w:ascii="宋体" w:hAnsi="宋体" w:cs="宋体"/>
          <w:b/>
          <w:szCs w:val="21"/>
        </w:rPr>
        <w:t>1、约定期限：</w:t>
      </w:r>
    </w:p>
    <w:p>
      <w:pPr>
        <w:spacing w:line="360" w:lineRule="auto"/>
        <w:ind w:firstLine="420" w:firstLineChars="200"/>
        <w:rPr>
          <w:rFonts w:ascii="宋体" w:hAnsi="宋体" w:cs="宋体"/>
          <w:szCs w:val="21"/>
        </w:rPr>
      </w:pPr>
      <w:r>
        <w:rPr>
          <w:rFonts w:hint="eastAsia" w:ascii="宋体" w:hAnsi="宋体" w:cs="宋体"/>
          <w:szCs w:val="21"/>
        </w:rPr>
        <w:t xml:space="preserve">合同期限为    </w:t>
      </w:r>
      <w:r>
        <w:rPr>
          <w:rFonts w:hint="eastAsia" w:ascii="宋体" w:hAnsi="宋体" w:cs="宋体"/>
          <w:szCs w:val="21"/>
          <w:u w:val="single"/>
        </w:rPr>
        <w:t xml:space="preserve"> 个</w:t>
      </w:r>
      <w:r>
        <w:rPr>
          <w:rFonts w:hint="eastAsia" w:ascii="宋体" w:hAnsi="宋体" w:cs="宋体"/>
          <w:szCs w:val="21"/>
        </w:rPr>
        <w:t>日历日，与主合同的时间相同。</w:t>
      </w:r>
    </w:p>
    <w:p>
      <w:pPr>
        <w:numPr>
          <w:ilvl w:val="0"/>
          <w:numId w:val="32"/>
        </w:numPr>
        <w:spacing w:line="360" w:lineRule="auto"/>
        <w:ind w:firstLine="0"/>
        <w:rPr>
          <w:rFonts w:ascii="宋体" w:hAnsi="宋体" w:cs="宋体"/>
          <w:b/>
          <w:szCs w:val="21"/>
        </w:rPr>
      </w:pPr>
      <w:r>
        <w:rPr>
          <w:rFonts w:hint="eastAsia" w:ascii="宋体" w:hAnsi="宋体" w:cs="宋体"/>
          <w:b/>
          <w:szCs w:val="21"/>
        </w:rPr>
        <w:t>安全要求：</w:t>
      </w:r>
    </w:p>
    <w:p>
      <w:pPr>
        <w:spacing w:line="276" w:lineRule="auto"/>
        <w:ind w:firstLine="420" w:firstLineChars="200"/>
        <w:rPr>
          <w:rFonts w:ascii="宋体" w:hAnsi="宋体" w:cs="宋体"/>
          <w:szCs w:val="21"/>
        </w:rPr>
      </w:pPr>
      <w:r>
        <w:rPr>
          <w:rFonts w:hint="eastAsia" w:ascii="宋体" w:hAnsi="宋体" w:cs="宋体"/>
          <w:szCs w:val="21"/>
        </w:rPr>
        <w:t>2）合作单位工作地点限于会展中心1、4号配电室内施工区域，特殊情况须在区域范围外作业的，须由甲方指定和安排。</w:t>
      </w:r>
    </w:p>
    <w:p>
      <w:pPr>
        <w:spacing w:line="276" w:lineRule="auto"/>
        <w:ind w:firstLine="420" w:firstLineChars="200"/>
        <w:rPr>
          <w:rFonts w:ascii="宋体" w:hAnsi="宋体" w:cs="宋体"/>
          <w:szCs w:val="21"/>
        </w:rPr>
      </w:pPr>
      <w:r>
        <w:rPr>
          <w:rFonts w:hint="eastAsia" w:ascii="宋体" w:hAnsi="宋体" w:cs="宋体"/>
          <w:szCs w:val="21"/>
        </w:rPr>
        <w:t>3）合作单位如需要使用有动火作业时，须提前向甲方提出申请。由甲方认可并办理动火许可证，做好防火及隔离措施后方可动火施工。</w:t>
      </w:r>
    </w:p>
    <w:p>
      <w:pPr>
        <w:spacing w:line="276" w:lineRule="auto"/>
        <w:ind w:firstLine="420" w:firstLineChars="200"/>
        <w:rPr>
          <w:rFonts w:ascii="宋体" w:hAnsi="宋体" w:cs="宋体"/>
          <w:szCs w:val="21"/>
        </w:rPr>
      </w:pPr>
      <w:r>
        <w:rPr>
          <w:rFonts w:hint="eastAsia" w:ascii="宋体" w:hAnsi="宋体" w:cs="宋体"/>
          <w:szCs w:val="21"/>
        </w:rPr>
        <w:t xml:space="preserve">4）合作单位人员从事特殊工种作业时须提前向甲方提供名单及相关证件，如电工等特殊工种，需在深圳会展中心设备部备案，并按照各工种要求穿戴齐全个人防护用品。 </w:t>
      </w:r>
    </w:p>
    <w:p>
      <w:pPr>
        <w:spacing w:line="276" w:lineRule="auto"/>
        <w:ind w:firstLine="420" w:firstLineChars="200"/>
        <w:rPr>
          <w:rFonts w:ascii="宋体" w:hAnsi="宋体" w:cs="宋体"/>
          <w:szCs w:val="21"/>
        </w:rPr>
      </w:pPr>
      <w:r>
        <w:rPr>
          <w:rFonts w:hint="eastAsia" w:ascii="宋体" w:hAnsi="宋体" w:cs="宋体"/>
          <w:szCs w:val="21"/>
        </w:rPr>
        <w:t>5）合作单位施工人员须严格遵守国家各项法律法规，遵守甲方的工作流程、操作规程、劳动安全、管理规定等各项规章制度（包括但不限于《展馆管理规定》、《展馆服务指南》）。</w:t>
      </w:r>
    </w:p>
    <w:p>
      <w:pPr>
        <w:spacing w:line="360" w:lineRule="auto"/>
        <w:ind w:firstLine="420" w:firstLineChars="200"/>
        <w:rPr>
          <w:rFonts w:ascii="宋体" w:hAnsi="宋体" w:cs="宋体"/>
          <w:szCs w:val="21"/>
        </w:rPr>
      </w:pPr>
      <w:r>
        <w:rPr>
          <w:rFonts w:hint="eastAsia" w:ascii="宋体" w:hAnsi="宋体" w:cs="宋体"/>
          <w:szCs w:val="21"/>
        </w:rPr>
        <w:t>三、该责任书一式四份，</w:t>
      </w:r>
      <w:r>
        <w:rPr>
          <w:rFonts w:hint="eastAsia" w:ascii="宋体" w:hAnsi="宋体" w:cs="宋体"/>
          <w:szCs w:val="21"/>
          <w:lang w:eastAsia="zh-CN"/>
        </w:rPr>
        <w:t>甲方执三分乙</w:t>
      </w:r>
      <w:r>
        <w:rPr>
          <w:rFonts w:hint="eastAsia" w:ascii="宋体" w:hAnsi="宋体" w:cs="宋体"/>
          <w:szCs w:val="21"/>
        </w:rPr>
        <w:t>方各执</w:t>
      </w:r>
      <w:r>
        <w:rPr>
          <w:rFonts w:hint="eastAsia" w:ascii="宋体" w:hAnsi="宋体" w:cs="宋体"/>
          <w:szCs w:val="21"/>
          <w:lang w:eastAsia="zh-CN"/>
        </w:rPr>
        <w:t>一</w:t>
      </w:r>
      <w:r>
        <w:rPr>
          <w:rFonts w:hint="eastAsia" w:ascii="宋体" w:hAnsi="宋体" w:cs="宋体"/>
          <w:szCs w:val="21"/>
        </w:rPr>
        <w:t>份，具有同等约束力，该责任书经双方法定代表人或法定代表人书面委托人签字并由双方盖章后在约定期限内有效。</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6300" w:hanging="6300" w:hangingChars="3000"/>
        <w:rPr>
          <w:rFonts w:ascii="宋体" w:hAnsi="宋体" w:cs="宋体"/>
          <w:szCs w:val="21"/>
        </w:rPr>
      </w:pPr>
      <w:r>
        <w:rPr>
          <w:rFonts w:hint="eastAsia" w:ascii="宋体" w:hAnsi="宋体" w:cs="宋体"/>
          <w:szCs w:val="21"/>
        </w:rPr>
        <w:t xml:space="preserve">深圳会展中心管理有限责任公司                    合作单位： </w:t>
      </w:r>
    </w:p>
    <w:p>
      <w:pPr>
        <w:spacing w:line="360" w:lineRule="auto"/>
        <w:ind w:left="6300" w:hanging="6300" w:hangingChars="3000"/>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法定代表人                                      合作单位法定代表人： </w:t>
      </w:r>
    </w:p>
    <w:p>
      <w:pPr>
        <w:tabs>
          <w:tab w:val="left" w:pos="-504"/>
        </w:tabs>
        <w:spacing w:line="360" w:lineRule="auto"/>
        <w:rPr>
          <w:rFonts w:ascii="宋体" w:hAnsi="宋体" w:cs="宋体"/>
          <w:szCs w:val="21"/>
        </w:rPr>
      </w:pPr>
      <w:r>
        <w:rPr>
          <w:rFonts w:hint="eastAsia" w:ascii="宋体" w:hAnsi="宋体" w:cs="宋体"/>
          <w:szCs w:val="21"/>
        </w:rPr>
        <w:t xml:space="preserve">（或委托代表人）：                              （或委托代表人）： </w:t>
      </w:r>
    </w:p>
    <w:p>
      <w:pPr>
        <w:spacing w:line="360" w:lineRule="auto"/>
        <w:rPr>
          <w:rFonts w:ascii="宋体" w:hAnsi="宋体" w:cs="宋体"/>
          <w:szCs w:val="21"/>
        </w:rPr>
      </w:pPr>
      <w:r>
        <w:rPr>
          <w:rFonts w:hint="eastAsia" w:ascii="宋体" w:hAnsi="宋体" w:cs="宋体"/>
          <w:szCs w:val="21"/>
        </w:rPr>
        <w:t xml:space="preserve">电  话：                                        电  话： </w:t>
      </w:r>
    </w:p>
    <w:p>
      <w:pPr>
        <w:spacing w:line="360" w:lineRule="auto"/>
        <w:rPr>
          <w:rFonts w:ascii="宋体" w:hAnsi="宋体" w:cs="宋体"/>
          <w:szCs w:val="21"/>
        </w:rPr>
      </w:pPr>
      <w:r>
        <w:rPr>
          <w:rFonts w:hint="eastAsia" w:ascii="宋体" w:hAnsi="宋体" w:cs="宋体"/>
          <w:szCs w:val="21"/>
        </w:rPr>
        <w:t>日  期：    年    月    日                      日  期：    年    月    日</w:t>
      </w:r>
    </w:p>
    <w:p>
      <w:pPr>
        <w:pStyle w:val="11"/>
        <w:rPr>
          <w:rFonts w:ascii="宋体" w:cs="宋体"/>
          <w:szCs w:val="21"/>
        </w:rPr>
      </w:pPr>
    </w:p>
    <w:p>
      <w:pPr>
        <w:pStyle w:val="11"/>
        <w:rPr>
          <w:rFonts w:ascii="宋体" w:cs="宋体"/>
          <w:szCs w:val="21"/>
        </w:rPr>
      </w:pPr>
    </w:p>
    <w:p>
      <w:pPr>
        <w:pStyle w:val="11"/>
      </w:pPr>
    </w:p>
    <w:p>
      <w:pPr>
        <w:jc w:val="center"/>
        <w:rPr>
          <w:rFonts w:ascii="宋体" w:hAnsi="宋体" w:cs="宋体"/>
          <w:szCs w:val="21"/>
        </w:rPr>
      </w:pPr>
      <w:r>
        <w:rPr>
          <w:rFonts w:hint="eastAsia" w:ascii="宋体" w:hAnsi="宋体" w:cs="宋体"/>
          <w:b/>
          <w:bCs/>
          <w:szCs w:val="21"/>
          <w:lang w:eastAsia="zh-CN"/>
        </w:rPr>
        <w:t>高压电缆线测试</w:t>
      </w:r>
      <w:r>
        <w:rPr>
          <w:rFonts w:hint="eastAsia" w:ascii="宋体" w:hAnsi="宋体" w:cs="宋体"/>
          <w:b/>
          <w:bCs/>
          <w:szCs w:val="21"/>
        </w:rPr>
        <w:t>要求及工程量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5"/>
        <w:gridCol w:w="6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 w:type="dxa"/>
          </w:tcPr>
          <w:p>
            <w:pPr>
              <w:jc w:val="center"/>
              <w:rPr>
                <w:rFonts w:ascii="宋体" w:hAnsi="宋体" w:cs="宋体"/>
                <w:szCs w:val="21"/>
              </w:rPr>
            </w:pPr>
            <w:r>
              <w:rPr>
                <w:rFonts w:hint="eastAsia" w:ascii="宋体" w:hAnsi="宋体" w:cs="宋体"/>
                <w:szCs w:val="21"/>
              </w:rPr>
              <w:t>序号</w:t>
            </w:r>
          </w:p>
        </w:tc>
        <w:tc>
          <w:tcPr>
            <w:tcW w:w="1425" w:type="dxa"/>
          </w:tcPr>
          <w:p>
            <w:pPr>
              <w:jc w:val="center"/>
              <w:rPr>
                <w:rFonts w:ascii="宋体" w:hAnsi="宋体" w:cs="宋体"/>
                <w:szCs w:val="21"/>
              </w:rPr>
            </w:pPr>
            <w:r>
              <w:rPr>
                <w:rFonts w:hint="eastAsia" w:ascii="宋体" w:hAnsi="宋体" w:cs="宋体"/>
                <w:szCs w:val="21"/>
              </w:rPr>
              <w:t>项目名称</w:t>
            </w:r>
          </w:p>
        </w:tc>
        <w:tc>
          <w:tcPr>
            <w:tcW w:w="6426" w:type="dxa"/>
          </w:tcPr>
          <w:p>
            <w:pPr>
              <w:jc w:val="center"/>
              <w:rPr>
                <w:rFonts w:ascii="宋体" w:hAnsi="宋体" w:cs="宋体"/>
                <w:szCs w:val="21"/>
              </w:rPr>
            </w:pPr>
            <w:r>
              <w:rPr>
                <w:rFonts w:hint="eastAsia" w:ascii="宋体" w:hAnsi="宋体" w:cs="宋体"/>
                <w:szCs w:val="21"/>
                <w:lang w:eastAsia="zh-CN"/>
              </w:rPr>
              <w:t>测试</w:t>
            </w:r>
            <w:r>
              <w:rPr>
                <w:rFonts w:hint="eastAsia" w:ascii="宋体" w:hAnsi="宋体" w:cs="宋体"/>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rPr>
                <w:rFonts w:ascii="宋体" w:hAnsi="宋体" w:cs="宋体"/>
                <w:szCs w:val="21"/>
              </w:rPr>
            </w:pPr>
            <w:r>
              <w:rPr>
                <w:rFonts w:hint="eastAsia" w:ascii="宋体" w:hAnsi="宋体" w:cs="宋体"/>
                <w:szCs w:val="21"/>
              </w:rPr>
              <w:t>1</w:t>
            </w:r>
          </w:p>
        </w:tc>
        <w:tc>
          <w:tcPr>
            <w:tcW w:w="1425" w:type="dxa"/>
            <w:vAlign w:val="center"/>
          </w:tcPr>
          <w:p>
            <w:pPr>
              <w:pStyle w:val="22"/>
              <w:tabs>
                <w:tab w:val="left" w:pos="531"/>
              </w:tabs>
              <w:spacing w:line="360" w:lineRule="auto"/>
              <w:ind w:firstLine="0" w:firstLineChars="0"/>
              <w:rPr>
                <w:rFonts w:hint="eastAsia" w:ascii="宋体" w:hAnsi="宋体" w:eastAsia="宋体" w:cs="宋体"/>
                <w:szCs w:val="21"/>
                <w:lang w:eastAsia="zh-CN"/>
              </w:rPr>
            </w:pPr>
            <w:r>
              <w:rPr>
                <w:rFonts w:hint="eastAsia" w:ascii="宋体" w:hAnsi="宋体" w:eastAsia="宋体" w:cs="宋体"/>
                <w:bCs/>
                <w:szCs w:val="21"/>
                <w:lang w:val="en-US" w:eastAsia="zh-CN"/>
              </w:rPr>
              <w:t>59条高压</w:t>
            </w:r>
            <w:r>
              <w:rPr>
                <w:rFonts w:hint="eastAsia" w:ascii="宋体" w:hAnsi="宋体" w:eastAsia="宋体" w:cs="宋体"/>
                <w:bCs/>
                <w:szCs w:val="21"/>
                <w:lang w:eastAsia="zh-CN"/>
              </w:rPr>
              <w:t>电缆</w:t>
            </w:r>
          </w:p>
        </w:tc>
        <w:tc>
          <w:tcPr>
            <w:tcW w:w="6426" w:type="dxa"/>
          </w:tcPr>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分别对每一相电缆进行绝缘电阻测量。测量方法：对其中一相电缆进行试验或测量时，应将其它两相电缆导体、金属屏蔽或金属套与铠装层一起接地。</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检查电缆外观有无明显缺陷、油污、裂纹等，颜色、规格是否符合安全运行的要求。</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 xml:space="preserve">绝缘线芯颜色或数字标识是否齐全、符合要求，有无褪色。 </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电缆的接头检查。</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直流耐压试验：测试耐压5分钟时的泄漏电流值是否大于耐压1分钟时的泄漏电流值。</w:t>
            </w:r>
          </w:p>
          <w:p>
            <w:pPr>
              <w:pStyle w:val="22"/>
              <w:numPr>
                <w:ilvl w:val="0"/>
                <w:numId w:val="18"/>
              </w:numPr>
              <w:tabs>
                <w:tab w:val="left" w:pos="640"/>
              </w:tabs>
              <w:spacing w:line="360" w:lineRule="auto"/>
              <w:ind w:left="425" w:leftChars="0" w:hanging="425" w:firstLineChars="0"/>
              <w:rPr>
                <w:rFonts w:hint="eastAsia" w:ascii="宋体" w:hAnsi="宋体" w:eastAsia="宋体" w:cs="宋体"/>
                <w:bCs/>
                <w:szCs w:val="21"/>
              </w:rPr>
            </w:pPr>
            <w:r>
              <w:rPr>
                <w:rFonts w:hint="eastAsia" w:ascii="宋体" w:hAnsi="宋体" w:eastAsia="宋体" w:cs="宋体"/>
                <w:bCs/>
                <w:szCs w:val="21"/>
              </w:rPr>
              <w:t>工频耐压试验：测试电缆是否能够承受工频试验电压1分钟而不发生击穿以及绝缘闪络。</w:t>
            </w:r>
          </w:p>
          <w:p>
            <w:pPr>
              <w:pStyle w:val="22"/>
              <w:numPr>
                <w:ilvl w:val="0"/>
                <w:numId w:val="18"/>
              </w:numPr>
              <w:tabs>
                <w:tab w:val="left" w:pos="640"/>
              </w:tabs>
              <w:spacing w:line="360" w:lineRule="auto"/>
              <w:ind w:left="425" w:leftChars="0" w:hanging="425" w:firstLineChars="0"/>
              <w:rPr>
                <w:rFonts w:ascii="宋体" w:hAnsi="宋体" w:eastAsia="宋体" w:cs="宋体"/>
                <w:szCs w:val="21"/>
              </w:rPr>
            </w:pPr>
            <w:r>
              <w:rPr>
                <w:rFonts w:hint="eastAsia" w:ascii="宋体" w:hAnsi="宋体" w:eastAsia="宋体" w:cs="宋体"/>
                <w:bCs/>
                <w:szCs w:val="21"/>
              </w:rPr>
              <w:t>电缆绝缘电阻测量：对电缆线芯之间和线芯与外皮之间绝缘电阻进行测量。检测绝缘电阻值是否符合国家相关标准。</w:t>
            </w:r>
          </w:p>
          <w:p>
            <w:pPr>
              <w:pStyle w:val="22"/>
              <w:numPr>
                <w:ilvl w:val="0"/>
                <w:numId w:val="0"/>
              </w:numPr>
              <w:tabs>
                <w:tab w:val="left" w:pos="640"/>
              </w:tabs>
              <w:spacing w:line="360" w:lineRule="auto"/>
              <w:ind w:leftChars="0"/>
              <w:rPr>
                <w:rFonts w:hint="default" w:ascii="宋体" w:hAnsi="宋体" w:eastAsia="宋体" w:cs="宋体"/>
                <w:szCs w:val="21"/>
                <w:lang w:val="en-US" w:eastAsia="zh-CN"/>
              </w:rPr>
            </w:pP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rPr>
                <w:rFonts w:ascii="宋体" w:hAnsi="宋体" w:cs="宋体"/>
                <w:szCs w:val="21"/>
              </w:rPr>
            </w:pPr>
            <w:r>
              <w:rPr>
                <w:rFonts w:hint="eastAsia" w:ascii="宋体" w:hAnsi="宋体" w:cs="宋体"/>
                <w:szCs w:val="21"/>
              </w:rPr>
              <w:t>2</w:t>
            </w:r>
          </w:p>
        </w:tc>
        <w:tc>
          <w:tcPr>
            <w:tcW w:w="1425" w:type="dxa"/>
            <w:vAlign w:val="center"/>
          </w:tcPr>
          <w:p>
            <w:pPr>
              <w:pStyle w:val="22"/>
              <w:numPr>
                <w:ilvl w:val="255"/>
                <w:numId w:val="0"/>
              </w:numPr>
              <w:tabs>
                <w:tab w:val="left" w:pos="531"/>
              </w:tabs>
              <w:spacing w:line="360" w:lineRule="auto"/>
              <w:rPr>
                <w:rFonts w:hint="default" w:ascii="宋体" w:hAnsi="宋体" w:eastAsia="宋体" w:cs="宋体"/>
                <w:bCs/>
                <w:szCs w:val="21"/>
                <w:lang w:val="en-US" w:eastAsia="zh-CN"/>
              </w:rPr>
            </w:pPr>
            <w:r>
              <w:rPr>
                <w:rFonts w:hint="eastAsia" w:ascii="宋体" w:hAnsi="宋体" w:eastAsia="宋体" w:cs="宋体"/>
                <w:bCs/>
                <w:szCs w:val="21"/>
                <w:lang w:val="en-US" w:eastAsia="zh-CN"/>
              </w:rPr>
              <w:t>15套</w:t>
            </w:r>
            <w:r>
              <w:rPr>
                <w:rFonts w:hint="eastAsia" w:ascii="宋体" w:hAnsi="宋体" w:eastAsia="宋体" w:cs="宋体"/>
                <w:bCs/>
                <w:szCs w:val="21"/>
                <w:lang w:eastAsia="zh-CN"/>
              </w:rPr>
              <w:t>电缆头制作</w:t>
            </w:r>
            <w:r>
              <w:rPr>
                <w:rFonts w:hint="eastAsia" w:ascii="宋体" w:hAnsi="宋体" w:eastAsia="宋体" w:cs="宋体"/>
                <w:bCs/>
                <w:szCs w:val="21"/>
                <w:lang w:val="en-US" w:eastAsia="zh-CN"/>
              </w:rPr>
              <w:t xml:space="preserve"> </w:t>
            </w:r>
          </w:p>
          <w:p>
            <w:pPr>
              <w:rPr>
                <w:rFonts w:ascii="宋体" w:hAnsi="宋体" w:cs="宋体"/>
                <w:szCs w:val="21"/>
              </w:rPr>
            </w:pPr>
          </w:p>
        </w:tc>
        <w:tc>
          <w:tcPr>
            <w:tcW w:w="6426" w:type="dxa"/>
          </w:tcPr>
          <w:p>
            <w:pPr>
              <w:numPr>
                <w:ilvl w:val="0"/>
                <w:numId w:val="19"/>
              </w:numPr>
              <w:ind w:left="425" w:leftChars="0" w:hanging="425" w:firstLineChars="0"/>
              <w:jc w:val="left"/>
              <w:rPr>
                <w:rFonts w:hint="eastAsia" w:ascii="宋体" w:hAnsi="宋体" w:cs="宋体"/>
                <w:szCs w:val="21"/>
              </w:rPr>
            </w:pPr>
            <w:r>
              <w:rPr>
                <w:rFonts w:hint="eastAsia" w:ascii="宋体" w:hAnsi="宋体" w:cs="宋体"/>
                <w:szCs w:val="21"/>
              </w:rPr>
              <w:t>高压电缆线在试验过程中需要对电缆线的终端头拆除后才能进行检测。</w:t>
            </w:r>
          </w:p>
          <w:p>
            <w:pPr>
              <w:numPr>
                <w:ilvl w:val="0"/>
                <w:numId w:val="19"/>
              </w:numPr>
              <w:ind w:left="425" w:leftChars="0" w:hanging="425" w:firstLineChars="0"/>
              <w:jc w:val="left"/>
              <w:rPr>
                <w:rFonts w:hint="eastAsia" w:ascii="宋体" w:hAnsi="宋体" w:cs="宋体"/>
                <w:szCs w:val="21"/>
              </w:rPr>
            </w:pPr>
            <w:r>
              <w:rPr>
                <w:rFonts w:hint="eastAsia" w:ascii="宋体" w:hAnsi="宋体" w:cs="宋体"/>
                <w:szCs w:val="21"/>
              </w:rPr>
              <w:t>电缆终端头的拆除和安装。</w:t>
            </w:r>
          </w:p>
          <w:p>
            <w:pPr>
              <w:numPr>
                <w:ilvl w:val="0"/>
                <w:numId w:val="19"/>
              </w:numPr>
              <w:ind w:left="425" w:leftChars="0" w:hanging="425" w:firstLineChars="0"/>
              <w:jc w:val="left"/>
              <w:rPr>
                <w:rFonts w:hint="eastAsia" w:ascii="宋体" w:hAnsi="宋体" w:cs="宋体"/>
                <w:szCs w:val="21"/>
              </w:rPr>
            </w:pPr>
            <w:r>
              <w:rPr>
                <w:rFonts w:hint="eastAsia" w:ascii="宋体" w:hAnsi="宋体" w:cs="宋体"/>
                <w:szCs w:val="21"/>
              </w:rPr>
              <w:t>95mm2线耳</w:t>
            </w:r>
            <w:r>
              <w:rPr>
                <w:rFonts w:hint="eastAsia" w:ascii="宋体" w:hAnsi="宋体" w:cs="宋体"/>
                <w:szCs w:val="21"/>
                <w:lang w:val="en-US" w:eastAsia="zh-CN"/>
              </w:rPr>
              <w:t>45</w:t>
            </w:r>
            <w:r>
              <w:rPr>
                <w:rFonts w:hint="eastAsia" w:ascii="宋体" w:hAnsi="宋体" w:cs="宋体"/>
                <w:szCs w:val="21"/>
              </w:rPr>
              <w:t>个、配套螺丝一批。</w:t>
            </w:r>
          </w:p>
          <w:p>
            <w:pPr>
              <w:numPr>
                <w:ilvl w:val="0"/>
                <w:numId w:val="19"/>
              </w:numPr>
              <w:ind w:left="425" w:leftChars="0" w:hanging="425" w:firstLineChars="0"/>
              <w:jc w:val="left"/>
              <w:rPr>
                <w:rFonts w:ascii="宋体" w:hAnsi="宋体" w:cs="宋体"/>
                <w:szCs w:val="21"/>
              </w:rPr>
            </w:pPr>
            <w:r>
              <w:rPr>
                <w:rFonts w:hint="eastAsia" w:ascii="宋体" w:hAnsi="宋体" w:cs="宋体"/>
                <w:szCs w:val="21"/>
              </w:rPr>
              <w:t>提供1</w:t>
            </w:r>
            <w:r>
              <w:rPr>
                <w:rFonts w:hint="eastAsia" w:ascii="宋体" w:hAnsi="宋体" w:cs="宋体"/>
                <w:szCs w:val="21"/>
                <w:lang w:val="en-US" w:eastAsia="zh-CN"/>
              </w:rPr>
              <w:t>5</w:t>
            </w:r>
            <w:r>
              <w:rPr>
                <w:rFonts w:hint="eastAsia" w:ascii="宋体" w:hAnsi="宋体" w:cs="宋体"/>
                <w:szCs w:val="21"/>
              </w:rPr>
              <w:t>套三芯户内终端冷缩头8.7/15KV以及安装。</w:t>
            </w:r>
          </w:p>
        </w:tc>
      </w:tr>
    </w:tbl>
    <w:p>
      <w:pPr>
        <w:jc w:val="center"/>
        <w:rPr>
          <w:rFonts w:ascii="宋体" w:hAnsi="宋体" w:cs="宋体"/>
          <w:szCs w:val="21"/>
        </w:rPr>
      </w:pPr>
    </w:p>
    <w:p>
      <w:pPr>
        <w:pStyle w:val="2"/>
        <w:rPr>
          <w:rFonts w:ascii="宋体" w:hAnsi="宋体" w:cs="宋体"/>
          <w:szCs w:val="21"/>
        </w:rPr>
      </w:pPr>
    </w:p>
    <w:p>
      <w:pPr>
        <w:rPr>
          <w:rFonts w:ascii="宋体" w:hAnsi="宋体" w:cs="宋体"/>
          <w:szCs w:val="21"/>
        </w:rPr>
      </w:pPr>
    </w:p>
    <w:p>
      <w:pPr>
        <w:pStyle w:val="2"/>
      </w:pPr>
    </w:p>
    <w:p>
      <w:pPr>
        <w:pStyle w:val="2"/>
        <w:ind w:left="0" w:leftChars="0" w:firstLine="0" w:firstLineChars="0"/>
      </w:pPr>
    </w:p>
    <w:p>
      <w:pPr>
        <w:spacing w:before="312" w:beforeLines="100" w:after="312" w:afterLines="100" w:line="360" w:lineRule="auto"/>
        <w:jc w:val="center"/>
        <w:outlineLvl w:val="0"/>
        <w:rPr>
          <w:rFonts w:ascii="仿宋" w:hAnsi="仿宋" w:eastAsia="仿宋"/>
          <w:sz w:val="32"/>
          <w:szCs w:val="32"/>
        </w:rPr>
      </w:pPr>
      <w:bookmarkStart w:id="61" w:name="_Toc116550359"/>
      <w:r>
        <w:rPr>
          <w:rFonts w:hint="eastAsia"/>
          <w:b/>
          <w:sz w:val="32"/>
          <w:szCs w:val="32"/>
        </w:rPr>
        <w:t>第五部分：参考附件</w:t>
      </w:r>
      <w:bookmarkEnd w:id="61"/>
    </w:p>
    <w:p>
      <w:pPr>
        <w:spacing w:line="0" w:lineRule="atLeast"/>
        <w:outlineLvl w:val="1"/>
        <w:rPr>
          <w:rFonts w:ascii="宋体" w:hAnsi="宋体"/>
        </w:rPr>
      </w:pPr>
      <w:bookmarkStart w:id="62" w:name="_Toc116550360"/>
      <w:r>
        <w:rPr>
          <w:rFonts w:hint="eastAsia" w:ascii="宋体" w:hAnsi="宋体"/>
          <w:szCs w:val="21"/>
        </w:rPr>
        <w:t>附件1：</w:t>
      </w:r>
      <w:r>
        <w:rPr>
          <w:rFonts w:hint="eastAsia" w:ascii="宋体" w:hAnsi="宋体"/>
        </w:rPr>
        <w:t>报名回函</w:t>
      </w:r>
      <w:bookmarkEnd w:id="62"/>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3" w:name="_Toc116550361"/>
      <w:r>
        <w:rPr>
          <w:rFonts w:hint="eastAsia" w:ascii="宋体" w:hAnsi="宋体"/>
          <w:szCs w:val="21"/>
        </w:rPr>
        <w:t>附件2：投标函</w:t>
      </w:r>
      <w:bookmarkEnd w:id="63"/>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4" w:name="_Toc116550362"/>
      <w:r>
        <w:rPr>
          <w:rFonts w:hint="eastAsia" w:ascii="宋体" w:hAnsi="宋体"/>
          <w:szCs w:val="21"/>
        </w:rPr>
        <w:t>附件3：投标一览表</w:t>
      </w:r>
      <w:bookmarkEnd w:id="64"/>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5"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5"/>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6" w:name="_Toc116550363"/>
      <w:r>
        <w:rPr>
          <w:rFonts w:hint="eastAsia" w:ascii="宋体" w:hAnsi="宋体"/>
          <w:szCs w:val="21"/>
        </w:rPr>
        <w:t>附件4：考察证明</w:t>
      </w:r>
      <w:bookmarkEnd w:id="66"/>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7"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8"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8"/>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7"/>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9" w:name="_Toc116550364"/>
      <w:r>
        <w:rPr>
          <w:rFonts w:hint="eastAsia" w:ascii="宋体" w:hAnsi="宋体"/>
          <w:szCs w:val="21"/>
        </w:rPr>
        <w:t>附件5：技术服务响应/偏离表</w:t>
      </w:r>
      <w:bookmarkEnd w:id="6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0" w:name="_Toc211248418"/>
      <w:r>
        <w:rPr>
          <w:rFonts w:hint="eastAsia" w:ascii="方正小标宋_GBK" w:hAnsi="方正小标宋_GBK" w:eastAsia="方正小标宋_GBK"/>
          <w:b/>
          <w:sz w:val="32"/>
          <w:szCs w:val="32"/>
        </w:rPr>
        <w:t>技术服务响应/偏离表</w:t>
      </w:r>
      <w:bookmarkEnd w:id="70"/>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3"/>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1"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1"/>
      <w:bookmarkStart w:id="72" w:name="_Toc236803114"/>
      <w:bookmarkStart w:id="73" w:name="_Toc246480945"/>
      <w:r>
        <w:rPr>
          <w:rFonts w:ascii="仿宋" w:hAnsi="仿宋" w:eastAsia="仿宋"/>
          <w:sz w:val="28"/>
          <w:szCs w:val="28"/>
        </w:rPr>
        <w:br w:type="page"/>
      </w:r>
    </w:p>
    <w:p>
      <w:pPr>
        <w:spacing w:line="0" w:lineRule="atLeast"/>
        <w:outlineLvl w:val="1"/>
        <w:rPr>
          <w:rFonts w:ascii="宋体" w:hAnsi="宋体"/>
          <w:szCs w:val="21"/>
        </w:rPr>
      </w:pPr>
      <w:bookmarkStart w:id="74" w:name="_Toc116550365"/>
      <w:r>
        <w:rPr>
          <w:rFonts w:hint="eastAsia" w:ascii="宋体" w:hAnsi="宋体"/>
          <w:szCs w:val="21"/>
        </w:rPr>
        <w:t>附件6：商务条款响应/偏离表</w:t>
      </w:r>
      <w:bookmarkEnd w:id="72"/>
      <w:bookmarkEnd w:id="73"/>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5" w:name="_Toc211248420"/>
      <w:r>
        <w:rPr>
          <w:rFonts w:hint="eastAsia" w:ascii="方正小标宋_GBK" w:hAnsi="方正小标宋_GBK" w:eastAsia="方正小标宋_GBK"/>
          <w:b/>
          <w:sz w:val="32"/>
          <w:szCs w:val="32"/>
        </w:rPr>
        <w:t>商务条款响应/偏离表</w:t>
      </w:r>
      <w:bookmarkEnd w:id="7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6" w:name="_Toc395883088"/>
      <w:bookmarkStart w:id="77" w:name="_Toc236803111"/>
      <w:bookmarkStart w:id="78" w:name="_Toc478387764"/>
      <w:r>
        <w:rPr>
          <w:rFonts w:ascii="仿宋" w:hAnsi="仿宋" w:eastAsia="仿宋"/>
          <w:sz w:val="28"/>
          <w:szCs w:val="28"/>
        </w:rPr>
        <w:br w:type="page"/>
      </w:r>
    </w:p>
    <w:p>
      <w:pPr>
        <w:spacing w:line="0" w:lineRule="atLeast"/>
        <w:outlineLvl w:val="1"/>
        <w:rPr>
          <w:rFonts w:ascii="宋体" w:hAnsi="宋体"/>
          <w:szCs w:val="21"/>
        </w:rPr>
      </w:pPr>
      <w:bookmarkStart w:id="79" w:name="_Toc116550366"/>
      <w:r>
        <w:rPr>
          <w:rFonts w:hint="eastAsia" w:ascii="宋体" w:hAnsi="宋体"/>
          <w:szCs w:val="21"/>
        </w:rPr>
        <w:t>附件7：报价一览表（货物）</w:t>
      </w:r>
      <w:r>
        <w:rPr>
          <w:rFonts w:hint="eastAsia" w:ascii="宋体" w:hAnsi="宋体"/>
          <w:color w:val="FF0000"/>
          <w:szCs w:val="21"/>
        </w:rPr>
        <w:t>（本项目不适用）</w:t>
      </w:r>
      <w:bookmarkEnd w:id="79"/>
    </w:p>
    <w:bookmarkEnd w:id="76"/>
    <w:bookmarkEnd w:id="77"/>
    <w:bookmarkEnd w:id="78"/>
    <w:p>
      <w:pPr>
        <w:spacing w:before="120" w:after="240"/>
        <w:jc w:val="center"/>
        <w:rPr>
          <w:rFonts w:ascii="宋体" w:hAnsi="宋体"/>
          <w:b/>
          <w:sz w:val="32"/>
          <w:szCs w:val="32"/>
        </w:rPr>
      </w:pPr>
      <w:bookmarkStart w:id="80" w:name="_Toc211248412"/>
      <w:r>
        <w:rPr>
          <w:rFonts w:hint="eastAsia" w:ascii="方正小标宋_GBK" w:hAnsi="方正小标宋_GBK" w:eastAsia="方正小标宋_GBK"/>
          <w:b/>
          <w:sz w:val="32"/>
          <w:szCs w:val="32"/>
        </w:rPr>
        <w:t>报价一览表</w:t>
      </w:r>
      <w:bookmarkEnd w:id="80"/>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3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3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3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1" w:name="_Toc82095917"/>
      <w:bookmarkStart w:id="82" w:name="_Toc82359026"/>
      <w:r>
        <w:rPr>
          <w:rFonts w:hint="eastAsia" w:ascii="仿宋" w:hAnsi="仿宋" w:eastAsia="仿宋"/>
          <w:sz w:val="28"/>
          <w:szCs w:val="28"/>
        </w:rPr>
        <w:t>报价日期：_________年____月____日</w:t>
      </w:r>
      <w:r>
        <w:rPr>
          <w:rFonts w:ascii="仿宋" w:hAnsi="仿宋" w:eastAsia="仿宋"/>
          <w:sz w:val="28"/>
          <w:szCs w:val="28"/>
        </w:rPr>
        <w:br w:type="page"/>
      </w:r>
    </w:p>
    <w:bookmarkEnd w:id="81"/>
    <w:bookmarkEnd w:id="82"/>
    <w:p>
      <w:pPr>
        <w:spacing w:line="0" w:lineRule="atLeast"/>
        <w:outlineLvl w:val="1"/>
        <w:rPr>
          <w:rFonts w:ascii="宋体" w:hAnsi="宋体"/>
          <w:szCs w:val="21"/>
        </w:rPr>
      </w:pPr>
      <w:bookmarkStart w:id="83" w:name="_Toc116550367"/>
      <w:r>
        <w:rPr>
          <w:rFonts w:hint="eastAsia" w:ascii="宋体" w:hAnsi="宋体"/>
          <w:szCs w:val="21"/>
        </w:rPr>
        <w:t>附件8：报价一览表（服务）</w:t>
      </w:r>
      <w:r>
        <w:rPr>
          <w:rFonts w:hint="eastAsia" w:ascii="宋体" w:hAnsi="宋体"/>
          <w:color w:val="FF0000"/>
          <w:szCs w:val="21"/>
        </w:rPr>
        <w:t>（本项目不适用）</w:t>
      </w:r>
      <w:bookmarkEnd w:id="83"/>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3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3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3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4" w:name="_Toc116550368"/>
      <w:r>
        <w:rPr>
          <w:rFonts w:hint="eastAsia" w:ascii="宋体" w:hAnsi="宋体"/>
          <w:szCs w:val="21"/>
        </w:rPr>
        <w:t>附件9：报价一览表（工程）</w:t>
      </w:r>
      <w:bookmarkEnd w:id="84"/>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3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3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37"/>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5" w:name="_Toc116550369"/>
      <w:r>
        <w:rPr>
          <w:rFonts w:hint="eastAsia" w:ascii="宋体" w:hAnsi="宋体"/>
          <w:szCs w:val="21"/>
        </w:rPr>
        <w:t>附件10：法定代表人证明书</w:t>
      </w:r>
      <w:bookmarkEnd w:id="8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38"/>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6"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6"/>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39"/>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39"/>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39"/>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544830</wp:posOffset>
                </wp:positionV>
                <wp:extent cx="2555875" cy="1609725"/>
                <wp:effectExtent l="4445" t="4445" r="11430" b="508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lang w:val="en-US" w:eastAsia="zh-CN"/>
                              </w:rPr>
                              <w:t>法人委托代理人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42.9pt;height:126.75pt;width:201.25pt;z-index:251661312;mso-width-relative:page;mso-height-relative:page;" fillcolor="#FFFFFF" filled="t" stroked="t" coordsize="21600,21600" o:gfxdata="UEsDBAoAAAAAAIdO4kAAAAAAAAAAAAAAAAAEAAAAZHJzL1BLAwQUAAAACACHTuJAYZ6OMdkAAAAK&#10;AQAADwAAAGRycy9kb3ducmV2LnhtbE2PwU7DMAyG70i8Q2QkLmhLR1i2laY7IIHgNgYa16zJ2orE&#10;KUnWjbfHnOBmy78+f3+1PnvHRhtTH1DBbFoAs9gE02Or4P3tcbIElrJGo11Aq+DbJljXlxeVLk04&#10;4asdt7llBMFUagVdzkPJeWo663WahsEi3Q4hep1pjS03UZ8I7h2/LQrJve6RPnR6sA+dbT63R69g&#10;efc8fqQXsdk18uBW+WYxPn1Fpa6vZsU9sGzP+S8Mv/qkDjU57cMRTWJOwURI6pIJNqcKFBBSzoHt&#10;aRArAbyu+P8K9Q9QSwMEFAAAAAgAh07iQKuE1QAUAgAAOQQAAA4AAABkcnMvZTJvRG9jLnhtbK1T&#10;247bIBB9r9R/QLw3dtJ4k1hxVtusUlXaXqTdfgDG2EbFDAUSO/36Dtibphf1oSoPiGGGMzPnDNvb&#10;oVPkJKyToAs6n6WUCM2hkrop6Oenw6s1Jc4zXTEFWhT0LBy93b18se1NLhbQgqqEJQiiXd6bgrbe&#10;mzxJHG9Fx9wMjNDorMF2zKNpm6SyrEf0TiWLNL1JerCVscCFc3h7PzrpLuLXteD+Y1074YkqKNbm&#10;427jXoY92W1Z3lhmWsmnMtg/VNExqTHpBeqeeUaOVv4G1UluwUHtZxy6BOpachF7wG7m6S/dPLbM&#10;iNgLkuPMhSb3/2D5h9MnS2RV0CUlmnUo0ZMYPHkDA3kd2OmNyzHo0WCYH/AaVY6dOvMA/IsjGvYt&#10;0424sxb6VrAKq5uHl8nV0xHHBZCyfw8VpmFHDxFoqG0XqEMyCKKjSueLMqEUjpeLLMvWq4wSjr75&#10;TbpZLbKYg+XPz411/q2AjoRDQS1KH+HZ6cH5UA7Ln0NCNgdKVgepVDRsU+6VJSeGY3KIa0L/KUxp&#10;0hd0k2Huv0Okcf0JopMe513JrqDr6yClJ8ICRyNbfiiHSYASqjNSZ2GcX/xveGjBfqOkx9ktqPt6&#10;ZFZQot5ppH8zXy7DsEdjma0WaNhrT3ntYZojVEE9JeNx78cPcjRWNi1mGgXXcIeS1TKSGbQdq5rq&#10;xvmMHE9/KXyAaztG/fj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no4x2QAAAAoBAAAPAAAA&#10;AAAAAAEAIAAAACIAAABkcnMvZG93bnJldi54bWxQSwECFAAUAAAACACHTuJAq4TVABQCAAA5BAAA&#10;DgAAAAAAAAABACAAAAAoAQAAZHJzL2Uyb0RvYy54bWxQSwUGAAAAAAYABgBZAQAArgUAAAAA&#10;">
                <v:fill on="t" focussize="0,0"/>
                <v:stroke color="#000000" miterlimit="8" joinstyle="miter"/>
                <v:imagedata o:title=""/>
                <o:lock v:ext="edit" aspectratio="f"/>
                <v:textbox>
                  <w:txbxContent>
                    <w:p>
                      <w:r>
                        <w:rPr>
                          <w:rFonts w:hint="eastAsia"/>
                          <w:lang w:val="en-US" w:eastAsia="zh-CN"/>
                        </w:rPr>
                        <w:t>法人委托代理人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2642870</wp:posOffset>
                </wp:positionH>
                <wp:positionV relativeFrom="paragraph">
                  <wp:posOffset>553720</wp:posOffset>
                </wp:positionV>
                <wp:extent cx="2517775" cy="1609725"/>
                <wp:effectExtent l="4445" t="4445" r="11430" b="508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43.6pt;height:126.75pt;width:198.25pt;z-index:251662336;mso-width-relative:page;mso-height-relative:page;" fillcolor="#FFFFFF" filled="t" stroked="t" coordsize="21600,21600" o:gfxdata="UEsDBAoAAAAAAIdO4kAAAAAAAAAAAAAAAAAEAAAAZHJzL1BLAwQUAAAACACHTuJAr8PGItkAAAAK&#10;AQAADwAAAGRycy9kb3ducmV2LnhtbE2PwU7DMAyG70i8Q2QkLogl7aq2lKY7IIHgBgPBNWuytiJx&#10;SpJ14+0xJzhZln99/v52c3KWLSbEyaOEbCWAGey9nnCQ8PZ6f10Di0mhVtajkfBtImy687NWNdof&#10;8cUs2zQwgmBslIQxpbnhPPajcSqu/GyQbnsfnEq0hoHroI4Ed5bnQpTcqQnpw6hmczea/nN7cBLq&#10;4nH5iE/r5/e+3NubdFUtD19BysuLTNwCS+aU/sLwq0/q0JHTzh9QR2YlFFmZU5RgFU0K1FleAdtJ&#10;WBeiAt61/H+F7gdQSwMEFAAAAAgAh07iQIL43IgUAgAAOQQAAA4AAABkcnMvZTJvRG9jLnhtbK1T&#10;227bMAx9H7B/EPS++IKkaYw4RZciw4BuHdDuA2RZtoXJoiYpsbuvHyW7WXbBHobpQRBF6vDwkNre&#10;jL0iJ2GdBF3SbJFSIjSHWuq2pJ+fDm+uKXGe6Zop0KKkz8LRm93rV9vBFCKHDlQtLEEQ7YrBlLTz&#10;3hRJ4ngneuYWYIRGZwO2Zx5N2ya1ZQOi9yrJ0/QqGcDWxgIXzuHt3eSku4jfNIL7h6ZxwhNVUuTm&#10;427jXoU92W1Z0VpmOslnGuwfWPRMakx6hrpjnpGjlb9B9ZJbcND4BYc+gaaRXMQasJos/aWax44Z&#10;EWtBcZw5y+T+Hyz/ePpkiaxLuqJEsx5b9CRGT97CSPKgzmBcgUGPBsP8iNfY5VipM/fAvziiYd8x&#10;3Ypba2HoBKuRXRZeJhdPJxwXQKrhA9SYhh09RKCxsX2QDsUgiI5dej53JlDheJmvsvV6jRQ5+rKr&#10;dLPOVzEHK16eG+v8OwE9CYeSWmx9hGene+cDHVa8hIRsDpSsD1KpaNi22itLTgzH5BDXjP5TmNJk&#10;KOlmhbn/DpHG9SeIXnqcdyX7kl5fBik9CxY0mtTyYzXODaigfkbpLEzzi/8NDx3Yb5QMOLsldV+P&#10;zApK1HuN8m+y5TIMezSWq3WOhr30VJcepjlCldRTMh33fvogR2Nl22GmqeEabrFljYxiht5OrGbe&#10;OJ9R4/kvhQ9waceoHz9+9x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w8Yi2QAAAAoBAAAPAAAA&#10;AAAAAAEAIAAAACIAAABkcnMvZG93bnJldi54bWxQSwECFAAUAAAACACHTuJAgvjciBQCAAA5BAAA&#10;DgAAAAAAAAABACAAAAAoAQAAZHJzL2Uyb0RvYy54bWxQSwUGAAAAAAYABgBZAQAArgUAAAAA&#10;">
                <v:fill on="t" focussize="0,0"/>
                <v:stroke color="#000000" miterlimit="8" joinstyle="miter"/>
                <v:imagedata o:title=""/>
                <o:lock v:ext="edit" aspectratio="f"/>
                <v:textbox>
                  <w:txbxContent>
                    <w:p>
                      <w:r>
                        <w:rPr>
                          <w:rFonts w:hint="eastAsia"/>
                        </w:rPr>
                        <w:t>法人</w:t>
                      </w:r>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p>
    <w:p>
      <w:pPr>
        <w:spacing w:line="0" w:lineRule="atLeast"/>
        <w:outlineLvl w:val="1"/>
        <w:rPr>
          <w:rFonts w:ascii="宋体" w:hAnsi="宋体"/>
          <w:szCs w:val="21"/>
        </w:rPr>
      </w:pPr>
      <w:bookmarkStart w:id="87"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7"/>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8"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8"/>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1"/>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9" w:name="_Toc32341"/>
      <w:r>
        <w:rPr>
          <w:rFonts w:ascii="仿宋" w:hAnsi="仿宋" w:eastAsia="仿宋"/>
          <w:sz w:val="28"/>
          <w:szCs w:val="28"/>
        </w:rPr>
        <w:br w:type="page"/>
      </w:r>
    </w:p>
    <w:p>
      <w:pPr>
        <w:spacing w:line="0" w:lineRule="atLeast"/>
        <w:outlineLvl w:val="1"/>
        <w:rPr>
          <w:rFonts w:ascii="宋体" w:hAnsi="宋体"/>
          <w:szCs w:val="21"/>
        </w:rPr>
      </w:pPr>
      <w:bookmarkStart w:id="90"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9"/>
      <w:bookmarkEnd w:id="90"/>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2"/>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1" w:name="_Toc100848654"/>
      <w:bookmarkStart w:id="92" w:name="_Toc116550374"/>
      <w:r>
        <w:rPr>
          <w:rFonts w:hint="eastAsia" w:ascii="宋体" w:hAnsi="宋体"/>
        </w:rPr>
        <w:t>附件15：投标文件密码</w:t>
      </w:r>
      <w:bookmarkEnd w:id="91"/>
      <w:r>
        <w:rPr>
          <w:rFonts w:hint="eastAsia" w:ascii="宋体" w:hAnsi="宋体"/>
        </w:rPr>
        <w:t>单</w:t>
      </w:r>
      <w:bookmarkEnd w:id="92"/>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3"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3"/>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43"/>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1"/>
        <w:numPr>
          <w:ilvl w:val="0"/>
          <w:numId w:val="43"/>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E3AAC"/>
    <w:multiLevelType w:val="singleLevel"/>
    <w:tmpl w:val="8F7E3AAC"/>
    <w:lvl w:ilvl="0" w:tentative="0">
      <w:start w:val="1"/>
      <w:numFmt w:val="decimal"/>
      <w:suff w:val="nothing"/>
      <w:lvlText w:val="%1、"/>
      <w:lvlJc w:val="left"/>
    </w:lvl>
  </w:abstractNum>
  <w:abstractNum w:abstractNumId="1">
    <w:nsid w:val="94500E31"/>
    <w:multiLevelType w:val="singleLevel"/>
    <w:tmpl w:val="94500E31"/>
    <w:lvl w:ilvl="0" w:tentative="0">
      <w:start w:val="1"/>
      <w:numFmt w:val="decimal"/>
      <w:lvlText w:val="(%1)"/>
      <w:lvlJc w:val="left"/>
      <w:pPr>
        <w:ind w:left="425" w:hanging="425"/>
      </w:pPr>
      <w:rPr>
        <w:rFonts w:hint="default"/>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DC1F128D"/>
    <w:multiLevelType w:val="singleLevel"/>
    <w:tmpl w:val="DC1F128D"/>
    <w:lvl w:ilvl="0" w:tentative="0">
      <w:start w:val="1"/>
      <w:numFmt w:val="decimal"/>
      <w:lvlText w:val="(%1)"/>
      <w:lvlJc w:val="left"/>
      <w:pPr>
        <w:ind w:left="425" w:hanging="425"/>
      </w:pPr>
      <w:rPr>
        <w:rFonts w:hint="default"/>
      </w:rPr>
    </w:lvl>
  </w:abstractNum>
  <w:abstractNum w:abstractNumId="7">
    <w:nsid w:val="F6B10349"/>
    <w:multiLevelType w:val="singleLevel"/>
    <w:tmpl w:val="F6B10349"/>
    <w:lvl w:ilvl="0" w:tentative="0">
      <w:start w:val="1"/>
      <w:numFmt w:val="decimal"/>
      <w:lvlText w:val="(%1)"/>
      <w:lvlJc w:val="left"/>
      <w:pPr>
        <w:ind w:left="425" w:hanging="425"/>
      </w:pPr>
      <w:rPr>
        <w:rFonts w:hint="default"/>
      </w:rPr>
    </w:lvl>
  </w:abstractNum>
  <w:abstractNum w:abstractNumId="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3"/>
    <w:multiLevelType w:val="singleLevel"/>
    <w:tmpl w:val="00000013"/>
    <w:lvl w:ilvl="0" w:tentative="0">
      <w:start w:val="1"/>
      <w:numFmt w:val="decimal"/>
      <w:lvlText w:val="%1."/>
      <w:lvlJc w:val="left"/>
      <w:pPr>
        <w:ind w:left="420" w:hanging="420"/>
      </w:pPr>
    </w:lvl>
  </w:abstractNum>
  <w:abstractNum w:abstractNumId="12">
    <w:nsid w:val="0C17757E"/>
    <w:multiLevelType w:val="multilevel"/>
    <w:tmpl w:val="0C17757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5517AC"/>
    <w:multiLevelType w:val="singleLevel"/>
    <w:tmpl w:val="135517AC"/>
    <w:lvl w:ilvl="0" w:tentative="0">
      <w:start w:val="1"/>
      <w:numFmt w:val="decimal"/>
      <w:lvlText w:val="(%1)"/>
      <w:lvlJc w:val="left"/>
      <w:pPr>
        <w:ind w:left="425" w:hanging="425"/>
      </w:pPr>
      <w:rPr>
        <w:rFonts w:hint="default"/>
      </w:rPr>
    </w:lvl>
  </w:abstractNum>
  <w:abstractNum w:abstractNumId="14">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1305886"/>
    <w:multiLevelType w:val="singleLevel"/>
    <w:tmpl w:val="21305886"/>
    <w:lvl w:ilvl="0" w:tentative="0">
      <w:start w:val="1"/>
      <w:numFmt w:val="decimal"/>
      <w:lvlText w:val="（%1）"/>
      <w:lvlJc w:val="left"/>
      <w:pPr>
        <w:ind w:left="420" w:hanging="420"/>
      </w:pPr>
      <w:rPr>
        <w:rFonts w:hint="eastAsia"/>
      </w:rPr>
    </w:lvl>
  </w:abstractNum>
  <w:abstractNum w:abstractNumId="19">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8E10C89"/>
    <w:multiLevelType w:val="singleLevel"/>
    <w:tmpl w:val="28E10C89"/>
    <w:lvl w:ilvl="0" w:tentative="0">
      <w:start w:val="1"/>
      <w:numFmt w:val="decimal"/>
      <w:suff w:val="space"/>
      <w:lvlText w:val="%1."/>
      <w:lvlJc w:val="left"/>
    </w:lvl>
  </w:abstractNum>
  <w:abstractNum w:abstractNumId="2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1851586"/>
    <w:multiLevelType w:val="singleLevel"/>
    <w:tmpl w:val="51851586"/>
    <w:lvl w:ilvl="0" w:tentative="0">
      <w:start w:val="1"/>
      <w:numFmt w:val="decimal"/>
      <w:lvlText w:val="（%1）"/>
      <w:lvlJc w:val="left"/>
      <w:pPr>
        <w:ind w:left="420" w:hanging="420"/>
      </w:pPr>
      <w:rPr>
        <w:rFonts w:hint="eastAsia"/>
      </w:rPr>
    </w:lvl>
  </w:abstractNum>
  <w:abstractNum w:abstractNumId="29">
    <w:nsid w:val="54155AAB"/>
    <w:multiLevelType w:val="singleLevel"/>
    <w:tmpl w:val="54155AAB"/>
    <w:lvl w:ilvl="0" w:tentative="0">
      <w:start w:val="1"/>
      <w:numFmt w:val="decimal"/>
      <w:lvlText w:val="(%1)"/>
      <w:lvlJc w:val="left"/>
      <w:pPr>
        <w:ind w:left="425" w:hanging="425"/>
      </w:pPr>
      <w:rPr>
        <w:rFonts w:hint="default"/>
      </w:rPr>
    </w:lvl>
  </w:abstractNum>
  <w:abstractNum w:abstractNumId="3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10B3C71"/>
    <w:multiLevelType w:val="multilevel"/>
    <w:tmpl w:val="610B3C7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7D40062"/>
    <w:multiLevelType w:val="multilevel"/>
    <w:tmpl w:val="67D40062"/>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7">
    <w:nsid w:val="71626406"/>
    <w:multiLevelType w:val="singleLevel"/>
    <w:tmpl w:val="71626406"/>
    <w:lvl w:ilvl="0" w:tentative="0">
      <w:start w:val="1"/>
      <w:numFmt w:val="decimal"/>
      <w:lvlText w:val="(%1)"/>
      <w:lvlJc w:val="left"/>
      <w:pPr>
        <w:ind w:left="425" w:hanging="425"/>
      </w:pPr>
      <w:rPr>
        <w:rFonts w:hint="default"/>
      </w:rPr>
    </w:lvl>
  </w:abstractNum>
  <w:abstractNum w:abstractNumId="38">
    <w:nsid w:val="74CF667A"/>
    <w:multiLevelType w:val="singleLevel"/>
    <w:tmpl w:val="74CF667A"/>
    <w:lvl w:ilvl="0" w:tentative="0">
      <w:start w:val="1"/>
      <w:numFmt w:val="decimal"/>
      <w:lvlText w:val="(%1)"/>
      <w:lvlJc w:val="left"/>
      <w:pPr>
        <w:ind w:left="425" w:hanging="425"/>
      </w:pPr>
      <w:rPr>
        <w:rFonts w:hint="default"/>
      </w:rPr>
    </w:lvl>
  </w:abstractNum>
  <w:abstractNum w:abstractNumId="39">
    <w:nsid w:val="789A0917"/>
    <w:multiLevelType w:val="multilevel"/>
    <w:tmpl w:val="789A091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B4A4E0C"/>
    <w:multiLevelType w:val="singleLevel"/>
    <w:tmpl w:val="7B4A4E0C"/>
    <w:lvl w:ilvl="0" w:tentative="0">
      <w:start w:val="1"/>
      <w:numFmt w:val="decimal"/>
      <w:lvlText w:val="（%1）"/>
      <w:lvlJc w:val="left"/>
      <w:pPr>
        <w:ind w:left="420" w:hanging="420"/>
      </w:pPr>
      <w:rPr>
        <w:rFonts w:hint="eastAsia"/>
      </w:rPr>
    </w:lvl>
  </w:abstractNum>
  <w:abstractNum w:abstractNumId="41">
    <w:nsid w:val="7ED17433"/>
    <w:multiLevelType w:val="singleLevel"/>
    <w:tmpl w:val="7ED17433"/>
    <w:lvl w:ilvl="0" w:tentative="0">
      <w:start w:val="1"/>
      <w:numFmt w:val="decimal"/>
      <w:lvlText w:val="（%1）"/>
      <w:lvlJc w:val="left"/>
      <w:pPr>
        <w:ind w:left="420" w:hanging="420"/>
      </w:pPr>
      <w:rPr>
        <w:rFonts w:hint="eastAsia"/>
      </w:rPr>
    </w:lvl>
  </w:abstractNum>
  <w:num w:numId="1">
    <w:abstractNumId w:val="31"/>
  </w:num>
  <w:num w:numId="2">
    <w:abstractNumId w:val="36"/>
  </w:num>
  <w:num w:numId="3">
    <w:abstractNumId w:val="2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5"/>
  </w:num>
  <w:num w:numId="9">
    <w:abstractNumId w:val="14"/>
  </w:num>
  <w:num w:numId="10">
    <w:abstractNumId w:val="40"/>
  </w:num>
  <w:num w:numId="11">
    <w:abstractNumId w:val="41"/>
  </w:num>
  <w:num w:numId="12">
    <w:abstractNumId w:val="18"/>
  </w:num>
  <w:num w:numId="13">
    <w:abstractNumId w:val="0"/>
  </w:num>
  <w:num w:numId="14">
    <w:abstractNumId w:val="38"/>
  </w:num>
  <w:num w:numId="15">
    <w:abstractNumId w:val="29"/>
  </w:num>
  <w:num w:numId="16">
    <w:abstractNumId w:val="28"/>
  </w:num>
  <w:num w:numId="17">
    <w:abstractNumId w:val="13"/>
  </w:num>
  <w:num w:numId="18">
    <w:abstractNumId w:val="37"/>
  </w:num>
  <w:num w:numId="19">
    <w:abstractNumId w:val="7"/>
  </w:num>
  <w:num w:numId="20">
    <w:abstractNumId w:val="4"/>
  </w:num>
  <w:num w:numId="21">
    <w:abstractNumId w:val="21"/>
  </w:num>
  <w:num w:numId="22">
    <w:abstractNumId w:val="10"/>
  </w:num>
  <w:num w:numId="23">
    <w:abstractNumId w:val="16"/>
  </w:num>
  <w:num w:numId="24">
    <w:abstractNumId w:val="1"/>
  </w:num>
  <w:num w:numId="25">
    <w:abstractNumId w:val="12"/>
  </w:num>
  <w:num w:numId="26">
    <w:abstractNumId w:val="33"/>
  </w:num>
  <w:num w:numId="27">
    <w:abstractNumId w:val="23"/>
  </w:num>
  <w:num w:numId="28">
    <w:abstractNumId w:val="6"/>
  </w:num>
  <w:num w:numId="29">
    <w:abstractNumId w:val="39"/>
  </w:num>
  <w:num w:numId="30">
    <w:abstractNumId w:val="2"/>
  </w:num>
  <w:num w:numId="31">
    <w:abstractNumId w:val="5"/>
  </w:num>
  <w:num w:numId="32">
    <w:abstractNumId w:val="34"/>
  </w:num>
  <w:num w:numId="33">
    <w:abstractNumId w:val="9"/>
  </w:num>
  <w:num w:numId="34">
    <w:abstractNumId w:val="8"/>
  </w:num>
  <w:num w:numId="35">
    <w:abstractNumId w:val="35"/>
  </w:num>
  <w:num w:numId="36">
    <w:abstractNumId w:val="26"/>
  </w:num>
  <w:num w:numId="37">
    <w:abstractNumId w:val="22"/>
  </w:num>
  <w:num w:numId="38">
    <w:abstractNumId w:val="19"/>
  </w:num>
  <w:num w:numId="39">
    <w:abstractNumId w:val="27"/>
  </w:num>
  <w:num w:numId="40">
    <w:abstractNumId w:val="17"/>
  </w:num>
  <w:num w:numId="41">
    <w:abstractNumId w:val="11"/>
  </w:num>
  <w:num w:numId="42">
    <w:abstractNumId w:val="3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D46768"/>
    <w:rsid w:val="04F90B5F"/>
    <w:rsid w:val="0508501E"/>
    <w:rsid w:val="053A1CC8"/>
    <w:rsid w:val="06856661"/>
    <w:rsid w:val="077B4608"/>
    <w:rsid w:val="07BB74B6"/>
    <w:rsid w:val="08493DEA"/>
    <w:rsid w:val="084B2AF2"/>
    <w:rsid w:val="086E4EC9"/>
    <w:rsid w:val="08C8619B"/>
    <w:rsid w:val="0A20099D"/>
    <w:rsid w:val="0B4107EB"/>
    <w:rsid w:val="0B734A64"/>
    <w:rsid w:val="0CDE01F2"/>
    <w:rsid w:val="0D925C18"/>
    <w:rsid w:val="0DD201F4"/>
    <w:rsid w:val="0F4526B6"/>
    <w:rsid w:val="10091618"/>
    <w:rsid w:val="13E92730"/>
    <w:rsid w:val="14BF4FE7"/>
    <w:rsid w:val="152B64B8"/>
    <w:rsid w:val="15740DA4"/>
    <w:rsid w:val="15A52DA9"/>
    <w:rsid w:val="195A6BC0"/>
    <w:rsid w:val="1A0B3364"/>
    <w:rsid w:val="1B022D58"/>
    <w:rsid w:val="1B2F1F4F"/>
    <w:rsid w:val="1BCE2907"/>
    <w:rsid w:val="1C5670DA"/>
    <w:rsid w:val="1DC22DF1"/>
    <w:rsid w:val="1F044472"/>
    <w:rsid w:val="1F7074E6"/>
    <w:rsid w:val="227A4EED"/>
    <w:rsid w:val="228D0750"/>
    <w:rsid w:val="24786106"/>
    <w:rsid w:val="25A5748F"/>
    <w:rsid w:val="25D85A3C"/>
    <w:rsid w:val="267E19B6"/>
    <w:rsid w:val="26E95967"/>
    <w:rsid w:val="28A91681"/>
    <w:rsid w:val="2A1D36D7"/>
    <w:rsid w:val="2B9E3425"/>
    <w:rsid w:val="2BC00137"/>
    <w:rsid w:val="2BD84FDD"/>
    <w:rsid w:val="2BFA4386"/>
    <w:rsid w:val="2CD73EA3"/>
    <w:rsid w:val="2D845ED0"/>
    <w:rsid w:val="2F526627"/>
    <w:rsid w:val="30381F4F"/>
    <w:rsid w:val="30F31F43"/>
    <w:rsid w:val="33334D57"/>
    <w:rsid w:val="34A05B77"/>
    <w:rsid w:val="37097428"/>
    <w:rsid w:val="385E05E8"/>
    <w:rsid w:val="38AC36F6"/>
    <w:rsid w:val="392D4949"/>
    <w:rsid w:val="3A453ABA"/>
    <w:rsid w:val="3BA721A9"/>
    <w:rsid w:val="3BB26AC4"/>
    <w:rsid w:val="3C35255B"/>
    <w:rsid w:val="3D3679ED"/>
    <w:rsid w:val="3D614F7D"/>
    <w:rsid w:val="3E4358E0"/>
    <w:rsid w:val="408D7227"/>
    <w:rsid w:val="41407E51"/>
    <w:rsid w:val="416718EC"/>
    <w:rsid w:val="41C07F72"/>
    <w:rsid w:val="439D7A21"/>
    <w:rsid w:val="43D97719"/>
    <w:rsid w:val="447267E8"/>
    <w:rsid w:val="44E431E5"/>
    <w:rsid w:val="45CE3B5E"/>
    <w:rsid w:val="46B30DE6"/>
    <w:rsid w:val="492A4A83"/>
    <w:rsid w:val="495C1F5C"/>
    <w:rsid w:val="4AF77150"/>
    <w:rsid w:val="4B8B03E4"/>
    <w:rsid w:val="4C770836"/>
    <w:rsid w:val="4D9A3F67"/>
    <w:rsid w:val="4DC7192F"/>
    <w:rsid w:val="4DDF67CC"/>
    <w:rsid w:val="4EE12BFB"/>
    <w:rsid w:val="50FA6A61"/>
    <w:rsid w:val="51794BC1"/>
    <w:rsid w:val="51916E74"/>
    <w:rsid w:val="53D25371"/>
    <w:rsid w:val="540F1FD2"/>
    <w:rsid w:val="561F6663"/>
    <w:rsid w:val="57231B7E"/>
    <w:rsid w:val="57315BF2"/>
    <w:rsid w:val="57594B93"/>
    <w:rsid w:val="594A6990"/>
    <w:rsid w:val="5A2E0F40"/>
    <w:rsid w:val="5BDD23FE"/>
    <w:rsid w:val="5C4C5214"/>
    <w:rsid w:val="5D5D0D93"/>
    <w:rsid w:val="5E8307E5"/>
    <w:rsid w:val="60475C3F"/>
    <w:rsid w:val="60785544"/>
    <w:rsid w:val="60A60070"/>
    <w:rsid w:val="61A26997"/>
    <w:rsid w:val="622C21AB"/>
    <w:rsid w:val="62D00ABF"/>
    <w:rsid w:val="630A13FF"/>
    <w:rsid w:val="632F4CF2"/>
    <w:rsid w:val="640C25AF"/>
    <w:rsid w:val="64EF5A4D"/>
    <w:rsid w:val="67457773"/>
    <w:rsid w:val="68171C28"/>
    <w:rsid w:val="683A303D"/>
    <w:rsid w:val="68E97B63"/>
    <w:rsid w:val="69101AD1"/>
    <w:rsid w:val="6A5B2F9C"/>
    <w:rsid w:val="6B1E605C"/>
    <w:rsid w:val="6C5E0507"/>
    <w:rsid w:val="6C6B5505"/>
    <w:rsid w:val="6DF67C63"/>
    <w:rsid w:val="6E3F209B"/>
    <w:rsid w:val="70F67819"/>
    <w:rsid w:val="725336E8"/>
    <w:rsid w:val="74783A1C"/>
    <w:rsid w:val="74AB354D"/>
    <w:rsid w:val="74B05132"/>
    <w:rsid w:val="74D65587"/>
    <w:rsid w:val="76C52AAF"/>
    <w:rsid w:val="76E063E5"/>
    <w:rsid w:val="772A35DE"/>
    <w:rsid w:val="798425C1"/>
    <w:rsid w:val="79A35F22"/>
    <w:rsid w:val="79BF662E"/>
    <w:rsid w:val="7A0F42A2"/>
    <w:rsid w:val="7A751935"/>
    <w:rsid w:val="7B2952F2"/>
    <w:rsid w:val="7B9817BF"/>
    <w:rsid w:val="7C06599D"/>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20604</Words>
  <Characters>21720</Characters>
  <Lines>139</Lines>
  <Paragraphs>39</Paragraphs>
  <TotalTime>29</TotalTime>
  <ScaleCrop>false</ScaleCrop>
  <LinksUpToDate>false</LinksUpToDate>
  <CharactersWithSpaces>25066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admin</cp:lastModifiedBy>
  <dcterms:modified xsi:type="dcterms:W3CDTF">2023-05-25T09:14:26Z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33D2E1FF95F74D9DA0799231658BA699</vt:lpwstr>
  </property>
</Properties>
</file>