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hint="eastAsia" w:ascii="宋体" w:hAnsi="宋体" w:eastAsia="宋体" w:cs="宋体"/>
          <w:b/>
          <w:bCs/>
          <w:sz w:val="48"/>
          <w:szCs w:val="48"/>
        </w:rPr>
      </w:pPr>
      <w:r>
        <w:rPr>
          <w:rFonts w:hint="eastAsia" w:ascii="宋体" w:hAnsi="宋体" w:eastAsia="宋体" w:cs="宋体"/>
          <w:b/>
          <w:bCs/>
          <w:sz w:val="48"/>
          <w:szCs w:val="48"/>
        </w:rPr>
        <w:t>深圳</w:t>
      </w:r>
      <w:r>
        <w:rPr>
          <w:rFonts w:hint="eastAsia" w:ascii="宋体" w:hAnsi="宋体" w:eastAsia="宋体" w:cs="宋体"/>
          <w:b/>
          <w:bCs/>
          <w:sz w:val="48"/>
          <w:szCs w:val="48"/>
          <w:lang w:val="en-US" w:eastAsia="zh-CN"/>
        </w:rPr>
        <w:t>会</w:t>
      </w:r>
      <w:r>
        <w:rPr>
          <w:rFonts w:hint="eastAsia" w:ascii="宋体" w:hAnsi="宋体" w:eastAsia="宋体" w:cs="宋体"/>
          <w:b/>
          <w:bCs/>
          <w:sz w:val="48"/>
          <w:szCs w:val="48"/>
        </w:rPr>
        <w:t>展中心管理有限责任公司</w:t>
      </w:r>
    </w:p>
    <w:p>
      <w:pPr>
        <w:spacing w:before="156" w:beforeLines="50" w:after="156" w:afterLines="50"/>
        <w:jc w:val="center"/>
        <w:rPr>
          <w:rFonts w:hint="eastAsia" w:ascii="宋体" w:hAnsi="宋体" w:eastAsia="宋体" w:cs="宋体"/>
          <w:b/>
          <w:sz w:val="72"/>
          <w:szCs w:val="72"/>
        </w:rPr>
      </w:pPr>
      <w:r>
        <w:rPr>
          <w:rFonts w:hint="eastAsia" w:ascii="宋体" w:hAnsi="宋体" w:eastAsia="宋体" w:cs="宋体"/>
          <w:b/>
          <w:bCs/>
          <w:sz w:val="72"/>
          <w:szCs w:val="72"/>
        </w:rPr>
        <w:t>招标文件</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项目名称：第二十五届高交会新闻发布会媒体组织及服务项目</w:t>
      </w:r>
    </w:p>
    <w:p>
      <w:pPr>
        <w:tabs>
          <w:tab w:val="left" w:pos="2127"/>
          <w:tab w:val="left" w:pos="2694"/>
        </w:tabs>
        <w:spacing w:line="360" w:lineRule="auto"/>
        <w:ind w:firstLine="2030" w:firstLineChars="632"/>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3</w:t>
      </w:r>
      <w:r>
        <w:rPr>
          <w:rFonts w:hint="eastAsia" w:ascii="宋体" w:hAnsi="宋体" w:eastAsia="宋体" w:cs="宋体"/>
          <w:b/>
          <w:sz w:val="32"/>
          <w:szCs w:val="32"/>
        </w:rPr>
        <w:t>年</w:t>
      </w:r>
      <w:r>
        <w:rPr>
          <w:rFonts w:hint="eastAsia" w:ascii="宋体" w:hAnsi="宋体" w:eastAsia="宋体" w:cs="宋体"/>
          <w:b/>
          <w:sz w:val="32"/>
          <w:szCs w:val="32"/>
          <w:lang w:val="en-US" w:eastAsia="zh-CN"/>
        </w:rPr>
        <w:t>0</w:t>
      </w:r>
      <w:r>
        <w:rPr>
          <w:rFonts w:hint="eastAsia" w:ascii="宋体" w:hAnsi="宋体" w:cs="宋体"/>
          <w:b/>
          <w:sz w:val="32"/>
          <w:szCs w:val="32"/>
          <w:lang w:val="en-US" w:eastAsia="zh-CN"/>
        </w:rPr>
        <w:t>5</w:t>
      </w:r>
      <w:r>
        <w:rPr>
          <w:rFonts w:hint="eastAsia" w:ascii="宋体" w:hAnsi="宋体" w:eastAsia="宋体" w:cs="宋体"/>
          <w:b/>
          <w:sz w:val="32"/>
          <w:szCs w:val="32"/>
        </w:rPr>
        <w:t>月</w:t>
      </w:r>
      <w:r>
        <w:rPr>
          <w:rFonts w:hint="eastAsia" w:ascii="宋体" w:hAnsi="宋体" w:eastAsia="宋体" w:cs="宋体"/>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_Toc13184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_Toc13184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_Toc9987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_Toc9987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_Toc27943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highlight w:val="none"/>
        </w:rPr>
        <w:t>特别说明</w:t>
      </w:r>
      <w:r>
        <w:tab/>
      </w:r>
      <w:r>
        <w:fldChar w:fldCharType="begin"/>
      </w:r>
      <w:r>
        <w:instrText xml:space="preserve"> PAGEREF _Toc27943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_Toc17446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_Toc17446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_Toc24726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_Toc24726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_Toc3568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_Toc3568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_Toc2326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_Toc2326 \h </w:instrText>
      </w:r>
      <w:r>
        <w:fldChar w:fldCharType="separate"/>
      </w:r>
      <w:r>
        <w:t>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_Toc11381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_Toc11381 \h </w:instrText>
      </w:r>
      <w:r>
        <w:fldChar w:fldCharType="separate"/>
      </w:r>
      <w:r>
        <w:t>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_Toc26773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_Toc26773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_Toc21361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_Toc21361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_Toc16214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_Toc16214 \h </w:instrText>
      </w:r>
      <w:r>
        <w:fldChar w:fldCharType="separate"/>
      </w:r>
      <w:r>
        <w:t>8</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_Toc6058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highlight w:val="none"/>
        </w:rPr>
        <w:t>符合性检查</w:t>
      </w:r>
      <w:r>
        <w:tab/>
      </w:r>
      <w:r>
        <w:fldChar w:fldCharType="begin"/>
      </w:r>
      <w:r>
        <w:instrText xml:space="preserve"> PAGEREF _Toc6058 \h </w:instrText>
      </w:r>
      <w:r>
        <w:fldChar w:fldCharType="separate"/>
      </w:r>
      <w:r>
        <w:t>8</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_Toc5716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_Toc5716 \h </w:instrText>
      </w:r>
      <w:r>
        <w:fldChar w:fldCharType="separate"/>
      </w:r>
      <w:r>
        <w:t>9</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_Toc12372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_Toc12372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_Toc22925 </w:instrText>
      </w:r>
      <w:r>
        <w:rPr>
          <w:rFonts w:hint="eastAsia" w:ascii="宋体" w:hAnsi="宋体" w:cs="仿宋"/>
          <w:szCs w:val="21"/>
        </w:rPr>
        <w:fldChar w:fldCharType="separate"/>
      </w:r>
      <w:r>
        <w:rPr>
          <w:rFonts w:hint="eastAsia" w:ascii="宋体" w:hAnsi="宋体" w:eastAsia="宋体" w:cs="宋体"/>
          <w:szCs w:val="32"/>
        </w:rPr>
        <w:t>第四部分：合同条款及格式</w:t>
      </w:r>
      <w:r>
        <w:tab/>
      </w:r>
      <w:r>
        <w:fldChar w:fldCharType="begin"/>
      </w:r>
      <w:r>
        <w:instrText xml:space="preserve"> PAGEREF _Toc22925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_Toc3235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_Toc3235 \h </w:instrText>
      </w:r>
      <w:r>
        <w:fldChar w:fldCharType="separate"/>
      </w:r>
      <w:r>
        <w:t>17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_Toc27087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_Toc27087 \h </w:instrText>
      </w:r>
      <w:r>
        <w:fldChar w:fldCharType="separate"/>
      </w:r>
      <w:r>
        <w:t>17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_Toc9972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_Toc9972 \h </w:instrText>
      </w:r>
      <w:r>
        <w:fldChar w:fldCharType="separate"/>
      </w:r>
      <w:r>
        <w:t>18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_Toc2491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_Toc2491 \h </w:instrText>
      </w:r>
      <w:r>
        <w:fldChar w:fldCharType="separate"/>
      </w:r>
      <w:r>
        <w:t>19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_Toc2610 </w:instrText>
      </w:r>
      <w:r>
        <w:rPr>
          <w:rFonts w:hint="eastAsia" w:ascii="宋体" w:hAnsi="宋体" w:cs="仿宋"/>
          <w:szCs w:val="21"/>
        </w:rPr>
        <w:fldChar w:fldCharType="separate"/>
      </w:r>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r>
        <w:tab/>
      </w:r>
      <w:r>
        <w:fldChar w:fldCharType="begin"/>
      </w:r>
      <w:r>
        <w:instrText xml:space="preserve"> PAGEREF _Toc2610 \h </w:instrText>
      </w:r>
      <w:r>
        <w:fldChar w:fldCharType="separate"/>
      </w:r>
      <w:r>
        <w:t>20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_Toc26652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_Toc26652 \h </w:instrText>
      </w:r>
      <w:r>
        <w:fldChar w:fldCharType="separate"/>
      </w:r>
      <w:r>
        <w:t>21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_Toc25437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_Toc25437 \h </w:instrText>
      </w:r>
      <w:r>
        <w:fldChar w:fldCharType="separate"/>
      </w:r>
      <w:r>
        <w:t>22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_Toc22986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_Toc22986 \h </w:instrText>
      </w:r>
      <w:r>
        <w:fldChar w:fldCharType="separate"/>
      </w:r>
      <w:r>
        <w:t>23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_Toc2149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_Toc2149 \h </w:instrText>
      </w:r>
      <w:r>
        <w:fldChar w:fldCharType="separate"/>
      </w:r>
      <w:r>
        <w:t>24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_Toc10145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_Toc10145 \h </w:instrText>
      </w:r>
      <w:r>
        <w:fldChar w:fldCharType="separate"/>
      </w:r>
      <w:r>
        <w:t>25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_Toc26289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_Toc26289 \h </w:instrText>
      </w:r>
      <w:r>
        <w:fldChar w:fldCharType="separate"/>
      </w:r>
      <w:r>
        <w:t>26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_Toc14694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_Toc14694 \h </w:instrText>
      </w:r>
      <w:r>
        <w:fldChar w:fldCharType="separate"/>
      </w:r>
      <w:r>
        <w:t>27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_Toc7947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_Toc7947 \h </w:instrText>
      </w:r>
      <w:r>
        <w:fldChar w:fldCharType="separate"/>
      </w:r>
      <w:r>
        <w:t>28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_Toc27781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_Toc27781 \h </w:instrText>
      </w:r>
      <w:r>
        <w:fldChar w:fldCharType="separate"/>
      </w:r>
      <w:r>
        <w:t>29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_Toc459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_Toc459 \h </w:instrText>
      </w:r>
      <w:r>
        <w:fldChar w:fldCharType="separate"/>
      </w:r>
      <w:r>
        <w:t>30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_Toc7694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_Toc7694 \h </w:instrText>
      </w:r>
      <w:r>
        <w:fldChar w:fldCharType="separate"/>
      </w:r>
      <w:r>
        <w:t>31</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318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9987"/>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bookmarkStart w:id="95" w:name="_GoBack"/>
            <w:r>
              <w:rPr>
                <w:rFonts w:hint="eastAsia" w:ascii="宋体" w:hAnsi="宋体"/>
                <w:color w:val="auto"/>
                <w:szCs w:val="21"/>
                <w:highlight w:val="none"/>
              </w:rPr>
              <w:t>第二十五届高交会新闻发布会媒体组织及服务项目</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为更好地服务第二十五届高交会新闻发布会，满足发布会媒体报道需求，加强高交会媒体宣传，本项目拟委托合作单位邀请组织行业媒体参加第二十五届高交会新闻发布会，跟进媒体报道，提高报道数量及质量，服务出席第二十五届高交会新闻发布会媒体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北京市或深圳会展中心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u w:val="single"/>
                <w:lang w:val="en-US" w:eastAsia="zh-CN"/>
              </w:rPr>
              <w:t>60</w:t>
            </w:r>
            <w:r>
              <w:rPr>
                <w:rFonts w:hint="eastAsia" w:ascii="宋体" w:hAnsi="宋体" w:eastAsia="宋体" w:cs="Times New Roman"/>
                <w:color w:val="auto"/>
                <w:szCs w:val="21"/>
                <w:highlight w:val="none"/>
                <w:u w:val="single"/>
              </w:rPr>
              <w:t>天</w:t>
            </w:r>
            <w:r>
              <w:rPr>
                <w:rFonts w:hint="default" w:ascii="宋体" w:hAnsi="宋体" w:eastAsia="宋体" w:cs="Times New Roman"/>
                <w:color w:val="auto"/>
                <w:szCs w:val="21"/>
                <w:highlight w:val="none"/>
                <w:u w:val="single"/>
              </w:rPr>
              <w:t>（</w:t>
            </w:r>
            <w:r>
              <w:rPr>
                <w:rFonts w:hint="eastAsia" w:ascii="宋体" w:hAnsi="宋体" w:eastAsia="宋体" w:cs="Times New Roman"/>
                <w:color w:val="auto"/>
                <w:sz w:val="21"/>
                <w:szCs w:val="21"/>
                <w:highlight w:val="none"/>
                <w:u w:val="single"/>
                <w:lang w:val="en-US" w:eastAsia="zh-CN"/>
              </w:rPr>
              <w:t>中标通知书发放之日到服务项目完成后约定的义务履行完毕之日结束</w:t>
            </w:r>
            <w:r>
              <w:rPr>
                <w:rFonts w:hint="default" w:ascii="宋体" w:hAnsi="宋体" w:eastAsia="宋体" w:cs="Times New Roman"/>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16</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https://cg.szcec.com/sharing/89OdRGgmQ，</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https://cg.szcec.com/sharing/4Mt7mtVtc，</w:t>
            </w:r>
            <w:r>
              <w:rPr>
                <w:rFonts w:hint="eastAsia" w:ascii="宋体" w:hAnsi="宋体"/>
                <w:szCs w:val="21"/>
              </w:rPr>
              <w:t>并致电确认</w:t>
            </w:r>
            <w:bookmarkStart w:id="2" w:name="_Toc478393187"/>
            <w:bookmarkStart w:id="3" w:name="_Toc478110532"/>
            <w:bookmarkStart w:id="4" w:name="_Toc47839282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915233825</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https://cg.szcec.com/sharing/llwd9H5jw。</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stheme="minorBidi"/>
                <w:color w:val="auto"/>
                <w:szCs w:val="21"/>
                <w:highlight w:val="none"/>
                <w:lang w:eastAsia="zh-CN"/>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lang w:eastAsia="zh-CN"/>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olor w:val="auto"/>
                <w:szCs w:val="21"/>
                <w:highlight w:val="none"/>
                <w:lang w:eastAsia="zh-CN"/>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hint="eastAsia" w:ascii="宋体" w:hAnsi="宋体"/>
                <w:color w:val="auto"/>
                <w:szCs w:val="21"/>
                <w:highlight w:val="none"/>
                <w:lang w:eastAsia="zh-CN"/>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684590"/>
      <w:bookmarkEnd w:id="6"/>
      <w:bookmarkStart w:id="7" w:name="_Toc82685540"/>
      <w:bookmarkEnd w:id="7"/>
      <w:bookmarkStart w:id="8" w:name="_Toc82684703"/>
      <w:bookmarkEnd w:id="8"/>
      <w:bookmarkStart w:id="9" w:name="_Toc82591925"/>
      <w:bookmarkEnd w:id="9"/>
      <w:bookmarkStart w:id="10" w:name="_Toc82684588"/>
      <w:bookmarkEnd w:id="10"/>
      <w:bookmarkStart w:id="11" w:name="_Toc82684591"/>
      <w:bookmarkEnd w:id="11"/>
      <w:bookmarkStart w:id="12" w:name="_Toc82685541"/>
      <w:bookmarkEnd w:id="12"/>
      <w:bookmarkStart w:id="13" w:name="_Toc82684705"/>
      <w:bookmarkEnd w:id="13"/>
      <w:bookmarkStart w:id="14" w:name="_Toc82591926"/>
      <w:bookmarkEnd w:id="14"/>
      <w:bookmarkStart w:id="15" w:name="_Toc82685542"/>
      <w:bookmarkEnd w:id="15"/>
      <w:bookmarkStart w:id="16" w:name="_Toc82684704"/>
      <w:bookmarkEnd w:id="16"/>
      <w:bookmarkStart w:id="17" w:name="_Toc82684589"/>
      <w:bookmarkEnd w:id="17"/>
      <w:bookmarkStart w:id="18" w:name="_Toc82685543"/>
      <w:bookmarkEnd w:id="18"/>
      <w:bookmarkStart w:id="19" w:name="_Toc82591928"/>
      <w:bookmarkEnd w:id="19"/>
      <w:bookmarkStart w:id="20" w:name="_Toc82591927"/>
      <w:bookmarkEnd w:id="20"/>
      <w:bookmarkStart w:id="21" w:name="_Toc82684706"/>
      <w:bookmarkEnd w:id="21"/>
      <w:bookmarkStart w:id="22" w:name="_Toc27943"/>
      <w:r>
        <w:rPr>
          <w:rFonts w:hint="eastAsia" w:ascii="宋体" w:hAnsi="宋体"/>
          <w:b/>
          <w:color w:val="auto"/>
          <w:szCs w:val="21"/>
          <w:highlight w:val="none"/>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9"/>
      <w:bookmarkEnd w:id="26"/>
      <w:bookmarkStart w:id="27" w:name="_Toc82591986"/>
      <w:bookmarkEnd w:id="27"/>
      <w:bookmarkStart w:id="28" w:name="_Toc82591988"/>
      <w:bookmarkEnd w:id="28"/>
      <w:bookmarkStart w:id="29" w:name="_Toc82591985"/>
      <w:bookmarkEnd w:id="29"/>
      <w:bookmarkStart w:id="30" w:name="_Toc82591987"/>
      <w:bookmarkEnd w:id="30"/>
      <w:bookmarkStart w:id="31" w:name="_Toc82684708"/>
      <w:bookmarkEnd w:id="31"/>
      <w:bookmarkStart w:id="32" w:name="_Toc82684593"/>
      <w:bookmarkEnd w:id="32"/>
      <w:bookmarkStart w:id="33" w:name="_Toc82591930"/>
      <w:bookmarkEnd w:id="33"/>
      <w:bookmarkStart w:id="34" w:name="_Toc82685545"/>
      <w:bookmarkEnd w:id="34"/>
      <w:bookmarkStart w:id="35" w:name="_Toc17446"/>
      <w:r>
        <w:rPr>
          <w:rFonts w:hint="eastAsia" w:ascii="宋体" w:hAnsi="宋体"/>
          <w:b/>
          <w:szCs w:val="21"/>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Courier New"/>
                <w:kern w:val="0"/>
                <w:szCs w:val="21"/>
                <w:lang w:eastAsia="zh-CN"/>
              </w:rPr>
              <w:sym w:font="Wingdings 2" w:char="0052"/>
            </w:r>
            <w:r>
              <w:rPr>
                <w:rFonts w:hint="eastAsia"/>
              </w:rPr>
              <w:t>资格审查文件</w:t>
            </w:r>
          </w:p>
          <w:p>
            <w:pPr>
              <w:autoSpaceDE w:val="0"/>
              <w:autoSpaceDN w:val="0"/>
              <w:adjustRightInd w:val="0"/>
              <w:snapToGrid w:val="0"/>
              <w:jc w:val="left"/>
            </w:pPr>
            <w:r>
              <w:rPr>
                <w:rFonts w:hint="eastAsia" w:ascii="宋体" w:hAnsi="宋体" w:cs="Courier New"/>
                <w:kern w:val="0"/>
                <w:szCs w:val="21"/>
                <w:lang w:eastAsia="zh-CN"/>
              </w:rPr>
              <w:sym w:font="Wingdings 2" w:char="0052"/>
            </w:r>
            <w:r>
              <w:rPr>
                <w:rFonts w:hint="eastAsia"/>
              </w:rPr>
              <w:t>商务标部分</w:t>
            </w:r>
          </w:p>
          <w:p>
            <w:pPr>
              <w:autoSpaceDE w:val="0"/>
              <w:autoSpaceDN w:val="0"/>
              <w:adjustRightInd w:val="0"/>
              <w:snapToGrid w:val="0"/>
              <w:jc w:val="left"/>
            </w:pPr>
            <w:r>
              <w:rPr>
                <w:rFonts w:hint="eastAsia" w:ascii="宋体" w:hAnsi="宋体" w:cs="Courier New"/>
                <w:kern w:val="0"/>
                <w:szCs w:val="21"/>
                <w:lang w:eastAsia="zh-CN"/>
              </w:rPr>
              <w:sym w:font="Wingdings 2" w:char="0052"/>
            </w:r>
            <w:r>
              <w:rPr>
                <w:rFonts w:hint="eastAsia"/>
              </w:rPr>
              <w:t>技术/服务标部分</w:t>
            </w:r>
          </w:p>
          <w:p>
            <w:pPr>
              <w:autoSpaceDE w:val="0"/>
              <w:autoSpaceDN w:val="0"/>
              <w:adjustRightInd w:val="0"/>
              <w:snapToGrid w:val="0"/>
              <w:jc w:val="left"/>
            </w:pPr>
            <w:r>
              <w:rPr>
                <w:rFonts w:hint="eastAsia" w:ascii="宋体" w:hAnsi="宋体" w:cs="Courier New"/>
                <w:kern w:val="0"/>
                <w:szCs w:val="21"/>
                <w:lang w:eastAsia="zh-CN"/>
              </w:rPr>
              <w:sym w:font="Wingdings 2" w:char="0052"/>
            </w:r>
            <w:r>
              <w:rPr>
                <w:rFonts w:hint="eastAsia"/>
              </w:rPr>
              <w:t>价格标部分</w:t>
            </w:r>
          </w:p>
          <w:p>
            <w:pPr>
              <w:pStyle w:val="13"/>
            </w:pPr>
            <w:r>
              <w:rPr>
                <w:rFonts w:hint="eastAsia" w:ascii="宋体" w:cs="Courier New"/>
                <w:kern w:val="0"/>
                <w:szCs w:val="21"/>
                <w:lang w:eastAsia="zh-CN"/>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t>□</w:t>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24726"/>
      <w:r>
        <w:rPr>
          <w:rFonts w:hint="eastAsia" w:ascii="宋体" w:hAnsi="宋体"/>
          <w:b/>
          <w:szCs w:val="21"/>
        </w:rPr>
        <w:t>项目要求</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numPr>
                <w:ilvl w:val="0"/>
                <w:numId w:val="10"/>
              </w:numPr>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13"/>
              <w:numPr>
                <w:ilvl w:val="0"/>
                <w:numId w:val="10"/>
              </w:numPr>
              <w:ind w:left="0" w:leftChars="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pStyle w:val="13"/>
              <w:numPr>
                <w:ilvl w:val="0"/>
                <w:numId w:val="10"/>
              </w:numPr>
              <w:ind w:left="0" w:leftChars="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本项目不接受联合体投标。不得转包或非法分包。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color w:val="auto"/>
                <w:highlight w:val="none"/>
              </w:rPr>
            </w:pPr>
            <w:r>
              <w:rPr>
                <w:rFonts w:hint="eastAsia" w:ascii="宋体" w:hAnsi="宋体" w:cs="仿宋_GB2312"/>
                <w:color w:val="auto"/>
                <w:szCs w:val="21"/>
                <w:highlight w:val="none"/>
              </w:rPr>
              <w:t>投标报价包括但不限于</w:t>
            </w:r>
            <w:r>
              <w:rPr>
                <w:rFonts w:hint="eastAsia" w:ascii="宋体" w:hAnsi="宋体" w:eastAsia="宋体" w:cs="Times New Roman"/>
                <w:color w:val="auto"/>
                <w:szCs w:val="21"/>
                <w:highlight w:val="none"/>
              </w:rPr>
              <w:t>策划费、执行费、人工费、交通费、报道费、撰稿费、广告费</w:t>
            </w:r>
            <w:r>
              <w:rPr>
                <w:rFonts w:hint="eastAsia" w:ascii="宋体" w:hAnsi="宋体" w:eastAsia="宋体" w:cs="Times New Roman"/>
                <w:color w:val="auto"/>
                <w:szCs w:val="21"/>
                <w:highlight w:val="none"/>
                <w:lang w:val="en-US" w:eastAsia="zh-CN"/>
              </w:rPr>
              <w:t>及</w:t>
            </w:r>
            <w:r>
              <w:rPr>
                <w:rFonts w:hint="eastAsia" w:ascii="宋体" w:hAnsi="宋体"/>
                <w:color w:val="auto"/>
                <w:szCs w:val="21"/>
                <w:highlight w:val="none"/>
              </w:rPr>
              <w:t>增值税费等</w:t>
            </w:r>
            <w:r>
              <w:rPr>
                <w:rFonts w:hint="eastAsia" w:ascii="宋体" w:hAnsi="宋体" w:cs="仿宋_GB2312"/>
                <w:color w:val="auto"/>
                <w:szCs w:val="21"/>
                <w:highlight w:val="none"/>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11</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eastAsia="宋体" w:cs="宋体"/>
                <w:color w:val="auto"/>
                <w:highlight w:val="none"/>
                <w:lang w:eastAsia="zh-CN"/>
              </w:rPr>
            </w:pP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1</w:t>
            </w:r>
            <w:r>
              <w:rPr>
                <w:rFonts w:hint="eastAsia" w:ascii="宋体" w:eastAsia="宋体" w:cs="宋体"/>
                <w:color w:val="auto"/>
                <w:highlight w:val="none"/>
                <w:lang w:eastAsia="zh-CN"/>
              </w:rPr>
              <w:t>）本服务费分两次付款：双方签定合同后，招标人先支付合同总金额的</w:t>
            </w:r>
            <w:r>
              <w:rPr>
                <w:rFonts w:hint="eastAsia" w:ascii="宋体" w:eastAsia="宋体" w:cs="宋体"/>
                <w:color w:val="auto"/>
                <w:highlight w:val="none"/>
                <w:lang w:val="en-US" w:eastAsia="zh-CN"/>
              </w:rPr>
              <w:t>5</w:t>
            </w:r>
            <w:r>
              <w:rPr>
                <w:rFonts w:hint="eastAsia" w:ascii="宋体" w:eastAsia="宋体" w:cs="宋体"/>
                <w:color w:val="auto"/>
                <w:highlight w:val="none"/>
                <w:lang w:eastAsia="zh-CN"/>
              </w:rPr>
              <w:t>0%作为</w:t>
            </w:r>
            <w:r>
              <w:rPr>
                <w:rFonts w:hint="eastAsia" w:ascii="宋体" w:eastAsia="宋体" w:cs="宋体"/>
                <w:color w:val="auto"/>
                <w:highlight w:val="none"/>
                <w:lang w:val="en-US" w:eastAsia="zh-CN"/>
              </w:rPr>
              <w:t>首期</w:t>
            </w:r>
            <w:r>
              <w:rPr>
                <w:rFonts w:hint="eastAsia" w:ascii="宋体" w:eastAsia="宋体" w:cs="宋体"/>
                <w:color w:val="auto"/>
                <w:highlight w:val="none"/>
                <w:lang w:eastAsia="zh-CN"/>
              </w:rPr>
              <w:t>款；在项目结束且结果经招标人验收合格后，招标人一次性支付全部余款。</w:t>
            </w:r>
            <w:r>
              <w:rPr>
                <w:rFonts w:hint="eastAsia" w:ascii="宋体" w:eastAsia="宋体" w:cs="宋体"/>
                <w:color w:val="auto"/>
                <w:highlight w:val="none"/>
                <w:lang w:val="en-US" w:eastAsia="zh-CN"/>
              </w:rPr>
              <w:t>中标人须</w:t>
            </w:r>
            <w:r>
              <w:rPr>
                <w:rFonts w:hint="eastAsia" w:ascii="宋体" w:eastAsia="宋体" w:cs="宋体"/>
                <w:color w:val="auto"/>
                <w:highlight w:val="none"/>
                <w:lang w:eastAsia="zh-CN"/>
              </w:rPr>
              <w:t>提供有效</w:t>
            </w:r>
            <w:r>
              <w:rPr>
                <w:rFonts w:hint="eastAsia" w:ascii="宋体" w:eastAsia="宋体" w:cs="宋体"/>
                <w:color w:val="auto"/>
                <w:highlight w:val="none"/>
                <w:lang w:val="en-US" w:eastAsia="zh-CN"/>
              </w:rPr>
              <w:t>增值税</w:t>
            </w:r>
            <w:r>
              <w:rPr>
                <w:rFonts w:hint="eastAsia" w:ascii="宋体" w:eastAsia="宋体" w:cs="宋体"/>
                <w:color w:val="auto"/>
                <w:highlight w:val="none"/>
                <w:lang w:eastAsia="zh-CN"/>
              </w:rPr>
              <w:t>发票。</w:t>
            </w:r>
          </w:p>
          <w:p>
            <w:pPr>
              <w:pStyle w:val="24"/>
              <w:numPr>
                <w:ilvl w:val="0"/>
                <w:numId w:val="0"/>
              </w:numPr>
              <w:tabs>
                <w:tab w:val="left" w:pos="531"/>
              </w:tabs>
              <w:snapToGrid w:val="0"/>
              <w:rPr>
                <w:rFonts w:hint="eastAsia" w:ascii="宋体" w:eastAsia="宋体" w:cs="宋体"/>
                <w:color w:val="auto"/>
                <w:highlight w:val="none"/>
                <w:lang w:eastAsia="zh-CN"/>
              </w:rPr>
            </w:pP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2</w:t>
            </w:r>
            <w:r>
              <w:rPr>
                <w:rFonts w:hint="eastAsia" w:ascii="宋体" w:eastAsia="宋体" w:cs="宋体"/>
                <w:color w:val="auto"/>
                <w:highlight w:val="none"/>
                <w:lang w:eastAsia="zh-CN"/>
              </w:rPr>
              <w:t>）</w:t>
            </w:r>
            <w:r>
              <w:rPr>
                <w:rFonts w:hint="eastAsia" w:ascii="宋体" w:hAnsi="宋体" w:eastAsia="宋体" w:cs="宋体"/>
                <w:color w:val="000000" w:themeColor="text1"/>
                <w14:textFill>
                  <w14:solidFill>
                    <w14:schemeClr w14:val="tx1"/>
                  </w14:solidFill>
                </w14:textFill>
              </w:rPr>
              <w:t>未能完全按照项目要求实施或实施内容错误对招标人造成损失的，则须进行相应扣减及处罚后支付剩余部分款。</w:t>
            </w:r>
          </w:p>
          <w:p>
            <w:pPr>
              <w:pStyle w:val="13"/>
              <w:rPr>
                <w:color w:val="auto"/>
                <w:highlight w:val="none"/>
              </w:rPr>
            </w:pP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3</w:t>
            </w:r>
            <w:r>
              <w:rPr>
                <w:rFonts w:hint="eastAsia" w:ascii="宋体" w:eastAsia="宋体" w:cs="宋体"/>
                <w:color w:val="auto"/>
                <w:highlight w:val="none"/>
                <w:lang w:eastAsia="zh-CN"/>
              </w:rPr>
              <w:t>）有关合同价格详细事宜以合同条款为准。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w:t>
            </w:r>
          </w:p>
          <w:p>
            <w:pPr>
              <w:jc w:val="center"/>
              <w:rPr>
                <w:rFonts w:ascii="宋体" w:hAnsi="宋体" w:cs="宋体"/>
                <w:szCs w:val="21"/>
              </w:rPr>
            </w:pPr>
            <w:r>
              <w:rPr>
                <w:rFonts w:hint="eastAsia" w:ascii="宋体" w:hAnsi="宋体" w:cs="宋体"/>
                <w:szCs w:val="21"/>
              </w:rPr>
              <w:t>负责人</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ascii="宋体" w:eastAsia="宋体" w:cs="宋体"/>
                <w:color w:val="FF0000"/>
                <w:highlight w:val="yellow"/>
              </w:rPr>
            </w:pPr>
            <w:r>
              <w:rPr>
                <w:rFonts w:hint="eastAsia" w:ascii="Times New Roman" w:hAnsi="Times New Roman" w:eastAsia="宋体" w:cs="Times New Roman"/>
              </w:rPr>
              <w:t>投标人须指定项目负责人，并提供该负责人姓名、电话、职务及身份证复印件（加盖公章）等信息，负责联络协调及跟进该项目具体实施。该负责人不得随意更换，如确需更换需得到招标人同意后方可替换。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color w:val="auto"/>
                <w:sz w:val="21"/>
                <w:szCs w:val="21"/>
                <w:lang w:val="en-US" w:eastAsia="zh-CN"/>
              </w:rPr>
              <w:t>项目版权要求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rPr>
            </w:pPr>
            <w:r>
              <w:rPr>
                <w:rFonts w:hint="eastAsia" w:ascii="Times New Roman" w:hAnsi="Times New Roman" w:eastAsia="宋体" w:cs="Times New Roman"/>
              </w:rPr>
              <w:t>（1）项目所有成果版权归招标人所有。</w:t>
            </w:r>
          </w:p>
          <w:p>
            <w:pPr>
              <w:pStyle w:val="13"/>
              <w:rPr>
                <w:rFonts w:hint="eastAsia" w:ascii="Times New Roman" w:hAnsi="Times New Roman" w:eastAsia="宋体" w:cs="Times New Roman"/>
              </w:rPr>
            </w:pPr>
            <w:r>
              <w:rPr>
                <w:rFonts w:hint="eastAsia" w:ascii="Times New Roman" w:hAnsi="Times New Roman" w:eastAsia="宋体" w:cs="Times New Roman"/>
              </w:rPr>
              <w:t>（2）投标人必须对该项目方案拥有原创知识产权，保证稿件发布的合法性，不得有欺骗、模仿、抄袭等侵权行为。招标人在使用项目成果的任何一部分时，免受第三方提出的涉及知识产权的起诉；由此所带来的任何法律和经济赔偿责任全部由投标人自行承担，与招标人无关。</w:t>
            </w:r>
          </w:p>
          <w:p>
            <w:pPr>
              <w:pStyle w:val="13"/>
              <w:rPr>
                <w:rFonts w:hint="eastAsia" w:ascii="Times New Roman" w:hAnsi="Times New Roman" w:eastAsia="宋体" w:cs="Times New Roman"/>
              </w:rPr>
            </w:pPr>
            <w:r>
              <w:rPr>
                <w:rFonts w:hint="eastAsia" w:ascii="Times New Roman" w:hAnsi="Times New Roman" w:eastAsia="宋体" w:cs="Times New Roman"/>
              </w:rPr>
              <w:t>（3）对于招标人在项目合作中提供的各类文件、数据等相关资料信息仅限本项目使用，投标人不得向任何第三方泄露或另作它用。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rPr>
            </w:pPr>
            <w:r>
              <w:rPr>
                <w:rFonts w:hint="eastAsia" w:ascii="Times New Roman" w:hAnsi="Times New Roman" w:eastAsia="宋体" w:cs="Times New Roman"/>
              </w:rPr>
              <w:t>（1）如因不可抗力导致高交会新闻发布会会期或其它相关事项、要素发生变动的，投标人须无条件配合调整相关服务（如增减服务内容、延期、会议地点或举办形式调整等），并依据签订的合同视情况签订相应的补充协议。</w:t>
            </w:r>
          </w:p>
          <w:p>
            <w:pPr>
              <w:pStyle w:val="13"/>
              <w:rPr>
                <w:rFonts w:hint="eastAsia" w:ascii="Times New Roman" w:hAnsi="Times New Roman" w:eastAsia="宋体" w:cs="Times New Roman"/>
              </w:rPr>
            </w:pPr>
            <w:r>
              <w:rPr>
                <w:rFonts w:hint="eastAsia" w:ascii="Times New Roman" w:hAnsi="Times New Roman" w:eastAsia="宋体" w:cs="Times New Roman"/>
              </w:rPr>
              <w:t>（2）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color w:val="auto"/>
                <w:szCs w:val="21"/>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lang w:eastAsia="zh-CN"/>
              </w:rPr>
              <w:t>）</w:t>
            </w:r>
            <w:r>
              <w:rPr>
                <w:rFonts w:hint="eastAsia" w:ascii="Times New Roman" w:hAnsi="Times New Roman" w:eastAsia="宋体" w:cs="Times New Roman"/>
              </w:rPr>
              <w:t>高交会</w:t>
            </w:r>
            <w:r>
              <w:rPr>
                <w:rFonts w:hint="eastAsia" w:ascii="Times New Roman" w:hAnsi="Times New Roman" w:eastAsia="宋体" w:cs="Times New Roman"/>
                <w:lang w:val="en-US" w:eastAsia="zh-CN"/>
              </w:rPr>
              <w:t>新闻发布会媒体邀请组织</w:t>
            </w:r>
            <w:r>
              <w:rPr>
                <w:rFonts w:hint="eastAsia" w:ascii="Times New Roman" w:hAnsi="Times New Roman" w:eastAsia="宋体" w:cs="Times New Roman"/>
              </w:rPr>
              <w:t>：</w:t>
            </w:r>
            <w:r>
              <w:rPr>
                <w:rFonts w:hint="eastAsia" w:ascii="Times New Roman" w:hAnsi="Times New Roman" w:eastAsia="宋体" w:cs="Times New Roman"/>
                <w:lang w:val="en-US" w:eastAsia="zh-CN"/>
              </w:rPr>
              <w:t>确保会期邀请并</w:t>
            </w:r>
            <w:r>
              <w:rPr>
                <w:rFonts w:hint="eastAsia" w:ascii="Times New Roman" w:hAnsi="Times New Roman" w:eastAsia="宋体" w:cs="Times New Roman"/>
              </w:rPr>
              <w:t>接待不少于40家行业媒体代表到场参加活动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提供邀请组织方案及备选媒体清单</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组织行业媒体充分挖掘高交会新闻亮点，从不同角度进行宣传报道</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行业媒体</w:t>
            </w:r>
            <w:r>
              <w:rPr>
                <w:rFonts w:hint="eastAsia" w:ascii="Times New Roman" w:hAnsi="Times New Roman" w:eastAsia="宋体" w:cs="Times New Roman"/>
                <w:lang w:eastAsia="zh-CN"/>
              </w:rPr>
              <w:t>以网络媒体和新媒体为主，媒体传播范围覆盖领域为科技或经济领域。</w:t>
            </w:r>
          </w:p>
          <w:p>
            <w:pPr>
              <w:pStyle w:val="13"/>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新闻通稿编辑与发布</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投标人</w:t>
            </w:r>
            <w:r>
              <w:rPr>
                <w:rFonts w:hint="eastAsia" w:ascii="Times New Roman" w:hAnsi="Times New Roman" w:eastAsia="宋体" w:cs="Times New Roman"/>
              </w:rPr>
              <w:t>根据实际情况对新闻通稿进行调整并</w:t>
            </w:r>
            <w:r>
              <w:rPr>
                <w:rFonts w:hint="eastAsia" w:ascii="Times New Roman" w:hAnsi="Times New Roman" w:eastAsia="宋体" w:cs="Times New Roman"/>
                <w:lang w:eastAsia="zh-CN"/>
              </w:rPr>
              <w:t>保证报道量不低于</w:t>
            </w:r>
            <w:r>
              <w:rPr>
                <w:rFonts w:hint="eastAsia" w:ascii="Times New Roman" w:hAnsi="Times New Roman" w:eastAsia="宋体" w:cs="Times New Roman"/>
                <w:lang w:val="en-US" w:eastAsia="zh-CN"/>
              </w:rPr>
              <w:t>150篇次</w:t>
            </w:r>
            <w:r>
              <w:rPr>
                <w:rFonts w:hint="eastAsia" w:ascii="Times New Roman" w:hAnsi="Times New Roman" w:eastAsia="宋体" w:cs="Times New Roman"/>
                <w:lang w:eastAsia="zh-CN"/>
              </w:rPr>
              <w:t>，每篇报道字数不</w:t>
            </w:r>
            <w:r>
              <w:rPr>
                <w:rFonts w:hint="eastAsia" w:ascii="Times New Roman" w:hAnsi="Times New Roman" w:eastAsia="宋体" w:cs="Times New Roman"/>
                <w:lang w:val="en-US" w:eastAsia="zh-CN"/>
              </w:rPr>
              <w:t>少于</w:t>
            </w:r>
            <w:r>
              <w:rPr>
                <w:rFonts w:hint="eastAsia" w:ascii="Times New Roman" w:hAnsi="Times New Roman" w:eastAsia="宋体" w:cs="Times New Roman"/>
                <w:lang w:eastAsia="zh-CN"/>
              </w:rPr>
              <w:t>100字。活动结束后一个星期内完成</w:t>
            </w:r>
            <w:r>
              <w:rPr>
                <w:rFonts w:hint="eastAsia" w:ascii="Times New Roman" w:hAnsi="Times New Roman" w:eastAsia="宋体" w:cs="Times New Roman"/>
                <w:lang w:val="en-US" w:eastAsia="zh-CN"/>
              </w:rPr>
              <w:t>全部</w:t>
            </w:r>
            <w:r>
              <w:rPr>
                <w:rFonts w:hint="eastAsia" w:ascii="Times New Roman" w:hAnsi="Times New Roman" w:eastAsia="宋体" w:cs="Times New Roman"/>
                <w:lang w:eastAsia="zh-CN"/>
              </w:rPr>
              <w:t>报道。</w:t>
            </w:r>
          </w:p>
          <w:p>
            <w:pPr>
              <w:pStyle w:val="13"/>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rPr>
              <w:t>会务服务：服务</w:t>
            </w:r>
            <w:r>
              <w:rPr>
                <w:rFonts w:hint="eastAsia" w:ascii="Times New Roman" w:hAnsi="Times New Roman" w:eastAsia="宋体" w:cs="Times New Roman"/>
                <w:lang w:val="en-US" w:eastAsia="zh-CN"/>
              </w:rPr>
              <w:t>第二十五届高交会新闻发布会的</w:t>
            </w:r>
            <w:r>
              <w:rPr>
                <w:rFonts w:hint="eastAsia" w:ascii="Times New Roman" w:hAnsi="Times New Roman" w:eastAsia="宋体" w:cs="Times New Roman"/>
              </w:rPr>
              <w:t>会务活动，会务期间</w:t>
            </w:r>
            <w:r>
              <w:rPr>
                <w:rFonts w:hint="eastAsia" w:ascii="Times New Roman" w:hAnsi="Times New Roman" w:eastAsia="宋体" w:cs="Times New Roman"/>
                <w:lang w:val="en-US" w:eastAsia="zh-CN"/>
              </w:rPr>
              <w:t>投标人</w:t>
            </w:r>
            <w:r>
              <w:rPr>
                <w:rFonts w:hint="eastAsia" w:ascii="Times New Roman" w:hAnsi="Times New Roman" w:eastAsia="宋体" w:cs="Times New Roman"/>
              </w:rPr>
              <w:t>按照要求邀约媒体</w:t>
            </w:r>
            <w:r>
              <w:rPr>
                <w:rFonts w:hint="eastAsia" w:ascii="Times New Roman" w:hAnsi="Times New Roman" w:eastAsia="宋体" w:cs="Times New Roman"/>
                <w:lang w:eastAsia="zh-CN"/>
              </w:rPr>
              <w:t>，</w:t>
            </w:r>
            <w:r>
              <w:rPr>
                <w:rFonts w:hint="eastAsia" w:ascii="Times New Roman" w:hAnsi="Times New Roman" w:eastAsia="宋体" w:cs="Times New Roman"/>
              </w:rPr>
              <w:t>并配合会务相关的准备工作以及会务期间的接待工作</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提供现场活动的摄影服务，会后提供不少于60张项目照片留存。</w:t>
            </w:r>
          </w:p>
          <w:p>
            <w:pPr>
              <w:pStyle w:val="13"/>
              <w:rPr>
                <w:rFonts w:ascii="宋体" w:hAnsi="宋体"/>
                <w:color w:val="FF0000"/>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4</w:t>
            </w:r>
            <w:r>
              <w:rPr>
                <w:rFonts w:hint="eastAsia" w:ascii="Times New Roman" w:hAnsi="Times New Roman" w:eastAsia="宋体" w:cs="Times New Roman"/>
                <w:lang w:eastAsia="zh-CN"/>
              </w:rPr>
              <w:t>）投标人</w:t>
            </w:r>
            <w:r>
              <w:rPr>
                <w:rFonts w:hint="eastAsia" w:ascii="Times New Roman" w:hAnsi="Times New Roman" w:eastAsia="宋体" w:cs="Times New Roman"/>
                <w:lang w:val="en-US" w:eastAsia="zh-CN"/>
              </w:rPr>
              <w:t>能快速</w:t>
            </w:r>
            <w:r>
              <w:rPr>
                <w:rFonts w:hint="eastAsia" w:ascii="Times New Roman" w:hAnsi="Times New Roman" w:eastAsia="宋体" w:cs="Times New Roman"/>
                <w:lang w:eastAsia="zh-CN"/>
              </w:rPr>
              <w:t>熟悉高交会</w:t>
            </w:r>
            <w:r>
              <w:rPr>
                <w:rFonts w:hint="eastAsia" w:ascii="Times New Roman" w:hAnsi="Times New Roman" w:eastAsia="宋体" w:cs="Times New Roman"/>
                <w:lang w:val="en-US" w:eastAsia="zh-CN"/>
              </w:rPr>
              <w:t>推广节奏、</w:t>
            </w:r>
            <w:r>
              <w:rPr>
                <w:rFonts w:hint="eastAsia" w:ascii="Times New Roman" w:hAnsi="Times New Roman" w:eastAsia="宋体" w:cs="Times New Roman"/>
                <w:lang w:eastAsia="zh-CN"/>
              </w:rPr>
              <w:t>媒体</w:t>
            </w:r>
            <w:r>
              <w:rPr>
                <w:rFonts w:hint="eastAsia" w:ascii="Times New Roman" w:hAnsi="Times New Roman" w:eastAsia="宋体" w:cs="Times New Roman"/>
                <w:lang w:val="en-US" w:eastAsia="zh-CN"/>
              </w:rPr>
              <w:t>报道</w:t>
            </w:r>
            <w:r>
              <w:rPr>
                <w:rFonts w:hint="eastAsia" w:ascii="Times New Roman" w:hAnsi="Times New Roman" w:eastAsia="宋体" w:cs="Times New Roman"/>
                <w:lang w:eastAsia="zh-CN"/>
              </w:rPr>
              <w:t>需求，能根据高交会的</w:t>
            </w:r>
            <w:r>
              <w:rPr>
                <w:rFonts w:hint="eastAsia" w:ascii="Times New Roman" w:hAnsi="Times New Roman" w:eastAsia="宋体" w:cs="Times New Roman"/>
                <w:lang w:val="en-US" w:eastAsia="zh-CN"/>
              </w:rPr>
              <w:t>品牌属性</w:t>
            </w:r>
            <w:r>
              <w:rPr>
                <w:rFonts w:hint="eastAsia" w:ascii="Times New Roman" w:hAnsi="Times New Roman" w:eastAsia="宋体" w:cs="Times New Roman"/>
                <w:lang w:eastAsia="zh-CN"/>
              </w:rPr>
              <w:t>，配对和邀约</w:t>
            </w:r>
            <w:r>
              <w:rPr>
                <w:rFonts w:hint="eastAsia" w:ascii="Times New Roman" w:hAnsi="Times New Roman" w:eastAsia="宋体" w:cs="Times New Roman"/>
                <w:lang w:val="en-US" w:eastAsia="zh-CN"/>
              </w:rPr>
              <w:t>行业</w:t>
            </w:r>
            <w:r>
              <w:rPr>
                <w:rFonts w:hint="eastAsia" w:ascii="Times New Roman" w:hAnsi="Times New Roman" w:eastAsia="宋体" w:cs="Times New Roman"/>
                <w:lang w:eastAsia="zh-CN"/>
              </w:rPr>
              <w:t>媒体</w:t>
            </w:r>
            <w:r>
              <w:rPr>
                <w:rFonts w:hint="eastAsia" w:ascii="Times New Roman" w:hAnsi="Times New Roman" w:eastAsia="宋体" w:cs="Times New Roman"/>
                <w:lang w:val="en-US" w:eastAsia="zh-CN"/>
              </w:rPr>
              <w:t>资源。</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服务</w:t>
            </w:r>
            <w:r>
              <w:rPr>
                <w:rFonts w:hint="eastAsia" w:ascii="Times New Roman" w:hAnsi="Times New Roman" w:eastAsia="宋体" w:cs="Times New Roman"/>
                <w:szCs w:val="24"/>
              </w:rPr>
              <w:t>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rPr>
            </w:pPr>
            <w:r>
              <w:rPr>
                <w:rFonts w:hint="eastAsia" w:ascii="Times New Roman" w:hAnsi="Times New Roman" w:eastAsia="宋体" w:cs="Times New Roman"/>
                <w:szCs w:val="24"/>
                <w:lang w:val="en-US" w:eastAsia="zh-CN"/>
              </w:rPr>
              <w:t>投标人需针对本项目工作，就上述要求的实现提供具体服务措施、服务计划、服务人员配备数量、应急预案、服务承诺等总体服务方案。</w:t>
            </w:r>
          </w:p>
        </w:tc>
        <w:tc>
          <w:tcPr>
            <w:tcW w:w="784"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szCs w:val="24"/>
              </w:rPr>
            </w:pPr>
            <w:r>
              <w:rPr>
                <w:rFonts w:hint="eastAsia" w:ascii="Times New Roman" w:hAnsi="Times New Roman" w:eastAsia="宋体" w:cs="Times New Roman"/>
                <w:szCs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rPr>
            </w:pPr>
            <w:r>
              <w:rPr>
                <w:rFonts w:hint="eastAsia" w:ascii="Times New Roman" w:hAnsi="Times New Roman" w:eastAsia="宋体" w:cs="Times New Roman"/>
                <w:szCs w:val="24"/>
                <w:lang w:val="en-US" w:eastAsia="zh-CN"/>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eastAsia="宋体" w:cs="Times New Roman"/>
                <w:szCs w:val="24"/>
                <w:lang w:val="en-US"/>
              </w:rPr>
            </w:pPr>
            <w:r>
              <w:rPr>
                <w:rFonts w:hint="eastAsia" w:ascii="Times New Roman" w:hAnsi="Times New Roman" w:eastAsia="宋体" w:cs="Times New Roman"/>
                <w:szCs w:val="24"/>
                <w:lang w:val="en-US" w:eastAsia="zh-CN"/>
              </w:rPr>
              <w:t>（1）针对本项目，配置不少于3人的团队（包括负责人），团队岗位须至少覆盖媒体组织及信息发布人员、活动执行人员、活动摄影人员。提供拟投入人员简介。</w:t>
            </w:r>
          </w:p>
          <w:p>
            <w:pPr>
              <w:pStyle w:val="13"/>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2</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对于中标人为执行本项目</w:t>
            </w:r>
            <w:r>
              <w:rPr>
                <w:rFonts w:hint="eastAsia" w:ascii="Times New Roman" w:hAnsi="Times New Roman" w:eastAsia="宋体" w:cs="Times New Roman"/>
                <w:szCs w:val="24"/>
                <w:lang w:val="en-US" w:eastAsia="zh-CN"/>
              </w:rPr>
              <w:t>所投入的非投标人企业自有人员</w:t>
            </w:r>
            <w:r>
              <w:rPr>
                <w:rFonts w:hint="eastAsia" w:ascii="Times New Roman" w:hAnsi="Times New Roman" w:eastAsia="宋体" w:cs="Times New Roman"/>
                <w:szCs w:val="24"/>
              </w:rPr>
              <w:t>，中标人需自行承担其工资、保险、餐饮交通补贴等；并保证对</w:t>
            </w:r>
            <w:r>
              <w:rPr>
                <w:rFonts w:hint="eastAsia" w:ascii="Times New Roman" w:hAnsi="Times New Roman" w:eastAsia="宋体" w:cs="Times New Roman"/>
                <w:szCs w:val="24"/>
                <w:lang w:val="en-US" w:eastAsia="zh-CN"/>
              </w:rPr>
              <w:t>该类</w:t>
            </w:r>
            <w:r>
              <w:rPr>
                <w:rFonts w:hint="eastAsia" w:ascii="Times New Roman" w:hAnsi="Times New Roman" w:eastAsia="宋体" w:cs="Times New Roman"/>
                <w:szCs w:val="24"/>
              </w:rPr>
              <w:t>工作人员进行相关培训，包括但不仅限于服务技能、安全要求、</w:t>
            </w:r>
            <w:r>
              <w:rPr>
                <w:rFonts w:hint="eastAsia" w:ascii="Times New Roman" w:hAnsi="Times New Roman" w:eastAsia="宋体" w:cs="Times New Roman"/>
                <w:szCs w:val="24"/>
                <w:lang w:val="en-US" w:eastAsia="zh-CN"/>
              </w:rPr>
              <w:t>应急</w:t>
            </w:r>
            <w:r>
              <w:rPr>
                <w:rFonts w:hint="eastAsia" w:ascii="Times New Roman" w:hAnsi="Times New Roman" w:eastAsia="宋体" w:cs="Times New Roman"/>
                <w:szCs w:val="24"/>
              </w:rPr>
              <w:t>要求等</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并在入场前提供培训记录</w:t>
            </w:r>
            <w:r>
              <w:rPr>
                <w:rFonts w:hint="eastAsia" w:ascii="Times New Roman" w:hAnsi="Times New Roman" w:eastAsia="宋体" w:cs="Times New Roman"/>
                <w:szCs w:val="24"/>
              </w:rPr>
              <w:t>。</w:t>
            </w:r>
          </w:p>
        </w:tc>
        <w:tc>
          <w:tcPr>
            <w:tcW w:w="784"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szCs w:val="24"/>
              </w:rPr>
            </w:pPr>
            <w:r>
              <w:rPr>
                <w:rFonts w:hint="eastAsia" w:ascii="Times New Roman" w:hAnsi="Times New Roman" w:eastAsia="宋体" w:cs="Times New Roman"/>
                <w:szCs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default"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rPr>
            </w:pPr>
            <w:r>
              <w:rPr>
                <w:rFonts w:hint="eastAsia" w:ascii="Times New Roman" w:hAnsi="Times New Roman" w:eastAsia="宋体" w:cs="Times New Roman"/>
                <w:szCs w:val="24"/>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（1）新闻发布会结束后，需提供项目总结报告，内容包含本次项目中相关媒体报道链接及汇总。及时向招标人提出验收申请并提交验收报告。</w:t>
            </w:r>
          </w:p>
          <w:p>
            <w:pPr>
              <w:pStyle w:val="13"/>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（2）招标人有权对中标人所提供的各阶段服务进行报告检查，中标人须按照招标人所提出的要求执行；中标人有权就招标人所提出的变动要求，给出专业的建设性意见。</w:t>
            </w:r>
          </w:p>
          <w:p>
            <w:pPr>
              <w:pStyle w:val="13"/>
              <w:rPr>
                <w:rFonts w:hint="eastAsia" w:ascii="Times New Roman" w:hAnsi="Times New Roman" w:eastAsia="宋体" w:cs="Times New Roman"/>
              </w:rPr>
            </w:pPr>
            <w:r>
              <w:rPr>
                <w:rFonts w:hint="eastAsia" w:ascii="Times New Roman" w:hAnsi="Times New Roman" w:eastAsia="宋体" w:cs="Times New Roman"/>
                <w:spacing w:val="0"/>
                <w:kern w:val="2"/>
                <w:sz w:val="21"/>
                <w:szCs w:val="24"/>
                <w:lang w:val="en-US" w:eastAsia="zh-CN"/>
              </w:rPr>
              <w:t>（3）项目结束后，不配合招标人提供完整总结报告的，扣除项目金额5%作为处罚金。</w:t>
            </w:r>
          </w:p>
        </w:tc>
        <w:tc>
          <w:tcPr>
            <w:tcW w:w="784"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szCs w:val="24"/>
              </w:rPr>
            </w:pPr>
            <w:r>
              <w:rPr>
                <w:rFonts w:hint="eastAsia" w:ascii="Times New Roman" w:hAnsi="Times New Roman" w:eastAsia="宋体" w:cs="Times New Roman"/>
                <w:szCs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spacing w:val="0"/>
                <w:kern w:val="2"/>
                <w:sz w:val="21"/>
                <w:szCs w:val="24"/>
                <w:lang w:val="en-US" w:eastAsia="zh-CN"/>
              </w:rPr>
            </w:pPr>
            <w:r>
              <w:rPr>
                <w:rFonts w:hint="eastAsia" w:ascii="Times New Roman" w:hAnsi="Times New Roman" w:eastAsia="宋体" w:cs="Times New Roman"/>
                <w:spacing w:val="0"/>
                <w:kern w:val="2"/>
                <w:sz w:val="21"/>
                <w:szCs w:val="24"/>
                <w:lang w:val="en-US" w:eastAsia="zh-CN"/>
              </w:rPr>
              <w:t>1.中标人须建立安全责任制，工作人员须遵守国家、所属地政府的相关规章制度，确保服务过程中不出现任何人身安全、财产损失等安全事故。如因中标人管理不善、组织不力或监管缺失等造成安全责任及财产损失由中标人负全部责任。</w:t>
            </w:r>
          </w:p>
        </w:tc>
        <w:tc>
          <w:tcPr>
            <w:tcW w:w="784"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不可偏离</w:t>
            </w:r>
          </w:p>
        </w:tc>
      </w:tr>
    </w:tbl>
    <w:p>
      <w:pPr>
        <w:numPr>
          <w:ilvl w:val="0"/>
          <w:numId w:val="1"/>
        </w:numPr>
        <w:jc w:val="left"/>
        <w:outlineLvl w:val="1"/>
        <w:rPr>
          <w:rFonts w:ascii="宋体" w:hAnsi="宋体"/>
          <w:b/>
          <w:szCs w:val="21"/>
        </w:rPr>
      </w:pPr>
      <w:bookmarkStart w:id="37" w:name="_Toc82591996"/>
      <w:bookmarkEnd w:id="37"/>
      <w:bookmarkStart w:id="38" w:name="_Toc82684715"/>
      <w:bookmarkEnd w:id="38"/>
      <w:bookmarkStart w:id="39" w:name="_Toc82684600"/>
      <w:bookmarkEnd w:id="39"/>
      <w:bookmarkStart w:id="40" w:name="_Toc82685552"/>
      <w:bookmarkEnd w:id="40"/>
      <w:bookmarkStart w:id="41" w:name="_Toc3568"/>
      <w:r>
        <w:rPr>
          <w:rFonts w:hint="eastAsia" w:ascii="宋体" w:hAnsi="宋体"/>
          <w:b/>
          <w:szCs w:val="21"/>
        </w:rPr>
        <w:t>其他项目说明资料</w:t>
      </w:r>
      <w:bookmarkEnd w:id="41"/>
    </w:p>
    <w:p>
      <w:pPr>
        <w:widowControl/>
        <w:jc w:val="left"/>
        <w:rPr>
          <w:color w:val="FF0000"/>
          <w:highlight w:val="yellow"/>
        </w:rPr>
      </w:pPr>
      <w:r>
        <w:rPr>
          <w:rFonts w:hint="eastAsia"/>
          <w:color w:val="FF0000"/>
          <w:highlight w:val="yellow"/>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2326"/>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1381"/>
      <w:bookmarkStart w:id="45" w:name="_Hlk104908581"/>
      <w:bookmarkStart w:id="46" w:name="_Hlk104908397"/>
      <w:r>
        <w:rPr>
          <w:rFonts w:hint="eastAsia"/>
          <w:b/>
        </w:rPr>
        <w:t>开标阶段</w:t>
      </w:r>
      <w:bookmarkEnd w:id="43"/>
      <w:bookmarkEnd w:id="44"/>
    </w:p>
    <w:bookmarkEnd w:id="45"/>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26773"/>
      <w:bookmarkStart w:id="48" w:name="_Toc104994642"/>
      <w:r>
        <w:rPr>
          <w:rFonts w:hint="eastAsia"/>
          <w:b/>
        </w:rPr>
        <w:t>评标阶段</w:t>
      </w:r>
      <w:bookmarkEnd w:id="47"/>
      <w:bookmarkEnd w:id="48"/>
    </w:p>
    <w:p>
      <w:pPr>
        <w:pStyle w:val="24"/>
        <w:numPr>
          <w:ilvl w:val="0"/>
          <w:numId w:val="1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spacing w:line="360" w:lineRule="auto"/>
        <w:jc w:val="center"/>
        <w:outlineLvl w:val="0"/>
        <w:rPr>
          <w:rFonts w:ascii="宋体" w:hAnsi="宋体"/>
          <w:b/>
          <w:sz w:val="32"/>
          <w:szCs w:val="32"/>
        </w:rPr>
      </w:pPr>
      <w:bookmarkStart w:id="49" w:name="_Toc21361"/>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6214"/>
      <w:r>
        <w:rPr>
          <w:rFonts w:hint="eastAsia" w:ascii="宋体" w:hAnsi="宋体"/>
          <w:b/>
          <w:bCs/>
          <w:szCs w:val="21"/>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2"/>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4"/>
        </w:numPr>
        <w:spacing w:before="156" w:beforeLines="50"/>
        <w:jc w:val="left"/>
        <w:outlineLvl w:val="2"/>
        <w:rPr>
          <w:rStyle w:val="31"/>
          <w:rFonts w:ascii="宋体" w:hAnsi="宋体"/>
          <w:b/>
          <w:color w:val="auto"/>
          <w:szCs w:val="21"/>
          <w:highlight w:val="none"/>
        </w:rPr>
      </w:pPr>
      <w:bookmarkStart w:id="51" w:name="_Toc6058"/>
      <w:r>
        <w:rPr>
          <w:rStyle w:val="31"/>
          <w:rFonts w:hint="eastAsia" w:ascii="宋体" w:hAnsi="宋体"/>
          <w:b/>
          <w:bCs/>
          <w:color w:val="auto"/>
          <w:szCs w:val="21"/>
          <w:highlight w:val="none"/>
        </w:rPr>
        <w:t>符合性检查</w:t>
      </w:r>
      <w:bookmarkEnd w:id="51"/>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50"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50"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50"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50"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pPr>
              <w:numPr>
                <w:ilvl w:val="0"/>
                <w:numId w:val="15"/>
              </w:numPr>
              <w:tabs>
                <w:tab w:val="left" w:pos="531"/>
              </w:tabs>
              <w:snapToGrid w:val="0"/>
              <w:spacing w:line="360" w:lineRule="auto"/>
              <w:rPr>
                <w:rFonts w:hint="eastAsia"/>
                <w:color w:val="auto"/>
                <w:highlight w:val="none"/>
              </w:rPr>
            </w:pPr>
            <w:r>
              <w:rPr>
                <w:rFonts w:hint="eastAsia"/>
                <w:color w:val="auto"/>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5"/>
              </w:numPr>
              <w:tabs>
                <w:tab w:val="left" w:pos="531"/>
              </w:tabs>
              <w:snapToGrid w:val="0"/>
              <w:spacing w:line="360" w:lineRule="auto"/>
              <w:rPr>
                <w:rFonts w:hint="eastAsia"/>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15"/>
              </w:numPr>
              <w:tabs>
                <w:tab w:val="left" w:pos="531"/>
              </w:tabs>
              <w:snapToGrid w:val="0"/>
              <w:spacing w:line="360" w:lineRule="auto"/>
              <w:rPr>
                <w:color w:val="auto"/>
                <w:highlight w:val="none"/>
              </w:rPr>
            </w:pPr>
            <w:r>
              <w:rPr>
                <w:rFonts w:hint="eastAsia"/>
                <w:color w:val="auto"/>
                <w:highlight w:val="none"/>
              </w:rPr>
              <w:t>本项目不接受联合体投标，不允许分包、转包。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50"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olor w:val="auto"/>
                <w:szCs w:val="21"/>
                <w:highlight w:val="none"/>
                <w:lang w:val="en-US" w:eastAsia="zh-CN"/>
              </w:rPr>
              <w:t>11</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14"/>
        </w:numPr>
        <w:spacing w:before="156" w:beforeLines="50"/>
        <w:jc w:val="left"/>
        <w:outlineLvl w:val="2"/>
        <w:rPr>
          <w:rStyle w:val="31"/>
          <w:rFonts w:ascii="宋体" w:hAnsi="宋体"/>
          <w:b/>
          <w:bCs/>
          <w:szCs w:val="21"/>
        </w:rPr>
      </w:pPr>
      <w:bookmarkStart w:id="52" w:name="_Toc114675512"/>
      <w:bookmarkStart w:id="53" w:name="_Toc5716"/>
      <w:r>
        <w:rPr>
          <w:rStyle w:val="31"/>
          <w:rFonts w:hint="eastAsia" w:ascii="宋体" w:hAnsi="宋体"/>
          <w:b/>
          <w:bCs/>
          <w:szCs w:val="21"/>
        </w:rPr>
        <w:t>不可偏离项检查</w:t>
      </w:r>
      <w:bookmarkEnd w:id="52"/>
      <w:bookmarkEnd w:id="53"/>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4"/>
        </w:numPr>
        <w:spacing w:before="156" w:beforeLines="50"/>
        <w:jc w:val="left"/>
        <w:outlineLvl w:val="2"/>
        <w:rPr>
          <w:rFonts w:ascii="宋体" w:hAnsi="宋体"/>
          <w:b/>
          <w:bCs/>
          <w:szCs w:val="21"/>
        </w:rPr>
      </w:pPr>
      <w:bookmarkStart w:id="54" w:name="_Toc12372"/>
      <w:bookmarkStart w:id="55" w:name="_Toc114675513"/>
      <w:r>
        <w:rPr>
          <w:rStyle w:val="31"/>
          <w:rFonts w:hint="eastAsia" w:ascii="宋体" w:hAnsi="宋体"/>
          <w:b/>
          <w:bCs/>
          <w:szCs w:val="21"/>
        </w:rPr>
        <w:t>综合评议指标表</w:t>
      </w:r>
      <w:bookmarkEnd w:id="54"/>
      <w:bookmarkEnd w:id="55"/>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25</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0"/>
              </w:numPr>
              <w:spacing w:line="360" w:lineRule="auto"/>
              <w:ind w:left="0" w:firstLine="0" w:firstLineChars="0"/>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auto"/>
                <w:szCs w:val="21"/>
                <w:highlight w:val="none"/>
              </w:rPr>
            </w:pPr>
            <w:r>
              <w:rPr>
                <w:rFonts w:hint="eastAsia" w:ascii="宋体" w:hAnsi="宋体" w:cs="宋体"/>
                <w:color w:val="auto"/>
                <w:highlight w:val="none"/>
                <w:lang w:val="en-US" w:eastAsia="zh-CN"/>
              </w:rPr>
              <w:t>公司资质</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color w:val="auto"/>
                <w:szCs w:val="21"/>
                <w:highlight w:val="none"/>
                <w:lang w:val="en-US"/>
              </w:rPr>
            </w:pPr>
            <w:r>
              <w:rPr>
                <w:rFonts w:hint="eastAsia" w:ascii="宋体" w:hAnsi="宋体" w:cs="宋体"/>
                <w:color w:val="auto"/>
                <w:highlight w:val="none"/>
                <w:lang w:val="en-US" w:eastAsia="zh-CN"/>
              </w:rPr>
              <w:t>3分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spacing w:line="360" w:lineRule="auto"/>
              <w:ind w:firstLine="0" w:firstLineChars="0"/>
              <w:jc w:val="left"/>
              <w:textAlignment w:val="auto"/>
              <w:rPr>
                <w:rFonts w:hint="eastAsia"/>
                <w:color w:val="auto"/>
                <w:highlight w:val="none"/>
              </w:rPr>
            </w:pPr>
            <w:r>
              <w:rPr>
                <w:rFonts w:hint="eastAsia"/>
                <w:color w:val="auto"/>
                <w:highlight w:val="none"/>
              </w:rPr>
              <w:t>投标</w:t>
            </w:r>
            <w:r>
              <w:rPr>
                <w:rFonts w:hint="eastAsia"/>
                <w:color w:val="auto"/>
                <w:highlight w:val="none"/>
                <w:lang w:val="en-US" w:eastAsia="zh-CN"/>
              </w:rPr>
              <w:t>人</w:t>
            </w:r>
            <w:r>
              <w:rPr>
                <w:rFonts w:hint="eastAsia"/>
                <w:color w:val="auto"/>
                <w:highlight w:val="none"/>
              </w:rPr>
              <w:t>具有</w:t>
            </w:r>
            <w:r>
              <w:rPr>
                <w:rFonts w:hint="eastAsia"/>
                <w:color w:val="auto"/>
                <w:highlight w:val="none"/>
                <w:lang w:val="en-US" w:eastAsia="zh-CN"/>
              </w:rPr>
              <w:t>媒体</w:t>
            </w:r>
            <w:r>
              <w:rPr>
                <w:rFonts w:hint="eastAsia"/>
                <w:color w:val="auto"/>
                <w:highlight w:val="none"/>
              </w:rPr>
              <w:t>渠道合作授权/代理证明的。满足得</w:t>
            </w:r>
            <w:r>
              <w:rPr>
                <w:rFonts w:hint="eastAsia"/>
                <w:color w:val="auto"/>
                <w:highlight w:val="none"/>
                <w:lang w:val="en-US" w:eastAsia="zh-CN"/>
              </w:rPr>
              <w:t>3</w:t>
            </w:r>
            <w:r>
              <w:rPr>
                <w:rFonts w:hint="eastAsia"/>
                <w:color w:val="auto"/>
                <w:highlight w:val="none"/>
              </w:rPr>
              <w:t>分。</w:t>
            </w:r>
          </w:p>
          <w:p>
            <w:pPr>
              <w:numPr>
                <w:ilvl w:val="0"/>
                <w:numId w:val="0"/>
              </w:numPr>
              <w:spacing w:line="360" w:lineRule="auto"/>
              <w:ind w:left="0" w:leftChars="0" w:firstLine="0" w:firstLineChars="0"/>
              <w:jc w:val="left"/>
              <w:rPr>
                <w:rFonts w:ascii="宋体" w:hAnsi="宋体"/>
                <w:color w:val="auto"/>
                <w:szCs w:val="21"/>
                <w:highlight w:val="none"/>
              </w:rPr>
            </w:pPr>
            <w:r>
              <w:rPr>
                <w:rFonts w:hint="eastAsia"/>
                <w:color w:val="auto"/>
                <w:highlight w:val="none"/>
              </w:rPr>
              <w:t>评审依据：投标</w:t>
            </w:r>
            <w:r>
              <w:rPr>
                <w:rFonts w:hint="eastAsia"/>
                <w:color w:val="auto"/>
                <w:highlight w:val="none"/>
                <w:lang w:val="en-US" w:eastAsia="zh-CN"/>
              </w:rPr>
              <w:t>人</w:t>
            </w:r>
            <w:r>
              <w:rPr>
                <w:rFonts w:hint="eastAsia"/>
                <w:color w:val="auto"/>
                <w:highlight w:val="none"/>
              </w:rPr>
              <w:t>须提供有效期至少覆盖至202</w:t>
            </w:r>
            <w:r>
              <w:rPr>
                <w:rFonts w:hint="eastAsia"/>
                <w:color w:val="auto"/>
                <w:highlight w:val="none"/>
                <w:lang w:eastAsia="zh-CN"/>
              </w:rPr>
              <w:t>3</w:t>
            </w:r>
            <w:r>
              <w:rPr>
                <w:rFonts w:hint="eastAsia"/>
                <w:color w:val="auto"/>
                <w:highlight w:val="none"/>
              </w:rPr>
              <w:t>年</w:t>
            </w:r>
            <w:r>
              <w:rPr>
                <w:rFonts w:hint="eastAsia"/>
                <w:color w:val="auto"/>
                <w:highlight w:val="none"/>
                <w:lang w:val="en-US" w:eastAsia="zh-CN"/>
              </w:rPr>
              <w:t>12</w:t>
            </w:r>
            <w:r>
              <w:rPr>
                <w:rFonts w:hint="eastAsia"/>
                <w:color w:val="auto"/>
                <w:highlight w:val="none"/>
              </w:rPr>
              <w:t>月3</w:t>
            </w:r>
            <w:r>
              <w:rPr>
                <w:rFonts w:hint="eastAsia"/>
                <w:color w:val="auto"/>
                <w:highlight w:val="none"/>
                <w:lang w:val="en-US" w:eastAsia="zh-CN"/>
              </w:rPr>
              <w:t>1</w:t>
            </w:r>
            <w:r>
              <w:rPr>
                <w:rFonts w:hint="eastAsia"/>
                <w:color w:val="auto"/>
                <w:highlight w:val="none"/>
              </w:rPr>
              <w:t>日的媒体合作授权合同或广告代理证明等证明文件并加盖投标</w:t>
            </w:r>
            <w:r>
              <w:rPr>
                <w:rFonts w:hint="eastAsia"/>
                <w:color w:val="auto"/>
                <w:highlight w:val="none"/>
                <w:lang w:val="en-US" w:eastAsia="zh-CN"/>
              </w:rPr>
              <w:t>人</w:t>
            </w:r>
            <w:r>
              <w:rPr>
                <w:rFonts w:hint="eastAsia"/>
                <w:color w:val="auto"/>
                <w:highlight w:val="none"/>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0"/>
              </w:numPr>
              <w:spacing w:line="360" w:lineRule="auto"/>
              <w:ind w:left="0" w:firstLine="0" w:firstLineChars="0"/>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240" w:lineRule="auto"/>
              <w:jc w:val="center"/>
              <w:rPr>
                <w:color w:val="auto"/>
                <w:highlight w:val="none"/>
              </w:rPr>
            </w:pPr>
            <w:r>
              <w:rPr>
                <w:rFonts w:hint="eastAsia" w:ascii="宋体" w:hAnsi="宋体" w:cs="宋体"/>
                <w:color w:val="auto"/>
                <w:highlight w:val="none"/>
              </w:rPr>
              <w:t>案例业绩</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auto"/>
                <w:szCs w:val="21"/>
                <w:highlight w:val="none"/>
              </w:rPr>
            </w:pPr>
            <w:r>
              <w:rPr>
                <w:rFonts w:hint="eastAsia" w:ascii="宋体" w:hAnsi="宋体" w:cs="宋体"/>
                <w:color w:val="auto"/>
                <w:highlight w:val="none"/>
                <w:lang w:val="en-US" w:eastAsia="zh-CN"/>
              </w:rPr>
              <w:t>12分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投标人提供20</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rPr>
              <w:t>年1月1日至本项目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rPr>
              <w:t>公告发布之日期间</w:t>
            </w:r>
            <w:r>
              <w:rPr>
                <w:rFonts w:hint="eastAsia" w:ascii="宋体" w:hAnsi="宋体" w:eastAsia="宋体" w:cs="宋体"/>
                <w:color w:val="auto"/>
                <w:szCs w:val="24"/>
                <w:highlight w:val="none"/>
              </w:rPr>
              <w:t>承担</w:t>
            </w:r>
            <w:r>
              <w:rPr>
                <w:rFonts w:hint="eastAsia" w:ascii="宋体" w:hAnsi="宋体" w:cs="宋体"/>
                <w:color w:val="auto"/>
                <w:szCs w:val="24"/>
                <w:highlight w:val="none"/>
                <w:lang w:val="en-US" w:eastAsia="zh-CN"/>
              </w:rPr>
              <w:t>过</w:t>
            </w:r>
            <w:r>
              <w:rPr>
                <w:rFonts w:hint="eastAsia" w:ascii="宋体" w:hAnsi="宋体" w:cs="宋体"/>
                <w:color w:val="auto"/>
                <w:kern w:val="2"/>
                <w:szCs w:val="24"/>
                <w:highlight w:val="none"/>
              </w:rPr>
              <w:t>高科技</w:t>
            </w:r>
            <w:r>
              <w:rPr>
                <w:rFonts w:hint="eastAsia" w:ascii="宋体" w:hAnsi="宋体" w:cs="宋体"/>
                <w:color w:val="auto"/>
                <w:kern w:val="2"/>
                <w:szCs w:val="24"/>
                <w:highlight w:val="none"/>
                <w:lang w:val="en-US" w:eastAsia="zh-CN"/>
              </w:rPr>
              <w:t>领域相关项目</w:t>
            </w:r>
            <w:r>
              <w:rPr>
                <w:rFonts w:hint="eastAsia" w:ascii="宋体" w:hAnsi="宋体" w:cs="宋体"/>
                <w:color w:val="auto"/>
                <w:szCs w:val="24"/>
                <w:highlight w:val="none"/>
                <w:lang w:val="en-US" w:eastAsia="zh-CN"/>
              </w:rPr>
              <w:t>媒体合作或信息发布的</w:t>
            </w:r>
            <w:r>
              <w:rPr>
                <w:rFonts w:hint="eastAsia" w:ascii="宋体" w:hAnsi="宋体" w:eastAsia="宋体" w:cs="宋体"/>
                <w:color w:val="auto"/>
                <w:szCs w:val="24"/>
                <w:highlight w:val="none"/>
              </w:rPr>
              <w:t>宣传</w:t>
            </w:r>
            <w:r>
              <w:rPr>
                <w:rFonts w:hint="eastAsia" w:ascii="宋体" w:hAnsi="宋体" w:cs="宋体"/>
                <w:color w:val="auto"/>
                <w:szCs w:val="24"/>
                <w:highlight w:val="none"/>
                <w:lang w:val="en-US" w:eastAsia="zh-CN"/>
              </w:rPr>
              <w:t>类</w:t>
            </w:r>
            <w:r>
              <w:rPr>
                <w:rFonts w:hint="eastAsia" w:ascii="宋体" w:hAnsi="宋体" w:eastAsia="宋体" w:cs="宋体"/>
                <w:color w:val="auto"/>
                <w:szCs w:val="24"/>
                <w:highlight w:val="none"/>
              </w:rPr>
              <w:t>或活动</w:t>
            </w:r>
            <w:r>
              <w:rPr>
                <w:rFonts w:hint="eastAsia" w:ascii="宋体" w:hAnsi="宋体" w:cs="宋体"/>
                <w:color w:val="auto"/>
                <w:szCs w:val="24"/>
                <w:highlight w:val="none"/>
                <w:lang w:val="en-US" w:eastAsia="zh-CN"/>
              </w:rPr>
              <w:t>类</w:t>
            </w:r>
            <w:r>
              <w:rPr>
                <w:rFonts w:hint="eastAsia" w:ascii="宋体" w:hAnsi="宋体" w:eastAsia="宋体" w:cs="宋体"/>
                <w:color w:val="auto"/>
                <w:szCs w:val="24"/>
                <w:highlight w:val="none"/>
              </w:rPr>
              <w:t>执行</w:t>
            </w:r>
            <w:r>
              <w:rPr>
                <w:rFonts w:hint="eastAsia" w:ascii="宋体" w:hAnsi="宋体" w:cs="宋体"/>
                <w:color w:val="auto"/>
                <w:szCs w:val="24"/>
                <w:highlight w:val="none"/>
                <w:lang w:val="en-US" w:eastAsia="zh-CN"/>
              </w:rPr>
              <w:t>服务</w:t>
            </w:r>
            <w:r>
              <w:rPr>
                <w:rFonts w:hint="eastAsia" w:ascii="宋体" w:hAnsi="宋体" w:eastAsia="宋体" w:cs="宋体"/>
                <w:color w:val="auto"/>
                <w:szCs w:val="24"/>
                <w:highlight w:val="none"/>
              </w:rPr>
              <w:t>业绩</w:t>
            </w:r>
            <w:r>
              <w:rPr>
                <w:rFonts w:hint="eastAsia" w:ascii="宋体" w:hAnsi="宋体" w:cs="宋体"/>
                <w:color w:val="auto"/>
                <w:szCs w:val="24"/>
                <w:highlight w:val="none"/>
                <w:lang w:eastAsia="zh-CN"/>
              </w:rPr>
              <w:t>的</w:t>
            </w:r>
            <w:r>
              <w:rPr>
                <w:rFonts w:hint="eastAsia" w:ascii="宋体" w:hAnsi="宋体" w:eastAsia="宋体" w:cs="宋体"/>
                <w:color w:val="auto"/>
                <w:szCs w:val="24"/>
                <w:highlight w:val="none"/>
              </w:rPr>
              <w:t>，每提供一项得</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分，最高得</w:t>
            </w:r>
            <w:r>
              <w:rPr>
                <w:rFonts w:hint="eastAsia" w:ascii="宋体" w:hAnsi="宋体" w:cs="宋体"/>
                <w:color w:val="auto"/>
                <w:szCs w:val="24"/>
                <w:highlight w:val="none"/>
                <w:lang w:val="en-US" w:eastAsia="zh-CN"/>
              </w:rPr>
              <w:t>12</w:t>
            </w:r>
            <w:r>
              <w:rPr>
                <w:rFonts w:hint="eastAsia" w:ascii="宋体" w:hAnsi="宋体" w:eastAsia="宋体" w:cs="宋体"/>
                <w:color w:val="auto"/>
                <w:szCs w:val="24"/>
                <w:highlight w:val="none"/>
              </w:rPr>
              <w:t>分。没有则不得分。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投标人须提供能够体现上述评议信息（如合同双方名称、签订时间、合同标的及主要内容等）的合同关键页扫描件、</w:t>
            </w:r>
            <w:r>
              <w:rPr>
                <w:rFonts w:hint="eastAsia" w:ascii="宋体" w:hAnsi="宋体" w:cs="宋体"/>
                <w:color w:val="auto"/>
                <w:highlight w:val="none"/>
                <w:lang w:val="en-US" w:eastAsia="zh-CN"/>
              </w:rPr>
              <w:t>或</w:t>
            </w:r>
            <w:r>
              <w:rPr>
                <w:rFonts w:hint="eastAsia" w:ascii="宋体" w:hAnsi="宋体" w:eastAsia="宋体" w:cs="宋体"/>
                <w:color w:val="auto"/>
                <w:highlight w:val="none"/>
              </w:rPr>
              <w:t>相应业绩项目的实施情况或项目案例结案报告等证明资料并加盖投标人公章。</w:t>
            </w:r>
          </w:p>
          <w:p>
            <w:pPr>
              <w:snapToGrid/>
              <w:spacing w:line="360" w:lineRule="auto"/>
              <w:ind w:firstLine="420" w:firstLineChars="200"/>
              <w:rPr>
                <w:rFonts w:ascii="宋体" w:hAnsi="宋体"/>
                <w:color w:val="auto"/>
                <w:szCs w:val="21"/>
                <w:highlight w:val="none"/>
              </w:rPr>
            </w:pPr>
            <w:r>
              <w:rPr>
                <w:rFonts w:hint="eastAsia" w:ascii="宋体" w:hAnsi="宋体" w:eastAsia="宋体" w:cs="宋体"/>
                <w:color w:val="auto"/>
                <w:highlight w:val="none"/>
              </w:rPr>
              <w:t>投标人未提供合同证明、案例实施情况描述等文件</w:t>
            </w:r>
            <w:r>
              <w:rPr>
                <w:rFonts w:hint="eastAsia" w:ascii="宋体" w:hAnsi="宋体" w:cs="宋体"/>
                <w:color w:val="auto"/>
                <w:highlight w:val="none"/>
                <w:lang w:eastAsia="zh-CN"/>
              </w:rPr>
              <w:t>、</w:t>
            </w:r>
            <w:r>
              <w:rPr>
                <w:rFonts w:hint="eastAsia" w:ascii="宋体" w:hAnsi="宋体" w:eastAsia="宋体" w:cs="宋体"/>
                <w:color w:val="auto"/>
                <w:highlight w:val="none"/>
              </w:rPr>
              <w:t>描述不清</w:t>
            </w:r>
            <w:r>
              <w:rPr>
                <w:rFonts w:hint="eastAsia" w:ascii="宋体" w:hAnsi="宋体" w:cs="宋体"/>
                <w:color w:val="auto"/>
                <w:highlight w:val="none"/>
                <w:lang w:eastAsia="zh-CN"/>
              </w:rPr>
              <w:t>的</w:t>
            </w:r>
            <w:r>
              <w:rPr>
                <w:rFonts w:hint="eastAsia" w:ascii="宋体" w:hAnsi="宋体" w:eastAsia="宋体" w:cs="宋体"/>
                <w:color w:val="auto"/>
                <w:highlight w:val="none"/>
              </w:rPr>
              <w:t>、不能判断的，均不得分。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vMerge w:val="restart"/>
            <w:tcBorders>
              <w:tl2br w:val="nil"/>
              <w:tr2bl w:val="nil"/>
            </w:tcBorders>
            <w:vAlign w:val="center"/>
          </w:tcPr>
          <w:p>
            <w:pPr>
              <w:pStyle w:val="24"/>
              <w:numPr>
                <w:ilvl w:val="0"/>
                <w:numId w:val="0"/>
              </w:numPr>
              <w:spacing w:line="360" w:lineRule="auto"/>
              <w:ind w:left="0" w:firstLine="0" w:firstLineChars="0"/>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highlight w:val="none"/>
                <w:lang w:val="en-US" w:eastAsia="zh-CN"/>
              </w:rPr>
              <w:t>项目团队</w:t>
            </w:r>
          </w:p>
        </w:tc>
        <w:tc>
          <w:tcPr>
            <w:tcW w:w="709" w:type="dxa"/>
            <w:vMerge w:val="restart"/>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s="宋体"/>
                <w:color w:val="auto"/>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项目负责人有过</w:t>
            </w:r>
            <w:r>
              <w:rPr>
                <w:rFonts w:hint="eastAsia" w:ascii="宋体" w:hAnsi="宋体" w:cs="宋体"/>
                <w:color w:val="auto"/>
                <w:highlight w:val="none"/>
                <w:lang w:val="en-US" w:eastAsia="zh-CN"/>
              </w:rPr>
              <w:t>展会活动媒体组织及服务项目</w:t>
            </w:r>
            <w:r>
              <w:rPr>
                <w:rFonts w:hint="eastAsia" w:ascii="宋体" w:hAnsi="宋体" w:eastAsia="宋体" w:cs="宋体"/>
                <w:color w:val="auto"/>
                <w:highlight w:val="none"/>
              </w:rPr>
              <w:t>经验的，得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cs="宋体"/>
                <w:color w:val="auto"/>
                <w:highlight w:val="none"/>
                <w:lang w:val="en-US" w:eastAsia="zh-CN"/>
              </w:rPr>
              <w:t>否则不得分。</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项目</w:t>
            </w:r>
            <w:r>
              <w:rPr>
                <w:rFonts w:hint="eastAsia" w:ascii="宋体" w:hAnsi="宋体" w:eastAsia="宋体" w:cs="Times New Roman"/>
                <w:color w:val="auto"/>
                <w:szCs w:val="21"/>
                <w:highlight w:val="none"/>
              </w:rPr>
              <w:t>负责人</w:t>
            </w:r>
            <w:r>
              <w:rPr>
                <w:rFonts w:hint="eastAsia" w:ascii="宋体" w:hAnsi="宋体"/>
                <w:color w:val="auto"/>
                <w:szCs w:val="21"/>
                <w:highlight w:val="none"/>
              </w:rPr>
              <w:t>具有全日制新闻学</w:t>
            </w:r>
            <w:r>
              <w:rPr>
                <w:rFonts w:hint="eastAsia" w:ascii="宋体" w:hAnsi="宋体"/>
                <w:color w:val="auto"/>
                <w:szCs w:val="21"/>
                <w:highlight w:val="none"/>
                <w:lang w:val="en-US" w:eastAsia="zh-CN"/>
              </w:rPr>
              <w:t>/传播学</w:t>
            </w:r>
            <w:r>
              <w:rPr>
                <w:rFonts w:hint="eastAsia" w:ascii="宋体" w:hAnsi="宋体"/>
                <w:color w:val="auto"/>
                <w:szCs w:val="21"/>
                <w:highlight w:val="none"/>
              </w:rPr>
              <w:t>专业本科及以上学历</w:t>
            </w:r>
            <w:r>
              <w:rPr>
                <w:rFonts w:hint="eastAsia" w:ascii="宋体" w:hAnsi="宋体"/>
                <w:color w:val="auto"/>
                <w:szCs w:val="21"/>
                <w:highlight w:val="none"/>
                <w:lang w:val="en-US" w:eastAsia="zh-CN"/>
              </w:rPr>
              <w:t>得2</w:t>
            </w:r>
            <w:r>
              <w:rPr>
                <w:rFonts w:hint="eastAsia" w:ascii="宋体" w:hAnsi="宋体" w:cs="Times New Roman"/>
                <w:color w:val="auto"/>
                <w:szCs w:val="21"/>
                <w:highlight w:val="none"/>
                <w:lang w:val="en-US" w:eastAsia="zh-CN"/>
              </w:rPr>
              <w:t>分，否则不得分。</w:t>
            </w:r>
          </w:p>
          <w:p>
            <w:pPr>
              <w:spacing w:line="360" w:lineRule="auto"/>
              <w:rPr>
                <w:rFonts w:hint="eastAsia" w:ascii="宋体" w:hAnsi="宋体" w:cs="宋体"/>
                <w:color w:val="auto"/>
                <w:highlight w:val="none"/>
                <w:lang w:val="en-US"/>
              </w:rPr>
            </w:pPr>
            <w:r>
              <w:rPr>
                <w:rFonts w:hint="eastAsia" w:ascii="宋体" w:hAnsi="宋体" w:eastAsia="宋体" w:cs="宋体"/>
                <w:color w:val="auto"/>
                <w:highlight w:val="none"/>
              </w:rPr>
              <w:t>评</w:t>
            </w:r>
            <w:r>
              <w:rPr>
                <w:rFonts w:hint="eastAsia" w:ascii="宋体" w:hAnsi="宋体" w:cs="宋体"/>
                <w:b w:val="0"/>
                <w:color w:val="auto"/>
                <w:kern w:val="2"/>
                <w:szCs w:val="24"/>
                <w:highlight w:val="none"/>
              </w:rPr>
              <w:t>审</w:t>
            </w:r>
            <w:r>
              <w:rPr>
                <w:rFonts w:hint="eastAsia" w:ascii="宋体" w:hAnsi="宋体" w:eastAsia="宋体" w:cs="宋体"/>
                <w:color w:val="auto"/>
                <w:highlight w:val="none"/>
              </w:rPr>
              <w:t>依据：</w:t>
            </w:r>
          </w:p>
          <w:p>
            <w:pPr>
              <w:spacing w:line="360" w:lineRule="auto"/>
              <w:ind w:firstLine="420" w:firstLineChars="200"/>
              <w:rPr>
                <w:rFonts w:ascii="宋体" w:hAnsi="宋体"/>
                <w:color w:val="auto"/>
                <w:szCs w:val="21"/>
                <w:highlight w:val="none"/>
              </w:rPr>
            </w:pPr>
            <w:r>
              <w:rPr>
                <w:rFonts w:hint="eastAsia" w:ascii="宋体" w:hAnsi="宋体" w:eastAsia="宋体" w:cs="宋体"/>
                <w:color w:val="auto"/>
                <w:highlight w:val="none"/>
              </w:rPr>
              <w:t>投标人须提供项目负责人身份证，</w:t>
            </w:r>
            <w:r>
              <w:rPr>
                <w:rFonts w:hint="eastAsia" w:ascii="宋体" w:hAnsi="宋体" w:cs="宋体"/>
                <w:color w:val="auto"/>
                <w:highlight w:val="none"/>
                <w:lang w:val="en-US" w:eastAsia="zh-CN"/>
              </w:rPr>
              <w:t>简历，学历证明</w:t>
            </w:r>
            <w:r>
              <w:rPr>
                <w:rFonts w:hint="eastAsia" w:ascii="宋体" w:hAnsi="宋体" w:eastAsia="宋体" w:cs="宋体"/>
                <w:color w:val="auto"/>
                <w:highlight w:val="none"/>
              </w:rPr>
              <w:t>以及</w:t>
            </w:r>
            <w:r>
              <w:rPr>
                <w:rFonts w:hint="eastAsia" w:ascii="宋体" w:hAnsi="宋体" w:cs="宋体"/>
                <w:color w:val="auto"/>
                <w:highlight w:val="none"/>
                <w:lang w:val="en-US" w:eastAsia="zh-CN"/>
              </w:rPr>
              <w:t>工作业绩及</w:t>
            </w:r>
            <w:r>
              <w:rPr>
                <w:rFonts w:hint="eastAsia" w:ascii="宋体" w:hAnsi="宋体" w:eastAsia="宋体" w:cs="宋体"/>
                <w:color w:val="auto"/>
                <w:highlight w:val="none"/>
              </w:rPr>
              <w:t>证明文件，</w:t>
            </w:r>
            <w:r>
              <w:rPr>
                <w:rFonts w:hint="eastAsia" w:ascii="宋体" w:hAnsi="宋体" w:cs="宋体"/>
                <w:color w:val="auto"/>
                <w:highlight w:val="none"/>
                <w:lang w:val="en-US" w:eastAsia="zh-CN"/>
              </w:rPr>
              <w:t>业绩证明如：①含有项目负责人信息的合同关键页复印件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②</w:t>
            </w:r>
            <w:r>
              <w:rPr>
                <w:rFonts w:hint="eastAsia" w:ascii="宋体" w:hAnsi="宋体" w:eastAsia="宋体" w:cs="宋体"/>
                <w:color w:val="auto"/>
                <w:highlight w:val="none"/>
              </w:rPr>
              <w:t>项目总结报告</w:t>
            </w:r>
            <w:r>
              <w:rPr>
                <w:rFonts w:hint="eastAsia" w:ascii="宋体" w:hAnsi="宋体" w:cs="宋体"/>
                <w:color w:val="auto"/>
                <w:highlight w:val="none"/>
                <w:lang w:eastAsia="zh-CN"/>
              </w:rPr>
              <w:t>；</w:t>
            </w:r>
            <w:r>
              <w:rPr>
                <w:rFonts w:hint="eastAsia" w:ascii="宋体" w:hAnsi="宋体" w:cs="宋体"/>
                <w:color w:val="auto"/>
                <w:highlight w:val="none"/>
                <w:lang w:val="en-US" w:eastAsia="zh-CN"/>
              </w:rPr>
              <w:t>③甲方开具的证明</w:t>
            </w:r>
            <w:r>
              <w:rPr>
                <w:rFonts w:hint="eastAsia" w:ascii="宋体" w:hAnsi="宋体" w:eastAsia="宋体" w:cs="宋体"/>
                <w:color w:val="auto"/>
                <w:highlight w:val="none"/>
              </w:rPr>
              <w:t>等</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此三项证明文件提供任一均可，</w:t>
            </w:r>
            <w:r>
              <w:rPr>
                <w:rFonts w:hint="eastAsia" w:ascii="宋体" w:hAnsi="宋体" w:eastAsia="宋体" w:cs="宋体"/>
                <w:color w:val="auto"/>
                <w:highlight w:val="none"/>
              </w:rPr>
              <w:t>并加盖</w:t>
            </w:r>
            <w:r>
              <w:rPr>
                <w:rFonts w:hint="eastAsia" w:ascii="宋体" w:hAnsi="宋体" w:cs="宋体"/>
                <w:color w:val="auto"/>
                <w:highlight w:val="none"/>
                <w:lang w:eastAsia="zh-CN"/>
              </w:rPr>
              <w:t>投标人</w:t>
            </w:r>
            <w:r>
              <w:rPr>
                <w:rFonts w:hint="eastAsia" w:ascii="宋体" w:hAnsi="宋体" w:eastAsia="宋体" w:cs="宋体"/>
                <w:color w:val="auto"/>
                <w:highlight w:val="none"/>
              </w:rPr>
              <w:t>公章</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所提供的资料不清或无法判定者不得分。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vMerge w:val="continue"/>
            <w:tcBorders>
              <w:tl2br w:val="nil"/>
              <w:tr2bl w:val="nil"/>
            </w:tcBorders>
            <w:vAlign w:val="center"/>
          </w:tcPr>
          <w:p>
            <w:pPr>
              <w:pStyle w:val="24"/>
              <w:numPr>
                <w:ilvl w:val="0"/>
                <w:numId w:val="0"/>
              </w:numPr>
              <w:spacing w:line="360" w:lineRule="auto"/>
              <w:ind w:left="0" w:firstLineChars="0"/>
              <w:jc w:val="center"/>
              <w:rPr>
                <w:rFonts w:ascii="宋体" w:hAnsi="宋体" w:eastAsia="宋体"/>
                <w:color w:val="auto"/>
                <w:szCs w:val="21"/>
                <w:highlight w:val="none"/>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color w:val="auto"/>
                <w:highlight w:val="none"/>
              </w:rPr>
            </w:pPr>
          </w:p>
        </w:tc>
        <w:tc>
          <w:tcPr>
            <w:tcW w:w="709" w:type="dxa"/>
            <w:vMerge w:val="continue"/>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olor w:val="auto"/>
                <w:szCs w:val="21"/>
                <w:highlight w:val="none"/>
              </w:rPr>
            </w:pP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color w:val="auto"/>
                <w:highlight w:val="none"/>
                <w:lang w:val="en-US" w:eastAsia="zh-CN"/>
              </w:rPr>
            </w:pPr>
            <w:r>
              <w:rPr>
                <w:rFonts w:hint="eastAsia"/>
                <w:color w:val="auto"/>
                <w:highlight w:val="none"/>
                <w:lang w:val="en-US" w:eastAsia="zh-CN"/>
              </w:rPr>
              <w:t>（1）根据投标人为本项目派出的团队架构合理性进行评定：</w:t>
            </w:r>
            <w:r>
              <w:rPr>
                <w:rFonts w:hint="eastAsia" w:ascii="宋体" w:hAnsi="宋体" w:cs="宋体"/>
                <w:color w:val="auto"/>
                <w:kern w:val="2"/>
                <w:szCs w:val="24"/>
                <w:highlight w:val="none"/>
              </w:rPr>
              <w:t>提供团队人员架构及岗位分工，包括各个岗位的工作内容安排、人员支持、岗位职责等。</w:t>
            </w:r>
            <w:r>
              <w:rPr>
                <w:rFonts w:hint="eastAsia" w:ascii="宋体" w:hAnsi="宋体" w:cs="宋体"/>
                <w:color w:val="auto"/>
                <w:szCs w:val="24"/>
                <w:highlight w:val="none"/>
                <w:lang w:val="en-US" w:eastAsia="zh-CN"/>
              </w:rPr>
              <w:t>提供的架构设置</w:t>
            </w:r>
            <w:r>
              <w:rPr>
                <w:rFonts w:hint="eastAsia" w:ascii="宋体" w:hAnsi="宋体"/>
                <w:color w:val="auto"/>
                <w:sz w:val="21"/>
                <w:szCs w:val="21"/>
                <w:highlight w:val="none"/>
              </w:rPr>
              <w:t>合理、</w:t>
            </w:r>
            <w:r>
              <w:rPr>
                <w:rFonts w:hint="eastAsia" w:ascii="宋体" w:hAnsi="宋体"/>
                <w:color w:val="auto"/>
                <w:sz w:val="21"/>
                <w:szCs w:val="21"/>
                <w:highlight w:val="none"/>
                <w:lang w:val="en-US" w:eastAsia="zh-CN"/>
              </w:rPr>
              <w:t>职责</w:t>
            </w:r>
            <w:r>
              <w:rPr>
                <w:rFonts w:hint="eastAsia" w:ascii="宋体" w:hAnsi="宋体"/>
                <w:color w:val="auto"/>
                <w:sz w:val="21"/>
                <w:szCs w:val="21"/>
                <w:highlight w:val="none"/>
              </w:rPr>
              <w:t>详细清晰、</w:t>
            </w:r>
            <w:r>
              <w:rPr>
                <w:rFonts w:hint="eastAsia" w:ascii="宋体" w:hAnsi="宋体"/>
                <w:color w:val="auto"/>
                <w:sz w:val="21"/>
                <w:szCs w:val="21"/>
                <w:highlight w:val="none"/>
                <w:lang w:val="en-US" w:eastAsia="zh-CN"/>
              </w:rPr>
              <w:t>分工明确</w:t>
            </w:r>
            <w:r>
              <w:rPr>
                <w:rFonts w:hint="eastAsia" w:ascii="宋体" w:hAnsi="宋体"/>
                <w:color w:val="auto"/>
                <w:sz w:val="21"/>
                <w:szCs w:val="21"/>
                <w:highlight w:val="none"/>
              </w:rPr>
              <w:t>，评价为优</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满足项目要求、分工合理，评价为良的</w:t>
            </w:r>
            <w:r>
              <w:rPr>
                <w:rFonts w:hint="eastAsia"/>
                <w:color w:val="auto"/>
                <w:highlight w:val="none"/>
                <w:lang w:val="en-US" w:eastAsia="zh-CN"/>
              </w:rPr>
              <w:t>得1分，其他不得分。</w:t>
            </w:r>
          </w:p>
          <w:p>
            <w:pPr>
              <w:spacing w:line="360" w:lineRule="auto"/>
              <w:rPr>
                <w:rFonts w:hint="eastAsia"/>
                <w:color w:val="auto"/>
                <w:highlight w:val="none"/>
                <w:lang w:val="en-US" w:eastAsia="zh-CN"/>
              </w:rPr>
            </w:pPr>
            <w:r>
              <w:rPr>
                <w:rFonts w:hint="eastAsia"/>
                <w:color w:val="auto"/>
                <w:highlight w:val="none"/>
                <w:lang w:val="en-US" w:eastAsia="zh-CN"/>
              </w:rPr>
              <w:t>（2）派出的项目成员中（项目负责人除外），媒体组织及信息发布人员，有从事过媒体合作或信息发布的活动类执行工作经验的，得2分，否则不得分。</w:t>
            </w:r>
          </w:p>
          <w:p>
            <w:pPr>
              <w:spacing w:line="360" w:lineRule="auto"/>
              <w:rPr>
                <w:rFonts w:hint="eastAsia"/>
                <w:color w:val="auto"/>
                <w:highlight w:val="none"/>
                <w:lang w:val="en-US" w:eastAsia="zh-CN"/>
              </w:rPr>
            </w:pPr>
            <w:r>
              <w:rPr>
                <w:rFonts w:hint="eastAsia"/>
                <w:color w:val="auto"/>
                <w:highlight w:val="none"/>
                <w:lang w:val="en-US" w:eastAsia="zh-CN"/>
              </w:rPr>
              <w:t>（3）派出的项目成员中（项目负责人除外），</w:t>
            </w:r>
            <w:r>
              <w:rPr>
                <w:rFonts w:hint="eastAsia" w:ascii="Times New Roman" w:hAnsi="Times New Roman" w:eastAsia="宋体" w:cs="Times New Roman"/>
                <w:color w:val="auto"/>
                <w:szCs w:val="24"/>
                <w:highlight w:val="none"/>
                <w:lang w:val="en-US" w:eastAsia="zh-CN"/>
              </w:rPr>
              <w:t>活动执行人员</w:t>
            </w:r>
            <w:r>
              <w:rPr>
                <w:rFonts w:hint="eastAsia"/>
                <w:color w:val="auto"/>
                <w:highlight w:val="none"/>
                <w:lang w:val="en-US" w:eastAsia="zh-CN"/>
              </w:rPr>
              <w:t>，有从事过媒体传播线下活动执行服务工作经验的，得2分，否则不得分。</w:t>
            </w:r>
          </w:p>
          <w:p>
            <w:pPr>
              <w:spacing w:line="360" w:lineRule="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highlight w:val="none"/>
              </w:rPr>
              <w:t>评</w:t>
            </w:r>
            <w:r>
              <w:rPr>
                <w:rFonts w:hint="eastAsia" w:ascii="Times New Roman" w:hAnsi="Times New Roman" w:cs="Times New Roman"/>
                <w:b w:val="0"/>
                <w:color w:val="auto"/>
                <w:kern w:val="2"/>
                <w:szCs w:val="24"/>
                <w:highlight w:val="none"/>
              </w:rPr>
              <w:t>审</w:t>
            </w:r>
            <w:r>
              <w:rPr>
                <w:rFonts w:hint="eastAsia" w:ascii="Times New Roman" w:hAnsi="Times New Roman" w:eastAsia="宋体" w:cs="Times New Roman"/>
                <w:color w:val="auto"/>
                <w:highlight w:val="none"/>
              </w:rPr>
              <w:t>依据</w:t>
            </w:r>
            <w:r>
              <w:rPr>
                <w:rFonts w:hint="eastAsia" w:ascii="Times New Roman" w:hAnsi="Times New Roman" w:cs="Times New Roman"/>
                <w:color w:val="auto"/>
                <w:highlight w:val="none"/>
                <w:lang w:val="en-US" w:eastAsia="zh-CN"/>
              </w:rPr>
              <w:t>：</w:t>
            </w:r>
          </w:p>
          <w:p>
            <w:pPr>
              <w:spacing w:line="360" w:lineRule="auto"/>
              <w:ind w:firstLine="420" w:firstLineChars="200"/>
              <w:rPr>
                <w:rFonts w:hint="eastAsia"/>
                <w:color w:val="auto"/>
                <w:highlight w:val="none"/>
              </w:rPr>
            </w:pPr>
            <w:r>
              <w:rPr>
                <w:rFonts w:hint="eastAsia" w:ascii="Times New Roman" w:hAnsi="Times New Roman" w:cs="Times New Roman"/>
                <w:color w:val="auto"/>
                <w:highlight w:val="none"/>
                <w:lang w:val="en-US" w:eastAsia="zh-CN"/>
              </w:rPr>
              <w:t>要求投标人提供项目团队成员简历并加盖投标</w:t>
            </w:r>
            <w:r>
              <w:rPr>
                <w:rFonts w:hint="eastAsia" w:ascii="宋体" w:hAnsi="宋体" w:cs="仿宋"/>
                <w:color w:val="auto"/>
                <w:kern w:val="2"/>
                <w:szCs w:val="21"/>
                <w:highlight w:val="none"/>
                <w:lang w:val="en-US" w:eastAsia="zh-CN"/>
              </w:rPr>
              <w:t>人</w:t>
            </w:r>
            <w:r>
              <w:rPr>
                <w:rFonts w:hint="eastAsia" w:ascii="Times New Roman" w:hAnsi="Times New Roman" w:cs="Times New Roman"/>
                <w:color w:val="auto"/>
                <w:highlight w:val="none"/>
                <w:lang w:val="en-US" w:eastAsia="zh-CN"/>
              </w:rPr>
              <w:t>公章。未提供或提供的材料因不清晰等原因，无法证实上述评议内容的，不得分。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35</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9" w:hRule="atLeast"/>
          <w:tblCellSpacing w:w="0" w:type="dxa"/>
        </w:trPr>
        <w:tc>
          <w:tcPr>
            <w:tcW w:w="704" w:type="dxa"/>
            <w:vMerge w:val="restart"/>
            <w:tcBorders>
              <w:tl2br w:val="nil"/>
              <w:tr2bl w:val="nil"/>
            </w:tcBorders>
            <w:vAlign w:val="center"/>
          </w:tcPr>
          <w:p>
            <w:pPr>
              <w:pStyle w:val="24"/>
              <w:numPr>
                <w:ilvl w:val="0"/>
                <w:numId w:val="16"/>
              </w:numPr>
              <w:spacing w:line="360" w:lineRule="auto"/>
              <w:ind w:left="420" w:hanging="420" w:firstLineChars="0"/>
              <w:jc w:val="center"/>
              <w:rPr>
                <w:rFonts w:ascii="宋体" w:hAnsi="宋体" w:eastAsia="宋体"/>
                <w:color w:val="auto"/>
                <w:szCs w:val="21"/>
                <w:highlight w:val="none"/>
              </w:rPr>
            </w:pPr>
          </w:p>
        </w:tc>
        <w:tc>
          <w:tcPr>
            <w:tcW w:w="1134" w:type="dxa"/>
            <w:vMerge w:val="restart"/>
            <w:tcBorders>
              <w:tl2br w:val="nil"/>
              <w:tr2bl w:val="nil"/>
            </w:tcBorders>
            <w:tcMar>
              <w:top w:w="15" w:type="dxa"/>
              <w:left w:w="15" w:type="dxa"/>
              <w:bottom w:w="15" w:type="dxa"/>
              <w:right w:w="15" w:type="dxa"/>
            </w:tcMar>
            <w:vAlign w:val="center"/>
          </w:tcPr>
          <w:p>
            <w:pPr>
              <w:spacing w:line="240" w:lineRule="auto"/>
              <w:jc w:val="center"/>
              <w:rPr>
                <w:color w:val="auto"/>
                <w:highlight w:val="none"/>
              </w:rPr>
            </w:pPr>
            <w:r>
              <w:rPr>
                <w:rFonts w:hint="eastAsia" w:ascii="宋体" w:hAnsi="宋体" w:cs="宋体"/>
                <w:color w:val="auto"/>
                <w:highlight w:val="none"/>
                <w:lang w:val="en-US" w:eastAsia="zh-CN"/>
              </w:rPr>
              <w:t>服务</w:t>
            </w:r>
            <w:r>
              <w:rPr>
                <w:rFonts w:hint="eastAsia" w:ascii="宋体" w:hAnsi="宋体" w:cs="宋体"/>
                <w:color w:val="auto"/>
                <w:highlight w:val="none"/>
              </w:rPr>
              <w:t>方案</w:t>
            </w:r>
          </w:p>
        </w:tc>
        <w:tc>
          <w:tcPr>
            <w:tcW w:w="709" w:type="dxa"/>
            <w:vMerge w:val="restart"/>
            <w:tcBorders>
              <w:tl2br w:val="nil"/>
              <w:tr2bl w:val="nil"/>
            </w:tcBorders>
            <w:tcMar>
              <w:top w:w="15" w:type="dxa"/>
              <w:left w:w="15" w:type="dxa"/>
              <w:bottom w:w="15" w:type="dxa"/>
              <w:right w:w="15" w:type="dxa"/>
            </w:tcMar>
            <w:vAlign w:val="center"/>
          </w:tcPr>
          <w:p>
            <w:pPr>
              <w:spacing w:line="240" w:lineRule="auto"/>
              <w:jc w:val="center"/>
              <w:rPr>
                <w:rFonts w:ascii="宋体" w:hAnsi="宋体"/>
                <w:color w:val="auto"/>
                <w:szCs w:val="21"/>
                <w:highlight w:val="none"/>
              </w:rPr>
            </w:pPr>
            <w:r>
              <w:rPr>
                <w:rFonts w:hint="eastAsia" w:ascii="宋体" w:hAnsi="宋体" w:cs="宋体"/>
                <w:color w:val="auto"/>
                <w:highlight w:val="none"/>
                <w:lang w:val="en-US" w:eastAsia="zh-CN"/>
              </w:rPr>
              <w:t>27</w:t>
            </w:r>
            <w:r>
              <w:rPr>
                <w:rFonts w:hint="eastAsia" w:ascii="宋体" w:hAnsi="宋体" w:cs="宋体"/>
                <w:color w:val="auto"/>
                <w:highlight w:val="none"/>
              </w:rPr>
              <w:t>分</w:t>
            </w:r>
          </w:p>
        </w:tc>
        <w:tc>
          <w:tcPr>
            <w:tcW w:w="6804" w:type="dxa"/>
            <w:gridSpan w:val="2"/>
            <w:tcBorders>
              <w:bottom w:val="single" w:color="auto" w:sz="4" w:space="0"/>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（1）行业媒体邀请及组织：</w:t>
            </w:r>
          </w:p>
          <w:p>
            <w:pPr>
              <w:widowControl/>
              <w:numPr>
                <w:ilvl w:val="0"/>
                <w:numId w:val="17"/>
              </w:numPr>
              <w:spacing w:line="360" w:lineRule="auto"/>
              <w:ind w:left="425" w:hanging="425"/>
              <w:rPr>
                <w:rFonts w:hint="eastAsia" w:ascii="宋体" w:hAnsi="宋体" w:cs="宋体"/>
                <w:color w:val="auto"/>
                <w:highlight w:val="none"/>
                <w:lang w:val="en-US" w:eastAsia="zh-CN"/>
              </w:rPr>
            </w:pPr>
            <w:r>
              <w:rPr>
                <w:rFonts w:hint="eastAsia" w:ascii="宋体" w:hAnsi="宋体" w:cs="宋体"/>
                <w:color w:val="auto"/>
                <w:highlight w:val="none"/>
                <w:lang w:val="en-US" w:eastAsia="zh-CN"/>
              </w:rPr>
              <w:t>从媒体组织计划详细程度进行评定：</w:t>
            </w:r>
          </w:p>
          <w:p>
            <w:pPr>
              <w:widowControl/>
              <w:numPr>
                <w:ilvl w:val="-1"/>
                <w:numId w:val="0"/>
              </w:numPr>
              <w:spacing w:line="360" w:lineRule="auto"/>
              <w:ind w:left="0" w:firstLine="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①提供不少于60家备选邀约参会媒体；</w:t>
            </w:r>
          </w:p>
          <w:p>
            <w:pPr>
              <w:widowControl/>
              <w:numPr>
                <w:ilvl w:val="-1"/>
                <w:numId w:val="0"/>
              </w:numPr>
              <w:spacing w:line="360" w:lineRule="auto"/>
              <w:ind w:left="0" w:firstLine="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②提供详细的媒体邀约计划流程（涵盖会前、会中、会后）；</w:t>
            </w:r>
          </w:p>
          <w:p>
            <w:pPr>
              <w:widowControl/>
              <w:numPr>
                <w:ilvl w:val="-1"/>
                <w:numId w:val="0"/>
              </w:numPr>
              <w:spacing w:line="360" w:lineRule="auto"/>
              <w:ind w:left="0" w:firstLine="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③提供确保邀请到40家媒体代表到场的方案策略。</w:t>
            </w:r>
          </w:p>
          <w:p>
            <w:pPr>
              <w:widowControl/>
              <w:numPr>
                <w:ilvl w:val="-1"/>
                <w:numId w:val="0"/>
              </w:numPr>
              <w:spacing w:line="360" w:lineRule="auto"/>
              <w:ind w:left="0"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根据投标人提供的媒体组织计划</w:t>
            </w:r>
            <w:r>
              <w:rPr>
                <w:rFonts w:hint="eastAsia" w:ascii="宋体" w:hAnsi="宋体"/>
                <w:color w:val="auto"/>
                <w:sz w:val="21"/>
                <w:szCs w:val="21"/>
                <w:highlight w:val="none"/>
              </w:rPr>
              <w:t>合理、详细、清晰、完整</w:t>
            </w:r>
            <w:r>
              <w:rPr>
                <w:rFonts w:hint="eastAsia" w:ascii="宋体" w:hAnsi="宋体"/>
                <w:color w:val="auto"/>
                <w:sz w:val="21"/>
                <w:szCs w:val="21"/>
                <w:highlight w:val="none"/>
                <w:lang w:val="en-US" w:eastAsia="zh-CN"/>
              </w:rPr>
              <w:t>且</w:t>
            </w:r>
            <w:r>
              <w:rPr>
                <w:rFonts w:hint="eastAsia" w:ascii="宋体" w:hAnsi="宋体"/>
                <w:color w:val="auto"/>
                <w:sz w:val="21"/>
                <w:szCs w:val="21"/>
                <w:highlight w:val="none"/>
              </w:rPr>
              <w:t>各项工作措施与流程具体，评价为优</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计划</w:t>
            </w:r>
            <w:r>
              <w:rPr>
                <w:rFonts w:hint="eastAsia" w:ascii="宋体" w:hAnsi="宋体"/>
                <w:color w:val="auto"/>
                <w:sz w:val="21"/>
                <w:szCs w:val="21"/>
                <w:highlight w:val="none"/>
              </w:rPr>
              <w:t>较为完整，所采用的工作措施与流程较能满足要求，评价为良</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有计划但不够</w:t>
            </w:r>
            <w:r>
              <w:rPr>
                <w:rFonts w:hint="eastAsia" w:ascii="宋体" w:hAnsi="宋体"/>
                <w:color w:val="auto"/>
                <w:sz w:val="21"/>
                <w:szCs w:val="21"/>
                <w:highlight w:val="none"/>
              </w:rPr>
              <w:t>完整，所采用的工作措施与流程</w:t>
            </w:r>
            <w:r>
              <w:rPr>
                <w:rFonts w:hint="eastAsia" w:ascii="宋体" w:hAnsi="宋体"/>
                <w:color w:val="auto"/>
                <w:sz w:val="21"/>
                <w:szCs w:val="21"/>
                <w:highlight w:val="none"/>
                <w:lang w:val="en-US" w:eastAsia="zh-CN"/>
              </w:rPr>
              <w:t>仅</w:t>
            </w:r>
            <w:r>
              <w:rPr>
                <w:rFonts w:hint="eastAsia" w:ascii="宋体" w:hAnsi="宋体"/>
                <w:color w:val="auto"/>
                <w:sz w:val="21"/>
                <w:szCs w:val="21"/>
                <w:highlight w:val="none"/>
              </w:rPr>
              <w:t>满足</w:t>
            </w:r>
            <w:r>
              <w:rPr>
                <w:rFonts w:hint="eastAsia" w:ascii="宋体" w:hAnsi="宋体"/>
                <w:color w:val="auto"/>
                <w:sz w:val="21"/>
                <w:szCs w:val="21"/>
                <w:highlight w:val="none"/>
                <w:lang w:val="en-US" w:eastAsia="zh-CN"/>
              </w:rPr>
              <w:t>基本</w:t>
            </w:r>
            <w:r>
              <w:rPr>
                <w:rFonts w:hint="eastAsia" w:ascii="宋体" w:hAnsi="宋体"/>
                <w:color w:val="auto"/>
                <w:sz w:val="21"/>
                <w:szCs w:val="21"/>
                <w:highlight w:val="none"/>
              </w:rPr>
              <w:t>要求，评价为</w:t>
            </w:r>
            <w:r>
              <w:rPr>
                <w:rFonts w:hint="eastAsia" w:ascii="宋体" w:hAnsi="宋体"/>
                <w:color w:val="auto"/>
                <w:sz w:val="21"/>
                <w:szCs w:val="21"/>
                <w:highlight w:val="none"/>
                <w:lang w:val="en-US" w:eastAsia="zh-CN"/>
              </w:rPr>
              <w:t>可</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邀请媒体技术及媒体代表家数不足上述要求及</w:t>
            </w:r>
            <w:r>
              <w:rPr>
                <w:rFonts w:hint="eastAsia" w:ascii="宋体" w:hAnsi="宋体" w:cs="宋体"/>
                <w:color w:val="auto"/>
                <w:szCs w:val="24"/>
                <w:highlight w:val="none"/>
                <w:lang w:val="en-US" w:eastAsia="zh-CN"/>
              </w:rPr>
              <w:t>其他情况不得分。</w:t>
            </w:r>
          </w:p>
          <w:p>
            <w:pPr>
              <w:widowControl/>
              <w:numPr>
                <w:ilvl w:val="0"/>
                <w:numId w:val="17"/>
              </w:numPr>
              <w:spacing w:line="360" w:lineRule="auto"/>
              <w:ind w:left="425" w:hanging="425" w:firstLineChars="0"/>
              <w:rPr>
                <w:rFonts w:hint="eastAsia" w:ascii="宋体" w:hAnsi="宋体" w:cs="宋体"/>
                <w:color w:val="auto"/>
                <w:szCs w:val="24"/>
                <w:highlight w:val="none"/>
              </w:rPr>
            </w:pPr>
            <w:r>
              <w:rPr>
                <w:rFonts w:hint="eastAsia" w:ascii="宋体" w:hAnsi="宋体" w:cs="宋体"/>
                <w:color w:val="auto"/>
                <w:highlight w:val="none"/>
                <w:lang w:val="en-US" w:eastAsia="zh-CN"/>
              </w:rPr>
              <w:t>从媒体组织质量进行评定：</w:t>
            </w:r>
          </w:p>
          <w:p>
            <w:pPr>
              <w:widowControl/>
              <w:numPr>
                <w:ilvl w:val="-1"/>
                <w:numId w:val="0"/>
              </w:numPr>
              <w:spacing w:line="360" w:lineRule="auto"/>
              <w:ind w:left="0" w:firstLine="0" w:firstLineChars="0"/>
              <w:rPr>
                <w:rFonts w:hint="eastAsia" w:ascii="宋体" w:hAnsi="宋体" w:cs="宋体"/>
                <w:color w:val="auto"/>
                <w:szCs w:val="24"/>
                <w:highlight w:val="none"/>
                <w:lang w:eastAsia="zh-CN"/>
              </w:rPr>
            </w:pPr>
            <w:r>
              <w:rPr>
                <w:rFonts w:hint="eastAsia" w:ascii="宋体" w:hAnsi="宋体" w:cs="宋体"/>
                <w:color w:val="auto"/>
                <w:highlight w:val="none"/>
                <w:lang w:val="en-US" w:eastAsia="zh-CN"/>
              </w:rPr>
              <w:t>①</w:t>
            </w:r>
            <w:r>
              <w:rPr>
                <w:rFonts w:hint="eastAsia" w:ascii="宋体" w:hAnsi="宋体" w:cs="宋体"/>
                <w:color w:val="auto"/>
                <w:szCs w:val="24"/>
                <w:highlight w:val="none"/>
              </w:rPr>
              <w:t>拟邀参加高交会</w:t>
            </w:r>
            <w:r>
              <w:rPr>
                <w:rFonts w:hint="eastAsia" w:ascii="宋体" w:hAnsi="宋体" w:cs="宋体"/>
                <w:color w:val="auto"/>
                <w:szCs w:val="24"/>
                <w:highlight w:val="none"/>
                <w:lang w:val="en-US" w:eastAsia="zh-CN"/>
              </w:rPr>
              <w:t>新闻发布会</w:t>
            </w:r>
            <w:r>
              <w:rPr>
                <w:rFonts w:hint="eastAsia" w:ascii="宋体" w:hAnsi="宋体" w:cs="宋体"/>
                <w:color w:val="auto"/>
                <w:szCs w:val="24"/>
                <w:highlight w:val="none"/>
              </w:rPr>
              <w:t>活动的媒体单位影响力强，媒体受众覆盖超一线城市或全国</w:t>
            </w:r>
            <w:r>
              <w:rPr>
                <w:rFonts w:hint="eastAsia" w:ascii="宋体" w:hAnsi="宋体" w:cs="宋体"/>
                <w:color w:val="auto"/>
                <w:szCs w:val="24"/>
                <w:highlight w:val="none"/>
                <w:lang w:eastAsia="zh-CN"/>
              </w:rPr>
              <w:t>；</w:t>
            </w:r>
          </w:p>
          <w:p>
            <w:pPr>
              <w:widowControl/>
              <w:numPr>
                <w:ilvl w:val="-1"/>
                <w:numId w:val="0"/>
              </w:numPr>
              <w:spacing w:line="360" w:lineRule="auto"/>
              <w:ind w:left="0" w:firstLine="0" w:firstLineChars="0"/>
              <w:rPr>
                <w:rFonts w:hint="eastAsia" w:ascii="宋体" w:hAnsi="宋体" w:cs="宋体"/>
                <w:color w:val="auto"/>
                <w:szCs w:val="24"/>
                <w:highlight w:val="none"/>
              </w:rPr>
            </w:pPr>
            <w:r>
              <w:rPr>
                <w:rFonts w:hint="eastAsia" w:ascii="宋体" w:hAnsi="宋体" w:cs="宋体"/>
                <w:color w:val="auto"/>
                <w:szCs w:val="24"/>
                <w:highlight w:val="none"/>
                <w:lang w:val="en-US" w:eastAsia="zh-CN"/>
              </w:rPr>
              <w:t>②媒体</w:t>
            </w:r>
            <w:r>
              <w:rPr>
                <w:rFonts w:hint="eastAsia" w:ascii="宋体" w:hAnsi="宋体" w:cs="宋体"/>
                <w:color w:val="auto"/>
                <w:szCs w:val="24"/>
                <w:highlight w:val="none"/>
              </w:rPr>
              <w:t>传播范围覆盖科技或经济领域；</w:t>
            </w:r>
          </w:p>
          <w:p>
            <w:pPr>
              <w:widowControl/>
              <w:numPr>
                <w:ilvl w:val="-1"/>
                <w:numId w:val="0"/>
              </w:numPr>
              <w:spacing w:line="360" w:lineRule="auto"/>
              <w:ind w:left="0" w:firstLine="0" w:firstLineChars="0"/>
              <w:rPr>
                <w:rFonts w:hint="eastAsia" w:ascii="宋体" w:hAnsi="宋体" w:cs="宋体"/>
                <w:color w:val="auto"/>
                <w:szCs w:val="24"/>
                <w:highlight w:val="none"/>
              </w:rPr>
            </w:pPr>
            <w:r>
              <w:rPr>
                <w:rFonts w:hint="eastAsia" w:ascii="宋体" w:hAnsi="宋体" w:cs="宋体"/>
                <w:color w:val="auto"/>
                <w:szCs w:val="24"/>
                <w:highlight w:val="none"/>
                <w:lang w:val="en-US" w:eastAsia="zh-CN"/>
              </w:rPr>
              <w:t>③含</w:t>
            </w:r>
            <w:r>
              <w:rPr>
                <w:rFonts w:hint="eastAsia" w:ascii="宋体" w:hAnsi="宋体" w:cs="宋体"/>
                <w:color w:val="auto"/>
                <w:szCs w:val="24"/>
                <w:highlight w:val="none"/>
              </w:rPr>
              <w:t>市级以上</w:t>
            </w:r>
            <w:r>
              <w:rPr>
                <w:rFonts w:hint="eastAsia" w:ascii="宋体" w:hAnsi="宋体" w:cs="宋体"/>
                <w:color w:val="auto"/>
                <w:szCs w:val="24"/>
                <w:highlight w:val="none"/>
                <w:lang w:val="en-US" w:eastAsia="zh-CN"/>
              </w:rPr>
              <w:t>行业</w:t>
            </w:r>
            <w:r>
              <w:rPr>
                <w:rFonts w:hint="eastAsia" w:ascii="宋体" w:hAnsi="宋体" w:cs="宋体"/>
                <w:color w:val="auto"/>
                <w:szCs w:val="24"/>
                <w:highlight w:val="none"/>
              </w:rPr>
              <w:t>媒体或行业头部媒体。</w:t>
            </w:r>
          </w:p>
          <w:p>
            <w:pPr>
              <w:widowControl/>
              <w:numPr>
                <w:ilvl w:val="-1"/>
                <w:numId w:val="0"/>
              </w:numPr>
              <w:spacing w:line="360" w:lineRule="auto"/>
              <w:ind w:left="0"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根据投标人提供的媒体影响力强且覆盖目标媒体，</w:t>
            </w:r>
            <w:r>
              <w:rPr>
                <w:rFonts w:hint="eastAsia" w:ascii="宋体" w:hAnsi="宋体"/>
                <w:color w:val="auto"/>
                <w:sz w:val="21"/>
                <w:szCs w:val="21"/>
                <w:highlight w:val="none"/>
              </w:rPr>
              <w:t>评价为优</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r>
              <w:rPr>
                <w:rFonts w:hint="eastAsia" w:ascii="宋体" w:hAnsi="宋体" w:cs="宋体"/>
                <w:color w:val="auto"/>
                <w:szCs w:val="24"/>
                <w:highlight w:val="none"/>
                <w:lang w:val="en-US" w:eastAsia="zh-CN"/>
              </w:rPr>
              <w:t>提供的媒体影响力强或覆盖目标媒体，</w:t>
            </w:r>
            <w:r>
              <w:rPr>
                <w:rFonts w:hint="eastAsia" w:ascii="宋体" w:hAnsi="宋体"/>
                <w:color w:val="auto"/>
                <w:sz w:val="21"/>
                <w:szCs w:val="21"/>
                <w:highlight w:val="none"/>
              </w:rPr>
              <w:t>评价为良</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r>
              <w:rPr>
                <w:rFonts w:hint="eastAsia" w:ascii="宋体" w:hAnsi="宋体" w:cs="宋体"/>
                <w:color w:val="auto"/>
                <w:szCs w:val="24"/>
                <w:highlight w:val="none"/>
                <w:lang w:val="en-US" w:eastAsia="zh-CN"/>
              </w:rPr>
              <w:t>提供的媒体影响力或覆盖目标媒体均较为一般，</w:t>
            </w:r>
            <w:r>
              <w:rPr>
                <w:rFonts w:hint="eastAsia" w:ascii="宋体" w:hAnsi="宋体"/>
                <w:color w:val="auto"/>
                <w:sz w:val="21"/>
                <w:szCs w:val="21"/>
                <w:highlight w:val="none"/>
              </w:rPr>
              <w:t>评价为</w:t>
            </w:r>
            <w:r>
              <w:rPr>
                <w:rFonts w:hint="eastAsia" w:ascii="宋体" w:hAnsi="宋体"/>
                <w:color w:val="auto"/>
                <w:sz w:val="21"/>
                <w:szCs w:val="21"/>
                <w:highlight w:val="none"/>
                <w:lang w:val="en-US" w:eastAsia="zh-CN"/>
              </w:rPr>
              <w:t>可</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r>
              <w:rPr>
                <w:rFonts w:hint="eastAsia" w:ascii="宋体" w:hAnsi="宋体" w:cs="宋体"/>
                <w:color w:val="auto"/>
                <w:szCs w:val="24"/>
                <w:highlight w:val="none"/>
                <w:lang w:val="en-US" w:eastAsia="zh-CN"/>
              </w:rPr>
              <w:t>其其他情况不得分。</w:t>
            </w:r>
          </w:p>
          <w:p>
            <w:pPr>
              <w:widowControl/>
              <w:numPr>
                <w:ilvl w:val="0"/>
                <w:numId w:val="0"/>
              </w:numPr>
              <w:spacing w:line="360" w:lineRule="auto"/>
              <w:ind w:right="0" w:rightChars="0"/>
              <w:jc w:val="left"/>
              <w:rPr>
                <w:rFonts w:ascii="宋体" w:hAnsi="宋体" w:cs="宋体"/>
                <w:color w:val="auto"/>
                <w:kern w:val="0"/>
                <w:szCs w:val="21"/>
                <w:highlight w:val="none"/>
              </w:rPr>
            </w:pPr>
            <w:r>
              <w:rPr>
                <w:rFonts w:hint="eastAsia" w:ascii="宋体" w:hAnsi="宋体" w:cs="宋体"/>
                <w:color w:val="auto"/>
                <w:highlight w:val="none"/>
                <w:lang w:val="en-US" w:eastAsia="zh-CN"/>
              </w:rPr>
              <w:t>评审依据：</w:t>
            </w:r>
            <w:r>
              <w:rPr>
                <w:rFonts w:hint="eastAsia" w:ascii="宋体" w:hAnsi="宋体" w:cs="宋体"/>
                <w:color w:val="auto"/>
                <w:highlight w:val="none"/>
              </w:rPr>
              <w:t>提供的媒体清单中包含各媒体属性描述作为证明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04" w:type="dxa"/>
            <w:vMerge w:val="continue"/>
            <w:tcBorders>
              <w:tl2br w:val="nil"/>
              <w:tr2bl w:val="nil"/>
            </w:tcBorders>
            <w:vAlign w:val="center"/>
          </w:tcPr>
          <w:p>
            <w:pPr>
              <w:pStyle w:val="24"/>
              <w:numPr>
                <w:ilvl w:val="0"/>
                <w:numId w:val="16"/>
              </w:numPr>
              <w:spacing w:line="360" w:lineRule="auto"/>
              <w:ind w:left="420" w:hanging="420" w:firstLineChars="0"/>
              <w:jc w:val="center"/>
              <w:rPr>
                <w:rFonts w:ascii="宋体" w:hAnsi="宋体" w:eastAsia="宋体"/>
                <w:color w:val="auto"/>
                <w:szCs w:val="21"/>
                <w:highlight w:val="none"/>
              </w:rPr>
            </w:pPr>
          </w:p>
        </w:tc>
        <w:tc>
          <w:tcPr>
            <w:tcW w:w="1134" w:type="dxa"/>
            <w:vMerge w:val="continue"/>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highlight w:val="none"/>
                <w:lang w:val="en-US" w:eastAsia="zh-CN"/>
              </w:rPr>
            </w:pPr>
          </w:p>
        </w:tc>
        <w:tc>
          <w:tcPr>
            <w:tcW w:w="709" w:type="dxa"/>
            <w:vMerge w:val="continue"/>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highlight w:val="none"/>
                <w:lang w:val="en-US" w:eastAsia="zh-CN"/>
              </w:rPr>
            </w:pPr>
          </w:p>
        </w:tc>
        <w:tc>
          <w:tcPr>
            <w:tcW w:w="6804" w:type="dxa"/>
            <w:gridSpan w:val="2"/>
            <w:tcBorders>
              <w:top w:val="single" w:color="auto" w:sz="4" w:space="0"/>
              <w:bottom w:val="single" w:color="auto" w:sz="4" w:space="0"/>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（2）从新闻稿编辑与发布安排的合理性进行评定：</w:t>
            </w:r>
          </w:p>
          <w:p>
            <w:pPr>
              <w:widowControl/>
              <w:numPr>
                <w:ilvl w:val="-1"/>
                <w:numId w:val="0"/>
              </w:num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①能够结合高交会新闻发布会现场进行采访报道，提供拟安排的采访媒体；②提供不同于招标人提供的新闻通稿的原创报道撰稿不少于3篇；</w:t>
            </w:r>
          </w:p>
          <w:p>
            <w:pPr>
              <w:widowControl/>
              <w:numPr>
                <w:ilvl w:val="-1"/>
                <w:numId w:val="0"/>
              </w:num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③提供媒体采访思路与内容计划。</w:t>
            </w:r>
          </w:p>
          <w:p>
            <w:pPr>
              <w:widowControl/>
              <w:numPr>
                <w:ilvl w:val="0"/>
                <w:numId w:val="0"/>
              </w:numPr>
              <w:spacing w:line="360" w:lineRule="auto"/>
              <w:ind w:right="0" w:rightChars="0"/>
              <w:jc w:val="left"/>
              <w:rPr>
                <w:rFonts w:hint="eastAsia" w:ascii="宋体" w:hAnsi="宋体" w:cs="宋体"/>
                <w:color w:val="auto"/>
                <w:highlight w:val="none"/>
                <w:lang w:val="en-US" w:eastAsia="zh-CN"/>
              </w:rPr>
            </w:pPr>
            <w:r>
              <w:rPr>
                <w:rFonts w:hint="eastAsia" w:ascii="宋体" w:hAnsi="宋体" w:cs="宋体"/>
                <w:color w:val="auto"/>
                <w:szCs w:val="24"/>
                <w:highlight w:val="none"/>
                <w:lang w:val="en-US" w:eastAsia="zh-CN"/>
              </w:rPr>
              <w:t>满足以上3项要求要求得6分，满足以上2项要求得3分，满足以上1项要求得1分其他情况不得分。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25" w:hRule="atLeast"/>
          <w:tblCellSpacing w:w="0" w:type="dxa"/>
        </w:trPr>
        <w:tc>
          <w:tcPr>
            <w:tcW w:w="704" w:type="dxa"/>
            <w:vMerge w:val="continue"/>
            <w:tcBorders>
              <w:tl2br w:val="nil"/>
              <w:tr2bl w:val="nil"/>
            </w:tcBorders>
            <w:vAlign w:val="center"/>
          </w:tcPr>
          <w:p>
            <w:pPr>
              <w:pStyle w:val="24"/>
              <w:numPr>
                <w:ilvl w:val="0"/>
                <w:numId w:val="16"/>
              </w:numPr>
              <w:spacing w:line="360" w:lineRule="auto"/>
              <w:ind w:left="420" w:hanging="420" w:firstLineChars="0"/>
              <w:jc w:val="center"/>
              <w:rPr>
                <w:rFonts w:ascii="宋体" w:hAnsi="宋体" w:eastAsia="宋体"/>
                <w:color w:val="auto"/>
                <w:szCs w:val="21"/>
                <w:highlight w:val="none"/>
              </w:rPr>
            </w:pPr>
          </w:p>
        </w:tc>
        <w:tc>
          <w:tcPr>
            <w:tcW w:w="1134" w:type="dxa"/>
            <w:vMerge w:val="continue"/>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highlight w:val="none"/>
                <w:lang w:val="en-US" w:eastAsia="zh-CN"/>
              </w:rPr>
            </w:pPr>
          </w:p>
        </w:tc>
        <w:tc>
          <w:tcPr>
            <w:tcW w:w="709" w:type="dxa"/>
            <w:vMerge w:val="continue"/>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highlight w:val="none"/>
                <w:lang w:val="en-US" w:eastAsia="zh-CN"/>
              </w:rPr>
            </w:pPr>
          </w:p>
        </w:tc>
        <w:tc>
          <w:tcPr>
            <w:tcW w:w="6804" w:type="dxa"/>
            <w:gridSpan w:val="2"/>
            <w:tcBorders>
              <w:top w:val="single" w:color="auto" w:sz="4" w:space="0"/>
              <w:bottom w:val="single" w:color="auto" w:sz="4" w:space="0"/>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（3）从会务配合服务计划、可操作性及应急预案进行评定：：</w:t>
            </w:r>
          </w:p>
          <w:p>
            <w:pPr>
              <w:widowControl/>
              <w:numPr>
                <w:ilvl w:val="0"/>
                <w:numId w:val="0"/>
              </w:num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①提供完整的会务活动服务计划（涵盖会前、会中、会后）；</w:t>
            </w:r>
          </w:p>
          <w:p>
            <w:pPr>
              <w:widowControl/>
              <w:numPr>
                <w:ilvl w:val="0"/>
                <w:numId w:val="0"/>
              </w:num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②提供活动服务应急预案</w:t>
            </w:r>
          </w:p>
          <w:p>
            <w:pPr>
              <w:widowControl/>
              <w:numPr>
                <w:ilvl w:val="0"/>
                <w:numId w:val="0"/>
              </w:numPr>
              <w:spacing w:line="360" w:lineRule="auto"/>
              <w:ind w:right="0" w:rightChars="0"/>
              <w:jc w:val="left"/>
              <w:rPr>
                <w:rFonts w:hint="eastAsia" w:ascii="宋体" w:hAnsi="宋体" w:cs="宋体"/>
                <w:color w:val="auto"/>
                <w:highlight w:val="none"/>
                <w:lang w:val="en-US" w:eastAsia="zh-CN"/>
              </w:rPr>
            </w:pPr>
            <w:r>
              <w:rPr>
                <w:rFonts w:hint="eastAsia" w:ascii="宋体" w:hAnsi="宋体" w:cs="宋体"/>
                <w:color w:val="auto"/>
                <w:szCs w:val="24"/>
                <w:highlight w:val="none"/>
                <w:lang w:val="en-US" w:eastAsia="zh-CN"/>
              </w:rPr>
              <w:t>根据投标人提供的方案</w:t>
            </w:r>
            <w:r>
              <w:rPr>
                <w:rFonts w:hint="eastAsia" w:ascii="宋体" w:hAnsi="宋体"/>
                <w:color w:val="auto"/>
                <w:sz w:val="21"/>
                <w:szCs w:val="21"/>
                <w:highlight w:val="none"/>
              </w:rPr>
              <w:t>合理、详细、清晰、完整</w:t>
            </w:r>
            <w:r>
              <w:rPr>
                <w:rFonts w:hint="eastAsia" w:ascii="宋体" w:hAnsi="宋体"/>
                <w:color w:val="auto"/>
                <w:sz w:val="21"/>
                <w:szCs w:val="21"/>
                <w:highlight w:val="none"/>
                <w:lang w:val="en-US" w:eastAsia="zh-CN"/>
              </w:rPr>
              <w:t>且</w:t>
            </w:r>
            <w:r>
              <w:rPr>
                <w:rFonts w:hint="eastAsia" w:ascii="宋体" w:hAnsi="宋体"/>
                <w:color w:val="auto"/>
                <w:sz w:val="21"/>
                <w:szCs w:val="21"/>
                <w:highlight w:val="none"/>
              </w:rPr>
              <w:t>各项工作措施与流程具体，评价为优</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r>
              <w:rPr>
                <w:rFonts w:hint="eastAsia" w:ascii="宋体" w:hAnsi="宋体" w:cs="宋体"/>
                <w:color w:val="auto"/>
                <w:szCs w:val="24"/>
                <w:highlight w:val="none"/>
                <w:lang w:val="en-US" w:eastAsia="zh-CN"/>
              </w:rPr>
              <w:t>方案</w:t>
            </w:r>
            <w:r>
              <w:rPr>
                <w:rFonts w:hint="eastAsia" w:ascii="宋体" w:hAnsi="宋体"/>
                <w:color w:val="auto"/>
                <w:sz w:val="21"/>
                <w:szCs w:val="21"/>
                <w:highlight w:val="none"/>
              </w:rPr>
              <w:t>较为完整，所采用的工作措施与流程较能满足要求，评价为良</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r>
              <w:rPr>
                <w:rFonts w:hint="eastAsia" w:ascii="宋体" w:hAnsi="宋体" w:cs="宋体"/>
                <w:color w:val="auto"/>
                <w:szCs w:val="24"/>
                <w:highlight w:val="none"/>
                <w:lang w:val="en-US" w:eastAsia="zh-CN"/>
              </w:rPr>
              <w:t>方案</w:t>
            </w:r>
            <w:r>
              <w:rPr>
                <w:rFonts w:hint="eastAsia" w:ascii="宋体" w:hAnsi="宋体"/>
                <w:color w:val="auto"/>
                <w:sz w:val="21"/>
                <w:szCs w:val="21"/>
                <w:highlight w:val="none"/>
                <w:lang w:val="en-US" w:eastAsia="zh-CN"/>
              </w:rPr>
              <w:t>及</w:t>
            </w:r>
            <w:r>
              <w:rPr>
                <w:rFonts w:hint="eastAsia" w:ascii="宋体" w:hAnsi="宋体"/>
                <w:color w:val="auto"/>
                <w:sz w:val="21"/>
                <w:szCs w:val="21"/>
                <w:highlight w:val="none"/>
              </w:rPr>
              <w:t>所采用的工作措施与流程</w:t>
            </w:r>
            <w:r>
              <w:rPr>
                <w:rFonts w:hint="eastAsia" w:ascii="宋体" w:hAnsi="宋体"/>
                <w:color w:val="auto"/>
                <w:sz w:val="21"/>
                <w:szCs w:val="21"/>
                <w:highlight w:val="none"/>
                <w:lang w:val="en-US" w:eastAsia="zh-CN"/>
              </w:rPr>
              <w:t>仅能</w:t>
            </w:r>
            <w:r>
              <w:rPr>
                <w:rFonts w:hint="eastAsia" w:ascii="宋体" w:hAnsi="宋体"/>
                <w:color w:val="auto"/>
                <w:sz w:val="21"/>
                <w:szCs w:val="21"/>
                <w:highlight w:val="none"/>
              </w:rPr>
              <w:t>满足</w:t>
            </w:r>
            <w:r>
              <w:rPr>
                <w:rFonts w:hint="eastAsia" w:ascii="宋体" w:hAnsi="宋体"/>
                <w:color w:val="auto"/>
                <w:sz w:val="21"/>
                <w:szCs w:val="21"/>
                <w:highlight w:val="none"/>
                <w:lang w:val="en-US" w:eastAsia="zh-CN"/>
              </w:rPr>
              <w:t>基本</w:t>
            </w:r>
            <w:r>
              <w:rPr>
                <w:rFonts w:hint="eastAsia" w:ascii="宋体" w:hAnsi="宋体"/>
                <w:color w:val="auto"/>
                <w:sz w:val="21"/>
                <w:szCs w:val="21"/>
                <w:highlight w:val="none"/>
              </w:rPr>
              <w:t>要求，评价为</w:t>
            </w:r>
            <w:r>
              <w:rPr>
                <w:rFonts w:hint="eastAsia" w:ascii="宋体" w:hAnsi="宋体"/>
                <w:color w:val="auto"/>
                <w:sz w:val="21"/>
                <w:szCs w:val="21"/>
                <w:highlight w:val="none"/>
                <w:lang w:val="en-US" w:eastAsia="zh-CN"/>
              </w:rPr>
              <w:t>可</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r>
              <w:rPr>
                <w:rFonts w:hint="eastAsia" w:ascii="宋体" w:hAnsi="宋体" w:cs="宋体"/>
                <w:color w:val="auto"/>
                <w:szCs w:val="24"/>
                <w:highlight w:val="none"/>
                <w:lang w:val="en-US" w:eastAsia="zh-CN"/>
              </w:rPr>
              <w:t>其他情况不得分。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0" w:hRule="atLeast"/>
          <w:tblCellSpacing w:w="0" w:type="dxa"/>
        </w:trPr>
        <w:tc>
          <w:tcPr>
            <w:tcW w:w="704" w:type="dxa"/>
            <w:vMerge w:val="continue"/>
            <w:tcBorders>
              <w:tl2br w:val="nil"/>
              <w:tr2bl w:val="nil"/>
            </w:tcBorders>
            <w:vAlign w:val="center"/>
          </w:tcPr>
          <w:p>
            <w:pPr>
              <w:pStyle w:val="24"/>
              <w:numPr>
                <w:ilvl w:val="0"/>
                <w:numId w:val="16"/>
              </w:numPr>
              <w:spacing w:line="360" w:lineRule="auto"/>
              <w:ind w:left="420" w:hanging="420" w:firstLineChars="0"/>
              <w:jc w:val="center"/>
              <w:rPr>
                <w:rFonts w:ascii="宋体" w:hAnsi="宋体" w:eastAsia="宋体"/>
                <w:color w:val="auto"/>
                <w:szCs w:val="21"/>
                <w:highlight w:val="none"/>
              </w:rPr>
            </w:pPr>
          </w:p>
        </w:tc>
        <w:tc>
          <w:tcPr>
            <w:tcW w:w="1134" w:type="dxa"/>
            <w:vMerge w:val="continue"/>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highlight w:val="none"/>
                <w:lang w:val="en-US" w:eastAsia="zh-CN"/>
              </w:rPr>
            </w:pPr>
          </w:p>
        </w:tc>
        <w:tc>
          <w:tcPr>
            <w:tcW w:w="709" w:type="dxa"/>
            <w:vMerge w:val="continue"/>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highlight w:val="none"/>
                <w:lang w:val="en-US" w:eastAsia="zh-CN"/>
              </w:rPr>
            </w:pPr>
          </w:p>
        </w:tc>
        <w:tc>
          <w:tcPr>
            <w:tcW w:w="6804" w:type="dxa"/>
            <w:gridSpan w:val="2"/>
            <w:tcBorders>
              <w:top w:val="single" w:color="auto" w:sz="4" w:space="0"/>
              <w:bottom w:val="single" w:color="auto" w:sz="4" w:space="0"/>
              <w:tl2br w:val="nil"/>
              <w:tr2bl w:val="nil"/>
            </w:tcBorders>
            <w:tcMar>
              <w:top w:w="15" w:type="dxa"/>
              <w:left w:w="15" w:type="dxa"/>
              <w:bottom w:w="15" w:type="dxa"/>
              <w:right w:w="15" w:type="dxa"/>
            </w:tcMar>
            <w:vAlign w:val="center"/>
          </w:tcPr>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（4）增值服务：</w:t>
            </w:r>
          </w:p>
          <w:p>
            <w:pPr>
              <w:spacing w:line="360" w:lineRule="auto"/>
              <w:rPr>
                <w:rFonts w:hint="eastAsia" w:ascii="宋体" w:hAnsi="宋体" w:cs="宋体"/>
                <w:color w:val="auto"/>
                <w:highlight w:val="none"/>
                <w:lang w:val="en-US" w:eastAsia="zh-CN"/>
              </w:rPr>
            </w:pPr>
            <w:r>
              <w:rPr>
                <w:rFonts w:hint="eastAsia" w:ascii="宋体" w:hAnsi="宋体" w:cs="宋体"/>
                <w:color w:val="auto"/>
                <w:szCs w:val="24"/>
                <w:highlight w:val="none"/>
                <w:lang w:val="en-US" w:eastAsia="zh-CN"/>
              </w:rPr>
              <w:t>根据投标人</w:t>
            </w:r>
            <w:r>
              <w:rPr>
                <w:rFonts w:hint="eastAsia" w:ascii="宋体" w:hAnsi="宋体" w:cs="宋体"/>
                <w:color w:val="auto"/>
                <w:highlight w:val="none"/>
                <w:lang w:val="en-US" w:eastAsia="zh-CN"/>
              </w:rPr>
              <w:t>提供增值服务承诺，从增值服务的可操作性、服务内容完整性进行评定：</w:t>
            </w:r>
          </w:p>
          <w:p>
            <w:pPr>
              <w:widowControl/>
              <w:spacing w:line="360" w:lineRule="auto"/>
              <w:ind w:right="0" w:rightChars="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评价为优的得3分，评价为良的得2分，评价为可的得1分，</w:t>
            </w:r>
            <w:r>
              <w:rPr>
                <w:rFonts w:hint="eastAsia" w:ascii="宋体" w:hAnsi="宋体" w:cs="宋体"/>
                <w:color w:val="auto"/>
                <w:szCs w:val="24"/>
                <w:highlight w:val="none"/>
                <w:lang w:val="en-US" w:eastAsia="zh-CN"/>
              </w:rPr>
              <w:t>其他情况不得分。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6"/>
              </w:numPr>
              <w:spacing w:line="360" w:lineRule="auto"/>
              <w:ind w:left="420" w:hanging="42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color w:val="auto"/>
                <w:highlight w:val="none"/>
              </w:rPr>
            </w:pPr>
            <w:r>
              <w:rPr>
                <w:rFonts w:hint="eastAsia" w:ascii="宋体" w:hAnsi="宋体" w:cs="宋体"/>
                <w:color w:val="auto"/>
                <w:highlight w:val="none"/>
              </w:rPr>
              <w:t>服务承诺</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auto"/>
                <w:szCs w:val="21"/>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对投标人提交的服务承诺进行评议，包括但不仅限此次项目的总体要求、完成时间、服务方案、项目团队及现场响应速度。</w:t>
            </w:r>
          </w:p>
          <w:p>
            <w:pPr>
              <w:widowControl/>
              <w:spacing w:line="360" w:lineRule="auto"/>
              <w:ind w:right="0" w:rightChars="0"/>
              <w:jc w:val="left"/>
              <w:rPr>
                <w:rFonts w:ascii="宋体" w:hAnsi="宋体" w:cs="宋体"/>
                <w:color w:val="auto"/>
                <w:kern w:val="0"/>
                <w:szCs w:val="21"/>
                <w:highlight w:val="none"/>
              </w:rPr>
            </w:pPr>
            <w:r>
              <w:rPr>
                <w:rFonts w:hint="eastAsia" w:ascii="宋体" w:hAnsi="宋体" w:cs="宋体"/>
                <w:color w:val="auto"/>
                <w:highlight w:val="none"/>
                <w:lang w:val="en-US" w:eastAsia="zh-CN"/>
              </w:rPr>
              <w:t>服务响应速度越快、现场质量保证越符合实际，承诺内容越全面，得分越高，评价为优的得8分，评价为良的得5分，评价为一般的得2分，</w:t>
            </w:r>
            <w:r>
              <w:rPr>
                <w:rFonts w:hint="eastAsia" w:ascii="宋体" w:hAnsi="宋体" w:cs="宋体"/>
                <w:color w:val="auto"/>
                <w:szCs w:val="24"/>
                <w:highlight w:val="none"/>
                <w:lang w:val="en-US" w:eastAsia="zh-CN"/>
              </w:rPr>
              <w:t>其他情况不得分。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color w:val="auto"/>
                <w:highlight w:val="none"/>
              </w:rPr>
            </w:pPr>
            <w:r>
              <w:rPr>
                <w:rFonts w:hint="eastAsia"/>
                <w:b/>
                <w:bCs/>
                <w:color w:val="auto"/>
                <w:highlight w:val="none"/>
              </w:rPr>
              <w:t>价格评议项（</w:t>
            </w:r>
            <w:r>
              <w:rPr>
                <w:rFonts w:hint="eastAsia"/>
                <w:b/>
                <w:bCs/>
                <w:color w:val="auto"/>
                <w:highlight w:val="none"/>
                <w:lang w:val="en-US" w:eastAsia="zh-CN"/>
              </w:rPr>
              <w:t>40</w:t>
            </w:r>
            <w:r>
              <w:rPr>
                <w:rFonts w:hint="eastAsia"/>
                <w:b/>
                <w:bCs/>
                <w:color w:val="auto"/>
                <w:highlight w:val="none"/>
              </w:rPr>
              <w:t>分）</w:t>
            </w:r>
          </w:p>
          <w:p>
            <w:pPr>
              <w:jc w:val="center"/>
              <w:rPr>
                <w:color w:val="auto"/>
                <w:highlight w:val="none"/>
              </w:rPr>
            </w:pPr>
            <w:r>
              <w:rPr>
                <w:rFonts w:hint="eastAsia"/>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价格得分=（1-A×｜1-投标报价/Z｜）×M</w:t>
            </w:r>
          </w:p>
          <w:p>
            <w:pPr>
              <w:numPr>
                <w:ilvl w:val="0"/>
                <w:numId w:val="18"/>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 xml:space="preserve">M= </w:t>
            </w:r>
            <w:r>
              <w:rPr>
                <w:rFonts w:hint="eastAsia" w:ascii="宋体" w:hAnsi="宋体"/>
                <w:color w:val="auto"/>
                <w:szCs w:val="21"/>
                <w:highlight w:val="none"/>
              </w:rPr>
              <w:t>××</w:t>
            </w:r>
            <w:r>
              <w:rPr>
                <w:rStyle w:val="21"/>
                <w:rFonts w:hint="eastAsia" w:ascii="宋体" w:hAnsi="宋体"/>
                <w:color w:val="auto"/>
                <w:highlight w:val="none"/>
              </w:rPr>
              <w:t xml:space="preserve"> （价格评价分项满分值），Z为本次招标基准价；</w:t>
            </w:r>
          </w:p>
          <w:p>
            <w:pPr>
              <w:numPr>
                <w:ilvl w:val="0"/>
                <w:numId w:val="18"/>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A为价格调整系数，当投标报价低于本次招标最佳报价（即基准价）时，A=0.5；当投标报价高于次招标基准价时，取A=1；</w:t>
            </w:r>
          </w:p>
          <w:p>
            <w:pPr>
              <w:numPr>
                <w:ilvl w:val="0"/>
                <w:numId w:val="18"/>
              </w:numPr>
              <w:jc w:val="left"/>
              <w:rPr>
                <w:rFonts w:ascii="宋体" w:cs="宋体"/>
                <w:color w:val="auto"/>
                <w:kern w:val="0"/>
                <w:szCs w:val="21"/>
                <w:highlight w:val="none"/>
              </w:rPr>
            </w:pPr>
            <w:r>
              <w:rPr>
                <w:rStyle w:val="21"/>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cs="宋体"/>
                <w:color w:val="auto"/>
                <w:kern w:val="0"/>
                <w:szCs w:val="21"/>
                <w:highlight w:val="none"/>
              </w:rPr>
              <w:t>其他方法：价格得分=（1-|投标报价-基准价|÷基准价）×价格权重分。投标报价取有效投标报价税前值，基准价取有效投标报价平均价税前值，投标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9"/>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9"/>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hint="eastAsia" w:ascii="宋体" w:hAnsi="宋体" w:eastAsia="宋体" w:cs="宋体"/>
          <w:b/>
          <w:sz w:val="32"/>
          <w:szCs w:val="32"/>
        </w:rPr>
      </w:pPr>
      <w:bookmarkStart w:id="56" w:name="_Toc22925"/>
      <w:r>
        <w:rPr>
          <w:rFonts w:hint="eastAsia" w:ascii="宋体" w:hAnsi="宋体" w:eastAsia="宋体" w:cs="宋体"/>
          <w:b/>
          <w:sz w:val="32"/>
          <w:szCs w:val="32"/>
        </w:rPr>
        <w:t>第四部分：合同条款及格式</w:t>
      </w:r>
      <w:bookmarkEnd w:id="56"/>
    </w:p>
    <w:p>
      <w:pPr>
        <w:jc w:val="center"/>
        <w:rPr>
          <w:rFonts w:hint="eastAsia" w:ascii="宋体" w:hAnsi="宋体" w:eastAsia="宋体" w:cs="宋体"/>
          <w:bCs/>
          <w:kern w:val="0"/>
          <w:sz w:val="28"/>
          <w:szCs w:val="28"/>
        </w:rPr>
      </w:pPr>
    </w:p>
    <w:p>
      <w:pPr>
        <w:jc w:val="center"/>
        <w:rPr>
          <w:rFonts w:hint="eastAsia" w:ascii="宋体" w:hAnsi="宋体" w:eastAsia="宋体" w:cs="宋体"/>
          <w:b/>
          <w:bCs w:val="0"/>
          <w:kern w:val="0"/>
          <w:sz w:val="24"/>
          <w:szCs w:val="24"/>
        </w:rPr>
      </w:pPr>
      <w:bookmarkStart w:id="57" w:name="_Hlk116549198"/>
      <w:r>
        <w:rPr>
          <w:rFonts w:hint="eastAsia" w:ascii="宋体" w:hAnsi="宋体" w:eastAsia="宋体" w:cs="宋体"/>
          <w:b/>
          <w:bCs w:val="0"/>
          <w:kern w:val="0"/>
          <w:sz w:val="24"/>
          <w:szCs w:val="24"/>
        </w:rPr>
        <w:t>深圳会展中心第二十五届高交会新闻发布会媒体组织及服务项目合同</w:t>
      </w:r>
    </w:p>
    <w:bookmarkEnd w:id="57"/>
    <w:p>
      <w:pPr>
        <w:jc w:val="center"/>
        <w:rPr>
          <w:rFonts w:hint="eastAsia" w:ascii="宋体" w:hAnsi="宋体" w:eastAsia="宋体" w:cs="宋体"/>
          <w:szCs w:val="21"/>
        </w:rPr>
      </w:pPr>
      <w:bookmarkStart w:id="58" w:name="_Hlk116549211"/>
      <w:r>
        <w:rPr>
          <w:rFonts w:hint="eastAsia" w:ascii="宋体" w:hAnsi="宋体" w:eastAsia="宋体" w:cs="宋体"/>
          <w:bCs/>
          <w:kern w:val="0"/>
          <w:sz w:val="28"/>
          <w:szCs w:val="28"/>
        </w:rPr>
        <w:t>（</w:t>
      </w:r>
      <w:r>
        <w:rPr>
          <w:rFonts w:hint="eastAsia" w:ascii="宋体" w:hAnsi="宋体" w:cs="宋体"/>
          <w:bCs/>
          <w:kern w:val="0"/>
          <w:sz w:val="28"/>
          <w:szCs w:val="28"/>
          <w:lang w:val="en-US" w:eastAsia="zh-CN"/>
        </w:rPr>
        <w:t>模板</w:t>
      </w:r>
      <w:r>
        <w:rPr>
          <w:rFonts w:hint="eastAsia" w:ascii="宋体" w:hAnsi="宋体" w:eastAsia="宋体" w:cs="宋体"/>
          <w:bCs/>
          <w:kern w:val="0"/>
          <w:sz w:val="28"/>
          <w:szCs w:val="28"/>
        </w:rPr>
        <w:t>仅供参考）</w:t>
      </w:r>
    </w:p>
    <w:bookmarkEnd w:id="58"/>
    <w:p>
      <w:pPr>
        <w:ind w:firstLine="420" w:firstLineChars="200"/>
        <w:jc w:val="left"/>
        <w:rPr>
          <w:rFonts w:hint="eastAsia" w:ascii="宋体" w:hAnsi="宋体" w:eastAsia="宋体" w:cs="宋体"/>
          <w:szCs w:val="21"/>
        </w:rPr>
      </w:pPr>
    </w:p>
    <w:p>
      <w:pPr>
        <w:spacing w:line="360" w:lineRule="auto"/>
        <w:rPr>
          <w:rFonts w:hint="eastAsia" w:ascii="宋体" w:hAnsi="宋体" w:eastAsia="宋体" w:cs="宋体"/>
          <w:szCs w:val="21"/>
        </w:rPr>
      </w:pPr>
    </w:p>
    <w:p>
      <w:pPr>
        <w:widowControl/>
        <w:snapToGrid w:val="0"/>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rPr>
        <w:t>甲方：深</w:t>
      </w:r>
      <w:r>
        <w:rPr>
          <w:rFonts w:hint="eastAsia" w:ascii="宋体" w:hAnsi="宋体" w:eastAsia="宋体" w:cs="宋体"/>
          <w:b/>
          <w:kern w:val="0"/>
          <w:szCs w:val="21"/>
          <w:highlight w:val="none"/>
        </w:rPr>
        <w:t>圳会展中心管理有限责任公司（简称“会展中心”）</w:t>
      </w:r>
    </w:p>
    <w:p>
      <w:pPr>
        <w:widowControl/>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法定代表人：XXX</w:t>
      </w:r>
    </w:p>
    <w:p>
      <w:pPr>
        <w:widowControl/>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地址：深圳市福田区福华三路深圳会展中心</w:t>
      </w:r>
    </w:p>
    <w:p>
      <w:pPr>
        <w:widowControl/>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联系人：XXX</w:t>
      </w:r>
    </w:p>
    <w:p>
      <w:pPr>
        <w:autoSpaceDE w:val="0"/>
        <w:autoSpaceDN w:val="0"/>
        <w:adjustRightInd w:val="0"/>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电话：0755-8284XXXX </w:t>
      </w:r>
    </w:p>
    <w:p>
      <w:pPr>
        <w:pStyle w:val="2"/>
        <w:spacing w:line="360" w:lineRule="auto"/>
        <w:ind w:left="0"/>
        <w:rPr>
          <w:rFonts w:hint="eastAsia" w:ascii="宋体" w:hAnsi="宋体" w:cs="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hint="eastAsia" w:ascii="宋体" w:hAnsi="宋体" w:cs="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2"/>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4"/>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w:t>
      </w:r>
      <w:r>
        <w:rPr>
          <w:rFonts w:hint="eastAsia" w:ascii="宋体" w:hAnsi="宋体" w:cs="仿宋"/>
          <w:sz w:val="21"/>
          <w:szCs w:val="21"/>
          <w:highlight w:val="none"/>
          <w:lang w:val="en-US" w:eastAsia="zh-CN"/>
        </w:rPr>
        <w:t>60天</w:t>
      </w:r>
      <w:r>
        <w:rPr>
          <w:rFonts w:hint="eastAsia" w:ascii="宋体" w:hAnsi="宋体" w:cs="仿宋"/>
          <w:sz w:val="21"/>
          <w:szCs w:val="21"/>
          <w:highlight w:val="none"/>
        </w:rPr>
        <w:t>，</w:t>
      </w:r>
      <w:r>
        <w:rPr>
          <w:rFonts w:hint="eastAsia" w:ascii="宋体" w:hAnsi="宋体" w:cs="仿宋"/>
          <w:sz w:val="21"/>
          <w:szCs w:val="21"/>
          <w:highlight w:val="none"/>
          <w:lang w:val="en-US" w:eastAsia="zh-CN"/>
        </w:rPr>
        <w:t>从项目</w:t>
      </w:r>
      <w:r>
        <w:rPr>
          <w:rFonts w:hint="eastAsia" w:ascii="宋体" w:hAnsi="宋体" w:cs="仿宋"/>
          <w:sz w:val="21"/>
          <w:szCs w:val="21"/>
          <w:highlight w:val="none"/>
        </w:rPr>
        <w:t>中标通知书发放之日到服务项目完成后约定的义务履行完毕之日结束</w:t>
      </w:r>
      <w:r>
        <w:rPr>
          <w:rFonts w:hint="eastAsia" w:ascii="宋体" w:hAnsi="宋体" w:cs="仿宋"/>
          <w:sz w:val="21"/>
          <w:szCs w:val="21"/>
          <w:highlight w:val="none"/>
          <w:lang w:eastAsia="zh-CN"/>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4"/>
        <w:numPr>
          <w:ilvl w:val="1"/>
          <w:numId w:val="25"/>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4"/>
        <w:numPr>
          <w:ilvl w:val="0"/>
          <w:numId w:val="26"/>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4"/>
        <w:numPr>
          <w:ilvl w:val="0"/>
          <w:numId w:val="26"/>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4"/>
        <w:numPr>
          <w:ilvl w:val="1"/>
          <w:numId w:val="25"/>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4"/>
        <w:numPr>
          <w:ilvl w:val="0"/>
          <w:numId w:val="27"/>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4"/>
        <w:numPr>
          <w:ilvl w:val="0"/>
          <w:numId w:val="27"/>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4"/>
        <w:numPr>
          <w:ilvl w:val="0"/>
          <w:numId w:val="27"/>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8"/>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3"/>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4"/>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4"/>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35"/>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5"/>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5"/>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4"/>
        <w:numPr>
          <w:ilvl w:val="0"/>
          <w:numId w:val="36"/>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numPr>
          <w:ilvl w:val="0"/>
          <w:numId w:val="36"/>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37"/>
        </w:numPr>
        <w:spacing w:line="360" w:lineRule="auto"/>
        <w:rPr>
          <w:rFonts w:ascii="宋体" w:hAnsi="宋体" w:eastAsia="宋体" w:cs="仿宋"/>
          <w:szCs w:val="21"/>
        </w:rPr>
      </w:pPr>
      <w:bookmarkStart w:id="59"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9"/>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0" w:name="_Toc3235"/>
      <w:r>
        <w:rPr>
          <w:rFonts w:hint="eastAsia"/>
          <w:b/>
          <w:sz w:val="32"/>
          <w:szCs w:val="32"/>
        </w:rPr>
        <w:t>第五部分：参考附件</w:t>
      </w:r>
      <w:bookmarkEnd w:id="60"/>
    </w:p>
    <w:p>
      <w:pPr>
        <w:spacing w:line="0" w:lineRule="atLeast"/>
        <w:outlineLvl w:val="1"/>
        <w:rPr>
          <w:rFonts w:ascii="宋体" w:hAnsi="宋体"/>
        </w:rPr>
      </w:pPr>
      <w:bookmarkStart w:id="61" w:name="_Toc27087"/>
      <w:r>
        <w:rPr>
          <w:rFonts w:hint="eastAsia" w:ascii="宋体" w:hAnsi="宋体"/>
          <w:szCs w:val="21"/>
        </w:rPr>
        <w:t>附件1：</w:t>
      </w:r>
      <w:r>
        <w:rPr>
          <w:rFonts w:hint="eastAsia" w:ascii="宋体" w:hAnsi="宋体"/>
        </w:rPr>
        <w:t>报名回函</w:t>
      </w:r>
      <w:bookmarkEnd w:id="61"/>
    </w:p>
    <w:p>
      <w:pPr>
        <w:pStyle w:val="13"/>
      </w:pPr>
    </w:p>
    <w:p>
      <w:pPr>
        <w:pStyle w:val="14"/>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2" w:name="_Toc9972"/>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2491"/>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lang w:eastAsia="zh-CN"/>
        </w:rPr>
        <w:t>□</w:t>
      </w:r>
      <w:r>
        <w:rPr>
          <w:rFonts w:hint="eastAsia" w:ascii="宋体" w:hAnsi="宋体"/>
          <w:sz w:val="21"/>
          <w:szCs w:val="21"/>
        </w:rPr>
        <w:t xml:space="preserve">增值税普通发票  </w:t>
      </w:r>
      <w:r>
        <w:rPr>
          <w:rFonts w:hint="eastAsia" w:ascii="宋体" w:hAnsi="宋体"/>
          <w:sz w:val="21"/>
          <w:szCs w:val="21"/>
          <w:lang w:eastAsia="zh-CN"/>
        </w:rPr>
        <w:t>☑</w:t>
      </w:r>
      <w:r>
        <w:rPr>
          <w:rFonts w:hint="eastAsia" w:ascii="宋体" w:hAnsi="宋体"/>
          <w:sz w:val="21"/>
          <w:szCs w:val="21"/>
        </w:rPr>
        <w:t>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5" w:name="_Toc2610"/>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bookmarkEnd w:id="65"/>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第二十五届高交会新闻发布会媒体组织及服务项目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26652"/>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Hlk127434997"/>
      <w:bookmarkStart w:id="71" w:name="_Toc211243320"/>
      <w:r>
        <w:rPr>
          <w:rFonts w:hint="eastAsia" w:ascii="仿宋" w:hAnsi="仿宋" w:eastAsia="仿宋"/>
          <w:sz w:val="30"/>
          <w:szCs w:val="30"/>
        </w:rPr>
        <w:t>法定代表人或其授权委托人（签字或盖章）：</w:t>
      </w:r>
      <w:bookmarkEnd w:id="70"/>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36803114"/>
      <w:bookmarkStart w:id="73" w:name="_Toc246480945"/>
      <w:r>
        <w:rPr>
          <w:rFonts w:ascii="仿宋" w:hAnsi="仿宋" w:eastAsia="仿宋"/>
          <w:sz w:val="28"/>
          <w:szCs w:val="28"/>
        </w:rPr>
        <w:br w:type="page"/>
      </w:r>
    </w:p>
    <w:p>
      <w:pPr>
        <w:spacing w:line="0" w:lineRule="atLeast"/>
        <w:outlineLvl w:val="1"/>
        <w:rPr>
          <w:rFonts w:ascii="宋体" w:hAnsi="宋体"/>
          <w:szCs w:val="21"/>
        </w:rPr>
      </w:pPr>
      <w:bookmarkStart w:id="74" w:name="_Toc25437"/>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395883088"/>
      <w:bookmarkStart w:id="77" w:name="_Toc478387764"/>
      <w:bookmarkStart w:id="78" w:name="_Toc236803111"/>
      <w:r>
        <w:rPr>
          <w:rFonts w:ascii="仿宋" w:hAnsi="仿宋" w:eastAsia="仿宋"/>
          <w:sz w:val="28"/>
          <w:szCs w:val="28"/>
        </w:rPr>
        <w:br w:type="page"/>
      </w:r>
    </w:p>
    <w:p>
      <w:pPr>
        <w:spacing w:line="0" w:lineRule="atLeast"/>
        <w:outlineLvl w:val="1"/>
        <w:rPr>
          <w:rFonts w:ascii="宋体" w:hAnsi="宋体"/>
          <w:szCs w:val="21"/>
        </w:rPr>
      </w:pPr>
      <w:bookmarkStart w:id="79" w:name="_Toc2298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4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095917"/>
      <w:bookmarkStart w:id="82"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2149"/>
      <w:r>
        <w:rPr>
          <w:rFonts w:hint="eastAsia" w:ascii="宋体" w:hAnsi="宋体"/>
          <w:szCs w:val="21"/>
        </w:rPr>
        <w:t>附件8：报价一览表（服务）</w:t>
      </w:r>
      <w:bookmarkEnd w:id="83"/>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0145"/>
      <w:r>
        <w:rPr>
          <w:rFonts w:hint="eastAsia" w:ascii="宋体" w:hAnsi="宋体"/>
          <w:szCs w:val="21"/>
        </w:rPr>
        <w:t>附件9：报价一览表（工程）</w:t>
      </w:r>
      <w:r>
        <w:rPr>
          <w:rFonts w:hint="eastAsia" w:ascii="宋体" w:hAnsi="宋体"/>
          <w:color w:val="FF0000"/>
          <w:szCs w:val="21"/>
        </w:rPr>
        <w:t>（本项目不适用）</w:t>
      </w:r>
      <w:bookmarkEnd w:id="84"/>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2628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4694"/>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4"/>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4"/>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7" w:name="_Toc7947"/>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27781"/>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459"/>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1" w:name="_Toc100848654"/>
      <w:bookmarkStart w:id="92" w:name="_Toc769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48"/>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48"/>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4"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4"/>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C2E648-D716-4B76-B8F0-33608BA0845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E57C7637-BCE7-4552-82BE-B4C4B66286D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3" w:fontKey="{01BCD068-C459-4F4E-AEAA-992EBF5875DF}"/>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4" w:fontKey="{0D1484F5-56CF-46A1-8A9B-E4371D02DD80}"/>
  </w:font>
  <w:font w:name="方正小标宋_GBK">
    <w:panose1 w:val="03000509000000000000"/>
    <w:charset w:val="86"/>
    <w:family w:val="auto"/>
    <w:pitch w:val="default"/>
    <w:sig w:usb0="00000000" w:usb1="00000000" w:usb2="00000000" w:usb3="00000000" w:csb0="00000000" w:csb1="00000000"/>
    <w:embedRegular r:id="rId5" w:fontKey="{A17BD333-C713-4A6C-B718-88FD048266F6}"/>
  </w:font>
  <w:font w:name="仿宋">
    <w:panose1 w:val="02010609060101010101"/>
    <w:charset w:val="86"/>
    <w:family w:val="modern"/>
    <w:pitch w:val="default"/>
    <w:sig w:usb0="800002BF" w:usb1="38CF7CFA" w:usb2="00000016" w:usb3="00000000" w:csb0="00040001" w:csb1="00000000"/>
    <w:embedRegular r:id="rId6" w:fontKey="{8C963AC4-528D-4EA2-9A02-70D62E351A46}"/>
  </w:font>
  <w:font w:name="Segoe UI Symbol">
    <w:panose1 w:val="020B0502040204020203"/>
    <w:charset w:val="00"/>
    <w:family w:val="swiss"/>
    <w:pitch w:val="default"/>
    <w:sig w:usb0="800001E3" w:usb1="1200FFEF" w:usb2="00040000" w:usb3="04000000" w:csb0="00000001" w:csb1="40000000"/>
    <w:embedRegular r:id="rId7" w:fontKey="{56DA6BBA-049F-422D-8B8B-1625DBD1CBD3}"/>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embedRegular r:id="rId8" w:fontKey="{32DE49E1-6139-4574-96F2-0391A9990E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20AB9193"/>
    <w:multiLevelType w:val="singleLevel"/>
    <w:tmpl w:val="20AB9193"/>
    <w:lvl w:ilvl="0" w:tentative="0">
      <w:start w:val="1"/>
      <w:numFmt w:val="decimal"/>
      <w:lvlText w:val="%1."/>
      <w:lvlJc w:val="left"/>
      <w:pPr>
        <w:ind w:left="425" w:hanging="425"/>
      </w:pPr>
      <w:rPr>
        <w:rFonts w:hint="default"/>
      </w:rPr>
    </w:lvl>
  </w:abstractNum>
  <w:abstractNum w:abstractNumId="2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3">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E10C89"/>
    <w:multiLevelType w:val="singleLevel"/>
    <w:tmpl w:val="28E10C89"/>
    <w:lvl w:ilvl="0" w:tentative="0">
      <w:start w:val="1"/>
      <w:numFmt w:val="decimal"/>
      <w:suff w:val="space"/>
      <w:lvlText w:val="%1."/>
      <w:lvlJc w:val="left"/>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6BD0DE61"/>
    <w:multiLevelType w:val="singleLevel"/>
    <w:tmpl w:val="6BD0DE61"/>
    <w:lvl w:ilvl="0" w:tentative="0">
      <w:start w:val="1"/>
      <w:numFmt w:val="decimal"/>
      <w:lvlText w:val="%1)"/>
      <w:lvlJc w:val="left"/>
      <w:pPr>
        <w:ind w:left="425" w:hanging="425"/>
      </w:pPr>
      <w:rPr>
        <w:rFonts w:hint="default"/>
      </w:rPr>
    </w:lvl>
  </w:abstractNum>
  <w:abstractNum w:abstractNumId="43">
    <w:nsid w:val="739433F9"/>
    <w:multiLevelType w:val="singleLevel"/>
    <w:tmpl w:val="739433F9"/>
    <w:lvl w:ilvl="0" w:tentative="0">
      <w:start w:val="1"/>
      <w:numFmt w:val="decimal"/>
      <w:suff w:val="space"/>
      <w:lvlText w:val="%1."/>
      <w:lvlJc w:val="left"/>
    </w:lvl>
  </w:abstractNum>
  <w:abstractNum w:abstractNumId="44">
    <w:nsid w:val="76576A73"/>
    <w:multiLevelType w:val="singleLevel"/>
    <w:tmpl w:val="76576A73"/>
    <w:lvl w:ilvl="0" w:tentative="0">
      <w:start w:val="1"/>
      <w:numFmt w:val="decimal"/>
      <w:suff w:val="nothing"/>
      <w:lvlText w:val="（%1）"/>
      <w:lvlJc w:val="left"/>
    </w:lvl>
  </w:abstractNum>
  <w:abstractNum w:abstractNumId="45">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7"/>
  </w:num>
  <w:num w:numId="2">
    <w:abstractNumId w:val="41"/>
  </w:num>
  <w:num w:numId="3">
    <w:abstractNumId w:val="28"/>
  </w:num>
  <w:num w:numId="4">
    <w:abstractNumId w:val="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8"/>
  </w:num>
  <w:num w:numId="8">
    <w:abstractNumId w:val="31"/>
  </w:num>
  <w:num w:numId="9">
    <w:abstractNumId w:val="18"/>
  </w:num>
  <w:num w:numId="10">
    <w:abstractNumId w:val="44"/>
  </w:num>
  <w:num w:numId="11">
    <w:abstractNumId w:val="46"/>
  </w:num>
  <w:num w:numId="12">
    <w:abstractNumId w:val="7"/>
  </w:num>
  <w:num w:numId="13">
    <w:abstractNumId w:val="25"/>
  </w:num>
  <w:num w:numId="14">
    <w:abstractNumId w:val="15"/>
  </w:num>
  <w:num w:numId="15">
    <w:abstractNumId w:val="43"/>
  </w:num>
  <w:num w:numId="16">
    <w:abstractNumId w:val="27"/>
  </w:num>
  <w:num w:numId="17">
    <w:abstractNumId w:val="42"/>
  </w:num>
  <w:num w:numId="18">
    <w:abstractNumId w:val="3"/>
  </w:num>
  <w:num w:numId="19">
    <w:abstractNumId w:val="9"/>
  </w:num>
  <w:num w:numId="20">
    <w:abstractNumId w:val="32"/>
  </w:num>
  <w:num w:numId="21">
    <w:abstractNumId w:val="29"/>
  </w:num>
  <w:num w:numId="22">
    <w:abstractNumId w:val="11"/>
  </w:num>
  <w:num w:numId="23">
    <w:abstractNumId w:val="20"/>
  </w:num>
  <w:num w:numId="24">
    <w:abstractNumId w:val="6"/>
  </w:num>
  <w:num w:numId="25">
    <w:abstractNumId w:val="39"/>
  </w:num>
  <w:num w:numId="26">
    <w:abstractNumId w:val="17"/>
  </w:num>
  <w:num w:numId="27">
    <w:abstractNumId w:val="34"/>
  </w:num>
  <w:num w:numId="28">
    <w:abstractNumId w:val="4"/>
  </w:num>
  <w:num w:numId="29">
    <w:abstractNumId w:val="22"/>
  </w:num>
  <w:num w:numId="30">
    <w:abstractNumId w:val="1"/>
  </w:num>
  <w:num w:numId="31">
    <w:abstractNumId w:val="10"/>
  </w:num>
  <w:num w:numId="32">
    <w:abstractNumId w:val="8"/>
  </w:num>
  <w:num w:numId="33">
    <w:abstractNumId w:val="45"/>
  </w:num>
  <w:num w:numId="34">
    <w:abstractNumId w:val="0"/>
  </w:num>
  <w:num w:numId="35">
    <w:abstractNumId w:val="2"/>
  </w:num>
  <w:num w:numId="36">
    <w:abstractNumId w:val="30"/>
  </w:num>
  <w:num w:numId="37">
    <w:abstractNumId w:val="12"/>
  </w:num>
  <w:num w:numId="38">
    <w:abstractNumId w:val="14"/>
  </w:num>
  <w:num w:numId="39">
    <w:abstractNumId w:val="13"/>
  </w:num>
  <w:num w:numId="40">
    <w:abstractNumId w:val="40"/>
  </w:num>
  <w:num w:numId="41">
    <w:abstractNumId w:val="33"/>
  </w:num>
  <w:num w:numId="42">
    <w:abstractNumId w:val="26"/>
  </w:num>
  <w:num w:numId="43">
    <w:abstractNumId w:val="23"/>
  </w:num>
  <w:num w:numId="44">
    <w:abstractNumId w:val="35"/>
  </w:num>
  <w:num w:numId="45">
    <w:abstractNumId w:val="21"/>
  </w:num>
  <w:num w:numId="46">
    <w:abstractNumId w:val="16"/>
  </w:num>
  <w:num w:numId="47">
    <w:abstractNumId w:val="3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YWVmZDlhYTJiZDg5Njc3MjZiNDg5MTM2MDczNj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FE4DA2"/>
    <w:rsid w:val="02B47C4D"/>
    <w:rsid w:val="040F33A0"/>
    <w:rsid w:val="04450729"/>
    <w:rsid w:val="04D46768"/>
    <w:rsid w:val="04E65685"/>
    <w:rsid w:val="04F90B5F"/>
    <w:rsid w:val="053A1CC8"/>
    <w:rsid w:val="06856661"/>
    <w:rsid w:val="075C2DB8"/>
    <w:rsid w:val="077B4608"/>
    <w:rsid w:val="07BB74B6"/>
    <w:rsid w:val="07D7576E"/>
    <w:rsid w:val="08493DEA"/>
    <w:rsid w:val="086E4EC9"/>
    <w:rsid w:val="093933E5"/>
    <w:rsid w:val="09AC3F4E"/>
    <w:rsid w:val="0B1A381C"/>
    <w:rsid w:val="0B214090"/>
    <w:rsid w:val="0B733B75"/>
    <w:rsid w:val="0B734A64"/>
    <w:rsid w:val="0BC248FD"/>
    <w:rsid w:val="0C56129E"/>
    <w:rsid w:val="0CDE01F2"/>
    <w:rsid w:val="0D68715F"/>
    <w:rsid w:val="0DD201F4"/>
    <w:rsid w:val="0DF4059A"/>
    <w:rsid w:val="0F4526B6"/>
    <w:rsid w:val="10091618"/>
    <w:rsid w:val="11294CF1"/>
    <w:rsid w:val="11A645BF"/>
    <w:rsid w:val="123C7C5C"/>
    <w:rsid w:val="13A17C22"/>
    <w:rsid w:val="1409730A"/>
    <w:rsid w:val="152B64B8"/>
    <w:rsid w:val="15740DA4"/>
    <w:rsid w:val="175E31DB"/>
    <w:rsid w:val="17C75334"/>
    <w:rsid w:val="18466DC2"/>
    <w:rsid w:val="195A6BC0"/>
    <w:rsid w:val="198A65DC"/>
    <w:rsid w:val="1AA73355"/>
    <w:rsid w:val="1AE86AF0"/>
    <w:rsid w:val="1BB356FC"/>
    <w:rsid w:val="1C5670DA"/>
    <w:rsid w:val="1D2838D4"/>
    <w:rsid w:val="1F08434B"/>
    <w:rsid w:val="1F506A81"/>
    <w:rsid w:val="1F7074E6"/>
    <w:rsid w:val="1FDB04B4"/>
    <w:rsid w:val="20F572F4"/>
    <w:rsid w:val="227A4EED"/>
    <w:rsid w:val="228D0750"/>
    <w:rsid w:val="233D6F04"/>
    <w:rsid w:val="23F055CB"/>
    <w:rsid w:val="24330DDC"/>
    <w:rsid w:val="24786106"/>
    <w:rsid w:val="25115B76"/>
    <w:rsid w:val="25A5748F"/>
    <w:rsid w:val="25BE1EBF"/>
    <w:rsid w:val="25D85A3C"/>
    <w:rsid w:val="26007F62"/>
    <w:rsid w:val="26345C82"/>
    <w:rsid w:val="264A2E79"/>
    <w:rsid w:val="26792D5C"/>
    <w:rsid w:val="267E19B6"/>
    <w:rsid w:val="26E95967"/>
    <w:rsid w:val="27A9627C"/>
    <w:rsid w:val="285B0F48"/>
    <w:rsid w:val="2A1D36D7"/>
    <w:rsid w:val="2B9E3425"/>
    <w:rsid w:val="2BD84FDD"/>
    <w:rsid w:val="2BFA4386"/>
    <w:rsid w:val="2C9B6486"/>
    <w:rsid w:val="2CD73EA3"/>
    <w:rsid w:val="2D0005A2"/>
    <w:rsid w:val="2D845ED0"/>
    <w:rsid w:val="2E5A1009"/>
    <w:rsid w:val="2E8107F7"/>
    <w:rsid w:val="2EAB6E76"/>
    <w:rsid w:val="30381F4F"/>
    <w:rsid w:val="312D0CF2"/>
    <w:rsid w:val="329607B3"/>
    <w:rsid w:val="34120737"/>
    <w:rsid w:val="34A05B77"/>
    <w:rsid w:val="36E93B85"/>
    <w:rsid w:val="37097428"/>
    <w:rsid w:val="37321BDE"/>
    <w:rsid w:val="3816233C"/>
    <w:rsid w:val="38AC36F6"/>
    <w:rsid w:val="394A3FAD"/>
    <w:rsid w:val="398C439E"/>
    <w:rsid w:val="3A413074"/>
    <w:rsid w:val="3AAD7F79"/>
    <w:rsid w:val="3B202921"/>
    <w:rsid w:val="3B991A52"/>
    <w:rsid w:val="3BB26AC4"/>
    <w:rsid w:val="3C35255B"/>
    <w:rsid w:val="3C4B5060"/>
    <w:rsid w:val="3C5920BD"/>
    <w:rsid w:val="3D3679ED"/>
    <w:rsid w:val="3DA16F58"/>
    <w:rsid w:val="3DA20C1B"/>
    <w:rsid w:val="408D7227"/>
    <w:rsid w:val="41407E51"/>
    <w:rsid w:val="416718EC"/>
    <w:rsid w:val="430A6EFB"/>
    <w:rsid w:val="439D7A21"/>
    <w:rsid w:val="43D97719"/>
    <w:rsid w:val="43E86B34"/>
    <w:rsid w:val="447267E8"/>
    <w:rsid w:val="44A279FE"/>
    <w:rsid w:val="44E431E5"/>
    <w:rsid w:val="44F14DF9"/>
    <w:rsid w:val="45EE1058"/>
    <w:rsid w:val="463B47DB"/>
    <w:rsid w:val="46B30DE6"/>
    <w:rsid w:val="483502EE"/>
    <w:rsid w:val="48A360AA"/>
    <w:rsid w:val="492A4A83"/>
    <w:rsid w:val="493F1DE6"/>
    <w:rsid w:val="495C1F5C"/>
    <w:rsid w:val="49BA799D"/>
    <w:rsid w:val="49EA4329"/>
    <w:rsid w:val="4A117330"/>
    <w:rsid w:val="4A194313"/>
    <w:rsid w:val="4AF77150"/>
    <w:rsid w:val="4B644DB7"/>
    <w:rsid w:val="4B8B03E4"/>
    <w:rsid w:val="4D0613FF"/>
    <w:rsid w:val="4D9A3F67"/>
    <w:rsid w:val="4DDF67CC"/>
    <w:rsid w:val="4DF226AA"/>
    <w:rsid w:val="4ED91D87"/>
    <w:rsid w:val="4EE12BFB"/>
    <w:rsid w:val="4F6F0019"/>
    <w:rsid w:val="4FB7651E"/>
    <w:rsid w:val="50FA6A61"/>
    <w:rsid w:val="51794BC1"/>
    <w:rsid w:val="532F4421"/>
    <w:rsid w:val="534A00EC"/>
    <w:rsid w:val="53D25371"/>
    <w:rsid w:val="540F1FD2"/>
    <w:rsid w:val="561F6663"/>
    <w:rsid w:val="56E0783A"/>
    <w:rsid w:val="57220287"/>
    <w:rsid w:val="57315BF2"/>
    <w:rsid w:val="57594B93"/>
    <w:rsid w:val="58492CD5"/>
    <w:rsid w:val="58A84FDB"/>
    <w:rsid w:val="59444183"/>
    <w:rsid w:val="594A6990"/>
    <w:rsid w:val="5A2E0F40"/>
    <w:rsid w:val="5A3C254B"/>
    <w:rsid w:val="5A9713EC"/>
    <w:rsid w:val="5AA24F06"/>
    <w:rsid w:val="5B900346"/>
    <w:rsid w:val="5D1E56D6"/>
    <w:rsid w:val="5E8307E5"/>
    <w:rsid w:val="5F070BD2"/>
    <w:rsid w:val="5F563A12"/>
    <w:rsid w:val="5F6C1C15"/>
    <w:rsid w:val="5FAB68D7"/>
    <w:rsid w:val="60475C3F"/>
    <w:rsid w:val="60785544"/>
    <w:rsid w:val="60A60070"/>
    <w:rsid w:val="61A26997"/>
    <w:rsid w:val="622C21AB"/>
    <w:rsid w:val="62D00ABF"/>
    <w:rsid w:val="640C25AF"/>
    <w:rsid w:val="6440180D"/>
    <w:rsid w:val="6541126B"/>
    <w:rsid w:val="65B71508"/>
    <w:rsid w:val="65F40B00"/>
    <w:rsid w:val="683A303D"/>
    <w:rsid w:val="68597B95"/>
    <w:rsid w:val="68E97B63"/>
    <w:rsid w:val="68FB5DB0"/>
    <w:rsid w:val="69FE5F88"/>
    <w:rsid w:val="6A5B2F9C"/>
    <w:rsid w:val="6B1E605C"/>
    <w:rsid w:val="6C5E0507"/>
    <w:rsid w:val="6C6B5505"/>
    <w:rsid w:val="6DF67C63"/>
    <w:rsid w:val="6E3F209B"/>
    <w:rsid w:val="6E6D1489"/>
    <w:rsid w:val="6ED02117"/>
    <w:rsid w:val="6FC64366"/>
    <w:rsid w:val="705548D8"/>
    <w:rsid w:val="724A6B46"/>
    <w:rsid w:val="725336E8"/>
    <w:rsid w:val="74783A1C"/>
    <w:rsid w:val="74AB354D"/>
    <w:rsid w:val="74B05132"/>
    <w:rsid w:val="76966FB2"/>
    <w:rsid w:val="76C52AAF"/>
    <w:rsid w:val="76E063E5"/>
    <w:rsid w:val="76FF55B1"/>
    <w:rsid w:val="772A35DE"/>
    <w:rsid w:val="781B5752"/>
    <w:rsid w:val="798425C1"/>
    <w:rsid w:val="798E4FF5"/>
    <w:rsid w:val="79A35F22"/>
    <w:rsid w:val="79B07312"/>
    <w:rsid w:val="79BF662E"/>
    <w:rsid w:val="7A751935"/>
    <w:rsid w:val="7B2952F2"/>
    <w:rsid w:val="7CF46BD3"/>
    <w:rsid w:val="7DFA6EB6"/>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Normal Indent"/>
    <w:basedOn w:val="1"/>
    <w:qFormat/>
    <w:uiPriority w:val="0"/>
    <w:pPr>
      <w:ind w:firstLine="420" w:firstLineChars="200"/>
    </w:pPr>
    <w:rPr>
      <w:kern w:val="0"/>
      <w:sz w:val="24"/>
    </w:rPr>
  </w:style>
  <w:style w:type="paragraph" w:styleId="4">
    <w:name w:val="annotation text"/>
    <w:basedOn w:val="1"/>
    <w:link w:val="26"/>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宋体"/>
      <w:szCs w:val="21"/>
    </w:rPr>
  </w:style>
  <w:style w:type="paragraph" w:styleId="7">
    <w:name w:val="Balloon Text"/>
    <w:basedOn w:val="1"/>
    <w:link w:val="28"/>
    <w:semiHidden/>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4"/>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4"/>
    <w:next w:val="4"/>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4"/>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7"/>
    <w:semiHidden/>
    <w:qFormat/>
    <w:uiPriority w:val="99"/>
    <w:rPr>
      <w:rFonts w:ascii="Times New Roman" w:hAnsi="Times New Roman" w:eastAsia="宋体" w:cs="Times New Roman"/>
      <w:sz w:val="18"/>
      <w:szCs w:val="18"/>
    </w:rPr>
  </w:style>
  <w:style w:type="character" w:customStyle="1" w:styleId="29">
    <w:name w:val="页眉 字符"/>
    <w:basedOn w:val="18"/>
    <w:link w:val="9"/>
    <w:qFormat/>
    <w:uiPriority w:val="99"/>
    <w:rPr>
      <w:rFonts w:ascii="Times New Roman" w:hAnsi="Times New Roman" w:eastAsia="宋体" w:cs="Times New Roman"/>
      <w:sz w:val="18"/>
      <w:szCs w:val="18"/>
    </w:rPr>
  </w:style>
  <w:style w:type="character" w:customStyle="1" w:styleId="30">
    <w:name w:val="页脚 字符"/>
    <w:basedOn w:val="18"/>
    <w:link w:val="8"/>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5"/>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3"/>
    <w:qFormat/>
    <w:uiPriority w:val="0"/>
    <w:rPr>
      <w:rFonts w:ascii="仿宋_GB2312" w:hAnsi="宋体" w:eastAsia="仿宋_GB2312"/>
      <w:kern w:val="2"/>
      <w:sz w:val="21"/>
      <w:szCs w:val="24"/>
    </w:rPr>
  </w:style>
  <w:style w:type="character" w:customStyle="1" w:styleId="35">
    <w:name w:val="脚注文本 字符"/>
    <w:basedOn w:val="18"/>
    <w:link w:val="11"/>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33</Pages>
  <Words>15434</Words>
  <Characters>16461</Characters>
  <Lines>140</Lines>
  <Paragraphs>39</Paragraphs>
  <TotalTime>37</TotalTime>
  <ScaleCrop>false</ScaleCrop>
  <LinksUpToDate>false</LinksUpToDate>
  <CharactersWithSpaces>18829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admin</cp:lastModifiedBy>
  <cp:lastPrinted>2023-04-24T02:37:00Z</cp:lastPrinted>
  <dcterms:modified xsi:type="dcterms:W3CDTF">2023-05-31T07:07:35Z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650BC192F3094E2A84391FFA0C0E89F8_13</vt:lpwstr>
  </property>
</Properties>
</file>