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color w:val="auto"/>
          <w:sz w:val="32"/>
          <w:szCs w:val="32"/>
          <w:highlight w:val="none"/>
        </w:rPr>
      </w:pPr>
    </w:p>
    <w:p>
      <w:pPr>
        <w:spacing w:before="156" w:beforeLines="50" w:after="156" w:afterLines="5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深圳会展中心管理有限责任公司</w:t>
      </w:r>
    </w:p>
    <w:p>
      <w:pPr>
        <w:spacing w:before="156" w:beforeLines="50" w:after="156" w:afterLines="50"/>
        <w:jc w:val="center"/>
        <w:rPr>
          <w:rFonts w:hint="eastAsia" w:ascii="宋体" w:hAnsi="宋体" w:eastAsia="宋体" w:cs="宋体"/>
          <w:b/>
          <w:color w:val="auto"/>
          <w:sz w:val="72"/>
          <w:szCs w:val="72"/>
          <w:highlight w:val="none"/>
          <w:lang w:eastAsia="zh-CN"/>
        </w:rPr>
      </w:pPr>
      <w:r>
        <w:rPr>
          <w:rFonts w:hint="eastAsia" w:ascii="宋体" w:hAnsi="宋体" w:eastAsia="宋体" w:cs="宋体"/>
          <w:b/>
          <w:bCs/>
          <w:color w:val="auto"/>
          <w:sz w:val="72"/>
          <w:szCs w:val="72"/>
          <w:highlight w:val="none"/>
        </w:rPr>
        <w:t>招标文件</w:t>
      </w:r>
    </w:p>
    <w:p>
      <w:pPr>
        <w:spacing w:line="360" w:lineRule="auto"/>
        <w:jc w:val="center"/>
        <w:rPr>
          <w:rFonts w:hint="eastAsia" w:ascii="宋体" w:hAnsi="宋体" w:eastAsia="宋体" w:cs="宋体"/>
          <w:b/>
          <w:color w:val="auto"/>
          <w:sz w:val="32"/>
          <w:szCs w:val="32"/>
          <w:highlight w:val="none"/>
        </w:rPr>
      </w:pPr>
    </w:p>
    <w:p>
      <w:pPr>
        <w:spacing w:line="360" w:lineRule="auto"/>
        <w:ind w:left="1484" w:leftChars="0" w:hanging="1484" w:hangingChars="462"/>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bookmarkStart w:id="0" w:name="_Hlk116548958"/>
      <w:r>
        <w:rPr>
          <w:rFonts w:hint="eastAsia" w:ascii="宋体" w:hAnsi="宋体" w:eastAsia="宋体" w:cs="宋体"/>
          <w:b/>
          <w:color w:val="auto"/>
          <w:sz w:val="32"/>
          <w:szCs w:val="32"/>
          <w:highlight w:val="none"/>
        </w:rPr>
        <w:t>深圳会展中心第二十</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届高交会IT展</w:t>
      </w:r>
      <w:r>
        <w:rPr>
          <w:rFonts w:hint="eastAsia" w:ascii="宋体" w:hAnsi="宋体" w:eastAsia="宋体" w:cs="宋体"/>
          <w:b/>
          <w:color w:val="auto"/>
          <w:sz w:val="32"/>
          <w:szCs w:val="32"/>
          <w:highlight w:val="none"/>
          <w:lang w:val="en-US" w:eastAsia="zh-CN"/>
        </w:rPr>
        <w:t>数字经济和智能终端领域</w:t>
      </w:r>
      <w:r>
        <w:rPr>
          <w:rFonts w:hint="eastAsia" w:ascii="宋体" w:hAnsi="宋体" w:eastAsia="宋体" w:cs="宋体"/>
          <w:b/>
          <w:color w:val="auto"/>
          <w:sz w:val="32"/>
          <w:szCs w:val="32"/>
          <w:highlight w:val="none"/>
        </w:rPr>
        <w:t>行业垂直媒体宣传采购项目</w:t>
      </w:r>
      <w:bookmarkEnd w:id="0"/>
    </w:p>
    <w:p>
      <w:pPr>
        <w:spacing w:line="360" w:lineRule="auto"/>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pStyle w:val="13"/>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深圳会展中心管理有限责任公司</w:t>
      </w:r>
    </w:p>
    <w:p>
      <w:pPr>
        <w:widowControl/>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07</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rPr>
        <w:br w:type="page"/>
      </w:r>
    </w:p>
    <w:p>
      <w:pPr>
        <w:pStyle w:val="10"/>
        <w:tabs>
          <w:tab w:val="right" w:leader="dot" w:pos="8306"/>
        </w:tabs>
        <w:spacing w:after="156"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pStyle w:val="10"/>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"1-3" \h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_Toc32012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第一部分 项目要求</w:t>
      </w:r>
      <w:r>
        <w:tab/>
      </w:r>
      <w:r>
        <w:fldChar w:fldCharType="begin"/>
      </w:r>
      <w:r>
        <w:instrText xml:space="preserve"> PAGEREF _Toc32012 \h </w:instrText>
      </w:r>
      <w:r>
        <w:fldChar w:fldCharType="separate"/>
      </w:r>
      <w:r>
        <w:t>1</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_Toc2786 </w:instrText>
      </w:r>
      <w:r>
        <w:rPr>
          <w:rFonts w:hint="eastAsia" w:ascii="宋体" w:hAnsi="宋体" w:eastAsia="宋体" w:cs="宋体"/>
          <w:szCs w:val="21"/>
          <w:highlight w:val="none"/>
        </w:rPr>
        <w:fldChar w:fldCharType="separate"/>
      </w:r>
      <w:r>
        <w:rPr>
          <w:rFonts w:hint="eastAsia" w:ascii="宋体" w:hAnsi="宋体" w:eastAsia="宋体" w:cs="仿宋"/>
          <w:bCs/>
          <w:szCs w:val="21"/>
        </w:rPr>
        <w:t xml:space="preserve">一、 </w:t>
      </w:r>
      <w:r>
        <w:rPr>
          <w:rFonts w:hint="eastAsia" w:ascii="宋体" w:hAnsi="宋体" w:eastAsia="宋体" w:cs="宋体"/>
          <w:szCs w:val="21"/>
          <w:highlight w:val="none"/>
        </w:rPr>
        <w:t>投标人须知</w:t>
      </w:r>
      <w:r>
        <w:tab/>
      </w:r>
      <w:r>
        <w:fldChar w:fldCharType="begin"/>
      </w:r>
      <w:r>
        <w:instrText xml:space="preserve"> PAGEREF _Toc2786 \h </w:instrText>
      </w:r>
      <w:r>
        <w:fldChar w:fldCharType="separate"/>
      </w:r>
      <w:r>
        <w:t>1</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_Toc28171 </w:instrText>
      </w:r>
      <w:r>
        <w:rPr>
          <w:rFonts w:hint="eastAsia" w:ascii="宋体" w:hAnsi="宋体" w:eastAsia="宋体" w:cs="宋体"/>
          <w:szCs w:val="21"/>
          <w:highlight w:val="none"/>
        </w:rPr>
        <w:fldChar w:fldCharType="separate"/>
      </w:r>
      <w:r>
        <w:rPr>
          <w:rFonts w:hint="eastAsia" w:ascii="宋体" w:hAnsi="宋体" w:eastAsia="宋体" w:cs="仿宋"/>
          <w:bCs/>
          <w:szCs w:val="21"/>
        </w:rPr>
        <w:t xml:space="preserve">二、 </w:t>
      </w:r>
      <w:r>
        <w:rPr>
          <w:rFonts w:hint="eastAsia" w:ascii="宋体" w:hAnsi="宋体" w:eastAsia="宋体" w:cs="宋体"/>
          <w:szCs w:val="21"/>
          <w:highlight w:val="none"/>
        </w:rPr>
        <w:t>特别说明</w:t>
      </w:r>
      <w:r>
        <w:tab/>
      </w:r>
      <w:r>
        <w:fldChar w:fldCharType="begin"/>
      </w:r>
      <w:r>
        <w:instrText xml:space="preserve"> PAGEREF _Toc28171 \h </w:instrText>
      </w:r>
      <w:r>
        <w:fldChar w:fldCharType="separate"/>
      </w:r>
      <w:r>
        <w:t>3</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_Toc12736 </w:instrText>
      </w:r>
      <w:r>
        <w:rPr>
          <w:rFonts w:hint="eastAsia" w:ascii="宋体" w:hAnsi="宋体" w:eastAsia="宋体" w:cs="宋体"/>
          <w:szCs w:val="21"/>
          <w:highlight w:val="none"/>
        </w:rPr>
        <w:fldChar w:fldCharType="separate"/>
      </w:r>
      <w:r>
        <w:rPr>
          <w:rFonts w:hint="eastAsia" w:ascii="宋体" w:hAnsi="宋体" w:eastAsia="宋体" w:cs="仿宋"/>
          <w:bCs/>
          <w:szCs w:val="21"/>
        </w:rPr>
        <w:t xml:space="preserve">三、 </w:t>
      </w:r>
      <w:r>
        <w:rPr>
          <w:rFonts w:hint="eastAsia" w:ascii="宋体" w:hAnsi="宋体" w:eastAsia="宋体" w:cs="宋体"/>
          <w:szCs w:val="21"/>
          <w:highlight w:val="none"/>
        </w:rPr>
        <w:t>投标文件编制</w:t>
      </w:r>
      <w:r>
        <w:tab/>
      </w:r>
      <w:r>
        <w:fldChar w:fldCharType="begin"/>
      </w:r>
      <w:r>
        <w:instrText xml:space="preserve"> PAGEREF _Toc12736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_Toc9603 </w:instrText>
      </w:r>
      <w:r>
        <w:rPr>
          <w:rFonts w:hint="eastAsia" w:ascii="宋体" w:hAnsi="宋体" w:eastAsia="宋体" w:cs="宋体"/>
          <w:szCs w:val="21"/>
          <w:highlight w:val="none"/>
        </w:rPr>
        <w:fldChar w:fldCharType="separate"/>
      </w:r>
      <w:r>
        <w:rPr>
          <w:rFonts w:hint="eastAsia" w:ascii="宋体" w:hAnsi="宋体" w:eastAsia="宋体" w:cs="仿宋"/>
          <w:bCs/>
          <w:szCs w:val="21"/>
        </w:rPr>
        <w:t xml:space="preserve">四、 </w:t>
      </w:r>
      <w:r>
        <w:rPr>
          <w:rFonts w:hint="eastAsia" w:ascii="宋体" w:hAnsi="宋体" w:eastAsia="宋体" w:cs="宋体"/>
          <w:szCs w:val="21"/>
          <w:highlight w:val="none"/>
        </w:rPr>
        <w:t>项目要求</w:t>
      </w:r>
      <w:r>
        <w:tab/>
      </w:r>
      <w:r>
        <w:fldChar w:fldCharType="begin"/>
      </w:r>
      <w:r>
        <w:instrText xml:space="preserve"> PAGEREF _Toc9603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_Toc14913 </w:instrText>
      </w:r>
      <w:r>
        <w:rPr>
          <w:rFonts w:hint="eastAsia" w:ascii="宋体" w:hAnsi="宋体" w:eastAsia="宋体" w:cs="宋体"/>
          <w:szCs w:val="21"/>
          <w:highlight w:val="none"/>
        </w:rPr>
        <w:fldChar w:fldCharType="separate"/>
      </w:r>
      <w:r>
        <w:rPr>
          <w:rFonts w:hint="eastAsia" w:ascii="宋体" w:hAnsi="宋体" w:eastAsia="宋体" w:cs="仿宋"/>
          <w:bCs/>
        </w:rPr>
        <w:t xml:space="preserve">五、 </w:t>
      </w:r>
      <w:r>
        <w:rPr>
          <w:rFonts w:hint="eastAsia" w:ascii="宋体" w:hAnsi="宋体" w:eastAsia="宋体" w:cs="宋体"/>
          <w:szCs w:val="21"/>
          <w:highlight w:val="none"/>
        </w:rPr>
        <w:t>其他项目说明资料</w:t>
      </w:r>
      <w:r>
        <w:rPr>
          <w:rFonts w:hint="eastAsia" w:ascii="宋体" w:hAnsi="宋体" w:cs="宋体"/>
          <w:szCs w:val="21"/>
          <w:highlight w:val="none"/>
          <w:lang w:eastAsia="zh-CN"/>
        </w:rPr>
        <w:t>：</w:t>
      </w:r>
      <w:r>
        <w:tab/>
      </w:r>
      <w:r>
        <w:fldChar w:fldCharType="begin"/>
      </w:r>
      <w:r>
        <w:instrText xml:space="preserve"> PAGEREF _Toc14913 \h </w:instrText>
      </w:r>
      <w:r>
        <w:fldChar w:fldCharType="separate"/>
      </w:r>
      <w:r>
        <w:t>7</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_Toc26085 </w:instrText>
      </w:r>
      <w:r>
        <w:rPr>
          <w:rFonts w:hint="eastAsia" w:ascii="宋体" w:hAnsi="宋体" w:eastAsia="宋体" w:cs="宋体"/>
          <w:szCs w:val="21"/>
          <w:highlight w:val="none"/>
        </w:rPr>
        <w:fldChar w:fldCharType="separate"/>
      </w:r>
      <w:r>
        <w:rPr>
          <w:rFonts w:hint="eastAsia" w:ascii="宋体" w:eastAsia="宋体"/>
          <w:highlight w:val="none"/>
        </w:rPr>
        <w:t>（</w:t>
      </w:r>
      <w:r>
        <w:rPr>
          <w:rFonts w:hint="eastAsia" w:ascii="宋体" w:eastAsia="宋体"/>
          <w:highlight w:val="none"/>
          <w:lang w:val="en-US" w:eastAsia="zh-CN"/>
        </w:rPr>
        <w:t>4</w:t>
      </w:r>
      <w:r>
        <w:rPr>
          <w:rFonts w:hint="eastAsia" w:ascii="宋体" w:eastAsia="宋体"/>
          <w:highlight w:val="none"/>
        </w:rPr>
        <w:t>）投标人需提供本项目宣传方案及详细的媒体投放计划安排表。</w:t>
      </w:r>
      <w:r>
        <w:tab/>
      </w:r>
      <w:r>
        <w:fldChar w:fldCharType="begin"/>
      </w:r>
      <w:r>
        <w:instrText xml:space="preserve"> PAGEREF _Toc26085 \h </w:instrText>
      </w:r>
      <w:r>
        <w:fldChar w:fldCharType="separate"/>
      </w:r>
      <w:r>
        <w:t>8</w:t>
      </w:r>
      <w:r>
        <w:fldChar w:fldCharType="end"/>
      </w:r>
      <w:r>
        <w:rPr>
          <w:rFonts w:hint="eastAsia" w:ascii="宋体" w:hAnsi="宋体" w:eastAsia="宋体" w:cs="宋体"/>
          <w:color w:val="auto"/>
          <w:szCs w:val="21"/>
          <w:highlight w:val="none"/>
        </w:rPr>
        <w:fldChar w:fldCharType="end"/>
      </w:r>
    </w:p>
    <w:p>
      <w:pPr>
        <w:pStyle w:val="10"/>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_Toc14222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第二部分：开标评标流程</w:t>
      </w:r>
      <w:r>
        <w:tab/>
      </w:r>
      <w:r>
        <w:fldChar w:fldCharType="begin"/>
      </w:r>
      <w:r>
        <w:instrText xml:space="preserve"> PAGEREF _Toc14222 \h </w:instrText>
      </w:r>
      <w:r>
        <w:fldChar w:fldCharType="separate"/>
      </w:r>
      <w:r>
        <w:t>9</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_Toc20040 </w:instrText>
      </w:r>
      <w:r>
        <w:rPr>
          <w:rFonts w:hint="eastAsia" w:ascii="宋体" w:hAnsi="宋体" w:eastAsia="宋体" w:cs="宋体"/>
          <w:szCs w:val="21"/>
          <w:highlight w:val="none"/>
        </w:rPr>
        <w:fldChar w:fldCharType="separate"/>
      </w:r>
      <w:r>
        <w:rPr>
          <w:rFonts w:hint="eastAsia" w:ascii="宋体" w:hAnsi="宋体" w:eastAsia="宋体" w:cs="仿宋"/>
          <w:bCs/>
        </w:rPr>
        <w:t xml:space="preserve">六、 </w:t>
      </w:r>
      <w:r>
        <w:rPr>
          <w:rFonts w:hint="eastAsia" w:ascii="宋体" w:hAnsi="宋体" w:eastAsia="宋体" w:cs="宋体"/>
          <w:highlight w:val="none"/>
        </w:rPr>
        <w:t>开标阶段</w:t>
      </w:r>
      <w:r>
        <w:tab/>
      </w:r>
      <w:r>
        <w:fldChar w:fldCharType="begin"/>
      </w:r>
      <w:r>
        <w:instrText xml:space="preserve"> PAGEREF _Toc20040 \h </w:instrText>
      </w:r>
      <w:r>
        <w:fldChar w:fldCharType="separate"/>
      </w:r>
      <w:r>
        <w:t>9</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_Toc2731 </w:instrText>
      </w:r>
      <w:r>
        <w:rPr>
          <w:rFonts w:hint="eastAsia" w:ascii="宋体" w:hAnsi="宋体" w:eastAsia="宋体" w:cs="宋体"/>
          <w:szCs w:val="21"/>
          <w:highlight w:val="none"/>
        </w:rPr>
        <w:fldChar w:fldCharType="separate"/>
      </w:r>
      <w:r>
        <w:rPr>
          <w:rFonts w:hint="eastAsia" w:ascii="宋体" w:hAnsi="宋体" w:eastAsia="宋体" w:cs="仿宋"/>
          <w:bCs/>
        </w:rPr>
        <w:t xml:space="preserve">七、 </w:t>
      </w:r>
      <w:r>
        <w:rPr>
          <w:rFonts w:hint="eastAsia" w:ascii="宋体" w:hAnsi="宋体" w:eastAsia="宋体" w:cs="宋体"/>
          <w:highlight w:val="none"/>
        </w:rPr>
        <w:t>评标阶段</w:t>
      </w:r>
      <w:r>
        <w:tab/>
      </w:r>
      <w:r>
        <w:fldChar w:fldCharType="begin"/>
      </w:r>
      <w:r>
        <w:instrText xml:space="preserve"> PAGEREF _Toc2731 \h </w:instrText>
      </w:r>
      <w:r>
        <w:fldChar w:fldCharType="separate"/>
      </w:r>
      <w:r>
        <w:t>9</w:t>
      </w:r>
      <w:r>
        <w:fldChar w:fldCharType="end"/>
      </w:r>
      <w:r>
        <w:rPr>
          <w:rFonts w:hint="eastAsia" w:ascii="宋体" w:hAnsi="宋体" w:eastAsia="宋体" w:cs="宋体"/>
          <w:color w:val="auto"/>
          <w:szCs w:val="21"/>
          <w:highlight w:val="none"/>
        </w:rPr>
        <w:fldChar w:fldCharType="end"/>
      </w:r>
    </w:p>
    <w:p>
      <w:pPr>
        <w:pStyle w:val="10"/>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_Toc10431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第三部分：评审办法</w:t>
      </w:r>
      <w:r>
        <w:tab/>
      </w:r>
      <w:r>
        <w:fldChar w:fldCharType="begin"/>
      </w:r>
      <w:r>
        <w:instrText xml:space="preserve"> PAGEREF _Toc10431 \h </w:instrText>
      </w:r>
      <w:r>
        <w:fldChar w:fldCharType="separate"/>
      </w:r>
      <w:r>
        <w:t>10</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_Toc5625 </w:instrText>
      </w:r>
      <w:r>
        <w:rPr>
          <w:rFonts w:hint="eastAsia" w:ascii="宋体" w:hAnsi="宋体" w:eastAsia="宋体" w:cs="宋体"/>
          <w:szCs w:val="21"/>
          <w:highlight w:val="none"/>
        </w:rPr>
        <w:fldChar w:fldCharType="separate"/>
      </w:r>
      <w:r>
        <w:rPr>
          <w:rFonts w:hint="eastAsia" w:ascii="宋体" w:hAnsi="宋体" w:eastAsia="宋体" w:cs="仿宋"/>
          <w:bCs/>
          <w:szCs w:val="21"/>
        </w:rPr>
        <w:t xml:space="preserve">八、 </w:t>
      </w:r>
      <w:r>
        <w:rPr>
          <w:rFonts w:hint="eastAsia" w:ascii="宋体" w:hAnsi="宋体" w:eastAsia="宋体" w:cs="宋体"/>
          <w:bCs/>
          <w:szCs w:val="21"/>
          <w:highlight w:val="none"/>
        </w:rPr>
        <w:t>评审办法</w:t>
      </w:r>
      <w:r>
        <w:tab/>
      </w:r>
      <w:r>
        <w:fldChar w:fldCharType="begin"/>
      </w:r>
      <w:r>
        <w:instrText xml:space="preserve"> PAGEREF _Toc5625 \h </w:instrText>
      </w:r>
      <w:r>
        <w:fldChar w:fldCharType="separate"/>
      </w:r>
      <w:r>
        <w:t>10</w:t>
      </w:r>
      <w:r>
        <w:fldChar w:fldCharType="end"/>
      </w:r>
      <w:r>
        <w:rPr>
          <w:rFonts w:hint="eastAsia" w:ascii="宋体" w:hAnsi="宋体" w:eastAsia="宋体" w:cs="宋体"/>
          <w:color w:val="auto"/>
          <w:szCs w:val="21"/>
          <w:highlight w:val="none"/>
        </w:rPr>
        <w:fldChar w:fldCharType="end"/>
      </w:r>
    </w:p>
    <w:p>
      <w:pPr>
        <w:pStyle w:val="5"/>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_Toc29788 </w:instrText>
      </w:r>
      <w:r>
        <w:rPr>
          <w:rFonts w:hint="eastAsia" w:ascii="宋体" w:hAnsi="宋体" w:eastAsia="宋体" w:cs="宋体"/>
          <w:szCs w:val="21"/>
          <w:highlight w:val="none"/>
        </w:rPr>
        <w:fldChar w:fldCharType="separate"/>
      </w:r>
      <w:r>
        <w:rPr>
          <w:rFonts w:hint="default" w:ascii="宋体" w:hAnsi="宋体" w:eastAsia="宋体" w:cs="宋体"/>
          <w:szCs w:val="21"/>
        </w:rPr>
        <w:t xml:space="preserve">（一） </w:t>
      </w:r>
      <w:r>
        <w:rPr>
          <w:rFonts w:hint="eastAsia" w:ascii="宋体" w:hAnsi="宋体" w:eastAsia="宋体" w:cs="宋体"/>
          <w:bCs/>
          <w:szCs w:val="21"/>
          <w:highlight w:val="none"/>
        </w:rPr>
        <w:t>符合性检查</w:t>
      </w:r>
      <w:r>
        <w:tab/>
      </w:r>
      <w:r>
        <w:fldChar w:fldCharType="begin"/>
      </w:r>
      <w:r>
        <w:instrText xml:space="preserve"> PAGEREF _Toc29788 \h </w:instrText>
      </w:r>
      <w:r>
        <w:fldChar w:fldCharType="separate"/>
      </w:r>
      <w:r>
        <w:t>10</w:t>
      </w:r>
      <w:r>
        <w:fldChar w:fldCharType="end"/>
      </w:r>
      <w:r>
        <w:rPr>
          <w:rFonts w:hint="eastAsia" w:ascii="宋体" w:hAnsi="宋体" w:eastAsia="宋体" w:cs="宋体"/>
          <w:color w:val="auto"/>
          <w:szCs w:val="21"/>
          <w:highlight w:val="none"/>
        </w:rPr>
        <w:fldChar w:fldCharType="end"/>
      </w:r>
    </w:p>
    <w:p>
      <w:pPr>
        <w:pStyle w:val="5"/>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_Toc12715 </w:instrText>
      </w:r>
      <w:r>
        <w:rPr>
          <w:rFonts w:hint="eastAsia" w:ascii="宋体" w:hAnsi="宋体" w:eastAsia="宋体" w:cs="宋体"/>
          <w:szCs w:val="21"/>
          <w:highlight w:val="none"/>
        </w:rPr>
        <w:fldChar w:fldCharType="separate"/>
      </w:r>
      <w:r>
        <w:rPr>
          <w:rFonts w:hint="default" w:ascii="宋体" w:hAnsi="宋体" w:eastAsia="宋体" w:cs="宋体"/>
          <w:bCs/>
          <w:szCs w:val="21"/>
        </w:rPr>
        <w:t xml:space="preserve">（二） </w:t>
      </w:r>
      <w:r>
        <w:rPr>
          <w:rFonts w:hint="eastAsia" w:ascii="宋体" w:hAnsi="宋体" w:eastAsia="宋体" w:cs="宋体"/>
          <w:bCs/>
          <w:szCs w:val="21"/>
          <w:highlight w:val="none"/>
        </w:rPr>
        <w:t>不可偏离项检查</w:t>
      </w:r>
      <w:r>
        <w:tab/>
      </w:r>
      <w:r>
        <w:fldChar w:fldCharType="begin"/>
      </w:r>
      <w:r>
        <w:instrText xml:space="preserve"> PAGEREF _Toc12715 \h </w:instrText>
      </w:r>
      <w:r>
        <w:fldChar w:fldCharType="separate"/>
      </w:r>
      <w:r>
        <w:t>10</w:t>
      </w:r>
      <w:r>
        <w:fldChar w:fldCharType="end"/>
      </w:r>
      <w:r>
        <w:rPr>
          <w:rFonts w:hint="eastAsia" w:ascii="宋体" w:hAnsi="宋体" w:eastAsia="宋体" w:cs="宋体"/>
          <w:color w:val="auto"/>
          <w:szCs w:val="21"/>
          <w:highlight w:val="none"/>
        </w:rPr>
        <w:fldChar w:fldCharType="end"/>
      </w:r>
    </w:p>
    <w:p>
      <w:pPr>
        <w:pStyle w:val="5"/>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_Toc20553 </w:instrText>
      </w:r>
      <w:r>
        <w:rPr>
          <w:rFonts w:hint="eastAsia" w:ascii="宋体" w:hAnsi="宋体" w:eastAsia="宋体" w:cs="宋体"/>
          <w:szCs w:val="21"/>
          <w:highlight w:val="none"/>
        </w:rPr>
        <w:fldChar w:fldCharType="separate"/>
      </w:r>
      <w:r>
        <w:rPr>
          <w:rFonts w:hint="default" w:ascii="宋体" w:hAnsi="宋体" w:eastAsia="宋体" w:cs="宋体"/>
        </w:rPr>
        <w:t xml:space="preserve">（三） </w:t>
      </w:r>
      <w:r>
        <w:rPr>
          <w:rFonts w:hint="eastAsia" w:ascii="宋体" w:hAnsi="宋体" w:eastAsia="宋体" w:cs="宋体"/>
          <w:bCs/>
          <w:szCs w:val="21"/>
          <w:highlight w:val="none"/>
        </w:rPr>
        <w:t>综合评议指标表</w:t>
      </w:r>
      <w:r>
        <w:tab/>
      </w:r>
      <w:r>
        <w:fldChar w:fldCharType="begin"/>
      </w:r>
      <w:r>
        <w:instrText xml:space="preserve"> PAGEREF _Toc20553 \h </w:instrText>
      </w:r>
      <w:r>
        <w:fldChar w:fldCharType="separate"/>
      </w:r>
      <w:r>
        <w:t>10</w:t>
      </w:r>
      <w:r>
        <w:fldChar w:fldCharType="end"/>
      </w:r>
      <w:r>
        <w:rPr>
          <w:rFonts w:hint="eastAsia" w:ascii="宋体" w:hAnsi="宋体" w:eastAsia="宋体" w:cs="宋体"/>
          <w:color w:val="auto"/>
          <w:szCs w:val="21"/>
          <w:highlight w:val="none"/>
        </w:rPr>
        <w:fldChar w:fldCharType="end"/>
      </w:r>
    </w:p>
    <w:p>
      <w:pPr>
        <w:pStyle w:val="10"/>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_Toc4351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第四部分：合同条款及格式</w:t>
      </w:r>
      <w:r>
        <w:tab/>
      </w:r>
      <w:r>
        <w:fldChar w:fldCharType="begin"/>
      </w:r>
      <w:r>
        <w:instrText xml:space="preserve"> PAGEREF _Toc4351 \h </w:instrText>
      </w:r>
      <w:r>
        <w:fldChar w:fldCharType="separate"/>
      </w:r>
      <w:r>
        <w:t>13</w:t>
      </w:r>
      <w:r>
        <w:fldChar w:fldCharType="end"/>
      </w:r>
      <w:r>
        <w:rPr>
          <w:rFonts w:hint="eastAsia" w:ascii="宋体" w:hAnsi="宋体" w:eastAsia="宋体" w:cs="宋体"/>
          <w:color w:val="auto"/>
          <w:szCs w:val="21"/>
          <w:highlight w:val="none"/>
        </w:rPr>
        <w:fldChar w:fldCharType="end"/>
      </w:r>
    </w:p>
    <w:p>
      <w:pPr>
        <w:pStyle w:val="10"/>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_Toc22682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第五部分：参考附件</w:t>
      </w:r>
      <w:r>
        <w:tab/>
      </w:r>
      <w:r>
        <w:fldChar w:fldCharType="begin"/>
      </w:r>
      <w:r>
        <w:instrText xml:space="preserve"> PAGEREF _Toc22682 \h </w:instrText>
      </w:r>
      <w:r>
        <w:fldChar w:fldCharType="separate"/>
      </w:r>
      <w:r>
        <w:t>21</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_Toc1604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附件1：</w:t>
      </w:r>
      <w:r>
        <w:rPr>
          <w:rFonts w:hint="eastAsia" w:ascii="宋体" w:hAnsi="宋体" w:eastAsia="宋体" w:cs="宋体"/>
          <w:highlight w:val="none"/>
        </w:rPr>
        <w:t>报名回函</w:t>
      </w:r>
      <w:r>
        <w:tab/>
      </w:r>
      <w:r>
        <w:fldChar w:fldCharType="begin"/>
      </w:r>
      <w:r>
        <w:instrText xml:space="preserve"> PAGEREF _Toc1604 \h </w:instrText>
      </w:r>
      <w:r>
        <w:fldChar w:fldCharType="separate"/>
      </w:r>
      <w:r>
        <w:t>21</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_Toc19143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附件2：投标函</w:t>
      </w:r>
      <w:r>
        <w:tab/>
      </w:r>
      <w:r>
        <w:fldChar w:fldCharType="begin"/>
      </w:r>
      <w:r>
        <w:instrText xml:space="preserve"> PAGEREF _Toc19143 \h </w:instrText>
      </w:r>
      <w:r>
        <w:fldChar w:fldCharType="separate"/>
      </w:r>
      <w:r>
        <w:t>22</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_Toc17385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附件3：投标一览表</w:t>
      </w:r>
      <w:r>
        <w:tab/>
      </w:r>
      <w:r>
        <w:fldChar w:fldCharType="begin"/>
      </w:r>
      <w:r>
        <w:instrText xml:space="preserve"> PAGEREF _Toc17385 \h </w:instrText>
      </w:r>
      <w:r>
        <w:fldChar w:fldCharType="separate"/>
      </w:r>
      <w:r>
        <w:t>23</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_Toc14069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附件4：考察证明</w:t>
      </w:r>
      <w:r>
        <w:rPr>
          <w:rFonts w:hint="eastAsia" w:ascii="宋体" w:hAnsi="宋体" w:cs="宋体"/>
          <w:szCs w:val="21"/>
          <w:highlight w:val="none"/>
          <w:lang w:eastAsia="zh-CN"/>
        </w:rPr>
        <w:t>（</w:t>
      </w:r>
      <w:r>
        <w:rPr>
          <w:rFonts w:hint="eastAsia" w:ascii="宋体" w:hAnsi="宋体" w:cs="宋体"/>
          <w:szCs w:val="21"/>
          <w:highlight w:val="none"/>
          <w:lang w:val="en-US" w:eastAsia="zh-CN"/>
        </w:rPr>
        <w:t>本项目不适用</w:t>
      </w:r>
      <w:r>
        <w:rPr>
          <w:rFonts w:hint="eastAsia" w:ascii="宋体" w:hAnsi="宋体" w:cs="宋体"/>
          <w:szCs w:val="21"/>
          <w:highlight w:val="none"/>
          <w:lang w:eastAsia="zh-CN"/>
        </w:rPr>
        <w:t>）</w:t>
      </w:r>
      <w:r>
        <w:tab/>
      </w:r>
      <w:r>
        <w:fldChar w:fldCharType="begin"/>
      </w:r>
      <w:r>
        <w:instrText xml:space="preserve"> PAGEREF _Toc14069 \h </w:instrText>
      </w:r>
      <w:r>
        <w:fldChar w:fldCharType="separate"/>
      </w:r>
      <w:r>
        <w:t>24</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_Toc27434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附件5：技术服务响应/偏离表</w:t>
      </w:r>
      <w:r>
        <w:tab/>
      </w:r>
      <w:r>
        <w:fldChar w:fldCharType="begin"/>
      </w:r>
      <w:r>
        <w:instrText xml:space="preserve"> PAGEREF _Toc27434 \h </w:instrText>
      </w:r>
      <w:r>
        <w:fldChar w:fldCharType="separate"/>
      </w:r>
      <w:r>
        <w:t>25</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_Toc27759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附件6：商务条款响应/偏离表</w:t>
      </w:r>
      <w:r>
        <w:tab/>
      </w:r>
      <w:r>
        <w:fldChar w:fldCharType="begin"/>
      </w:r>
      <w:r>
        <w:instrText xml:space="preserve"> PAGEREF _Toc27759 \h </w:instrText>
      </w:r>
      <w:r>
        <w:fldChar w:fldCharType="separate"/>
      </w:r>
      <w:r>
        <w:t>26</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_Toc32032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附件7：报价一览表（货物）（本项目不适用）</w:t>
      </w:r>
      <w:r>
        <w:tab/>
      </w:r>
      <w:r>
        <w:fldChar w:fldCharType="begin"/>
      </w:r>
      <w:r>
        <w:instrText xml:space="preserve"> PAGEREF _Toc32032 \h </w:instrText>
      </w:r>
      <w:r>
        <w:fldChar w:fldCharType="separate"/>
      </w:r>
      <w:r>
        <w:t>27</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_Toc769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附件8：报价一览表（服务）</w:t>
      </w:r>
      <w:r>
        <w:tab/>
      </w:r>
      <w:r>
        <w:fldChar w:fldCharType="begin"/>
      </w:r>
      <w:r>
        <w:instrText xml:space="preserve"> PAGEREF _Toc769 \h </w:instrText>
      </w:r>
      <w:r>
        <w:fldChar w:fldCharType="separate"/>
      </w:r>
      <w:r>
        <w:t>28</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_Toc10547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附件9：报价一览表（工程）（本项目不适用）</w:t>
      </w:r>
      <w:r>
        <w:tab/>
      </w:r>
      <w:r>
        <w:fldChar w:fldCharType="begin"/>
      </w:r>
      <w:r>
        <w:instrText xml:space="preserve"> PAGEREF _Toc10547 \h </w:instrText>
      </w:r>
      <w:r>
        <w:fldChar w:fldCharType="separate"/>
      </w:r>
      <w:r>
        <w:t>30</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_Toc12306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附件10：法定代表人证明书</w:t>
      </w:r>
      <w:r>
        <w:tab/>
      </w:r>
      <w:r>
        <w:fldChar w:fldCharType="begin"/>
      </w:r>
      <w:r>
        <w:instrText xml:space="preserve"> PAGEREF _Toc12306 \h </w:instrText>
      </w:r>
      <w:r>
        <w:fldChar w:fldCharType="separate"/>
      </w:r>
      <w:r>
        <w:t>31</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_Toc3138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附件11：法人授权委托证明书</w:t>
      </w:r>
      <w:r>
        <w:tab/>
      </w:r>
      <w:r>
        <w:fldChar w:fldCharType="begin"/>
      </w:r>
      <w:r>
        <w:instrText xml:space="preserve"> PAGEREF _Toc3138 \h </w:instrText>
      </w:r>
      <w:r>
        <w:fldChar w:fldCharType="separate"/>
      </w:r>
      <w:r>
        <w:t>32</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_Toc19893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附件12：经营业绩一览表</w:t>
      </w:r>
      <w:r>
        <w:tab/>
      </w:r>
      <w:r>
        <w:fldChar w:fldCharType="begin"/>
      </w:r>
      <w:r>
        <w:instrText xml:space="preserve"> PAGEREF _Toc19893 \h </w:instrText>
      </w:r>
      <w:r>
        <w:fldChar w:fldCharType="separate"/>
      </w:r>
      <w:r>
        <w:t>33</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_Toc19976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附件13：售后服务承诺书（</w:t>
      </w:r>
      <w:r>
        <w:rPr>
          <w:rFonts w:hint="eastAsia" w:ascii="宋体" w:hAnsi="宋体" w:eastAsia="宋体" w:cs="宋体"/>
          <w:highlight w:val="none"/>
        </w:rPr>
        <w:t>质量保证服务承诺书</w:t>
      </w:r>
      <w:r>
        <w:rPr>
          <w:rFonts w:hint="eastAsia" w:ascii="宋体" w:hAnsi="宋体" w:eastAsia="宋体" w:cs="宋体"/>
          <w:szCs w:val="21"/>
          <w:highlight w:val="none"/>
        </w:rPr>
        <w:t>）</w:t>
      </w:r>
      <w:r>
        <w:tab/>
      </w:r>
      <w:r>
        <w:fldChar w:fldCharType="begin"/>
      </w:r>
      <w:r>
        <w:instrText xml:space="preserve"> PAGEREF _Toc19976 \h </w:instrText>
      </w:r>
      <w:r>
        <w:fldChar w:fldCharType="separate"/>
      </w:r>
      <w:r>
        <w:t>34</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_Toc27391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附件14：履约情况及社会信誉承诺书</w:t>
      </w:r>
      <w:r>
        <w:tab/>
      </w:r>
      <w:r>
        <w:fldChar w:fldCharType="begin"/>
      </w:r>
      <w:r>
        <w:instrText xml:space="preserve"> PAGEREF _Toc27391 \h </w:instrText>
      </w:r>
      <w:r>
        <w:fldChar w:fldCharType="separate"/>
      </w:r>
      <w:r>
        <w:t>35</w:t>
      </w:r>
      <w:r>
        <w:fldChar w:fldCharType="end"/>
      </w:r>
      <w:r>
        <w:rPr>
          <w:rFonts w:hint="eastAsia" w:ascii="宋体" w:hAnsi="宋体" w:eastAsia="宋体" w:cs="宋体"/>
          <w:color w:val="auto"/>
          <w:szCs w:val="21"/>
          <w:highlight w:val="none"/>
        </w:rPr>
        <w:fldChar w:fldCharType="end"/>
      </w:r>
    </w:p>
    <w:p>
      <w:pPr>
        <w:pStyle w:val="12"/>
        <w:tabs>
          <w:tab w:val="right" w:leader="dot" w:pos="8306"/>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_Toc13941 </w:instrText>
      </w:r>
      <w:r>
        <w:rPr>
          <w:rFonts w:hint="eastAsia" w:ascii="宋体" w:hAnsi="宋体" w:eastAsia="宋体" w:cs="宋体"/>
          <w:szCs w:val="21"/>
          <w:highlight w:val="none"/>
        </w:rPr>
        <w:fldChar w:fldCharType="separate"/>
      </w:r>
      <w:r>
        <w:rPr>
          <w:rFonts w:hint="eastAsia" w:ascii="宋体" w:hAnsi="宋体" w:eastAsia="宋体" w:cs="宋体"/>
          <w:highlight w:val="none"/>
        </w:rPr>
        <w:t>附件15：投标文件密码单</w:t>
      </w:r>
      <w:r>
        <w:tab/>
      </w:r>
      <w:r>
        <w:fldChar w:fldCharType="begin"/>
      </w:r>
      <w:r>
        <w:instrText xml:space="preserve"> PAGEREF _Toc13941 \h </w:instrText>
      </w:r>
      <w:r>
        <w:fldChar w:fldCharType="separate"/>
      </w:r>
      <w:r>
        <w:t>36</w:t>
      </w:r>
      <w:r>
        <w:fldChar w:fldCharType="end"/>
      </w:r>
      <w:r>
        <w:rPr>
          <w:rFonts w:hint="eastAsia" w:ascii="宋体" w:hAnsi="宋体" w:eastAsia="宋体" w:cs="宋体"/>
          <w:color w:val="auto"/>
          <w:szCs w:val="21"/>
          <w:highlight w:val="none"/>
        </w:rPr>
        <w:fldChar w:fldCharType="end"/>
      </w:r>
    </w:p>
    <w:p>
      <w:pPr>
        <w:spacing w:line="400" w:lineRule="exact"/>
        <w:rPr>
          <w:rFonts w:hint="eastAsia" w:ascii="宋体" w:hAnsi="宋体" w:eastAsia="宋体" w:cs="宋体"/>
          <w:color w:val="auto"/>
          <w:szCs w:val="21"/>
          <w:highlight w:val="none"/>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eastAsia="宋体" w:cs="宋体"/>
          <w:color w:val="auto"/>
          <w:szCs w:val="21"/>
          <w:highlight w:val="none"/>
        </w:rPr>
        <w:fldChar w:fldCharType="end"/>
      </w:r>
      <w:bookmarkStart w:id="99" w:name="_GoBack"/>
      <w:bookmarkEnd w:id="99"/>
    </w:p>
    <w:p>
      <w:pPr>
        <w:spacing w:line="400" w:lineRule="exact"/>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bookmarkStart w:id="1" w:name="_Toc32012"/>
      <w:r>
        <w:rPr>
          <w:rFonts w:hint="eastAsia" w:ascii="宋体" w:hAnsi="宋体" w:eastAsia="宋体" w:cs="宋体"/>
          <w:b/>
          <w:color w:val="auto"/>
          <w:sz w:val="32"/>
          <w:szCs w:val="32"/>
          <w:highlight w:val="none"/>
        </w:rPr>
        <w:t>第一部分 项目要求</w:t>
      </w:r>
      <w:bookmarkEnd w:id="1"/>
    </w:p>
    <w:p>
      <w:pPr>
        <w:numPr>
          <w:ilvl w:val="0"/>
          <w:numId w:val="1"/>
        </w:numPr>
        <w:spacing w:before="156" w:beforeLines="50" w:line="360" w:lineRule="auto"/>
        <w:outlineLvl w:val="1"/>
        <w:rPr>
          <w:rFonts w:hint="eastAsia" w:ascii="宋体" w:hAnsi="宋体" w:eastAsia="宋体" w:cs="宋体"/>
          <w:b/>
          <w:color w:val="auto"/>
          <w:szCs w:val="21"/>
          <w:highlight w:val="none"/>
        </w:rPr>
      </w:pPr>
      <w:bookmarkStart w:id="2" w:name="_Toc2786"/>
      <w:r>
        <w:rPr>
          <w:rFonts w:hint="eastAsia" w:ascii="宋体" w:hAnsi="宋体" w:eastAsia="宋体" w:cs="宋体"/>
          <w:b/>
          <w:color w:val="auto"/>
          <w:szCs w:val="21"/>
          <w:highlight w:val="none"/>
        </w:rPr>
        <w:t>投标人须知</w:t>
      </w:r>
      <w:bookmarkEnd w:id="2"/>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用“☑”标识时表明该选项被招标人选用，用“□”标识时表明该选项未被招标人选用。本文件中对应模板性条款未被招标人选用的内容，自动不适用。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90"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7029"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90" w:type="dxa"/>
            <w:vAlign w:val="center"/>
          </w:tcPr>
          <w:p>
            <w:pPr>
              <w:autoSpaceDE w:val="0"/>
              <w:autoSpaceDN w:val="0"/>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hint="eastAsia" w:ascii="宋体" w:hAnsi="宋体" w:eastAsia="宋体" w:cs="宋体"/>
                <w:color w:val="auto"/>
                <w:kern w:val="0"/>
                <w:szCs w:val="21"/>
                <w:highlight w:val="none"/>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color w:val="auto"/>
                <w:szCs w:val="21"/>
                <w:highlight w:val="none"/>
              </w:rPr>
              <w:t>深圳会展中心第二十</w:t>
            </w:r>
            <w:r>
              <w:rPr>
                <w:rFonts w:hint="eastAsia" w:ascii="宋体" w:hAnsi="宋体"/>
                <w:color w:val="auto"/>
                <w:szCs w:val="21"/>
                <w:highlight w:val="none"/>
                <w:lang w:val="en-US" w:eastAsia="zh-CN"/>
              </w:rPr>
              <w:t>五</w:t>
            </w:r>
            <w:r>
              <w:rPr>
                <w:rFonts w:hint="eastAsia" w:ascii="宋体" w:hAnsi="宋体"/>
                <w:color w:val="auto"/>
                <w:szCs w:val="21"/>
                <w:highlight w:val="none"/>
              </w:rPr>
              <w:t>届高交会IT展</w:t>
            </w:r>
            <w:r>
              <w:rPr>
                <w:rFonts w:hint="eastAsia" w:ascii="宋体" w:hAnsi="宋体"/>
                <w:color w:val="auto"/>
                <w:szCs w:val="21"/>
                <w:highlight w:val="none"/>
                <w:lang w:val="en-US" w:eastAsia="zh-CN"/>
              </w:rPr>
              <w:t>数字经济和智能终端领域</w:t>
            </w:r>
            <w:r>
              <w:rPr>
                <w:rFonts w:hint="eastAsia" w:ascii="宋体" w:hAnsi="宋体"/>
                <w:color w:val="auto"/>
                <w:szCs w:val="21"/>
                <w:highlight w:val="none"/>
              </w:rPr>
              <w:t>行业垂直媒体宣传采购项目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项目类别</w:t>
            </w:r>
          </w:p>
        </w:tc>
        <w:tc>
          <w:tcPr>
            <w:tcW w:w="7029" w:type="dxa"/>
            <w:vAlign w:val="center"/>
          </w:tcPr>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项目介绍</w:t>
            </w:r>
          </w:p>
        </w:tc>
        <w:tc>
          <w:tcPr>
            <w:tcW w:w="7029" w:type="dxa"/>
            <w:vAlign w:val="center"/>
          </w:tcPr>
          <w:p>
            <w:pPr>
              <w:autoSpaceDE w:val="0"/>
              <w:autoSpaceDN w:val="0"/>
              <w:adjustRightInd w:val="0"/>
              <w:snapToGrid w:val="0"/>
              <w:rPr>
                <w:rFonts w:hint="eastAsia" w:ascii="宋体" w:hAnsi="宋体" w:eastAsia="宋体" w:cs="宋体"/>
                <w:i/>
                <w:color w:val="auto"/>
                <w:szCs w:val="21"/>
                <w:highlight w:val="none"/>
              </w:rPr>
            </w:pPr>
            <w:r>
              <w:rPr>
                <w:rFonts w:hint="eastAsia" w:ascii="宋体" w:hAnsi="宋体"/>
                <w:color w:val="auto"/>
                <w:szCs w:val="21"/>
                <w:highlight w:val="none"/>
              </w:rPr>
              <w:t>为配合做好第二十</w:t>
            </w:r>
            <w:r>
              <w:rPr>
                <w:rFonts w:hint="eastAsia" w:ascii="宋体" w:hAnsi="宋体"/>
                <w:color w:val="auto"/>
                <w:szCs w:val="21"/>
                <w:highlight w:val="none"/>
                <w:lang w:val="en-US" w:eastAsia="zh-CN"/>
              </w:rPr>
              <w:t>五</w:t>
            </w:r>
            <w:r>
              <w:rPr>
                <w:rFonts w:hint="eastAsia" w:ascii="宋体" w:hAnsi="宋体"/>
                <w:color w:val="auto"/>
                <w:szCs w:val="21"/>
                <w:highlight w:val="none"/>
              </w:rPr>
              <w:t>届高交会</w:t>
            </w:r>
            <w:r>
              <w:rPr>
                <w:rFonts w:hint="eastAsia" w:ascii="宋体" w:hAnsi="宋体"/>
                <w:color w:val="auto"/>
                <w:szCs w:val="21"/>
                <w:highlight w:val="none"/>
                <w:lang w:val="en-US" w:eastAsia="zh-CN"/>
              </w:rPr>
              <w:t>新一代信息技术展（暂名，以下简称IT展）</w:t>
            </w:r>
            <w:r>
              <w:rPr>
                <w:rFonts w:hint="eastAsia" w:ascii="宋体" w:hAnsi="宋体"/>
                <w:color w:val="auto"/>
                <w:szCs w:val="21"/>
                <w:highlight w:val="none"/>
              </w:rPr>
              <w:t>的业内宣传，树立专业形象，促进</w:t>
            </w:r>
            <w:r>
              <w:rPr>
                <w:rFonts w:hint="eastAsia" w:ascii="宋体" w:hAnsi="宋体"/>
                <w:color w:val="auto"/>
                <w:szCs w:val="21"/>
                <w:highlight w:val="none"/>
                <w:lang w:val="en-US" w:eastAsia="zh-CN"/>
              </w:rPr>
              <w:t>IT展</w:t>
            </w:r>
            <w:r>
              <w:rPr>
                <w:rFonts w:hint="eastAsia" w:ascii="宋体" w:hAnsi="宋体"/>
                <w:color w:val="auto"/>
                <w:szCs w:val="21"/>
                <w:highlight w:val="none"/>
              </w:rPr>
              <w:t>的招组展和专业观众邀请，</w:t>
            </w:r>
            <w:r>
              <w:rPr>
                <w:rFonts w:hAnsi="宋体" w:cstheme="minorBidi"/>
                <w:color w:val="auto"/>
                <w:szCs w:val="21"/>
                <w:highlight w:val="none"/>
              </w:rPr>
              <w:t>拟</w:t>
            </w:r>
            <w:r>
              <w:rPr>
                <w:rFonts w:hint="eastAsia" w:hAnsi="宋体" w:cstheme="minorBidi"/>
                <w:color w:val="auto"/>
                <w:szCs w:val="21"/>
                <w:highlight w:val="none"/>
              </w:rPr>
              <w:t>采购</w:t>
            </w:r>
            <w:r>
              <w:rPr>
                <w:rFonts w:hint="eastAsia" w:ascii="宋体" w:hAnsi="宋体" w:cs="Times New Roman"/>
                <w:color w:val="auto"/>
                <w:szCs w:val="21"/>
                <w:highlight w:val="none"/>
              </w:rPr>
              <w:t>IT展</w:t>
            </w:r>
            <w:r>
              <w:rPr>
                <w:rFonts w:hint="eastAsia" w:ascii="宋体" w:hAnsi="宋体"/>
                <w:color w:val="auto"/>
                <w:szCs w:val="21"/>
                <w:highlight w:val="none"/>
                <w:lang w:val="en-US" w:eastAsia="zh-CN"/>
              </w:rPr>
              <w:t>数字经济和智能终端领域</w:t>
            </w:r>
            <w:r>
              <w:rPr>
                <w:rFonts w:hint="eastAsia" w:ascii="宋体" w:hAnsi="宋体"/>
                <w:color w:val="auto"/>
                <w:szCs w:val="21"/>
                <w:highlight w:val="none"/>
              </w:rPr>
              <w:t>行业垂直媒体</w:t>
            </w:r>
            <w:r>
              <w:rPr>
                <w:rFonts w:hint="eastAsia" w:hAnsi="宋体" w:cstheme="minorBidi"/>
                <w:color w:val="auto"/>
                <w:szCs w:val="21"/>
                <w:highlight w:val="none"/>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实施地点</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color w:val="auto"/>
                <w:szCs w:val="21"/>
                <w:highlight w:val="none"/>
              </w:rPr>
              <w:t>在相关媒体上投放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服务期/交货期/工期</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183</w:t>
            </w:r>
            <w:r>
              <w:rPr>
                <w:rFonts w:hint="eastAsia" w:ascii="宋体" w:hAnsi="宋体" w:eastAsia="宋体" w:cs="宋体"/>
                <w:color w:val="auto"/>
                <w:szCs w:val="21"/>
                <w:highlight w:val="none"/>
              </w:rPr>
              <w:t>天</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签订合同之日起至11月30日（暂定为</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报名(文件获取）开始时间</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报名方式</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完整填写本项目报名回函（详见采购公告）并加盖公司公章后，按要求</w:t>
            </w:r>
            <w:r>
              <w:rPr>
                <w:rFonts w:hint="eastAsia" w:ascii="宋体" w:hAnsi="宋体" w:eastAsia="宋体" w:cs="宋体"/>
                <w:bCs/>
                <w:color w:val="auto"/>
                <w:highlight w:val="none"/>
              </w:rPr>
              <w:t>上传至</w:t>
            </w:r>
            <w:r>
              <w:rPr>
                <w:rFonts w:hint="eastAsia" w:ascii="宋体" w:hAnsi="宋体" w:eastAsia="宋体" w:cs="宋体"/>
                <w:bCs/>
                <w:color w:val="auto"/>
                <w:highlight w:val="yellow"/>
              </w:rPr>
              <w:t>https://cg.szcec.com/sharing/ZQLx1bNiy，</w:t>
            </w:r>
            <w:r>
              <w:rPr>
                <w:rFonts w:hint="eastAsia" w:ascii="宋体" w:hAnsi="宋体" w:eastAsia="宋体" w:cs="宋体"/>
                <w:bCs/>
                <w:color w:val="auto"/>
                <w:szCs w:val="21"/>
                <w:highlight w:val="none"/>
              </w:rPr>
              <w:t>并致电确认。</w:t>
            </w:r>
            <w:r>
              <w:rPr>
                <w:rFonts w:hint="eastAsia" w:ascii="宋体" w:hAnsi="宋体" w:eastAsia="宋体" w:cs="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招标文件获取方式</w:t>
            </w:r>
          </w:p>
        </w:tc>
        <w:tc>
          <w:tcPr>
            <w:tcW w:w="7029" w:type="dxa"/>
            <w:vAlign w:val="center"/>
          </w:tcPr>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深圳会展中心官网采购公告栏目下载: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"https://www.szcec.com/News/index/id/256.html"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szCs w:val="21"/>
                <w:highlight w:val="none"/>
              </w:rPr>
              <w:t>https://www.szcec.com/News/index/id/256.html</w:t>
            </w:r>
            <w:r>
              <w:rPr>
                <w:rStyle w:val="22"/>
                <w:rFonts w:hint="eastAsia" w:ascii="宋体" w:hAnsi="宋体" w:eastAsia="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9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报名(文件获取）</w:t>
            </w:r>
            <w:r>
              <w:rPr>
                <w:rFonts w:hint="eastAsia" w:ascii="宋体" w:hAnsi="宋体" w:eastAsia="宋体" w:cs="宋体"/>
                <w:color w:val="auto"/>
                <w:kern w:val="0"/>
                <w:szCs w:val="21"/>
                <w:highlight w:val="none"/>
              </w:rPr>
              <w:t>截止时间</w:t>
            </w:r>
          </w:p>
        </w:tc>
        <w:tc>
          <w:tcPr>
            <w:tcW w:w="7029" w:type="dxa"/>
            <w:vAlign w:val="center"/>
          </w:tcPr>
          <w:p>
            <w:pPr>
              <w:tabs>
                <w:tab w:val="left" w:pos="284"/>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投标人提出质疑</w:t>
            </w:r>
          </w:p>
          <w:p>
            <w:pPr>
              <w:autoSpaceDE w:val="0"/>
              <w:autoSpaceDN w:val="0"/>
              <w:adjustRightInd w:val="0"/>
              <w:snapToGrid w:val="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招标人澄清、修改、答疑截止时间</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投标文件递交截止时间</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9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投标文件递交方式及注意事项</w:t>
            </w:r>
          </w:p>
        </w:tc>
        <w:tc>
          <w:tcPr>
            <w:tcW w:w="7029" w:type="dxa"/>
          </w:tcPr>
          <w:p>
            <w:pPr>
              <w:rPr>
                <w:rFonts w:hint="eastAsia" w:ascii="宋体" w:hAnsi="宋体" w:eastAsia="宋体" w:cs="宋体"/>
                <w:color w:val="auto"/>
                <w:highlight w:val="none"/>
              </w:rPr>
            </w:pPr>
            <w:r>
              <w:rPr>
                <w:rFonts w:hint="eastAsia" w:ascii="宋体" w:hAnsi="宋体" w:eastAsia="宋体" w:cs="宋体"/>
                <w:color w:val="auto"/>
                <w:szCs w:val="21"/>
                <w:highlight w:val="none"/>
              </w:rPr>
              <w:t>响应文件应以扫描版（PDF版）及可编辑版（Word或WPS版）文件加密形式上传至</w:t>
            </w:r>
            <w:r>
              <w:rPr>
                <w:rFonts w:hint="eastAsia" w:ascii="宋体" w:hAnsi="宋体" w:eastAsia="宋体" w:cs="宋体"/>
                <w:bCs/>
                <w:color w:val="auto"/>
                <w:highlight w:val="yellow"/>
              </w:rPr>
              <w:t>https://cg.szcec.com/sharing/C0b4RACRA</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并致电确认</w:t>
            </w:r>
            <w:bookmarkStart w:id="3" w:name="_Toc478393187"/>
            <w:bookmarkStart w:id="4" w:name="_Toc478392822"/>
            <w:bookmarkStart w:id="5" w:name="_Toc478110532"/>
            <w:r>
              <w:rPr>
                <w:rFonts w:hint="eastAsia" w:ascii="宋体" w:hAnsi="宋体" w:eastAsia="宋体" w:cs="宋体"/>
                <w:color w:val="auto"/>
                <w:szCs w:val="21"/>
                <w:highlight w:val="none"/>
              </w:rPr>
              <w:t>。</w:t>
            </w:r>
            <w:r>
              <w:rPr>
                <w:rFonts w:hint="eastAsia" w:ascii="宋体" w:hAnsi="宋体" w:eastAsia="宋体" w:cs="宋体"/>
                <w:color w:val="auto"/>
                <w:highlight w:val="none"/>
              </w:rPr>
              <w:t>注意事项如下：</w:t>
            </w:r>
          </w:p>
          <w:p>
            <w:pPr>
              <w:pStyle w:val="26"/>
              <w:numPr>
                <w:ilvl w:val="0"/>
                <w:numId w:val="3"/>
              </w:numPr>
              <w:ind w:left="0" w:firstLine="0" w:firstLineChars="0"/>
              <w:rPr>
                <w:rFonts w:hint="eastAsia" w:ascii="宋体" w:hAnsi="宋体" w:eastAsia="宋体" w:cs="宋体"/>
                <w:color w:val="auto"/>
                <w:szCs w:val="21"/>
                <w:highlight w:val="none"/>
              </w:rPr>
            </w:pPr>
            <w:bookmarkStart w:id="6" w:name="_Hlk60498011"/>
            <w:r>
              <w:rPr>
                <w:rFonts w:hint="eastAsia" w:ascii="宋体" w:hAnsi="宋体" w:eastAsia="宋体" w:cs="宋体"/>
                <w:color w:val="auto"/>
                <w:szCs w:val="21"/>
                <w:highlight w:val="none"/>
              </w:rPr>
              <w:t>为便于开标时的解密操作，投标文件（PDF版及Word/WPS版）必须制作为一个压缩文件后再行加密，否则投标文件将被拒收。</w:t>
            </w:r>
            <w:r>
              <w:rPr>
                <w:rFonts w:hint="eastAsia" w:ascii="宋体" w:hAnsi="宋体" w:eastAsia="宋体" w:cs="宋体"/>
                <w:b/>
                <w:bCs/>
                <w:color w:val="auto"/>
                <w:szCs w:val="21"/>
                <w:highlight w:val="none"/>
              </w:rPr>
              <w:t>建议编制文件目录</w:t>
            </w:r>
            <w:r>
              <w:rPr>
                <w:rFonts w:hint="eastAsia" w:ascii="宋体" w:hAnsi="宋体" w:eastAsia="宋体" w:cs="宋体"/>
                <w:color w:val="auto"/>
                <w:szCs w:val="21"/>
                <w:highlight w:val="none"/>
              </w:rPr>
              <w:t>并采用WinRAR或WinZip等常用压缩软件进行压缩和加密</w:t>
            </w:r>
            <w:bookmarkEnd w:id="6"/>
            <w:r>
              <w:rPr>
                <w:rFonts w:hint="eastAsia" w:ascii="宋体" w:hAnsi="宋体" w:eastAsia="宋体" w:cs="宋体"/>
                <w:color w:val="auto"/>
                <w:szCs w:val="21"/>
                <w:highlight w:val="none"/>
              </w:rPr>
              <w:t>。</w:t>
            </w:r>
          </w:p>
          <w:p>
            <w:pPr>
              <w:pStyle w:val="26"/>
              <w:numPr>
                <w:ilvl w:val="0"/>
                <w:numId w:val="3"/>
              </w:numPr>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投标人授权代表须熟记文件密码，并在开标前按时将</w:t>
            </w:r>
            <w:r>
              <w:rPr>
                <w:rFonts w:hint="eastAsia" w:ascii="宋体" w:hAnsi="宋体" w:eastAsia="宋体" w:cs="宋体"/>
                <w:color w:val="auto"/>
                <w:highlight w:val="none"/>
              </w:rPr>
              <w:t>投标文件解密密码（格式详见附件）上传至指定地址，</w:t>
            </w:r>
            <w:r>
              <w:rPr>
                <w:rFonts w:hint="eastAsia" w:ascii="宋体" w:hAnsi="宋体" w:eastAsia="宋体" w:cs="宋体"/>
                <w:color w:val="auto"/>
                <w:szCs w:val="21"/>
                <w:highlight w:val="none"/>
              </w:rPr>
              <w:t>否则做废标处理。投标文件递交时间截止后，不再接受任何理由的撤回或重新提交文件请求。</w:t>
            </w:r>
          </w:p>
          <w:p>
            <w:pPr>
              <w:pStyle w:val="26"/>
              <w:numPr>
                <w:ilvl w:val="0"/>
                <w:numId w:val="3"/>
              </w:numPr>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所有需要加盖公章的页面均须加盖公章，要求签名之处须有相应的亲笔手写签名或法定有效的私章。</w:t>
            </w:r>
          </w:p>
          <w:p>
            <w:pPr>
              <w:pStyle w:val="26"/>
              <w:numPr>
                <w:ilvl w:val="0"/>
                <w:numId w:val="3"/>
              </w:numPr>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本项目实质性响应内容以盖章扫描版（PDF版）文件为准，可编辑版（Word/WPS版）文件仅供评标时搜索文件内容之用而不作为评审依据。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w:t>
            </w:r>
          </w:p>
        </w:tc>
        <w:tc>
          <w:tcPr>
            <w:tcW w:w="7029" w:type="dxa"/>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开标地点</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腾讯会议号：</w:t>
            </w:r>
            <w:r>
              <w:rPr>
                <w:rFonts w:hint="eastAsia" w:ascii="宋体" w:hAnsi="宋体" w:cs="宋体"/>
                <w:color w:val="auto"/>
                <w:szCs w:val="21"/>
                <w:highlight w:val="none"/>
                <w:lang w:val="en-US" w:eastAsia="zh-CN"/>
              </w:rPr>
              <w:t>795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528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998</w:t>
            </w:r>
            <w:r>
              <w:rPr>
                <w:rFonts w:hint="eastAsia" w:ascii="宋体" w:hAnsi="宋体" w:eastAsia="宋体" w:cs="宋体"/>
                <w:color w:val="auto"/>
                <w:szCs w:val="21"/>
                <w:highlight w:val="none"/>
              </w:rPr>
              <w:t>（免密，入会前必须改名为“</w:t>
            </w:r>
            <w:r>
              <w:rPr>
                <w:rFonts w:hint="eastAsia" w:ascii="宋体" w:hAnsi="宋体" w:eastAsia="宋体" w:cs="宋体"/>
                <w:b/>
                <w:bCs/>
                <w:color w:val="auto"/>
                <w:szCs w:val="21"/>
                <w:highlight w:val="none"/>
              </w:rPr>
              <w:t>公司简称+姓名</w:t>
            </w:r>
            <w:r>
              <w:rPr>
                <w:rFonts w:hint="eastAsia" w:ascii="宋体" w:hAnsi="宋体" w:eastAsia="宋体" w:cs="宋体"/>
                <w:color w:val="auto"/>
                <w:szCs w:val="21"/>
                <w:highlight w:val="none"/>
              </w:rPr>
              <w:t>”,会议期间</w:t>
            </w:r>
            <w:r>
              <w:rPr>
                <w:rFonts w:hint="eastAsia" w:ascii="宋体" w:hAnsi="宋体" w:eastAsia="宋体" w:cs="宋体"/>
                <w:b/>
                <w:color w:val="auto"/>
                <w:szCs w:val="21"/>
                <w:highlight w:val="none"/>
              </w:rPr>
              <w:t>禁止使用虚拟背景</w:t>
            </w:r>
            <w:r>
              <w:rPr>
                <w:rFonts w:hint="eastAsia" w:ascii="宋体" w:hAnsi="宋体" w:eastAsia="宋体" w:cs="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hint="eastAsia" w:ascii="宋体" w:hAnsi="宋体" w:eastAsia="宋体" w:cs="宋体"/>
                <w:color w:val="auto"/>
                <w:szCs w:val="21"/>
                <w:highlight w:val="none"/>
              </w:rPr>
            </w:pP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投标文件密码</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在开标时按照招标人现场指令</w:t>
            </w:r>
            <w:r>
              <w:rPr>
                <w:rFonts w:hint="eastAsia" w:ascii="宋体" w:hAnsi="宋体" w:eastAsia="宋体" w:cs="宋体"/>
                <w:color w:val="auto"/>
                <w:highlight w:val="none"/>
              </w:rPr>
              <w:t>将投标文件解密密码（详见附件）上传至</w:t>
            </w:r>
            <w:r>
              <w:rPr>
                <w:rFonts w:hint="eastAsia" w:ascii="宋体" w:hAnsi="宋体" w:eastAsia="宋体" w:cs="宋体"/>
                <w:color w:val="auto"/>
                <w:highlight w:val="yellow"/>
              </w:rPr>
              <w:t>https://cg.szcec.com/sharing/QmUvPsP3t</w:t>
            </w:r>
            <w:r>
              <w:rPr>
                <w:rFonts w:hint="eastAsia" w:ascii="宋体" w:hAnsi="宋体" w:eastAsia="宋体" w:cs="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w:t>
            </w:r>
          </w:p>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szCs w:val="21"/>
                <w:highlight w:val="none"/>
              </w:rPr>
              <w:t>不接受</w:t>
            </w:r>
          </w:p>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9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□组织，踏勘要求：</w:t>
            </w:r>
          </w:p>
          <w:p>
            <w:pPr>
              <w:pStyle w:val="26"/>
              <w:numPr>
                <w:ilvl w:val="0"/>
                <w:numId w:val="5"/>
              </w:numPr>
              <w:tabs>
                <w:tab w:val="left" w:pos="541"/>
              </w:tabs>
              <w:snapToGrid w:val="0"/>
              <w:ind w:left="805" w:hanging="227"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投标人是否必须参加：</w:t>
            </w:r>
          </w:p>
          <w:p>
            <w:pPr>
              <w:pStyle w:val="26"/>
              <w:tabs>
                <w:tab w:val="left" w:pos="541"/>
              </w:tabs>
              <w:snapToGrid w:val="0"/>
              <w:ind w:left="805" w:firstLine="8" w:firstLineChars="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□是（若不参加，将因投标文件不完整导致失去本项目投标资格）</w:t>
            </w:r>
          </w:p>
          <w:p>
            <w:pPr>
              <w:pStyle w:val="26"/>
              <w:tabs>
                <w:tab w:val="left" w:pos="541"/>
              </w:tabs>
              <w:snapToGrid w:val="0"/>
              <w:ind w:left="805" w:firstLine="8" w:firstLineChars="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□否（可选择不参加，不影响投标资格但可能会产生不利后果）</w:t>
            </w:r>
          </w:p>
          <w:p>
            <w:pPr>
              <w:pStyle w:val="26"/>
              <w:numPr>
                <w:ilvl w:val="0"/>
                <w:numId w:val="6"/>
              </w:numPr>
              <w:tabs>
                <w:tab w:val="left" w:pos="541"/>
              </w:tabs>
              <w:snapToGrid w:val="0"/>
              <w:ind w:left="805" w:hanging="224"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招标人定于202×-××-×× ××: ××邀请投标人人员察看现场并讲解项目需求；投标人应指派符合要求的人员参加本项目的现场踏勘。</w:t>
            </w:r>
          </w:p>
          <w:p>
            <w:pPr>
              <w:pStyle w:val="26"/>
              <w:numPr>
                <w:ilvl w:val="0"/>
                <w:numId w:val="6"/>
              </w:numPr>
              <w:tabs>
                <w:tab w:val="left" w:pos="541"/>
              </w:tabs>
              <w:snapToGrid w:val="0"/>
              <w:ind w:left="805" w:hanging="224"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投标人须持《现场考察证明》（格式见附件）参加现场踏勘，并在完成现场踏勘后交由招标人管理人员签字确认，并附于投标文件中。</w:t>
            </w:r>
          </w:p>
          <w:p>
            <w:pPr>
              <w:pStyle w:val="26"/>
              <w:numPr>
                <w:ilvl w:val="0"/>
                <w:numId w:val="6"/>
              </w:numPr>
              <w:tabs>
                <w:tab w:val="left" w:pos="541"/>
              </w:tabs>
              <w:snapToGrid w:val="0"/>
              <w:ind w:left="805" w:hanging="224"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6"/>
              <w:numPr>
                <w:ilvl w:val="0"/>
                <w:numId w:val="6"/>
              </w:numPr>
              <w:tabs>
                <w:tab w:val="left" w:pos="541"/>
              </w:tabs>
              <w:snapToGrid w:val="0"/>
              <w:ind w:left="805" w:hanging="224" w:firstLineChars="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投标人须至少提前一天与踏勘联系人预约。否则，将可能导致投标人不能进入踏勘现场的不利后果。</w:t>
            </w:r>
          </w:p>
          <w:p>
            <w:pPr>
              <w:pStyle w:val="26"/>
              <w:numPr>
                <w:ilvl w:val="0"/>
                <w:numId w:val="6"/>
              </w:numPr>
              <w:tabs>
                <w:tab w:val="left" w:pos="541"/>
              </w:tabs>
              <w:snapToGrid w:val="0"/>
              <w:ind w:left="805" w:hanging="224"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踏勘联系人：×××</w:t>
            </w:r>
          </w:p>
          <w:p>
            <w:pPr>
              <w:pStyle w:val="26"/>
              <w:tabs>
                <w:tab w:val="left" w:pos="541"/>
              </w:tabs>
              <w:snapToGrid w:val="0"/>
              <w:ind w:left="805"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电话：0755-8284××××，手机：XXXXX</w:t>
            </w:r>
          </w:p>
          <w:p>
            <w:pPr>
              <w:pStyle w:val="26"/>
              <w:tabs>
                <w:tab w:val="left" w:pos="541"/>
              </w:tabs>
              <w:snapToGrid w:val="0"/>
              <w:ind w:left="805"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集合地点：××××××××××××××</w:t>
            </w:r>
          </w:p>
          <w:p>
            <w:pPr>
              <w:pStyle w:val="26"/>
              <w:numPr>
                <w:ilvl w:val="0"/>
                <w:numId w:val="6"/>
              </w:numPr>
              <w:tabs>
                <w:tab w:val="left" w:pos="541"/>
              </w:tabs>
              <w:snapToGrid w:val="0"/>
              <w:ind w:left="805" w:hanging="224"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029" w:type="dxa"/>
            <w:vAlign w:val="center"/>
          </w:tcPr>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是否要求递交履约保证金： </w:t>
            </w:r>
          </w:p>
          <w:p>
            <w:pPr>
              <w:pStyle w:val="26"/>
              <w:numPr>
                <w:ilvl w:val="0"/>
                <w:numId w:val="7"/>
              </w:numPr>
              <w:autoSpaceDE w:val="0"/>
              <w:autoSpaceDN w:val="0"/>
              <w:adjustRightInd w:val="0"/>
              <w:snapToGrid w:val="0"/>
              <w:ind w:left="536" w:hanging="536"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不要求</w:t>
            </w:r>
          </w:p>
          <w:p>
            <w:pPr>
              <w:pStyle w:val="26"/>
              <w:numPr>
                <w:ilvl w:val="0"/>
                <w:numId w:val="7"/>
              </w:numPr>
              <w:autoSpaceDE w:val="0"/>
              <w:autoSpaceDN w:val="0"/>
              <w:adjustRightInd w:val="0"/>
              <w:snapToGrid w:val="0"/>
              <w:ind w:left="536" w:hanging="536"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p>
            <w:pPr>
              <w:pStyle w:val="26"/>
              <w:numPr>
                <w:ilvl w:val="0"/>
                <w:numId w:val="8"/>
              </w:numPr>
              <w:autoSpaceDE w:val="0"/>
              <w:autoSpaceDN w:val="0"/>
              <w:adjustRightInd w:val="0"/>
              <w:snapToGrid w:val="0"/>
              <w:ind w:left="818" w:leftChars="254" w:hanging="285" w:hangingChars="13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履约保证金金额：人民币</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元</w:t>
            </w:r>
          </w:p>
          <w:p>
            <w:pPr>
              <w:pStyle w:val="26"/>
              <w:numPr>
                <w:ilvl w:val="0"/>
                <w:numId w:val="8"/>
              </w:numPr>
              <w:autoSpaceDE w:val="0"/>
              <w:autoSpaceDN w:val="0"/>
              <w:adjustRightInd w:val="0"/>
              <w:snapToGrid w:val="0"/>
              <w:ind w:left="818" w:leftChars="254" w:hanging="285" w:hangingChars="13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履约保证金的形式：□银行转账  □现金</w:t>
            </w:r>
          </w:p>
          <w:p>
            <w:pPr>
              <w:pStyle w:val="26"/>
              <w:numPr>
                <w:ilvl w:val="0"/>
                <w:numId w:val="8"/>
              </w:numPr>
              <w:autoSpaceDE w:val="0"/>
              <w:autoSpaceDN w:val="0"/>
              <w:adjustRightInd w:val="0"/>
              <w:snapToGrid w:val="0"/>
              <w:ind w:left="818" w:leftChars="254" w:hanging="285" w:hangingChars="13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投标人保证金收款银行账户信息（选用“银行转账”方式须填）</w:t>
            </w:r>
          </w:p>
          <w:p>
            <w:pPr>
              <w:autoSpaceDE w:val="0"/>
              <w:autoSpaceDN w:val="0"/>
              <w:adjustRightInd w:val="0"/>
              <w:snapToGrid w:val="0"/>
              <w:ind w:left="819" w:leftChars="390"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收款单位：</w:t>
            </w:r>
            <w:r>
              <w:rPr>
                <w:rFonts w:hint="eastAsia" w:ascii="宋体" w:hAnsi="宋体" w:eastAsia="宋体" w:cs="宋体"/>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u w:val="single"/>
              </w:rPr>
              <w:t xml:space="preserve">     ／       </w:t>
            </w:r>
          </w:p>
          <w:p>
            <w:pPr>
              <w:autoSpaceDE w:val="0"/>
              <w:autoSpaceDN w:val="0"/>
              <w:adjustRightInd w:val="0"/>
              <w:snapToGrid w:val="0"/>
              <w:ind w:left="819" w:leftChars="390" w:firstLine="1"/>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银行账号：</w:t>
            </w:r>
            <w:r>
              <w:rPr>
                <w:rFonts w:hint="eastAsia" w:ascii="宋体" w:hAnsi="宋体" w:eastAsia="宋体" w:cs="宋体"/>
                <w:color w:val="auto"/>
                <w:kern w:val="0"/>
                <w:szCs w:val="21"/>
                <w:highlight w:val="none"/>
                <w:u w:val="single"/>
              </w:rPr>
              <w:t xml:space="preserve">     ／       </w:t>
            </w:r>
          </w:p>
          <w:p>
            <w:pPr>
              <w:pStyle w:val="26"/>
              <w:numPr>
                <w:ilvl w:val="0"/>
                <w:numId w:val="8"/>
              </w:numPr>
              <w:autoSpaceDE w:val="0"/>
              <w:autoSpaceDN w:val="0"/>
              <w:adjustRightInd w:val="0"/>
              <w:snapToGrid w:val="0"/>
              <w:ind w:left="818" w:leftChars="254" w:hanging="285" w:hangingChars="13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履约保证金的形式为银行转账的，需在转账时注明项目名称，保证金应从投标人公司账户中转出。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投标样品</w:t>
            </w:r>
          </w:p>
        </w:tc>
        <w:tc>
          <w:tcPr>
            <w:tcW w:w="7029" w:type="dxa"/>
            <w:vAlign w:val="center"/>
          </w:tcPr>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szCs w:val="21"/>
                <w:highlight w:val="none"/>
              </w:rPr>
              <w:t>不要求递交投标样品</w:t>
            </w:r>
          </w:p>
          <w:p>
            <w:pPr>
              <w:autoSpaceDE w:val="0"/>
              <w:autoSpaceDN w:val="0"/>
              <w:adjustRightInd w:val="0"/>
              <w:snapToGrid w:val="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□递交投标样品，具体要求：</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9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w:t>
            </w:r>
          </w:p>
        </w:tc>
        <w:tc>
          <w:tcPr>
            <w:tcW w:w="7029" w:type="dxa"/>
            <w:vAlign w:val="center"/>
          </w:tcPr>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综合评分法</w:t>
            </w:r>
          </w:p>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□最低价法</w:t>
            </w:r>
          </w:p>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9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w:t>
            </w:r>
          </w:p>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候选人数量</w:t>
            </w:r>
          </w:p>
        </w:tc>
        <w:tc>
          <w:tcPr>
            <w:tcW w:w="7029"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内部招标评标小组推荐的中标候选人数：</w:t>
            </w:r>
            <w:r>
              <w:rPr>
                <w:rFonts w:hint="eastAsia" w:ascii="宋体" w:hAnsi="宋体" w:eastAsia="宋体" w:cs="宋体"/>
                <w:color w:val="auto"/>
                <w:kern w:val="0"/>
                <w:szCs w:val="21"/>
                <w:highlight w:val="none"/>
                <w:u w:val="single"/>
              </w:rPr>
              <w:t xml:space="preserve">  1  个</w:t>
            </w:r>
            <w:r>
              <w:rPr>
                <w:rFonts w:hint="eastAsia" w:ascii="宋体" w:hAnsi="宋体" w:eastAsia="宋体" w:cs="宋体"/>
                <w:color w:val="auto"/>
                <w:kern w:val="0"/>
                <w:szCs w:val="21"/>
                <w:highlight w:val="none"/>
              </w:rPr>
              <w:t>。</w:t>
            </w:r>
          </w:p>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适用于采用</w:t>
            </w:r>
            <w:r>
              <w:rPr>
                <w:rFonts w:hint="eastAsia" w:ascii="宋体" w:hAnsi="宋体" w:eastAsia="宋体" w:cs="宋体"/>
                <w:b/>
                <w:bCs/>
                <w:color w:val="auto"/>
                <w:szCs w:val="21"/>
                <w:highlight w:val="none"/>
              </w:rPr>
              <w:t>综合评分法</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最低价法</w:t>
            </w:r>
            <w:r>
              <w:rPr>
                <w:rFonts w:hint="eastAsia" w:ascii="宋体" w:hAnsi="宋体" w:eastAsia="宋体" w:cs="宋体"/>
                <w:bCs/>
                <w:color w:val="auto"/>
                <w:szCs w:val="21"/>
                <w:highlight w:val="none"/>
              </w:rPr>
              <w:t>）</w:t>
            </w:r>
          </w:p>
        </w:tc>
      </w:tr>
    </w:tbl>
    <w:p>
      <w:pPr>
        <w:numPr>
          <w:ilvl w:val="0"/>
          <w:numId w:val="1"/>
        </w:numPr>
        <w:spacing w:line="560" w:lineRule="exact"/>
        <w:outlineLvl w:val="1"/>
        <w:rPr>
          <w:rFonts w:hint="eastAsia" w:ascii="宋体" w:hAnsi="宋体" w:eastAsia="宋体" w:cs="宋体"/>
          <w:b/>
          <w:color w:val="auto"/>
          <w:szCs w:val="21"/>
          <w:highlight w:val="none"/>
        </w:rPr>
      </w:pPr>
      <w:bookmarkStart w:id="7" w:name="_Toc82685543"/>
      <w:bookmarkEnd w:id="7"/>
      <w:bookmarkStart w:id="8" w:name="_Toc82684704"/>
      <w:bookmarkEnd w:id="8"/>
      <w:bookmarkStart w:id="9" w:name="_Toc82684705"/>
      <w:bookmarkEnd w:id="9"/>
      <w:bookmarkStart w:id="10" w:name="_Toc82684706"/>
      <w:bookmarkEnd w:id="10"/>
      <w:bookmarkStart w:id="11" w:name="_Toc82591926"/>
      <w:bookmarkEnd w:id="11"/>
      <w:bookmarkStart w:id="12" w:name="_Toc82684589"/>
      <w:bookmarkEnd w:id="12"/>
      <w:bookmarkStart w:id="13" w:name="_Toc82684703"/>
      <w:bookmarkEnd w:id="13"/>
      <w:bookmarkStart w:id="14" w:name="_Toc82684591"/>
      <w:bookmarkEnd w:id="14"/>
      <w:bookmarkStart w:id="15" w:name="_Toc82684590"/>
      <w:bookmarkEnd w:id="15"/>
      <w:bookmarkStart w:id="16" w:name="_Toc82591925"/>
      <w:bookmarkEnd w:id="16"/>
      <w:bookmarkStart w:id="17" w:name="_Toc82591927"/>
      <w:bookmarkEnd w:id="17"/>
      <w:bookmarkStart w:id="18" w:name="_Toc82591928"/>
      <w:bookmarkEnd w:id="18"/>
      <w:bookmarkStart w:id="19" w:name="_Toc82685542"/>
      <w:bookmarkEnd w:id="19"/>
      <w:bookmarkStart w:id="20" w:name="_Toc82685541"/>
      <w:bookmarkEnd w:id="20"/>
      <w:bookmarkStart w:id="21" w:name="_Toc82684588"/>
      <w:bookmarkEnd w:id="21"/>
      <w:bookmarkStart w:id="22" w:name="_Toc82685540"/>
      <w:bookmarkEnd w:id="22"/>
      <w:bookmarkStart w:id="23" w:name="_Toc28171"/>
      <w:r>
        <w:rPr>
          <w:rFonts w:hint="eastAsia" w:ascii="宋体" w:hAnsi="宋体" w:eastAsia="宋体" w:cs="宋体"/>
          <w:b/>
          <w:color w:val="auto"/>
          <w:szCs w:val="21"/>
          <w:highlight w:val="none"/>
        </w:rPr>
        <w:t>特别说明</w:t>
      </w:r>
      <w:bookmarkEnd w:id="23"/>
    </w:p>
    <w:p>
      <w:pPr>
        <w:pStyle w:val="26"/>
        <w:numPr>
          <w:ilvl w:val="0"/>
          <w:numId w:val="9"/>
        </w:numPr>
        <w:spacing w:line="360" w:lineRule="auto"/>
        <w:ind w:left="0" w:firstLine="420" w:firstLineChars="0"/>
        <w:rPr>
          <w:rFonts w:hint="eastAsia" w:ascii="宋体" w:hAnsi="宋体" w:eastAsia="宋体" w:cs="宋体"/>
          <w:color w:val="auto"/>
          <w:szCs w:val="21"/>
          <w:highlight w:val="none"/>
        </w:rPr>
      </w:pPr>
      <w:bookmarkStart w:id="24" w:name="_Toc45028463"/>
      <w:bookmarkStart w:id="25" w:name="_Toc478387747"/>
      <w:bookmarkStart w:id="26" w:name="_Toc517278751"/>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视频会议期间禁止使用虚拟背景</w:t>
      </w:r>
      <w:r>
        <w:rPr>
          <w:rFonts w:hint="eastAsia" w:ascii="宋体" w:hAnsi="宋体" w:eastAsia="宋体" w:cs="宋体"/>
          <w:color w:val="auto"/>
          <w:szCs w:val="21"/>
          <w:highlight w:val="none"/>
        </w:rPr>
        <w:t>。投标人应自行承担因不具备上述条件或网络环境不佳而导致的无法按要求正常参与本项目开标工作的后果，亦不得因此对本项目招标结果提出异议。</w:t>
      </w:r>
    </w:p>
    <w:p>
      <w:pPr>
        <w:pStyle w:val="26"/>
        <w:numPr>
          <w:ilvl w:val="0"/>
          <w:numId w:val="9"/>
        </w:numPr>
        <w:spacing w:line="360" w:lineRule="auto"/>
        <w:ind w:lef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本项目涉及的所有往来资料文件均需通过招标人报名回函上指定的地址和方式发送和接收，否则可能导致文件不被接受的不利后果。</w:t>
      </w:r>
    </w:p>
    <w:p>
      <w:pPr>
        <w:pStyle w:val="26"/>
        <w:numPr>
          <w:ilvl w:val="0"/>
          <w:numId w:val="9"/>
        </w:numPr>
        <w:spacing w:line="360" w:lineRule="auto"/>
        <w:ind w:lef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6"/>
        <w:numPr>
          <w:ilvl w:val="0"/>
          <w:numId w:val="9"/>
        </w:numPr>
        <w:spacing w:line="360" w:lineRule="auto"/>
        <w:ind w:lef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6"/>
        <w:numPr>
          <w:ilvl w:val="0"/>
          <w:numId w:val="9"/>
        </w:numPr>
        <w:spacing w:line="360" w:lineRule="auto"/>
        <w:ind w:lef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6"/>
        <w:numPr>
          <w:ilvl w:val="0"/>
          <w:numId w:val="9"/>
        </w:numPr>
        <w:spacing w:line="360" w:lineRule="auto"/>
        <w:ind w:lef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hint="eastAsia" w:ascii="宋体" w:hAnsi="宋体" w:eastAsia="宋体" w:cs="宋体"/>
          <w:b/>
          <w:color w:val="auto"/>
          <w:szCs w:val="21"/>
          <w:highlight w:val="none"/>
        </w:rPr>
      </w:pPr>
      <w:bookmarkStart w:id="27" w:name="_Toc82685545"/>
      <w:bookmarkEnd w:id="27"/>
      <w:bookmarkStart w:id="28" w:name="_Toc82591930"/>
      <w:bookmarkEnd w:id="28"/>
      <w:bookmarkStart w:id="29" w:name="_Toc82684708"/>
      <w:bookmarkEnd w:id="29"/>
      <w:bookmarkStart w:id="30" w:name="_Toc82591986"/>
      <w:bookmarkEnd w:id="30"/>
      <w:bookmarkStart w:id="31" w:name="_Toc82591985"/>
      <w:bookmarkEnd w:id="31"/>
      <w:bookmarkStart w:id="32" w:name="_Toc82591988"/>
      <w:bookmarkEnd w:id="32"/>
      <w:bookmarkStart w:id="33" w:name="_Toc82591987"/>
      <w:bookmarkEnd w:id="33"/>
      <w:bookmarkStart w:id="34" w:name="_Toc82684593"/>
      <w:bookmarkEnd w:id="34"/>
      <w:bookmarkStart w:id="35" w:name="_Toc82591989"/>
      <w:bookmarkEnd w:id="35"/>
      <w:bookmarkStart w:id="36" w:name="_Toc12736"/>
      <w:r>
        <w:rPr>
          <w:rFonts w:hint="eastAsia" w:ascii="宋体" w:hAnsi="宋体" w:eastAsia="宋体" w:cs="宋体"/>
          <w:b/>
          <w:color w:val="auto"/>
          <w:szCs w:val="21"/>
          <w:highlight w:val="none"/>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hint="eastAsia" w:ascii="宋体" w:hAnsi="宋体" w:eastAsia="宋体" w:cs="宋体"/>
                <w:color w:val="auto"/>
                <w:sz w:val="32"/>
                <w:szCs w:val="32"/>
                <w:highlight w:val="none"/>
                <w:shd w:val="clear" w:color="auto" w:fill="FFFFFF"/>
              </w:rPr>
            </w:pPr>
            <w:r>
              <w:rPr>
                <w:rFonts w:hint="eastAsia" w:ascii="宋体" w:hAnsi="宋体" w:eastAsia="宋体" w:cs="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highlight w:val="none"/>
              </w:rPr>
              <w:t>资格审查文件</w:t>
            </w:r>
          </w:p>
          <w:p>
            <w:pPr>
              <w:autoSpaceDE w:val="0"/>
              <w:autoSpaceDN w:val="0"/>
              <w:adjustRightInd w:val="0"/>
              <w:snapToGrid w:val="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highlight w:val="none"/>
              </w:rPr>
              <w:t>商务标部分</w:t>
            </w:r>
          </w:p>
          <w:p>
            <w:pPr>
              <w:autoSpaceDE w:val="0"/>
              <w:autoSpaceDN w:val="0"/>
              <w:adjustRightInd w:val="0"/>
              <w:snapToGrid w:val="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highlight w:val="none"/>
              </w:rPr>
              <w:t>技术/服务标部分</w:t>
            </w:r>
          </w:p>
          <w:p>
            <w:pPr>
              <w:autoSpaceDE w:val="0"/>
              <w:autoSpaceDN w:val="0"/>
              <w:adjustRightInd w:val="0"/>
              <w:snapToGrid w:val="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highlight w:val="none"/>
              </w:rPr>
              <w:t>价格标部分</w:t>
            </w:r>
          </w:p>
          <w:p>
            <w:pPr>
              <w:pStyle w:val="13"/>
              <w:rPr>
                <w:rFonts w:hint="eastAsia" w:ascii="宋体" w:hAnsi="宋体" w:eastAsia="宋体" w:cs="宋体"/>
                <w:color w:val="auto"/>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营业执照</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highlight w:val="none"/>
              </w:rPr>
              <w:t>信用中国网站（www.creditchina.gov.cn）</w:t>
            </w:r>
            <w:r>
              <w:rPr>
                <w:rFonts w:hint="eastAsia" w:ascii="宋体" w:hAnsi="宋体" w:eastAsia="宋体" w:cs="宋体"/>
                <w:color w:val="auto"/>
                <w:kern w:val="0"/>
                <w:szCs w:val="21"/>
                <w:highlight w:val="none"/>
              </w:rPr>
              <w:t>公示的企业信息打印件</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法定代表人资格证明书</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法定代表人授权委托书（法定代表人作为本项目代理人的，无需提供）</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资质及其证明文件</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经营业绩一览表及业绩证明文件</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□联合体协议书</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□投标人股东关系构成表</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投标函</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商务条款响应/偏离表</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履约情况及社会信誉承诺书</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现场考察证明</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sym w:font="Wingdings 2" w:char="00A3"/>
            </w:r>
            <w:r>
              <w:rPr>
                <w:rFonts w:hint="eastAsia" w:ascii="宋体" w:hAnsi="宋体" w:eastAsia="宋体" w:cs="宋体"/>
                <w:color w:val="auto"/>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技术条款响应/偏离表</w:t>
            </w:r>
          </w:p>
          <w:p>
            <w:pPr>
              <w:autoSpaceDE w:val="0"/>
              <w:autoSpaceDN w:val="0"/>
              <w:adjustRightInd w:val="0"/>
              <w:snapToGrid w:val="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技术/服务方案</w:t>
            </w:r>
          </w:p>
          <w:p>
            <w:pPr>
              <w:autoSpaceDE w:val="0"/>
              <w:autoSpaceDN w:val="0"/>
              <w:adjustRightInd w:val="0"/>
              <w:snapToGrid w:val="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□项目管理及服务能力</w:t>
            </w:r>
          </w:p>
          <w:p>
            <w:pPr>
              <w:autoSpaceDE w:val="0"/>
              <w:autoSpaceDN w:val="0"/>
              <w:adjustRightInd w:val="0"/>
              <w:snapToGrid w:val="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□工程质保/（售后）服务承诺书</w:t>
            </w:r>
          </w:p>
          <w:p>
            <w:pPr>
              <w:autoSpaceDE w:val="0"/>
              <w:autoSpaceDN w:val="0"/>
              <w:adjustRightInd w:val="0"/>
              <w:snapToGrid w:val="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项目团队</w:t>
            </w:r>
          </w:p>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价格标部分</w:t>
            </w:r>
          </w:p>
        </w:tc>
        <w:tc>
          <w:tcPr>
            <w:tcW w:w="5746" w:type="dxa"/>
            <w:shd w:val="clear" w:color="auto" w:fill="FFFFFF"/>
            <w:vAlign w:val="center"/>
          </w:tcPr>
          <w:p>
            <w:pPr>
              <w:autoSpaceDE w:val="0"/>
              <w:autoSpaceDN w:val="0"/>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投标一览表</w:t>
            </w:r>
          </w:p>
          <w:p>
            <w:pPr>
              <w:autoSpaceDE w:val="0"/>
              <w:autoSpaceDN w:val="0"/>
              <w:adjustRightInd w:val="0"/>
              <w:snapToGrid w:val="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szCs w:val="21"/>
                <w:highlight w:val="none"/>
              </w:rPr>
              <w:t>报价一览表（货物/服务/工程）（根据项目所属类别选择其一）</w:t>
            </w:r>
          </w:p>
          <w:p>
            <w:pPr>
              <w:autoSpaceDE w:val="0"/>
              <w:autoSpaceDN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其他：</w:t>
            </w:r>
            <w:r>
              <w:rPr>
                <w:rFonts w:hint="eastAsia" w:ascii="宋体" w:hAnsi="宋体" w:eastAsia="宋体" w:cs="宋体"/>
                <w:color w:val="auto"/>
                <w:kern w:val="0"/>
                <w:szCs w:val="21"/>
                <w:highlight w:val="none"/>
                <w:u w:val="single"/>
              </w:rPr>
              <w:t xml:space="preserve">              </w:t>
            </w:r>
          </w:p>
        </w:tc>
      </w:tr>
    </w:tbl>
    <w:p>
      <w:pPr>
        <w:numPr>
          <w:ilvl w:val="255"/>
          <w:numId w:val="0"/>
        </w:numPr>
        <w:spacing w:line="560" w:lineRule="exact"/>
        <w:outlineLvl w:val="1"/>
        <w:rPr>
          <w:rFonts w:hint="eastAsia" w:ascii="宋体" w:hAnsi="宋体" w:eastAsia="宋体" w:cs="宋体"/>
          <w:b/>
          <w:color w:val="auto"/>
          <w:szCs w:val="21"/>
          <w:highlight w:val="none"/>
        </w:rPr>
      </w:pPr>
    </w:p>
    <w:p>
      <w:pPr>
        <w:numPr>
          <w:ilvl w:val="0"/>
          <w:numId w:val="1"/>
        </w:numPr>
        <w:spacing w:line="560" w:lineRule="exact"/>
        <w:outlineLvl w:val="1"/>
        <w:rPr>
          <w:rFonts w:hint="eastAsia" w:ascii="宋体" w:hAnsi="宋体" w:eastAsia="宋体" w:cs="宋体"/>
          <w:b/>
          <w:color w:val="auto"/>
          <w:szCs w:val="21"/>
          <w:highlight w:val="none"/>
        </w:rPr>
      </w:pPr>
      <w:bookmarkStart w:id="37" w:name="_Toc9603"/>
      <w:r>
        <w:rPr>
          <w:rFonts w:hint="eastAsia" w:ascii="宋体" w:hAnsi="宋体" w:eastAsia="宋体" w:cs="宋体"/>
          <w:b/>
          <w:color w:val="auto"/>
          <w:szCs w:val="21"/>
          <w:highlight w:val="none"/>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numPr>
                <w:ilvl w:val="0"/>
                <w:numId w:val="10"/>
              </w:numP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13"/>
              <w:numPr>
                <w:ilvl w:val="0"/>
                <w:numId w:val="10"/>
              </w:numPr>
              <w:ind w:left="0" w:leftChars="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0"/>
              </w:numPr>
              <w:tabs>
                <w:tab w:val="left" w:pos="531"/>
              </w:tabs>
              <w:snapToGrid w:val="0"/>
              <w:ind w:leftChars="0"/>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cs="宋体"/>
                <w:color w:val="auto"/>
                <w:szCs w:val="21"/>
                <w:highlight w:val="none"/>
              </w:rPr>
            </w:pPr>
            <w:r>
              <w:rPr>
                <w:rFonts w:hint="eastAsia"/>
                <w:color w:val="auto"/>
                <w:highlight w:val="none"/>
              </w:rPr>
              <w:t>报价以人民币为结算币种，《投标一览表》应包含税率、税额、税前及税后总金额。</w:t>
            </w:r>
            <w:r>
              <w:rPr>
                <w:rFonts w:hint="eastAsia" w:ascii="宋体" w:hAnsi="宋体" w:cs="宋体"/>
                <w:color w:val="auto"/>
                <w:szCs w:val="21"/>
                <w:highlight w:val="none"/>
              </w:rPr>
              <w:t>报价须包含完成本项目服务范围内所有服务内容所需的人工费、交通、住宿、餐费、差旅费及其它一切相关费用。</w:t>
            </w:r>
          </w:p>
          <w:p>
            <w:pPr>
              <w:numPr>
                <w:ilvl w:val="0"/>
                <w:numId w:val="11"/>
              </w:numPr>
              <w:tabs>
                <w:tab w:val="left" w:pos="531"/>
              </w:tabs>
              <w:snapToGrid w:val="0"/>
              <w:ind w:left="0" w:firstLine="0"/>
              <w:rPr>
                <w:rFonts w:hint="eastAsia" w:ascii="宋体" w:eastAsia="宋体"/>
                <w:color w:val="auto"/>
                <w:highlight w:val="none"/>
              </w:rPr>
            </w:pPr>
            <w:r>
              <w:rPr>
                <w:rFonts w:hint="eastAsia" w:ascii="宋体" w:eastAsia="宋体"/>
                <w:color w:val="auto"/>
                <w:highlight w:val="none"/>
              </w:rPr>
              <w:t>投标人须提供本项目报价一览表（含详细分项报价表）。</w:t>
            </w:r>
            <w:r>
              <w:rPr>
                <w:rFonts w:hint="eastAsia" w:ascii="宋体"/>
                <w:color w:val="auto"/>
                <w:highlight w:val="none"/>
                <w:lang w:val="en-US" w:eastAsia="zh-CN"/>
              </w:rPr>
              <w:t>备选媒体报价仅做参考不包含在本次投标报价总价内。</w:t>
            </w:r>
          </w:p>
          <w:p>
            <w:pPr>
              <w:numPr>
                <w:ilvl w:val="0"/>
                <w:numId w:val="11"/>
              </w:numPr>
              <w:tabs>
                <w:tab w:val="left" w:pos="531"/>
              </w:tabs>
              <w:snapToGrid w:val="0"/>
              <w:ind w:left="0" w:firstLine="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hint="eastAsia" w:ascii="宋体" w:hAnsi="宋体" w:eastAsia="宋体" w:cs="宋体"/>
                <w:color w:val="auto"/>
                <w:highlight w:val="none"/>
                <w:lang w:eastAsia="zh-CN"/>
              </w:rPr>
            </w:pPr>
            <w:r>
              <w:rPr>
                <w:rFonts w:hint="eastAsia" w:ascii="宋体" w:hAnsi="宋体" w:cs="宋体"/>
                <w:color w:val="auto"/>
                <w:szCs w:val="21"/>
                <w:highlight w:val="none"/>
              </w:rPr>
              <w:t>招标人不再另行支付其他任何费用。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rPr>
              <w:t>元（含</w:t>
            </w:r>
            <w:r>
              <w:rPr>
                <w:rFonts w:hint="eastAsia" w:ascii="宋体" w:hAnsi="宋体" w:cs="宋体"/>
                <w:color w:val="auto"/>
                <w:szCs w:val="21"/>
                <w:highlight w:val="none"/>
                <w:lang w:val="en-US" w:eastAsia="zh-CN"/>
              </w:rPr>
              <w:t>增值</w:t>
            </w:r>
            <w:r>
              <w:rPr>
                <w:rFonts w:hint="eastAsia" w:ascii="宋体" w:hAnsi="宋体" w:eastAsia="宋体" w:cs="宋体"/>
                <w:color w:val="auto"/>
                <w:szCs w:val="21"/>
                <w:highlight w:val="none"/>
              </w:rPr>
              <w:t>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Chars="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本项目分二次支付合同款。本项目签订合同后，招标人支付</w:t>
            </w:r>
            <w:r>
              <w:rPr>
                <w:rFonts w:hint="eastAsia" w:ascii="宋体" w:cs="宋体"/>
                <w:color w:val="auto"/>
                <w:highlight w:val="none"/>
                <w:lang w:val="en-US" w:eastAsia="zh-CN"/>
              </w:rPr>
              <w:t>30</w:t>
            </w:r>
            <w:r>
              <w:rPr>
                <w:rFonts w:hint="eastAsia" w:ascii="宋体" w:eastAsia="宋体" w:cs="宋体"/>
                <w:color w:val="auto"/>
                <w:highlight w:val="none"/>
                <w:lang w:val="en-US" w:eastAsia="zh-CN"/>
              </w:rPr>
              <w:t>%项目合同款；中标单位按合同要求完成本项目所有内容并验收合格，招标人支付合同剩余款项。</w:t>
            </w:r>
          </w:p>
          <w:p>
            <w:pPr>
              <w:numPr>
                <w:ilvl w:val="0"/>
                <w:numId w:val="12"/>
              </w:numPr>
              <w:tabs>
                <w:tab w:val="left" w:pos="531"/>
              </w:tabs>
              <w:snapToGrid w:val="0"/>
              <w:ind w:leftChars="0"/>
              <w:rPr>
                <w:rFonts w:hint="eastAsia" w:ascii="宋体" w:hAnsi="宋体" w:eastAsia="宋体" w:cs="宋体"/>
                <w:color w:val="auto"/>
                <w:highlight w:val="none"/>
                <w:lang w:eastAsia="zh-CN"/>
              </w:rPr>
            </w:pPr>
            <w:r>
              <w:rPr>
                <w:rFonts w:hint="eastAsia" w:ascii="宋体" w:eastAsia="宋体" w:cs="宋体"/>
                <w:color w:val="auto"/>
                <w:highlight w:val="none"/>
                <w:lang w:val="en-US" w:eastAsia="zh-CN"/>
              </w:rPr>
              <w:t>中标单位需提供全额或相应金额有效增值税发票。</w:t>
            </w:r>
          </w:p>
          <w:p>
            <w:pPr>
              <w:numPr>
                <w:ilvl w:val="0"/>
                <w:numId w:val="12"/>
              </w:numPr>
              <w:tabs>
                <w:tab w:val="left" w:pos="531"/>
              </w:tabs>
              <w:snapToGrid w:val="0"/>
              <w:ind w:leftChars="0"/>
              <w:rPr>
                <w:rFonts w:hint="eastAsia" w:ascii="宋体" w:hAnsi="宋体" w:eastAsia="宋体" w:cs="宋体"/>
                <w:color w:val="auto"/>
                <w:highlight w:val="none"/>
                <w:lang w:eastAsia="zh-CN"/>
              </w:rPr>
            </w:pPr>
            <w:r>
              <w:rPr>
                <w:rFonts w:hint="eastAsia" w:ascii="宋体" w:eastAsia="宋体" w:cs="宋体"/>
                <w:color w:val="auto"/>
                <w:highlight w:val="none"/>
                <w:lang w:val="en-US" w:eastAsia="zh-CN"/>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eastAsia="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highlight w:val="none"/>
              </w:rPr>
            </w:pPr>
            <w:r>
              <w:rPr>
                <w:rFonts w:hint="eastAsia" w:ascii="宋体" w:hAnsi="宋体" w:eastAsia="宋体" w:cs="宋体"/>
                <w:color w:val="auto"/>
                <w:szCs w:val="21"/>
                <w:highlight w:val="none"/>
              </w:rPr>
              <w:t>投标人须提供近两年（202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eastAsia="宋体" w:cs="宋体"/>
                <w:color w:val="auto"/>
                <w:szCs w:val="21"/>
                <w:highlight w:val="none"/>
                <w:lang w:val="en-US" w:eastAsia="zh-CN"/>
              </w:rPr>
              <w:t>6</w:t>
            </w:r>
            <w:r>
              <w:rPr>
                <w:rFonts w:hint="eastAsia" w:ascii="宋体" w:hAnsi="宋体" w:eastAsia="宋体" w:cs="宋体"/>
                <w:color w:val="auto"/>
                <w:szCs w:val="21"/>
                <w:highlight w:val="none"/>
              </w:rPr>
              <w:t>月1日至招标公告发布之日，以合同签订时间为准）在专业展览、会议、场馆承接</w:t>
            </w:r>
            <w:r>
              <w:rPr>
                <w:rFonts w:hint="eastAsia" w:ascii="宋体" w:hAnsi="宋体" w:eastAsia="宋体" w:cs="宋体"/>
                <w:color w:val="auto"/>
                <w:kern w:val="0"/>
                <w:szCs w:val="21"/>
                <w:highlight w:val="none"/>
              </w:rPr>
              <w:t>展会、会议宣传项目</w:t>
            </w:r>
            <w:r>
              <w:rPr>
                <w:rFonts w:hint="eastAsia" w:ascii="宋体" w:hAnsi="宋体" w:eastAsia="宋体" w:cs="宋体"/>
                <w:color w:val="auto"/>
                <w:szCs w:val="21"/>
                <w:highlight w:val="none"/>
              </w:rPr>
              <w:t>服务的合作项目案例。（提供合同关键页复印件加盖公章,</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合同关键页包含但不限于项目名称、业主方名称、合同主要内容、签订时间、履约地点、甲乙双方盖章等信息）</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中标方提供《深圳会展中心第二十</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届高交会</w:t>
            </w:r>
            <w:r>
              <w:rPr>
                <w:rFonts w:hint="eastAsia" w:ascii="宋体" w:hAnsi="宋体" w:cs="Times New Roman"/>
                <w:color w:val="auto"/>
                <w:szCs w:val="21"/>
                <w:highlight w:val="none"/>
              </w:rPr>
              <w:t>IT展</w:t>
            </w:r>
            <w:r>
              <w:rPr>
                <w:rFonts w:hint="eastAsia" w:ascii="宋体" w:hAnsi="宋体"/>
                <w:color w:val="auto"/>
                <w:szCs w:val="21"/>
                <w:highlight w:val="none"/>
                <w:lang w:val="en-US" w:eastAsia="zh-CN"/>
              </w:rPr>
              <w:t>数字经济和智能终端</w:t>
            </w:r>
            <w:r>
              <w:rPr>
                <w:rFonts w:hint="eastAsia" w:ascii="宋体" w:hAnsi="宋体" w:cs="宋体"/>
                <w:color w:val="auto"/>
                <w:szCs w:val="21"/>
                <w:highlight w:val="none"/>
                <w:lang w:val="en-US" w:eastAsia="zh-CN"/>
              </w:rPr>
              <w:t>领域</w:t>
            </w:r>
            <w:r>
              <w:rPr>
                <w:rFonts w:hint="eastAsia" w:ascii="宋体" w:hAnsi="宋体" w:eastAsia="宋体" w:cs="宋体"/>
                <w:color w:val="auto"/>
                <w:szCs w:val="21"/>
                <w:highlight w:val="none"/>
              </w:rPr>
              <w:t>行业垂直媒体投放服务计划及报价表》执行相关软文撰写工作，执行过程中，提供月报，数据/截屏/软文地址链接清单等的成果汇报，最终形成结案报告：</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（1）网站类媒体提供的广告投放证明及广告投放当日截屏（至少须提供投放开始日、中间日、结束日三天截屏）；</w:t>
            </w:r>
          </w:p>
          <w:p>
            <w:pPr>
              <w:numPr>
                <w:ilvl w:val="0"/>
                <w:numId w:val="0"/>
              </w:numPr>
              <w:tabs>
                <w:tab w:val="left" w:pos="531"/>
              </w:tabs>
              <w:snapToGrid w:val="0"/>
              <w:ind w:leftChars="0"/>
              <w:rPr>
                <w:rFonts w:hint="eastAsia"/>
                <w:color w:val="auto"/>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提供软文撰稿投放媒体链接地址清单。若投放媒体链接地址异常，须提供投放媒体软文网页截屏；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（3）乙方须注重软文在专业网络媒体的发布效果，保证每篇软文应不少于</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家媒体的软文链接能被百度或360搜索引擎收录，以截屏为准；</w:t>
            </w:r>
          </w:p>
          <w:p>
            <w:pPr>
              <w:pStyle w:val="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eastAsia="宋体" w:cs="宋体"/>
                <w:color w:val="auto"/>
                <w:kern w:val="2"/>
                <w:sz w:val="21"/>
                <w:szCs w:val="21"/>
                <w:highlight w:val="none"/>
                <w:lang w:val="en-US" w:eastAsia="zh-CN" w:bidi="ar-SA"/>
              </w:rPr>
              <w:t>专业网络软文</w:t>
            </w:r>
            <w:r>
              <w:rPr>
                <w:rFonts w:hint="eastAsia" w:ascii="宋体" w:hAnsi="宋体" w:eastAsia="宋体" w:cs="宋体"/>
                <w:color w:val="auto"/>
                <w:highlight w:val="none"/>
                <w:lang w:val="en-US" w:eastAsia="zh-CN"/>
              </w:rPr>
              <w:t>投放专业网络媒体至少6家（不超过10家）和备用专业网络媒体3家</w:t>
            </w:r>
            <w:r>
              <w:rPr>
                <w:rFonts w:hint="eastAsia" w:ascii="宋体" w:eastAsia="宋体" w:cs="宋体"/>
                <w:color w:val="auto"/>
                <w:highlight w:val="none"/>
                <w:lang w:val="en-US" w:eastAsia="zh-CN"/>
              </w:rPr>
              <w:t>，撰写</w:t>
            </w:r>
            <w:r>
              <w:rPr>
                <w:rFonts w:ascii="宋体" w:hAnsi="宋体" w:eastAsia="宋体" w:cs="宋体"/>
                <w:color w:val="auto"/>
                <w:highlight w:val="none"/>
              </w:rPr>
              <w:t>专业性的软文不少于</w:t>
            </w:r>
            <w:r>
              <w:rPr>
                <w:rFonts w:hint="eastAsia" w:ascii="宋体" w:hAnsi="宋体" w:eastAsia="宋体" w:cs="宋体"/>
                <w:color w:val="auto"/>
                <w:highlight w:val="none"/>
                <w:lang w:val="en-US" w:eastAsia="zh-CN"/>
              </w:rPr>
              <w:t>11</w:t>
            </w:r>
            <w:r>
              <w:rPr>
                <w:rFonts w:ascii="宋体" w:hAnsi="宋体" w:eastAsia="宋体" w:cs="宋体"/>
                <w:color w:val="auto"/>
                <w:highlight w:val="none"/>
              </w:rPr>
              <w:t>篇</w:t>
            </w:r>
            <w:r>
              <w:rPr>
                <w:rFonts w:hint="eastAsia" w:ascii="宋体" w:eastAsia="宋体" w:cs="宋体"/>
                <w:color w:val="auto"/>
                <w:highlight w:val="none"/>
                <w:lang w:eastAsia="zh-CN"/>
              </w:rPr>
              <w:t>，</w:t>
            </w:r>
            <w:r>
              <w:rPr>
                <w:rFonts w:ascii="宋体" w:hAnsi="宋体" w:eastAsia="宋体" w:cs="宋体"/>
                <w:color w:val="auto"/>
                <w:highlight w:val="none"/>
              </w:rPr>
              <w:t>累计至少投放</w:t>
            </w:r>
            <w:r>
              <w:rPr>
                <w:rFonts w:hint="eastAsia" w:ascii="宋体" w:hAnsi="宋体" w:eastAsia="宋体" w:cs="宋体"/>
                <w:color w:val="auto"/>
                <w:highlight w:val="none"/>
                <w:lang w:val="en-US" w:eastAsia="zh-CN"/>
              </w:rPr>
              <w:t>66</w:t>
            </w:r>
            <w:r>
              <w:rPr>
                <w:rFonts w:ascii="宋体" w:hAnsi="宋体" w:eastAsia="宋体" w:cs="宋体"/>
                <w:color w:val="auto"/>
                <w:highlight w:val="none"/>
              </w:rPr>
              <w:t>篇次；</w:t>
            </w:r>
            <w:r>
              <w:rPr>
                <w:rFonts w:hint="eastAsia" w:ascii="宋体" w:eastAsia="宋体" w:cs="宋体"/>
                <w:color w:val="auto"/>
                <w:kern w:val="2"/>
                <w:sz w:val="21"/>
                <w:szCs w:val="21"/>
                <w:highlight w:val="none"/>
                <w:lang w:val="en-US" w:eastAsia="zh-CN" w:bidi="ar-SA"/>
              </w:rPr>
              <w:t>新媒体软文</w:t>
            </w:r>
            <w:r>
              <w:rPr>
                <w:rFonts w:hint="eastAsia" w:ascii="宋体" w:hAnsi="宋体" w:eastAsia="宋体" w:cs="宋体"/>
                <w:color w:val="auto"/>
                <w:highlight w:val="none"/>
                <w:lang w:val="en-US" w:eastAsia="zh-CN"/>
              </w:rPr>
              <w:t>投放新媒体至少20家（不超过30家）和备用新媒体5家</w:t>
            </w:r>
            <w:r>
              <w:rPr>
                <w:rFonts w:hint="eastAsia" w:ascii="宋体" w:eastAsia="宋体" w:cs="宋体"/>
                <w:color w:val="auto"/>
                <w:kern w:val="2"/>
                <w:sz w:val="21"/>
                <w:szCs w:val="21"/>
                <w:highlight w:val="none"/>
                <w:lang w:val="en-US" w:eastAsia="zh-CN" w:bidi="ar-SA"/>
              </w:rPr>
              <w:t>验收媒体，撰写</w:t>
            </w:r>
            <w:r>
              <w:rPr>
                <w:rFonts w:ascii="宋体" w:hAnsi="宋体" w:eastAsia="宋体" w:cs="宋体"/>
                <w:color w:val="auto"/>
                <w:highlight w:val="none"/>
              </w:rPr>
              <w:t>专业性的软文不少于</w:t>
            </w:r>
            <w:r>
              <w:rPr>
                <w:rFonts w:hint="eastAsia" w:ascii="宋体" w:hAnsi="宋体" w:eastAsia="宋体" w:cs="宋体"/>
                <w:color w:val="auto"/>
                <w:highlight w:val="none"/>
                <w:lang w:val="en-US" w:eastAsia="zh-CN"/>
              </w:rPr>
              <w:t>11</w:t>
            </w:r>
            <w:r>
              <w:rPr>
                <w:rFonts w:ascii="宋体" w:hAnsi="宋体" w:eastAsia="宋体" w:cs="宋体"/>
                <w:color w:val="auto"/>
                <w:highlight w:val="none"/>
              </w:rPr>
              <w:t>篇</w:t>
            </w:r>
            <w:r>
              <w:rPr>
                <w:rFonts w:hint="eastAsia" w:ascii="宋体" w:eastAsia="宋体" w:cs="宋体"/>
                <w:color w:val="auto"/>
                <w:highlight w:val="none"/>
                <w:lang w:eastAsia="zh-CN"/>
              </w:rPr>
              <w:t>，</w:t>
            </w:r>
            <w:r>
              <w:rPr>
                <w:rFonts w:ascii="宋体" w:hAnsi="宋体" w:eastAsia="宋体" w:cs="宋体"/>
                <w:color w:val="auto"/>
                <w:highlight w:val="none"/>
              </w:rPr>
              <w:t>累计至少投放</w:t>
            </w:r>
            <w:r>
              <w:rPr>
                <w:rFonts w:hint="eastAsia" w:ascii="宋体" w:eastAsia="宋体" w:cs="宋体"/>
                <w:color w:val="auto"/>
                <w:highlight w:val="none"/>
                <w:lang w:val="en-US" w:eastAsia="zh-CN"/>
              </w:rPr>
              <w:t>220</w:t>
            </w:r>
            <w:r>
              <w:rPr>
                <w:rFonts w:ascii="宋体" w:hAnsi="宋体" w:eastAsia="宋体" w:cs="宋体"/>
                <w:color w:val="auto"/>
                <w:highlight w:val="none"/>
              </w:rPr>
              <w:t>篇次</w:t>
            </w:r>
            <w:r>
              <w:rPr>
                <w:rFonts w:hint="eastAsia" w:ascii="宋体" w:eastAsia="宋体" w:cs="宋体"/>
                <w:color w:val="auto"/>
                <w:kern w:val="2"/>
                <w:sz w:val="21"/>
                <w:szCs w:val="21"/>
                <w:highlight w:val="none"/>
                <w:lang w:val="en-US" w:eastAsia="zh-CN" w:bidi="ar-SA"/>
              </w:rPr>
              <w:t>，所投放媒体平台要求入选媒体清单或备用媒体清单。</w:t>
            </w:r>
          </w:p>
          <w:p>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乙方</w:t>
            </w:r>
            <w:r>
              <w:rPr>
                <w:rFonts w:hint="eastAsia" w:ascii="宋体" w:eastAsia="宋体" w:cs="宋体"/>
                <w:color w:val="auto"/>
                <w:szCs w:val="21"/>
                <w:highlight w:val="none"/>
                <w:lang w:val="en-US" w:eastAsia="zh-CN"/>
              </w:rPr>
              <w:t>至少制作12条视频，每条视频至少在10家媒体上发布，每条视频小计播放量至少为5000次。</w:t>
            </w:r>
            <w:r>
              <w:rPr>
                <w:rFonts w:hint="eastAsia" w:ascii="宋体" w:hAnsi="宋体" w:eastAsia="宋体" w:cs="宋体"/>
                <w:color w:val="auto"/>
                <w:kern w:val="2"/>
                <w:sz w:val="21"/>
                <w:szCs w:val="21"/>
                <w:highlight w:val="none"/>
                <w:lang w:val="en-US" w:eastAsia="zh-CN" w:bidi="ar-SA"/>
              </w:rPr>
              <w:t>须提供短视频投放媒体链接地址清单和综合类短视频平台投放截图。若投放媒体链接地址异常，须提供投放媒体视频截屏</w:t>
            </w:r>
            <w:r>
              <w:rPr>
                <w:rFonts w:hint="eastAsia" w:asci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）增值服务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执行情况：</w:t>
            </w:r>
            <w:r>
              <w:rPr>
                <w:rFonts w:hint="eastAsia" w:ascii="宋体" w:eastAsia="宋体" w:cs="宋体"/>
                <w:color w:val="auto"/>
                <w:szCs w:val="21"/>
                <w:highlight w:val="none"/>
                <w:lang w:val="en-US" w:eastAsia="zh-CN"/>
              </w:rPr>
              <w:t>提供增值服务</w:t>
            </w:r>
            <w:r>
              <w:rPr>
                <w:rFonts w:hint="eastAsia" w:ascii="宋体" w:hAnsi="宋体" w:eastAsia="宋体" w:cs="宋体"/>
                <w:color w:val="auto"/>
                <w:szCs w:val="21"/>
                <w:highlight w:val="none"/>
                <w:lang w:val="en-US" w:eastAsia="zh-CN"/>
              </w:rPr>
              <w:t>发布</w:t>
            </w:r>
            <w:r>
              <w:rPr>
                <w:rFonts w:hint="eastAsia" w:ascii="宋体" w:hAnsi="宋体" w:eastAsia="宋体" w:cs="宋体"/>
                <w:color w:val="auto"/>
                <w:szCs w:val="21"/>
                <w:highlight w:val="none"/>
              </w:rPr>
              <w:t>媒体清单、发布截图、链接或执行现场照片等证明依据。</w:t>
            </w:r>
          </w:p>
          <w:p>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eastAsia="宋体" w:cs="宋体"/>
                <w:color w:val="auto"/>
                <w:szCs w:val="21"/>
                <w:highlight w:val="none"/>
                <w:lang w:val="en-US" w:eastAsia="zh-CN"/>
              </w:rPr>
              <w:t>7</w:t>
            </w:r>
            <w:r>
              <w:rPr>
                <w:rFonts w:hint="eastAsia" w:ascii="宋体" w:hAnsi="宋体" w:eastAsia="宋体" w:cs="宋体"/>
                <w:color w:val="auto"/>
                <w:szCs w:val="21"/>
                <w:highlight w:val="none"/>
              </w:rPr>
              <w:t>）提供关于合作项目合作情况的总结。</w:t>
            </w:r>
          </w:p>
          <w:p>
            <w:pPr>
              <w:pStyle w:val="13"/>
              <w:rPr>
                <w:rFonts w:hint="default" w:ascii="宋体" w:hAnsi="宋体" w:eastAsia="宋体" w:cs="宋体"/>
                <w:color w:val="auto"/>
                <w:szCs w:val="21"/>
                <w:highlight w:val="none"/>
                <w:lang w:val="en-US" w:eastAsia="zh-CN"/>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8</w:t>
            </w: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本项目宣传方案一经确定不得随意更改，对中标企业承诺媒体如发生变化招标人有权不支付相关变化部分的费用。如对招标人利益造成损失的，招标人有权向中标人提出赔偿。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cs="宋体"/>
                <w:color w:val="auto"/>
                <w:szCs w:val="21"/>
                <w:highlight w:val="none"/>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6"/>
              <w:numPr>
                <w:ilvl w:val="0"/>
                <w:numId w:val="13"/>
              </w:numPr>
              <w:tabs>
                <w:tab w:val="left" w:pos="531"/>
              </w:tabs>
              <w:snapToGrid w:val="0"/>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6"/>
              <w:numPr>
                <w:ilvl w:val="0"/>
                <w:numId w:val="13"/>
              </w:numPr>
              <w:tabs>
                <w:tab w:val="left" w:pos="531"/>
              </w:tabs>
              <w:snapToGrid w:val="0"/>
              <w:ind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如因不可抗力导致本届高交会会期或其它相关事项发生变动的，投标人须无条件配合调整相关服务（如增减服务内容、延期等），同时签订相应的补充协议。</w:t>
            </w:r>
          </w:p>
          <w:p>
            <w:pPr>
              <w:pStyle w:val="26"/>
              <w:numPr>
                <w:ilvl w:val="0"/>
                <w:numId w:val="13"/>
              </w:numPr>
              <w:tabs>
                <w:tab w:val="left" w:pos="531"/>
              </w:tabs>
              <w:snapToGrid w:val="0"/>
              <w:ind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snapToGrid/>
                <w:color w:val="auto"/>
                <w:spacing w:val="0"/>
                <w:kern w:val="2"/>
                <w:sz w:val="21"/>
                <w:szCs w:val="21"/>
                <w:highlight w:val="none"/>
              </w:rPr>
              <w:t>项目范围</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highlight w:val="none"/>
              </w:rPr>
            </w:pPr>
            <w:r>
              <w:rPr>
                <w:rFonts w:hint="eastAsia" w:ascii="宋体" w:hAnsi="宋体" w:cs="宋体"/>
                <w:color w:val="auto"/>
                <w:highlight w:val="none"/>
              </w:rPr>
              <w:t>中标单位负责设计硬广、撰写软文、</w:t>
            </w:r>
            <w:r>
              <w:rPr>
                <w:rFonts w:hint="eastAsia" w:ascii="宋体" w:hAnsi="宋体" w:cs="宋体"/>
                <w:color w:val="auto"/>
                <w:highlight w:val="none"/>
                <w:lang w:val="en-US" w:eastAsia="zh-CN"/>
              </w:rPr>
              <w:t>视频制作、</w:t>
            </w:r>
            <w:r>
              <w:rPr>
                <w:rFonts w:ascii="宋体" w:hAnsi="宋体" w:cs="宋体"/>
                <w:color w:val="auto"/>
                <w:highlight w:val="none"/>
              </w:rPr>
              <w:t>专业网络媒体上发布展会信息</w:t>
            </w:r>
            <w:r>
              <w:rPr>
                <w:rFonts w:hint="eastAsia" w:ascii="宋体" w:hAnsi="宋体" w:cs="宋体"/>
                <w:color w:val="auto"/>
                <w:highlight w:val="none"/>
              </w:rPr>
              <w:t>、</w:t>
            </w:r>
            <w:r>
              <w:rPr>
                <w:rFonts w:ascii="宋体" w:hAnsi="宋体" w:cs="宋体"/>
                <w:color w:val="auto"/>
                <w:highlight w:val="none"/>
              </w:rPr>
              <w:t>专业展会网站发布展会信息</w:t>
            </w:r>
            <w:r>
              <w:rPr>
                <w:rFonts w:hint="eastAsia" w:ascii="宋体"/>
                <w:color w:val="auto"/>
                <w:highlight w:val="none"/>
              </w:rPr>
              <w:t>等宣传</w:t>
            </w:r>
            <w:r>
              <w:rPr>
                <w:rFonts w:hint="eastAsia" w:ascii="宋体"/>
                <w:color w:val="auto"/>
                <w:highlight w:val="none"/>
                <w:lang w:val="en-US" w:eastAsia="zh-CN"/>
              </w:rPr>
              <w:t>投放</w:t>
            </w:r>
            <w:r>
              <w:rPr>
                <w:rFonts w:hint="eastAsia" w:ascii="宋体"/>
                <w:color w:val="auto"/>
                <w:highlight w:val="none"/>
              </w:rPr>
              <w:t>服务的执行。</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rPr>
              <w:t>项目要求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6"/>
              <w:numPr>
                <w:ilvl w:val="255"/>
                <w:numId w:val="0"/>
              </w:numPr>
              <w:spacing w:line="240" w:lineRule="auto"/>
              <w:rPr>
                <w:rFonts w:hint="default"/>
                <w:lang w:val="en-US"/>
              </w:rPr>
            </w:pPr>
            <w:r>
              <w:t>宣传服务方案要突出</w:t>
            </w:r>
            <w:r>
              <w:rPr>
                <w:rFonts w:hint="eastAsia"/>
                <w:lang w:val="en-US" w:eastAsia="zh-CN"/>
              </w:rPr>
              <w:t>数字经济和智能终端领域</w:t>
            </w:r>
            <w:r>
              <w:t>的专业性</w:t>
            </w:r>
            <w:r>
              <w:rPr>
                <w:rFonts w:hint="eastAsia"/>
                <w:lang w:val="en-US" w:eastAsia="zh-CN"/>
              </w:rPr>
              <w:t>：</w:t>
            </w:r>
          </w:p>
          <w:p>
            <w:pPr>
              <w:pStyle w:val="26"/>
              <w:numPr>
                <w:ilvl w:val="255"/>
                <w:numId w:val="0"/>
              </w:numPr>
            </w:pPr>
            <w:r>
              <w:rPr>
                <w:rFonts w:hint="eastAsia"/>
              </w:rPr>
              <w:t>（1）投放要求：</w:t>
            </w:r>
          </w:p>
          <w:p>
            <w:pPr>
              <w:pStyle w:val="26"/>
              <w:numPr>
                <w:ilvl w:val="255"/>
                <w:numId w:val="0"/>
              </w:numPr>
              <w:ind w:firstLine="420" w:firstLineChars="200"/>
            </w:pPr>
            <w:r>
              <w:rPr>
                <w:rFonts w:hint="eastAsia"/>
              </w:rPr>
              <w:t>1）</w:t>
            </w:r>
            <w:r>
              <w:t>网络广告：在专业媒体网站和新媒体中选择至少</w:t>
            </w:r>
            <w:r>
              <w:rPr>
                <w:rFonts w:hint="eastAsia"/>
                <w:lang w:val="en-US" w:eastAsia="zh-CN"/>
              </w:rPr>
              <w:t>4</w:t>
            </w:r>
            <w:r>
              <w:t>家媒体投放，时长3个月（计划在</w:t>
            </w:r>
            <w:r>
              <w:rPr>
                <w:rFonts w:hint="eastAsia"/>
                <w:lang w:val="en-US" w:eastAsia="zh-CN"/>
              </w:rPr>
              <w:t>9</w:t>
            </w:r>
            <w:r>
              <w:t>月</w:t>
            </w:r>
            <w:r>
              <w:rPr>
                <w:rFonts w:hint="eastAsia"/>
                <w:lang w:val="en-US" w:eastAsia="zh-CN"/>
              </w:rPr>
              <w:t>底</w:t>
            </w:r>
            <w:r>
              <w:t xml:space="preserve">前完成）； </w:t>
            </w:r>
          </w:p>
          <w:p>
            <w:pPr>
              <w:pStyle w:val="26"/>
              <w:numPr>
                <w:ilvl w:val="255"/>
                <w:numId w:val="0"/>
              </w:numPr>
              <w:ind w:firstLine="420" w:firstLineChars="200"/>
            </w:pPr>
            <w:r>
              <w:rPr>
                <w:rFonts w:hint="eastAsia"/>
              </w:rPr>
              <w:t>2）</w:t>
            </w:r>
            <w:r>
              <w:t>专业网络媒体软文：软文不少于</w:t>
            </w:r>
            <w:r>
              <w:rPr>
                <w:rFonts w:hint="eastAsia"/>
                <w:lang w:val="en-US" w:eastAsia="zh-CN"/>
              </w:rPr>
              <w:t>11</w:t>
            </w:r>
            <w:r>
              <w:t>篇，每篇软文至少在</w:t>
            </w:r>
            <w:r>
              <w:rPr>
                <w:rFonts w:hint="eastAsia"/>
                <w:lang w:val="en-US" w:eastAsia="zh-CN"/>
              </w:rPr>
              <w:t>6</w:t>
            </w:r>
            <w:r>
              <w:t>家</w:t>
            </w:r>
            <w:r>
              <w:rPr>
                <w:rFonts w:hint="eastAsia"/>
                <w:lang w:val="en-US" w:eastAsia="zh-CN"/>
              </w:rPr>
              <w:t>专</w:t>
            </w:r>
            <w:r>
              <w:t>业网络媒体上发布</w:t>
            </w:r>
            <w:r>
              <w:rPr>
                <w:rFonts w:hint="eastAsia"/>
                <w:lang w:eastAsia="zh-CN"/>
              </w:rPr>
              <w:t>，</w:t>
            </w:r>
            <w:r>
              <w:t>累计至少投放</w:t>
            </w:r>
            <w:r>
              <w:rPr>
                <w:rFonts w:hint="eastAsia"/>
                <w:lang w:val="en-US" w:eastAsia="zh-CN"/>
              </w:rPr>
              <w:t>66</w:t>
            </w:r>
            <w:r>
              <w:t>篇次</w:t>
            </w:r>
            <w:r>
              <w:rPr>
                <w:rFonts w:hint="eastAsia"/>
                <w:lang w:eastAsia="zh-CN"/>
              </w:rPr>
              <w:t>；</w:t>
            </w:r>
            <w:r>
              <w:t xml:space="preserve"> </w:t>
            </w:r>
          </w:p>
          <w:p>
            <w:pPr>
              <w:pStyle w:val="26"/>
              <w:numPr>
                <w:ilvl w:val="255"/>
                <w:numId w:val="0"/>
              </w:numPr>
              <w:ind w:firstLine="420" w:firstLineChars="200"/>
            </w:pPr>
            <w:r>
              <w:rPr>
                <w:rFonts w:hint="eastAsia"/>
              </w:rPr>
              <w:t>3）</w:t>
            </w:r>
            <w:r>
              <w:t>新媒体软文：投放软文不少于</w:t>
            </w:r>
            <w:r>
              <w:rPr>
                <w:rFonts w:hint="eastAsia"/>
                <w:lang w:val="en-US" w:eastAsia="zh-CN"/>
              </w:rPr>
              <w:t>11</w:t>
            </w:r>
            <w:r>
              <w:t>篇，每篇至少投放</w:t>
            </w:r>
            <w:r>
              <w:rPr>
                <w:rFonts w:hint="eastAsia"/>
                <w:lang w:val="en-US" w:eastAsia="zh-CN"/>
              </w:rPr>
              <w:t>20</w:t>
            </w:r>
            <w:r>
              <w:t>家行业APP、公众号等新媒体，累计至少共投放</w:t>
            </w:r>
            <w:r>
              <w:rPr>
                <w:rFonts w:hint="eastAsia"/>
                <w:lang w:val="en-US" w:eastAsia="zh-CN"/>
              </w:rPr>
              <w:t>220</w:t>
            </w:r>
            <w:r>
              <w:t>篇次</w:t>
            </w:r>
            <w:r>
              <w:rPr>
                <w:rFonts w:hint="eastAsia"/>
                <w:lang w:val="en-US" w:eastAsia="zh-CN"/>
              </w:rPr>
              <w:t>；</w:t>
            </w:r>
          </w:p>
          <w:p>
            <w:pPr>
              <w:pStyle w:val="26"/>
              <w:bidi w:val="0"/>
            </w:pPr>
            <w:r>
              <w:rPr>
                <w:rFonts w:hint="eastAsia"/>
                <w:lang w:val="en-US" w:eastAsia="zh-CN"/>
              </w:rPr>
              <w:t>4)视频制作与投放：至少制作12条视频，每条视频至少在10家媒体上发布，每条视频小计播放量至少为5000次。</w:t>
            </w:r>
          </w:p>
          <w:p>
            <w:pPr>
              <w:tabs>
                <w:tab w:val="left" w:pos="531"/>
              </w:tabs>
              <w:snapToGrid w:val="0"/>
              <w:rPr>
                <w:rFonts w:hint="default" w:eastAsia="宋体"/>
                <w:lang w:val="en-US" w:eastAsia="zh-CN"/>
              </w:rPr>
            </w:pPr>
            <w:r>
              <w:rPr>
                <w:rFonts w:hint="eastAsia"/>
              </w:rPr>
              <w:t>（</w:t>
            </w:r>
            <w:r>
              <w:rPr>
                <w:rFonts w:hint="eastAsia"/>
                <w:lang w:val="en-US" w:eastAsia="zh-CN"/>
              </w:rPr>
              <w:t>2</w:t>
            </w:r>
            <w:r>
              <w:rPr>
                <w:rFonts w:hint="eastAsia"/>
              </w:rPr>
              <w:t>）投标人需提供本项目宣传方案及详细的媒体投放计划安排表。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cs="宋体"/>
                <w:color w:val="auto"/>
                <w:szCs w:val="21"/>
                <w:highlight w:val="none"/>
              </w:rPr>
              <w:t>服务时间要求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color w:val="auto"/>
                <w:highlight w:val="none"/>
              </w:rPr>
            </w:pPr>
            <w:r>
              <w:rPr>
                <w:rFonts w:hint="eastAsia" w:ascii="宋体" w:hAnsi="宋体" w:cs="宋体"/>
                <w:color w:val="auto"/>
                <w:highlight w:val="none"/>
              </w:rPr>
              <w:t>（1）项目实施时长：</w:t>
            </w:r>
            <w:r>
              <w:rPr>
                <w:rFonts w:hint="eastAsia" w:ascii="宋体" w:hAnsi="宋体" w:eastAsia="宋体" w:cs="Times New Roman"/>
                <w:color w:val="auto"/>
                <w:kern w:val="2"/>
                <w:sz w:val="21"/>
                <w:szCs w:val="24"/>
                <w:highlight w:val="none"/>
                <w:lang w:val="en-US" w:eastAsia="zh-CN" w:bidi="ar-SA"/>
              </w:rPr>
              <w:t>从合作签约生效起至11月底，计划从</w:t>
            </w:r>
            <w:r>
              <w:rPr>
                <w:rFonts w:hint="eastAsia" w:ascii="宋体" w:hAnsi="宋体" w:cs="Times New Roman"/>
                <w:color w:val="auto"/>
                <w:kern w:val="2"/>
                <w:sz w:val="21"/>
                <w:szCs w:val="24"/>
                <w:highlight w:val="none"/>
                <w:lang w:val="en-US" w:eastAsia="zh-CN" w:bidi="ar-SA"/>
              </w:rPr>
              <w:t>7</w:t>
            </w:r>
            <w:r>
              <w:rPr>
                <w:rFonts w:hint="eastAsia" w:ascii="宋体" w:hAnsi="宋体" w:eastAsia="宋体" w:cs="Times New Roman"/>
                <w:color w:val="auto"/>
                <w:kern w:val="2"/>
                <w:sz w:val="21"/>
                <w:szCs w:val="24"/>
                <w:highlight w:val="none"/>
                <w:lang w:val="en-US" w:eastAsia="zh-CN" w:bidi="ar-SA"/>
              </w:rPr>
              <w:t>月到11月30日。</w:t>
            </w:r>
          </w:p>
          <w:p>
            <w:pPr>
              <w:numPr>
                <w:ilvl w:val="255"/>
                <w:numId w:val="0"/>
              </w:numPr>
              <w:tabs>
                <w:tab w:val="left" w:pos="531"/>
              </w:tabs>
              <w:snapToGrid w:val="0"/>
              <w:rPr>
                <w:color w:val="auto"/>
                <w:highlight w:val="none"/>
              </w:rPr>
            </w:pPr>
            <w:r>
              <w:rPr>
                <w:rFonts w:hint="eastAsia"/>
                <w:color w:val="auto"/>
                <w:highlight w:val="none"/>
              </w:rPr>
              <w:t>（2）中标单位的硬广设计方案需在</w:t>
            </w:r>
            <w:r>
              <w:rPr>
                <w:rFonts w:hint="eastAsia"/>
                <w:color w:val="auto"/>
                <w:highlight w:val="none"/>
                <w:lang w:val="en-US" w:eastAsia="zh-CN"/>
              </w:rPr>
              <w:t>中标通知书发放</w:t>
            </w:r>
            <w:r>
              <w:rPr>
                <w:rFonts w:hint="eastAsia"/>
                <w:color w:val="auto"/>
                <w:highlight w:val="none"/>
              </w:rPr>
              <w:t>后10个工作日内提交给采购人审核，经采购人确认后方可在媒体投放，且在</w:t>
            </w:r>
            <w:r>
              <w:rPr>
                <w:rFonts w:hint="eastAsia"/>
                <w:color w:val="auto"/>
                <w:highlight w:val="none"/>
                <w:lang w:val="en-US" w:eastAsia="zh-CN"/>
              </w:rPr>
              <w:t>9</w:t>
            </w:r>
            <w:r>
              <w:rPr>
                <w:rFonts w:hint="eastAsia"/>
                <w:color w:val="auto"/>
                <w:highlight w:val="none"/>
              </w:rPr>
              <w:t>月30日前投放完成。</w:t>
            </w:r>
          </w:p>
          <w:p>
            <w:pPr>
              <w:numPr>
                <w:ilvl w:val="255"/>
                <w:numId w:val="0"/>
              </w:numPr>
              <w:rPr>
                <w:color w:val="auto"/>
                <w:highlight w:val="none"/>
              </w:rPr>
            </w:pPr>
            <w:r>
              <w:rPr>
                <w:rFonts w:hint="eastAsia"/>
                <w:color w:val="auto"/>
                <w:highlight w:val="none"/>
              </w:rPr>
              <w:t>（3）</w:t>
            </w:r>
            <w:r>
              <w:rPr>
                <w:rFonts w:hint="eastAsia" w:ascii="宋体" w:hAnsi="宋体" w:cs="宋体"/>
                <w:color w:val="auto"/>
                <w:highlight w:val="none"/>
              </w:rPr>
              <w:t>投标人须在合同约定期限内（自签订合同之日起至</w:t>
            </w:r>
            <w:r>
              <w:rPr>
                <w:rFonts w:hint="eastAsia"/>
                <w:color w:val="auto"/>
                <w:highlight w:val="none"/>
              </w:rPr>
              <w:t>11月30日）完成不少于</w:t>
            </w:r>
            <w:r>
              <w:rPr>
                <w:rFonts w:hint="eastAsia"/>
                <w:color w:val="auto"/>
                <w:highlight w:val="none"/>
                <w:lang w:val="en-US" w:eastAsia="zh-CN"/>
              </w:rPr>
              <w:t>11</w:t>
            </w:r>
            <w:r>
              <w:rPr>
                <w:rFonts w:hint="eastAsia"/>
                <w:color w:val="auto"/>
                <w:highlight w:val="none"/>
              </w:rPr>
              <w:t>篇软文的</w:t>
            </w:r>
            <w:r>
              <w:rPr>
                <w:rFonts w:hint="eastAsia"/>
                <w:color w:val="auto"/>
                <w:highlight w:val="none"/>
                <w:lang w:val="en-US" w:eastAsia="zh-CN"/>
              </w:rPr>
              <w:t>设计、</w:t>
            </w:r>
            <w:r>
              <w:rPr>
                <w:rFonts w:hint="eastAsia"/>
                <w:color w:val="auto"/>
                <w:highlight w:val="none"/>
              </w:rPr>
              <w:t>撰写、编辑，且经采购人确认</w:t>
            </w:r>
            <w:r>
              <w:rPr>
                <w:rFonts w:hint="eastAsia"/>
                <w:color w:val="auto"/>
                <w:highlight w:val="none"/>
                <w:lang w:val="en-US" w:eastAsia="zh-CN"/>
              </w:rPr>
              <w:t>后</w:t>
            </w:r>
            <w:r>
              <w:rPr>
                <w:rFonts w:hint="eastAsia"/>
                <w:color w:val="auto"/>
                <w:highlight w:val="none"/>
              </w:rPr>
              <w:t>方可投放。其中，前</w:t>
            </w:r>
            <w:r>
              <w:rPr>
                <w:rFonts w:hint="eastAsia"/>
                <w:color w:val="auto"/>
                <w:highlight w:val="none"/>
                <w:lang w:val="en-US" w:eastAsia="zh-CN"/>
              </w:rPr>
              <w:t>9</w:t>
            </w:r>
            <w:r>
              <w:rPr>
                <w:rFonts w:hint="eastAsia"/>
                <w:color w:val="auto"/>
                <w:highlight w:val="none"/>
              </w:rPr>
              <w:t>篇软文按合同约定投放之日起陆续有计划投放，后</w:t>
            </w:r>
            <w:r>
              <w:rPr>
                <w:rFonts w:hint="eastAsia"/>
                <w:color w:val="auto"/>
                <w:highlight w:val="none"/>
                <w:lang w:val="en-US" w:eastAsia="zh-CN"/>
              </w:rPr>
              <w:t>2</w:t>
            </w:r>
            <w:r>
              <w:rPr>
                <w:rFonts w:hint="eastAsia"/>
                <w:color w:val="auto"/>
                <w:highlight w:val="none"/>
              </w:rPr>
              <w:t>篇须在高交会展期投放，尽量平均投放。</w:t>
            </w:r>
          </w:p>
          <w:p>
            <w:pPr>
              <w:pStyle w:val="13"/>
              <w:rPr>
                <w:rFonts w:ascii="宋体" w:eastAsia="宋体" w:cs="宋体"/>
                <w:color w:val="auto"/>
                <w:highlight w:val="none"/>
              </w:rPr>
            </w:pPr>
            <w:r>
              <w:rPr>
                <w:rFonts w:hint="eastAsia" w:ascii="宋体" w:eastAsia="宋体" w:cs="宋体"/>
                <w:color w:val="auto"/>
                <w:szCs w:val="21"/>
                <w:highlight w:val="none"/>
              </w:rPr>
              <w:t>（4）8月</w:t>
            </w:r>
            <w:r>
              <w:rPr>
                <w:rFonts w:hint="eastAsia" w:ascii="宋体" w:eastAsia="宋体" w:cs="宋体"/>
                <w:color w:val="auto"/>
                <w:highlight w:val="none"/>
              </w:rPr>
              <w:t>31日前软文内容，以</w:t>
            </w:r>
            <w:r>
              <w:rPr>
                <w:rFonts w:hint="eastAsia" w:ascii="宋体" w:hAnsi="宋体" w:eastAsia="宋体" w:cs="宋体"/>
                <w:color w:val="auto"/>
                <w:highlight w:val="none"/>
                <w:lang w:val="en-US" w:eastAsia="zh-CN"/>
              </w:rPr>
              <w:t>数字经济和智能终端</w:t>
            </w:r>
            <w:r>
              <w:rPr>
                <w:rFonts w:hint="eastAsia" w:ascii="宋体" w:hAnsi="宋体" w:eastAsia="宋体" w:cs="宋体"/>
                <w:color w:val="auto"/>
                <w:sz w:val="21"/>
                <w:szCs w:val="21"/>
                <w:highlight w:val="none"/>
                <w:lang w:val="en-US" w:eastAsia="zh-CN"/>
              </w:rPr>
              <w:t>领域</w:t>
            </w:r>
            <w:r>
              <w:rPr>
                <w:rFonts w:hint="eastAsia" w:ascii="宋体" w:eastAsia="宋体" w:cs="宋体"/>
                <w:color w:val="auto"/>
                <w:highlight w:val="none"/>
              </w:rPr>
              <w:t>目标展商为主；9月1日后软文内容以吸引专业观众为主。</w:t>
            </w:r>
          </w:p>
          <w:p>
            <w:pPr>
              <w:tabs>
                <w:tab w:val="left" w:pos="531"/>
              </w:tabs>
              <w:snapToGrid w:val="0"/>
              <w:rPr>
                <w:rFonts w:hint="eastAsia" w:ascii="宋体" w:hAnsi="宋体" w:eastAsia="宋体" w:cs="宋体"/>
                <w:color w:val="auto"/>
                <w:highlight w:val="none"/>
              </w:rPr>
            </w:pPr>
            <w:r>
              <w:rPr>
                <w:rFonts w:hint="eastAsia" w:ascii="宋体" w:eastAsia="宋体" w:cs="宋体"/>
                <w:color w:val="auto"/>
                <w:highlight w:val="none"/>
              </w:rPr>
              <w:t>（5）11月30日前向采购人提供本项目结案报告。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cs="宋体"/>
                <w:color w:val="auto"/>
                <w:szCs w:val="21"/>
                <w:highlight w:val="none"/>
              </w:rPr>
              <w:t>项目团队成员要求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6"/>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须指定本项目负责人，需提供该负责人姓名、电话、职务、相关职称（如有）、工作经验、负责案例、获奖情况（如有）以及身份证复印件（加盖公章，原件备查）等信息，负责联络、沟通、协调及跟进本项目具体实施。</w:t>
            </w:r>
          </w:p>
          <w:p>
            <w:pPr>
              <w:pStyle w:val="26"/>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项目团队成员人数不得少于</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人（含项目负责人），提供拟派项目团队成员中近两年参与过在专业展览、会议、场馆承接展会、会议宣传项目的工作经历情况，提供拟投入团队成员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含项目负责人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简介以及由投标人所购买的近三个月社保清单证明（如在招标公告日上一个月的社保材料因社保部门原因暂时无法取得，则可以往前顺推一个月）。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其他服务</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highlight w:val="none"/>
              </w:rPr>
            </w:pPr>
            <w:r>
              <w:rPr>
                <w:rFonts w:ascii="宋体" w:hAnsi="宋体" w:cs="宋体"/>
                <w:color w:val="auto"/>
                <w:highlight w:val="none"/>
              </w:rPr>
              <w:t>加大力度鼓励参选服务商结合自有资源，在广告、软文</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视频</w:t>
            </w:r>
            <w:r>
              <w:rPr>
                <w:rFonts w:ascii="宋体" w:hAnsi="宋体" w:cs="宋体"/>
                <w:color w:val="auto"/>
                <w:highlight w:val="none"/>
              </w:rPr>
              <w:t>投放中优先选择新媒体，并提供在</w:t>
            </w:r>
            <w:r>
              <w:rPr>
                <w:rFonts w:hint="eastAsia" w:ascii="宋体" w:hAnsi="宋体" w:eastAsia="宋体" w:cs="宋体"/>
                <w:color w:val="auto"/>
                <w:highlight w:val="none"/>
                <w:lang w:val="en-US" w:eastAsia="zh-CN"/>
              </w:rPr>
              <w:t>数字经济和智能终端</w:t>
            </w:r>
            <w:r>
              <w:rPr>
                <w:rFonts w:hint="eastAsia" w:ascii="宋体" w:hAnsi="宋体" w:eastAsia="宋体" w:cs="宋体"/>
                <w:color w:val="auto"/>
                <w:sz w:val="21"/>
                <w:szCs w:val="21"/>
                <w:highlight w:val="none"/>
                <w:lang w:val="en-US" w:eastAsia="zh-CN"/>
              </w:rPr>
              <w:t>领域</w:t>
            </w:r>
            <w:r>
              <w:rPr>
                <w:rFonts w:ascii="宋体" w:hAnsi="宋体" w:cs="宋体"/>
                <w:color w:val="auto"/>
                <w:highlight w:val="none"/>
              </w:rPr>
              <w:t>内的宣传</w:t>
            </w:r>
            <w:r>
              <w:rPr>
                <w:rFonts w:hint="eastAsia" w:ascii="宋体" w:hAnsi="宋体" w:cs="宋体"/>
                <w:color w:val="auto"/>
                <w:highlight w:val="none"/>
                <w:lang w:eastAsia="zh-CN"/>
              </w:rPr>
              <w:t>其他服务</w:t>
            </w:r>
            <w:r>
              <w:rPr>
                <w:rFonts w:ascii="宋体" w:hAnsi="宋体" w:cs="宋体"/>
                <w:color w:val="auto"/>
                <w:highlight w:val="none"/>
              </w:rPr>
              <w:t>，拓展宣传内容和范围，提升宣传效果。形式、内容由服务商结合自有资源拟定，需突出</w:t>
            </w:r>
            <w:r>
              <w:rPr>
                <w:rFonts w:hint="eastAsia" w:ascii="宋体" w:hAnsi="宋体" w:eastAsia="宋体" w:cs="宋体"/>
                <w:color w:val="auto"/>
                <w:highlight w:val="none"/>
                <w:lang w:val="en-US" w:eastAsia="zh-CN"/>
              </w:rPr>
              <w:t>数字经济和智能终端</w:t>
            </w:r>
            <w:r>
              <w:rPr>
                <w:rFonts w:hint="eastAsia" w:ascii="宋体" w:hAnsi="宋体" w:eastAsia="宋体" w:cs="宋体"/>
                <w:color w:val="auto"/>
                <w:sz w:val="21"/>
                <w:szCs w:val="21"/>
                <w:highlight w:val="none"/>
                <w:lang w:val="en-US" w:eastAsia="zh-CN"/>
              </w:rPr>
              <w:t>领域</w:t>
            </w:r>
            <w:r>
              <w:rPr>
                <w:rFonts w:ascii="宋体" w:hAnsi="宋体" w:cs="宋体"/>
                <w:color w:val="auto"/>
                <w:highlight w:val="none"/>
              </w:rPr>
              <w:t>专业性和宣传的有效性。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cs="宋体"/>
                <w:color w:val="auto"/>
                <w:szCs w:val="21"/>
                <w:highlight w:val="none"/>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highlight w:val="none"/>
              </w:rPr>
            </w:pPr>
            <w:r>
              <w:rPr>
                <w:rFonts w:hint="eastAsia" w:ascii="宋体" w:hAnsi="宋体" w:cs="宋体"/>
                <w:color w:val="auto"/>
                <w:szCs w:val="21"/>
                <w:highlight w:val="none"/>
              </w:rPr>
              <w:t>针对本宣传项目提出书面服务承诺，承诺内容包括但不限于项目的总体要求、质量、数量、完成时间等，同时指定项目负责人，严格遵照国家有关广告、互联网媒体、新媒体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短视频平台</w:t>
            </w:r>
            <w:r>
              <w:rPr>
                <w:rFonts w:hint="eastAsia" w:ascii="宋体" w:hAnsi="宋体" w:cs="宋体"/>
                <w:color w:val="auto"/>
                <w:szCs w:val="21"/>
                <w:highlight w:val="none"/>
              </w:rPr>
              <w:t>投放要求和规定，对采购人反映需要调整的问题须在4小时之内做出反应。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cs="宋体"/>
                <w:color w:val="auto"/>
                <w:szCs w:val="21"/>
                <w:highlight w:val="none"/>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highlight w:val="none"/>
              </w:rPr>
            </w:pPr>
            <w:r>
              <w:rPr>
                <w:rFonts w:hint="eastAsia" w:ascii="宋体" w:hAnsi="宋体" w:cs="宋体"/>
                <w:color w:val="auto"/>
                <w:szCs w:val="21"/>
                <w:highlight w:val="none"/>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不可偏离</w:t>
            </w:r>
          </w:p>
        </w:tc>
      </w:tr>
    </w:tbl>
    <w:p>
      <w:pPr>
        <w:numPr>
          <w:ilvl w:val="0"/>
          <w:numId w:val="0"/>
        </w:numPr>
        <w:jc w:val="left"/>
        <w:outlineLvl w:val="1"/>
        <w:rPr>
          <w:rFonts w:hint="eastAsia" w:ascii="宋体" w:hAnsi="宋体" w:eastAsia="宋体" w:cs="宋体"/>
          <w:color w:val="auto"/>
          <w:highlight w:val="none"/>
        </w:rPr>
      </w:pPr>
      <w:bookmarkStart w:id="38" w:name="_Toc82684715"/>
      <w:bookmarkEnd w:id="38"/>
      <w:bookmarkStart w:id="39" w:name="_Toc82684600"/>
      <w:bookmarkEnd w:id="39"/>
      <w:bookmarkStart w:id="40" w:name="_Toc82685552"/>
      <w:bookmarkEnd w:id="40"/>
      <w:bookmarkStart w:id="41" w:name="_Toc82591996"/>
      <w:bookmarkEnd w:id="41"/>
    </w:p>
    <w:p>
      <w:pPr>
        <w:numPr>
          <w:ilvl w:val="0"/>
          <w:numId w:val="1"/>
        </w:numPr>
        <w:jc w:val="left"/>
        <w:outlineLvl w:val="1"/>
        <w:rPr>
          <w:rFonts w:hint="eastAsia"/>
          <w:color w:val="auto"/>
        </w:rPr>
      </w:pPr>
      <w:bookmarkStart w:id="42" w:name="_Toc14913"/>
      <w:r>
        <w:rPr>
          <w:rFonts w:hint="eastAsia" w:ascii="宋体" w:hAnsi="宋体" w:eastAsia="宋体" w:cs="宋体"/>
          <w:b/>
          <w:color w:val="auto"/>
          <w:szCs w:val="21"/>
          <w:highlight w:val="none"/>
        </w:rPr>
        <w:t>其他项目说明资料</w:t>
      </w:r>
      <w:r>
        <w:rPr>
          <w:rFonts w:hint="eastAsia" w:ascii="宋体" w:hAnsi="宋体" w:cs="宋体"/>
          <w:b/>
          <w:color w:val="auto"/>
          <w:szCs w:val="21"/>
          <w:highlight w:val="none"/>
          <w:lang w:eastAsia="zh-CN"/>
        </w:rPr>
        <w:t>：</w:t>
      </w:r>
      <w:bookmarkEnd w:id="42"/>
    </w:p>
    <w:p>
      <w:pPr>
        <w:pStyle w:val="26"/>
        <w:numPr>
          <w:ilvl w:val="255"/>
          <w:numId w:val="0"/>
        </w:numPr>
        <w:spacing w:line="240" w:lineRule="auto"/>
        <w:rPr>
          <w:rFonts w:hint="eastAsia" w:ascii="宋体" w:hAnsi="宋体" w:eastAsia="宋体" w:cs="宋体"/>
          <w:color w:val="auto"/>
          <w:highlight w:val="none"/>
          <w:lang w:val="en-US" w:eastAsia="zh-CN"/>
        </w:rPr>
      </w:pPr>
    </w:p>
    <w:p>
      <w:pPr>
        <w:pStyle w:val="26"/>
        <w:numPr>
          <w:ilvl w:val="255"/>
          <w:numId w:val="0"/>
        </w:numPr>
        <w:spacing w:line="24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第二十五届高交会IT展数字经济和智能终端领域行业垂直媒体宣传采购项目详细投放要求：</w:t>
      </w:r>
    </w:p>
    <w:p>
      <w:pPr>
        <w:pStyle w:val="26"/>
        <w:numPr>
          <w:ilvl w:val="255"/>
          <w:numId w:val="0"/>
        </w:numPr>
        <w:spacing w:line="240" w:lineRule="auto"/>
        <w:ind w:firstLine="420" w:firstLineChars="200"/>
        <w:rPr>
          <w:rFonts w:ascii="宋体" w:hAnsi="宋体" w:eastAsia="宋体" w:cs="宋体"/>
          <w:color w:val="auto"/>
          <w:highlight w:val="none"/>
        </w:rPr>
      </w:pPr>
      <w:r>
        <w:rPr>
          <w:rFonts w:ascii="宋体" w:hAnsi="宋体" w:eastAsia="宋体" w:cs="宋体"/>
          <w:color w:val="auto"/>
          <w:highlight w:val="none"/>
        </w:rPr>
        <w:t>宣传服务方案要突出</w:t>
      </w:r>
      <w:r>
        <w:rPr>
          <w:rFonts w:hint="eastAsia" w:ascii="宋体" w:hAnsi="宋体" w:eastAsia="宋体" w:cs="宋体"/>
          <w:color w:val="auto"/>
          <w:highlight w:val="none"/>
          <w:lang w:val="en-US" w:eastAsia="zh-CN"/>
        </w:rPr>
        <w:t>数字经济和智能终端领域</w:t>
      </w:r>
      <w:r>
        <w:rPr>
          <w:rFonts w:ascii="宋体" w:hAnsi="宋体" w:eastAsia="宋体" w:cs="宋体"/>
          <w:color w:val="auto"/>
          <w:highlight w:val="none"/>
        </w:rPr>
        <w:t>的专业性，</w:t>
      </w:r>
      <w:r>
        <w:rPr>
          <w:rFonts w:hint="eastAsia" w:ascii="宋体" w:hAnsi="宋体" w:eastAsia="宋体" w:cs="宋体"/>
          <w:color w:val="auto"/>
          <w:highlight w:val="none"/>
          <w:lang w:val="en-US" w:eastAsia="zh-CN"/>
        </w:rPr>
        <w:t>深入数字经济领域，包含：数字政府、数字政务、产业数字化转型、数字孪生技术、信创软件及技术、云计算、信息安全、区块链等与实体经济深度融合、数字产业创新；智能终端领域，包含：整体智能家居、智能安全防护、智能娱乐产品、智慧社区、智慧生活科技、数字运动、数字医疗、数字保健、智能穿戴设备、增强运动设备、智能竞技、电子竞技等行业领域</w:t>
      </w:r>
      <w:r>
        <w:rPr>
          <w:rFonts w:ascii="宋体" w:hAnsi="宋体" w:eastAsia="宋体" w:cs="宋体"/>
          <w:color w:val="auto"/>
          <w:highlight w:val="none"/>
        </w:rPr>
        <w:t>，通过相关媒体或更多推广形式，面向相关企业、机构和专业观众</w:t>
      </w:r>
      <w:r>
        <w:rPr>
          <w:rFonts w:hint="eastAsia" w:ascii="宋体" w:hAnsi="宋体" w:eastAsia="宋体" w:cs="宋体"/>
          <w:color w:val="auto"/>
          <w:highlight w:val="none"/>
        </w:rPr>
        <w:t>等</w:t>
      </w:r>
      <w:r>
        <w:rPr>
          <w:rFonts w:ascii="宋体" w:hAnsi="宋体" w:eastAsia="宋体" w:cs="宋体"/>
          <w:color w:val="auto"/>
          <w:highlight w:val="none"/>
        </w:rPr>
        <w:t>开展宣传。</w:t>
      </w:r>
    </w:p>
    <w:p>
      <w:pPr>
        <w:pStyle w:val="26"/>
        <w:numPr>
          <w:ilvl w:val="255"/>
          <w:numId w:val="0"/>
        </w:numPr>
        <w:spacing w:line="240" w:lineRule="auto"/>
        <w:rPr>
          <w:rFonts w:ascii="宋体" w:hAnsi="宋体" w:eastAsia="宋体" w:cs="宋体"/>
          <w:color w:val="auto"/>
          <w:highlight w:val="none"/>
        </w:rPr>
      </w:pPr>
    </w:p>
    <w:p>
      <w:pPr>
        <w:pStyle w:val="26"/>
        <w:numPr>
          <w:ilvl w:val="255"/>
          <w:numId w:val="0"/>
        </w:numPr>
        <w:rPr>
          <w:rFonts w:ascii="宋体" w:hAnsi="宋体" w:eastAsia="宋体" w:cs="宋体"/>
          <w:color w:val="auto"/>
          <w:highlight w:val="none"/>
        </w:rPr>
      </w:pPr>
      <w:r>
        <w:rPr>
          <w:rFonts w:hint="eastAsia" w:ascii="宋体" w:hAnsi="宋体" w:eastAsia="宋体" w:cs="宋体"/>
          <w:color w:val="auto"/>
          <w:highlight w:val="none"/>
        </w:rPr>
        <w:t>（1）投放要求：</w:t>
      </w:r>
      <w:r>
        <w:rPr>
          <w:rFonts w:ascii="宋体" w:hAnsi="宋体" w:eastAsia="宋体" w:cs="宋体"/>
          <w:color w:val="auto"/>
          <w:highlight w:val="none"/>
        </w:rPr>
        <w:t>撰写软文、设计广告、</w:t>
      </w:r>
      <w:r>
        <w:rPr>
          <w:rFonts w:hint="eastAsia" w:ascii="宋体" w:hAnsi="宋体" w:eastAsia="宋体" w:cs="宋体"/>
          <w:color w:val="auto"/>
          <w:highlight w:val="none"/>
          <w:lang w:val="en-US" w:eastAsia="zh-CN"/>
        </w:rPr>
        <w:t>视频制作</w:t>
      </w:r>
      <w:r>
        <w:rPr>
          <w:rFonts w:ascii="宋体" w:hAnsi="宋体" w:eastAsia="宋体" w:cs="宋体"/>
          <w:color w:val="auto"/>
          <w:highlight w:val="none"/>
        </w:rPr>
        <w:t>进行业内媒体投放，覆盖</w:t>
      </w:r>
      <w:r>
        <w:rPr>
          <w:rFonts w:hint="eastAsia" w:ascii="宋体" w:hAnsi="宋体" w:eastAsia="宋体" w:cs="宋体"/>
          <w:color w:val="auto"/>
          <w:sz w:val="21"/>
          <w:szCs w:val="21"/>
          <w:highlight w:val="none"/>
          <w:lang w:val="en-US" w:eastAsia="zh-CN"/>
        </w:rPr>
        <w:t>数字经济和智能终端领域</w:t>
      </w:r>
      <w:r>
        <w:rPr>
          <w:rFonts w:ascii="宋体" w:hAnsi="宋体" w:eastAsia="宋体" w:cs="宋体"/>
          <w:color w:val="auto"/>
          <w:highlight w:val="none"/>
        </w:rPr>
        <w:t>专业网络媒体、新媒体</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综合类短视频平台等，</w:t>
      </w:r>
      <w:r>
        <w:rPr>
          <w:rFonts w:ascii="宋体" w:hAnsi="宋体" w:eastAsia="宋体" w:cs="宋体"/>
          <w:color w:val="auto"/>
          <w:highlight w:val="none"/>
        </w:rPr>
        <w:t>总数详见</w:t>
      </w:r>
      <w:r>
        <w:rPr>
          <w:rFonts w:hint="eastAsia" w:ascii="宋体" w:hAnsi="宋体" w:eastAsia="宋体" w:cs="宋体"/>
          <w:color w:val="auto"/>
          <w:highlight w:val="none"/>
          <w:lang w:val="en-US" w:eastAsia="zh-CN"/>
        </w:rPr>
        <w:t>以</w:t>
      </w:r>
      <w:r>
        <w:rPr>
          <w:rFonts w:ascii="宋体" w:hAnsi="宋体" w:eastAsia="宋体" w:cs="宋体"/>
          <w:color w:val="auto"/>
          <w:highlight w:val="none"/>
        </w:rPr>
        <w:t>下要求，形式须包括网络广告、软文、</w:t>
      </w:r>
      <w:r>
        <w:rPr>
          <w:rFonts w:hint="eastAsia" w:ascii="宋体" w:hAnsi="宋体" w:eastAsia="宋体" w:cs="宋体"/>
          <w:color w:val="auto"/>
          <w:highlight w:val="none"/>
          <w:lang w:val="en-US" w:eastAsia="zh-CN"/>
        </w:rPr>
        <w:t>视频、</w:t>
      </w:r>
      <w:r>
        <w:rPr>
          <w:rFonts w:ascii="宋体" w:hAnsi="宋体" w:eastAsia="宋体" w:cs="宋体"/>
          <w:color w:val="auto"/>
          <w:highlight w:val="none"/>
        </w:rPr>
        <w:t>展会信息发布等。其中：</w:t>
      </w:r>
    </w:p>
    <w:p>
      <w:pPr>
        <w:pStyle w:val="26"/>
        <w:numPr>
          <w:ilvl w:val="255"/>
          <w:numId w:val="0"/>
        </w:numPr>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网络广告：在专业媒体网站和新媒体中选择至少</w:t>
      </w:r>
      <w:r>
        <w:rPr>
          <w:rFonts w:hint="eastAsia" w:ascii="宋体" w:hAnsi="宋体" w:eastAsia="宋体" w:cs="宋体"/>
          <w:color w:val="auto"/>
          <w:highlight w:val="none"/>
          <w:lang w:val="en-US" w:eastAsia="zh-CN"/>
        </w:rPr>
        <w:t>4</w:t>
      </w:r>
      <w:r>
        <w:rPr>
          <w:rFonts w:ascii="宋体" w:hAnsi="宋体" w:eastAsia="宋体" w:cs="宋体"/>
          <w:color w:val="auto"/>
          <w:highlight w:val="none"/>
        </w:rPr>
        <w:t>家媒体投放，时长3个月（计划在</w:t>
      </w:r>
      <w:r>
        <w:rPr>
          <w:rFonts w:hint="eastAsia" w:ascii="宋体" w:hAnsi="宋体" w:eastAsia="宋体" w:cs="宋体"/>
          <w:color w:val="auto"/>
          <w:highlight w:val="none"/>
          <w:lang w:val="en-US" w:eastAsia="zh-CN"/>
        </w:rPr>
        <w:t>9</w:t>
      </w:r>
      <w:r>
        <w:rPr>
          <w:rFonts w:ascii="宋体" w:hAnsi="宋体" w:eastAsia="宋体" w:cs="宋体"/>
          <w:color w:val="auto"/>
          <w:highlight w:val="none"/>
        </w:rPr>
        <w:t>月</w:t>
      </w:r>
      <w:r>
        <w:rPr>
          <w:rFonts w:hint="eastAsia" w:ascii="宋体" w:hAnsi="宋体" w:eastAsia="宋体" w:cs="宋体"/>
          <w:color w:val="auto"/>
          <w:highlight w:val="none"/>
          <w:lang w:val="en-US" w:eastAsia="zh-CN"/>
        </w:rPr>
        <w:t>底</w:t>
      </w:r>
      <w:r>
        <w:rPr>
          <w:rFonts w:ascii="宋体" w:hAnsi="宋体" w:eastAsia="宋体" w:cs="宋体"/>
          <w:color w:val="auto"/>
          <w:highlight w:val="none"/>
        </w:rPr>
        <w:t xml:space="preserve">前完成）； </w:t>
      </w:r>
    </w:p>
    <w:p>
      <w:pPr>
        <w:pStyle w:val="26"/>
        <w:numPr>
          <w:ilvl w:val="255"/>
          <w:numId w:val="0"/>
        </w:numPr>
        <w:ind w:firstLine="420" w:firstLineChars="200"/>
        <w:rPr>
          <w:rFonts w:ascii="宋体" w:hAnsi="宋体" w:eastAsia="宋体" w:cs="宋体"/>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专业网络媒体软文：在</w:t>
      </w:r>
      <w:r>
        <w:rPr>
          <w:rFonts w:hint="eastAsia" w:ascii="宋体" w:hAnsi="宋体" w:eastAsia="宋体" w:cs="宋体"/>
          <w:color w:val="auto"/>
          <w:highlight w:val="none"/>
          <w:lang w:val="en-US" w:eastAsia="zh-CN"/>
        </w:rPr>
        <w:t>数字经济和智能终端</w:t>
      </w:r>
      <w:r>
        <w:rPr>
          <w:rFonts w:hint="eastAsia" w:ascii="宋体" w:hAnsi="宋体" w:eastAsia="宋体" w:cs="宋体"/>
          <w:color w:val="auto"/>
          <w:sz w:val="21"/>
          <w:szCs w:val="21"/>
          <w:highlight w:val="none"/>
          <w:lang w:val="en-US" w:eastAsia="zh-CN"/>
        </w:rPr>
        <w:t>领域</w:t>
      </w:r>
      <w:r>
        <w:rPr>
          <w:rFonts w:ascii="宋体" w:hAnsi="宋体" w:eastAsia="宋体" w:cs="宋体"/>
          <w:color w:val="auto"/>
          <w:highlight w:val="none"/>
        </w:rPr>
        <w:t>专业网络媒体投放，并鼓励引入行业知名媒体以获得更好的宣传效果，撰写具有一定专业性的软文不少于</w:t>
      </w:r>
      <w:r>
        <w:rPr>
          <w:rFonts w:hint="eastAsia" w:ascii="宋体" w:hAnsi="宋体" w:eastAsia="宋体" w:cs="宋体"/>
          <w:color w:val="auto"/>
          <w:highlight w:val="none"/>
          <w:lang w:val="en-US" w:eastAsia="zh-CN"/>
        </w:rPr>
        <w:t>11</w:t>
      </w:r>
      <w:r>
        <w:rPr>
          <w:rFonts w:ascii="宋体" w:hAnsi="宋体" w:eastAsia="宋体" w:cs="宋体"/>
          <w:color w:val="auto"/>
          <w:highlight w:val="none"/>
        </w:rPr>
        <w:t>篇，每篇软文至少在</w:t>
      </w:r>
      <w:r>
        <w:rPr>
          <w:rFonts w:hint="eastAsia" w:ascii="宋体" w:hAnsi="宋体" w:eastAsia="宋体" w:cs="宋体"/>
          <w:color w:val="auto"/>
          <w:highlight w:val="none"/>
          <w:lang w:val="en-US" w:eastAsia="zh-CN"/>
        </w:rPr>
        <w:t>6</w:t>
      </w:r>
      <w:r>
        <w:rPr>
          <w:rFonts w:ascii="宋体" w:hAnsi="宋体" w:eastAsia="宋体" w:cs="宋体"/>
          <w:color w:val="auto"/>
          <w:highlight w:val="none"/>
        </w:rPr>
        <w:t>家</w:t>
      </w:r>
      <w:r>
        <w:rPr>
          <w:rFonts w:hint="eastAsia" w:ascii="宋体" w:hAnsi="宋体" w:eastAsia="宋体" w:cs="宋体"/>
          <w:color w:val="auto"/>
          <w:highlight w:val="none"/>
          <w:lang w:val="en-US" w:eastAsia="zh-CN"/>
        </w:rPr>
        <w:t>专</w:t>
      </w:r>
      <w:r>
        <w:rPr>
          <w:rFonts w:ascii="宋体" w:hAnsi="宋体" w:eastAsia="宋体" w:cs="宋体"/>
          <w:color w:val="auto"/>
          <w:highlight w:val="none"/>
        </w:rPr>
        <w:t>业网络媒体上发布（</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每篇软文应不少于</w:t>
      </w:r>
      <w:r>
        <w:rPr>
          <w:rFonts w:hint="eastAsia" w:ascii="宋体" w:hAnsi="宋体" w:cs="仿宋_GB2312"/>
          <w:color w:val="auto"/>
          <w:szCs w:val="21"/>
          <w:highlight w:val="none"/>
          <w:lang w:val="en-US" w:eastAsia="zh-CN"/>
        </w:rPr>
        <w:t>3</w:t>
      </w:r>
      <w:r>
        <w:rPr>
          <w:rFonts w:hint="eastAsia" w:ascii="宋体" w:hAnsi="宋体" w:eastAsia="宋体" w:cs="宋体"/>
          <w:color w:val="auto"/>
          <w:highlight w:val="none"/>
        </w:rPr>
        <w:t>家媒体</w:t>
      </w:r>
      <w:r>
        <w:rPr>
          <w:rFonts w:ascii="宋体" w:hAnsi="宋体" w:eastAsia="宋体" w:cs="宋体"/>
          <w:color w:val="auto"/>
          <w:highlight w:val="none"/>
        </w:rPr>
        <w:t>的软文链接能被百度或360搜索引擎收录），累计至少投放</w:t>
      </w:r>
      <w:r>
        <w:rPr>
          <w:rFonts w:hint="eastAsia" w:ascii="宋体" w:hAnsi="宋体" w:eastAsia="宋体" w:cs="宋体"/>
          <w:color w:val="auto"/>
          <w:highlight w:val="none"/>
          <w:lang w:val="en-US" w:eastAsia="zh-CN"/>
        </w:rPr>
        <w:t>66</w:t>
      </w:r>
      <w:r>
        <w:rPr>
          <w:rFonts w:ascii="宋体" w:hAnsi="宋体" w:eastAsia="宋体" w:cs="宋体"/>
          <w:color w:val="auto"/>
          <w:highlight w:val="none"/>
        </w:rPr>
        <w:t>篇次</w:t>
      </w:r>
      <w:r>
        <w:rPr>
          <w:rFonts w:hint="eastAsia" w:ascii="宋体" w:hAnsi="宋体" w:eastAsia="宋体" w:cs="宋体"/>
          <w:color w:val="auto"/>
          <w:highlight w:val="none"/>
          <w:lang w:val="en-US" w:eastAsia="zh-CN"/>
        </w:rPr>
        <w:t>，媒体清单包括拟投放专业网络媒体至少6家（不超过10家）和备用专业网络媒体3家</w:t>
      </w:r>
      <w:r>
        <w:rPr>
          <w:rFonts w:ascii="宋体" w:hAnsi="宋体" w:eastAsia="宋体" w:cs="宋体"/>
          <w:color w:val="auto"/>
          <w:highlight w:val="none"/>
        </w:rPr>
        <w:t xml:space="preserve">； </w:t>
      </w:r>
    </w:p>
    <w:p>
      <w:pPr>
        <w:pStyle w:val="26"/>
        <w:numPr>
          <w:ilvl w:val="255"/>
          <w:numId w:val="0"/>
        </w:numPr>
        <w:ind w:firstLine="420" w:firstLineChars="200"/>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新媒体软文：在</w:t>
      </w:r>
      <w:r>
        <w:rPr>
          <w:rFonts w:hint="eastAsia" w:ascii="宋体" w:hAnsi="宋体" w:eastAsia="宋体" w:cs="宋体"/>
          <w:color w:val="auto"/>
          <w:highlight w:val="none"/>
          <w:lang w:val="en-US" w:eastAsia="zh-CN"/>
        </w:rPr>
        <w:t>数字经济和智能终端</w:t>
      </w:r>
      <w:r>
        <w:rPr>
          <w:rFonts w:hint="eastAsia" w:ascii="宋体" w:hAnsi="宋体" w:eastAsia="宋体" w:cs="宋体"/>
          <w:color w:val="auto"/>
          <w:sz w:val="21"/>
          <w:szCs w:val="21"/>
          <w:highlight w:val="none"/>
          <w:lang w:val="en-US" w:eastAsia="zh-CN"/>
        </w:rPr>
        <w:t>领域</w:t>
      </w:r>
      <w:r>
        <w:rPr>
          <w:rFonts w:ascii="宋体" w:hAnsi="宋体" w:eastAsia="宋体" w:cs="宋体"/>
          <w:color w:val="auto"/>
          <w:highlight w:val="none"/>
        </w:rPr>
        <w:t>新媒体投放，并鼓励引入行业知名媒体以获得更好的宣传效果，投放软文不少于</w:t>
      </w:r>
      <w:r>
        <w:rPr>
          <w:rFonts w:hint="eastAsia" w:ascii="宋体" w:hAnsi="宋体" w:eastAsia="宋体" w:cs="宋体"/>
          <w:color w:val="auto"/>
          <w:highlight w:val="none"/>
          <w:lang w:val="en-US" w:eastAsia="zh-CN"/>
        </w:rPr>
        <w:t>11</w:t>
      </w:r>
      <w:r>
        <w:rPr>
          <w:rFonts w:ascii="宋体" w:hAnsi="宋体" w:eastAsia="宋体" w:cs="宋体"/>
          <w:color w:val="auto"/>
          <w:highlight w:val="none"/>
        </w:rPr>
        <w:t>篇，每篇至少投放</w:t>
      </w:r>
      <w:r>
        <w:rPr>
          <w:rFonts w:hint="eastAsia" w:ascii="宋体" w:hAnsi="宋体" w:eastAsia="宋体" w:cs="宋体"/>
          <w:color w:val="auto"/>
          <w:highlight w:val="none"/>
          <w:lang w:val="en-US" w:eastAsia="zh-CN"/>
        </w:rPr>
        <w:t>20</w:t>
      </w:r>
      <w:r>
        <w:rPr>
          <w:rFonts w:ascii="宋体" w:hAnsi="宋体" w:eastAsia="宋体" w:cs="宋体"/>
          <w:color w:val="auto"/>
          <w:highlight w:val="none"/>
        </w:rPr>
        <w:t>家行业APP、公众号等新媒体，累计至少共投放</w:t>
      </w:r>
      <w:r>
        <w:rPr>
          <w:rFonts w:hint="eastAsia" w:ascii="宋体" w:hAnsi="宋体" w:eastAsia="宋体" w:cs="宋体"/>
          <w:color w:val="auto"/>
          <w:highlight w:val="none"/>
          <w:lang w:val="en-US" w:eastAsia="zh-CN"/>
        </w:rPr>
        <w:t>220</w:t>
      </w:r>
      <w:r>
        <w:rPr>
          <w:rFonts w:ascii="宋体" w:hAnsi="宋体" w:eastAsia="宋体" w:cs="宋体"/>
          <w:color w:val="auto"/>
          <w:highlight w:val="none"/>
        </w:rPr>
        <w:t>篇次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媒体清单包括拟投放新媒体至少20家（不超过30家）和备用新媒体5家；</w:t>
      </w:r>
    </w:p>
    <w:p>
      <w:pPr>
        <w:pStyle w:val="26"/>
        <w:bidi w:val="0"/>
        <w:rPr>
          <w:rFonts w:ascii="宋体" w:hAnsi="宋体" w:eastAsia="宋体" w:cs="宋体"/>
          <w:color w:val="auto"/>
          <w:highlight w:val="none"/>
        </w:rPr>
      </w:pPr>
      <w:r>
        <w:rPr>
          <w:rFonts w:hint="eastAsia" w:ascii="宋体" w:hAnsi="宋体" w:eastAsia="宋体" w:cs="宋体"/>
          <w:color w:val="auto"/>
          <w:highlight w:val="none"/>
          <w:lang w:val="en-US" w:eastAsia="zh-CN"/>
        </w:rPr>
        <w:t>4)视频制作与投放：至少制作12条视频，每条视频至少在10家媒体上发布，每条视频小计播放量至少为5000次，在11月30日前累计播放量至少达到60000次。投放媒体包括行业内专业网络媒体、行业内新媒体（须单位或机构注册账号、非个人账号）以及综合类短视频平台，其中综合类短视频平台限1-2家，如果某媒体上视频没有显示播放量，则在该视频的点赞量、评论量、转发量、收藏量等数值中选择最高的一个数值作为播放量。</w:t>
      </w:r>
    </w:p>
    <w:p>
      <w:pPr>
        <w:pStyle w:val="13"/>
        <w:numPr>
          <w:ilvl w:val="255"/>
          <w:numId w:val="0"/>
        </w:numPr>
        <w:rPr>
          <w:rFonts w:ascii="宋体" w:eastAsia="宋体"/>
          <w:color w:val="auto"/>
          <w:highlight w:val="none"/>
        </w:rPr>
      </w:pPr>
      <w:r>
        <w:rPr>
          <w:rFonts w:hint="eastAsia" w:ascii="宋体" w:eastAsia="宋体"/>
          <w:color w:val="auto"/>
          <w:highlight w:val="none"/>
        </w:rPr>
        <w:t>（</w:t>
      </w:r>
      <w:r>
        <w:rPr>
          <w:rFonts w:hint="eastAsia" w:ascii="宋体" w:eastAsia="宋体"/>
          <w:color w:val="auto"/>
          <w:highlight w:val="none"/>
          <w:lang w:val="en-US" w:eastAsia="zh-CN"/>
        </w:rPr>
        <w:t>2</w:t>
      </w:r>
      <w:r>
        <w:rPr>
          <w:rFonts w:hint="eastAsia" w:ascii="宋体" w:eastAsia="宋体"/>
          <w:color w:val="auto"/>
          <w:highlight w:val="none"/>
        </w:rPr>
        <w:t>）</w:t>
      </w:r>
      <w:r>
        <w:rPr>
          <w:rFonts w:hint="eastAsia" w:ascii="宋体" w:eastAsia="宋体"/>
          <w:color w:val="auto"/>
          <w:highlight w:val="none"/>
          <w:lang w:val="en-US" w:eastAsia="zh-CN"/>
        </w:rPr>
        <w:t>计划6</w:t>
      </w:r>
      <w:r>
        <w:rPr>
          <w:rFonts w:hint="eastAsia" w:ascii="宋体" w:eastAsia="宋体"/>
          <w:color w:val="auto"/>
          <w:highlight w:val="none"/>
        </w:rPr>
        <w:t>月-8月31日招展为主，9月1日-11月1</w:t>
      </w:r>
      <w:r>
        <w:rPr>
          <w:rFonts w:hint="eastAsia" w:ascii="宋体" w:eastAsia="宋体"/>
          <w:color w:val="auto"/>
          <w:highlight w:val="none"/>
          <w:lang w:val="en-US" w:eastAsia="zh-CN"/>
        </w:rPr>
        <w:t>4</w:t>
      </w:r>
      <w:r>
        <w:rPr>
          <w:rFonts w:hint="eastAsia" w:ascii="宋体" w:eastAsia="宋体"/>
          <w:color w:val="auto"/>
          <w:highlight w:val="none"/>
        </w:rPr>
        <w:t>日邀请专业观众为主，11月1</w:t>
      </w:r>
      <w:r>
        <w:rPr>
          <w:rFonts w:hint="eastAsia" w:ascii="宋体" w:eastAsia="宋体"/>
          <w:color w:val="auto"/>
          <w:highlight w:val="none"/>
          <w:lang w:val="en-US" w:eastAsia="zh-CN"/>
        </w:rPr>
        <w:t>5</w:t>
      </w:r>
      <w:r>
        <w:rPr>
          <w:rFonts w:hint="eastAsia" w:ascii="宋体" w:eastAsia="宋体"/>
          <w:color w:val="auto"/>
          <w:highlight w:val="none"/>
        </w:rPr>
        <w:t>-</w:t>
      </w:r>
      <w:r>
        <w:rPr>
          <w:rFonts w:hint="eastAsia" w:ascii="宋体" w:eastAsia="宋体"/>
          <w:color w:val="auto"/>
          <w:highlight w:val="none"/>
          <w:lang w:val="en-US" w:eastAsia="zh-CN"/>
        </w:rPr>
        <w:t>19</w:t>
      </w:r>
      <w:r>
        <w:rPr>
          <w:rFonts w:hint="eastAsia" w:ascii="宋体" w:eastAsia="宋体"/>
          <w:color w:val="auto"/>
          <w:highlight w:val="none"/>
        </w:rPr>
        <w:t>日展期宣传</w:t>
      </w:r>
      <w:r>
        <w:rPr>
          <w:rFonts w:hint="eastAsia" w:ascii="宋体" w:eastAsia="宋体"/>
          <w:color w:val="auto"/>
          <w:highlight w:val="none"/>
          <w:lang w:val="en-US" w:eastAsia="zh-CN"/>
        </w:rPr>
        <w:t>为主</w:t>
      </w:r>
      <w:r>
        <w:rPr>
          <w:rFonts w:hint="eastAsia" w:ascii="宋体" w:eastAsia="宋体"/>
          <w:color w:val="auto"/>
          <w:highlight w:val="none"/>
        </w:rPr>
        <w:t>；</w:t>
      </w:r>
    </w:p>
    <w:p>
      <w:pPr>
        <w:pStyle w:val="13"/>
        <w:numPr>
          <w:ilvl w:val="255"/>
          <w:numId w:val="0"/>
        </w:numPr>
        <w:rPr>
          <w:rFonts w:ascii="宋体" w:eastAsia="宋体"/>
          <w:color w:val="auto"/>
          <w:highlight w:val="none"/>
        </w:rPr>
      </w:pPr>
      <w:r>
        <w:rPr>
          <w:rFonts w:hint="eastAsia" w:ascii="宋体" w:eastAsia="宋体"/>
          <w:color w:val="auto"/>
          <w:highlight w:val="none"/>
        </w:rPr>
        <w:t>（</w:t>
      </w:r>
      <w:r>
        <w:rPr>
          <w:rFonts w:hint="eastAsia" w:ascii="宋体" w:eastAsia="宋体"/>
          <w:color w:val="auto"/>
          <w:highlight w:val="none"/>
          <w:lang w:val="en-US" w:eastAsia="zh-CN"/>
        </w:rPr>
        <w:t>3</w:t>
      </w:r>
      <w:r>
        <w:rPr>
          <w:rFonts w:hint="eastAsia" w:ascii="宋体" w:eastAsia="宋体"/>
          <w:color w:val="auto"/>
          <w:highlight w:val="none"/>
        </w:rPr>
        <w:t>）在本项目宣传内容上：</w:t>
      </w:r>
      <w:r>
        <w:rPr>
          <w:rFonts w:hint="eastAsia" w:ascii="宋体" w:hAnsi="宋体" w:eastAsia="宋体" w:cs="宋体"/>
          <w:color w:val="auto"/>
          <w:sz w:val="21"/>
          <w:szCs w:val="21"/>
          <w:highlight w:val="none"/>
          <w:lang w:val="en-US" w:eastAsia="zh-CN"/>
        </w:rPr>
        <w:t>以配合招展为主，邀请专业观众为辅。在配合招展中，</w:t>
      </w:r>
      <w:r>
        <w:rPr>
          <w:rFonts w:hint="eastAsia" w:ascii="宋体" w:eastAsia="宋体"/>
          <w:color w:val="auto"/>
          <w:highlight w:val="none"/>
        </w:rPr>
        <w:t>以推介展会信息、本届亮点、重点展商和展品信息等为主</w:t>
      </w:r>
      <w:r>
        <w:rPr>
          <w:rFonts w:hint="eastAsia" w:ascii="宋体" w:eastAsia="宋体"/>
          <w:color w:val="auto"/>
          <w:highlight w:val="none"/>
          <w:lang w:eastAsia="zh-CN"/>
        </w:rPr>
        <w:t>，</w:t>
      </w:r>
      <w:r>
        <w:rPr>
          <w:rFonts w:hint="eastAsia" w:ascii="宋体" w:eastAsia="宋体"/>
          <w:color w:val="auto"/>
          <w:highlight w:val="none"/>
        </w:rPr>
        <w:t>我方提供素材，合作方</w:t>
      </w:r>
      <w:r>
        <w:rPr>
          <w:rFonts w:hint="eastAsia" w:ascii="宋体" w:eastAsia="宋体"/>
          <w:color w:val="auto"/>
          <w:highlight w:val="none"/>
          <w:lang w:val="en-US" w:eastAsia="zh-CN"/>
        </w:rPr>
        <w:t>需</w:t>
      </w:r>
      <w:r>
        <w:rPr>
          <w:rFonts w:hint="eastAsia" w:ascii="宋体" w:eastAsia="宋体"/>
          <w:color w:val="auto"/>
          <w:highlight w:val="none"/>
        </w:rPr>
        <w:t>结合</w:t>
      </w:r>
      <w:r>
        <w:rPr>
          <w:rFonts w:hint="eastAsia" w:ascii="宋体" w:hAnsi="宋体" w:eastAsia="宋体" w:cs="宋体"/>
          <w:color w:val="auto"/>
          <w:highlight w:val="none"/>
          <w:lang w:val="en-US" w:eastAsia="zh-CN"/>
        </w:rPr>
        <w:t>数字经济和智能终端</w:t>
      </w:r>
      <w:r>
        <w:rPr>
          <w:rFonts w:hint="eastAsia" w:ascii="宋体" w:hAnsi="宋体" w:eastAsia="宋体" w:cs="宋体"/>
          <w:color w:val="auto"/>
          <w:sz w:val="21"/>
          <w:szCs w:val="21"/>
          <w:highlight w:val="none"/>
          <w:lang w:val="en-US" w:eastAsia="zh-CN"/>
        </w:rPr>
        <w:t>领域</w:t>
      </w:r>
      <w:r>
        <w:rPr>
          <w:rFonts w:hint="eastAsia" w:ascii="宋体" w:eastAsia="宋体"/>
          <w:color w:val="auto"/>
          <w:highlight w:val="none"/>
        </w:rPr>
        <w:t>的技术焦点、趋势、市场需求以及时事热点等进行设计、撰写、编辑，由我方审核定稿后投放。</w:t>
      </w:r>
    </w:p>
    <w:p>
      <w:pPr>
        <w:numPr>
          <w:ilvl w:val="0"/>
          <w:numId w:val="0"/>
        </w:numPr>
        <w:jc w:val="left"/>
        <w:outlineLvl w:val="1"/>
        <w:rPr>
          <w:rFonts w:hint="eastAsia" w:ascii="宋体" w:eastAsia="宋体"/>
          <w:color w:val="auto"/>
          <w:highlight w:val="none"/>
        </w:rPr>
      </w:pPr>
      <w:bookmarkStart w:id="43" w:name="_Toc26085"/>
      <w:r>
        <w:rPr>
          <w:rFonts w:hint="eastAsia" w:ascii="宋体" w:eastAsia="宋体"/>
          <w:color w:val="auto"/>
          <w:highlight w:val="none"/>
        </w:rPr>
        <w:t>（</w:t>
      </w:r>
      <w:r>
        <w:rPr>
          <w:rFonts w:hint="eastAsia" w:ascii="宋体" w:eastAsia="宋体"/>
          <w:color w:val="auto"/>
          <w:highlight w:val="none"/>
          <w:lang w:val="en-US" w:eastAsia="zh-CN"/>
        </w:rPr>
        <w:t>4</w:t>
      </w:r>
      <w:r>
        <w:rPr>
          <w:rFonts w:hint="eastAsia" w:ascii="宋体" w:eastAsia="宋体"/>
          <w:color w:val="auto"/>
          <w:highlight w:val="none"/>
        </w:rPr>
        <w:t>）投标人需提供本项目宣传方案及详细的媒体投放计划安排表。</w:t>
      </w:r>
      <w:bookmarkEnd w:id="43"/>
    </w:p>
    <w:p>
      <w:pPr>
        <w:numPr>
          <w:ilvl w:val="0"/>
          <w:numId w:val="0"/>
        </w:numPr>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outlineLvl w:val="0"/>
        <w:rPr>
          <w:rFonts w:hint="eastAsia" w:ascii="宋体" w:hAnsi="宋体" w:eastAsia="宋体" w:cs="宋体"/>
          <w:b/>
          <w:color w:val="auto"/>
          <w:sz w:val="32"/>
          <w:szCs w:val="32"/>
          <w:highlight w:val="none"/>
        </w:rPr>
      </w:pPr>
      <w:bookmarkStart w:id="44" w:name="_Toc14222"/>
      <w:r>
        <w:rPr>
          <w:rFonts w:hint="eastAsia" w:ascii="宋体" w:hAnsi="宋体" w:eastAsia="宋体" w:cs="宋体"/>
          <w:b/>
          <w:color w:val="auto"/>
          <w:sz w:val="32"/>
          <w:szCs w:val="32"/>
          <w:highlight w:val="none"/>
        </w:rPr>
        <w:t>第二部分：开标评标流程</w:t>
      </w:r>
      <w:bookmarkEnd w:id="44"/>
    </w:p>
    <w:p>
      <w:pPr>
        <w:numPr>
          <w:ilvl w:val="0"/>
          <w:numId w:val="1"/>
        </w:numPr>
        <w:spacing w:line="360" w:lineRule="auto"/>
        <w:outlineLvl w:val="1"/>
        <w:rPr>
          <w:rFonts w:hint="eastAsia" w:ascii="宋体" w:hAnsi="宋体" w:eastAsia="宋体" w:cs="宋体"/>
          <w:b/>
          <w:color w:val="auto"/>
          <w:highlight w:val="none"/>
        </w:rPr>
      </w:pPr>
      <w:bookmarkStart w:id="45" w:name="_Toc104994641"/>
      <w:bookmarkStart w:id="46" w:name="_Toc20040"/>
      <w:bookmarkStart w:id="47" w:name="_Hlk104908581"/>
      <w:bookmarkStart w:id="48" w:name="_Hlk104908397"/>
      <w:r>
        <w:rPr>
          <w:rFonts w:hint="eastAsia" w:ascii="宋体" w:hAnsi="宋体" w:eastAsia="宋体" w:cs="宋体"/>
          <w:b/>
          <w:color w:val="auto"/>
          <w:highlight w:val="none"/>
        </w:rPr>
        <w:t>开标阶段</w:t>
      </w:r>
      <w:bookmarkEnd w:id="45"/>
      <w:bookmarkEnd w:id="46"/>
    </w:p>
    <w:bookmarkEnd w:id="47"/>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投标人按要求准时进入视频会议室。</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招标人宣布开标工作开始，并介绍开标、评标工作的主要流程。</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投标人按招标人指令上传投标文件解密密码至招标文件中指定地址。</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招标人解密投标文件。</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招标评标小组确认开标一览表。</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招标人现场公开唱标。</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投标人确认唱标结果。</w:t>
      </w:r>
    </w:p>
    <w:p>
      <w:pPr>
        <w:pStyle w:val="26"/>
        <w:numPr>
          <w:ilvl w:val="0"/>
          <w:numId w:val="14"/>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招标人宣布开标工作结束，投标人退出会议室。</w:t>
      </w:r>
    </w:p>
    <w:p>
      <w:pPr>
        <w:numPr>
          <w:ilvl w:val="0"/>
          <w:numId w:val="1"/>
        </w:numPr>
        <w:spacing w:line="360" w:lineRule="auto"/>
        <w:outlineLvl w:val="1"/>
        <w:rPr>
          <w:rFonts w:hint="eastAsia" w:ascii="宋体" w:hAnsi="宋体" w:eastAsia="宋体" w:cs="宋体"/>
          <w:b/>
          <w:color w:val="auto"/>
          <w:highlight w:val="none"/>
        </w:rPr>
      </w:pPr>
      <w:bookmarkStart w:id="49" w:name="_Toc104994642"/>
      <w:bookmarkStart w:id="50" w:name="_Toc2731"/>
      <w:r>
        <w:rPr>
          <w:rFonts w:hint="eastAsia" w:ascii="宋体" w:hAnsi="宋体" w:eastAsia="宋体" w:cs="宋体"/>
          <w:b/>
          <w:color w:val="auto"/>
          <w:highlight w:val="none"/>
        </w:rPr>
        <w:t>评标阶段</w:t>
      </w:r>
      <w:bookmarkEnd w:id="49"/>
      <w:bookmarkEnd w:id="50"/>
    </w:p>
    <w:p>
      <w:pPr>
        <w:pStyle w:val="26"/>
        <w:numPr>
          <w:ilvl w:val="0"/>
          <w:numId w:val="15"/>
        </w:numPr>
        <w:spacing w:line="360" w:lineRule="auto"/>
        <w:ind w:left="416"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主持人宣布评标工作开始，并播放《招标评标工作守则》。</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招标评标小组签字承诺遵守《招标评标工作守则》。</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招标评标小组成员推选组长主持评标。</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投标文件的完整性检验和符合性审查。</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商务及技术/服务需求不可偏离项检查。</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招标评标小组成员采用记名方式按照招标文件中规定的评标办法进行评分；</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综合评分的统计、排序；</w:t>
      </w:r>
    </w:p>
    <w:p>
      <w:pPr>
        <w:pStyle w:val="26"/>
        <w:numPr>
          <w:ilvl w:val="0"/>
          <w:numId w:val="15"/>
        </w:numPr>
        <w:spacing w:line="360" w:lineRule="auto"/>
        <w:ind w:left="416" w:leftChars="198" w:firstLine="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本项目第一中标候选供应商、备选供应商的确定及评标报告的出具。</w:t>
      </w:r>
    </w:p>
    <w:bookmarkEnd w:id="48"/>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outlineLvl w:val="0"/>
        <w:rPr>
          <w:rFonts w:hint="eastAsia" w:ascii="宋体" w:hAnsi="宋体" w:eastAsia="宋体" w:cs="宋体"/>
          <w:b/>
          <w:color w:val="auto"/>
          <w:sz w:val="32"/>
          <w:szCs w:val="32"/>
          <w:highlight w:val="none"/>
        </w:rPr>
      </w:pPr>
      <w:bookmarkStart w:id="51" w:name="_Toc10431"/>
      <w:r>
        <w:rPr>
          <w:rFonts w:hint="eastAsia" w:ascii="宋体" w:hAnsi="宋体" w:eastAsia="宋体" w:cs="宋体"/>
          <w:b/>
          <w:color w:val="auto"/>
          <w:sz w:val="32"/>
          <w:szCs w:val="32"/>
          <w:highlight w:val="none"/>
        </w:rPr>
        <w:t>第三部分：评审办法</w:t>
      </w:r>
      <w:bookmarkEnd w:id="51"/>
    </w:p>
    <w:p>
      <w:pPr>
        <w:numPr>
          <w:ilvl w:val="0"/>
          <w:numId w:val="1"/>
        </w:numPr>
        <w:spacing w:line="360" w:lineRule="auto"/>
        <w:outlineLvl w:val="1"/>
        <w:rPr>
          <w:rFonts w:hint="eastAsia" w:ascii="宋体" w:hAnsi="宋体" w:eastAsia="宋体" w:cs="宋体"/>
          <w:color w:val="auto"/>
          <w:szCs w:val="21"/>
          <w:highlight w:val="none"/>
        </w:rPr>
      </w:pPr>
      <w:bookmarkStart w:id="52" w:name="_Toc5625"/>
      <w:r>
        <w:rPr>
          <w:rFonts w:hint="eastAsia" w:ascii="宋体" w:hAnsi="宋体" w:eastAsia="宋体" w:cs="宋体"/>
          <w:b/>
          <w:bCs/>
          <w:color w:val="auto"/>
          <w:szCs w:val="21"/>
          <w:highlight w:val="none"/>
        </w:rPr>
        <w:t>评审办法</w:t>
      </w:r>
      <w:bookmarkEnd w:id="5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首先对各投标人进行符合性审查，然后进行不可偏离项检查。对通过符合性审查及不可偏离项检查的投标人，采用</w:t>
      </w:r>
      <w:r>
        <w:rPr>
          <w:rFonts w:hint="eastAsia" w:ascii="宋体" w:hAnsi="宋体" w:eastAsia="宋体" w:cs="宋体"/>
          <w:b/>
          <w:color w:val="auto"/>
          <w:szCs w:val="21"/>
          <w:highlight w:val="none"/>
        </w:rPr>
        <w:t>100分制综合评分法</w:t>
      </w:r>
      <w:r>
        <w:rPr>
          <w:rFonts w:hint="eastAsia" w:ascii="宋体" w:hAnsi="宋体" w:eastAsia="宋体" w:cs="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权重名称</w:t>
            </w:r>
          </w:p>
        </w:tc>
        <w:tc>
          <w:tcPr>
            <w:tcW w:w="2130"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商务标权重</w:t>
            </w:r>
          </w:p>
        </w:tc>
        <w:tc>
          <w:tcPr>
            <w:tcW w:w="2131"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技术标权重</w:t>
            </w:r>
          </w:p>
        </w:tc>
        <w:tc>
          <w:tcPr>
            <w:tcW w:w="2585" w:type="dxa"/>
            <w:vAlign w:val="center"/>
          </w:tcPr>
          <w:p>
            <w:pPr>
              <w:autoSpaceDE w:val="0"/>
              <w:autoSpaceDN w:val="0"/>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213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w:t>
            </w:r>
          </w:p>
        </w:tc>
        <w:tc>
          <w:tcPr>
            <w:tcW w:w="2131"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w:t>
            </w:r>
          </w:p>
        </w:tc>
        <w:tc>
          <w:tcPr>
            <w:tcW w:w="2585"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投标人综合得分</w:t>
            </w:r>
          </w:p>
        </w:tc>
        <w:tc>
          <w:tcPr>
            <w:tcW w:w="6846" w:type="dxa"/>
            <w:gridSpan w:val="3"/>
            <w:vAlign w:val="center"/>
          </w:tcPr>
          <w:p>
            <w:pPr>
              <w:pStyle w:val="2"/>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商务标得分+技术标得分+价格标得分=100</w:t>
            </w:r>
          </w:p>
        </w:tc>
      </w:tr>
    </w:tbl>
    <w:p>
      <w:pPr>
        <w:numPr>
          <w:ilvl w:val="0"/>
          <w:numId w:val="16"/>
        </w:numPr>
        <w:spacing w:before="156" w:beforeLines="50"/>
        <w:jc w:val="left"/>
        <w:outlineLvl w:val="2"/>
        <w:rPr>
          <w:rStyle w:val="33"/>
          <w:rFonts w:hint="eastAsia" w:ascii="宋体" w:hAnsi="宋体" w:eastAsia="宋体" w:cs="宋体"/>
          <w:b/>
          <w:color w:val="auto"/>
          <w:szCs w:val="21"/>
          <w:highlight w:val="none"/>
        </w:rPr>
      </w:pPr>
      <w:bookmarkStart w:id="53" w:name="_Toc29788"/>
      <w:r>
        <w:rPr>
          <w:rStyle w:val="33"/>
          <w:rFonts w:hint="eastAsia" w:ascii="宋体" w:hAnsi="宋体" w:eastAsia="宋体" w:cs="宋体"/>
          <w:b/>
          <w:bCs/>
          <w:color w:val="auto"/>
          <w:szCs w:val="21"/>
          <w:highlight w:val="none"/>
        </w:rPr>
        <w:t>符合性检查</w:t>
      </w:r>
      <w:bookmarkEnd w:id="53"/>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p>
        </w:tc>
        <w:tc>
          <w:tcPr>
            <w:tcW w:w="7635" w:type="dxa"/>
            <w:tcBorders>
              <w:tl2br w:val="nil"/>
              <w:tr2bl w:val="nil"/>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法定代表人证明书及授权委托证明书</w:t>
            </w:r>
          </w:p>
        </w:tc>
        <w:tc>
          <w:tcPr>
            <w:tcW w:w="7635" w:type="dxa"/>
            <w:tcBorders>
              <w:tl2br w:val="nil"/>
              <w:tr2bl w:val="nil"/>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资格证明文件</w:t>
            </w:r>
          </w:p>
        </w:tc>
        <w:tc>
          <w:tcPr>
            <w:tcW w:w="7635" w:type="dxa"/>
            <w:tcBorders>
              <w:tl2br w:val="nil"/>
              <w:tr2bl w:val="nil"/>
            </w:tcBorders>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投标人是否提供以下证明文件：（以下内容，请根据《商务需求》第1项“资格要求”编写）</w:t>
            </w:r>
          </w:p>
          <w:p>
            <w:pPr>
              <w:numPr>
                <w:ilvl w:val="0"/>
                <w:numId w:val="0"/>
              </w:numPr>
              <w:tabs>
                <w:tab w:val="left" w:pos="531"/>
              </w:tabs>
              <w:snapToGrid w:val="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13"/>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控制金额</w:t>
            </w:r>
          </w:p>
        </w:tc>
        <w:tc>
          <w:tcPr>
            <w:tcW w:w="7635" w:type="dxa"/>
            <w:tcBorders>
              <w:tl2br w:val="nil"/>
              <w:tr2bl w:val="nil"/>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本项目报价是否高于</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万元（含</w:t>
            </w:r>
            <w:r>
              <w:rPr>
                <w:rFonts w:hint="eastAsia" w:ascii="宋体" w:hAnsi="宋体" w:cs="宋体"/>
                <w:color w:val="auto"/>
                <w:szCs w:val="21"/>
                <w:highlight w:val="none"/>
                <w:lang w:val="en-US" w:eastAsia="zh-CN"/>
              </w:rPr>
              <w:t>增值</w:t>
            </w:r>
            <w:r>
              <w:rPr>
                <w:rFonts w:hint="eastAsia" w:ascii="宋体" w:hAnsi="宋体" w:eastAsia="宋体" w:cs="宋体"/>
                <w:color w:val="auto"/>
                <w:szCs w:val="21"/>
                <w:highlight w:val="none"/>
              </w:rPr>
              <w:t>税），超过上述控制金额的视为无效报价。</w:t>
            </w:r>
          </w:p>
        </w:tc>
      </w:tr>
    </w:tbl>
    <w:p>
      <w:pPr>
        <w:numPr>
          <w:ilvl w:val="0"/>
          <w:numId w:val="16"/>
        </w:numPr>
        <w:spacing w:before="156" w:beforeLines="50"/>
        <w:jc w:val="left"/>
        <w:outlineLvl w:val="2"/>
        <w:rPr>
          <w:rStyle w:val="33"/>
          <w:rFonts w:hint="eastAsia" w:ascii="宋体" w:hAnsi="宋体" w:eastAsia="宋体" w:cs="宋体"/>
          <w:b/>
          <w:bCs/>
          <w:color w:val="auto"/>
          <w:szCs w:val="21"/>
          <w:highlight w:val="none"/>
        </w:rPr>
      </w:pPr>
      <w:bookmarkStart w:id="54" w:name="_Toc114675512"/>
      <w:bookmarkStart w:id="55" w:name="_Toc12715"/>
      <w:r>
        <w:rPr>
          <w:rStyle w:val="33"/>
          <w:rFonts w:hint="eastAsia" w:ascii="宋体" w:hAnsi="宋体" w:eastAsia="宋体" w:cs="宋体"/>
          <w:b/>
          <w:bCs/>
          <w:color w:val="auto"/>
          <w:szCs w:val="21"/>
          <w:highlight w:val="none"/>
        </w:rPr>
        <w:t>不可偏离项检查</w:t>
      </w:r>
      <w:bookmarkEnd w:id="54"/>
      <w:bookmarkEnd w:id="55"/>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检查内容详见第四条《项目要求》之（一）《商务需求》、（二）技术/服务需求。</w:t>
      </w: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numPr>
          <w:ilvl w:val="0"/>
          <w:numId w:val="16"/>
        </w:numPr>
        <w:spacing w:before="156" w:beforeLines="50"/>
        <w:jc w:val="left"/>
        <w:outlineLvl w:val="2"/>
        <w:rPr>
          <w:rFonts w:hint="eastAsia" w:ascii="宋体" w:hAnsi="宋体" w:eastAsia="宋体" w:cs="宋体"/>
          <w:color w:val="auto"/>
          <w:highlight w:val="none"/>
        </w:rPr>
      </w:pPr>
      <w:bookmarkStart w:id="56" w:name="_Toc114675513"/>
      <w:bookmarkStart w:id="57" w:name="_Toc20553"/>
      <w:r>
        <w:rPr>
          <w:rStyle w:val="33"/>
          <w:rFonts w:hint="eastAsia" w:ascii="宋体" w:hAnsi="宋体" w:eastAsia="宋体" w:cs="宋体"/>
          <w:b/>
          <w:bCs/>
          <w:color w:val="auto"/>
          <w:szCs w:val="21"/>
          <w:highlight w:val="none"/>
        </w:rPr>
        <w:t>综合评议指标表</w:t>
      </w:r>
      <w:bookmarkEnd w:id="56"/>
      <w:bookmarkEnd w:id="57"/>
    </w:p>
    <w:tbl>
      <w:tblPr>
        <w:tblStyle w:val="17"/>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商务评议项（</w:t>
            </w:r>
            <w:r>
              <w:rPr>
                <w:rFonts w:hint="eastAsia" w:ascii="宋体" w:hAnsi="宋体" w:cs="宋体"/>
                <w:color w:val="auto"/>
                <w:szCs w:val="21"/>
                <w:highlight w:val="none"/>
                <w:lang w:val="en-US" w:eastAsia="zh-CN"/>
              </w:rPr>
              <w:t>20</w:t>
            </w:r>
            <w:r>
              <w:rPr>
                <w:rFonts w:hint="eastAsia" w:ascii="宋体" w:hAnsi="宋体" w:eastAsia="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6"/>
              <w:numPr>
                <w:ilvl w:val="0"/>
                <w:numId w:val="0"/>
              </w:numPr>
              <w:spacing w:line="360" w:lineRule="auto"/>
              <w:ind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12</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spacing w:line="240" w:lineRule="auto"/>
              <w:ind w:firstLine="420" w:firstLineChars="200"/>
              <w:rPr>
                <w:rFonts w:hint="eastAsia" w:ascii="宋体" w:hAnsi="宋体" w:cs="仿宋_GB2312"/>
                <w:color w:val="auto"/>
                <w:szCs w:val="21"/>
                <w:highlight w:val="none"/>
              </w:rPr>
            </w:pPr>
            <w:r>
              <w:rPr>
                <w:rFonts w:hint="eastAsia" w:ascii="宋体" w:hAnsi="宋体" w:cs="仿宋_GB2312"/>
                <w:color w:val="auto"/>
                <w:kern w:val="2"/>
                <w:szCs w:val="21"/>
                <w:highlight w:val="none"/>
              </w:rPr>
              <w:t>投标人提交的</w:t>
            </w:r>
            <w:r>
              <w:rPr>
                <w:rFonts w:hint="eastAsia" w:ascii="宋体" w:hAnsi="宋体" w:cs="仿宋_GB2312"/>
                <w:color w:val="auto"/>
                <w:szCs w:val="21"/>
                <w:highlight w:val="none"/>
              </w:rPr>
              <w:t>202</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月1</w:t>
            </w:r>
            <w:r>
              <w:rPr>
                <w:rFonts w:hint="eastAsia" w:ascii="宋体" w:hAnsi="宋体" w:cs="仿宋_GB2312"/>
                <w:color w:val="auto"/>
                <w:szCs w:val="21"/>
                <w:highlight w:val="none"/>
              </w:rPr>
              <w:t>日至本项目采购公告发布之日期间（以合同签订日期为准）所承接的</w:t>
            </w:r>
            <w:r>
              <w:rPr>
                <w:rFonts w:hint="eastAsia" w:ascii="宋体" w:hAnsi="宋体" w:cs="仿宋_GB2312"/>
                <w:color w:val="auto"/>
                <w:szCs w:val="21"/>
                <w:highlight w:val="none"/>
                <w:lang w:eastAsia="zh-CN"/>
              </w:rPr>
              <w:t>与</w:t>
            </w:r>
            <w:r>
              <w:rPr>
                <w:rFonts w:hint="eastAsia" w:ascii="宋体" w:hAnsi="宋体" w:eastAsia="宋体" w:cs="仿宋_GB2312"/>
                <w:b w:val="0"/>
                <w:color w:val="auto"/>
                <w:sz w:val="21"/>
                <w:szCs w:val="21"/>
                <w:highlight w:val="none"/>
              </w:rPr>
              <w:t>IT展</w:t>
            </w:r>
            <w:r>
              <w:rPr>
                <w:rFonts w:hint="eastAsia" w:ascii="宋体" w:hAnsi="宋体" w:eastAsia="宋体" w:cs="仿宋_GB2312"/>
                <w:b w:val="0"/>
                <w:color w:val="auto"/>
                <w:sz w:val="21"/>
                <w:szCs w:val="21"/>
                <w:highlight w:val="none"/>
                <w:lang w:val="en-US" w:eastAsia="zh-CN"/>
              </w:rPr>
              <w:t>数字经济和智能终端领域</w:t>
            </w:r>
            <w:r>
              <w:rPr>
                <w:rFonts w:hint="eastAsia" w:ascii="宋体" w:hAnsi="宋体" w:cs="仿宋_GB2312"/>
                <w:color w:val="auto"/>
                <w:szCs w:val="21"/>
                <w:highlight w:val="none"/>
                <w:lang w:val="en-US" w:eastAsia="zh-CN"/>
              </w:rPr>
              <w:t>项目</w:t>
            </w:r>
            <w:r>
              <w:rPr>
                <w:rFonts w:hint="eastAsia" w:ascii="宋体" w:hAnsi="宋体" w:cs="仿宋_GB2312"/>
                <w:color w:val="auto"/>
                <w:szCs w:val="21"/>
                <w:highlight w:val="none"/>
                <w:lang w:val="en-US" w:eastAsia="zh-CN"/>
              </w:rPr>
              <w:t>包括但不限于：</w:t>
            </w:r>
            <w:r>
              <w:rPr>
                <w:rFonts w:hint="eastAsia" w:ascii="宋体" w:hAnsi="宋体" w:cs="仿宋_GB2312"/>
                <w:color w:val="auto"/>
                <w:szCs w:val="21"/>
                <w:highlight w:val="none"/>
              </w:rPr>
              <w:t>专业展览、会议、场馆承接</w:t>
            </w:r>
            <w:r>
              <w:rPr>
                <w:rFonts w:hint="eastAsia" w:ascii="宋体" w:hAnsi="宋体" w:cs="仿宋_GB2312"/>
                <w:color w:val="auto"/>
                <w:kern w:val="2"/>
                <w:szCs w:val="21"/>
                <w:highlight w:val="none"/>
              </w:rPr>
              <w:t>展会、会议宣传项目</w:t>
            </w:r>
            <w:r>
              <w:rPr>
                <w:rFonts w:hint="eastAsia" w:ascii="宋体" w:hAnsi="宋体" w:cs="仿宋_GB2312"/>
                <w:color w:val="auto"/>
                <w:kern w:val="2"/>
                <w:szCs w:val="21"/>
                <w:highlight w:val="none"/>
                <w:lang w:eastAsia="zh-CN"/>
              </w:rPr>
              <w:t>等</w:t>
            </w:r>
            <w:r>
              <w:rPr>
                <w:rFonts w:hint="eastAsia" w:ascii="宋体" w:hAnsi="宋体" w:cs="仿宋_GB2312"/>
                <w:color w:val="auto"/>
                <w:kern w:val="2"/>
                <w:szCs w:val="21"/>
                <w:highlight w:val="none"/>
              </w:rPr>
              <w:t>业绩合同数量进行比较：</w:t>
            </w:r>
            <w:r>
              <w:rPr>
                <w:rFonts w:hint="eastAsia" w:ascii="宋体" w:hAnsi="宋体" w:cs="仿宋_GB2312"/>
                <w:color w:val="auto"/>
                <w:szCs w:val="21"/>
                <w:highlight w:val="none"/>
                <w:lang w:val="en-US" w:eastAsia="zh-CN"/>
              </w:rPr>
              <w:t>合同数量满5个及以上的</w:t>
            </w:r>
            <w:r>
              <w:rPr>
                <w:rFonts w:hint="eastAsia" w:ascii="宋体" w:hAnsi="宋体" w:cs="仿宋_GB2312"/>
                <w:color w:val="auto"/>
                <w:szCs w:val="21"/>
                <w:highlight w:val="none"/>
              </w:rPr>
              <w:t>得12分，</w:t>
            </w:r>
            <w:r>
              <w:rPr>
                <w:rFonts w:hint="eastAsia" w:ascii="宋体" w:hAnsi="宋体" w:cs="仿宋_GB2312"/>
                <w:color w:val="auto"/>
                <w:szCs w:val="21"/>
                <w:highlight w:val="none"/>
                <w:lang w:val="en-US" w:eastAsia="zh-CN"/>
              </w:rPr>
              <w:t>合同数量2-4个的</w:t>
            </w:r>
            <w:r>
              <w:rPr>
                <w:rFonts w:hint="eastAsia" w:ascii="宋体" w:hAnsi="宋体" w:cs="仿宋_GB2312"/>
                <w:color w:val="auto"/>
                <w:szCs w:val="21"/>
                <w:highlight w:val="none"/>
              </w:rPr>
              <w:t>得</w:t>
            </w:r>
            <w:r>
              <w:rPr>
                <w:rFonts w:hint="eastAsia" w:ascii="宋体" w:hAnsi="宋体" w:cs="仿宋_GB2312"/>
                <w:color w:val="auto"/>
                <w:szCs w:val="21"/>
                <w:highlight w:val="none"/>
                <w:lang w:val="en-US" w:eastAsia="zh-CN"/>
              </w:rPr>
              <w:t>8</w:t>
            </w:r>
            <w:r>
              <w:rPr>
                <w:rFonts w:hint="eastAsia" w:ascii="宋体" w:hAnsi="宋体" w:cs="仿宋_GB2312"/>
                <w:color w:val="auto"/>
                <w:szCs w:val="21"/>
                <w:highlight w:val="none"/>
              </w:rPr>
              <w:t>分，</w:t>
            </w:r>
            <w:r>
              <w:rPr>
                <w:rFonts w:hint="eastAsia" w:ascii="宋体" w:hAnsi="宋体" w:cs="仿宋_GB2312"/>
                <w:color w:val="auto"/>
                <w:szCs w:val="21"/>
                <w:highlight w:val="none"/>
                <w:lang w:val="en-US" w:eastAsia="zh-CN"/>
              </w:rPr>
              <w:t>合同数量仅1个的</w:t>
            </w:r>
            <w:r>
              <w:rPr>
                <w:rFonts w:hint="eastAsia" w:ascii="宋体" w:hAnsi="宋体" w:cs="仿宋_GB2312"/>
                <w:color w:val="auto"/>
                <w:szCs w:val="21"/>
                <w:highlight w:val="none"/>
              </w:rPr>
              <w:t>得4分，其他</w:t>
            </w:r>
            <w:r>
              <w:rPr>
                <w:rFonts w:hint="eastAsia" w:ascii="宋体" w:hAnsi="宋体" w:cs="仿宋_GB2312"/>
                <w:color w:val="auto"/>
                <w:szCs w:val="21"/>
                <w:highlight w:val="none"/>
                <w:lang w:val="en-US" w:eastAsia="zh-CN"/>
              </w:rPr>
              <w:t>不得</w:t>
            </w:r>
            <w:r>
              <w:rPr>
                <w:rFonts w:hint="eastAsia" w:ascii="宋体" w:hAnsi="宋体" w:cs="仿宋_GB2312"/>
                <w:color w:val="auto"/>
                <w:szCs w:val="21"/>
                <w:highlight w:val="none"/>
              </w:rPr>
              <w:t>分。</w:t>
            </w:r>
          </w:p>
          <w:p>
            <w:pPr>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仿宋_GB2312"/>
                <w:color w:val="auto"/>
                <w:szCs w:val="21"/>
                <w:highlight w:val="none"/>
              </w:rPr>
              <w:t>说明：投标人须提供能体现上述评议所需信息（如合同双方名称、合同标的、签订时间）的相应合同的关键页并加盖投标人公章；未提供或提供的相关证明文件不清晰、不完整的，不得分。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6"/>
              <w:numPr>
                <w:ilvl w:val="0"/>
                <w:numId w:val="0"/>
              </w:numPr>
              <w:spacing w:line="360" w:lineRule="auto"/>
              <w:ind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综合实力</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8</w:t>
            </w:r>
          </w:p>
        </w:tc>
        <w:tc>
          <w:tcPr>
            <w:tcW w:w="6804" w:type="dxa"/>
            <w:gridSpan w:val="2"/>
            <w:tcBorders>
              <w:tl2br w:val="nil"/>
              <w:tr2bl w:val="nil"/>
            </w:tcBorders>
            <w:tcMar>
              <w:top w:w="15" w:type="dxa"/>
              <w:left w:w="15" w:type="dxa"/>
              <w:bottom w:w="15" w:type="dxa"/>
              <w:right w:w="15" w:type="dxa"/>
            </w:tcMar>
            <w:vAlign w:val="center"/>
          </w:tcPr>
          <w:p>
            <w:pPr>
              <w:pStyle w:val="13"/>
              <w:ind w:firstLine="420" w:firstLineChars="200"/>
              <w:rPr>
                <w:rFonts w:hint="eastAsia" w:ascii="宋体" w:hAnsi="宋体" w:eastAsia="宋体" w:cs="仿宋_GB2312"/>
                <w:color w:val="auto"/>
                <w:kern w:val="2"/>
                <w:szCs w:val="21"/>
                <w:highlight w:val="none"/>
              </w:rPr>
            </w:pPr>
            <w:r>
              <w:rPr>
                <w:rFonts w:hint="eastAsia" w:ascii="宋体" w:hAnsi="宋体" w:eastAsia="宋体" w:cs="仿宋_GB2312"/>
                <w:color w:val="auto"/>
                <w:kern w:val="2"/>
                <w:szCs w:val="21"/>
                <w:highlight w:val="none"/>
              </w:rPr>
              <w:t>根据投标人的</w:t>
            </w:r>
            <w:r>
              <w:rPr>
                <w:rFonts w:hint="eastAsia" w:ascii="宋体" w:hAnsi="宋体" w:eastAsia="宋体" w:cs="仿宋_GB2312"/>
                <w:color w:val="auto"/>
                <w:kern w:val="2"/>
                <w:szCs w:val="21"/>
                <w:highlight w:val="none"/>
                <w:lang w:val="en-US" w:eastAsia="zh-CN"/>
              </w:rPr>
              <w:t>企业自有</w:t>
            </w:r>
            <w:r>
              <w:rPr>
                <w:rFonts w:hint="eastAsia" w:ascii="宋体" w:hAnsi="宋体" w:eastAsia="宋体" w:cs="仿宋_GB2312"/>
                <w:color w:val="auto"/>
                <w:kern w:val="2"/>
                <w:szCs w:val="21"/>
                <w:highlight w:val="none"/>
              </w:rPr>
              <w:t>人员规模进行比较：</w:t>
            </w:r>
            <w:r>
              <w:rPr>
                <w:rFonts w:hint="eastAsia" w:ascii="宋体" w:hAnsi="宋体" w:eastAsia="宋体" w:cs="仿宋_GB2312"/>
                <w:color w:val="auto"/>
                <w:kern w:val="2"/>
                <w:szCs w:val="21"/>
                <w:highlight w:val="none"/>
                <w:lang w:val="en-US" w:eastAsia="zh-CN"/>
              </w:rPr>
              <w:t>人员数量第一名</w:t>
            </w:r>
            <w:r>
              <w:rPr>
                <w:rFonts w:hint="eastAsia" w:ascii="宋体" w:hAnsi="宋体" w:eastAsia="宋体" w:cs="仿宋_GB2312"/>
                <w:color w:val="auto"/>
                <w:kern w:val="2"/>
                <w:szCs w:val="21"/>
                <w:highlight w:val="none"/>
              </w:rPr>
              <w:t>得8分，</w:t>
            </w:r>
            <w:r>
              <w:rPr>
                <w:rFonts w:hint="eastAsia" w:ascii="宋体" w:hAnsi="宋体" w:eastAsia="宋体" w:cs="仿宋_GB2312"/>
                <w:color w:val="auto"/>
                <w:kern w:val="2"/>
                <w:szCs w:val="21"/>
                <w:highlight w:val="none"/>
                <w:lang w:val="en-US" w:eastAsia="zh-CN"/>
              </w:rPr>
              <w:t>人员数量第二名</w:t>
            </w:r>
            <w:r>
              <w:rPr>
                <w:rFonts w:hint="eastAsia" w:ascii="宋体" w:hAnsi="宋体" w:eastAsia="宋体" w:cs="仿宋_GB2312"/>
                <w:color w:val="auto"/>
                <w:kern w:val="2"/>
                <w:szCs w:val="21"/>
                <w:highlight w:val="none"/>
              </w:rPr>
              <w:t>得</w:t>
            </w:r>
            <w:r>
              <w:rPr>
                <w:rFonts w:hint="eastAsia" w:ascii="宋体" w:hAnsi="宋体" w:eastAsia="宋体" w:cs="仿宋_GB2312"/>
                <w:color w:val="auto"/>
                <w:kern w:val="2"/>
                <w:szCs w:val="21"/>
                <w:highlight w:val="none"/>
                <w:lang w:val="en-US" w:eastAsia="zh-CN"/>
              </w:rPr>
              <w:t>5</w:t>
            </w:r>
            <w:r>
              <w:rPr>
                <w:rFonts w:hint="eastAsia" w:ascii="宋体" w:hAnsi="宋体" w:eastAsia="宋体" w:cs="仿宋_GB2312"/>
                <w:color w:val="auto"/>
                <w:kern w:val="2"/>
                <w:szCs w:val="21"/>
                <w:highlight w:val="none"/>
              </w:rPr>
              <w:t>分，</w:t>
            </w:r>
            <w:r>
              <w:rPr>
                <w:rFonts w:hint="eastAsia" w:ascii="宋体" w:hAnsi="宋体" w:eastAsia="宋体" w:cs="仿宋_GB2312"/>
                <w:color w:val="auto"/>
                <w:kern w:val="2"/>
                <w:szCs w:val="21"/>
                <w:highlight w:val="none"/>
                <w:lang w:val="en-US" w:eastAsia="zh-CN"/>
              </w:rPr>
              <w:t>人员数量第三名</w:t>
            </w:r>
            <w:r>
              <w:rPr>
                <w:rFonts w:hint="eastAsia" w:ascii="宋体" w:hAnsi="宋体" w:eastAsia="宋体" w:cs="仿宋_GB2312"/>
                <w:color w:val="auto"/>
                <w:kern w:val="2"/>
                <w:szCs w:val="21"/>
                <w:highlight w:val="none"/>
              </w:rPr>
              <w:t>得3分</w:t>
            </w:r>
            <w:r>
              <w:rPr>
                <w:rFonts w:hint="eastAsia" w:ascii="宋体" w:hAnsi="宋体" w:eastAsia="宋体" w:cs="仿宋_GB2312"/>
                <w:color w:val="auto"/>
                <w:kern w:val="2"/>
                <w:szCs w:val="21"/>
                <w:highlight w:val="none"/>
                <w:lang w:val="en-US" w:eastAsia="zh-CN"/>
              </w:rPr>
              <w:t>人员数量第四名得1分</w:t>
            </w:r>
            <w:r>
              <w:rPr>
                <w:rFonts w:hint="eastAsia" w:ascii="宋体" w:hAnsi="宋体" w:eastAsia="宋体" w:cs="仿宋_GB2312"/>
                <w:color w:val="auto"/>
                <w:kern w:val="2"/>
                <w:szCs w:val="21"/>
                <w:highlight w:val="none"/>
                <w:lang w:eastAsia="zh-CN"/>
              </w:rPr>
              <w:t>，</w:t>
            </w:r>
            <w:r>
              <w:rPr>
                <w:rFonts w:hint="eastAsia" w:ascii="宋体" w:hAnsi="宋体" w:eastAsia="宋体" w:cs="仿宋_GB2312"/>
                <w:color w:val="auto"/>
                <w:kern w:val="2"/>
                <w:szCs w:val="21"/>
                <w:highlight w:val="none"/>
                <w:lang w:val="en-US" w:eastAsia="zh-CN"/>
              </w:rPr>
              <w:t>其他名次不得分</w:t>
            </w:r>
            <w:r>
              <w:rPr>
                <w:rFonts w:hint="eastAsia" w:ascii="宋体" w:hAnsi="宋体" w:eastAsia="宋体" w:cs="仿宋_GB2312"/>
                <w:color w:val="auto"/>
                <w:kern w:val="2"/>
                <w:szCs w:val="21"/>
                <w:highlight w:val="none"/>
              </w:rPr>
              <w:t>。</w:t>
            </w:r>
          </w:p>
          <w:p>
            <w:pPr>
              <w:pStyle w:val="13"/>
              <w:keepNext w:val="0"/>
              <w:keepLines w:val="0"/>
              <w:spacing w:before="0" w:after="0"/>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eastAsia="宋体" w:cs="仿宋_GB2312"/>
                <w:color w:val="auto"/>
                <w:kern w:val="2"/>
                <w:szCs w:val="21"/>
                <w:highlight w:val="none"/>
              </w:rPr>
              <w:t>备注：以各投标人所提供</w:t>
            </w:r>
            <w:r>
              <w:rPr>
                <w:rFonts w:hint="eastAsia" w:ascii="宋体" w:eastAsia="宋体" w:cs="仿宋_GB2312"/>
                <w:color w:val="auto"/>
                <w:kern w:val="2"/>
                <w:szCs w:val="21"/>
                <w:highlight w:val="none"/>
                <w:lang w:val="en-US" w:eastAsia="zh-CN"/>
              </w:rPr>
              <w:t>企业所缴纳社保人员数量</w:t>
            </w:r>
            <w:r>
              <w:rPr>
                <w:rFonts w:hint="eastAsia" w:ascii="宋体" w:eastAsia="宋体" w:cs="仿宋_GB2312"/>
                <w:color w:val="auto"/>
                <w:kern w:val="2"/>
                <w:szCs w:val="21"/>
                <w:highlight w:val="none"/>
              </w:rPr>
              <w:t>进行排名作为评审依据</w:t>
            </w:r>
            <w:r>
              <w:rPr>
                <w:rFonts w:hint="eastAsia" w:ascii="宋体" w:eastAsia="宋体" w:cs="仿宋_GB2312"/>
                <w:color w:val="auto"/>
                <w:kern w:val="2"/>
                <w:szCs w:val="21"/>
                <w:highlight w:val="none"/>
                <w:lang w:eastAsia="zh-CN"/>
              </w:rPr>
              <w:t>，</w:t>
            </w:r>
            <w:r>
              <w:rPr>
                <w:rFonts w:hint="eastAsia" w:ascii="宋体" w:eastAsia="宋体" w:cs="仿宋_GB2312"/>
                <w:color w:val="auto"/>
                <w:kern w:val="2"/>
                <w:szCs w:val="21"/>
                <w:highlight w:val="none"/>
                <w:lang w:val="en-US" w:eastAsia="zh-CN"/>
              </w:rPr>
              <w:t>需提供投标人在招标公告发布前3个月可体现社保缴纳总人数的</w:t>
            </w:r>
            <w:r>
              <w:rPr>
                <w:rFonts w:hint="eastAsia" w:ascii="宋体" w:hAnsi="宋体" w:eastAsia="宋体" w:cs="仿宋_GB2312"/>
                <w:color w:val="auto"/>
                <w:szCs w:val="21"/>
                <w:highlight w:val="none"/>
              </w:rPr>
              <w:t>社保证明（如在招标公告日上一个月的社保材料因社保部门原因暂时无法取得，则可以往前顺推一个月）</w:t>
            </w:r>
            <w:r>
              <w:rPr>
                <w:rFonts w:hint="eastAsia" w:ascii="宋体" w:eastAsia="宋体" w:cs="仿宋_GB2312"/>
                <w:color w:val="auto"/>
                <w:kern w:val="2"/>
                <w:szCs w:val="21"/>
                <w:highlight w:val="none"/>
              </w:rPr>
              <w:t>（以上证明资料均需加盖投标人公章）。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hint="eastAsia" w:ascii="宋体" w:hAnsi="宋体" w:eastAsia="宋体" w:cs="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技术服务评议项（</w:t>
            </w:r>
            <w:r>
              <w:rPr>
                <w:rFonts w:hint="eastAsia" w:ascii="宋体" w:hAnsi="宋体" w:cs="宋体"/>
                <w:color w:val="auto"/>
                <w:szCs w:val="21"/>
                <w:highlight w:val="none"/>
                <w:lang w:val="en-US" w:eastAsia="zh-CN"/>
              </w:rPr>
              <w:t>50</w:t>
            </w:r>
            <w:r>
              <w:rPr>
                <w:rFonts w:hint="eastAsia" w:ascii="宋体" w:hAnsi="宋体" w:eastAsia="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0"/>
              </w:numPr>
              <w:spacing w:line="360" w:lineRule="auto"/>
              <w:ind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投放媒体质量</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25</w:t>
            </w:r>
          </w:p>
        </w:tc>
        <w:tc>
          <w:tcPr>
            <w:tcW w:w="6804" w:type="dxa"/>
            <w:gridSpan w:val="2"/>
            <w:tcBorders>
              <w:tl2br w:val="nil"/>
              <w:tr2bl w:val="nil"/>
            </w:tcBorders>
            <w:tcMar>
              <w:top w:w="15" w:type="dxa"/>
              <w:left w:w="15" w:type="dxa"/>
              <w:bottom w:w="15" w:type="dxa"/>
              <w:right w:w="15" w:type="dxa"/>
            </w:tcMar>
            <w:vAlign w:val="center"/>
          </w:tcPr>
          <w:p>
            <w:pPr>
              <w:pStyle w:val="13"/>
              <w:rPr>
                <w:rFonts w:hint="eastAsia" w:ascii="宋体" w:hAnsi="宋体" w:eastAsia="宋体" w:cs="仿宋_GB2312"/>
                <w:b/>
                <w:bCs/>
                <w:i w:val="0"/>
                <w:iCs w:val="0"/>
                <w:color w:val="auto"/>
                <w:kern w:val="2"/>
                <w:sz w:val="21"/>
                <w:szCs w:val="21"/>
                <w:highlight w:val="none"/>
                <w:vertAlign w:val="baseline"/>
                <w:lang w:val="zh-CN" w:eastAsia="zh-CN" w:bidi="ar-SA"/>
              </w:rPr>
            </w:pPr>
            <w:r>
              <w:rPr>
                <w:rFonts w:hint="eastAsia" w:ascii="宋体" w:hAnsi="宋体" w:eastAsia="宋体" w:cs="仿宋_GB2312"/>
                <w:b/>
                <w:bCs/>
                <w:i w:val="0"/>
                <w:iCs w:val="0"/>
                <w:color w:val="auto"/>
                <w:kern w:val="2"/>
                <w:sz w:val="21"/>
                <w:szCs w:val="21"/>
                <w:highlight w:val="none"/>
                <w:vertAlign w:val="baseline"/>
                <w:lang w:val="zh-CN" w:eastAsia="zh-CN" w:bidi="ar-SA"/>
              </w:rPr>
              <w:t>评审标准：</w:t>
            </w:r>
          </w:p>
          <w:p>
            <w:pPr>
              <w:pStyle w:val="13"/>
              <w:ind w:firstLine="420" w:firstLineChars="200"/>
              <w:rPr>
                <w:rFonts w:ascii="宋体" w:eastAsia="宋体" w:cs="宋体"/>
                <w:color w:val="auto"/>
                <w:kern w:val="0"/>
                <w:szCs w:val="21"/>
                <w:highlight w:val="none"/>
              </w:rPr>
            </w:pPr>
            <w:r>
              <w:rPr>
                <w:rFonts w:hint="eastAsia" w:ascii="宋体" w:eastAsia="宋体" w:cs="仿宋_GB2312"/>
                <w:color w:val="auto"/>
                <w:szCs w:val="21"/>
                <w:highlight w:val="none"/>
                <w:lang w:val="en-US"/>
              </w:rPr>
              <w:t>根据投标人所</w:t>
            </w:r>
            <w:r>
              <w:rPr>
                <w:rFonts w:hint="eastAsia" w:ascii="宋体" w:hAnsi="宋体" w:eastAsia="宋体" w:cs="仿宋_GB2312"/>
                <w:color w:val="auto"/>
                <w:sz w:val="21"/>
                <w:szCs w:val="21"/>
                <w:highlight w:val="none"/>
                <w:lang w:val="en-US" w:eastAsia="zh-CN"/>
              </w:rPr>
              <w:t>提供</w:t>
            </w:r>
            <w:r>
              <w:rPr>
                <w:rFonts w:hint="eastAsia" w:ascii="宋体" w:eastAsia="宋体" w:cs="仿宋_GB2312"/>
                <w:color w:val="auto"/>
                <w:sz w:val="21"/>
                <w:szCs w:val="21"/>
                <w:highlight w:val="none"/>
                <w:lang w:val="en-US" w:eastAsia="zh-CN"/>
              </w:rPr>
              <w:t>拟投放及备用媒体的相关运营信息，</w:t>
            </w:r>
            <w:r>
              <w:rPr>
                <w:rFonts w:hint="eastAsia" w:ascii="宋体" w:eastAsia="宋体" w:cs="仿宋_GB2312"/>
                <w:color w:val="auto"/>
                <w:szCs w:val="21"/>
                <w:highlight w:val="none"/>
                <w:lang w:val="en-US" w:eastAsia="zh-CN"/>
              </w:rPr>
              <w:t>对媒体质量、</w:t>
            </w:r>
            <w:r>
              <w:rPr>
                <w:rFonts w:hint="eastAsia" w:ascii="宋体" w:eastAsia="宋体" w:cs="仿宋_GB2312"/>
                <w:color w:val="auto"/>
                <w:szCs w:val="21"/>
                <w:highlight w:val="none"/>
                <w:lang w:val="en-US"/>
              </w:rPr>
              <w:t>满足招标人</w:t>
            </w:r>
            <w:r>
              <w:rPr>
                <w:rFonts w:hint="eastAsia" w:ascii="宋体" w:eastAsia="宋体" w:cs="仿宋_GB2312"/>
                <w:color w:val="auto"/>
                <w:szCs w:val="21"/>
                <w:highlight w:val="none"/>
                <w:lang w:val="en-US" w:eastAsia="zh-CN"/>
              </w:rPr>
              <w:t>宣传效果的程度高低，进行</w:t>
            </w:r>
            <w:r>
              <w:rPr>
                <w:rFonts w:hint="eastAsia" w:ascii="宋体" w:eastAsia="宋体" w:cs="仿宋_GB2312"/>
                <w:color w:val="auto"/>
                <w:sz w:val="21"/>
                <w:szCs w:val="21"/>
                <w:highlight w:val="none"/>
                <w:lang w:val="en-US" w:eastAsia="zh-CN"/>
              </w:rPr>
              <w:t>综合评议</w:t>
            </w:r>
            <w:r>
              <w:rPr>
                <w:rFonts w:hint="eastAsia" w:ascii="宋体" w:hAnsi="宋体" w:eastAsia="宋体" w:cs="仿宋_GB2312"/>
                <w:color w:val="auto"/>
                <w:sz w:val="21"/>
                <w:szCs w:val="21"/>
                <w:highlight w:val="none"/>
                <w:lang w:val="en-US" w:eastAsia="zh-CN"/>
              </w:rPr>
              <w:t>。</w:t>
            </w:r>
            <w:r>
              <w:rPr>
                <w:rFonts w:hint="eastAsia" w:ascii="宋体" w:eastAsia="宋体" w:cs="宋体"/>
                <w:color w:val="auto"/>
                <w:kern w:val="0"/>
                <w:szCs w:val="21"/>
                <w:highlight w:val="none"/>
              </w:rPr>
              <w:t>以（1）+（2）合计为本项得分：</w:t>
            </w:r>
          </w:p>
          <w:p>
            <w:pPr>
              <w:pStyle w:val="13"/>
              <w:numPr>
                <w:ilvl w:val="0"/>
                <w:numId w:val="0"/>
              </w:numPr>
              <w:ind w:leftChars="0" w:firstLine="420" w:firstLineChars="200"/>
              <w:rPr>
                <w:rFonts w:ascii="宋体" w:eastAsia="宋体" w:cs="宋体"/>
                <w:color w:val="auto"/>
                <w:szCs w:val="21"/>
                <w:highlight w:val="none"/>
              </w:rPr>
            </w:pP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1</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根据投标人所提交的本项目宣传方案投放媒体</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拟投放</w:t>
            </w:r>
            <w:r>
              <w:rPr>
                <w:rFonts w:hint="eastAsia" w:ascii="宋体" w:eastAsia="宋体" w:cs="宋体"/>
                <w:color w:val="auto"/>
                <w:kern w:val="0"/>
                <w:szCs w:val="21"/>
                <w:highlight w:val="none"/>
              </w:rPr>
              <w:t>专业网络</w:t>
            </w:r>
            <w:r>
              <w:rPr>
                <w:rFonts w:hint="eastAsia" w:ascii="宋体" w:eastAsia="宋体" w:cs="宋体"/>
                <w:color w:val="auto"/>
                <w:kern w:val="0"/>
                <w:szCs w:val="21"/>
                <w:highlight w:val="none"/>
                <w:lang w:val="en-US" w:eastAsia="zh-CN"/>
              </w:rPr>
              <w:t>媒体</w:t>
            </w:r>
            <w:r>
              <w:rPr>
                <w:rFonts w:hint="eastAsia" w:ascii="宋体" w:eastAsia="宋体" w:cs="宋体"/>
                <w:color w:val="auto"/>
                <w:kern w:val="0"/>
                <w:szCs w:val="21"/>
                <w:highlight w:val="none"/>
              </w:rPr>
              <w:t>和</w:t>
            </w:r>
            <w:r>
              <w:rPr>
                <w:rFonts w:hint="eastAsia" w:ascii="宋体" w:eastAsia="宋体" w:cs="宋体"/>
                <w:color w:val="auto"/>
                <w:kern w:val="0"/>
                <w:szCs w:val="21"/>
                <w:highlight w:val="none"/>
                <w:lang w:val="en-US" w:eastAsia="zh-CN"/>
              </w:rPr>
              <w:t>拟投放</w:t>
            </w:r>
            <w:r>
              <w:rPr>
                <w:rFonts w:hint="eastAsia" w:ascii="宋体" w:eastAsia="宋体" w:cs="宋体"/>
                <w:color w:val="auto"/>
                <w:kern w:val="0"/>
                <w:szCs w:val="21"/>
                <w:highlight w:val="none"/>
              </w:rPr>
              <w:t>新媒体</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的</w:t>
            </w:r>
            <w:r>
              <w:rPr>
                <w:rFonts w:hint="eastAsia" w:ascii="宋体" w:eastAsia="宋体" w:cs="宋体"/>
                <w:color w:val="auto"/>
                <w:kern w:val="0"/>
                <w:szCs w:val="21"/>
                <w:highlight w:val="none"/>
                <w:lang w:val="en-US" w:eastAsia="zh-CN"/>
              </w:rPr>
              <w:t>质量，</w:t>
            </w:r>
            <w:r>
              <w:rPr>
                <w:rFonts w:hint="eastAsia" w:ascii="宋体" w:eastAsia="宋体" w:cs="宋体"/>
                <w:color w:val="auto"/>
                <w:kern w:val="0"/>
                <w:szCs w:val="21"/>
                <w:highlight w:val="none"/>
              </w:rPr>
              <w:t>进行</w:t>
            </w:r>
            <w:r>
              <w:rPr>
                <w:rFonts w:hint="eastAsia" w:ascii="宋体" w:eastAsia="宋体" w:cs="宋体"/>
                <w:color w:val="auto"/>
                <w:kern w:val="0"/>
                <w:szCs w:val="21"/>
                <w:highlight w:val="none"/>
                <w:lang w:val="en-US" w:eastAsia="zh-CN"/>
              </w:rPr>
              <w:t>横向</w:t>
            </w:r>
            <w:r>
              <w:rPr>
                <w:rFonts w:hint="eastAsia" w:ascii="宋体" w:eastAsia="宋体" w:cs="宋体"/>
                <w:color w:val="auto"/>
                <w:kern w:val="0"/>
                <w:szCs w:val="21"/>
                <w:highlight w:val="none"/>
              </w:rPr>
              <w:t>综合比较</w:t>
            </w:r>
            <w:r>
              <w:rPr>
                <w:rFonts w:hint="eastAsia" w:ascii="宋体" w:eastAsia="宋体" w:cs="宋体"/>
                <w:color w:val="auto"/>
                <w:kern w:val="0"/>
                <w:szCs w:val="21"/>
                <w:highlight w:val="none"/>
                <w:lang w:val="en-US" w:eastAsia="zh-CN"/>
              </w:rPr>
              <w:t>：</w:t>
            </w:r>
            <w:r>
              <w:rPr>
                <w:rFonts w:hint="eastAsia" w:ascii="宋体" w:eastAsia="宋体" w:cs="宋体"/>
                <w:color w:val="auto"/>
                <w:szCs w:val="21"/>
                <w:highlight w:val="none"/>
              </w:rPr>
              <w:t>优秀得</w:t>
            </w:r>
            <w:r>
              <w:rPr>
                <w:rFonts w:hint="eastAsia" w:ascii="宋体" w:eastAsia="宋体" w:cs="宋体"/>
                <w:color w:val="auto"/>
                <w:szCs w:val="21"/>
                <w:highlight w:val="none"/>
                <w:lang w:val="en-US" w:eastAsia="zh-CN"/>
              </w:rPr>
              <w:t>20-14</w:t>
            </w:r>
            <w:r>
              <w:rPr>
                <w:rFonts w:hint="eastAsia" w:ascii="宋体" w:eastAsia="宋体" w:cs="宋体"/>
                <w:color w:val="auto"/>
                <w:szCs w:val="21"/>
                <w:highlight w:val="none"/>
              </w:rPr>
              <w:t>分，良好得</w:t>
            </w:r>
            <w:r>
              <w:rPr>
                <w:rFonts w:hint="eastAsia" w:ascii="宋体" w:eastAsia="宋体" w:cs="宋体"/>
                <w:color w:val="auto"/>
                <w:szCs w:val="21"/>
                <w:highlight w:val="none"/>
                <w:lang w:val="en-US" w:eastAsia="zh-CN"/>
              </w:rPr>
              <w:t>13-7</w:t>
            </w:r>
            <w:r>
              <w:rPr>
                <w:rFonts w:hint="eastAsia" w:ascii="宋体" w:eastAsia="宋体" w:cs="宋体"/>
                <w:color w:val="auto"/>
                <w:szCs w:val="21"/>
                <w:highlight w:val="none"/>
              </w:rPr>
              <w:t>分，一般得</w:t>
            </w:r>
            <w:r>
              <w:rPr>
                <w:rFonts w:hint="eastAsia" w:ascii="宋体" w:eastAsia="宋体" w:cs="宋体"/>
                <w:color w:val="auto"/>
                <w:szCs w:val="21"/>
                <w:highlight w:val="none"/>
                <w:lang w:val="en-US" w:eastAsia="zh-CN"/>
              </w:rPr>
              <w:t>6-1</w:t>
            </w:r>
            <w:r>
              <w:rPr>
                <w:rFonts w:hint="eastAsia" w:ascii="宋体" w:eastAsia="宋体" w:cs="宋体"/>
                <w:color w:val="auto"/>
                <w:szCs w:val="21"/>
                <w:highlight w:val="none"/>
              </w:rPr>
              <w:t>分。</w:t>
            </w:r>
          </w:p>
          <w:p>
            <w:pPr>
              <w:pStyle w:val="13"/>
              <w:ind w:firstLine="420" w:firstLineChars="200"/>
              <w:rPr>
                <w:rFonts w:hint="eastAsia" w:ascii="宋体" w:eastAsia="宋体" w:cs="宋体"/>
                <w:color w:val="auto"/>
                <w:szCs w:val="21"/>
                <w:highlight w:val="none"/>
              </w:rPr>
            </w:pPr>
            <w:r>
              <w:rPr>
                <w:rFonts w:hint="eastAsia" w:ascii="宋体" w:eastAsia="宋体" w:cs="宋体"/>
                <w:color w:val="auto"/>
                <w:kern w:val="0"/>
                <w:szCs w:val="21"/>
                <w:highlight w:val="none"/>
              </w:rPr>
              <w:t>（</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rPr>
              <w:t>）根据投标人所提交的本项目宣传方案</w:t>
            </w:r>
            <w:r>
              <w:rPr>
                <w:rFonts w:hint="eastAsia" w:ascii="宋体" w:eastAsia="宋体" w:cs="宋体"/>
                <w:color w:val="auto"/>
                <w:kern w:val="0"/>
                <w:szCs w:val="21"/>
                <w:highlight w:val="none"/>
                <w:lang w:val="en-US" w:eastAsia="zh-CN"/>
              </w:rPr>
              <w:t>投放备用媒体（备用专业网络媒体和备用新媒体）的质量，</w:t>
            </w:r>
            <w:r>
              <w:rPr>
                <w:rFonts w:hint="eastAsia" w:ascii="宋体" w:eastAsia="宋体" w:cs="宋体"/>
                <w:color w:val="auto"/>
                <w:kern w:val="0"/>
                <w:szCs w:val="21"/>
                <w:highlight w:val="none"/>
              </w:rPr>
              <w:t>进行</w:t>
            </w:r>
            <w:r>
              <w:rPr>
                <w:rFonts w:hint="eastAsia" w:ascii="宋体" w:eastAsia="宋体" w:cs="宋体"/>
                <w:color w:val="auto"/>
                <w:kern w:val="0"/>
                <w:szCs w:val="21"/>
                <w:highlight w:val="none"/>
                <w:lang w:val="en-US" w:eastAsia="zh-CN"/>
              </w:rPr>
              <w:t>横向</w:t>
            </w:r>
            <w:r>
              <w:rPr>
                <w:rFonts w:hint="eastAsia" w:ascii="宋体" w:eastAsia="宋体" w:cs="宋体"/>
                <w:color w:val="auto"/>
                <w:kern w:val="0"/>
                <w:szCs w:val="21"/>
                <w:highlight w:val="none"/>
              </w:rPr>
              <w:t>综合比较</w:t>
            </w:r>
            <w:r>
              <w:rPr>
                <w:rFonts w:hint="eastAsia" w:ascii="宋体" w:eastAsia="宋体" w:cs="宋体"/>
                <w:color w:val="auto"/>
                <w:kern w:val="0"/>
                <w:szCs w:val="21"/>
                <w:highlight w:val="none"/>
                <w:lang w:eastAsia="zh-CN"/>
              </w:rPr>
              <w:t>：</w:t>
            </w:r>
            <w:r>
              <w:rPr>
                <w:rFonts w:hint="eastAsia" w:ascii="宋体" w:eastAsia="宋体" w:cs="宋体"/>
                <w:color w:val="auto"/>
                <w:szCs w:val="21"/>
                <w:highlight w:val="none"/>
              </w:rPr>
              <w:t>优秀得5分，良好得3分，一般得1分。</w:t>
            </w:r>
          </w:p>
          <w:p>
            <w:pPr>
              <w:numPr>
                <w:ilvl w:val="0"/>
                <w:numId w:val="0"/>
              </w:numPr>
              <w:tabs>
                <w:tab w:val="left" w:pos="531"/>
              </w:tabs>
              <w:autoSpaceDE/>
              <w:autoSpaceDN/>
              <w:adjustRightInd/>
              <w:snapToGrid w:val="0"/>
              <w:jc w:val="left"/>
              <w:rPr>
                <w:rFonts w:hint="eastAsia" w:ascii="宋体" w:hAnsi="宋体" w:eastAsia="宋体" w:cs="仿宋_GB2312"/>
                <w:b/>
                <w:bCs/>
                <w:color w:val="auto"/>
                <w:szCs w:val="21"/>
                <w:highlight w:val="none"/>
                <w:lang w:val="zh-CN"/>
              </w:rPr>
            </w:pPr>
            <w:r>
              <w:rPr>
                <w:rFonts w:hint="eastAsia" w:ascii="宋体" w:hAnsi="宋体" w:eastAsia="宋体" w:cs="仿宋_GB2312"/>
                <w:b/>
                <w:bCs/>
                <w:color w:val="auto"/>
                <w:szCs w:val="21"/>
                <w:highlight w:val="none"/>
                <w:lang w:val="zh-CN" w:eastAsia="zh-CN"/>
              </w:rPr>
              <w:t>证明文件</w:t>
            </w:r>
            <w:r>
              <w:rPr>
                <w:rFonts w:hint="eastAsia" w:ascii="宋体" w:hAnsi="宋体" w:eastAsia="宋体" w:cs="仿宋_GB2312"/>
                <w:b/>
                <w:bCs/>
                <w:color w:val="auto"/>
                <w:szCs w:val="21"/>
                <w:highlight w:val="none"/>
                <w:lang w:val="zh-CN"/>
              </w:rPr>
              <w:t>：</w:t>
            </w:r>
          </w:p>
          <w:p>
            <w:pPr>
              <w:pStyle w:val="13"/>
              <w:rPr>
                <w:rFonts w:hint="eastAsia" w:ascii="宋体" w:hAnsi="宋体" w:eastAsia="仿宋_GB2312" w:cs="宋体"/>
                <w:color w:val="auto"/>
                <w:kern w:val="2"/>
                <w:sz w:val="21"/>
                <w:szCs w:val="21"/>
                <w:highlight w:val="none"/>
                <w:lang w:val="en-US" w:eastAsia="zh-CN" w:bidi="ar-SA"/>
              </w:rPr>
            </w:pPr>
            <w:r>
              <w:rPr>
                <w:rFonts w:hint="eastAsia" w:ascii="宋体" w:hAnsi="宋体" w:eastAsia="宋体" w:cs="仿宋_GB2312"/>
                <w:b w:val="0"/>
                <w:bCs w:val="0"/>
                <w:color w:val="auto"/>
                <w:szCs w:val="21"/>
                <w:highlight w:val="none"/>
                <w:lang w:val="en-US" w:eastAsia="zh-CN"/>
              </w:rPr>
              <w:t>投标人</w:t>
            </w:r>
            <w:r>
              <w:rPr>
                <w:rFonts w:hint="eastAsia" w:ascii="宋体" w:hAnsi="宋体" w:eastAsia="宋体" w:cs="仿宋_GB2312"/>
                <w:color w:val="auto"/>
                <w:sz w:val="21"/>
                <w:szCs w:val="21"/>
                <w:highlight w:val="none"/>
                <w:lang w:val="en-US" w:eastAsia="zh-CN"/>
              </w:rPr>
              <w:t>提供</w:t>
            </w:r>
            <w:r>
              <w:rPr>
                <w:rFonts w:hint="eastAsia" w:ascii="宋体" w:eastAsia="宋体" w:cs="仿宋_GB2312"/>
                <w:color w:val="auto"/>
                <w:sz w:val="21"/>
                <w:szCs w:val="21"/>
                <w:highlight w:val="none"/>
                <w:lang w:val="en-US" w:eastAsia="zh-CN"/>
              </w:rPr>
              <w:t>拟投放及备用媒体的相关运营信息说明文件</w:t>
            </w:r>
            <w:r>
              <w:rPr>
                <w:rFonts w:hint="eastAsia" w:ascii="宋体" w:hAnsi="宋体" w:eastAsia="宋体" w:cs="仿宋_GB2312"/>
                <w:color w:val="auto"/>
                <w:sz w:val="21"/>
                <w:szCs w:val="21"/>
                <w:highlight w:val="none"/>
              </w:rPr>
              <w:t>（</w:t>
            </w:r>
            <w:r>
              <w:rPr>
                <w:rFonts w:hint="eastAsia" w:ascii="宋体" w:eastAsia="宋体" w:cs="仿宋_GB2312"/>
                <w:color w:val="auto"/>
                <w:sz w:val="21"/>
                <w:szCs w:val="21"/>
                <w:highlight w:val="none"/>
                <w:lang w:val="en-US" w:eastAsia="zh-CN"/>
              </w:rPr>
              <w:t>运营信息</w:t>
            </w:r>
            <w:r>
              <w:rPr>
                <w:rFonts w:hint="eastAsia" w:ascii="宋体" w:hAnsi="宋体" w:eastAsia="宋体" w:cs="仿宋_GB2312"/>
                <w:color w:val="auto"/>
                <w:sz w:val="21"/>
                <w:szCs w:val="21"/>
                <w:highlight w:val="none"/>
              </w:rPr>
              <w:t>包括但不限于媒体名称、网址、成立开通时间、运营单位、专注领域</w:t>
            </w:r>
            <w:r>
              <w:rPr>
                <w:rFonts w:hint="eastAsia" w:ascii="宋体" w:hAnsi="宋体" w:eastAsia="宋体" w:cs="仿宋_GB2312"/>
                <w:color w:val="auto"/>
                <w:sz w:val="21"/>
                <w:szCs w:val="21"/>
                <w:highlight w:val="none"/>
                <w:lang w:val="en-US" w:eastAsia="zh-CN"/>
              </w:rPr>
              <w:t>等</w:t>
            </w:r>
            <w:r>
              <w:rPr>
                <w:rFonts w:hint="eastAsia" w:ascii="宋体" w:hAnsi="宋体" w:eastAsia="宋体" w:cs="仿宋_GB2312"/>
                <w:color w:val="auto"/>
                <w:sz w:val="21"/>
                <w:szCs w:val="21"/>
                <w:highlight w:val="none"/>
              </w:rPr>
              <w:t>）</w:t>
            </w:r>
            <w:r>
              <w:rPr>
                <w:rFonts w:hint="eastAsia" w:ascii="宋体" w:eastAsia="宋体" w:cs="仿宋_GB2312"/>
                <w:color w:val="auto"/>
                <w:sz w:val="21"/>
                <w:szCs w:val="21"/>
                <w:highlight w:val="none"/>
                <w:lang w:val="en-US" w:eastAsia="zh-CN"/>
              </w:rPr>
              <w:t>，相关说明文件须</w:t>
            </w:r>
            <w:r>
              <w:rPr>
                <w:rFonts w:hint="eastAsia" w:ascii="宋体" w:hAnsi="宋体" w:eastAsia="宋体" w:cs="仿宋_GB2312"/>
                <w:color w:val="auto"/>
                <w:sz w:val="21"/>
                <w:szCs w:val="21"/>
                <w:highlight w:val="none"/>
                <w:lang w:val="en-US"/>
              </w:rPr>
              <w:t>加盖投标人公章</w:t>
            </w:r>
            <w:r>
              <w:rPr>
                <w:rFonts w:hint="eastAsia" w:ascii="宋体" w:eastAsia="宋体" w:cs="仿宋_GB2312"/>
                <w:color w:val="auto"/>
                <w:sz w:val="21"/>
                <w:szCs w:val="21"/>
                <w:highlight w:val="none"/>
                <w:lang w:val="en-US" w:eastAsia="zh-CN"/>
              </w:rPr>
              <w:t>。</w:t>
            </w:r>
            <w:r>
              <w:rPr>
                <w:rFonts w:hint="eastAsia" w:ascii="宋体" w:hAnsi="宋体" w:eastAsia="宋体" w:cs="仿宋_GB2312"/>
                <w:color w:val="auto"/>
                <w:szCs w:val="21"/>
                <w:highlight w:val="none"/>
                <w:lang w:val="en-US" w:eastAsia="zh-CN"/>
              </w:rPr>
              <w:t>如</w:t>
            </w:r>
            <w:r>
              <w:rPr>
                <w:rFonts w:hint="eastAsia" w:ascii="宋体" w:eastAsia="宋体" w:cs="仿宋_GB2312"/>
                <w:color w:val="auto"/>
                <w:szCs w:val="21"/>
                <w:highlight w:val="none"/>
                <w:lang w:val="en-US" w:eastAsia="zh-CN"/>
              </w:rPr>
              <w:t>说明</w:t>
            </w:r>
            <w:r>
              <w:rPr>
                <w:rFonts w:hint="eastAsia" w:ascii="宋体" w:hAnsi="宋体" w:eastAsia="宋体" w:cs="仿宋_GB2312"/>
                <w:color w:val="auto"/>
                <w:szCs w:val="21"/>
                <w:highlight w:val="none"/>
                <w:lang w:val="en-US" w:eastAsia="zh-CN"/>
              </w:rPr>
              <w:t>文件不能清</w:t>
            </w:r>
            <w:r>
              <w:rPr>
                <w:rFonts w:hint="eastAsia" w:ascii="宋体" w:hAnsi="宋体" w:eastAsia="宋体" w:cs="仿宋_GB2312"/>
                <w:color w:val="auto"/>
                <w:szCs w:val="21"/>
                <w:highlight w:val="none"/>
                <w:lang w:val="zh-CN" w:eastAsia="zh-CN"/>
              </w:rPr>
              <w:t>晰</w:t>
            </w:r>
            <w:r>
              <w:rPr>
                <w:rFonts w:hint="eastAsia" w:ascii="宋体" w:hAnsi="宋体" w:eastAsia="宋体" w:cs="仿宋_GB2312"/>
                <w:color w:val="auto"/>
                <w:szCs w:val="21"/>
                <w:highlight w:val="none"/>
                <w:lang w:val="en-US" w:eastAsia="zh-CN"/>
              </w:rPr>
              <w:t>反映</w:t>
            </w:r>
            <w:r>
              <w:rPr>
                <w:rFonts w:hint="eastAsia" w:ascii="宋体" w:eastAsia="宋体" w:cs="仿宋_GB2312"/>
                <w:color w:val="auto"/>
                <w:szCs w:val="21"/>
                <w:highlight w:val="none"/>
                <w:lang w:val="en-US" w:eastAsia="zh-CN"/>
              </w:rPr>
              <w:t>媒体质量</w:t>
            </w:r>
            <w:r>
              <w:rPr>
                <w:rFonts w:hint="eastAsia" w:ascii="宋体" w:hAnsi="宋体" w:eastAsia="宋体" w:cs="仿宋_GB2312"/>
                <w:color w:val="auto"/>
                <w:szCs w:val="21"/>
                <w:highlight w:val="none"/>
                <w:lang w:val="zh-CN" w:eastAsia="zh-CN"/>
              </w:rPr>
              <w:t>，</w:t>
            </w:r>
            <w:r>
              <w:rPr>
                <w:rFonts w:hint="eastAsia" w:ascii="宋体" w:hAnsi="宋体" w:eastAsia="宋体" w:cs="仿宋_GB2312"/>
                <w:color w:val="auto"/>
                <w:szCs w:val="21"/>
                <w:highlight w:val="none"/>
                <w:lang w:val="en-US" w:eastAsia="zh-CN"/>
              </w:rPr>
              <w:t>本项不得分</w:t>
            </w:r>
            <w:r>
              <w:rPr>
                <w:rFonts w:hint="eastAsia" w:ascii="宋体" w:hAnsi="宋体" w:eastAsia="宋体" w:cs="仿宋_GB2312"/>
                <w:color w:val="auto"/>
                <w:szCs w:val="21"/>
                <w:highlight w:val="none"/>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0"/>
              </w:numPr>
              <w:spacing w:line="360" w:lineRule="auto"/>
              <w:ind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拟投入本项目人员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6804" w:type="dxa"/>
            <w:gridSpan w:val="2"/>
            <w:tcBorders>
              <w:tl2br w:val="nil"/>
              <w:tr2bl w:val="nil"/>
            </w:tcBorders>
            <w:tcMar>
              <w:top w:w="15" w:type="dxa"/>
              <w:left w:w="15" w:type="dxa"/>
              <w:bottom w:w="15" w:type="dxa"/>
              <w:right w:w="15" w:type="dxa"/>
            </w:tcMar>
            <w:vAlign w:val="center"/>
          </w:tcPr>
          <w:p>
            <w:pPr>
              <w:pStyle w:val="26"/>
              <w:numPr>
                <w:ilvl w:val="255"/>
                <w:numId w:val="0"/>
              </w:num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根据投标人为本项目指定的项目负责人的</w:t>
            </w:r>
            <w:r>
              <w:rPr>
                <w:rFonts w:hint="eastAsia" w:ascii="宋体" w:hAnsi="宋体" w:eastAsia="宋体" w:cs="宋体"/>
                <w:color w:val="auto"/>
                <w:kern w:val="0"/>
                <w:szCs w:val="21"/>
                <w:highlight w:val="none"/>
                <w:lang w:val="en-US" w:eastAsia="zh-CN"/>
              </w:rPr>
              <w:t>情况综合评议：</w:t>
            </w:r>
          </w:p>
          <w:p>
            <w:pPr>
              <w:pStyle w:val="26"/>
              <w:numPr>
                <w:ilvl w:val="0"/>
                <w:numId w:val="17"/>
              </w:num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根据项目负责人</w:t>
            </w:r>
            <w:r>
              <w:rPr>
                <w:rFonts w:hint="eastAsia" w:ascii="宋体" w:hAnsi="宋体" w:eastAsia="宋体" w:cs="宋体"/>
                <w:color w:val="auto"/>
                <w:kern w:val="0"/>
                <w:szCs w:val="21"/>
                <w:highlight w:val="none"/>
              </w:rPr>
              <w:t>职称</w:t>
            </w:r>
            <w:r>
              <w:rPr>
                <w:rFonts w:hint="eastAsia" w:ascii="宋体" w:hAnsi="宋体" w:eastAsia="宋体" w:cs="宋体"/>
                <w:color w:val="auto"/>
                <w:kern w:val="0"/>
                <w:szCs w:val="21"/>
                <w:highlight w:val="none"/>
                <w:lang w:val="en-US" w:eastAsia="zh-CN"/>
              </w:rPr>
              <w:t>水平高低评议，高级职称4分，中级职称2分，其他情况不得分。</w:t>
            </w:r>
          </w:p>
          <w:p>
            <w:pPr>
              <w:pStyle w:val="26"/>
              <w:numPr>
                <w:ilvl w:val="0"/>
                <w:numId w:val="17"/>
              </w:numP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w:t>
            </w:r>
            <w:r>
              <w:rPr>
                <w:rFonts w:hint="eastAsia" w:ascii="宋体" w:hAnsi="宋体" w:eastAsia="宋体" w:cs="宋体"/>
                <w:color w:val="auto"/>
                <w:kern w:val="0"/>
                <w:szCs w:val="21"/>
                <w:highlight w:val="none"/>
              </w:rPr>
              <w:t>项目负责人管理过的典型项目案例</w:t>
            </w:r>
            <w:r>
              <w:rPr>
                <w:rFonts w:hint="eastAsia" w:ascii="宋体" w:hAnsi="宋体" w:eastAsia="宋体" w:cs="宋体"/>
                <w:color w:val="auto"/>
                <w:kern w:val="0"/>
                <w:szCs w:val="21"/>
                <w:highlight w:val="none"/>
                <w:lang w:val="en-US" w:eastAsia="zh-CN"/>
              </w:rPr>
              <w:t>数量评议，数量越多得分越高。排名第一得6分，排名第二得4分，排名第三得2分，其他名次不得分。所提供的项目负责人业绩证明如：①含有项目负责人信息的合同关键页复印件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kern w:val="0"/>
                <w:szCs w:val="21"/>
                <w:highlight w:val="none"/>
              </w:rPr>
              <w:t>项目总结报告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③甲方开具的证明</w:t>
            </w:r>
            <w:r>
              <w:rPr>
                <w:rFonts w:hint="eastAsia" w:ascii="宋体" w:hAnsi="宋体" w:eastAsia="宋体" w:cs="宋体"/>
                <w:color w:val="auto"/>
                <w:kern w:val="0"/>
                <w:szCs w:val="21"/>
                <w:highlight w:val="none"/>
              </w:rPr>
              <w:t>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此三项证明文件提供任一均可，</w:t>
            </w:r>
            <w:r>
              <w:rPr>
                <w:rFonts w:hint="eastAsia" w:ascii="宋体" w:hAnsi="宋体" w:eastAsia="宋体" w:cs="宋体"/>
                <w:color w:val="auto"/>
                <w:kern w:val="0"/>
                <w:szCs w:val="21"/>
                <w:highlight w:val="none"/>
              </w:rPr>
              <w:t>并加盖</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公章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所提供的资料不清或无法判定者不得分。</w:t>
            </w:r>
          </w:p>
          <w:p>
            <w:pPr>
              <w:pStyle w:val="13"/>
              <w:rPr>
                <w:rFonts w:hint="eastAsia" w:ascii="宋体" w:hAnsi="宋体" w:eastAsia="宋体" w:cs="宋体"/>
                <w:color w:val="auto"/>
                <w:kern w:val="0"/>
                <w:sz w:val="21"/>
                <w:szCs w:val="21"/>
                <w:highlight w:val="none"/>
                <w:lang w:val="en-US" w:eastAsia="zh-CN" w:bidi="ar-SA"/>
              </w:rPr>
            </w:pPr>
            <w:r>
              <w:rPr>
                <w:rFonts w:hint="eastAsia" w:ascii="宋体" w:eastAsia="宋体" w:cs="宋体"/>
                <w:color w:val="auto"/>
                <w:kern w:val="0"/>
                <w:szCs w:val="21"/>
                <w:highlight w:val="none"/>
              </w:rPr>
              <w:t>说明：投标人需提供所指定的本项目负责人的相关资格资历证明文件（包含但不仅限于姓名、职务、工作经验、资质资格证书持有情况等）</w:t>
            </w:r>
            <w:r>
              <w:rPr>
                <w:rStyle w:val="23"/>
                <w:rFonts w:hint="eastAsia"/>
                <w:color w:val="auto"/>
                <w:highlight w:val="none"/>
              </w:rPr>
              <w:t>，</w:t>
            </w:r>
            <w:r>
              <w:rPr>
                <w:rFonts w:hint="eastAsia" w:ascii="宋体" w:eastAsia="宋体" w:cs="宋体"/>
                <w:color w:val="auto"/>
                <w:kern w:val="0"/>
                <w:szCs w:val="21"/>
                <w:highlight w:val="none"/>
              </w:rPr>
              <w:t>未提供有效证明文件或证明文件不清晰无法辨识评审内容的不得分</w:t>
            </w:r>
            <w:r>
              <w:rPr>
                <w:rFonts w:hint="eastAsia" w:ascii="宋体" w:eastAsia="宋体" w:cs="宋体"/>
                <w:color w:val="auto"/>
                <w:kern w:val="0"/>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0"/>
                <w:numId w:val="0"/>
              </w:numPr>
              <w:spacing w:line="360" w:lineRule="auto"/>
              <w:ind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Times New Roman" w:hAnsi="Times New Roman" w:eastAsia="宋体" w:cs="Times New Roman"/>
                <w:color w:val="auto"/>
                <w:kern w:val="2"/>
                <w:sz w:val="21"/>
                <w:szCs w:val="21"/>
                <w:highlight w:val="none"/>
                <w:lang w:val="en-US" w:eastAsia="zh-CN" w:bidi="ar-SA"/>
              </w:rPr>
            </w:pPr>
            <w:r>
              <w:rPr>
                <w:rStyle w:val="23"/>
                <w:rFonts w:hint="eastAsia"/>
                <w:color w:val="auto"/>
                <w:highlight w:val="none"/>
                <w:lang w:eastAsia="zh-CN"/>
              </w:rPr>
              <w:t>其他服务</w:t>
            </w:r>
            <w:r>
              <w:rPr>
                <w:rStyle w:val="23"/>
                <w:rFonts w:hint="eastAsia"/>
                <w:color w:val="auto"/>
                <w:highlight w:val="none"/>
              </w:rPr>
              <w:t>及服务承诺</w:t>
            </w:r>
          </w:p>
        </w:tc>
        <w:tc>
          <w:tcPr>
            <w:tcW w:w="709" w:type="dxa"/>
            <w:tcBorders>
              <w:tl2br w:val="nil"/>
              <w:tr2bl w:val="nil"/>
            </w:tcBorders>
            <w:tcMar>
              <w:top w:w="15" w:type="dxa"/>
              <w:left w:w="15" w:type="dxa"/>
              <w:bottom w:w="15" w:type="dxa"/>
              <w:right w:w="15" w:type="dxa"/>
            </w:tcMar>
            <w:vAlign w:val="center"/>
          </w:tcPr>
          <w:p>
            <w:pPr>
              <w:pStyle w:val="13"/>
              <w:jc w:val="center"/>
              <w:rPr>
                <w:rFonts w:hint="eastAsia" w:ascii="宋体" w:hAnsi="宋体" w:eastAsia="宋体" w:cs="宋体"/>
                <w:color w:val="auto"/>
                <w:kern w:val="0"/>
                <w:sz w:val="21"/>
                <w:szCs w:val="21"/>
                <w:highlight w:val="none"/>
                <w:lang w:val="en-US" w:eastAsia="zh-CN" w:bidi="ar-SA"/>
              </w:rPr>
            </w:pPr>
            <w:r>
              <w:rPr>
                <w:rFonts w:hint="eastAsia" w:ascii="宋体" w:eastAsia="宋体" w:cs="宋体"/>
                <w:color w:val="auto"/>
                <w:kern w:val="0"/>
                <w:szCs w:val="21"/>
                <w:highlight w:val="none"/>
              </w:rPr>
              <w:t>15</w:t>
            </w:r>
          </w:p>
        </w:tc>
        <w:tc>
          <w:tcPr>
            <w:tcW w:w="6804" w:type="dxa"/>
            <w:gridSpan w:val="2"/>
            <w:tcBorders>
              <w:tl2br w:val="nil"/>
              <w:tr2bl w:val="nil"/>
            </w:tcBorders>
            <w:tcMar>
              <w:top w:w="15" w:type="dxa"/>
              <w:left w:w="15" w:type="dxa"/>
              <w:bottom w:w="15" w:type="dxa"/>
              <w:right w:w="15" w:type="dxa"/>
            </w:tcMar>
            <w:vAlign w:val="center"/>
          </w:tcPr>
          <w:p>
            <w:pPr>
              <w:pStyle w:val="13"/>
              <w:rPr>
                <w:rFonts w:hint="eastAsia" w:ascii="宋体" w:eastAsia="宋体" w:cs="宋体"/>
                <w:color w:val="auto"/>
                <w:kern w:val="0"/>
                <w:szCs w:val="21"/>
                <w:highlight w:val="none"/>
              </w:rPr>
            </w:pPr>
            <w:r>
              <w:rPr>
                <w:rFonts w:hint="eastAsia" w:ascii="宋体" w:eastAsia="宋体" w:cs="宋体"/>
                <w:color w:val="auto"/>
                <w:kern w:val="0"/>
                <w:szCs w:val="21"/>
                <w:highlight w:val="none"/>
              </w:rPr>
              <w:t>以下（1）+（2）合计为本项得分：</w:t>
            </w:r>
          </w:p>
          <w:p>
            <w:pPr>
              <w:pStyle w:val="13"/>
              <w:ind w:firstLine="420" w:firstLineChars="200"/>
              <w:rPr>
                <w:rFonts w:hint="eastAsia" w:ascii="宋体" w:eastAsia="宋体" w:cs="仿宋_GB2312"/>
                <w:color w:val="auto"/>
                <w:kern w:val="2"/>
                <w:szCs w:val="21"/>
                <w:highlight w:val="none"/>
              </w:rPr>
            </w:pPr>
            <w:r>
              <w:rPr>
                <w:rFonts w:hint="eastAsia" w:ascii="宋体" w:eastAsia="宋体" w:cs="仿宋_GB2312"/>
                <w:color w:val="auto"/>
                <w:kern w:val="2"/>
                <w:szCs w:val="21"/>
                <w:highlight w:val="none"/>
                <w:lang w:eastAsia="zh-CN"/>
              </w:rPr>
              <w:t>（</w:t>
            </w:r>
            <w:r>
              <w:rPr>
                <w:rFonts w:hint="eastAsia" w:ascii="宋体" w:eastAsia="宋体" w:cs="仿宋_GB2312"/>
                <w:color w:val="auto"/>
                <w:kern w:val="2"/>
                <w:szCs w:val="21"/>
                <w:highlight w:val="none"/>
                <w:lang w:val="en-US" w:eastAsia="zh-CN"/>
              </w:rPr>
              <w:t>1</w:t>
            </w:r>
            <w:r>
              <w:rPr>
                <w:rFonts w:hint="eastAsia" w:ascii="宋体" w:eastAsia="宋体" w:cs="仿宋_GB2312"/>
                <w:color w:val="auto"/>
                <w:kern w:val="2"/>
                <w:szCs w:val="21"/>
                <w:highlight w:val="none"/>
                <w:lang w:eastAsia="zh-CN"/>
              </w:rPr>
              <w:t>）</w:t>
            </w:r>
            <w:r>
              <w:rPr>
                <w:rFonts w:hint="eastAsia" w:ascii="宋体" w:eastAsia="宋体" w:cs="仿宋_GB2312"/>
                <w:color w:val="auto"/>
                <w:kern w:val="2"/>
                <w:szCs w:val="21"/>
                <w:highlight w:val="none"/>
              </w:rPr>
              <w:t>根据投标人所承诺的</w:t>
            </w:r>
            <w:r>
              <w:rPr>
                <w:rFonts w:hint="eastAsia" w:ascii="宋体" w:eastAsia="宋体" w:cs="仿宋_GB2312"/>
                <w:color w:val="auto"/>
                <w:kern w:val="2"/>
                <w:szCs w:val="21"/>
                <w:highlight w:val="none"/>
                <w:lang w:eastAsia="zh-CN"/>
              </w:rPr>
              <w:t>其他服务</w:t>
            </w:r>
            <w:r>
              <w:rPr>
                <w:rFonts w:hint="eastAsia" w:ascii="宋体" w:eastAsia="宋体" w:cs="仿宋_GB2312"/>
                <w:color w:val="auto"/>
                <w:kern w:val="2"/>
                <w:szCs w:val="21"/>
                <w:highlight w:val="none"/>
              </w:rPr>
              <w:t>内容、</w:t>
            </w:r>
            <w:r>
              <w:rPr>
                <w:rFonts w:hint="eastAsia" w:ascii="宋体" w:eastAsia="宋体" w:cs="仿宋_GB2312"/>
                <w:color w:val="auto"/>
                <w:kern w:val="2"/>
                <w:szCs w:val="21"/>
                <w:highlight w:val="none"/>
                <w:lang w:val="en-US" w:eastAsia="zh-CN"/>
              </w:rPr>
              <w:t>形式、</w:t>
            </w:r>
            <w:r>
              <w:rPr>
                <w:rFonts w:hint="eastAsia" w:ascii="宋体" w:eastAsia="宋体" w:cs="仿宋_GB2312"/>
                <w:color w:val="auto"/>
                <w:kern w:val="2"/>
                <w:szCs w:val="21"/>
                <w:highlight w:val="none"/>
              </w:rPr>
              <w:t>质量、宣传效果进行综合比较。</w:t>
            </w:r>
            <w:r>
              <w:rPr>
                <w:rFonts w:hint="eastAsia" w:ascii="宋体" w:eastAsia="宋体" w:cs="仿宋_GB2312"/>
                <w:color w:val="auto"/>
                <w:kern w:val="2"/>
                <w:szCs w:val="21"/>
                <w:highlight w:val="none"/>
                <w:lang w:val="en-US" w:eastAsia="zh-CN"/>
              </w:rPr>
              <w:t>非常优秀得12分，</w:t>
            </w:r>
            <w:r>
              <w:rPr>
                <w:rFonts w:hint="eastAsia" w:ascii="宋体" w:eastAsia="宋体" w:cs="仿宋_GB2312"/>
                <w:color w:val="auto"/>
                <w:kern w:val="2"/>
                <w:szCs w:val="21"/>
                <w:highlight w:val="none"/>
              </w:rPr>
              <w:t>优秀得</w:t>
            </w:r>
            <w:r>
              <w:rPr>
                <w:rFonts w:hint="eastAsia" w:ascii="宋体" w:eastAsia="宋体" w:cs="仿宋_GB2312"/>
                <w:color w:val="auto"/>
                <w:kern w:val="2"/>
                <w:szCs w:val="21"/>
                <w:highlight w:val="none"/>
                <w:lang w:val="en-US" w:eastAsia="zh-CN"/>
              </w:rPr>
              <w:t>9</w:t>
            </w:r>
            <w:r>
              <w:rPr>
                <w:rFonts w:hint="eastAsia" w:ascii="宋体" w:eastAsia="宋体" w:cs="仿宋_GB2312"/>
                <w:color w:val="auto"/>
                <w:kern w:val="2"/>
                <w:szCs w:val="21"/>
                <w:highlight w:val="none"/>
              </w:rPr>
              <w:t>分，良好得</w:t>
            </w:r>
            <w:r>
              <w:rPr>
                <w:rFonts w:hint="eastAsia" w:ascii="宋体" w:eastAsia="宋体" w:cs="仿宋_GB2312"/>
                <w:color w:val="auto"/>
                <w:kern w:val="2"/>
                <w:szCs w:val="21"/>
                <w:highlight w:val="none"/>
                <w:lang w:val="en-US" w:eastAsia="zh-CN"/>
              </w:rPr>
              <w:t>5</w:t>
            </w:r>
            <w:r>
              <w:rPr>
                <w:rFonts w:hint="eastAsia" w:ascii="宋体" w:eastAsia="宋体" w:cs="仿宋_GB2312"/>
                <w:color w:val="auto"/>
                <w:kern w:val="2"/>
                <w:szCs w:val="21"/>
                <w:highlight w:val="none"/>
              </w:rPr>
              <w:t>分，一般得</w:t>
            </w:r>
            <w:r>
              <w:rPr>
                <w:rFonts w:hint="eastAsia" w:ascii="宋体" w:eastAsia="宋体" w:cs="仿宋_GB2312"/>
                <w:color w:val="auto"/>
                <w:kern w:val="2"/>
                <w:szCs w:val="21"/>
                <w:highlight w:val="none"/>
                <w:lang w:val="en-US" w:eastAsia="zh-CN"/>
              </w:rPr>
              <w:t>2</w:t>
            </w:r>
            <w:r>
              <w:rPr>
                <w:rFonts w:hint="eastAsia" w:ascii="宋体" w:eastAsia="宋体" w:cs="仿宋_GB2312"/>
                <w:color w:val="auto"/>
                <w:kern w:val="2"/>
                <w:szCs w:val="21"/>
                <w:highlight w:val="none"/>
              </w:rPr>
              <w:t>分。</w:t>
            </w:r>
          </w:p>
          <w:p>
            <w:pPr>
              <w:pStyle w:val="13"/>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eastAsia="宋体" w:cs="仿宋_GB2312"/>
                <w:color w:val="auto"/>
                <w:kern w:val="2"/>
                <w:szCs w:val="21"/>
                <w:highlight w:val="none"/>
              </w:rPr>
              <w:t>（2）根据投标人对采购人承诺的服务（响应速度越快、承诺内容越全面等）进行综合比较。优秀得</w:t>
            </w:r>
            <w:r>
              <w:rPr>
                <w:rFonts w:hint="eastAsia" w:ascii="宋体" w:eastAsia="宋体" w:cs="仿宋_GB2312"/>
                <w:color w:val="auto"/>
                <w:kern w:val="2"/>
                <w:szCs w:val="21"/>
                <w:highlight w:val="none"/>
                <w:lang w:val="en-US" w:eastAsia="zh-CN"/>
              </w:rPr>
              <w:t>3</w:t>
            </w:r>
            <w:r>
              <w:rPr>
                <w:rFonts w:hint="eastAsia" w:ascii="宋体" w:eastAsia="宋体" w:cs="仿宋_GB2312"/>
                <w:color w:val="auto"/>
                <w:kern w:val="2"/>
                <w:szCs w:val="21"/>
                <w:highlight w:val="none"/>
              </w:rPr>
              <w:t>分，良好得</w:t>
            </w:r>
            <w:r>
              <w:rPr>
                <w:rFonts w:hint="eastAsia" w:ascii="宋体" w:eastAsia="宋体" w:cs="仿宋_GB2312"/>
                <w:color w:val="auto"/>
                <w:kern w:val="2"/>
                <w:szCs w:val="21"/>
                <w:highlight w:val="none"/>
                <w:lang w:val="en-US" w:eastAsia="zh-CN"/>
              </w:rPr>
              <w:t>2</w:t>
            </w:r>
            <w:r>
              <w:rPr>
                <w:rFonts w:hint="eastAsia" w:ascii="宋体" w:eastAsia="宋体" w:cs="仿宋_GB2312"/>
                <w:color w:val="auto"/>
                <w:kern w:val="2"/>
                <w:szCs w:val="21"/>
                <w:highlight w:val="none"/>
              </w:rPr>
              <w:t>分，一般得</w:t>
            </w:r>
            <w:r>
              <w:rPr>
                <w:rFonts w:hint="eastAsia" w:ascii="宋体" w:eastAsia="宋体" w:cs="仿宋_GB2312"/>
                <w:color w:val="auto"/>
                <w:kern w:val="2"/>
                <w:szCs w:val="21"/>
                <w:highlight w:val="none"/>
                <w:lang w:val="en-US" w:eastAsia="zh-CN"/>
              </w:rPr>
              <w:t>1</w:t>
            </w:r>
            <w:r>
              <w:rPr>
                <w:rFonts w:hint="eastAsia" w:ascii="宋体" w:eastAsia="宋体" w:cs="仿宋_GB2312"/>
                <w:color w:val="auto"/>
                <w:kern w:val="2"/>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价格评议项（</w:t>
            </w:r>
            <w:r>
              <w:rPr>
                <w:rFonts w:hint="eastAsia" w:ascii="宋体" w:hAnsi="宋体" w:cs="宋体"/>
                <w:b/>
                <w:bCs/>
                <w:color w:val="auto"/>
                <w:highlight w:val="none"/>
                <w:lang w:val="en-US" w:eastAsia="zh-CN"/>
              </w:rPr>
              <w:t>30</w:t>
            </w:r>
            <w:r>
              <w:rPr>
                <w:rFonts w:hint="eastAsia" w:ascii="宋体" w:hAnsi="宋体" w:eastAsia="宋体" w:cs="宋体"/>
                <w:b/>
                <w:bCs/>
                <w:color w:val="auto"/>
                <w:highlight w:val="none"/>
              </w:rPr>
              <w:t>分）</w:t>
            </w:r>
          </w:p>
          <w:p>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color w:val="auto"/>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□各有效投标报价大于n家时，去掉一个最高和最低报价后的算术平均值乘以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％。当有效投标报价少于n（含）家时，则以所有有效投标报价的算术平均值乘以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color w:val="auto"/>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算法类型</w:t>
            </w:r>
          </w:p>
        </w:tc>
        <w:tc>
          <w:tcPr>
            <w:tcW w:w="1563" w:type="dxa"/>
            <w:gridSpan w:val="2"/>
            <w:tcBorders>
              <w:tl2br w:val="nil"/>
              <w:tr2bl w:val="nil"/>
            </w:tcBorders>
            <w:vAlign w:val="center"/>
          </w:tcPr>
          <w:p>
            <w:pPr>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□固定比例法</w:t>
            </w:r>
          </w:p>
        </w:tc>
        <w:tc>
          <w:tcPr>
            <w:tcW w:w="5950" w:type="dxa"/>
            <w:tcBorders>
              <w:tl2br w:val="nil"/>
              <w:tr2bl w:val="nil"/>
            </w:tcBorders>
            <w:vAlign w:val="center"/>
          </w:tcPr>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价格得分=M-[（｜投标价格-基准价｜/基准价）*100/N]*扣分值</w:t>
            </w:r>
          </w:p>
          <w:p>
            <w:pPr>
              <w:autoSpaceDE w:val="0"/>
              <w:autoSpaceDN w:val="0"/>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（价格评价分项满分值），N=</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，投标价格每高于N％时，扣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分；每低于N％时，扣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color w:val="auto"/>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价格得分=（1-A×｜1-投标报价/Z｜）×M</w:t>
            </w:r>
          </w:p>
          <w:p>
            <w:pPr>
              <w:numPr>
                <w:ilvl w:val="0"/>
                <w:numId w:val="18"/>
              </w:numPr>
              <w:autoSpaceDE w:val="0"/>
              <w:autoSpaceDN w:val="0"/>
              <w:adjustRightInd w:val="0"/>
              <w:snapToGrid w:val="0"/>
              <w:jc w:val="left"/>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M= </w:t>
            </w:r>
            <w:r>
              <w:rPr>
                <w:rFonts w:hint="eastAsia" w:ascii="宋体" w:hAnsi="宋体" w:eastAsia="宋体" w:cs="宋体"/>
                <w:color w:val="auto"/>
                <w:szCs w:val="21"/>
                <w:highlight w:val="none"/>
              </w:rPr>
              <w:t>××</w:t>
            </w:r>
            <w:r>
              <w:rPr>
                <w:rStyle w:val="23"/>
                <w:rFonts w:hint="eastAsia" w:ascii="宋体" w:hAnsi="宋体" w:eastAsia="宋体" w:cs="宋体"/>
                <w:color w:val="auto"/>
                <w:highlight w:val="none"/>
              </w:rPr>
              <w:t xml:space="preserve"> （价格评价分项满分值），Z为本次招标基准价；</w:t>
            </w:r>
          </w:p>
          <w:p>
            <w:pPr>
              <w:numPr>
                <w:ilvl w:val="0"/>
                <w:numId w:val="18"/>
              </w:numPr>
              <w:autoSpaceDE w:val="0"/>
              <w:autoSpaceDN w:val="0"/>
              <w:adjustRightInd w:val="0"/>
              <w:snapToGrid w:val="0"/>
              <w:jc w:val="left"/>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A为价格调整系数，当投标报价低于本次招标最佳报价（即基准价）时，A=0.5；当投标报价高于次招标基准价时，取A=1；</w:t>
            </w:r>
          </w:p>
          <w:p>
            <w:pPr>
              <w:numPr>
                <w:ilvl w:val="0"/>
                <w:numId w:val="18"/>
              </w:numPr>
              <w:jc w:val="left"/>
              <w:rPr>
                <w:rFonts w:hint="eastAsia" w:ascii="宋体" w:hAnsi="宋体" w:eastAsia="宋体" w:cs="宋体"/>
                <w:color w:val="auto"/>
                <w:kern w:val="0"/>
                <w:szCs w:val="21"/>
                <w:highlight w:val="none"/>
              </w:rPr>
            </w:pPr>
            <w:r>
              <w:rPr>
                <w:rStyle w:val="23"/>
                <w:rFonts w:hint="eastAsia" w:ascii="宋体" w:hAnsi="宋体" w:eastAsia="宋体" w:cs="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color w:val="auto"/>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其他方法</w:t>
            </w:r>
          </w:p>
        </w:tc>
        <w:tc>
          <w:tcPr>
            <w:tcW w:w="5950" w:type="dxa"/>
            <w:tcBorders>
              <w:tl2br w:val="nil"/>
              <w:tr2bl w:val="nil"/>
            </w:tcBorders>
            <w:vAlign w:val="center"/>
          </w:tcPr>
          <w:p>
            <w:pPr>
              <w:numPr>
                <w:ilvl w:val="255"/>
                <w:numId w:val="0"/>
              </w:numPr>
              <w:tabs>
                <w:tab w:val="left" w:pos="3780"/>
              </w:tabs>
              <w:snapToGrid w:val="0"/>
              <w:jc w:val="both"/>
              <w:rPr>
                <w:rFonts w:ascii="宋体" w:hAnsi="宋体" w:cs="宋体"/>
                <w:color w:val="auto"/>
                <w:kern w:val="0"/>
                <w:szCs w:val="21"/>
                <w:highlight w:val="none"/>
              </w:rPr>
            </w:pPr>
            <w:r>
              <w:rPr>
                <w:rFonts w:hint="eastAsia" w:ascii="宋体" w:hAnsi="宋体"/>
                <w:color w:val="auto"/>
                <w:szCs w:val="21"/>
                <w:highlight w:val="none"/>
              </w:rPr>
              <w:t>价格得分=（1</w:t>
            </w:r>
            <w:r>
              <w:rPr>
                <w:rFonts w:ascii="宋体" w:hAnsi="宋体"/>
                <w:color w:val="auto"/>
                <w:szCs w:val="21"/>
                <w:highlight w:val="none"/>
              </w:rPr>
              <w:t>-</w:t>
            </w:r>
            <w:r>
              <w:rPr>
                <w:rFonts w:hint="eastAsia" w:ascii="宋体" w:hAnsi="宋体" w:cs="宋体"/>
                <w:color w:val="auto"/>
                <w:kern w:val="0"/>
                <w:szCs w:val="21"/>
                <w:highlight w:val="none"/>
              </w:rPr>
              <w:t>|投标报价-基准价|÷基准价）×价格权重分</w:t>
            </w:r>
          </w:p>
          <w:p>
            <w:pPr>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说明：报价最接近基准价的投标人价格分最高，价格分保留至小数点后两位。</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算术错误将按以下方法更正（次序排前者优先）：</w:t>
      </w:r>
    </w:p>
    <w:p>
      <w:pPr>
        <w:numPr>
          <w:ilvl w:val="0"/>
          <w:numId w:val="19"/>
        </w:numPr>
        <w:spacing w:line="360" w:lineRule="auto"/>
        <w:ind w:left="-4" w:leftChars="-2" w:firstLine="497" w:firstLineChars="237"/>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若分项报价与总价不一致，以总价为准。</w:t>
      </w:r>
    </w:p>
    <w:p>
      <w:pPr>
        <w:numPr>
          <w:ilvl w:val="0"/>
          <w:numId w:val="19"/>
        </w:numPr>
        <w:spacing w:line="360" w:lineRule="auto"/>
        <w:ind w:left="-4" w:leftChars="-2" w:firstLine="497" w:firstLineChars="237"/>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若用文字表示的数值与用数字表示的数值不一致，以文字表示的数值为准。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60" w:lineRule="auto"/>
        <w:jc w:val="center"/>
        <w:outlineLvl w:val="0"/>
        <w:rPr>
          <w:rFonts w:hint="eastAsia" w:ascii="宋体" w:hAnsi="宋体" w:eastAsia="宋体" w:cs="宋体"/>
          <w:b/>
          <w:color w:val="auto"/>
          <w:sz w:val="32"/>
          <w:szCs w:val="32"/>
          <w:highlight w:val="none"/>
        </w:rPr>
      </w:pPr>
      <w:bookmarkStart w:id="58" w:name="_Toc4351"/>
      <w:r>
        <w:rPr>
          <w:rFonts w:hint="eastAsia" w:ascii="宋体" w:hAnsi="宋体" w:eastAsia="宋体" w:cs="宋体"/>
          <w:b/>
          <w:color w:val="auto"/>
          <w:sz w:val="32"/>
          <w:szCs w:val="32"/>
          <w:highlight w:val="none"/>
        </w:rPr>
        <w:t>第四部分：合同条款及格式</w:t>
      </w:r>
      <w:bookmarkEnd w:id="58"/>
    </w:p>
    <w:p>
      <w:pPr>
        <w:jc w:val="center"/>
        <w:rPr>
          <w:rFonts w:hint="eastAsia" w:ascii="宋体" w:hAnsi="宋体" w:eastAsia="宋体" w:cs="宋体"/>
          <w:bCs/>
          <w:color w:val="auto"/>
          <w:kern w:val="0"/>
          <w:sz w:val="28"/>
          <w:szCs w:val="28"/>
          <w:highlight w:val="none"/>
        </w:rPr>
      </w:pPr>
    </w:p>
    <w:p>
      <w:pPr>
        <w:jc w:val="center"/>
        <w:rPr>
          <w:rFonts w:hint="eastAsia" w:ascii="宋体" w:hAnsi="宋体" w:eastAsia="宋体"/>
          <w:b/>
          <w:bCs/>
          <w:color w:val="auto"/>
          <w:sz w:val="36"/>
          <w:szCs w:val="36"/>
          <w:highlight w:val="none"/>
          <w:lang w:eastAsia="zh-CN"/>
        </w:rPr>
      </w:pPr>
      <w:bookmarkStart w:id="59" w:name="_Hlk116549211"/>
      <w:r>
        <w:rPr>
          <w:rFonts w:hint="eastAsia" w:ascii="宋体" w:hAnsi="宋体"/>
          <w:b/>
          <w:bCs/>
          <w:color w:val="auto"/>
          <w:sz w:val="36"/>
          <w:szCs w:val="36"/>
          <w:highlight w:val="none"/>
        </w:rPr>
        <w:t>深圳会展中心第二十</w:t>
      </w:r>
      <w:r>
        <w:rPr>
          <w:rFonts w:hint="eastAsia" w:ascii="宋体" w:hAnsi="宋体"/>
          <w:b/>
          <w:bCs/>
          <w:color w:val="auto"/>
          <w:sz w:val="36"/>
          <w:szCs w:val="36"/>
          <w:highlight w:val="none"/>
          <w:lang w:val="en-US" w:eastAsia="zh-CN"/>
        </w:rPr>
        <w:t>五</w:t>
      </w:r>
      <w:r>
        <w:rPr>
          <w:rFonts w:hint="eastAsia" w:ascii="宋体" w:hAnsi="宋体"/>
          <w:b/>
          <w:bCs/>
          <w:color w:val="auto"/>
          <w:sz w:val="36"/>
          <w:szCs w:val="36"/>
          <w:highlight w:val="none"/>
        </w:rPr>
        <w:t>届高交会</w:t>
      </w:r>
      <w:r>
        <w:rPr>
          <w:rFonts w:hint="eastAsia" w:ascii="宋体" w:hAnsi="宋体" w:cs="Times New Roman"/>
          <w:b/>
          <w:bCs/>
          <w:color w:val="auto"/>
          <w:sz w:val="36"/>
          <w:szCs w:val="36"/>
          <w:highlight w:val="none"/>
          <w:lang w:val="en-US" w:eastAsia="zh-CN"/>
        </w:rPr>
        <w:t>IT展数字经济和智能终端领</w:t>
      </w:r>
      <w:r>
        <w:rPr>
          <w:rFonts w:hint="eastAsia" w:ascii="宋体" w:hAnsi="宋体"/>
          <w:b/>
          <w:bCs/>
          <w:color w:val="auto"/>
          <w:sz w:val="36"/>
          <w:szCs w:val="36"/>
          <w:highlight w:val="none"/>
          <w:lang w:val="en-US" w:eastAsia="zh-CN"/>
        </w:rPr>
        <w:t>域行业</w:t>
      </w:r>
      <w:r>
        <w:rPr>
          <w:rFonts w:hint="eastAsia" w:ascii="宋体" w:hAnsi="宋体"/>
          <w:b/>
          <w:bCs/>
          <w:color w:val="auto"/>
          <w:sz w:val="36"/>
          <w:szCs w:val="36"/>
          <w:highlight w:val="none"/>
        </w:rPr>
        <w:t>垂直媒体宣传采购项目合</w:t>
      </w:r>
      <w:r>
        <w:rPr>
          <w:rFonts w:hint="eastAsia" w:ascii="宋体" w:hAnsi="宋体"/>
          <w:b/>
          <w:bCs/>
          <w:color w:val="auto"/>
          <w:sz w:val="36"/>
          <w:szCs w:val="36"/>
          <w:highlight w:val="none"/>
          <w:lang w:val="en-US" w:eastAsia="zh-CN"/>
        </w:rPr>
        <w:t>同</w:t>
      </w:r>
    </w:p>
    <w:p>
      <w:pPr>
        <w:jc w:val="center"/>
        <w:rPr>
          <w:rFonts w:hint="eastAsia" w:ascii="宋体" w:hAnsi="宋体" w:eastAsia="宋体" w:cs="宋体"/>
          <w:color w:val="auto"/>
          <w:szCs w:val="21"/>
          <w:highlight w:val="none"/>
        </w:rPr>
      </w:pPr>
      <w:r>
        <w:rPr>
          <w:rFonts w:hint="eastAsia" w:ascii="宋体" w:hAnsi="宋体" w:eastAsia="宋体" w:cs="宋体"/>
          <w:bCs/>
          <w:color w:val="auto"/>
          <w:kern w:val="0"/>
          <w:sz w:val="28"/>
          <w:szCs w:val="28"/>
          <w:highlight w:val="none"/>
        </w:rPr>
        <w:t>（</w:t>
      </w:r>
      <w:r>
        <w:rPr>
          <w:rFonts w:hint="eastAsia" w:ascii="宋体" w:hAnsi="宋体" w:cs="宋体"/>
          <w:bCs/>
          <w:color w:val="auto"/>
          <w:kern w:val="0"/>
          <w:sz w:val="28"/>
          <w:szCs w:val="28"/>
          <w:highlight w:val="none"/>
          <w:lang w:val="en-US" w:eastAsia="zh-CN"/>
        </w:rPr>
        <w:t>本模板</w:t>
      </w:r>
      <w:r>
        <w:rPr>
          <w:rFonts w:hint="eastAsia" w:ascii="宋体" w:hAnsi="宋体" w:eastAsia="宋体" w:cs="宋体"/>
          <w:bCs/>
          <w:color w:val="auto"/>
          <w:kern w:val="0"/>
          <w:sz w:val="28"/>
          <w:szCs w:val="28"/>
          <w:highlight w:val="none"/>
        </w:rPr>
        <w:t>仅供参考）</w:t>
      </w:r>
    </w:p>
    <w:bookmarkEnd w:id="59"/>
    <w:p>
      <w:pPr>
        <w:ind w:firstLine="420" w:firstLineChars="200"/>
        <w:jc w:val="left"/>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widowControl/>
        <w:snapToGrid w:val="0"/>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甲方：深圳会展中心管理有限责任公司（简称“会展中心”）</w:t>
      </w:r>
    </w:p>
    <w:p>
      <w:pPr>
        <w:widowControl/>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法定代表人：</w:t>
      </w:r>
      <w:r>
        <w:rPr>
          <w:rFonts w:hint="eastAsia" w:ascii="宋体" w:hAnsi="宋体" w:cs="宋体"/>
          <w:color w:val="auto"/>
          <w:kern w:val="0"/>
          <w:szCs w:val="21"/>
          <w:highlight w:val="none"/>
          <w:lang w:val="en-US" w:eastAsia="zh-CN"/>
        </w:rPr>
        <w:t>岳启伟</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地址：深圳市福田区福华三路深圳会展中心</w:t>
      </w:r>
    </w:p>
    <w:p>
      <w:pPr>
        <w:widowControl/>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p>
    <w:p>
      <w:pPr>
        <w:autoSpaceDE w:val="0"/>
        <w:autoSpaceDN w:val="0"/>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w:t>
      </w:r>
    </w:p>
    <w:p>
      <w:pPr>
        <w:pStyle w:val="2"/>
        <w:spacing w:line="360" w:lineRule="auto"/>
        <w:ind w:lef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电子邮件：</w:t>
      </w:r>
    </w:p>
    <w:p>
      <w:pPr>
        <w:widowControl/>
        <w:snapToGrid w:val="0"/>
        <w:spacing w:line="360" w:lineRule="auto"/>
        <w:ind w:firstLine="560"/>
        <w:rPr>
          <w:rFonts w:hint="eastAsia" w:ascii="宋体" w:hAnsi="宋体" w:eastAsia="宋体" w:cs="宋体"/>
          <w:color w:val="auto"/>
          <w:kern w:val="0"/>
          <w:szCs w:val="21"/>
          <w:highlight w:val="none"/>
        </w:rPr>
      </w:pPr>
    </w:p>
    <w:p>
      <w:pPr>
        <w:widowControl/>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乙方：XXXX公司（简称“XXXX”）</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法定代表人：XXX</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地址：XXXXXXXXXXXX</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联系人：XXX   </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电话：0755-XXXXXX</w:t>
      </w:r>
    </w:p>
    <w:p>
      <w:pPr>
        <w:pStyle w:val="2"/>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p>
    <w:p>
      <w:pPr>
        <w:pStyle w:val="2"/>
        <w:spacing w:after="0" w:line="360" w:lineRule="auto"/>
        <w:ind w:left="0" w:firstLine="400" w:firstLineChars="200"/>
        <w:rPr>
          <w:rFonts w:hint="eastAsia" w:ascii="宋体" w:hAnsi="宋体" w:eastAsia="宋体" w:cs="宋体"/>
          <w:color w:val="auto"/>
          <w:sz w:val="21"/>
          <w:szCs w:val="21"/>
          <w:highlight w:val="none"/>
        </w:rPr>
      </w:pPr>
    </w:p>
    <w:p>
      <w:pPr>
        <w:pStyle w:val="2"/>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cs="仿宋"/>
          <w:color w:val="auto"/>
          <w:sz w:val="21"/>
          <w:szCs w:val="21"/>
          <w:highlight w:val="none"/>
        </w:rPr>
        <w:t>根据《中华人民共和国广告法》、《中华人民共和国民法典》及国家有关法律、法规的规定</w:t>
      </w:r>
      <w:r>
        <w:rPr>
          <w:rFonts w:hint="eastAsia" w:ascii="宋体" w:hAnsi="宋体" w:eastAsia="宋体" w:cs="宋体"/>
          <w:color w:val="auto"/>
          <w:sz w:val="21"/>
          <w:szCs w:val="21"/>
          <w:highlight w:val="none"/>
        </w:rPr>
        <w:t>，甲、乙双方本着公平合理、平等互利、诚信自愿的原则，乙方受甲方委托为甲方提供</w:t>
      </w:r>
      <w:r>
        <w:rPr>
          <w:rFonts w:hint="eastAsia" w:ascii="宋体" w:hAnsi="宋体" w:eastAsia="宋体" w:cs="宋体"/>
          <w:color w:val="auto"/>
          <w:sz w:val="21"/>
          <w:szCs w:val="21"/>
          <w:highlight w:val="none"/>
          <w:lang w:val="en-US" w:eastAsia="zh-CN"/>
        </w:rPr>
        <w:t>深圳会展中心</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数字经济和智能终端领域</w:t>
      </w:r>
      <w:r>
        <w:rPr>
          <w:rFonts w:hint="eastAsia" w:ascii="宋体" w:hAnsi="宋体" w:eastAsia="宋体" w:cs="宋体"/>
          <w:color w:val="auto"/>
          <w:sz w:val="21"/>
          <w:szCs w:val="21"/>
          <w:highlight w:val="none"/>
        </w:rPr>
        <w:t>行业垂直媒体宣传采购</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服务，甲乙双方经协商一致，签订本</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，双方保证严格遵守和执行。</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服务内容及要求</w:t>
      </w:r>
    </w:p>
    <w:p>
      <w:pPr>
        <w:pStyle w:val="2"/>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深圳会展中心</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cs="宋体"/>
          <w:color w:val="auto"/>
          <w:sz w:val="21"/>
          <w:szCs w:val="21"/>
          <w:highlight w:val="none"/>
          <w:lang w:val="en-US" w:eastAsia="zh-CN"/>
        </w:rPr>
        <w:t>IT</w:t>
      </w:r>
      <w:r>
        <w:rPr>
          <w:rFonts w:hint="eastAsia" w:ascii="宋体" w:hAnsi="宋体" w:eastAsia="宋体" w:cs="宋体"/>
          <w:color w:val="auto"/>
          <w:sz w:val="21"/>
          <w:szCs w:val="21"/>
          <w:highlight w:val="none"/>
          <w:lang w:val="en-US" w:eastAsia="zh-CN"/>
        </w:rPr>
        <w:t>展数字经济和智能终端领域</w:t>
      </w:r>
      <w:r>
        <w:rPr>
          <w:rFonts w:hint="eastAsia" w:ascii="宋体" w:hAnsi="宋体" w:eastAsia="宋体" w:cs="宋体"/>
          <w:color w:val="auto"/>
          <w:sz w:val="21"/>
          <w:szCs w:val="21"/>
          <w:highlight w:val="none"/>
        </w:rPr>
        <w:t>行业垂直媒体宣传采购</w:t>
      </w:r>
      <w:r>
        <w:rPr>
          <w:rFonts w:hint="eastAsia" w:ascii="宋体" w:hAnsi="宋体" w:cs="宋体"/>
          <w:color w:val="auto"/>
          <w:sz w:val="21"/>
          <w:szCs w:val="21"/>
          <w:highlight w:val="none"/>
          <w:lang w:val="en-US" w:eastAsia="zh-CN"/>
        </w:rPr>
        <w:t>项目</w:t>
      </w:r>
    </w:p>
    <w:p>
      <w:pPr>
        <w:pStyle w:val="2"/>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项目实施地点：深圳会展中心</w:t>
      </w:r>
    </w:p>
    <w:p>
      <w:pPr>
        <w:pStyle w:val="2"/>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p>
      <w:pPr>
        <w:pStyle w:val="2"/>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由乙方策划并制定</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IT展数字经济和智能终端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广告投放排期表，并全程执行、采购、跟进及评估；</w:t>
      </w:r>
    </w:p>
    <w:p>
      <w:pPr>
        <w:pStyle w:val="2"/>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由乙方策划并制定</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IT展数字经济和智能终端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广告，并根据高交会VI设计硬广告；</w:t>
      </w:r>
    </w:p>
    <w:p>
      <w:pPr>
        <w:pStyle w:val="2"/>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由乙方策划并制定</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IT展数字经济和智能终端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rPr>
        <w:t>软文计划排期表且负责完成方案中软文的采编、撰写，并将其软文发布于各媒体；</w:t>
      </w:r>
    </w:p>
    <w:p>
      <w:pPr>
        <w:pStyle w:val="2"/>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由乙方策划并制</w:t>
      </w:r>
      <w:r>
        <w:rPr>
          <w:rFonts w:hint="eastAsia" w:ascii="宋体" w:hAnsi="宋体" w:cs="宋体"/>
          <w:color w:val="auto"/>
          <w:highlight w:val="none"/>
          <w:lang w:val="en-US" w:eastAsia="zh-CN"/>
        </w:rPr>
        <w:t>作</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IT展数字经济和智能终端</w:t>
      </w:r>
      <w:r>
        <w:rPr>
          <w:rFonts w:hint="eastAsia" w:ascii="宋体" w:hAnsi="宋体" w:cs="宋体"/>
          <w:color w:val="auto"/>
          <w:sz w:val="21"/>
          <w:szCs w:val="21"/>
          <w:highlight w:val="none"/>
          <w:lang w:val="en-US" w:eastAsia="zh-CN"/>
        </w:rPr>
        <w:t>领域</w:t>
      </w:r>
      <w:r>
        <w:rPr>
          <w:rFonts w:hint="eastAsia" w:ascii="宋体" w:hAnsi="宋体" w:cs="宋体"/>
          <w:color w:val="auto"/>
          <w:highlight w:val="none"/>
          <w:lang w:val="en-US" w:eastAsia="zh-CN"/>
        </w:rPr>
        <w:t>视频</w:t>
      </w:r>
      <w:r>
        <w:rPr>
          <w:rFonts w:hint="eastAsia" w:ascii="宋体" w:hAnsi="宋体" w:eastAsia="宋体" w:cs="宋体"/>
          <w:color w:val="auto"/>
          <w:highlight w:val="none"/>
          <w:lang w:val="en-US" w:eastAsia="zh-CN"/>
        </w:rPr>
        <w:t>计划排期表且负责完成方案中</w:t>
      </w:r>
      <w:r>
        <w:rPr>
          <w:rFonts w:hint="eastAsia" w:ascii="宋体" w:hAnsi="宋体" w:cs="宋体"/>
          <w:color w:val="auto"/>
          <w:highlight w:val="none"/>
          <w:lang w:val="en-US" w:eastAsia="zh-CN"/>
        </w:rPr>
        <w:t>视频</w:t>
      </w:r>
      <w:r>
        <w:rPr>
          <w:rFonts w:hint="eastAsia" w:ascii="宋体" w:hAnsi="宋体" w:eastAsia="宋体" w:cs="宋体"/>
          <w:color w:val="auto"/>
          <w:highlight w:val="none"/>
          <w:lang w:val="en-US" w:eastAsia="zh-CN"/>
        </w:rPr>
        <w:t>的</w:t>
      </w:r>
      <w:r>
        <w:rPr>
          <w:rFonts w:hint="eastAsia" w:ascii="宋体" w:hAnsi="宋体" w:cs="宋体"/>
          <w:color w:val="auto"/>
          <w:highlight w:val="none"/>
          <w:lang w:val="en-US" w:eastAsia="zh-CN"/>
        </w:rPr>
        <w:t>拍摄、剪辑</w:t>
      </w:r>
      <w:r>
        <w:rPr>
          <w:rFonts w:hint="eastAsia" w:ascii="宋体" w:hAnsi="宋体" w:eastAsia="宋体" w:cs="宋体"/>
          <w:color w:val="auto"/>
          <w:highlight w:val="none"/>
          <w:lang w:val="en-US" w:eastAsia="zh-CN"/>
        </w:rPr>
        <w:t>，并将其</w:t>
      </w:r>
      <w:r>
        <w:rPr>
          <w:rFonts w:hint="eastAsia" w:ascii="宋体" w:hAnsi="宋体" w:cs="宋体"/>
          <w:color w:val="auto"/>
          <w:highlight w:val="none"/>
          <w:lang w:val="en-US" w:eastAsia="zh-CN"/>
        </w:rPr>
        <w:t>视频</w:t>
      </w:r>
      <w:r>
        <w:rPr>
          <w:rFonts w:hint="eastAsia" w:ascii="宋体" w:hAnsi="宋体" w:eastAsia="宋体" w:cs="宋体"/>
          <w:color w:val="auto"/>
          <w:highlight w:val="none"/>
          <w:lang w:val="en-US" w:eastAsia="zh-CN"/>
        </w:rPr>
        <w:t>发布于各媒体；</w:t>
      </w:r>
    </w:p>
    <w:p>
      <w:pPr>
        <w:pStyle w:val="2"/>
        <w:numPr>
          <w:ilvl w:val="0"/>
          <w:numId w:val="22"/>
        </w:numPr>
        <w:spacing w:after="0" w:line="360" w:lineRule="auto"/>
        <w:ind w:left="0" w:firstLine="3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t>上述所有宣传投放内容和设计须经甲方确认后实施。</w:t>
      </w:r>
    </w:p>
    <w:p>
      <w:pPr>
        <w:pStyle w:val="2"/>
        <w:numPr>
          <w:ilvl w:val="0"/>
          <w:numId w:val="21"/>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p>
      <w:pPr>
        <w:tabs>
          <w:tab w:val="left" w:pos="0"/>
          <w:tab w:val="left" w:pos="360"/>
        </w:tabs>
        <w:snapToGrid w:val="0"/>
        <w:spacing w:line="500" w:lineRule="exact"/>
        <w:ind w:firstLine="420" w:firstLineChars="200"/>
        <w:rPr>
          <w:rFonts w:ascii="宋体" w:hAnsi="宋体" w:cs="仿宋"/>
          <w:b/>
          <w:bCs/>
          <w:color w:val="auto"/>
          <w:szCs w:val="21"/>
          <w:highlight w:val="none"/>
        </w:rPr>
      </w:pPr>
      <w:r>
        <w:rPr>
          <w:rFonts w:hint="eastAsia" w:ascii="宋体" w:hAnsi="宋体" w:cs="仿宋"/>
          <w:color w:val="auto"/>
          <w:szCs w:val="21"/>
          <w:highlight w:val="none"/>
        </w:rPr>
        <w:t>乙方根据</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附件《深圳会展中心</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IT展数字经济和智能终端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投放服务计划及报价表》为执行依据开展工作，甲方按照乙方工作完成情况与乙方结算，排期表时间按</w:t>
      </w:r>
      <w:r>
        <w:rPr>
          <w:rFonts w:hint="eastAsia" w:ascii="宋体" w:hAnsi="宋体"/>
          <w:color w:val="auto"/>
          <w:szCs w:val="21"/>
          <w:highlight w:val="none"/>
        </w:rPr>
        <w:t>签订</w:t>
      </w:r>
      <w:r>
        <w:rPr>
          <w:rFonts w:hint="eastAsia" w:ascii="宋体" w:hAnsi="宋体"/>
          <w:color w:val="auto"/>
          <w:szCs w:val="21"/>
          <w:highlight w:val="none"/>
          <w:lang w:val="en-US" w:eastAsia="zh-CN"/>
        </w:rPr>
        <w:t>合同</w:t>
      </w:r>
      <w:r>
        <w:rPr>
          <w:rFonts w:hint="eastAsia" w:ascii="宋体" w:hAnsi="宋体"/>
          <w:color w:val="auto"/>
          <w:szCs w:val="21"/>
          <w:highlight w:val="none"/>
        </w:rPr>
        <w:t>日期相应顺延。</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服务期限</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从本</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签订生效之日起</w:t>
      </w:r>
      <w:r>
        <w:rPr>
          <w:rFonts w:hint="eastAsia" w:ascii="宋体" w:hAnsi="宋体"/>
          <w:color w:val="auto"/>
          <w:szCs w:val="21"/>
          <w:highlight w:val="none"/>
        </w:rPr>
        <w:t>至</w:t>
      </w:r>
      <w:r>
        <w:rPr>
          <w:rFonts w:hint="eastAsia" w:ascii="宋体" w:hAnsi="宋体"/>
          <w:color w:val="auto"/>
          <w:szCs w:val="21"/>
          <w:highlight w:val="none"/>
          <w:lang w:val="en-US"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日止</w:t>
      </w:r>
      <w:r>
        <w:rPr>
          <w:rFonts w:hint="eastAsia" w:ascii="宋体" w:hAnsi="宋体" w:eastAsia="宋体" w:cs="宋体"/>
          <w:color w:val="auto"/>
          <w:sz w:val="21"/>
          <w:szCs w:val="21"/>
          <w:highlight w:val="none"/>
        </w:rPr>
        <w:t>。</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合同金额及付款要求</w:t>
      </w:r>
    </w:p>
    <w:p>
      <w:pPr>
        <w:pStyle w:val="26"/>
        <w:numPr>
          <w:ilvl w:val="1"/>
          <w:numId w:val="23"/>
        </w:numPr>
        <w:spacing w:line="360" w:lineRule="auto"/>
        <w:ind w:left="0" w:firstLine="420"/>
        <w:rPr>
          <w:rFonts w:hint="eastAsia" w:ascii="宋体" w:hAnsi="宋体" w:eastAsia="宋体" w:cs="宋体"/>
          <w:color w:val="auto"/>
          <w:spacing w:val="-2"/>
          <w:szCs w:val="21"/>
          <w:highlight w:val="none"/>
        </w:rPr>
      </w:pPr>
      <w:r>
        <w:rPr>
          <w:rFonts w:hint="eastAsia" w:ascii="宋体" w:hAnsi="宋体" w:eastAsia="宋体" w:cs="宋体"/>
          <w:color w:val="auto"/>
          <w:szCs w:val="21"/>
          <w:highlight w:val="none"/>
        </w:rPr>
        <w:t>合同金额</w:t>
      </w:r>
    </w:p>
    <w:p>
      <w:pPr>
        <w:pStyle w:val="26"/>
        <w:numPr>
          <w:ilvl w:val="0"/>
          <w:numId w:val="24"/>
        </w:numPr>
        <w:spacing w:line="360" w:lineRule="auto"/>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本项</w:t>
      </w:r>
      <w:r>
        <w:rPr>
          <w:rFonts w:hint="eastAsia" w:ascii="宋体" w:hAnsi="宋体" w:eastAsia="宋体" w:cs="宋体"/>
          <w:color w:val="auto"/>
          <w:szCs w:val="21"/>
          <w:highlight w:val="none"/>
        </w:rPr>
        <w:t>目合同金额</w:t>
      </w:r>
      <w:r>
        <w:rPr>
          <w:rFonts w:hint="eastAsia" w:ascii="宋体" w:hAnsi="宋体" w:eastAsia="宋体" w:cs="宋体"/>
          <w:bCs/>
          <w:color w:val="auto"/>
          <w:szCs w:val="21"/>
          <w:highlight w:val="none"/>
        </w:rPr>
        <w:t>为¥</w:t>
      </w:r>
      <w:r>
        <w:rPr>
          <w:rFonts w:hint="eastAsia" w:ascii="宋体" w:hAnsi="宋体" w:eastAsia="宋体" w:cs="宋体"/>
          <w:bCs/>
          <w:color w:val="auto"/>
          <w:szCs w:val="21"/>
          <w:highlight w:val="none"/>
          <w:u w:val="single"/>
          <w:lang w:val="en-US" w:eastAsia="zh-CN"/>
        </w:rPr>
        <w:t>xx</w:t>
      </w:r>
      <w:r>
        <w:rPr>
          <w:rFonts w:hint="eastAsia" w:ascii="宋体" w:hAnsi="宋体" w:eastAsia="宋体" w:cs="宋体"/>
          <w:bCs/>
          <w:color w:val="auto"/>
          <w:szCs w:val="21"/>
          <w:highlight w:val="none"/>
        </w:rPr>
        <w:t>万元（</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lang w:val="en-US" w:eastAsia="zh-CN"/>
        </w:rPr>
        <w:t>xxxx</w:t>
      </w:r>
      <w:r>
        <w:rPr>
          <w:rFonts w:hint="eastAsia" w:ascii="宋体" w:hAnsi="宋体" w:eastAsia="宋体" w:cs="宋体"/>
          <w:color w:val="auto"/>
          <w:szCs w:val="21"/>
          <w:highlight w:val="none"/>
          <w:u w:val="single"/>
        </w:rPr>
        <w:t xml:space="preserve">元整 </w:t>
      </w:r>
      <w:r>
        <w:rPr>
          <w:rFonts w:hint="eastAsia" w:ascii="宋体" w:hAnsi="宋体" w:eastAsia="宋体" w:cs="宋体"/>
          <w:color w:val="auto"/>
          <w:szCs w:val="21"/>
          <w:highlight w:val="none"/>
        </w:rPr>
        <w:t>），税率为</w:t>
      </w:r>
      <w:r>
        <w:rPr>
          <w:rFonts w:hint="eastAsia" w:ascii="宋体" w:hAnsi="宋体" w:eastAsia="宋体" w:cs="宋体"/>
          <w:color w:val="auto"/>
          <w:szCs w:val="21"/>
          <w:highlight w:val="none"/>
          <w:u w:val="single"/>
          <w:lang w:val="en-US" w:eastAsia="zh-CN"/>
        </w:rPr>
        <w:t>xx</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w:t>
      </w:r>
    </w:p>
    <w:p>
      <w:pPr>
        <w:pStyle w:val="26"/>
        <w:numPr>
          <w:ilvl w:val="0"/>
          <w:numId w:val="24"/>
        </w:numPr>
        <w:spacing w:line="360" w:lineRule="auto"/>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以上金额已经包含项目费用开具增值税专用发票所产生的税费及乙方完成本项目服务所发生的</w:t>
      </w:r>
      <w:r>
        <w:rPr>
          <w:rFonts w:hint="eastAsia" w:ascii="宋体" w:hAnsi="宋体" w:eastAsia="宋体" w:cs="宋体"/>
          <w:color w:val="auto"/>
          <w:szCs w:val="21"/>
          <w:highlight w:val="none"/>
        </w:rPr>
        <w:t>全部费用。</w:t>
      </w:r>
    </w:p>
    <w:p>
      <w:pPr>
        <w:pStyle w:val="26"/>
        <w:numPr>
          <w:ilvl w:val="1"/>
          <w:numId w:val="23"/>
        </w:numPr>
        <w:spacing w:line="360" w:lineRule="auto"/>
        <w:ind w:left="0" w:firstLine="412"/>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付款要求</w:t>
      </w:r>
    </w:p>
    <w:p>
      <w:pPr>
        <w:pStyle w:val="26"/>
        <w:numPr>
          <w:ilvl w:val="0"/>
          <w:numId w:val="25"/>
        </w:numPr>
        <w:spacing w:line="360" w:lineRule="auto"/>
        <w:ind w:firstLine="412" w:firstLineChars="20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val="en-US" w:eastAsia="zh-CN"/>
        </w:rPr>
        <w:t>合同金额分两次付清</w:t>
      </w:r>
    </w:p>
    <w:p>
      <w:pPr>
        <w:pStyle w:val="26"/>
        <w:numPr>
          <w:ilvl w:val="0"/>
          <w:numId w:val="26"/>
        </w:numPr>
        <w:spacing w:line="360" w:lineRule="auto"/>
        <w:ind w:firstLine="412" w:firstLineChars="20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合同签订</w:t>
      </w:r>
      <w:r>
        <w:rPr>
          <w:rFonts w:hint="eastAsia" w:ascii="宋体" w:hAnsi="宋体" w:eastAsia="宋体" w:cs="宋体"/>
          <w:color w:val="auto"/>
          <w:spacing w:val="-2"/>
          <w:szCs w:val="21"/>
          <w:highlight w:val="none"/>
          <w:lang w:val="en-US" w:eastAsia="zh-CN"/>
        </w:rPr>
        <w:t>后</w:t>
      </w:r>
      <w:r>
        <w:rPr>
          <w:rFonts w:hint="eastAsia" w:ascii="宋体" w:hAnsi="宋体" w:eastAsia="宋体" w:cs="宋体"/>
          <w:color w:val="auto"/>
          <w:spacing w:val="-2"/>
          <w:szCs w:val="21"/>
          <w:highlight w:val="none"/>
        </w:rPr>
        <w:t>甲方向乙方支付合同金额</w:t>
      </w:r>
      <w:r>
        <w:rPr>
          <w:rFonts w:hint="eastAsia" w:ascii="宋体" w:hAnsi="宋体" w:eastAsia="宋体" w:cs="宋体"/>
          <w:color w:val="auto"/>
          <w:spacing w:val="-2"/>
          <w:szCs w:val="21"/>
          <w:highlight w:val="none"/>
          <w:lang w:val="en-US" w:eastAsia="zh-CN"/>
        </w:rPr>
        <w:t>50</w:t>
      </w:r>
      <w:r>
        <w:rPr>
          <w:rFonts w:hint="eastAsia" w:ascii="宋体" w:hAnsi="宋体" w:eastAsia="宋体" w:cs="宋体"/>
          <w:color w:val="auto"/>
          <w:spacing w:val="-2"/>
          <w:szCs w:val="21"/>
          <w:highlight w:val="none"/>
        </w:rPr>
        <w:t>％款项，即人民币</w:t>
      </w:r>
      <w:r>
        <w:rPr>
          <w:rFonts w:hint="eastAsia" w:ascii="宋体" w:hAnsi="宋体" w:eastAsia="宋体" w:cs="宋体"/>
          <w:color w:val="auto"/>
          <w:spacing w:val="-2"/>
          <w:szCs w:val="21"/>
          <w:highlight w:val="none"/>
          <w:lang w:val="en-US" w:eastAsia="zh-CN"/>
        </w:rPr>
        <w:t>xxx</w:t>
      </w:r>
      <w:r>
        <w:rPr>
          <w:rFonts w:hint="eastAsia" w:ascii="宋体" w:hAnsi="宋体" w:eastAsia="宋体" w:cs="宋体"/>
          <w:color w:val="auto"/>
          <w:spacing w:val="-2"/>
          <w:szCs w:val="21"/>
          <w:highlight w:val="none"/>
        </w:rPr>
        <w:t>元（大写：</w:t>
      </w:r>
      <w:r>
        <w:rPr>
          <w:rFonts w:hint="eastAsia" w:ascii="宋体" w:hAnsi="宋体" w:eastAsia="宋体" w:cs="宋体"/>
          <w:color w:val="auto"/>
          <w:spacing w:val="-2"/>
          <w:szCs w:val="21"/>
          <w:highlight w:val="none"/>
          <w:lang w:val="en-US" w:eastAsia="zh-CN"/>
        </w:rPr>
        <w:t>xxx</w:t>
      </w:r>
      <w:r>
        <w:rPr>
          <w:rFonts w:hint="eastAsia" w:ascii="宋体" w:hAnsi="宋体" w:eastAsia="宋体" w:cs="宋体"/>
          <w:color w:val="auto"/>
          <w:spacing w:val="-2"/>
          <w:szCs w:val="21"/>
          <w:highlight w:val="none"/>
        </w:rPr>
        <w:t>元整）；</w:t>
      </w:r>
    </w:p>
    <w:p>
      <w:pPr>
        <w:pStyle w:val="26"/>
        <w:numPr>
          <w:ilvl w:val="0"/>
          <w:numId w:val="26"/>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剩余合同款项由甲方根据本合同的执行情况及乙方提交的结案报告后支付给乙方，具体金额根据最终结算确定。</w:t>
      </w:r>
    </w:p>
    <w:p>
      <w:pPr>
        <w:pStyle w:val="26"/>
        <w:numPr>
          <w:ilvl w:val="0"/>
          <w:numId w:val="26"/>
        </w:numPr>
        <w:spacing w:line="360" w:lineRule="auto"/>
        <w:ind w:firstLine="412"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乙方承诺完成《深圳会展中心</w:t>
      </w:r>
      <w:r>
        <w:rPr>
          <w:rFonts w:hint="eastAsia" w:ascii="宋体" w:hAnsi="宋体" w:eastAsia="宋体" w:cs="宋体"/>
          <w:color w:val="auto"/>
          <w:sz w:val="21"/>
          <w:szCs w:val="21"/>
          <w:highlight w:val="none"/>
        </w:rPr>
        <w:t>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eastAsia="宋体" w:cs="宋体"/>
          <w:color w:val="auto"/>
          <w:sz w:val="21"/>
          <w:szCs w:val="21"/>
          <w:highlight w:val="none"/>
          <w:lang w:val="en-US" w:eastAsia="zh-CN"/>
        </w:rPr>
        <w:t>IT展数字经济和智能终端领域</w:t>
      </w:r>
      <w:r>
        <w:rPr>
          <w:rFonts w:hint="eastAsia" w:ascii="宋体" w:hAnsi="宋体" w:eastAsia="宋体" w:cs="宋体"/>
          <w:color w:val="auto"/>
          <w:spacing w:val="-2"/>
          <w:szCs w:val="21"/>
          <w:highlight w:val="none"/>
          <w:lang w:eastAsia="zh-CN"/>
        </w:rPr>
        <w:t>行业垂直媒体</w:t>
      </w:r>
      <w:r>
        <w:rPr>
          <w:rFonts w:hint="eastAsia" w:ascii="宋体" w:hAnsi="宋体" w:eastAsia="宋体" w:cs="宋体"/>
          <w:color w:val="auto"/>
          <w:spacing w:val="-2"/>
          <w:szCs w:val="21"/>
          <w:highlight w:val="none"/>
        </w:rPr>
        <w:t>投放服务计划及报价表》中必须完成的各项数据，未完成部分，甲方可相应扣减合同款项，并要求乙方按合同总金额10%支付违约金。</w:t>
      </w:r>
    </w:p>
    <w:p>
      <w:pPr>
        <w:pStyle w:val="26"/>
        <w:numPr>
          <w:ilvl w:val="0"/>
          <w:numId w:val="25"/>
        </w:numPr>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Cs w:val="21"/>
          <w:highlight w:val="none"/>
        </w:rPr>
        <w:t>甲方办理合同款项支付前，乙方需先向甲方提供全额（等额）真实、合法有效的增值税专用发票。</w:t>
      </w:r>
    </w:p>
    <w:p>
      <w:pPr>
        <w:pStyle w:val="26"/>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3.甲方以银行转账的方式将应付款项付至乙方指定的以下帐户</w:t>
      </w:r>
    </w:p>
    <w:p>
      <w:pPr>
        <w:pStyle w:val="26"/>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公司名称：</w:t>
      </w:r>
    </w:p>
    <w:p>
      <w:pPr>
        <w:pStyle w:val="26"/>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开户银行：</w:t>
      </w:r>
    </w:p>
    <w:p>
      <w:pPr>
        <w:pStyle w:val="26"/>
        <w:numPr>
          <w:ilvl w:val="0"/>
          <w:numId w:val="0"/>
        </w:numPr>
        <w:spacing w:line="360" w:lineRule="auto"/>
        <w:ind w:firstLine="412" w:firstLineChars="200"/>
        <w:jc w:val="left"/>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银行帐号：</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p>
      <w:pPr>
        <w:numPr>
          <w:ilvl w:val="0"/>
          <w:numId w:val="27"/>
        </w:numPr>
        <w:spacing w:line="5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乙方根据合同附件《深圳会展中心第二十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投放服务计划及报价表》执行相关广告及其他事项的合作，执行过程中，提供月报，数据/截屏/投放环境拍照的成果汇报，最终形成《深圳会展中心第二十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宣传采购项目结案报告》。</w:t>
      </w:r>
    </w:p>
    <w:p>
      <w:pPr>
        <w:numPr>
          <w:ilvl w:val="0"/>
          <w:numId w:val="27"/>
        </w:num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《深圳会展中心第二十</w:t>
      </w:r>
      <w:r>
        <w:rPr>
          <w:rFonts w:hint="eastAsia" w:ascii="宋体" w:hAnsi="宋体" w:cs="仿宋"/>
          <w:color w:val="auto"/>
          <w:szCs w:val="21"/>
          <w:highlight w:val="none"/>
          <w:lang w:val="en-US" w:eastAsia="zh-CN"/>
        </w:rPr>
        <w:t>五</w:t>
      </w:r>
      <w:r>
        <w:rPr>
          <w:rFonts w:hint="eastAsia" w:ascii="宋体" w:hAnsi="宋体" w:cs="仿宋"/>
          <w:color w:val="auto"/>
          <w:szCs w:val="21"/>
          <w:highlight w:val="none"/>
        </w:rPr>
        <w:t>届高交会</w:t>
      </w:r>
      <w:r>
        <w:rPr>
          <w:rFonts w:hint="eastAsia" w:ascii="宋体" w:hAnsi="宋体" w:cs="Times New Roman"/>
          <w:color w:val="auto"/>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 w:val="21"/>
          <w:szCs w:val="21"/>
          <w:highlight w:val="none"/>
          <w:lang w:val="en-US" w:eastAsia="zh-CN"/>
        </w:rPr>
        <w:t>领域</w:t>
      </w:r>
      <w:r>
        <w:rPr>
          <w:rFonts w:hint="eastAsia" w:ascii="宋体" w:hAnsi="宋体" w:cs="仿宋"/>
          <w:color w:val="auto"/>
          <w:szCs w:val="21"/>
          <w:highlight w:val="none"/>
          <w:lang w:eastAsia="zh-CN"/>
        </w:rPr>
        <w:t>行业垂直媒体</w:t>
      </w:r>
      <w:r>
        <w:rPr>
          <w:rFonts w:hint="eastAsia" w:ascii="宋体" w:hAnsi="宋体" w:cs="仿宋"/>
          <w:color w:val="auto"/>
          <w:szCs w:val="21"/>
          <w:highlight w:val="none"/>
        </w:rPr>
        <w:t>宣传采购项目结案报告》需包含下列数据，才可直接通过确认：</w:t>
      </w:r>
    </w:p>
    <w:p>
      <w:pPr>
        <w:numPr>
          <w:ilvl w:val="0"/>
          <w:numId w:val="28"/>
        </w:numPr>
        <w:spacing w:line="5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网站类媒体提供的广告投放证明及广告投放当日截屏（至少须提供投放开始日、中间日、结束日三天截屏）；</w:t>
      </w:r>
    </w:p>
    <w:p>
      <w:pPr>
        <w:numPr>
          <w:ilvl w:val="0"/>
          <w:numId w:val="28"/>
        </w:numPr>
        <w:spacing w:line="5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仿宋"/>
          <w:color w:val="auto"/>
          <w:szCs w:val="21"/>
          <w:highlight w:val="none"/>
        </w:rPr>
        <w:t>提供软文撰稿投放媒体链接地址清单。若投放媒体链接地址异常，须提供投放媒体软文网页截屏；</w:t>
      </w:r>
    </w:p>
    <w:p>
      <w:pPr>
        <w:numPr>
          <w:ilvl w:val="0"/>
          <w:numId w:val="28"/>
        </w:numPr>
        <w:spacing w:line="500" w:lineRule="exact"/>
        <w:ind w:firstLine="420" w:firstLineChars="200"/>
        <w:rPr>
          <w:rFonts w:hint="eastAsia" w:ascii="宋体" w:hAnsi="宋体" w:cs="仿宋"/>
          <w:color w:val="auto"/>
          <w:szCs w:val="21"/>
          <w:highlight w:val="none"/>
          <w:lang w:eastAsia="zh-CN"/>
        </w:rPr>
      </w:pPr>
      <w:r>
        <w:rPr>
          <w:rFonts w:hint="eastAsia" w:ascii="宋体" w:hAnsi="宋体" w:cs="仿宋_GB2312"/>
          <w:color w:val="auto"/>
          <w:szCs w:val="21"/>
          <w:highlight w:val="none"/>
        </w:rPr>
        <w:t>乙方须注重软文在专业网络媒体的发布效果，保证每篇软文应不少于</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家媒体的软文链接能被百度或360搜索引擎收录，以截屏为准；</w:t>
      </w:r>
    </w:p>
    <w:p>
      <w:pPr>
        <w:numPr>
          <w:ilvl w:val="0"/>
          <w:numId w:val="28"/>
        </w:numPr>
        <w:spacing w:line="500" w:lineRule="exact"/>
        <w:ind w:firstLine="420" w:firstLineChars="200"/>
        <w:rPr>
          <w:rFonts w:hint="eastAsia" w:ascii="宋体" w:hAnsi="宋体" w:eastAsia="宋体" w:cs="宋体"/>
          <w:color w:val="auto"/>
          <w:sz w:val="21"/>
          <w:szCs w:val="21"/>
          <w:highlight w:val="none"/>
        </w:rPr>
      </w:pPr>
      <w:r>
        <w:rPr>
          <w:rFonts w:hint="eastAsia" w:ascii="宋体" w:eastAsia="宋体" w:cs="宋体"/>
          <w:color w:val="auto"/>
          <w:kern w:val="2"/>
          <w:sz w:val="21"/>
          <w:szCs w:val="21"/>
          <w:highlight w:val="none"/>
          <w:lang w:val="en-US" w:eastAsia="zh-CN" w:bidi="ar-SA"/>
        </w:rPr>
        <w:t>乙方须提供短视频投放媒</w:t>
      </w:r>
      <w:r>
        <w:rPr>
          <w:rFonts w:hint="eastAsia" w:ascii="宋体" w:hAnsi="宋体" w:eastAsia="宋体" w:cs="宋体"/>
          <w:color w:val="auto"/>
          <w:kern w:val="2"/>
          <w:sz w:val="21"/>
          <w:szCs w:val="21"/>
          <w:highlight w:val="none"/>
          <w:lang w:val="en-US" w:eastAsia="zh-CN" w:bidi="ar-SA"/>
        </w:rPr>
        <w:t>体链接地址清单</w:t>
      </w:r>
      <w:r>
        <w:rPr>
          <w:rFonts w:hint="eastAsia" w:ascii="宋体" w:eastAsia="宋体" w:cs="宋体"/>
          <w:color w:val="auto"/>
          <w:kern w:val="2"/>
          <w:sz w:val="21"/>
          <w:szCs w:val="21"/>
          <w:highlight w:val="none"/>
          <w:lang w:val="en-US" w:eastAsia="zh-CN" w:bidi="ar-SA"/>
        </w:rPr>
        <w:t>和</w:t>
      </w:r>
      <w:r>
        <w:rPr>
          <w:rFonts w:hint="eastAsia" w:ascii="宋体" w:hAnsi="宋体" w:eastAsia="宋体" w:cs="宋体"/>
          <w:color w:val="auto"/>
          <w:kern w:val="2"/>
          <w:sz w:val="21"/>
          <w:szCs w:val="21"/>
          <w:highlight w:val="none"/>
          <w:lang w:val="en-US" w:eastAsia="zh-CN" w:bidi="ar-SA"/>
        </w:rPr>
        <w:t>综合类短视频平台投放截图。若投放媒体链接地址异常，须提供投放媒体</w:t>
      </w:r>
      <w:r>
        <w:rPr>
          <w:rFonts w:hint="eastAsia" w:ascii="宋体" w:eastAsia="宋体" w:cs="宋体"/>
          <w:color w:val="auto"/>
          <w:kern w:val="2"/>
          <w:sz w:val="21"/>
          <w:szCs w:val="21"/>
          <w:highlight w:val="none"/>
          <w:lang w:val="en-US" w:eastAsia="zh-CN" w:bidi="ar-SA"/>
        </w:rPr>
        <w:t>视频</w:t>
      </w:r>
      <w:r>
        <w:rPr>
          <w:rFonts w:hint="eastAsia" w:ascii="宋体" w:hAnsi="宋体" w:eastAsia="宋体" w:cs="宋体"/>
          <w:color w:val="auto"/>
          <w:kern w:val="2"/>
          <w:sz w:val="21"/>
          <w:szCs w:val="21"/>
          <w:highlight w:val="none"/>
          <w:lang w:val="en-US" w:eastAsia="zh-CN" w:bidi="ar-SA"/>
        </w:rPr>
        <w:t>截屏；</w:t>
      </w:r>
    </w:p>
    <w:p>
      <w:pPr>
        <w:numPr>
          <w:ilvl w:val="0"/>
          <w:numId w:val="28"/>
        </w:num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提供</w:t>
      </w:r>
      <w:r>
        <w:rPr>
          <w:rFonts w:hint="eastAsia" w:ascii="宋体" w:hAnsi="宋体" w:cs="仿宋"/>
          <w:color w:val="auto"/>
          <w:szCs w:val="21"/>
          <w:highlight w:val="none"/>
          <w:lang w:eastAsia="zh-CN"/>
        </w:rPr>
        <w:t>其他服务</w:t>
      </w:r>
      <w:r>
        <w:rPr>
          <w:rFonts w:hint="eastAsia" w:ascii="宋体" w:hAnsi="宋体" w:cs="仿宋"/>
          <w:color w:val="auto"/>
          <w:szCs w:val="21"/>
          <w:highlight w:val="none"/>
        </w:rPr>
        <w:t>、专业网络媒体上发布展会信息、专业网络媒体中的展会频道（或类似频道）中发布</w:t>
      </w:r>
      <w:r>
        <w:rPr>
          <w:rFonts w:hint="eastAsia" w:ascii="宋体" w:hAnsi="宋体" w:eastAsia="宋体" w:cs="宋体"/>
          <w:color w:val="auto"/>
          <w:highlight w:val="none"/>
          <w:lang w:val="en-US" w:eastAsia="zh-CN"/>
        </w:rPr>
        <w:t>数字经济和智能终端</w:t>
      </w:r>
      <w:r>
        <w:rPr>
          <w:rFonts w:hint="eastAsia" w:ascii="宋体" w:hAnsi="宋体" w:cs="宋体"/>
          <w:color w:val="auto"/>
          <w:highlight w:val="none"/>
          <w:lang w:val="en-US" w:eastAsia="zh-CN"/>
        </w:rPr>
        <w:t>领域</w:t>
      </w:r>
      <w:r>
        <w:rPr>
          <w:rFonts w:hint="eastAsia" w:ascii="宋体" w:hAnsi="宋体" w:cs="仿宋"/>
          <w:color w:val="auto"/>
          <w:szCs w:val="21"/>
          <w:highlight w:val="none"/>
        </w:rPr>
        <w:t>招展书、发布展会信息的媒体清单、发布截图、链接或执行现场照片等证明依据</w:t>
      </w:r>
      <w:r>
        <w:rPr>
          <w:rFonts w:hint="eastAsia" w:ascii="宋体" w:hAnsi="宋体" w:cs="仿宋"/>
          <w:color w:val="auto"/>
          <w:szCs w:val="21"/>
          <w:highlight w:val="none"/>
          <w:lang w:eastAsia="zh-CN"/>
        </w:rPr>
        <w:t>。</w:t>
      </w:r>
    </w:p>
    <w:p>
      <w:pPr>
        <w:numPr>
          <w:ilvl w:val="0"/>
          <w:numId w:val="28"/>
        </w:num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cs="仿宋"/>
          <w:color w:val="auto"/>
          <w:szCs w:val="21"/>
          <w:highlight w:val="none"/>
        </w:rPr>
        <w:t>提供关于合作项目合作情况的总结。</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双方权利与义务</w:t>
      </w:r>
    </w:p>
    <w:p>
      <w:pPr>
        <w:pStyle w:val="2"/>
        <w:numPr>
          <w:ilvl w:val="0"/>
          <w:numId w:val="29"/>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甲方权利与义务</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ascii="宋体" w:hAnsi="宋体" w:cs="仿宋"/>
          <w:color w:val="auto"/>
          <w:sz w:val="21"/>
          <w:szCs w:val="21"/>
          <w:highlight w:val="none"/>
        </w:rPr>
        <w:t>甲方应积极配合乙方的工作，及时提供投放广告内容</w:t>
      </w:r>
      <w:r>
        <w:rPr>
          <w:rFonts w:hint="eastAsia" w:ascii="宋体" w:hAnsi="宋体" w:cs="仿宋"/>
          <w:color w:val="auto"/>
          <w:sz w:val="21"/>
          <w:szCs w:val="21"/>
          <w:highlight w:val="none"/>
          <w:lang w:eastAsia="zh-CN"/>
        </w:rPr>
        <w:t>、</w:t>
      </w:r>
      <w:r>
        <w:rPr>
          <w:rFonts w:ascii="宋体" w:hAnsi="宋体" w:cs="仿宋"/>
          <w:color w:val="auto"/>
          <w:sz w:val="21"/>
          <w:szCs w:val="21"/>
          <w:highlight w:val="none"/>
        </w:rPr>
        <w:t>软文撰稿</w:t>
      </w:r>
      <w:r>
        <w:rPr>
          <w:rFonts w:hint="eastAsia" w:ascii="宋体" w:hAnsi="宋体" w:cs="仿宋"/>
          <w:color w:val="auto"/>
          <w:sz w:val="21"/>
          <w:szCs w:val="21"/>
          <w:highlight w:val="none"/>
          <w:lang w:val="en-US" w:eastAsia="zh-CN"/>
        </w:rPr>
        <w:t>和视频制作</w:t>
      </w:r>
      <w:r>
        <w:rPr>
          <w:rFonts w:ascii="宋体" w:hAnsi="宋体" w:cs="仿宋"/>
          <w:color w:val="auto"/>
          <w:sz w:val="21"/>
          <w:szCs w:val="21"/>
          <w:highlight w:val="none"/>
        </w:rPr>
        <w:t>所需的文件资料、</w:t>
      </w:r>
      <w:r>
        <w:rPr>
          <w:rFonts w:hint="eastAsia" w:ascii="宋体" w:hAnsi="宋体"/>
          <w:color w:val="auto"/>
          <w:sz w:val="21"/>
          <w:szCs w:val="21"/>
          <w:highlight w:val="none"/>
        </w:rPr>
        <w:t>素材及高交会</w:t>
      </w:r>
      <w:r>
        <w:rPr>
          <w:rFonts w:ascii="宋体" w:hAnsi="宋体"/>
          <w:color w:val="auto"/>
          <w:sz w:val="21"/>
          <w:szCs w:val="21"/>
          <w:highlight w:val="none"/>
        </w:rPr>
        <w:t>VI</w:t>
      </w:r>
      <w:r>
        <w:rPr>
          <w:rFonts w:hint="eastAsia" w:ascii="宋体" w:hAnsi="宋体" w:cs="仿宋"/>
          <w:color w:val="auto"/>
          <w:sz w:val="21"/>
          <w:szCs w:val="21"/>
          <w:highlight w:val="none"/>
        </w:rPr>
        <w:t>。在广告投放的有效期内，凡是由于甲方不能及时提供投放广告内容或软文撰稿</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视频制作</w:t>
      </w:r>
      <w:r>
        <w:rPr>
          <w:rFonts w:hint="eastAsia" w:ascii="宋体" w:hAnsi="宋体" w:cs="仿宋"/>
          <w:color w:val="auto"/>
          <w:sz w:val="21"/>
          <w:szCs w:val="21"/>
          <w:highlight w:val="none"/>
        </w:rPr>
        <w:t>所需的文件资料，乙方经过多次索要未果致使部分广告</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视频</w:t>
      </w:r>
      <w:r>
        <w:rPr>
          <w:rFonts w:hint="eastAsia" w:ascii="宋体" w:hAnsi="宋体" w:cs="仿宋"/>
          <w:color w:val="auto"/>
          <w:sz w:val="21"/>
          <w:szCs w:val="21"/>
          <w:highlight w:val="none"/>
        </w:rPr>
        <w:t>及软文未能及时撰写、</w:t>
      </w:r>
      <w:r>
        <w:rPr>
          <w:rFonts w:hint="eastAsia" w:ascii="宋体" w:hAnsi="宋体" w:cs="仿宋"/>
          <w:color w:val="auto"/>
          <w:sz w:val="21"/>
          <w:szCs w:val="21"/>
          <w:highlight w:val="none"/>
          <w:lang w:val="en-US" w:eastAsia="zh-CN"/>
        </w:rPr>
        <w:t>制作、</w:t>
      </w:r>
      <w:r>
        <w:rPr>
          <w:rFonts w:hint="eastAsia" w:ascii="宋体" w:hAnsi="宋体" w:cs="仿宋"/>
          <w:color w:val="auto"/>
          <w:sz w:val="21"/>
          <w:szCs w:val="21"/>
          <w:highlight w:val="none"/>
        </w:rPr>
        <w:t>投放或更新，乙方不承担责任；</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ascii="宋体" w:hAnsi="宋体" w:cs="仿宋"/>
          <w:color w:val="auto"/>
          <w:sz w:val="21"/>
          <w:szCs w:val="21"/>
          <w:highlight w:val="none"/>
        </w:rPr>
        <w:t>如甲方取消或更改广告投放计划，应在拟投放时间前十个工作日向乙方提出（书面形式）；</w:t>
      </w:r>
    </w:p>
    <w:p>
      <w:pPr>
        <w:pStyle w:val="2"/>
        <w:numPr>
          <w:ilvl w:val="0"/>
          <w:numId w:val="30"/>
        </w:numPr>
        <w:spacing w:after="0" w:line="360" w:lineRule="auto"/>
        <w:ind w:left="0" w:firstLine="412" w:firstLineChars="200"/>
        <w:rPr>
          <w:rFonts w:ascii="宋体" w:hAnsi="宋体" w:cs="仿宋"/>
          <w:color w:val="auto"/>
          <w:sz w:val="21"/>
          <w:szCs w:val="21"/>
          <w:highlight w:val="none"/>
        </w:rPr>
      </w:pPr>
      <w:r>
        <w:rPr>
          <w:rFonts w:ascii="宋体" w:hAnsi="宋体" w:cs="仿宋"/>
          <w:color w:val="auto"/>
          <w:spacing w:val="-2"/>
          <w:sz w:val="21"/>
          <w:szCs w:val="21"/>
          <w:highlight w:val="none"/>
        </w:rPr>
        <w:t>本</w:t>
      </w:r>
      <w:r>
        <w:rPr>
          <w:rFonts w:hint="eastAsia" w:ascii="宋体" w:hAnsi="宋体" w:cs="仿宋"/>
          <w:color w:val="auto"/>
          <w:spacing w:val="-2"/>
          <w:sz w:val="21"/>
          <w:szCs w:val="21"/>
          <w:highlight w:val="none"/>
          <w:lang w:val="en-US" w:eastAsia="zh-CN"/>
        </w:rPr>
        <w:t>合同</w:t>
      </w:r>
      <w:r>
        <w:rPr>
          <w:rFonts w:ascii="宋体" w:hAnsi="宋体" w:cs="仿宋"/>
          <w:color w:val="auto"/>
          <w:spacing w:val="-2"/>
          <w:sz w:val="21"/>
          <w:szCs w:val="21"/>
          <w:highlight w:val="none"/>
        </w:rPr>
        <w:t>中涉及的宣传内容及设计，须经甲方审核确认方可对外投放（确认方式为QQ、</w:t>
      </w:r>
      <w:r>
        <w:rPr>
          <w:rFonts w:hint="eastAsia" w:ascii="宋体" w:hAnsi="宋体" w:cs="仿宋"/>
          <w:color w:val="auto"/>
          <w:spacing w:val="-2"/>
          <w:sz w:val="21"/>
          <w:szCs w:val="21"/>
          <w:highlight w:val="none"/>
        </w:rPr>
        <w:t>邮件等书面形式）。甲方对宣传内容及设计有修改的权利，乙方应积极配合落实。</w:t>
      </w:r>
      <w:r>
        <w:rPr>
          <w:rFonts w:hint="eastAsia" w:ascii="宋体" w:hAnsi="宋体" w:cs="仿宋"/>
          <w:color w:val="auto"/>
          <w:sz w:val="21"/>
          <w:szCs w:val="21"/>
          <w:highlight w:val="none"/>
        </w:rPr>
        <w:t>甲方有更换广告投放版本的权利，需提前</w:t>
      </w:r>
      <w:r>
        <w:rPr>
          <w:rFonts w:ascii="宋体" w:hAnsi="宋体" w:cs="仿宋"/>
          <w:color w:val="auto"/>
          <w:sz w:val="21"/>
          <w:szCs w:val="21"/>
          <w:highlight w:val="none"/>
        </w:rPr>
        <w:t>10个工作日通知乙方。广告设计稿由乙方设计，须符合媒体刊出规定，刊登版本为已经双方及媒体予以确认的版本，乙方未经甲方授权不得修改和更换；</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在合作期限内，甲方不再自行或委托乙方以外的任何机构在本合同规定的区域内发布广告，本合同签订前已签订的广告发布合同、有证据证明乙方不能履行本合同时除外；</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olor w:val="auto"/>
          <w:sz w:val="21"/>
          <w:szCs w:val="21"/>
          <w:highlight w:val="none"/>
        </w:rPr>
        <w:t>甲方有权对乙方为甲方提供的服务质量进行监督，如未达到甲方相关要求，甲方有权要求乙方进行整改；</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olor w:val="auto"/>
          <w:sz w:val="21"/>
          <w:szCs w:val="21"/>
          <w:highlight w:val="none"/>
        </w:rPr>
        <w:t>乙方按方案在相关媒体投放时，因特殊原因无法正常投放时，甲方有权要求乙方无条件置换等值品牌媒体进行投放，置换等值品牌媒体时须说明原因并经甲方书面认可。</w:t>
      </w:r>
    </w:p>
    <w:p>
      <w:pPr>
        <w:pStyle w:val="2"/>
        <w:numPr>
          <w:ilvl w:val="0"/>
          <w:numId w:val="29"/>
        </w:numPr>
        <w:spacing w:after="0" w:line="360" w:lineRule="auto"/>
        <w:ind w:left="0" w:firstLine="40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乙方权利与义务</w:t>
      </w:r>
    </w:p>
    <w:p>
      <w:pPr>
        <w:pStyle w:val="2"/>
        <w:numPr>
          <w:ilvl w:val="0"/>
          <w:numId w:val="31"/>
        </w:numPr>
        <w:spacing w:after="0" w:line="360" w:lineRule="auto"/>
        <w:ind w:left="0" w:firstLine="400" w:firstLineChars="200"/>
        <w:rPr>
          <w:rFonts w:hint="eastAsia" w:ascii="宋体" w:hAnsi="宋体" w:eastAsia="宋体" w:cs="宋体"/>
          <w:b w:val="0"/>
          <w:bCs w:val="0"/>
          <w:color w:val="auto"/>
          <w:sz w:val="21"/>
          <w:szCs w:val="21"/>
          <w:highlight w:val="none"/>
        </w:rPr>
      </w:pPr>
      <w:r>
        <w:rPr>
          <w:rFonts w:ascii="宋体" w:hAnsi="宋体" w:cs="仿宋"/>
          <w:b w:val="0"/>
          <w:bCs w:val="0"/>
          <w:color w:val="auto"/>
          <w:sz w:val="21"/>
          <w:szCs w:val="21"/>
          <w:highlight w:val="none"/>
        </w:rPr>
        <w:t>硬广告投放</w:t>
      </w:r>
    </w:p>
    <w:p>
      <w:pPr>
        <w:tabs>
          <w:tab w:val="left" w:pos="0"/>
        </w:tabs>
        <w:snapToGrid w:val="0"/>
        <w:spacing w:line="500" w:lineRule="exact"/>
        <w:ind w:firstLine="315" w:firstLineChars="15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1）乙方根据甲方提供的素材，负责广告的设计，广告投放的内容须经甲方审核后方可发布；</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s="仿宋"/>
          <w:color w:val="auto"/>
          <w:sz w:val="21"/>
          <w:szCs w:val="21"/>
          <w:highlight w:val="none"/>
        </w:rPr>
        <w:t>乙方根据合同附件《深圳会展中心第二十</w:t>
      </w:r>
      <w:r>
        <w:rPr>
          <w:rFonts w:hint="eastAsia" w:ascii="宋体" w:hAnsi="宋体" w:cs="仿宋"/>
          <w:color w:val="auto"/>
          <w:sz w:val="21"/>
          <w:szCs w:val="21"/>
          <w:highlight w:val="none"/>
          <w:lang w:val="en-US" w:eastAsia="zh-CN"/>
        </w:rPr>
        <w:t>五</w:t>
      </w:r>
      <w:r>
        <w:rPr>
          <w:rFonts w:hint="eastAsia" w:ascii="宋体" w:hAnsi="宋体" w:cs="仿宋"/>
          <w:color w:val="auto"/>
          <w:sz w:val="21"/>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Cs w:val="21"/>
          <w:highlight w:val="none"/>
          <w:lang w:val="en-US" w:eastAsia="zh-CN"/>
        </w:rPr>
        <w:t>领域</w:t>
      </w:r>
      <w:r>
        <w:rPr>
          <w:rFonts w:hint="eastAsia" w:ascii="宋体" w:hAnsi="宋体" w:cs="仿宋"/>
          <w:color w:val="auto"/>
          <w:sz w:val="21"/>
          <w:szCs w:val="21"/>
          <w:highlight w:val="none"/>
          <w:lang w:eastAsia="zh-CN"/>
        </w:rPr>
        <w:t>行业垂直媒体</w:t>
      </w:r>
      <w:r>
        <w:rPr>
          <w:rFonts w:hint="eastAsia" w:ascii="宋体" w:hAnsi="宋体" w:cs="仿宋"/>
          <w:color w:val="auto"/>
          <w:sz w:val="21"/>
          <w:szCs w:val="21"/>
          <w:highlight w:val="none"/>
        </w:rPr>
        <w:t>投放服务计划及报价表》，执行广告设计、采购投放，执行过程中，提供月报，数据</w:t>
      </w:r>
      <w:r>
        <w:rPr>
          <w:rFonts w:ascii="宋体" w:hAnsi="宋体" w:cs="仿宋"/>
          <w:color w:val="auto"/>
          <w:sz w:val="21"/>
          <w:szCs w:val="21"/>
          <w:highlight w:val="none"/>
        </w:rPr>
        <w:t>/截屏/投放环境拍照的成果汇报，最终形成结案报告；</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3）乙方委派团队与甲方进行定期与不定期的业务沟通与服务工作，若因甲方需求变化或投放媒体资源自身发生变动等，需对媒体广告投放进行调整时，应保证不低于原计划排期的媒体广告</w:t>
      </w:r>
      <w:r>
        <w:rPr>
          <w:rFonts w:hint="eastAsia" w:ascii="宋体" w:hAnsi="宋体" w:cs="仿宋"/>
          <w:color w:val="auto"/>
          <w:sz w:val="21"/>
          <w:szCs w:val="21"/>
          <w:highlight w:val="none"/>
        </w:rPr>
        <w:t>总刊例价，并以甲方书面确认为准；</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4）乙方应主动提前向甲方索要各类工作所需的相关资料，提早向甲方提供相关媒介的政策；</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5）凡出现错刊、</w:t>
      </w:r>
      <w:r>
        <w:rPr>
          <w:rFonts w:hint="eastAsia" w:ascii="宋体" w:hAnsi="宋体" w:cs="仿宋"/>
          <w:color w:val="auto"/>
          <w:sz w:val="21"/>
          <w:szCs w:val="21"/>
          <w:highlight w:val="none"/>
        </w:rPr>
        <w:t>漏刊等情况，经核查确定后，乙方积极主动与媒体协商弥补；</w:t>
      </w:r>
    </w:p>
    <w:p>
      <w:pPr>
        <w:tabs>
          <w:tab w:val="left" w:pos="0"/>
        </w:tabs>
        <w:snapToGrid w:val="0"/>
        <w:spacing w:line="500" w:lineRule="exact"/>
        <w:ind w:firstLine="315" w:firstLineChars="15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6）乙方应及时向甲方提供媒体相关信息资料，并负责协助甲方理顺与广告发布媒体之间的关系，处理相关事宜；</w:t>
      </w:r>
    </w:p>
    <w:p>
      <w:pPr>
        <w:tabs>
          <w:tab w:val="left" w:pos="0"/>
        </w:tabs>
        <w:snapToGrid w:val="0"/>
        <w:spacing w:line="500" w:lineRule="exact"/>
        <w:ind w:firstLine="315" w:firstLineChars="150"/>
        <w:rPr>
          <w:rFonts w:hint="eastAsia" w:ascii="宋体" w:hAnsi="宋体"/>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7）</w:t>
      </w:r>
      <w:r>
        <w:rPr>
          <w:rFonts w:hint="eastAsia" w:ascii="宋体" w:hAnsi="宋体"/>
          <w:color w:val="auto"/>
          <w:sz w:val="21"/>
          <w:szCs w:val="21"/>
          <w:highlight w:val="none"/>
        </w:rPr>
        <w:t>乙方负责设计硬广及设计制作论坛等活动所需的易拉宝，且须经甲方审核后方可投放；</w:t>
      </w:r>
    </w:p>
    <w:p>
      <w:pPr>
        <w:pStyle w:val="13"/>
        <w:ind w:firstLine="420" w:firstLineChars="200"/>
        <w:rPr>
          <w:rFonts w:hint="eastAsia" w:ascii="宋体" w:hAnsi="宋体" w:eastAsia="宋体" w:cs="仿宋"/>
          <w:b w:val="0"/>
          <w:bCs w:val="0"/>
          <w:color w:val="auto"/>
          <w:spacing w:val="-5"/>
          <w:kern w:val="0"/>
          <w:sz w:val="21"/>
          <w:szCs w:val="21"/>
          <w:highlight w:val="none"/>
          <w:lang w:val="en-US" w:eastAsia="zh-CN" w:bidi="ar-SA"/>
        </w:rPr>
      </w:pPr>
      <w:r>
        <w:rPr>
          <w:rFonts w:hint="eastAsia" w:ascii="宋体"/>
          <w:color w:val="auto"/>
          <w:sz w:val="21"/>
          <w:szCs w:val="21"/>
          <w:highlight w:val="none"/>
          <w:lang w:val="en-US" w:eastAsia="zh-CN"/>
        </w:rPr>
        <w:t>2.</w:t>
      </w:r>
      <w:r>
        <w:rPr>
          <w:rFonts w:hint="eastAsia" w:ascii="宋体" w:hAnsi="宋体" w:eastAsia="宋体" w:cs="仿宋"/>
          <w:b w:val="0"/>
          <w:bCs w:val="0"/>
          <w:color w:val="auto"/>
          <w:spacing w:val="-5"/>
          <w:kern w:val="0"/>
          <w:sz w:val="21"/>
          <w:szCs w:val="21"/>
          <w:highlight w:val="none"/>
          <w:lang w:val="en-US" w:eastAsia="zh-CN" w:bidi="ar-SA"/>
        </w:rPr>
        <w:t>软文撰稿</w:t>
      </w:r>
    </w:p>
    <w:p>
      <w:pPr>
        <w:spacing w:line="500" w:lineRule="exact"/>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1）乙方根据合同附件《深圳会展中心第二十</w:t>
      </w:r>
      <w:r>
        <w:rPr>
          <w:rFonts w:hint="eastAsia" w:ascii="宋体" w:hAnsi="宋体" w:cs="仿宋"/>
          <w:color w:val="auto"/>
          <w:sz w:val="21"/>
          <w:szCs w:val="21"/>
          <w:highlight w:val="none"/>
          <w:lang w:val="en-US" w:eastAsia="zh-CN"/>
        </w:rPr>
        <w:t>五</w:t>
      </w:r>
      <w:r>
        <w:rPr>
          <w:rFonts w:ascii="宋体" w:hAnsi="宋体" w:cs="仿宋"/>
          <w:color w:val="auto"/>
          <w:sz w:val="21"/>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Cs w:val="21"/>
          <w:highlight w:val="none"/>
          <w:lang w:val="en-US" w:eastAsia="zh-CN"/>
        </w:rPr>
        <w:t>领域</w:t>
      </w:r>
      <w:r>
        <w:rPr>
          <w:rFonts w:hint="eastAsia" w:ascii="宋体" w:hAnsi="宋体" w:cs="仿宋"/>
          <w:color w:val="auto"/>
          <w:sz w:val="21"/>
          <w:szCs w:val="21"/>
          <w:highlight w:val="none"/>
          <w:lang w:eastAsia="zh-CN"/>
        </w:rPr>
        <w:t>行业垂直媒体</w:t>
      </w:r>
      <w:r>
        <w:rPr>
          <w:rFonts w:ascii="宋体" w:hAnsi="宋体" w:cs="仿宋"/>
          <w:color w:val="auto"/>
          <w:sz w:val="21"/>
          <w:szCs w:val="21"/>
          <w:highlight w:val="none"/>
        </w:rPr>
        <w:t>投放服务计划及报价表》执行</w:t>
      </w:r>
      <w:r>
        <w:rPr>
          <w:rFonts w:hint="eastAsia" w:ascii="宋体" w:hAnsi="宋体" w:cs="仿宋"/>
          <w:color w:val="auto"/>
          <w:sz w:val="21"/>
          <w:szCs w:val="21"/>
          <w:highlight w:val="none"/>
        </w:rPr>
        <w:t>相关软文撰写工作，执行过程中，提供月报，数据</w:t>
      </w:r>
      <w:r>
        <w:rPr>
          <w:rFonts w:ascii="宋体" w:hAnsi="宋体" w:cs="仿宋"/>
          <w:color w:val="auto"/>
          <w:sz w:val="21"/>
          <w:szCs w:val="21"/>
          <w:highlight w:val="none"/>
        </w:rPr>
        <w:t>/截屏/</w:t>
      </w:r>
      <w:r>
        <w:rPr>
          <w:rFonts w:hint="eastAsia" w:ascii="宋体" w:hAnsi="宋体" w:cs="仿宋"/>
          <w:color w:val="auto"/>
          <w:sz w:val="21"/>
          <w:szCs w:val="21"/>
          <w:highlight w:val="none"/>
        </w:rPr>
        <w:t>软文地址链接清单等的成果汇报，最终形成结案报告；</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2）乙方委派团队与甲方进行定期与不定期的业务沟通与服务工作，若因甲方需求变化或投放媒体资源自身发生变动等，需</w:t>
      </w:r>
      <w:r>
        <w:rPr>
          <w:rFonts w:hint="eastAsia" w:ascii="宋体" w:hAnsi="宋体" w:cs="仿宋"/>
          <w:color w:val="auto"/>
          <w:sz w:val="21"/>
          <w:szCs w:val="21"/>
          <w:highlight w:val="none"/>
        </w:rPr>
        <w:t>对软文投放进行调整时，应保证不低于原投放媒体的软文发布总刊例价，并以甲方书面确认为准；</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（3）乙方策划组织与采编第二十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Cs w:val="21"/>
          <w:highlight w:val="none"/>
          <w:lang w:val="en-US" w:eastAsia="zh-CN"/>
        </w:rPr>
        <w:t>领域</w:t>
      </w:r>
      <w:r>
        <w:rPr>
          <w:rFonts w:hint="eastAsia" w:ascii="宋体" w:hAnsi="宋体" w:eastAsia="宋体" w:cs="宋体"/>
          <w:color w:val="auto"/>
          <w:sz w:val="21"/>
          <w:szCs w:val="21"/>
          <w:highlight w:val="none"/>
        </w:rPr>
        <w:t>软文的主题、篇数和发布周期，以及可发布的媒体列表，最终以甲乙双方确认的媒体投放安排计划表为准；</w:t>
      </w:r>
    </w:p>
    <w:p>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（4）乙方提供的每篇软文字数不能少于400字。内容真实，不得抄袭、复制，且要突出行业热点、亮点；</w:t>
      </w:r>
    </w:p>
    <w:p>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（5）乙方须注重媒体稿件质量，应安排专业、有经验媒体人撰写软文。本届高交会开展期间，乙方须派专业媒体人对大会</w:t>
      </w:r>
      <w:r>
        <w:rPr>
          <w:rFonts w:hint="eastAsia" w:ascii="宋体" w:hAnsi="宋体" w:eastAsia="宋体" w:cs="宋体"/>
          <w:color w:val="auto"/>
          <w:highlight w:val="none"/>
          <w:lang w:val="en-US" w:eastAsia="zh-CN"/>
        </w:rPr>
        <w:t>数字经济和智能终端</w:t>
      </w:r>
      <w:r>
        <w:rPr>
          <w:rFonts w:hint="eastAsia" w:ascii="宋体" w:hAnsi="宋体" w:cs="宋体"/>
          <w:color w:val="auto"/>
          <w:sz w:val="21"/>
          <w:szCs w:val="21"/>
          <w:highlight w:val="none"/>
          <w:lang w:val="en-US" w:eastAsia="zh-CN"/>
        </w:rPr>
        <w:t>领域</w:t>
      </w:r>
      <w:r>
        <w:rPr>
          <w:rFonts w:hint="eastAsia" w:ascii="宋体" w:hAnsi="宋体" w:eastAsia="宋体" w:cs="宋体"/>
          <w:color w:val="auto"/>
          <w:sz w:val="21"/>
          <w:szCs w:val="21"/>
          <w:highlight w:val="none"/>
        </w:rPr>
        <w:t>进行采访和撰写稿件，并分别安排在最后2篇软文中投放；</w:t>
      </w:r>
    </w:p>
    <w:p>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乙方须注重软文在专业网络媒体的发布效果，保证每篇软文应不少于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家媒体的软文链接能被百度或360搜索引擎收录，以截屏为准；当收录数量不足时，乙方可主动增加发布的专业网络媒体数量来提高收录数量，增加发布的专业媒体须具备一定知名度并经甲方审核同意方可列入收录数量中。</w:t>
      </w:r>
    </w:p>
    <w:p>
      <w:pPr>
        <w:tabs>
          <w:tab w:val="left" w:pos="0"/>
        </w:tabs>
        <w:snapToGrid w:val="0"/>
        <w:spacing w:line="500" w:lineRule="exact"/>
        <w:ind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pacing w:val="0"/>
          <w:kern w:val="2"/>
          <w:sz w:val="21"/>
          <w:szCs w:val="21"/>
          <w:highlight w:val="none"/>
          <w:lang w:val="en-US" w:eastAsia="zh-CN" w:bidi="ar-SA"/>
        </w:rPr>
        <w:t>视频制作</w:t>
      </w:r>
    </w:p>
    <w:p>
      <w:pPr>
        <w:tabs>
          <w:tab w:val="left" w:pos="0"/>
        </w:tabs>
        <w:snapToGrid w:val="0"/>
        <w:spacing w:line="500" w:lineRule="exact"/>
        <w:ind w:firstLine="420" w:firstLineChars="200"/>
        <w:rPr>
          <w:rFonts w:hint="eastAsia" w:ascii="宋体" w:hAnsi="宋体" w:cs="仿宋"/>
          <w:color w:val="auto"/>
          <w:szCs w:val="21"/>
          <w:highlight w:val="none"/>
          <w:lang w:eastAsia="zh-CN"/>
        </w:rPr>
      </w:pPr>
      <w:r>
        <w:rPr>
          <w:rFonts w:hint="eastAsia" w:ascii="宋体" w:hAnsi="宋体" w:cs="仿宋"/>
          <w:color w:val="auto"/>
          <w:szCs w:val="21"/>
          <w:highlight w:val="none"/>
        </w:rPr>
        <w:t>（</w:t>
      </w:r>
      <w:r>
        <w:rPr>
          <w:rFonts w:ascii="宋体" w:hAnsi="宋体" w:cs="仿宋"/>
          <w:color w:val="auto"/>
          <w:szCs w:val="21"/>
          <w:highlight w:val="none"/>
        </w:rPr>
        <w:t>1）乙方根据合同附件《深圳会展中心第二十</w:t>
      </w:r>
      <w:r>
        <w:rPr>
          <w:rFonts w:hint="eastAsia" w:ascii="宋体" w:hAnsi="宋体" w:cs="仿宋"/>
          <w:color w:val="auto"/>
          <w:szCs w:val="21"/>
          <w:highlight w:val="none"/>
          <w:lang w:val="en-US" w:eastAsia="zh-CN"/>
        </w:rPr>
        <w:t>五</w:t>
      </w:r>
      <w:r>
        <w:rPr>
          <w:rFonts w:ascii="宋体" w:hAnsi="宋体" w:cs="仿宋"/>
          <w:color w:val="auto"/>
          <w:szCs w:val="21"/>
          <w:highlight w:val="none"/>
        </w:rPr>
        <w:t>届高交会</w:t>
      </w:r>
      <w:r>
        <w:rPr>
          <w:rFonts w:hint="eastAsia" w:ascii="宋体" w:hAnsi="宋体" w:cs="仿宋"/>
          <w:color w:val="auto"/>
          <w:sz w:val="21"/>
          <w:szCs w:val="21"/>
          <w:highlight w:val="none"/>
          <w:lang w:val="en-US" w:eastAsia="zh-CN"/>
        </w:rPr>
        <w:t>IT展</w:t>
      </w:r>
      <w:r>
        <w:rPr>
          <w:rFonts w:hint="eastAsia" w:ascii="宋体" w:hAnsi="宋体" w:eastAsia="宋体" w:cs="宋体"/>
          <w:color w:val="auto"/>
          <w:highlight w:val="none"/>
          <w:lang w:val="en-US" w:eastAsia="zh-CN"/>
        </w:rPr>
        <w:t>数字经济和智能终端</w:t>
      </w:r>
      <w:r>
        <w:rPr>
          <w:rFonts w:hint="eastAsia" w:ascii="宋体" w:hAnsi="宋体" w:cs="宋体"/>
          <w:color w:val="auto"/>
          <w:szCs w:val="21"/>
          <w:highlight w:val="none"/>
          <w:lang w:val="en-US" w:eastAsia="zh-CN"/>
        </w:rPr>
        <w:t>领域</w:t>
      </w:r>
      <w:r>
        <w:rPr>
          <w:rFonts w:hint="eastAsia" w:ascii="宋体" w:hAnsi="宋体" w:cs="仿宋"/>
          <w:color w:val="auto"/>
          <w:szCs w:val="21"/>
          <w:highlight w:val="none"/>
          <w:lang w:eastAsia="zh-CN"/>
        </w:rPr>
        <w:t>行业垂直媒体</w:t>
      </w:r>
      <w:r>
        <w:rPr>
          <w:rFonts w:ascii="宋体" w:hAnsi="宋体" w:cs="仿宋"/>
          <w:color w:val="auto"/>
          <w:szCs w:val="21"/>
          <w:highlight w:val="none"/>
        </w:rPr>
        <w:t>投放服务计划及报价表》执行</w:t>
      </w:r>
      <w:r>
        <w:rPr>
          <w:rFonts w:hint="eastAsia" w:ascii="宋体" w:hAnsi="宋体" w:cs="仿宋"/>
          <w:color w:val="auto"/>
          <w:szCs w:val="21"/>
          <w:highlight w:val="none"/>
          <w:lang w:val="en-US" w:eastAsia="zh-CN"/>
        </w:rPr>
        <w:t>视频制作及</w:t>
      </w:r>
      <w:r>
        <w:rPr>
          <w:rFonts w:ascii="宋体" w:hAnsi="宋体" w:cs="仿宋"/>
          <w:color w:val="auto"/>
          <w:szCs w:val="21"/>
          <w:highlight w:val="none"/>
        </w:rPr>
        <w:t>推广计划，在执行过程中，提供月报，提供包括但不限于数据/截屏</w:t>
      </w:r>
      <w:r>
        <w:rPr>
          <w:rFonts w:hint="eastAsia" w:ascii="宋体" w:hAnsi="宋体" w:cs="仿宋"/>
          <w:color w:val="auto"/>
          <w:szCs w:val="21"/>
          <w:highlight w:val="none"/>
          <w:lang w:val="en-US" w:eastAsia="zh-CN"/>
        </w:rPr>
        <w:t>/视频</w:t>
      </w:r>
      <w:r>
        <w:rPr>
          <w:rFonts w:hint="eastAsia" w:ascii="宋体" w:hAnsi="宋体" w:cs="仿宋"/>
          <w:color w:val="auto"/>
          <w:szCs w:val="21"/>
          <w:highlight w:val="none"/>
        </w:rPr>
        <w:t>地址链接清单</w:t>
      </w:r>
      <w:r>
        <w:rPr>
          <w:rFonts w:ascii="宋体" w:hAnsi="宋体" w:cs="仿宋"/>
          <w:color w:val="auto"/>
          <w:szCs w:val="21"/>
          <w:highlight w:val="none"/>
        </w:rPr>
        <w:t>等的成果汇报，最终形成结案报告</w:t>
      </w:r>
      <w:r>
        <w:rPr>
          <w:rFonts w:hint="eastAsia" w:ascii="宋体" w:hAnsi="宋体" w:cs="仿宋"/>
          <w:color w:val="auto"/>
          <w:szCs w:val="21"/>
          <w:highlight w:val="none"/>
          <w:lang w:eastAsia="zh-CN"/>
        </w:rPr>
        <w:t>；</w:t>
      </w:r>
    </w:p>
    <w:p>
      <w:pPr>
        <w:tabs>
          <w:tab w:val="left" w:pos="0"/>
        </w:tabs>
        <w:snapToGrid w:val="0"/>
        <w:spacing w:line="500" w:lineRule="exact"/>
        <w:ind w:firstLine="420" w:firstLineChars="200"/>
        <w:rPr>
          <w:rFonts w:hint="eastAsia" w:ascii="宋体" w:hAnsi="宋体" w:cs="宋体"/>
          <w:b/>
          <w:bCs/>
          <w:color w:val="auto"/>
          <w:szCs w:val="21"/>
          <w:highlight w:val="none"/>
          <w:lang w:val="en-US" w:eastAsia="zh-CN"/>
        </w:rPr>
      </w:pPr>
      <w:r>
        <w:rPr>
          <w:rFonts w:ascii="宋体" w:hAnsi="宋体" w:cs="仿宋"/>
          <w:color w:val="auto"/>
          <w:szCs w:val="21"/>
          <w:highlight w:val="none"/>
        </w:rPr>
        <w:t>（2）乙方须保证</w:t>
      </w:r>
      <w:r>
        <w:rPr>
          <w:rFonts w:hint="eastAsia" w:ascii="宋体" w:hAnsi="宋体" w:cs="仿宋"/>
          <w:color w:val="auto"/>
          <w:szCs w:val="21"/>
          <w:highlight w:val="none"/>
          <w:lang w:val="en-US" w:eastAsia="zh-CN"/>
        </w:rPr>
        <w:t>所制作视频的质量，每条视频时长控制在1分钟左右，</w:t>
      </w:r>
      <w:r>
        <w:rPr>
          <w:rFonts w:ascii="宋体" w:hAnsi="宋体" w:cs="仿宋"/>
          <w:color w:val="auto"/>
          <w:szCs w:val="21"/>
          <w:highlight w:val="none"/>
        </w:rPr>
        <w:t>内容真实</w:t>
      </w:r>
      <w:r>
        <w:rPr>
          <w:rFonts w:hint="eastAsia" w:ascii="宋体" w:hAnsi="宋体" w:cs="仿宋"/>
          <w:color w:val="auto"/>
          <w:szCs w:val="21"/>
          <w:highlight w:val="none"/>
          <w:lang w:val="en-US" w:eastAsia="zh-CN"/>
        </w:rPr>
        <w:t>无误</w:t>
      </w:r>
      <w:r>
        <w:rPr>
          <w:rFonts w:ascii="宋体" w:hAnsi="宋体" w:cs="仿宋"/>
          <w:color w:val="auto"/>
          <w:szCs w:val="21"/>
          <w:highlight w:val="none"/>
        </w:rPr>
        <w:t>，不得抄袭、复制，且要突出</w:t>
      </w:r>
      <w:r>
        <w:rPr>
          <w:rFonts w:hint="eastAsia" w:ascii="宋体" w:hAnsi="宋体" w:eastAsia="宋体" w:cs="宋体"/>
          <w:color w:val="auto"/>
          <w:highlight w:val="none"/>
          <w:lang w:val="en-US" w:eastAsia="zh-CN"/>
        </w:rPr>
        <w:t>数字经济和智能终端</w:t>
      </w:r>
      <w:r>
        <w:rPr>
          <w:rFonts w:hint="eastAsia" w:ascii="宋体" w:hAnsi="宋体" w:cs="宋体"/>
          <w:color w:val="auto"/>
          <w:szCs w:val="21"/>
          <w:highlight w:val="none"/>
          <w:lang w:val="en-US" w:eastAsia="zh-CN"/>
        </w:rPr>
        <w:t>领域</w:t>
      </w:r>
      <w:r>
        <w:rPr>
          <w:rFonts w:hint="eastAsia" w:ascii="宋体" w:hAnsi="宋体" w:cs="仿宋"/>
          <w:color w:val="auto"/>
          <w:szCs w:val="21"/>
          <w:highlight w:val="none"/>
          <w:lang w:val="en-US" w:eastAsia="zh-CN"/>
        </w:rPr>
        <w:t>的</w:t>
      </w:r>
      <w:r>
        <w:rPr>
          <w:rFonts w:ascii="宋体" w:hAnsi="宋体" w:cs="仿宋"/>
          <w:color w:val="auto"/>
          <w:szCs w:val="21"/>
          <w:highlight w:val="none"/>
        </w:rPr>
        <w:t>热点、亮点</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人气及参展企业形象和最新产品等，</w:t>
      </w:r>
      <w:r>
        <w:rPr>
          <w:rFonts w:hint="eastAsia" w:ascii="宋体" w:hAnsi="宋体" w:eastAsia="宋体" w:cs="宋体"/>
          <w:color w:val="auto"/>
          <w:highlight w:val="none"/>
          <w:lang w:val="en-US" w:eastAsia="zh-CN"/>
        </w:rPr>
        <w:t>视频内容用于本届招展、招揽观众和下届预订</w:t>
      </w:r>
      <w:r>
        <w:rPr>
          <w:rFonts w:hint="eastAsia" w:ascii="宋体" w:hAnsi="宋体" w:cs="宋体"/>
          <w:color w:val="auto"/>
          <w:highlight w:val="none"/>
          <w:lang w:val="en-US" w:eastAsia="zh-CN"/>
        </w:rPr>
        <w:t>；</w:t>
      </w:r>
      <w:r>
        <w:rPr>
          <w:rFonts w:ascii="宋体" w:hAnsi="宋体" w:cs="仿宋"/>
          <w:color w:val="auto"/>
          <w:szCs w:val="21"/>
          <w:highlight w:val="none"/>
        </w:rPr>
        <w:br w:type="textWrapping"/>
      </w:r>
      <w:r>
        <w:rPr>
          <w:rFonts w:ascii="宋体" w:hAnsi="宋体" w:cs="仿宋"/>
          <w:color w:val="auto"/>
          <w:szCs w:val="21"/>
          <w:highlight w:val="none"/>
        </w:rPr>
        <w:t xml:space="preserve">    （3）</w:t>
      </w:r>
      <w:r>
        <w:rPr>
          <w:rFonts w:hint="eastAsia" w:ascii="宋体" w:hAnsi="宋体" w:cs="仿宋"/>
          <w:color w:val="auto"/>
          <w:szCs w:val="21"/>
          <w:highlight w:val="none"/>
          <w:lang w:val="en-US" w:eastAsia="zh-CN"/>
        </w:rPr>
        <w:t>乙方</w:t>
      </w:r>
      <w:r>
        <w:rPr>
          <w:rFonts w:hint="eastAsia" w:ascii="宋体" w:hAnsi="宋体" w:cs="宋体"/>
          <w:color w:val="auto"/>
          <w:highlight w:val="none"/>
          <w:lang w:val="en-US" w:eastAsia="zh-CN"/>
        </w:rPr>
        <w:t>须保证</w:t>
      </w:r>
      <w:r>
        <w:rPr>
          <w:rFonts w:hint="eastAsia" w:ascii="宋体" w:hAnsi="宋体" w:eastAsia="宋体" w:cs="宋体"/>
          <w:color w:val="auto"/>
          <w:highlight w:val="none"/>
          <w:lang w:val="en-US" w:eastAsia="zh-CN"/>
        </w:rPr>
        <w:t>每条视频至少在</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家媒体上发布</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每条视频</w:t>
      </w:r>
      <w:r>
        <w:rPr>
          <w:rFonts w:hint="eastAsia" w:ascii="宋体" w:hAnsi="宋体" w:cs="宋体"/>
          <w:color w:val="auto"/>
          <w:highlight w:val="none"/>
          <w:lang w:val="en-US" w:eastAsia="zh-CN"/>
        </w:rPr>
        <w:t>小计</w:t>
      </w:r>
      <w:r>
        <w:rPr>
          <w:rFonts w:hint="eastAsia" w:ascii="宋体" w:hAnsi="宋体" w:eastAsia="宋体" w:cs="宋体"/>
          <w:color w:val="auto"/>
          <w:highlight w:val="none"/>
          <w:lang w:val="en-US" w:eastAsia="zh-CN"/>
        </w:rPr>
        <w:t>播放量至少为5000次，在</w:t>
      </w:r>
      <w:r>
        <w:rPr>
          <w:rFonts w:hint="eastAsia" w:ascii="宋体" w:hAnsi="宋体" w:cs="宋体"/>
          <w:color w:val="auto"/>
          <w:highlight w:val="none"/>
          <w:lang w:val="en-US" w:eastAsia="zh-CN"/>
        </w:rPr>
        <w:t>11月30日</w:t>
      </w:r>
      <w:r>
        <w:rPr>
          <w:rFonts w:hint="eastAsia" w:ascii="宋体" w:hAnsi="宋体" w:eastAsia="宋体" w:cs="宋体"/>
          <w:color w:val="auto"/>
          <w:highlight w:val="none"/>
          <w:lang w:val="en-US" w:eastAsia="zh-CN"/>
        </w:rPr>
        <w:t>前累计播放量至少达到</w:t>
      </w:r>
      <w:r>
        <w:rPr>
          <w:rFonts w:hint="eastAsia" w:ascii="宋体" w:hAnsi="宋体" w:cs="宋体"/>
          <w:color w:val="auto"/>
          <w:highlight w:val="none"/>
          <w:lang w:val="en-US" w:eastAsia="zh-CN"/>
        </w:rPr>
        <w:t>60000</w:t>
      </w:r>
      <w:r>
        <w:rPr>
          <w:rFonts w:hint="eastAsia" w:ascii="宋体" w:hAnsi="宋体" w:eastAsia="宋体" w:cs="宋体"/>
          <w:color w:val="auto"/>
          <w:highlight w:val="none"/>
          <w:lang w:val="en-US" w:eastAsia="zh-CN"/>
        </w:rPr>
        <w:t>次。投放媒体包括行业内专业网络媒体、行业内新媒体（须单位或机构注册账号、非个人账号）以及综合类短视频平台，其中综合类短视频平台限1-2家，如果某</w:t>
      </w:r>
      <w:r>
        <w:rPr>
          <w:rFonts w:hint="eastAsia" w:ascii="宋体" w:hAnsi="宋体" w:cs="宋体"/>
          <w:color w:val="auto"/>
          <w:highlight w:val="none"/>
          <w:lang w:val="en-US" w:eastAsia="zh-CN"/>
        </w:rPr>
        <w:t>媒体上</w:t>
      </w:r>
      <w:r>
        <w:rPr>
          <w:rFonts w:hint="eastAsia" w:ascii="宋体" w:hAnsi="宋体" w:eastAsia="宋体" w:cs="宋体"/>
          <w:color w:val="auto"/>
          <w:highlight w:val="none"/>
          <w:lang w:val="en-US" w:eastAsia="zh-CN"/>
        </w:rPr>
        <w:t>视频没有显示播放量，则在该视频的点赞量、评论量、转发量、收藏量等数值中选择最高的一个数值作为播放量</w:t>
      </w:r>
      <w:r>
        <w:rPr>
          <w:rFonts w:hint="eastAsia" w:ascii="宋体" w:hAnsi="宋体" w:cs="宋体"/>
          <w:color w:val="auto"/>
          <w:highlight w:val="none"/>
          <w:lang w:val="en-US" w:eastAsia="zh-CN"/>
        </w:rPr>
        <w:t>；</w:t>
      </w:r>
      <w:r>
        <w:rPr>
          <w:rFonts w:ascii="宋体" w:hAnsi="宋体" w:cs="仿宋"/>
          <w:color w:val="auto"/>
          <w:szCs w:val="21"/>
          <w:highlight w:val="none"/>
        </w:rPr>
        <w:br w:type="textWrapping"/>
      </w:r>
      <w:r>
        <w:rPr>
          <w:rFonts w:ascii="宋体" w:hAnsi="宋体" w:cs="仿宋"/>
          <w:color w:val="auto"/>
          <w:szCs w:val="21"/>
          <w:highlight w:val="none"/>
        </w:rPr>
        <w:t xml:space="preserve">    （4）乙方</w:t>
      </w:r>
      <w:r>
        <w:rPr>
          <w:rFonts w:hint="eastAsia" w:ascii="宋体" w:hAnsi="宋体" w:cs="仿宋"/>
          <w:color w:val="auto"/>
          <w:szCs w:val="21"/>
          <w:highlight w:val="none"/>
          <w:lang w:val="en-US" w:eastAsia="zh-CN"/>
        </w:rPr>
        <w:t>在制作、编辑视频过程中，须按展前、展中、展后的时间顺序来安排视频制作。</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p>
      <w:pPr>
        <w:numPr>
          <w:ilvl w:val="0"/>
          <w:numId w:val="32"/>
        </w:numPr>
        <w:tabs>
          <w:tab w:val="left" w:pos="720"/>
        </w:tabs>
        <w:snapToGrid w:val="0"/>
        <w:spacing w:line="500" w:lineRule="exact"/>
        <w:ind w:firstLine="420" w:firstLineChars="200"/>
        <w:rPr>
          <w:rFonts w:ascii="宋体" w:hAnsi="宋体" w:cs="仿宋"/>
          <w:bCs/>
          <w:color w:val="auto"/>
          <w:szCs w:val="21"/>
          <w:highlight w:val="none"/>
        </w:rPr>
      </w:pPr>
      <w:r>
        <w:rPr>
          <w:rFonts w:ascii="宋体" w:hAnsi="宋体" w:cs="仿宋"/>
          <w:bCs/>
          <w:color w:val="auto"/>
          <w:szCs w:val="21"/>
          <w:highlight w:val="none"/>
        </w:rPr>
        <w:t>甲方应严格按照第</w:t>
      </w:r>
      <w:r>
        <w:rPr>
          <w:rFonts w:hint="eastAsia" w:ascii="宋体" w:hAnsi="宋体" w:cs="仿宋"/>
          <w:bCs/>
          <w:color w:val="auto"/>
          <w:szCs w:val="21"/>
          <w:highlight w:val="none"/>
          <w:lang w:val="en-US" w:eastAsia="zh-CN"/>
        </w:rPr>
        <w:t>三</w:t>
      </w:r>
      <w:r>
        <w:rPr>
          <w:rFonts w:ascii="宋体" w:hAnsi="宋体" w:cs="仿宋"/>
          <w:bCs/>
          <w:color w:val="auto"/>
          <w:szCs w:val="21"/>
          <w:highlight w:val="none"/>
        </w:rPr>
        <w:t>条支付乙方款项，如应甲方延迟付款导致乙方无法顺利履行</w:t>
      </w:r>
      <w:r>
        <w:rPr>
          <w:rFonts w:hint="eastAsia" w:ascii="宋体" w:hAnsi="宋体" w:cs="仿宋"/>
          <w:bCs/>
          <w:color w:val="auto"/>
          <w:szCs w:val="21"/>
          <w:highlight w:val="none"/>
          <w:lang w:val="en-US" w:eastAsia="zh-CN"/>
        </w:rPr>
        <w:t>合同</w:t>
      </w:r>
      <w:r>
        <w:rPr>
          <w:rFonts w:ascii="宋体" w:hAnsi="宋体" w:cs="仿宋"/>
          <w:bCs/>
          <w:color w:val="auto"/>
          <w:szCs w:val="21"/>
          <w:highlight w:val="none"/>
        </w:rPr>
        <w:t>，甲方承担全部责任及产生的一切费用；</w:t>
      </w:r>
    </w:p>
    <w:p>
      <w:pPr>
        <w:numPr>
          <w:ilvl w:val="0"/>
          <w:numId w:val="32"/>
        </w:numPr>
        <w:tabs>
          <w:tab w:val="left" w:pos="720"/>
        </w:tabs>
        <w:snapToGrid w:val="0"/>
        <w:spacing w:line="500" w:lineRule="exact"/>
        <w:ind w:firstLine="420" w:firstLineChars="200"/>
        <w:rPr>
          <w:rFonts w:ascii="宋体" w:hAnsi="宋体" w:cs="仿宋"/>
          <w:color w:val="auto"/>
          <w:szCs w:val="21"/>
          <w:highlight w:val="none"/>
        </w:rPr>
      </w:pPr>
      <w:r>
        <w:rPr>
          <w:rFonts w:ascii="宋体" w:hAnsi="宋体" w:cs="仿宋"/>
          <w:bCs/>
          <w:color w:val="auto"/>
          <w:szCs w:val="21"/>
          <w:highlight w:val="none"/>
        </w:rPr>
        <w:t>乙方与媒体之间的任何纠纷与甲方无关，</w:t>
      </w:r>
      <w:bookmarkStart w:id="60" w:name="OLE_LINK2"/>
      <w:bookmarkStart w:id="61" w:name="OLE_LINK1"/>
      <w:r>
        <w:rPr>
          <w:rFonts w:hint="eastAsia" w:ascii="宋体" w:hAnsi="宋体" w:cs="仿宋"/>
          <w:color w:val="auto"/>
          <w:szCs w:val="21"/>
          <w:highlight w:val="none"/>
        </w:rPr>
        <w:t>甲方已向乙方支付本合同项下全部费用而</w:t>
      </w:r>
      <w:r>
        <w:rPr>
          <w:rFonts w:hint="eastAsia" w:ascii="宋体" w:hAnsi="宋体" w:cs="仿宋"/>
          <w:bCs/>
          <w:color w:val="auto"/>
          <w:szCs w:val="21"/>
          <w:highlight w:val="none"/>
        </w:rPr>
        <w:t>乙方未向媒体支付</w:t>
      </w:r>
      <w:bookmarkStart w:id="62" w:name="OLE_LINK6"/>
      <w:r>
        <w:rPr>
          <w:rFonts w:hint="eastAsia" w:ascii="宋体" w:hAnsi="宋体" w:cs="仿宋"/>
          <w:bCs/>
          <w:color w:val="auto"/>
          <w:szCs w:val="21"/>
          <w:highlight w:val="none"/>
        </w:rPr>
        <w:t>广告发布、软文撰写</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视频</w:t>
      </w:r>
      <w:r>
        <w:rPr>
          <w:rFonts w:hint="eastAsia" w:ascii="宋体" w:hAnsi="宋体" w:cs="仿宋"/>
          <w:bCs/>
          <w:color w:val="auto"/>
          <w:szCs w:val="21"/>
          <w:highlight w:val="none"/>
        </w:rPr>
        <w:t>投放费</w:t>
      </w:r>
      <w:bookmarkEnd w:id="62"/>
      <w:r>
        <w:rPr>
          <w:rFonts w:hint="eastAsia" w:ascii="宋体" w:hAnsi="宋体" w:cs="仿宋"/>
          <w:bCs/>
          <w:color w:val="auto"/>
          <w:szCs w:val="21"/>
          <w:highlight w:val="none"/>
        </w:rPr>
        <w:t>用的，</w:t>
      </w:r>
      <w:bookmarkEnd w:id="60"/>
      <w:bookmarkEnd w:id="61"/>
      <w:r>
        <w:rPr>
          <w:rFonts w:hint="eastAsia" w:ascii="宋体" w:hAnsi="宋体" w:cs="仿宋"/>
          <w:bCs/>
          <w:color w:val="auto"/>
          <w:szCs w:val="21"/>
          <w:highlight w:val="none"/>
        </w:rPr>
        <w:t>一切责任由乙方自行承担</w:t>
      </w:r>
      <w:bookmarkStart w:id="63" w:name="OLE_LINK7"/>
      <w:r>
        <w:rPr>
          <w:rFonts w:hint="eastAsia" w:ascii="宋体" w:hAnsi="宋体" w:cs="仿宋"/>
          <w:bCs/>
          <w:color w:val="auto"/>
          <w:szCs w:val="21"/>
          <w:highlight w:val="none"/>
        </w:rPr>
        <w:t>，由此给甲方造成损失的，</w:t>
      </w:r>
      <w:bookmarkEnd w:id="63"/>
      <w:r>
        <w:rPr>
          <w:rFonts w:hint="eastAsia" w:ascii="宋体" w:hAnsi="宋体" w:cs="仿宋"/>
          <w:bCs/>
          <w:color w:val="auto"/>
          <w:szCs w:val="21"/>
          <w:highlight w:val="none"/>
        </w:rPr>
        <w:t>乙方应予以赔偿</w:t>
      </w:r>
      <w:r>
        <w:rPr>
          <w:rFonts w:hint="eastAsia" w:ascii="宋体" w:hAnsi="宋体" w:cs="仿宋"/>
          <w:bCs/>
          <w:color w:val="auto"/>
          <w:szCs w:val="21"/>
          <w:highlight w:val="none"/>
          <w:lang w:eastAsia="zh-CN"/>
        </w:rPr>
        <w:t>，</w:t>
      </w:r>
      <w:r>
        <w:rPr>
          <w:rFonts w:hint="eastAsia" w:ascii="宋体" w:hAnsi="宋体" w:cs="仿宋"/>
          <w:color w:val="auto"/>
          <w:szCs w:val="21"/>
          <w:highlight w:val="none"/>
        </w:rPr>
        <w:t>赔偿范围包括甲方实际损失、诉讼费、律师费、公证费、鉴定费等全部维权费用</w:t>
      </w:r>
      <w:r>
        <w:rPr>
          <w:rFonts w:hint="eastAsia" w:ascii="宋体" w:hAnsi="宋体" w:cs="仿宋"/>
          <w:color w:val="auto"/>
          <w:szCs w:val="21"/>
          <w:highlight w:val="none"/>
          <w:lang w:eastAsia="zh-CN"/>
        </w:rPr>
        <w:t>；</w:t>
      </w:r>
    </w:p>
    <w:p>
      <w:pPr>
        <w:numPr>
          <w:ilvl w:val="0"/>
          <w:numId w:val="32"/>
        </w:numPr>
        <w:tabs>
          <w:tab w:val="left" w:pos="720"/>
        </w:tabs>
        <w:snapToGrid w:val="0"/>
        <w:spacing w:line="500" w:lineRule="exact"/>
        <w:ind w:firstLine="420" w:firstLineChars="200"/>
        <w:rPr>
          <w:rFonts w:hint="eastAsia" w:ascii="宋体" w:hAnsi="宋体" w:eastAsia="宋体" w:cs="仿宋"/>
          <w:color w:val="auto"/>
          <w:szCs w:val="21"/>
          <w:highlight w:val="none"/>
          <w:lang w:eastAsia="zh-CN"/>
        </w:rPr>
      </w:pPr>
      <w:r>
        <w:rPr>
          <w:rFonts w:ascii="宋体" w:hAnsi="宋体" w:cs="仿宋"/>
          <w:color w:val="auto"/>
          <w:szCs w:val="21"/>
          <w:highlight w:val="none"/>
        </w:rPr>
        <w:t>如因乙方配合不积极等原因致使甲方广告、</w:t>
      </w:r>
      <w:r>
        <w:rPr>
          <w:rFonts w:hint="eastAsia" w:ascii="宋体" w:hAnsi="宋体" w:cs="仿宋"/>
          <w:color w:val="auto"/>
          <w:szCs w:val="21"/>
          <w:highlight w:val="none"/>
        </w:rPr>
        <w:t>软文</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视频</w:t>
      </w:r>
      <w:r>
        <w:rPr>
          <w:rFonts w:hint="eastAsia" w:ascii="宋体" w:hAnsi="宋体" w:cs="仿宋"/>
          <w:color w:val="auto"/>
          <w:szCs w:val="21"/>
          <w:highlight w:val="none"/>
        </w:rPr>
        <w:t>不能按计划发布（包括但不限于出现错版、错时、错稿、错刊、漏刊等情况），甲方有权拒付乙方相关费用；未完成部分，甲方</w:t>
      </w:r>
      <w:r>
        <w:rPr>
          <w:rFonts w:hint="eastAsia" w:ascii="宋体" w:hAnsi="宋体" w:cs="仿宋"/>
          <w:bCs/>
          <w:color w:val="auto"/>
          <w:szCs w:val="21"/>
          <w:highlight w:val="none"/>
        </w:rPr>
        <w:t>可扣除乙方未完成部分的相应费用</w:t>
      </w:r>
      <w:r>
        <w:rPr>
          <w:rFonts w:hint="eastAsia" w:ascii="宋体" w:hAnsi="宋体" w:cs="仿宋"/>
          <w:color w:val="auto"/>
          <w:szCs w:val="21"/>
          <w:highlight w:val="none"/>
        </w:rPr>
        <w:t>。</w:t>
      </w:r>
      <w:r>
        <w:rPr>
          <w:rFonts w:hint="eastAsia" w:ascii="宋体" w:hAnsi="宋体" w:cs="宋体"/>
          <w:bCs/>
          <w:color w:val="auto"/>
          <w:szCs w:val="21"/>
          <w:highlight w:val="none"/>
        </w:rPr>
        <w:t>如因此给甲方造成损失的，乙方还应予以赔偿</w:t>
      </w:r>
      <w:r>
        <w:rPr>
          <w:rFonts w:hint="eastAsia" w:ascii="宋体" w:hAnsi="宋体" w:cs="宋体"/>
          <w:color w:val="auto"/>
          <w:szCs w:val="21"/>
          <w:highlight w:val="none"/>
          <w:lang w:eastAsia="zh-CN"/>
        </w:rPr>
        <w:t>，</w:t>
      </w:r>
      <w:r>
        <w:rPr>
          <w:rFonts w:hint="eastAsia" w:ascii="宋体" w:hAnsi="宋体" w:cs="仿宋"/>
          <w:color w:val="auto"/>
          <w:szCs w:val="21"/>
          <w:highlight w:val="none"/>
        </w:rPr>
        <w:t>赔偿范围包括甲方实际损失、诉讼费、律师费、公证费、鉴定费等全部维权费用</w:t>
      </w:r>
      <w:r>
        <w:rPr>
          <w:rFonts w:hint="eastAsia" w:ascii="宋体" w:hAnsi="宋体" w:cs="仿宋"/>
          <w:color w:val="auto"/>
          <w:szCs w:val="21"/>
          <w:highlight w:val="none"/>
          <w:lang w:eastAsia="zh-CN"/>
        </w:rPr>
        <w:t>；</w:t>
      </w:r>
    </w:p>
    <w:p>
      <w:pPr>
        <w:numPr>
          <w:ilvl w:val="0"/>
          <w:numId w:val="32"/>
        </w:numPr>
        <w:tabs>
          <w:tab w:val="left" w:pos="720"/>
        </w:tabs>
        <w:snapToGrid w:val="0"/>
        <w:spacing w:line="500" w:lineRule="exact"/>
        <w:ind w:firstLine="420" w:firstLineChars="200"/>
        <w:rPr>
          <w:rFonts w:hint="eastAsia"/>
          <w:color w:val="auto"/>
          <w:highlight w:val="none"/>
        </w:rPr>
      </w:pPr>
      <w:r>
        <w:rPr>
          <w:rFonts w:ascii="宋体" w:hAnsi="宋体" w:cs="仿宋"/>
          <w:color w:val="auto"/>
          <w:szCs w:val="21"/>
          <w:highlight w:val="none"/>
        </w:rPr>
        <w:t>甲乙双方除不可抗力因素外，应按合同约定之要求完成各自所应履行的责任和义务，否则视为违约，违约方应赔偿由此给守约方造成的损失。</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合同终止</w:t>
      </w:r>
    </w:p>
    <w:p>
      <w:pPr>
        <w:numPr>
          <w:ilvl w:val="0"/>
          <w:numId w:val="33"/>
        </w:numPr>
        <w:snapToGrid w:val="0"/>
        <w:spacing w:line="360" w:lineRule="auto"/>
        <w:ind w:firstLineChars="200"/>
        <w:rPr>
          <w:rFonts w:hint="eastAsia" w:ascii="宋体" w:hAnsi="宋体" w:cs="宋体"/>
          <w:color w:val="auto"/>
          <w:sz w:val="21"/>
          <w:szCs w:val="21"/>
          <w:highlight w:val="none"/>
          <w:lang w:val="en-US" w:eastAsia="zh-CN"/>
        </w:rPr>
      </w:pPr>
      <w:r>
        <w:rPr>
          <w:rFonts w:ascii="宋体" w:hAnsi="宋体" w:cs="仿宋"/>
          <w:color w:val="auto"/>
          <w:szCs w:val="21"/>
          <w:highlight w:val="none"/>
        </w:rPr>
        <w:t>因解除而终止</w:t>
      </w:r>
      <w:r>
        <w:rPr>
          <w:rFonts w:hint="eastAsia" w:ascii="宋体" w:hAnsi="宋体" w:cs="仿宋"/>
          <w:color w:val="auto"/>
          <w:szCs w:val="21"/>
          <w:highlight w:val="none"/>
          <w:lang w:eastAsia="zh-CN"/>
        </w:rPr>
        <w:t>：</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1）由于乙方违约造成本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不能履行或不能完全履行，如果甲方认为本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已无必要继续履行或乙方在收到甲方要求其纠正违约的通知后仍不纠正其违约行为，则甲方有权向乙方发出解除本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的书面通知，该通知自送达乙方时生效，乙方应向甲方退还已经收取的费用并按</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约定承担违约责任。违约金不足以弥补甲方损失的，甲方可继续向乙方追偿；</w:t>
      </w:r>
    </w:p>
    <w:p>
      <w:pPr>
        <w:spacing w:line="500" w:lineRule="exact"/>
        <w:ind w:firstLine="432" w:firstLineChars="206"/>
        <w:rPr>
          <w:rFonts w:hint="eastAsia" w:ascii="宋体" w:hAnsi="宋体" w:cs="仿宋"/>
          <w:color w:val="auto"/>
          <w:szCs w:val="21"/>
          <w:highlight w:val="none"/>
        </w:rPr>
      </w:pP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lang w:eastAsia="zh-CN"/>
        </w:rPr>
        <w:t>）</w:t>
      </w:r>
      <w:r>
        <w:rPr>
          <w:rFonts w:ascii="宋体" w:hAnsi="宋体" w:cs="仿宋"/>
          <w:color w:val="auto"/>
          <w:szCs w:val="21"/>
          <w:highlight w:val="none"/>
        </w:rPr>
        <w:t>由于甲方违约造成本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不能履行或不能完全履行，如果甲方在收到乙方要求其纠正违约的通知后仍不纠正其违约行为，则乙方有权向甲方发出解除本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的书面通知，该通知自送达甲方时生效，甲方应向乙方支付双方确认已完成工作量的款项，并按本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w:t>
      </w:r>
      <w:r>
        <w:rPr>
          <w:rFonts w:hint="eastAsia" w:ascii="宋体" w:hAnsi="宋体" w:cs="仿宋"/>
          <w:color w:val="auto"/>
          <w:szCs w:val="21"/>
          <w:highlight w:val="none"/>
        </w:rPr>
        <w:t>承担违约责任；</w:t>
      </w:r>
    </w:p>
    <w:p>
      <w:pPr>
        <w:numPr>
          <w:ilvl w:val="0"/>
          <w:numId w:val="0"/>
        </w:numPr>
        <w:spacing w:line="500" w:lineRule="exact"/>
        <w:ind w:leftChars="0" w:firstLine="420" w:firstLineChars="200"/>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3）</w:t>
      </w:r>
      <w:r>
        <w:rPr>
          <w:rFonts w:hint="eastAsia" w:ascii="宋体" w:hAnsi="宋体" w:cs="仿宋"/>
          <w:color w:val="auto"/>
          <w:szCs w:val="21"/>
          <w:highlight w:val="none"/>
          <w:lang w:val="en-US" w:eastAsia="zh-CN"/>
        </w:rPr>
        <w:t>合同</w:t>
      </w:r>
      <w:r>
        <w:rPr>
          <w:rFonts w:ascii="宋体" w:hAnsi="宋体" w:cs="仿宋"/>
          <w:color w:val="auto"/>
          <w:szCs w:val="21"/>
          <w:highlight w:val="none"/>
        </w:rPr>
        <w:t>一方依本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约定行使解除权的，</w:t>
      </w:r>
      <w:r>
        <w:rPr>
          <w:rFonts w:hint="eastAsia" w:ascii="宋体" w:hAnsi="宋体" w:cs="仿宋"/>
          <w:color w:val="auto"/>
          <w:szCs w:val="21"/>
          <w:highlight w:val="none"/>
          <w:lang w:val="en-US" w:eastAsia="zh-CN"/>
        </w:rPr>
        <w:t>合同</w:t>
      </w:r>
      <w:r>
        <w:rPr>
          <w:rFonts w:ascii="宋体" w:hAnsi="宋体" w:cs="仿宋"/>
          <w:color w:val="auto"/>
          <w:szCs w:val="21"/>
          <w:highlight w:val="none"/>
        </w:rPr>
        <w:t>自解除通知送达之日起终止。违约方应当向守约方支付违约金或赔偿损失；</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4</w:t>
      </w:r>
      <w:r>
        <w:rPr>
          <w:rFonts w:ascii="宋体" w:hAnsi="宋体" w:cs="仿宋"/>
          <w:color w:val="auto"/>
          <w:szCs w:val="21"/>
          <w:highlight w:val="none"/>
        </w:rPr>
        <w:t>）</w:t>
      </w:r>
      <w:r>
        <w:rPr>
          <w:rFonts w:hint="eastAsia" w:ascii="宋体" w:hAnsi="宋体" w:cs="仿宋"/>
          <w:color w:val="auto"/>
          <w:szCs w:val="21"/>
          <w:highlight w:val="none"/>
          <w:lang w:val="en-US" w:eastAsia="zh-CN"/>
        </w:rPr>
        <w:t>合同</w:t>
      </w:r>
      <w:r>
        <w:rPr>
          <w:rFonts w:ascii="宋体" w:hAnsi="宋体" w:cs="仿宋"/>
          <w:color w:val="auto"/>
          <w:szCs w:val="21"/>
          <w:highlight w:val="none"/>
        </w:rPr>
        <w:t>终止后，不妨碍守约方向违约方追究违约责任。</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三</w:t>
      </w:r>
      <w:r>
        <w:rPr>
          <w:rFonts w:hint="eastAsia" w:ascii="宋体" w:hAnsi="宋体" w:cs="仿宋"/>
          <w:color w:val="auto"/>
          <w:szCs w:val="21"/>
          <w:highlight w:val="none"/>
          <w:lang w:eastAsia="zh-CN"/>
        </w:rPr>
        <w:t>）</w:t>
      </w:r>
      <w:r>
        <w:rPr>
          <w:rFonts w:ascii="宋体" w:hAnsi="宋体" w:cs="仿宋"/>
          <w:color w:val="auto"/>
          <w:szCs w:val="21"/>
          <w:highlight w:val="none"/>
        </w:rPr>
        <w:t>有下列情形之一的，</w:t>
      </w:r>
      <w:r>
        <w:rPr>
          <w:rFonts w:hint="eastAsia" w:ascii="宋体" w:hAnsi="宋体" w:cs="仿宋"/>
          <w:color w:val="auto"/>
          <w:szCs w:val="21"/>
          <w:highlight w:val="none"/>
          <w:lang w:val="en-US" w:eastAsia="zh-CN"/>
        </w:rPr>
        <w:t>合同</w:t>
      </w:r>
      <w:r>
        <w:rPr>
          <w:rFonts w:ascii="宋体" w:hAnsi="宋体" w:cs="仿宋"/>
          <w:color w:val="auto"/>
          <w:szCs w:val="21"/>
          <w:highlight w:val="none"/>
        </w:rPr>
        <w:t>权利义务终止：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1）本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因已按约定履行完毕而自然终止；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2）本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经各方协商一致而终止；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3）本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因一方出现本条</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二</w:t>
      </w:r>
      <w:r>
        <w:rPr>
          <w:rFonts w:hint="eastAsia" w:ascii="宋体" w:hAnsi="宋体" w:cs="仿宋"/>
          <w:color w:val="auto"/>
          <w:szCs w:val="21"/>
          <w:highlight w:val="none"/>
          <w:lang w:eastAsia="zh-CN"/>
        </w:rPr>
        <w:t>）</w:t>
      </w:r>
      <w:r>
        <w:rPr>
          <w:rFonts w:ascii="宋体" w:hAnsi="宋体" w:cs="仿宋"/>
          <w:color w:val="auto"/>
          <w:szCs w:val="21"/>
          <w:highlight w:val="none"/>
        </w:rPr>
        <w:t>的违约情况（包括一方擅自转让本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项下权利义务行为），另一方发出解除</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的通知；</w:t>
      </w:r>
    </w:p>
    <w:p>
      <w:pPr>
        <w:spacing w:line="500" w:lineRule="exact"/>
        <w:ind w:firstLine="432" w:firstLineChars="206"/>
        <w:rPr>
          <w:rFonts w:hint="eastAsia" w:ascii="宋体" w:hAnsi="宋体" w:cs="宋体"/>
          <w:color w:val="auto"/>
          <w:sz w:val="21"/>
          <w:szCs w:val="21"/>
          <w:highlight w:val="none"/>
          <w:lang w:eastAsia="zh-CN"/>
        </w:rPr>
      </w:pPr>
      <w:r>
        <w:rPr>
          <w:rFonts w:hint="eastAsia" w:ascii="宋体" w:hAnsi="宋体" w:cs="仿宋"/>
          <w:color w:val="auto"/>
          <w:szCs w:val="21"/>
          <w:highlight w:val="none"/>
        </w:rPr>
        <w:t>（</w:t>
      </w:r>
      <w:r>
        <w:rPr>
          <w:rFonts w:ascii="宋体" w:hAnsi="宋体" w:cs="仿宋"/>
          <w:color w:val="auto"/>
          <w:szCs w:val="21"/>
          <w:highlight w:val="none"/>
        </w:rPr>
        <w:t>4）法律法规规定终止的其他情形。</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转让条款</w:t>
      </w:r>
    </w:p>
    <w:p>
      <w:pPr>
        <w:spacing w:line="500" w:lineRule="exact"/>
        <w:ind w:firstLine="470"/>
        <w:rPr>
          <w:rFonts w:hint="eastAsia"/>
          <w:color w:val="auto"/>
          <w:highlight w:val="none"/>
          <w:lang w:eastAsia="zh-CN"/>
        </w:rPr>
      </w:pPr>
      <w:r>
        <w:rPr>
          <w:rFonts w:hint="eastAsia" w:ascii="宋体" w:hAnsi="宋体" w:cs="仿宋"/>
          <w:color w:val="auto"/>
          <w:szCs w:val="21"/>
          <w:highlight w:val="none"/>
        </w:rPr>
        <w:t>未经甲方书面同意，乙方不得全部或部分转让其在本</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项下的权利和义务。否则甲方有权解除</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并按第</w:t>
      </w:r>
      <w:r>
        <w:rPr>
          <w:rFonts w:hint="eastAsia" w:ascii="宋体" w:hAnsi="宋体" w:cs="仿宋"/>
          <w:color w:val="auto"/>
          <w:szCs w:val="21"/>
          <w:highlight w:val="none"/>
          <w:lang w:val="en-US" w:eastAsia="zh-CN"/>
        </w:rPr>
        <w:t>七</w:t>
      </w:r>
      <w:r>
        <w:rPr>
          <w:rFonts w:hint="eastAsia" w:ascii="宋体" w:hAnsi="宋体" w:cs="仿宋"/>
          <w:color w:val="auto"/>
          <w:szCs w:val="21"/>
          <w:highlight w:val="none"/>
        </w:rPr>
        <w:t>条执行。</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保密条款</w:t>
      </w:r>
    </w:p>
    <w:p>
      <w:pPr>
        <w:numPr>
          <w:ilvl w:val="0"/>
          <w:numId w:val="34"/>
        </w:numPr>
        <w:spacing w:line="500" w:lineRule="exact"/>
        <w:rPr>
          <w:rFonts w:ascii="宋体" w:hAnsi="宋体" w:cs="仿宋"/>
          <w:color w:val="auto"/>
          <w:szCs w:val="21"/>
          <w:highlight w:val="none"/>
        </w:rPr>
      </w:pPr>
      <w:r>
        <w:rPr>
          <w:rFonts w:ascii="宋体" w:hAnsi="宋体" w:cs="仿宋"/>
          <w:color w:val="auto"/>
          <w:szCs w:val="21"/>
          <w:highlight w:val="none"/>
        </w:rPr>
        <w:t>所有项目成果的版权归甲方所有；</w:t>
      </w:r>
    </w:p>
    <w:p>
      <w:pPr>
        <w:numPr>
          <w:ilvl w:val="0"/>
          <w:numId w:val="34"/>
        </w:numPr>
        <w:spacing w:line="500" w:lineRule="exact"/>
        <w:rPr>
          <w:rFonts w:ascii="宋体" w:hAnsi="宋体" w:cs="仿宋"/>
          <w:color w:val="auto"/>
          <w:szCs w:val="21"/>
          <w:highlight w:val="none"/>
        </w:rPr>
      </w:pPr>
      <w:r>
        <w:rPr>
          <w:rFonts w:hint="eastAsia" w:ascii="宋体" w:hAnsi="宋体" w:cs="仿宋"/>
          <w:color w:val="auto"/>
          <w:szCs w:val="21"/>
          <w:highlight w:val="none"/>
        </w:rPr>
        <w:t>乙方必须保证对媒体广告投放、软文撰稿、文案策划</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视频创作</w:t>
      </w:r>
      <w:r>
        <w:rPr>
          <w:rFonts w:hint="eastAsia" w:ascii="宋体" w:hAnsi="宋体" w:cs="仿宋"/>
          <w:color w:val="auto"/>
          <w:szCs w:val="21"/>
          <w:highlight w:val="none"/>
        </w:rPr>
        <w:t>等方面的合法性，不得有欺骗、抄袭等侵权行为。若乙方因违法违规等行为所造成的法律责任与甲方无关，如果对甲方造成损失的，乙方应当赔偿甲方损失；</w:t>
      </w:r>
    </w:p>
    <w:p>
      <w:pPr>
        <w:numPr>
          <w:ilvl w:val="0"/>
          <w:numId w:val="34"/>
        </w:numPr>
        <w:spacing w:line="500" w:lineRule="exact"/>
        <w:rPr>
          <w:rFonts w:ascii="宋体" w:hAnsi="宋体" w:cs="仿宋"/>
          <w:color w:val="auto"/>
          <w:szCs w:val="21"/>
          <w:highlight w:val="none"/>
        </w:rPr>
      </w:pPr>
      <w:r>
        <w:rPr>
          <w:rFonts w:ascii="宋体" w:hAnsi="宋体" w:cs="仿宋"/>
          <w:color w:val="auto"/>
          <w:szCs w:val="21"/>
          <w:highlight w:val="none"/>
        </w:rPr>
        <w:t>在本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订立前、履行中及终止后，甲乙双方对本合同和相互提供的资料、信息（包括但不限于商业秘密、设计图片、媒体资料、投放数据等）负保密责任；</w:t>
      </w:r>
    </w:p>
    <w:p>
      <w:pPr>
        <w:numPr>
          <w:ilvl w:val="0"/>
          <w:numId w:val="34"/>
        </w:numPr>
        <w:spacing w:line="500" w:lineRule="exact"/>
        <w:rPr>
          <w:rFonts w:hint="eastAsia" w:ascii="宋体" w:hAnsi="宋体" w:eastAsia="宋体" w:cs="宋体"/>
          <w:color w:val="auto"/>
          <w:sz w:val="21"/>
          <w:szCs w:val="21"/>
          <w:highlight w:val="none"/>
          <w:lang w:eastAsia="zh-CN"/>
        </w:rPr>
      </w:pPr>
      <w:r>
        <w:rPr>
          <w:rFonts w:ascii="宋体" w:hAnsi="宋体" w:cs="仿宋"/>
          <w:color w:val="auto"/>
          <w:szCs w:val="21"/>
          <w:highlight w:val="none"/>
        </w:rPr>
        <w:t>任何一方违反本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约定的，</w:t>
      </w:r>
      <w:r>
        <w:rPr>
          <w:rFonts w:hint="eastAsia" w:ascii="宋体" w:hAnsi="宋体" w:cs="仿宋"/>
          <w:color w:val="auto"/>
          <w:szCs w:val="21"/>
          <w:highlight w:val="none"/>
        </w:rPr>
        <w:t>责任方应按</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金额</w:t>
      </w:r>
      <w:r>
        <w:rPr>
          <w:rFonts w:ascii="宋体" w:hAnsi="宋体" w:cs="仿宋"/>
          <w:color w:val="auto"/>
          <w:szCs w:val="21"/>
          <w:highlight w:val="none"/>
        </w:rPr>
        <w:t>10％向</w:t>
      </w:r>
      <w:r>
        <w:rPr>
          <w:rFonts w:hint="eastAsia" w:ascii="宋体" w:hAnsi="宋体" w:cs="仿宋"/>
          <w:color w:val="auto"/>
          <w:szCs w:val="21"/>
          <w:highlight w:val="none"/>
          <w:lang w:val="en-US" w:eastAsia="zh-CN"/>
        </w:rPr>
        <w:t>合同</w:t>
      </w:r>
      <w:r>
        <w:rPr>
          <w:rFonts w:ascii="宋体" w:hAnsi="宋体" w:cs="仿宋"/>
          <w:color w:val="auto"/>
          <w:szCs w:val="21"/>
          <w:highlight w:val="none"/>
        </w:rPr>
        <w:t>他方支付违</w:t>
      </w:r>
      <w:r>
        <w:rPr>
          <w:rFonts w:hint="eastAsia" w:ascii="宋体" w:hAnsi="宋体" w:cs="仿宋"/>
          <w:color w:val="auto"/>
          <w:szCs w:val="21"/>
          <w:highlight w:val="none"/>
        </w:rPr>
        <w:t>约金，违约金不足以赔偿</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他方损失的，应按</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他方的实际损失给予赔偿；</w:t>
      </w:r>
    </w:p>
    <w:p>
      <w:pPr>
        <w:numPr>
          <w:ilvl w:val="0"/>
          <w:numId w:val="34"/>
        </w:numPr>
        <w:spacing w:line="500" w:lineRule="exact"/>
        <w:rPr>
          <w:rFonts w:hint="eastAsia" w:ascii="宋体" w:hAnsi="宋体" w:eastAsia="宋体" w:cs="宋体"/>
          <w:color w:val="auto"/>
          <w:sz w:val="21"/>
          <w:szCs w:val="21"/>
          <w:highlight w:val="none"/>
          <w:lang w:eastAsia="zh-CN"/>
        </w:rPr>
      </w:pPr>
      <w:r>
        <w:rPr>
          <w:rFonts w:ascii="宋体" w:hAnsi="宋体" w:cs="仿宋"/>
          <w:color w:val="auto"/>
          <w:szCs w:val="21"/>
          <w:highlight w:val="none"/>
        </w:rPr>
        <w:t>保密条款具有独立性，不受本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的终止或解除的影响。</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不可抗力</w:t>
      </w:r>
    </w:p>
    <w:p>
      <w:pPr>
        <w:numPr>
          <w:ilvl w:val="0"/>
          <w:numId w:val="35"/>
        </w:numPr>
        <w:spacing w:line="500" w:lineRule="exact"/>
        <w:rPr>
          <w:rFonts w:ascii="宋体" w:hAnsi="宋体" w:cs="仿宋"/>
          <w:color w:val="auto"/>
          <w:szCs w:val="21"/>
          <w:highlight w:val="none"/>
        </w:rPr>
      </w:pPr>
      <w:r>
        <w:rPr>
          <w:rFonts w:ascii="宋体" w:hAnsi="宋体" w:cs="仿宋"/>
          <w:color w:val="auto"/>
          <w:szCs w:val="21"/>
          <w:highlight w:val="none"/>
        </w:rPr>
        <w:t>如</w:t>
      </w:r>
      <w:r>
        <w:rPr>
          <w:rFonts w:hint="eastAsia" w:ascii="宋体" w:hAnsi="宋体" w:cs="仿宋"/>
          <w:color w:val="auto"/>
          <w:szCs w:val="21"/>
          <w:highlight w:val="none"/>
          <w:lang w:val="en-US" w:eastAsia="zh-CN"/>
        </w:rPr>
        <w:t>合同</w:t>
      </w:r>
      <w:r>
        <w:rPr>
          <w:rFonts w:ascii="宋体" w:hAnsi="宋体" w:cs="仿宋"/>
          <w:color w:val="auto"/>
          <w:szCs w:val="21"/>
          <w:highlight w:val="none"/>
        </w:rPr>
        <w:t>一方延迟履行或未能履行其本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中列明之义务，但 该延迟履行或未能履行是因不可抗力而引起，且在该不可抗力排除后第一时间通知了对方,并提供有效证明，该方不被视为违反本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w:t>
      </w:r>
    </w:p>
    <w:p>
      <w:pPr>
        <w:numPr>
          <w:ilvl w:val="0"/>
          <w:numId w:val="35"/>
        </w:numPr>
        <w:spacing w:line="500" w:lineRule="exact"/>
        <w:rPr>
          <w:rFonts w:hint="eastAsia" w:ascii="宋体" w:hAnsi="宋体" w:eastAsia="宋体" w:cs="仿宋"/>
          <w:color w:val="auto"/>
          <w:szCs w:val="21"/>
          <w:highlight w:val="none"/>
          <w:lang w:eastAsia="zh-CN"/>
        </w:rPr>
      </w:pPr>
      <w:r>
        <w:rPr>
          <w:rFonts w:ascii="宋体" w:hAnsi="宋体" w:cs="仿宋"/>
          <w:color w:val="auto"/>
          <w:szCs w:val="21"/>
          <w:highlight w:val="none"/>
        </w:rPr>
        <w:t>如该不可抗力导致本次项目的实施被延迟，则该被延迟的项目将重新安排于甲方所决定的最早可能日期执行；</w:t>
      </w:r>
    </w:p>
    <w:p>
      <w:pPr>
        <w:numPr>
          <w:ilvl w:val="0"/>
          <w:numId w:val="35"/>
        </w:numPr>
        <w:spacing w:line="500" w:lineRule="exact"/>
        <w:rPr>
          <w:rFonts w:hint="eastAsia" w:ascii="宋体" w:hAnsi="宋体" w:eastAsia="宋体" w:cs="宋体"/>
          <w:color w:val="auto"/>
          <w:szCs w:val="21"/>
          <w:highlight w:val="none"/>
        </w:rPr>
      </w:pPr>
      <w:r>
        <w:rPr>
          <w:rFonts w:ascii="宋体" w:hAnsi="宋体" w:cs="仿宋"/>
          <w:color w:val="auto"/>
          <w:szCs w:val="21"/>
          <w:highlight w:val="none"/>
        </w:rPr>
        <w:t>本</w:t>
      </w:r>
      <w:r>
        <w:rPr>
          <w:rFonts w:hint="eastAsia" w:ascii="宋体" w:hAnsi="宋体" w:cs="仿宋"/>
          <w:color w:val="auto"/>
          <w:szCs w:val="21"/>
          <w:highlight w:val="none"/>
          <w:lang w:val="en-US" w:eastAsia="zh-CN"/>
        </w:rPr>
        <w:t>合同</w:t>
      </w:r>
      <w:r>
        <w:rPr>
          <w:rFonts w:ascii="宋体" w:hAnsi="宋体" w:cs="仿宋"/>
          <w:color w:val="auto"/>
          <w:szCs w:val="21"/>
          <w:highlight w:val="none"/>
        </w:rPr>
        <w:t>项下的不可抗力是指：无法预见、无法避免且无法克服的客观事实，包括但不限于</w:t>
      </w:r>
      <w:r>
        <w:rPr>
          <w:rFonts w:hint="eastAsia" w:ascii="宋体" w:hAnsi="宋体"/>
          <w:bCs/>
          <w:color w:val="auto"/>
          <w:szCs w:val="21"/>
          <w:highlight w:val="none"/>
        </w:rPr>
        <w:t>战争、罢工、倒闭、国内暴乱、疾病蔓延、敌对抵抗、戒严令、火灾、洪水、暴风雨、干旱、火山爆发、爆炸、核或化学事件或辐射、海啸、任何自然灾害</w:t>
      </w:r>
      <w:r>
        <w:rPr>
          <w:rFonts w:hint="eastAsia" w:ascii="宋体" w:hAnsi="宋体" w:cs="仿宋"/>
          <w:color w:val="auto"/>
          <w:szCs w:val="21"/>
          <w:highlight w:val="none"/>
        </w:rPr>
        <w:t>等。</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因本合同有关的任何纠纷或争议，双方应协商解决。协商不成的，双方均可向甲方所在地的人民法院提起诉讼。</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法律适用</w:t>
      </w:r>
    </w:p>
    <w:p>
      <w:pPr>
        <w:spacing w:line="500" w:lineRule="exact"/>
        <w:ind w:firstLine="432" w:firstLineChars="206"/>
        <w:rPr>
          <w:rFonts w:hint="eastAsia"/>
          <w:color w:val="auto"/>
          <w:highlight w:val="none"/>
        </w:rPr>
      </w:pPr>
      <w:r>
        <w:rPr>
          <w:rFonts w:hint="eastAsia" w:ascii="宋体" w:hAnsi="宋体" w:cs="仿宋"/>
          <w:color w:val="auto"/>
          <w:szCs w:val="21"/>
          <w:highlight w:val="none"/>
        </w:rPr>
        <w:t>本</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的订立、效力、解释、履行和争议的解决均适用中华人民共和国法律法规。</w:t>
      </w:r>
    </w:p>
    <w:p>
      <w:pPr>
        <w:pStyle w:val="2"/>
        <w:numPr>
          <w:ilvl w:val="0"/>
          <w:numId w:val="20"/>
        </w:numPr>
        <w:spacing w:after="0" w:line="360" w:lineRule="auto"/>
        <w:ind w:left="228" w:leftChars="0" w:firstLine="40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其他条款</w:t>
      </w:r>
    </w:p>
    <w:p>
      <w:pPr>
        <w:numPr>
          <w:ilvl w:val="0"/>
          <w:numId w:val="36"/>
        </w:numPr>
        <w:snapToGrid w:val="0"/>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本合同经双方代表人签字并加盖单位公章之日起生效，并在双方履行完成约定事项后终止</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本合同载明的联系方式（包括地址、联系人、电话）为双方约定的联系方式，若有变动，应提前书面告知对方，否则该联系方式为双方法定的送达和联系方式，一经发送至上述地址即视为送达</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投标文件中响应及承诺的内容作为本合同不可分割的组成部分，与合同条款具有同等效力；当本合同条款与上述文件内容不一致时，以其中较为严格的要求为准</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本合同未尽事宜，经双方协商另行签订补充协议，本合同的附件及任何补充协议与本合同具有同等法律效力</w:t>
      </w:r>
      <w:r>
        <w:rPr>
          <w:rFonts w:hint="eastAsia" w:ascii="宋体" w:hAnsi="宋体" w:cs="宋体"/>
          <w:color w:val="auto"/>
          <w:szCs w:val="21"/>
          <w:highlight w:val="none"/>
          <w:lang w:eastAsia="zh-CN"/>
        </w:rPr>
        <w:t>；</w:t>
      </w:r>
    </w:p>
    <w:p>
      <w:pPr>
        <w:numPr>
          <w:ilvl w:val="0"/>
          <w:numId w:val="36"/>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本合同一式陆份，甲方执肆份，乙方执贰份，具有同等法律效力。</w:t>
      </w:r>
    </w:p>
    <w:p>
      <w:pPr>
        <w:pStyle w:val="13"/>
        <w:rPr>
          <w:rFonts w:hint="eastAsia" w:eastAsia="宋体"/>
          <w:color w:val="auto"/>
          <w:highlight w:val="none"/>
          <w:lang w:val="en-US" w:eastAsia="zh-CN"/>
        </w:rPr>
      </w:pPr>
      <w:r>
        <w:rPr>
          <w:rFonts w:hint="eastAsia" w:ascii="宋体" w:hAnsi="宋体" w:eastAsia="宋体" w:cs="宋体"/>
          <w:color w:val="auto"/>
          <w:spacing w:val="0"/>
          <w:kern w:val="2"/>
          <w:sz w:val="21"/>
          <w:szCs w:val="21"/>
          <w:highlight w:val="none"/>
        </w:rPr>
        <w:t>（以下无正文，为合同签章页）</w:t>
      </w:r>
    </w:p>
    <w:p>
      <w:pPr>
        <w:pStyle w:val="2"/>
        <w:spacing w:line="360" w:lineRule="auto"/>
        <w:rPr>
          <w:rFonts w:hint="eastAsia" w:ascii="宋体" w:hAnsi="宋体" w:eastAsia="宋体" w:cs="宋体"/>
          <w:b/>
          <w:bCs/>
          <w:color w:val="auto"/>
          <w:sz w:val="21"/>
          <w:szCs w:val="21"/>
          <w:highlight w:val="none"/>
        </w:rPr>
      </w:pP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甲  方(盖章)： 深圳会展中心管理有限责任公司</w:t>
      </w: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56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日期：</w:t>
      </w:r>
      <w:r>
        <w:rPr>
          <w:rFonts w:hint="eastAsia" w:ascii="宋体" w:hAnsi="宋体" w:eastAsia="宋体" w:cs="宋体"/>
          <w:color w:val="auto"/>
          <w:szCs w:val="21"/>
          <w:highlight w:val="none"/>
        </w:rPr>
        <w:t xml:space="preserve">      年   月   日      </w:t>
      </w:r>
    </w:p>
    <w:p>
      <w:pPr>
        <w:spacing w:line="360" w:lineRule="auto"/>
        <w:ind w:firstLine="560"/>
        <w:rPr>
          <w:rFonts w:hint="eastAsia" w:ascii="宋体" w:hAnsi="宋体" w:eastAsia="宋体" w:cs="宋体"/>
          <w:color w:val="auto"/>
          <w:szCs w:val="21"/>
          <w:highlight w:val="none"/>
        </w:rPr>
      </w:pPr>
    </w:p>
    <w:p>
      <w:pPr>
        <w:spacing w:line="360" w:lineRule="auto"/>
        <w:ind w:firstLine="56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  方（盖章）：  </w:t>
      </w: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法定代表人/授权代表（签名)：</w:t>
      </w:r>
      <w:r>
        <w:rPr>
          <w:rFonts w:hint="eastAsia" w:ascii="宋体" w:hAnsi="宋体" w:eastAsia="宋体" w:cs="宋体"/>
          <w:color w:val="auto"/>
          <w:szCs w:val="21"/>
          <w:highlight w:val="none"/>
          <w:u w:val="single"/>
        </w:rPr>
        <w:t xml:space="preserve">                  </w:t>
      </w:r>
    </w:p>
    <w:p>
      <w:pPr>
        <w:spacing w:line="360" w:lineRule="auto"/>
        <w:ind w:firstLine="562"/>
        <w:rPr>
          <w:rFonts w:ascii="宋体" w:hAnsi="宋体" w:cs="仿宋"/>
          <w:bCs/>
          <w:color w:val="auto"/>
          <w:szCs w:val="21"/>
          <w:highlight w:val="none"/>
        </w:rPr>
      </w:pPr>
      <w:r>
        <w:rPr>
          <w:rFonts w:hint="eastAsia" w:ascii="宋体" w:hAnsi="宋体" w:eastAsia="宋体" w:cs="宋体"/>
          <w:b/>
          <w:bCs/>
          <w:color w:val="auto"/>
          <w:szCs w:val="21"/>
          <w:highlight w:val="none"/>
        </w:rPr>
        <w:t xml:space="preserve">日期：      </w:t>
      </w:r>
      <w:r>
        <w:rPr>
          <w:rFonts w:hint="eastAsia" w:ascii="宋体" w:hAnsi="宋体" w:eastAsia="宋体" w:cs="宋体"/>
          <w:color w:val="auto"/>
          <w:szCs w:val="21"/>
          <w:highlight w:val="none"/>
        </w:rPr>
        <w:t>年   月   日</w:t>
      </w:r>
      <w:r>
        <w:rPr>
          <w:rFonts w:hint="eastAsia" w:ascii="宋体" w:hAnsi="宋体" w:eastAsia="宋体" w:cs="宋体"/>
          <w:b/>
          <w:bCs/>
          <w:color w:val="auto"/>
          <w:szCs w:val="21"/>
          <w:highlight w:val="none"/>
        </w:rPr>
        <w:t xml:space="preserve">       </w:t>
      </w:r>
    </w:p>
    <w:p>
      <w:pPr>
        <w:spacing w:line="360" w:lineRule="auto"/>
        <w:ind w:firstLine="56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spacing w:before="312" w:beforeLines="100" w:after="312" w:afterLines="100" w:line="360" w:lineRule="auto"/>
        <w:jc w:val="center"/>
        <w:outlineLvl w:val="0"/>
        <w:rPr>
          <w:rFonts w:hint="eastAsia" w:ascii="宋体" w:hAnsi="宋体" w:eastAsia="宋体" w:cs="宋体"/>
          <w:color w:val="auto"/>
          <w:sz w:val="32"/>
          <w:szCs w:val="32"/>
          <w:highlight w:val="none"/>
        </w:rPr>
      </w:pPr>
      <w:bookmarkStart w:id="64" w:name="_Toc22682"/>
      <w:r>
        <w:rPr>
          <w:rFonts w:hint="eastAsia" w:ascii="宋体" w:hAnsi="宋体" w:eastAsia="宋体" w:cs="宋体"/>
          <w:b/>
          <w:color w:val="auto"/>
          <w:sz w:val="32"/>
          <w:szCs w:val="32"/>
          <w:highlight w:val="none"/>
        </w:rPr>
        <w:t>第五部分：参考附件</w:t>
      </w:r>
      <w:bookmarkEnd w:id="64"/>
    </w:p>
    <w:p>
      <w:pPr>
        <w:spacing w:line="0" w:lineRule="atLeast"/>
        <w:outlineLvl w:val="1"/>
        <w:rPr>
          <w:rFonts w:hint="eastAsia" w:ascii="宋体" w:hAnsi="宋体" w:eastAsia="宋体" w:cs="宋体"/>
          <w:color w:val="auto"/>
          <w:highlight w:val="none"/>
        </w:rPr>
      </w:pPr>
      <w:bookmarkStart w:id="65" w:name="_Toc1604"/>
      <w:r>
        <w:rPr>
          <w:rFonts w:hint="eastAsia" w:ascii="宋体" w:hAnsi="宋体" w:eastAsia="宋体" w:cs="宋体"/>
          <w:color w:val="auto"/>
          <w:szCs w:val="21"/>
          <w:highlight w:val="none"/>
        </w:rPr>
        <w:t>附件1：</w:t>
      </w:r>
      <w:r>
        <w:rPr>
          <w:rFonts w:hint="eastAsia" w:ascii="宋体" w:hAnsi="宋体" w:eastAsia="宋体" w:cs="宋体"/>
          <w:color w:val="auto"/>
          <w:highlight w:val="none"/>
        </w:rPr>
        <w:t>报名回函</w:t>
      </w:r>
      <w:bookmarkEnd w:id="65"/>
    </w:p>
    <w:p>
      <w:pPr>
        <w:pStyle w:val="13"/>
        <w:rPr>
          <w:rFonts w:hint="eastAsia" w:ascii="宋体" w:hAnsi="宋体" w:eastAsia="宋体" w:cs="宋体"/>
          <w:color w:val="auto"/>
          <w:highlight w:val="none"/>
        </w:rPr>
      </w:pPr>
    </w:p>
    <w:p>
      <w:pPr>
        <w:pStyle w:val="14"/>
        <w:jc w:val="center"/>
        <w:rPr>
          <w:rStyle w:val="20"/>
          <w:rFonts w:hint="eastAsia" w:ascii="宋体" w:hAnsi="宋体" w:eastAsia="宋体" w:cs="宋体"/>
          <w:color w:val="auto"/>
          <w:sz w:val="32"/>
          <w:szCs w:val="32"/>
          <w:highlight w:val="none"/>
          <w:u w:val="single"/>
        </w:rPr>
      </w:pPr>
      <w:r>
        <w:rPr>
          <w:rStyle w:val="20"/>
          <w:rFonts w:hint="eastAsia" w:ascii="宋体" w:hAnsi="宋体" w:eastAsia="宋体" w:cs="宋体"/>
          <w:color w:val="auto"/>
          <w:sz w:val="32"/>
          <w:szCs w:val="32"/>
          <w:highlight w:val="none"/>
        </w:rPr>
        <w:t>关于确认参加</w:t>
      </w:r>
      <w:r>
        <w:rPr>
          <w:rStyle w:val="20"/>
          <w:rFonts w:hint="eastAsia" w:cs="宋体"/>
          <w:color w:val="auto"/>
          <w:sz w:val="32"/>
          <w:szCs w:val="32"/>
          <w:highlight w:val="none"/>
          <w:u w:val="single"/>
          <w:lang w:val="en-US" w:eastAsia="zh-CN"/>
        </w:rPr>
        <w:t xml:space="preserve"> </w:t>
      </w:r>
      <w:r>
        <w:rPr>
          <w:rStyle w:val="20"/>
          <w:rFonts w:hint="eastAsia" w:ascii="宋体" w:hAnsi="宋体" w:eastAsia="宋体" w:cs="宋体"/>
          <w:color w:val="auto"/>
          <w:sz w:val="32"/>
          <w:szCs w:val="32"/>
          <w:highlight w:val="none"/>
          <w:u w:val="single"/>
        </w:rPr>
        <w:t>深圳会展中心第二十</w:t>
      </w:r>
      <w:r>
        <w:rPr>
          <w:rStyle w:val="20"/>
          <w:rFonts w:hint="eastAsia" w:ascii="宋体" w:hAnsi="宋体" w:eastAsia="宋体" w:cs="宋体"/>
          <w:color w:val="auto"/>
          <w:sz w:val="32"/>
          <w:szCs w:val="32"/>
          <w:highlight w:val="none"/>
          <w:u w:val="single"/>
          <w:lang w:val="en-US" w:eastAsia="zh-CN"/>
        </w:rPr>
        <w:t>五</w:t>
      </w:r>
      <w:r>
        <w:rPr>
          <w:rStyle w:val="20"/>
          <w:rFonts w:hint="eastAsia" w:ascii="宋体" w:hAnsi="宋体" w:eastAsia="宋体" w:cs="宋体"/>
          <w:color w:val="auto"/>
          <w:sz w:val="32"/>
          <w:szCs w:val="32"/>
          <w:highlight w:val="none"/>
          <w:u w:val="single"/>
        </w:rPr>
        <w:t>届高交会</w:t>
      </w:r>
    </w:p>
    <w:p>
      <w:pPr>
        <w:pStyle w:val="14"/>
        <w:jc w:val="center"/>
        <w:rPr>
          <w:rFonts w:hint="eastAsia" w:ascii="宋体" w:hAnsi="宋体" w:eastAsia="宋体" w:cs="宋体"/>
          <w:color w:val="auto"/>
          <w:sz w:val="32"/>
          <w:szCs w:val="32"/>
          <w:highlight w:val="none"/>
        </w:rPr>
      </w:pPr>
      <w:r>
        <w:rPr>
          <w:rStyle w:val="20"/>
          <w:rFonts w:hint="eastAsia" w:ascii="宋体" w:hAnsi="宋体" w:eastAsia="宋体" w:cs="宋体"/>
          <w:color w:val="auto"/>
          <w:sz w:val="32"/>
          <w:szCs w:val="32"/>
          <w:highlight w:val="none"/>
          <w:u w:val="single"/>
          <w:lang w:val="en-US" w:eastAsia="zh-CN"/>
        </w:rPr>
        <w:t>IT展数字经济和智能终端领域</w:t>
      </w:r>
      <w:r>
        <w:rPr>
          <w:rStyle w:val="20"/>
          <w:rFonts w:hint="eastAsia" w:ascii="宋体" w:hAnsi="宋体" w:eastAsia="宋体" w:cs="宋体"/>
          <w:color w:val="auto"/>
          <w:sz w:val="32"/>
          <w:szCs w:val="32"/>
          <w:highlight w:val="none"/>
          <w:u w:val="single"/>
          <w:lang w:eastAsia="zh-CN"/>
        </w:rPr>
        <w:t>行业垂直媒体</w:t>
      </w:r>
      <w:r>
        <w:rPr>
          <w:rStyle w:val="20"/>
          <w:rFonts w:hint="eastAsia" w:ascii="宋体" w:hAnsi="宋体" w:eastAsia="宋体" w:cs="宋体"/>
          <w:color w:val="auto"/>
          <w:sz w:val="32"/>
          <w:szCs w:val="32"/>
          <w:highlight w:val="none"/>
          <w:u w:val="single"/>
        </w:rPr>
        <w:t>宣传采购</w:t>
      </w:r>
      <w:r>
        <w:rPr>
          <w:rStyle w:val="20"/>
          <w:rFonts w:hint="eastAsia" w:cs="宋体"/>
          <w:color w:val="auto"/>
          <w:sz w:val="32"/>
          <w:szCs w:val="32"/>
          <w:highlight w:val="none"/>
          <w:u w:val="single"/>
          <w:lang w:val="en-US" w:eastAsia="zh-CN"/>
        </w:rPr>
        <w:t xml:space="preserve"> </w:t>
      </w:r>
      <w:r>
        <w:rPr>
          <w:rStyle w:val="20"/>
          <w:rFonts w:hint="eastAsia" w:ascii="宋体" w:hAnsi="宋体" w:eastAsia="宋体" w:cs="宋体"/>
          <w:color w:val="auto"/>
          <w:sz w:val="32"/>
          <w:szCs w:val="32"/>
          <w:highlight w:val="none"/>
        </w:rPr>
        <w:t>项目投标的回函</w:t>
      </w:r>
    </w:p>
    <w:p>
      <w:pPr>
        <w:pStyle w:val="14"/>
        <w:rPr>
          <w:rFonts w:hint="eastAsia" w:ascii="宋体" w:hAnsi="宋体" w:eastAsia="宋体" w:cs="宋体"/>
          <w:color w:val="auto"/>
          <w:sz w:val="18"/>
          <w:szCs w:val="18"/>
          <w:highlight w:val="none"/>
        </w:rPr>
      </w:pPr>
    </w:p>
    <w:p>
      <w:pPr>
        <w:pStyle w:val="14"/>
        <w:rPr>
          <w:rFonts w:hint="eastAsia" w:ascii="宋体" w:hAnsi="宋体" w:eastAsia="宋体" w:cs="宋体"/>
          <w:color w:val="auto"/>
          <w:sz w:val="18"/>
          <w:szCs w:val="18"/>
          <w:highlight w:val="none"/>
        </w:rPr>
      </w:pPr>
    </w:p>
    <w:p>
      <w:pPr>
        <w:pStyle w:val="14"/>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深圳会展中心管理有限责任公司：</w:t>
      </w:r>
    </w:p>
    <w:p>
      <w:pPr>
        <w:pStyle w:val="14"/>
        <w:spacing w:after="240"/>
        <w:ind w:firstLine="616" w:firstLineChars="220"/>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我公司符合</w:t>
      </w:r>
      <w:r>
        <w:rPr>
          <w:rFonts w:hint="eastAsia" w:cs="宋体"/>
          <w:bCs/>
          <w:color w:val="auto"/>
          <w:kern w:val="2"/>
          <w:sz w:val="28"/>
          <w:szCs w:val="28"/>
          <w:highlight w:val="none"/>
          <w:u w:val="single"/>
          <w:lang w:val="en-US" w:eastAsia="zh-CN"/>
        </w:rPr>
        <w:t xml:space="preserve"> </w:t>
      </w:r>
      <w:r>
        <w:rPr>
          <w:rFonts w:hint="eastAsia" w:ascii="仿宋" w:hAnsi="仿宋" w:eastAsia="仿宋" w:cs="Times New Roman"/>
          <w:bCs/>
          <w:color w:val="auto"/>
          <w:kern w:val="2"/>
          <w:sz w:val="28"/>
          <w:szCs w:val="28"/>
          <w:highlight w:val="none"/>
          <w:u w:val="single"/>
        </w:rPr>
        <w:t>深圳会展中心第二十</w:t>
      </w:r>
      <w:r>
        <w:rPr>
          <w:rFonts w:hint="eastAsia" w:ascii="仿宋" w:hAnsi="仿宋" w:eastAsia="仿宋" w:cs="Times New Roman"/>
          <w:bCs/>
          <w:color w:val="auto"/>
          <w:kern w:val="2"/>
          <w:sz w:val="28"/>
          <w:szCs w:val="28"/>
          <w:highlight w:val="none"/>
          <w:u w:val="single"/>
          <w:lang w:val="en-US" w:eastAsia="zh-CN"/>
        </w:rPr>
        <w:t>五</w:t>
      </w:r>
      <w:r>
        <w:rPr>
          <w:rFonts w:hint="eastAsia" w:ascii="仿宋" w:hAnsi="仿宋" w:eastAsia="仿宋" w:cs="Times New Roman"/>
          <w:bCs/>
          <w:color w:val="auto"/>
          <w:kern w:val="2"/>
          <w:sz w:val="28"/>
          <w:szCs w:val="28"/>
          <w:highlight w:val="none"/>
          <w:u w:val="single"/>
        </w:rPr>
        <w:t>届高交会</w:t>
      </w:r>
      <w:r>
        <w:rPr>
          <w:rFonts w:hint="eastAsia" w:ascii="仿宋" w:hAnsi="仿宋" w:eastAsia="仿宋" w:cs="Times New Roman"/>
          <w:bCs/>
          <w:color w:val="auto"/>
          <w:kern w:val="2"/>
          <w:sz w:val="28"/>
          <w:szCs w:val="28"/>
          <w:highlight w:val="none"/>
          <w:u w:val="single"/>
          <w:lang w:val="en-US" w:eastAsia="zh-CN"/>
        </w:rPr>
        <w:t>IT展数字经济和智能终端领域</w:t>
      </w:r>
      <w:r>
        <w:rPr>
          <w:rFonts w:hint="eastAsia" w:ascii="仿宋" w:hAnsi="仿宋" w:eastAsia="仿宋" w:cs="Times New Roman"/>
          <w:bCs/>
          <w:color w:val="auto"/>
          <w:kern w:val="2"/>
          <w:sz w:val="28"/>
          <w:szCs w:val="28"/>
          <w:highlight w:val="none"/>
          <w:u w:val="single"/>
          <w:lang w:eastAsia="zh-CN"/>
        </w:rPr>
        <w:t>行业垂直媒体</w:t>
      </w:r>
      <w:r>
        <w:rPr>
          <w:rFonts w:hint="eastAsia" w:ascii="仿宋" w:hAnsi="仿宋" w:eastAsia="仿宋" w:cs="Times New Roman"/>
          <w:bCs/>
          <w:color w:val="auto"/>
          <w:kern w:val="2"/>
          <w:sz w:val="28"/>
          <w:szCs w:val="28"/>
          <w:highlight w:val="none"/>
          <w:u w:val="single"/>
        </w:rPr>
        <w:t>宣传采购</w:t>
      </w:r>
      <w:r>
        <w:rPr>
          <w:rFonts w:hint="eastAsia" w:ascii="仿宋" w:hAnsi="仿宋" w:eastAsia="仿宋" w:cs="Times New Roman"/>
          <w:bCs/>
          <w:color w:val="auto"/>
          <w:kern w:val="2"/>
          <w:sz w:val="28"/>
          <w:szCs w:val="28"/>
          <w:highlight w:val="none"/>
          <w:u w:val="single"/>
          <w:lang w:val="en-US" w:eastAsia="zh-CN"/>
        </w:rPr>
        <w:t xml:space="preserve"> </w:t>
      </w:r>
      <w:r>
        <w:rPr>
          <w:rFonts w:hint="eastAsia" w:ascii="宋体" w:hAnsi="宋体" w:eastAsia="宋体" w:cs="宋体"/>
          <w:b/>
          <w:color w:val="auto"/>
          <w:kern w:val="2"/>
          <w:sz w:val="28"/>
          <w:szCs w:val="28"/>
          <w:highlight w:val="none"/>
        </w:rPr>
        <w:t>项目</w:t>
      </w:r>
      <w:r>
        <w:rPr>
          <w:rFonts w:hint="eastAsia" w:ascii="宋体" w:hAnsi="宋体" w:eastAsia="宋体" w:cs="宋体"/>
          <w:bCs/>
          <w:color w:val="auto"/>
          <w:kern w:val="2"/>
          <w:sz w:val="28"/>
          <w:szCs w:val="28"/>
          <w:highlight w:val="none"/>
        </w:rPr>
        <w:t>的资质条件及项目要求，确定按时、按要求提交本项目投标文件。</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bCs/>
          <w:color w:val="auto"/>
          <w:highlight w:val="none"/>
        </w:rPr>
        <w:t>必须为本项目的授权代表</w:t>
      </w:r>
      <w:r>
        <w:rPr>
          <w:rFonts w:hint="eastAsia" w:ascii="宋体" w:hAnsi="宋体" w:eastAsia="宋体" w:cs="宋体"/>
          <w:color w:val="auto"/>
          <w:highlight w:val="none"/>
        </w:rPr>
        <w:t>）</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手机号码：</w:t>
      </w:r>
      <w:r>
        <w:rPr>
          <w:rFonts w:hint="eastAsia" w:ascii="宋体" w:hAnsi="宋体" w:eastAsia="宋体" w:cs="宋体"/>
          <w:color w:val="auto"/>
          <w:sz w:val="28"/>
          <w:szCs w:val="28"/>
          <w:highlight w:val="none"/>
          <w:u w:val="single"/>
        </w:rPr>
        <w:t xml:space="preserve">                </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办公电话：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color w:val="auto"/>
          <w:highlight w:val="none"/>
        </w:rPr>
        <w:t>固定电话</w:t>
      </w:r>
      <w:r>
        <w:rPr>
          <w:rFonts w:hint="eastAsia" w:ascii="宋体" w:hAnsi="宋体" w:eastAsia="宋体" w:cs="宋体"/>
          <w:color w:val="auto"/>
          <w:highlight w:val="none"/>
        </w:rPr>
        <w:t>）</w:t>
      </w:r>
    </w:p>
    <w:p>
      <w:pPr>
        <w:pStyle w:val="14"/>
        <w:spacing w:after="240"/>
        <w:ind w:firstLine="616" w:firstLineChars="2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bCs/>
          <w:color w:val="auto"/>
          <w:highlight w:val="none"/>
        </w:rPr>
        <w:t>所有往来文件需通过此邮箱收发</w:t>
      </w:r>
      <w:r>
        <w:rPr>
          <w:rFonts w:hint="eastAsia" w:ascii="宋体" w:hAnsi="宋体" w:eastAsia="宋体" w:cs="宋体"/>
          <w:color w:val="auto"/>
          <w:highlight w:val="none"/>
        </w:rPr>
        <w:t>）</w:t>
      </w:r>
    </w:p>
    <w:p>
      <w:pPr>
        <w:pStyle w:val="14"/>
        <w:spacing w:after="240"/>
        <w:ind w:firstLine="616" w:firstLineChars="220"/>
        <w:rPr>
          <w:rFonts w:hint="eastAsia" w:ascii="宋体" w:hAnsi="宋体" w:eastAsia="宋体" w:cs="宋体"/>
          <w:color w:val="auto"/>
          <w:sz w:val="28"/>
          <w:szCs w:val="28"/>
          <w:highlight w:val="none"/>
        </w:rPr>
      </w:pPr>
    </w:p>
    <w:p>
      <w:pPr>
        <w:pStyle w:val="14"/>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_________________________</w:t>
      </w:r>
    </w:p>
    <w:p>
      <w:pPr>
        <w:pStyle w:val="13"/>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________</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__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__ </w:t>
      </w:r>
      <w:r>
        <w:rPr>
          <w:rFonts w:hint="eastAsia" w:ascii="宋体" w:hAnsi="宋体" w:eastAsia="宋体" w:cs="宋体"/>
          <w:color w:val="auto"/>
          <w:sz w:val="28"/>
          <w:szCs w:val="28"/>
          <w:highlight w:val="none"/>
        </w:rPr>
        <w:t>日</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注：1.本件电子档及盖章后的扫描件按要求上传至指定地址；</w:t>
      </w:r>
    </w:p>
    <w:p>
      <w:pPr>
        <w:pStyle w:val="8"/>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2.上述内容均为必填项，必须按要求如实、完整填报，印章清晰；否则，报名无效。</w:t>
      </w:r>
    </w:p>
    <w:p>
      <w:pPr>
        <w:pStyle w:val="8"/>
        <w:rPr>
          <w:rFonts w:hint="eastAsia" w:ascii="宋体" w:hAnsi="宋体" w:eastAsia="宋体" w:cs="宋体"/>
          <w:b/>
          <w:color w:val="auto"/>
          <w:sz w:val="21"/>
          <w:szCs w:val="21"/>
          <w:highlight w:val="none"/>
        </w:rPr>
      </w:pPr>
    </w:p>
    <w:p>
      <w:pPr>
        <w:spacing w:line="0" w:lineRule="atLeast"/>
        <w:outlineLvl w:val="1"/>
        <w:rPr>
          <w:rFonts w:hint="eastAsia" w:ascii="宋体" w:hAnsi="宋体" w:eastAsia="宋体" w:cs="宋体"/>
          <w:color w:val="auto"/>
          <w:szCs w:val="21"/>
          <w:highlight w:val="none"/>
        </w:rPr>
      </w:pPr>
      <w:bookmarkStart w:id="66" w:name="_Toc19143"/>
      <w:r>
        <w:rPr>
          <w:rFonts w:hint="eastAsia" w:ascii="宋体" w:hAnsi="宋体" w:eastAsia="宋体" w:cs="宋体"/>
          <w:color w:val="auto"/>
          <w:szCs w:val="21"/>
          <w:highlight w:val="none"/>
        </w:rPr>
        <w:t>附件2：投标函</w:t>
      </w:r>
      <w:bookmarkEnd w:id="66"/>
    </w:p>
    <w:p>
      <w:pPr>
        <w:autoSpaceDE w:val="0"/>
        <w:autoSpaceDN w:val="0"/>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pPr>
        <w:autoSpaceDE w:val="0"/>
        <w:autoSpaceDN w:val="0"/>
        <w:adjustRightInd w:val="0"/>
        <w:snapToGrid w:val="0"/>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（招标人名称) </w:t>
      </w:r>
    </w:p>
    <w:p>
      <w:pPr>
        <w:autoSpaceDE w:val="0"/>
        <w:autoSpaceDN w:val="0"/>
        <w:adjustRightInd w:val="0"/>
        <w:snapToGrid w:val="0"/>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1、在研究了你方提供的招标文件及澄清或修改文件后，我方愿意按投标报价一览表投标总价投标、服务期和服务要求提供服务，并履行招标文件及合同协议书中的责任和义务。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本投标有效期为投标截止日起</w:t>
      </w:r>
      <w:r>
        <w:rPr>
          <w:rFonts w:hint="eastAsia" w:ascii="宋体" w:hAnsi="宋体" w:eastAsia="宋体" w:cs="宋体"/>
          <w:bCs/>
          <w:color w:val="auto"/>
          <w:sz w:val="24"/>
          <w:highlight w:val="none"/>
          <w:u w:val="single"/>
        </w:rPr>
        <w:t xml:space="preserve"> 120 </w:t>
      </w:r>
      <w:r>
        <w:rPr>
          <w:rFonts w:hint="eastAsia" w:ascii="宋体" w:hAnsi="宋体" w:eastAsia="宋体" w:cs="宋体"/>
          <w:bCs/>
          <w:color w:val="auto"/>
          <w:sz w:val="24"/>
          <w:highlight w:val="none"/>
        </w:rPr>
        <w:t>日历日，我方保证在</w:t>
      </w:r>
      <w:r>
        <w:rPr>
          <w:rFonts w:hint="eastAsia" w:ascii="宋体" w:hAnsi="宋体" w:eastAsia="宋体" w:cs="宋体"/>
          <w:color w:val="auto"/>
          <w:sz w:val="24"/>
          <w:highlight w:val="none"/>
        </w:rPr>
        <w:t>投标有效期内严格遵守本投标函的各项承诺。在此期限届满之前，本投标函将对我方具有约束力，并随时接受中标</w:t>
      </w:r>
      <w:r>
        <w:rPr>
          <w:rFonts w:hint="eastAsia" w:ascii="宋体" w:hAnsi="宋体" w:eastAsia="宋体" w:cs="宋体"/>
          <w:bCs/>
          <w:color w:val="auto"/>
          <w:sz w:val="24"/>
          <w:highlight w:val="none"/>
        </w:rPr>
        <w:t>。</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4、我方同意按照你方的要求提供与本投标有关的一切数据或资料，完全理解你方不一定要接受最低价的投标或收到的任何投标。</w:t>
      </w:r>
      <w:r>
        <w:rPr>
          <w:rFonts w:hint="eastAsia" w:ascii="宋体" w:hAnsi="宋体" w:eastAsia="宋体" w:cs="宋体"/>
          <w:color w:val="auto"/>
          <w:sz w:val="24"/>
          <w:highlight w:val="none"/>
        </w:rPr>
        <w:t>同时也理解，你方不负担我方的任何投标费用。</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rPr>
        <w:t>在合同协议书正式签署生效之前，本投标函连同你方发出的中标通知书，将构成你我双方共同遵守的文件，对双方具有约束力。</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7、随同本投标函，我方缴纳符合招标文件要求的投标保证金（如有）。如果我方存在以下任何一种行为时，你方有权不予退还投标保证金，取消我方中标资格，另选中标单位</w:t>
      </w:r>
      <w:r>
        <w:rPr>
          <w:rFonts w:hint="eastAsia" w:ascii="宋体" w:hAnsi="宋体" w:eastAsia="宋体" w:cs="宋体"/>
          <w:color w:val="auto"/>
          <w:sz w:val="24"/>
          <w:highlight w:val="none"/>
        </w:rPr>
        <w:t>，给你方造成的损失超过我方投标保证金的，你方还有权要求我方对超过部分进行赔偿</w:t>
      </w:r>
      <w:r>
        <w:rPr>
          <w:rFonts w:hint="eastAsia" w:ascii="宋体" w:hAnsi="宋体" w:eastAsia="宋体" w:cs="宋体"/>
          <w:bCs/>
          <w:color w:val="auto"/>
          <w:sz w:val="24"/>
          <w:highlight w:val="none"/>
        </w:rPr>
        <w:t>：</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（1）投标截止时间后，我方在投标有效期内撤回或修改投标文件；或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我方在接到中标通知书后放弃中标</w:t>
      </w:r>
      <w:r>
        <w:rPr>
          <w:rFonts w:hint="eastAsia" w:ascii="宋体" w:hAnsi="宋体" w:eastAsia="宋体" w:cs="宋体"/>
          <w:bCs/>
          <w:color w:val="auto"/>
          <w:sz w:val="24"/>
          <w:highlight w:val="none"/>
        </w:rPr>
        <w:t>；或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（3）我方自中标通知书发出之日起</w:t>
      </w:r>
      <w:r>
        <w:rPr>
          <w:rFonts w:hint="eastAsia" w:ascii="宋体" w:hAnsi="宋体" w:eastAsia="宋体" w:cs="宋体"/>
          <w:bCs/>
          <w:color w:val="auto"/>
          <w:sz w:val="24"/>
          <w:highlight w:val="none"/>
          <w:u w:val="single"/>
        </w:rPr>
        <w:t xml:space="preserve"> 30 </w:t>
      </w:r>
      <w:r>
        <w:rPr>
          <w:rFonts w:hint="eastAsia" w:ascii="宋体" w:hAnsi="宋体" w:eastAsia="宋体" w:cs="宋体"/>
          <w:bCs/>
          <w:color w:val="auto"/>
          <w:sz w:val="24"/>
          <w:highlight w:val="none"/>
        </w:rPr>
        <w:t>天内拒绝按照你方指定的时间和地点签订合同及附件；或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（4）我方未能按招标文件要求提交足额履约担保；或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（6）我方资质证书被暂扣或吊销，但仍参与投标的；或</w:t>
      </w:r>
    </w:p>
    <w:p>
      <w:pPr>
        <w:autoSpaceDE w:val="0"/>
        <w:autoSpaceDN w:val="0"/>
        <w:adjustRightInd w:val="0"/>
        <w:snapToGrid w:val="0"/>
        <w:spacing w:line="340" w:lineRule="exact"/>
        <w:ind w:firstLine="240" w:firstLineChars="1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8、与本投标有关的一切正式往来通讯请发往：</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法定代表人或其授权委托人（签字或盖章）：</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投标人名称及盖章：</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autoSpaceDE w:val="0"/>
        <w:autoSpaceDN w:val="0"/>
        <w:adjustRightInd w:val="0"/>
        <w:snapToGrid w:val="0"/>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br w:type="page"/>
      </w:r>
    </w:p>
    <w:p>
      <w:pPr>
        <w:spacing w:line="0" w:lineRule="atLeast"/>
        <w:outlineLvl w:val="1"/>
        <w:rPr>
          <w:rFonts w:hint="eastAsia" w:ascii="宋体" w:hAnsi="宋体" w:eastAsia="宋体" w:cs="宋体"/>
          <w:color w:val="auto"/>
          <w:szCs w:val="21"/>
          <w:highlight w:val="none"/>
        </w:rPr>
      </w:pPr>
      <w:bookmarkStart w:id="67" w:name="_Toc17385"/>
      <w:r>
        <w:rPr>
          <w:rFonts w:hint="eastAsia" w:ascii="宋体" w:hAnsi="宋体" w:eastAsia="宋体" w:cs="宋体"/>
          <w:color w:val="auto"/>
          <w:szCs w:val="21"/>
          <w:highlight w:val="none"/>
        </w:rPr>
        <w:t>附件3：投标一览表</w:t>
      </w:r>
      <w:bookmarkEnd w:id="67"/>
    </w:p>
    <w:p>
      <w:pPr>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单位：人民币元</w:t>
      </w:r>
    </w:p>
    <w:p>
      <w:pPr>
        <w:pStyle w:val="2"/>
        <w:spacing w:after="0" w:line="240" w:lineRule="auto"/>
        <w:ind w:left="-2" w:leftChars="-1" w:firstLine="2" w:firstLineChars="1"/>
        <w:jc w:val="left"/>
        <w:rPr>
          <w:rFonts w:hint="eastAsia" w:ascii="宋体" w:hAnsi="宋体" w:eastAsia="宋体" w:cs="宋体"/>
          <w:color w:val="auto"/>
          <w:sz w:val="21"/>
          <w:szCs w:val="21"/>
          <w:highlight w:val="none"/>
        </w:rPr>
      </w:pPr>
      <w:bookmarkStart w:id="68" w:name="_Hlk116547280"/>
      <w:r>
        <w:rPr>
          <w:rFonts w:hint="eastAsia" w:ascii="宋体" w:hAnsi="宋体" w:eastAsia="宋体" w:cs="宋体"/>
          <w:color w:val="auto"/>
          <w:sz w:val="21"/>
          <w:szCs w:val="21"/>
          <w:highlight w:val="none"/>
        </w:rPr>
        <w:t>发票类型：</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税前总金额</w:t>
            </w:r>
          </w:p>
          <w:p>
            <w:pPr>
              <w:pStyle w:val="2"/>
              <w:spacing w:after="0" w:line="30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（净价）</w:t>
            </w:r>
          </w:p>
        </w:tc>
        <w:tc>
          <w:tcPr>
            <w:tcW w:w="567"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税率</w:t>
            </w:r>
          </w:p>
        </w:tc>
        <w:tc>
          <w:tcPr>
            <w:tcW w:w="1134"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税额</w:t>
            </w:r>
          </w:p>
        </w:tc>
        <w:tc>
          <w:tcPr>
            <w:tcW w:w="1567"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含税总金额</w:t>
            </w:r>
          </w:p>
        </w:tc>
        <w:tc>
          <w:tcPr>
            <w:tcW w:w="1409"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工期/服务期（自然日）</w:t>
            </w:r>
          </w:p>
        </w:tc>
        <w:tc>
          <w:tcPr>
            <w:tcW w:w="1427"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1764"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hint="eastAsia" w:ascii="宋体" w:hAnsi="宋体" w:eastAsia="宋体" w:cs="宋体"/>
                <w:color w:val="auto"/>
                <w:szCs w:val="21"/>
                <w:highlight w:val="none"/>
              </w:rPr>
            </w:pPr>
          </w:p>
        </w:tc>
        <w:tc>
          <w:tcPr>
            <w:tcW w:w="567" w:type="dxa"/>
          </w:tcPr>
          <w:p>
            <w:pPr>
              <w:spacing w:line="360" w:lineRule="auto"/>
              <w:jc w:val="center"/>
              <w:rPr>
                <w:rFonts w:hint="eastAsia" w:ascii="宋体" w:hAnsi="宋体" w:eastAsia="宋体" w:cs="宋体"/>
                <w:color w:val="auto"/>
                <w:szCs w:val="21"/>
                <w:highlight w:val="none"/>
              </w:rPr>
            </w:pPr>
          </w:p>
        </w:tc>
        <w:tc>
          <w:tcPr>
            <w:tcW w:w="1134" w:type="dxa"/>
          </w:tcPr>
          <w:p>
            <w:pPr>
              <w:spacing w:line="360" w:lineRule="auto"/>
              <w:jc w:val="center"/>
              <w:rPr>
                <w:rFonts w:hint="eastAsia" w:ascii="宋体" w:hAnsi="宋体" w:eastAsia="宋体" w:cs="宋体"/>
                <w:color w:val="auto"/>
                <w:szCs w:val="21"/>
                <w:highlight w:val="none"/>
              </w:rPr>
            </w:pPr>
          </w:p>
        </w:tc>
        <w:tc>
          <w:tcPr>
            <w:tcW w:w="1567" w:type="dxa"/>
          </w:tcPr>
          <w:p>
            <w:pPr>
              <w:spacing w:line="360" w:lineRule="auto"/>
              <w:jc w:val="center"/>
              <w:rPr>
                <w:rFonts w:hint="eastAsia" w:ascii="宋体" w:hAnsi="宋体" w:eastAsia="宋体" w:cs="宋体"/>
                <w:color w:val="auto"/>
                <w:szCs w:val="21"/>
                <w:highlight w:val="none"/>
              </w:rPr>
            </w:pPr>
          </w:p>
        </w:tc>
        <w:tc>
          <w:tcPr>
            <w:tcW w:w="1409" w:type="dxa"/>
          </w:tcPr>
          <w:p>
            <w:pPr>
              <w:spacing w:line="360" w:lineRule="auto"/>
              <w:jc w:val="center"/>
              <w:rPr>
                <w:rFonts w:hint="eastAsia" w:ascii="宋体" w:hAnsi="宋体" w:eastAsia="宋体" w:cs="宋体"/>
                <w:color w:val="auto"/>
                <w:szCs w:val="21"/>
                <w:highlight w:val="none"/>
              </w:rPr>
            </w:pPr>
          </w:p>
        </w:tc>
        <w:tc>
          <w:tcPr>
            <w:tcW w:w="1427" w:type="dxa"/>
          </w:tcPr>
          <w:p>
            <w:pPr>
              <w:spacing w:line="360" w:lineRule="auto"/>
              <w:jc w:val="center"/>
              <w:rPr>
                <w:rFonts w:hint="eastAsia" w:ascii="宋体" w:hAnsi="宋体" w:eastAsia="宋体" w:cs="宋体"/>
                <w:color w:val="auto"/>
                <w:szCs w:val="21"/>
                <w:highlight w:val="none"/>
              </w:rPr>
            </w:pPr>
          </w:p>
        </w:tc>
        <w:tc>
          <w:tcPr>
            <w:tcW w:w="1764" w:type="dxa"/>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投标人备注：</w:t>
            </w:r>
          </w:p>
        </w:tc>
      </w:tr>
      <w:bookmarkEnd w:id="68"/>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说明：表中“安全管理员”项为选填项，根据具体项目要求填写。</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投标人名称及盖章：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日期：_______年____月___日</w:t>
      </w:r>
    </w:p>
    <w:p>
      <w:pPr>
        <w:widowControl/>
        <w:jc w:val="left"/>
        <w:rPr>
          <w:rFonts w:hint="eastAsia" w:ascii="宋体" w:hAnsi="宋体" w:eastAsia="宋体" w:cs="宋体"/>
          <w:color w:val="auto"/>
          <w:sz w:val="28"/>
          <w:szCs w:val="28"/>
          <w:highlight w:val="none"/>
        </w:rPr>
      </w:pPr>
    </w:p>
    <w:p>
      <w:pPr>
        <w:pStyle w:val="2"/>
        <w:ind w:left="0"/>
        <w:rPr>
          <w:rFonts w:hint="eastAsia" w:ascii="宋体" w:hAnsi="宋体" w:eastAsia="宋体" w:cs="宋体"/>
          <w:color w:val="auto"/>
          <w:szCs w:val="21"/>
          <w:highlight w:val="none"/>
        </w:rPr>
      </w:pPr>
    </w:p>
    <w:p>
      <w:pPr>
        <w:pStyle w:val="2"/>
        <w:ind w:left="0"/>
        <w:rPr>
          <w:rFonts w:hint="eastAsia" w:ascii="宋体" w:hAnsi="宋体" w:eastAsia="宋体" w:cs="宋体"/>
          <w:color w:val="auto"/>
          <w:szCs w:val="21"/>
          <w:highlight w:val="none"/>
        </w:rPr>
      </w:pPr>
    </w:p>
    <w:p>
      <w:pPr>
        <w:pStyle w:val="2"/>
        <w:ind w:left="0"/>
        <w:rPr>
          <w:rFonts w:hint="eastAsia" w:ascii="宋体" w:hAnsi="宋体" w:eastAsia="宋体" w:cs="宋体"/>
          <w:color w:val="auto"/>
          <w:szCs w:val="21"/>
          <w:highlight w:val="none"/>
        </w:rPr>
      </w:pPr>
    </w:p>
    <w:p>
      <w:pPr>
        <w:pStyle w:val="2"/>
        <w:ind w:left="0"/>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0" w:lineRule="atLeast"/>
        <w:outlineLvl w:val="1"/>
        <w:rPr>
          <w:rFonts w:hint="eastAsia" w:ascii="宋体" w:hAnsi="宋体" w:eastAsia="宋体" w:cs="宋体"/>
          <w:color w:val="auto"/>
          <w:szCs w:val="21"/>
          <w:highlight w:val="none"/>
          <w:lang w:eastAsia="zh-CN"/>
        </w:rPr>
      </w:pPr>
      <w:bookmarkStart w:id="69" w:name="_Toc14069"/>
      <w:r>
        <w:rPr>
          <w:rFonts w:hint="eastAsia" w:ascii="宋体" w:hAnsi="宋体" w:eastAsia="宋体" w:cs="宋体"/>
          <w:color w:val="auto"/>
          <w:szCs w:val="21"/>
          <w:highlight w:val="none"/>
        </w:rPr>
        <w:t>附件4：考察证明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本项目不适用</w:t>
      </w:r>
      <w:r>
        <w:rPr>
          <w:rFonts w:hint="eastAsia" w:ascii="宋体" w:hAnsi="宋体" w:cs="宋体"/>
          <w:color w:val="auto"/>
          <w:szCs w:val="21"/>
          <w:highlight w:val="none"/>
          <w:lang w:eastAsia="zh-CN"/>
        </w:rPr>
        <w:t>）</w:t>
      </w:r>
      <w:bookmarkEnd w:id="69"/>
    </w:p>
    <w:p>
      <w:pPr>
        <w:spacing w:line="0" w:lineRule="atLeast"/>
        <w:outlineLvl w:val="1"/>
        <w:rPr>
          <w:rFonts w:hint="eastAsia" w:ascii="宋体" w:hAnsi="宋体" w:eastAsia="宋体" w:cs="宋体"/>
          <w:color w:val="auto"/>
          <w:sz w:val="28"/>
          <w:szCs w:val="28"/>
          <w:highlight w:val="none"/>
        </w:rPr>
      </w:pPr>
    </w:p>
    <w:p>
      <w:pPr>
        <w:spacing w:line="0" w:lineRule="atLeast"/>
        <w:rPr>
          <w:rFonts w:hint="eastAsia" w:ascii="宋体" w:hAnsi="宋体" w:eastAsia="宋体" w:cs="宋体"/>
          <w:color w:val="auto"/>
          <w:sz w:val="24"/>
          <w:highlight w:val="none"/>
        </w:rPr>
      </w:pPr>
    </w:p>
    <w:p>
      <w:pPr>
        <w:spacing w:line="0" w:lineRule="atLeast"/>
        <w:jc w:val="left"/>
        <w:rPr>
          <w:rFonts w:hint="eastAsia" w:ascii="宋体" w:hAnsi="宋体" w:eastAsia="宋体" w:cs="宋体"/>
          <w:color w:val="auto"/>
          <w:kern w:val="0"/>
          <w:sz w:val="32"/>
          <w:szCs w:val="32"/>
          <w:highlight w:val="none"/>
        </w:rPr>
      </w:pPr>
    </w:p>
    <w:p>
      <w:pPr>
        <w:spacing w:before="120" w:after="240"/>
        <w:jc w:val="center"/>
        <w:rPr>
          <w:rFonts w:hint="eastAsia" w:ascii="宋体" w:hAnsi="宋体" w:eastAsia="宋体" w:cs="宋体"/>
          <w:b/>
          <w:color w:val="auto"/>
          <w:sz w:val="32"/>
          <w:szCs w:val="32"/>
          <w:highlight w:val="none"/>
        </w:rPr>
      </w:pPr>
      <w:bookmarkStart w:id="70" w:name="_Hlk116549366"/>
      <w:r>
        <w:rPr>
          <w:rFonts w:hint="eastAsia" w:ascii="宋体" w:hAnsi="宋体" w:eastAsia="宋体" w:cs="宋体"/>
          <w:b/>
          <w:color w:val="auto"/>
          <w:sz w:val="32"/>
          <w:szCs w:val="32"/>
          <w:highlight w:val="none"/>
        </w:rPr>
        <w:t>现场考察证明</w:t>
      </w:r>
    </w:p>
    <w:p>
      <w:pPr>
        <w:spacing w:line="0" w:lineRule="atLeast"/>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                            ）：</w:t>
      </w:r>
    </w:p>
    <w:p>
      <w:pPr>
        <w:spacing w:line="360" w:lineRule="auto"/>
        <w:ind w:firstLine="560" w:firstLineChars="200"/>
        <w:jc w:val="left"/>
        <w:rPr>
          <w:rFonts w:hint="eastAsia" w:ascii="宋体" w:hAnsi="宋体" w:eastAsia="宋体" w:cs="宋体"/>
          <w:color w:val="auto"/>
          <w:sz w:val="28"/>
          <w:szCs w:val="28"/>
          <w:highlight w:val="none"/>
        </w:rPr>
      </w:pPr>
      <w:bookmarkStart w:id="71" w:name="_Hlk116548155"/>
      <w:r>
        <w:rPr>
          <w:rFonts w:hint="eastAsia" w:ascii="宋体" w:hAnsi="宋体" w:eastAsia="宋体" w:cs="宋体"/>
          <w:color w:val="auto"/>
          <w:sz w:val="28"/>
          <w:szCs w:val="28"/>
          <w:highlight w:val="none"/>
        </w:rPr>
        <w:t>你单位已于</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日指派专人</w:t>
      </w:r>
      <w:r>
        <w:rPr>
          <w:rFonts w:hint="eastAsia" w:ascii="宋体" w:hAnsi="宋体" w:eastAsia="宋体" w:cs="宋体"/>
          <w:color w:val="auto"/>
          <w:sz w:val="28"/>
          <w:szCs w:val="28"/>
          <w:highlight w:val="none"/>
        </w:rPr>
        <w:t>参加了招标人（深圳会展中心管理有限责任公司）</w:t>
      </w:r>
      <w:r>
        <w:rPr>
          <w:rFonts w:hint="eastAsia" w:ascii="宋体" w:hAnsi="宋体" w:eastAsia="宋体" w:cs="宋体"/>
          <w:b/>
          <w:color w:val="auto"/>
          <w:sz w:val="28"/>
          <w:szCs w:val="28"/>
          <w:highlight w:val="none"/>
        </w:rPr>
        <w:t>关于</w:t>
      </w:r>
      <w:r>
        <w:rPr>
          <w:rFonts w:hint="eastAsia" w:ascii="宋体" w:hAnsi="宋体" w:eastAsia="宋体" w:cs="宋体"/>
          <w:b/>
          <w:color w:val="auto"/>
          <w:sz w:val="28"/>
          <w:szCs w:val="28"/>
          <w:highlight w:val="none"/>
          <w:u w:val="single"/>
        </w:rPr>
        <w:t xml:space="preserve">                           项目</w:t>
      </w:r>
      <w:r>
        <w:rPr>
          <w:rFonts w:hint="eastAsia" w:ascii="宋体" w:hAnsi="宋体" w:eastAsia="宋体" w:cs="宋体"/>
          <w:b/>
          <w:color w:val="auto"/>
          <w:sz w:val="28"/>
          <w:szCs w:val="28"/>
          <w:highlight w:val="none"/>
        </w:rPr>
        <w:t>的现场考察</w:t>
      </w:r>
      <w:r>
        <w:rPr>
          <w:rFonts w:hint="eastAsia" w:ascii="宋体" w:hAnsi="宋体" w:eastAsia="宋体" w:cs="宋体"/>
          <w:color w:val="auto"/>
          <w:sz w:val="28"/>
          <w:szCs w:val="28"/>
          <w:highlight w:val="none"/>
        </w:rPr>
        <w:t>，详细听取了招标人的讲解和要求，已经知晓招标人本次项目的所有内容以及技术要求等。</w:t>
      </w:r>
    </w:p>
    <w:bookmarkEnd w:id="71"/>
    <w:p>
      <w:pPr>
        <w:spacing w:line="0" w:lineRule="atLeast"/>
        <w:rPr>
          <w:rFonts w:hint="eastAsia" w:ascii="宋体" w:hAnsi="宋体" w:eastAsia="宋体" w:cs="宋体"/>
          <w:color w:val="auto"/>
          <w:sz w:val="28"/>
          <w:szCs w:val="28"/>
          <w:highlight w:val="none"/>
        </w:rPr>
      </w:pPr>
    </w:p>
    <w:p>
      <w:pPr>
        <w:spacing w:line="0" w:lineRule="atLeast"/>
        <w:rPr>
          <w:rFonts w:hint="eastAsia" w:ascii="宋体" w:hAnsi="宋体" w:eastAsia="宋体" w:cs="宋体"/>
          <w:color w:val="auto"/>
          <w:sz w:val="28"/>
          <w:szCs w:val="28"/>
          <w:highlight w:val="none"/>
        </w:rPr>
      </w:pPr>
    </w:p>
    <w:p>
      <w:pPr>
        <w:spacing w:line="0" w:lineRule="atLeast"/>
        <w:rPr>
          <w:rFonts w:hint="eastAsia" w:ascii="宋体" w:hAnsi="宋体" w:eastAsia="宋体" w:cs="宋体"/>
          <w:color w:val="auto"/>
          <w:sz w:val="28"/>
          <w:szCs w:val="28"/>
          <w:highlight w:val="none"/>
        </w:rPr>
      </w:pPr>
    </w:p>
    <w:p>
      <w:pPr>
        <w:spacing w:line="0" w:lineRule="atLeast"/>
        <w:rPr>
          <w:rFonts w:hint="eastAsia" w:ascii="宋体" w:hAnsi="宋体" w:eastAsia="宋体" w:cs="宋体"/>
          <w:color w:val="auto"/>
          <w:sz w:val="28"/>
          <w:szCs w:val="28"/>
          <w:highlight w:val="none"/>
        </w:rPr>
      </w:pPr>
    </w:p>
    <w:p>
      <w:pPr>
        <w:spacing w:line="0" w:lineRule="atLeast"/>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招标人现场踏勘负责人签字：</w:t>
      </w:r>
      <w:r>
        <w:rPr>
          <w:rFonts w:hint="eastAsia" w:ascii="宋体" w:hAnsi="宋体" w:eastAsia="宋体" w:cs="宋体"/>
          <w:color w:val="auto"/>
          <w:sz w:val="28"/>
          <w:szCs w:val="28"/>
          <w:highlight w:val="none"/>
          <w:u w:val="single"/>
        </w:rPr>
        <w:t xml:space="preserve">                    </w:t>
      </w:r>
    </w:p>
    <w:p>
      <w:pPr>
        <w:spacing w:line="0" w:lineRule="atLeast"/>
        <w:ind w:firstLine="3640" w:firstLineChars="1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bookmarkEnd w:id="70"/>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0" w:lineRule="atLeast"/>
        <w:rPr>
          <w:rFonts w:hint="eastAsia" w:ascii="宋体" w:hAnsi="宋体" w:eastAsia="宋体" w:cs="宋体"/>
          <w:color w:val="auto"/>
          <w:sz w:val="24"/>
          <w:highlight w:val="none"/>
        </w:rPr>
      </w:pPr>
    </w:p>
    <w:p>
      <w:pPr>
        <w:spacing w:line="0" w:lineRule="atLeast"/>
        <w:outlineLvl w:val="1"/>
        <w:rPr>
          <w:rFonts w:hint="eastAsia" w:ascii="宋体" w:hAnsi="宋体" w:eastAsia="宋体" w:cs="宋体"/>
          <w:color w:val="auto"/>
          <w:szCs w:val="21"/>
          <w:highlight w:val="none"/>
        </w:rPr>
      </w:pPr>
      <w:bookmarkStart w:id="72" w:name="_Toc27434"/>
      <w:r>
        <w:rPr>
          <w:rFonts w:hint="eastAsia" w:ascii="宋体" w:hAnsi="宋体" w:eastAsia="宋体" w:cs="宋体"/>
          <w:color w:val="auto"/>
          <w:szCs w:val="21"/>
          <w:highlight w:val="none"/>
        </w:rPr>
        <w:t>附件5：技术服务响应/偏离表</w:t>
      </w:r>
      <w:bookmarkEnd w:id="72"/>
    </w:p>
    <w:p>
      <w:pPr>
        <w:spacing w:line="0" w:lineRule="atLeast"/>
        <w:rPr>
          <w:rFonts w:hint="eastAsia" w:ascii="宋体" w:hAnsi="宋体" w:eastAsia="宋体" w:cs="宋体"/>
          <w:color w:val="auto"/>
          <w:sz w:val="24"/>
          <w:highlight w:val="none"/>
        </w:rPr>
      </w:pPr>
    </w:p>
    <w:p>
      <w:pPr>
        <w:spacing w:before="120" w:after="240"/>
        <w:jc w:val="center"/>
        <w:rPr>
          <w:rFonts w:hint="eastAsia" w:ascii="宋体" w:hAnsi="宋体" w:eastAsia="宋体" w:cs="宋体"/>
          <w:b/>
          <w:color w:val="auto"/>
          <w:sz w:val="32"/>
          <w:szCs w:val="32"/>
          <w:highlight w:val="none"/>
        </w:rPr>
      </w:pPr>
      <w:bookmarkStart w:id="73" w:name="_Toc211248418"/>
      <w:r>
        <w:rPr>
          <w:rFonts w:hint="eastAsia" w:ascii="宋体" w:hAnsi="宋体" w:eastAsia="宋体" w:cs="宋体"/>
          <w:b/>
          <w:color w:val="auto"/>
          <w:sz w:val="32"/>
          <w:szCs w:val="32"/>
          <w:highlight w:val="none"/>
        </w:rPr>
        <w:t>技术服务响应/偏离表</w:t>
      </w:r>
      <w:bookmarkEnd w:id="73"/>
    </w:p>
    <w:p>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708" w:type="dxa"/>
            <w:vAlign w:val="center"/>
          </w:tcPr>
          <w:p>
            <w:pPr>
              <w:spacing w:line="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招标文件技术服务</w:t>
            </w:r>
          </w:p>
        </w:tc>
        <w:tc>
          <w:tcPr>
            <w:tcW w:w="3226" w:type="dxa"/>
            <w:gridSpan w:val="3"/>
            <w:vAlign w:val="center"/>
          </w:tcPr>
          <w:p>
            <w:pPr>
              <w:spacing w:line="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hint="eastAsia" w:ascii="宋体" w:hAnsi="宋体" w:eastAsia="宋体" w:cs="宋体"/>
                <w:color w:val="auto"/>
                <w:sz w:val="28"/>
                <w:szCs w:val="28"/>
                <w:highlight w:val="none"/>
              </w:rPr>
            </w:pPr>
          </w:p>
        </w:tc>
        <w:tc>
          <w:tcPr>
            <w:tcW w:w="5708" w:type="dxa"/>
            <w:vAlign w:val="center"/>
          </w:tcPr>
          <w:p>
            <w:pPr>
              <w:spacing w:line="0" w:lineRule="atLeast"/>
              <w:ind w:left="-105" w:leftChars="-50" w:right="-105" w:rightChars="-50"/>
              <w:jc w:val="center"/>
              <w:rPr>
                <w:rFonts w:hint="eastAsia" w:ascii="宋体" w:hAnsi="宋体" w:eastAsia="宋体" w:cs="宋体"/>
                <w:color w:val="auto"/>
                <w:sz w:val="28"/>
                <w:szCs w:val="28"/>
                <w:highlight w:val="none"/>
              </w:rPr>
            </w:pPr>
          </w:p>
          <w:p>
            <w:pPr>
              <w:spacing w:line="0" w:lineRule="atLeast"/>
              <w:ind w:left="128" w:leftChars="-183" w:hanging="512" w:hangingChars="18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技术服务明细</w:t>
            </w:r>
          </w:p>
        </w:tc>
        <w:tc>
          <w:tcPr>
            <w:tcW w:w="1690" w:type="dxa"/>
            <w:vAlign w:val="center"/>
          </w:tcPr>
          <w:p>
            <w:pPr>
              <w:spacing w:line="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响应内容</w:t>
            </w:r>
          </w:p>
        </w:tc>
        <w:tc>
          <w:tcPr>
            <w:tcW w:w="641" w:type="dxa"/>
            <w:vAlign w:val="center"/>
          </w:tcPr>
          <w:p>
            <w:pPr>
              <w:spacing w:line="0" w:lineRule="atLeas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有/无</w:t>
            </w:r>
          </w:p>
          <w:p>
            <w:pPr>
              <w:spacing w:line="0" w:lineRule="atLeas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895" w:type="dxa"/>
            <w:vAlign w:val="center"/>
          </w:tcPr>
          <w:p>
            <w:pPr>
              <w:spacing w:line="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hint="eastAsia" w:ascii="宋体" w:hAnsi="宋体" w:eastAsia="宋体" w:cs="宋体"/>
                <w:color w:val="auto"/>
                <w:sz w:val="28"/>
                <w:szCs w:val="28"/>
                <w:highlight w:val="none"/>
              </w:rPr>
            </w:pPr>
          </w:p>
        </w:tc>
        <w:tc>
          <w:tcPr>
            <w:tcW w:w="5708" w:type="dxa"/>
          </w:tcPr>
          <w:p>
            <w:pPr>
              <w:spacing w:line="400" w:lineRule="exact"/>
              <w:rPr>
                <w:rFonts w:hint="eastAsia" w:ascii="宋体" w:hAnsi="宋体" w:eastAsia="宋体" w:cs="宋体"/>
                <w:color w:val="auto"/>
                <w:sz w:val="28"/>
                <w:szCs w:val="28"/>
                <w:highlight w:val="none"/>
              </w:rPr>
            </w:pPr>
          </w:p>
        </w:tc>
        <w:tc>
          <w:tcPr>
            <w:tcW w:w="1690" w:type="dxa"/>
            <w:vAlign w:val="center"/>
          </w:tcPr>
          <w:p>
            <w:pPr>
              <w:spacing w:line="0" w:lineRule="atLeast"/>
              <w:jc w:val="center"/>
              <w:rPr>
                <w:rFonts w:hint="eastAsia" w:ascii="宋体" w:hAnsi="宋体" w:eastAsia="宋体" w:cs="宋体"/>
                <w:color w:val="auto"/>
                <w:sz w:val="28"/>
                <w:szCs w:val="28"/>
                <w:highlight w:val="none"/>
              </w:rPr>
            </w:pPr>
          </w:p>
        </w:tc>
        <w:tc>
          <w:tcPr>
            <w:tcW w:w="641" w:type="dxa"/>
            <w:vAlign w:val="center"/>
          </w:tcPr>
          <w:p>
            <w:pPr>
              <w:spacing w:line="0" w:lineRule="atLeast"/>
              <w:jc w:val="center"/>
              <w:rPr>
                <w:rFonts w:hint="eastAsia" w:ascii="宋体" w:hAnsi="宋体" w:eastAsia="宋体" w:cs="宋体"/>
                <w:color w:val="auto"/>
                <w:sz w:val="28"/>
                <w:szCs w:val="28"/>
                <w:highlight w:val="none"/>
              </w:rPr>
            </w:pPr>
          </w:p>
        </w:tc>
        <w:tc>
          <w:tcPr>
            <w:tcW w:w="895" w:type="dxa"/>
            <w:vAlign w:val="center"/>
          </w:tcPr>
          <w:p>
            <w:pPr>
              <w:spacing w:line="0" w:lineRule="atLeast"/>
              <w:jc w:val="center"/>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hint="eastAsia" w:ascii="宋体" w:hAnsi="宋体" w:eastAsia="宋体" w:cs="宋体"/>
                <w:color w:val="auto"/>
                <w:sz w:val="28"/>
                <w:szCs w:val="28"/>
                <w:highlight w:val="none"/>
              </w:rPr>
            </w:pPr>
          </w:p>
        </w:tc>
        <w:tc>
          <w:tcPr>
            <w:tcW w:w="5708" w:type="dxa"/>
          </w:tcPr>
          <w:p>
            <w:pPr>
              <w:spacing w:line="400" w:lineRule="exact"/>
              <w:rPr>
                <w:rFonts w:hint="eastAsia" w:ascii="宋体" w:hAnsi="宋体" w:eastAsia="宋体" w:cs="宋体"/>
                <w:color w:val="auto"/>
                <w:sz w:val="28"/>
                <w:szCs w:val="28"/>
                <w:highlight w:val="none"/>
              </w:rPr>
            </w:pPr>
          </w:p>
        </w:tc>
        <w:tc>
          <w:tcPr>
            <w:tcW w:w="1690" w:type="dxa"/>
            <w:vAlign w:val="center"/>
          </w:tcPr>
          <w:p>
            <w:pPr>
              <w:spacing w:line="0" w:lineRule="atLeast"/>
              <w:jc w:val="center"/>
              <w:rPr>
                <w:rFonts w:hint="eastAsia" w:ascii="宋体" w:hAnsi="宋体" w:eastAsia="宋体" w:cs="宋体"/>
                <w:color w:val="auto"/>
                <w:sz w:val="28"/>
                <w:szCs w:val="28"/>
                <w:highlight w:val="none"/>
              </w:rPr>
            </w:pPr>
          </w:p>
        </w:tc>
        <w:tc>
          <w:tcPr>
            <w:tcW w:w="641" w:type="dxa"/>
            <w:vAlign w:val="center"/>
          </w:tcPr>
          <w:p>
            <w:pPr>
              <w:spacing w:line="0" w:lineRule="atLeast"/>
              <w:jc w:val="center"/>
              <w:rPr>
                <w:rFonts w:hint="eastAsia" w:ascii="宋体" w:hAnsi="宋体" w:eastAsia="宋体" w:cs="宋体"/>
                <w:color w:val="auto"/>
                <w:sz w:val="28"/>
                <w:szCs w:val="28"/>
                <w:highlight w:val="none"/>
              </w:rPr>
            </w:pPr>
          </w:p>
        </w:tc>
        <w:tc>
          <w:tcPr>
            <w:tcW w:w="895" w:type="dxa"/>
            <w:vAlign w:val="center"/>
          </w:tcPr>
          <w:p>
            <w:pPr>
              <w:spacing w:line="0" w:lineRule="atLeast"/>
              <w:jc w:val="center"/>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hint="eastAsia" w:ascii="宋体" w:hAnsi="宋体" w:eastAsia="宋体" w:cs="宋体"/>
                <w:color w:val="auto"/>
                <w:sz w:val="28"/>
                <w:szCs w:val="28"/>
                <w:highlight w:val="none"/>
              </w:rPr>
            </w:pPr>
          </w:p>
        </w:tc>
        <w:tc>
          <w:tcPr>
            <w:tcW w:w="5708" w:type="dxa"/>
          </w:tcPr>
          <w:p>
            <w:pPr>
              <w:spacing w:line="400" w:lineRule="exact"/>
              <w:ind w:firstLine="548" w:firstLineChars="196"/>
              <w:rPr>
                <w:rFonts w:hint="eastAsia" w:ascii="宋体" w:hAnsi="宋体" w:eastAsia="宋体" w:cs="宋体"/>
                <w:color w:val="auto"/>
                <w:sz w:val="28"/>
                <w:szCs w:val="28"/>
                <w:highlight w:val="none"/>
              </w:rPr>
            </w:pPr>
          </w:p>
        </w:tc>
        <w:tc>
          <w:tcPr>
            <w:tcW w:w="1690" w:type="dxa"/>
            <w:vAlign w:val="center"/>
          </w:tcPr>
          <w:p>
            <w:pPr>
              <w:spacing w:line="0" w:lineRule="atLeast"/>
              <w:jc w:val="center"/>
              <w:rPr>
                <w:rFonts w:hint="eastAsia" w:ascii="宋体" w:hAnsi="宋体" w:eastAsia="宋体" w:cs="宋体"/>
                <w:color w:val="auto"/>
                <w:sz w:val="28"/>
                <w:szCs w:val="28"/>
                <w:highlight w:val="none"/>
              </w:rPr>
            </w:pPr>
          </w:p>
        </w:tc>
        <w:tc>
          <w:tcPr>
            <w:tcW w:w="641" w:type="dxa"/>
            <w:vAlign w:val="center"/>
          </w:tcPr>
          <w:p>
            <w:pPr>
              <w:spacing w:line="0" w:lineRule="atLeast"/>
              <w:jc w:val="center"/>
              <w:rPr>
                <w:rFonts w:hint="eastAsia" w:ascii="宋体" w:hAnsi="宋体" w:eastAsia="宋体" w:cs="宋体"/>
                <w:color w:val="auto"/>
                <w:sz w:val="28"/>
                <w:szCs w:val="28"/>
                <w:highlight w:val="none"/>
              </w:rPr>
            </w:pPr>
          </w:p>
        </w:tc>
        <w:tc>
          <w:tcPr>
            <w:tcW w:w="895" w:type="dxa"/>
            <w:vAlign w:val="center"/>
          </w:tcPr>
          <w:p>
            <w:pPr>
              <w:spacing w:line="0" w:lineRule="atLeast"/>
              <w:jc w:val="center"/>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hint="eastAsia" w:ascii="宋体" w:hAnsi="宋体" w:eastAsia="宋体" w:cs="宋体"/>
                <w:color w:val="auto"/>
                <w:sz w:val="28"/>
                <w:szCs w:val="28"/>
                <w:highlight w:val="none"/>
              </w:rPr>
            </w:pPr>
          </w:p>
        </w:tc>
        <w:tc>
          <w:tcPr>
            <w:tcW w:w="5708" w:type="dxa"/>
          </w:tcPr>
          <w:p>
            <w:pPr>
              <w:spacing w:line="400" w:lineRule="exact"/>
              <w:rPr>
                <w:rFonts w:hint="eastAsia" w:ascii="宋体" w:hAnsi="宋体" w:eastAsia="宋体" w:cs="宋体"/>
                <w:color w:val="auto"/>
                <w:sz w:val="28"/>
                <w:szCs w:val="28"/>
                <w:highlight w:val="none"/>
              </w:rPr>
            </w:pPr>
          </w:p>
        </w:tc>
        <w:tc>
          <w:tcPr>
            <w:tcW w:w="1690" w:type="dxa"/>
            <w:vAlign w:val="center"/>
          </w:tcPr>
          <w:p>
            <w:pPr>
              <w:spacing w:line="0" w:lineRule="atLeast"/>
              <w:jc w:val="center"/>
              <w:rPr>
                <w:rFonts w:hint="eastAsia" w:ascii="宋体" w:hAnsi="宋体" w:eastAsia="宋体" w:cs="宋体"/>
                <w:color w:val="auto"/>
                <w:sz w:val="28"/>
                <w:szCs w:val="28"/>
                <w:highlight w:val="none"/>
              </w:rPr>
            </w:pPr>
          </w:p>
        </w:tc>
        <w:tc>
          <w:tcPr>
            <w:tcW w:w="641" w:type="dxa"/>
            <w:vAlign w:val="center"/>
          </w:tcPr>
          <w:p>
            <w:pPr>
              <w:spacing w:line="0" w:lineRule="atLeast"/>
              <w:jc w:val="center"/>
              <w:rPr>
                <w:rFonts w:hint="eastAsia" w:ascii="宋体" w:hAnsi="宋体" w:eastAsia="宋体" w:cs="宋体"/>
                <w:color w:val="auto"/>
                <w:sz w:val="28"/>
                <w:szCs w:val="28"/>
                <w:highlight w:val="none"/>
              </w:rPr>
            </w:pPr>
          </w:p>
        </w:tc>
        <w:tc>
          <w:tcPr>
            <w:tcW w:w="895" w:type="dxa"/>
            <w:vAlign w:val="center"/>
          </w:tcPr>
          <w:p>
            <w:pPr>
              <w:spacing w:line="0" w:lineRule="atLeast"/>
              <w:jc w:val="center"/>
              <w:rPr>
                <w:rFonts w:hint="eastAsia" w:ascii="宋体" w:hAnsi="宋体" w:eastAsia="宋体" w:cs="宋体"/>
                <w:color w:val="auto"/>
                <w:sz w:val="28"/>
                <w:szCs w:val="28"/>
                <w:highlight w:val="none"/>
              </w:rPr>
            </w:pPr>
          </w:p>
        </w:tc>
      </w:tr>
    </w:tbl>
    <w:p>
      <w:pPr>
        <w:spacing w:line="400" w:lineRule="exact"/>
        <w:rPr>
          <w:rFonts w:hint="eastAsia" w:ascii="宋体" w:hAnsi="宋体" w:eastAsia="宋体" w:cs="宋体"/>
          <w:bCs/>
          <w:color w:val="auto"/>
          <w:sz w:val="28"/>
          <w:szCs w:val="28"/>
          <w:highlight w:val="none"/>
        </w:rPr>
      </w:pPr>
    </w:p>
    <w:p>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填报说明：</w:t>
      </w:r>
    </w:p>
    <w:p>
      <w:pPr>
        <w:spacing w:line="400" w:lineRule="exact"/>
        <w:ind w:left="9" w:firstLine="4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不可偏离项”响应内容涉及偏离内容的，视同偏离本项目要求，该投标文件不能通过不可偏离项检查。</w:t>
      </w:r>
    </w:p>
    <w:p>
      <w:pPr>
        <w:spacing w:line="400" w:lineRule="exact"/>
        <w:ind w:left="9" w:firstLine="4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3.《有/无偏离》栏仅可填“有”或“无”。 响应结果优于（或高于）本项目需求的，可在《说明》栏中作出优于（或高于）本项目需求的具体说明。</w:t>
      </w:r>
    </w:p>
    <w:p>
      <w:pPr>
        <w:spacing w:line="400" w:lineRule="exact"/>
        <w:ind w:left="709" w:hanging="283"/>
        <w:rPr>
          <w:rFonts w:hint="eastAsia" w:ascii="宋体" w:hAnsi="宋体" w:eastAsia="宋体" w:cs="宋体"/>
          <w:color w:val="auto"/>
          <w:sz w:val="28"/>
          <w:szCs w:val="28"/>
          <w:highlight w:val="none"/>
        </w:rPr>
      </w:pPr>
    </w:p>
    <w:p>
      <w:pPr>
        <w:spacing w:line="400" w:lineRule="exact"/>
        <w:ind w:left="709" w:hanging="283"/>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bookmarkStart w:id="74" w:name="_Hlk127434997"/>
      <w:bookmarkStart w:id="75" w:name="_Toc211243320"/>
      <w:r>
        <w:rPr>
          <w:rFonts w:hint="eastAsia" w:ascii="宋体" w:hAnsi="宋体" w:eastAsia="宋体" w:cs="宋体"/>
          <w:color w:val="auto"/>
          <w:sz w:val="30"/>
          <w:szCs w:val="30"/>
          <w:highlight w:val="none"/>
        </w:rPr>
        <w:t>法定代表人或其授权委托人（签字或盖章）：</w:t>
      </w:r>
      <w:bookmarkEnd w:id="74"/>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30"/>
          <w:szCs w:val="30"/>
          <w:highlight w:val="none"/>
        </w:rPr>
        <w:t>名称及盖章：</w:t>
      </w:r>
      <w:r>
        <w:rPr>
          <w:rFonts w:hint="eastAsia" w:ascii="宋体" w:hAnsi="宋体" w:eastAsia="宋体" w:cs="宋体"/>
          <w:color w:val="auto"/>
          <w:sz w:val="30"/>
          <w:szCs w:val="30"/>
          <w:highlight w:val="none"/>
          <w:u w:val="singl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日期：_______年____月___日</w:t>
      </w:r>
      <w:bookmarkEnd w:id="75"/>
      <w:bookmarkStart w:id="76" w:name="_Toc236803114"/>
      <w:bookmarkStart w:id="77" w:name="_Toc246480945"/>
      <w:r>
        <w:rPr>
          <w:rFonts w:hint="eastAsia" w:ascii="宋体" w:hAnsi="宋体" w:eastAsia="宋体" w:cs="宋体"/>
          <w:color w:val="auto"/>
          <w:sz w:val="28"/>
          <w:szCs w:val="28"/>
          <w:highlight w:val="none"/>
        </w:rPr>
        <w:br w:type="page"/>
      </w:r>
    </w:p>
    <w:p>
      <w:pPr>
        <w:spacing w:line="0" w:lineRule="atLeast"/>
        <w:outlineLvl w:val="1"/>
        <w:rPr>
          <w:rFonts w:hint="eastAsia" w:ascii="宋体" w:hAnsi="宋体" w:eastAsia="宋体" w:cs="宋体"/>
          <w:color w:val="auto"/>
          <w:szCs w:val="21"/>
          <w:highlight w:val="none"/>
        </w:rPr>
      </w:pPr>
      <w:bookmarkStart w:id="78" w:name="_Toc27759"/>
      <w:r>
        <w:rPr>
          <w:rFonts w:hint="eastAsia" w:ascii="宋体" w:hAnsi="宋体" w:eastAsia="宋体" w:cs="宋体"/>
          <w:color w:val="auto"/>
          <w:szCs w:val="21"/>
          <w:highlight w:val="none"/>
        </w:rPr>
        <w:t>附件6：商务条款响应/偏离表</w:t>
      </w:r>
      <w:bookmarkEnd w:id="76"/>
      <w:bookmarkEnd w:id="77"/>
      <w:bookmarkEnd w:id="78"/>
    </w:p>
    <w:p>
      <w:pPr>
        <w:spacing w:line="0" w:lineRule="atLeast"/>
        <w:rPr>
          <w:rFonts w:hint="eastAsia" w:ascii="宋体" w:hAnsi="宋体" w:eastAsia="宋体" w:cs="宋体"/>
          <w:color w:val="auto"/>
          <w:sz w:val="24"/>
          <w:highlight w:val="none"/>
        </w:rPr>
      </w:pPr>
    </w:p>
    <w:p>
      <w:pPr>
        <w:spacing w:before="120" w:after="240"/>
        <w:jc w:val="center"/>
        <w:rPr>
          <w:rFonts w:hint="eastAsia" w:ascii="宋体" w:hAnsi="宋体" w:eastAsia="宋体" w:cs="宋体"/>
          <w:b/>
          <w:color w:val="auto"/>
          <w:sz w:val="32"/>
          <w:szCs w:val="32"/>
          <w:highlight w:val="none"/>
        </w:rPr>
      </w:pPr>
      <w:bookmarkStart w:id="79" w:name="_Toc211248420"/>
      <w:r>
        <w:rPr>
          <w:rFonts w:hint="eastAsia" w:ascii="宋体" w:hAnsi="宋体" w:eastAsia="宋体" w:cs="宋体"/>
          <w:b/>
          <w:color w:val="auto"/>
          <w:sz w:val="32"/>
          <w:szCs w:val="32"/>
          <w:highlight w:val="none"/>
        </w:rPr>
        <w:t>商务条款响应/偏离表</w:t>
      </w:r>
      <w:bookmarkEnd w:id="79"/>
    </w:p>
    <w:p>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1" w:hRule="atLeast"/>
          <w:tblHeader/>
          <w:jc w:val="center"/>
        </w:trPr>
        <w:tc>
          <w:tcPr>
            <w:tcW w:w="609" w:type="dxa"/>
            <w:vMerge w:val="restart"/>
            <w:vAlign w:val="center"/>
          </w:tcPr>
          <w:p>
            <w:pPr>
              <w:spacing w:line="0" w:lineRule="atLeas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5221" w:type="dxa"/>
            <w:gridSpan w:val="2"/>
            <w:vAlign w:val="center"/>
          </w:tcPr>
          <w:p>
            <w:pPr>
              <w:spacing w:line="0" w:lineRule="atLeas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招标文件商务要求</w:t>
            </w:r>
          </w:p>
        </w:tc>
        <w:tc>
          <w:tcPr>
            <w:tcW w:w="3018" w:type="dxa"/>
            <w:gridSpan w:val="3"/>
            <w:vAlign w:val="center"/>
          </w:tcPr>
          <w:p>
            <w:pPr>
              <w:spacing w:line="0" w:lineRule="atLeast"/>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hint="eastAsia" w:ascii="宋体" w:hAnsi="宋体" w:eastAsia="宋体" w:cs="宋体"/>
                <w:color w:val="auto"/>
                <w:sz w:val="30"/>
                <w:szCs w:val="30"/>
                <w:highlight w:val="none"/>
              </w:rPr>
            </w:pPr>
          </w:p>
        </w:tc>
        <w:tc>
          <w:tcPr>
            <w:tcW w:w="957" w:type="dxa"/>
            <w:vAlign w:val="center"/>
          </w:tcPr>
          <w:p>
            <w:pPr>
              <w:spacing w:line="0" w:lineRule="atLeast"/>
              <w:ind w:left="-105" w:leftChars="-50" w:right="-105" w:rightChars="-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条目号</w:t>
            </w:r>
          </w:p>
        </w:tc>
        <w:tc>
          <w:tcPr>
            <w:tcW w:w="4264" w:type="dxa"/>
            <w:vAlign w:val="center"/>
          </w:tcPr>
          <w:p>
            <w:pPr>
              <w:spacing w:line="0" w:lineRule="atLeas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商务要求明细</w:t>
            </w:r>
          </w:p>
        </w:tc>
        <w:tc>
          <w:tcPr>
            <w:tcW w:w="1777" w:type="dxa"/>
            <w:vAlign w:val="center"/>
          </w:tcPr>
          <w:p>
            <w:pPr>
              <w:spacing w:line="0" w:lineRule="atLeas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响应内容</w:t>
            </w:r>
          </w:p>
        </w:tc>
        <w:tc>
          <w:tcPr>
            <w:tcW w:w="641" w:type="dxa"/>
            <w:vAlign w:val="center"/>
          </w:tcPr>
          <w:p>
            <w:pPr>
              <w:spacing w:line="0" w:lineRule="atLeast"/>
              <w:ind w:left="-113" w:right="-113"/>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有/无</w:t>
            </w:r>
          </w:p>
          <w:p>
            <w:pPr>
              <w:spacing w:line="0" w:lineRule="atLeast"/>
              <w:ind w:left="-113" w:right="-113"/>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偏离</w:t>
            </w:r>
          </w:p>
        </w:tc>
        <w:tc>
          <w:tcPr>
            <w:tcW w:w="600" w:type="dxa"/>
            <w:vAlign w:val="center"/>
          </w:tcPr>
          <w:p>
            <w:pPr>
              <w:spacing w:line="0" w:lineRule="atLeas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hint="eastAsia" w:ascii="宋体" w:hAnsi="宋体" w:eastAsia="宋体" w:cs="宋体"/>
                <w:color w:val="auto"/>
                <w:sz w:val="30"/>
                <w:szCs w:val="30"/>
                <w:highlight w:val="none"/>
              </w:rPr>
            </w:pPr>
          </w:p>
        </w:tc>
        <w:tc>
          <w:tcPr>
            <w:tcW w:w="957" w:type="dxa"/>
          </w:tcPr>
          <w:p>
            <w:pPr>
              <w:spacing w:line="400" w:lineRule="exact"/>
              <w:ind w:left="170"/>
              <w:rPr>
                <w:rFonts w:hint="eastAsia" w:ascii="宋体" w:hAnsi="宋体" w:eastAsia="宋体" w:cs="宋体"/>
                <w:color w:val="auto"/>
                <w:sz w:val="30"/>
                <w:szCs w:val="30"/>
                <w:highlight w:val="none"/>
              </w:rPr>
            </w:pPr>
          </w:p>
        </w:tc>
        <w:tc>
          <w:tcPr>
            <w:tcW w:w="4264" w:type="dxa"/>
          </w:tcPr>
          <w:p>
            <w:pPr>
              <w:spacing w:line="400" w:lineRule="exact"/>
              <w:rPr>
                <w:rFonts w:hint="eastAsia" w:ascii="宋体" w:hAnsi="宋体" w:eastAsia="宋体" w:cs="宋体"/>
                <w:color w:val="auto"/>
                <w:sz w:val="30"/>
                <w:szCs w:val="30"/>
                <w:highlight w:val="none"/>
              </w:rPr>
            </w:pPr>
          </w:p>
        </w:tc>
        <w:tc>
          <w:tcPr>
            <w:tcW w:w="1777" w:type="dxa"/>
            <w:vAlign w:val="center"/>
          </w:tcPr>
          <w:p>
            <w:pPr>
              <w:spacing w:line="0" w:lineRule="atLeast"/>
              <w:jc w:val="center"/>
              <w:rPr>
                <w:rFonts w:hint="eastAsia" w:ascii="宋体" w:hAnsi="宋体" w:eastAsia="宋体" w:cs="宋体"/>
                <w:color w:val="auto"/>
                <w:sz w:val="30"/>
                <w:szCs w:val="30"/>
                <w:highlight w:val="none"/>
              </w:rPr>
            </w:pPr>
          </w:p>
        </w:tc>
        <w:tc>
          <w:tcPr>
            <w:tcW w:w="641" w:type="dxa"/>
            <w:vAlign w:val="center"/>
          </w:tcPr>
          <w:p>
            <w:pPr>
              <w:spacing w:line="0" w:lineRule="atLeast"/>
              <w:jc w:val="center"/>
              <w:rPr>
                <w:rFonts w:hint="eastAsia" w:ascii="宋体" w:hAnsi="宋体" w:eastAsia="宋体" w:cs="宋体"/>
                <w:color w:val="auto"/>
                <w:sz w:val="30"/>
                <w:szCs w:val="30"/>
                <w:highlight w:val="none"/>
              </w:rPr>
            </w:pPr>
          </w:p>
        </w:tc>
        <w:tc>
          <w:tcPr>
            <w:tcW w:w="600" w:type="dxa"/>
            <w:vAlign w:val="center"/>
          </w:tcPr>
          <w:p>
            <w:pPr>
              <w:spacing w:line="0" w:lineRule="atLeast"/>
              <w:jc w:val="center"/>
              <w:rPr>
                <w:rFonts w:hint="eastAsia" w:ascii="宋体" w:hAnsi="宋体" w:eastAsia="宋体" w:cs="宋体"/>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hint="eastAsia" w:ascii="宋体" w:hAnsi="宋体" w:eastAsia="宋体" w:cs="宋体"/>
                <w:color w:val="auto"/>
                <w:sz w:val="30"/>
                <w:szCs w:val="30"/>
                <w:highlight w:val="none"/>
              </w:rPr>
            </w:pPr>
          </w:p>
        </w:tc>
        <w:tc>
          <w:tcPr>
            <w:tcW w:w="957" w:type="dxa"/>
          </w:tcPr>
          <w:p>
            <w:pPr>
              <w:spacing w:line="400" w:lineRule="exact"/>
              <w:ind w:left="170"/>
              <w:rPr>
                <w:rFonts w:hint="eastAsia" w:ascii="宋体" w:hAnsi="宋体" w:eastAsia="宋体" w:cs="宋体"/>
                <w:color w:val="auto"/>
                <w:sz w:val="30"/>
                <w:szCs w:val="30"/>
                <w:highlight w:val="none"/>
              </w:rPr>
            </w:pPr>
          </w:p>
        </w:tc>
        <w:tc>
          <w:tcPr>
            <w:tcW w:w="4264" w:type="dxa"/>
          </w:tcPr>
          <w:p>
            <w:pPr>
              <w:spacing w:line="400" w:lineRule="exact"/>
              <w:jc w:val="left"/>
              <w:rPr>
                <w:rFonts w:hint="eastAsia" w:ascii="宋体" w:hAnsi="宋体" w:eastAsia="宋体" w:cs="宋体"/>
                <w:color w:val="auto"/>
                <w:sz w:val="30"/>
                <w:szCs w:val="30"/>
                <w:highlight w:val="none"/>
              </w:rPr>
            </w:pPr>
          </w:p>
        </w:tc>
        <w:tc>
          <w:tcPr>
            <w:tcW w:w="1777" w:type="dxa"/>
            <w:vAlign w:val="center"/>
          </w:tcPr>
          <w:p>
            <w:pPr>
              <w:spacing w:line="0" w:lineRule="atLeast"/>
              <w:jc w:val="center"/>
              <w:rPr>
                <w:rFonts w:hint="eastAsia" w:ascii="宋体" w:hAnsi="宋体" w:eastAsia="宋体" w:cs="宋体"/>
                <w:color w:val="auto"/>
                <w:sz w:val="30"/>
                <w:szCs w:val="30"/>
                <w:highlight w:val="none"/>
              </w:rPr>
            </w:pPr>
          </w:p>
        </w:tc>
        <w:tc>
          <w:tcPr>
            <w:tcW w:w="641" w:type="dxa"/>
            <w:vAlign w:val="center"/>
          </w:tcPr>
          <w:p>
            <w:pPr>
              <w:spacing w:line="0" w:lineRule="atLeast"/>
              <w:jc w:val="center"/>
              <w:rPr>
                <w:rFonts w:hint="eastAsia" w:ascii="宋体" w:hAnsi="宋体" w:eastAsia="宋体" w:cs="宋体"/>
                <w:color w:val="auto"/>
                <w:sz w:val="30"/>
                <w:szCs w:val="30"/>
                <w:highlight w:val="none"/>
              </w:rPr>
            </w:pPr>
          </w:p>
        </w:tc>
        <w:tc>
          <w:tcPr>
            <w:tcW w:w="600" w:type="dxa"/>
            <w:vAlign w:val="center"/>
          </w:tcPr>
          <w:p>
            <w:pPr>
              <w:spacing w:line="0" w:lineRule="atLeast"/>
              <w:jc w:val="center"/>
              <w:rPr>
                <w:rFonts w:hint="eastAsia" w:ascii="宋体" w:hAnsi="宋体" w:eastAsia="宋体" w:cs="宋体"/>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hint="eastAsia" w:ascii="宋体" w:hAnsi="宋体" w:eastAsia="宋体" w:cs="宋体"/>
                <w:color w:val="auto"/>
                <w:sz w:val="30"/>
                <w:szCs w:val="30"/>
                <w:highlight w:val="none"/>
              </w:rPr>
            </w:pPr>
          </w:p>
        </w:tc>
        <w:tc>
          <w:tcPr>
            <w:tcW w:w="957" w:type="dxa"/>
          </w:tcPr>
          <w:p>
            <w:pPr>
              <w:spacing w:line="400" w:lineRule="exact"/>
              <w:ind w:left="170"/>
              <w:rPr>
                <w:rFonts w:hint="eastAsia" w:ascii="宋体" w:hAnsi="宋体" w:eastAsia="宋体" w:cs="宋体"/>
                <w:color w:val="auto"/>
                <w:sz w:val="30"/>
                <w:szCs w:val="30"/>
                <w:highlight w:val="none"/>
              </w:rPr>
            </w:pPr>
          </w:p>
        </w:tc>
        <w:tc>
          <w:tcPr>
            <w:tcW w:w="4264" w:type="dxa"/>
          </w:tcPr>
          <w:p>
            <w:pPr>
              <w:spacing w:line="400" w:lineRule="exact"/>
              <w:jc w:val="left"/>
              <w:rPr>
                <w:rFonts w:hint="eastAsia" w:ascii="宋体" w:hAnsi="宋体" w:eastAsia="宋体" w:cs="宋体"/>
                <w:color w:val="auto"/>
                <w:sz w:val="30"/>
                <w:szCs w:val="30"/>
                <w:highlight w:val="none"/>
              </w:rPr>
            </w:pPr>
          </w:p>
        </w:tc>
        <w:tc>
          <w:tcPr>
            <w:tcW w:w="1777" w:type="dxa"/>
            <w:vAlign w:val="center"/>
          </w:tcPr>
          <w:p>
            <w:pPr>
              <w:spacing w:line="0" w:lineRule="atLeast"/>
              <w:jc w:val="center"/>
              <w:rPr>
                <w:rFonts w:hint="eastAsia" w:ascii="宋体" w:hAnsi="宋体" w:eastAsia="宋体" w:cs="宋体"/>
                <w:color w:val="auto"/>
                <w:sz w:val="30"/>
                <w:szCs w:val="30"/>
                <w:highlight w:val="none"/>
              </w:rPr>
            </w:pPr>
          </w:p>
        </w:tc>
        <w:tc>
          <w:tcPr>
            <w:tcW w:w="641" w:type="dxa"/>
            <w:vAlign w:val="center"/>
          </w:tcPr>
          <w:p>
            <w:pPr>
              <w:spacing w:line="0" w:lineRule="atLeast"/>
              <w:jc w:val="center"/>
              <w:rPr>
                <w:rFonts w:hint="eastAsia" w:ascii="宋体" w:hAnsi="宋体" w:eastAsia="宋体" w:cs="宋体"/>
                <w:color w:val="auto"/>
                <w:sz w:val="30"/>
                <w:szCs w:val="30"/>
                <w:highlight w:val="none"/>
              </w:rPr>
            </w:pPr>
          </w:p>
        </w:tc>
        <w:tc>
          <w:tcPr>
            <w:tcW w:w="600" w:type="dxa"/>
            <w:vAlign w:val="center"/>
          </w:tcPr>
          <w:p>
            <w:pPr>
              <w:spacing w:line="0" w:lineRule="atLeast"/>
              <w:jc w:val="center"/>
              <w:rPr>
                <w:rFonts w:hint="eastAsia" w:ascii="宋体" w:hAnsi="宋体" w:eastAsia="宋体" w:cs="宋体"/>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hint="eastAsia" w:ascii="宋体" w:hAnsi="宋体" w:eastAsia="宋体" w:cs="宋体"/>
                <w:color w:val="auto"/>
                <w:sz w:val="30"/>
                <w:szCs w:val="30"/>
                <w:highlight w:val="none"/>
              </w:rPr>
            </w:pPr>
          </w:p>
        </w:tc>
        <w:tc>
          <w:tcPr>
            <w:tcW w:w="957" w:type="dxa"/>
          </w:tcPr>
          <w:p>
            <w:pPr>
              <w:spacing w:line="400" w:lineRule="exact"/>
              <w:ind w:left="170"/>
              <w:rPr>
                <w:rFonts w:hint="eastAsia" w:ascii="宋体" w:hAnsi="宋体" w:eastAsia="宋体" w:cs="宋体"/>
                <w:color w:val="auto"/>
                <w:sz w:val="30"/>
                <w:szCs w:val="30"/>
                <w:highlight w:val="none"/>
              </w:rPr>
            </w:pPr>
          </w:p>
        </w:tc>
        <w:tc>
          <w:tcPr>
            <w:tcW w:w="4264" w:type="dxa"/>
          </w:tcPr>
          <w:p>
            <w:pPr>
              <w:spacing w:line="400" w:lineRule="exact"/>
              <w:jc w:val="left"/>
              <w:rPr>
                <w:rFonts w:hint="eastAsia" w:ascii="宋体" w:hAnsi="宋体" w:eastAsia="宋体" w:cs="宋体"/>
                <w:bCs/>
                <w:color w:val="auto"/>
                <w:sz w:val="30"/>
                <w:szCs w:val="30"/>
                <w:highlight w:val="none"/>
              </w:rPr>
            </w:pPr>
          </w:p>
        </w:tc>
        <w:tc>
          <w:tcPr>
            <w:tcW w:w="1777" w:type="dxa"/>
            <w:vAlign w:val="center"/>
          </w:tcPr>
          <w:p>
            <w:pPr>
              <w:spacing w:line="0" w:lineRule="atLeast"/>
              <w:jc w:val="center"/>
              <w:rPr>
                <w:rFonts w:hint="eastAsia" w:ascii="宋体" w:hAnsi="宋体" w:eastAsia="宋体" w:cs="宋体"/>
                <w:color w:val="auto"/>
                <w:sz w:val="30"/>
                <w:szCs w:val="30"/>
                <w:highlight w:val="none"/>
              </w:rPr>
            </w:pPr>
          </w:p>
        </w:tc>
        <w:tc>
          <w:tcPr>
            <w:tcW w:w="641" w:type="dxa"/>
            <w:vAlign w:val="center"/>
          </w:tcPr>
          <w:p>
            <w:pPr>
              <w:spacing w:line="0" w:lineRule="atLeast"/>
              <w:jc w:val="center"/>
              <w:rPr>
                <w:rFonts w:hint="eastAsia" w:ascii="宋体" w:hAnsi="宋体" w:eastAsia="宋体" w:cs="宋体"/>
                <w:color w:val="auto"/>
                <w:sz w:val="30"/>
                <w:szCs w:val="30"/>
                <w:highlight w:val="none"/>
              </w:rPr>
            </w:pPr>
          </w:p>
        </w:tc>
        <w:tc>
          <w:tcPr>
            <w:tcW w:w="600" w:type="dxa"/>
            <w:vAlign w:val="center"/>
          </w:tcPr>
          <w:p>
            <w:pPr>
              <w:spacing w:line="0" w:lineRule="atLeast"/>
              <w:jc w:val="center"/>
              <w:rPr>
                <w:rFonts w:hint="eastAsia" w:ascii="宋体" w:hAnsi="宋体" w:eastAsia="宋体" w:cs="宋体"/>
                <w:color w:val="auto"/>
                <w:sz w:val="30"/>
                <w:szCs w:val="30"/>
                <w:highlight w:val="none"/>
              </w:rPr>
            </w:pPr>
          </w:p>
        </w:tc>
      </w:tr>
    </w:tbl>
    <w:p>
      <w:pPr>
        <w:spacing w:line="400" w:lineRule="exact"/>
        <w:rPr>
          <w:rFonts w:hint="eastAsia" w:ascii="宋体" w:hAnsi="宋体" w:eastAsia="宋体" w:cs="宋体"/>
          <w:bCs/>
          <w:color w:val="auto"/>
          <w:sz w:val="30"/>
          <w:szCs w:val="30"/>
          <w:highlight w:val="none"/>
        </w:rPr>
      </w:pPr>
    </w:p>
    <w:p>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填报说明：</w:t>
      </w:r>
    </w:p>
    <w:p>
      <w:pPr>
        <w:spacing w:line="400" w:lineRule="exact"/>
        <w:ind w:left="709" w:hanging="28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1.本表中的《</w:t>
      </w:r>
      <w:r>
        <w:rPr>
          <w:rFonts w:hint="eastAsia" w:ascii="宋体" w:hAnsi="宋体" w:eastAsia="宋体" w:cs="宋体"/>
          <w:color w:val="auto"/>
          <w:sz w:val="30"/>
          <w:szCs w:val="30"/>
          <w:highlight w:val="none"/>
        </w:rPr>
        <w:t>招标</w:t>
      </w:r>
      <w:r>
        <w:rPr>
          <w:rFonts w:hint="eastAsia" w:ascii="宋体" w:hAnsi="宋体" w:eastAsia="宋体" w:cs="宋体"/>
          <w:color w:val="auto"/>
          <w:sz w:val="28"/>
          <w:szCs w:val="28"/>
          <w:highlight w:val="none"/>
        </w:rPr>
        <w:t>文件商务要求》来自于</w:t>
      </w:r>
      <w:r>
        <w:rPr>
          <w:rFonts w:hint="eastAsia" w:ascii="宋体" w:hAnsi="宋体" w:eastAsia="宋体" w:cs="宋体"/>
          <w:color w:val="auto"/>
          <w:sz w:val="30"/>
          <w:szCs w:val="30"/>
          <w:highlight w:val="none"/>
        </w:rPr>
        <w:t>招标文件</w:t>
      </w:r>
      <w:r>
        <w:rPr>
          <w:rFonts w:hint="eastAsia" w:ascii="宋体" w:hAnsi="宋体" w:eastAsia="宋体" w:cs="宋体"/>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不可偏离项”响应内容涉及偏离内容的，视同偏离本项目要求，该投标文件不能通过不可偏离项检查。</w:t>
      </w:r>
    </w:p>
    <w:p>
      <w:pPr>
        <w:spacing w:line="400" w:lineRule="exact"/>
        <w:ind w:left="709" w:hanging="28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3.《有/无偏离》栏仅可填“有”或“无”， 响应结果优于（或高于）本项目需求的，可在《说明》栏中作出优于（或高于）本项目需求的具体说明。</w:t>
      </w:r>
    </w:p>
    <w:p>
      <w:pPr>
        <w:spacing w:line="320" w:lineRule="exact"/>
        <w:rPr>
          <w:rFonts w:hint="eastAsia" w:ascii="宋体" w:hAnsi="宋体" w:eastAsia="宋体" w:cs="宋体"/>
          <w:color w:val="auto"/>
          <w:sz w:val="30"/>
          <w:szCs w:val="30"/>
          <w:highlight w:val="none"/>
        </w:rPr>
      </w:pPr>
    </w:p>
    <w:p>
      <w:pPr>
        <w:spacing w:line="320" w:lineRule="exact"/>
        <w:rPr>
          <w:rFonts w:hint="eastAsia" w:ascii="宋体" w:hAnsi="宋体" w:eastAsia="宋体" w:cs="宋体"/>
          <w:color w:val="auto"/>
          <w:sz w:val="30"/>
          <w:szCs w:val="30"/>
          <w:highlight w:val="none"/>
        </w:rPr>
      </w:pPr>
    </w:p>
    <w:p>
      <w:pPr>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法定代表人或其授权委托人（签字或盖章）：</w:t>
      </w:r>
      <w:r>
        <w:rPr>
          <w:rFonts w:hint="eastAsia" w:ascii="宋体" w:hAnsi="宋体" w:eastAsia="宋体" w:cs="宋体"/>
          <w:color w:val="auto"/>
          <w:sz w:val="30"/>
          <w:szCs w:val="30"/>
          <w:highlight w:val="none"/>
          <w:u w:val="single"/>
        </w:rPr>
        <w:t xml:space="preserve">                        </w:t>
      </w:r>
    </w:p>
    <w:p>
      <w:pPr>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30"/>
          <w:szCs w:val="30"/>
          <w:highlight w:val="none"/>
        </w:rPr>
        <w:t>名称及盖章：</w:t>
      </w:r>
      <w:r>
        <w:rPr>
          <w:rFonts w:hint="eastAsia" w:ascii="宋体" w:hAnsi="宋体" w:eastAsia="宋体" w:cs="宋体"/>
          <w:color w:val="auto"/>
          <w:sz w:val="30"/>
          <w:szCs w:val="30"/>
          <w:highlight w:val="none"/>
          <w:u w:val="singl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日期：________年____月____日</w:t>
      </w:r>
      <w:bookmarkStart w:id="80" w:name="_Toc395883088"/>
      <w:bookmarkStart w:id="81" w:name="_Toc236803111"/>
      <w:bookmarkStart w:id="82" w:name="_Toc478387764"/>
      <w:r>
        <w:rPr>
          <w:rFonts w:hint="eastAsia" w:ascii="宋体" w:hAnsi="宋体" w:eastAsia="宋体" w:cs="宋体"/>
          <w:color w:val="auto"/>
          <w:sz w:val="28"/>
          <w:szCs w:val="28"/>
          <w:highlight w:val="none"/>
        </w:rPr>
        <w:br w:type="page"/>
      </w:r>
    </w:p>
    <w:p>
      <w:pPr>
        <w:spacing w:line="0" w:lineRule="atLeast"/>
        <w:outlineLvl w:val="1"/>
        <w:rPr>
          <w:rFonts w:hint="eastAsia" w:ascii="宋体" w:hAnsi="宋体" w:eastAsia="宋体" w:cs="宋体"/>
          <w:color w:val="auto"/>
          <w:szCs w:val="21"/>
          <w:highlight w:val="none"/>
        </w:rPr>
      </w:pPr>
      <w:bookmarkStart w:id="83" w:name="_Toc32032"/>
      <w:r>
        <w:rPr>
          <w:rFonts w:hint="eastAsia" w:ascii="宋体" w:hAnsi="宋体" w:eastAsia="宋体" w:cs="宋体"/>
          <w:color w:val="auto"/>
          <w:szCs w:val="21"/>
          <w:highlight w:val="none"/>
        </w:rPr>
        <w:t>附件7：报价一览表（货物）（本项目不适用）</w:t>
      </w:r>
      <w:bookmarkEnd w:id="83"/>
    </w:p>
    <w:bookmarkEnd w:id="80"/>
    <w:bookmarkEnd w:id="81"/>
    <w:bookmarkEnd w:id="82"/>
    <w:p>
      <w:pPr>
        <w:spacing w:before="120" w:after="240"/>
        <w:jc w:val="center"/>
        <w:rPr>
          <w:rFonts w:hint="eastAsia" w:ascii="宋体" w:hAnsi="宋体" w:eastAsia="宋体" w:cs="宋体"/>
          <w:b/>
          <w:color w:val="auto"/>
          <w:sz w:val="32"/>
          <w:szCs w:val="32"/>
          <w:highlight w:val="none"/>
        </w:rPr>
      </w:pPr>
      <w:bookmarkStart w:id="84" w:name="_Toc211248412"/>
      <w:r>
        <w:rPr>
          <w:rFonts w:hint="eastAsia" w:ascii="宋体" w:hAnsi="宋体" w:eastAsia="宋体" w:cs="宋体"/>
          <w:b/>
          <w:color w:val="auto"/>
          <w:sz w:val="32"/>
          <w:szCs w:val="32"/>
          <w:highlight w:val="none"/>
        </w:rPr>
        <w:t>报价一览表</w:t>
      </w:r>
      <w:bookmarkEnd w:id="84"/>
      <w:r>
        <w:rPr>
          <w:rFonts w:hint="eastAsia" w:ascii="宋体" w:hAnsi="宋体" w:eastAsia="宋体" w:cs="宋体"/>
          <w:b/>
          <w:color w:val="auto"/>
          <w:sz w:val="32"/>
          <w:szCs w:val="32"/>
          <w:highlight w:val="none"/>
        </w:rPr>
        <w:t>（货物）</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交货地点：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交货期：</w:t>
      </w:r>
      <w:r>
        <w:rPr>
          <w:rFonts w:hint="eastAsia" w:ascii="宋体" w:hAnsi="宋体" w:eastAsia="宋体" w:cs="宋体"/>
          <w:color w:val="auto"/>
          <w:sz w:val="28"/>
          <w:szCs w:val="28"/>
          <w:highlight w:val="none"/>
          <w:u w:val="single"/>
        </w:rPr>
        <w:t xml:space="preserve">             </w:t>
      </w:r>
    </w:p>
    <w:p>
      <w:pPr>
        <w:spacing w:after="8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币种：人民币         税率：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843"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1560"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型号和规格</w:t>
            </w:r>
          </w:p>
        </w:tc>
        <w:tc>
          <w:tcPr>
            <w:tcW w:w="954"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制造商</w:t>
            </w:r>
          </w:p>
        </w:tc>
        <w:tc>
          <w:tcPr>
            <w:tcW w:w="850"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产地</w:t>
            </w:r>
          </w:p>
        </w:tc>
        <w:tc>
          <w:tcPr>
            <w:tcW w:w="536"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w:t>
            </w:r>
          </w:p>
        </w:tc>
        <w:tc>
          <w:tcPr>
            <w:tcW w:w="1307"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850"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w:t>
            </w:r>
          </w:p>
        </w:tc>
        <w:tc>
          <w:tcPr>
            <w:tcW w:w="851" w:type="dxa"/>
            <w:vAlign w:val="center"/>
          </w:tcPr>
          <w:p>
            <w:pPr>
              <w:autoSpaceDE w:val="0"/>
              <w:autoSpaceDN w:val="0"/>
              <w:adjustRightIn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hint="eastAsia" w:ascii="宋体" w:hAnsi="宋体" w:eastAsia="宋体" w:cs="宋体"/>
                <w:color w:val="auto"/>
                <w:sz w:val="28"/>
                <w:szCs w:val="28"/>
                <w:highlight w:val="none"/>
              </w:rPr>
            </w:pPr>
          </w:p>
        </w:tc>
        <w:tc>
          <w:tcPr>
            <w:tcW w:w="1843" w:type="dxa"/>
            <w:vAlign w:val="center"/>
          </w:tcPr>
          <w:p>
            <w:pPr>
              <w:autoSpaceDE w:val="0"/>
              <w:autoSpaceDN w:val="0"/>
              <w:adjustRightInd w:val="0"/>
              <w:rPr>
                <w:rFonts w:hint="eastAsia" w:ascii="宋体" w:hAnsi="宋体" w:eastAsia="宋体" w:cs="宋体"/>
                <w:color w:val="auto"/>
                <w:sz w:val="28"/>
                <w:szCs w:val="28"/>
                <w:highlight w:val="none"/>
              </w:rPr>
            </w:pPr>
          </w:p>
        </w:tc>
        <w:tc>
          <w:tcPr>
            <w:tcW w:w="1560" w:type="dxa"/>
            <w:vAlign w:val="center"/>
          </w:tcPr>
          <w:p>
            <w:pPr>
              <w:autoSpaceDE w:val="0"/>
              <w:autoSpaceDN w:val="0"/>
              <w:adjustRightInd w:val="0"/>
              <w:rPr>
                <w:rFonts w:hint="eastAsia" w:ascii="宋体" w:hAnsi="宋体" w:eastAsia="宋体" w:cs="宋体"/>
                <w:color w:val="auto"/>
                <w:sz w:val="28"/>
                <w:szCs w:val="28"/>
                <w:highlight w:val="none"/>
              </w:rPr>
            </w:pPr>
          </w:p>
        </w:tc>
        <w:tc>
          <w:tcPr>
            <w:tcW w:w="954"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536" w:type="dxa"/>
            <w:vAlign w:val="center"/>
          </w:tcPr>
          <w:p>
            <w:pPr>
              <w:autoSpaceDE w:val="0"/>
              <w:autoSpaceDN w:val="0"/>
              <w:adjustRightInd w:val="0"/>
              <w:rPr>
                <w:rFonts w:hint="eastAsia" w:ascii="宋体" w:hAnsi="宋体" w:eastAsia="宋体" w:cs="宋体"/>
                <w:color w:val="auto"/>
                <w:sz w:val="28"/>
                <w:szCs w:val="28"/>
                <w:highlight w:val="none"/>
              </w:rPr>
            </w:pPr>
          </w:p>
        </w:tc>
        <w:tc>
          <w:tcPr>
            <w:tcW w:w="1307"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851" w:type="dxa"/>
            <w:vAlign w:val="center"/>
          </w:tcPr>
          <w:p>
            <w:pPr>
              <w:autoSpaceDE w:val="0"/>
              <w:autoSpaceDN w:val="0"/>
              <w:adjustRightInd w:val="0"/>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hint="eastAsia" w:ascii="宋体" w:hAnsi="宋体" w:eastAsia="宋体" w:cs="宋体"/>
                <w:color w:val="auto"/>
                <w:sz w:val="28"/>
                <w:szCs w:val="28"/>
                <w:highlight w:val="none"/>
              </w:rPr>
            </w:pPr>
          </w:p>
        </w:tc>
        <w:tc>
          <w:tcPr>
            <w:tcW w:w="1843" w:type="dxa"/>
            <w:vAlign w:val="center"/>
          </w:tcPr>
          <w:p>
            <w:pPr>
              <w:autoSpaceDE w:val="0"/>
              <w:autoSpaceDN w:val="0"/>
              <w:adjustRightInd w:val="0"/>
              <w:rPr>
                <w:rFonts w:hint="eastAsia" w:ascii="宋体" w:hAnsi="宋体" w:eastAsia="宋体" w:cs="宋体"/>
                <w:color w:val="auto"/>
                <w:sz w:val="28"/>
                <w:szCs w:val="28"/>
                <w:highlight w:val="none"/>
              </w:rPr>
            </w:pPr>
          </w:p>
        </w:tc>
        <w:tc>
          <w:tcPr>
            <w:tcW w:w="1560" w:type="dxa"/>
            <w:vAlign w:val="center"/>
          </w:tcPr>
          <w:p>
            <w:pPr>
              <w:autoSpaceDE w:val="0"/>
              <w:autoSpaceDN w:val="0"/>
              <w:adjustRightInd w:val="0"/>
              <w:rPr>
                <w:rFonts w:hint="eastAsia" w:ascii="宋体" w:hAnsi="宋体" w:eastAsia="宋体" w:cs="宋体"/>
                <w:color w:val="auto"/>
                <w:sz w:val="28"/>
                <w:szCs w:val="28"/>
                <w:highlight w:val="none"/>
              </w:rPr>
            </w:pPr>
          </w:p>
        </w:tc>
        <w:tc>
          <w:tcPr>
            <w:tcW w:w="954"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536" w:type="dxa"/>
            <w:vAlign w:val="center"/>
          </w:tcPr>
          <w:p>
            <w:pPr>
              <w:autoSpaceDE w:val="0"/>
              <w:autoSpaceDN w:val="0"/>
              <w:adjustRightInd w:val="0"/>
              <w:rPr>
                <w:rFonts w:hint="eastAsia" w:ascii="宋体" w:hAnsi="宋体" w:eastAsia="宋体" w:cs="宋体"/>
                <w:color w:val="auto"/>
                <w:sz w:val="28"/>
                <w:szCs w:val="28"/>
                <w:highlight w:val="none"/>
              </w:rPr>
            </w:pPr>
          </w:p>
        </w:tc>
        <w:tc>
          <w:tcPr>
            <w:tcW w:w="1307"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851" w:type="dxa"/>
            <w:vAlign w:val="center"/>
          </w:tcPr>
          <w:p>
            <w:pPr>
              <w:autoSpaceDE w:val="0"/>
              <w:autoSpaceDN w:val="0"/>
              <w:adjustRightInd w:val="0"/>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hint="eastAsia" w:ascii="宋体" w:hAnsi="宋体" w:eastAsia="宋体" w:cs="宋体"/>
                <w:color w:val="auto"/>
                <w:sz w:val="28"/>
                <w:szCs w:val="28"/>
                <w:highlight w:val="none"/>
              </w:rPr>
            </w:pPr>
          </w:p>
        </w:tc>
        <w:tc>
          <w:tcPr>
            <w:tcW w:w="1843" w:type="dxa"/>
            <w:vAlign w:val="center"/>
          </w:tcPr>
          <w:p>
            <w:pPr>
              <w:autoSpaceDE w:val="0"/>
              <w:autoSpaceDN w:val="0"/>
              <w:adjustRightInd w:val="0"/>
              <w:rPr>
                <w:rFonts w:hint="eastAsia" w:ascii="宋体" w:hAnsi="宋体" w:eastAsia="宋体" w:cs="宋体"/>
                <w:color w:val="auto"/>
                <w:sz w:val="28"/>
                <w:szCs w:val="28"/>
                <w:highlight w:val="none"/>
              </w:rPr>
            </w:pPr>
          </w:p>
        </w:tc>
        <w:tc>
          <w:tcPr>
            <w:tcW w:w="1560" w:type="dxa"/>
            <w:vAlign w:val="center"/>
          </w:tcPr>
          <w:p>
            <w:pPr>
              <w:autoSpaceDE w:val="0"/>
              <w:autoSpaceDN w:val="0"/>
              <w:adjustRightInd w:val="0"/>
              <w:rPr>
                <w:rFonts w:hint="eastAsia" w:ascii="宋体" w:hAnsi="宋体" w:eastAsia="宋体" w:cs="宋体"/>
                <w:color w:val="auto"/>
                <w:sz w:val="28"/>
                <w:szCs w:val="28"/>
                <w:highlight w:val="none"/>
              </w:rPr>
            </w:pPr>
          </w:p>
        </w:tc>
        <w:tc>
          <w:tcPr>
            <w:tcW w:w="954"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536" w:type="dxa"/>
            <w:vAlign w:val="center"/>
          </w:tcPr>
          <w:p>
            <w:pPr>
              <w:autoSpaceDE w:val="0"/>
              <w:autoSpaceDN w:val="0"/>
              <w:adjustRightInd w:val="0"/>
              <w:rPr>
                <w:rFonts w:hint="eastAsia" w:ascii="宋体" w:hAnsi="宋体" w:eastAsia="宋体" w:cs="宋体"/>
                <w:color w:val="auto"/>
                <w:sz w:val="28"/>
                <w:szCs w:val="28"/>
                <w:highlight w:val="none"/>
              </w:rPr>
            </w:pPr>
          </w:p>
        </w:tc>
        <w:tc>
          <w:tcPr>
            <w:tcW w:w="1307"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851" w:type="dxa"/>
            <w:vAlign w:val="center"/>
          </w:tcPr>
          <w:p>
            <w:pPr>
              <w:autoSpaceDE w:val="0"/>
              <w:autoSpaceDN w:val="0"/>
              <w:adjustRightInd w:val="0"/>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hint="eastAsia" w:ascii="宋体" w:hAnsi="宋体" w:eastAsia="宋体" w:cs="宋体"/>
                <w:color w:val="auto"/>
                <w:sz w:val="28"/>
                <w:szCs w:val="28"/>
                <w:highlight w:val="none"/>
              </w:rPr>
            </w:pPr>
          </w:p>
        </w:tc>
        <w:tc>
          <w:tcPr>
            <w:tcW w:w="1843" w:type="dxa"/>
            <w:vAlign w:val="center"/>
          </w:tcPr>
          <w:p>
            <w:pPr>
              <w:autoSpaceDE w:val="0"/>
              <w:autoSpaceDN w:val="0"/>
              <w:adjustRightInd w:val="0"/>
              <w:rPr>
                <w:rFonts w:hint="eastAsia" w:ascii="宋体" w:hAnsi="宋体" w:eastAsia="宋体" w:cs="宋体"/>
                <w:color w:val="auto"/>
                <w:sz w:val="28"/>
                <w:szCs w:val="28"/>
                <w:highlight w:val="none"/>
              </w:rPr>
            </w:pPr>
          </w:p>
        </w:tc>
        <w:tc>
          <w:tcPr>
            <w:tcW w:w="1560" w:type="dxa"/>
            <w:vAlign w:val="center"/>
          </w:tcPr>
          <w:p>
            <w:pPr>
              <w:autoSpaceDE w:val="0"/>
              <w:autoSpaceDN w:val="0"/>
              <w:adjustRightInd w:val="0"/>
              <w:rPr>
                <w:rFonts w:hint="eastAsia" w:ascii="宋体" w:hAnsi="宋体" w:eastAsia="宋体" w:cs="宋体"/>
                <w:color w:val="auto"/>
                <w:sz w:val="28"/>
                <w:szCs w:val="28"/>
                <w:highlight w:val="none"/>
              </w:rPr>
            </w:pPr>
          </w:p>
        </w:tc>
        <w:tc>
          <w:tcPr>
            <w:tcW w:w="954"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536" w:type="dxa"/>
            <w:vAlign w:val="center"/>
          </w:tcPr>
          <w:p>
            <w:pPr>
              <w:autoSpaceDE w:val="0"/>
              <w:autoSpaceDN w:val="0"/>
              <w:adjustRightInd w:val="0"/>
              <w:rPr>
                <w:rFonts w:hint="eastAsia" w:ascii="宋体" w:hAnsi="宋体" w:eastAsia="宋体" w:cs="宋体"/>
                <w:color w:val="auto"/>
                <w:sz w:val="28"/>
                <w:szCs w:val="28"/>
                <w:highlight w:val="none"/>
              </w:rPr>
            </w:pPr>
          </w:p>
        </w:tc>
        <w:tc>
          <w:tcPr>
            <w:tcW w:w="1307"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851" w:type="dxa"/>
            <w:vAlign w:val="center"/>
          </w:tcPr>
          <w:p>
            <w:pPr>
              <w:autoSpaceDE w:val="0"/>
              <w:autoSpaceDN w:val="0"/>
              <w:adjustRightInd w:val="0"/>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hint="eastAsia" w:ascii="宋体" w:hAnsi="宋体" w:eastAsia="宋体" w:cs="宋体"/>
                <w:color w:val="auto"/>
                <w:sz w:val="28"/>
                <w:szCs w:val="28"/>
                <w:highlight w:val="none"/>
              </w:rPr>
            </w:pPr>
          </w:p>
        </w:tc>
        <w:tc>
          <w:tcPr>
            <w:tcW w:w="1843" w:type="dxa"/>
            <w:vAlign w:val="center"/>
          </w:tcPr>
          <w:p>
            <w:pPr>
              <w:autoSpaceDE w:val="0"/>
              <w:autoSpaceDN w:val="0"/>
              <w:adjustRightInd w:val="0"/>
              <w:rPr>
                <w:rFonts w:hint="eastAsia" w:ascii="宋体" w:hAnsi="宋体" w:eastAsia="宋体" w:cs="宋体"/>
                <w:color w:val="auto"/>
                <w:sz w:val="28"/>
                <w:szCs w:val="28"/>
                <w:highlight w:val="none"/>
              </w:rPr>
            </w:pPr>
          </w:p>
        </w:tc>
        <w:tc>
          <w:tcPr>
            <w:tcW w:w="1560" w:type="dxa"/>
            <w:vAlign w:val="center"/>
          </w:tcPr>
          <w:p>
            <w:pPr>
              <w:autoSpaceDE w:val="0"/>
              <w:autoSpaceDN w:val="0"/>
              <w:adjustRightInd w:val="0"/>
              <w:rPr>
                <w:rFonts w:hint="eastAsia" w:ascii="宋体" w:hAnsi="宋体" w:eastAsia="宋体" w:cs="宋体"/>
                <w:color w:val="auto"/>
                <w:sz w:val="28"/>
                <w:szCs w:val="28"/>
                <w:highlight w:val="none"/>
              </w:rPr>
            </w:pPr>
          </w:p>
        </w:tc>
        <w:tc>
          <w:tcPr>
            <w:tcW w:w="954"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536" w:type="dxa"/>
            <w:vAlign w:val="center"/>
          </w:tcPr>
          <w:p>
            <w:pPr>
              <w:autoSpaceDE w:val="0"/>
              <w:autoSpaceDN w:val="0"/>
              <w:adjustRightInd w:val="0"/>
              <w:rPr>
                <w:rFonts w:hint="eastAsia" w:ascii="宋体" w:hAnsi="宋体" w:eastAsia="宋体" w:cs="宋体"/>
                <w:color w:val="auto"/>
                <w:sz w:val="28"/>
                <w:szCs w:val="28"/>
                <w:highlight w:val="none"/>
              </w:rPr>
            </w:pPr>
          </w:p>
        </w:tc>
        <w:tc>
          <w:tcPr>
            <w:tcW w:w="1307"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851" w:type="dxa"/>
            <w:vAlign w:val="center"/>
          </w:tcPr>
          <w:p>
            <w:pPr>
              <w:autoSpaceDE w:val="0"/>
              <w:autoSpaceDN w:val="0"/>
              <w:adjustRightInd w:val="0"/>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hint="eastAsia" w:ascii="宋体" w:hAnsi="宋体" w:eastAsia="宋体" w:cs="宋体"/>
                <w:color w:val="auto"/>
                <w:sz w:val="28"/>
                <w:szCs w:val="28"/>
                <w:highlight w:val="none"/>
              </w:rPr>
            </w:pPr>
          </w:p>
        </w:tc>
        <w:tc>
          <w:tcPr>
            <w:tcW w:w="1843" w:type="dxa"/>
            <w:vAlign w:val="center"/>
          </w:tcPr>
          <w:p>
            <w:pPr>
              <w:autoSpaceDE w:val="0"/>
              <w:autoSpaceDN w:val="0"/>
              <w:adjustRightInd w:val="0"/>
              <w:rPr>
                <w:rFonts w:hint="eastAsia" w:ascii="宋体" w:hAnsi="宋体" w:eastAsia="宋体" w:cs="宋体"/>
                <w:color w:val="auto"/>
                <w:sz w:val="28"/>
                <w:szCs w:val="28"/>
                <w:highlight w:val="none"/>
              </w:rPr>
            </w:pPr>
          </w:p>
        </w:tc>
        <w:tc>
          <w:tcPr>
            <w:tcW w:w="1560" w:type="dxa"/>
            <w:vAlign w:val="center"/>
          </w:tcPr>
          <w:p>
            <w:pPr>
              <w:autoSpaceDE w:val="0"/>
              <w:autoSpaceDN w:val="0"/>
              <w:adjustRightInd w:val="0"/>
              <w:rPr>
                <w:rFonts w:hint="eastAsia" w:ascii="宋体" w:hAnsi="宋体" w:eastAsia="宋体" w:cs="宋体"/>
                <w:color w:val="auto"/>
                <w:sz w:val="28"/>
                <w:szCs w:val="28"/>
                <w:highlight w:val="none"/>
              </w:rPr>
            </w:pPr>
          </w:p>
        </w:tc>
        <w:tc>
          <w:tcPr>
            <w:tcW w:w="954"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536" w:type="dxa"/>
            <w:vAlign w:val="center"/>
          </w:tcPr>
          <w:p>
            <w:pPr>
              <w:autoSpaceDE w:val="0"/>
              <w:autoSpaceDN w:val="0"/>
              <w:adjustRightInd w:val="0"/>
              <w:rPr>
                <w:rFonts w:hint="eastAsia" w:ascii="宋体" w:hAnsi="宋体" w:eastAsia="宋体" w:cs="宋体"/>
                <w:color w:val="auto"/>
                <w:sz w:val="28"/>
                <w:szCs w:val="28"/>
                <w:highlight w:val="none"/>
              </w:rPr>
            </w:pPr>
          </w:p>
        </w:tc>
        <w:tc>
          <w:tcPr>
            <w:tcW w:w="1307" w:type="dxa"/>
            <w:vAlign w:val="center"/>
          </w:tcPr>
          <w:p>
            <w:pPr>
              <w:autoSpaceDE w:val="0"/>
              <w:autoSpaceDN w:val="0"/>
              <w:adjustRightInd w:val="0"/>
              <w:rPr>
                <w:rFonts w:hint="eastAsia" w:ascii="宋体" w:hAnsi="宋体" w:eastAsia="宋体" w:cs="宋体"/>
                <w:color w:val="auto"/>
                <w:sz w:val="28"/>
                <w:szCs w:val="28"/>
                <w:highlight w:val="none"/>
              </w:rPr>
            </w:pPr>
          </w:p>
        </w:tc>
        <w:tc>
          <w:tcPr>
            <w:tcW w:w="850" w:type="dxa"/>
            <w:vAlign w:val="center"/>
          </w:tcPr>
          <w:p>
            <w:pPr>
              <w:autoSpaceDE w:val="0"/>
              <w:autoSpaceDN w:val="0"/>
              <w:adjustRightInd w:val="0"/>
              <w:rPr>
                <w:rFonts w:hint="eastAsia" w:ascii="宋体" w:hAnsi="宋体" w:eastAsia="宋体" w:cs="宋体"/>
                <w:color w:val="auto"/>
                <w:sz w:val="28"/>
                <w:szCs w:val="28"/>
                <w:highlight w:val="none"/>
              </w:rPr>
            </w:pPr>
          </w:p>
        </w:tc>
        <w:tc>
          <w:tcPr>
            <w:tcW w:w="851" w:type="dxa"/>
            <w:vAlign w:val="center"/>
          </w:tcPr>
          <w:p>
            <w:pPr>
              <w:autoSpaceDE w:val="0"/>
              <w:autoSpaceDN w:val="0"/>
              <w:adjustRightInd w:val="0"/>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合计金额：</w:t>
            </w:r>
          </w:p>
        </w:tc>
        <w:tc>
          <w:tcPr>
            <w:tcW w:w="851" w:type="dxa"/>
            <w:vAlign w:val="center"/>
          </w:tcPr>
          <w:p>
            <w:pPr>
              <w:autoSpaceDE w:val="0"/>
              <w:autoSpaceDN w:val="0"/>
              <w:adjustRightInd w:val="0"/>
              <w:jc w:val="right"/>
              <w:rPr>
                <w:rFonts w:hint="eastAsia" w:ascii="宋体" w:hAnsi="宋体" w:eastAsia="宋体" w:cs="宋体"/>
                <w:color w:val="auto"/>
                <w:sz w:val="28"/>
                <w:szCs w:val="28"/>
                <w:highlight w:val="none"/>
              </w:rPr>
            </w:pPr>
          </w:p>
        </w:tc>
      </w:tr>
    </w:tbl>
    <w:p>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pPr>
        <w:pStyle w:val="26"/>
        <w:numPr>
          <w:ilvl w:val="1"/>
          <w:numId w:val="39"/>
        </w:numPr>
        <w:spacing w:line="400" w:lineRule="exact"/>
        <w:ind w:left="709" w:hanging="283"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投标人如果需要对报价或其它内容加以说明，可在备注一栏中填写。</w:t>
      </w:r>
    </w:p>
    <w:p>
      <w:pPr>
        <w:pStyle w:val="26"/>
        <w:numPr>
          <w:ilvl w:val="1"/>
          <w:numId w:val="39"/>
        </w:numPr>
        <w:spacing w:line="400" w:lineRule="exact"/>
        <w:ind w:left="709" w:hanging="283" w:firstLineChars="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bCs/>
          <w:color w:val="auto"/>
          <w:sz w:val="28"/>
          <w:szCs w:val="28"/>
          <w:highlight w:val="none"/>
        </w:rPr>
        <w:t>使用本表或自由报价单格式报价均可，但应能清晰体现总报价及分项报价信息。</w:t>
      </w:r>
    </w:p>
    <w:p>
      <w:pPr>
        <w:pStyle w:val="26"/>
        <w:numPr>
          <w:ilvl w:val="1"/>
          <w:numId w:val="39"/>
        </w:numPr>
        <w:spacing w:line="400" w:lineRule="exact"/>
        <w:ind w:left="709" w:hanging="283"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如果分项报价与总价不一致，以总价为准。</w:t>
      </w:r>
    </w:p>
    <w:p>
      <w:pPr>
        <w:pStyle w:val="26"/>
        <w:numPr>
          <w:ilvl w:val="1"/>
          <w:numId w:val="39"/>
        </w:numPr>
        <w:spacing w:line="400" w:lineRule="exact"/>
        <w:ind w:left="709" w:hanging="283"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表中“名称”为构成总价的各分项名称，如分项名称不涉及制造商、型号及产地信息等可打“—”。</w:t>
      </w:r>
    </w:p>
    <w:p>
      <w:pPr>
        <w:spacing w:line="0" w:lineRule="atLeast"/>
        <w:rPr>
          <w:rFonts w:hint="eastAsia" w:ascii="宋体" w:hAnsi="宋体" w:eastAsia="宋体" w:cs="宋体"/>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法定代表人或其授权委托人（签字或盖章）：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 xml:space="preserve">                        </w:t>
      </w:r>
    </w:p>
    <w:p>
      <w:pPr>
        <w:widowControl/>
        <w:jc w:val="left"/>
        <w:rPr>
          <w:rFonts w:hint="eastAsia" w:ascii="宋体" w:hAnsi="宋体" w:eastAsia="宋体" w:cs="宋体"/>
          <w:color w:val="auto"/>
          <w:sz w:val="28"/>
          <w:szCs w:val="28"/>
          <w:highlight w:val="none"/>
        </w:rPr>
        <w:sectPr>
          <w:pgSz w:w="11906" w:h="16838"/>
          <w:pgMar w:top="1134" w:right="1800" w:bottom="993" w:left="1800" w:header="851" w:footer="409" w:gutter="0"/>
          <w:pgNumType w:start="1"/>
          <w:cols w:space="425" w:num="1"/>
          <w:docGrid w:type="lines" w:linePitch="312" w:charSpace="0"/>
        </w:sectPr>
      </w:pPr>
      <w:bookmarkStart w:id="85" w:name="_Toc82095917"/>
      <w:bookmarkStart w:id="86" w:name="_Toc82359026"/>
      <w:r>
        <w:rPr>
          <w:rFonts w:hint="eastAsia" w:ascii="宋体" w:hAnsi="宋体" w:eastAsia="宋体" w:cs="宋体"/>
          <w:color w:val="auto"/>
          <w:sz w:val="28"/>
          <w:szCs w:val="28"/>
          <w:highlight w:val="none"/>
        </w:rPr>
        <w:t>日期：_________年____月____日</w:t>
      </w:r>
    </w:p>
    <w:tbl>
      <w:tblPr>
        <w:tblStyle w:val="17"/>
        <w:tblW w:w="14635" w:type="dxa"/>
        <w:tblInd w:w="0" w:type="dxa"/>
        <w:tblLayout w:type="fixed"/>
        <w:tblCellMar>
          <w:top w:w="0" w:type="dxa"/>
          <w:left w:w="0" w:type="dxa"/>
          <w:bottom w:w="0" w:type="dxa"/>
          <w:right w:w="0" w:type="dxa"/>
        </w:tblCellMar>
      </w:tblPr>
      <w:tblGrid>
        <w:gridCol w:w="504"/>
        <w:gridCol w:w="2067"/>
        <w:gridCol w:w="1290"/>
        <w:gridCol w:w="1020"/>
        <w:gridCol w:w="300"/>
        <w:gridCol w:w="7"/>
        <w:gridCol w:w="233"/>
        <w:gridCol w:w="305"/>
        <w:gridCol w:w="213"/>
        <w:gridCol w:w="27"/>
        <w:gridCol w:w="213"/>
        <w:gridCol w:w="509"/>
        <w:gridCol w:w="797"/>
        <w:gridCol w:w="1504"/>
        <w:gridCol w:w="1116"/>
        <w:gridCol w:w="1284"/>
        <w:gridCol w:w="1356"/>
        <w:gridCol w:w="1121"/>
        <w:gridCol w:w="769"/>
      </w:tblGrid>
      <w:tr>
        <w:tblPrEx>
          <w:tblCellMar>
            <w:top w:w="0" w:type="dxa"/>
            <w:left w:w="0" w:type="dxa"/>
            <w:bottom w:w="0" w:type="dxa"/>
            <w:right w:w="0" w:type="dxa"/>
          </w:tblCellMar>
        </w:tblPrEx>
        <w:trPr>
          <w:trHeight w:val="27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spacing w:line="0" w:lineRule="atLeast"/>
              <w:outlineLvl w:val="1"/>
              <w:rPr>
                <w:rFonts w:hint="eastAsia" w:ascii="宋体" w:hAnsi="宋体" w:eastAsia="宋体" w:cs="宋体"/>
                <w:color w:val="auto"/>
                <w:szCs w:val="21"/>
                <w:highlight w:val="none"/>
              </w:rPr>
            </w:pPr>
            <w:bookmarkStart w:id="87" w:name="_Toc769"/>
            <w:r>
              <w:rPr>
                <w:rFonts w:hint="eastAsia" w:ascii="宋体" w:hAnsi="宋体" w:eastAsia="宋体" w:cs="宋体"/>
                <w:color w:val="auto"/>
                <w:szCs w:val="21"/>
                <w:highlight w:val="none"/>
              </w:rPr>
              <w:t>附件8：报价一览表（服务）</w:t>
            </w:r>
            <w:bookmarkEnd w:id="87"/>
          </w:p>
        </w:tc>
      </w:tr>
      <w:tr>
        <w:tblPrEx>
          <w:tblCellMar>
            <w:top w:w="0" w:type="dxa"/>
            <w:left w:w="0" w:type="dxa"/>
            <w:bottom w:w="0" w:type="dxa"/>
            <w:right w:w="0" w:type="dxa"/>
          </w:tblCellMar>
        </w:tblPrEx>
        <w:trPr>
          <w:trHeight w:val="476"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8"/>
                <w:szCs w:val="28"/>
                <w:highlight w:val="none"/>
              </w:rPr>
            </w:pPr>
            <w:r>
              <w:rPr>
                <w:rFonts w:hint="eastAsia" w:ascii="宋体" w:hAnsi="宋体" w:cs="宋体"/>
                <w:b/>
                <w:color w:val="auto"/>
                <w:kern w:val="0"/>
                <w:sz w:val="28"/>
                <w:szCs w:val="28"/>
                <w:highlight w:val="none"/>
              </w:rPr>
              <w:t>报价一览表（服务）</w:t>
            </w:r>
          </w:p>
        </w:tc>
      </w:tr>
      <w:tr>
        <w:tblPrEx>
          <w:tblCellMar>
            <w:top w:w="0" w:type="dxa"/>
            <w:left w:w="0" w:type="dxa"/>
            <w:bottom w:w="0" w:type="dxa"/>
            <w:right w:w="0" w:type="dxa"/>
          </w:tblCellMar>
        </w:tblPrEx>
        <w:trPr>
          <w:trHeight w:val="27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lang w:eastAsia="zh-CN"/>
              </w:rPr>
            </w:pPr>
            <w:r>
              <w:rPr>
                <w:rFonts w:hint="eastAsia" w:ascii="宋体" w:hAnsi="宋体" w:cs="宋体"/>
                <w:b/>
                <w:color w:val="auto"/>
                <w:kern w:val="0"/>
                <w:szCs w:val="21"/>
                <w:highlight w:val="none"/>
              </w:rPr>
              <w:t>暨深圳会展中心第二十</w:t>
            </w:r>
            <w:r>
              <w:rPr>
                <w:rFonts w:hint="eastAsia" w:ascii="宋体" w:hAnsi="宋体" w:cs="宋体"/>
                <w:b/>
                <w:color w:val="auto"/>
                <w:kern w:val="0"/>
                <w:szCs w:val="21"/>
                <w:highlight w:val="none"/>
                <w:lang w:val="en-US" w:eastAsia="zh-CN"/>
              </w:rPr>
              <w:t>五</w:t>
            </w:r>
            <w:r>
              <w:rPr>
                <w:rFonts w:hint="eastAsia" w:ascii="宋体" w:hAnsi="宋体" w:cs="宋体"/>
                <w:b/>
                <w:color w:val="auto"/>
                <w:kern w:val="0"/>
                <w:szCs w:val="21"/>
                <w:highlight w:val="none"/>
              </w:rPr>
              <w:t>届高交</w:t>
            </w:r>
            <w:r>
              <w:rPr>
                <w:rFonts w:hint="eastAsia" w:ascii="宋体" w:hAnsi="宋体" w:cs="宋体"/>
                <w:b/>
                <w:color w:val="auto"/>
                <w:kern w:val="0"/>
                <w:szCs w:val="21"/>
                <w:highlight w:val="none"/>
                <w:lang w:eastAsia="zh-CN"/>
              </w:rPr>
              <w:t>会</w:t>
            </w:r>
            <w:r>
              <w:rPr>
                <w:rFonts w:hint="eastAsia" w:ascii="宋体" w:hAnsi="宋体" w:cs="宋体"/>
                <w:b/>
                <w:color w:val="auto"/>
                <w:kern w:val="0"/>
                <w:szCs w:val="21"/>
                <w:highlight w:val="none"/>
                <w:lang w:val="en-US" w:eastAsia="zh-CN"/>
              </w:rPr>
              <w:t>IT展数字经济和智能终端领域</w:t>
            </w:r>
            <w:r>
              <w:rPr>
                <w:rFonts w:hint="eastAsia" w:ascii="宋体" w:hAnsi="宋体" w:cs="宋体"/>
                <w:b/>
                <w:color w:val="auto"/>
                <w:kern w:val="0"/>
                <w:szCs w:val="21"/>
                <w:highlight w:val="none"/>
                <w:lang w:eastAsia="zh-CN"/>
              </w:rPr>
              <w:t>行业垂直媒体</w:t>
            </w:r>
            <w:r>
              <w:rPr>
                <w:rFonts w:hint="eastAsia" w:ascii="宋体" w:hAnsi="宋体" w:cs="宋体"/>
                <w:b/>
                <w:color w:val="auto"/>
                <w:kern w:val="0"/>
                <w:szCs w:val="21"/>
                <w:highlight w:val="none"/>
              </w:rPr>
              <w:t>投放服务计划及报价表</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表一</w:t>
            </w:r>
            <w:r>
              <w:rPr>
                <w:rFonts w:hint="eastAsia" w:ascii="宋体" w:hAnsi="宋体" w:cs="宋体"/>
                <w:b/>
                <w:color w:val="auto"/>
                <w:kern w:val="0"/>
                <w:szCs w:val="21"/>
                <w:highlight w:val="none"/>
                <w:lang w:eastAsia="zh-CN"/>
              </w:rPr>
              <w:t>）</w:t>
            </w:r>
          </w:p>
        </w:tc>
      </w:tr>
      <w:tr>
        <w:tblPrEx>
          <w:tblCellMar>
            <w:top w:w="0" w:type="dxa"/>
            <w:left w:w="0" w:type="dxa"/>
            <w:bottom w:w="0" w:type="dxa"/>
            <w:right w:w="0" w:type="dxa"/>
          </w:tblCellMar>
        </w:tblPrEx>
        <w:trPr>
          <w:trHeight w:val="27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p>
        </w:tc>
      </w:tr>
      <w:tr>
        <w:tblPrEx>
          <w:tblCellMar>
            <w:top w:w="0" w:type="dxa"/>
            <w:left w:w="0" w:type="dxa"/>
            <w:bottom w:w="0" w:type="dxa"/>
            <w:right w:w="0" w:type="dxa"/>
          </w:tblCellMar>
        </w:tblPrEx>
        <w:trPr>
          <w:trHeight w:val="420" w:hRule="atLeast"/>
        </w:trPr>
        <w:tc>
          <w:tcPr>
            <w:tcW w:w="14635" w:type="dxa"/>
            <w:gridSpan w:val="19"/>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币种：人民币        税率：</w:t>
            </w:r>
            <w:r>
              <w:rPr>
                <w:rFonts w:hint="eastAsia" w:ascii="宋体" w:hAnsi="宋体" w:cs="宋体"/>
                <w:color w:val="auto"/>
                <w:kern w:val="0"/>
                <w:szCs w:val="21"/>
                <w:highlight w:val="none"/>
                <w:u w:val="single"/>
              </w:rPr>
              <w:t xml:space="preserve">        </w:t>
            </w:r>
            <w:r>
              <w:rPr>
                <w:rFonts w:ascii="微软雅黑" w:hAnsi="微软雅黑" w:eastAsia="微软雅黑" w:cs="微软雅黑"/>
                <w:color w:val="auto"/>
                <w:kern w:val="0"/>
                <w:szCs w:val="21"/>
                <w:highlight w:val="none"/>
              </w:rPr>
              <w:t>%     单位：元</w:t>
            </w:r>
          </w:p>
        </w:tc>
      </w:tr>
      <w:tr>
        <w:tblPrEx>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媒体名称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版面（网页位置、广告大小）</w:t>
            </w:r>
          </w:p>
        </w:tc>
        <w:tc>
          <w:tcPr>
            <w:tcW w:w="129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计划投放（发布）日期</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篇数/家数</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周期时长</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是否被百度、360搜索引擎收录</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单项刊</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小计刊</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单项</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小计</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备注</w:t>
            </w:r>
          </w:p>
        </w:tc>
      </w:tr>
      <w:tr>
        <w:tblPrEx>
          <w:tblCellMar>
            <w:top w:w="0" w:type="dxa"/>
            <w:left w:w="0" w:type="dxa"/>
            <w:bottom w:w="0" w:type="dxa"/>
            <w:right w:w="0" w:type="dxa"/>
          </w:tblCellMar>
        </w:tblPrEx>
        <w:trPr>
          <w:trHeight w:val="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12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例价（元）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例价（元）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合作报价（元）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合作报价（元）</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1</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硬广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rPr>
              <w:t>个月</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2</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rPr>
              <w:t>个月</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软文（专业网络媒体）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161" w:firstLineChars="100"/>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软文（新媒体）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val="en-US" w:eastAsia="zh-CN"/>
              </w:rPr>
            </w:pPr>
            <w:r>
              <w:rPr>
                <w:rFonts w:hint="eastAsia" w:ascii="宋体" w:hAnsi="宋体" w:cs="宋体"/>
                <w:b/>
                <w:color w:val="auto"/>
                <w:kern w:val="0"/>
                <w:sz w:val="16"/>
                <w:szCs w:val="16"/>
                <w:highlight w:val="none"/>
                <w:lang w:eastAsia="zh-CN"/>
              </w:rPr>
              <w:t>？</w:t>
            </w:r>
            <w:r>
              <w:rPr>
                <w:rFonts w:hint="eastAsia" w:ascii="宋体" w:hAnsi="宋体" w:cs="宋体"/>
                <w:b/>
                <w:color w:val="auto"/>
                <w:kern w:val="0"/>
                <w:sz w:val="16"/>
                <w:szCs w:val="16"/>
                <w:highlight w:val="none"/>
                <w:lang w:val="en-US" w:eastAsia="zh-CN"/>
              </w:rPr>
              <w:t>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专业展会网站展会信息发布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color w:val="auto"/>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rPr>
              <w:t>…</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专业网络媒体招展书发布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6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？家</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color w:val="auto"/>
                <w:sz w:val="16"/>
                <w:szCs w:val="16"/>
                <w:highlight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491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分项小计</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r>
    </w:tbl>
    <w:tbl>
      <w:tblPr>
        <w:tblStyle w:val="17"/>
        <w:tblpPr w:leftFromText="180" w:rightFromText="180" w:vertAnchor="text" w:horzAnchor="page" w:tblpX="992" w:tblpY="593"/>
        <w:tblOverlap w:val="never"/>
        <w:tblW w:w="14056" w:type="dxa"/>
        <w:tblInd w:w="0" w:type="dxa"/>
        <w:tblLayout w:type="fixed"/>
        <w:tblCellMar>
          <w:top w:w="0" w:type="dxa"/>
          <w:left w:w="0" w:type="dxa"/>
          <w:bottom w:w="0" w:type="dxa"/>
          <w:right w:w="0" w:type="dxa"/>
        </w:tblCellMar>
      </w:tblPr>
      <w:tblGrid>
        <w:gridCol w:w="504"/>
        <w:gridCol w:w="2067"/>
        <w:gridCol w:w="1290"/>
        <w:gridCol w:w="1020"/>
        <w:gridCol w:w="344"/>
        <w:gridCol w:w="641"/>
        <w:gridCol w:w="270"/>
        <w:gridCol w:w="390"/>
        <w:gridCol w:w="390"/>
        <w:gridCol w:w="525"/>
        <w:gridCol w:w="345"/>
        <w:gridCol w:w="915"/>
        <w:gridCol w:w="415"/>
        <w:gridCol w:w="1378"/>
        <w:gridCol w:w="1181"/>
        <w:gridCol w:w="2381"/>
      </w:tblGrid>
      <w:tr>
        <w:tblPrEx>
          <w:tblCellMar>
            <w:top w:w="0" w:type="dxa"/>
            <w:left w:w="0" w:type="dxa"/>
            <w:bottom w:w="0" w:type="dxa"/>
            <w:right w:w="0" w:type="dxa"/>
          </w:tblCellMar>
        </w:tblPrEx>
        <w:trPr>
          <w:trHeight w:val="270" w:hRule="atLeast"/>
        </w:trPr>
        <w:tc>
          <w:tcPr>
            <w:tcW w:w="14056"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Cs w:val="21"/>
                <w:highlight w:val="none"/>
              </w:rPr>
              <w:t>深圳会展中心第二十</w:t>
            </w:r>
            <w:r>
              <w:rPr>
                <w:rFonts w:hint="eastAsia" w:ascii="宋体" w:hAnsi="宋体" w:cs="宋体"/>
                <w:b/>
                <w:color w:val="auto"/>
                <w:kern w:val="0"/>
                <w:szCs w:val="21"/>
                <w:highlight w:val="none"/>
                <w:lang w:val="en-US" w:eastAsia="zh-CN"/>
              </w:rPr>
              <w:t>五</w:t>
            </w:r>
            <w:r>
              <w:rPr>
                <w:rFonts w:hint="eastAsia" w:ascii="宋体" w:hAnsi="宋体" w:cs="宋体"/>
                <w:b/>
                <w:color w:val="auto"/>
                <w:kern w:val="0"/>
                <w:szCs w:val="21"/>
                <w:highlight w:val="none"/>
              </w:rPr>
              <w:t>届高交</w:t>
            </w:r>
            <w:r>
              <w:rPr>
                <w:rFonts w:hint="eastAsia" w:ascii="宋体" w:hAnsi="宋体" w:cs="宋体"/>
                <w:b/>
                <w:color w:val="auto"/>
                <w:kern w:val="0"/>
                <w:szCs w:val="21"/>
                <w:highlight w:val="none"/>
                <w:lang w:eastAsia="zh-CN"/>
              </w:rPr>
              <w:t>会</w:t>
            </w:r>
            <w:r>
              <w:rPr>
                <w:rFonts w:hint="eastAsia" w:ascii="宋体" w:hAnsi="宋体" w:cs="宋体"/>
                <w:b/>
                <w:color w:val="auto"/>
                <w:kern w:val="0"/>
                <w:szCs w:val="21"/>
                <w:highlight w:val="none"/>
                <w:lang w:val="en-US" w:eastAsia="zh-CN"/>
              </w:rPr>
              <w:t>IT展数字经济和智能终端领域</w:t>
            </w:r>
            <w:r>
              <w:rPr>
                <w:rFonts w:hint="eastAsia" w:ascii="宋体" w:hAnsi="宋体" w:cs="宋体"/>
                <w:b/>
                <w:color w:val="auto"/>
                <w:kern w:val="0"/>
                <w:szCs w:val="21"/>
                <w:highlight w:val="none"/>
                <w:lang w:eastAsia="zh-CN"/>
              </w:rPr>
              <w:t>行业垂直媒体</w:t>
            </w:r>
            <w:r>
              <w:rPr>
                <w:rFonts w:hint="eastAsia" w:ascii="宋体" w:hAnsi="宋体" w:cs="宋体"/>
                <w:b/>
                <w:color w:val="auto"/>
                <w:kern w:val="0"/>
                <w:szCs w:val="21"/>
                <w:highlight w:val="none"/>
              </w:rPr>
              <w:t>投放服务计划及报价表</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表二</w:t>
            </w:r>
            <w:r>
              <w:rPr>
                <w:rFonts w:hint="eastAsia" w:ascii="宋体" w:hAnsi="宋体" w:cs="宋体"/>
                <w:b/>
                <w:color w:val="auto"/>
                <w:kern w:val="0"/>
                <w:szCs w:val="21"/>
                <w:highlight w:val="none"/>
                <w:lang w:eastAsia="zh-CN"/>
              </w:rPr>
              <w:t>）</w:t>
            </w:r>
          </w:p>
        </w:tc>
      </w:tr>
      <w:tr>
        <w:tblPrEx>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媒体名称</w:t>
            </w:r>
          </w:p>
        </w:tc>
        <w:tc>
          <w:tcPr>
            <w:tcW w:w="1020"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版面（网址链接）</w:t>
            </w:r>
          </w:p>
        </w:tc>
        <w:tc>
          <w:tcPr>
            <w:tcW w:w="3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条数</w:t>
            </w:r>
          </w:p>
        </w:tc>
        <w:tc>
          <w:tcPr>
            <w:tcW w:w="3476"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r>
              <w:rPr>
                <w:rFonts w:hint="eastAsia" w:ascii="宋体" w:hAnsi="宋体" w:cs="宋体"/>
                <w:b/>
                <w:color w:val="auto"/>
                <w:kern w:val="0"/>
                <w:sz w:val="16"/>
                <w:szCs w:val="16"/>
                <w:highlight w:val="none"/>
                <w:lang w:eastAsia="zh-CN"/>
              </w:rPr>
              <w:t>每条视频计划播放</w:t>
            </w:r>
          </w:p>
        </w:tc>
        <w:tc>
          <w:tcPr>
            <w:tcW w:w="4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lang w:eastAsia="zh-CN"/>
              </w:rPr>
              <w:t>播放量小计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单项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小计</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r>
              <w:rPr>
                <w:rFonts w:hint="eastAsia" w:ascii="宋体" w:hAnsi="宋体" w:cs="宋体"/>
                <w:b/>
                <w:color w:val="auto"/>
                <w:kern w:val="0"/>
                <w:sz w:val="16"/>
                <w:szCs w:val="16"/>
                <w:highlight w:val="none"/>
              </w:rPr>
              <w:t>备注</w:t>
            </w:r>
          </w:p>
        </w:tc>
      </w:tr>
      <w:tr>
        <w:tblPrEx>
          <w:tblCellMar>
            <w:top w:w="0" w:type="dxa"/>
            <w:left w:w="0" w:type="dxa"/>
            <w:bottom w:w="0" w:type="dxa"/>
            <w:right w:w="0"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3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6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日期：预计播放量</w:t>
            </w: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4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16"/>
                <w:szCs w:val="16"/>
                <w:highlight w:val="none"/>
                <w:lang w:eastAsia="zh-CN"/>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每条视频（含制作和播放量）</w:t>
            </w: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报价（元）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rPr>
              <w:t>报价（元）</w:t>
            </w: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1</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rPr>
              <w:t>制作</w:t>
            </w:r>
            <w:r>
              <w:rPr>
                <w:rFonts w:hint="eastAsia" w:ascii="宋体" w:hAnsi="宋体" w:cs="宋体"/>
                <w:b/>
                <w:color w:val="auto"/>
                <w:sz w:val="16"/>
                <w:szCs w:val="16"/>
                <w:highlight w:val="none"/>
                <w:lang w:eastAsia="zh-CN"/>
              </w:rPr>
              <w:t>与发布</w:t>
            </w:r>
            <w:r>
              <w:rPr>
                <w:rFonts w:hint="eastAsia" w:ascii="宋体" w:hAnsi="宋体" w:cs="宋体"/>
                <w:b/>
                <w:color w:val="auto"/>
                <w:sz w:val="16"/>
                <w:szCs w:val="16"/>
                <w:highlight w:val="none"/>
              </w:rPr>
              <w:t>视频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3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？条</w:t>
            </w:r>
          </w:p>
        </w:tc>
        <w:tc>
          <w:tcPr>
            <w:tcW w:w="6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lang w:eastAsia="zh-CN"/>
              </w:rPr>
              <w:t>每条视频累计播放量没有完成协议要求的，按未完成占比比例进行扣款</w:t>
            </w: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val="en-US" w:eastAsia="zh-CN"/>
              </w:rPr>
            </w:pPr>
            <w:r>
              <w:rPr>
                <w:rFonts w:hint="eastAsia" w:ascii="宋体" w:hAnsi="宋体" w:cs="宋体"/>
                <w:b/>
                <w:color w:val="auto"/>
                <w:sz w:val="16"/>
                <w:szCs w:val="16"/>
                <w:highlight w:val="none"/>
                <w:lang w:val="en-US" w:eastAsia="zh-CN"/>
              </w:rPr>
              <w:t>2</w:t>
            </w:r>
          </w:p>
        </w:tc>
        <w:tc>
          <w:tcPr>
            <w:tcW w:w="20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10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c>
          <w:tcPr>
            <w:tcW w:w="34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6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auto"/>
                <w:sz w:val="16"/>
                <w:szCs w:val="16"/>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426" w:hRule="atLeast"/>
        </w:trPr>
        <w:tc>
          <w:tcPr>
            <w:tcW w:w="50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r>
              <w:rPr>
                <w:rFonts w:hint="eastAsia" w:ascii="宋体" w:hAnsi="宋体" w:cs="宋体"/>
                <w:b/>
                <w:color w:val="auto"/>
                <w:kern w:val="0"/>
                <w:sz w:val="16"/>
                <w:szCs w:val="16"/>
                <w:highlight w:val="none"/>
              </w:rPr>
              <w:t>…</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p>
        </w:tc>
        <w:tc>
          <w:tcPr>
            <w:tcW w:w="2310" w:type="dxa"/>
            <w:gridSpan w:val="2"/>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sz w:val="16"/>
                <w:szCs w:val="16"/>
                <w:highlight w:val="none"/>
                <w:lang w:val="en-US" w:eastAsia="zh-CN"/>
              </w:rPr>
              <w:t>含税</w:t>
            </w:r>
            <w:r>
              <w:rPr>
                <w:rFonts w:hint="eastAsia" w:ascii="宋体" w:hAnsi="宋体" w:cs="宋体"/>
                <w:b/>
                <w:color w:val="auto"/>
                <w:sz w:val="16"/>
                <w:szCs w:val="16"/>
                <w:highlight w:val="none"/>
                <w:lang w:eastAsia="zh-CN"/>
              </w:rPr>
              <w:t>小计</w:t>
            </w:r>
          </w:p>
        </w:tc>
        <w:tc>
          <w:tcPr>
            <w:tcW w:w="34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641" w:type="dxa"/>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5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3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9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4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b/>
                <w:color w:val="auto"/>
                <w:sz w:val="16"/>
                <w:szCs w:val="16"/>
                <w:highlight w:val="none"/>
                <w:lang w:val="en-US" w:eastAsia="zh-CN"/>
              </w:rPr>
            </w:pP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sz w:val="16"/>
                <w:szCs w:val="16"/>
                <w:highlight w:val="none"/>
                <w:lang w:eastAsia="zh-CN"/>
              </w:rPr>
            </w:pPr>
            <w:r>
              <w:rPr>
                <w:rFonts w:hint="eastAsia" w:ascii="宋体" w:hAnsi="宋体" w:cs="宋体"/>
                <w:b/>
                <w:color w:val="auto"/>
                <w:sz w:val="16"/>
                <w:szCs w:val="16"/>
                <w:highlight w:val="none"/>
                <w:lang w:eastAsia="zh-CN"/>
              </w:rPr>
              <w:t>其他服务</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kern w:val="0"/>
                <w:sz w:val="16"/>
                <w:szCs w:val="16"/>
                <w:highlight w:val="none"/>
                <w:lang w:eastAsia="zh-CN"/>
              </w:rPr>
            </w:pPr>
            <w:r>
              <w:rPr>
                <w:rFonts w:hint="eastAsia" w:ascii="宋体" w:hAnsi="宋体" w:cs="宋体"/>
                <w:b/>
                <w:color w:val="auto"/>
                <w:kern w:val="0"/>
                <w:sz w:val="16"/>
                <w:szCs w:val="16"/>
                <w:highlight w:val="none"/>
                <w:lang w:eastAsia="zh-CN"/>
              </w:rPr>
              <w:t>其他服务名称</w:t>
            </w:r>
          </w:p>
        </w:tc>
        <w:tc>
          <w:tcPr>
            <w:tcW w:w="3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lang w:val="en-US" w:eastAsia="zh-CN"/>
              </w:rPr>
            </w:pPr>
            <w:r>
              <w:rPr>
                <w:rFonts w:hint="eastAsia" w:ascii="宋体" w:hAnsi="宋体" w:cs="宋体"/>
                <w:b/>
                <w:color w:val="auto"/>
                <w:kern w:val="0"/>
                <w:sz w:val="16"/>
                <w:szCs w:val="16"/>
                <w:highlight w:val="none"/>
                <w:lang w:eastAsia="zh-CN"/>
              </w:rPr>
              <w:t>具体描述和预计效果（覆盖人次等）</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color w:val="auto"/>
                <w:highlight w:val="none"/>
                <w:lang w:val="en-US" w:eastAsia="zh-CN"/>
              </w:rPr>
            </w:pPr>
            <w:r>
              <w:rPr>
                <w:rFonts w:hint="eastAsia"/>
                <w:color w:val="auto"/>
                <w:highlight w:val="none"/>
                <w:lang w:val="en-US" w:eastAsia="zh-CN"/>
              </w:rPr>
              <w:t>次数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eastAsia="zh-CN"/>
              </w:rPr>
            </w:pPr>
            <w:r>
              <w:rPr>
                <w:rFonts w:hint="eastAsia" w:ascii="宋体" w:hAnsi="宋体" w:cs="宋体"/>
                <w:b/>
                <w:color w:val="auto"/>
                <w:kern w:val="0"/>
                <w:sz w:val="16"/>
                <w:szCs w:val="16"/>
                <w:highlight w:val="none"/>
                <w:lang w:eastAsia="zh-CN"/>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 w:val="16"/>
                <w:szCs w:val="16"/>
                <w:highlight w:val="none"/>
                <w:lang w:eastAsia="zh-CN"/>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r>
              <w:rPr>
                <w:rFonts w:hint="eastAsia" w:ascii="宋体" w:hAnsi="宋体" w:cs="宋体"/>
                <w:b/>
                <w:color w:val="auto"/>
                <w:kern w:val="0"/>
                <w:sz w:val="16"/>
                <w:szCs w:val="16"/>
                <w:highlight w:val="none"/>
                <w:lang w:eastAsia="zh-CN"/>
              </w:rPr>
              <w:t>须报价，如未完成将扣款</w:t>
            </w: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06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kern w:val="0"/>
                <w:sz w:val="16"/>
                <w:szCs w:val="16"/>
                <w:highlight w:val="none"/>
              </w:rPr>
            </w:pPr>
          </w:p>
        </w:tc>
        <w:tc>
          <w:tcPr>
            <w:tcW w:w="3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31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lang w:val="en-US" w:eastAsia="zh-CN"/>
              </w:rPr>
            </w:pP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b/>
                <w:color w:val="auto"/>
                <w:sz w:val="16"/>
                <w:szCs w:val="16"/>
                <w:highlight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color w:val="auto"/>
                <w:kern w:val="0"/>
                <w:sz w:val="16"/>
                <w:szCs w:val="16"/>
                <w:highlight w:val="none"/>
                <w:lang w:eastAsia="zh-CN"/>
              </w:rPr>
            </w:pPr>
            <w:r>
              <w:rPr>
                <w:rFonts w:hint="eastAsia" w:ascii="宋体" w:hAnsi="宋体" w:cs="宋体"/>
                <w:b/>
                <w:color w:val="auto"/>
                <w:kern w:val="0"/>
                <w:sz w:val="16"/>
                <w:szCs w:val="16"/>
                <w:highlight w:val="none"/>
                <w:lang w:val="en-US" w:eastAsia="zh-CN"/>
              </w:rPr>
              <w:t>含税</w:t>
            </w:r>
            <w:r>
              <w:rPr>
                <w:rFonts w:hint="eastAsia" w:ascii="宋体" w:hAnsi="宋体" w:cs="宋体"/>
                <w:b/>
                <w:color w:val="auto"/>
                <w:kern w:val="0"/>
                <w:sz w:val="16"/>
                <w:szCs w:val="16"/>
                <w:highlight w:val="none"/>
                <w:lang w:eastAsia="zh-CN"/>
              </w:rPr>
              <w:t>小计</w:t>
            </w:r>
          </w:p>
        </w:tc>
        <w:tc>
          <w:tcPr>
            <w:tcW w:w="3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val="en-US" w:eastAsia="zh-CN"/>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r>
        <w:tblPrEx>
          <w:tblCellMar>
            <w:top w:w="0" w:type="dxa"/>
            <w:left w:w="0" w:type="dxa"/>
            <w:bottom w:w="0" w:type="dxa"/>
            <w:right w:w="0" w:type="dxa"/>
          </w:tblCellMar>
        </w:tblPrEx>
        <w:trPr>
          <w:trHeight w:val="487" w:hRule="atLeast"/>
        </w:trPr>
        <w:tc>
          <w:tcPr>
            <w:tcW w:w="870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color w:val="auto"/>
                <w:highlight w:val="none"/>
                <w:lang w:val="en-US" w:eastAsia="zh-CN"/>
              </w:rPr>
            </w:pPr>
            <w:r>
              <w:rPr>
                <w:rFonts w:hint="eastAsia" w:ascii="宋体" w:hAnsi="宋体" w:cs="宋体"/>
                <w:b/>
                <w:color w:val="auto"/>
                <w:kern w:val="0"/>
                <w:sz w:val="16"/>
                <w:szCs w:val="16"/>
                <w:highlight w:val="none"/>
                <w:lang w:val="en-US" w:eastAsia="zh-CN"/>
              </w:rPr>
              <w:t>以上报价表表一、表二全部含税总价合计（元）（不包含备用媒体）：</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16"/>
                <w:szCs w:val="16"/>
                <w:highlight w:val="none"/>
              </w:rPr>
            </w:pPr>
          </w:p>
        </w:tc>
      </w:tr>
    </w:tbl>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tbl>
      <w:tblPr>
        <w:tblStyle w:val="17"/>
        <w:tblpPr w:leftFromText="180" w:rightFromText="180" w:vertAnchor="text" w:horzAnchor="page" w:tblpX="992" w:tblpY="593"/>
        <w:tblOverlap w:val="never"/>
        <w:tblW w:w="14056" w:type="dxa"/>
        <w:tblInd w:w="0" w:type="dxa"/>
        <w:tblLayout w:type="fixed"/>
        <w:tblCellMar>
          <w:top w:w="0" w:type="dxa"/>
          <w:left w:w="0" w:type="dxa"/>
          <w:bottom w:w="0" w:type="dxa"/>
          <w:right w:w="0" w:type="dxa"/>
        </w:tblCellMar>
      </w:tblPr>
      <w:tblGrid>
        <w:gridCol w:w="872"/>
        <w:gridCol w:w="1165"/>
        <w:gridCol w:w="1558"/>
        <w:gridCol w:w="5775"/>
        <w:gridCol w:w="4686"/>
      </w:tblGrid>
      <w:tr>
        <w:tblPrEx>
          <w:tblCellMar>
            <w:top w:w="0" w:type="dxa"/>
            <w:left w:w="0" w:type="dxa"/>
            <w:bottom w:w="0" w:type="dxa"/>
            <w:right w:w="0" w:type="dxa"/>
          </w:tblCellMar>
        </w:tblPrEx>
        <w:trPr>
          <w:trHeight w:val="270" w:hRule="atLeast"/>
        </w:trPr>
        <w:tc>
          <w:tcPr>
            <w:tcW w:w="140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r>
              <w:rPr>
                <w:rFonts w:hint="eastAsia" w:ascii="宋体" w:hAnsi="宋体" w:cs="宋体"/>
                <w:b/>
                <w:color w:val="auto"/>
                <w:kern w:val="0"/>
                <w:szCs w:val="21"/>
                <w:highlight w:val="none"/>
              </w:rPr>
              <w:t>深圳会展中心第二十</w:t>
            </w:r>
            <w:r>
              <w:rPr>
                <w:rFonts w:hint="eastAsia" w:ascii="宋体" w:hAnsi="宋体" w:cs="宋体"/>
                <w:b/>
                <w:color w:val="auto"/>
                <w:kern w:val="0"/>
                <w:szCs w:val="21"/>
                <w:highlight w:val="none"/>
                <w:lang w:val="en-US" w:eastAsia="zh-CN"/>
              </w:rPr>
              <w:t>五</w:t>
            </w:r>
            <w:r>
              <w:rPr>
                <w:rFonts w:hint="eastAsia" w:ascii="宋体" w:hAnsi="宋体" w:cs="宋体"/>
                <w:b/>
                <w:color w:val="auto"/>
                <w:kern w:val="0"/>
                <w:szCs w:val="21"/>
                <w:highlight w:val="none"/>
              </w:rPr>
              <w:t>届高交</w:t>
            </w:r>
            <w:r>
              <w:rPr>
                <w:rFonts w:hint="eastAsia" w:ascii="宋体" w:hAnsi="宋体" w:cs="宋体"/>
                <w:b/>
                <w:color w:val="auto"/>
                <w:kern w:val="0"/>
                <w:szCs w:val="21"/>
                <w:highlight w:val="none"/>
                <w:lang w:eastAsia="zh-CN"/>
              </w:rPr>
              <w:t>会</w:t>
            </w:r>
            <w:r>
              <w:rPr>
                <w:rFonts w:hint="eastAsia" w:ascii="宋体" w:hAnsi="宋体" w:cs="宋体"/>
                <w:b/>
                <w:color w:val="auto"/>
                <w:kern w:val="0"/>
                <w:szCs w:val="21"/>
                <w:highlight w:val="none"/>
                <w:lang w:val="en-US" w:eastAsia="zh-CN"/>
              </w:rPr>
              <w:t>IT展数字经济和智能终端领域</w:t>
            </w:r>
            <w:r>
              <w:rPr>
                <w:rFonts w:hint="eastAsia" w:ascii="宋体" w:hAnsi="宋体" w:cs="宋体"/>
                <w:b/>
                <w:color w:val="auto"/>
                <w:kern w:val="0"/>
                <w:szCs w:val="21"/>
                <w:highlight w:val="none"/>
                <w:lang w:eastAsia="zh-CN"/>
              </w:rPr>
              <w:t>行业垂直媒体</w:t>
            </w:r>
            <w:r>
              <w:rPr>
                <w:rFonts w:hint="eastAsia" w:ascii="宋体" w:hAnsi="宋体" w:cs="宋体"/>
                <w:b/>
                <w:color w:val="auto"/>
                <w:kern w:val="0"/>
                <w:szCs w:val="21"/>
                <w:highlight w:val="none"/>
                <w:lang w:val="en-US" w:eastAsia="zh-CN"/>
              </w:rPr>
              <w:t>----备用媒体</w:t>
            </w:r>
            <w:r>
              <w:rPr>
                <w:rFonts w:hint="eastAsia" w:ascii="宋体" w:hAnsi="宋体" w:cs="宋体"/>
                <w:b/>
                <w:color w:val="auto"/>
                <w:kern w:val="0"/>
                <w:szCs w:val="21"/>
                <w:highlight w:val="none"/>
              </w:rPr>
              <w:t>投放服务计划及报价表</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表三</w:t>
            </w:r>
            <w:r>
              <w:rPr>
                <w:rFonts w:hint="eastAsia" w:ascii="宋体" w:hAnsi="宋体" w:cs="宋体"/>
                <w:b/>
                <w:color w:val="auto"/>
                <w:kern w:val="0"/>
                <w:szCs w:val="21"/>
                <w:highlight w:val="none"/>
                <w:lang w:eastAsia="zh-CN"/>
              </w:rPr>
              <w:t>）</w:t>
            </w:r>
          </w:p>
        </w:tc>
      </w:tr>
      <w:tr>
        <w:tblPrEx>
          <w:tblCellMar>
            <w:top w:w="0" w:type="dxa"/>
            <w:left w:w="0" w:type="dxa"/>
            <w:bottom w:w="0" w:type="dxa"/>
            <w:right w:w="0" w:type="dxa"/>
          </w:tblCellMar>
        </w:tblPrEx>
        <w:trPr>
          <w:trHeight w:val="270" w:hRule="atLeast"/>
        </w:trPr>
        <w:tc>
          <w:tcPr>
            <w:tcW w:w="140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注：备用媒体仅用于替换刊登，相关信息如下:</w:t>
            </w:r>
          </w:p>
        </w:tc>
      </w:tr>
      <w:tr>
        <w:tblPrEx>
          <w:tblCellMar>
            <w:top w:w="0" w:type="dxa"/>
            <w:left w:w="0" w:type="dxa"/>
            <w:bottom w:w="0" w:type="dxa"/>
            <w:right w:w="0" w:type="dxa"/>
          </w:tblCellMar>
        </w:tblPrEx>
        <w:trPr>
          <w:trHeight w:val="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 w:val="16"/>
                <w:szCs w:val="16"/>
                <w:highlight w:val="none"/>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 w:val="16"/>
                <w:szCs w:val="16"/>
                <w:highlight w:val="none"/>
              </w:rPr>
              <w:t>项目</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val="en-US" w:eastAsia="zh-CN"/>
              </w:rPr>
            </w:pPr>
            <w:r>
              <w:rPr>
                <w:rFonts w:hint="eastAsia" w:ascii="宋体" w:hAnsi="宋体" w:cs="宋体"/>
                <w:b/>
                <w:color w:val="auto"/>
                <w:kern w:val="0"/>
                <w:sz w:val="16"/>
                <w:szCs w:val="16"/>
                <w:highlight w:val="none"/>
              </w:rPr>
              <w:t>媒体名称</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r>
              <w:rPr>
                <w:rFonts w:hint="eastAsia" w:ascii="宋体" w:hAnsi="宋体" w:cs="宋体"/>
                <w:b/>
                <w:color w:val="auto"/>
                <w:kern w:val="0"/>
                <w:sz w:val="16"/>
                <w:szCs w:val="16"/>
                <w:highlight w:val="none"/>
              </w:rPr>
              <w:t>单项</w:t>
            </w: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r>
              <w:rPr>
                <w:rFonts w:hint="eastAsia" w:ascii="宋体" w:hAnsi="宋体" w:cs="宋体"/>
                <w:b/>
                <w:color w:val="auto"/>
                <w:kern w:val="0"/>
                <w:sz w:val="16"/>
                <w:szCs w:val="16"/>
                <w:highlight w:val="none"/>
                <w:lang w:val="en-US" w:eastAsia="zh-CN"/>
              </w:rPr>
              <w:t>含税单价</w:t>
            </w:r>
            <w:r>
              <w:rPr>
                <w:rFonts w:hint="eastAsia" w:ascii="宋体" w:hAnsi="宋体" w:cs="宋体"/>
                <w:b/>
                <w:color w:val="auto"/>
                <w:kern w:val="0"/>
                <w:sz w:val="16"/>
                <w:szCs w:val="16"/>
                <w:highlight w:val="none"/>
              </w:rPr>
              <w:t>（元）</w:t>
            </w:r>
          </w:p>
        </w:tc>
      </w:tr>
      <w:tr>
        <w:tblPrEx>
          <w:tblCellMar>
            <w:top w:w="0" w:type="dxa"/>
            <w:left w:w="0" w:type="dxa"/>
            <w:bottom w:w="0" w:type="dxa"/>
            <w:right w:w="0"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16"/>
                <w:szCs w:val="16"/>
                <w:highlight w:val="none"/>
                <w:lang w:val="en-US" w:eastAsia="zh-CN" w:bidi="ar-SA"/>
              </w:rPr>
            </w:pPr>
          </w:p>
        </w:tc>
      </w:tr>
      <w:tr>
        <w:tblPrEx>
          <w:tblCellMar>
            <w:top w:w="0" w:type="dxa"/>
            <w:left w:w="0" w:type="dxa"/>
            <w:bottom w:w="0" w:type="dxa"/>
            <w:right w:w="0"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eastAsia="zh-CN"/>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r>
      <w:tr>
        <w:tblPrEx>
          <w:tblCellMar>
            <w:top w:w="0" w:type="dxa"/>
            <w:left w:w="0" w:type="dxa"/>
            <w:bottom w:w="0" w:type="dxa"/>
            <w:right w:w="0"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auto"/>
                <w:kern w:val="0"/>
                <w:sz w:val="16"/>
                <w:szCs w:val="16"/>
                <w:highlight w:val="none"/>
                <w:lang w:val="en-US" w:eastAsia="zh-CN"/>
              </w:rPr>
            </w:pPr>
            <w:r>
              <w:rPr>
                <w:rFonts w:hint="eastAsia" w:ascii="宋体" w:hAnsi="宋体" w:cs="宋体"/>
                <w:b/>
                <w:color w:val="auto"/>
                <w:kern w:val="0"/>
                <w:sz w:val="16"/>
                <w:szCs w:val="16"/>
                <w:highlight w:val="none"/>
                <w:lang w:val="en-US" w:eastAsia="zh-CN"/>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lang w:eastAsia="zh-CN"/>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kern w:val="0"/>
                <w:sz w:val="16"/>
                <w:szCs w:val="16"/>
                <w:highlight w:val="none"/>
              </w:rPr>
            </w:pPr>
          </w:p>
        </w:tc>
      </w:tr>
    </w:tbl>
    <w:p>
      <w:pPr>
        <w:pStyle w:val="13"/>
        <w:rPr>
          <w:rFonts w:hint="eastAsia" w:ascii="宋体" w:hAnsi="宋体" w:eastAsia="宋体" w:cs="宋体"/>
          <w:color w:val="auto"/>
          <w:sz w:val="28"/>
          <w:szCs w:val="28"/>
          <w:highlight w:val="none"/>
        </w:rPr>
        <w:sectPr>
          <w:pgSz w:w="16838" w:h="11906" w:orient="landscape"/>
          <w:pgMar w:top="1400" w:right="1134" w:bottom="1800" w:left="993" w:header="851" w:footer="409" w:gutter="0"/>
          <w:cols w:space="425" w:num="1"/>
          <w:docGrid w:type="lines" w:linePitch="312" w:charSpace="0"/>
        </w:sectPr>
      </w:pPr>
    </w:p>
    <w:bookmarkEnd w:id="85"/>
    <w:bookmarkEnd w:id="86"/>
    <w:p>
      <w:pPr>
        <w:spacing w:line="0" w:lineRule="atLeast"/>
        <w:outlineLvl w:val="1"/>
        <w:rPr>
          <w:rFonts w:hint="eastAsia" w:ascii="宋体" w:hAnsi="宋体" w:eastAsia="宋体" w:cs="宋体"/>
          <w:color w:val="auto"/>
          <w:szCs w:val="21"/>
          <w:highlight w:val="none"/>
        </w:rPr>
      </w:pPr>
      <w:bookmarkStart w:id="88" w:name="_Toc10547"/>
      <w:r>
        <w:rPr>
          <w:rFonts w:hint="eastAsia" w:ascii="宋体" w:hAnsi="宋体" w:eastAsia="宋体" w:cs="宋体"/>
          <w:color w:val="auto"/>
          <w:szCs w:val="21"/>
          <w:highlight w:val="none"/>
        </w:rPr>
        <w:t>附件9：报价一览表（工程）（本项目不适用）</w:t>
      </w:r>
      <w:bookmarkEnd w:id="88"/>
    </w:p>
    <w:p>
      <w:pPr>
        <w:jc w:val="center"/>
        <w:rPr>
          <w:rFonts w:hint="eastAsia" w:ascii="宋体" w:hAnsi="宋体" w:eastAsia="宋体" w:cs="宋体"/>
          <w:b/>
          <w:color w:val="auto"/>
          <w:sz w:val="30"/>
          <w:szCs w:val="30"/>
          <w:highlight w:val="none"/>
        </w:rPr>
      </w:pPr>
    </w:p>
    <w:p>
      <w:pPr>
        <w:spacing w:before="120"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报价一览表（工程）</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工程名称：</w:t>
      </w:r>
      <w:r>
        <w:rPr>
          <w:rFonts w:hint="eastAsia" w:ascii="宋体" w:hAnsi="宋体" w:eastAsia="宋体" w:cs="宋体"/>
          <w:color w:val="auto"/>
          <w:sz w:val="28"/>
          <w:szCs w:val="28"/>
          <w:highlight w:val="none"/>
          <w:u w:val="single"/>
        </w:rPr>
        <w:t xml:space="preserve">                     ____________________   __</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币种：人民币         税率：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1525" w:type="dxa"/>
            <w:vAlign w:val="center"/>
          </w:tcPr>
          <w:p>
            <w:pPr>
              <w:spacing w:line="40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分项项目名称</w:t>
            </w:r>
          </w:p>
        </w:tc>
        <w:tc>
          <w:tcPr>
            <w:tcW w:w="992" w:type="dxa"/>
            <w:vAlign w:val="center"/>
          </w:tcPr>
          <w:p>
            <w:pPr>
              <w:spacing w:line="40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工期</w:t>
            </w:r>
          </w:p>
        </w:tc>
        <w:tc>
          <w:tcPr>
            <w:tcW w:w="992" w:type="dxa"/>
            <w:vAlign w:val="center"/>
          </w:tcPr>
          <w:p>
            <w:pPr>
              <w:spacing w:line="40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计量单位</w:t>
            </w:r>
          </w:p>
        </w:tc>
        <w:tc>
          <w:tcPr>
            <w:tcW w:w="1276" w:type="dxa"/>
            <w:vAlign w:val="center"/>
          </w:tcPr>
          <w:p>
            <w:pPr>
              <w:spacing w:line="4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工程量</w:t>
            </w:r>
          </w:p>
        </w:tc>
        <w:tc>
          <w:tcPr>
            <w:tcW w:w="917" w:type="dxa"/>
            <w:vAlign w:val="center"/>
          </w:tcPr>
          <w:p>
            <w:pPr>
              <w:spacing w:line="40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综合单价</w:t>
            </w:r>
          </w:p>
        </w:tc>
        <w:tc>
          <w:tcPr>
            <w:tcW w:w="955" w:type="dxa"/>
            <w:vAlign w:val="center"/>
          </w:tcPr>
          <w:p>
            <w:pPr>
              <w:spacing w:line="40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小计金额</w:t>
            </w:r>
          </w:p>
        </w:tc>
        <w:tc>
          <w:tcPr>
            <w:tcW w:w="992" w:type="dxa"/>
            <w:vAlign w:val="center"/>
          </w:tcPr>
          <w:p>
            <w:pPr>
              <w:spacing w:line="40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hint="eastAsia" w:ascii="宋体" w:hAnsi="宋体" w:eastAsia="宋体" w:cs="宋体"/>
                <w:bCs/>
                <w:color w:val="auto"/>
                <w:sz w:val="28"/>
                <w:szCs w:val="28"/>
                <w:highlight w:val="none"/>
              </w:rPr>
            </w:pPr>
          </w:p>
        </w:tc>
        <w:tc>
          <w:tcPr>
            <w:tcW w:w="1525" w:type="dxa"/>
            <w:vAlign w:val="center"/>
          </w:tcPr>
          <w:p>
            <w:pPr>
              <w:spacing w:line="400" w:lineRule="exact"/>
              <w:rPr>
                <w:rFonts w:hint="eastAsia" w:ascii="宋体" w:hAnsi="宋体" w:eastAsia="宋体" w:cs="宋体"/>
                <w:bCs/>
                <w:color w:val="auto"/>
                <w:sz w:val="28"/>
                <w:szCs w:val="28"/>
                <w:highlight w:val="none"/>
              </w:rPr>
            </w:pPr>
          </w:p>
        </w:tc>
        <w:tc>
          <w:tcPr>
            <w:tcW w:w="992" w:type="dxa"/>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c>
          <w:tcPr>
            <w:tcW w:w="1276" w:type="dxa"/>
            <w:vAlign w:val="center"/>
          </w:tcPr>
          <w:p>
            <w:pPr>
              <w:spacing w:line="400" w:lineRule="exact"/>
              <w:rPr>
                <w:rFonts w:hint="eastAsia" w:ascii="宋体" w:hAnsi="宋体" w:eastAsia="宋体" w:cs="宋体"/>
                <w:bCs/>
                <w:color w:val="auto"/>
                <w:sz w:val="28"/>
                <w:szCs w:val="28"/>
                <w:highlight w:val="none"/>
              </w:rPr>
            </w:pPr>
          </w:p>
        </w:tc>
        <w:tc>
          <w:tcPr>
            <w:tcW w:w="917" w:type="dxa"/>
            <w:vAlign w:val="center"/>
          </w:tcPr>
          <w:p>
            <w:pPr>
              <w:spacing w:line="400" w:lineRule="exact"/>
              <w:rPr>
                <w:rFonts w:hint="eastAsia" w:ascii="宋体" w:hAnsi="宋体" w:eastAsia="宋体" w:cs="宋体"/>
                <w:bCs/>
                <w:color w:val="auto"/>
                <w:sz w:val="28"/>
                <w:szCs w:val="28"/>
                <w:highlight w:val="none"/>
              </w:rPr>
            </w:pP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合计金额：</w:t>
            </w:r>
          </w:p>
        </w:tc>
        <w:tc>
          <w:tcPr>
            <w:tcW w:w="955" w:type="dxa"/>
            <w:vAlign w:val="center"/>
          </w:tcPr>
          <w:p>
            <w:pPr>
              <w:spacing w:line="400" w:lineRule="exact"/>
              <w:rPr>
                <w:rFonts w:hint="eastAsia" w:ascii="宋体" w:hAnsi="宋体" w:eastAsia="宋体" w:cs="宋体"/>
                <w:bCs/>
                <w:color w:val="auto"/>
                <w:sz w:val="28"/>
                <w:szCs w:val="28"/>
                <w:highlight w:val="none"/>
              </w:rPr>
            </w:pPr>
          </w:p>
        </w:tc>
        <w:tc>
          <w:tcPr>
            <w:tcW w:w="992" w:type="dxa"/>
            <w:vAlign w:val="center"/>
          </w:tcPr>
          <w:p>
            <w:pPr>
              <w:spacing w:line="400" w:lineRule="exact"/>
              <w:rPr>
                <w:rFonts w:hint="eastAsia" w:ascii="宋体" w:hAnsi="宋体" w:eastAsia="宋体" w:cs="宋体"/>
                <w:bCs/>
                <w:color w:val="auto"/>
                <w:sz w:val="28"/>
                <w:szCs w:val="28"/>
                <w:highlight w:val="none"/>
              </w:rPr>
            </w:pPr>
          </w:p>
        </w:tc>
      </w:tr>
    </w:tbl>
    <w:p>
      <w:pPr>
        <w:spacing w:line="400" w:lineRule="exact"/>
        <w:ind w:left="927" w:hanging="926" w:hangingChars="33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注：</w:t>
      </w:r>
    </w:p>
    <w:p>
      <w:pPr>
        <w:pStyle w:val="26"/>
        <w:numPr>
          <w:ilvl w:val="1"/>
          <w:numId w:val="40"/>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投标人如果需要对报价或其它内容加以说明，可在备注一栏中填写。</w:t>
      </w:r>
    </w:p>
    <w:p>
      <w:pPr>
        <w:pStyle w:val="26"/>
        <w:numPr>
          <w:ilvl w:val="1"/>
          <w:numId w:val="40"/>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投标人使用本表或自由报价单格式报价均可，但应能清晰体现总报价及分项报价信息。</w:t>
      </w:r>
    </w:p>
    <w:p>
      <w:pPr>
        <w:pStyle w:val="26"/>
        <w:numPr>
          <w:ilvl w:val="1"/>
          <w:numId w:val="40"/>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如果分项报价与总价不一致，以总价为准。</w:t>
      </w:r>
    </w:p>
    <w:p>
      <w:pPr>
        <w:pStyle w:val="26"/>
        <w:numPr>
          <w:ilvl w:val="1"/>
          <w:numId w:val="40"/>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请注意正确填写“工期”，以确保报价单工期与工期响应文件的一致性。</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法定代表人或其授权委托人（签字或盖章）：</w:t>
      </w:r>
      <w:r>
        <w:rPr>
          <w:rFonts w:hint="eastAsia" w:ascii="宋体" w:hAnsi="宋体" w:eastAsia="宋体" w:cs="宋体"/>
          <w:color w:val="auto"/>
          <w:sz w:val="28"/>
          <w:szCs w:val="28"/>
          <w:highlight w:val="none"/>
          <w:u w:val="singl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r>
        <w:rPr>
          <w:rFonts w:hint="eastAsia" w:ascii="宋体" w:hAnsi="宋体" w:eastAsia="宋体" w:cs="宋体"/>
          <w:color w:val="auto"/>
          <w:sz w:val="28"/>
          <w:szCs w:val="28"/>
          <w:highlight w:val="none"/>
          <w:u w:val="singl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日期：_______年____月____日</w:t>
      </w:r>
      <w:r>
        <w:rPr>
          <w:rFonts w:hint="eastAsia" w:ascii="宋体" w:hAnsi="宋体" w:eastAsia="宋体" w:cs="宋体"/>
          <w:color w:val="auto"/>
          <w:sz w:val="28"/>
          <w:szCs w:val="28"/>
          <w:highlight w:val="none"/>
        </w:rPr>
        <w:br w:type="page"/>
      </w:r>
    </w:p>
    <w:p>
      <w:pPr>
        <w:spacing w:line="0" w:lineRule="atLeast"/>
        <w:outlineLvl w:val="1"/>
        <w:rPr>
          <w:rFonts w:hint="eastAsia" w:ascii="宋体" w:hAnsi="宋体" w:eastAsia="宋体" w:cs="宋体"/>
          <w:color w:val="auto"/>
          <w:szCs w:val="21"/>
          <w:highlight w:val="none"/>
        </w:rPr>
      </w:pPr>
      <w:bookmarkStart w:id="89" w:name="_Toc12306"/>
      <w:r>
        <w:rPr>
          <w:rFonts w:hint="eastAsia" w:ascii="宋体" w:hAnsi="宋体" w:eastAsia="宋体" w:cs="宋体"/>
          <w:color w:val="auto"/>
          <w:szCs w:val="21"/>
          <w:highlight w:val="none"/>
        </w:rPr>
        <w:t>附件10：法定代表人证明书</w:t>
      </w:r>
      <w:bookmarkEnd w:id="89"/>
    </w:p>
    <w:p>
      <w:pPr>
        <w:spacing w:line="0" w:lineRule="atLeast"/>
        <w:rPr>
          <w:rFonts w:hint="eastAsia" w:ascii="宋体" w:hAnsi="宋体" w:eastAsia="宋体" w:cs="宋体"/>
          <w:color w:val="auto"/>
          <w:sz w:val="24"/>
          <w:highlight w:val="none"/>
        </w:rPr>
      </w:pPr>
    </w:p>
    <w:p>
      <w:pPr>
        <w:spacing w:before="120"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w:t>
      </w:r>
    </w:p>
    <w:p>
      <w:pPr>
        <w:snapToGrid w:val="0"/>
        <w:spacing w:line="288"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p>
    <w:p>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投标人地址：</w:t>
      </w:r>
      <w:r>
        <w:rPr>
          <w:rFonts w:hint="eastAsia" w:ascii="宋体" w:hAnsi="宋体" w:eastAsia="宋体" w:cs="宋体"/>
          <w:color w:val="auto"/>
          <w:sz w:val="28"/>
          <w:szCs w:val="28"/>
          <w:highlight w:val="none"/>
          <w:u w:val="single"/>
        </w:rPr>
        <w:t xml:space="preserve">                                  </w:t>
      </w:r>
    </w:p>
    <w:p>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，经济性质：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的法定代表人。</w:t>
      </w:r>
    </w:p>
    <w:p>
      <w:pPr>
        <w:snapToGrid w:val="0"/>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pPr>
        <w:spacing w:line="400" w:lineRule="exact"/>
        <w:ind w:left="-358" w:leftChars="-171" w:hanging="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pPr>
        <w:pStyle w:val="26"/>
        <w:numPr>
          <w:ilvl w:val="1"/>
          <w:numId w:val="41"/>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法定代表人为企业事业单位、国家机关、社会团体的主要行政负责人。</w:t>
      </w:r>
    </w:p>
    <w:p>
      <w:pPr>
        <w:pStyle w:val="26"/>
        <w:numPr>
          <w:ilvl w:val="1"/>
          <w:numId w:val="41"/>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内容必须填写真实、清楚，涂改无效，不得转让、买卖。</w:t>
      </w:r>
    </w:p>
    <w:p>
      <w:pPr>
        <w:pStyle w:val="26"/>
        <w:numPr>
          <w:ilvl w:val="1"/>
          <w:numId w:val="41"/>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将此证明书提交对方作为合同附件。</w:t>
      </w:r>
    </w:p>
    <w:p>
      <w:pPr>
        <w:snapToGrid w:val="0"/>
        <w:spacing w:line="288" w:lineRule="auto"/>
        <w:ind w:firstLine="570"/>
        <w:rPr>
          <w:rFonts w:hint="eastAsia" w:ascii="宋体" w:hAnsi="宋体" w:eastAsia="宋体" w:cs="宋体"/>
          <w:color w:val="auto"/>
          <w:sz w:val="28"/>
          <w:szCs w:val="28"/>
          <w:highlight w:val="none"/>
        </w:rPr>
      </w:pPr>
    </w:p>
    <w:p>
      <w:pPr>
        <w:snapToGrid w:val="0"/>
        <w:spacing w:line="288" w:lineRule="auto"/>
        <w:ind w:firstLine="570"/>
        <w:rPr>
          <w:rFonts w:hint="eastAsia" w:ascii="宋体" w:hAnsi="宋体" w:eastAsia="宋体" w:cs="宋体"/>
          <w:color w:val="auto"/>
          <w:sz w:val="28"/>
          <w:szCs w:val="28"/>
          <w:highlight w:val="none"/>
        </w:rPr>
      </w:pP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 xml:space="preserve">                  </w:t>
      </w: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440" w:lineRule="exact"/>
        <w:ind w:left="-358" w:leftChars="-171" w:hanging="1"/>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b/>
          <w:color w:val="auto"/>
          <w:highlight w:val="none"/>
        </w:rPr>
        <w:br w:type="page"/>
      </w:r>
    </w:p>
    <w:p>
      <w:pPr>
        <w:spacing w:line="0" w:lineRule="atLeast"/>
        <w:outlineLvl w:val="1"/>
        <w:rPr>
          <w:rFonts w:hint="eastAsia" w:ascii="宋体" w:hAnsi="宋体" w:eastAsia="宋体" w:cs="宋体"/>
          <w:color w:val="auto"/>
          <w:szCs w:val="21"/>
          <w:highlight w:val="none"/>
        </w:rPr>
      </w:pPr>
      <w:bookmarkStart w:id="90" w:name="_Toc3138"/>
      <w:r>
        <w:rPr>
          <w:rFonts w:hint="eastAsia" w:ascii="宋体" w:hAnsi="宋体" w:eastAsia="宋体" w:cs="宋体"/>
          <w:color w:val="auto"/>
          <w:szCs w:val="21"/>
          <w:highlight w:val="none"/>
        </w:rPr>
        <w:t>附件11：法人授权委托证明书</w:t>
      </w:r>
      <w:bookmarkEnd w:id="90"/>
    </w:p>
    <w:p>
      <w:pPr>
        <w:spacing w:line="0" w:lineRule="atLeast"/>
        <w:rPr>
          <w:rFonts w:hint="eastAsia" w:ascii="宋体" w:hAnsi="宋体" w:eastAsia="宋体" w:cs="宋体"/>
          <w:color w:val="auto"/>
          <w:sz w:val="24"/>
          <w:highlight w:val="none"/>
        </w:rPr>
      </w:pPr>
    </w:p>
    <w:p>
      <w:pPr>
        <w:spacing w:line="0" w:lineRule="atLeast"/>
        <w:rPr>
          <w:rFonts w:hint="eastAsia" w:ascii="宋体" w:hAnsi="宋体" w:eastAsia="宋体" w:cs="宋体"/>
          <w:color w:val="auto"/>
          <w:sz w:val="24"/>
          <w:highlight w:val="none"/>
        </w:rPr>
      </w:pPr>
    </w:p>
    <w:p>
      <w:pPr>
        <w:spacing w:before="120"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法人授权委托证明书</w:t>
      </w:r>
    </w:p>
    <w:p>
      <w:pPr>
        <w:snapToGrid w:val="0"/>
        <w:spacing w:line="288" w:lineRule="auto"/>
        <w:jc w:val="left"/>
        <w:rPr>
          <w:rFonts w:hint="eastAsia" w:ascii="宋体" w:hAnsi="宋体" w:eastAsia="宋体" w:cs="宋体"/>
          <w:color w:val="auto"/>
          <w:sz w:val="30"/>
          <w:szCs w:val="30"/>
          <w:highlight w:val="none"/>
        </w:rPr>
      </w:pPr>
    </w:p>
    <w:p>
      <w:pPr>
        <w:snapToGrid w:val="0"/>
        <w:spacing w:line="360" w:lineRule="auto"/>
        <w:ind w:firstLine="57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rPr>
        <w:t xml:space="preserve">                          </w:t>
      </w: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（投标人名称）的法定代表人，现授权委托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（单位名称）的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napToGrid w:val="0"/>
        <w:spacing w:line="360" w:lineRule="auto"/>
        <w:ind w:firstLine="57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代理人无转委托权，特此委托。</w:t>
      </w: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w:t>
      </w:r>
    </w:p>
    <w:p>
      <w:pPr>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 xml:space="preserve">                            </w:t>
      </w:r>
    </w:p>
    <w:p>
      <w:pPr>
        <w:snapToGrid w:val="0"/>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授权委托日期：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p>
    <w:p>
      <w:pPr>
        <w:adjustRightInd w:val="0"/>
        <w:snapToGrid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pPr>
        <w:pStyle w:val="26"/>
        <w:numPr>
          <w:ilvl w:val="1"/>
          <w:numId w:val="42"/>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委托书内容必须填写真实、清楚，涂改无效。</w:t>
      </w:r>
    </w:p>
    <w:p>
      <w:pPr>
        <w:pStyle w:val="26"/>
        <w:numPr>
          <w:ilvl w:val="1"/>
          <w:numId w:val="42"/>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委托书不得转让、买卖。</w:t>
      </w:r>
    </w:p>
    <w:p>
      <w:pPr>
        <w:pStyle w:val="26"/>
        <w:numPr>
          <w:ilvl w:val="1"/>
          <w:numId w:val="42"/>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将此委托书提交对方作为合同附件。</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0" w:lineRule="atLeast"/>
        <w:outlineLvl w:val="1"/>
        <w:rPr>
          <w:rFonts w:hint="eastAsia" w:ascii="宋体" w:hAnsi="宋体" w:eastAsia="宋体" w:cs="宋体"/>
          <w:color w:val="auto"/>
          <w:szCs w:val="21"/>
          <w:highlight w:val="none"/>
        </w:rPr>
      </w:pPr>
      <w:bookmarkStart w:id="91" w:name="_Toc19893"/>
      <w:r>
        <w:rPr>
          <w:rFonts w:hint="eastAsia" w:ascii="宋体" w:hAnsi="宋体" w:eastAsia="宋体" w:cs="宋体"/>
          <w:color w:val="auto"/>
          <w:szCs w:val="21"/>
          <w:highlight w:val="none"/>
        </w:rPr>
        <w:t>附件12：经营业绩一览表</w:t>
      </w:r>
      <w:bookmarkEnd w:id="91"/>
    </w:p>
    <w:p>
      <w:pPr>
        <w:spacing w:line="0" w:lineRule="atLeast"/>
        <w:outlineLvl w:val="1"/>
        <w:rPr>
          <w:rFonts w:hint="eastAsia" w:ascii="宋体" w:hAnsi="宋体" w:eastAsia="宋体" w:cs="宋体"/>
          <w:color w:val="auto"/>
          <w:sz w:val="30"/>
          <w:szCs w:val="30"/>
          <w:highlight w:val="none"/>
        </w:rPr>
      </w:pPr>
    </w:p>
    <w:p>
      <w:pPr>
        <w:spacing w:before="120"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经营业绩一览表</w:t>
      </w:r>
    </w:p>
    <w:p>
      <w:pPr>
        <w:autoSpaceDE w:val="0"/>
        <w:autoSpaceDN w:val="0"/>
        <w:adjustRightInd w:val="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（招标人）</w:t>
      </w:r>
    </w:p>
    <w:p>
      <w:pPr>
        <w:autoSpaceDE w:val="0"/>
        <w:autoSpaceDN w:val="0"/>
        <w:adjustRightInd w:val="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我方根据贵公司招标文件要求提供</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日至投标截止时间</w:t>
      </w:r>
      <w:r>
        <w:rPr>
          <w:rFonts w:hint="eastAsia" w:ascii="宋体" w:hAnsi="宋体" w:eastAsia="宋体" w:cs="宋体"/>
          <w:color w:val="auto"/>
          <w:sz w:val="28"/>
          <w:szCs w:val="28"/>
          <w:highlight w:val="none"/>
          <w:u w:val="single"/>
        </w:rPr>
        <w:t>（拟投服务名称）</w:t>
      </w:r>
      <w:r>
        <w:rPr>
          <w:rFonts w:hint="eastAsia" w:ascii="宋体" w:hAnsi="宋体" w:eastAsia="宋体" w:cs="宋体"/>
          <w:color w:val="auto"/>
          <w:sz w:val="28"/>
          <w:szCs w:val="28"/>
          <w:highlight w:val="none"/>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eastAsia="宋体" w:cs="宋体"/>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eastAsia="宋体" w:cs="宋体"/>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eastAsia="宋体" w:cs="宋体"/>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eastAsia="宋体" w:cs="宋体"/>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eastAsia="宋体" w:cs="宋体"/>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eastAsia="宋体" w:cs="宋体"/>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hint="eastAsia" w:ascii="宋体" w:hAnsi="宋体" w:eastAsia="宋体" w:cs="宋体"/>
                <w:color w:val="auto"/>
                <w:sz w:val="28"/>
                <w:szCs w:val="28"/>
                <w:highlight w:val="none"/>
              </w:rPr>
            </w:pPr>
          </w:p>
        </w:tc>
      </w:tr>
    </w:tbl>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p>
      <w:pPr>
        <w:pStyle w:val="26"/>
        <w:numPr>
          <w:ilvl w:val="1"/>
          <w:numId w:val="43"/>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此表格式如不合适，投标人可自行调整。</w:t>
      </w:r>
    </w:p>
    <w:p>
      <w:pPr>
        <w:pStyle w:val="26"/>
        <w:numPr>
          <w:ilvl w:val="1"/>
          <w:numId w:val="43"/>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投标人根据招标文件业绩部分资格要求及评分标准仔细填写，并填写页码，以供评标委员会查验；</w:t>
      </w:r>
    </w:p>
    <w:p>
      <w:pPr>
        <w:pStyle w:val="26"/>
        <w:numPr>
          <w:ilvl w:val="1"/>
          <w:numId w:val="43"/>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上述业绩必须为真实有效，如发现业绩不符，将取消相应资格；</w:t>
      </w:r>
    </w:p>
    <w:p>
      <w:pPr>
        <w:pStyle w:val="26"/>
        <w:numPr>
          <w:ilvl w:val="1"/>
          <w:numId w:val="43"/>
        </w:numPr>
        <w:spacing w:line="40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证明材料须附在本表后即可。</w:t>
      </w:r>
    </w:p>
    <w:p>
      <w:pPr>
        <w:snapToGrid w:val="0"/>
        <w:spacing w:line="360" w:lineRule="auto"/>
        <w:jc w:val="left"/>
        <w:rPr>
          <w:rFonts w:hint="eastAsia" w:ascii="宋体" w:hAnsi="宋体" w:eastAsia="宋体" w:cs="宋体"/>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法定代表人或其授权委托人（签字或盖章）：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 xml:space="preserve">                        </w:t>
      </w:r>
    </w:p>
    <w:p>
      <w:pPr>
        <w:widowControl/>
        <w:jc w:val="left"/>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rPr>
        <w:br w:type="page"/>
      </w:r>
    </w:p>
    <w:p>
      <w:pPr>
        <w:spacing w:line="0" w:lineRule="atLeast"/>
        <w:outlineLvl w:val="1"/>
        <w:rPr>
          <w:rFonts w:hint="eastAsia" w:ascii="宋体" w:hAnsi="宋体" w:eastAsia="宋体" w:cs="宋体"/>
          <w:color w:val="auto"/>
          <w:szCs w:val="21"/>
          <w:highlight w:val="none"/>
        </w:rPr>
      </w:pPr>
      <w:bookmarkStart w:id="92" w:name="_Toc19976"/>
      <w:r>
        <w:rPr>
          <w:rFonts w:hint="eastAsia" w:ascii="宋体" w:hAnsi="宋体" w:eastAsia="宋体" w:cs="宋体"/>
          <w:color w:val="auto"/>
          <w:szCs w:val="21"/>
          <w:highlight w:val="none"/>
        </w:rPr>
        <w:t>附件13：售后服务承诺书（</w:t>
      </w:r>
      <w:r>
        <w:rPr>
          <w:rFonts w:hint="eastAsia" w:ascii="宋体" w:hAnsi="宋体" w:eastAsia="宋体" w:cs="宋体"/>
          <w:color w:val="auto"/>
          <w:highlight w:val="none"/>
        </w:rPr>
        <w:t>质量保证服务承诺书</w:t>
      </w:r>
      <w:r>
        <w:rPr>
          <w:rFonts w:hint="eastAsia" w:ascii="宋体" w:hAnsi="宋体" w:eastAsia="宋体" w:cs="宋体"/>
          <w:color w:val="auto"/>
          <w:szCs w:val="21"/>
          <w:highlight w:val="none"/>
        </w:rPr>
        <w:t>）</w:t>
      </w:r>
      <w:bookmarkEnd w:id="92"/>
    </w:p>
    <w:p>
      <w:pPr>
        <w:spacing w:line="0" w:lineRule="atLeast"/>
        <w:outlineLvl w:val="1"/>
        <w:rPr>
          <w:rFonts w:hint="eastAsia" w:ascii="宋体" w:hAnsi="宋体" w:eastAsia="宋体" w:cs="宋体"/>
          <w:color w:val="auto"/>
          <w:sz w:val="28"/>
          <w:szCs w:val="28"/>
          <w:highlight w:val="none"/>
        </w:rPr>
      </w:pPr>
    </w:p>
    <w:p>
      <w:pPr>
        <w:spacing w:before="120"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售后服务承诺书（质量保证服务承诺书）</w:t>
      </w:r>
    </w:p>
    <w:p>
      <w:pPr>
        <w:tabs>
          <w:tab w:val="left" w:pos="8248"/>
          <w:tab w:val="left" w:pos="9368"/>
        </w:tabs>
        <w:ind w:left="-66"/>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主要内容应包括但不仅限于如下内容：</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（注：投标人可根据项目需求及承诺书具体内容自行调整相关格式</w:t>
      </w:r>
      <w:r>
        <w:rPr>
          <w:rFonts w:hint="eastAsia" w:ascii="宋体" w:hAnsi="宋体" w:cs="宋体"/>
          <w:color w:val="auto"/>
          <w:sz w:val="28"/>
          <w:szCs w:val="28"/>
          <w:highlight w:val="none"/>
          <w:lang w:eastAsia="zh-CN"/>
        </w:rPr>
        <w:t>，</w:t>
      </w:r>
      <w:r>
        <w:rPr>
          <w:rFonts w:hint="eastAsia" w:ascii="宋体" w:hAnsi="宋体" w:cs="宋体"/>
          <w:color w:val="FF0000"/>
          <w:sz w:val="28"/>
          <w:szCs w:val="28"/>
          <w:highlight w:val="none"/>
          <w:lang w:val="en-US" w:eastAsia="zh-CN"/>
        </w:rPr>
        <w:t>每一条内容需简单展开叙述，并正面作答</w:t>
      </w:r>
      <w:r>
        <w:rPr>
          <w:rFonts w:hint="eastAsia" w:ascii="宋体" w:hAnsi="宋体" w:eastAsia="宋体" w:cs="宋体"/>
          <w:color w:val="auto"/>
          <w:sz w:val="28"/>
          <w:szCs w:val="28"/>
          <w:highlight w:val="none"/>
        </w:rPr>
        <w:t>）</w:t>
      </w:r>
    </w:p>
    <w:p>
      <w:pPr>
        <w:numPr>
          <w:ilvl w:val="0"/>
          <w:numId w:val="44"/>
        </w:numPr>
        <w:tabs>
          <w:tab w:val="left" w:pos="426"/>
        </w:tabs>
        <w:spacing w:before="240" w:line="360" w:lineRule="auto"/>
        <w:ind w:hanging="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售后服务内容及范围（含保修服务）；</w:t>
      </w:r>
    </w:p>
    <w:p>
      <w:pPr>
        <w:numPr>
          <w:ilvl w:val="0"/>
          <w:numId w:val="44"/>
        </w:numPr>
        <w:tabs>
          <w:tab w:val="left" w:pos="426"/>
        </w:tabs>
        <w:spacing w:before="240" w:line="360" w:lineRule="auto"/>
        <w:ind w:hanging="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售后服务人员安排及联系方式；</w:t>
      </w:r>
    </w:p>
    <w:p>
      <w:pPr>
        <w:numPr>
          <w:ilvl w:val="0"/>
          <w:numId w:val="44"/>
        </w:numPr>
        <w:tabs>
          <w:tab w:val="left" w:pos="426"/>
        </w:tabs>
        <w:spacing w:before="240" w:line="360" w:lineRule="auto"/>
        <w:ind w:hanging="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应急响应时间安排；</w:t>
      </w:r>
    </w:p>
    <w:p>
      <w:pPr>
        <w:numPr>
          <w:ilvl w:val="0"/>
          <w:numId w:val="44"/>
        </w:numPr>
        <w:tabs>
          <w:tab w:val="left" w:pos="426"/>
        </w:tabs>
        <w:spacing w:before="240" w:line="360" w:lineRule="auto"/>
        <w:ind w:hanging="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维修服务收费标准；</w:t>
      </w:r>
    </w:p>
    <w:p>
      <w:pPr>
        <w:numPr>
          <w:ilvl w:val="0"/>
          <w:numId w:val="44"/>
        </w:numPr>
        <w:tabs>
          <w:tab w:val="left" w:pos="426"/>
        </w:tabs>
        <w:spacing w:before="240" w:line="360" w:lineRule="auto"/>
        <w:ind w:hanging="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主要零配件价格；</w:t>
      </w:r>
    </w:p>
    <w:p>
      <w:pPr>
        <w:numPr>
          <w:ilvl w:val="0"/>
          <w:numId w:val="44"/>
        </w:numPr>
        <w:tabs>
          <w:tab w:val="left" w:pos="426"/>
        </w:tabs>
        <w:spacing w:before="240" w:line="360" w:lineRule="auto"/>
        <w:ind w:hanging="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其它服务承诺：投标方承诺其提供的媒体可应发标方要求进行更换，更换总数量不超过</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家，具体更换情况在签约时双方协商确定。</w:t>
      </w:r>
    </w:p>
    <w:p>
      <w:pPr>
        <w:spacing w:line="360" w:lineRule="auto"/>
        <w:rPr>
          <w:rFonts w:hint="eastAsia" w:ascii="宋体" w:hAnsi="宋体" w:eastAsia="宋体" w:cs="宋体"/>
          <w:color w:val="auto"/>
          <w:sz w:val="28"/>
          <w:szCs w:val="28"/>
          <w:highlight w:val="none"/>
        </w:rPr>
      </w:pPr>
    </w:p>
    <w:p>
      <w:pPr>
        <w:tabs>
          <w:tab w:val="left" w:pos="8248"/>
          <w:tab w:val="left" w:pos="9368"/>
        </w:tabs>
        <w:ind w:left="-66"/>
        <w:rPr>
          <w:rFonts w:hint="eastAsia" w:ascii="宋体" w:hAnsi="宋体" w:eastAsia="宋体" w:cs="宋体"/>
          <w:color w:val="auto"/>
          <w:sz w:val="28"/>
          <w:szCs w:val="28"/>
          <w:highlight w:val="none"/>
          <w:u w:val="single"/>
        </w:rPr>
      </w:pPr>
    </w:p>
    <w:p>
      <w:pPr>
        <w:tabs>
          <w:tab w:val="left" w:pos="8248"/>
          <w:tab w:val="left" w:pos="9368"/>
        </w:tabs>
        <w:ind w:left="-66"/>
        <w:rPr>
          <w:rFonts w:hint="eastAsia" w:ascii="宋体" w:hAnsi="宋体" w:eastAsia="宋体" w:cs="宋体"/>
          <w:color w:val="auto"/>
          <w:sz w:val="28"/>
          <w:szCs w:val="28"/>
          <w:highlight w:val="none"/>
          <w:u w:val="single"/>
        </w:rPr>
      </w:pPr>
    </w:p>
    <w:p>
      <w:pPr>
        <w:tabs>
          <w:tab w:val="left" w:pos="8248"/>
          <w:tab w:val="left" w:pos="9368"/>
        </w:tabs>
        <w:ind w:left="-66"/>
        <w:rPr>
          <w:rFonts w:hint="eastAsia" w:ascii="宋体" w:hAnsi="宋体" w:eastAsia="宋体" w:cs="宋体"/>
          <w:color w:val="auto"/>
          <w:sz w:val="28"/>
          <w:szCs w:val="28"/>
          <w:highlight w:val="none"/>
          <w:u w:val="single"/>
        </w:rPr>
      </w:pPr>
    </w:p>
    <w:p>
      <w:pPr>
        <w:tabs>
          <w:tab w:val="left" w:pos="8248"/>
          <w:tab w:val="left" w:pos="9368"/>
        </w:tabs>
        <w:ind w:left="-66"/>
        <w:rPr>
          <w:rFonts w:hint="eastAsia" w:ascii="宋体" w:hAnsi="宋体" w:eastAsia="宋体" w:cs="宋体"/>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法定代表人或其授权委托人（签字或盖章）：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 xml:space="preserve">                        </w:t>
      </w: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Start w:id="93" w:name="_Toc32341"/>
      <w:r>
        <w:rPr>
          <w:rFonts w:hint="eastAsia" w:ascii="宋体" w:hAnsi="宋体" w:eastAsia="宋体" w:cs="宋体"/>
          <w:color w:val="auto"/>
          <w:sz w:val="28"/>
          <w:szCs w:val="28"/>
          <w:highlight w:val="none"/>
        </w:rPr>
        <w:br w:type="page"/>
      </w:r>
    </w:p>
    <w:p>
      <w:pPr>
        <w:spacing w:line="0" w:lineRule="atLeast"/>
        <w:outlineLvl w:val="1"/>
        <w:rPr>
          <w:rFonts w:hint="eastAsia" w:ascii="宋体" w:hAnsi="宋体" w:eastAsia="宋体" w:cs="宋体"/>
          <w:color w:val="auto"/>
          <w:szCs w:val="21"/>
          <w:highlight w:val="none"/>
        </w:rPr>
      </w:pPr>
      <w:bookmarkStart w:id="94" w:name="_Toc27391"/>
      <w:r>
        <w:rPr>
          <w:rFonts w:hint="eastAsia" w:ascii="宋体" w:hAnsi="宋体" w:eastAsia="宋体" w:cs="宋体"/>
          <w:color w:val="auto"/>
          <w:szCs w:val="21"/>
          <w:highlight w:val="none"/>
        </w:rPr>
        <w:t>附件14：履约情况及社会信誉承诺书</w:t>
      </w:r>
      <w:bookmarkEnd w:id="93"/>
      <w:bookmarkEnd w:id="94"/>
    </w:p>
    <w:p>
      <w:pPr>
        <w:adjustRightInd w:val="0"/>
        <w:snapToGrid w:val="0"/>
        <w:rPr>
          <w:rFonts w:hint="eastAsia" w:ascii="宋体" w:hAnsi="宋体" w:eastAsia="宋体" w:cs="宋体"/>
          <w:bCs/>
          <w:color w:val="auto"/>
          <w:sz w:val="28"/>
          <w:szCs w:val="28"/>
          <w:highlight w:val="none"/>
        </w:rPr>
      </w:pPr>
    </w:p>
    <w:p>
      <w:pPr>
        <w:adjustRightInd w:val="0"/>
        <w:snapToGrid w:val="0"/>
        <w:rPr>
          <w:rFonts w:hint="eastAsia" w:ascii="宋体" w:hAnsi="宋体" w:eastAsia="宋体" w:cs="宋体"/>
          <w:bCs/>
          <w:color w:val="auto"/>
          <w:sz w:val="28"/>
          <w:szCs w:val="28"/>
          <w:highlight w:val="none"/>
        </w:rPr>
      </w:pPr>
    </w:p>
    <w:p>
      <w:pPr>
        <w:spacing w:before="120"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履约情况及社会信誉承诺书</w:t>
      </w:r>
    </w:p>
    <w:p>
      <w:pPr>
        <w:adjustRightInd w:val="0"/>
        <w:snapToGrid w:val="0"/>
        <w:rPr>
          <w:rFonts w:hint="eastAsia" w:ascii="宋体" w:hAnsi="宋体" w:eastAsia="宋体" w:cs="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（投标人名称）在最近三年内（</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（投标人名称）及法定代表人在最近三年内（</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（投标人名称）自</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法定代表人或其授权委托人（签字或盖章）：</w:t>
      </w:r>
      <w:r>
        <w:rPr>
          <w:rFonts w:hint="eastAsia" w:ascii="宋体" w:hAnsi="宋体" w:eastAsia="宋体" w:cs="宋体"/>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投标人名称及盖章：</w:t>
      </w:r>
      <w:r>
        <w:rPr>
          <w:rFonts w:hint="eastAsia" w:ascii="宋体" w:hAnsi="宋体" w:eastAsia="宋体" w:cs="宋体"/>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0" w:lineRule="atLeast"/>
        <w:outlineLvl w:val="1"/>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spacing w:line="0" w:lineRule="atLeast"/>
        <w:outlineLvl w:val="1"/>
        <w:rPr>
          <w:rFonts w:hint="eastAsia" w:ascii="宋体" w:hAnsi="宋体" w:eastAsia="宋体" w:cs="宋体"/>
          <w:color w:val="auto"/>
          <w:highlight w:val="none"/>
        </w:rPr>
      </w:pPr>
      <w:bookmarkStart w:id="95" w:name="_Toc100848654"/>
      <w:bookmarkStart w:id="96" w:name="_Toc13941"/>
      <w:r>
        <w:rPr>
          <w:rFonts w:hint="eastAsia" w:ascii="宋体" w:hAnsi="宋体" w:eastAsia="宋体" w:cs="宋体"/>
          <w:color w:val="auto"/>
          <w:highlight w:val="none"/>
        </w:rPr>
        <w:t>附件15：投标文件密码</w:t>
      </w:r>
      <w:bookmarkEnd w:id="95"/>
      <w:r>
        <w:rPr>
          <w:rFonts w:hint="eastAsia" w:ascii="宋体" w:hAnsi="宋体" w:eastAsia="宋体" w:cs="宋体"/>
          <w:color w:val="auto"/>
          <w:highlight w:val="none"/>
        </w:rPr>
        <w:t>单</w:t>
      </w:r>
      <w:bookmarkEnd w:id="96"/>
    </w:p>
    <w:p>
      <w:pPr>
        <w:spacing w:line="360" w:lineRule="auto"/>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32"/>
          <w:szCs w:val="32"/>
          <w:highlight w:val="none"/>
        </w:rPr>
      </w:pPr>
      <w:bookmarkStart w:id="97" w:name="_Hlk66864759"/>
      <w:r>
        <w:rPr>
          <w:rFonts w:hint="eastAsia" w:ascii="宋体" w:hAnsi="宋体" w:eastAsia="宋体" w:cs="宋体"/>
          <w:b/>
          <w:color w:val="auto"/>
          <w:sz w:val="32"/>
          <w:szCs w:val="32"/>
          <w:highlight w:val="none"/>
        </w:rPr>
        <w:t>_________________________________项目</w:t>
      </w:r>
      <w:bookmarkEnd w:id="97"/>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投标文件密码单</w:t>
      </w:r>
    </w:p>
    <w:p>
      <w:pPr>
        <w:pStyle w:val="13"/>
        <w:rPr>
          <w:rFonts w:hint="eastAsia" w:ascii="宋体" w:hAnsi="宋体" w:eastAsia="宋体" w:cs="宋体"/>
          <w:b/>
          <w:color w:val="auto"/>
          <w:sz w:val="28"/>
          <w:szCs w:val="28"/>
          <w:highlight w:val="none"/>
        </w:rPr>
      </w:pPr>
    </w:p>
    <w:p>
      <w:pPr>
        <w:pStyle w:val="1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本项目投标文件解密密码为：______________________________。</w:t>
      </w:r>
    </w:p>
    <w:p>
      <w:pPr>
        <w:pStyle w:val="13"/>
        <w:rPr>
          <w:rFonts w:hint="eastAsia" w:ascii="宋体" w:hAnsi="宋体" w:eastAsia="宋体" w:cs="宋体"/>
          <w:b/>
          <w:color w:val="auto"/>
          <w:sz w:val="28"/>
          <w:szCs w:val="28"/>
          <w:highlight w:val="none"/>
        </w:rPr>
      </w:pPr>
    </w:p>
    <w:p>
      <w:pPr>
        <w:pStyle w:val="1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【特别注意】</w:t>
      </w:r>
    </w:p>
    <w:p>
      <w:pPr>
        <w:pStyle w:val="13"/>
        <w:numPr>
          <w:ilvl w:val="0"/>
          <w:numId w:val="46"/>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密码区分大小写，且不得使用易与数字混淆的I、l或1，O、0或o等数字和字母。</w:t>
      </w:r>
    </w:p>
    <w:p>
      <w:pPr>
        <w:pStyle w:val="13"/>
        <w:numPr>
          <w:ilvl w:val="0"/>
          <w:numId w:val="46"/>
        </w:num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本单请严格按招标文件要求的时间和方式提交（切勿同投标文件一起提交）。</w:t>
      </w: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spacing w:line="360" w:lineRule="auto"/>
        <w:jc w:val="left"/>
        <w:rPr>
          <w:rFonts w:hint="eastAsia" w:ascii="宋体" w:hAnsi="宋体" w:eastAsia="宋体" w:cs="宋体"/>
          <w:color w:val="auto"/>
          <w:sz w:val="28"/>
          <w:szCs w:val="28"/>
          <w:highlight w:val="none"/>
        </w:rPr>
      </w:pPr>
      <w:bookmarkStart w:id="98" w:name="_Hlk127435173"/>
      <w:r>
        <w:rPr>
          <w:rFonts w:hint="eastAsia" w:ascii="宋体" w:hAnsi="宋体" w:eastAsia="宋体" w:cs="宋体"/>
          <w:color w:val="auto"/>
          <w:sz w:val="28"/>
          <w:szCs w:val="28"/>
          <w:highlight w:val="none"/>
        </w:rPr>
        <w:t>法定代表人或其授权委托人（签字或盖章）</w:t>
      </w:r>
      <w:r>
        <w:rPr>
          <w:rFonts w:hint="eastAsia" w:ascii="宋体" w:hAnsi="宋体" w:eastAsia="宋体" w:cs="宋体"/>
          <w:color w:val="auto"/>
          <w:sz w:val="30"/>
          <w:szCs w:val="30"/>
          <w:highlight w:val="none"/>
        </w:rPr>
        <w:t>：</w:t>
      </w:r>
      <w:r>
        <w:rPr>
          <w:rFonts w:hint="eastAsia" w:ascii="宋体" w:hAnsi="宋体" w:eastAsia="宋体" w:cs="宋体"/>
          <w:color w:val="auto"/>
          <w:sz w:val="28"/>
          <w:szCs w:val="28"/>
          <w:highlight w:val="none"/>
        </w:rPr>
        <w:t>_______________</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30"/>
          <w:szCs w:val="30"/>
          <w:highlight w:val="none"/>
        </w:rPr>
        <w:t>名称及盖章：</w:t>
      </w:r>
      <w:r>
        <w:rPr>
          <w:rFonts w:hint="eastAsia" w:ascii="宋体" w:hAnsi="宋体" w:eastAsia="宋体" w:cs="宋体"/>
          <w:color w:val="auto"/>
          <w:sz w:val="28"/>
          <w:szCs w:val="28"/>
          <w:highlight w:val="none"/>
        </w:rPr>
        <w:t>______________________</w:t>
      </w:r>
    </w:p>
    <w:p>
      <w:pPr>
        <w:pStyle w:val="13"/>
        <w:rPr>
          <w:rFonts w:hint="eastAsia" w:ascii="宋体" w:hAnsi="宋体" w:eastAsia="宋体" w:cs="宋体"/>
          <w:color w:val="auto"/>
          <w:highlight w:val="none"/>
        </w:rPr>
      </w:pPr>
      <w:r>
        <w:rPr>
          <w:rFonts w:hint="eastAsia" w:ascii="宋体" w:hAnsi="宋体" w:eastAsia="宋体" w:cs="宋体"/>
          <w:color w:val="auto"/>
          <w:sz w:val="28"/>
          <w:szCs w:val="28"/>
          <w:highlight w:val="none"/>
        </w:rPr>
        <w:t>日期：_______年____月___日</w:t>
      </w:r>
      <w:bookmarkEnd w:id="98"/>
    </w:p>
    <w:p>
      <w:pPr>
        <w:pStyle w:val="13"/>
        <w:rPr>
          <w:rFonts w:hint="eastAsia" w:ascii="宋体" w:hAnsi="宋体" w:eastAsia="宋体" w:cs="宋体"/>
          <w:color w:val="auto"/>
          <w:highlight w:val="none"/>
        </w:rPr>
      </w:pPr>
    </w:p>
    <w:sectPr>
      <w:pgSz w:w="11906" w:h="16838"/>
      <w:pgMar w:top="1134" w:right="1800" w:bottom="993" w:left="1800" w:header="851" w:footer="4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3FDD4"/>
    <w:multiLevelType w:val="singleLevel"/>
    <w:tmpl w:val="8F33FDD4"/>
    <w:lvl w:ilvl="0" w:tentative="0">
      <w:start w:val="1"/>
      <w:numFmt w:val="decimal"/>
      <w:suff w:val="space"/>
      <w:lvlText w:val="%1."/>
      <w:lvlJc w:val="left"/>
    </w:lvl>
  </w:abstractNum>
  <w:abstractNum w:abstractNumId="1">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A49153AC"/>
    <w:multiLevelType w:val="singleLevel"/>
    <w:tmpl w:val="A49153AC"/>
    <w:lvl w:ilvl="0" w:tentative="0">
      <w:start w:val="1"/>
      <w:numFmt w:val="chineseCounting"/>
      <w:suff w:val="nothing"/>
      <w:lvlText w:val="（%1）"/>
      <w:lvlJc w:val="left"/>
      <w:rPr>
        <w:rFonts w:hint="eastAsia"/>
      </w:rPr>
    </w:lvl>
  </w:abstractNum>
  <w:abstractNum w:abstractNumId="4">
    <w:nsid w:val="B8B73C7F"/>
    <w:multiLevelType w:val="singleLevel"/>
    <w:tmpl w:val="B8B73C7F"/>
    <w:lvl w:ilvl="0" w:tentative="0">
      <w:start w:val="1"/>
      <w:numFmt w:val="decimal"/>
      <w:suff w:val="nothing"/>
      <w:lvlText w:val="%1、"/>
      <w:lvlJc w:val="left"/>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993EFC3"/>
    <w:multiLevelType w:val="singleLevel"/>
    <w:tmpl w:val="D993EFC3"/>
    <w:lvl w:ilvl="0" w:tentative="0">
      <w:start w:val="1"/>
      <w:numFmt w:val="chineseCounting"/>
      <w:suff w:val="nothing"/>
      <w:lvlText w:val="（%1）"/>
      <w:lvlJc w:val="left"/>
      <w:rPr>
        <w:rFonts w:hint="eastAsia"/>
      </w:r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32F8404"/>
    <w:multiLevelType w:val="singleLevel"/>
    <w:tmpl w:val="132F8404"/>
    <w:lvl w:ilvl="0" w:tentative="0">
      <w:start w:val="1"/>
      <w:numFmt w:val="chineseCounting"/>
      <w:suff w:val="nothing"/>
      <w:lvlText w:val="（%1）"/>
      <w:lvlJc w:val="left"/>
      <w:rPr>
        <w:rFonts w:hint="eastAsia"/>
      </w:rPr>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9B2708C"/>
    <w:multiLevelType w:val="singleLevel"/>
    <w:tmpl w:val="19B2708C"/>
    <w:lvl w:ilvl="0" w:tentative="0">
      <w:start w:val="1"/>
      <w:numFmt w:val="decimal"/>
      <w:suff w:val="nothing"/>
      <w:lvlText w:val="（%1）"/>
      <w:lvlJc w:val="left"/>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30E6F2"/>
    <w:multiLevelType w:val="singleLevel"/>
    <w:tmpl w:val="2730E6F2"/>
    <w:lvl w:ilvl="0" w:tentative="0">
      <w:start w:val="1"/>
      <w:numFmt w:val="chineseCounting"/>
      <w:suff w:val="nothing"/>
      <w:lvlText w:val="（%1）"/>
      <w:lvlJc w:val="left"/>
      <w:rPr>
        <w:rFonts w:hint="eastAsia"/>
      </w:r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D89DC3"/>
    <w:multiLevelType w:val="singleLevel"/>
    <w:tmpl w:val="3BD89DC3"/>
    <w:lvl w:ilvl="0" w:tentative="0">
      <w:start w:val="1"/>
      <w:numFmt w:val="chineseCounting"/>
      <w:suff w:val="nothing"/>
      <w:lvlText w:val="（%1）"/>
      <w:lvlJc w:val="left"/>
      <w:rPr>
        <w:rFonts w:hint="eastAsia"/>
      </w:r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pPr>
        <w:ind w:left="228"/>
      </w:pPr>
      <w:rPr>
        <w:rFonts w:hint="eastAsia" w:ascii="仿宋" w:hAnsi="仿宋" w:eastAsia="仿宋" w:cs="仿宋"/>
      </w:rPr>
    </w:lvl>
  </w:abstractNum>
  <w:abstractNum w:abstractNumId="33">
    <w:nsid w:val="44A1B9D1"/>
    <w:multiLevelType w:val="singleLevel"/>
    <w:tmpl w:val="44A1B9D1"/>
    <w:lvl w:ilvl="0" w:tentative="0">
      <w:start w:val="1"/>
      <w:numFmt w:val="decimal"/>
      <w:suff w:val="nothing"/>
      <w:lvlText w:val="（%1）"/>
      <w:lvlJc w:val="left"/>
    </w:lvl>
  </w:abstractNum>
  <w:abstractNum w:abstractNumId="3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2745AB1"/>
    <w:multiLevelType w:val="singleLevel"/>
    <w:tmpl w:val="52745AB1"/>
    <w:lvl w:ilvl="0" w:tentative="0">
      <w:start w:val="1"/>
      <w:numFmt w:val="decimal"/>
      <w:lvlText w:val="%1."/>
      <w:lvlJc w:val="left"/>
      <w:pPr>
        <w:tabs>
          <w:tab w:val="left" w:pos="312"/>
        </w:tabs>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D615E4B"/>
    <w:multiLevelType w:val="singleLevel"/>
    <w:tmpl w:val="5D615E4B"/>
    <w:lvl w:ilvl="0" w:tentative="0">
      <w:start w:val="1"/>
      <w:numFmt w:val="decimal"/>
      <w:lvlText w:val="%1."/>
      <w:lvlJc w:val="left"/>
      <w:pPr>
        <w:tabs>
          <w:tab w:val="left" w:pos="312"/>
        </w:tabs>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6576A73"/>
    <w:multiLevelType w:val="singleLevel"/>
    <w:tmpl w:val="76576A73"/>
    <w:lvl w:ilvl="0" w:tentative="0">
      <w:start w:val="1"/>
      <w:numFmt w:val="decimal"/>
      <w:suff w:val="nothing"/>
      <w:lvlText w:val="（%1）"/>
      <w:lvlJc w:val="left"/>
    </w:lvl>
  </w:abstractNum>
  <w:abstractNum w:abstractNumId="44">
    <w:nsid w:val="7ED17433"/>
    <w:multiLevelType w:val="singleLevel"/>
    <w:tmpl w:val="7ED17433"/>
    <w:lvl w:ilvl="0" w:tentative="0">
      <w:start w:val="1"/>
      <w:numFmt w:val="decimal"/>
      <w:lvlText w:val="（%1）"/>
      <w:lvlJc w:val="left"/>
      <w:pPr>
        <w:ind w:left="420" w:hanging="420"/>
      </w:pPr>
      <w:rPr>
        <w:rFonts w:hint="eastAsia"/>
      </w:rPr>
    </w:lvl>
  </w:abstractNum>
  <w:num w:numId="1">
    <w:abstractNumId w:val="37"/>
  </w:num>
  <w:num w:numId="2">
    <w:abstractNumId w:val="42"/>
  </w:num>
  <w:num w:numId="3">
    <w:abstractNumId w:val="28"/>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8"/>
  </w:num>
  <w:num w:numId="8">
    <w:abstractNumId w:val="31"/>
  </w:num>
  <w:num w:numId="9">
    <w:abstractNumId w:val="18"/>
  </w:num>
  <w:num w:numId="10">
    <w:abstractNumId w:val="43"/>
  </w:num>
  <w:num w:numId="11">
    <w:abstractNumId w:val="44"/>
  </w:num>
  <w:num w:numId="12">
    <w:abstractNumId w:val="20"/>
  </w:num>
  <w:num w:numId="13">
    <w:abstractNumId w:val="15"/>
  </w:num>
  <w:num w:numId="14">
    <w:abstractNumId w:val="6"/>
  </w:num>
  <w:num w:numId="15">
    <w:abstractNumId w:val="26"/>
  </w:num>
  <w:num w:numId="16">
    <w:abstractNumId w:val="13"/>
  </w:num>
  <w:num w:numId="17">
    <w:abstractNumId w:val="4"/>
  </w:num>
  <w:num w:numId="18">
    <w:abstractNumId w:val="2"/>
  </w:num>
  <w:num w:numId="19">
    <w:abstractNumId w:val="8"/>
  </w:num>
  <w:num w:numId="20">
    <w:abstractNumId w:val="32"/>
  </w:num>
  <w:num w:numId="21">
    <w:abstractNumId w:val="30"/>
  </w:num>
  <w:num w:numId="22">
    <w:abstractNumId w:val="10"/>
  </w:num>
  <w:num w:numId="23">
    <w:abstractNumId w:val="39"/>
  </w:num>
  <w:num w:numId="24">
    <w:abstractNumId w:val="16"/>
  </w:num>
  <w:num w:numId="25">
    <w:abstractNumId w:val="40"/>
  </w:num>
  <w:num w:numId="26">
    <w:abstractNumId w:val="33"/>
  </w:num>
  <w:num w:numId="27">
    <w:abstractNumId w:val="17"/>
  </w:num>
  <w:num w:numId="28">
    <w:abstractNumId w:val="35"/>
  </w:num>
  <w:num w:numId="29">
    <w:abstractNumId w:val="22"/>
  </w:num>
  <w:num w:numId="30">
    <w:abstractNumId w:val="0"/>
  </w:num>
  <w:num w:numId="31">
    <w:abstractNumId w:val="9"/>
  </w:num>
  <w:num w:numId="32">
    <w:abstractNumId w:val="29"/>
  </w:num>
  <w:num w:numId="33">
    <w:abstractNumId w:val="1"/>
  </w:num>
  <w:num w:numId="34">
    <w:abstractNumId w:val="24"/>
  </w:num>
  <w:num w:numId="35">
    <w:abstractNumId w:val="7"/>
  </w:num>
  <w:num w:numId="36">
    <w:abstractNumId w:val="3"/>
  </w:num>
  <w:num w:numId="37">
    <w:abstractNumId w:val="12"/>
  </w:num>
  <w:num w:numId="38">
    <w:abstractNumId w:val="11"/>
  </w:num>
  <w:num w:numId="39">
    <w:abstractNumId w:val="41"/>
  </w:num>
  <w:num w:numId="40">
    <w:abstractNumId w:val="27"/>
  </w:num>
  <w:num w:numId="41">
    <w:abstractNumId w:val="23"/>
  </w:num>
  <w:num w:numId="42">
    <w:abstractNumId w:val="34"/>
  </w:num>
  <w:num w:numId="43">
    <w:abstractNumId w:val="21"/>
  </w:num>
  <w:num w:numId="44">
    <w:abstractNumId w:val="14"/>
  </w:num>
  <w:num w:numId="45">
    <w:abstractNumId w:val="3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3A1CC8"/>
    <w:rsid w:val="061E3040"/>
    <w:rsid w:val="06856661"/>
    <w:rsid w:val="077B4608"/>
    <w:rsid w:val="07BB74B6"/>
    <w:rsid w:val="07D7576E"/>
    <w:rsid w:val="08411F8A"/>
    <w:rsid w:val="08493DEA"/>
    <w:rsid w:val="086E4EC9"/>
    <w:rsid w:val="0A2B625F"/>
    <w:rsid w:val="0A851B21"/>
    <w:rsid w:val="0B485C7D"/>
    <w:rsid w:val="0B734A64"/>
    <w:rsid w:val="0CDE01F2"/>
    <w:rsid w:val="0D8A4C81"/>
    <w:rsid w:val="0DC53882"/>
    <w:rsid w:val="0DD201F4"/>
    <w:rsid w:val="0F1122CF"/>
    <w:rsid w:val="0F4445FF"/>
    <w:rsid w:val="0F4526B6"/>
    <w:rsid w:val="0F7C0B54"/>
    <w:rsid w:val="0FD46985"/>
    <w:rsid w:val="10091618"/>
    <w:rsid w:val="103C29E0"/>
    <w:rsid w:val="106634B1"/>
    <w:rsid w:val="10776C72"/>
    <w:rsid w:val="10D2701C"/>
    <w:rsid w:val="121811F9"/>
    <w:rsid w:val="124F2027"/>
    <w:rsid w:val="125B780D"/>
    <w:rsid w:val="126533F6"/>
    <w:rsid w:val="12D90C65"/>
    <w:rsid w:val="13565240"/>
    <w:rsid w:val="139F5942"/>
    <w:rsid w:val="13A27E4B"/>
    <w:rsid w:val="14261E2A"/>
    <w:rsid w:val="14584390"/>
    <w:rsid w:val="147F1929"/>
    <w:rsid w:val="1508055D"/>
    <w:rsid w:val="152B64B8"/>
    <w:rsid w:val="15740DA4"/>
    <w:rsid w:val="15C6515E"/>
    <w:rsid w:val="15D864CF"/>
    <w:rsid w:val="15F1207F"/>
    <w:rsid w:val="160764A3"/>
    <w:rsid w:val="165526C0"/>
    <w:rsid w:val="16A962B4"/>
    <w:rsid w:val="16E14DBE"/>
    <w:rsid w:val="16E33F99"/>
    <w:rsid w:val="175F13E4"/>
    <w:rsid w:val="17676391"/>
    <w:rsid w:val="18851BE3"/>
    <w:rsid w:val="19313333"/>
    <w:rsid w:val="195A6BC0"/>
    <w:rsid w:val="1978307E"/>
    <w:rsid w:val="1996479C"/>
    <w:rsid w:val="19DA7C51"/>
    <w:rsid w:val="1A8A05B5"/>
    <w:rsid w:val="1B6769FF"/>
    <w:rsid w:val="1BB6567C"/>
    <w:rsid w:val="1C0D22C4"/>
    <w:rsid w:val="1C5670DA"/>
    <w:rsid w:val="1DC415E9"/>
    <w:rsid w:val="1DFB2C44"/>
    <w:rsid w:val="1E0E1BB5"/>
    <w:rsid w:val="1E451089"/>
    <w:rsid w:val="1E62580B"/>
    <w:rsid w:val="1F7074E6"/>
    <w:rsid w:val="1FF95050"/>
    <w:rsid w:val="20010C89"/>
    <w:rsid w:val="20827318"/>
    <w:rsid w:val="222E77FE"/>
    <w:rsid w:val="227A4EED"/>
    <w:rsid w:val="22875772"/>
    <w:rsid w:val="228D0750"/>
    <w:rsid w:val="22901C61"/>
    <w:rsid w:val="232D2CB8"/>
    <w:rsid w:val="23A33681"/>
    <w:rsid w:val="24786106"/>
    <w:rsid w:val="24DB11F2"/>
    <w:rsid w:val="253F6D50"/>
    <w:rsid w:val="25713B4C"/>
    <w:rsid w:val="25A5748F"/>
    <w:rsid w:val="25BE1EBF"/>
    <w:rsid w:val="25D67A2C"/>
    <w:rsid w:val="25D85A3C"/>
    <w:rsid w:val="267E19B6"/>
    <w:rsid w:val="26B50280"/>
    <w:rsid w:val="26E95967"/>
    <w:rsid w:val="27BE057F"/>
    <w:rsid w:val="28CE4A96"/>
    <w:rsid w:val="29603DF6"/>
    <w:rsid w:val="2A1A1FEE"/>
    <w:rsid w:val="2A1D36D7"/>
    <w:rsid w:val="2A541555"/>
    <w:rsid w:val="2A67257E"/>
    <w:rsid w:val="2AF0336C"/>
    <w:rsid w:val="2B8B5ADA"/>
    <w:rsid w:val="2B9E3425"/>
    <w:rsid w:val="2BB20AD2"/>
    <w:rsid w:val="2BD84FDD"/>
    <w:rsid w:val="2BFA4386"/>
    <w:rsid w:val="2C3B69F5"/>
    <w:rsid w:val="2CD73EA3"/>
    <w:rsid w:val="2D0A3DB4"/>
    <w:rsid w:val="2D845ED0"/>
    <w:rsid w:val="2DE7555C"/>
    <w:rsid w:val="2E0A52B1"/>
    <w:rsid w:val="2EAB6E76"/>
    <w:rsid w:val="2F537CF8"/>
    <w:rsid w:val="2F6C32DC"/>
    <w:rsid w:val="2FD878A2"/>
    <w:rsid w:val="302E7901"/>
    <w:rsid w:val="30381F4F"/>
    <w:rsid w:val="30BB7B69"/>
    <w:rsid w:val="30E230F8"/>
    <w:rsid w:val="313C338A"/>
    <w:rsid w:val="325D5EC7"/>
    <w:rsid w:val="330577E1"/>
    <w:rsid w:val="33423BB5"/>
    <w:rsid w:val="336B3BA1"/>
    <w:rsid w:val="339C0672"/>
    <w:rsid w:val="33BC2193"/>
    <w:rsid w:val="33F646D8"/>
    <w:rsid w:val="34A05B77"/>
    <w:rsid w:val="34D64227"/>
    <w:rsid w:val="357B4918"/>
    <w:rsid w:val="35AA0611"/>
    <w:rsid w:val="35CB0CC4"/>
    <w:rsid w:val="37097428"/>
    <w:rsid w:val="379E642E"/>
    <w:rsid w:val="38AC36F6"/>
    <w:rsid w:val="39714D5E"/>
    <w:rsid w:val="3A8B4E53"/>
    <w:rsid w:val="3AAD7F79"/>
    <w:rsid w:val="3B4F77FE"/>
    <w:rsid w:val="3B991A52"/>
    <w:rsid w:val="3BB26AC4"/>
    <w:rsid w:val="3C35255B"/>
    <w:rsid w:val="3D3679ED"/>
    <w:rsid w:val="3DBD70C1"/>
    <w:rsid w:val="3E474AF9"/>
    <w:rsid w:val="3E603C3D"/>
    <w:rsid w:val="3EF67E20"/>
    <w:rsid w:val="3EFD6B8E"/>
    <w:rsid w:val="3F402514"/>
    <w:rsid w:val="3F8C5A89"/>
    <w:rsid w:val="3FBF1AEC"/>
    <w:rsid w:val="408D7227"/>
    <w:rsid w:val="41407E51"/>
    <w:rsid w:val="416718EC"/>
    <w:rsid w:val="42935039"/>
    <w:rsid w:val="42B86CB1"/>
    <w:rsid w:val="42DC7864"/>
    <w:rsid w:val="42FE5504"/>
    <w:rsid w:val="439D7A21"/>
    <w:rsid w:val="43D97719"/>
    <w:rsid w:val="447267E8"/>
    <w:rsid w:val="448D6270"/>
    <w:rsid w:val="448F3CCA"/>
    <w:rsid w:val="44E431E5"/>
    <w:rsid w:val="454050A9"/>
    <w:rsid w:val="462C1469"/>
    <w:rsid w:val="464B2360"/>
    <w:rsid w:val="46836C37"/>
    <w:rsid w:val="46B30DE6"/>
    <w:rsid w:val="470115CC"/>
    <w:rsid w:val="47F634E3"/>
    <w:rsid w:val="48A144E2"/>
    <w:rsid w:val="492A4A83"/>
    <w:rsid w:val="495C1F5C"/>
    <w:rsid w:val="49A255CB"/>
    <w:rsid w:val="4A5B1872"/>
    <w:rsid w:val="4A9A1F81"/>
    <w:rsid w:val="4AEB4DCC"/>
    <w:rsid w:val="4AF77150"/>
    <w:rsid w:val="4B1A1520"/>
    <w:rsid w:val="4B703542"/>
    <w:rsid w:val="4B8B03E4"/>
    <w:rsid w:val="4BCC014B"/>
    <w:rsid w:val="4C6C6450"/>
    <w:rsid w:val="4D77613C"/>
    <w:rsid w:val="4D9A3F67"/>
    <w:rsid w:val="4DDF67CC"/>
    <w:rsid w:val="4EE12BFB"/>
    <w:rsid w:val="4F4435E3"/>
    <w:rsid w:val="50905956"/>
    <w:rsid w:val="50CB0EC1"/>
    <w:rsid w:val="50FA6A61"/>
    <w:rsid w:val="51200FCE"/>
    <w:rsid w:val="51794BC1"/>
    <w:rsid w:val="51DD0D7A"/>
    <w:rsid w:val="51EF7D6F"/>
    <w:rsid w:val="52DD2E6D"/>
    <w:rsid w:val="52EA1AEA"/>
    <w:rsid w:val="5335669F"/>
    <w:rsid w:val="535A2AC4"/>
    <w:rsid w:val="53992C62"/>
    <w:rsid w:val="5399600F"/>
    <w:rsid w:val="53D25371"/>
    <w:rsid w:val="540F1FD2"/>
    <w:rsid w:val="55EB521B"/>
    <w:rsid w:val="561F6663"/>
    <w:rsid w:val="563E70F4"/>
    <w:rsid w:val="570A1806"/>
    <w:rsid w:val="57315BF2"/>
    <w:rsid w:val="57594B93"/>
    <w:rsid w:val="57822369"/>
    <w:rsid w:val="58D7045D"/>
    <w:rsid w:val="590E2AD3"/>
    <w:rsid w:val="594A6990"/>
    <w:rsid w:val="598C1ABC"/>
    <w:rsid w:val="59BF6E04"/>
    <w:rsid w:val="59E711FF"/>
    <w:rsid w:val="59F90179"/>
    <w:rsid w:val="5A046A6D"/>
    <w:rsid w:val="5A2E0F40"/>
    <w:rsid w:val="5AAC51C0"/>
    <w:rsid w:val="5AF108D4"/>
    <w:rsid w:val="5B7D0742"/>
    <w:rsid w:val="5BD23F3C"/>
    <w:rsid w:val="5C6B23E2"/>
    <w:rsid w:val="5C806B5B"/>
    <w:rsid w:val="5DC2614A"/>
    <w:rsid w:val="5E582C9F"/>
    <w:rsid w:val="5E8307E5"/>
    <w:rsid w:val="60475C3F"/>
    <w:rsid w:val="60785544"/>
    <w:rsid w:val="60A60070"/>
    <w:rsid w:val="60EA01C7"/>
    <w:rsid w:val="617C032D"/>
    <w:rsid w:val="61A26997"/>
    <w:rsid w:val="61BC5F80"/>
    <w:rsid w:val="61E32204"/>
    <w:rsid w:val="61F4088D"/>
    <w:rsid w:val="622C21AB"/>
    <w:rsid w:val="627F74A6"/>
    <w:rsid w:val="62D00ABF"/>
    <w:rsid w:val="63687FC2"/>
    <w:rsid w:val="636D6B79"/>
    <w:rsid w:val="640C25AF"/>
    <w:rsid w:val="64F87945"/>
    <w:rsid w:val="6519525C"/>
    <w:rsid w:val="6541126B"/>
    <w:rsid w:val="66120C62"/>
    <w:rsid w:val="662D04BF"/>
    <w:rsid w:val="673F2158"/>
    <w:rsid w:val="68195193"/>
    <w:rsid w:val="683A303D"/>
    <w:rsid w:val="684F3668"/>
    <w:rsid w:val="68A409BA"/>
    <w:rsid w:val="68A67798"/>
    <w:rsid w:val="68C539C5"/>
    <w:rsid w:val="68DB0DDD"/>
    <w:rsid w:val="68E97B63"/>
    <w:rsid w:val="6A5B2F9C"/>
    <w:rsid w:val="6AB71074"/>
    <w:rsid w:val="6ACE74D1"/>
    <w:rsid w:val="6ADA51FD"/>
    <w:rsid w:val="6AE6354E"/>
    <w:rsid w:val="6AF10F5E"/>
    <w:rsid w:val="6B1E605C"/>
    <w:rsid w:val="6C1314EF"/>
    <w:rsid w:val="6C5E0507"/>
    <w:rsid w:val="6C6B5505"/>
    <w:rsid w:val="6C707238"/>
    <w:rsid w:val="6CBD7859"/>
    <w:rsid w:val="6CC66E36"/>
    <w:rsid w:val="6D4A3030"/>
    <w:rsid w:val="6D5021D0"/>
    <w:rsid w:val="6DA61E11"/>
    <w:rsid w:val="6DF67C63"/>
    <w:rsid w:val="6E3F209B"/>
    <w:rsid w:val="6E933928"/>
    <w:rsid w:val="6EB818B0"/>
    <w:rsid w:val="6FE85268"/>
    <w:rsid w:val="725336E8"/>
    <w:rsid w:val="72C226D9"/>
    <w:rsid w:val="72FD4980"/>
    <w:rsid w:val="735069DD"/>
    <w:rsid w:val="74021DE8"/>
    <w:rsid w:val="74704E6B"/>
    <w:rsid w:val="74783A1C"/>
    <w:rsid w:val="74AB354D"/>
    <w:rsid w:val="74B05132"/>
    <w:rsid w:val="75A53C39"/>
    <w:rsid w:val="75B72D3F"/>
    <w:rsid w:val="75CB5A86"/>
    <w:rsid w:val="761D7D72"/>
    <w:rsid w:val="765E62A5"/>
    <w:rsid w:val="76856967"/>
    <w:rsid w:val="76C52AAF"/>
    <w:rsid w:val="76E063E5"/>
    <w:rsid w:val="76FD1DC8"/>
    <w:rsid w:val="772A35DE"/>
    <w:rsid w:val="7778741D"/>
    <w:rsid w:val="77951134"/>
    <w:rsid w:val="781B5752"/>
    <w:rsid w:val="78996780"/>
    <w:rsid w:val="78BA1F81"/>
    <w:rsid w:val="798425C1"/>
    <w:rsid w:val="79A35F22"/>
    <w:rsid w:val="79BF662E"/>
    <w:rsid w:val="79F20909"/>
    <w:rsid w:val="7A751935"/>
    <w:rsid w:val="7AC326EB"/>
    <w:rsid w:val="7B2952F2"/>
    <w:rsid w:val="7B546A34"/>
    <w:rsid w:val="7BEB3489"/>
    <w:rsid w:val="7CA11ABB"/>
    <w:rsid w:val="7CF46BD3"/>
    <w:rsid w:val="7D4B6B6B"/>
    <w:rsid w:val="7DDA604C"/>
    <w:rsid w:val="7F557B8B"/>
    <w:rsid w:val="7F9364DF"/>
    <w:rsid w:val="7FC34F0A"/>
    <w:rsid w:val="7FC9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8"/>
    <w:unhideWhenUsed/>
    <w:qFormat/>
    <w:uiPriority w:val="99"/>
    <w:pPr>
      <w:jc w:val="left"/>
    </w:pPr>
  </w:style>
  <w:style w:type="paragraph" w:styleId="4">
    <w:name w:val="Body Text Indent"/>
    <w:basedOn w:val="1"/>
    <w:semiHidden/>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Plain Text"/>
    <w:basedOn w:val="1"/>
    <w:qFormat/>
    <w:uiPriority w:val="99"/>
    <w:rPr>
      <w:rFonts w:ascii="宋体" w:hAnsi="Courier New"/>
      <w:kern w:val="0"/>
      <w:sz w:val="20"/>
      <w:szCs w:val="20"/>
    </w:rPr>
  </w:style>
  <w:style w:type="paragraph" w:styleId="7">
    <w:name w:val="Balloon Text"/>
    <w:basedOn w:val="1"/>
    <w:link w:val="30"/>
    <w:semiHidden/>
    <w:unhideWhenUsed/>
    <w:qFormat/>
    <w:uiPriority w:val="99"/>
    <w:rPr>
      <w:sz w:val="18"/>
      <w:szCs w:val="18"/>
    </w:rPr>
  </w:style>
  <w:style w:type="paragraph" w:styleId="8">
    <w:name w:val="footer"/>
    <w:basedOn w:val="1"/>
    <w:link w:val="32"/>
    <w:unhideWhenUsed/>
    <w:qFormat/>
    <w:uiPriority w:val="99"/>
    <w:pPr>
      <w:tabs>
        <w:tab w:val="center" w:pos="4153"/>
        <w:tab w:val="right" w:pos="8306"/>
      </w:tabs>
      <w:snapToGrid w:val="0"/>
      <w:jc w:val="left"/>
    </w:pPr>
    <w:rPr>
      <w:sz w:val="18"/>
      <w:szCs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7"/>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6"/>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4"/>
    <w:semiHidden/>
    <w:unhideWhenUsed/>
    <w:qFormat/>
    <w:uiPriority w:val="99"/>
    <w:rPr>
      <w:b/>
      <w:bCs/>
    </w:rPr>
  </w:style>
  <w:style w:type="paragraph" w:styleId="16">
    <w:name w:val="Body Text First Indent 2"/>
    <w:basedOn w:val="4"/>
    <w:qFormat/>
    <w:uiPriority w:val="0"/>
    <w:pPr>
      <w:spacing w:after="0"/>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000FF"/>
      <w:u w:val="single"/>
    </w:rPr>
  </w:style>
  <w:style w:type="character" w:styleId="23">
    <w:name w:val="annotation reference"/>
    <w:basedOn w:val="19"/>
    <w:unhideWhenUsed/>
    <w:qFormat/>
    <w:uiPriority w:val="99"/>
    <w:rPr>
      <w:sz w:val="21"/>
      <w:szCs w:val="21"/>
    </w:rPr>
  </w:style>
  <w:style w:type="character" w:styleId="24">
    <w:name w:val="footnote reference"/>
    <w:basedOn w:val="19"/>
    <w:semiHidden/>
    <w:unhideWhenUsed/>
    <w:qFormat/>
    <w:uiPriority w:val="99"/>
    <w:rPr>
      <w:vertAlign w:val="superscript"/>
    </w:rPr>
  </w:style>
  <w:style w:type="character" w:customStyle="1" w:styleId="25">
    <w:name w:val="列表段落 字符"/>
    <w:link w:val="26"/>
    <w:qFormat/>
    <w:uiPriority w:val="34"/>
    <w:rPr>
      <w:rFonts w:ascii="Times New Roman" w:hAnsi="Times New Roman"/>
      <w:szCs w:val="24"/>
    </w:rPr>
  </w:style>
  <w:style w:type="paragraph" w:styleId="26">
    <w:name w:val="List Paragraph"/>
    <w:basedOn w:val="1"/>
    <w:link w:val="25"/>
    <w:qFormat/>
    <w:uiPriority w:val="34"/>
    <w:pPr>
      <w:ind w:firstLine="420" w:firstLineChars="200"/>
    </w:pPr>
    <w:rPr>
      <w:rFonts w:eastAsiaTheme="minorEastAsia" w:cstheme="minorBidi"/>
    </w:rPr>
  </w:style>
  <w:style w:type="character" w:customStyle="1" w:styleId="27">
    <w:name w:val="批注文字 字符"/>
    <w:basedOn w:val="19"/>
    <w:semiHidden/>
    <w:qFormat/>
    <w:uiPriority w:val="99"/>
    <w:rPr>
      <w:rFonts w:ascii="Times New Roman" w:hAnsi="Times New Roman" w:eastAsia="宋体" w:cs="Times New Roman"/>
      <w:szCs w:val="24"/>
    </w:rPr>
  </w:style>
  <w:style w:type="character" w:customStyle="1" w:styleId="28">
    <w:name w:val="批注文字 字符1"/>
    <w:link w:val="3"/>
    <w:qFormat/>
    <w:uiPriority w:val="99"/>
    <w:rPr>
      <w:rFonts w:ascii="Times New Roman" w:hAnsi="Times New Roman" w:eastAsia="宋体" w:cs="Times New Roman"/>
      <w:szCs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0">
    <w:name w:val="批注框文本 字符"/>
    <w:basedOn w:val="19"/>
    <w:link w:val="7"/>
    <w:semiHidden/>
    <w:qFormat/>
    <w:uiPriority w:val="99"/>
    <w:rPr>
      <w:rFonts w:ascii="Times New Roman" w:hAnsi="Times New Roman" w:eastAsia="宋体" w:cs="Times New Roman"/>
      <w:sz w:val="18"/>
      <w:szCs w:val="18"/>
    </w:rPr>
  </w:style>
  <w:style w:type="character" w:customStyle="1" w:styleId="31">
    <w:name w:val="页眉 字符"/>
    <w:basedOn w:val="19"/>
    <w:link w:val="9"/>
    <w:qFormat/>
    <w:uiPriority w:val="99"/>
    <w:rPr>
      <w:rFonts w:ascii="Times New Roman" w:hAnsi="Times New Roman" w:eastAsia="宋体" w:cs="Times New Roman"/>
      <w:sz w:val="18"/>
      <w:szCs w:val="18"/>
    </w:rPr>
  </w:style>
  <w:style w:type="character" w:customStyle="1" w:styleId="32">
    <w:name w:val="页脚 字符"/>
    <w:basedOn w:val="19"/>
    <w:link w:val="8"/>
    <w:qFormat/>
    <w:uiPriority w:val="99"/>
    <w:rPr>
      <w:rFonts w:ascii="Times New Roman" w:hAnsi="Times New Roman" w:eastAsia="宋体" w:cs="Times New Roman"/>
      <w:sz w:val="18"/>
      <w:szCs w:val="18"/>
    </w:rPr>
  </w:style>
  <w:style w:type="character" w:customStyle="1" w:styleId="33">
    <w:name w:val="标题1"/>
    <w:basedOn w:val="19"/>
    <w:qFormat/>
    <w:uiPriority w:val="0"/>
  </w:style>
  <w:style w:type="character" w:customStyle="1" w:styleId="34">
    <w:name w:val="批注主题 字符"/>
    <w:basedOn w:val="28"/>
    <w:link w:val="15"/>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2 字符"/>
    <w:basedOn w:val="19"/>
    <w:link w:val="13"/>
    <w:qFormat/>
    <w:uiPriority w:val="0"/>
    <w:rPr>
      <w:rFonts w:ascii="仿宋_GB2312" w:hAnsi="宋体" w:eastAsia="仿宋_GB2312"/>
      <w:kern w:val="2"/>
      <w:sz w:val="21"/>
      <w:szCs w:val="24"/>
    </w:rPr>
  </w:style>
  <w:style w:type="character" w:customStyle="1" w:styleId="37">
    <w:name w:val="脚注文本 字符"/>
    <w:basedOn w:val="19"/>
    <w:link w:val="11"/>
    <w:semiHidden/>
    <w:qFormat/>
    <w:uiPriority w:val="99"/>
    <w:rPr>
      <w:kern w:val="2"/>
      <w:sz w:val="18"/>
      <w:szCs w:val="18"/>
    </w:r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纯文本1"/>
    <w:basedOn w:val="1"/>
    <w:unhideWhenUsed/>
    <w:qFormat/>
    <w:uiPriority w:val="99"/>
    <w:rPr>
      <w:rFonts w:hint="eastAsia"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12967</Words>
  <Characters>13935</Characters>
  <Lines>140</Lines>
  <Paragraphs>39</Paragraphs>
  <TotalTime>0</TotalTime>
  <ScaleCrop>false</ScaleCrop>
  <LinksUpToDate>false</LinksUpToDate>
  <CharactersWithSpaces>16330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admin</cp:lastModifiedBy>
  <cp:lastPrinted>2023-07-03T09:22:00Z</cp:lastPrinted>
  <dcterms:modified xsi:type="dcterms:W3CDTF">2023-07-07T08:54:41Z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812A4CB206674173AD5B01C143556428</vt:lpwstr>
  </property>
</Properties>
</file>