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yellow"/>
          <w14:textFill>
            <w14:solidFill>
              <w14:schemeClr w14:val="tx1"/>
            </w14:solidFill>
          </w14:textFill>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sz w:val="32"/>
          <w:szCs w:val="32"/>
          <w:lang w:val="en-US" w:eastAsia="zh-CN"/>
        </w:rPr>
        <w:t>深圳会展中心复印机维护保养服务</w:t>
      </w:r>
      <w:r>
        <w:rPr>
          <w:rFonts w:hint="eastAsia" w:ascii="方正小标宋_GBK" w:hAnsi="方正小标宋_GBK" w:eastAsia="方正小标宋_GBK" w:cs="方正小标宋_GBK"/>
          <w:b/>
          <w:sz w:val="32"/>
          <w:szCs w:val="32"/>
        </w:rPr>
        <w:t>项目</w:t>
      </w:r>
    </w:p>
    <w:p>
      <w:pPr>
        <w:tabs>
          <w:tab w:val="left" w:pos="2127"/>
          <w:tab w:val="left" w:pos="2694"/>
        </w:tabs>
        <w:spacing w:line="360" w:lineRule="auto"/>
        <w:ind w:firstLine="2030" w:firstLineChars="632"/>
        <w:rPr>
          <w:rFonts w:ascii="宋体" w:hAnsi="宋体"/>
          <w:b/>
          <w:sz w:val="32"/>
          <w:szCs w:val="32"/>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7</w:t>
      </w:r>
      <w:r>
        <w:rPr>
          <w:rFonts w:hint="eastAsia" w:ascii="方正小标宋简体" w:hAnsi="方正小标宋_GBK" w:eastAsia="方正小标宋简体"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_Toc15438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_Toc15438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_Toc9907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_Toc9907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_Toc30100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_Toc30100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_Toc21235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_Toc21235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_Toc16448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_Toc16448 \h </w:instrText>
      </w:r>
      <w:r>
        <w:fldChar w:fldCharType="separate"/>
      </w:r>
      <w:r>
        <w:t>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_Toc32205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highlight w:val="none"/>
        </w:rPr>
        <w:t>其他项目说明资料</w:t>
      </w:r>
      <w:r>
        <w:tab/>
      </w:r>
      <w:r>
        <w:fldChar w:fldCharType="begin"/>
      </w:r>
      <w:r>
        <w:instrText xml:space="preserve"> PAGEREF _Toc32205 \h </w:instrText>
      </w:r>
      <w:r>
        <w:fldChar w:fldCharType="separate"/>
      </w:r>
      <w:r>
        <w:t>5</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_Toc13243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_Toc13243 \h </w:instrText>
      </w:r>
      <w:r>
        <w:fldChar w:fldCharType="separate"/>
      </w:r>
      <w:r>
        <w:t>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_Toc2397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_Toc2397 \h </w:instrText>
      </w:r>
      <w:r>
        <w:fldChar w:fldCharType="separate"/>
      </w:r>
      <w:r>
        <w:t>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_Toc6311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_Toc6311 \h </w:instrText>
      </w:r>
      <w:r>
        <w:fldChar w:fldCharType="separate"/>
      </w:r>
      <w:r>
        <w:t>8</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_Toc5865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_Toc5865 \h </w:instrText>
      </w:r>
      <w:r>
        <w:fldChar w:fldCharType="separate"/>
      </w:r>
      <w:r>
        <w:t>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_Toc16815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_Toc16815 \h </w:instrText>
      </w:r>
      <w:r>
        <w:fldChar w:fldCharType="separate"/>
      </w:r>
      <w:r>
        <w:t>9</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_Toc4843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_Toc4843 \h </w:instrText>
      </w:r>
      <w:r>
        <w:fldChar w:fldCharType="separate"/>
      </w:r>
      <w:r>
        <w:t>9</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_Toc9208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_Toc9208 \h </w:instrText>
      </w:r>
      <w:r>
        <w:fldChar w:fldCharType="separate"/>
      </w:r>
      <w:r>
        <w:t>9</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_Toc13886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报价排名表（由低到高）</w:t>
      </w:r>
      <w:r>
        <w:tab/>
      </w:r>
      <w:r>
        <w:fldChar w:fldCharType="begin"/>
      </w:r>
      <w:r>
        <w:instrText xml:space="preserve"> PAGEREF _Toc13886 \h </w:instrText>
      </w:r>
      <w:r>
        <w:fldChar w:fldCharType="separate"/>
      </w:r>
      <w:r>
        <w:t>9</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_Toc29721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_Toc29721 \h </w:instrText>
      </w:r>
      <w:r>
        <w:fldChar w:fldCharType="separate"/>
      </w:r>
      <w:r>
        <w:t>11</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_Toc19896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_Toc19896 \h </w:instrText>
      </w:r>
      <w:r>
        <w:fldChar w:fldCharType="separate"/>
      </w:r>
      <w:r>
        <w:t>17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_Toc29625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_Toc29625 \h </w:instrText>
      </w:r>
      <w:r>
        <w:fldChar w:fldCharType="separate"/>
      </w:r>
      <w:r>
        <w:t>17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_Toc25546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_Toc25546 \h </w:instrText>
      </w:r>
      <w:r>
        <w:fldChar w:fldCharType="separate"/>
      </w:r>
      <w:r>
        <w:t>18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_Toc15692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_Toc15692 \h </w:instrText>
      </w:r>
      <w:r>
        <w:fldChar w:fldCharType="separate"/>
      </w:r>
      <w:r>
        <w:t>19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_Toc980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_Toc980 \h </w:instrText>
      </w:r>
      <w:r>
        <w:fldChar w:fldCharType="separate"/>
      </w:r>
      <w:r>
        <w:t>20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_Toc1669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_Toc1669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_Toc19783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_Toc19783 \h </w:instrText>
      </w:r>
      <w:r>
        <w:fldChar w:fldCharType="separate"/>
      </w:r>
      <w:r>
        <w:t>22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_Toc22384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_Toc22384 \h </w:instrText>
      </w:r>
      <w:r>
        <w:fldChar w:fldCharType="separate"/>
      </w:r>
      <w:r>
        <w:t>23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_Toc31963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_Toc31963 \h </w:instrText>
      </w:r>
      <w:r>
        <w:fldChar w:fldCharType="separate"/>
      </w:r>
      <w:r>
        <w:t>24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_Toc25430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常用零配件报价表</w:t>
      </w:r>
      <w:r>
        <w:tab/>
      </w:r>
      <w:r>
        <w:fldChar w:fldCharType="begin"/>
      </w:r>
      <w:r>
        <w:instrText xml:space="preserve"> PAGEREF _Toc25430 \h </w:instrText>
      </w:r>
      <w:r>
        <w:fldChar w:fldCharType="separate"/>
      </w:r>
      <w:r>
        <w:t>26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_Toc1115 </w:instrText>
      </w:r>
      <w:r>
        <w:rPr>
          <w:rFonts w:hint="eastAsia" w:ascii="宋体" w:hAnsi="宋体" w:cs="仿宋"/>
          <w:szCs w:val="21"/>
        </w:rPr>
        <w:fldChar w:fldCharType="separate"/>
      </w:r>
      <w:r>
        <w:rPr>
          <w:rFonts w:hint="eastAsia" w:ascii="宋体" w:hAnsi="宋体"/>
          <w:szCs w:val="21"/>
        </w:rPr>
        <w:t>附件</w:t>
      </w:r>
      <w:r>
        <w:rPr>
          <w:rFonts w:hint="eastAsia" w:ascii="宋体" w:hAnsi="宋体"/>
          <w:szCs w:val="21"/>
          <w:lang w:val="en-US" w:eastAsia="zh-CN"/>
        </w:rPr>
        <w:t>10</w:t>
      </w:r>
      <w:r>
        <w:rPr>
          <w:rFonts w:hint="eastAsia" w:ascii="宋体" w:hAnsi="宋体"/>
          <w:szCs w:val="21"/>
        </w:rPr>
        <w:t>：报价一览表（工程）（本项目不适用）</w:t>
      </w:r>
      <w:r>
        <w:tab/>
      </w:r>
      <w:r>
        <w:fldChar w:fldCharType="begin"/>
      </w:r>
      <w:r>
        <w:instrText xml:space="preserve"> PAGEREF _Toc1115 \h </w:instrText>
      </w:r>
      <w:r>
        <w:fldChar w:fldCharType="separate"/>
      </w:r>
      <w:r>
        <w:t>37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_Toc23007 </w:instrText>
      </w:r>
      <w:r>
        <w:rPr>
          <w:rFonts w:hint="eastAsia" w:ascii="宋体" w:hAnsi="宋体" w:cs="仿宋"/>
          <w:szCs w:val="21"/>
        </w:rPr>
        <w:fldChar w:fldCharType="separate"/>
      </w:r>
      <w:r>
        <w:rPr>
          <w:rFonts w:hint="eastAsia" w:ascii="宋体" w:hAnsi="宋体"/>
          <w:szCs w:val="21"/>
        </w:rPr>
        <w:t>附件1</w:t>
      </w:r>
      <w:r>
        <w:rPr>
          <w:rFonts w:hint="eastAsia" w:ascii="宋体" w:hAnsi="宋体"/>
          <w:szCs w:val="21"/>
          <w:lang w:val="en-US" w:eastAsia="zh-CN"/>
        </w:rPr>
        <w:t>1</w:t>
      </w:r>
      <w:r>
        <w:rPr>
          <w:rFonts w:hint="eastAsia" w:ascii="宋体" w:hAnsi="宋体"/>
          <w:szCs w:val="21"/>
        </w:rPr>
        <w:t>：法定代表人证明书</w:t>
      </w:r>
      <w:r>
        <w:tab/>
      </w:r>
      <w:r>
        <w:fldChar w:fldCharType="begin"/>
      </w:r>
      <w:r>
        <w:instrText xml:space="preserve"> PAGEREF _Toc23007 \h </w:instrText>
      </w:r>
      <w:r>
        <w:fldChar w:fldCharType="separate"/>
      </w:r>
      <w:r>
        <w:t>38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_Toc19917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lang w:val="en-US" w:eastAsia="zh-CN"/>
        </w:rPr>
        <w:t>2</w:t>
      </w:r>
      <w:r>
        <w:rPr>
          <w:rFonts w:hint="eastAsia" w:ascii="宋体" w:hAnsi="宋体"/>
          <w:szCs w:val="21"/>
        </w:rPr>
        <w:t>：法人授权委托证明书</w:t>
      </w:r>
      <w:r>
        <w:tab/>
      </w:r>
      <w:r>
        <w:fldChar w:fldCharType="begin"/>
      </w:r>
      <w:r>
        <w:instrText xml:space="preserve"> PAGEREF _Toc19917 \h </w:instrText>
      </w:r>
      <w:r>
        <w:fldChar w:fldCharType="separate"/>
      </w:r>
      <w:r>
        <w:t>39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_Toc31236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lang w:val="en-US" w:eastAsia="zh-CN"/>
        </w:rPr>
        <w:t>3</w:t>
      </w:r>
      <w:r>
        <w:rPr>
          <w:rFonts w:hint="eastAsia" w:ascii="宋体" w:hAnsi="宋体"/>
          <w:szCs w:val="21"/>
        </w:rPr>
        <w:t>：经营业绩一览表</w:t>
      </w:r>
      <w:r>
        <w:tab/>
      </w:r>
      <w:r>
        <w:fldChar w:fldCharType="begin"/>
      </w:r>
      <w:r>
        <w:instrText xml:space="preserve"> PAGEREF _Toc31236 \h </w:instrText>
      </w:r>
      <w:r>
        <w:fldChar w:fldCharType="separate"/>
      </w:r>
      <w:r>
        <w:t>40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_Toc27919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lang w:val="en-US" w:eastAsia="zh-CN"/>
        </w:rPr>
        <w:t>4</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_Toc27919 \h </w:instrText>
      </w:r>
      <w:r>
        <w:fldChar w:fldCharType="separate"/>
      </w:r>
      <w:r>
        <w:t>41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_Toc15823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lang w:val="en-US" w:eastAsia="zh-CN"/>
        </w:rPr>
        <w:t>5</w:t>
      </w:r>
      <w:r>
        <w:rPr>
          <w:rFonts w:hint="eastAsia" w:ascii="宋体" w:hAnsi="宋体"/>
          <w:szCs w:val="21"/>
        </w:rPr>
        <w:t>：履约情况及社会信誉承诺书</w:t>
      </w:r>
      <w:r>
        <w:tab/>
      </w:r>
      <w:r>
        <w:fldChar w:fldCharType="begin"/>
      </w:r>
      <w:r>
        <w:instrText xml:space="preserve"> PAGEREF _Toc15823 \h </w:instrText>
      </w:r>
      <w:r>
        <w:fldChar w:fldCharType="separate"/>
      </w:r>
      <w:r>
        <w:t>42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_Toc23321 </w:instrText>
      </w:r>
      <w:r>
        <w:rPr>
          <w:rFonts w:hint="eastAsia" w:ascii="宋体" w:hAnsi="宋体" w:cs="仿宋"/>
          <w:szCs w:val="21"/>
        </w:rPr>
        <w:fldChar w:fldCharType="separate"/>
      </w:r>
      <w:r>
        <w:rPr>
          <w:rFonts w:hint="eastAsia" w:ascii="宋体" w:hAnsi="宋体"/>
        </w:rPr>
        <w:t>附件1</w:t>
      </w:r>
      <w:r>
        <w:rPr>
          <w:rFonts w:hint="eastAsia" w:ascii="宋体" w:hAnsi="宋体"/>
          <w:lang w:val="en-US" w:eastAsia="zh-CN"/>
        </w:rPr>
        <w:t>6</w:t>
      </w:r>
      <w:r>
        <w:rPr>
          <w:rFonts w:hint="eastAsia" w:ascii="宋体" w:hAnsi="宋体"/>
        </w:rPr>
        <w:t>：投标文件密码单</w:t>
      </w:r>
      <w:r>
        <w:tab/>
      </w:r>
      <w:r>
        <w:fldChar w:fldCharType="begin"/>
      </w:r>
      <w:r>
        <w:instrText xml:space="preserve"> PAGEREF _Toc23321 \h </w:instrText>
      </w:r>
      <w:r>
        <w:fldChar w:fldCharType="separate"/>
      </w:r>
      <w:r>
        <w:t>43</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5438"/>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9907"/>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深圳会展中心复印机维护保养服务</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保证</w:t>
            </w:r>
            <w:r>
              <w:rPr>
                <w:rFonts w:hint="eastAsia" w:ascii="宋体" w:hAnsi="宋体" w:eastAsia="宋体" w:cs="宋体"/>
                <w:color w:val="auto"/>
                <w:sz w:val="21"/>
                <w:szCs w:val="21"/>
                <w:highlight w:val="none"/>
              </w:rPr>
              <w:t>复印机的正常使用，及时发现并解决故障，</w:t>
            </w:r>
            <w:bookmarkStart w:id="2" w:name="_Hlk22546883"/>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人现有</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台</w:t>
            </w:r>
            <w:r>
              <w:rPr>
                <w:rFonts w:hint="eastAsia" w:ascii="宋体" w:hAnsi="宋体" w:eastAsia="宋体" w:cs="宋体"/>
                <w:color w:val="auto"/>
                <w:sz w:val="21"/>
                <w:szCs w:val="21"/>
                <w:highlight w:val="none"/>
                <w:lang w:eastAsia="zh-CN"/>
              </w:rPr>
              <w:t>复印机</w:t>
            </w:r>
            <w:bookmarkEnd w:id="2"/>
            <w:r>
              <w:rPr>
                <w:rFonts w:hint="eastAsia" w:ascii="宋体" w:hAnsi="宋体" w:eastAsia="宋体" w:cs="宋体"/>
                <w:color w:val="auto"/>
                <w:sz w:val="21"/>
                <w:szCs w:val="21"/>
                <w:highlight w:val="none"/>
                <w:lang w:val="en-US" w:eastAsia="zh-CN"/>
              </w:rPr>
              <w:t>需定期进行</w:t>
            </w:r>
            <w:r>
              <w:rPr>
                <w:rFonts w:hint="eastAsia" w:ascii="宋体" w:hAnsi="宋体" w:eastAsia="宋体" w:cs="宋体"/>
                <w:color w:val="auto"/>
                <w:sz w:val="21"/>
                <w:szCs w:val="21"/>
                <w:highlight w:val="none"/>
                <w:lang w:eastAsia="zh-CN"/>
              </w:rPr>
              <w:t>维护保养及日常维修服务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详见本招标书。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u w:val="single"/>
              </w:rPr>
            </w:pPr>
            <w:r>
              <w:rPr>
                <w:rFonts w:hint="eastAsia" w:ascii="宋体" w:hAnsi="宋体"/>
                <w:color w:val="auto"/>
                <w:szCs w:val="21"/>
                <w:highlight w:val="none"/>
                <w:u w:val="single"/>
                <w:lang w:val="en-US" w:eastAsia="zh-CN"/>
              </w:rPr>
              <w:t>1095</w:t>
            </w:r>
            <w:r>
              <w:rPr>
                <w:rFonts w:hint="eastAsia" w:ascii="宋体" w:hAnsi="宋体"/>
                <w:color w:val="auto"/>
                <w:szCs w:val="21"/>
                <w:highlight w:val="none"/>
                <w:u w:val="singl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https://cg.szcec.com/sharing/H0LUXwKop，</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https://cg.szcec.com/sharing/R9QKNAcIC，</w:t>
            </w:r>
            <w:r>
              <w:rPr>
                <w:rFonts w:hint="eastAsia" w:ascii="宋体" w:hAnsi="宋体"/>
                <w:szCs w:val="21"/>
              </w:rPr>
              <w:t>并致电确认</w:t>
            </w:r>
            <w:bookmarkStart w:id="3" w:name="_Toc478110532"/>
            <w:bookmarkStart w:id="4" w:name="_Toc478393187"/>
            <w:bookmarkStart w:id="5"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100906309</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https://cg.szcec.com/sharing/72g1CnNbG</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w:t>
            </w:r>
            <w:bookmarkStart w:id="89" w:name="_GoBack"/>
            <w:bookmarkEnd w:id="89"/>
            <w:r>
              <w:rPr>
                <w:rFonts w:hint="eastAsia" w:ascii="宋体" w:hAnsi="宋体" w:eastAsia="宋体"/>
                <w:color w:val="auto"/>
                <w:kern w:val="0"/>
                <w:szCs w:val="21"/>
                <w:highlight w:val="none"/>
              </w:rPr>
              <w:t>×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705"/>
      <w:bookmarkEnd w:id="7"/>
      <w:bookmarkStart w:id="8" w:name="_Toc82684588"/>
      <w:bookmarkEnd w:id="8"/>
      <w:bookmarkStart w:id="9" w:name="_Toc82684706"/>
      <w:bookmarkEnd w:id="9"/>
      <w:bookmarkStart w:id="10" w:name="_Toc82684591"/>
      <w:bookmarkEnd w:id="10"/>
      <w:bookmarkStart w:id="11" w:name="_Toc82591927"/>
      <w:bookmarkEnd w:id="11"/>
      <w:bookmarkStart w:id="12" w:name="_Toc82684703"/>
      <w:bookmarkEnd w:id="12"/>
      <w:bookmarkStart w:id="13" w:name="_Toc82685540"/>
      <w:bookmarkEnd w:id="13"/>
      <w:bookmarkStart w:id="14" w:name="_Toc82684704"/>
      <w:bookmarkEnd w:id="14"/>
      <w:bookmarkStart w:id="15" w:name="_Toc82685541"/>
      <w:bookmarkEnd w:id="15"/>
      <w:bookmarkStart w:id="16" w:name="_Toc82684590"/>
      <w:bookmarkEnd w:id="16"/>
      <w:bookmarkStart w:id="17" w:name="_Toc82591925"/>
      <w:bookmarkEnd w:id="17"/>
      <w:bookmarkStart w:id="18" w:name="_Toc82685543"/>
      <w:bookmarkEnd w:id="18"/>
      <w:bookmarkStart w:id="19" w:name="_Toc82591928"/>
      <w:bookmarkEnd w:id="19"/>
      <w:bookmarkStart w:id="20" w:name="_Toc82684589"/>
      <w:bookmarkEnd w:id="20"/>
      <w:bookmarkStart w:id="21" w:name="_Toc82591926"/>
      <w:bookmarkEnd w:id="21"/>
      <w:bookmarkStart w:id="22" w:name="_Toc82685542"/>
      <w:bookmarkEnd w:id="22"/>
      <w:bookmarkStart w:id="23" w:name="_Toc30100"/>
      <w:r>
        <w:rPr>
          <w:rFonts w:hint="eastAsia" w:ascii="宋体" w:hAnsi="宋体"/>
          <w:b/>
          <w:szCs w:val="21"/>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517278751"/>
      <w:bookmarkStart w:id="25" w:name="_Toc478387747"/>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6"/>
      <w:bookmarkEnd w:id="27"/>
      <w:bookmarkStart w:id="28" w:name="_Toc82591988"/>
      <w:bookmarkEnd w:id="28"/>
      <w:bookmarkStart w:id="29" w:name="_Toc82684593"/>
      <w:bookmarkEnd w:id="29"/>
      <w:bookmarkStart w:id="30" w:name="_Toc82591987"/>
      <w:bookmarkEnd w:id="30"/>
      <w:bookmarkStart w:id="31" w:name="_Toc82591930"/>
      <w:bookmarkEnd w:id="31"/>
      <w:bookmarkStart w:id="32" w:name="_Toc82685545"/>
      <w:bookmarkEnd w:id="32"/>
      <w:bookmarkStart w:id="33" w:name="_Toc82591989"/>
      <w:bookmarkEnd w:id="33"/>
      <w:bookmarkStart w:id="34" w:name="_Toc82591985"/>
      <w:bookmarkEnd w:id="34"/>
      <w:bookmarkStart w:id="35" w:name="_Toc82684708"/>
      <w:bookmarkEnd w:id="35"/>
      <w:bookmarkStart w:id="36" w:name="_Toc21235"/>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64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531"/>
              </w:tabs>
              <w:snapToGrid w:val="0"/>
              <w:ind w:left="-1" w:firstLine="0"/>
              <w:rPr>
                <w:rFonts w:ascii="宋体" w:hAnsi="宋体" w:cs="宋体"/>
                <w:color w:val="auto"/>
                <w:kern w:val="0"/>
                <w:sz w:val="24"/>
                <w:highlight w:val="none"/>
              </w:rPr>
            </w:pPr>
            <w:r>
              <w:rPr>
                <w:rFonts w:hint="eastAsia" w:ascii="宋体" w:hAnsi="宋体" w:cs="宋体"/>
                <w:color w:val="auto"/>
                <w:szCs w:val="21"/>
                <w:highlight w:val="none"/>
                <w:lang w:val="en-US" w:eastAsia="zh-CN"/>
              </w:rPr>
              <w:t>投标人具有理光、佳能复印机设备厂家售后服务证明，提供证明复印件加盖投标人公章。</w:t>
            </w:r>
          </w:p>
          <w:p>
            <w:pPr>
              <w:numPr>
                <w:ilvl w:val="0"/>
                <w:numId w:val="10"/>
              </w:numPr>
              <w:tabs>
                <w:tab w:val="left" w:pos="531"/>
              </w:tabs>
              <w:snapToGrid w:val="0"/>
              <w:ind w:left="-1" w:firstLine="0"/>
              <w:rPr>
                <w:color w:val="auto"/>
                <w:highlight w:val="none"/>
              </w:rPr>
            </w:pPr>
            <w:r>
              <w:rPr>
                <w:rFonts w:hint="eastAsia" w:ascii="宋体" w:hAnsi="宋体" w:cs="宋体"/>
                <w:color w:val="auto"/>
                <w:highlight w:val="none"/>
                <w:lang w:val="en-US" w:eastAsia="zh-CN"/>
              </w:rPr>
              <w:t>投标人</w:t>
            </w:r>
            <w:r>
              <w:rPr>
                <w:rFonts w:hint="eastAsia" w:ascii="宋体" w:hAnsi="宋体" w:eastAsia="宋体" w:cs="宋体"/>
                <w:color w:val="auto"/>
                <w:szCs w:val="21"/>
                <w:highlight w:val="none"/>
                <w:lang w:eastAsia="zh-CN"/>
              </w:rPr>
              <w:t>具有复印机维护保养服务经验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月1日至</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公告发布</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止</w:t>
            </w:r>
            <w:r>
              <w:rPr>
                <w:rFonts w:hint="eastAsia" w:ascii="宋体" w:hAnsi="宋体" w:cs="宋体"/>
                <w:color w:val="auto"/>
                <w:sz w:val="21"/>
                <w:szCs w:val="21"/>
                <w:highlight w:val="none"/>
                <w:lang w:val="en-US" w:eastAsia="zh-CN"/>
              </w:rPr>
              <w:t>至少3份长期维护保养</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关键页复印件并加盖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公章（合同关键页包含但不限于项目名称、业主方名称、合同主要内容、签订时间、履约地点、甲乙双方盖章等信息）。</w:t>
            </w:r>
          </w:p>
          <w:p>
            <w:pPr>
              <w:numPr>
                <w:ilvl w:val="0"/>
                <w:numId w:val="10"/>
              </w:numPr>
              <w:tabs>
                <w:tab w:val="left" w:pos="531"/>
              </w:tabs>
              <w:snapToGrid w:val="0"/>
              <w:ind w:left="-1" w:firstLine="0"/>
              <w:rPr>
                <w:rFonts w:ascii="宋体" w:hAnsi="宋体" w:cs="宋体"/>
                <w:color w:val="auto"/>
                <w:highlight w:val="none"/>
              </w:rPr>
            </w:pPr>
            <w:r>
              <w:rPr>
                <w:rFonts w:hint="eastAsia" w:ascii="宋体" w:hAnsi="宋体" w:cs="宋体"/>
                <w:color w:val="auto"/>
                <w:szCs w:val="21"/>
                <w:highlight w:val="none"/>
                <w:lang w:val="en-US" w:eastAsia="zh-CN"/>
              </w:rPr>
              <w:t>本</w:t>
            </w:r>
            <w:r>
              <w:rPr>
                <w:rFonts w:hint="eastAsia" w:ascii="宋体" w:hAnsi="宋体" w:eastAsia="宋体" w:cs="宋体"/>
                <w:color w:val="auto"/>
                <w:szCs w:val="21"/>
                <w:highlight w:val="none"/>
                <w:lang w:val="en-US" w:eastAsia="zh-CN"/>
              </w:rPr>
              <w:t>项目不接受联合体投标，严禁转包或非法分包</w:t>
            </w:r>
            <w:r>
              <w:rPr>
                <w:rFonts w:hint="eastAsia" w:ascii="宋体" w:hAnsi="宋体" w:cs="宋体"/>
                <w:color w:val="auto"/>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lang w:val="en-US" w:eastAsia="zh-CN"/>
              </w:rPr>
              <w:t>人工</w:t>
            </w:r>
            <w:r>
              <w:rPr>
                <w:rFonts w:hint="eastAsia" w:ascii="宋体" w:hAnsi="宋体"/>
                <w:color w:val="auto"/>
                <w:szCs w:val="21"/>
                <w:highlight w:val="none"/>
              </w:rPr>
              <w:t>费、</w:t>
            </w:r>
            <w:r>
              <w:rPr>
                <w:rFonts w:hint="eastAsia" w:ascii="宋体" w:hAnsi="宋体"/>
                <w:color w:val="auto"/>
                <w:szCs w:val="21"/>
                <w:highlight w:val="none"/>
                <w:lang w:val="en-US" w:eastAsia="zh-CN"/>
              </w:rPr>
              <w:t>交通</w:t>
            </w:r>
            <w:r>
              <w:rPr>
                <w:rFonts w:hint="eastAsia" w:ascii="宋体" w:hAnsi="宋体"/>
                <w:color w:val="auto"/>
                <w:szCs w:val="21"/>
                <w:highlight w:val="none"/>
              </w:rPr>
              <w:t>费、</w:t>
            </w:r>
            <w:r>
              <w:rPr>
                <w:rFonts w:hint="eastAsia" w:ascii="宋体" w:hAnsi="宋体"/>
                <w:color w:val="auto"/>
                <w:szCs w:val="21"/>
                <w:highlight w:val="none"/>
                <w:lang w:val="en-US" w:eastAsia="zh-CN"/>
              </w:rPr>
              <w:t>维修费、安装</w:t>
            </w:r>
            <w:r>
              <w:rPr>
                <w:rFonts w:hint="eastAsia" w:ascii="宋体" w:hAnsi="宋体"/>
                <w:color w:val="auto"/>
                <w:szCs w:val="21"/>
                <w:highlight w:val="none"/>
              </w:rPr>
              <w:t>费及增值税费等</w:t>
            </w:r>
            <w:r>
              <w:rPr>
                <w:rFonts w:hint="eastAsia" w:ascii="宋体" w:hAnsi="宋体" w:cs="仿宋_GB2312"/>
                <w:color w:val="auto"/>
                <w:szCs w:val="21"/>
                <w:highlight w:val="none"/>
              </w:rPr>
              <w:t>完成本项目所需的全部费用。</w:t>
            </w:r>
          </w:p>
          <w:p>
            <w:pPr>
              <w:numPr>
                <w:ilvl w:val="0"/>
                <w:numId w:val="11"/>
              </w:numPr>
              <w:tabs>
                <w:tab w:val="left" w:pos="531"/>
              </w:tabs>
              <w:snapToGrid w:val="0"/>
              <w:ind w:left="0" w:firstLine="0"/>
              <w:rPr>
                <w:color w:val="auto"/>
                <w:highlight w:val="none"/>
              </w:rPr>
            </w:pPr>
            <w:r>
              <w:rPr>
                <w:rFonts w:hint="eastAsia" w:ascii="宋体" w:hAnsi="宋体" w:cs="宋体"/>
                <w:color w:val="auto"/>
                <w:szCs w:val="21"/>
                <w:highlight w:val="none"/>
                <w:lang w:val="en-US" w:eastAsia="zh-CN"/>
              </w:rPr>
              <w:t>须提供</w:t>
            </w:r>
            <w:r>
              <w:rPr>
                <w:rFonts w:hint="eastAsia"/>
                <w:color w:val="auto"/>
                <w:highlight w:val="none"/>
                <w:lang w:val="en-US" w:eastAsia="zh-CN"/>
              </w:rPr>
              <w:t>项目维护保养服务报价（详见附件8）和常用零配件报价表（详见附件9），维修过程中需更换的</w:t>
            </w:r>
            <w:r>
              <w:rPr>
                <w:rFonts w:hint="eastAsia" w:ascii="宋体" w:hAnsi="宋体" w:cs="宋体"/>
                <w:color w:val="auto"/>
                <w:szCs w:val="21"/>
                <w:highlight w:val="none"/>
                <w:lang w:val="en-US" w:eastAsia="zh-CN"/>
              </w:rPr>
              <w:t>零配件</w:t>
            </w:r>
            <w:r>
              <w:rPr>
                <w:rFonts w:hint="eastAsia"/>
                <w:color w:val="auto"/>
                <w:highlight w:val="none"/>
                <w:lang w:val="en-US" w:eastAsia="zh-CN"/>
              </w:rPr>
              <w:t>费用另计，招标人自备耗材。</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default" w:eastAsia="宋体"/>
                <w:color w:val="auto"/>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sz w:val="21"/>
                <w:szCs w:val="21"/>
              </w:rPr>
              <w:t>维护保养服务总控制金额（含税）为三年8.568万元，即每年2.856万元，报价超过上述金额的投标文件作废标处理。更换零配件费用（含税）预估为三年11.4万元，即每年3.8万元。</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 w:val="left" w:pos="640"/>
              </w:tabs>
              <w:snapToGrid w:val="0"/>
              <w:ind w:left="0" w:leftChars="0" w:firstLine="0" w:firstLineChars="0"/>
              <w:rPr>
                <w:rFonts w:ascii="宋体" w:hAnsi="宋体" w:cs="宋体"/>
                <w:color w:val="auto"/>
                <w:highlight w:val="none"/>
              </w:rPr>
            </w:pPr>
            <w:r>
              <w:rPr>
                <w:rFonts w:hint="eastAsia" w:ascii="宋体" w:hAnsi="宋体" w:cs="宋体"/>
                <w:color w:val="auto"/>
                <w:highlight w:val="none"/>
                <w:lang w:val="en-US" w:eastAsia="zh-CN"/>
              </w:rPr>
              <w:t>合同签订后支付年维保</w:t>
            </w:r>
            <w:r>
              <w:rPr>
                <w:rFonts w:hint="eastAsia" w:ascii="宋体" w:hAnsi="宋体" w:eastAsia="宋体" w:cs="宋体"/>
                <w:color w:val="auto"/>
                <w:kern w:val="2"/>
                <w:sz w:val="21"/>
                <w:szCs w:val="21"/>
                <w:highlight w:val="none"/>
                <w:lang w:val="en-US" w:eastAsia="zh-CN" w:bidi="ar-SA"/>
              </w:rPr>
              <w:t>合同金额的</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0%；服务期内无质量和遗留问题，合同期满后一次性支付</w:t>
            </w:r>
            <w:r>
              <w:rPr>
                <w:rFonts w:hint="eastAsia" w:ascii="宋体" w:hAnsi="宋体" w:cs="宋体"/>
                <w:color w:val="auto"/>
                <w:kern w:val="2"/>
                <w:sz w:val="21"/>
                <w:szCs w:val="21"/>
                <w:highlight w:val="none"/>
                <w:lang w:val="en-US" w:eastAsia="zh-CN" w:bidi="ar-SA"/>
              </w:rPr>
              <w:t>年维保合同</w:t>
            </w:r>
            <w:r>
              <w:rPr>
                <w:rFonts w:hint="eastAsia" w:ascii="宋体" w:hAnsi="宋体" w:eastAsia="宋体" w:cs="宋体"/>
                <w:color w:val="auto"/>
                <w:kern w:val="2"/>
                <w:sz w:val="21"/>
                <w:szCs w:val="21"/>
                <w:highlight w:val="none"/>
                <w:lang w:val="en-US" w:eastAsia="zh-CN" w:bidi="ar-SA"/>
              </w:rPr>
              <w:t>剩余款项（不计利息）。</w:t>
            </w:r>
          </w:p>
          <w:p>
            <w:pPr>
              <w:numPr>
                <w:ilvl w:val="0"/>
                <w:numId w:val="12"/>
              </w:numPr>
              <w:tabs>
                <w:tab w:val="left" w:pos="531"/>
                <w:tab w:val="left" w:pos="640"/>
              </w:tabs>
              <w:snapToGrid w:val="0"/>
              <w:ind w:left="0" w:leftChars="0" w:firstLine="0" w:firstLineChars="0"/>
              <w:rPr>
                <w:rFonts w:hint="default"/>
                <w:color w:val="auto"/>
                <w:highlight w:val="none"/>
                <w:lang w:val="en-US"/>
              </w:rPr>
            </w:pPr>
            <w:r>
              <w:rPr>
                <w:rFonts w:hint="eastAsia" w:ascii="宋体" w:hAnsi="宋体" w:cs="宋体"/>
                <w:color w:val="auto"/>
                <w:kern w:val="2"/>
                <w:sz w:val="21"/>
                <w:szCs w:val="21"/>
                <w:highlight w:val="none"/>
                <w:lang w:val="en-US" w:eastAsia="zh-CN" w:bidi="ar-SA"/>
              </w:rPr>
              <w:t>更换</w:t>
            </w:r>
            <w:r>
              <w:rPr>
                <w:rFonts w:hint="eastAsia" w:ascii="宋体" w:hAnsi="宋体" w:cs="宋体"/>
                <w:color w:val="auto"/>
                <w:highlight w:val="none"/>
                <w:lang w:val="en-US" w:eastAsia="zh-CN"/>
              </w:rPr>
              <w:t>零配件</w:t>
            </w:r>
            <w:r>
              <w:rPr>
                <w:rFonts w:hint="eastAsia" w:ascii="宋体" w:hAnsi="宋体" w:cs="宋体"/>
                <w:color w:val="auto"/>
                <w:kern w:val="2"/>
                <w:sz w:val="21"/>
                <w:szCs w:val="21"/>
                <w:highlight w:val="none"/>
                <w:lang w:val="en-US" w:eastAsia="zh-CN" w:bidi="ar-SA"/>
              </w:rPr>
              <w:t>费用半年结算一次。</w:t>
            </w:r>
          </w:p>
          <w:p>
            <w:pPr>
              <w:numPr>
                <w:ilvl w:val="0"/>
                <w:numId w:val="12"/>
              </w:numPr>
              <w:tabs>
                <w:tab w:val="left" w:pos="531"/>
                <w:tab w:val="left" w:pos="640"/>
              </w:tabs>
              <w:snapToGrid w:val="0"/>
              <w:ind w:left="0"/>
              <w:rPr>
                <w:rFonts w:hint="default"/>
                <w:lang w:val="en-US"/>
              </w:rPr>
            </w:pPr>
            <w:r>
              <w:rPr>
                <w:rFonts w:hint="eastAsia"/>
                <w:lang w:val="en-US" w:eastAsia="zh-CN"/>
              </w:rPr>
              <w:t>维保期内报废复印机将从所报废之月起取消支付维保费用。如为置换则维保费用不变。</w:t>
            </w:r>
          </w:p>
          <w:p>
            <w:pPr>
              <w:numPr>
                <w:ilvl w:val="0"/>
                <w:numId w:val="12"/>
              </w:numPr>
              <w:tabs>
                <w:tab w:val="left" w:pos="531"/>
                <w:tab w:val="left" w:pos="640"/>
              </w:tabs>
              <w:snapToGrid w:val="0"/>
              <w:ind w:left="0" w:leftChars="0" w:firstLine="0" w:firstLineChars="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服务期限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0"/>
                <w:numId w:val="0"/>
              </w:numPr>
              <w:spacing w:line="0" w:lineRule="atLeast"/>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服务期限为三年，采用1+1+1模式。在第一年服务期满前1个月，招标人根据中标单位的维护保养服务质量、日常维修服务质量等因素进行年度考核评审，如考核评审达标（</w:t>
            </w:r>
            <w:r>
              <w:rPr>
                <w:rFonts w:hint="eastAsia" w:ascii="Times New Roman" w:hAnsi="Times New Roman" w:eastAsia="宋体" w:cs="Times New Roman"/>
                <w:color w:val="auto"/>
                <w:kern w:val="2"/>
                <w:sz w:val="21"/>
                <w:highlight w:val="none"/>
                <w:lang w:val="en-US" w:eastAsia="zh-CN"/>
              </w:rPr>
              <w:t>≧</w:t>
            </w:r>
            <w:r>
              <w:rPr>
                <w:rFonts w:hint="eastAsia" w:eastAsia="宋体" w:cs="Times New Roman"/>
                <w:color w:val="auto"/>
                <w:kern w:val="2"/>
                <w:sz w:val="21"/>
                <w:highlight w:val="none"/>
                <w:lang w:val="en-US" w:eastAsia="zh-CN"/>
              </w:rPr>
              <w:t>80分</w:t>
            </w:r>
            <w:r>
              <w:rPr>
                <w:rFonts w:hint="eastAsia" w:ascii="宋体" w:hAnsi="宋体" w:eastAsia="宋体" w:cs="宋体"/>
                <w:color w:val="auto"/>
                <w:szCs w:val="21"/>
                <w:highlight w:val="none"/>
                <w:lang w:val="en-US" w:eastAsia="zh-CN"/>
              </w:rPr>
              <w:t>）则执行第二年合同，如考核评审未达标，招标人有权终止第二年合同。第三年合同执行要求参考第二年。具体考核评审细则详见附件《服务机构履约评价表》。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0"/>
                <w:numId w:val="13"/>
              </w:numPr>
              <w:spacing w:line="0" w:lineRule="atLeast"/>
              <w:ind w:left="425" w:leftChars="0" w:hanging="425"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投标人具备理光MP7001\MPC7502等高速复印机维修能力。</w:t>
            </w:r>
          </w:p>
          <w:p>
            <w:pPr>
              <w:pStyle w:val="24"/>
              <w:numPr>
                <w:ilvl w:val="0"/>
                <w:numId w:val="13"/>
              </w:numPr>
              <w:spacing w:line="0" w:lineRule="atLeast"/>
              <w:ind w:left="425" w:leftChars="0" w:hanging="425"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投标人提供的零配件保证原装正品且费用不高于市场价。</w:t>
            </w:r>
          </w:p>
          <w:p>
            <w:pPr>
              <w:pStyle w:val="24"/>
              <w:numPr>
                <w:ilvl w:val="0"/>
                <w:numId w:val="13"/>
              </w:numPr>
              <w:spacing w:line="0" w:lineRule="atLeast"/>
              <w:ind w:left="425" w:leftChars="0" w:hanging="425" w:firstLineChars="0"/>
              <w:rPr>
                <w:rFonts w:ascii="宋体" w:eastAsia="宋体" w:cs="宋体"/>
                <w:color w:val="auto"/>
                <w:highlight w:val="none"/>
              </w:rPr>
            </w:pPr>
            <w:r>
              <w:rPr>
                <w:rFonts w:hint="eastAsia" w:ascii="宋体" w:hAnsi="宋体" w:eastAsia="宋体" w:cs="宋体"/>
                <w:color w:val="auto"/>
                <w:szCs w:val="21"/>
                <w:highlight w:val="none"/>
                <w:lang w:val="en-US" w:eastAsia="zh-CN"/>
              </w:rPr>
              <w:t>投标人对招标人提供的耗材等配件负责安装。</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1"/>
                <w:numId w:val="0"/>
              </w:numPr>
              <w:spacing w:line="0" w:lineRule="atLeast"/>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及时向招标人提出验收申请，验收资料包括</w:t>
            </w:r>
            <w:r>
              <w:rPr>
                <w:rFonts w:hint="eastAsia" w:ascii="宋体" w:hAnsi="宋体" w:eastAsia="宋体" w:cs="宋体"/>
                <w:color w:val="auto"/>
                <w:sz w:val="21"/>
                <w:szCs w:val="21"/>
                <w:highlight w:val="none"/>
              </w:rPr>
              <w:t>提供每月的定期维护保养记录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提供每次故障的维修记录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提供复印机维护保养服务总结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结算清单等证明材料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所有记录都需要有招标人现场负责人员亲自确认。结算清单需经招标人审核确认后签字。</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highlight w:val="none"/>
                <w:lang w:eastAsia="zh-CN"/>
              </w:rPr>
              <w:t>保养服务</w:t>
            </w:r>
            <w:r>
              <w:rPr>
                <w:rFonts w:hint="eastAsia" w:ascii="宋体" w:hAnsi="宋体" w:cs="宋体"/>
                <w:color w:val="auto"/>
                <w:highlight w:val="none"/>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numPr>
                <w:ilvl w:val="0"/>
                <w:numId w:val="14"/>
              </w:numPr>
              <w:ind w:left="0" w:firstLine="0"/>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每个月定期上门一次对维保设备进行全面清洁保养。</w:t>
            </w:r>
            <w:r>
              <w:rPr>
                <w:rFonts w:hint="eastAsia" w:ascii="宋体" w:eastAsia="宋体" w:cs="宋体"/>
                <w:color w:val="auto"/>
                <w:sz w:val="21"/>
                <w:szCs w:val="21"/>
                <w:highlight w:val="none"/>
                <w:lang w:eastAsia="zh-CN"/>
              </w:rPr>
              <w:t>对复印机包括但不限于光学系统、机械系统、进纸系统、出纸系统等主要部件进行调整和维护保养。</w:t>
            </w:r>
          </w:p>
          <w:p>
            <w:pPr>
              <w:pStyle w:val="12"/>
              <w:numPr>
                <w:ilvl w:val="0"/>
                <w:numId w:val="14"/>
              </w:numPr>
              <w:ind w:left="0" w:firstLine="0"/>
              <w:rPr>
                <w:rFonts w:ascii="宋体" w:hAnsi="宋体"/>
                <w:color w:val="auto"/>
                <w:highlight w:val="none"/>
              </w:rPr>
            </w:pPr>
            <w:r>
              <w:rPr>
                <w:rFonts w:hint="eastAsia" w:ascii="宋体" w:hAnsi="宋体" w:eastAsia="宋体" w:cs="宋体"/>
                <w:color w:val="auto"/>
                <w:sz w:val="21"/>
                <w:szCs w:val="21"/>
                <w:highlight w:val="none"/>
                <w:lang w:eastAsia="zh-CN"/>
              </w:rPr>
              <w:t>建立</w:t>
            </w:r>
            <w:r>
              <w:rPr>
                <w:rFonts w:hint="eastAsia" w:ascii="宋体" w:eastAsia="宋体" w:cs="宋体"/>
                <w:color w:val="auto"/>
                <w:sz w:val="21"/>
                <w:szCs w:val="21"/>
                <w:highlight w:val="none"/>
                <w:lang w:eastAsia="zh-CN"/>
              </w:rPr>
              <w:t>设备维护保养</w:t>
            </w:r>
            <w:r>
              <w:rPr>
                <w:rFonts w:hint="eastAsia" w:ascii="宋体" w:eastAsia="宋体" w:cs="宋体"/>
                <w:color w:val="auto"/>
                <w:sz w:val="21"/>
                <w:szCs w:val="21"/>
                <w:highlight w:val="none"/>
                <w:lang w:val="en-US" w:eastAsia="zh-CN"/>
              </w:rPr>
              <w:t>档案</w:t>
            </w:r>
            <w:r>
              <w:rPr>
                <w:rFonts w:hint="eastAsia" w:ascii="宋体" w:eastAsia="宋体" w:cs="宋体"/>
                <w:color w:val="auto"/>
                <w:sz w:val="21"/>
                <w:szCs w:val="21"/>
                <w:highlight w:val="none"/>
                <w:lang w:eastAsia="zh-CN"/>
              </w:rPr>
              <w:t>报告。</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highlight w:val="none"/>
                <w:lang w:eastAsia="zh-CN"/>
              </w:rPr>
              <w:t>维修服务</w:t>
            </w:r>
            <w:r>
              <w:rPr>
                <w:rFonts w:hint="eastAsia" w:ascii="宋体" w:hAnsi="宋体" w:cs="宋体"/>
                <w:color w:val="auto"/>
                <w:highlight w:val="none"/>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numPr>
                <w:ilvl w:val="0"/>
                <w:numId w:val="15"/>
              </w:numPr>
              <w:tabs>
                <w:tab w:val="left" w:pos="365"/>
              </w:tabs>
              <w:ind w:left="0" w:firstLine="0"/>
              <w:rPr>
                <w:rFonts w:hint="eastAsia"/>
                <w:color w:val="auto"/>
                <w:sz w:val="21"/>
                <w:szCs w:val="21"/>
                <w:highlight w:val="none"/>
              </w:rPr>
            </w:pPr>
            <w:r>
              <w:rPr>
                <w:rFonts w:hint="eastAsia" w:ascii="宋体" w:hAnsi="宋体" w:eastAsia="宋体" w:cs="宋体"/>
                <w:color w:val="auto"/>
                <w:sz w:val="21"/>
                <w:szCs w:val="21"/>
                <w:highlight w:val="none"/>
                <w:lang w:eastAsia="zh-CN"/>
              </w:rPr>
              <w:t>提供</w:t>
            </w:r>
            <w:r>
              <w:rPr>
                <w:rFonts w:hint="eastAsia" w:ascii="宋体" w:eastAsia="宋体" w:cs="宋体"/>
                <w:color w:val="auto"/>
                <w:sz w:val="21"/>
                <w:szCs w:val="21"/>
                <w:highlight w:val="none"/>
                <w:lang w:eastAsia="zh-CN"/>
              </w:rPr>
              <w:t>现场、</w:t>
            </w:r>
            <w:r>
              <w:rPr>
                <w:rFonts w:hint="eastAsia" w:ascii="宋体" w:hAnsi="宋体" w:eastAsia="宋体" w:cs="宋体"/>
                <w:color w:val="auto"/>
                <w:sz w:val="21"/>
                <w:szCs w:val="21"/>
                <w:highlight w:val="none"/>
                <w:lang w:eastAsia="zh-CN"/>
              </w:rPr>
              <w:t>远程</w:t>
            </w:r>
            <w:r>
              <w:rPr>
                <w:rFonts w:hint="eastAsia" w:ascii="宋体" w:eastAsia="宋体" w:cs="宋体"/>
                <w:color w:val="auto"/>
                <w:sz w:val="21"/>
                <w:szCs w:val="21"/>
                <w:highlight w:val="none"/>
                <w:lang w:eastAsia="zh-CN"/>
              </w:rPr>
              <w:t>指导</w:t>
            </w:r>
            <w:r>
              <w:rPr>
                <w:rFonts w:hint="eastAsia" w:ascii="宋体" w:hAnsi="宋体" w:eastAsia="宋体" w:cs="宋体"/>
                <w:color w:val="auto"/>
                <w:sz w:val="21"/>
                <w:szCs w:val="21"/>
                <w:highlight w:val="none"/>
                <w:lang w:eastAsia="zh-CN"/>
              </w:rPr>
              <w:t>设备设置、</w:t>
            </w:r>
            <w:r>
              <w:rPr>
                <w:rFonts w:hint="eastAsia" w:ascii="宋体" w:eastAsia="宋体" w:cs="宋体"/>
                <w:color w:val="auto"/>
                <w:sz w:val="21"/>
                <w:szCs w:val="21"/>
                <w:highlight w:val="none"/>
                <w:lang w:eastAsia="zh-CN"/>
              </w:rPr>
              <w:t>驱动安装、</w:t>
            </w:r>
            <w:r>
              <w:rPr>
                <w:rFonts w:hint="eastAsia" w:ascii="宋体" w:hAnsi="宋体" w:eastAsia="宋体" w:cs="宋体"/>
                <w:color w:val="auto"/>
                <w:sz w:val="21"/>
                <w:szCs w:val="21"/>
                <w:highlight w:val="none"/>
                <w:lang w:eastAsia="zh-CN"/>
              </w:rPr>
              <w:t>应用使用等</w:t>
            </w:r>
            <w:r>
              <w:rPr>
                <w:rFonts w:hint="eastAsia" w:ascii="宋体" w:eastAsia="宋体" w:cs="宋体"/>
                <w:color w:val="auto"/>
                <w:sz w:val="21"/>
                <w:szCs w:val="21"/>
                <w:highlight w:val="none"/>
                <w:lang w:eastAsia="zh-CN"/>
              </w:rPr>
              <w:t>服务</w:t>
            </w:r>
            <w:r>
              <w:rPr>
                <w:rFonts w:hint="eastAsia" w:ascii="宋体" w:hAnsi="宋体" w:eastAsia="宋体" w:cs="宋体"/>
                <w:color w:val="auto"/>
                <w:sz w:val="21"/>
                <w:szCs w:val="21"/>
                <w:highlight w:val="none"/>
                <w:lang w:eastAsia="zh-CN"/>
              </w:rPr>
              <w:t>。</w:t>
            </w:r>
          </w:p>
          <w:p>
            <w:pPr>
              <w:pStyle w:val="12"/>
              <w:numPr>
                <w:ilvl w:val="0"/>
                <w:numId w:val="15"/>
              </w:numPr>
              <w:tabs>
                <w:tab w:val="left" w:pos="365"/>
              </w:tabs>
              <w:ind w:left="0" w:firstLine="0"/>
              <w:rPr>
                <w:color w:val="auto"/>
                <w:highlight w:val="none"/>
              </w:rPr>
            </w:pPr>
            <w:r>
              <w:rPr>
                <w:rFonts w:hint="eastAsia" w:ascii="宋体" w:hAnsi="宋体" w:eastAsia="宋体" w:cs="宋体"/>
                <w:color w:val="auto"/>
                <w:sz w:val="21"/>
                <w:szCs w:val="21"/>
                <w:highlight w:val="none"/>
                <w:lang w:eastAsia="zh-CN"/>
              </w:rPr>
              <w:t>设备使用中发生故障等问题，法定工作日</w:t>
            </w:r>
            <w:r>
              <w:rPr>
                <w:rFonts w:hint="eastAsia" w:ascii="宋体" w:hAnsi="宋体" w:eastAsia="宋体" w:cs="宋体"/>
                <w:color w:val="auto"/>
                <w:sz w:val="21"/>
                <w:szCs w:val="21"/>
                <w:highlight w:val="none"/>
                <w:lang w:val="en-US" w:eastAsia="zh-CN"/>
              </w:rPr>
              <w:t>2小时内响应，法定工作日8小时内上门处理</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eastAsia="宋体" w:cs="宋体"/>
                <w:color w:val="auto"/>
                <w:highlight w:val="none"/>
                <w:lang w:eastAsia="zh-CN"/>
              </w:rPr>
              <w:t>技术力量</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color w:val="auto"/>
                <w:highlight w:val="none"/>
              </w:rPr>
            </w:pPr>
            <w:r>
              <w:rPr>
                <w:rFonts w:hint="eastAsia" w:ascii="宋体" w:hAnsi="宋体" w:eastAsia="宋体" w:cs="宋体"/>
                <w:color w:val="auto"/>
                <w:sz w:val="21"/>
                <w:szCs w:val="21"/>
                <w:highlight w:val="none"/>
              </w:rPr>
              <w:t>提供该项目人员的姓名、职务、电话、身份证复印件及近三个月社保证明等信息（如公告日上一个月的社保材料因社保部门原因暂时无法取得，则可以往前顺延一个月，加盖公章，原件备查），并指定项目负责人负责联络协调及跟进该项目具体实施。拟投入本项目人员一经确定，不得随意更换，除非</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人提出更换。如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确需更换，需取得</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人同意。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bl>
    <w:p>
      <w:pPr>
        <w:numPr>
          <w:ilvl w:val="0"/>
          <w:numId w:val="1"/>
        </w:numPr>
        <w:jc w:val="left"/>
        <w:outlineLvl w:val="1"/>
        <w:rPr>
          <w:rFonts w:ascii="宋体" w:hAnsi="宋体"/>
          <w:b/>
          <w:color w:val="auto"/>
          <w:szCs w:val="21"/>
          <w:highlight w:val="none"/>
        </w:rPr>
      </w:pPr>
      <w:bookmarkStart w:id="38" w:name="_Toc82684600"/>
      <w:bookmarkEnd w:id="38"/>
      <w:bookmarkStart w:id="39" w:name="_Toc82684715"/>
      <w:bookmarkEnd w:id="39"/>
      <w:bookmarkStart w:id="40" w:name="_Toc82685552"/>
      <w:bookmarkEnd w:id="40"/>
      <w:bookmarkStart w:id="41" w:name="_Toc82591996"/>
      <w:bookmarkEnd w:id="41"/>
      <w:bookmarkStart w:id="42" w:name="_Toc32205"/>
      <w:r>
        <w:rPr>
          <w:rFonts w:hint="eastAsia" w:ascii="宋体" w:hAnsi="宋体"/>
          <w:b/>
          <w:color w:val="auto"/>
          <w:szCs w:val="21"/>
          <w:highlight w:val="none"/>
        </w:rPr>
        <w:t>其他项目说明资料</w:t>
      </w:r>
      <w:bookmarkEnd w:id="42"/>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维护保养设备清单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638"/>
        <w:gridCol w:w="3367"/>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序号</w:t>
            </w:r>
          </w:p>
        </w:tc>
        <w:tc>
          <w:tcPr>
            <w:tcW w:w="285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设备名称</w:t>
            </w:r>
          </w:p>
        </w:tc>
        <w:tc>
          <w:tcPr>
            <w:tcW w:w="358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型号</w:t>
            </w:r>
          </w:p>
        </w:tc>
        <w:tc>
          <w:tcPr>
            <w:tcW w:w="1773"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1</w:t>
            </w:r>
          </w:p>
        </w:tc>
        <w:tc>
          <w:tcPr>
            <w:tcW w:w="285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MP7001</w:t>
            </w:r>
          </w:p>
        </w:tc>
        <w:tc>
          <w:tcPr>
            <w:tcW w:w="1773"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2</w:t>
            </w:r>
          </w:p>
        </w:tc>
        <w:tc>
          <w:tcPr>
            <w:tcW w:w="285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MPC7502</w:t>
            </w:r>
          </w:p>
        </w:tc>
        <w:tc>
          <w:tcPr>
            <w:tcW w:w="1773"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3</w:t>
            </w:r>
          </w:p>
        </w:tc>
        <w:tc>
          <w:tcPr>
            <w:tcW w:w="285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MPC5501</w:t>
            </w:r>
          </w:p>
        </w:tc>
        <w:tc>
          <w:tcPr>
            <w:tcW w:w="1773"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4</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MPC2051</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5</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MP2014</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6</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MP2011</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7</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MPC6004</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8</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理光</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IMC3000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rPr>
            </w:pPr>
            <w:r>
              <w:rPr>
                <w:rFonts w:hint="eastAsia" w:ascii="仿宋_GB2312" w:hAnsi="宋体" w:eastAsia="仿宋_GB2312"/>
                <w:sz w:val="24"/>
              </w:rPr>
              <w:t>9</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理光</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MC2000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10</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IRC3125</w:t>
            </w:r>
          </w:p>
        </w:tc>
        <w:tc>
          <w:tcPr>
            <w:tcW w:w="1773"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11</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IR2002G</w:t>
            </w:r>
          </w:p>
        </w:tc>
        <w:tc>
          <w:tcPr>
            <w:tcW w:w="1773"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12</w:t>
            </w:r>
          </w:p>
        </w:tc>
        <w:tc>
          <w:tcPr>
            <w:tcW w:w="285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IR2318L</w:t>
            </w:r>
          </w:p>
        </w:tc>
        <w:tc>
          <w:tcPr>
            <w:tcW w:w="1773"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13</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IR2422D</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14</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IR2520D</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15</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IR2525</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16</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IR2530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sz w:val="24"/>
                <w:lang w:val="en-US" w:eastAsia="zh-CN"/>
              </w:rPr>
              <w:t>7</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IRC3330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18</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IRC3525</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19</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IRC3530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20</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IRC3520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21</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IRC3730</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22</w:t>
            </w:r>
          </w:p>
        </w:tc>
        <w:tc>
          <w:tcPr>
            <w:tcW w:w="285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IRC3826</w:t>
            </w:r>
          </w:p>
        </w:tc>
        <w:tc>
          <w:tcPr>
            <w:tcW w:w="1773"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23</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358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IRC3222L</w:t>
            </w:r>
          </w:p>
        </w:tc>
        <w:tc>
          <w:tcPr>
            <w:tcW w:w="1773"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24</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惠普</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E78223</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25</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惠普</w:t>
            </w:r>
          </w:p>
        </w:tc>
        <w:tc>
          <w:tcPr>
            <w:tcW w:w="358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E77822</w:t>
            </w:r>
          </w:p>
        </w:tc>
        <w:tc>
          <w:tcPr>
            <w:tcW w:w="1773"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26</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惠普</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E77422</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27</w:t>
            </w:r>
          </w:p>
        </w:tc>
        <w:tc>
          <w:tcPr>
            <w:tcW w:w="285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东芝</w:t>
            </w:r>
          </w:p>
        </w:tc>
        <w:tc>
          <w:tcPr>
            <w:tcW w:w="3584"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2500AC</w:t>
            </w:r>
          </w:p>
        </w:tc>
        <w:tc>
          <w:tcPr>
            <w:tcW w:w="1773" w:type="dxa"/>
            <w:noWrap w:val="0"/>
            <w:vAlign w:val="top"/>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2" w:type="dxa"/>
            <w:gridSpan w:val="3"/>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合计数量</w:t>
            </w:r>
          </w:p>
        </w:tc>
        <w:tc>
          <w:tcPr>
            <w:tcW w:w="1773" w:type="dxa"/>
            <w:noWrap w:val="0"/>
            <w:vAlign w:val="top"/>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36</w:t>
            </w:r>
          </w:p>
        </w:tc>
      </w:tr>
    </w:tbl>
    <w:p>
      <w:pPr>
        <w:pStyle w:val="2"/>
        <w:spacing w:after="156" w:afterLines="50" w:line="360" w:lineRule="auto"/>
        <w:ind w:left="0"/>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pStyle w:val="2"/>
        <w:rPr>
          <w:rFonts w:hint="eastAsia"/>
          <w:lang w:val="en-US" w:eastAsia="zh-CN"/>
        </w:rPr>
      </w:pPr>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color w:val="auto"/>
                <w:sz w:val="24"/>
              </w:rPr>
            </w:pPr>
            <w:r>
              <w:rPr>
                <w:rFonts w:hint="eastAsia" w:ascii="黑体" w:hAnsi="宋体" w:eastAsia="黑体" w:cs="宋体"/>
                <w:color w:val="auto"/>
                <w:sz w:val="24"/>
              </w:rPr>
              <w:t>服务过程（</w:t>
            </w:r>
            <w:r>
              <w:rPr>
                <w:rFonts w:ascii="黑体" w:hAnsi="宋体" w:eastAsia="黑体" w:cs="宋体"/>
                <w:color w:val="auto"/>
                <w:sz w:val="24"/>
              </w:rPr>
              <w:t>82</w:t>
            </w:r>
            <w:r>
              <w:rPr>
                <w:rFonts w:hint="eastAsia" w:ascii="黑体" w:hAnsi="宋体" w:eastAsia="黑体" w:cs="宋体"/>
                <w:color w:val="auto"/>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color w:val="auto"/>
                <w:sz w:val="20"/>
              </w:rPr>
            </w:pPr>
            <w:r>
              <w:rPr>
                <w:rFonts w:hint="eastAsia" w:ascii="宋体" w:hAnsi="宋体" w:eastAsia="宋体" w:cs="宋体"/>
                <w:color w:val="auto"/>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color w:val="auto"/>
                <w:szCs w:val="21"/>
              </w:rPr>
            </w:pPr>
            <w:r>
              <w:rPr>
                <w:rFonts w:hint="eastAsia" w:ascii="宋体" w:hAnsi="宋体" w:eastAsia="宋体" w:cs="宋体"/>
                <w:color w:val="auto"/>
                <w:szCs w:val="21"/>
              </w:rPr>
              <w:t>工作效率</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color w:val="auto"/>
                <w:szCs w:val="21"/>
              </w:rPr>
            </w:pPr>
            <w:r>
              <w:rPr>
                <w:rFonts w:ascii="宋体" w:hAnsi="宋体" w:cs="宋体"/>
                <w:color w:val="auto"/>
                <w:szCs w:val="21"/>
              </w:rPr>
              <w:t>4</w:t>
            </w:r>
          </w:p>
        </w:tc>
        <w:tc>
          <w:tcPr>
            <w:tcW w:w="1559" w:type="dxa"/>
            <w:tcBorders>
              <w:tl2br w:val="nil"/>
              <w:tr2bl w:val="nil"/>
            </w:tcBorders>
            <w:vAlign w:val="center"/>
          </w:tcPr>
          <w:p>
            <w:pPr>
              <w:spacing w:line="300" w:lineRule="exact"/>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0"/>
              </w:rPr>
            </w:pPr>
          </w:p>
        </w:tc>
        <w:tc>
          <w:tcPr>
            <w:tcW w:w="708"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能否按照计划进度开展工作</w:t>
            </w:r>
          </w:p>
        </w:tc>
        <w:tc>
          <w:tcPr>
            <w:tcW w:w="425" w:type="dxa"/>
            <w:tcBorders>
              <w:tl2br w:val="nil"/>
              <w:tr2bl w:val="nil"/>
            </w:tcBorders>
            <w:vAlign w:val="center"/>
          </w:tcPr>
          <w:p>
            <w:pPr>
              <w:jc w:val="center"/>
              <w:rPr>
                <w:rFonts w:ascii="宋体" w:hAnsi="宋体" w:cs="宋体"/>
                <w:color w:val="auto"/>
                <w:szCs w:val="21"/>
              </w:rPr>
            </w:pPr>
            <w:r>
              <w:rPr>
                <w:rFonts w:ascii="宋体" w:hAnsi="宋体" w:cs="宋体"/>
                <w:color w:val="auto"/>
                <w:szCs w:val="21"/>
              </w:rPr>
              <w:t>4</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0"/>
              </w:rPr>
            </w:pPr>
          </w:p>
        </w:tc>
        <w:tc>
          <w:tcPr>
            <w:tcW w:w="708"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胜任能力</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4</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0"/>
              </w:rPr>
            </w:pPr>
          </w:p>
        </w:tc>
        <w:tc>
          <w:tcPr>
            <w:tcW w:w="708" w:type="dxa"/>
            <w:vMerge w:val="continue"/>
            <w:tcBorders>
              <w:tl2br w:val="nil"/>
              <w:tr2bl w:val="nil"/>
            </w:tcBorders>
            <w:vAlign w:val="center"/>
          </w:tcPr>
          <w:p>
            <w:pPr>
              <w:widowControl/>
              <w:jc w:val="left"/>
              <w:rPr>
                <w:rFonts w:ascii="宋体" w:hAnsi="宋体" w:eastAsia="宋体" w:cs="宋体"/>
                <w:color w:val="auto"/>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color w:val="auto"/>
                <w:szCs w:val="21"/>
              </w:rPr>
            </w:pPr>
            <w:r>
              <w:rPr>
                <w:rFonts w:ascii="宋体" w:hAnsi="宋体" w:cs="宋体"/>
                <w:color w:val="auto"/>
                <w:szCs w:val="21"/>
              </w:rPr>
              <w:t>4</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0"/>
              </w:rPr>
            </w:pPr>
          </w:p>
        </w:tc>
        <w:tc>
          <w:tcPr>
            <w:tcW w:w="708" w:type="dxa"/>
            <w:vMerge w:val="continue"/>
            <w:tcBorders>
              <w:tl2br w:val="nil"/>
              <w:tr2bl w:val="nil"/>
            </w:tcBorders>
            <w:vAlign w:val="center"/>
          </w:tcPr>
          <w:p>
            <w:pPr>
              <w:widowControl/>
              <w:jc w:val="left"/>
              <w:rPr>
                <w:rFonts w:ascii="宋体" w:hAnsi="宋体" w:eastAsia="宋体" w:cs="宋体"/>
                <w:color w:val="auto"/>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是否存在对同一事项（如差错、修改意见、疑问及需进一步了解的情况、需进一步分析的事项、服务态度、服务事项、服务要求等）进行多次</w:t>
            </w:r>
            <w:r>
              <w:rPr>
                <w:rFonts w:hint="eastAsia" w:ascii="宋体" w:hAnsi="宋体" w:cs="宋体"/>
                <w:color w:val="auto"/>
                <w:szCs w:val="21"/>
                <w:lang w:val="en-US" w:eastAsia="zh-CN"/>
              </w:rPr>
              <w:t>整</w:t>
            </w:r>
            <w:r>
              <w:rPr>
                <w:rFonts w:hint="eastAsia" w:ascii="宋体" w:hAnsi="宋体" w:cs="宋体"/>
                <w:color w:val="auto"/>
                <w:szCs w:val="21"/>
              </w:rPr>
              <w:t>改才能得到最终结果或改正的情况</w:t>
            </w:r>
          </w:p>
        </w:tc>
        <w:tc>
          <w:tcPr>
            <w:tcW w:w="425" w:type="dxa"/>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配合程度</w:t>
            </w:r>
          </w:p>
        </w:tc>
        <w:tc>
          <w:tcPr>
            <w:tcW w:w="708"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沟通主动性</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是否及时就项目开展进度、情况进行沟通</w:t>
            </w:r>
          </w:p>
        </w:tc>
        <w:tc>
          <w:tcPr>
            <w:tcW w:w="425" w:type="dxa"/>
            <w:tcBorders>
              <w:tl2br w:val="nil"/>
              <w:tr2bl w:val="nil"/>
            </w:tcBorders>
            <w:vAlign w:val="center"/>
          </w:tcPr>
          <w:p>
            <w:pPr>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708"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708"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708"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沟通能力</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6</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0"/>
              </w:rPr>
            </w:pPr>
          </w:p>
        </w:tc>
        <w:tc>
          <w:tcPr>
            <w:tcW w:w="708" w:type="dxa"/>
            <w:vMerge w:val="continue"/>
            <w:tcBorders>
              <w:tl2br w:val="nil"/>
              <w:tr2bl w:val="nil"/>
            </w:tcBorders>
            <w:vAlign w:val="center"/>
          </w:tcPr>
          <w:p>
            <w:pPr>
              <w:widowControl/>
              <w:jc w:val="left"/>
              <w:rPr>
                <w:rFonts w:ascii="宋体" w:hAnsi="宋体" w:eastAsia="宋体" w:cs="宋体"/>
                <w:color w:val="auto"/>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职业操守</w:t>
            </w:r>
          </w:p>
        </w:tc>
        <w:tc>
          <w:tcPr>
            <w:tcW w:w="708"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工作态度</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708"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1"/>
                <w:szCs w:val="21"/>
              </w:rPr>
            </w:pPr>
          </w:p>
        </w:tc>
        <w:tc>
          <w:tcPr>
            <w:tcW w:w="708" w:type="dxa"/>
            <w:vMerge w:val="restart"/>
            <w:tcBorders>
              <w:tl2br w:val="nil"/>
              <w:tr2bl w:val="nil"/>
            </w:tcBorders>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职业道德</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6</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 w:val="20"/>
              </w:rPr>
            </w:pPr>
          </w:p>
        </w:tc>
        <w:tc>
          <w:tcPr>
            <w:tcW w:w="708" w:type="dxa"/>
            <w:vMerge w:val="continue"/>
            <w:tcBorders>
              <w:tl2br w:val="nil"/>
              <w:tr2bl w:val="nil"/>
            </w:tcBorders>
            <w:vAlign w:val="center"/>
          </w:tcPr>
          <w:p>
            <w:pPr>
              <w:widowControl/>
              <w:jc w:val="left"/>
              <w:rPr>
                <w:rFonts w:ascii="宋体" w:hAnsi="宋体" w:eastAsia="宋体" w:cs="宋体"/>
                <w:color w:val="auto"/>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ascii="宋体" w:hAnsi="宋体" w:cs="宋体"/>
                <w:color w:val="auto"/>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jc w:val="center"/>
              <w:rPr>
                <w:rFonts w:ascii="宋体" w:hAnsi="宋体" w:eastAsia="宋体" w:cs="宋体"/>
                <w:color w:val="auto"/>
                <w:szCs w:val="21"/>
              </w:rPr>
            </w:pPr>
          </w:p>
        </w:tc>
        <w:tc>
          <w:tcPr>
            <w:tcW w:w="708" w:type="dxa"/>
            <w:vMerge w:val="continue"/>
            <w:tcBorders>
              <w:tl2br w:val="nil"/>
              <w:tr2bl w:val="nil"/>
            </w:tcBorders>
            <w:vAlign w:val="center"/>
          </w:tcPr>
          <w:p>
            <w:pPr>
              <w:jc w:val="center"/>
              <w:rPr>
                <w:rFonts w:ascii="宋体" w:hAnsi="宋体" w:eastAsia="宋体" w:cs="宋体"/>
                <w:color w:val="auto"/>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eastAsia="宋体" w:cs="宋体"/>
                <w:color w:val="auto"/>
                <w:szCs w:val="21"/>
              </w:rPr>
            </w:pPr>
          </w:p>
        </w:tc>
        <w:tc>
          <w:tcPr>
            <w:tcW w:w="708" w:type="dxa"/>
            <w:vMerge w:val="continue"/>
            <w:tcBorders>
              <w:tl2br w:val="nil"/>
              <w:tr2bl w:val="nil"/>
            </w:tcBorders>
            <w:vAlign w:val="center"/>
          </w:tcPr>
          <w:p>
            <w:pPr>
              <w:widowControl/>
              <w:jc w:val="left"/>
              <w:rPr>
                <w:rFonts w:ascii="宋体" w:hAnsi="宋体" w:eastAsia="宋体" w:cs="宋体"/>
                <w:color w:val="auto"/>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是否按要求提交相关的</w:t>
            </w:r>
            <w:r>
              <w:rPr>
                <w:rFonts w:hint="eastAsia" w:ascii="宋体" w:hAnsi="宋体" w:cs="宋体"/>
                <w:color w:val="auto"/>
                <w:szCs w:val="21"/>
                <w:lang w:val="en-US" w:eastAsia="zh-CN"/>
              </w:rPr>
              <w:t>维护保养记录等</w:t>
            </w:r>
          </w:p>
        </w:tc>
        <w:tc>
          <w:tcPr>
            <w:tcW w:w="425" w:type="dxa"/>
            <w:tcBorders>
              <w:tl2br w:val="nil"/>
              <w:tr2bl w:val="nil"/>
            </w:tcBorders>
            <w:vAlign w:val="center"/>
          </w:tcPr>
          <w:p>
            <w:pPr>
              <w:spacing w:line="260" w:lineRule="exact"/>
              <w:jc w:val="center"/>
              <w:rPr>
                <w:rFonts w:ascii="宋体" w:hAnsi="宋体" w:cs="宋体"/>
                <w:color w:val="auto"/>
                <w:szCs w:val="21"/>
              </w:rPr>
            </w:pPr>
            <w:r>
              <w:rPr>
                <w:rFonts w:hint="eastAsia" w:ascii="宋体" w:hAnsi="宋体" w:cs="宋体"/>
                <w:color w:val="auto"/>
                <w:szCs w:val="21"/>
              </w:rPr>
              <w:t>6</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color w:val="auto"/>
                <w:sz w:val="24"/>
              </w:rPr>
            </w:pPr>
            <w:r>
              <w:rPr>
                <w:rFonts w:hint="eastAsia" w:ascii="黑体" w:hAnsi="宋体" w:eastAsia="黑体" w:cs="宋体"/>
                <w:color w:val="auto"/>
                <w:sz w:val="24"/>
              </w:rPr>
              <w:t>服务</w:t>
            </w:r>
            <w:r>
              <w:rPr>
                <w:rFonts w:hint="eastAsia" w:ascii="黑体" w:hAnsi="宋体" w:eastAsia="黑体" w:cs="宋体"/>
                <w:color w:val="auto"/>
                <w:sz w:val="24"/>
                <w:lang w:val="en-US" w:eastAsia="zh-CN"/>
              </w:rPr>
              <w:t>细则</w:t>
            </w:r>
            <w:r>
              <w:rPr>
                <w:rFonts w:hint="eastAsia" w:ascii="黑体" w:hAnsi="宋体" w:eastAsia="黑体" w:cs="宋体"/>
                <w:color w:val="auto"/>
                <w:sz w:val="24"/>
              </w:rPr>
              <w:t>（</w:t>
            </w:r>
            <w:r>
              <w:rPr>
                <w:rFonts w:ascii="黑体" w:hAnsi="宋体" w:eastAsia="黑体" w:cs="宋体"/>
                <w:color w:val="auto"/>
                <w:sz w:val="24"/>
              </w:rPr>
              <w:t>18</w:t>
            </w:r>
            <w:r>
              <w:rPr>
                <w:rFonts w:hint="eastAsia" w:ascii="黑体" w:hAnsi="宋体" w:eastAsia="黑体" w:cs="宋体"/>
                <w:color w:val="auto"/>
                <w:sz w:val="24"/>
              </w:rPr>
              <w:t>分）</w:t>
            </w:r>
          </w:p>
        </w:tc>
        <w:tc>
          <w:tcPr>
            <w:tcW w:w="993" w:type="dxa"/>
            <w:vMerge w:val="restart"/>
            <w:tcBorders>
              <w:tl2br w:val="nil"/>
              <w:tr2bl w:val="nil"/>
            </w:tcBorders>
            <w:vAlign w:val="center"/>
          </w:tcPr>
          <w:p>
            <w:pPr>
              <w:jc w:val="center"/>
              <w:rPr>
                <w:rFonts w:ascii="宋体" w:hAnsi="宋体" w:eastAsia="宋体" w:cs="宋体"/>
                <w:color w:val="auto"/>
                <w:szCs w:val="21"/>
              </w:rPr>
            </w:pPr>
            <w:r>
              <w:rPr>
                <w:rFonts w:hint="eastAsia" w:ascii="宋体" w:hAnsi="宋体" w:eastAsia="宋体" w:cs="宋体"/>
                <w:color w:val="auto"/>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color w:val="auto"/>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rPr>
              <w:t>是否发生过涉及</w:t>
            </w:r>
            <w:r>
              <w:rPr>
                <w:rFonts w:hint="eastAsia" w:ascii="宋体" w:hAnsi="宋体" w:cs="宋体"/>
                <w:color w:val="auto"/>
                <w:szCs w:val="21"/>
                <w:lang w:val="en-US" w:eastAsia="zh-CN"/>
              </w:rPr>
              <w:t>维护保养不当导致</w:t>
            </w:r>
            <w:r>
              <w:rPr>
                <w:rFonts w:hint="eastAsia" w:ascii="宋体" w:hAnsi="宋体" w:cs="宋体"/>
                <w:color w:val="auto"/>
                <w:szCs w:val="21"/>
              </w:rPr>
              <w:t>的责任事故</w:t>
            </w:r>
          </w:p>
        </w:tc>
        <w:tc>
          <w:tcPr>
            <w:tcW w:w="425" w:type="dxa"/>
            <w:tcBorders>
              <w:tl2br w:val="nil"/>
              <w:tr2bl w:val="nil"/>
            </w:tcBorders>
            <w:vAlign w:val="center"/>
          </w:tcPr>
          <w:p>
            <w:pPr>
              <w:spacing w:line="26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color w:val="auto"/>
                <w:sz w:val="24"/>
              </w:rPr>
            </w:pPr>
          </w:p>
        </w:tc>
        <w:tc>
          <w:tcPr>
            <w:tcW w:w="993" w:type="dxa"/>
            <w:vMerge w:val="continue"/>
            <w:tcBorders>
              <w:tl2br w:val="nil"/>
              <w:tr2bl w:val="nil"/>
            </w:tcBorders>
            <w:vAlign w:val="center"/>
          </w:tcPr>
          <w:p>
            <w:pPr>
              <w:widowControl/>
              <w:jc w:val="left"/>
              <w:rPr>
                <w:rFonts w:ascii="宋体" w:hAnsi="宋体" w:cs="宋体"/>
                <w:color w:val="auto"/>
                <w:szCs w:val="21"/>
              </w:rPr>
            </w:pPr>
          </w:p>
        </w:tc>
        <w:tc>
          <w:tcPr>
            <w:tcW w:w="708" w:type="dxa"/>
            <w:vMerge w:val="continue"/>
            <w:tcBorders>
              <w:tl2br w:val="nil"/>
              <w:tr2bl w:val="nil"/>
            </w:tcBorders>
            <w:vAlign w:val="center"/>
          </w:tcPr>
          <w:p>
            <w:pPr>
              <w:widowControl/>
              <w:jc w:val="left"/>
              <w:rPr>
                <w:rFonts w:ascii="宋体" w:hAnsi="宋体" w:cs="宋体"/>
                <w:color w:val="auto"/>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color w:val="auto"/>
                <w:szCs w:val="21"/>
              </w:rPr>
            </w:pPr>
            <w:r>
              <w:rPr>
                <w:rFonts w:hint="eastAsia" w:ascii="宋体" w:hAnsi="宋体" w:cs="宋体"/>
                <w:color w:val="auto"/>
                <w:szCs w:val="21"/>
                <w:lang w:val="en-US" w:eastAsia="zh-CN"/>
              </w:rPr>
              <w:t>是否存在浅故障维修以换代修问题</w:t>
            </w:r>
          </w:p>
        </w:tc>
        <w:tc>
          <w:tcPr>
            <w:tcW w:w="425" w:type="dxa"/>
            <w:tcBorders>
              <w:tl2br w:val="nil"/>
              <w:tr2bl w:val="nil"/>
            </w:tcBorders>
            <w:vAlign w:val="center"/>
          </w:tcPr>
          <w:p>
            <w:pPr>
              <w:spacing w:line="26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lang w:val="en-US" w:eastAsia="zh-CN"/>
              </w:rPr>
              <w:t>应急响应服务是否及时，并有效解决相关问题</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5"/>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pStyle w:val="2"/>
        <w:ind w:left="0" w:leftChars="0" w:firstLine="0" w:firstLineChars="0"/>
        <w:jc w:val="both"/>
        <w:rPr>
          <w:rFonts w:hint="eastAsia" w:ascii="宋体" w:hAnsi="宋体" w:eastAsia="宋体" w:cs="宋体"/>
          <w:color w:val="FF0000"/>
          <w:sz w:val="28"/>
          <w:szCs w:val="28"/>
          <w:highlight w:val="none"/>
          <w:lang w:val="en-US" w:eastAsia="zh-CN"/>
        </w:rPr>
      </w:pPr>
    </w:p>
    <w:p>
      <w:pPr>
        <w:spacing w:line="360" w:lineRule="auto"/>
        <w:jc w:val="center"/>
        <w:outlineLvl w:val="0"/>
        <w:rPr>
          <w:rFonts w:ascii="宋体" w:hAnsi="宋体"/>
          <w:b/>
          <w:sz w:val="32"/>
          <w:szCs w:val="32"/>
        </w:rPr>
      </w:pPr>
      <w:bookmarkStart w:id="43" w:name="_Toc13243"/>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2397"/>
      <w:bookmarkStart w:id="45" w:name="_Toc104994641"/>
      <w:bookmarkStart w:id="46" w:name="_Hlk104908581"/>
      <w:bookmarkStart w:id="47" w:name="_Hlk104908397"/>
      <w:r>
        <w:rPr>
          <w:rFonts w:hint="eastAsia"/>
          <w:b/>
        </w:rPr>
        <w:t>开标阶段</w:t>
      </w:r>
      <w:bookmarkEnd w:id="44"/>
      <w:bookmarkEnd w:id="45"/>
    </w:p>
    <w:bookmarkEnd w:id="46"/>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6311"/>
      <w:bookmarkStart w:id="49" w:name="_Toc104994642"/>
      <w:r>
        <w:rPr>
          <w:rFonts w:hint="eastAsia"/>
          <w:b/>
        </w:rPr>
        <w:t>评标阶段</w:t>
      </w:r>
      <w:bookmarkEnd w:id="48"/>
      <w:bookmarkEnd w:id="49"/>
    </w:p>
    <w:p>
      <w:pPr>
        <w:pStyle w:val="24"/>
        <w:numPr>
          <w:ilvl w:val="0"/>
          <w:numId w:val="1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5865"/>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6815"/>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最低价法</w:t>
      </w:r>
      <w:r>
        <w:rPr>
          <w:rFonts w:hint="eastAsia" w:ascii="宋体" w:hAnsi="宋体"/>
          <w:szCs w:val="21"/>
        </w:rPr>
        <w:t>进行评审，即投标报价最低的投标人为本项目中标候选人。</w:t>
      </w:r>
    </w:p>
    <w:p>
      <w:pPr>
        <w:numPr>
          <w:ilvl w:val="0"/>
          <w:numId w:val="19"/>
        </w:numPr>
        <w:spacing w:before="156" w:beforeLines="50"/>
        <w:jc w:val="left"/>
        <w:outlineLvl w:val="2"/>
        <w:rPr>
          <w:rStyle w:val="31"/>
          <w:rFonts w:ascii="宋体" w:hAnsi="宋体"/>
          <w:b/>
          <w:szCs w:val="21"/>
        </w:rPr>
      </w:pPr>
      <w:bookmarkStart w:id="52" w:name="_Toc4843"/>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ind w:left="0" w:firstLine="0"/>
              <w:rPr>
                <w:rFonts w:hint="eastAsia" w:ascii="宋体" w:hAnsi="宋体" w:cs="仿宋"/>
                <w:szCs w:val="21"/>
              </w:rPr>
            </w:pPr>
            <w:r>
              <w:rPr>
                <w:rFonts w:hint="eastAsia" w:ascii="宋体" w:hAnsi="宋体" w:cs="仿宋"/>
                <w:szCs w:val="21"/>
              </w:rPr>
              <w:t>投标人是否提供以下证明文件：</w:t>
            </w:r>
          </w:p>
          <w:p>
            <w:pPr>
              <w:numPr>
                <w:ilvl w:val="0"/>
                <w:numId w:val="20"/>
              </w:numPr>
              <w:tabs>
                <w:tab w:val="left" w:pos="531"/>
              </w:tabs>
              <w:snapToGrid w:val="0"/>
              <w:ind w:left="425" w:hanging="425"/>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0"/>
              </w:numPr>
              <w:tabs>
                <w:tab w:val="left" w:pos="531"/>
              </w:tabs>
              <w:snapToGrid w:val="0"/>
              <w:ind w:left="425" w:hanging="425"/>
              <w:rPr>
                <w:rFonts w:ascii="宋体" w:hAnsi="宋体" w:cs="宋体"/>
                <w:color w:val="auto"/>
                <w:kern w:val="0"/>
                <w:sz w:val="24"/>
                <w:highlight w:val="none"/>
              </w:rPr>
            </w:pPr>
            <w:r>
              <w:rPr>
                <w:rFonts w:hint="eastAsia" w:ascii="宋体" w:hAnsi="宋体" w:cs="宋体"/>
                <w:color w:val="auto"/>
                <w:szCs w:val="21"/>
                <w:highlight w:val="none"/>
                <w:lang w:val="en-US" w:eastAsia="zh-CN"/>
              </w:rPr>
              <w:t>投标人具有理光、佳能复印机设备厂家售后服务证明，提供证明复印件加盖投标人公章。</w:t>
            </w:r>
          </w:p>
          <w:p>
            <w:pPr>
              <w:numPr>
                <w:ilvl w:val="0"/>
                <w:numId w:val="20"/>
              </w:numPr>
              <w:tabs>
                <w:tab w:val="left" w:pos="531"/>
              </w:tabs>
              <w:snapToGrid w:val="0"/>
              <w:ind w:left="425" w:hanging="425"/>
              <w:rPr>
                <w:color w:val="auto"/>
                <w:highlight w:val="none"/>
              </w:rPr>
            </w:pPr>
            <w:r>
              <w:rPr>
                <w:rFonts w:hint="eastAsia" w:ascii="宋体" w:hAnsi="宋体" w:cs="宋体"/>
                <w:color w:val="auto"/>
                <w:highlight w:val="none"/>
                <w:lang w:val="en-US" w:eastAsia="zh-CN"/>
              </w:rPr>
              <w:t>投标人</w:t>
            </w:r>
            <w:r>
              <w:rPr>
                <w:rFonts w:hint="eastAsia" w:ascii="宋体" w:hAnsi="宋体" w:eastAsia="宋体" w:cs="宋体"/>
                <w:color w:val="auto"/>
                <w:szCs w:val="21"/>
                <w:highlight w:val="none"/>
                <w:lang w:eastAsia="zh-CN"/>
              </w:rPr>
              <w:t>具有复印机维护保养服务经验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月1日至</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公告发布</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止</w:t>
            </w:r>
            <w:r>
              <w:rPr>
                <w:rFonts w:hint="eastAsia" w:ascii="宋体" w:hAnsi="宋体" w:cs="宋体"/>
                <w:color w:val="auto"/>
                <w:sz w:val="21"/>
                <w:szCs w:val="21"/>
                <w:highlight w:val="none"/>
                <w:lang w:val="en-US" w:eastAsia="zh-CN"/>
              </w:rPr>
              <w:t>至少3份长期维护保养</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关键页复印件并加盖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公章（合同关键页包含但不限于项目名称、业主方名称、合同主要内容、签订时间、履约地点、甲乙双方盖章等信息）。</w:t>
            </w:r>
          </w:p>
          <w:p>
            <w:pPr>
              <w:numPr>
                <w:ilvl w:val="0"/>
                <w:numId w:val="20"/>
              </w:numPr>
              <w:tabs>
                <w:tab w:val="left" w:pos="531"/>
              </w:tabs>
              <w:snapToGrid w:val="0"/>
              <w:spacing w:line="240" w:lineRule="auto"/>
              <w:ind w:left="425" w:hanging="425"/>
            </w:pPr>
            <w:r>
              <w:rPr>
                <w:rFonts w:hint="eastAsia" w:ascii="宋体" w:hAnsi="宋体" w:cs="宋体"/>
                <w:color w:val="auto"/>
                <w:szCs w:val="21"/>
                <w:highlight w:val="none"/>
                <w:lang w:val="en-US" w:eastAsia="zh-CN"/>
              </w:rPr>
              <w:t>本</w:t>
            </w:r>
            <w:r>
              <w:rPr>
                <w:rFonts w:hint="eastAsia" w:ascii="宋体" w:hAnsi="宋体" w:eastAsia="宋体" w:cs="宋体"/>
                <w:color w:val="auto"/>
                <w:szCs w:val="21"/>
                <w:highlight w:val="none"/>
                <w:lang w:val="en-US" w:eastAsia="zh-CN"/>
              </w:rPr>
              <w:t>项目不接受联合体投标，严禁转包或非法分包</w:t>
            </w:r>
            <w:r>
              <w:rPr>
                <w:rFonts w:hint="eastAsia" w:ascii="宋体" w:hAnsi="宋体" w:cs="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eastAsia="宋体" w:cs="宋体"/>
                <w:color w:val="auto"/>
                <w:sz w:val="21"/>
                <w:szCs w:val="21"/>
                <w:highlight w:val="none"/>
              </w:rPr>
              <w:t>本项目</w:t>
            </w:r>
            <w:r>
              <w:rPr>
                <w:rFonts w:hint="eastAsia" w:ascii="宋体" w:hAnsi="宋体" w:eastAsia="宋体" w:cs="宋体"/>
                <w:sz w:val="21"/>
                <w:szCs w:val="21"/>
              </w:rPr>
              <w:t>维护保养服务总控制金额（含税）为三年8.568万元，即每年2.856万元，报价超过上述金额的投标文件作废标处理。更换零配件费用（含税）预估为三年11.4万元，即每年3.8万元。</w:t>
            </w:r>
          </w:p>
        </w:tc>
      </w:tr>
    </w:tbl>
    <w:p>
      <w:pPr>
        <w:numPr>
          <w:ilvl w:val="0"/>
          <w:numId w:val="19"/>
        </w:numPr>
        <w:spacing w:before="156" w:beforeLines="50"/>
        <w:jc w:val="left"/>
        <w:outlineLvl w:val="2"/>
        <w:rPr>
          <w:rStyle w:val="31"/>
          <w:rFonts w:ascii="宋体" w:hAnsi="宋体"/>
          <w:b/>
          <w:bCs/>
          <w:szCs w:val="21"/>
        </w:rPr>
      </w:pPr>
      <w:bookmarkStart w:id="53" w:name="_Toc114675512"/>
      <w:bookmarkStart w:id="54" w:name="_Toc9208"/>
      <w:r>
        <w:rPr>
          <w:rStyle w:val="31"/>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w:t>
      </w:r>
      <w:r>
        <w:rPr>
          <w:rFonts w:ascii="宋体" w:hAnsi="宋体"/>
          <w:sz w:val="21"/>
          <w:szCs w:val="21"/>
        </w:rPr>
        <w:t>/</w:t>
      </w:r>
      <w:r>
        <w:rPr>
          <w:rFonts w:hint="eastAsia" w:ascii="宋体" w:hAnsi="宋体"/>
          <w:sz w:val="21"/>
          <w:szCs w:val="21"/>
        </w:rPr>
        <w:t>服务需求。</w:t>
      </w:r>
    </w:p>
    <w:p>
      <w:pPr>
        <w:numPr>
          <w:ilvl w:val="0"/>
          <w:numId w:val="19"/>
        </w:numPr>
        <w:spacing w:before="156" w:beforeLines="50"/>
        <w:jc w:val="left"/>
        <w:outlineLvl w:val="2"/>
        <w:rPr>
          <w:rFonts w:ascii="宋体" w:hAnsi="宋体"/>
          <w:b/>
          <w:bCs/>
          <w:szCs w:val="21"/>
        </w:rPr>
      </w:pPr>
      <w:bookmarkStart w:id="55" w:name="_Toc114675513"/>
      <w:bookmarkStart w:id="56" w:name="_Toc13886"/>
      <w:r>
        <w:rPr>
          <w:rStyle w:val="31"/>
          <w:rFonts w:hint="eastAsia" w:ascii="宋体" w:hAnsi="宋体"/>
          <w:b/>
          <w:bCs/>
          <w:szCs w:val="21"/>
        </w:rPr>
        <w:t>报价排名表</w:t>
      </w:r>
      <w:bookmarkEnd w:id="55"/>
      <w:r>
        <w:rPr>
          <w:rStyle w:val="31"/>
          <w:rFonts w:hint="eastAsia" w:ascii="宋体" w:hAnsi="宋体"/>
          <w:b/>
          <w:bCs/>
          <w:szCs w:val="21"/>
        </w:rPr>
        <w:t>（由低到高）</w:t>
      </w:r>
      <w:bookmarkEnd w:id="56"/>
    </w:p>
    <w:tbl>
      <w:tblPr>
        <w:tblStyle w:val="16"/>
        <w:tblpPr w:leftFromText="180" w:rightFromText="180" w:vertAnchor="text" w:horzAnchor="page" w:tblpX="1367" w:tblpY="463"/>
        <w:tblOverlap w:val="never"/>
        <w:tblW w:w="9351" w:type="dxa"/>
        <w:tblCellSpacing w:w="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420"/>
        <w:gridCol w:w="850"/>
        <w:gridCol w:w="1559"/>
        <w:gridCol w:w="3402"/>
        <w:gridCol w:w="1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blCellSpacing w:w="0" w:type="dxa"/>
        </w:trPr>
        <w:tc>
          <w:tcPr>
            <w:tcW w:w="9351" w:type="dxa"/>
            <w:gridSpan w:val="6"/>
            <w:tcBorders>
              <w:tl2br w:val="nil"/>
              <w:tr2bl w:val="nil"/>
            </w:tcBorders>
            <w:shd w:val="clear" w:color="auto" w:fill="EEEEEE"/>
          </w:tcPr>
          <w:p>
            <w:pPr>
              <w:jc w:val="center"/>
              <w:rPr>
                <w:rFonts w:ascii="宋体" w:hAnsi="宋体"/>
                <w:b/>
                <w:bCs/>
                <w:szCs w:val="21"/>
              </w:rPr>
            </w:pPr>
            <w:r>
              <w:rPr>
                <w:rFonts w:hint="eastAsia" w:ascii="宋体" w:hAnsi="宋体"/>
                <w:b/>
                <w:bCs/>
                <w:szCs w:val="21"/>
              </w:rPr>
              <w:t>投标人报价排名表</w:t>
            </w:r>
          </w:p>
          <w:p>
            <w:pPr>
              <w:pStyle w:val="2"/>
              <w:spacing w:after="0" w:line="240" w:lineRule="auto"/>
              <w:ind w:left="-2" w:leftChars="-1" w:firstLine="2" w:firstLineChars="1"/>
              <w:jc w:val="center"/>
            </w:pPr>
            <w:r>
              <w:rPr>
                <w:rFonts w:hint="eastAsia" w:ascii="宋体" w:hAnsi="宋体"/>
                <w:b/>
                <w:bCs/>
                <w:szCs w:val="21"/>
              </w:rPr>
              <w:t>（由低到高）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 w:hRule="atLeast"/>
          <w:tblCellSpacing w:w="0" w:type="dxa"/>
        </w:trPr>
        <w:tc>
          <w:tcPr>
            <w:tcW w:w="9351" w:type="dxa"/>
            <w:gridSpan w:val="6"/>
            <w:tcBorders>
              <w:tl2br w:val="nil"/>
              <w:tr2bl w:val="nil"/>
            </w:tcBorders>
          </w:tcPr>
          <w:p>
            <w:pPr>
              <w:ind w:left="632" w:hanging="632" w:hangingChars="300"/>
              <w:jc w:val="left"/>
            </w:pPr>
            <w:r>
              <w:rPr>
                <w:rFonts w:hint="eastAsia"/>
                <w:b/>
                <w:bCs/>
                <w:color w:val="FF0000"/>
              </w:rPr>
              <w:t>说明：</w:t>
            </w:r>
            <w:r>
              <w:rPr>
                <w:rFonts w:hint="eastAsia"/>
                <w:b/>
                <w:bCs/>
                <w:color w:val="FF0000"/>
                <w:lang w:val="en-US" w:eastAsia="zh-CN"/>
              </w:rPr>
              <w:t>按</w:t>
            </w:r>
            <w:r>
              <w:rPr>
                <w:rFonts w:hint="eastAsia" w:ascii="宋体" w:hAnsi="宋体" w:eastAsia="宋体" w:cs="宋体"/>
                <w:b/>
                <w:bCs/>
                <w:color w:val="FF0000"/>
                <w:szCs w:val="21"/>
                <w:lang w:eastAsia="zh-CN"/>
              </w:rPr>
              <w:t>维</w:t>
            </w:r>
            <w:r>
              <w:rPr>
                <w:rFonts w:hint="eastAsia" w:ascii="宋体" w:hAnsi="宋体" w:cs="宋体"/>
                <w:b/>
                <w:bCs/>
                <w:color w:val="FF0000"/>
                <w:szCs w:val="21"/>
                <w:lang w:val="en-US" w:eastAsia="zh-CN"/>
              </w:rPr>
              <w:t>护</w:t>
            </w:r>
            <w:r>
              <w:rPr>
                <w:rFonts w:hint="eastAsia" w:ascii="宋体" w:hAnsi="宋体" w:eastAsia="宋体" w:cs="宋体"/>
                <w:b/>
                <w:bCs/>
                <w:color w:val="FF0000"/>
                <w:szCs w:val="21"/>
                <w:lang w:eastAsia="zh-CN"/>
              </w:rPr>
              <w:t>保</w:t>
            </w:r>
            <w:r>
              <w:rPr>
                <w:rFonts w:hint="eastAsia" w:ascii="宋体" w:hAnsi="宋体" w:cs="宋体"/>
                <w:b/>
                <w:bCs/>
                <w:color w:val="FF0000"/>
                <w:szCs w:val="21"/>
                <w:lang w:val="en-US" w:eastAsia="zh-CN"/>
              </w:rPr>
              <w:t>养</w:t>
            </w:r>
            <w:r>
              <w:rPr>
                <w:rFonts w:hint="eastAsia" w:ascii="宋体" w:hAnsi="宋体" w:eastAsia="宋体" w:cs="宋体"/>
                <w:b/>
                <w:bCs/>
                <w:color w:val="FF0000"/>
                <w:szCs w:val="21"/>
                <w:lang w:eastAsia="zh-CN"/>
              </w:rPr>
              <w:t>服务总价</w:t>
            </w:r>
            <w:r>
              <w:rPr>
                <w:rFonts w:hint="eastAsia" w:ascii="宋体" w:hAnsi="宋体" w:eastAsia="宋体" w:cs="宋体"/>
                <w:b/>
                <w:bCs/>
                <w:color w:val="FF0000"/>
                <w:szCs w:val="21"/>
                <w:lang w:val="en-US" w:eastAsia="zh-CN"/>
              </w:rPr>
              <w:t>*</w:t>
            </w:r>
            <w:r>
              <w:rPr>
                <w:rFonts w:hint="eastAsia" w:ascii="宋体" w:hAnsi="宋体" w:cs="宋体"/>
                <w:b/>
                <w:bCs/>
                <w:color w:val="FF0000"/>
                <w:szCs w:val="21"/>
                <w:lang w:val="en-US" w:eastAsia="zh-CN"/>
              </w:rPr>
              <w:t>8</w:t>
            </w:r>
            <w:r>
              <w:rPr>
                <w:rFonts w:hint="eastAsia" w:ascii="宋体" w:hAnsi="宋体" w:eastAsia="宋体" w:cs="宋体"/>
                <w:b/>
                <w:bCs/>
                <w:color w:val="FF0000"/>
                <w:szCs w:val="21"/>
                <w:lang w:val="en-US" w:eastAsia="zh-CN"/>
              </w:rPr>
              <w:t>0%+常用零配件报价表总价*</w:t>
            </w:r>
            <w:r>
              <w:rPr>
                <w:rFonts w:hint="eastAsia" w:ascii="宋体" w:hAnsi="宋体" w:cs="宋体"/>
                <w:b/>
                <w:bCs/>
                <w:color w:val="FF0000"/>
                <w:szCs w:val="21"/>
                <w:lang w:val="en-US" w:eastAsia="zh-CN"/>
              </w:rPr>
              <w:t>2</w:t>
            </w:r>
            <w:r>
              <w:rPr>
                <w:rFonts w:hint="eastAsia" w:ascii="宋体" w:hAnsi="宋体" w:eastAsia="宋体" w:cs="宋体"/>
                <w:b/>
                <w:bCs/>
                <w:color w:val="FF0000"/>
                <w:szCs w:val="21"/>
                <w:lang w:val="en-US" w:eastAsia="zh-CN"/>
              </w:rPr>
              <w:t>0%</w:t>
            </w:r>
            <w:r>
              <w:rPr>
                <w:rFonts w:hint="eastAsia" w:ascii="宋体" w:hAnsi="宋体" w:cs="宋体"/>
                <w:b/>
                <w:bCs/>
                <w:color w:val="FF0000"/>
                <w:szCs w:val="21"/>
                <w:lang w:val="en-US" w:eastAsia="zh-CN"/>
              </w:rPr>
              <w:t>进行排名，</w:t>
            </w:r>
            <w:r>
              <w:rPr>
                <w:rFonts w:hint="eastAsia"/>
                <w:b/>
                <w:bCs/>
                <w:color w:val="FF0000"/>
              </w:rPr>
              <w:t>排名以税前总金额（即净价）为准。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280" w:lineRule="exact"/>
              <w:rPr>
                <w:rFonts w:ascii="宋体" w:hAnsi="宋体"/>
                <w:szCs w:val="21"/>
              </w:rPr>
            </w:pPr>
            <w:r>
              <w:rPr>
                <w:rFonts w:hint="eastAsia" w:ascii="宋体" w:hAnsi="宋体"/>
                <w:szCs w:val="21"/>
              </w:rPr>
              <w:t>名次</w:t>
            </w:r>
          </w:p>
        </w:tc>
        <w:tc>
          <w:tcPr>
            <w:tcW w:w="3829" w:type="dxa"/>
            <w:gridSpan w:val="3"/>
            <w:tcBorders>
              <w:tl2br w:val="nil"/>
              <w:tr2bl w:val="nil"/>
            </w:tcBorders>
            <w:vAlign w:val="center"/>
          </w:tcPr>
          <w:p>
            <w:pPr>
              <w:spacing w:line="280" w:lineRule="exact"/>
              <w:jc w:val="center"/>
            </w:pPr>
            <w:r>
              <w:rPr>
                <w:rFonts w:hint="eastAsia" w:ascii="宋体" w:hAnsi="宋体"/>
                <w:szCs w:val="21"/>
              </w:rPr>
              <w:t>投标报价情况</w:t>
            </w:r>
            <w:r>
              <w:rPr>
                <w:rFonts w:hint="eastAsia"/>
              </w:rPr>
              <w:t>（单位：</w:t>
            </w:r>
            <w:r>
              <w:rPr>
                <w:rFonts w:hint="eastAsia" w:ascii="宋体" w:hAnsi="宋体"/>
                <w:szCs w:val="21"/>
              </w:rPr>
              <w:t>人民币/</w:t>
            </w:r>
            <w:r>
              <w:rPr>
                <w:rFonts w:hint="eastAsia"/>
              </w:rPr>
              <w:t>元）</w:t>
            </w:r>
          </w:p>
        </w:tc>
        <w:tc>
          <w:tcPr>
            <w:tcW w:w="3402" w:type="dxa"/>
            <w:vMerge w:val="restart"/>
            <w:tcBorders>
              <w:tl2br w:val="nil"/>
              <w:tr2bl w:val="nil"/>
            </w:tcBorders>
            <w:vAlign w:val="center"/>
          </w:tcPr>
          <w:p>
            <w:pPr>
              <w:spacing w:line="280" w:lineRule="exact"/>
              <w:jc w:val="center"/>
              <w:rPr>
                <w:rFonts w:ascii="宋体" w:hAnsi="宋体"/>
                <w:szCs w:val="21"/>
              </w:rPr>
            </w:pPr>
            <w:r>
              <w:rPr>
                <w:rFonts w:hint="eastAsia" w:ascii="宋体" w:hAnsi="宋体"/>
                <w:szCs w:val="21"/>
              </w:rPr>
              <w:t>供应商名称</w:t>
            </w:r>
          </w:p>
        </w:tc>
        <w:tc>
          <w:tcPr>
            <w:tcW w:w="1416" w:type="dxa"/>
            <w:vMerge w:val="restart"/>
            <w:tcBorders>
              <w:tl2br w:val="nil"/>
              <w:tr2bl w:val="nil"/>
            </w:tcBorders>
            <w:vAlign w:val="center"/>
          </w:tcPr>
          <w:p>
            <w:pPr>
              <w:spacing w:line="280" w:lineRule="exact"/>
              <w:jc w:val="center"/>
              <w:rPr>
                <w:rFonts w:ascii="宋体" w:cs="宋体"/>
                <w:kern w:val="0"/>
                <w:szCs w:val="21"/>
              </w:rPr>
            </w:pPr>
            <w:r>
              <w:rPr>
                <w:rFonts w:hint="eastAsia" w:ascii="宋体" w:cs="宋体"/>
                <w:kern w:val="0"/>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 w:hRule="atLeast"/>
          <w:tblCellSpacing w:w="0" w:type="dxa"/>
        </w:trPr>
        <w:tc>
          <w:tcPr>
            <w:tcW w:w="704" w:type="dxa"/>
            <w:vMerge w:val="continue"/>
            <w:tcBorders>
              <w:tl2br w:val="nil"/>
              <w:tr2bl w:val="nil"/>
            </w:tcBorders>
            <w:vAlign w:val="center"/>
          </w:tcPr>
          <w:p>
            <w:pPr>
              <w:spacing w:line="280" w:lineRule="exact"/>
              <w:rPr>
                <w:rFonts w:ascii="宋体" w:hAnsi="宋体"/>
                <w:szCs w:val="21"/>
              </w:rPr>
            </w:pPr>
          </w:p>
        </w:tc>
        <w:tc>
          <w:tcPr>
            <w:tcW w:w="1420"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税前总金额</w:t>
            </w:r>
          </w:p>
          <w:p>
            <w:pPr>
              <w:spacing w:line="280" w:lineRule="exact"/>
              <w:jc w:val="center"/>
              <w:rPr>
                <w:rFonts w:ascii="宋体" w:hAnsi="宋体"/>
                <w:szCs w:val="21"/>
              </w:rPr>
            </w:pPr>
            <w:r>
              <w:rPr>
                <w:rFonts w:hint="eastAsia" w:ascii="宋体" w:hAnsi="宋体"/>
                <w:szCs w:val="21"/>
              </w:rPr>
              <w:t>（净价）</w:t>
            </w:r>
          </w:p>
        </w:tc>
        <w:tc>
          <w:tcPr>
            <w:tcW w:w="850"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税率</w:t>
            </w:r>
          </w:p>
        </w:tc>
        <w:tc>
          <w:tcPr>
            <w:tcW w:w="1559"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总金额</w:t>
            </w:r>
          </w:p>
          <w:p>
            <w:pPr>
              <w:spacing w:line="280" w:lineRule="exact"/>
              <w:jc w:val="center"/>
              <w:rPr>
                <w:rFonts w:ascii="宋体" w:hAnsi="宋体"/>
                <w:szCs w:val="21"/>
              </w:rPr>
            </w:pPr>
            <w:r>
              <w:rPr>
                <w:rFonts w:hint="eastAsia" w:ascii="宋体" w:hAnsi="宋体"/>
                <w:szCs w:val="21"/>
              </w:rPr>
              <w:t>（含税）</w:t>
            </w:r>
          </w:p>
        </w:tc>
        <w:tc>
          <w:tcPr>
            <w:tcW w:w="3402" w:type="dxa"/>
            <w:vMerge w:val="continue"/>
            <w:tcBorders>
              <w:tl2br w:val="nil"/>
              <w:tr2bl w:val="nil"/>
            </w:tcBorders>
            <w:vAlign w:val="center"/>
          </w:tcPr>
          <w:p>
            <w:pPr>
              <w:spacing w:line="280" w:lineRule="exact"/>
              <w:jc w:val="center"/>
              <w:rPr>
                <w:rFonts w:ascii="宋体" w:hAnsi="宋体"/>
                <w:szCs w:val="21"/>
                <w:highlight w:val="yellow"/>
              </w:rPr>
            </w:pPr>
          </w:p>
        </w:tc>
        <w:tc>
          <w:tcPr>
            <w:tcW w:w="1416" w:type="dxa"/>
            <w:vMerge w:val="continue"/>
            <w:tcBorders>
              <w:tl2br w:val="nil"/>
              <w:tr2bl w:val="nil"/>
            </w:tcBorders>
            <w:vAlign w:val="center"/>
          </w:tcPr>
          <w:p>
            <w:pPr>
              <w:spacing w:line="280" w:lineRule="exact"/>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1</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2</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3</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4</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bl>
    <w:p>
      <w:pPr>
        <w:pStyle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widowControl/>
        <w:spacing w:line="360" w:lineRule="auto"/>
        <w:ind w:firstLine="422" w:firstLineChars="200"/>
        <w:jc w:val="left"/>
        <w:rPr>
          <w:rFonts w:ascii="宋体" w:hAnsi="宋体"/>
          <w:b/>
          <w:szCs w:val="21"/>
        </w:rPr>
      </w:pPr>
    </w:p>
    <w:p>
      <w:pPr>
        <w:spacing w:line="360" w:lineRule="auto"/>
        <w:jc w:val="center"/>
        <w:outlineLvl w:val="0"/>
        <w:rPr>
          <w:rFonts w:ascii="宋体" w:hAnsi="宋体"/>
          <w:b/>
          <w:sz w:val="32"/>
          <w:szCs w:val="32"/>
        </w:rPr>
      </w:pPr>
      <w:bookmarkStart w:id="57" w:name="_Toc29721"/>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p>
      <w:pPr>
        <w:spacing w:line="360" w:lineRule="auto"/>
        <w:ind w:firstLine="560" w:firstLineChars="200"/>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spacing w:line="360" w:lineRule="auto"/>
        <w:ind w:firstLine="420" w:firstLineChars="200"/>
        <w:jc w:val="left"/>
        <w:rPr>
          <w:rFonts w:ascii="宋体" w:hAnsi="宋体"/>
          <w:szCs w:val="21"/>
        </w:rPr>
      </w:pPr>
    </w:p>
    <w:p>
      <w:pPr>
        <w:spacing w:line="360" w:lineRule="auto"/>
        <w:ind w:firstLine="420" w:firstLineChars="200"/>
        <w:rPr>
          <w:rFonts w:ascii="宋体" w:hAnsi="宋体"/>
          <w:szCs w:val="21"/>
        </w:rPr>
      </w:pPr>
    </w:p>
    <w:p>
      <w:pPr>
        <w:widowControl/>
        <w:snapToGrid w:val="0"/>
        <w:spacing w:line="360" w:lineRule="auto"/>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p>
    <w:p>
      <w:pPr>
        <w:autoSpaceDE w:val="0"/>
        <w:autoSpaceDN w:val="0"/>
        <w:adjustRightInd w:val="0"/>
        <w:snapToGrid w:val="0"/>
        <w:spacing w:line="360" w:lineRule="auto"/>
        <w:rPr>
          <w:rFonts w:ascii="仿宋" w:hAnsi="仿宋" w:eastAsia="仿宋" w:cs="宋体"/>
          <w:kern w:val="0"/>
          <w:sz w:val="28"/>
          <w:szCs w:val="28"/>
          <w:highlight w:val="yellow"/>
        </w:rPr>
      </w:pPr>
      <w:r>
        <w:rPr>
          <w:rFonts w:hint="eastAsia" w:ascii="仿宋" w:hAnsi="仿宋" w:eastAsia="仿宋" w:cs="宋体"/>
          <w:kern w:val="0"/>
          <w:sz w:val="28"/>
          <w:szCs w:val="28"/>
        </w:rPr>
        <w:t>电话：0755-8284</w:t>
      </w:r>
      <w:r>
        <w:rPr>
          <w:rFonts w:hint="eastAsia" w:ascii="仿宋" w:hAnsi="仿宋" w:eastAsia="仿宋" w:cs="宋体"/>
          <w:kern w:val="0"/>
          <w:sz w:val="28"/>
          <w:szCs w:val="28"/>
          <w:highlight w:val="yellow"/>
        </w:rPr>
        <w:t>XXXX</w:t>
      </w:r>
      <w:r>
        <w:rPr>
          <w:rFonts w:ascii="仿宋" w:hAnsi="仿宋" w:eastAsia="仿宋" w:cs="宋体"/>
          <w:kern w:val="0"/>
          <w:sz w:val="28"/>
          <w:szCs w:val="28"/>
          <w:highlight w:val="yellow"/>
        </w:rPr>
        <w:t xml:space="preserve"> </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电子邮件：</w:t>
      </w:r>
    </w:p>
    <w:p>
      <w:pPr>
        <w:widowControl/>
        <w:snapToGrid w:val="0"/>
        <w:spacing w:line="360" w:lineRule="auto"/>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公司（简称“</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w:t>
      </w:r>
      <w:r>
        <w:rPr>
          <w:rFonts w:hint="eastAsia" w:ascii="仿宋" w:hAnsi="仿宋" w:eastAsia="仿宋" w:cs="宋体"/>
          <w:kern w:val="0"/>
          <w:sz w:val="28"/>
          <w:szCs w:val="28"/>
          <w:highlight w:val="yellow"/>
        </w:rPr>
        <w:t>XXXXXXXXXXXX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ascii="仿宋" w:hAnsi="仿宋" w:eastAsia="仿宋" w:cs="宋体"/>
          <w:kern w:val="0"/>
          <w:sz w:val="28"/>
          <w:szCs w:val="28"/>
          <w:highlight w:val="yellow"/>
        </w:rPr>
      </w:pPr>
      <w:r>
        <w:rPr>
          <w:rFonts w:hint="eastAsia" w:ascii="仿宋" w:hAnsi="仿宋" w:eastAsia="仿宋" w:cs="宋体"/>
          <w:kern w:val="0"/>
          <w:sz w:val="28"/>
          <w:szCs w:val="28"/>
        </w:rPr>
        <w:t>电话：0755-</w:t>
      </w:r>
      <w:r>
        <w:rPr>
          <w:rFonts w:hint="eastAsia" w:ascii="仿宋" w:hAnsi="仿宋" w:eastAsia="仿宋" w:cs="宋体"/>
          <w:kern w:val="0"/>
          <w:sz w:val="28"/>
          <w:szCs w:val="28"/>
          <w:highlight w:val="yellow"/>
        </w:rPr>
        <w:t>XXXXXX</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电子邮件：</w:t>
      </w:r>
    </w:p>
    <w:p>
      <w:pPr>
        <w:pStyle w:val="2"/>
        <w:spacing w:after="0" w:line="360" w:lineRule="auto"/>
        <w:ind w:left="0" w:firstLine="380" w:firstLineChars="200"/>
      </w:pPr>
    </w:p>
    <w:p>
      <w:pPr>
        <w:pStyle w:val="2"/>
        <w:spacing w:after="0" w:line="360" w:lineRule="auto"/>
        <w:ind w:left="0" w:firstLine="540" w:firstLineChars="200"/>
        <w:rPr>
          <w:rFonts w:ascii="仿宋" w:hAnsi="仿宋" w:eastAsia="仿宋" w:cs="Arial"/>
          <w:sz w:val="28"/>
          <w:szCs w:val="28"/>
        </w:rPr>
      </w:pPr>
      <w:r>
        <w:rPr>
          <w:rFonts w:hint="eastAsia" w:ascii="仿宋" w:hAnsi="仿宋" w:eastAsia="仿宋" w:cs="Arial"/>
          <w:sz w:val="28"/>
          <w:szCs w:val="28"/>
        </w:rPr>
        <w:t>依据《中华人民共和国民法典》及相关法律、法规的规定及行业规范，</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乙方受甲方委托为甲方提供</w:t>
      </w:r>
      <w:r>
        <w:rPr>
          <w:rFonts w:hint="eastAsia" w:ascii="仿宋" w:hAnsi="仿宋" w:eastAsia="仿宋" w:cs="宋体"/>
          <w:sz w:val="28"/>
          <w:szCs w:val="28"/>
          <w:highlight w:val="yellow"/>
        </w:rPr>
        <w:t>XXXXXXXXXXXX</w:t>
      </w:r>
      <w:r>
        <w:rPr>
          <w:rFonts w:hint="eastAsia" w:ascii="仿宋" w:hAnsi="仿宋" w:eastAsia="仿宋" w:cs="Arial"/>
          <w:sz w:val="28"/>
          <w:szCs w:val="28"/>
        </w:rPr>
        <w:t>服务，甲乙双方经协商一致，签订本合同，双方保证严格遵守和执行。</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服务内容及要求</w:t>
      </w:r>
    </w:p>
    <w:p>
      <w:pPr>
        <w:pStyle w:val="2"/>
        <w:numPr>
          <w:ilvl w:val="0"/>
          <w:numId w:val="23"/>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宋体"/>
          <w:sz w:val="28"/>
          <w:szCs w:val="28"/>
          <w:highlight w:val="yellow"/>
        </w:rPr>
        <w:t>XXXXXXXXXXXX</w:t>
      </w:r>
    </w:p>
    <w:p>
      <w:pPr>
        <w:pStyle w:val="2"/>
        <w:numPr>
          <w:ilvl w:val="0"/>
          <w:numId w:val="23"/>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23"/>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服务内容</w:t>
      </w:r>
    </w:p>
    <w:p>
      <w:pPr>
        <w:pStyle w:val="2"/>
        <w:numPr>
          <w:ilvl w:val="0"/>
          <w:numId w:val="24"/>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4"/>
        </w:numPr>
        <w:spacing w:after="0" w:line="360" w:lineRule="auto"/>
        <w:ind w:left="0" w:firstLine="540" w:firstLineChars="200"/>
        <w:rPr>
          <w:rFonts w:ascii="仿宋" w:hAnsi="仿宋" w:eastAsia="仿宋" w:cs="宋体"/>
          <w:sz w:val="28"/>
          <w:szCs w:val="28"/>
          <w:highlight w:val="yellow"/>
        </w:rPr>
      </w:pPr>
      <w:r>
        <w:rPr>
          <w:rFonts w:hint="eastAsia" w:ascii="仿宋" w:hAnsi="仿宋" w:eastAsia="仿宋" w:cs="宋体"/>
          <w:sz w:val="28"/>
          <w:szCs w:val="28"/>
          <w:highlight w:val="yellow"/>
        </w:rPr>
        <w:t>......</w:t>
      </w:r>
    </w:p>
    <w:p>
      <w:pPr>
        <w:pStyle w:val="2"/>
        <w:numPr>
          <w:ilvl w:val="0"/>
          <w:numId w:val="23"/>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增值服务</w:t>
      </w:r>
      <w:r>
        <w:rPr>
          <w:rFonts w:hint="eastAsia" w:ascii="仿宋" w:hAnsi="仿宋" w:eastAsia="仿宋" w:cs="仿宋"/>
          <w:sz w:val="28"/>
          <w:szCs w:val="28"/>
          <w:highlight w:val="yellow"/>
        </w:rPr>
        <w:t>（如有）</w:t>
      </w:r>
    </w:p>
    <w:p>
      <w:pPr>
        <w:pStyle w:val="2"/>
        <w:numPr>
          <w:ilvl w:val="0"/>
          <w:numId w:val="25"/>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5"/>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w:t>
      </w:r>
    </w:p>
    <w:p>
      <w:pPr>
        <w:pStyle w:val="2"/>
        <w:numPr>
          <w:ilvl w:val="0"/>
          <w:numId w:val="23"/>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服务要求</w:t>
      </w:r>
    </w:p>
    <w:p>
      <w:pPr>
        <w:pStyle w:val="2"/>
        <w:numPr>
          <w:ilvl w:val="0"/>
          <w:numId w:val="26"/>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26"/>
        </w:numPr>
        <w:spacing w:after="0" w:line="360" w:lineRule="auto"/>
        <w:ind w:left="0" w:firstLine="540" w:firstLineChars="200"/>
        <w:rPr>
          <w:rFonts w:ascii="仿宋" w:hAnsi="仿宋" w:eastAsia="仿宋" w:cs="宋体"/>
          <w:sz w:val="28"/>
          <w:szCs w:val="28"/>
          <w:highlight w:val="yellow"/>
        </w:rPr>
      </w:pPr>
      <w:r>
        <w:rPr>
          <w:rFonts w:hint="eastAsia" w:ascii="仿宋" w:hAnsi="仿宋" w:eastAsia="仿宋" w:cs="宋体"/>
          <w:sz w:val="28"/>
          <w:szCs w:val="28"/>
          <w:highlight w:val="yellow"/>
        </w:rPr>
        <w:t>......</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服务期限</w:t>
      </w:r>
    </w:p>
    <w:p>
      <w:pPr>
        <w:pStyle w:val="2"/>
        <w:spacing w:after="0" w:line="360" w:lineRule="auto"/>
        <w:ind w:left="0" w:firstLine="540" w:firstLineChars="200"/>
        <w:rPr>
          <w:rFonts w:ascii="仿宋" w:hAnsi="仿宋" w:eastAsia="仿宋" w:cs="仿宋"/>
          <w:b/>
          <w:bCs/>
          <w:sz w:val="28"/>
          <w:szCs w:val="28"/>
        </w:rPr>
      </w:pPr>
      <w:r>
        <w:rPr>
          <w:rFonts w:hint="eastAsia" w:ascii="仿宋" w:hAnsi="仿宋" w:eastAsia="仿宋" w:cs="仿宋"/>
          <w:sz w:val="28"/>
          <w:szCs w:val="28"/>
        </w:rPr>
        <w:t>本项目服务期限为</w:t>
      </w:r>
      <w:r>
        <w:rPr>
          <w:rFonts w:hint="eastAsia" w:ascii="仿宋" w:hAnsi="仿宋" w:eastAsia="仿宋" w:cs="仿宋"/>
          <w:sz w:val="28"/>
          <w:szCs w:val="28"/>
          <w:highlight w:val="yellow"/>
        </w:rPr>
        <w:t>XX年，</w:t>
      </w:r>
      <w:r>
        <w:rPr>
          <w:rFonts w:hint="eastAsia" w:ascii="仿宋" w:hAnsi="仿宋" w:eastAsia="仿宋" w:cs="仿宋"/>
          <w:sz w:val="28"/>
          <w:szCs w:val="28"/>
        </w:rPr>
        <w:t>从本合同签订生效之日起至</w:t>
      </w:r>
      <w:r>
        <w:rPr>
          <w:rFonts w:hint="eastAsia" w:ascii="仿宋" w:hAnsi="仿宋" w:eastAsia="仿宋" w:cs="仿宋"/>
          <w:sz w:val="28"/>
          <w:szCs w:val="28"/>
          <w:highlight w:val="yellow"/>
        </w:rPr>
        <w:t>XXXX年X月X</w:t>
      </w:r>
      <w:r>
        <w:rPr>
          <w:rFonts w:hint="eastAsia" w:ascii="仿宋" w:hAnsi="仿宋" w:eastAsia="仿宋" w:cs="仿宋"/>
          <w:sz w:val="28"/>
          <w:szCs w:val="28"/>
        </w:rPr>
        <w:t>日止。</w:t>
      </w:r>
      <w:r>
        <w:rPr>
          <w:rFonts w:hint="eastAsia" w:ascii="仿宋" w:hAnsi="仿宋" w:eastAsia="仿宋" w:cs="仿宋"/>
          <w:sz w:val="28"/>
          <w:szCs w:val="28"/>
          <w:highlight w:val="yellow"/>
        </w:rPr>
        <w:t>年度服务期满前两个月，乙方应主动向甲方申请对其本年度服务情况进行评审，经甲方综合考核评审服务达到优良（综合得分</w:t>
      </w:r>
      <w:r>
        <w:rPr>
          <w:rFonts w:ascii="仿宋" w:hAnsi="仿宋" w:eastAsia="仿宋" w:cs="仿宋"/>
          <w:sz w:val="28"/>
          <w:szCs w:val="28"/>
          <w:highlight w:val="yellow"/>
        </w:rPr>
        <w:t>≥</w:t>
      </w:r>
      <w:r>
        <w:rPr>
          <w:rFonts w:hint="eastAsia" w:ascii="仿宋" w:hAnsi="仿宋" w:eastAsia="仿宋" w:cs="仿宋"/>
          <w:sz w:val="28"/>
          <w:szCs w:val="28"/>
          <w:highlight w:val="yellow"/>
        </w:rPr>
        <w:t>80分），则执行下一年度服务合同。如综合考核评审服务未达到优良，甲方有权终止下一年度服务合同。综合考核评审细则详见附件《XXXX考核评审细则》。</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4"/>
        <w:numPr>
          <w:ilvl w:val="1"/>
          <w:numId w:val="27"/>
        </w:numPr>
        <w:spacing w:line="360" w:lineRule="auto"/>
        <w:ind w:left="0" w:firstLine="560"/>
        <w:rPr>
          <w:rFonts w:ascii="仿宋" w:hAnsi="仿宋" w:eastAsia="仿宋" w:cs="仿宋"/>
          <w:spacing w:val="-2"/>
          <w:sz w:val="28"/>
          <w:szCs w:val="28"/>
        </w:rPr>
      </w:pPr>
      <w:r>
        <w:rPr>
          <w:rFonts w:hint="eastAsia" w:ascii="仿宋" w:hAnsi="仿宋" w:eastAsia="仿宋" w:cs="仿宋"/>
          <w:sz w:val="28"/>
          <w:szCs w:val="28"/>
        </w:rPr>
        <w:t>合同金额</w:t>
      </w:r>
    </w:p>
    <w:p>
      <w:pPr>
        <w:pStyle w:val="24"/>
        <w:numPr>
          <w:ilvl w:val="0"/>
          <w:numId w:val="28"/>
        </w:numPr>
        <w:spacing w:line="360" w:lineRule="auto"/>
        <w:ind w:firstLine="560"/>
        <w:rPr>
          <w:rFonts w:ascii="仿宋" w:hAnsi="仿宋" w:eastAsia="仿宋" w:cs="仿宋"/>
          <w:spacing w:val="-2"/>
          <w:sz w:val="28"/>
          <w:szCs w:val="28"/>
        </w:rPr>
      </w:pPr>
      <w:r>
        <w:rPr>
          <w:rFonts w:hint="eastAsia" w:ascii="仿宋" w:hAnsi="仿宋" w:eastAsia="仿宋" w:cs="仿宋"/>
          <w:bCs/>
          <w:sz w:val="28"/>
          <w:szCs w:val="28"/>
        </w:rPr>
        <w:t>本项</w:t>
      </w:r>
      <w:r>
        <w:rPr>
          <w:rFonts w:hint="eastAsia" w:ascii="仿宋" w:hAnsi="仿宋" w:eastAsia="仿宋" w:cs="仿宋"/>
          <w:sz w:val="28"/>
          <w:szCs w:val="28"/>
        </w:rPr>
        <w:t>目合同金额</w:t>
      </w:r>
      <w:r>
        <w:rPr>
          <w:rFonts w:hint="eastAsia" w:ascii="仿宋" w:hAnsi="仿宋" w:eastAsia="仿宋" w:cs="仿宋"/>
          <w:bCs/>
          <w:sz w:val="28"/>
          <w:szCs w:val="28"/>
        </w:rPr>
        <w:t>为¥</w:t>
      </w:r>
      <w:r>
        <w:rPr>
          <w:rFonts w:hint="eastAsia" w:ascii="仿宋" w:hAnsi="仿宋" w:eastAsia="仿宋" w:cs="仿宋"/>
          <w:bCs/>
          <w:sz w:val="28"/>
          <w:szCs w:val="28"/>
          <w:highlight w:val="yellow"/>
        </w:rPr>
        <w:t>XXX</w:t>
      </w:r>
      <w:r>
        <w:rPr>
          <w:rFonts w:hint="eastAsia" w:ascii="仿宋" w:hAnsi="仿宋" w:eastAsia="仿宋" w:cs="仿宋"/>
          <w:bCs/>
          <w:sz w:val="28"/>
          <w:szCs w:val="28"/>
        </w:rPr>
        <w:t>万元（</w:t>
      </w:r>
      <w:r>
        <w:rPr>
          <w:rFonts w:hint="eastAsia" w:ascii="仿宋" w:hAnsi="仿宋" w:eastAsia="仿宋" w:cs="仿宋"/>
          <w:sz w:val="28"/>
          <w:szCs w:val="28"/>
        </w:rPr>
        <w:t>大写人民币：</w:t>
      </w:r>
      <w:r>
        <w:rPr>
          <w:rFonts w:hint="eastAsia" w:ascii="仿宋" w:hAnsi="仿宋" w:eastAsia="仿宋" w:cs="仿宋"/>
          <w:sz w:val="28"/>
          <w:szCs w:val="28"/>
          <w:highlight w:val="yellow"/>
          <w:u w:val="single"/>
        </w:rPr>
        <w:t>XXXX</w:t>
      </w:r>
      <w:r>
        <w:rPr>
          <w:rFonts w:hint="eastAsia" w:ascii="仿宋" w:hAnsi="仿宋" w:eastAsia="仿宋" w:cs="仿宋"/>
          <w:sz w:val="28"/>
          <w:szCs w:val="28"/>
          <w:u w:val="single"/>
        </w:rPr>
        <w:t>元整</w:t>
      </w:r>
      <w:r>
        <w:rPr>
          <w:rFonts w:ascii="仿宋" w:hAnsi="仿宋" w:eastAsia="仿宋" w:cs="仿宋"/>
          <w:sz w:val="28"/>
          <w:szCs w:val="28"/>
          <w:u w:val="single"/>
        </w:rPr>
        <w:t xml:space="preserve"> </w:t>
      </w:r>
      <w:r>
        <w:rPr>
          <w:rFonts w:hint="eastAsia" w:ascii="仿宋" w:hAnsi="仿宋" w:eastAsia="仿宋" w:cs="仿宋"/>
          <w:sz w:val="28"/>
          <w:szCs w:val="28"/>
        </w:rPr>
        <w:t>），税率为</w:t>
      </w:r>
      <w:r>
        <w:rPr>
          <w:rFonts w:hint="eastAsia" w:ascii="仿宋" w:hAnsi="仿宋" w:eastAsia="仿宋" w:cs="仿宋"/>
          <w:sz w:val="28"/>
          <w:szCs w:val="28"/>
          <w:highlight w:val="yellow"/>
        </w:rPr>
        <w:t>X%</w:t>
      </w:r>
      <w:r>
        <w:rPr>
          <w:rFonts w:hint="eastAsia" w:ascii="仿宋" w:hAnsi="仿宋" w:eastAsia="仿宋" w:cs="仿宋"/>
          <w:spacing w:val="-2"/>
          <w:sz w:val="28"/>
          <w:szCs w:val="28"/>
        </w:rPr>
        <w:t>。</w:t>
      </w:r>
    </w:p>
    <w:p>
      <w:pPr>
        <w:pStyle w:val="24"/>
        <w:numPr>
          <w:ilvl w:val="0"/>
          <w:numId w:val="28"/>
        </w:numPr>
        <w:spacing w:line="360" w:lineRule="auto"/>
        <w:ind w:firstLine="560"/>
        <w:rPr>
          <w:rFonts w:ascii="仿宋" w:hAnsi="仿宋" w:eastAsia="仿宋" w:cs="仿宋"/>
          <w:spacing w:val="-2"/>
          <w:sz w:val="28"/>
          <w:szCs w:val="28"/>
        </w:rPr>
      </w:pPr>
      <w:r>
        <w:rPr>
          <w:rFonts w:hint="eastAsia" w:ascii="仿宋" w:hAnsi="仿宋" w:eastAsia="仿宋" w:cs="仿宋"/>
          <w:bCs/>
          <w:sz w:val="28"/>
          <w:szCs w:val="28"/>
        </w:rPr>
        <w:t>以上金额已经包含项目费用开具增值税</w:t>
      </w:r>
      <w:r>
        <w:rPr>
          <w:rFonts w:hint="eastAsia" w:ascii="仿宋" w:hAnsi="仿宋" w:eastAsia="仿宋" w:cs="仿宋"/>
          <w:bCs/>
          <w:sz w:val="28"/>
          <w:szCs w:val="28"/>
          <w:highlight w:val="yellow"/>
        </w:rPr>
        <w:t>专用</w:t>
      </w:r>
      <w:r>
        <w:rPr>
          <w:rFonts w:hint="eastAsia" w:ascii="仿宋" w:hAnsi="仿宋" w:eastAsia="仿宋" w:cs="仿宋"/>
          <w:bCs/>
          <w:sz w:val="28"/>
          <w:szCs w:val="28"/>
        </w:rPr>
        <w:t>发票所产生的税费及乙方完成本项目服务所发生的</w:t>
      </w:r>
      <w:r>
        <w:rPr>
          <w:rFonts w:hint="eastAsia" w:ascii="仿宋" w:hAnsi="仿宋" w:eastAsia="仿宋" w:cs="仿宋"/>
          <w:sz w:val="28"/>
          <w:szCs w:val="28"/>
        </w:rPr>
        <w:t>全部费用。</w:t>
      </w:r>
    </w:p>
    <w:p>
      <w:pPr>
        <w:pStyle w:val="24"/>
        <w:numPr>
          <w:ilvl w:val="1"/>
          <w:numId w:val="27"/>
        </w:numPr>
        <w:spacing w:line="360" w:lineRule="auto"/>
        <w:ind w:left="0" w:firstLine="552"/>
        <w:rPr>
          <w:rFonts w:ascii="仿宋" w:hAnsi="仿宋" w:eastAsia="仿宋" w:cs="仿宋"/>
          <w:spacing w:val="-2"/>
          <w:sz w:val="28"/>
          <w:szCs w:val="28"/>
        </w:rPr>
      </w:pPr>
      <w:r>
        <w:rPr>
          <w:rFonts w:hint="eastAsia" w:ascii="仿宋" w:hAnsi="仿宋" w:eastAsia="仿宋" w:cs="仿宋"/>
          <w:spacing w:val="-2"/>
          <w:sz w:val="28"/>
          <w:szCs w:val="28"/>
        </w:rPr>
        <w:t>付款要求</w:t>
      </w:r>
    </w:p>
    <w:p>
      <w:pPr>
        <w:pStyle w:val="24"/>
        <w:numPr>
          <w:ilvl w:val="0"/>
          <w:numId w:val="29"/>
        </w:numPr>
        <w:spacing w:line="360" w:lineRule="auto"/>
        <w:ind w:left="0" w:firstLine="552"/>
        <w:rPr>
          <w:rFonts w:ascii="仿宋" w:hAnsi="仿宋" w:eastAsia="仿宋" w:cs="仿宋"/>
          <w:spacing w:val="-2"/>
          <w:sz w:val="28"/>
          <w:szCs w:val="28"/>
        </w:rPr>
      </w:pPr>
      <w:r>
        <w:rPr>
          <w:rFonts w:hint="eastAsia" w:ascii="仿宋" w:hAnsi="仿宋" w:eastAsia="仿宋" w:cs="仿宋"/>
          <w:spacing w:val="-2"/>
          <w:sz w:val="28"/>
          <w:szCs w:val="28"/>
        </w:rPr>
        <w:t xml:space="preserve"> 合同签订，乙方完成</w:t>
      </w:r>
      <w:r>
        <w:rPr>
          <w:rFonts w:hint="eastAsia" w:ascii="仿宋" w:hAnsi="仿宋" w:eastAsia="仿宋" w:cs="仿宋"/>
          <w:spacing w:val="-2"/>
          <w:sz w:val="28"/>
          <w:szCs w:val="28"/>
          <w:highlight w:val="yellow"/>
        </w:rPr>
        <w:t>XXX</w:t>
      </w:r>
      <w:r>
        <w:rPr>
          <w:rFonts w:hint="eastAsia" w:ascii="仿宋" w:hAnsi="仿宋" w:eastAsia="仿宋" w:cs="仿宋"/>
          <w:spacing w:val="-2"/>
          <w:sz w:val="28"/>
          <w:szCs w:val="28"/>
        </w:rPr>
        <w:t>后，15个工作日内甲方向乙方支付合同金额</w:t>
      </w:r>
      <w:r>
        <w:rPr>
          <w:rFonts w:hint="eastAsia" w:ascii="仿宋" w:hAnsi="仿宋" w:eastAsia="仿宋" w:cs="仿宋"/>
          <w:spacing w:val="-2"/>
          <w:sz w:val="28"/>
          <w:szCs w:val="28"/>
          <w:highlight w:val="yellow"/>
        </w:rPr>
        <w:t>XX％</w:t>
      </w:r>
      <w:r>
        <w:rPr>
          <w:rFonts w:hint="eastAsia" w:ascii="仿宋" w:hAnsi="仿宋" w:eastAsia="仿宋" w:cs="仿宋"/>
          <w:spacing w:val="-2"/>
          <w:sz w:val="28"/>
          <w:szCs w:val="28"/>
        </w:rPr>
        <w:t>款项，即人民币</w:t>
      </w:r>
      <w:r>
        <w:rPr>
          <w:rFonts w:hint="eastAsia" w:ascii="仿宋" w:hAnsi="仿宋" w:eastAsia="仿宋" w:cs="仿宋"/>
          <w:spacing w:val="-2"/>
          <w:sz w:val="28"/>
          <w:szCs w:val="28"/>
          <w:highlight w:val="yellow"/>
        </w:rPr>
        <w:t>XXXX</w:t>
      </w:r>
      <w:r>
        <w:rPr>
          <w:rFonts w:hint="eastAsia" w:ascii="仿宋" w:hAnsi="仿宋" w:eastAsia="仿宋" w:cs="仿宋"/>
          <w:spacing w:val="-2"/>
          <w:sz w:val="28"/>
          <w:szCs w:val="28"/>
        </w:rPr>
        <w:t>元（大写：</w:t>
      </w:r>
      <w:r>
        <w:rPr>
          <w:rFonts w:hint="eastAsia" w:ascii="仿宋" w:hAnsi="仿宋" w:eastAsia="仿宋" w:cs="仿宋"/>
          <w:spacing w:val="-2"/>
          <w:sz w:val="28"/>
          <w:szCs w:val="28"/>
          <w:highlight w:val="yellow"/>
        </w:rPr>
        <w:t>XXXX</w:t>
      </w:r>
      <w:r>
        <w:rPr>
          <w:rFonts w:hint="eastAsia" w:ascii="仿宋" w:hAnsi="仿宋" w:eastAsia="仿宋" w:cs="仿宋"/>
          <w:spacing w:val="-2"/>
          <w:sz w:val="28"/>
          <w:szCs w:val="28"/>
        </w:rPr>
        <w:t>元整）；</w:t>
      </w:r>
    </w:p>
    <w:p>
      <w:pPr>
        <w:pStyle w:val="24"/>
        <w:numPr>
          <w:ilvl w:val="0"/>
          <w:numId w:val="29"/>
        </w:numPr>
        <w:spacing w:line="360" w:lineRule="auto"/>
        <w:ind w:left="0" w:firstLine="552"/>
        <w:rPr>
          <w:rFonts w:ascii="仿宋" w:hAnsi="仿宋" w:eastAsia="仿宋" w:cs="仿宋"/>
          <w:sz w:val="28"/>
          <w:szCs w:val="28"/>
        </w:rPr>
      </w:pPr>
      <w:r>
        <w:rPr>
          <w:rFonts w:hint="eastAsia" w:ascii="仿宋" w:hAnsi="仿宋" w:eastAsia="仿宋" w:cs="仿宋"/>
          <w:spacing w:val="-2"/>
          <w:sz w:val="28"/>
          <w:szCs w:val="28"/>
        </w:rPr>
        <w:t xml:space="preserve"> 完成本项目所有服务内容并经甲方验收合格且完成违约责任清算后，甲方支付本项目剩余款项。</w:t>
      </w:r>
    </w:p>
    <w:p>
      <w:pPr>
        <w:pStyle w:val="24"/>
        <w:numPr>
          <w:ilvl w:val="0"/>
          <w:numId w:val="29"/>
        </w:numPr>
        <w:spacing w:line="360" w:lineRule="auto"/>
        <w:ind w:left="0" w:firstLine="560"/>
        <w:rPr>
          <w:rFonts w:ascii="仿宋" w:hAnsi="仿宋" w:eastAsia="仿宋" w:cs="仿宋"/>
          <w:sz w:val="28"/>
          <w:szCs w:val="28"/>
        </w:rPr>
      </w:pPr>
      <w:r>
        <w:rPr>
          <w:rFonts w:hint="eastAsia" w:ascii="仿宋" w:hAnsi="仿宋" w:eastAsia="仿宋" w:cs="仿宋"/>
          <w:sz w:val="28"/>
          <w:szCs w:val="28"/>
        </w:rPr>
        <w:t xml:space="preserve"> 甲方办理合同款项支付前，乙方需先向甲方提供</w:t>
      </w:r>
      <w:r>
        <w:rPr>
          <w:rFonts w:hint="eastAsia" w:ascii="仿宋" w:hAnsi="仿宋" w:eastAsia="仿宋" w:cs="仿宋"/>
          <w:sz w:val="28"/>
          <w:szCs w:val="28"/>
          <w:highlight w:val="yellow"/>
        </w:rPr>
        <w:t>全额（等额）</w:t>
      </w:r>
      <w:r>
        <w:rPr>
          <w:rFonts w:hint="eastAsia" w:ascii="仿宋" w:hAnsi="仿宋" w:eastAsia="仿宋" w:cs="仿宋"/>
          <w:sz w:val="28"/>
          <w:szCs w:val="28"/>
        </w:rPr>
        <w:t>真实、合法有效的增值税</w:t>
      </w:r>
      <w:r>
        <w:rPr>
          <w:rFonts w:hint="eastAsia" w:ascii="仿宋" w:hAnsi="仿宋" w:eastAsia="仿宋" w:cs="仿宋"/>
          <w:sz w:val="28"/>
          <w:szCs w:val="28"/>
          <w:highlight w:val="yellow"/>
        </w:rPr>
        <w:t>专用</w:t>
      </w:r>
      <w:r>
        <w:rPr>
          <w:rFonts w:hint="eastAsia" w:ascii="仿宋" w:hAnsi="仿宋" w:eastAsia="仿宋" w:cs="仿宋"/>
          <w:sz w:val="28"/>
          <w:szCs w:val="28"/>
        </w:rPr>
        <w:t>发票。</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验收标准</w:t>
      </w:r>
    </w:p>
    <w:p>
      <w:pPr>
        <w:pStyle w:val="2"/>
        <w:numPr>
          <w:ilvl w:val="0"/>
          <w:numId w:val="30"/>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w:t>
      </w:r>
    </w:p>
    <w:p>
      <w:pPr>
        <w:pStyle w:val="2"/>
        <w:numPr>
          <w:ilvl w:val="0"/>
          <w:numId w:val="30"/>
        </w:numPr>
        <w:spacing w:after="0" w:line="360" w:lineRule="auto"/>
        <w:ind w:left="0" w:firstLine="542" w:firstLineChars="200"/>
        <w:rPr>
          <w:rFonts w:ascii="仿宋" w:hAnsi="仿宋" w:eastAsia="仿宋" w:cs="宋体"/>
          <w:sz w:val="28"/>
          <w:szCs w:val="28"/>
          <w:highlight w:val="yellow"/>
        </w:rPr>
      </w:pPr>
      <w:r>
        <w:rPr>
          <w:rFonts w:hint="eastAsia" w:ascii="仿宋" w:hAnsi="仿宋" w:eastAsia="仿宋" w:cs="仿宋"/>
          <w:b/>
          <w:bCs/>
          <w:sz w:val="28"/>
          <w:szCs w:val="28"/>
        </w:rPr>
        <w:t>.</w:t>
      </w:r>
      <w:r>
        <w:rPr>
          <w:rFonts w:hint="eastAsia" w:ascii="仿宋" w:hAnsi="仿宋" w:eastAsia="仿宋" w:cs="宋体"/>
          <w:sz w:val="28"/>
          <w:szCs w:val="28"/>
          <w:highlight w:val="yellow"/>
        </w:rPr>
        <w:t>.....</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双方权利与义务</w:t>
      </w:r>
    </w:p>
    <w:p>
      <w:pPr>
        <w:pStyle w:val="2"/>
        <w:numPr>
          <w:ilvl w:val="0"/>
          <w:numId w:val="31"/>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甲方权利与义务</w:t>
      </w:r>
    </w:p>
    <w:p>
      <w:pPr>
        <w:pStyle w:val="2"/>
        <w:numPr>
          <w:ilvl w:val="0"/>
          <w:numId w:val="32"/>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32"/>
        </w:numPr>
        <w:spacing w:after="0" w:line="360" w:lineRule="auto"/>
        <w:ind w:left="0" w:firstLine="540" w:firstLineChars="200"/>
        <w:rPr>
          <w:rFonts w:ascii="仿宋" w:hAnsi="仿宋" w:eastAsia="仿宋" w:cs="宋体"/>
          <w:sz w:val="28"/>
          <w:szCs w:val="28"/>
          <w:highlight w:val="yellow"/>
        </w:rPr>
      </w:pPr>
      <w:r>
        <w:rPr>
          <w:rFonts w:hint="eastAsia" w:ascii="仿宋" w:hAnsi="仿宋" w:eastAsia="仿宋" w:cs="宋体"/>
          <w:sz w:val="28"/>
          <w:szCs w:val="28"/>
          <w:highlight w:val="yellow"/>
        </w:rPr>
        <w:t>......</w:t>
      </w:r>
    </w:p>
    <w:p>
      <w:pPr>
        <w:pStyle w:val="2"/>
        <w:numPr>
          <w:ilvl w:val="0"/>
          <w:numId w:val="31"/>
        </w:numPr>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乙方权利与义务</w:t>
      </w:r>
    </w:p>
    <w:p>
      <w:pPr>
        <w:pStyle w:val="2"/>
        <w:numPr>
          <w:ilvl w:val="0"/>
          <w:numId w:val="33"/>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33"/>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处罚标准</w:t>
      </w:r>
      <w:r>
        <w:rPr>
          <w:rFonts w:hint="eastAsia" w:ascii="仿宋" w:hAnsi="仿宋" w:eastAsia="仿宋" w:cs="仿宋"/>
          <w:b/>
          <w:bCs/>
          <w:sz w:val="28"/>
          <w:szCs w:val="28"/>
          <w:highlight w:val="yellow"/>
        </w:rPr>
        <w:t>（如有）</w:t>
      </w:r>
    </w:p>
    <w:p>
      <w:pPr>
        <w:pStyle w:val="2"/>
        <w:numPr>
          <w:ilvl w:val="0"/>
          <w:numId w:val="34"/>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34"/>
        </w:numPr>
        <w:spacing w:after="0" w:line="360" w:lineRule="auto"/>
        <w:ind w:left="0" w:firstLine="540" w:firstLineChars="200"/>
        <w:rPr>
          <w:rFonts w:ascii="仿宋" w:hAnsi="仿宋" w:eastAsia="仿宋" w:cs="仿宋"/>
          <w:b/>
          <w:bCs/>
          <w:sz w:val="28"/>
          <w:szCs w:val="28"/>
        </w:rPr>
      </w:pPr>
      <w:r>
        <w:rPr>
          <w:rFonts w:hint="eastAsia" w:ascii="仿宋" w:hAnsi="仿宋" w:eastAsia="仿宋" w:cs="宋体"/>
          <w:sz w:val="28"/>
          <w:szCs w:val="28"/>
          <w:highlight w:val="yellow"/>
        </w:rPr>
        <w:t>......</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知识产权归属</w:t>
      </w:r>
      <w:r>
        <w:rPr>
          <w:rFonts w:hint="eastAsia" w:ascii="仿宋" w:hAnsi="仿宋" w:eastAsia="仿宋" w:cs="仿宋"/>
          <w:b/>
          <w:bCs/>
          <w:sz w:val="28"/>
          <w:szCs w:val="28"/>
          <w:highlight w:val="yellow"/>
        </w:rPr>
        <w:t>（如有）</w:t>
      </w:r>
    </w:p>
    <w:p>
      <w:pPr>
        <w:pStyle w:val="2"/>
        <w:numPr>
          <w:ilvl w:val="0"/>
          <w:numId w:val="35"/>
        </w:numPr>
        <w:spacing w:after="0" w:line="360" w:lineRule="auto"/>
        <w:ind w:left="0" w:firstLine="540" w:firstLineChars="200"/>
        <w:rPr>
          <w:rFonts w:ascii="仿宋" w:hAnsi="仿宋" w:eastAsia="仿宋" w:cs="仿宋"/>
          <w:sz w:val="28"/>
          <w:szCs w:val="28"/>
        </w:rPr>
      </w:pPr>
      <w:r>
        <w:rPr>
          <w:rFonts w:hint="eastAsia" w:ascii="仿宋" w:hAnsi="仿宋" w:eastAsia="仿宋" w:cs="宋体"/>
          <w:sz w:val="28"/>
          <w:szCs w:val="28"/>
          <w:highlight w:val="yellow"/>
        </w:rPr>
        <w:t>XXXXXXXXXXXXXXXXXXXXXXXXXX</w:t>
      </w:r>
    </w:p>
    <w:p>
      <w:pPr>
        <w:pStyle w:val="2"/>
        <w:numPr>
          <w:ilvl w:val="0"/>
          <w:numId w:val="35"/>
        </w:numPr>
        <w:spacing w:after="0" w:line="360" w:lineRule="auto"/>
        <w:ind w:left="0" w:firstLine="540" w:firstLineChars="200"/>
        <w:rPr>
          <w:rFonts w:ascii="仿宋" w:hAnsi="仿宋" w:eastAsia="仿宋" w:cs="仿宋"/>
          <w:b/>
          <w:bCs/>
          <w:sz w:val="28"/>
          <w:szCs w:val="28"/>
        </w:rPr>
      </w:pPr>
      <w:r>
        <w:rPr>
          <w:rFonts w:hint="eastAsia" w:ascii="仿宋" w:hAnsi="仿宋" w:eastAsia="仿宋" w:cs="宋体"/>
          <w:sz w:val="28"/>
          <w:szCs w:val="28"/>
          <w:highlight w:val="yellow"/>
        </w:rPr>
        <w:t>......</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36"/>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甲乙双方任何一方违反约定事项造成对方实际损失的，应在15天内向对方支付年度合同金额</w:t>
      </w:r>
      <w:r>
        <w:rPr>
          <w:rFonts w:hint="eastAsia" w:ascii="仿宋" w:hAnsi="仿宋" w:eastAsia="仿宋" w:cs="仿宋"/>
          <w:sz w:val="28"/>
          <w:szCs w:val="28"/>
          <w:highlight w:val="yellow"/>
        </w:rPr>
        <w:t>XX%</w:t>
      </w:r>
      <w:r>
        <w:rPr>
          <w:rFonts w:hint="eastAsia" w:ascii="仿宋" w:hAnsi="仿宋" w:eastAsia="仿宋" w:cs="仿宋"/>
          <w:sz w:val="28"/>
          <w:szCs w:val="28"/>
        </w:rPr>
        <w:t>的赔偿金和违约金。</w:t>
      </w:r>
    </w:p>
    <w:p>
      <w:pPr>
        <w:numPr>
          <w:ilvl w:val="0"/>
          <w:numId w:val="36"/>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37"/>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37"/>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37"/>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540" w:firstLineChars="200"/>
        <w:rPr>
          <w:rFonts w:eastAsia="仿宋"/>
        </w:rPr>
      </w:pPr>
      <w:r>
        <w:rPr>
          <w:rFonts w:hint="eastAsia" w:ascii="仿宋" w:hAnsi="仿宋" w:eastAsia="仿宋" w:cs="仿宋"/>
          <w:sz w:val="28"/>
          <w:szCs w:val="28"/>
        </w:rPr>
        <w:t>（四）在乙方因自身原因单方终止本合同的情况下，乙方须退回甲方已经支付的本合同项下乙方未完成和未开始实施项相关费用。</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保密条款</w:t>
      </w:r>
    </w:p>
    <w:p>
      <w:pPr>
        <w:pStyle w:val="2"/>
        <w:spacing w:after="0" w:line="360" w:lineRule="auto"/>
        <w:ind w:left="0" w:firstLine="540" w:firstLineChars="200"/>
        <w:rPr>
          <w:rFonts w:ascii="仿宋" w:hAnsi="仿宋" w:eastAsia="仿宋" w:cs="仿宋"/>
          <w:sz w:val="28"/>
          <w:szCs w:val="28"/>
        </w:rPr>
      </w:pPr>
      <w:r>
        <w:rPr>
          <w:rFonts w:hint="eastAsia" w:ascii="仿宋" w:hAnsi="仿宋" w:eastAsia="仿宋" w:cs="仿宋"/>
          <w:sz w:val="28"/>
          <w:szCs w:val="28"/>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不可抗力</w:t>
      </w:r>
    </w:p>
    <w:p>
      <w:pPr>
        <w:pStyle w:val="24"/>
        <w:numPr>
          <w:ilvl w:val="0"/>
          <w:numId w:val="38"/>
        </w:numPr>
        <w:spacing w:line="360" w:lineRule="auto"/>
        <w:ind w:left="0" w:firstLine="560"/>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p>
    <w:p>
      <w:pPr>
        <w:pStyle w:val="24"/>
        <w:numPr>
          <w:ilvl w:val="0"/>
          <w:numId w:val="38"/>
        </w:numPr>
        <w:spacing w:line="360" w:lineRule="auto"/>
        <w:ind w:left="0" w:firstLine="560"/>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22"/>
        </w:numPr>
        <w:spacing w:after="0" w:line="360" w:lineRule="auto"/>
        <w:ind w:left="0" w:firstLine="542" w:firstLine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39"/>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9"/>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本合同载明的联系方式（包括地址、联系人、电话、电子邮件）为双方约定的联系方式，若有变动，应提前书面告知对方，否则该联系方式为双方法定的送达和联系方式，一经发送至上述地址即视为送达。</w:t>
      </w:r>
    </w:p>
    <w:p>
      <w:pPr>
        <w:numPr>
          <w:ilvl w:val="0"/>
          <w:numId w:val="39"/>
        </w:numPr>
        <w:snapToGrid w:val="0"/>
        <w:spacing w:line="360" w:lineRule="auto"/>
        <w:ind w:firstLine="560" w:firstLineChars="200"/>
      </w:pPr>
      <w:r>
        <w:rPr>
          <w:rFonts w:hint="eastAsia" w:ascii="仿宋" w:hAnsi="仿宋" w:eastAsia="仿宋" w:cs="仿宋"/>
          <w:sz w:val="28"/>
          <w:szCs w:val="28"/>
        </w:rPr>
        <w:t>投标文件中响应及承诺的内容作为本合同不可分割的组成部分，与合同条款具有同等效力；当本合同条款与上述文件内容不一致时，以其中较为严格的要求为准。</w:t>
      </w:r>
    </w:p>
    <w:p>
      <w:pPr>
        <w:numPr>
          <w:ilvl w:val="0"/>
          <w:numId w:val="39"/>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9"/>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本合同发生争议时，双方应协商解决。如协商不成的，任何一方均可向甲方所在地的人民法院提起诉讼。</w:t>
      </w:r>
    </w:p>
    <w:p>
      <w:pPr>
        <w:numPr>
          <w:ilvl w:val="0"/>
          <w:numId w:val="39"/>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本合同一式六份，甲方执四份，乙方执两份，具有同等法律效力。</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日期：</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2"/>
        <w:ind w:firstLine="562" w:firstLineChars="200"/>
      </w:pPr>
      <w:r>
        <w:rPr>
          <w:rFonts w:hint="eastAsia" w:ascii="仿宋" w:hAnsi="仿宋" w:eastAsia="仿宋" w:cs="仿宋"/>
          <w:b/>
          <w:bCs/>
          <w:sz w:val="28"/>
          <w:szCs w:val="28"/>
        </w:rPr>
        <w:t>日期：</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2"/>
      </w:pPr>
    </w:p>
    <w:p>
      <w:pPr>
        <w:pStyle w:val="12"/>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8" w:name="_Toc19896"/>
      <w:r>
        <w:rPr>
          <w:rFonts w:hint="eastAsia"/>
          <w:b/>
          <w:sz w:val="32"/>
          <w:szCs w:val="32"/>
        </w:rPr>
        <w:t>第五部分：参考附件</w:t>
      </w:r>
      <w:bookmarkEnd w:id="58"/>
    </w:p>
    <w:p>
      <w:pPr>
        <w:spacing w:line="0" w:lineRule="atLeast"/>
        <w:outlineLvl w:val="1"/>
        <w:rPr>
          <w:rFonts w:ascii="宋体" w:hAnsi="宋体"/>
        </w:rPr>
      </w:pPr>
      <w:bookmarkStart w:id="59" w:name="_Toc29625"/>
      <w:r>
        <w:rPr>
          <w:rFonts w:hint="eastAsia" w:ascii="宋体" w:hAnsi="宋体"/>
          <w:szCs w:val="21"/>
        </w:rPr>
        <w:t>附件1：</w:t>
      </w:r>
      <w:r>
        <w:rPr>
          <w:rFonts w:hint="eastAsia" w:ascii="宋体" w:hAnsi="宋体"/>
        </w:rPr>
        <w:t>报名回函</w:t>
      </w:r>
      <w:bookmarkEnd w:id="59"/>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0" w:name="_Toc25546"/>
      <w:r>
        <w:rPr>
          <w:rFonts w:hint="eastAsia" w:ascii="宋体" w:hAnsi="宋体"/>
          <w:szCs w:val="21"/>
        </w:rPr>
        <w:t>附件2：投标函</w:t>
      </w:r>
      <w:bookmarkEnd w:id="60"/>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1" w:name="_Toc15692"/>
      <w:r>
        <w:rPr>
          <w:rFonts w:hint="eastAsia" w:ascii="宋体" w:hAnsi="宋体"/>
          <w:szCs w:val="21"/>
        </w:rPr>
        <w:t>附件3：投标一览表</w:t>
      </w:r>
      <w:bookmarkEnd w:id="61"/>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2" w:name="_Toc980"/>
      <w:r>
        <w:rPr>
          <w:rFonts w:hint="eastAsia" w:ascii="宋体" w:hAnsi="宋体"/>
          <w:szCs w:val="21"/>
        </w:rPr>
        <w:t>附件4：考察证明</w:t>
      </w:r>
      <w:bookmarkEnd w:id="62"/>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3" w:name="_Toc1669"/>
      <w:r>
        <w:rPr>
          <w:rFonts w:hint="eastAsia" w:ascii="宋体" w:hAnsi="宋体"/>
          <w:szCs w:val="21"/>
        </w:rPr>
        <w:t>附件5：技术服务响应/偏离表</w:t>
      </w:r>
      <w:bookmarkEnd w:id="6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4" w:name="_Toc211248418"/>
      <w:r>
        <w:rPr>
          <w:rFonts w:hint="eastAsia" w:ascii="方正小标宋_GBK" w:hAnsi="方正小标宋_GBK" w:eastAsia="方正小标宋_GBK"/>
          <w:b/>
          <w:sz w:val="32"/>
          <w:szCs w:val="32"/>
        </w:rPr>
        <w:t>技术服务响应/偏离表</w:t>
      </w:r>
      <w:bookmarkEnd w:id="64"/>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5" w:name="_Toc211243320"/>
      <w:r>
        <w:rPr>
          <w:rFonts w:hint="eastAsia" w:ascii="仿宋" w:hAnsi="仿宋" w:eastAsia="仿宋"/>
          <w:sz w:val="30"/>
          <w:szCs w:val="30"/>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5"/>
      <w:bookmarkStart w:id="66" w:name="_Toc246480945"/>
      <w:bookmarkStart w:id="67" w:name="_Toc236803114"/>
      <w:r>
        <w:rPr>
          <w:rFonts w:ascii="仿宋" w:hAnsi="仿宋" w:eastAsia="仿宋"/>
          <w:sz w:val="28"/>
          <w:szCs w:val="28"/>
        </w:rPr>
        <w:br w:type="page"/>
      </w:r>
    </w:p>
    <w:p>
      <w:pPr>
        <w:spacing w:line="0" w:lineRule="atLeast"/>
        <w:outlineLvl w:val="1"/>
        <w:rPr>
          <w:rFonts w:ascii="宋体" w:hAnsi="宋体"/>
          <w:szCs w:val="21"/>
        </w:rPr>
      </w:pPr>
      <w:bookmarkStart w:id="68" w:name="_Toc19783"/>
      <w:r>
        <w:rPr>
          <w:rFonts w:hint="eastAsia" w:ascii="宋体" w:hAnsi="宋体"/>
          <w:szCs w:val="21"/>
        </w:rPr>
        <w:t>附件6：商务条款响应/偏离表</w:t>
      </w:r>
      <w:bookmarkEnd w:id="66"/>
      <w:bookmarkEnd w:id="67"/>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20"/>
      <w:r>
        <w:rPr>
          <w:rFonts w:hint="eastAsia" w:ascii="方正小标宋_GBK" w:hAnsi="方正小标宋_GBK" w:eastAsia="方正小标宋_GBK"/>
          <w:b/>
          <w:sz w:val="32"/>
          <w:szCs w:val="32"/>
        </w:rPr>
        <w:t>商务条款响应/偏离表</w:t>
      </w:r>
      <w:bookmarkEnd w:id="6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涉及偏高内容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0" w:name="_Toc395883088"/>
      <w:bookmarkStart w:id="71" w:name="_Toc478387764"/>
      <w:bookmarkStart w:id="72" w:name="_Toc236803111"/>
      <w:r>
        <w:rPr>
          <w:rFonts w:ascii="仿宋" w:hAnsi="仿宋" w:eastAsia="仿宋"/>
          <w:sz w:val="28"/>
          <w:szCs w:val="28"/>
        </w:rPr>
        <w:br w:type="page"/>
      </w:r>
    </w:p>
    <w:p>
      <w:pPr>
        <w:spacing w:line="0" w:lineRule="atLeast"/>
        <w:outlineLvl w:val="1"/>
        <w:rPr>
          <w:rFonts w:ascii="宋体" w:hAnsi="宋体"/>
          <w:szCs w:val="21"/>
        </w:rPr>
      </w:pPr>
      <w:bookmarkStart w:id="73" w:name="_Toc22384"/>
      <w:r>
        <w:rPr>
          <w:rFonts w:hint="eastAsia" w:ascii="宋体" w:hAnsi="宋体"/>
          <w:szCs w:val="21"/>
        </w:rPr>
        <w:t>附件7：报价一览表（货物）</w:t>
      </w:r>
      <w:r>
        <w:rPr>
          <w:rFonts w:hint="eastAsia" w:ascii="宋体" w:hAnsi="宋体"/>
          <w:color w:val="FF0000"/>
          <w:szCs w:val="21"/>
        </w:rPr>
        <w:t>（本项目不适用）</w:t>
      </w:r>
      <w:bookmarkEnd w:id="73"/>
    </w:p>
    <w:bookmarkEnd w:id="70"/>
    <w:bookmarkEnd w:id="71"/>
    <w:bookmarkEnd w:id="72"/>
    <w:p>
      <w:pPr>
        <w:spacing w:before="120" w:after="240"/>
        <w:jc w:val="center"/>
        <w:rPr>
          <w:rFonts w:ascii="宋体" w:hAnsi="宋体"/>
          <w:b/>
          <w:sz w:val="32"/>
          <w:szCs w:val="32"/>
        </w:rPr>
      </w:pPr>
      <w:bookmarkStart w:id="74" w:name="_Toc211248412"/>
      <w:r>
        <w:rPr>
          <w:rFonts w:hint="eastAsia" w:ascii="方正小标宋_GBK" w:hAnsi="方正小标宋_GBK" w:eastAsia="方正小标宋_GBK"/>
          <w:b/>
          <w:sz w:val="32"/>
          <w:szCs w:val="32"/>
        </w:rPr>
        <w:t>报价一览表</w:t>
      </w:r>
      <w:bookmarkEnd w:id="7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4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4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5" w:name="_Toc82095917"/>
      <w:bookmarkStart w:id="76"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5"/>
    <w:bookmarkEnd w:id="76"/>
    <w:p>
      <w:pPr>
        <w:spacing w:line="0" w:lineRule="atLeast"/>
        <w:outlineLvl w:val="1"/>
        <w:rPr>
          <w:rFonts w:ascii="宋体" w:hAnsi="宋体"/>
          <w:szCs w:val="21"/>
        </w:rPr>
      </w:pPr>
      <w:bookmarkStart w:id="77" w:name="_Toc31963"/>
      <w:r>
        <w:rPr>
          <w:rFonts w:hint="eastAsia" w:ascii="宋体" w:hAnsi="宋体"/>
          <w:szCs w:val="21"/>
        </w:rPr>
        <w:t>附件8：报价一览表（服务）</w:t>
      </w:r>
      <w:bookmarkEnd w:id="7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p>
      <w:pPr>
        <w:pStyle w:val="2"/>
        <w:rPr>
          <w:rFonts w:hint="eastAsia" w:ascii="仿宋" w:hAnsi="仿宋" w:eastAsia="仿宋"/>
          <w:sz w:val="30"/>
          <w:szCs w:val="30"/>
        </w:rPr>
      </w:pPr>
    </w:p>
    <w:tbl>
      <w:tblPr>
        <w:tblStyle w:val="16"/>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186"/>
        <w:gridCol w:w="656"/>
        <w:gridCol w:w="1016"/>
        <w:gridCol w:w="1129"/>
        <w:gridCol w:w="433"/>
        <w:gridCol w:w="932"/>
        <w:gridCol w:w="77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03" w:type="dxa"/>
            <w:vMerge w:val="restart"/>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序号</w:t>
            </w:r>
          </w:p>
        </w:tc>
        <w:tc>
          <w:tcPr>
            <w:tcW w:w="1186" w:type="dxa"/>
            <w:vMerge w:val="restart"/>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设备名称</w:t>
            </w:r>
          </w:p>
        </w:tc>
        <w:tc>
          <w:tcPr>
            <w:tcW w:w="1672" w:type="dxa"/>
            <w:gridSpan w:val="2"/>
            <w:vMerge w:val="restart"/>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型号</w:t>
            </w:r>
          </w:p>
        </w:tc>
        <w:tc>
          <w:tcPr>
            <w:tcW w:w="1562" w:type="dxa"/>
            <w:gridSpan w:val="2"/>
            <w:vMerge w:val="restart"/>
            <w:noWrap w:val="0"/>
            <w:vAlign w:val="center"/>
          </w:tcPr>
          <w:p>
            <w:pPr>
              <w:spacing w:line="300" w:lineRule="auto"/>
              <w:jc w:val="center"/>
              <w:rPr>
                <w:rFonts w:hint="eastAsia" w:ascii="仿宋_GB2312" w:hAnsi="宋体" w:eastAsia="仿宋_GB2312"/>
                <w:sz w:val="24"/>
                <w:lang w:eastAsia="zh-CN"/>
              </w:rPr>
            </w:pPr>
            <w:r>
              <w:rPr>
                <w:rFonts w:hint="eastAsia" w:ascii="仿宋_GB2312" w:hAnsi="宋体" w:eastAsia="仿宋_GB2312"/>
                <w:sz w:val="24"/>
              </w:rPr>
              <w:t>数量</w:t>
            </w:r>
            <w:r>
              <w:rPr>
                <w:rFonts w:hint="eastAsia" w:ascii="仿宋_GB2312" w:hAnsi="宋体" w:eastAsia="仿宋_GB2312"/>
                <w:sz w:val="24"/>
                <w:lang w:eastAsia="zh-CN"/>
              </w:rPr>
              <w:t>（</w:t>
            </w:r>
            <w:r>
              <w:rPr>
                <w:rFonts w:hint="eastAsia" w:ascii="仿宋_GB2312" w:hAnsi="宋体" w:eastAsia="仿宋_GB2312"/>
                <w:sz w:val="24"/>
                <w:lang w:val="en-US" w:eastAsia="zh-CN"/>
              </w:rPr>
              <w:t>台</w:t>
            </w:r>
            <w:r>
              <w:rPr>
                <w:rFonts w:hint="eastAsia" w:ascii="仿宋_GB2312" w:hAnsi="宋体" w:eastAsia="仿宋_GB2312"/>
                <w:sz w:val="24"/>
                <w:lang w:eastAsia="zh-CN"/>
              </w:rPr>
              <w:t>）</w:t>
            </w:r>
          </w:p>
        </w:tc>
        <w:tc>
          <w:tcPr>
            <w:tcW w:w="3314" w:type="dxa"/>
            <w:gridSpan w:val="3"/>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年维护保养费（含税）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3" w:type="dxa"/>
            <w:vMerge w:val="continue"/>
            <w:noWrap w:val="0"/>
            <w:vAlign w:val="center"/>
          </w:tcPr>
          <w:p>
            <w:pPr>
              <w:spacing w:line="300" w:lineRule="auto"/>
              <w:jc w:val="center"/>
            </w:pPr>
          </w:p>
        </w:tc>
        <w:tc>
          <w:tcPr>
            <w:tcW w:w="1186" w:type="dxa"/>
            <w:vMerge w:val="continue"/>
            <w:noWrap w:val="0"/>
            <w:vAlign w:val="center"/>
          </w:tcPr>
          <w:p>
            <w:pPr>
              <w:spacing w:line="300" w:lineRule="auto"/>
              <w:jc w:val="center"/>
            </w:pPr>
          </w:p>
        </w:tc>
        <w:tc>
          <w:tcPr>
            <w:tcW w:w="1672" w:type="dxa"/>
            <w:gridSpan w:val="2"/>
            <w:vMerge w:val="continue"/>
            <w:noWrap w:val="0"/>
            <w:vAlign w:val="center"/>
          </w:tcPr>
          <w:p>
            <w:pPr>
              <w:spacing w:line="300" w:lineRule="auto"/>
              <w:jc w:val="center"/>
            </w:pPr>
          </w:p>
        </w:tc>
        <w:tc>
          <w:tcPr>
            <w:tcW w:w="1562" w:type="dxa"/>
            <w:gridSpan w:val="2"/>
            <w:vMerge w:val="continue"/>
            <w:noWrap w:val="0"/>
            <w:vAlign w:val="center"/>
          </w:tcPr>
          <w:p>
            <w:pPr>
              <w:spacing w:line="300" w:lineRule="auto"/>
              <w:jc w:val="center"/>
            </w:pPr>
          </w:p>
        </w:tc>
        <w:tc>
          <w:tcPr>
            <w:tcW w:w="1708" w:type="dxa"/>
            <w:gridSpan w:val="2"/>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单价</w:t>
            </w:r>
          </w:p>
        </w:tc>
        <w:tc>
          <w:tcPr>
            <w:tcW w:w="1606" w:type="dxa"/>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1</w:t>
            </w:r>
          </w:p>
        </w:tc>
        <w:tc>
          <w:tcPr>
            <w:tcW w:w="1186" w:type="dxa"/>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MP7001</w:t>
            </w:r>
          </w:p>
        </w:tc>
        <w:tc>
          <w:tcPr>
            <w:tcW w:w="1562" w:type="dxa"/>
            <w:gridSpan w:val="2"/>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2</w:t>
            </w:r>
          </w:p>
        </w:tc>
        <w:tc>
          <w:tcPr>
            <w:tcW w:w="1186" w:type="dxa"/>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MPC7502</w:t>
            </w:r>
          </w:p>
        </w:tc>
        <w:tc>
          <w:tcPr>
            <w:tcW w:w="1562" w:type="dxa"/>
            <w:gridSpan w:val="2"/>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3</w:t>
            </w:r>
          </w:p>
        </w:tc>
        <w:tc>
          <w:tcPr>
            <w:tcW w:w="1186" w:type="dxa"/>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MPC5501</w:t>
            </w:r>
          </w:p>
        </w:tc>
        <w:tc>
          <w:tcPr>
            <w:tcW w:w="1562" w:type="dxa"/>
            <w:gridSpan w:val="2"/>
            <w:noWrap w:val="0"/>
            <w:vAlign w:val="center"/>
          </w:tcPr>
          <w:p>
            <w:pPr>
              <w:spacing w:line="30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4</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highlight w:val="none"/>
                <w:lang w:val="en-US" w:eastAsia="zh-CN"/>
              </w:rPr>
              <w:t>MPC2051</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5</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MP2014</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6</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MP2011</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7</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理光</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MPC6004</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8</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理光</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IMC3000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sz w:val="24"/>
              </w:rPr>
            </w:pPr>
            <w:r>
              <w:rPr>
                <w:rFonts w:hint="eastAsia" w:ascii="仿宋_GB2312" w:hAnsi="宋体" w:eastAsia="仿宋_GB2312"/>
                <w:sz w:val="24"/>
              </w:rPr>
              <w:t>9</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理光</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IMC2000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10</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IRC3125</w:t>
            </w:r>
          </w:p>
        </w:tc>
        <w:tc>
          <w:tcPr>
            <w:tcW w:w="156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11</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IR2002G</w:t>
            </w:r>
          </w:p>
        </w:tc>
        <w:tc>
          <w:tcPr>
            <w:tcW w:w="156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12</w:t>
            </w:r>
          </w:p>
        </w:tc>
        <w:tc>
          <w:tcPr>
            <w:tcW w:w="1186"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IR2318L</w:t>
            </w:r>
          </w:p>
        </w:tc>
        <w:tc>
          <w:tcPr>
            <w:tcW w:w="156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13</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IR2422D</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1</w:t>
            </w:r>
            <w:r>
              <w:rPr>
                <w:rFonts w:hint="eastAsia" w:ascii="仿宋_GB2312" w:hAnsi="宋体" w:eastAsia="仿宋_GB2312"/>
                <w:sz w:val="24"/>
                <w:lang w:val="en-US" w:eastAsia="zh-CN"/>
              </w:rPr>
              <w:t>4</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IR2520D</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1</w:t>
            </w:r>
            <w:r>
              <w:rPr>
                <w:rFonts w:hint="eastAsia" w:ascii="仿宋_GB2312" w:hAnsi="宋体" w:eastAsia="仿宋_GB2312"/>
                <w:sz w:val="24"/>
                <w:lang w:val="en-US" w:eastAsia="zh-CN"/>
              </w:rPr>
              <w:t>5</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IR2525</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1</w:t>
            </w:r>
            <w:r>
              <w:rPr>
                <w:rFonts w:hint="eastAsia" w:ascii="仿宋_GB2312" w:hAnsi="宋体" w:eastAsia="仿宋_GB2312"/>
                <w:sz w:val="24"/>
                <w:lang w:val="en-US" w:eastAsia="zh-CN"/>
              </w:rPr>
              <w:t>6</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IR2530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1</w:t>
            </w:r>
            <w:r>
              <w:rPr>
                <w:rFonts w:hint="eastAsia" w:ascii="仿宋_GB2312" w:hAnsi="宋体" w:eastAsia="仿宋_GB2312"/>
                <w:sz w:val="24"/>
                <w:lang w:val="en-US" w:eastAsia="zh-CN"/>
              </w:rPr>
              <w:t>7</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IRC3330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3</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1</w:t>
            </w:r>
            <w:r>
              <w:rPr>
                <w:rFonts w:hint="eastAsia" w:ascii="仿宋_GB2312" w:hAnsi="宋体" w:eastAsia="仿宋_GB2312"/>
                <w:sz w:val="24"/>
                <w:lang w:val="en-US" w:eastAsia="zh-CN"/>
              </w:rPr>
              <w:t>8</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IRC3525</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rPr>
              <w:t>1</w:t>
            </w:r>
            <w:r>
              <w:rPr>
                <w:rFonts w:hint="eastAsia" w:ascii="仿宋_GB2312" w:hAnsi="宋体" w:eastAsia="仿宋_GB2312"/>
                <w:sz w:val="24"/>
                <w:lang w:val="en-US" w:eastAsia="zh-CN"/>
              </w:rPr>
              <w:t>9</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IRC3530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20</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IRC3520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3</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21</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IRC3730</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22</w:t>
            </w:r>
          </w:p>
        </w:tc>
        <w:tc>
          <w:tcPr>
            <w:tcW w:w="1186" w:type="dxa"/>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IRC3826</w:t>
            </w:r>
          </w:p>
        </w:tc>
        <w:tc>
          <w:tcPr>
            <w:tcW w:w="1562" w:type="dxa"/>
            <w:gridSpan w:val="2"/>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23</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佳能</w:t>
            </w:r>
          </w:p>
        </w:tc>
        <w:tc>
          <w:tcPr>
            <w:tcW w:w="167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IRC3222L</w:t>
            </w:r>
          </w:p>
        </w:tc>
        <w:tc>
          <w:tcPr>
            <w:tcW w:w="156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24</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惠普</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E78223</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25</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惠普</w:t>
            </w:r>
          </w:p>
        </w:tc>
        <w:tc>
          <w:tcPr>
            <w:tcW w:w="167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E77822</w:t>
            </w:r>
          </w:p>
        </w:tc>
        <w:tc>
          <w:tcPr>
            <w:tcW w:w="1562" w:type="dxa"/>
            <w:gridSpan w:val="2"/>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26</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惠普</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E77422</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03" w:type="dxa"/>
            <w:noWrap w:val="0"/>
            <w:vAlign w:val="center"/>
          </w:tcPr>
          <w:p>
            <w:pPr>
              <w:spacing w:line="300" w:lineRule="auto"/>
              <w:jc w:val="center"/>
              <w:rPr>
                <w:rFonts w:hint="default" w:ascii="仿宋_GB2312" w:hAnsi="宋体" w:eastAsia="仿宋_GB2312"/>
                <w:kern w:val="2"/>
                <w:sz w:val="24"/>
                <w:szCs w:val="24"/>
                <w:lang w:val="en-US" w:eastAsia="zh-CN" w:bidi="ar-SA"/>
              </w:rPr>
            </w:pPr>
            <w:r>
              <w:rPr>
                <w:rFonts w:hint="eastAsia" w:ascii="仿宋_GB2312" w:hAnsi="宋体" w:eastAsia="仿宋_GB2312"/>
                <w:sz w:val="24"/>
                <w:lang w:val="en-US" w:eastAsia="zh-CN"/>
              </w:rPr>
              <w:t>27</w:t>
            </w:r>
          </w:p>
        </w:tc>
        <w:tc>
          <w:tcPr>
            <w:tcW w:w="1186" w:type="dxa"/>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东芝</w:t>
            </w:r>
          </w:p>
        </w:tc>
        <w:tc>
          <w:tcPr>
            <w:tcW w:w="167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2500AC</w:t>
            </w:r>
          </w:p>
        </w:tc>
        <w:tc>
          <w:tcPr>
            <w:tcW w:w="1562" w:type="dxa"/>
            <w:gridSpan w:val="2"/>
            <w:noWrap w:val="0"/>
            <w:vAlign w:val="center"/>
          </w:tcPr>
          <w:p>
            <w:pPr>
              <w:spacing w:line="300" w:lineRule="auto"/>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val="en-US" w:eastAsia="zh-CN"/>
              </w:rPr>
              <w:t>1</w:t>
            </w:r>
          </w:p>
        </w:tc>
        <w:tc>
          <w:tcPr>
            <w:tcW w:w="1708" w:type="dxa"/>
            <w:gridSpan w:val="2"/>
            <w:noWrap w:val="0"/>
            <w:vAlign w:val="center"/>
          </w:tcPr>
          <w:p>
            <w:pPr>
              <w:spacing w:line="30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gridSpan w:val="4"/>
            <w:noWrap w:val="0"/>
            <w:vAlign w:val="center"/>
          </w:tcPr>
          <w:p>
            <w:pPr>
              <w:spacing w:line="24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数量合计</w:t>
            </w:r>
          </w:p>
        </w:tc>
        <w:tc>
          <w:tcPr>
            <w:tcW w:w="1562" w:type="dxa"/>
            <w:gridSpan w:val="2"/>
            <w:noWrap w:val="0"/>
            <w:vAlign w:val="center"/>
          </w:tcPr>
          <w:p>
            <w:pPr>
              <w:spacing w:line="24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36</w:t>
            </w:r>
          </w:p>
        </w:tc>
        <w:tc>
          <w:tcPr>
            <w:tcW w:w="1708" w:type="dxa"/>
            <w:gridSpan w:val="2"/>
            <w:noWrap w:val="0"/>
            <w:vAlign w:val="center"/>
          </w:tcPr>
          <w:p>
            <w:pPr>
              <w:spacing w:line="240" w:lineRule="auto"/>
              <w:jc w:val="center"/>
              <w:rPr>
                <w:rFonts w:hint="eastAsia" w:ascii="仿宋_GB2312" w:hAnsi="宋体" w:eastAsia="仿宋_GB2312"/>
                <w:sz w:val="24"/>
                <w:lang w:val="en-US" w:eastAsia="zh-CN"/>
              </w:rPr>
            </w:pPr>
          </w:p>
        </w:tc>
        <w:tc>
          <w:tcPr>
            <w:tcW w:w="1606" w:type="dxa"/>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3"/>
            <w:vMerge w:val="restart"/>
            <w:noWrap w:val="0"/>
            <w:vAlign w:val="center"/>
          </w:tcPr>
          <w:p>
            <w:pPr>
              <w:spacing w:line="24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年维护保养费合计</w:t>
            </w:r>
          </w:p>
        </w:tc>
        <w:tc>
          <w:tcPr>
            <w:tcW w:w="2145" w:type="dxa"/>
            <w:gridSpan w:val="2"/>
            <w:noWrap w:val="0"/>
            <w:vAlign w:val="center"/>
          </w:tcPr>
          <w:p>
            <w:pPr>
              <w:spacing w:line="24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税前</w:t>
            </w:r>
          </w:p>
        </w:tc>
        <w:tc>
          <w:tcPr>
            <w:tcW w:w="1365" w:type="dxa"/>
            <w:gridSpan w:val="2"/>
            <w:noWrap w:val="0"/>
            <w:vAlign w:val="center"/>
          </w:tcPr>
          <w:p>
            <w:pPr>
              <w:spacing w:line="24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税率</w:t>
            </w:r>
          </w:p>
        </w:tc>
        <w:tc>
          <w:tcPr>
            <w:tcW w:w="2382" w:type="dxa"/>
            <w:gridSpan w:val="2"/>
            <w:noWrap w:val="0"/>
            <w:vAlign w:val="center"/>
          </w:tcPr>
          <w:p>
            <w:pPr>
              <w:spacing w:line="30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3"/>
            <w:vMerge w:val="continue"/>
            <w:noWrap w:val="0"/>
            <w:vAlign w:val="center"/>
          </w:tcPr>
          <w:p>
            <w:pPr>
              <w:spacing w:line="240" w:lineRule="auto"/>
              <w:jc w:val="center"/>
              <w:rPr>
                <w:rFonts w:hint="eastAsia" w:ascii="仿宋_GB2312" w:hAnsi="宋体" w:eastAsia="仿宋_GB2312"/>
                <w:sz w:val="24"/>
                <w:lang w:val="en-US" w:eastAsia="zh-CN"/>
              </w:rPr>
            </w:pPr>
          </w:p>
        </w:tc>
        <w:tc>
          <w:tcPr>
            <w:tcW w:w="2145" w:type="dxa"/>
            <w:gridSpan w:val="2"/>
            <w:noWrap w:val="0"/>
            <w:vAlign w:val="center"/>
          </w:tcPr>
          <w:p>
            <w:pPr>
              <w:spacing w:line="240" w:lineRule="auto"/>
              <w:jc w:val="center"/>
              <w:rPr>
                <w:rFonts w:hint="eastAsia" w:ascii="仿宋_GB2312" w:hAnsi="宋体" w:eastAsia="仿宋_GB2312"/>
                <w:sz w:val="24"/>
                <w:lang w:val="en-US" w:eastAsia="zh-CN"/>
              </w:rPr>
            </w:pPr>
          </w:p>
        </w:tc>
        <w:tc>
          <w:tcPr>
            <w:tcW w:w="1365" w:type="dxa"/>
            <w:gridSpan w:val="2"/>
            <w:noWrap w:val="0"/>
            <w:vAlign w:val="center"/>
          </w:tcPr>
          <w:p>
            <w:pPr>
              <w:spacing w:line="240" w:lineRule="auto"/>
              <w:jc w:val="center"/>
              <w:rPr>
                <w:rFonts w:hint="eastAsia" w:ascii="仿宋_GB2312" w:hAnsi="宋体" w:eastAsia="仿宋_GB2312"/>
                <w:sz w:val="24"/>
                <w:lang w:val="en-US" w:eastAsia="zh-CN"/>
              </w:rPr>
            </w:pPr>
          </w:p>
        </w:tc>
        <w:tc>
          <w:tcPr>
            <w:tcW w:w="2382" w:type="dxa"/>
            <w:gridSpan w:val="2"/>
            <w:noWrap w:val="0"/>
            <w:vAlign w:val="center"/>
          </w:tcPr>
          <w:p>
            <w:pPr>
              <w:spacing w:line="300" w:lineRule="auto"/>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3"/>
            <w:noWrap w:val="0"/>
            <w:vAlign w:val="center"/>
          </w:tcPr>
          <w:p>
            <w:pPr>
              <w:spacing w:line="24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三年维护保养费总价</w:t>
            </w:r>
          </w:p>
        </w:tc>
        <w:tc>
          <w:tcPr>
            <w:tcW w:w="2145" w:type="dxa"/>
            <w:gridSpan w:val="2"/>
            <w:noWrap w:val="0"/>
            <w:vAlign w:val="center"/>
          </w:tcPr>
          <w:p>
            <w:pPr>
              <w:spacing w:line="240" w:lineRule="auto"/>
              <w:jc w:val="center"/>
              <w:rPr>
                <w:rFonts w:hint="eastAsia" w:ascii="仿宋_GB2312" w:hAnsi="宋体" w:eastAsia="仿宋_GB2312"/>
                <w:sz w:val="24"/>
                <w:lang w:val="en-US" w:eastAsia="zh-CN"/>
              </w:rPr>
            </w:pPr>
          </w:p>
        </w:tc>
        <w:tc>
          <w:tcPr>
            <w:tcW w:w="1365" w:type="dxa"/>
            <w:gridSpan w:val="2"/>
            <w:noWrap w:val="0"/>
            <w:vAlign w:val="center"/>
          </w:tcPr>
          <w:p>
            <w:pPr>
              <w:spacing w:line="240" w:lineRule="auto"/>
              <w:jc w:val="center"/>
              <w:rPr>
                <w:rFonts w:hint="eastAsia" w:ascii="仿宋_GB2312" w:hAnsi="宋体" w:eastAsia="仿宋_GB2312"/>
                <w:sz w:val="24"/>
                <w:lang w:val="en-US" w:eastAsia="zh-CN"/>
              </w:rPr>
            </w:pPr>
          </w:p>
        </w:tc>
        <w:tc>
          <w:tcPr>
            <w:tcW w:w="2382" w:type="dxa"/>
            <w:gridSpan w:val="2"/>
            <w:noWrap w:val="0"/>
            <w:vAlign w:val="center"/>
          </w:tcPr>
          <w:p>
            <w:pPr>
              <w:spacing w:line="300" w:lineRule="auto"/>
              <w:jc w:val="center"/>
              <w:rPr>
                <w:rFonts w:hint="eastAsia" w:ascii="仿宋_GB2312" w:hAnsi="宋体" w:eastAsia="仿宋_GB2312"/>
                <w:sz w:val="24"/>
                <w:lang w:val="en-US" w:eastAsia="zh-CN"/>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0"/>
          <w:numId w:val="43"/>
        </w:numPr>
        <w:spacing w:line="400" w:lineRule="exact"/>
        <w:ind w:left="425" w:leftChars="0"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0"/>
          <w:numId w:val="43"/>
        </w:numPr>
        <w:spacing w:line="400" w:lineRule="exact"/>
        <w:ind w:left="425" w:leftChars="0"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0"/>
          <w:numId w:val="43"/>
        </w:numPr>
        <w:spacing w:line="400" w:lineRule="exact"/>
        <w:ind w:left="425" w:leftChars="0"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hint="eastAsia" w:ascii="仿宋" w:hAnsi="仿宋" w:eastAsia="仿宋"/>
          <w:sz w:val="28"/>
          <w:szCs w:val="28"/>
        </w:rPr>
      </w:pPr>
      <w:r>
        <w:rPr>
          <w:rFonts w:hint="eastAsia" w:ascii="仿宋" w:hAnsi="仿宋" w:eastAsia="仿宋"/>
          <w:sz w:val="28"/>
          <w:szCs w:val="28"/>
        </w:rPr>
        <w:t>日期：_______年____月____日</w:t>
      </w: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spacing w:line="0" w:lineRule="atLeast"/>
        <w:outlineLvl w:val="1"/>
        <w:rPr>
          <w:rFonts w:hint="eastAsia" w:ascii="宋体" w:hAnsi="宋体" w:eastAsia="宋体"/>
          <w:szCs w:val="21"/>
          <w:lang w:val="en-US" w:eastAsia="zh-CN"/>
        </w:rPr>
      </w:pPr>
      <w:bookmarkStart w:id="78" w:name="_Toc25430"/>
      <w:r>
        <w:rPr>
          <w:rFonts w:hint="eastAsia" w:ascii="宋体" w:hAnsi="宋体"/>
          <w:szCs w:val="21"/>
        </w:rPr>
        <w:t>附件</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常用零配件报价表</w:t>
      </w:r>
      <w:bookmarkEnd w:id="78"/>
    </w:p>
    <w:p>
      <w:pPr>
        <w:rPr>
          <w:rFonts w:hint="eastAsia"/>
        </w:rPr>
      </w:pPr>
    </w:p>
    <w:tbl>
      <w:tblPr>
        <w:tblStyle w:val="16"/>
        <w:tblW w:w="832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810"/>
        <w:gridCol w:w="1305"/>
        <w:gridCol w:w="690"/>
        <w:gridCol w:w="900"/>
        <w:gridCol w:w="900"/>
        <w:gridCol w:w="93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2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常用零配件报价表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159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单位</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数量</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MP7001</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铁粉</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分离爪</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3"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0"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 C7502</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铁粉</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分离爪</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 C5501</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加粉泵（四色）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定影皮带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双面翻转导板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 C2051</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加粉泵（四色）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定影皮带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双面翻转导板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MP2014</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铁粉</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分离爪</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MP2011</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双面翻转导板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MPC6004</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双面翻转导板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IMC3000</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双面翻转导板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MC2000</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粉斗（四色）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双面翻转导板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IRC3125</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IR2002G</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IR2318L</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IR2422D</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IR2520D</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IR2525</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IR2530</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鼓芯</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IRC3330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IRC3525</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IRC3530</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IRC3520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IRC3730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10"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IRC3826</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IRC3222L</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加粉组件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E78223</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E77822</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E77422</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w:t>
            </w: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2500AC</w:t>
            </w: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输稿器搓纸轮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纸盒搓纸轮</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套鼓（四色）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显影（四色）</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下轴</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转印刮刀</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废粉盒</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控制板</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90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0" w:type="dxa"/>
            <w:vMerge w:val="continue"/>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gridSpan w:val="2"/>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900"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930"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0"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常用零配件总价：</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税前总价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税率</w:t>
            </w:r>
          </w:p>
        </w:tc>
        <w:tc>
          <w:tcPr>
            <w:tcW w:w="2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税后总价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897"/>
              </w:tabs>
              <w:jc w:val="both"/>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备注：服务期内如有新增型号，需补充新增型号常用零配件报价作为更换零配件依据。</w:t>
            </w:r>
          </w:p>
        </w:tc>
      </w:tr>
    </w:tbl>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hint="eastAsia" w:ascii="仿宋" w:hAnsi="仿宋" w:eastAsia="仿宋"/>
          <w:sz w:val="28"/>
          <w:szCs w:val="28"/>
        </w:rPr>
      </w:pPr>
      <w:r>
        <w:rPr>
          <w:rFonts w:hint="eastAsia" w:ascii="仿宋" w:hAnsi="仿宋" w:eastAsia="仿宋"/>
          <w:sz w:val="28"/>
          <w:szCs w:val="28"/>
        </w:rPr>
        <w:t>日期：_______年____月____日</w:t>
      </w:r>
    </w:p>
    <w:p>
      <w:pPr>
        <w:widowControl/>
        <w:jc w:val="left"/>
        <w:rPr>
          <w:rFonts w:ascii="仿宋" w:hAnsi="仿宋" w:eastAsia="仿宋"/>
          <w:sz w:val="30"/>
          <w:szCs w:val="30"/>
        </w:rPr>
      </w:pPr>
      <w:r>
        <w:rPr>
          <w:rFonts w:ascii="仿宋" w:hAnsi="仿宋" w:eastAsia="仿宋"/>
          <w:sz w:val="30"/>
          <w:szCs w:val="30"/>
        </w:rPr>
        <w:br w:type="page"/>
      </w:r>
    </w:p>
    <w:p>
      <w:pPr>
        <w:spacing w:line="0" w:lineRule="atLeast"/>
        <w:outlineLvl w:val="1"/>
        <w:rPr>
          <w:rFonts w:ascii="宋体" w:hAnsi="宋体"/>
          <w:szCs w:val="21"/>
        </w:rPr>
      </w:pPr>
      <w:bookmarkStart w:id="79" w:name="_Toc1115"/>
      <w:r>
        <w:rPr>
          <w:rFonts w:hint="eastAsia" w:ascii="宋体" w:hAnsi="宋体"/>
          <w:szCs w:val="21"/>
        </w:rPr>
        <w:t>附件</w:t>
      </w:r>
      <w:r>
        <w:rPr>
          <w:rFonts w:hint="eastAsia" w:ascii="宋体" w:hAnsi="宋体"/>
          <w:szCs w:val="21"/>
          <w:lang w:val="en-US" w:eastAsia="zh-CN"/>
        </w:rPr>
        <w:t>10</w:t>
      </w:r>
      <w:r>
        <w:rPr>
          <w:rFonts w:hint="eastAsia" w:ascii="宋体" w:hAnsi="宋体"/>
          <w:szCs w:val="21"/>
        </w:rPr>
        <w:t>：报价一览表（工程）</w:t>
      </w:r>
      <w:r>
        <w:rPr>
          <w:rFonts w:hint="eastAsia" w:ascii="宋体" w:hAnsi="宋体"/>
          <w:color w:val="FF0000"/>
          <w:szCs w:val="21"/>
        </w:rPr>
        <w:t>（本项目不适用）</w:t>
      </w:r>
      <w:bookmarkEnd w:id="79"/>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0" w:name="_Toc23007"/>
      <w:r>
        <w:rPr>
          <w:rFonts w:hint="eastAsia" w:ascii="宋体" w:hAnsi="宋体"/>
          <w:szCs w:val="21"/>
        </w:rPr>
        <w:t>附件1</w:t>
      </w:r>
      <w:r>
        <w:rPr>
          <w:rFonts w:hint="eastAsia" w:ascii="宋体" w:hAnsi="宋体"/>
          <w:szCs w:val="21"/>
          <w:lang w:val="en-US" w:eastAsia="zh-CN"/>
        </w:rPr>
        <w:t>1</w:t>
      </w:r>
      <w:r>
        <w:rPr>
          <w:rFonts w:hint="eastAsia" w:ascii="宋体" w:hAnsi="宋体"/>
          <w:szCs w:val="21"/>
        </w:rPr>
        <w:t>：法定代表人证明书</w:t>
      </w:r>
      <w:bookmarkEnd w:id="8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hanging="1"/>
        <w:rPr>
          <w:rFonts w:ascii="仿宋" w:hAnsi="仿宋" w:eastAsia="仿宋"/>
          <w:sz w:val="28"/>
          <w:szCs w:val="28"/>
        </w:rPr>
      </w:pPr>
      <w:r>
        <w:rPr>
          <w:rFonts w:hint="eastAsia" w:ascii="仿宋" w:hAnsi="仿宋" w:eastAsia="仿宋"/>
          <w:sz w:val="28"/>
          <w:szCs w:val="28"/>
        </w:rPr>
        <w:t>说明：</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1" w:name="_Toc19917"/>
      <w:r>
        <w:rPr>
          <w:rFonts w:hint="eastAsia" w:ascii="宋体" w:hAnsi="宋体"/>
          <w:szCs w:val="21"/>
        </w:rPr>
        <w:t>附件</w:t>
      </w:r>
      <w:r>
        <w:rPr>
          <w:rFonts w:ascii="宋体" w:hAnsi="宋体"/>
          <w:szCs w:val="21"/>
        </w:rPr>
        <w:t>1</w:t>
      </w:r>
      <w:r>
        <w:rPr>
          <w:rFonts w:hint="eastAsia" w:ascii="宋体" w:hAnsi="宋体"/>
          <w:szCs w:val="21"/>
          <w:lang w:val="en-US" w:eastAsia="zh-CN"/>
        </w:rPr>
        <w:t>2</w:t>
      </w:r>
      <w:r>
        <w:rPr>
          <w:rFonts w:hint="eastAsia" w:ascii="宋体" w:hAnsi="宋体"/>
          <w:szCs w:val="21"/>
        </w:rPr>
        <w:t>：法人授权委托证明书</w:t>
      </w:r>
      <w:bookmarkEnd w:id="8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pPr>
        <w:pStyle w:val="24"/>
        <w:numPr>
          <w:ilvl w:val="1"/>
          <w:numId w:val="46"/>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2" w:name="_Toc31236"/>
      <w:r>
        <w:rPr>
          <w:rFonts w:hint="eastAsia" w:ascii="宋体" w:hAnsi="宋体"/>
          <w:szCs w:val="21"/>
        </w:rPr>
        <w:t>附件</w:t>
      </w:r>
      <w:r>
        <w:rPr>
          <w:rFonts w:ascii="宋体" w:hAnsi="宋体"/>
          <w:szCs w:val="21"/>
        </w:rPr>
        <w:t>1</w:t>
      </w:r>
      <w:r>
        <w:rPr>
          <w:rFonts w:hint="eastAsia" w:ascii="宋体" w:hAnsi="宋体"/>
          <w:szCs w:val="21"/>
          <w:lang w:val="en-US" w:eastAsia="zh-CN"/>
        </w:rPr>
        <w:t>3</w:t>
      </w:r>
      <w:r>
        <w:rPr>
          <w:rFonts w:hint="eastAsia" w:ascii="宋体" w:hAnsi="宋体"/>
          <w:szCs w:val="21"/>
        </w:rPr>
        <w:t>：经营业绩一览表</w:t>
      </w:r>
      <w:bookmarkEnd w:id="82"/>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此表格式如不合适，投标人可自行调整。</w:t>
      </w:r>
    </w:p>
    <w:p>
      <w:pPr>
        <w:pStyle w:val="24"/>
        <w:numPr>
          <w:ilvl w:val="1"/>
          <w:numId w:val="4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投标人根据招标文件业绩部分资格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pPr>
        <w:pStyle w:val="24"/>
        <w:numPr>
          <w:ilvl w:val="1"/>
          <w:numId w:val="4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pPr>
        <w:pStyle w:val="24"/>
        <w:numPr>
          <w:ilvl w:val="1"/>
          <w:numId w:val="4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3" w:name="_Toc27919"/>
      <w:r>
        <w:rPr>
          <w:rFonts w:hint="eastAsia" w:ascii="宋体" w:hAnsi="宋体"/>
          <w:szCs w:val="21"/>
        </w:rPr>
        <w:t>附件</w:t>
      </w:r>
      <w:r>
        <w:rPr>
          <w:rFonts w:ascii="宋体" w:hAnsi="宋体"/>
          <w:szCs w:val="21"/>
        </w:rPr>
        <w:t>1</w:t>
      </w:r>
      <w:r>
        <w:rPr>
          <w:rFonts w:hint="eastAsia" w:ascii="宋体" w:hAnsi="宋体"/>
          <w:szCs w:val="21"/>
          <w:lang w:val="en-US" w:eastAsia="zh-CN"/>
        </w:rPr>
        <w:t>4</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83"/>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4" w:name="_Toc32341"/>
      <w:r>
        <w:rPr>
          <w:rFonts w:ascii="仿宋" w:hAnsi="仿宋" w:eastAsia="仿宋"/>
          <w:sz w:val="28"/>
          <w:szCs w:val="28"/>
        </w:rPr>
        <w:br w:type="page"/>
      </w:r>
    </w:p>
    <w:p>
      <w:pPr>
        <w:spacing w:line="0" w:lineRule="atLeast"/>
        <w:outlineLvl w:val="1"/>
        <w:rPr>
          <w:rFonts w:ascii="宋体" w:hAnsi="宋体"/>
          <w:szCs w:val="21"/>
        </w:rPr>
      </w:pPr>
      <w:bookmarkStart w:id="85" w:name="_Toc15823"/>
      <w:r>
        <w:rPr>
          <w:rFonts w:hint="eastAsia" w:ascii="宋体" w:hAnsi="宋体"/>
          <w:szCs w:val="21"/>
        </w:rPr>
        <w:t>附件</w:t>
      </w:r>
      <w:r>
        <w:rPr>
          <w:rFonts w:ascii="宋体" w:hAnsi="宋体"/>
          <w:szCs w:val="21"/>
        </w:rPr>
        <w:t>1</w:t>
      </w:r>
      <w:r>
        <w:rPr>
          <w:rFonts w:hint="eastAsia" w:ascii="宋体" w:hAnsi="宋体"/>
          <w:szCs w:val="21"/>
          <w:lang w:val="en-US" w:eastAsia="zh-CN"/>
        </w:rPr>
        <w:t>5</w:t>
      </w:r>
      <w:r>
        <w:rPr>
          <w:rFonts w:hint="eastAsia" w:ascii="宋体" w:hAnsi="宋体"/>
          <w:szCs w:val="21"/>
        </w:rPr>
        <w:t>：履约情况及社会信誉承诺书</w:t>
      </w:r>
      <w:bookmarkEnd w:id="84"/>
      <w:bookmarkEnd w:id="85"/>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6" w:name="_Toc100848654"/>
      <w:bookmarkStart w:id="87" w:name="_Toc23321"/>
      <w:r>
        <w:rPr>
          <w:rFonts w:hint="eastAsia" w:ascii="宋体" w:hAnsi="宋体"/>
        </w:rPr>
        <w:t>附件1</w:t>
      </w:r>
      <w:r>
        <w:rPr>
          <w:rFonts w:hint="eastAsia" w:ascii="宋体" w:hAnsi="宋体"/>
          <w:lang w:val="en-US" w:eastAsia="zh-CN"/>
        </w:rPr>
        <w:t>6</w:t>
      </w:r>
      <w:r>
        <w:rPr>
          <w:rFonts w:hint="eastAsia" w:ascii="宋体" w:hAnsi="宋体"/>
        </w:rPr>
        <w:t>：投标文件密码</w:t>
      </w:r>
      <w:bookmarkEnd w:id="86"/>
      <w:r>
        <w:rPr>
          <w:rFonts w:hint="eastAsia" w:ascii="宋体" w:hAnsi="宋体"/>
        </w:rPr>
        <w:t>单</w:t>
      </w:r>
      <w:bookmarkEnd w:id="87"/>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8"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8"/>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cs="仿宋"/>
          <w:b/>
          <w:color w:val="FF0000"/>
          <w:sz w:val="28"/>
          <w:szCs w:val="28"/>
        </w:rPr>
      </w:pPr>
      <w:r>
        <w:rPr>
          <w:rFonts w:hint="eastAsia" w:ascii="仿宋" w:hAnsi="仿宋" w:eastAsia="仿宋" w:cs="仿宋"/>
          <w:b/>
          <w:color w:val="FF0000"/>
          <w:sz w:val="28"/>
          <w:szCs w:val="28"/>
        </w:rPr>
        <w:t>【特别注意】</w:t>
      </w:r>
    </w:p>
    <w:p>
      <w:pPr>
        <w:pStyle w:val="12"/>
        <w:numPr>
          <w:ilvl w:val="0"/>
          <w:numId w:val="50"/>
        </w:numP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密码</w:t>
      </w:r>
      <w:r>
        <w:rPr>
          <w:rFonts w:hint="eastAsia" w:ascii="仿宋" w:hAnsi="仿宋" w:eastAsia="仿宋" w:cs="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0</w:t>
      </w:r>
      <w:r>
        <w:rPr>
          <w:rFonts w:hint="eastAsia" w:ascii="仿宋" w:hAnsi="仿宋" w:eastAsia="仿宋"/>
          <w:sz w:val="28"/>
          <w:szCs w:val="28"/>
        </w:rPr>
        <w:t>、O或</w:t>
      </w:r>
      <w:r>
        <w:rPr>
          <w:rFonts w:ascii="仿宋" w:hAnsi="仿宋" w:eastAsia="仿宋"/>
          <w:sz w:val="28"/>
          <w:szCs w:val="28"/>
        </w:rPr>
        <w:t>o</w:t>
      </w:r>
      <w:r>
        <w:rPr>
          <w:rFonts w:hint="eastAsia" w:ascii="仿宋" w:hAnsi="仿宋" w:eastAsia="仿宋"/>
          <w:sz w:val="28"/>
          <w:szCs w:val="28"/>
        </w:rPr>
        <w:t>等数字和字母</w:t>
      </w:r>
      <w:r>
        <w:rPr>
          <w:rFonts w:hint="eastAsia" w:ascii="仿宋" w:hAnsi="仿宋" w:eastAsia="仿宋" w:cs="仿宋"/>
          <w:sz w:val="28"/>
          <w:szCs w:val="28"/>
        </w:rPr>
        <w:t>。</w:t>
      </w:r>
    </w:p>
    <w:p>
      <w:pPr>
        <w:pStyle w:val="12"/>
        <w:numPr>
          <w:ilvl w:val="0"/>
          <w:numId w:val="50"/>
        </w:numPr>
        <w:rPr>
          <w:rFonts w:ascii="仿宋" w:hAnsi="仿宋" w:eastAsia="仿宋" w:cs="仿宋"/>
          <w:b/>
          <w:sz w:val="28"/>
          <w:szCs w:val="28"/>
        </w:rPr>
      </w:pPr>
      <w:r>
        <w:rPr>
          <w:rFonts w:hint="eastAsia" w:ascii="仿宋" w:hAnsi="仿宋" w:eastAsia="仿宋" w:cs="仿宋"/>
          <w:sz w:val="28"/>
          <w:szCs w:val="28"/>
        </w:rPr>
        <w:t>本单请严格按招标文件要求的时间和方式提交（</w:t>
      </w:r>
      <w:r>
        <w:rPr>
          <w:rFonts w:hint="eastAsia" w:ascii="仿宋" w:hAnsi="仿宋" w:eastAsia="仿宋" w:cs="仿宋"/>
          <w:color w:val="FF0000"/>
          <w:sz w:val="28"/>
          <w:szCs w:val="28"/>
        </w:rPr>
        <w:t>切勿</w:t>
      </w:r>
      <w:r>
        <w:rPr>
          <w:rFonts w:hint="eastAsia" w:ascii="仿宋" w:hAnsi="仿宋" w:eastAsia="仿宋" w:cs="仿宋"/>
          <w:sz w:val="28"/>
          <w:szCs w:val="28"/>
        </w:rPr>
        <w:t>同投标文件一起提交）。</w:t>
      </w:r>
    </w:p>
    <w:p>
      <w:pPr>
        <w:pStyle w:val="12"/>
      </w:pPr>
    </w:p>
    <w:p>
      <w:pPr>
        <w:pStyle w:val="12"/>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p>
    <w:p>
      <w:pPr>
        <w:pStyle w:val="12"/>
      </w:pPr>
    </w:p>
    <w:sectPr>
      <w:footerReference r:id="rId5" w:type="default"/>
      <w:pgSz w:w="11906" w:h="16838"/>
      <w:pgMar w:top="1134" w:right="1800" w:bottom="993" w:left="1800" w:header="851" w:footer="409"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66"/>
      <w:jc w:val="right"/>
      <w:rPr>
        <w:rFonts w:ascii="宋体" w:hAnsi="宋体" w:cs="宋体"/>
        <w:bCs/>
      </w:rPr>
    </w:pPr>
    <w:r>
      <w:rPr>
        <w:rFonts w:hint="eastAsia" w:ascii="宋体" w:hAnsi="宋体" w:cs="宋体"/>
        <w:bCs/>
      </w:rPr>
      <w:t>版本发布日期：</w:t>
    </w:r>
    <w:r>
      <w:rPr>
        <w:rFonts w:hint="eastAsia" w:ascii="宋体" w:hAnsi="宋体" w:cs="宋体"/>
        <w:bCs/>
        <w:u w:val="single"/>
      </w:rPr>
      <w:t>2023年3月6日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C51DAA7"/>
    <w:multiLevelType w:val="singleLevel"/>
    <w:tmpl w:val="9C51DAA7"/>
    <w:lvl w:ilvl="0" w:tentative="0">
      <w:start w:val="1"/>
      <w:numFmt w:val="decimal"/>
      <w:lvlText w:val="（%1）"/>
      <w:lvlJc w:val="left"/>
      <w:pPr>
        <w:ind w:left="0" w:leftChars="0" w:firstLine="0" w:firstLineChars="0"/>
      </w:pPr>
      <w:rPr>
        <w:rFonts w:hint="eastAsia"/>
      </w:rPr>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7256241"/>
    <w:multiLevelType w:val="singleLevel"/>
    <w:tmpl w:val="D7256241"/>
    <w:lvl w:ilvl="0" w:tentative="0">
      <w:start w:val="1"/>
      <w:numFmt w:val="decimal"/>
      <w:lvlText w:val="(%1)"/>
      <w:lvlJc w:val="left"/>
      <w:pPr>
        <w:ind w:left="425" w:hanging="425"/>
      </w:pPr>
      <w:rPr>
        <w:rFonts w:hint="default"/>
      </w:rPr>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2348296"/>
    <w:multiLevelType w:val="singleLevel"/>
    <w:tmpl w:val="E2348296"/>
    <w:lvl w:ilvl="0" w:tentative="0">
      <w:start w:val="1"/>
      <w:numFmt w:val="decimal"/>
      <w:lvlText w:val="(%1)"/>
      <w:lvlJc w:val="left"/>
      <w:pPr>
        <w:ind w:left="425" w:hanging="425"/>
      </w:pPr>
      <w:rPr>
        <w:rFonts w:hint="default"/>
      </w:rPr>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sz w:val="28"/>
        <w:szCs w:val="28"/>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1D69C2C"/>
    <w:multiLevelType w:val="singleLevel"/>
    <w:tmpl w:val="11D69C2C"/>
    <w:lvl w:ilvl="0" w:tentative="0">
      <w:start w:val="1"/>
      <w:numFmt w:val="decimal"/>
      <w:suff w:val="space"/>
      <w:lvlText w:val="%1."/>
      <w:lvlJc w:val="left"/>
    </w:lvl>
  </w:abstractNum>
  <w:abstractNum w:abstractNumId="21">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49D7F5C"/>
    <w:multiLevelType w:val="singleLevel"/>
    <w:tmpl w:val="349D7F5C"/>
    <w:lvl w:ilvl="0" w:tentative="0">
      <w:start w:val="1"/>
      <w:numFmt w:val="decimal"/>
      <w:lvlText w:val="%1."/>
      <w:lvlJc w:val="left"/>
      <w:pPr>
        <w:ind w:left="425" w:hanging="425"/>
      </w:pPr>
      <w:rPr>
        <w:rFonts w:hint="default"/>
      </w:r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45BC4F3E"/>
    <w:multiLevelType w:val="singleLevel"/>
    <w:tmpl w:val="45BC4F3E"/>
    <w:lvl w:ilvl="0" w:tentative="0">
      <w:start w:val="1"/>
      <w:numFmt w:val="decimal"/>
      <w:lvlText w:val="(%1)"/>
      <w:lvlJc w:val="left"/>
      <w:pPr>
        <w:ind w:left="0" w:leftChars="0" w:firstLine="0" w:firstLineChars="0"/>
      </w:pPr>
      <w:rPr>
        <w:rFonts w:hint="default"/>
      </w:r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01284B7"/>
    <w:multiLevelType w:val="singleLevel"/>
    <w:tmpl w:val="701284B7"/>
    <w:lvl w:ilvl="0" w:tentative="0">
      <w:start w:val="1"/>
      <w:numFmt w:val="decimal"/>
      <w:lvlText w:val="(%1)"/>
      <w:lvlJc w:val="left"/>
      <w:pPr>
        <w:ind w:left="0" w:leftChars="0" w:firstLine="0" w:firstLineChars="0"/>
      </w:pPr>
      <w:rPr>
        <w:rFonts w:hint="default"/>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6">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B4A4E0C"/>
    <w:multiLevelType w:val="singleLevel"/>
    <w:tmpl w:val="7B4A4E0C"/>
    <w:lvl w:ilvl="0" w:tentative="0">
      <w:start w:val="1"/>
      <w:numFmt w:val="decimal"/>
      <w:lvlText w:val="（%1）"/>
      <w:lvlJc w:val="left"/>
      <w:pPr>
        <w:ind w:left="420" w:hanging="420"/>
      </w:pPr>
      <w:rPr>
        <w:rFonts w:hint="eastAsia"/>
      </w:rPr>
    </w:lvl>
  </w:abstractNum>
  <w:abstractNum w:abstractNumId="48">
    <w:nsid w:val="7ED17433"/>
    <w:multiLevelType w:val="singleLevel"/>
    <w:tmpl w:val="7ED17433"/>
    <w:lvl w:ilvl="0" w:tentative="0">
      <w:start w:val="1"/>
      <w:numFmt w:val="decimal"/>
      <w:lvlText w:val="（%1）"/>
      <w:lvlJc w:val="left"/>
      <w:pPr>
        <w:ind w:left="420" w:hanging="420"/>
      </w:pPr>
      <w:rPr>
        <w:rFonts w:hint="eastAsia"/>
      </w:rPr>
    </w:lvl>
  </w:abstractNum>
  <w:num w:numId="1">
    <w:abstractNumId w:val="38"/>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9"/>
  </w:num>
  <w:num w:numId="8">
    <w:abstractNumId w:val="33"/>
  </w:num>
  <w:num w:numId="9">
    <w:abstractNumId w:val="22"/>
  </w:num>
  <w:num w:numId="10">
    <w:abstractNumId w:val="47"/>
  </w:num>
  <w:num w:numId="11">
    <w:abstractNumId w:val="48"/>
  </w:num>
  <w:num w:numId="12">
    <w:abstractNumId w:val="3"/>
  </w:num>
  <w:num w:numId="13">
    <w:abstractNumId w:val="8"/>
  </w:num>
  <w:num w:numId="14">
    <w:abstractNumId w:val="35"/>
  </w:num>
  <w:num w:numId="15">
    <w:abstractNumId w:val="44"/>
  </w:num>
  <w:num w:numId="16">
    <w:abstractNumId w:val="46"/>
  </w:num>
  <w:num w:numId="17">
    <w:abstractNumId w:val="7"/>
  </w:num>
  <w:num w:numId="18">
    <w:abstractNumId w:val="27"/>
  </w:num>
  <w:num w:numId="19">
    <w:abstractNumId w:val="17"/>
  </w:num>
  <w:num w:numId="20">
    <w:abstractNumId w:val="12"/>
  </w:num>
  <w:num w:numId="21">
    <w:abstractNumId w:val="10"/>
  </w:num>
  <w:num w:numId="22">
    <w:abstractNumId w:val="34"/>
  </w:num>
  <w:num w:numId="23">
    <w:abstractNumId w:val="31"/>
  </w:num>
  <w:num w:numId="24">
    <w:abstractNumId w:val="13"/>
  </w:num>
  <w:num w:numId="25">
    <w:abstractNumId w:val="24"/>
  </w:num>
  <w:num w:numId="26">
    <w:abstractNumId w:val="6"/>
  </w:num>
  <w:num w:numId="27">
    <w:abstractNumId w:val="40"/>
  </w:num>
  <w:num w:numId="28">
    <w:abstractNumId w:val="20"/>
  </w:num>
  <w:num w:numId="29">
    <w:abstractNumId w:val="36"/>
  </w:num>
  <w:num w:numId="30">
    <w:abstractNumId w:val="4"/>
  </w:num>
  <w:num w:numId="31">
    <w:abstractNumId w:val="25"/>
  </w:num>
  <w:num w:numId="32">
    <w:abstractNumId w:val="1"/>
  </w:num>
  <w:num w:numId="33">
    <w:abstractNumId w:val="11"/>
  </w:num>
  <w:num w:numId="34">
    <w:abstractNumId w:val="9"/>
  </w:num>
  <w:num w:numId="35">
    <w:abstractNumId w:val="45"/>
  </w:num>
  <w:num w:numId="36">
    <w:abstractNumId w:val="0"/>
  </w:num>
  <w:num w:numId="37">
    <w:abstractNumId w:val="2"/>
  </w:num>
  <w:num w:numId="38">
    <w:abstractNumId w:val="32"/>
  </w:num>
  <w:num w:numId="39">
    <w:abstractNumId w:val="14"/>
  </w:num>
  <w:num w:numId="40">
    <w:abstractNumId w:val="16"/>
  </w:num>
  <w:num w:numId="41">
    <w:abstractNumId w:val="15"/>
  </w:num>
  <w:num w:numId="42">
    <w:abstractNumId w:val="41"/>
  </w:num>
  <w:num w:numId="43">
    <w:abstractNumId w:val="29"/>
  </w:num>
  <w:num w:numId="44">
    <w:abstractNumId w:val="28"/>
  </w:num>
  <w:num w:numId="45">
    <w:abstractNumId w:val="21"/>
  </w:num>
  <w:num w:numId="46">
    <w:abstractNumId w:val="42"/>
  </w:num>
  <w:num w:numId="47">
    <w:abstractNumId w:val="19"/>
  </w:num>
  <w:num w:numId="48">
    <w:abstractNumId w:val="18"/>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01D2"/>
    <w:rsid w:val="003823A8"/>
    <w:rsid w:val="00397C1E"/>
    <w:rsid w:val="003A09E6"/>
    <w:rsid w:val="003B01FB"/>
    <w:rsid w:val="003B2C0D"/>
    <w:rsid w:val="003B3DAC"/>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3039"/>
    <w:rsid w:val="00B76BC6"/>
    <w:rsid w:val="00B96D69"/>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D52D3"/>
    <w:rsid w:val="00FE72DF"/>
    <w:rsid w:val="00FF2F91"/>
    <w:rsid w:val="010F094A"/>
    <w:rsid w:val="01944FA6"/>
    <w:rsid w:val="01AB4BCB"/>
    <w:rsid w:val="02663C42"/>
    <w:rsid w:val="02B47C4D"/>
    <w:rsid w:val="03082909"/>
    <w:rsid w:val="03D428DC"/>
    <w:rsid w:val="04363D68"/>
    <w:rsid w:val="04450729"/>
    <w:rsid w:val="04C176DC"/>
    <w:rsid w:val="04CB7F16"/>
    <w:rsid w:val="04D46768"/>
    <w:rsid w:val="04F90B5F"/>
    <w:rsid w:val="053A1CC8"/>
    <w:rsid w:val="05EE6E49"/>
    <w:rsid w:val="06620434"/>
    <w:rsid w:val="06856661"/>
    <w:rsid w:val="06B1240A"/>
    <w:rsid w:val="077B4608"/>
    <w:rsid w:val="07BB74B6"/>
    <w:rsid w:val="082D18F6"/>
    <w:rsid w:val="083770D5"/>
    <w:rsid w:val="08493DEA"/>
    <w:rsid w:val="086E4EC9"/>
    <w:rsid w:val="0AAD7567"/>
    <w:rsid w:val="0B6401BF"/>
    <w:rsid w:val="0B734A64"/>
    <w:rsid w:val="0B8221B0"/>
    <w:rsid w:val="0C5120E9"/>
    <w:rsid w:val="0CDE01F2"/>
    <w:rsid w:val="0DD201F4"/>
    <w:rsid w:val="0F34013A"/>
    <w:rsid w:val="0F4526B6"/>
    <w:rsid w:val="0F561F7E"/>
    <w:rsid w:val="0F8021FE"/>
    <w:rsid w:val="0FEA3E2B"/>
    <w:rsid w:val="10091618"/>
    <w:rsid w:val="11E6296C"/>
    <w:rsid w:val="12555FCD"/>
    <w:rsid w:val="131F396E"/>
    <w:rsid w:val="137C6286"/>
    <w:rsid w:val="139A1A89"/>
    <w:rsid w:val="13E968BA"/>
    <w:rsid w:val="13FB45D6"/>
    <w:rsid w:val="152B64B8"/>
    <w:rsid w:val="15740DA4"/>
    <w:rsid w:val="15786FC5"/>
    <w:rsid w:val="16EB6EA7"/>
    <w:rsid w:val="17033563"/>
    <w:rsid w:val="177C2B09"/>
    <w:rsid w:val="17E93414"/>
    <w:rsid w:val="18B83845"/>
    <w:rsid w:val="18D909A6"/>
    <w:rsid w:val="1924122C"/>
    <w:rsid w:val="195A6BC0"/>
    <w:rsid w:val="1A004525"/>
    <w:rsid w:val="1A935399"/>
    <w:rsid w:val="1C5670DA"/>
    <w:rsid w:val="1D7F4724"/>
    <w:rsid w:val="1DB37BCA"/>
    <w:rsid w:val="1DCF3C06"/>
    <w:rsid w:val="1E7C1811"/>
    <w:rsid w:val="1F377344"/>
    <w:rsid w:val="2002090E"/>
    <w:rsid w:val="204505AD"/>
    <w:rsid w:val="227A4EED"/>
    <w:rsid w:val="227F4BB4"/>
    <w:rsid w:val="228D0750"/>
    <w:rsid w:val="2339132D"/>
    <w:rsid w:val="23D10AF3"/>
    <w:rsid w:val="24786106"/>
    <w:rsid w:val="252C2672"/>
    <w:rsid w:val="25A5748F"/>
    <w:rsid w:val="25D85A3C"/>
    <w:rsid w:val="267B5704"/>
    <w:rsid w:val="267E19B6"/>
    <w:rsid w:val="26C55EA9"/>
    <w:rsid w:val="26D71319"/>
    <w:rsid w:val="26E95967"/>
    <w:rsid w:val="27DA59F1"/>
    <w:rsid w:val="27ED6337"/>
    <w:rsid w:val="288A4510"/>
    <w:rsid w:val="29FA270D"/>
    <w:rsid w:val="2A1D36D7"/>
    <w:rsid w:val="2B272BDA"/>
    <w:rsid w:val="2B3D4D7E"/>
    <w:rsid w:val="2B567EA6"/>
    <w:rsid w:val="2B9E3425"/>
    <w:rsid w:val="2BD84FDD"/>
    <w:rsid w:val="2BFA4386"/>
    <w:rsid w:val="2CD73EA3"/>
    <w:rsid w:val="2D845ED0"/>
    <w:rsid w:val="2F125E47"/>
    <w:rsid w:val="30381F4F"/>
    <w:rsid w:val="30717C09"/>
    <w:rsid w:val="30EB64B8"/>
    <w:rsid w:val="31C17EBE"/>
    <w:rsid w:val="32C879A6"/>
    <w:rsid w:val="344B5D1E"/>
    <w:rsid w:val="34A05B77"/>
    <w:rsid w:val="3649028E"/>
    <w:rsid w:val="36CF002D"/>
    <w:rsid w:val="37063CE0"/>
    <w:rsid w:val="37097428"/>
    <w:rsid w:val="37D529A9"/>
    <w:rsid w:val="384564E0"/>
    <w:rsid w:val="38AC36F6"/>
    <w:rsid w:val="38D440A8"/>
    <w:rsid w:val="38DD4BEB"/>
    <w:rsid w:val="398400F4"/>
    <w:rsid w:val="39BA0697"/>
    <w:rsid w:val="3A8F4B57"/>
    <w:rsid w:val="3B0350DF"/>
    <w:rsid w:val="3B5717C1"/>
    <w:rsid w:val="3BA93534"/>
    <w:rsid w:val="3BB071B3"/>
    <w:rsid w:val="3BB26AC4"/>
    <w:rsid w:val="3C35255B"/>
    <w:rsid w:val="3C7F5069"/>
    <w:rsid w:val="3CBF11A5"/>
    <w:rsid w:val="3CD81175"/>
    <w:rsid w:val="3CDF116D"/>
    <w:rsid w:val="3D3679ED"/>
    <w:rsid w:val="3E3B38F7"/>
    <w:rsid w:val="3ED76D29"/>
    <w:rsid w:val="3F87364A"/>
    <w:rsid w:val="408D7227"/>
    <w:rsid w:val="41407E51"/>
    <w:rsid w:val="416718EC"/>
    <w:rsid w:val="42161379"/>
    <w:rsid w:val="42960CA6"/>
    <w:rsid w:val="439D7A21"/>
    <w:rsid w:val="43D97719"/>
    <w:rsid w:val="443A7D3B"/>
    <w:rsid w:val="44480394"/>
    <w:rsid w:val="447267E8"/>
    <w:rsid w:val="44E431E5"/>
    <w:rsid w:val="45796354"/>
    <w:rsid w:val="45AE0F60"/>
    <w:rsid w:val="45CE4EAB"/>
    <w:rsid w:val="46B30DE6"/>
    <w:rsid w:val="46D12EDF"/>
    <w:rsid w:val="47C17E3C"/>
    <w:rsid w:val="484E5AF2"/>
    <w:rsid w:val="48584A6F"/>
    <w:rsid w:val="487E177E"/>
    <w:rsid w:val="48A964CF"/>
    <w:rsid w:val="48E155A0"/>
    <w:rsid w:val="492A4A83"/>
    <w:rsid w:val="495C1F5C"/>
    <w:rsid w:val="49AA71E7"/>
    <w:rsid w:val="49CE4F54"/>
    <w:rsid w:val="4ACF1AA0"/>
    <w:rsid w:val="4AF77150"/>
    <w:rsid w:val="4B4614E8"/>
    <w:rsid w:val="4B8B03E4"/>
    <w:rsid w:val="4C4C77BA"/>
    <w:rsid w:val="4CF70D26"/>
    <w:rsid w:val="4D9A3F67"/>
    <w:rsid w:val="4DDF67CC"/>
    <w:rsid w:val="4E1F656D"/>
    <w:rsid w:val="4EBE5040"/>
    <w:rsid w:val="4EE12BFB"/>
    <w:rsid w:val="4EE170BD"/>
    <w:rsid w:val="4F124ACB"/>
    <w:rsid w:val="4F1D2E5C"/>
    <w:rsid w:val="4F992540"/>
    <w:rsid w:val="4FC86547"/>
    <w:rsid w:val="50044053"/>
    <w:rsid w:val="50FA6A61"/>
    <w:rsid w:val="51794BC1"/>
    <w:rsid w:val="51870AB3"/>
    <w:rsid w:val="51AB5688"/>
    <w:rsid w:val="521C7F46"/>
    <w:rsid w:val="522602C5"/>
    <w:rsid w:val="5342144F"/>
    <w:rsid w:val="53B62265"/>
    <w:rsid w:val="53D25371"/>
    <w:rsid w:val="540F1FD2"/>
    <w:rsid w:val="54263859"/>
    <w:rsid w:val="543505B5"/>
    <w:rsid w:val="54CF6362"/>
    <w:rsid w:val="561F6663"/>
    <w:rsid w:val="57315BF2"/>
    <w:rsid w:val="57594B93"/>
    <w:rsid w:val="58DC10C5"/>
    <w:rsid w:val="594A6990"/>
    <w:rsid w:val="598C1076"/>
    <w:rsid w:val="59993766"/>
    <w:rsid w:val="59A776A2"/>
    <w:rsid w:val="5A2E0F40"/>
    <w:rsid w:val="5A5036F2"/>
    <w:rsid w:val="5B983EEB"/>
    <w:rsid w:val="5BEA43D9"/>
    <w:rsid w:val="5BF10504"/>
    <w:rsid w:val="5CBA6C97"/>
    <w:rsid w:val="5CE21445"/>
    <w:rsid w:val="5DD63F84"/>
    <w:rsid w:val="5E8307E5"/>
    <w:rsid w:val="5E9B42C6"/>
    <w:rsid w:val="5F2B46F9"/>
    <w:rsid w:val="5F2F7A39"/>
    <w:rsid w:val="604B6F0C"/>
    <w:rsid w:val="60507B10"/>
    <w:rsid w:val="60A60070"/>
    <w:rsid w:val="61A26997"/>
    <w:rsid w:val="622C21AB"/>
    <w:rsid w:val="62D00ABF"/>
    <w:rsid w:val="6364711E"/>
    <w:rsid w:val="639578ED"/>
    <w:rsid w:val="63FE6A8B"/>
    <w:rsid w:val="640C25AF"/>
    <w:rsid w:val="640E1B35"/>
    <w:rsid w:val="64270707"/>
    <w:rsid w:val="64822B90"/>
    <w:rsid w:val="64D811FE"/>
    <w:rsid w:val="65963642"/>
    <w:rsid w:val="65E5173B"/>
    <w:rsid w:val="66AD7A39"/>
    <w:rsid w:val="66B27F7B"/>
    <w:rsid w:val="6738117E"/>
    <w:rsid w:val="67BC414A"/>
    <w:rsid w:val="683A303D"/>
    <w:rsid w:val="68E97B63"/>
    <w:rsid w:val="6907700F"/>
    <w:rsid w:val="691C65DF"/>
    <w:rsid w:val="6960616F"/>
    <w:rsid w:val="6A4609EB"/>
    <w:rsid w:val="6A5B2F9C"/>
    <w:rsid w:val="6AD846D7"/>
    <w:rsid w:val="6B1E605C"/>
    <w:rsid w:val="6BFF0A4A"/>
    <w:rsid w:val="6C5E0507"/>
    <w:rsid w:val="6C6B5505"/>
    <w:rsid w:val="6CEF77DA"/>
    <w:rsid w:val="6CFF5361"/>
    <w:rsid w:val="6DB727AB"/>
    <w:rsid w:val="6DD134BB"/>
    <w:rsid w:val="6DD67943"/>
    <w:rsid w:val="6DF67C63"/>
    <w:rsid w:val="6E3F209B"/>
    <w:rsid w:val="6E4346F3"/>
    <w:rsid w:val="6F1D0D0A"/>
    <w:rsid w:val="6F2D5976"/>
    <w:rsid w:val="6F60315E"/>
    <w:rsid w:val="6F777C2A"/>
    <w:rsid w:val="6FD4701C"/>
    <w:rsid w:val="718438CB"/>
    <w:rsid w:val="71E80CD0"/>
    <w:rsid w:val="72062BA0"/>
    <w:rsid w:val="720860A3"/>
    <w:rsid w:val="725336E8"/>
    <w:rsid w:val="730B244E"/>
    <w:rsid w:val="731730B1"/>
    <w:rsid w:val="738154FE"/>
    <w:rsid w:val="745323E5"/>
    <w:rsid w:val="74667347"/>
    <w:rsid w:val="74783A1C"/>
    <w:rsid w:val="74AB354D"/>
    <w:rsid w:val="74B05132"/>
    <w:rsid w:val="74F35FC7"/>
    <w:rsid w:val="75A924F0"/>
    <w:rsid w:val="75D13EDB"/>
    <w:rsid w:val="75D716AE"/>
    <w:rsid w:val="76C52AAF"/>
    <w:rsid w:val="76C633D8"/>
    <w:rsid w:val="76DD0E1A"/>
    <w:rsid w:val="76E063E5"/>
    <w:rsid w:val="772A35DE"/>
    <w:rsid w:val="776C70ED"/>
    <w:rsid w:val="7787659C"/>
    <w:rsid w:val="78272ADD"/>
    <w:rsid w:val="785B100F"/>
    <w:rsid w:val="78AF300A"/>
    <w:rsid w:val="78B054C8"/>
    <w:rsid w:val="798425C1"/>
    <w:rsid w:val="79A35F22"/>
    <w:rsid w:val="79BF662E"/>
    <w:rsid w:val="7A751935"/>
    <w:rsid w:val="7AE46632"/>
    <w:rsid w:val="7B0434E3"/>
    <w:rsid w:val="7B2952F2"/>
    <w:rsid w:val="7BA659F7"/>
    <w:rsid w:val="7BDE3AD1"/>
    <w:rsid w:val="7C312C50"/>
    <w:rsid w:val="7C6D7232"/>
    <w:rsid w:val="7C777B41"/>
    <w:rsid w:val="7C793044"/>
    <w:rsid w:val="7C8C1BC6"/>
    <w:rsid w:val="7CDA3E9B"/>
    <w:rsid w:val="7CF24377"/>
    <w:rsid w:val="7D557177"/>
    <w:rsid w:val="7DE06CCB"/>
    <w:rsid w:val="7E256583"/>
    <w:rsid w:val="7E8D2AAF"/>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31</Pages>
  <Words>11863</Words>
  <Characters>12803</Characters>
  <Lines>130</Lines>
  <Paragraphs>36</Paragraphs>
  <TotalTime>6</TotalTime>
  <ScaleCrop>false</ScaleCrop>
  <LinksUpToDate>false</LinksUpToDate>
  <CharactersWithSpaces>15120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admin</cp:lastModifiedBy>
  <cp:lastPrinted>2023-07-13T07:12:00Z</cp:lastPrinted>
  <dcterms:modified xsi:type="dcterms:W3CDTF">2023-07-17T03:21:31Z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