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简体" w:eastAsia="方正小标宋简体" w:cs="方正小标宋简体"/>
          <w:b/>
          <w:sz w:val="72"/>
          <w:szCs w:val="72"/>
        </w:rPr>
        <w:t>询比价采购文件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_GBK" w:hAnsi="方正小标宋_GBK" w:eastAsia="方正小标宋_GBK" w:cs="方正小标宋_GBK"/>
          <w:b/>
          <w:sz w:val="32"/>
          <w:szCs w:val="32"/>
        </w:rPr>
        <w:t>深圳会展中心低压配电柜及抽屉柜检修项目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8</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8"/>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w:t>
      </w:r>
      <w:r>
        <w:fldChar w:fldCharType="end"/>
      </w:r>
      <w:r>
        <w:fldChar w:fldCharType="end"/>
      </w:r>
      <w:r>
        <w:rPr>
          <w:rFonts w:hint="eastAsia"/>
          <w:lang w:val="en-US" w:eastAsia="zh-CN"/>
        </w:rPr>
        <w:t>1</w:t>
      </w:r>
    </w:p>
    <w:p>
      <w:pPr>
        <w:pStyle w:val="8"/>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w:t>
      </w:r>
      <w:r>
        <w:fldChar w:fldCharType="end"/>
      </w:r>
      <w:r>
        <w:fldChar w:fldCharType="end"/>
      </w:r>
      <w:r>
        <w:rPr>
          <w:rFonts w:hint="eastAsia"/>
          <w:lang w:val="en-US" w:eastAsia="zh-CN"/>
        </w:rPr>
        <w:t>7</w:t>
      </w:r>
    </w:p>
    <w:p>
      <w:pPr>
        <w:pStyle w:val="10"/>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w:t>
      </w:r>
      <w:r>
        <w:fldChar w:fldCharType="end"/>
      </w:r>
      <w:r>
        <w:fldChar w:fldCharType="end"/>
      </w:r>
      <w:r>
        <w:rPr>
          <w:rFonts w:hint="eastAsia"/>
          <w:lang w:val="en-US" w:eastAsia="zh-CN"/>
        </w:rPr>
        <w:t>7</w:t>
      </w:r>
    </w:p>
    <w:p>
      <w:pPr>
        <w:pStyle w:val="10"/>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w:t>
      </w:r>
      <w:r>
        <w:fldChar w:fldCharType="end"/>
      </w:r>
      <w:r>
        <w:fldChar w:fldCharType="end"/>
      </w:r>
      <w:r>
        <w:rPr>
          <w:rFonts w:hint="eastAsia"/>
          <w:lang w:val="en-US" w:eastAsia="zh-CN"/>
        </w:rPr>
        <w:t>8</w:t>
      </w:r>
    </w:p>
    <w:p>
      <w:pPr>
        <w:pStyle w:val="10"/>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w:t>
      </w:r>
      <w:r>
        <w:fldChar w:fldCharType="end"/>
      </w:r>
      <w:r>
        <w:fldChar w:fldCharType="end"/>
      </w:r>
      <w:r>
        <w:rPr>
          <w:rFonts w:hint="eastAsia"/>
          <w:lang w:val="en-US" w:eastAsia="zh-CN"/>
        </w:rPr>
        <w:t>9</w:t>
      </w:r>
    </w:p>
    <w:p>
      <w:pPr>
        <w:pStyle w:val="10"/>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"_Toc116550363" </w:instrText>
      </w:r>
      <w:r>
        <w:fldChar w:fldCharType="separate"/>
      </w:r>
      <w:r>
        <w:rPr>
          <w:rStyle w:val="18"/>
          <w:rFonts w:ascii="宋体" w:hAnsi="宋体"/>
        </w:rPr>
        <w:t>附件4：考察证明</w:t>
      </w:r>
      <w:r>
        <w:tab/>
      </w:r>
      <w:r>
        <w:fldChar w:fldCharType="end"/>
      </w:r>
      <w:r>
        <w:rPr>
          <w:rFonts w:hint="eastAsia"/>
          <w:lang w:val="en-US" w:eastAsia="zh-CN"/>
        </w:rPr>
        <w:t>20</w:t>
      </w:r>
    </w:p>
    <w:p>
      <w:pPr>
        <w:pStyle w:val="10"/>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end"/>
      </w:r>
      <w:r>
        <w:rPr>
          <w:rFonts w:hint="eastAsia"/>
          <w:lang w:val="en-US" w:eastAsia="zh-CN"/>
        </w:rPr>
        <w:t>21</w:t>
      </w:r>
    </w:p>
    <w:p>
      <w:pPr>
        <w:pStyle w:val="10"/>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end"/>
      </w:r>
      <w:r>
        <w:rPr>
          <w:rFonts w:hint="eastAsia"/>
          <w:lang w:val="en-US" w:eastAsia="zh-CN"/>
        </w:rPr>
        <w:t>22</w:t>
      </w:r>
    </w:p>
    <w:p>
      <w:pPr>
        <w:pStyle w:val="10"/>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w:t>
      </w:r>
      <w:r>
        <w:fldChar w:fldCharType="end"/>
      </w:r>
      <w:r>
        <w:fldChar w:fldCharType="end"/>
      </w:r>
      <w:r>
        <w:rPr>
          <w:rFonts w:hint="eastAsia"/>
          <w:lang w:val="en-US" w:eastAsia="zh-CN"/>
        </w:rPr>
        <w:t>3</w:t>
      </w:r>
    </w:p>
    <w:p>
      <w:pPr>
        <w:pStyle w:val="10"/>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"_Toc116550367" </w:instrText>
      </w:r>
      <w:r>
        <w:fldChar w:fldCharType="separate"/>
      </w:r>
      <w:r>
        <w:rPr>
          <w:rStyle w:val="18"/>
          <w:rFonts w:ascii="宋体" w:hAnsi="宋体"/>
        </w:rPr>
        <w:t>附件8：报价一览表（服务）</w:t>
      </w:r>
      <w:r>
        <w:tab/>
      </w:r>
      <w:r>
        <w:fldChar w:fldCharType="begin"/>
      </w:r>
      <w:r>
        <w:instrText xml:space="preserve"> PAGEREF _Toc116550367 \h </w:instrText>
      </w:r>
      <w:r>
        <w:fldChar w:fldCharType="separate"/>
      </w:r>
      <w:r>
        <w:t>2</w:t>
      </w:r>
      <w:r>
        <w:fldChar w:fldCharType="end"/>
      </w:r>
      <w:r>
        <w:fldChar w:fldCharType="end"/>
      </w:r>
      <w:r>
        <w:rPr>
          <w:rFonts w:hint="eastAsia"/>
          <w:lang w:val="en-US" w:eastAsia="zh-CN"/>
        </w:rPr>
        <w:t>4</w:t>
      </w:r>
    </w:p>
    <w:p>
      <w:pPr>
        <w:pStyle w:val="10"/>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"_Toc116550368" </w:instrText>
      </w:r>
      <w:r>
        <w:fldChar w:fldCharType="separate"/>
      </w:r>
      <w:r>
        <w:rPr>
          <w:rStyle w:val="18"/>
          <w:rFonts w:ascii="宋体" w:hAnsi="宋体"/>
        </w:rPr>
        <w:t>附件9：报价一览表（工程）（本项目不适用）</w:t>
      </w:r>
      <w:r>
        <w:tab/>
      </w:r>
      <w:r>
        <w:fldChar w:fldCharType="begin"/>
      </w:r>
      <w:r>
        <w:instrText xml:space="preserve"> PAGEREF _Toc116550368 \h </w:instrText>
      </w:r>
      <w:r>
        <w:fldChar w:fldCharType="separate"/>
      </w:r>
      <w:r>
        <w:t>2</w:t>
      </w:r>
      <w:r>
        <w:fldChar w:fldCharType="end"/>
      </w:r>
      <w:r>
        <w:fldChar w:fldCharType="end"/>
      </w:r>
      <w:r>
        <w:rPr>
          <w:rFonts w:hint="eastAsia"/>
          <w:lang w:val="en-US" w:eastAsia="zh-CN"/>
        </w:rPr>
        <w:t>5</w:t>
      </w:r>
    </w:p>
    <w:p>
      <w:pPr>
        <w:pStyle w:val="10"/>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w:t>
      </w:r>
      <w:r>
        <w:fldChar w:fldCharType="end"/>
      </w:r>
      <w:r>
        <w:fldChar w:fldCharType="end"/>
      </w:r>
      <w:r>
        <w:rPr>
          <w:rFonts w:hint="eastAsia"/>
          <w:lang w:val="en-US" w:eastAsia="zh-CN"/>
        </w:rPr>
        <w:t>6</w:t>
      </w:r>
    </w:p>
    <w:p>
      <w:pPr>
        <w:pStyle w:val="10"/>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w:t>
      </w:r>
      <w:r>
        <w:fldChar w:fldCharType="end"/>
      </w:r>
      <w:r>
        <w:fldChar w:fldCharType="end"/>
      </w:r>
      <w:r>
        <w:rPr>
          <w:rFonts w:hint="eastAsia"/>
          <w:lang w:val="en-US" w:eastAsia="zh-CN"/>
        </w:rPr>
        <w:t>7</w:t>
      </w:r>
    </w:p>
    <w:p>
      <w:pPr>
        <w:pStyle w:val="10"/>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w:t>
      </w:r>
      <w:r>
        <w:fldChar w:fldCharType="end"/>
      </w:r>
      <w:r>
        <w:fldChar w:fldCharType="end"/>
      </w:r>
      <w:r>
        <w:rPr>
          <w:rFonts w:hint="eastAsia"/>
          <w:lang w:val="en-US" w:eastAsia="zh-CN"/>
        </w:rPr>
        <w:t>8</w:t>
      </w:r>
    </w:p>
    <w:p>
      <w:pPr>
        <w:pStyle w:val="10"/>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end"/>
      </w:r>
      <w:r>
        <w:rPr>
          <w:rFonts w:hint="eastAsia"/>
          <w:lang w:val="en-US" w:eastAsia="zh-CN"/>
        </w:rPr>
        <w:t>29</w:t>
      </w:r>
    </w:p>
    <w:p>
      <w:pPr>
        <w:pStyle w:val="10"/>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end"/>
      </w:r>
      <w:r>
        <w:rPr>
          <w:rFonts w:hint="eastAsia"/>
          <w:lang w:val="en-US" w:eastAsia="zh-CN"/>
        </w:rPr>
        <w:t>30</w:t>
      </w:r>
    </w:p>
    <w:p>
      <w:pPr>
        <w:pStyle w:val="10"/>
        <w:tabs>
          <w:tab w:val="right" w:leader="dot" w:pos="8296"/>
        </w:tabs>
        <w:ind w:left="0" w:leftChars="0"/>
        <w:rPr>
          <w:rFonts w:hint="default" w:eastAsia="宋体" w:asciiTheme="minorHAnsi" w:hAnsiTheme="minorHAnsi" w:cstheme="minorBidi"/>
          <w:szCs w:val="22"/>
          <w:lang w:val="en-US" w:eastAsia="zh-CN"/>
        </w:rPr>
      </w:pPr>
      <w:r>
        <w:rPr>
          <w:rFonts w:hint="eastAsia" w:asciiTheme="minorHAnsi" w:hAnsiTheme="minorHAnsi" w:cstheme="minorBidi"/>
          <w:szCs w:val="22"/>
          <w:lang w:val="en-US" w:eastAsia="zh-CN"/>
        </w:rPr>
        <w:t xml:space="preserve">    附件15：投标文件密码单</w:t>
      </w:r>
      <w:r>
        <w:tab/>
      </w:r>
      <w:r>
        <w:rPr>
          <w:rFonts w:hint="eastAsia"/>
          <w:lang w:val="en-US" w:eastAsia="zh-CN"/>
        </w:rPr>
        <w:t>31</w:t>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color w:val="auto"/>
                <w:szCs w:val="21"/>
                <w:highlight w:val="none"/>
              </w:rPr>
            </w:pPr>
            <w:r>
              <w:rPr>
                <w:rFonts w:hint="eastAsia" w:ascii="宋体" w:hAnsi="宋体"/>
                <w:szCs w:val="21"/>
              </w:rPr>
              <w:t>联系人：</w:t>
            </w:r>
            <w:r>
              <w:rPr>
                <w:rFonts w:hint="eastAsia" w:ascii="宋体" w:hAnsi="宋体" w:cs="宋体"/>
                <w:color w:val="auto"/>
                <w:szCs w:val="21"/>
                <w:highlight w:val="none"/>
              </w:rPr>
              <w:t>黄先生</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电话：0755-8284</w:t>
            </w:r>
            <w:r>
              <w:rPr>
                <w:rFonts w:hint="eastAsia" w:ascii="宋体" w:hAnsi="宋体" w:cs="宋体"/>
                <w:color w:val="auto"/>
                <w:szCs w:val="21"/>
                <w:highlight w:val="none"/>
              </w:rPr>
              <w:t>8822</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传真：0755-8284</w:t>
            </w:r>
            <w:r>
              <w:rPr>
                <w:rFonts w:hint="eastAsia" w:ascii="宋体" w:hAnsi="宋体" w:cs="宋体"/>
                <w:color w:val="auto"/>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color w:val="auto"/>
                <w:szCs w:val="21"/>
                <w:highlight w:val="none"/>
              </w:rPr>
              <w:t>邮箱：</w:t>
            </w:r>
            <w:r>
              <w:rPr>
                <w:rFonts w:hint="eastAsia" w:ascii="宋体" w:hAnsi="宋体" w:cs="宋体"/>
                <w:color w:val="auto"/>
                <w:szCs w:val="21"/>
                <w:highlight w:val="none"/>
              </w:rPr>
              <w:t>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深圳会展中心低压配电柜及抽屉柜检修项目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eastAsia="宋体" w:cs="宋体"/>
                <w:color w:val="auto"/>
                <w:sz w:val="21"/>
                <w:szCs w:val="21"/>
                <w:highlight w:val="none"/>
              </w:rPr>
              <w:t>根据国家相关规范，每年对供配电系统的</w:t>
            </w:r>
            <w:r>
              <w:rPr>
                <w:rFonts w:hint="eastAsia" w:ascii="宋体" w:hAnsi="宋体" w:cs="宋体"/>
                <w:color w:val="auto"/>
                <w:sz w:val="21"/>
                <w:szCs w:val="21"/>
                <w:highlight w:val="none"/>
                <w:lang w:val="en-US" w:eastAsia="zh-CN"/>
              </w:rPr>
              <w:t>29条变压器母线、255面</w:t>
            </w:r>
            <w:r>
              <w:rPr>
                <w:rFonts w:hint="eastAsia" w:ascii="宋体" w:hAnsi="宋体" w:eastAsia="宋体" w:cs="宋体"/>
                <w:color w:val="auto"/>
                <w:sz w:val="21"/>
                <w:szCs w:val="21"/>
                <w:highlight w:val="none"/>
              </w:rPr>
              <w:t>低压配电柜和</w:t>
            </w:r>
            <w:r>
              <w:rPr>
                <w:rFonts w:hint="eastAsia" w:ascii="宋体" w:hAnsi="宋体" w:cs="宋体"/>
                <w:color w:val="auto"/>
                <w:sz w:val="21"/>
                <w:szCs w:val="21"/>
                <w:highlight w:val="none"/>
                <w:lang w:val="en-US" w:eastAsia="zh-CN"/>
              </w:rPr>
              <w:t>829个</w:t>
            </w:r>
            <w:r>
              <w:rPr>
                <w:rFonts w:hint="eastAsia" w:ascii="宋体" w:hAnsi="宋体" w:eastAsia="宋体" w:cs="宋体"/>
                <w:color w:val="auto"/>
                <w:sz w:val="21"/>
                <w:szCs w:val="21"/>
                <w:highlight w:val="none"/>
              </w:rPr>
              <w:t>抽屉柜及出线电缆接头进行一次全面的维护保养</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会展中心1</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号</w:t>
            </w:r>
            <w:r>
              <w:rPr>
                <w:rFonts w:hint="eastAsia" w:ascii="宋体" w:hAnsi="宋体"/>
                <w:color w:val="auto"/>
                <w:szCs w:val="21"/>
                <w:highlight w:val="none"/>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https://cg.szcec.com/sharing/7VhkJiRlo，</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https://cg.szcec.com/sharing/j15lMTGd5，</w:t>
            </w:r>
            <w:r>
              <w:rPr>
                <w:rFonts w:hint="eastAsia" w:ascii="宋体" w:hAnsi="宋体"/>
                <w:szCs w:val="21"/>
              </w:rPr>
              <w:t>并致电确认</w:t>
            </w:r>
            <w:bookmarkStart w:id="2" w:name="_Toc478393187"/>
            <w:bookmarkStart w:id="3" w:name="_Toc478392822"/>
            <w:bookmarkStart w:id="4" w:name="_Toc47811053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10</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5分钟内将投标文件解密密码上传至https://cg.szcec.com/sharing/FqlUNIGL5</w:t>
            </w:r>
            <w:bookmarkStart w:id="89" w:name="_GoBack"/>
            <w:bookmarkEnd w:id="89"/>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A3"/>
            </w:r>
            <w:r>
              <w:rPr>
                <w:rFonts w:hint="eastAsia" w:ascii="宋体" w:hAnsi="宋体" w:cstheme="minorBidi"/>
                <w:kern w:val="0"/>
                <w:szCs w:val="21"/>
              </w:rPr>
              <w:t>不组织。可在本项目招标公告发布后至报名（文件获取）时间截止前自行踏勘。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sym w:font="Wingdings 2" w:char="0052"/>
            </w: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eastAsia="宋体"/>
                <w:kern w:val="0"/>
                <w:szCs w:val="21"/>
                <w:highlight w:val="yellow"/>
              </w:rPr>
              <w:t>202</w:t>
            </w:r>
            <w:r>
              <w:rPr>
                <w:rFonts w:hint="eastAsia" w:ascii="宋体" w:hAnsi="宋体" w:eastAsia="宋体"/>
                <w:kern w:val="0"/>
                <w:szCs w:val="21"/>
                <w:highlight w:val="yellow"/>
                <w:lang w:val="en-US" w:eastAsia="zh-CN"/>
              </w:rPr>
              <w:t>3</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8</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7</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10</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00</w:t>
            </w:r>
            <w:r>
              <w:rPr>
                <w:rFonts w:hint="eastAsia" w:ascii="宋体" w:hAnsi="宋体" w:eastAsia="宋体"/>
                <w:kern w:val="0"/>
                <w:szCs w:val="21"/>
              </w:rPr>
              <w:t>邀请投标人人员察看现场并讲解项目需求；参加本项目的现场踏勘。</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highlight w:val="yellow"/>
              </w:rPr>
            </w:pPr>
            <w:r>
              <w:rPr>
                <w:rFonts w:hint="eastAsia" w:ascii="宋体" w:hAnsi="宋体" w:eastAsia="宋体"/>
                <w:kern w:val="0"/>
                <w:szCs w:val="21"/>
              </w:rPr>
              <w:t>踏勘联系人：</w:t>
            </w:r>
            <w:r>
              <w:rPr>
                <w:rFonts w:hint="eastAsia" w:ascii="宋体" w:hAnsi="宋体" w:eastAsia="宋体"/>
                <w:kern w:val="0"/>
                <w:szCs w:val="21"/>
                <w:highlight w:val="yellow"/>
                <w:lang w:eastAsia="zh-CN"/>
              </w:rPr>
              <w:t>周工</w:t>
            </w:r>
          </w:p>
          <w:p>
            <w:pPr>
              <w:pStyle w:val="22"/>
              <w:tabs>
                <w:tab w:val="left" w:pos="541"/>
              </w:tabs>
              <w:snapToGrid w:val="0"/>
              <w:ind w:left="805" w:firstLine="0" w:firstLineChars="0"/>
              <w:rPr>
                <w:rFonts w:hint="default" w:ascii="宋体" w:hAnsi="宋体" w:eastAsia="宋体"/>
                <w:kern w:val="0"/>
                <w:szCs w:val="21"/>
                <w:highlight w:val="yellow"/>
                <w:lang w:val="en-US" w:eastAsia="zh-CN"/>
              </w:rPr>
            </w:pPr>
            <w:r>
              <w:rPr>
                <w:rFonts w:hint="eastAsia" w:ascii="宋体" w:hAnsi="宋体" w:eastAsia="宋体"/>
                <w:kern w:val="0"/>
                <w:szCs w:val="21"/>
                <w:highlight w:val="yellow"/>
              </w:rPr>
              <w:t>电话：0755-8284</w:t>
            </w:r>
            <w:r>
              <w:rPr>
                <w:rFonts w:hint="eastAsia" w:ascii="宋体" w:hAnsi="宋体" w:eastAsia="宋体"/>
                <w:kern w:val="0"/>
                <w:szCs w:val="21"/>
                <w:highlight w:val="yellow"/>
                <w:lang w:val="en-US" w:eastAsia="zh-CN"/>
              </w:rPr>
              <w:t>8819</w:t>
            </w:r>
            <w:r>
              <w:rPr>
                <w:rFonts w:hint="eastAsia" w:ascii="宋体" w:hAnsi="宋体" w:eastAsia="宋体"/>
                <w:kern w:val="0"/>
                <w:szCs w:val="21"/>
                <w:highlight w:val="yellow"/>
              </w:rPr>
              <w:t>，手机：</w:t>
            </w:r>
            <w:r>
              <w:rPr>
                <w:rFonts w:hint="eastAsia" w:ascii="宋体" w:hAnsi="宋体" w:eastAsia="宋体"/>
                <w:kern w:val="0"/>
                <w:szCs w:val="21"/>
                <w:highlight w:val="yellow"/>
                <w:lang w:val="en-US" w:eastAsia="zh-CN"/>
              </w:rPr>
              <w:t>18998919684</w:t>
            </w:r>
          </w:p>
          <w:p>
            <w:pPr>
              <w:pStyle w:val="22"/>
              <w:tabs>
                <w:tab w:val="left" w:pos="541"/>
              </w:tabs>
              <w:snapToGrid w:val="0"/>
              <w:ind w:left="805" w:firstLine="0" w:firstLineChars="0"/>
              <w:rPr>
                <w:rFonts w:hint="eastAsia" w:ascii="宋体" w:hAnsi="宋体" w:eastAsia="宋体"/>
                <w:kern w:val="0"/>
                <w:szCs w:val="21"/>
                <w:highlight w:val="yellow"/>
                <w:lang w:eastAsia="zh-CN"/>
              </w:rPr>
            </w:pPr>
            <w:r>
              <w:rPr>
                <w:rFonts w:hint="eastAsia" w:ascii="宋体" w:hAnsi="宋体" w:eastAsia="宋体"/>
                <w:kern w:val="0"/>
                <w:szCs w:val="21"/>
                <w:highlight w:val="yellow"/>
              </w:rPr>
              <w:t>集合地点：</w:t>
            </w:r>
            <w:r>
              <w:rPr>
                <w:rFonts w:hint="eastAsia" w:ascii="宋体" w:hAnsi="宋体" w:eastAsia="宋体"/>
                <w:kern w:val="0"/>
                <w:szCs w:val="21"/>
                <w:highlight w:val="yellow"/>
                <w:lang w:eastAsia="zh-CN"/>
              </w:rPr>
              <w:t>会展中心北二门</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703"/>
      <w:bookmarkEnd w:id="6"/>
      <w:bookmarkStart w:id="7" w:name="_Toc82685543"/>
      <w:bookmarkEnd w:id="7"/>
      <w:bookmarkStart w:id="8" w:name="_Toc82591925"/>
      <w:bookmarkEnd w:id="8"/>
      <w:bookmarkStart w:id="9" w:name="_Toc82684705"/>
      <w:bookmarkEnd w:id="9"/>
      <w:bookmarkStart w:id="10" w:name="_Toc82684591"/>
      <w:bookmarkEnd w:id="10"/>
      <w:bookmarkStart w:id="11" w:name="_Toc82684588"/>
      <w:bookmarkEnd w:id="11"/>
      <w:bookmarkStart w:id="12" w:name="_Toc82591926"/>
      <w:bookmarkEnd w:id="12"/>
      <w:bookmarkStart w:id="13" w:name="_Toc82684589"/>
      <w:bookmarkEnd w:id="13"/>
      <w:bookmarkStart w:id="14" w:name="_Toc82685540"/>
      <w:bookmarkEnd w:id="14"/>
      <w:bookmarkStart w:id="15" w:name="_Toc82684706"/>
      <w:bookmarkEnd w:id="15"/>
      <w:bookmarkStart w:id="16" w:name="_Toc82684590"/>
      <w:bookmarkEnd w:id="16"/>
      <w:bookmarkStart w:id="17" w:name="_Toc82591928"/>
      <w:bookmarkEnd w:id="17"/>
      <w:bookmarkStart w:id="18" w:name="_Toc82591927"/>
      <w:bookmarkEnd w:id="18"/>
      <w:bookmarkStart w:id="19" w:name="_Toc82684704"/>
      <w:bookmarkEnd w:id="19"/>
      <w:bookmarkStart w:id="20" w:name="_Toc82685541"/>
      <w:bookmarkEnd w:id="20"/>
      <w:bookmarkStart w:id="21" w:name="_Toc82685542"/>
      <w:bookmarkEnd w:id="21"/>
      <w:bookmarkStart w:id="22" w:name="_Toc116550346"/>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45028463"/>
      <w:bookmarkStart w:id="24" w:name="_Toc517278751"/>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5"/>
      <w:bookmarkEnd w:id="26"/>
      <w:bookmarkStart w:id="27" w:name="_Toc82591989"/>
      <w:bookmarkEnd w:id="27"/>
      <w:bookmarkStart w:id="28" w:name="_Toc82591988"/>
      <w:bookmarkEnd w:id="28"/>
      <w:bookmarkStart w:id="29" w:name="_Toc82591930"/>
      <w:bookmarkEnd w:id="29"/>
      <w:bookmarkStart w:id="30" w:name="_Toc82591987"/>
      <w:bookmarkEnd w:id="30"/>
      <w:bookmarkStart w:id="31" w:name="_Toc82685545"/>
      <w:bookmarkEnd w:id="31"/>
      <w:bookmarkStart w:id="32" w:name="_Toc82684593"/>
      <w:bookmarkEnd w:id="32"/>
      <w:bookmarkStart w:id="33" w:name="_Toc82684708"/>
      <w:bookmarkEnd w:id="33"/>
      <w:bookmarkStart w:id="34" w:name="_Toc82591986"/>
      <w:bookmarkEnd w:id="34"/>
      <w:bookmarkStart w:id="35" w:name="_Toc116550347"/>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0"/>
              </w:tabs>
              <w:snapToGrid w:val="0"/>
              <w:ind w:left="1" w:leftChars="0"/>
              <w:rPr>
                <w:rFonts w:hint="eastAsia" w:ascii="宋体" w:hAnsi="宋体"/>
                <w:color w:val="auto"/>
                <w:szCs w:val="21"/>
                <w:highlight w:val="none"/>
              </w:rPr>
            </w:pPr>
            <w:bookmarkStart w:id="37" w:name="OLE_LINK4"/>
            <w:bookmarkStart w:id="38" w:name="OLE_LINK3"/>
            <w:r>
              <w:rPr>
                <w:rFonts w:hint="eastAsia" w:ascii="宋体" w:hAnsi="宋体" w:cs="仿宋"/>
                <w:szCs w:val="21"/>
              </w:rPr>
              <w:t>（</w:t>
            </w:r>
            <w:r>
              <w:rPr>
                <w:rFonts w:hint="eastAsia" w:ascii="宋体" w:hAnsi="宋体"/>
                <w:color w:val="auto"/>
                <w:szCs w:val="21"/>
                <w:highlight w:val="none"/>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0"/>
              </w:tabs>
              <w:snapToGrid w:val="0"/>
              <w:ind w:left="1" w:leftChars="0"/>
              <w:rPr>
                <w:rFonts w:hint="eastAsia" w:ascii="宋体" w:hAnsi="宋体"/>
                <w:color w:val="auto"/>
                <w:szCs w:val="21"/>
                <w:highlight w:val="none"/>
              </w:rPr>
            </w:pPr>
            <w:r>
              <w:rPr>
                <w:rFonts w:hint="eastAsia" w:ascii="宋体" w:hAnsi="宋体"/>
                <w:color w:val="auto"/>
                <w:szCs w:val="21"/>
                <w:highlight w:val="none"/>
              </w:rPr>
              <w:t>（2）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0"/>
              </w:numPr>
              <w:tabs>
                <w:tab w:val="left" w:pos="0"/>
              </w:tabs>
              <w:snapToGrid w:val="0"/>
              <w:ind w:left="1" w:leftChars="0"/>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投标人</w:t>
            </w:r>
            <w:r>
              <w:rPr>
                <w:rFonts w:hint="eastAsia" w:ascii="宋体" w:hAnsi="宋体"/>
                <w:color w:val="auto"/>
                <w:szCs w:val="21"/>
                <w:highlight w:val="none"/>
                <w:lang w:val="en-US" w:eastAsia="zh-CN"/>
              </w:rPr>
              <w:t>至少</w:t>
            </w:r>
            <w:r>
              <w:rPr>
                <w:rFonts w:hint="eastAsia" w:ascii="宋体" w:hAnsi="宋体"/>
                <w:color w:val="auto"/>
                <w:szCs w:val="21"/>
                <w:highlight w:val="none"/>
              </w:rPr>
              <w:t>具有有效的</w:t>
            </w:r>
            <w:r>
              <w:rPr>
                <w:rFonts w:hint="eastAsia" w:ascii="宋体" w:hAnsi="宋体" w:cs="宋体"/>
                <w:color w:val="auto"/>
                <w:szCs w:val="21"/>
                <w:highlight w:val="none"/>
              </w:rPr>
              <w:t>建筑机电安装工程专业承包</w:t>
            </w:r>
            <w:r>
              <w:rPr>
                <w:rFonts w:hint="eastAsia" w:ascii="宋体" w:hAnsi="宋体" w:cs="宋体"/>
                <w:color w:val="auto"/>
                <w:szCs w:val="21"/>
                <w:highlight w:val="none"/>
                <w:lang w:val="en-US" w:eastAsia="zh-CN"/>
              </w:rPr>
              <w:t>叁级</w:t>
            </w:r>
            <w:r>
              <w:rPr>
                <w:rFonts w:hint="eastAsia" w:ascii="宋体" w:hAnsi="宋体" w:cs="宋体"/>
                <w:color w:val="auto"/>
                <w:szCs w:val="21"/>
                <w:highlight w:val="none"/>
              </w:rPr>
              <w:t>资质</w:t>
            </w:r>
            <w:r>
              <w:rPr>
                <w:rFonts w:hint="eastAsia" w:ascii="宋体" w:hAnsi="宋体" w:cs="宋体"/>
                <w:color w:val="auto"/>
                <w:szCs w:val="21"/>
                <w:highlight w:val="none"/>
                <w:lang w:eastAsia="zh-CN"/>
              </w:rPr>
              <w:t>或以上</w:t>
            </w:r>
            <w:r>
              <w:rPr>
                <w:rFonts w:hint="eastAsia" w:ascii="宋体" w:hAnsi="宋体"/>
                <w:color w:val="auto"/>
                <w:szCs w:val="21"/>
                <w:highlight w:val="none"/>
              </w:rPr>
              <w:t>。（提供相应证明文件复印件</w:t>
            </w:r>
            <w:r>
              <w:rPr>
                <w:rFonts w:hint="eastAsia" w:ascii="宋体" w:hAnsi="宋体" w:eastAsia="宋体"/>
                <w:color w:val="auto"/>
                <w:szCs w:val="21"/>
                <w:highlight w:val="none"/>
              </w:rPr>
              <w:t>或扫描件</w:t>
            </w:r>
            <w:r>
              <w:rPr>
                <w:rFonts w:hint="eastAsia" w:ascii="宋体" w:hAnsi="宋体"/>
                <w:color w:val="auto"/>
                <w:szCs w:val="21"/>
                <w:highlight w:val="none"/>
              </w:rPr>
              <w:t>并加盖投标人公章）</w:t>
            </w:r>
            <w:bookmarkEnd w:id="37"/>
            <w:bookmarkEnd w:id="38"/>
          </w:p>
          <w:p>
            <w:pPr>
              <w:numPr>
                <w:ilvl w:val="0"/>
                <w:numId w:val="0"/>
              </w:numPr>
              <w:tabs>
                <w:tab w:val="left" w:pos="531"/>
              </w:tabs>
              <w:snapToGrid w:val="0"/>
              <w:ind w:left="1" w:leftChars="0"/>
              <w:rPr>
                <w:rFonts w:ascii="宋体" w:hAnsi="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numPr>
                <w:ilvl w:val="0"/>
                <w:numId w:val="10"/>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0"/>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投标报价包括但不限于</w:t>
            </w:r>
            <w:r>
              <w:rPr>
                <w:rFonts w:hint="eastAsia" w:ascii="宋体" w:hAnsi="宋体"/>
                <w:color w:val="auto"/>
                <w:szCs w:val="21"/>
                <w:highlight w:val="none"/>
              </w:rPr>
              <w:t>材料费、施工费（拆卸及安装）、调试费、安全管理费、措施费及各项规费、垃圾清运、增值税费等</w:t>
            </w:r>
            <w:r>
              <w:rPr>
                <w:rFonts w:hint="eastAsia" w:ascii="宋体" w:hAnsi="宋体" w:cs="仿宋_GB2312"/>
                <w:color w:val="auto"/>
                <w:szCs w:val="21"/>
                <w:highlight w:val="none"/>
              </w:rPr>
              <w:t>完成本项目所需的全部费用。</w:t>
            </w:r>
          </w:p>
          <w:p>
            <w:pPr>
              <w:numPr>
                <w:ilvl w:val="0"/>
                <w:numId w:val="0"/>
              </w:numPr>
              <w:tabs>
                <w:tab w:val="left" w:pos="531"/>
              </w:tabs>
              <w:snapToGrid w:val="0"/>
              <w:ind w:leftChars="0"/>
              <w:rPr>
                <w:color w:val="auto"/>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yellow"/>
                <w:lang w:val="en-US" w:eastAsia="zh-CN"/>
              </w:rPr>
              <w:t>9.68</w:t>
            </w:r>
            <w:r>
              <w:rPr>
                <w:rFonts w:ascii="宋体" w:hAnsi="宋体" w:cs="宋体"/>
                <w:color w:val="auto"/>
                <w:szCs w:val="21"/>
                <w:highlight w:val="yellow"/>
              </w:rPr>
              <w:t>万元</w:t>
            </w:r>
            <w:r>
              <w:rPr>
                <w:rFonts w:ascii="宋体" w:hAnsi="宋体" w:cs="宋体"/>
                <w:color w:val="auto"/>
                <w:szCs w:val="21"/>
                <w:highlight w:val="none"/>
              </w:rPr>
              <w:t>（含税）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rPr>
                <w:rFonts w:ascii="宋体" w:hAnsi="宋体" w:cs="宋体"/>
                <w:color w:val="auto"/>
                <w:highlight w:val="none"/>
              </w:rPr>
            </w:pPr>
            <w:r>
              <w:rPr>
                <w:rFonts w:hint="eastAsia" w:ascii="宋体" w:hAnsi="宋体" w:cs="宋体"/>
                <w:color w:val="auto"/>
                <w:highlight w:val="none"/>
              </w:rPr>
              <w:t>本项目施工完毕且验收合格后，一次性支付合同总金额的97%。</w:t>
            </w:r>
          </w:p>
          <w:p>
            <w:pPr>
              <w:numPr>
                <w:ilvl w:val="0"/>
                <w:numId w:val="11"/>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合同总金额的3%款项留作质保金，待质保期满、无质量和遗留问题，且完成罚金、违约金等清算后，一次性支付剩余款项（不计利息）。</w:t>
            </w:r>
          </w:p>
          <w:p>
            <w:pPr>
              <w:numPr>
                <w:ilvl w:val="0"/>
                <w:numId w:val="11"/>
              </w:numPr>
              <w:tabs>
                <w:tab w:val="left" w:pos="531"/>
              </w:tabs>
              <w:snapToGrid w:val="0"/>
              <w:ind w:left="0" w:firstLine="0"/>
              <w:rPr>
                <w:color w:val="auto"/>
                <w:highlight w:val="none"/>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napToGrid/>
                <w:spacing w:val="0"/>
                <w:kern w:val="2"/>
                <w:sz w:val="21"/>
                <w:szCs w:val="21"/>
              </w:rPr>
              <w:t>工期要求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eastAsia="宋体" w:cs="宋体"/>
                <w:color w:val="FF0000"/>
                <w:highlight w:val="yellow"/>
              </w:rPr>
            </w:pPr>
            <w:r>
              <w:rPr>
                <w:rFonts w:hint="eastAsia" w:ascii="宋体" w:hAnsi="宋体" w:cs="宋体"/>
                <w:snapToGrid/>
                <w:spacing w:val="0"/>
                <w:kern w:val="2"/>
                <w:sz w:val="21"/>
                <w:szCs w:val="21"/>
              </w:rPr>
              <w:t>合同签订后，</w:t>
            </w:r>
            <w:r>
              <w:rPr>
                <w:rFonts w:hint="eastAsia" w:ascii="宋体" w:hAnsi="宋体" w:cs="宋体"/>
                <w:snapToGrid/>
                <w:spacing w:val="0"/>
                <w:kern w:val="2"/>
                <w:sz w:val="21"/>
                <w:szCs w:val="21"/>
                <w:lang w:val="en-US" w:eastAsia="zh-CN"/>
              </w:rPr>
              <w:t>15</w:t>
            </w:r>
            <w:r>
              <w:rPr>
                <w:rFonts w:hint="eastAsia" w:ascii="宋体" w:hAnsi="宋体" w:cs="宋体"/>
                <w:snapToGrid/>
                <w:spacing w:val="0"/>
                <w:kern w:val="2"/>
                <w:sz w:val="21"/>
                <w:szCs w:val="21"/>
              </w:rPr>
              <w:t>个日历日完成竣工验收。如遇不可抗拒或因配合招标人经营造成的工期延误，经招标人书面签字确认后可顺延合同工期。否则，招标人将按2000元/天的标准直接从当期应付款项中扣除相应款项作为违约金。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spacing w:val="0"/>
                <w:kern w:val="2"/>
                <w:sz w:val="21"/>
                <w:szCs w:val="21"/>
              </w:rPr>
            </w:pPr>
            <w:r>
              <w:rPr>
                <w:rFonts w:hint="eastAsia" w:ascii="宋体" w:hAnsi="宋体" w:cs="宋体"/>
                <w:snapToGrid/>
                <w:spacing w:val="0"/>
                <w:kern w:val="2"/>
                <w:sz w:val="21"/>
                <w:szCs w:val="21"/>
              </w:rPr>
              <w:t>验收标准</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Chars="0"/>
              <w:rPr>
                <w:rFonts w:hint="eastAsia"/>
              </w:rPr>
            </w:pPr>
            <w:r>
              <w:rPr>
                <w:rFonts w:hint="eastAsia"/>
                <w:lang w:val="en-US" w:eastAsia="zh-CN"/>
              </w:rPr>
              <w:t>施工需符合</w:t>
            </w:r>
            <w:r>
              <w:rPr>
                <w:rFonts w:hint="eastAsia"/>
              </w:rPr>
              <w:t>《</w:t>
            </w:r>
            <w:r>
              <w:rPr>
                <w:rFonts w:hint="eastAsia" w:ascii="宋体" w:hAnsi="宋体" w:eastAsia="宋体" w:cs="宋体"/>
                <w:sz w:val="21"/>
                <w:szCs w:val="21"/>
                <w:highlight w:val="none"/>
              </w:rPr>
              <w:t>电气装置安装工程盘</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柜及二次回路接线施工及验收规范</w:t>
            </w:r>
            <w:r>
              <w:rPr>
                <w:rFonts w:hint="eastAsia"/>
              </w:rPr>
              <w:t>》</w:t>
            </w:r>
            <w:r>
              <w:rPr>
                <w:rFonts w:hint="eastAsia" w:ascii="宋体" w:hAnsi="宋体" w:eastAsia="宋体" w:cs="宋体"/>
                <w:sz w:val="21"/>
                <w:szCs w:val="21"/>
                <w:highlight w:val="none"/>
              </w:rPr>
              <w:t>GB50171-2012</w:t>
            </w:r>
            <w:r>
              <w:rPr>
                <w:rFonts w:hint="eastAsia"/>
                <w:lang w:val="en-US" w:eastAsia="zh-CN"/>
              </w:rPr>
              <w:t>标准。</w:t>
            </w:r>
          </w:p>
          <w:p>
            <w:pPr>
              <w:pStyle w:val="2"/>
              <w:numPr>
                <w:ilvl w:val="0"/>
                <w:numId w:val="12"/>
              </w:numPr>
              <w:ind w:left="14" w:leftChars="0" w:hanging="14" w:hangingChars="7"/>
              <w:rPr>
                <w:rFonts w:hint="eastAsia"/>
              </w:rPr>
            </w:pPr>
            <w:r>
              <w:rPr>
                <w:rFonts w:hint="eastAsia" w:ascii="Times New Roman" w:hAnsi="Times New Roman" w:cs="Times New Roman"/>
                <w:color w:val="auto"/>
                <w:spacing w:val="0"/>
                <w:kern w:val="2"/>
                <w:sz w:val="21"/>
                <w:highlight w:val="none"/>
              </w:rPr>
              <w:t>施工完毕</w:t>
            </w:r>
            <w:r>
              <w:rPr>
                <w:rFonts w:hint="eastAsia" w:ascii="Times New Roman" w:hAnsi="Times New Roman" w:cs="Times New Roman"/>
                <w:spacing w:val="0"/>
                <w:kern w:val="2"/>
                <w:sz w:val="21"/>
                <w:szCs w:val="24"/>
                <w:lang w:eastAsia="zh-CN"/>
              </w:rPr>
              <w:t>投标人</w:t>
            </w:r>
            <w:r>
              <w:rPr>
                <w:rFonts w:hint="eastAsia" w:ascii="Times New Roman" w:hAnsi="Times New Roman" w:cs="Times New Roman"/>
                <w:spacing w:val="0"/>
                <w:kern w:val="2"/>
                <w:sz w:val="21"/>
                <w:szCs w:val="24"/>
              </w:rPr>
              <w:t>须提</w:t>
            </w:r>
            <w:r>
              <w:rPr>
                <w:rFonts w:hint="eastAsia" w:ascii="Times New Roman" w:hAnsi="Times New Roman" w:cs="Times New Roman"/>
                <w:spacing w:val="0"/>
                <w:kern w:val="2"/>
                <w:sz w:val="21"/>
                <w:szCs w:val="24"/>
                <w:lang w:val="en-US" w:eastAsia="zh-CN"/>
              </w:rPr>
              <w:t>交验收</w:t>
            </w:r>
            <w:r>
              <w:rPr>
                <w:rFonts w:hint="eastAsia" w:ascii="Times New Roman" w:hAnsi="Times New Roman" w:cs="Times New Roman"/>
                <w:spacing w:val="0"/>
                <w:kern w:val="2"/>
                <w:sz w:val="21"/>
                <w:szCs w:val="24"/>
              </w:rPr>
              <w:t>报告，</w:t>
            </w:r>
            <w:r>
              <w:rPr>
                <w:rFonts w:hint="eastAsia" w:ascii="Times New Roman" w:hAnsi="Times New Roman" w:cs="Times New Roman"/>
                <w:spacing w:val="0"/>
                <w:kern w:val="2"/>
                <w:sz w:val="21"/>
                <w:szCs w:val="24"/>
                <w:lang w:val="en-US" w:eastAsia="zh-CN"/>
              </w:rPr>
              <w:t>经招标人验收合格后支付合同款的97%。如在验收过程中发现服务未达</w:t>
            </w:r>
            <w:r>
              <w:rPr>
                <w:rFonts w:hint="eastAsia" w:ascii="Times New Roman" w:hAnsi="Times New Roman" w:cs="Times New Roman"/>
                <w:spacing w:val="0"/>
                <w:kern w:val="2"/>
                <w:sz w:val="21"/>
                <w:szCs w:val="24"/>
              </w:rPr>
              <w:t>国家、所属地政府</w:t>
            </w:r>
            <w:r>
              <w:rPr>
                <w:rFonts w:hint="eastAsia" w:ascii="Times New Roman" w:hAnsi="Times New Roman" w:cs="Times New Roman"/>
                <w:spacing w:val="0"/>
                <w:kern w:val="2"/>
                <w:sz w:val="21"/>
                <w:szCs w:val="24"/>
                <w:lang w:val="en-US" w:eastAsia="zh-CN"/>
              </w:rPr>
              <w:t>服务规范要求、未全部完成合同规定内容或存在其他整改内容的情况，则需要中标人按合同要求后完成服务后，扣除罚款项后支付剩余服务款。</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val="en-US" w:eastAsia="zh-CN"/>
              </w:rPr>
            </w:pPr>
            <w:r>
              <w:rPr>
                <w:rFonts w:hint="eastAsia" w:ascii="宋体" w:hAnsi="宋体" w:cs="宋体"/>
                <w:b w:val="0"/>
                <w:bCs/>
                <w:szCs w:val="21"/>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eastAsia="zh-CN"/>
              </w:rPr>
            </w:pPr>
            <w:r>
              <w:rPr>
                <w:rFonts w:hint="eastAsia" w:ascii="宋体" w:hAnsi="宋体" w:cs="宋体"/>
                <w:b w:val="0"/>
                <w:bCs/>
                <w:szCs w:val="21"/>
                <w:lang w:eastAsia="zh-CN"/>
              </w:rPr>
              <w:t>项目地点</w:t>
            </w:r>
          </w:p>
        </w:tc>
        <w:tc>
          <w:tcPr>
            <w:tcW w:w="743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default" w:ascii="宋体" w:hAnsi="宋体" w:eastAsia="宋体" w:cs="宋体"/>
                <w:b/>
                <w:szCs w:val="21"/>
                <w:lang w:val="en-US" w:eastAsia="zh-CN"/>
              </w:rPr>
            </w:pPr>
            <w:r>
              <w:rPr>
                <w:rFonts w:hint="eastAsia" w:ascii="宋体" w:hAnsi="宋体" w:cs="宋体"/>
                <w:b w:val="0"/>
                <w:bCs/>
                <w:szCs w:val="21"/>
                <w:lang w:eastAsia="zh-CN"/>
              </w:rPr>
              <w:t>会展中心</w:t>
            </w:r>
            <w:r>
              <w:rPr>
                <w:rFonts w:hint="eastAsia" w:ascii="宋体" w:hAnsi="宋体" w:cs="宋体"/>
                <w:b w:val="0"/>
                <w:bCs/>
                <w:szCs w:val="21"/>
                <w:lang w:val="en-US" w:eastAsia="zh-CN"/>
              </w:rPr>
              <w:t>1-6号配电室。</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rPr>
              <w:t>工程量清单</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spacing w:line="264" w:lineRule="auto"/>
              <w:ind w:firstLine="480"/>
              <w:jc w:val="left"/>
              <w:rPr>
                <w:rFonts w:hint="eastAsia" w:ascii="宋体" w:hAnsi="宋体" w:eastAsia="宋体" w:cs="宋体"/>
                <w:sz w:val="21"/>
                <w:szCs w:val="21"/>
              </w:rPr>
            </w:pPr>
            <w:r>
              <w:rPr>
                <w:rFonts w:hint="eastAsia" w:ascii="宋体" w:hAnsi="宋体" w:eastAsia="宋体" w:cs="宋体"/>
                <w:sz w:val="21"/>
                <w:szCs w:val="21"/>
              </w:rPr>
              <w:t>会展中心6个配电室的</w:t>
            </w:r>
            <w:r>
              <w:rPr>
                <w:rFonts w:hint="eastAsia" w:ascii="宋体" w:hAnsi="宋体" w:eastAsia="宋体" w:cs="宋体"/>
                <w:sz w:val="21"/>
                <w:szCs w:val="21"/>
                <w:lang w:val="en-US" w:eastAsia="zh-CN"/>
              </w:rPr>
              <w:t>29条变压器母线、</w:t>
            </w:r>
            <w:r>
              <w:rPr>
                <w:rFonts w:hint="eastAsia" w:ascii="宋体" w:hAnsi="宋体" w:eastAsia="宋体" w:cs="宋体"/>
                <w:sz w:val="21"/>
                <w:szCs w:val="21"/>
              </w:rPr>
              <w:t>255面低压配电柜和829面抽屉柜及相应出线电缆接头按照相关规范要求进行一次全面的维护保养。</w:t>
            </w:r>
          </w:p>
          <w:p>
            <w:pPr>
              <w:pStyle w:val="22"/>
              <w:spacing w:line="264"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低压抽屉柜检修数量表</w:t>
            </w:r>
          </w:p>
          <w:tbl>
            <w:tblPr>
              <w:tblStyle w:val="14"/>
              <w:tblpPr w:leftFromText="180" w:rightFromText="180" w:vertAnchor="text" w:horzAnchor="margin" w:tblpXSpec="center" w:tblpY="-130"/>
              <w:tblOverlap w:val="never"/>
              <w:tblW w:w="6206" w:type="dxa"/>
              <w:tblInd w:w="0" w:type="dxa"/>
              <w:tblLayout w:type="fixed"/>
              <w:tblCellMar>
                <w:top w:w="0" w:type="dxa"/>
                <w:left w:w="108" w:type="dxa"/>
                <w:bottom w:w="0" w:type="dxa"/>
                <w:right w:w="108" w:type="dxa"/>
              </w:tblCellMar>
            </w:tblPr>
            <w:tblGrid>
              <w:gridCol w:w="601"/>
              <w:gridCol w:w="601"/>
              <w:gridCol w:w="601"/>
              <w:gridCol w:w="601"/>
              <w:gridCol w:w="601"/>
              <w:gridCol w:w="601"/>
              <w:gridCol w:w="601"/>
              <w:gridCol w:w="601"/>
              <w:gridCol w:w="601"/>
              <w:gridCol w:w="797"/>
            </w:tblGrid>
            <w:tr>
              <w:tblPrEx>
                <w:tblCellMar>
                  <w:top w:w="0" w:type="dxa"/>
                  <w:left w:w="108" w:type="dxa"/>
                  <w:bottom w:w="0" w:type="dxa"/>
                  <w:right w:w="108" w:type="dxa"/>
                </w:tblCellMar>
              </w:tblPrEx>
              <w:trPr>
                <w:trHeight w:val="330"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型号</w:t>
                  </w:r>
                </w:p>
              </w:tc>
              <w:tc>
                <w:tcPr>
                  <w:tcW w:w="6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1#配电室</w:t>
                  </w:r>
                </w:p>
              </w:tc>
              <w:tc>
                <w:tcPr>
                  <w:tcW w:w="6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2#配电室</w:t>
                  </w:r>
                </w:p>
              </w:tc>
              <w:tc>
                <w:tcPr>
                  <w:tcW w:w="6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3#配电室</w:t>
                  </w:r>
                </w:p>
              </w:tc>
              <w:tc>
                <w:tcPr>
                  <w:tcW w:w="6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4#配电室</w:t>
                  </w:r>
                </w:p>
              </w:tc>
              <w:tc>
                <w:tcPr>
                  <w:tcW w:w="6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5#配电室</w:t>
                  </w:r>
                </w:p>
              </w:tc>
              <w:tc>
                <w:tcPr>
                  <w:tcW w:w="6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6#配电室</w:t>
                  </w:r>
                </w:p>
              </w:tc>
              <w:tc>
                <w:tcPr>
                  <w:tcW w:w="6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合计</w:t>
                  </w:r>
                </w:p>
              </w:tc>
              <w:tc>
                <w:tcPr>
                  <w:tcW w:w="79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总计</w:t>
                  </w:r>
                </w:p>
              </w:tc>
            </w:tr>
            <w:tr>
              <w:tblPrEx>
                <w:tblCellMar>
                  <w:top w:w="0" w:type="dxa"/>
                  <w:left w:w="108" w:type="dxa"/>
                  <w:bottom w:w="0" w:type="dxa"/>
                  <w:right w:w="108" w:type="dxa"/>
                </w:tblCellMar>
              </w:tblPrEx>
              <w:trPr>
                <w:trHeight w:val="330" w:hRule="atLeast"/>
              </w:trPr>
              <w:tc>
                <w:tcPr>
                  <w:tcW w:w="601"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抽屉柜</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630A</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96</w:t>
                  </w:r>
                </w:p>
              </w:tc>
              <w:tc>
                <w:tcPr>
                  <w:tcW w:w="797"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1"/>
                      <w:szCs w:val="21"/>
                    </w:rPr>
                    <w:t>829</w:t>
                  </w:r>
                </w:p>
              </w:tc>
            </w:tr>
            <w:tr>
              <w:tblPrEx>
                <w:tblCellMar>
                  <w:top w:w="0" w:type="dxa"/>
                  <w:left w:w="108" w:type="dxa"/>
                  <w:bottom w:w="0" w:type="dxa"/>
                  <w:right w:w="108" w:type="dxa"/>
                </w:tblCellMar>
              </w:tblPrEx>
              <w:trPr>
                <w:trHeight w:val="330" w:hRule="atLeast"/>
              </w:trPr>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600A</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w:t>
                  </w:r>
                </w:p>
              </w:tc>
              <w:tc>
                <w:tcPr>
                  <w:tcW w:w="79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500A</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41</w:t>
                  </w:r>
                </w:p>
              </w:tc>
              <w:tc>
                <w:tcPr>
                  <w:tcW w:w="79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400A</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23</w:t>
                  </w:r>
                </w:p>
              </w:tc>
              <w:tc>
                <w:tcPr>
                  <w:tcW w:w="79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300A</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26</w:t>
                  </w:r>
                </w:p>
              </w:tc>
              <w:tc>
                <w:tcPr>
                  <w:tcW w:w="79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250A</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49</w:t>
                  </w:r>
                </w:p>
              </w:tc>
              <w:tc>
                <w:tcPr>
                  <w:tcW w:w="79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200A</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16</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26</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26</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19</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19</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118</w:t>
                  </w:r>
                </w:p>
              </w:tc>
              <w:tc>
                <w:tcPr>
                  <w:tcW w:w="79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150A</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27</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19</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19</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28</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103</w:t>
                  </w:r>
                </w:p>
              </w:tc>
              <w:tc>
                <w:tcPr>
                  <w:tcW w:w="79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100A</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45</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55</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49</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47</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25</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17</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238</w:t>
                  </w:r>
                </w:p>
              </w:tc>
              <w:tc>
                <w:tcPr>
                  <w:tcW w:w="79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75A</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16</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22</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63</w:t>
                  </w:r>
                </w:p>
              </w:tc>
              <w:tc>
                <w:tcPr>
                  <w:tcW w:w="79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rPr>
                <w:trHeight w:val="330" w:hRule="atLeast"/>
              </w:trPr>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50A</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14</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54</w:t>
                  </w:r>
                </w:p>
              </w:tc>
              <w:tc>
                <w:tcPr>
                  <w:tcW w:w="79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30A</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79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bl>
          <w:p>
            <w:pPr>
              <w:rPr>
                <w:rFonts w:hint="eastAsia" w:ascii="宋体" w:hAnsi="宋体" w:cs="宋体"/>
                <w:vanish/>
                <w:szCs w:val="21"/>
              </w:rPr>
            </w:pPr>
          </w:p>
          <w:tbl>
            <w:tblPr>
              <w:tblStyle w:val="14"/>
              <w:tblW w:w="5932"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649"/>
              <w:gridCol w:w="682"/>
              <w:gridCol w:w="695"/>
              <w:gridCol w:w="805"/>
              <w:gridCol w:w="695"/>
              <w:gridCol w:w="72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设备类型</w:t>
                  </w:r>
                </w:p>
              </w:tc>
              <w:tc>
                <w:tcPr>
                  <w:tcW w:w="649" w:type="dxa"/>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1#配电室</w:t>
                  </w:r>
                </w:p>
              </w:tc>
              <w:tc>
                <w:tcPr>
                  <w:tcW w:w="682" w:type="dxa"/>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2#配电室</w:t>
                  </w:r>
                </w:p>
              </w:tc>
              <w:tc>
                <w:tcPr>
                  <w:tcW w:w="695" w:type="dxa"/>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3#配电室</w:t>
                  </w:r>
                </w:p>
              </w:tc>
              <w:tc>
                <w:tcPr>
                  <w:tcW w:w="805" w:type="dxa"/>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4#配电室</w:t>
                  </w:r>
                </w:p>
              </w:tc>
              <w:tc>
                <w:tcPr>
                  <w:tcW w:w="695" w:type="dxa"/>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5#配电室</w:t>
                  </w:r>
                </w:p>
              </w:tc>
              <w:tc>
                <w:tcPr>
                  <w:tcW w:w="723" w:type="dxa"/>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6#配电室</w:t>
                  </w:r>
                </w:p>
              </w:tc>
              <w:tc>
                <w:tcPr>
                  <w:tcW w:w="750" w:type="dxa"/>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低压配电柜</w:t>
                  </w:r>
                </w:p>
              </w:tc>
              <w:tc>
                <w:tcPr>
                  <w:tcW w:w="649"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58</w:t>
                  </w:r>
                </w:p>
              </w:tc>
              <w:tc>
                <w:tcPr>
                  <w:tcW w:w="682"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59</w:t>
                  </w:r>
                </w:p>
              </w:tc>
              <w:tc>
                <w:tcPr>
                  <w:tcW w:w="695"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51</w:t>
                  </w:r>
                </w:p>
              </w:tc>
              <w:tc>
                <w:tcPr>
                  <w:tcW w:w="805"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58</w:t>
                  </w:r>
                </w:p>
              </w:tc>
              <w:tc>
                <w:tcPr>
                  <w:tcW w:w="695"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w:t>
                  </w:r>
                </w:p>
              </w:tc>
              <w:tc>
                <w:tcPr>
                  <w:tcW w:w="723"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w:t>
                  </w:r>
                </w:p>
              </w:tc>
              <w:tc>
                <w:tcPr>
                  <w:tcW w:w="750"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3"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变压器母线</w:t>
                  </w:r>
                </w:p>
              </w:tc>
              <w:tc>
                <w:tcPr>
                  <w:tcW w:w="649"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682"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695"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805"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695"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723"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750" w:type="dxa"/>
                  <w:noWrap w:val="0"/>
                  <w:vAlign w:val="top"/>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29</w:t>
                  </w:r>
                </w:p>
              </w:tc>
            </w:tr>
          </w:tbl>
          <w:p>
            <w:pPr>
              <w:numPr>
                <w:ilvl w:val="0"/>
                <w:numId w:val="0"/>
              </w:numPr>
              <w:tabs>
                <w:tab w:val="left" w:pos="535"/>
              </w:tabs>
              <w:snapToGrid w:val="0"/>
              <w:ind w:leftChars="0"/>
              <w:jc w:val="left"/>
              <w:rPr>
                <w:rFonts w:ascii="宋体" w:hAnsi="宋体"/>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rPr>
              <w:t>安装调试和施工要求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5"/>
              </w:tabs>
              <w:snapToGrid w:val="0"/>
              <w:rPr>
                <w:rFonts w:hint="eastAsia"/>
              </w:rPr>
            </w:pPr>
            <w:r>
              <w:rPr>
                <w:rFonts w:hint="eastAsia"/>
              </w:rPr>
              <w:t>投标人需提交</w:t>
            </w:r>
            <w:r>
              <w:rPr>
                <w:rFonts w:hint="eastAsia"/>
                <w:lang w:eastAsia="zh-CN"/>
              </w:rPr>
              <w:t>检修</w:t>
            </w:r>
            <w:r>
              <w:rPr>
                <w:rFonts w:hint="eastAsia"/>
              </w:rPr>
              <w:t>方案,包括但不限于人员组织、施工工艺、施工进度表、安全管理措施等。</w:t>
            </w:r>
          </w:p>
          <w:p>
            <w:pPr>
              <w:numPr>
                <w:ilvl w:val="0"/>
                <w:numId w:val="13"/>
              </w:numPr>
              <w:tabs>
                <w:tab w:val="left" w:pos="535"/>
              </w:tabs>
              <w:snapToGrid w:val="0"/>
              <w:rPr>
                <w:rFonts w:hint="eastAsia"/>
              </w:rPr>
            </w:pPr>
            <w:r>
              <w:rPr>
                <w:rFonts w:hint="eastAsia"/>
              </w:rPr>
              <w:t>在</w:t>
            </w:r>
            <w:r>
              <w:rPr>
                <w:rFonts w:hint="eastAsia"/>
                <w:lang w:eastAsia="zh-CN"/>
              </w:rPr>
              <w:t>维护保养</w:t>
            </w:r>
            <w:r>
              <w:rPr>
                <w:rFonts w:hint="eastAsia"/>
              </w:rPr>
              <w:t>中如发现除本项目涉及的不合格设备、材料的，由</w:t>
            </w:r>
            <w:r>
              <w:rPr>
                <w:rFonts w:hint="eastAsia"/>
                <w:lang w:eastAsia="zh-CN"/>
              </w:rPr>
              <w:t>招标人</w:t>
            </w:r>
            <w:r>
              <w:rPr>
                <w:rFonts w:hint="eastAsia"/>
              </w:rPr>
              <w:t>负责采购相应设备、材料，</w:t>
            </w:r>
            <w:r>
              <w:rPr>
                <w:rFonts w:hint="eastAsia"/>
                <w:lang w:val="en-US" w:eastAsia="zh-CN"/>
              </w:rPr>
              <w:t>投标人免费</w:t>
            </w:r>
            <w:r>
              <w:rPr>
                <w:rFonts w:hint="eastAsia"/>
              </w:rPr>
              <w:t>负责安装调试</w:t>
            </w:r>
            <w:r>
              <w:rPr>
                <w:rFonts w:hint="eastAsia"/>
                <w:lang w:eastAsia="zh-CN"/>
              </w:rPr>
              <w:t>。一次线螺丝有损坏</w:t>
            </w:r>
            <w:r>
              <w:rPr>
                <w:rFonts w:hint="eastAsia"/>
                <w:lang w:val="en-US" w:eastAsia="zh-CN"/>
              </w:rPr>
              <w:t>的，由投标人免费提供</w:t>
            </w:r>
            <w:r>
              <w:rPr>
                <w:rFonts w:hint="eastAsia"/>
                <w:lang w:eastAsia="zh-CN"/>
              </w:rPr>
              <w:t>螺丝（国标</w:t>
            </w:r>
            <w:r>
              <w:rPr>
                <w:rFonts w:hint="eastAsia"/>
                <w:lang w:val="en-US" w:eastAsia="zh-CN"/>
              </w:rPr>
              <w:t>8.8级镀锌</w:t>
            </w:r>
            <w:r>
              <w:rPr>
                <w:rFonts w:hint="eastAsia"/>
                <w:lang w:eastAsia="zh-CN"/>
              </w:rPr>
              <w:t>）</w:t>
            </w:r>
            <w:r>
              <w:rPr>
                <w:rFonts w:hint="eastAsia"/>
                <w:lang w:val="en-US" w:eastAsia="zh-CN"/>
              </w:rPr>
              <w:t>并</w:t>
            </w:r>
            <w:r>
              <w:rPr>
                <w:rFonts w:hint="eastAsia"/>
                <w:lang w:eastAsia="zh-CN"/>
              </w:rPr>
              <w:t>负责更换</w:t>
            </w:r>
            <w:r>
              <w:rPr>
                <w:rFonts w:hint="eastAsia"/>
              </w:rPr>
              <w:t>。</w:t>
            </w:r>
          </w:p>
          <w:p>
            <w:pPr>
              <w:numPr>
                <w:ilvl w:val="0"/>
                <w:numId w:val="13"/>
              </w:numPr>
              <w:tabs>
                <w:tab w:val="left" w:pos="535"/>
              </w:tabs>
              <w:snapToGrid w:val="0"/>
              <w:rPr>
                <w:rFonts w:hint="eastAsia"/>
              </w:rPr>
            </w:pPr>
            <w:r>
              <w:rPr>
                <w:rFonts w:hint="eastAsia"/>
              </w:rPr>
              <w:t>投标人须根据施工现场的实际情况，制定并提交紧急情况或意外事故的应急预案。</w:t>
            </w:r>
          </w:p>
          <w:p>
            <w:pPr>
              <w:numPr>
                <w:ilvl w:val="0"/>
                <w:numId w:val="13"/>
              </w:numPr>
              <w:tabs>
                <w:tab w:val="left" w:pos="535"/>
              </w:tabs>
              <w:snapToGrid w:val="0"/>
              <w:rPr>
                <w:rFonts w:hint="eastAsia"/>
              </w:rPr>
            </w:pPr>
            <w:r>
              <w:rPr>
                <w:rFonts w:hint="eastAsia" w:ascii="宋体" w:hAnsi="宋体" w:cs="仿宋"/>
                <w:bCs/>
                <w:szCs w:val="21"/>
              </w:rPr>
              <w:t>投标人</w:t>
            </w:r>
            <w:r>
              <w:rPr>
                <w:rFonts w:hint="eastAsia"/>
              </w:rPr>
              <w:t>要熟悉</w:t>
            </w:r>
            <w:r>
              <w:rPr>
                <w:rFonts w:hint="eastAsia"/>
                <w:lang w:eastAsia="zh-CN"/>
              </w:rPr>
              <w:t>配电柜和抽屉柜</w:t>
            </w:r>
            <w:r>
              <w:rPr>
                <w:rFonts w:hint="eastAsia"/>
              </w:rPr>
              <w:t>所有技术参数与检测规范，能应急处理各种问题，发现设备缺陷</w:t>
            </w:r>
            <w:r>
              <w:rPr>
                <w:rFonts w:hint="eastAsia"/>
                <w:lang w:eastAsia="zh-CN"/>
              </w:rPr>
              <w:t>需</w:t>
            </w:r>
            <w:r>
              <w:rPr>
                <w:rFonts w:hint="eastAsia"/>
              </w:rPr>
              <w:t>及时书面告知</w:t>
            </w:r>
            <w:r>
              <w:rPr>
                <w:rFonts w:hint="eastAsia"/>
                <w:lang w:eastAsia="zh-CN"/>
              </w:rPr>
              <w:t>招标人</w:t>
            </w:r>
            <w:r>
              <w:rPr>
                <w:rFonts w:hint="eastAsia"/>
              </w:rPr>
              <w:t>。</w:t>
            </w:r>
          </w:p>
          <w:p>
            <w:pPr>
              <w:numPr>
                <w:ilvl w:val="0"/>
                <w:numId w:val="13"/>
              </w:numPr>
              <w:tabs>
                <w:tab w:val="left" w:pos="535"/>
              </w:tabs>
              <w:snapToGrid w:val="0"/>
              <w:rPr>
                <w:rFonts w:hint="eastAsia"/>
              </w:rPr>
            </w:pPr>
            <w:r>
              <w:rPr>
                <w:rFonts w:hint="eastAsia"/>
              </w:rPr>
              <w:t>施工前须对现场进行勘查，熟悉现场情况。</w:t>
            </w:r>
          </w:p>
          <w:p>
            <w:pPr>
              <w:numPr>
                <w:ilvl w:val="0"/>
                <w:numId w:val="13"/>
              </w:numPr>
              <w:tabs>
                <w:tab w:val="left" w:pos="535"/>
              </w:tabs>
              <w:snapToGrid w:val="0"/>
              <w:rPr>
                <w:rFonts w:hint="eastAsia"/>
              </w:rPr>
            </w:pPr>
            <w:r>
              <w:rPr>
                <w:rFonts w:hint="eastAsia"/>
                <w:lang w:eastAsia="zh-CN"/>
              </w:rPr>
              <w:t>检修</w:t>
            </w:r>
            <w:r>
              <w:rPr>
                <w:rFonts w:hint="eastAsia"/>
              </w:rPr>
              <w:t>完后提供</w:t>
            </w:r>
            <w:r>
              <w:rPr>
                <w:rFonts w:hint="eastAsia"/>
                <w:lang w:eastAsia="zh-CN"/>
              </w:rPr>
              <w:t>检修</w:t>
            </w:r>
            <w:r>
              <w:rPr>
                <w:rFonts w:hint="eastAsia"/>
              </w:rPr>
              <w:t>报告和总结报告。</w:t>
            </w:r>
          </w:p>
          <w:p>
            <w:pPr>
              <w:numPr>
                <w:ilvl w:val="0"/>
                <w:numId w:val="13"/>
              </w:numPr>
              <w:tabs>
                <w:tab w:val="left" w:pos="535"/>
              </w:tabs>
              <w:snapToGrid w:val="0"/>
              <w:rPr>
                <w:rFonts w:hint="eastAsia"/>
              </w:rPr>
            </w:pPr>
            <w:r>
              <w:rPr>
                <w:rFonts w:hint="eastAsia"/>
              </w:rPr>
              <w:t>投标人须注重现场的文明施工，对施工区域的施工垃圾须及时自行清除，不得乱堆乱放。</w:t>
            </w:r>
          </w:p>
          <w:p>
            <w:pPr>
              <w:numPr>
                <w:ilvl w:val="0"/>
                <w:numId w:val="13"/>
              </w:numPr>
              <w:tabs>
                <w:tab w:val="left" w:pos="535"/>
              </w:tabs>
              <w:snapToGrid w:val="0"/>
            </w:pPr>
            <w:r>
              <w:rPr>
                <w:rFonts w:hint="eastAsia"/>
              </w:rPr>
              <w:t>投标人应对现场施工作业人员的安全负全部责任，采取切实有效的安全措施、设置安全可靠的防护设施，确保现场人员人身及</w:t>
            </w:r>
            <w:r>
              <w:rPr>
                <w:rFonts w:hint="eastAsia"/>
                <w:lang w:eastAsia="zh-CN"/>
              </w:rPr>
              <w:t>招标人</w:t>
            </w:r>
            <w:r>
              <w:rPr>
                <w:rFonts w:hint="eastAsia"/>
              </w:rPr>
              <w:t>财产安全，并自觉杜绝所有违法违章违规及无防护措施的危险作业行为。如因中标单位管理不善、组织不力或监管缺失等造成安全责任事故及财产损失的由中标单位负全部责任。</w:t>
            </w:r>
          </w:p>
          <w:p>
            <w:pPr>
              <w:numPr>
                <w:ilvl w:val="0"/>
                <w:numId w:val="13"/>
              </w:numPr>
              <w:tabs>
                <w:tab w:val="left" w:pos="535"/>
              </w:tabs>
              <w:snapToGrid w:val="0"/>
            </w:pPr>
            <w:r>
              <w:rPr>
                <w:rFonts w:hint="eastAsia"/>
              </w:rPr>
              <w:t>投标人承诺严格按照安全规程安排施工作业，</w:t>
            </w:r>
            <w:r>
              <w:rPr>
                <w:rFonts w:hint="eastAsia"/>
                <w:lang w:val="en-US" w:eastAsia="zh-CN"/>
              </w:rPr>
              <w:t>施工需符合国家及属地主管部分颁发的相关规范及要求。</w:t>
            </w:r>
            <w:r>
              <w:rPr>
                <w:rFonts w:hint="eastAsia"/>
                <w:lang w:eastAsia="zh-CN"/>
              </w:rPr>
              <w:t>招标人</w:t>
            </w:r>
            <w:r>
              <w:rPr>
                <w:rFonts w:hint="eastAsia"/>
              </w:rPr>
              <w:t>有权制止现场违规或存在安全隐患的作业。</w:t>
            </w:r>
          </w:p>
          <w:p>
            <w:pPr>
              <w:numPr>
                <w:ilvl w:val="0"/>
                <w:numId w:val="13"/>
              </w:numPr>
              <w:tabs>
                <w:tab w:val="left" w:pos="535"/>
              </w:tabs>
              <w:snapToGrid w:val="0"/>
            </w:pPr>
            <w:r>
              <w:rPr>
                <w:rFonts w:hint="eastAsia" w:ascii="宋体" w:hAnsi="宋体" w:eastAsia="宋体" w:cs="宋体"/>
                <w:sz w:val="21"/>
                <w:szCs w:val="21"/>
              </w:rPr>
              <w:t>所有的检修工作安排于晚上20：00至次日8：00之间，各个配电室交替进行。</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669"/>
              </w:tabs>
              <w:snapToGrid w:val="0"/>
              <w:ind w:left="535" w:hanging="535"/>
              <w:rPr>
                <w:rFonts w:ascii="宋体" w:hAnsi="宋体"/>
                <w:color w:val="auto"/>
                <w:highlight w:val="none"/>
              </w:rPr>
            </w:pPr>
            <w:r>
              <w:rPr>
                <w:rFonts w:hint="eastAsia" w:ascii="宋体" w:hAnsi="宋体"/>
                <w:color w:val="auto"/>
                <w:highlight w:val="none"/>
              </w:rPr>
              <w:t>投标人须指定项目负责人，</w:t>
            </w:r>
            <w:r>
              <w:rPr>
                <w:rFonts w:hint="eastAsia" w:ascii="宋体" w:hAnsi="宋体"/>
                <w:color w:val="auto"/>
                <w:highlight w:val="none"/>
                <w:lang w:eastAsia="zh-CN"/>
              </w:rPr>
              <w:t>项目</w:t>
            </w:r>
            <w:r>
              <w:rPr>
                <w:rFonts w:hint="eastAsia" w:ascii="宋体" w:hAnsi="宋体"/>
                <w:color w:val="auto"/>
                <w:highlight w:val="none"/>
              </w:rPr>
              <w:t>负责人须</w:t>
            </w:r>
            <w:r>
              <w:rPr>
                <w:rFonts w:hint="eastAsia" w:ascii="宋体" w:hAnsi="宋体"/>
                <w:color w:val="auto"/>
                <w:highlight w:val="none"/>
                <w:lang w:val="en-US" w:eastAsia="zh-CN"/>
              </w:rPr>
              <w:t>具有</w:t>
            </w:r>
            <w:r>
              <w:rPr>
                <w:rFonts w:hint="eastAsia" w:ascii="宋体" w:hAnsi="宋体"/>
                <w:color w:val="auto"/>
                <w:highlight w:val="none"/>
                <w:lang w:eastAsia="zh-CN"/>
              </w:rPr>
              <w:t>二级</w:t>
            </w:r>
            <w:r>
              <w:rPr>
                <w:rFonts w:hint="eastAsia" w:ascii="宋体" w:hAnsi="宋体"/>
                <w:color w:val="auto"/>
                <w:szCs w:val="21"/>
                <w:highlight w:val="none"/>
                <w:lang w:eastAsia="zh-CN"/>
              </w:rPr>
              <w:t>注册</w:t>
            </w:r>
            <w:r>
              <w:rPr>
                <w:rFonts w:hint="eastAsia" w:ascii="宋体" w:hAnsi="宋体"/>
                <w:color w:val="auto"/>
                <w:highlight w:val="none"/>
                <w:lang w:eastAsia="zh-CN"/>
              </w:rPr>
              <w:t>建造师</w:t>
            </w:r>
            <w:r>
              <w:rPr>
                <w:rFonts w:hint="eastAsia" w:ascii="宋体" w:hAnsi="宋体"/>
                <w:color w:val="auto"/>
                <w:highlight w:val="none"/>
                <w:lang w:val="en-US" w:eastAsia="zh-CN"/>
              </w:rPr>
              <w:t>或</w:t>
            </w:r>
            <w:r>
              <w:rPr>
                <w:rFonts w:hint="eastAsia" w:ascii="宋体" w:hAnsi="宋体"/>
                <w:color w:val="auto"/>
                <w:highlight w:val="none"/>
                <w:lang w:eastAsia="zh-CN"/>
              </w:rPr>
              <w:t>以上</w:t>
            </w:r>
            <w:r>
              <w:rPr>
                <w:rFonts w:hint="eastAsia" w:ascii="宋体" w:hAnsi="宋体"/>
                <w:color w:val="auto"/>
                <w:highlight w:val="none"/>
                <w:lang w:val="en-US" w:eastAsia="zh-CN"/>
              </w:rPr>
              <w:t>资格（注册在本公司）</w:t>
            </w:r>
            <w:r>
              <w:rPr>
                <w:rFonts w:hint="eastAsia" w:ascii="宋体" w:hAnsi="宋体"/>
                <w:color w:val="auto"/>
                <w:highlight w:val="none"/>
              </w:rPr>
              <w:t>，并提供该负责人姓名、电话、职务、身份证复印件或扫描件、职业或执业资格证书复印件或扫描件（以上复印件或扫描件加盖公章，原件备查）等信息，负责联络协调及跟进该项目具体实施。</w:t>
            </w:r>
          </w:p>
          <w:p>
            <w:pPr>
              <w:numPr>
                <w:ilvl w:val="0"/>
                <w:numId w:val="14"/>
              </w:numPr>
              <w:tabs>
                <w:tab w:val="left" w:pos="669"/>
              </w:tabs>
              <w:snapToGrid w:val="0"/>
              <w:ind w:left="535" w:hanging="535"/>
              <w:rPr>
                <w:rFonts w:ascii="宋体" w:hAnsi="宋体"/>
                <w:color w:val="auto"/>
                <w:highlight w:val="none"/>
              </w:rPr>
            </w:pPr>
            <w:r>
              <w:rPr>
                <w:rFonts w:hint="eastAsia" w:ascii="宋体" w:hAnsi="宋体"/>
                <w:color w:val="auto"/>
                <w:highlight w:val="none"/>
              </w:rPr>
              <w:t>投标人安排的现场施工人员须具备</w:t>
            </w:r>
            <w:r>
              <w:rPr>
                <w:rFonts w:hint="eastAsia" w:ascii="宋体" w:hAnsi="宋体"/>
                <w:color w:val="auto"/>
                <w:highlight w:val="none"/>
                <w:lang w:eastAsia="zh-CN"/>
              </w:rPr>
              <w:t>低</w:t>
            </w:r>
            <w:r>
              <w:rPr>
                <w:rFonts w:hint="eastAsia" w:ascii="宋体" w:hAnsi="宋体"/>
                <w:color w:val="auto"/>
                <w:highlight w:val="none"/>
              </w:rPr>
              <w:t>压电工作业证，并提交拟安排人员资格证复印件或扫描件加盖公章。</w:t>
            </w:r>
          </w:p>
          <w:p>
            <w:pPr>
              <w:numPr>
                <w:ilvl w:val="0"/>
                <w:numId w:val="14"/>
              </w:numPr>
              <w:tabs>
                <w:tab w:val="left" w:pos="669"/>
              </w:tabs>
              <w:snapToGrid w:val="0"/>
              <w:ind w:left="535" w:hanging="535"/>
              <w:rPr>
                <w:color w:val="auto"/>
                <w:highlight w:val="none"/>
              </w:rPr>
            </w:pPr>
            <w:r>
              <w:rPr>
                <w:rFonts w:hint="eastAsia" w:ascii="宋体" w:hAnsi="宋体"/>
                <w:color w:val="auto"/>
                <w:highlight w:val="none"/>
              </w:rPr>
              <w:t>未经招标人书面同意，拟投入本项目人员不得变动，进场前须另行向</w:t>
            </w:r>
            <w:r>
              <w:rPr>
                <w:rFonts w:hint="eastAsia" w:ascii="宋体" w:hAnsi="宋体"/>
                <w:color w:val="auto"/>
                <w:highlight w:val="none"/>
                <w:lang w:eastAsia="zh-CN"/>
              </w:rPr>
              <w:t>招标人</w:t>
            </w:r>
            <w:r>
              <w:rPr>
                <w:rFonts w:hint="eastAsia" w:ascii="宋体" w:hAnsi="宋体"/>
                <w:color w:val="auto"/>
                <w:highlight w:val="none"/>
              </w:rPr>
              <w:t>书面报备。</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bookmarkStart w:id="39" w:name="_Toc116550349"/>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lang w:val="en-US" w:eastAsia="zh-CN"/>
              </w:rPr>
              <w:t>质保</w:t>
            </w:r>
            <w:r>
              <w:rPr>
                <w:rFonts w:hint="eastAsia"/>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669"/>
              </w:tabs>
              <w:snapToGrid w:val="0"/>
              <w:rPr>
                <w:rFonts w:hint="eastAsia" w:ascii="宋体" w:hAnsi="宋体"/>
              </w:rPr>
            </w:pPr>
            <w:r>
              <w:rPr>
                <w:rFonts w:hint="eastAsia" w:ascii="宋体" w:hAnsi="宋体"/>
              </w:rPr>
              <w:t>本项目工程</w:t>
            </w:r>
            <w:r>
              <w:rPr>
                <w:rFonts w:hint="eastAsia" w:ascii="宋体" w:hAnsi="宋体"/>
                <w:szCs w:val="21"/>
              </w:rPr>
              <w:t>质量保</w:t>
            </w:r>
            <w:r>
              <w:rPr>
                <w:rFonts w:hint="eastAsia" w:ascii="宋体" w:hAnsi="宋体"/>
                <w:szCs w:val="21"/>
                <w:lang w:val="en-US" w:eastAsia="zh-CN"/>
              </w:rPr>
              <w:t>修</w:t>
            </w:r>
            <w:r>
              <w:rPr>
                <w:rFonts w:hint="eastAsia" w:ascii="宋体" w:hAnsi="宋体"/>
              </w:rPr>
              <w:t>期至少为</w:t>
            </w:r>
            <w:r>
              <w:rPr>
                <w:rFonts w:hint="eastAsia" w:ascii="宋体" w:hAnsi="宋体"/>
                <w:color w:val="auto"/>
                <w:lang w:val="en-US" w:eastAsia="zh-CN"/>
              </w:rPr>
              <w:t>12</w:t>
            </w:r>
            <w:r>
              <w:rPr>
                <w:rFonts w:hint="eastAsia" w:ascii="宋体" w:hAnsi="宋体"/>
                <w:color w:val="auto"/>
              </w:rPr>
              <w:t>个月</w:t>
            </w:r>
            <w:r>
              <w:rPr>
                <w:rFonts w:hint="eastAsia" w:ascii="宋体" w:hAnsi="宋体"/>
              </w:rPr>
              <w:t>，最终</w:t>
            </w:r>
            <w:r>
              <w:rPr>
                <w:rFonts w:hint="eastAsia" w:ascii="宋体" w:hAnsi="宋体"/>
                <w:szCs w:val="21"/>
              </w:rPr>
              <w:t>质量保</w:t>
            </w:r>
            <w:r>
              <w:rPr>
                <w:rFonts w:hint="eastAsia" w:ascii="宋体" w:hAnsi="宋体"/>
                <w:szCs w:val="21"/>
                <w:lang w:val="en-US" w:eastAsia="zh-CN"/>
              </w:rPr>
              <w:t>修</w:t>
            </w:r>
            <w:r>
              <w:rPr>
                <w:rFonts w:hint="eastAsia" w:ascii="宋体" w:hAnsi="宋体"/>
              </w:rPr>
              <w:t>期以《质量保证承诺书》上的免费保修年限承诺为准。</w:t>
            </w:r>
          </w:p>
          <w:p>
            <w:pPr>
              <w:numPr>
                <w:ilvl w:val="0"/>
                <w:numId w:val="15"/>
              </w:numPr>
              <w:tabs>
                <w:tab w:val="left" w:pos="669"/>
              </w:tabs>
              <w:snapToGrid w:val="0"/>
              <w:rPr>
                <w:rFonts w:hint="eastAsia" w:ascii="宋体" w:hAnsi="宋体"/>
              </w:rPr>
            </w:pPr>
            <w:r>
              <w:rPr>
                <w:rFonts w:hint="eastAsia" w:ascii="宋体" w:hAnsi="宋体"/>
              </w:rPr>
              <w:t>投标人须提供《质量保证承诺书》，包括但不限于质</w:t>
            </w:r>
            <w:r>
              <w:rPr>
                <w:rFonts w:hint="eastAsia" w:ascii="宋体" w:hAnsi="宋体"/>
                <w:lang w:val="en-US" w:eastAsia="zh-CN"/>
              </w:rPr>
              <w:t>量</w:t>
            </w:r>
            <w:r>
              <w:rPr>
                <w:rFonts w:hint="eastAsia" w:ascii="宋体" w:hAnsi="宋体"/>
              </w:rPr>
              <w:t>保</w:t>
            </w:r>
            <w:r>
              <w:rPr>
                <w:rFonts w:hint="eastAsia" w:ascii="宋体" w:hAnsi="宋体"/>
                <w:lang w:val="en-US" w:eastAsia="zh-CN"/>
              </w:rPr>
              <w:t>证</w:t>
            </w:r>
            <w:r>
              <w:rPr>
                <w:rFonts w:hint="eastAsia" w:ascii="宋体" w:hAnsi="宋体"/>
              </w:rPr>
              <w:t>期内出现质量问题的保修承诺，提交免费保修年限承诺及保修电话、联系人、责任人等。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szCs w:val="21"/>
              </w:rPr>
              <w:t>不可偏离</w:t>
            </w:r>
          </w:p>
        </w:tc>
      </w:tr>
      <w:bookmarkEnd w:id="39"/>
    </w:tbl>
    <w:p>
      <w:pPr>
        <w:numPr>
          <w:ilvl w:val="0"/>
          <w:numId w:val="1"/>
        </w:numPr>
        <w:jc w:val="left"/>
        <w:outlineLvl w:val="1"/>
        <w:rPr>
          <w:rFonts w:ascii="宋体" w:hAnsi="宋体"/>
          <w:b/>
          <w:szCs w:val="21"/>
        </w:rPr>
      </w:pPr>
      <w:bookmarkStart w:id="40" w:name="_Toc82685552"/>
      <w:bookmarkEnd w:id="40"/>
      <w:bookmarkStart w:id="41" w:name="_Toc82684600"/>
      <w:bookmarkEnd w:id="41"/>
      <w:bookmarkStart w:id="42" w:name="_Toc82684715"/>
      <w:bookmarkEnd w:id="42"/>
      <w:bookmarkStart w:id="43" w:name="_Toc82591996"/>
      <w:bookmarkEnd w:id="43"/>
      <w:r>
        <w:rPr>
          <w:rFonts w:hint="eastAsia" w:ascii="宋体" w:hAnsi="宋体"/>
          <w:b/>
          <w:szCs w:val="21"/>
        </w:rPr>
        <w:t>其他项目说明资料</w:t>
      </w:r>
    </w:p>
    <w:p>
      <w:pPr>
        <w:pStyle w:val="2"/>
        <w:rPr>
          <w:rFonts w:hint="eastAsia" w:eastAsia="宋体"/>
          <w:lang w:eastAsia="zh-CN"/>
        </w:rPr>
      </w:pPr>
      <w:r>
        <w:rPr>
          <w:rFonts w:hint="eastAsia" w:ascii="宋体" w:hAnsi="宋体"/>
          <w:b/>
          <w:szCs w:val="21"/>
          <w:lang w:eastAsia="zh-CN"/>
        </w:rPr>
        <w:t>无</w:t>
      </w:r>
    </w:p>
    <w:p>
      <w:pPr>
        <w:widowControl/>
        <w:spacing w:line="240" w:lineRule="auto"/>
        <w:jc w:val="left"/>
        <w:outlineLvl w:val="9"/>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rFonts w:hint="eastAsia"/>
          <w:b/>
        </w:rPr>
      </w:pPr>
      <w:bookmarkStart w:id="45" w:name="_Toc128989098"/>
      <w:bookmarkStart w:id="46" w:name="_Hlk104908581"/>
      <w:bookmarkStart w:id="47" w:name="_Hlk104908397"/>
      <w:r>
        <w:rPr>
          <w:rFonts w:hint="eastAsia"/>
          <w:b/>
        </w:rPr>
        <w:t>开标评标流程</w:t>
      </w:r>
      <w:bookmarkEnd w:id="45"/>
    </w:p>
    <w:p>
      <w:pPr>
        <w:numPr>
          <w:ilvl w:val="0"/>
          <w:numId w:val="16"/>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6"/>
        </w:numPr>
        <w:ind w:hanging="5"/>
        <w:rPr>
          <w:rFonts w:ascii="宋体" w:hAnsi="宋体" w:cs="宋体"/>
          <w:szCs w:val="21"/>
        </w:rPr>
      </w:pPr>
      <w:r>
        <w:rPr>
          <w:rFonts w:hint="eastAsia" w:ascii="宋体" w:hAnsi="宋体"/>
          <w:szCs w:val="21"/>
        </w:rPr>
        <w:t>宣读开标注意事项、流程；</w:t>
      </w:r>
    </w:p>
    <w:p>
      <w:pPr>
        <w:numPr>
          <w:ilvl w:val="0"/>
          <w:numId w:val="16"/>
        </w:numPr>
        <w:ind w:hanging="5"/>
        <w:rPr>
          <w:rFonts w:ascii="宋体" w:hAnsi="宋体" w:cs="宋体"/>
          <w:szCs w:val="21"/>
        </w:rPr>
      </w:pPr>
      <w:r>
        <w:rPr>
          <w:rFonts w:hint="eastAsia" w:ascii="宋体" w:hAnsi="宋体" w:cs="宋体"/>
          <w:szCs w:val="21"/>
        </w:rPr>
        <w:t>评标小组推选组长；</w:t>
      </w:r>
    </w:p>
    <w:p>
      <w:pPr>
        <w:numPr>
          <w:ilvl w:val="0"/>
          <w:numId w:val="16"/>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6"/>
        </w:numPr>
        <w:ind w:hanging="5"/>
        <w:rPr>
          <w:rFonts w:ascii="宋体" w:hAnsi="宋体" w:cs="宋体"/>
          <w:szCs w:val="21"/>
        </w:rPr>
      </w:pPr>
      <w:r>
        <w:rPr>
          <w:rFonts w:hint="eastAsia" w:ascii="宋体" w:hAnsi="宋体" w:cs="宋体"/>
          <w:szCs w:val="21"/>
        </w:rPr>
        <w:t>商务及技术/服务需求响应性评定；</w:t>
      </w:r>
    </w:p>
    <w:p>
      <w:pPr>
        <w:numPr>
          <w:ilvl w:val="0"/>
          <w:numId w:val="16"/>
        </w:numPr>
        <w:ind w:hanging="5"/>
        <w:rPr>
          <w:rFonts w:ascii="宋体" w:hAnsi="宋体" w:cs="宋体"/>
          <w:szCs w:val="21"/>
        </w:rPr>
      </w:pPr>
      <w:r>
        <w:rPr>
          <w:rFonts w:hint="eastAsia" w:ascii="宋体" w:hAnsi="宋体" w:cs="宋体"/>
          <w:szCs w:val="21"/>
        </w:rPr>
        <w:t>确定中标候选供应商及评标报告的出具。</w:t>
      </w:r>
    </w:p>
    <w:bookmarkEnd w:id="46"/>
    <w:bookmarkEnd w:id="47"/>
    <w:p>
      <w:pPr>
        <w:widowControl/>
        <w:jc w:val="left"/>
        <w:rPr>
          <w:rFonts w:ascii="仿宋_GB2312" w:hAnsi="宋体" w:eastAsia="仿宋_GB2312"/>
        </w:rPr>
      </w:pPr>
    </w:p>
    <w:p>
      <w:pPr>
        <w:pStyle w:val="11"/>
        <w:rPr>
          <w:rFonts w:ascii="宋体"/>
          <w:b/>
          <w:sz w:val="28"/>
        </w:rPr>
      </w:pPr>
    </w:p>
    <w:p>
      <w:pPr>
        <w:pStyle w:val="11"/>
        <w:rPr>
          <w:rFonts w:ascii="宋体"/>
          <w:b/>
          <w:sz w:val="28"/>
        </w:rPr>
      </w:pPr>
    </w:p>
    <w:p>
      <w:pPr>
        <w:spacing w:line="360" w:lineRule="auto"/>
        <w:jc w:val="center"/>
        <w:outlineLvl w:val="0"/>
        <w:rPr>
          <w:rFonts w:ascii="宋体" w:hAnsi="宋体"/>
          <w:b/>
          <w:sz w:val="32"/>
          <w:szCs w:val="32"/>
        </w:rPr>
      </w:pPr>
      <w:bookmarkStart w:id="48" w:name="_Toc116550353"/>
      <w:r>
        <w:rPr>
          <w:rFonts w:hint="eastAsia" w:ascii="宋体" w:hAnsi="宋体"/>
          <w:b/>
          <w:sz w:val="32"/>
          <w:szCs w:val="32"/>
        </w:rPr>
        <w:t>第三部分：评审办法</w:t>
      </w:r>
      <w:bookmarkEnd w:id="48"/>
    </w:p>
    <w:p>
      <w:pPr>
        <w:numPr>
          <w:ilvl w:val="0"/>
          <w:numId w:val="1"/>
        </w:numPr>
        <w:spacing w:line="360" w:lineRule="auto"/>
        <w:outlineLvl w:val="1"/>
        <w:rPr>
          <w:rFonts w:ascii="宋体" w:hAnsi="宋体"/>
          <w:szCs w:val="21"/>
        </w:rPr>
      </w:pPr>
      <w:bookmarkStart w:id="49" w:name="_Toc116550354"/>
      <w:r>
        <w:rPr>
          <w:rFonts w:hint="eastAsia" w:ascii="宋体" w:hAnsi="宋体"/>
          <w:b/>
          <w:bCs/>
          <w:szCs w:val="21"/>
        </w:rPr>
        <w:t>评审办法</w:t>
      </w:r>
      <w:bookmarkEnd w:id="49"/>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7"/>
        </w:numPr>
        <w:spacing w:before="156" w:beforeLines="50"/>
        <w:jc w:val="left"/>
        <w:outlineLvl w:val="2"/>
        <w:rPr>
          <w:rStyle w:val="29"/>
          <w:rFonts w:ascii="宋体" w:hAnsi="宋体"/>
          <w:b/>
          <w:szCs w:val="21"/>
        </w:rPr>
      </w:pPr>
      <w:bookmarkStart w:id="50" w:name="_Toc116550355"/>
      <w:r>
        <w:rPr>
          <w:rStyle w:val="29"/>
          <w:rFonts w:hint="eastAsia" w:ascii="宋体" w:hAnsi="宋体"/>
          <w:b/>
          <w:bCs/>
          <w:szCs w:val="21"/>
        </w:rPr>
        <w:t>符合性检查</w:t>
      </w:r>
      <w:bookmarkEnd w:id="50"/>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hint="eastAsia" w:ascii="宋体" w:hAnsi="宋体" w:cs="仿宋"/>
                <w:szCs w:val="21"/>
              </w:rPr>
            </w:pPr>
            <w:r>
              <w:rPr>
                <w:rFonts w:hint="eastAsia" w:ascii="宋体" w:hAnsi="宋体" w:cs="仿宋"/>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spacing w:line="360" w:lineRule="auto"/>
              <w:rPr>
                <w:rFonts w:hint="eastAsia" w:ascii="宋体" w:hAnsi="宋体" w:cs="仿宋"/>
                <w:szCs w:val="21"/>
              </w:rPr>
            </w:pPr>
            <w:r>
              <w:rPr>
                <w:rFonts w:hint="eastAsia" w:ascii="宋体" w:hAnsi="宋体" w:cs="仿宋"/>
                <w:szCs w:val="21"/>
              </w:rPr>
              <w:t>（2）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spacing w:line="360" w:lineRule="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投标人</w:t>
            </w:r>
            <w:r>
              <w:rPr>
                <w:rFonts w:hint="eastAsia" w:ascii="宋体" w:hAnsi="宋体"/>
                <w:color w:val="auto"/>
                <w:szCs w:val="21"/>
                <w:highlight w:val="none"/>
                <w:lang w:val="en-US" w:eastAsia="zh-CN"/>
              </w:rPr>
              <w:t>至少</w:t>
            </w:r>
            <w:r>
              <w:rPr>
                <w:rFonts w:hint="eastAsia" w:ascii="宋体" w:hAnsi="宋体"/>
                <w:color w:val="auto"/>
                <w:szCs w:val="21"/>
                <w:highlight w:val="none"/>
              </w:rPr>
              <w:t>具有有效的建筑机电安装工程专业承包</w:t>
            </w:r>
            <w:r>
              <w:rPr>
                <w:rFonts w:hint="eastAsia" w:ascii="宋体" w:hAnsi="宋体"/>
                <w:color w:val="auto"/>
                <w:szCs w:val="21"/>
                <w:highlight w:val="none"/>
                <w:lang w:val="en-US" w:eastAsia="zh-CN"/>
              </w:rPr>
              <w:t>叁级</w:t>
            </w:r>
            <w:r>
              <w:rPr>
                <w:rFonts w:hint="eastAsia" w:ascii="宋体" w:hAnsi="宋体"/>
                <w:color w:val="auto"/>
                <w:szCs w:val="21"/>
                <w:highlight w:val="none"/>
              </w:rPr>
              <w:t>资质</w:t>
            </w:r>
            <w:r>
              <w:rPr>
                <w:rFonts w:hint="eastAsia" w:ascii="宋体" w:hAnsi="宋体"/>
                <w:color w:val="auto"/>
                <w:szCs w:val="21"/>
                <w:highlight w:val="none"/>
                <w:lang w:eastAsia="zh-CN"/>
              </w:rPr>
              <w:t>或以上</w:t>
            </w:r>
            <w:r>
              <w:rPr>
                <w:rFonts w:hint="eastAsia" w:ascii="宋体" w:hAnsi="宋体"/>
                <w:color w:val="auto"/>
                <w:szCs w:val="21"/>
                <w:highlight w:val="none"/>
              </w:rPr>
              <w:t>。（提供相应证明文件复印件或扫描件并加盖投标人公章）</w:t>
            </w:r>
          </w:p>
          <w:p>
            <w:pPr>
              <w:spacing w:line="360" w:lineRule="auto"/>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highlight w:val="none"/>
              </w:rPr>
              <w:t>于</w:t>
            </w:r>
            <w:r>
              <w:rPr>
                <w:rFonts w:hint="eastAsia" w:ascii="宋体" w:hAnsi="宋体"/>
                <w:color w:val="auto"/>
                <w:szCs w:val="21"/>
                <w:highlight w:val="yellow"/>
                <w:lang w:val="en-US" w:eastAsia="zh-CN"/>
              </w:rPr>
              <w:t>9.68</w:t>
            </w:r>
            <w:r>
              <w:rPr>
                <w:rFonts w:ascii="宋体" w:hAnsi="宋体" w:cs="仿宋"/>
                <w:color w:val="auto"/>
                <w:szCs w:val="21"/>
                <w:highlight w:val="yellow"/>
              </w:rPr>
              <w:t>万元（含税）</w:t>
            </w:r>
            <w:r>
              <w:rPr>
                <w:rFonts w:hint="eastAsia" w:ascii="宋体" w:hAnsi="宋体" w:cs="仿宋"/>
                <w:szCs w:val="21"/>
              </w:rPr>
              <w:t>，超过上述控制金额的视为无效报价。</w:t>
            </w:r>
          </w:p>
        </w:tc>
      </w:tr>
    </w:tbl>
    <w:p>
      <w:pPr>
        <w:numPr>
          <w:ilvl w:val="0"/>
          <w:numId w:val="17"/>
        </w:numPr>
        <w:spacing w:before="156" w:beforeLines="50"/>
        <w:jc w:val="left"/>
        <w:outlineLvl w:val="2"/>
        <w:rPr>
          <w:rStyle w:val="29"/>
          <w:rFonts w:ascii="宋体" w:hAnsi="宋体"/>
          <w:b/>
          <w:bCs/>
          <w:szCs w:val="21"/>
        </w:rPr>
      </w:pPr>
      <w:bookmarkStart w:id="51" w:name="_Toc116550356"/>
      <w:bookmarkStart w:id="52" w:name="_Toc114675512"/>
      <w:r>
        <w:rPr>
          <w:rStyle w:val="29"/>
          <w:rFonts w:hint="eastAsia" w:ascii="宋体" w:hAnsi="宋体"/>
          <w:b/>
          <w:bCs/>
          <w:szCs w:val="21"/>
        </w:rPr>
        <w:t>不可偏离项检查</w:t>
      </w:r>
      <w:bookmarkEnd w:id="51"/>
      <w:bookmarkEnd w:id="52"/>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7"/>
        </w:numPr>
        <w:spacing w:before="156" w:beforeLines="50"/>
        <w:jc w:val="left"/>
        <w:outlineLvl w:val="2"/>
      </w:pPr>
      <w:bookmarkStart w:id="53" w:name="_Toc114675513"/>
      <w:bookmarkStart w:id="54" w:name="_Toc116550357"/>
      <w:r>
        <w:rPr>
          <w:rStyle w:val="29"/>
          <w:rFonts w:hint="eastAsia" w:ascii="宋体" w:hAnsi="宋体"/>
          <w:b/>
          <w:bCs/>
          <w:szCs w:val="21"/>
        </w:rPr>
        <w:t>综合评议指标表</w:t>
      </w:r>
      <w:bookmarkEnd w:id="53"/>
      <w:bookmarkEnd w:id="54"/>
    </w:p>
    <w:p>
      <w:pPr>
        <w:pStyle w:val="2"/>
        <w:rPr>
          <w:rStyle w:val="29"/>
          <w:rFonts w:hint="eastAsia" w:ascii="宋体" w:hAnsi="宋体"/>
          <w:b/>
          <w:bCs/>
          <w:szCs w:val="21"/>
        </w:rPr>
      </w:pPr>
    </w:p>
    <w:p>
      <w:pPr>
        <w:rPr>
          <w:rStyle w:val="29"/>
          <w:rFonts w:hint="eastAsia" w:ascii="宋体" w:hAnsi="宋体"/>
          <w:b/>
          <w:bCs/>
          <w:szCs w:val="21"/>
        </w:rPr>
      </w:pPr>
    </w:p>
    <w:p>
      <w:pPr>
        <w:pStyle w:val="2"/>
        <w:rPr>
          <w:rStyle w:val="29"/>
          <w:rFonts w:hint="eastAsia" w:ascii="宋体" w:hAnsi="宋体"/>
          <w:b/>
          <w:bCs/>
          <w:szCs w:val="21"/>
        </w:rPr>
      </w:pPr>
    </w:p>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w:t>
            </w:r>
            <w:r>
              <w:rPr>
                <w:rFonts w:hint="eastAsia" w:ascii="宋体" w:hAnsi="宋体"/>
                <w:b/>
                <w:color w:val="auto"/>
                <w:szCs w:val="21"/>
              </w:rPr>
              <w:t>务评议项（</w:t>
            </w:r>
            <w:r>
              <w:rPr>
                <w:rFonts w:hint="default" w:ascii="宋体" w:hAnsi="宋体"/>
                <w:color w:val="auto"/>
                <w:szCs w:val="21"/>
                <w:highlight w:val="none"/>
                <w:lang w:val="en-US" w:eastAsia="zh-CN"/>
              </w:rPr>
              <w:t>2</w:t>
            </w:r>
            <w:r>
              <w:rPr>
                <w:rFonts w:hint="eastAsia" w:ascii="宋体" w:hAnsi="宋体"/>
                <w:color w:val="auto"/>
                <w:szCs w:val="21"/>
                <w:highlight w:val="none"/>
                <w:lang w:val="en-US" w:eastAsia="zh-CN"/>
              </w:rPr>
              <w:t>0</w:t>
            </w:r>
            <w:r>
              <w:rPr>
                <w:rFonts w:hint="eastAsia" w:ascii="宋体" w:hAnsi="宋体"/>
                <w:b/>
                <w:color w:val="auto"/>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综合实力</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numPr>
                <w:ilvl w:val="0"/>
                <w:numId w:val="19"/>
              </w:numPr>
              <w:ind w:left="425" w:hanging="425"/>
              <w:rPr>
                <w:color w:val="auto"/>
                <w:highlight w:val="none"/>
              </w:rPr>
            </w:pPr>
            <w:r>
              <w:rPr>
                <w:rFonts w:hint="eastAsia" w:ascii="宋体" w:hAnsi="宋体"/>
                <w:color w:val="auto"/>
                <w:szCs w:val="21"/>
                <w:highlight w:val="none"/>
                <w:lang w:eastAsia="zh-CN"/>
              </w:rPr>
              <w:t>根据各投标人具有</w:t>
            </w:r>
            <w:r>
              <w:rPr>
                <w:rFonts w:hint="eastAsia" w:ascii="宋体" w:hAnsi="宋体" w:cs="宋体"/>
                <w:color w:val="auto"/>
                <w:szCs w:val="21"/>
                <w:highlight w:val="none"/>
              </w:rPr>
              <w:t>建筑机电安装工程专业承包资质</w:t>
            </w:r>
            <w:r>
              <w:rPr>
                <w:rFonts w:hint="eastAsia" w:ascii="宋体" w:hAnsi="宋体" w:cs="宋体"/>
                <w:color w:val="auto"/>
                <w:szCs w:val="21"/>
                <w:highlight w:val="none"/>
                <w:lang w:val="en-US" w:eastAsia="zh-CN"/>
              </w:rPr>
              <w:t>贰</w:t>
            </w:r>
            <w:r>
              <w:rPr>
                <w:rFonts w:hint="eastAsia" w:ascii="宋体" w:hAnsi="宋体" w:cs="宋体"/>
                <w:color w:val="auto"/>
                <w:szCs w:val="21"/>
                <w:highlight w:val="none"/>
                <w:lang w:eastAsia="zh-CN"/>
              </w:rPr>
              <w:t>级等</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rPr>
              <w:t>建筑机电安装工程专业承包资质</w:t>
            </w:r>
            <w:r>
              <w:rPr>
                <w:rFonts w:hint="eastAsia" w:ascii="宋体" w:hAnsi="宋体" w:cs="宋体"/>
                <w:color w:val="auto"/>
                <w:szCs w:val="21"/>
                <w:highlight w:val="none"/>
                <w:lang w:val="en-US" w:eastAsia="zh-CN"/>
              </w:rPr>
              <w:t>壹</w:t>
            </w:r>
            <w:r>
              <w:rPr>
                <w:rFonts w:hint="eastAsia" w:ascii="宋体" w:hAnsi="宋体" w:cs="宋体"/>
                <w:color w:val="auto"/>
                <w:szCs w:val="21"/>
                <w:highlight w:val="none"/>
                <w:lang w:eastAsia="zh-CN"/>
              </w:rPr>
              <w:t>级得</w:t>
            </w:r>
            <w:r>
              <w:rPr>
                <w:rFonts w:hint="eastAsia" w:ascii="宋体" w:hAnsi="宋体" w:cs="宋体"/>
                <w:color w:val="auto"/>
                <w:szCs w:val="21"/>
                <w:highlight w:val="none"/>
                <w:lang w:val="en-US" w:eastAsia="zh-CN"/>
              </w:rPr>
              <w:t>5分。</w:t>
            </w:r>
          </w:p>
          <w:p>
            <w:pPr>
              <w:numPr>
                <w:ilvl w:val="0"/>
                <w:numId w:val="19"/>
              </w:numPr>
              <w:spacing w:line="240" w:lineRule="auto"/>
              <w:ind w:left="425" w:hanging="425"/>
              <w:jc w:val="left"/>
              <w:rPr>
                <w:rFonts w:hint="eastAsia" w:ascii="宋体" w:hAnsi="宋体"/>
                <w:color w:val="auto"/>
                <w:spacing w:val="0"/>
                <w:kern w:val="2"/>
                <w:szCs w:val="21"/>
                <w:highlight w:val="none"/>
              </w:rPr>
            </w:pPr>
            <w:r>
              <w:rPr>
                <w:rFonts w:hint="eastAsia" w:ascii="宋体" w:hAnsi="宋体"/>
                <w:color w:val="auto"/>
                <w:spacing w:val="0"/>
                <w:kern w:val="2"/>
                <w:szCs w:val="21"/>
                <w:highlight w:val="none"/>
              </w:rPr>
              <w:t>评议各投标人企业</w:t>
            </w:r>
            <w:r>
              <w:rPr>
                <w:rFonts w:hint="eastAsia" w:ascii="宋体" w:hAnsi="宋体"/>
                <w:color w:val="auto"/>
                <w:spacing w:val="0"/>
                <w:kern w:val="2"/>
                <w:szCs w:val="21"/>
                <w:highlight w:val="none"/>
                <w:lang w:val="en-US" w:eastAsia="zh-CN"/>
              </w:rPr>
              <w:t>财务情况，根据财务报表中营业收入越高得分越高</w:t>
            </w:r>
            <w:r>
              <w:rPr>
                <w:rFonts w:hint="eastAsia" w:ascii="宋体" w:hAnsi="宋体"/>
                <w:color w:val="auto"/>
                <w:spacing w:val="0"/>
                <w:kern w:val="2"/>
                <w:szCs w:val="21"/>
                <w:highlight w:val="none"/>
              </w:rPr>
              <w:t>。按排名得分，最高得</w:t>
            </w:r>
            <w:r>
              <w:rPr>
                <w:rFonts w:hint="eastAsia" w:ascii="宋体" w:hAnsi="宋体"/>
                <w:color w:val="auto"/>
                <w:spacing w:val="0"/>
                <w:kern w:val="2"/>
                <w:szCs w:val="21"/>
                <w:highlight w:val="none"/>
                <w:lang w:val="en-US" w:eastAsia="zh-CN"/>
              </w:rPr>
              <w:t>5</w:t>
            </w:r>
            <w:r>
              <w:rPr>
                <w:rFonts w:hint="eastAsia" w:ascii="宋体" w:hAnsi="宋体"/>
                <w:color w:val="auto"/>
                <w:spacing w:val="0"/>
                <w:kern w:val="2"/>
                <w:szCs w:val="21"/>
                <w:highlight w:val="none"/>
              </w:rPr>
              <w:t>分、排名每降一名减</w:t>
            </w:r>
            <w:r>
              <w:rPr>
                <w:rFonts w:hint="eastAsia" w:ascii="宋体" w:hAnsi="宋体"/>
                <w:color w:val="auto"/>
                <w:spacing w:val="0"/>
                <w:kern w:val="2"/>
                <w:szCs w:val="21"/>
                <w:highlight w:val="none"/>
                <w:lang w:val="en-US" w:eastAsia="zh-CN"/>
              </w:rPr>
              <w:t>1</w:t>
            </w:r>
            <w:r>
              <w:rPr>
                <w:rFonts w:hint="eastAsia" w:ascii="宋体" w:hAnsi="宋体"/>
                <w:color w:val="auto"/>
                <w:spacing w:val="0"/>
                <w:kern w:val="2"/>
                <w:szCs w:val="21"/>
                <w:highlight w:val="none"/>
              </w:rPr>
              <w:t>分，直至0分。</w:t>
            </w:r>
          </w:p>
          <w:p>
            <w:pPr>
              <w:rPr>
                <w:rFonts w:hint="eastAsia" w:ascii="宋体" w:hAnsi="宋体"/>
                <w:color w:val="auto"/>
                <w:szCs w:val="21"/>
                <w:highlight w:val="none"/>
              </w:rPr>
            </w:pPr>
            <w:r>
              <w:rPr>
                <w:rFonts w:hint="eastAsia" w:ascii="宋体" w:hAnsi="宋体"/>
                <w:color w:val="auto"/>
                <w:szCs w:val="21"/>
                <w:highlight w:val="none"/>
              </w:rPr>
              <w:t>证明文件：</w:t>
            </w:r>
          </w:p>
          <w:p>
            <w:pPr>
              <w:numPr>
                <w:ilvl w:val="0"/>
                <w:numId w:val="20"/>
              </w:numPr>
              <w:ind w:left="425" w:leftChars="0" w:hanging="425" w:firstLineChars="0"/>
              <w:rPr>
                <w:color w:val="auto"/>
                <w:highlight w:val="none"/>
              </w:rPr>
            </w:pPr>
            <w:r>
              <w:rPr>
                <w:rFonts w:hint="eastAsia" w:ascii="宋体" w:hAnsi="宋体"/>
                <w:color w:val="auto"/>
                <w:szCs w:val="21"/>
                <w:highlight w:val="none"/>
                <w:lang w:val="en-US" w:eastAsia="zh-CN"/>
              </w:rPr>
              <w:t>本项目以承</w:t>
            </w:r>
            <w:r>
              <w:rPr>
                <w:rFonts w:hint="eastAsia" w:ascii="宋体" w:hAnsi="宋体"/>
                <w:color w:val="auto"/>
                <w:szCs w:val="21"/>
                <w:highlight w:val="none"/>
              </w:rPr>
              <w:t>修</w:t>
            </w:r>
            <w:r>
              <w:rPr>
                <w:rFonts w:hint="eastAsia" w:ascii="宋体" w:hAnsi="宋体"/>
                <w:color w:val="auto"/>
                <w:szCs w:val="21"/>
                <w:highlight w:val="none"/>
                <w:lang w:val="en-US" w:eastAsia="zh-CN"/>
              </w:rPr>
              <w:t>的资质为评议依据，</w:t>
            </w:r>
            <w:r>
              <w:rPr>
                <w:rFonts w:hint="eastAsia" w:ascii="宋体" w:hAnsi="宋体" w:cs="宋体"/>
                <w:color w:val="auto"/>
                <w:szCs w:val="21"/>
                <w:highlight w:val="none"/>
                <w:lang w:val="en-US" w:eastAsia="zh-CN"/>
              </w:rPr>
              <w:t>同时持有以上2种资质时取其中最高得分。</w:t>
            </w:r>
          </w:p>
          <w:p>
            <w:pPr>
              <w:numPr>
                <w:ilvl w:val="0"/>
                <w:numId w:val="20"/>
              </w:numPr>
              <w:ind w:left="425" w:leftChars="0" w:hanging="425" w:firstLineChars="0"/>
              <w:rPr>
                <w:rFonts w:ascii="宋体" w:hAnsi="宋体" w:eastAsia="宋体" w:cs="宋体"/>
                <w:color w:val="auto"/>
                <w:kern w:val="2"/>
                <w:sz w:val="21"/>
                <w:szCs w:val="24"/>
                <w:highlight w:val="none"/>
                <w:lang w:val="en-US" w:eastAsia="zh-CN" w:bidi="ar-SA"/>
              </w:rPr>
            </w:pPr>
            <w:r>
              <w:rPr>
                <w:rFonts w:hint="eastAsia" w:ascii="宋体" w:hAnsi="宋体"/>
                <w:color w:val="auto"/>
                <w:szCs w:val="21"/>
                <w:highlight w:val="none"/>
                <w:lang w:eastAsia="zh-CN"/>
              </w:rPr>
              <w:t>根据</w:t>
            </w:r>
            <w:r>
              <w:rPr>
                <w:rFonts w:hint="eastAsia" w:ascii="宋体" w:hAnsi="宋体"/>
                <w:color w:val="auto"/>
                <w:spacing w:val="-5"/>
                <w:kern w:val="0"/>
                <w:szCs w:val="21"/>
                <w:highlight w:val="none"/>
              </w:rPr>
              <w:t>投标人提供公司简介、202</w:t>
            </w:r>
            <w:r>
              <w:rPr>
                <w:rFonts w:hint="eastAsia" w:ascii="宋体" w:hAnsi="宋体"/>
                <w:color w:val="auto"/>
                <w:spacing w:val="-5"/>
                <w:kern w:val="0"/>
                <w:szCs w:val="21"/>
                <w:highlight w:val="none"/>
                <w:lang w:val="en-US" w:eastAsia="zh-CN"/>
              </w:rPr>
              <w:t>2</w:t>
            </w:r>
            <w:r>
              <w:rPr>
                <w:rFonts w:hint="eastAsia" w:ascii="宋体" w:hAnsi="宋体"/>
                <w:color w:val="auto"/>
                <w:spacing w:val="-5"/>
                <w:kern w:val="0"/>
                <w:szCs w:val="21"/>
                <w:highlight w:val="none"/>
              </w:rPr>
              <w:t>年度财务报表的验证材料</w:t>
            </w:r>
            <w:r>
              <w:rPr>
                <w:rFonts w:hint="eastAsia" w:ascii="宋体" w:hAnsi="宋体"/>
                <w:color w:val="auto"/>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ascii="宋体" w:hAnsi="宋体" w:cs="宋体"/>
                <w:kern w:val="0"/>
                <w:szCs w:val="21"/>
              </w:rPr>
              <w:t>同类业绩</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ascii="宋体" w:hAnsi="宋体"/>
                <w:szCs w:val="21"/>
              </w:rPr>
              <w:t>1</w:t>
            </w:r>
            <w:r>
              <w:rPr>
                <w:rFonts w:hint="eastAsia" w:ascii="宋体" w:hAnsi="宋体"/>
                <w:szCs w:val="21"/>
                <w:lang w:val="en-US" w:eastAsia="zh-CN"/>
              </w:rPr>
              <w:t>0</w:t>
            </w:r>
          </w:p>
        </w:tc>
        <w:tc>
          <w:tcPr>
            <w:tcW w:w="6804" w:type="dxa"/>
            <w:gridSpan w:val="2"/>
            <w:tcBorders>
              <w:tl2br w:val="nil"/>
              <w:tr2bl w:val="nil"/>
            </w:tcBorders>
            <w:tcMar>
              <w:top w:w="15" w:type="dxa"/>
              <w:left w:w="15" w:type="dxa"/>
              <w:bottom w:w="15" w:type="dxa"/>
              <w:right w:w="15" w:type="dxa"/>
            </w:tcMar>
            <w:vAlign w:val="center"/>
          </w:tcPr>
          <w:p>
            <w:pPr>
              <w:rPr>
                <w:rFonts w:ascii="宋体" w:hAnsi="宋体"/>
                <w:szCs w:val="21"/>
              </w:rPr>
            </w:pPr>
            <w:r>
              <w:rPr>
                <w:rFonts w:hint="eastAsia" w:ascii="宋体" w:hAnsi="宋体"/>
                <w:szCs w:val="21"/>
              </w:rPr>
              <w:t>根据投标人202</w:t>
            </w:r>
            <w:r>
              <w:rPr>
                <w:rFonts w:hint="eastAsia" w:ascii="宋体" w:hAnsi="宋体"/>
                <w:szCs w:val="21"/>
                <w:lang w:val="en-US" w:eastAsia="zh-CN"/>
              </w:rPr>
              <w:t>2</w:t>
            </w:r>
            <w:r>
              <w:rPr>
                <w:rFonts w:hint="eastAsia" w:ascii="宋体" w:hAnsi="宋体"/>
                <w:szCs w:val="21"/>
              </w:rPr>
              <w:t>年1月1日至本项目招标公告发布日（以合同签订时间为准）所承接的电</w:t>
            </w:r>
            <w:r>
              <w:rPr>
                <w:rFonts w:ascii="宋体" w:hAnsi="宋体"/>
                <w:szCs w:val="21"/>
              </w:rPr>
              <w:t>力</w:t>
            </w:r>
            <w:r>
              <w:rPr>
                <w:rFonts w:hint="eastAsia" w:ascii="宋体" w:hAnsi="宋体"/>
                <w:szCs w:val="21"/>
              </w:rPr>
              <w:t>设备（设施</w:t>
            </w:r>
            <w:r>
              <w:rPr>
                <w:rFonts w:ascii="宋体" w:hAnsi="宋体"/>
                <w:szCs w:val="21"/>
              </w:rPr>
              <w:t>）</w:t>
            </w:r>
            <w:r>
              <w:rPr>
                <w:rFonts w:hint="eastAsia" w:ascii="宋体" w:hAnsi="宋体"/>
                <w:szCs w:val="21"/>
              </w:rPr>
              <w:t>安装、施工、维修类相关施工项目业绩</w:t>
            </w:r>
            <w:r>
              <w:rPr>
                <w:rFonts w:hint="eastAsia" w:ascii="宋体" w:hAnsi="宋体"/>
                <w:szCs w:val="21"/>
                <w:lang w:val="en-US" w:eastAsia="zh-CN"/>
              </w:rPr>
              <w:t>进行</w:t>
            </w:r>
            <w:r>
              <w:rPr>
                <w:rFonts w:hint="eastAsia" w:ascii="宋体" w:hAnsi="宋体"/>
                <w:szCs w:val="21"/>
              </w:rPr>
              <w:t>评议:</w:t>
            </w:r>
          </w:p>
          <w:p>
            <w:pPr>
              <w:numPr>
                <w:ilvl w:val="3"/>
                <w:numId w:val="21"/>
              </w:numPr>
              <w:tabs>
                <w:tab w:val="left" w:pos="639"/>
              </w:tabs>
              <w:ind w:left="639" w:hanging="629"/>
              <w:rPr>
                <w:rFonts w:ascii="宋体" w:hAnsi="宋体"/>
                <w:szCs w:val="21"/>
              </w:rPr>
            </w:pPr>
            <w:r>
              <w:rPr>
                <w:rFonts w:hint="eastAsia" w:ascii="宋体" w:hAnsi="宋体"/>
                <w:szCs w:val="21"/>
              </w:rPr>
              <w:t>单个合同金额≥</w:t>
            </w:r>
            <w:r>
              <w:rPr>
                <w:rFonts w:hint="eastAsia" w:ascii="宋体" w:hAnsi="宋体"/>
                <w:szCs w:val="21"/>
                <w:lang w:val="en-US" w:eastAsia="zh-CN"/>
              </w:rPr>
              <w:t>1</w:t>
            </w:r>
            <w:r>
              <w:rPr>
                <w:rFonts w:hint="eastAsia" w:ascii="宋体" w:hAnsi="宋体"/>
                <w:szCs w:val="21"/>
              </w:rPr>
              <w:t>00万元，得</w:t>
            </w:r>
            <w:r>
              <w:rPr>
                <w:rFonts w:ascii="宋体" w:hAnsi="宋体"/>
                <w:szCs w:val="21"/>
              </w:rPr>
              <w:t>1</w:t>
            </w:r>
            <w:r>
              <w:rPr>
                <w:rFonts w:hint="eastAsia" w:ascii="宋体" w:hAnsi="宋体"/>
                <w:szCs w:val="21"/>
                <w:lang w:val="en-US" w:eastAsia="zh-CN"/>
              </w:rPr>
              <w:t>0</w:t>
            </w:r>
            <w:r>
              <w:rPr>
                <w:rFonts w:hint="eastAsia" w:ascii="宋体" w:hAnsi="宋体"/>
                <w:szCs w:val="21"/>
              </w:rPr>
              <w:t>分；</w:t>
            </w:r>
          </w:p>
          <w:p>
            <w:pPr>
              <w:numPr>
                <w:ilvl w:val="3"/>
                <w:numId w:val="21"/>
              </w:numPr>
              <w:tabs>
                <w:tab w:val="left" w:pos="639"/>
              </w:tabs>
              <w:ind w:left="639" w:hanging="629"/>
              <w:rPr>
                <w:rFonts w:ascii="宋体" w:hAnsi="宋体"/>
                <w:szCs w:val="21"/>
              </w:rPr>
            </w:pPr>
            <w:r>
              <w:rPr>
                <w:rFonts w:hint="eastAsia" w:ascii="宋体" w:hAnsi="宋体"/>
                <w:szCs w:val="21"/>
                <w:lang w:val="en-US" w:eastAsia="zh-CN"/>
              </w:rPr>
              <w:t>8</w:t>
            </w:r>
            <w:r>
              <w:rPr>
                <w:rFonts w:hint="eastAsia" w:ascii="宋体" w:hAnsi="宋体"/>
                <w:szCs w:val="21"/>
              </w:rPr>
              <w:t>0万元≤单个合同金额＜</w:t>
            </w:r>
            <w:r>
              <w:rPr>
                <w:rFonts w:hint="eastAsia" w:ascii="宋体" w:hAnsi="宋体"/>
                <w:szCs w:val="21"/>
                <w:lang w:val="en-US" w:eastAsia="zh-CN"/>
              </w:rPr>
              <w:t>10</w:t>
            </w:r>
            <w:r>
              <w:rPr>
                <w:rFonts w:hint="eastAsia" w:ascii="宋体" w:hAnsi="宋体"/>
                <w:szCs w:val="21"/>
              </w:rPr>
              <w:t>0万元，得</w:t>
            </w:r>
            <w:r>
              <w:rPr>
                <w:rFonts w:hint="eastAsia" w:ascii="宋体" w:hAnsi="宋体"/>
                <w:szCs w:val="21"/>
                <w:lang w:val="en-US" w:eastAsia="zh-CN"/>
              </w:rPr>
              <w:t>8</w:t>
            </w:r>
            <w:r>
              <w:rPr>
                <w:rFonts w:hint="eastAsia" w:ascii="宋体" w:hAnsi="宋体"/>
                <w:szCs w:val="21"/>
              </w:rPr>
              <w:t>分；</w:t>
            </w:r>
          </w:p>
          <w:p>
            <w:pPr>
              <w:numPr>
                <w:ilvl w:val="3"/>
                <w:numId w:val="21"/>
              </w:numPr>
              <w:tabs>
                <w:tab w:val="left" w:pos="639"/>
              </w:tabs>
              <w:ind w:left="639" w:hanging="629"/>
              <w:rPr>
                <w:rFonts w:ascii="宋体" w:hAnsi="宋体"/>
                <w:szCs w:val="21"/>
              </w:rPr>
            </w:pPr>
            <w:r>
              <w:rPr>
                <w:rFonts w:hint="eastAsia" w:ascii="宋体" w:hAnsi="宋体"/>
                <w:szCs w:val="21"/>
                <w:lang w:val="en-US" w:eastAsia="zh-CN"/>
              </w:rPr>
              <w:t>6</w:t>
            </w:r>
            <w:r>
              <w:rPr>
                <w:rFonts w:hint="eastAsia" w:ascii="宋体" w:hAnsi="宋体"/>
                <w:szCs w:val="21"/>
              </w:rPr>
              <w:t>0万≤单个合同金额＜</w:t>
            </w:r>
            <w:r>
              <w:rPr>
                <w:rFonts w:hint="eastAsia" w:ascii="宋体" w:hAnsi="宋体"/>
                <w:szCs w:val="21"/>
                <w:lang w:val="en-US" w:eastAsia="zh-CN"/>
              </w:rPr>
              <w:t>8</w:t>
            </w:r>
            <w:r>
              <w:rPr>
                <w:rFonts w:hint="eastAsia" w:ascii="宋体" w:hAnsi="宋体"/>
                <w:szCs w:val="21"/>
              </w:rPr>
              <w:t>0万元，得</w:t>
            </w:r>
            <w:r>
              <w:rPr>
                <w:rFonts w:ascii="宋体" w:hAnsi="宋体"/>
                <w:szCs w:val="21"/>
              </w:rPr>
              <w:t>6</w:t>
            </w:r>
            <w:r>
              <w:rPr>
                <w:rFonts w:hint="eastAsia" w:ascii="宋体" w:hAnsi="宋体"/>
                <w:szCs w:val="21"/>
              </w:rPr>
              <w:t>分；</w:t>
            </w:r>
          </w:p>
          <w:p>
            <w:pPr>
              <w:numPr>
                <w:ilvl w:val="3"/>
                <w:numId w:val="21"/>
              </w:numPr>
              <w:tabs>
                <w:tab w:val="left" w:pos="639"/>
              </w:tabs>
              <w:ind w:left="639" w:hanging="629"/>
              <w:rPr>
                <w:rFonts w:ascii="宋体" w:hAnsi="宋体"/>
                <w:szCs w:val="21"/>
              </w:rPr>
            </w:pPr>
            <w:r>
              <w:rPr>
                <w:rFonts w:hint="eastAsia" w:ascii="宋体" w:hAnsi="宋体"/>
                <w:szCs w:val="21"/>
                <w:lang w:val="en-US" w:eastAsia="zh-CN"/>
              </w:rPr>
              <w:t>4</w:t>
            </w:r>
            <w:r>
              <w:rPr>
                <w:rFonts w:hint="eastAsia" w:ascii="宋体" w:hAnsi="宋体"/>
                <w:szCs w:val="21"/>
              </w:rPr>
              <w:t>0万≤单个合同金额＜</w:t>
            </w:r>
            <w:r>
              <w:rPr>
                <w:rFonts w:hint="eastAsia" w:ascii="宋体" w:hAnsi="宋体"/>
                <w:szCs w:val="21"/>
                <w:lang w:val="en-US" w:eastAsia="zh-CN"/>
              </w:rPr>
              <w:t>6</w:t>
            </w:r>
            <w:r>
              <w:rPr>
                <w:rFonts w:hint="eastAsia" w:ascii="宋体" w:hAnsi="宋体"/>
                <w:szCs w:val="21"/>
              </w:rPr>
              <w:t>0万元，得</w:t>
            </w:r>
            <w:r>
              <w:rPr>
                <w:rFonts w:ascii="宋体" w:hAnsi="宋体"/>
                <w:szCs w:val="21"/>
              </w:rPr>
              <w:t>4</w:t>
            </w:r>
            <w:r>
              <w:rPr>
                <w:rFonts w:hint="eastAsia" w:ascii="宋体" w:hAnsi="宋体"/>
                <w:szCs w:val="21"/>
              </w:rPr>
              <w:t>分；</w:t>
            </w:r>
          </w:p>
          <w:p>
            <w:pPr>
              <w:numPr>
                <w:ilvl w:val="3"/>
                <w:numId w:val="21"/>
              </w:numPr>
              <w:tabs>
                <w:tab w:val="left" w:pos="639"/>
              </w:tabs>
              <w:ind w:left="639" w:hanging="629"/>
              <w:rPr>
                <w:rFonts w:ascii="宋体" w:hAnsi="宋体"/>
                <w:szCs w:val="21"/>
              </w:rPr>
            </w:pPr>
            <w:r>
              <w:rPr>
                <w:rFonts w:hint="eastAsia" w:ascii="宋体" w:hAnsi="宋体"/>
                <w:szCs w:val="21"/>
              </w:rPr>
              <w:t>单个合同金额＜</w:t>
            </w:r>
            <w:r>
              <w:rPr>
                <w:rFonts w:hint="eastAsia" w:ascii="宋体" w:hAnsi="宋体"/>
                <w:szCs w:val="21"/>
                <w:lang w:val="en-US" w:eastAsia="zh-CN"/>
              </w:rPr>
              <w:t>4</w:t>
            </w:r>
            <w:r>
              <w:rPr>
                <w:rFonts w:hint="eastAsia" w:ascii="宋体" w:hAnsi="宋体"/>
                <w:szCs w:val="21"/>
              </w:rPr>
              <w:t>0万元，得</w:t>
            </w:r>
            <w:r>
              <w:rPr>
                <w:rFonts w:ascii="宋体" w:hAnsi="宋体"/>
                <w:szCs w:val="21"/>
              </w:rPr>
              <w:t>2</w:t>
            </w:r>
            <w:r>
              <w:rPr>
                <w:rFonts w:hint="eastAsia" w:ascii="宋体" w:hAnsi="宋体"/>
                <w:szCs w:val="21"/>
              </w:rPr>
              <w:t>分；</w:t>
            </w:r>
          </w:p>
          <w:p>
            <w:pPr>
              <w:rPr>
                <w:rFonts w:ascii="宋体" w:hAnsi="宋体"/>
                <w:szCs w:val="21"/>
              </w:rPr>
            </w:pPr>
            <w:r>
              <w:rPr>
                <w:rFonts w:hint="eastAsia" w:ascii="宋体" w:hAnsi="宋体"/>
                <w:szCs w:val="21"/>
              </w:rPr>
              <w:t>证明文件：</w:t>
            </w:r>
          </w:p>
          <w:p>
            <w:pPr>
              <w:numPr>
                <w:ilvl w:val="3"/>
                <w:numId w:val="22"/>
              </w:numPr>
              <w:tabs>
                <w:tab w:val="left" w:pos="639"/>
              </w:tabs>
              <w:ind w:left="639" w:hanging="629"/>
              <w:rPr>
                <w:rFonts w:ascii="宋体" w:hAnsi="宋体"/>
                <w:szCs w:val="21"/>
              </w:rPr>
            </w:pPr>
            <w:r>
              <w:rPr>
                <w:rFonts w:hint="eastAsia" w:ascii="宋体" w:hAnsi="宋体"/>
                <w:szCs w:val="21"/>
              </w:rPr>
              <w:t>投标人需提供包含但不仅限于能体现上述评审要素（如合同标的、签订时间、金额等）的合同关键页复印件并加盖投标人公章。</w:t>
            </w:r>
          </w:p>
          <w:p>
            <w:pPr>
              <w:numPr>
                <w:ilvl w:val="3"/>
                <w:numId w:val="22"/>
              </w:numPr>
              <w:tabs>
                <w:tab w:val="left" w:pos="639"/>
              </w:tabs>
              <w:ind w:left="1206" w:leftChars="0" w:hanging="1196" w:firstLineChars="0"/>
              <w:rPr>
                <w:rFonts w:ascii="宋体" w:hAnsi="宋体" w:eastAsia="宋体" w:cs="宋体"/>
                <w:kern w:val="2"/>
                <w:sz w:val="21"/>
                <w:szCs w:val="21"/>
                <w:lang w:val="en-US" w:eastAsia="zh-CN" w:bidi="ar-SA"/>
              </w:rPr>
            </w:pPr>
            <w:r>
              <w:rPr>
                <w:rFonts w:hint="eastAsia" w:ascii="宋体" w:hAnsi="宋体"/>
                <w:szCs w:val="21"/>
              </w:rPr>
              <w:t>未提供或提供证明资料不清晰、不完整的，不得分。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w:t>
            </w:r>
            <w:r>
              <w:rPr>
                <w:rFonts w:hint="eastAsia" w:ascii="宋体" w:hAnsi="宋体"/>
                <w:b/>
                <w:color w:val="auto"/>
                <w:szCs w:val="21"/>
                <w:highlight w:val="none"/>
              </w:rPr>
              <w:t>项（</w:t>
            </w:r>
            <w:r>
              <w:rPr>
                <w:rFonts w:hint="eastAsia" w:ascii="宋体" w:hAnsi="宋体"/>
                <w:color w:val="auto"/>
                <w:szCs w:val="21"/>
                <w:highlight w:val="none"/>
                <w:lang w:val="en-US" w:eastAsia="zh-CN"/>
              </w:rPr>
              <w:t>40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ascii="宋体" w:hAnsi="宋体"/>
                <w:kern w:val="0"/>
                <w:szCs w:val="21"/>
              </w:rPr>
              <w:t>安装技术服务方案</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15</w:t>
            </w:r>
          </w:p>
        </w:tc>
        <w:tc>
          <w:tcPr>
            <w:tcW w:w="6804" w:type="dxa"/>
            <w:gridSpan w:val="2"/>
            <w:tcBorders>
              <w:tl2br w:val="nil"/>
              <w:tr2bl w:val="nil"/>
            </w:tcBorders>
            <w:tcMar>
              <w:top w:w="15" w:type="dxa"/>
              <w:left w:w="15" w:type="dxa"/>
              <w:bottom w:w="15" w:type="dxa"/>
              <w:right w:w="15" w:type="dxa"/>
            </w:tcMar>
            <w:vAlign w:val="center"/>
          </w:tcPr>
          <w:p>
            <w:pPr>
              <w:widowControl/>
              <w:ind w:right="30" w:rightChars="0"/>
              <w:jc w:val="left"/>
              <w:rPr>
                <w:rFonts w:ascii="宋体" w:hAnsi="宋体" w:eastAsia="宋体" w:cs="Times New Roman"/>
                <w:kern w:val="2"/>
                <w:sz w:val="21"/>
                <w:szCs w:val="21"/>
                <w:lang w:val="en-US" w:eastAsia="zh-CN" w:bidi="ar-SA"/>
              </w:rPr>
            </w:pPr>
            <w:r>
              <w:rPr>
                <w:rFonts w:hint="eastAsia" w:ascii="宋体" w:hAnsi="宋体"/>
                <w:szCs w:val="21"/>
              </w:rPr>
              <w:t>根据各投标人提交的施工方案</w:t>
            </w:r>
            <w:r>
              <w:rPr>
                <w:rFonts w:hint="eastAsia" w:ascii="宋体" w:hAnsi="宋体"/>
                <w:szCs w:val="21"/>
                <w:lang w:eastAsia="zh-CN"/>
              </w:rPr>
              <w:t>（</w:t>
            </w:r>
            <w:r>
              <w:rPr>
                <w:rFonts w:hint="eastAsia" w:ascii="宋体" w:hAnsi="宋体"/>
                <w:szCs w:val="21"/>
              </w:rPr>
              <w:t>包括但不仅限于：工艺控制措施、服务组织方案、现场管理、主要技术组织措施、安全防护措施、应急预案等</w:t>
            </w:r>
            <w:r>
              <w:rPr>
                <w:rFonts w:hint="eastAsia" w:ascii="宋体" w:hAnsi="宋体"/>
                <w:szCs w:val="21"/>
                <w:lang w:eastAsia="zh-CN"/>
              </w:rPr>
              <w:t>）</w:t>
            </w:r>
            <w:r>
              <w:rPr>
                <w:rFonts w:hint="eastAsia" w:ascii="宋体" w:hAnsi="宋体"/>
                <w:szCs w:val="21"/>
              </w:rPr>
              <w:t>进行横向比较</w:t>
            </w:r>
            <w:r>
              <w:rPr>
                <w:rFonts w:hint="eastAsia" w:ascii="宋体" w:hAnsi="宋体"/>
                <w:szCs w:val="21"/>
                <w:lang w:val="en-US" w:eastAsia="zh-CN"/>
              </w:rPr>
              <w:t>综合评议，</w:t>
            </w:r>
            <w:r>
              <w:rPr>
                <w:rFonts w:hint="eastAsia" w:ascii="宋体" w:hAnsi="宋体"/>
                <w:szCs w:val="21"/>
              </w:rPr>
              <w:t>优秀得</w:t>
            </w:r>
            <w:r>
              <w:rPr>
                <w:rFonts w:hint="eastAsia" w:ascii="宋体" w:hAnsi="宋体"/>
                <w:szCs w:val="21"/>
                <w:lang w:val="en-US" w:eastAsia="zh-CN"/>
              </w:rPr>
              <w:t>15</w:t>
            </w:r>
            <w:r>
              <w:rPr>
                <w:rFonts w:hint="eastAsia" w:ascii="宋体" w:hAnsi="宋体"/>
                <w:szCs w:val="21"/>
              </w:rPr>
              <w:t>分；良好得</w:t>
            </w:r>
            <w:r>
              <w:rPr>
                <w:rFonts w:hint="eastAsia" w:ascii="宋体" w:hAnsi="宋体"/>
                <w:szCs w:val="21"/>
                <w:lang w:val="en-US" w:eastAsia="zh-CN"/>
              </w:rPr>
              <w:t>10</w:t>
            </w:r>
            <w:r>
              <w:rPr>
                <w:rFonts w:hint="eastAsia" w:ascii="宋体" w:hAnsi="宋体"/>
                <w:szCs w:val="21"/>
              </w:rPr>
              <w:t>分；一般得</w:t>
            </w:r>
            <w:r>
              <w:rPr>
                <w:rFonts w:hint="eastAsia" w:ascii="宋体" w:hAnsi="宋体"/>
                <w:szCs w:val="21"/>
                <w:lang w:val="en-US" w:eastAsia="zh-CN"/>
              </w:rPr>
              <w:t>5</w:t>
            </w:r>
            <w:r>
              <w:rPr>
                <w:rFonts w:hint="eastAsia" w:ascii="宋体" w:hAnsi="宋体"/>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rPr>
            </w:pPr>
            <w:r>
              <w:rPr>
                <w:rFonts w:hint="eastAsia" w:ascii="宋体" w:hAnsi="宋体"/>
                <w:kern w:val="0"/>
                <w:szCs w:val="21"/>
              </w:rPr>
              <w:t>工期</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6804" w:type="dxa"/>
            <w:gridSpan w:val="2"/>
            <w:tcBorders>
              <w:tl2br w:val="nil"/>
              <w:tr2bl w:val="nil"/>
            </w:tcBorders>
            <w:tcMar>
              <w:top w:w="15" w:type="dxa"/>
              <w:left w:w="15" w:type="dxa"/>
              <w:bottom w:w="15" w:type="dxa"/>
              <w:right w:w="15" w:type="dxa"/>
            </w:tcMar>
            <w:vAlign w:val="center"/>
          </w:tcPr>
          <w:p>
            <w:pPr>
              <w:snapToGrid w:val="0"/>
              <w:rPr>
                <w:rFonts w:hint="eastAsia"/>
              </w:rPr>
            </w:pPr>
            <w:r>
              <w:rPr>
                <w:rFonts w:hint="eastAsia"/>
              </w:rPr>
              <w:t>根据各投标人所承诺工期（含安装、调试时间），满足招标人</w:t>
            </w:r>
            <w:r>
              <w:rPr>
                <w:rFonts w:hint="eastAsia"/>
                <w:lang w:eastAsia="zh-CN"/>
              </w:rPr>
              <w:t>现场实际</w:t>
            </w:r>
            <w:r>
              <w:rPr>
                <w:rFonts w:hint="eastAsia"/>
              </w:rPr>
              <w:t>要求并</w:t>
            </w:r>
            <w:r>
              <w:rPr>
                <w:rFonts w:hint="eastAsia"/>
                <w:lang w:eastAsia="zh-CN"/>
              </w:rPr>
              <w:t>在合理的工期内</w:t>
            </w:r>
            <w:r>
              <w:rPr>
                <w:rFonts w:hint="eastAsia"/>
              </w:rPr>
              <w:t>可提前完工者，按照工期由短到长排名，第一名得</w:t>
            </w:r>
            <w:r>
              <w:rPr>
                <w:rFonts w:hint="eastAsia"/>
                <w:lang w:val="en-US" w:eastAsia="zh-CN"/>
              </w:rPr>
              <w:t>5</w:t>
            </w:r>
            <w:r>
              <w:rPr>
                <w:rFonts w:hint="eastAsia"/>
              </w:rPr>
              <w:t>分，排名每下降一个名次得分递减1分，直至0分。</w:t>
            </w:r>
          </w:p>
          <w:p>
            <w:pPr>
              <w:pStyle w:val="2"/>
              <w:ind w:left="0" w:leftChars="0" w:firstLine="0" w:firstLineChars="0"/>
              <w:rPr>
                <w:rFonts w:hint="eastAsia"/>
              </w:rPr>
            </w:pPr>
            <w:r>
              <w:rPr>
                <w:rFonts w:hint="eastAsia" w:ascii="Times New Roman" w:hAnsi="Times New Roman"/>
                <w:spacing w:val="0"/>
                <w:kern w:val="2"/>
                <w:sz w:val="21"/>
                <w:lang w:val="en-US" w:eastAsia="zh-CN"/>
              </w:rPr>
              <w:t>说</w:t>
            </w:r>
            <w:r>
              <w:rPr>
                <w:rFonts w:hint="eastAsia" w:ascii="Times New Roman" w:hAnsi="Times New Roman" w:eastAsia="宋体" w:cs="Times New Roman"/>
                <w:spacing w:val="0"/>
                <w:kern w:val="2"/>
                <w:sz w:val="21"/>
                <w:szCs w:val="24"/>
                <w:lang w:val="en-US" w:eastAsia="zh-CN" w:bidi="ar-SA"/>
              </w:rPr>
              <w:t>明：需根据招标人实际情况制定工期，</w:t>
            </w:r>
            <w:r>
              <w:rPr>
                <w:rFonts w:hint="eastAsia" w:ascii="Times New Roman" w:hAnsi="Times New Roman" w:cs="Times New Roman"/>
                <w:spacing w:val="0"/>
                <w:kern w:val="2"/>
                <w:sz w:val="21"/>
                <w:szCs w:val="24"/>
                <w:lang w:val="en-US" w:eastAsia="zh-CN" w:bidi="ar-SA"/>
              </w:rPr>
              <w:t>低于6天</w:t>
            </w:r>
            <w:r>
              <w:rPr>
                <w:rFonts w:hint="eastAsia" w:ascii="Times New Roman" w:hAnsi="Times New Roman" w:eastAsia="宋体" w:cs="Times New Roman"/>
                <w:spacing w:val="0"/>
                <w:kern w:val="2"/>
                <w:sz w:val="21"/>
                <w:szCs w:val="24"/>
                <w:lang w:val="en-US" w:eastAsia="zh-CN" w:bidi="ar-SA"/>
              </w:rPr>
              <w:t>的工期承诺将被视为无效承诺，不得分。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rPr>
            </w:pPr>
            <w:r>
              <w:rPr>
                <w:rFonts w:hint="eastAsia" w:ascii="宋体" w:hAnsi="宋体" w:cs="宋体"/>
                <w:kern w:val="0"/>
                <w:szCs w:val="21"/>
              </w:rPr>
              <w:t>拟派人员</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szCs w:val="21"/>
                <w:lang w:val="en-US" w:eastAsia="zh-CN"/>
              </w:rPr>
            </w:pPr>
            <w:r>
              <w:rPr>
                <w:rFonts w:hint="eastAsia" w:ascii="宋体" w:hAnsi="宋体"/>
                <w:szCs w:val="21"/>
                <w:lang w:val="en-US" w:eastAsia="zh-CN"/>
              </w:rPr>
              <w:t>20</w:t>
            </w:r>
          </w:p>
        </w:tc>
        <w:tc>
          <w:tcPr>
            <w:tcW w:w="6804" w:type="dxa"/>
            <w:gridSpan w:val="2"/>
            <w:tcBorders>
              <w:tl2br w:val="nil"/>
              <w:tr2bl w:val="nil"/>
            </w:tcBorders>
            <w:tcMar>
              <w:top w:w="15" w:type="dxa"/>
              <w:left w:w="15" w:type="dxa"/>
              <w:bottom w:w="15" w:type="dxa"/>
              <w:right w:w="15" w:type="dxa"/>
            </w:tcMar>
            <w:vAlign w:val="center"/>
          </w:tcPr>
          <w:p>
            <w:pPr>
              <w:numPr>
                <w:ilvl w:val="0"/>
                <w:numId w:val="24"/>
              </w:numPr>
              <w:snapToGrid w:val="0"/>
              <w:rPr>
                <w:rFonts w:ascii="宋体" w:hAnsi="宋体"/>
                <w:szCs w:val="21"/>
              </w:rPr>
            </w:pPr>
            <w:r>
              <w:rPr>
                <w:rFonts w:hint="eastAsia" w:ascii="宋体" w:hAnsi="宋体"/>
                <w:szCs w:val="21"/>
              </w:rPr>
              <w:t>项目负责人具</w:t>
            </w:r>
            <w:r>
              <w:rPr>
                <w:rFonts w:hint="eastAsia" w:ascii="宋体" w:hAnsi="宋体"/>
                <w:szCs w:val="21"/>
                <w:lang w:val="en-US" w:eastAsia="zh-CN"/>
              </w:rPr>
              <w:t>有</w:t>
            </w:r>
            <w:r>
              <w:rPr>
                <w:rFonts w:hint="eastAsia" w:ascii="宋体" w:hAnsi="宋体"/>
                <w:szCs w:val="21"/>
              </w:rPr>
              <w:t>一级</w:t>
            </w:r>
            <w:r>
              <w:rPr>
                <w:rFonts w:hint="eastAsia" w:ascii="宋体" w:hAnsi="宋体"/>
                <w:szCs w:val="21"/>
                <w:lang w:eastAsia="zh-CN"/>
              </w:rPr>
              <w:t>注册</w:t>
            </w:r>
            <w:r>
              <w:rPr>
                <w:rFonts w:hint="eastAsia" w:ascii="宋体" w:hAnsi="宋体"/>
                <w:szCs w:val="21"/>
              </w:rPr>
              <w:t>建造师（机电专业）</w:t>
            </w:r>
            <w:r>
              <w:rPr>
                <w:rFonts w:hint="eastAsia" w:ascii="宋体" w:hAnsi="宋体"/>
                <w:szCs w:val="21"/>
                <w:lang w:val="en-US" w:eastAsia="zh-CN"/>
              </w:rPr>
              <w:t>资格证的</w:t>
            </w:r>
            <w:r>
              <w:rPr>
                <w:rFonts w:hint="eastAsia" w:ascii="宋体" w:hAnsi="宋体"/>
                <w:lang w:val="en-US" w:eastAsia="zh-CN"/>
              </w:rPr>
              <w:t>（注册在本公司）</w:t>
            </w:r>
            <w:r>
              <w:rPr>
                <w:rFonts w:hint="eastAsia" w:ascii="宋体" w:hAnsi="宋体"/>
                <w:szCs w:val="21"/>
                <w:lang w:val="en-US" w:eastAsia="zh-CN"/>
              </w:rPr>
              <w:t>，</w:t>
            </w:r>
            <w:r>
              <w:rPr>
                <w:rFonts w:hint="eastAsia" w:ascii="宋体" w:hAnsi="宋体"/>
                <w:szCs w:val="21"/>
                <w:lang w:eastAsia="zh-CN"/>
              </w:rPr>
              <w:t>得</w:t>
            </w:r>
            <w:r>
              <w:rPr>
                <w:rFonts w:hint="eastAsia" w:ascii="宋体" w:hAnsi="宋体"/>
                <w:szCs w:val="21"/>
                <w:lang w:val="en-US" w:eastAsia="zh-CN"/>
              </w:rPr>
              <w:t>3分</w:t>
            </w:r>
            <w:r>
              <w:rPr>
                <w:rFonts w:hint="eastAsia" w:ascii="宋体" w:hAnsi="宋体"/>
                <w:szCs w:val="21"/>
              </w:rPr>
              <w:t>。</w:t>
            </w:r>
          </w:p>
          <w:p>
            <w:pPr>
              <w:numPr>
                <w:ilvl w:val="0"/>
                <w:numId w:val="24"/>
              </w:numPr>
              <w:snapToGrid w:val="0"/>
              <w:rPr>
                <w:rFonts w:ascii="宋体" w:hAnsi="宋体"/>
                <w:szCs w:val="21"/>
              </w:rPr>
            </w:pPr>
            <w:r>
              <w:rPr>
                <w:rFonts w:hint="eastAsia" w:ascii="宋体" w:hAnsi="宋体"/>
                <w:szCs w:val="21"/>
              </w:rPr>
              <w:t>拟派人员每提供1个</w:t>
            </w:r>
            <w:r>
              <w:rPr>
                <w:rFonts w:hint="eastAsia" w:ascii="宋体" w:hAnsi="宋体"/>
                <w:szCs w:val="21"/>
                <w:lang w:eastAsia="zh-CN"/>
              </w:rPr>
              <w:t>低</w:t>
            </w:r>
            <w:r>
              <w:rPr>
                <w:rFonts w:hint="eastAsia" w:ascii="宋体" w:hAnsi="宋体"/>
                <w:szCs w:val="21"/>
              </w:rPr>
              <w:t>压电工作业证得2分，最高1</w:t>
            </w:r>
            <w:r>
              <w:rPr>
                <w:rFonts w:hint="eastAsia" w:ascii="宋体" w:hAnsi="宋体"/>
                <w:szCs w:val="21"/>
                <w:lang w:val="en-US" w:eastAsia="zh-CN"/>
              </w:rPr>
              <w:t>4</w:t>
            </w:r>
            <w:r>
              <w:rPr>
                <w:rFonts w:hint="eastAsia" w:ascii="宋体" w:hAnsi="宋体"/>
                <w:szCs w:val="21"/>
              </w:rPr>
              <w:t>分</w:t>
            </w:r>
            <w:r>
              <w:rPr>
                <w:rFonts w:hint="eastAsia" w:ascii="宋体" w:hAnsi="宋体"/>
                <w:lang w:val="en-US" w:eastAsia="zh-CN"/>
              </w:rPr>
              <w:t>。</w:t>
            </w:r>
          </w:p>
          <w:p>
            <w:pPr>
              <w:numPr>
                <w:ilvl w:val="0"/>
                <w:numId w:val="24"/>
              </w:numPr>
              <w:snapToGrid w:val="0"/>
              <w:rPr>
                <w:rFonts w:ascii="宋体" w:hAnsi="宋体"/>
                <w:szCs w:val="21"/>
              </w:rPr>
            </w:pPr>
            <w:r>
              <w:rPr>
                <w:rFonts w:hint="eastAsia" w:ascii="宋体" w:hAnsi="宋体"/>
                <w:szCs w:val="21"/>
                <w:lang w:eastAsia="zh-CN"/>
              </w:rPr>
              <w:t>现场安全员</w:t>
            </w:r>
            <w:r>
              <w:rPr>
                <w:rFonts w:hint="eastAsia" w:ascii="宋体" w:hAnsi="宋体"/>
                <w:szCs w:val="21"/>
                <w:lang w:val="en-US" w:eastAsia="zh-CN"/>
              </w:rPr>
              <w:t>具有</w:t>
            </w:r>
            <w:r>
              <w:rPr>
                <w:rFonts w:hint="eastAsia" w:ascii="宋体" w:hAnsi="宋体"/>
              </w:rPr>
              <w:t>有效安全员资格证书</w:t>
            </w:r>
            <w:r>
              <w:rPr>
                <w:rFonts w:hint="eastAsia" w:ascii="宋体" w:hAnsi="宋体"/>
                <w:lang w:eastAsia="zh-CN"/>
              </w:rPr>
              <w:t>得</w:t>
            </w:r>
            <w:r>
              <w:rPr>
                <w:rFonts w:hint="eastAsia" w:ascii="宋体" w:hAnsi="宋体"/>
                <w:lang w:val="en-US" w:eastAsia="zh-CN"/>
              </w:rPr>
              <w:t>3分</w:t>
            </w:r>
            <w:r>
              <w:rPr>
                <w:rFonts w:hint="eastAsia" w:ascii="宋体" w:hAnsi="宋体"/>
                <w:szCs w:val="21"/>
              </w:rPr>
              <w:t>。</w:t>
            </w:r>
          </w:p>
          <w:p>
            <w:pPr>
              <w:rPr>
                <w:rFonts w:ascii="宋体" w:hAnsi="宋体"/>
                <w:szCs w:val="21"/>
              </w:rPr>
            </w:pPr>
            <w:r>
              <w:rPr>
                <w:rFonts w:hint="eastAsia" w:ascii="宋体" w:hAnsi="宋体"/>
                <w:szCs w:val="21"/>
              </w:rPr>
              <w:t>证明文件及要求：</w:t>
            </w:r>
          </w:p>
          <w:p>
            <w:pPr>
              <w:pStyle w:val="22"/>
              <w:numPr>
                <w:ilvl w:val="0"/>
                <w:numId w:val="25"/>
              </w:numPr>
              <w:ind w:firstLineChars="0"/>
              <w:rPr>
                <w:rFonts w:ascii="宋体" w:hAnsi="宋体" w:eastAsia="宋体"/>
                <w:szCs w:val="21"/>
              </w:rPr>
            </w:pPr>
            <w:r>
              <w:rPr>
                <w:rFonts w:hint="eastAsia" w:ascii="宋体" w:hAnsi="宋体" w:eastAsia="宋体"/>
                <w:szCs w:val="21"/>
              </w:rPr>
              <w:t>同一人</w:t>
            </w:r>
            <w:r>
              <w:rPr>
                <w:rFonts w:hint="eastAsia" w:ascii="宋体" w:hAnsi="宋体" w:eastAsia="宋体"/>
                <w:szCs w:val="21"/>
                <w:lang w:eastAsia="zh-CN"/>
              </w:rPr>
              <w:t>按</w:t>
            </w:r>
            <w:r>
              <w:rPr>
                <w:rFonts w:hint="eastAsia" w:ascii="宋体" w:hAnsi="宋体" w:eastAsia="宋体"/>
                <w:szCs w:val="21"/>
              </w:rPr>
              <w:t>最高得分，不重复</w:t>
            </w:r>
            <w:r>
              <w:rPr>
                <w:rFonts w:hint="eastAsia" w:ascii="宋体" w:hAnsi="宋体" w:eastAsia="宋体"/>
                <w:szCs w:val="21"/>
                <w:lang w:val="en-US" w:eastAsia="zh-CN"/>
              </w:rPr>
              <w:t>得</w:t>
            </w:r>
            <w:r>
              <w:rPr>
                <w:rFonts w:hint="eastAsia" w:ascii="宋体" w:hAnsi="宋体" w:eastAsia="宋体"/>
                <w:szCs w:val="21"/>
              </w:rPr>
              <w:t>分。</w:t>
            </w:r>
          </w:p>
          <w:p>
            <w:pPr>
              <w:pStyle w:val="22"/>
              <w:numPr>
                <w:ilvl w:val="0"/>
                <w:numId w:val="25"/>
              </w:numPr>
              <w:ind w:left="420" w:leftChars="0" w:hanging="420" w:firstLineChars="0"/>
              <w:rPr>
                <w:rFonts w:hint="eastAsia" w:ascii="宋体" w:hAnsi="宋体" w:cs="宋体"/>
                <w:kern w:val="0"/>
                <w:szCs w:val="21"/>
              </w:rPr>
            </w:pPr>
            <w:r>
              <w:rPr>
                <w:rFonts w:hint="eastAsia" w:ascii="宋体" w:hAnsi="宋体" w:eastAsia="宋体"/>
                <w:szCs w:val="21"/>
              </w:rPr>
              <w:t>提供以上人员资格证明文件和</w:t>
            </w:r>
            <w:r>
              <w:rPr>
                <w:rFonts w:hint="eastAsia" w:ascii="宋体" w:hAnsi="宋体" w:eastAsia="宋体"/>
                <w:szCs w:val="21"/>
                <w:lang w:val="en-US" w:eastAsia="zh-CN"/>
              </w:rPr>
              <w:t>投标前</w:t>
            </w:r>
            <w:r>
              <w:rPr>
                <w:rFonts w:hint="eastAsia" w:ascii="宋体" w:hAnsi="宋体" w:eastAsia="宋体"/>
                <w:szCs w:val="21"/>
              </w:rPr>
              <w:t>近三个月社保清单证明，如开标日上一个月的社保材料因社保部门原因暂时无法取得，则可以往前顺推一个月；（社保证明须同时加盖投标人公章，未按要求提供或提供不清晰导致无法判断的不得分，原件备查）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A3"/>
            </w: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26"/>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lang w:val="en-US" w:eastAsia="zh-CN"/>
              </w:rPr>
              <w:t>XX</w:t>
            </w:r>
            <w:r>
              <w:rPr>
                <w:rStyle w:val="19"/>
                <w:rFonts w:hint="eastAsia" w:ascii="宋体" w:hAnsi="宋体"/>
                <w:highlight w:val="none"/>
              </w:rPr>
              <w:t xml:space="preserve"> （价格评价分项满分值），Z为本次招标基准价；</w:t>
            </w:r>
          </w:p>
          <w:p>
            <w:pPr>
              <w:numPr>
                <w:ilvl w:val="0"/>
                <w:numId w:val="26"/>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w:t>
            </w:r>
            <w:r>
              <w:rPr>
                <w:rStyle w:val="19"/>
                <w:rFonts w:hint="eastAsia" w:ascii="宋体" w:hAnsi="宋体"/>
                <w:highlight w:val="none"/>
                <w:lang w:val="en-US" w:eastAsia="zh-CN"/>
              </w:rPr>
              <w:t>1</w:t>
            </w:r>
            <w:r>
              <w:rPr>
                <w:rStyle w:val="19"/>
                <w:rFonts w:hint="eastAsia" w:ascii="宋体" w:hAnsi="宋体"/>
                <w:highlight w:val="none"/>
              </w:rPr>
              <w:t>；当投标报价高于次招标基准价时，取A=1；</w:t>
            </w:r>
          </w:p>
          <w:p>
            <w:pPr>
              <w:numPr>
                <w:ilvl w:val="0"/>
                <w:numId w:val="26"/>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center"/>
              <w:rPr>
                <w:rFonts w:ascii="宋体" w:cs="宋体"/>
                <w:kern w:val="0"/>
                <w:szCs w:val="21"/>
                <w:highlight w:val="none"/>
              </w:rPr>
            </w:pPr>
            <w:r>
              <w:rPr>
                <w:rFonts w:hint="eastAsia"/>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5" w:name="_Toc116550358"/>
      <w:r>
        <w:rPr>
          <w:rFonts w:hint="eastAsia" w:ascii="宋体" w:hAnsi="宋体"/>
          <w:b/>
          <w:sz w:val="32"/>
          <w:szCs w:val="32"/>
        </w:rPr>
        <w:t>第四部分：合同条款及格式</w:t>
      </w:r>
      <w:bookmarkEnd w:id="55"/>
    </w:p>
    <w:p>
      <w:pPr>
        <w:jc w:val="center"/>
        <w:rPr>
          <w:rFonts w:ascii="方正小标宋简体" w:hAnsi="方正小标宋简体" w:eastAsia="方正小标宋简体" w:cs="方正小标宋简体"/>
          <w:bCs/>
          <w:kern w:val="0"/>
          <w:sz w:val="28"/>
          <w:szCs w:val="28"/>
        </w:rPr>
      </w:pPr>
    </w:p>
    <w:p>
      <w:pPr>
        <w:pStyle w:val="11"/>
      </w:pPr>
    </w:p>
    <w:p>
      <w:pPr>
        <w:tabs>
          <w:tab w:val="left" w:pos="180"/>
        </w:tabs>
        <w:adjustRightInd w:val="0"/>
        <w:snapToGrid w:val="0"/>
        <w:spacing w:line="300" w:lineRule="auto"/>
        <w:jc w:val="left"/>
        <w:rPr>
          <w:rFonts w:ascii="微软雅黑" w:hAnsi="微软雅黑" w:eastAsia="微软雅黑"/>
          <w:sz w:val="72"/>
          <w:szCs w:val="72"/>
        </w:rPr>
      </w:pPr>
      <w:r>
        <w:rPr>
          <w:rFonts w:hint="eastAsia" w:ascii="微软雅黑" w:hAnsi="微软雅黑" w:eastAsia="微软雅黑"/>
          <w:sz w:val="72"/>
          <w:szCs w:val="72"/>
        </w:rPr>
        <w:drawing>
          <wp:inline distT="0" distB="0" distL="114300" distR="114300">
            <wp:extent cx="2828925" cy="733425"/>
            <wp:effectExtent l="0" t="0" r="9525" b="9525"/>
            <wp:docPr id="3" name="图片 3"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0-08-13 上午2.10.25"/>
                    <pic:cNvPicPr>
                      <a:picLocks noChangeAspect="1"/>
                    </pic:cNvPicPr>
                  </pic:nvPicPr>
                  <pic:blipFill>
                    <a:blip r:embed="rId7"/>
                    <a:stretch>
                      <a:fillRect/>
                    </a:stretch>
                  </pic:blipFill>
                  <pic:spPr>
                    <a:xfrm>
                      <a:off x="0" y="0"/>
                      <a:ext cx="2828925" cy="733425"/>
                    </a:xfrm>
                    <a:prstGeom prst="rect">
                      <a:avLst/>
                    </a:prstGeom>
                    <a:noFill/>
                    <a:ln>
                      <a:noFill/>
                    </a:ln>
                  </pic:spPr>
                </pic:pic>
              </a:graphicData>
            </a:graphic>
          </wp:inline>
        </w:drawing>
      </w:r>
    </w:p>
    <w:p>
      <w:pPr>
        <w:tabs>
          <w:tab w:val="left" w:pos="180"/>
        </w:tabs>
        <w:adjustRightInd w:val="0"/>
        <w:snapToGrid w:val="0"/>
        <w:spacing w:line="300" w:lineRule="auto"/>
        <w:jc w:val="right"/>
        <w:rPr>
          <w:rFonts w:cs="宋体"/>
        </w:rPr>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jc w:val="center"/>
        <w:rPr>
          <w:rFonts w:hint="eastAsia" w:ascii="宋体" w:hAnsi="宋体" w:cs="宋体"/>
          <w:b/>
          <w:sz w:val="44"/>
          <w:szCs w:val="44"/>
        </w:rPr>
      </w:pPr>
      <w:r>
        <w:rPr>
          <w:rFonts w:hint="eastAsia" w:ascii="宋体" w:hAnsi="宋体" w:cs="宋体"/>
          <w:b/>
          <w:sz w:val="44"/>
          <w:szCs w:val="44"/>
        </w:rPr>
        <w:t>深圳会展中心低压配电柜及抽屉柜检修项目合同</w:t>
      </w:r>
    </w:p>
    <w:p>
      <w:pPr>
        <w:pStyle w:val="2"/>
        <w:ind w:firstLine="1295" w:firstLineChars="300"/>
        <w:rPr>
          <w:rFonts w:hint="eastAsia" w:eastAsia="宋体"/>
          <w:lang w:eastAsia="zh-CN"/>
        </w:rPr>
      </w:pPr>
      <w:r>
        <w:rPr>
          <w:rFonts w:hint="eastAsia" w:ascii="宋体" w:hAnsi="宋体" w:cs="宋体"/>
          <w:b/>
          <w:sz w:val="44"/>
          <w:szCs w:val="44"/>
          <w:lang w:eastAsia="zh-CN"/>
        </w:rPr>
        <w:t>（</w:t>
      </w:r>
      <w:r>
        <w:rPr>
          <w:rFonts w:hint="eastAsia" w:ascii="宋体" w:hAnsi="宋体" w:cs="宋体"/>
          <w:b/>
          <w:sz w:val="44"/>
          <w:szCs w:val="44"/>
          <w:lang w:val="en-US" w:eastAsia="zh-CN"/>
        </w:rPr>
        <w:t>本合同模板仅供参考</w:t>
      </w:r>
      <w:r>
        <w:rPr>
          <w:rFonts w:hint="eastAsia" w:ascii="宋体" w:hAnsi="宋体" w:cs="宋体"/>
          <w:b/>
          <w:sz w:val="44"/>
          <w:szCs w:val="44"/>
          <w:lang w:eastAsia="zh-CN"/>
        </w:rPr>
        <w:t>）</w:t>
      </w:r>
    </w:p>
    <w:p>
      <w:pPr>
        <w:tabs>
          <w:tab w:val="left" w:pos="180"/>
        </w:tabs>
        <w:spacing w:line="640" w:lineRule="exact"/>
        <w:ind w:firstLine="240" w:firstLineChars="100"/>
        <w:rPr>
          <w:rFonts w:hint="eastAsia" w:cs="宋体"/>
          <w:sz w:val="24"/>
        </w:rPr>
      </w:pPr>
    </w:p>
    <w:p>
      <w:pPr>
        <w:tabs>
          <w:tab w:val="left" w:pos="180"/>
        </w:tabs>
        <w:spacing w:line="640" w:lineRule="exact"/>
        <w:ind w:firstLine="240" w:firstLineChars="100"/>
        <w:rPr>
          <w:rFonts w:hint="eastAsia" w:cs="宋体"/>
          <w:sz w:val="24"/>
        </w:rPr>
      </w:pPr>
    </w:p>
    <w:p>
      <w:pPr>
        <w:tabs>
          <w:tab w:val="left" w:pos="180"/>
        </w:tabs>
        <w:spacing w:line="640" w:lineRule="exact"/>
        <w:ind w:firstLine="240" w:firstLineChars="100"/>
        <w:rPr>
          <w:rFonts w:hint="eastAsia" w:cs="宋体"/>
          <w:sz w:val="24"/>
        </w:rPr>
      </w:pPr>
    </w:p>
    <w:p>
      <w:pPr>
        <w:tabs>
          <w:tab w:val="left" w:pos="180"/>
        </w:tabs>
        <w:spacing w:line="640" w:lineRule="exact"/>
        <w:ind w:firstLine="240" w:firstLineChars="100"/>
        <w:rPr>
          <w:rFonts w:hint="eastAsia" w:cs="宋体"/>
          <w:sz w:val="24"/>
        </w:rPr>
      </w:pPr>
    </w:p>
    <w:p>
      <w:pPr>
        <w:tabs>
          <w:tab w:val="left" w:pos="180"/>
        </w:tabs>
        <w:spacing w:line="640" w:lineRule="exact"/>
        <w:ind w:firstLine="240" w:firstLineChars="100"/>
        <w:rPr>
          <w:rFonts w:hint="eastAsia" w:cs="宋体"/>
          <w:sz w:val="24"/>
        </w:rPr>
      </w:pPr>
    </w:p>
    <w:p>
      <w:pPr>
        <w:adjustRightInd w:val="0"/>
        <w:snapToGrid w:val="0"/>
        <w:spacing w:line="360" w:lineRule="auto"/>
        <w:jc w:val="left"/>
        <w:rPr>
          <w:rFonts w:ascii="宋体" w:hAnsi="宋体" w:cs="宋体"/>
          <w:sz w:val="24"/>
        </w:rPr>
      </w:pPr>
    </w:p>
    <w:p>
      <w:pPr>
        <w:adjustRightInd w:val="0"/>
        <w:snapToGrid w:val="0"/>
        <w:spacing w:line="360" w:lineRule="auto"/>
        <w:jc w:val="left"/>
        <w:rPr>
          <w:rFonts w:ascii="宋体" w:hAnsi="宋体" w:cs="宋体"/>
          <w:sz w:val="24"/>
        </w:rPr>
      </w:pPr>
    </w:p>
    <w:p>
      <w:pPr>
        <w:spacing w:after="124" w:afterLines="40"/>
        <w:ind w:firstLine="105"/>
        <w:rPr>
          <w:rFonts w:ascii="宋体" w:hAnsi="宋体" w:cs="宋体"/>
          <w:szCs w:val="21"/>
        </w:rPr>
      </w:pPr>
    </w:p>
    <w:p>
      <w:pPr>
        <w:widowControl/>
        <w:jc w:val="left"/>
        <w:rPr>
          <w:b/>
          <w:sz w:val="32"/>
          <w:szCs w:val="32"/>
        </w:rPr>
      </w:pPr>
      <w:r>
        <w:rPr>
          <w:b/>
          <w:sz w:val="32"/>
          <w:szCs w:val="32"/>
        </w:rPr>
        <w:br w:type="page"/>
      </w:r>
    </w:p>
    <w:p>
      <w:pPr>
        <w:spacing w:line="260" w:lineRule="exact"/>
        <w:ind w:firstLine="105"/>
        <w:rPr>
          <w:rFonts w:ascii="宋体" w:hAnsi="宋体" w:cs="宋体"/>
          <w:szCs w:val="21"/>
        </w:rPr>
      </w:pPr>
      <w:r>
        <w:rPr>
          <w:rFonts w:hint="eastAsia" w:ascii="宋体" w:hAnsi="宋体" w:cs="宋体"/>
          <w:szCs w:val="21"/>
        </w:rPr>
        <w:t>附件：</w:t>
      </w:r>
    </w:p>
    <w:p>
      <w:pPr>
        <w:jc w:val="center"/>
        <w:rPr>
          <w:rFonts w:ascii="宋体" w:hAnsi="宋体" w:cs="宋体"/>
          <w:b/>
          <w:szCs w:val="21"/>
        </w:rPr>
      </w:pPr>
      <w:r>
        <w:rPr>
          <w:rFonts w:hint="eastAsia" w:ascii="宋体" w:hAnsi="宋体" w:cs="宋体"/>
          <w:b/>
          <w:szCs w:val="21"/>
        </w:rPr>
        <w:t>深圳会展中心合作单位安全协议书</w:t>
      </w:r>
    </w:p>
    <w:p>
      <w:pPr>
        <w:jc w:val="center"/>
        <w:rPr>
          <w:rFonts w:ascii="宋体" w:hAnsi="宋体" w:cs="宋体"/>
          <w:b/>
          <w:szCs w:val="21"/>
        </w:rPr>
      </w:pPr>
    </w:p>
    <w:p>
      <w:pPr>
        <w:spacing w:line="360" w:lineRule="auto"/>
        <w:ind w:firstLine="630" w:firstLineChars="300"/>
        <w:rPr>
          <w:rFonts w:ascii="宋体" w:hAnsi="宋体" w:cs="宋体"/>
          <w:szCs w:val="21"/>
        </w:rPr>
      </w:pPr>
      <w:r>
        <w:rPr>
          <w:rFonts w:hint="eastAsia" w:ascii="宋体" w:hAnsi="宋体" w:cs="宋体"/>
          <w:szCs w:val="21"/>
          <w:u w:val="single"/>
        </w:rPr>
        <w:t xml:space="preserve">深圳会展中心低压配电柜及抽屉柜检修 </w:t>
      </w:r>
      <w:r>
        <w:rPr>
          <w:rFonts w:hint="eastAsia" w:ascii="宋体" w:hAnsi="宋体" w:cs="宋体"/>
          <w:szCs w:val="21"/>
        </w:rPr>
        <w:t>项目合同的乙方:</w:t>
      </w:r>
      <w:r>
        <w:rPr>
          <w:rFonts w:hint="eastAsia" w:ascii="宋体" w:hAnsi="宋体" w:cs="宋体"/>
          <w:szCs w:val="21"/>
          <w:u w:val="single"/>
        </w:rPr>
        <w:t xml:space="preserve">               </w:t>
      </w:r>
      <w:r>
        <w:rPr>
          <w:rFonts w:hint="eastAsia" w:ascii="宋体" w:hAnsi="宋体" w:cs="宋体"/>
          <w:szCs w:val="21"/>
        </w:rPr>
        <w:t>作为合作单位,在深圳会展中心从事</w:t>
      </w:r>
      <w:r>
        <w:rPr>
          <w:rFonts w:hint="eastAsia" w:ascii="宋体" w:hAnsi="宋体" w:cs="宋体"/>
          <w:szCs w:val="21"/>
          <w:u w:val="single"/>
        </w:rPr>
        <w:t xml:space="preserve"> </w:t>
      </w:r>
      <w:r>
        <w:rPr>
          <w:rFonts w:hint="eastAsia" w:ascii="宋体" w:hAnsi="宋体" w:cs="宋体"/>
          <w:szCs w:val="21"/>
        </w:rPr>
        <w:t>项目的工程施工。</w:t>
      </w:r>
    </w:p>
    <w:p>
      <w:pPr>
        <w:spacing w:line="360" w:lineRule="auto"/>
        <w:ind w:firstLine="420" w:firstLineChars="200"/>
        <w:rPr>
          <w:rFonts w:ascii="宋体" w:hAnsi="宋体" w:cs="宋体"/>
          <w:szCs w:val="21"/>
        </w:rPr>
      </w:pPr>
      <w:r>
        <w:rPr>
          <w:rFonts w:hint="eastAsia" w:ascii="宋体" w:hAnsi="宋体" w:cs="宋体"/>
          <w:szCs w:val="21"/>
        </w:rPr>
        <w:t>为认真贯彻《中华人民共和国安全生产法》、《中华人民共和国消防法》、《公安部61号令》、《深圳经济特区消防条例》及《机关、团体、企业、事业单位消防安全管理规定》等法律、法规，进一步落实深圳会展中心与合作单位的安全责任，根据合作单位生产经营或活动的实际情况，深圳会展中心与</w:t>
      </w:r>
      <w:r>
        <w:rPr>
          <w:rFonts w:hint="eastAsia" w:ascii="宋体" w:hAnsi="宋体" w:cs="宋体"/>
          <w:szCs w:val="21"/>
          <w:u w:val="single"/>
        </w:rPr>
        <w:t xml:space="preserve">                    </w:t>
      </w:r>
      <w:r>
        <w:rPr>
          <w:rFonts w:hint="eastAsia" w:ascii="宋体" w:hAnsi="宋体" w:cs="宋体"/>
          <w:szCs w:val="21"/>
        </w:rPr>
        <w:t>合作单位界定双方的消防和安全生产责任如下：</w:t>
      </w:r>
    </w:p>
    <w:p>
      <w:pPr>
        <w:spacing w:line="360" w:lineRule="auto"/>
        <w:ind w:firstLine="422" w:firstLineChars="200"/>
        <w:rPr>
          <w:rFonts w:ascii="宋体" w:hAnsi="宋体" w:cs="宋体"/>
          <w:b/>
          <w:szCs w:val="21"/>
        </w:rPr>
      </w:pPr>
      <w:r>
        <w:rPr>
          <w:rFonts w:hint="eastAsia" w:ascii="宋体" w:hAnsi="宋体" w:cs="宋体"/>
          <w:b/>
          <w:szCs w:val="21"/>
        </w:rPr>
        <w:t>一、 通用条款：</w:t>
      </w:r>
    </w:p>
    <w:p>
      <w:pPr>
        <w:spacing w:line="360" w:lineRule="auto"/>
        <w:ind w:left="53" w:leftChars="25" w:firstLine="420" w:firstLineChars="200"/>
        <w:rPr>
          <w:rFonts w:ascii="宋体" w:hAnsi="宋体" w:cs="宋体"/>
          <w:szCs w:val="21"/>
        </w:rPr>
      </w:pPr>
      <w:r>
        <w:rPr>
          <w:rFonts w:hint="eastAsia" w:ascii="宋体" w:hAnsi="宋体" w:cs="宋体"/>
          <w:szCs w:val="21"/>
        </w:rPr>
        <w:t xml:space="preserve">1、根据“谁生产谁负责、谁实施谁负责”的原则，确定合作单位的法定代表人 </w:t>
      </w:r>
      <w:r>
        <w:rPr>
          <w:rFonts w:hint="eastAsia" w:ascii="宋体" w:hAnsi="宋体" w:cs="宋体"/>
          <w:szCs w:val="21"/>
          <w:u w:val="single"/>
        </w:rPr>
        <w:t xml:space="preserve">     （</w:t>
      </w:r>
      <w:r>
        <w:rPr>
          <w:rFonts w:hint="eastAsia" w:ascii="宋体" w:hAnsi="宋体" w:cs="宋体"/>
          <w:szCs w:val="21"/>
        </w:rPr>
        <w:t>先生\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pPr>
        <w:spacing w:line="360" w:lineRule="auto"/>
        <w:ind w:firstLine="420" w:firstLineChars="200"/>
        <w:rPr>
          <w:rFonts w:ascii="宋体" w:hAnsi="宋体" w:cs="宋体"/>
          <w:szCs w:val="21"/>
          <w:u w:val="single"/>
        </w:rPr>
      </w:pPr>
      <w:r>
        <w:rPr>
          <w:rFonts w:hint="eastAsia" w:ascii="宋体" w:hAnsi="宋体" w:cs="宋体"/>
          <w:szCs w:val="21"/>
        </w:rPr>
        <w:t>2、合作单位必须是经国家工商部门注册、拥有国家认可相关资质的企业，并保证在其业务允许范围内施工作业。</w:t>
      </w:r>
    </w:p>
    <w:p>
      <w:pPr>
        <w:spacing w:line="360" w:lineRule="auto"/>
        <w:ind w:firstLine="420" w:firstLineChars="200"/>
        <w:rPr>
          <w:rFonts w:ascii="宋体" w:hAnsi="宋体" w:cs="宋体"/>
          <w:szCs w:val="21"/>
        </w:rPr>
      </w:pPr>
      <w:r>
        <w:rPr>
          <w:rFonts w:hint="eastAsia" w:ascii="宋体" w:hAnsi="宋体" w:cs="宋体"/>
          <w:szCs w:val="21"/>
        </w:rPr>
        <w:t>3、合作单位应认真履行安全管理职责，监督其单位工作人员遵守国家及深圳市关于消防和安全生产的各项法律法规，确保所有工作人员不违反深圳会展中心关于消防安全和生产安全的各项规章制度。</w:t>
      </w:r>
    </w:p>
    <w:p>
      <w:pPr>
        <w:spacing w:line="360" w:lineRule="auto"/>
        <w:ind w:firstLine="420" w:firstLineChars="200"/>
        <w:rPr>
          <w:rFonts w:ascii="宋体" w:hAnsi="宋体" w:cs="宋体"/>
          <w:szCs w:val="21"/>
        </w:rPr>
      </w:pPr>
      <w:r>
        <w:rPr>
          <w:rFonts w:hint="eastAsia" w:ascii="宋体" w:hAnsi="宋体" w:cs="宋体"/>
          <w:szCs w:val="21"/>
        </w:rPr>
        <w:t>4、合作单位应逐级落实安全管理责任，确保生产经营或活动的安全开展。</w:t>
      </w:r>
    </w:p>
    <w:p>
      <w:pPr>
        <w:spacing w:line="360" w:lineRule="auto"/>
        <w:ind w:firstLine="420" w:firstLineChars="200"/>
        <w:rPr>
          <w:rFonts w:ascii="宋体" w:hAnsi="宋体" w:cs="宋体"/>
          <w:szCs w:val="21"/>
        </w:rPr>
      </w:pPr>
      <w:r>
        <w:rPr>
          <w:rFonts w:hint="eastAsia" w:ascii="宋体" w:hAnsi="宋体" w:cs="宋体"/>
          <w:szCs w:val="21"/>
        </w:rPr>
        <w:t>5、合作单位在生产经营或活动期间应设置专职安全管理人员，负责生产经营或活动期间的消防及安全生产监督工作，并定期组织安全检查。</w:t>
      </w:r>
    </w:p>
    <w:p>
      <w:pPr>
        <w:spacing w:line="360" w:lineRule="auto"/>
        <w:ind w:firstLine="420" w:firstLineChars="200"/>
        <w:rPr>
          <w:rFonts w:ascii="宋体" w:hAnsi="宋体" w:cs="宋体"/>
          <w:szCs w:val="21"/>
        </w:rPr>
      </w:pPr>
      <w:r>
        <w:rPr>
          <w:rFonts w:hint="eastAsia" w:ascii="宋体" w:hAnsi="宋体" w:cs="宋体"/>
          <w:szCs w:val="21"/>
        </w:rPr>
        <w:t>6、合作单位应制订安全应急预案，并在生产经营或活动前进行必要的演练。</w:t>
      </w:r>
    </w:p>
    <w:p>
      <w:pPr>
        <w:spacing w:line="360" w:lineRule="auto"/>
        <w:ind w:firstLine="420" w:firstLineChars="200"/>
        <w:rPr>
          <w:rFonts w:ascii="宋体" w:hAnsi="宋体" w:cs="宋体"/>
          <w:szCs w:val="21"/>
        </w:rPr>
      </w:pPr>
      <w:r>
        <w:rPr>
          <w:rFonts w:hint="eastAsia" w:ascii="宋体" w:hAnsi="宋体" w:cs="宋体"/>
          <w:szCs w:val="21"/>
        </w:rPr>
        <w:t>7、合作单位所使用的设备、工具必须达到安全要求，所有特种作业人员必须持证上岗。合作单位必须根据现场作业情况，做好各项安全的组织及技术措施并配备足够数量的合格的消防器材。</w:t>
      </w:r>
    </w:p>
    <w:p>
      <w:pPr>
        <w:spacing w:line="360" w:lineRule="auto"/>
        <w:ind w:firstLine="420" w:firstLineChars="200"/>
        <w:jc w:val="left"/>
        <w:rPr>
          <w:rFonts w:ascii="宋体" w:hAnsi="宋体" w:cs="宋体"/>
          <w:szCs w:val="21"/>
        </w:rPr>
      </w:pPr>
      <w:r>
        <w:rPr>
          <w:rFonts w:hint="eastAsia" w:ascii="宋体" w:hAnsi="宋体" w:cs="宋体"/>
          <w:szCs w:val="21"/>
        </w:rPr>
        <w:t>8、合作单位必须按照设计工艺及相关规范作业，其工作人员在作业中必须正确采取相应的安全防护措施，夜间作业时必须穿着反光衣，登高、吊装等危险作业时必须正确佩戴安全帽、安全带、安全绳和安全警示与围护等安全防护措施，保证作业人员及周围人员的人身安全。</w:t>
      </w:r>
    </w:p>
    <w:p>
      <w:pPr>
        <w:spacing w:line="360" w:lineRule="auto"/>
        <w:ind w:firstLine="420" w:firstLineChars="200"/>
        <w:rPr>
          <w:rFonts w:ascii="宋体" w:hAnsi="宋体" w:cs="宋体"/>
          <w:szCs w:val="21"/>
        </w:rPr>
      </w:pPr>
      <w:r>
        <w:rPr>
          <w:rFonts w:hint="eastAsia" w:ascii="宋体" w:hAnsi="宋体" w:cs="宋体"/>
          <w:szCs w:val="21"/>
        </w:rPr>
        <w:t>9、合作单位在作业过程中，所采用的材料必须符合展馆消防和结构安全要求。会展中心安全管理人员有权依照会展中心相关规定对不符合要求的材料进行处置（责令整改、禁用或清理出场等措施），并对所造成的后果不承担任何责任。</w:t>
      </w:r>
    </w:p>
    <w:p>
      <w:pPr>
        <w:spacing w:line="360" w:lineRule="auto"/>
        <w:ind w:firstLine="420" w:firstLineChars="200"/>
        <w:jc w:val="left"/>
        <w:rPr>
          <w:rFonts w:ascii="宋体" w:hAnsi="宋体" w:cs="宋体"/>
          <w:szCs w:val="21"/>
        </w:rPr>
      </w:pPr>
      <w:r>
        <w:rPr>
          <w:rFonts w:hint="eastAsia" w:ascii="宋体" w:hAnsi="宋体" w:cs="宋体"/>
          <w:szCs w:val="21"/>
        </w:rPr>
        <w:t>10、合作单位应为作业人员购买相关保险；如在作业期间出现各种消防、治安及其它意外事故，合作单位应在第一时间通知会展中心管理人员，并有义务先行采取必要的保护措施，控制事态进一步扩大。</w:t>
      </w:r>
    </w:p>
    <w:p>
      <w:pPr>
        <w:spacing w:line="360" w:lineRule="auto"/>
        <w:ind w:firstLine="420" w:firstLineChars="200"/>
        <w:rPr>
          <w:rFonts w:ascii="宋体" w:hAnsi="宋体" w:cs="宋体"/>
          <w:szCs w:val="21"/>
        </w:rPr>
      </w:pPr>
      <w:r>
        <w:rPr>
          <w:rFonts w:hint="eastAsia" w:ascii="宋体" w:hAnsi="宋体" w:cs="宋体"/>
          <w:szCs w:val="21"/>
        </w:rPr>
        <w:t>11、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pPr>
        <w:spacing w:line="360" w:lineRule="auto"/>
        <w:ind w:firstLine="420" w:firstLineChars="200"/>
        <w:rPr>
          <w:rFonts w:ascii="宋体" w:hAnsi="宋体" w:cs="宋体"/>
          <w:szCs w:val="21"/>
        </w:rPr>
      </w:pPr>
      <w:r>
        <w:rPr>
          <w:rFonts w:hint="eastAsia" w:ascii="宋体" w:hAnsi="宋体" w:cs="宋体"/>
          <w:szCs w:val="21"/>
        </w:rPr>
        <w:t>12、会展中心应保证展馆公共消防设备设施完好，并在火灾发生时积极组织人员启用展馆固定消防设施进行人员疏散和灭火。</w:t>
      </w:r>
    </w:p>
    <w:p>
      <w:pPr>
        <w:spacing w:line="360" w:lineRule="auto"/>
        <w:ind w:firstLine="420" w:firstLineChars="200"/>
        <w:rPr>
          <w:rFonts w:ascii="宋体" w:hAnsi="宋体" w:cs="宋体"/>
          <w:szCs w:val="21"/>
        </w:rPr>
      </w:pPr>
      <w:r>
        <w:rPr>
          <w:rFonts w:hint="eastAsia" w:ascii="宋体" w:hAnsi="宋体" w:cs="宋体"/>
          <w:szCs w:val="21"/>
        </w:rPr>
        <w:t>13、在责任事故发生后，会展中心应迅速组织人员进行救援，并采取必要的应急措施防止事故扩大。</w:t>
      </w:r>
    </w:p>
    <w:p>
      <w:pPr>
        <w:spacing w:line="360" w:lineRule="auto"/>
        <w:ind w:firstLine="420" w:firstLineChars="200"/>
        <w:rPr>
          <w:rFonts w:ascii="宋体" w:hAnsi="宋体" w:cs="宋体"/>
          <w:szCs w:val="21"/>
        </w:rPr>
      </w:pPr>
      <w:r>
        <w:rPr>
          <w:rFonts w:hint="eastAsia" w:ascii="宋体" w:hAnsi="宋体" w:cs="宋体"/>
          <w:szCs w:val="21"/>
        </w:rPr>
        <w:t>14、如任何一方对涉及到本责任书中所引用的国家消防法律、法规和有关规章制度有疑义，可详细查阅《中华人民共和国安全生产法》、《中华人民共和国消防法》、《公安部61号令》、《深圳经济特区消防条例》及《机关、团体、企业、事业单位消防安全管理规定》文件规定，或者直接向深圳市公安消防机关、深圳市安监局、市应急办等机构咨询。</w:t>
      </w:r>
    </w:p>
    <w:p>
      <w:pPr>
        <w:spacing w:line="360" w:lineRule="auto"/>
        <w:ind w:firstLine="422" w:firstLineChars="200"/>
        <w:rPr>
          <w:rFonts w:ascii="宋体" w:hAnsi="宋体" w:cs="宋体"/>
          <w:b/>
          <w:szCs w:val="21"/>
        </w:rPr>
      </w:pPr>
      <w:r>
        <w:rPr>
          <w:rFonts w:hint="eastAsia" w:ascii="宋体" w:hAnsi="宋体" w:cs="宋体"/>
          <w:b/>
          <w:szCs w:val="21"/>
        </w:rPr>
        <w:t>二、专用条款：</w:t>
      </w:r>
    </w:p>
    <w:p>
      <w:pPr>
        <w:spacing w:line="360" w:lineRule="auto"/>
        <w:ind w:firstLine="422" w:firstLineChars="200"/>
        <w:rPr>
          <w:rFonts w:ascii="宋体" w:hAnsi="宋体" w:cs="宋体"/>
          <w:b/>
          <w:szCs w:val="21"/>
        </w:rPr>
      </w:pPr>
      <w:r>
        <w:rPr>
          <w:rFonts w:hint="eastAsia" w:ascii="宋体" w:hAnsi="宋体" w:cs="宋体"/>
          <w:b/>
          <w:szCs w:val="21"/>
        </w:rPr>
        <w:t>1、约定期限：</w:t>
      </w:r>
    </w:p>
    <w:p>
      <w:pPr>
        <w:spacing w:line="360" w:lineRule="auto"/>
        <w:ind w:firstLine="420" w:firstLineChars="200"/>
        <w:rPr>
          <w:rFonts w:ascii="宋体" w:hAnsi="宋体" w:cs="宋体"/>
          <w:szCs w:val="21"/>
        </w:rPr>
      </w:pPr>
      <w:r>
        <w:rPr>
          <w:rFonts w:hint="eastAsia" w:ascii="宋体" w:hAnsi="宋体" w:cs="宋体"/>
          <w:szCs w:val="21"/>
        </w:rPr>
        <w:t xml:space="preserve">合同期限为    </w:t>
      </w:r>
      <w:r>
        <w:rPr>
          <w:rFonts w:hint="eastAsia" w:ascii="宋体" w:hAnsi="宋体" w:cs="宋体"/>
          <w:szCs w:val="21"/>
          <w:u w:val="single"/>
        </w:rPr>
        <w:t xml:space="preserve"> 个</w:t>
      </w:r>
      <w:r>
        <w:rPr>
          <w:rFonts w:hint="eastAsia" w:ascii="宋体" w:hAnsi="宋体" w:cs="宋体"/>
          <w:szCs w:val="21"/>
        </w:rPr>
        <w:t>日历日，与主合同的时间相同。</w:t>
      </w:r>
    </w:p>
    <w:p>
      <w:pPr>
        <w:numPr>
          <w:ilvl w:val="0"/>
          <w:numId w:val="28"/>
        </w:numPr>
        <w:spacing w:line="360" w:lineRule="auto"/>
        <w:ind w:firstLine="0"/>
        <w:rPr>
          <w:rFonts w:ascii="宋体" w:hAnsi="宋体" w:cs="宋体"/>
          <w:b/>
          <w:szCs w:val="21"/>
        </w:rPr>
      </w:pPr>
      <w:r>
        <w:rPr>
          <w:rFonts w:hint="eastAsia" w:ascii="宋体" w:hAnsi="宋体" w:cs="宋体"/>
          <w:b/>
          <w:szCs w:val="21"/>
        </w:rPr>
        <w:t>安全要求：</w:t>
      </w:r>
    </w:p>
    <w:p>
      <w:pPr>
        <w:spacing w:line="276" w:lineRule="auto"/>
        <w:ind w:firstLine="420" w:firstLineChars="200"/>
        <w:rPr>
          <w:rFonts w:ascii="宋体" w:hAnsi="宋体" w:cs="宋体"/>
          <w:szCs w:val="21"/>
        </w:rPr>
      </w:pPr>
      <w:r>
        <w:rPr>
          <w:rFonts w:hint="eastAsia" w:ascii="宋体" w:hAnsi="宋体" w:cs="宋体"/>
          <w:szCs w:val="21"/>
        </w:rPr>
        <w:t>2）合作单位工作地点限于会展中心1、4号配电室内施工区域，特殊情况须在区域范围外作业的，须由甲方指定和安排。</w:t>
      </w:r>
    </w:p>
    <w:p>
      <w:pPr>
        <w:spacing w:line="276" w:lineRule="auto"/>
        <w:ind w:firstLine="420" w:firstLineChars="200"/>
        <w:rPr>
          <w:rFonts w:ascii="宋体" w:hAnsi="宋体" w:cs="宋体"/>
          <w:szCs w:val="21"/>
        </w:rPr>
      </w:pPr>
      <w:r>
        <w:rPr>
          <w:rFonts w:hint="eastAsia" w:ascii="宋体" w:hAnsi="宋体" w:cs="宋体"/>
          <w:szCs w:val="21"/>
        </w:rPr>
        <w:t>3）合作单位如需要使用有动火作业时，须提前向甲方提出申请。由甲方认可并办理动火许可证，做好防火及隔离措施后方可动火施工。</w:t>
      </w:r>
    </w:p>
    <w:p>
      <w:pPr>
        <w:spacing w:line="276" w:lineRule="auto"/>
        <w:ind w:firstLine="420" w:firstLineChars="200"/>
        <w:rPr>
          <w:rFonts w:ascii="宋体" w:hAnsi="宋体" w:cs="宋体"/>
          <w:szCs w:val="21"/>
        </w:rPr>
      </w:pPr>
      <w:r>
        <w:rPr>
          <w:rFonts w:hint="eastAsia" w:ascii="宋体" w:hAnsi="宋体" w:cs="宋体"/>
          <w:szCs w:val="21"/>
        </w:rPr>
        <w:t xml:space="preserve">4）合作单位人员从事特殊工种作业时须提前向甲方提供名单及相关证件，如电工等特殊工种，需在深圳会展中心设备部备案，并按照各工种要求穿戴齐全个人防护用品。 </w:t>
      </w:r>
    </w:p>
    <w:p>
      <w:pPr>
        <w:spacing w:line="276" w:lineRule="auto"/>
        <w:ind w:firstLine="420" w:firstLineChars="200"/>
        <w:rPr>
          <w:rFonts w:ascii="宋体" w:hAnsi="宋体" w:cs="宋体"/>
          <w:szCs w:val="21"/>
        </w:rPr>
      </w:pPr>
      <w:r>
        <w:rPr>
          <w:rFonts w:hint="eastAsia" w:ascii="宋体" w:hAnsi="宋体" w:cs="宋体"/>
          <w:szCs w:val="21"/>
        </w:rPr>
        <w:t>5）合作单位施工人员须严格遵守国家各项法律法规，遵守甲方的工作流程、操作规程、劳动安全、管理规定等各项规章制度（包括但不限于《展馆管理规定》、《展馆服务指南》）。</w:t>
      </w:r>
    </w:p>
    <w:p>
      <w:pPr>
        <w:spacing w:line="360" w:lineRule="auto"/>
        <w:ind w:firstLine="420" w:firstLineChars="200"/>
        <w:rPr>
          <w:rFonts w:ascii="宋体" w:hAnsi="宋体" w:cs="宋体"/>
          <w:szCs w:val="21"/>
        </w:rPr>
      </w:pPr>
      <w:r>
        <w:rPr>
          <w:rFonts w:hint="eastAsia" w:ascii="宋体" w:hAnsi="宋体" w:cs="宋体"/>
          <w:szCs w:val="21"/>
        </w:rPr>
        <w:t>三、该责任书一式四份，</w:t>
      </w:r>
      <w:r>
        <w:rPr>
          <w:rFonts w:hint="eastAsia" w:ascii="宋体" w:hAnsi="宋体" w:cs="宋体"/>
          <w:szCs w:val="21"/>
          <w:lang w:eastAsia="zh-CN"/>
        </w:rPr>
        <w:t>甲方执三分乙</w:t>
      </w:r>
      <w:r>
        <w:rPr>
          <w:rFonts w:hint="eastAsia" w:ascii="宋体" w:hAnsi="宋体" w:cs="宋体"/>
          <w:szCs w:val="21"/>
        </w:rPr>
        <w:t>方各执</w:t>
      </w:r>
      <w:r>
        <w:rPr>
          <w:rFonts w:hint="eastAsia" w:ascii="宋体" w:hAnsi="宋体" w:cs="宋体"/>
          <w:szCs w:val="21"/>
          <w:lang w:eastAsia="zh-CN"/>
        </w:rPr>
        <w:t>一</w:t>
      </w:r>
      <w:r>
        <w:rPr>
          <w:rFonts w:hint="eastAsia" w:ascii="宋体" w:hAnsi="宋体" w:cs="宋体"/>
          <w:szCs w:val="21"/>
        </w:rPr>
        <w:t>份，具有同等约束力，该责任书经双方法定代表人或法定代表人书面委托人签字并由双方盖章后在约定期限内有效。</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6300" w:hanging="6300" w:hangingChars="3000"/>
        <w:rPr>
          <w:rFonts w:ascii="宋体" w:hAnsi="宋体" w:cs="宋体"/>
          <w:szCs w:val="21"/>
        </w:rPr>
      </w:pPr>
      <w:r>
        <w:rPr>
          <w:rFonts w:hint="eastAsia" w:ascii="宋体" w:hAnsi="宋体" w:cs="宋体"/>
          <w:szCs w:val="21"/>
        </w:rPr>
        <w:t xml:space="preserve">深圳会展中心管理有限责任公司                    合作单位： </w:t>
      </w:r>
    </w:p>
    <w:p>
      <w:pPr>
        <w:spacing w:line="360" w:lineRule="auto"/>
        <w:ind w:left="6300" w:hanging="6300" w:hangingChars="3000"/>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法定代表人                                      合作单位法定代表人： </w:t>
      </w:r>
    </w:p>
    <w:p>
      <w:pPr>
        <w:tabs>
          <w:tab w:val="left" w:pos="-504"/>
        </w:tabs>
        <w:spacing w:line="360" w:lineRule="auto"/>
        <w:rPr>
          <w:rFonts w:ascii="宋体" w:hAnsi="宋体" w:cs="宋体"/>
          <w:szCs w:val="21"/>
        </w:rPr>
      </w:pPr>
      <w:r>
        <w:rPr>
          <w:rFonts w:hint="eastAsia" w:ascii="宋体" w:hAnsi="宋体" w:cs="宋体"/>
          <w:szCs w:val="21"/>
        </w:rPr>
        <w:t xml:space="preserve">（或委托代表人）：                              （或委托代表人）： </w:t>
      </w:r>
    </w:p>
    <w:p>
      <w:pPr>
        <w:spacing w:line="360" w:lineRule="auto"/>
        <w:rPr>
          <w:rFonts w:ascii="宋体" w:hAnsi="宋体" w:cs="宋体"/>
          <w:szCs w:val="21"/>
        </w:rPr>
      </w:pPr>
      <w:r>
        <w:rPr>
          <w:rFonts w:hint="eastAsia" w:ascii="宋体" w:hAnsi="宋体" w:cs="宋体"/>
          <w:szCs w:val="21"/>
        </w:rPr>
        <w:t xml:space="preserve">电  话：                                        电  话： </w:t>
      </w:r>
    </w:p>
    <w:p>
      <w:pPr>
        <w:spacing w:line="360" w:lineRule="auto"/>
        <w:rPr>
          <w:rFonts w:ascii="宋体" w:hAnsi="宋体" w:cs="宋体"/>
          <w:szCs w:val="21"/>
        </w:rPr>
      </w:pPr>
      <w:r>
        <w:rPr>
          <w:rFonts w:hint="eastAsia" w:ascii="宋体" w:hAnsi="宋体" w:cs="宋体"/>
          <w:szCs w:val="21"/>
        </w:rPr>
        <w:t>日  期：    年    月    日                      日  期：    年    月    日</w:t>
      </w:r>
    </w:p>
    <w:p>
      <w:pPr>
        <w:pStyle w:val="11"/>
        <w:rPr>
          <w:rFonts w:ascii="宋体" w:cs="宋体"/>
          <w:szCs w:val="21"/>
        </w:rPr>
      </w:pPr>
    </w:p>
    <w:p>
      <w:pPr>
        <w:pStyle w:val="11"/>
        <w:rPr>
          <w:rFonts w:ascii="宋体" w:cs="宋体"/>
          <w:szCs w:val="21"/>
        </w:rPr>
      </w:pPr>
    </w:p>
    <w:p>
      <w:pPr>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附件：</w:t>
      </w:r>
      <w:r>
        <w:rPr>
          <w:rFonts w:hint="eastAsia" w:ascii="宋体" w:hAnsi="宋体" w:eastAsia="宋体" w:cs="宋体"/>
          <w:sz w:val="24"/>
          <w:szCs w:val="24"/>
        </w:rPr>
        <w:t>配电柜及抽屉柜检修数量及检修表</w:t>
      </w:r>
    </w:p>
    <w:p>
      <w:pPr>
        <w:ind w:firstLine="0" w:firstLineChars="0"/>
        <w:rPr>
          <w:rFonts w:hint="eastAsia" w:ascii="宋体" w:hAnsi="宋体" w:eastAsia="宋体" w:cs="宋体"/>
          <w:sz w:val="24"/>
          <w:szCs w:val="24"/>
        </w:rPr>
      </w:pPr>
      <w:r>
        <w:rPr>
          <w:rFonts w:hint="eastAsia" w:ascii="宋体" w:hAnsi="宋体" w:eastAsia="宋体" w:cs="宋体"/>
          <w:sz w:val="24"/>
          <w:szCs w:val="24"/>
        </w:rPr>
        <w:t>1、低压抽屉柜检修数量表</w:t>
      </w:r>
    </w:p>
    <w:tbl>
      <w:tblPr>
        <w:tblStyle w:val="14"/>
        <w:tblW w:w="8288" w:type="dxa"/>
        <w:tblInd w:w="0" w:type="dxa"/>
        <w:tblLayout w:type="fixed"/>
        <w:tblCellMar>
          <w:top w:w="0" w:type="dxa"/>
          <w:left w:w="108" w:type="dxa"/>
          <w:bottom w:w="0" w:type="dxa"/>
          <w:right w:w="108" w:type="dxa"/>
        </w:tblCellMar>
      </w:tblPr>
      <w:tblGrid>
        <w:gridCol w:w="683"/>
        <w:gridCol w:w="855"/>
        <w:gridCol w:w="840"/>
        <w:gridCol w:w="780"/>
        <w:gridCol w:w="825"/>
        <w:gridCol w:w="855"/>
        <w:gridCol w:w="825"/>
        <w:gridCol w:w="810"/>
        <w:gridCol w:w="885"/>
        <w:gridCol w:w="930"/>
      </w:tblGrid>
      <w:tr>
        <w:tblPrEx>
          <w:tblCellMar>
            <w:top w:w="0" w:type="dxa"/>
            <w:left w:w="108" w:type="dxa"/>
            <w:bottom w:w="0" w:type="dxa"/>
            <w:right w:w="108" w:type="dxa"/>
          </w:tblCellMar>
        </w:tblPrEx>
        <w:trPr>
          <w:trHeight w:val="330" w:hRule="atLeast"/>
        </w:trPr>
        <w:tc>
          <w:tcPr>
            <w:tcW w:w="683" w:type="dxa"/>
            <w:tcBorders>
              <w:top w:val="single" w:color="auto" w:sz="4" w:space="0"/>
              <w:left w:val="single" w:color="auto" w:sz="4" w:space="0"/>
              <w:bottom w:val="single" w:color="auto" w:sz="4" w:space="0"/>
              <w:right w:val="single" w:color="auto" w:sz="4" w:space="0"/>
            </w:tcBorders>
            <w:noWrap/>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auto" w:sz="4" w:space="0"/>
              <w:left w:val="nil"/>
              <w:bottom w:val="single" w:color="auto" w:sz="4" w:space="0"/>
              <w:right w:val="single" w:color="auto" w:sz="4" w:space="0"/>
            </w:tcBorders>
            <w:noWrap/>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型号</w:t>
            </w:r>
          </w:p>
        </w:tc>
        <w:tc>
          <w:tcPr>
            <w:tcW w:w="840" w:type="dxa"/>
            <w:tcBorders>
              <w:top w:val="single" w:color="auto" w:sz="4" w:space="0"/>
              <w:left w:val="nil"/>
              <w:bottom w:val="single" w:color="auto" w:sz="4" w:space="0"/>
              <w:right w:val="single" w:color="auto" w:sz="4" w:space="0"/>
            </w:tcBorders>
            <w:noWrap/>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1#配电室</w:t>
            </w:r>
          </w:p>
        </w:tc>
        <w:tc>
          <w:tcPr>
            <w:tcW w:w="780" w:type="dxa"/>
            <w:tcBorders>
              <w:top w:val="single" w:color="auto" w:sz="4" w:space="0"/>
              <w:left w:val="nil"/>
              <w:bottom w:val="single" w:color="auto" w:sz="4" w:space="0"/>
              <w:right w:val="single" w:color="auto" w:sz="4" w:space="0"/>
            </w:tcBorders>
            <w:noWrap/>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2#配电室</w:t>
            </w:r>
          </w:p>
        </w:tc>
        <w:tc>
          <w:tcPr>
            <w:tcW w:w="825" w:type="dxa"/>
            <w:tcBorders>
              <w:top w:val="single" w:color="auto" w:sz="4" w:space="0"/>
              <w:left w:val="nil"/>
              <w:bottom w:val="single" w:color="auto" w:sz="4" w:space="0"/>
              <w:right w:val="single" w:color="auto" w:sz="4" w:space="0"/>
            </w:tcBorders>
            <w:noWrap/>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3#配电室</w:t>
            </w:r>
          </w:p>
        </w:tc>
        <w:tc>
          <w:tcPr>
            <w:tcW w:w="855" w:type="dxa"/>
            <w:tcBorders>
              <w:top w:val="single" w:color="auto" w:sz="4" w:space="0"/>
              <w:left w:val="nil"/>
              <w:bottom w:val="single" w:color="auto" w:sz="4" w:space="0"/>
              <w:right w:val="single" w:color="auto" w:sz="4" w:space="0"/>
            </w:tcBorders>
            <w:noWrap/>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4#配电室</w:t>
            </w:r>
          </w:p>
        </w:tc>
        <w:tc>
          <w:tcPr>
            <w:tcW w:w="825" w:type="dxa"/>
            <w:tcBorders>
              <w:top w:val="single" w:color="auto" w:sz="4" w:space="0"/>
              <w:left w:val="nil"/>
              <w:bottom w:val="single" w:color="auto" w:sz="4" w:space="0"/>
              <w:right w:val="single" w:color="auto" w:sz="4" w:space="0"/>
            </w:tcBorders>
            <w:noWrap/>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5#配电室</w:t>
            </w:r>
          </w:p>
        </w:tc>
        <w:tc>
          <w:tcPr>
            <w:tcW w:w="810" w:type="dxa"/>
            <w:tcBorders>
              <w:top w:val="single" w:color="auto" w:sz="4" w:space="0"/>
              <w:left w:val="nil"/>
              <w:bottom w:val="single" w:color="auto" w:sz="4" w:space="0"/>
              <w:right w:val="single" w:color="auto" w:sz="4" w:space="0"/>
            </w:tcBorders>
            <w:noWrap/>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6#配电室</w:t>
            </w:r>
          </w:p>
        </w:tc>
        <w:tc>
          <w:tcPr>
            <w:tcW w:w="885" w:type="dxa"/>
            <w:tcBorders>
              <w:top w:val="single" w:color="auto" w:sz="4" w:space="0"/>
              <w:left w:val="nil"/>
              <w:bottom w:val="single" w:color="auto" w:sz="4" w:space="0"/>
              <w:right w:val="single" w:color="auto" w:sz="4" w:space="0"/>
            </w:tcBorders>
            <w:noWrap/>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合计</w:t>
            </w:r>
          </w:p>
        </w:tc>
        <w:tc>
          <w:tcPr>
            <w:tcW w:w="930" w:type="dxa"/>
            <w:tcBorders>
              <w:top w:val="single" w:color="auto" w:sz="4" w:space="0"/>
              <w:left w:val="nil"/>
              <w:bottom w:val="single" w:color="auto" w:sz="4" w:space="0"/>
              <w:right w:val="single" w:color="auto" w:sz="4" w:space="0"/>
            </w:tcBorders>
            <w:noWrap/>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总计</w:t>
            </w:r>
          </w:p>
        </w:tc>
      </w:tr>
      <w:tr>
        <w:tblPrEx>
          <w:tblCellMar>
            <w:top w:w="0" w:type="dxa"/>
            <w:left w:w="108" w:type="dxa"/>
            <w:bottom w:w="0" w:type="dxa"/>
            <w:right w:w="108" w:type="dxa"/>
          </w:tblCellMar>
        </w:tblPrEx>
        <w:trPr>
          <w:trHeight w:val="330" w:hRule="atLeast"/>
        </w:trPr>
        <w:tc>
          <w:tcPr>
            <w:tcW w:w="683" w:type="dxa"/>
            <w:vMerge w:val="restart"/>
            <w:tcBorders>
              <w:top w:val="nil"/>
              <w:left w:val="single" w:color="auto" w:sz="4" w:space="0"/>
              <w:bottom w:val="single" w:color="auto" w:sz="4" w:space="0"/>
              <w:right w:val="single" w:color="auto" w:sz="4" w:space="0"/>
            </w:tcBorders>
            <w:noWrap/>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抽屉柜</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630A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26</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19</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18</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26</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96</w:t>
            </w:r>
          </w:p>
        </w:tc>
        <w:tc>
          <w:tcPr>
            <w:tcW w:w="930" w:type="dxa"/>
            <w:vMerge w:val="restart"/>
            <w:tcBorders>
              <w:top w:val="nil"/>
              <w:left w:val="single" w:color="auto" w:sz="4" w:space="0"/>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829</w:t>
            </w:r>
          </w:p>
        </w:tc>
      </w:tr>
      <w:tr>
        <w:tblPrEx>
          <w:tblCellMar>
            <w:top w:w="0" w:type="dxa"/>
            <w:left w:w="108" w:type="dxa"/>
            <w:bottom w:w="0" w:type="dxa"/>
            <w:right w:w="108" w:type="dxa"/>
          </w:tblCellMar>
        </w:tblPrEx>
        <w:trPr>
          <w:trHeight w:val="330"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600A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930"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r>
      <w:tr>
        <w:tblPrEx>
          <w:tblCellMar>
            <w:top w:w="0" w:type="dxa"/>
            <w:left w:w="108" w:type="dxa"/>
            <w:bottom w:w="0" w:type="dxa"/>
            <w:right w:w="108" w:type="dxa"/>
          </w:tblCellMar>
        </w:tblPrEx>
        <w:trPr>
          <w:trHeight w:val="330"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500A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41</w:t>
            </w:r>
          </w:p>
        </w:tc>
        <w:tc>
          <w:tcPr>
            <w:tcW w:w="930"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r>
      <w:tr>
        <w:tblPrEx>
          <w:tblCellMar>
            <w:top w:w="0" w:type="dxa"/>
            <w:left w:w="108" w:type="dxa"/>
            <w:bottom w:w="0" w:type="dxa"/>
            <w:right w:w="108" w:type="dxa"/>
          </w:tblCellMar>
        </w:tblPrEx>
        <w:trPr>
          <w:trHeight w:val="330"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400A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23</w:t>
            </w:r>
          </w:p>
        </w:tc>
        <w:tc>
          <w:tcPr>
            <w:tcW w:w="930"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r>
      <w:tr>
        <w:tblPrEx>
          <w:tblCellMar>
            <w:top w:w="0" w:type="dxa"/>
            <w:left w:w="108" w:type="dxa"/>
            <w:bottom w:w="0" w:type="dxa"/>
            <w:right w:w="108" w:type="dxa"/>
          </w:tblCellMar>
        </w:tblPrEx>
        <w:trPr>
          <w:trHeight w:val="330"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300A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26</w:t>
            </w:r>
          </w:p>
        </w:tc>
        <w:tc>
          <w:tcPr>
            <w:tcW w:w="930"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r>
      <w:tr>
        <w:tblPrEx>
          <w:tblCellMar>
            <w:top w:w="0" w:type="dxa"/>
            <w:left w:w="108" w:type="dxa"/>
            <w:bottom w:w="0" w:type="dxa"/>
            <w:right w:w="108" w:type="dxa"/>
          </w:tblCellMar>
        </w:tblPrEx>
        <w:trPr>
          <w:trHeight w:val="330"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250A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49</w:t>
            </w:r>
          </w:p>
        </w:tc>
        <w:tc>
          <w:tcPr>
            <w:tcW w:w="930"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r>
      <w:tr>
        <w:tblPrEx>
          <w:tblCellMar>
            <w:top w:w="0" w:type="dxa"/>
            <w:left w:w="108" w:type="dxa"/>
            <w:bottom w:w="0" w:type="dxa"/>
            <w:right w:w="108" w:type="dxa"/>
          </w:tblCellMar>
        </w:tblPrEx>
        <w:trPr>
          <w:trHeight w:val="330"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200A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26</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26</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19</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19</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118</w:t>
            </w:r>
          </w:p>
        </w:tc>
        <w:tc>
          <w:tcPr>
            <w:tcW w:w="930"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r>
      <w:tr>
        <w:tblPrEx>
          <w:tblCellMar>
            <w:top w:w="0" w:type="dxa"/>
            <w:left w:w="108" w:type="dxa"/>
            <w:bottom w:w="0" w:type="dxa"/>
            <w:right w:w="108" w:type="dxa"/>
          </w:tblCellMar>
        </w:tblPrEx>
        <w:trPr>
          <w:trHeight w:val="330"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150A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27</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19</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19</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28</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103</w:t>
            </w:r>
          </w:p>
        </w:tc>
        <w:tc>
          <w:tcPr>
            <w:tcW w:w="930"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r>
      <w:tr>
        <w:tblPrEx>
          <w:tblCellMar>
            <w:top w:w="0" w:type="dxa"/>
            <w:left w:w="108" w:type="dxa"/>
            <w:bottom w:w="0" w:type="dxa"/>
            <w:right w:w="108" w:type="dxa"/>
          </w:tblCellMar>
        </w:tblPrEx>
        <w:trPr>
          <w:trHeight w:val="330"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100A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45</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55</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49</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47</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25</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17</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238</w:t>
            </w:r>
          </w:p>
        </w:tc>
        <w:tc>
          <w:tcPr>
            <w:tcW w:w="930"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r>
      <w:tr>
        <w:tblPrEx>
          <w:tblCellMar>
            <w:top w:w="0" w:type="dxa"/>
            <w:left w:w="108" w:type="dxa"/>
            <w:bottom w:w="0" w:type="dxa"/>
            <w:right w:w="108" w:type="dxa"/>
          </w:tblCellMar>
        </w:tblPrEx>
        <w:trPr>
          <w:trHeight w:val="330"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75A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22</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63</w:t>
            </w:r>
          </w:p>
        </w:tc>
        <w:tc>
          <w:tcPr>
            <w:tcW w:w="930"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r>
      <w:tr>
        <w:tblPrEx>
          <w:tblCellMar>
            <w:top w:w="0" w:type="dxa"/>
            <w:left w:w="108" w:type="dxa"/>
            <w:bottom w:w="0" w:type="dxa"/>
            <w:right w:w="108" w:type="dxa"/>
          </w:tblCellMar>
        </w:tblPrEx>
        <w:trPr>
          <w:trHeight w:val="330"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50A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54</w:t>
            </w:r>
          </w:p>
        </w:tc>
        <w:tc>
          <w:tcPr>
            <w:tcW w:w="930"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r>
      <w:tr>
        <w:tblPrEx>
          <w:tblCellMar>
            <w:top w:w="0" w:type="dxa"/>
            <w:left w:w="108" w:type="dxa"/>
            <w:bottom w:w="0" w:type="dxa"/>
            <w:right w:w="108" w:type="dxa"/>
          </w:tblCellMar>
        </w:tblPrEx>
        <w:trPr>
          <w:trHeight w:val="330"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30A</w:t>
            </w:r>
          </w:p>
        </w:tc>
        <w:tc>
          <w:tcPr>
            <w:tcW w:w="84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p>
        </w:tc>
        <w:tc>
          <w:tcPr>
            <w:tcW w:w="78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85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p>
        </w:tc>
        <w:tc>
          <w:tcPr>
            <w:tcW w:w="82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p>
        </w:tc>
        <w:tc>
          <w:tcPr>
            <w:tcW w:w="810"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p>
        </w:tc>
        <w:tc>
          <w:tcPr>
            <w:tcW w:w="885" w:type="dxa"/>
            <w:tcBorders>
              <w:top w:val="nil"/>
              <w:left w:val="nil"/>
              <w:bottom w:val="single" w:color="auto" w:sz="4" w:space="0"/>
              <w:right w:val="single" w:color="auto" w:sz="4" w:space="0"/>
            </w:tcBorders>
            <w:noWrap/>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930" w:type="dxa"/>
            <w:vMerge w:val="continue"/>
            <w:tcBorders>
              <w:top w:val="nil"/>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p>
        </w:tc>
      </w:tr>
    </w:tbl>
    <w:p>
      <w:pPr>
        <w:ind w:firstLine="0" w:firstLineChars="0"/>
        <w:rPr>
          <w:rFonts w:hint="eastAsia" w:ascii="宋体" w:hAnsi="宋体" w:eastAsia="宋体" w:cs="宋体"/>
          <w:sz w:val="24"/>
          <w:szCs w:val="24"/>
        </w:rPr>
      </w:pPr>
    </w:p>
    <w:p>
      <w:pPr>
        <w:ind w:firstLine="0" w:firstLineChars="0"/>
        <w:rPr>
          <w:rFonts w:hint="eastAsia" w:ascii="宋体" w:hAnsi="宋体" w:eastAsia="宋体" w:cs="宋体"/>
          <w:sz w:val="24"/>
          <w:szCs w:val="24"/>
        </w:rPr>
      </w:pPr>
      <w:r>
        <w:rPr>
          <w:rFonts w:hint="eastAsia" w:ascii="宋体" w:hAnsi="宋体" w:eastAsia="宋体" w:cs="宋体"/>
          <w:sz w:val="24"/>
          <w:szCs w:val="24"/>
        </w:rPr>
        <w:t>2、低压配电柜检修数量表</w:t>
      </w:r>
    </w:p>
    <w:tbl>
      <w:tblPr>
        <w:tblStyle w:val="14"/>
        <w:tblW w:w="7991"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870"/>
        <w:gridCol w:w="915"/>
        <w:gridCol w:w="870"/>
        <w:gridCol w:w="1035"/>
        <w:gridCol w:w="840"/>
        <w:gridCol w:w="7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设备类型</w:t>
            </w:r>
          </w:p>
        </w:tc>
        <w:tc>
          <w:tcPr>
            <w:tcW w:w="870" w:type="dxa"/>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1#配电室</w:t>
            </w:r>
          </w:p>
        </w:tc>
        <w:tc>
          <w:tcPr>
            <w:tcW w:w="915" w:type="dxa"/>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2#配电室</w:t>
            </w:r>
          </w:p>
        </w:tc>
        <w:tc>
          <w:tcPr>
            <w:tcW w:w="870" w:type="dxa"/>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3#配电室</w:t>
            </w:r>
          </w:p>
        </w:tc>
        <w:tc>
          <w:tcPr>
            <w:tcW w:w="1035" w:type="dxa"/>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4#配电室</w:t>
            </w:r>
          </w:p>
        </w:tc>
        <w:tc>
          <w:tcPr>
            <w:tcW w:w="840" w:type="dxa"/>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5#配电室</w:t>
            </w:r>
          </w:p>
        </w:tc>
        <w:tc>
          <w:tcPr>
            <w:tcW w:w="780" w:type="dxa"/>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6#配电室</w:t>
            </w:r>
          </w:p>
        </w:tc>
        <w:tc>
          <w:tcPr>
            <w:tcW w:w="900" w:type="dxa"/>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低压配电柜</w:t>
            </w:r>
          </w:p>
        </w:tc>
        <w:tc>
          <w:tcPr>
            <w:tcW w:w="87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58</w:t>
            </w:r>
          </w:p>
        </w:tc>
        <w:tc>
          <w:tcPr>
            <w:tcW w:w="915"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59</w:t>
            </w:r>
          </w:p>
        </w:tc>
        <w:tc>
          <w:tcPr>
            <w:tcW w:w="87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51</w:t>
            </w:r>
          </w:p>
        </w:tc>
        <w:tc>
          <w:tcPr>
            <w:tcW w:w="1035"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58</w:t>
            </w:r>
          </w:p>
        </w:tc>
        <w:tc>
          <w:tcPr>
            <w:tcW w:w="84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78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90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变压器母线</w:t>
            </w:r>
          </w:p>
        </w:tc>
        <w:tc>
          <w:tcPr>
            <w:tcW w:w="87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915"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87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035"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84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78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90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29</w:t>
            </w:r>
          </w:p>
        </w:tc>
      </w:tr>
    </w:tbl>
    <w:p>
      <w:pPr>
        <w:ind w:firstLine="0" w:firstLineChars="0"/>
        <w:rPr>
          <w:rFonts w:hint="eastAsia" w:ascii="宋体" w:hAnsi="宋体" w:eastAsia="宋体" w:cs="宋体"/>
          <w:sz w:val="24"/>
          <w:szCs w:val="24"/>
        </w:rPr>
      </w:pPr>
    </w:p>
    <w:p>
      <w:pPr>
        <w:pStyle w:val="2"/>
        <w:rPr>
          <w:rFonts w:ascii="宋体" w:hAnsi="宋体" w:eastAsia="宋体" w:cs="Times New Roman"/>
          <w:sz w:val="28"/>
          <w:szCs w:val="28"/>
        </w:rPr>
      </w:pPr>
    </w:p>
    <w:p>
      <w:pPr>
        <w:rPr>
          <w:rFonts w:ascii="宋体" w:hAnsi="宋体" w:eastAsia="宋体" w:cs="Times New Roman"/>
          <w:sz w:val="28"/>
          <w:szCs w:val="28"/>
        </w:rPr>
      </w:pPr>
    </w:p>
    <w:p>
      <w:pPr>
        <w:pStyle w:val="2"/>
      </w:pPr>
    </w:p>
    <w:p>
      <w:pPr>
        <w:pStyle w:val="2"/>
        <w:rPr>
          <w:rFonts w:ascii="宋体" w:hAnsi="宋体" w:eastAsia="宋体" w:cs="Times New Roman"/>
          <w:sz w:val="28"/>
          <w:szCs w:val="28"/>
        </w:rPr>
      </w:pPr>
    </w:p>
    <w:p>
      <w:pPr>
        <w:pStyle w:val="2"/>
        <w:ind w:left="0" w:leftChars="0" w:firstLine="0" w:firstLineChars="0"/>
        <w:rPr>
          <w:rFonts w:ascii="宋体" w:hAnsi="宋体" w:eastAsia="宋体" w:cs="Times New Roman"/>
          <w:sz w:val="28"/>
          <w:szCs w:val="28"/>
        </w:rPr>
      </w:pPr>
    </w:p>
    <w:p>
      <w:pPr>
        <w:ind w:firstLine="0" w:firstLineChars="0"/>
        <w:jc w:val="center"/>
        <w:rPr>
          <w:rFonts w:hint="eastAsia" w:ascii="仿宋_GB2312" w:hAnsi="宋体" w:eastAsia="仿宋_GB2312" w:cs="Times New Roman"/>
          <w:b/>
          <w:sz w:val="28"/>
          <w:szCs w:val="28"/>
        </w:rPr>
      </w:pPr>
      <w:r>
        <w:rPr>
          <w:rFonts w:hint="eastAsia" w:ascii="仿宋_GB2312" w:hAnsi="宋体" w:eastAsia="仿宋_GB2312" w:cs="Times New Roman"/>
          <w:b/>
          <w:sz w:val="28"/>
          <w:szCs w:val="28"/>
        </w:rPr>
        <w:t>低压抽屉柜检修表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18"/>
        <w:gridCol w:w="221"/>
        <w:gridCol w:w="46"/>
        <w:gridCol w:w="1703"/>
        <w:gridCol w:w="1255"/>
        <w:gridCol w:w="849"/>
        <w:gridCol w:w="572"/>
        <w:gridCol w:w="588"/>
        <w:gridCol w:w="302"/>
        <w:gridCol w:w="155"/>
        <w:gridCol w:w="425"/>
        <w:gridCol w:w="424"/>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31" w:type="dxa"/>
            <w:gridSpan w:val="2"/>
            <w:tcBorders>
              <w:top w:val="single" w:color="auto" w:sz="12" w:space="0"/>
              <w:left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设备</w:t>
            </w:r>
          </w:p>
        </w:tc>
        <w:tc>
          <w:tcPr>
            <w:tcW w:w="3225" w:type="dxa"/>
            <w:gridSpan w:val="4"/>
            <w:tcBorders>
              <w:top w:val="single" w:color="auto" w:sz="12" w:space="0"/>
              <w:right w:val="single" w:color="auto" w:sz="12" w:space="0"/>
            </w:tcBorders>
            <w:noWrap w:val="0"/>
            <w:vAlign w:val="center"/>
          </w:tcPr>
          <w:p>
            <w:pPr>
              <w:ind w:firstLine="0" w:firstLineChars="0"/>
              <w:jc w:val="center"/>
              <w:rPr>
                <w:rFonts w:hint="eastAsia" w:ascii="宋体" w:hAnsi="宋体" w:eastAsia="宋体" w:cs="Times New Roman"/>
                <w:bCs/>
                <w:sz w:val="24"/>
              </w:rPr>
            </w:pPr>
          </w:p>
        </w:tc>
        <w:tc>
          <w:tcPr>
            <w:tcW w:w="2311" w:type="dxa"/>
            <w:gridSpan w:val="4"/>
            <w:tcBorders>
              <w:top w:val="single" w:color="auto" w:sz="12" w:space="0"/>
              <w:right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日期</w:t>
            </w:r>
          </w:p>
        </w:tc>
        <w:tc>
          <w:tcPr>
            <w:tcW w:w="2027" w:type="dxa"/>
            <w:gridSpan w:val="4"/>
            <w:tcBorders>
              <w:top w:val="single" w:color="auto" w:sz="12" w:space="0"/>
              <w:right w:val="single" w:color="auto" w:sz="12" w:space="0"/>
            </w:tcBorders>
            <w:noWrap w:val="0"/>
            <w:vAlign w:val="center"/>
          </w:tcPr>
          <w:p>
            <w:pPr>
              <w:ind w:firstLine="0" w:firstLineChars="0"/>
              <w:jc w:val="center"/>
              <w:rPr>
                <w:rFonts w:hint="eastAsia" w:ascii="宋体" w:hAnsi="宋体"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31" w:type="dxa"/>
            <w:gridSpan w:val="2"/>
            <w:tcBorders>
              <w:top w:val="single" w:color="auto" w:sz="12" w:space="0"/>
              <w:left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内容</w:t>
            </w:r>
          </w:p>
        </w:tc>
        <w:tc>
          <w:tcPr>
            <w:tcW w:w="3225" w:type="dxa"/>
            <w:gridSpan w:val="4"/>
            <w:tcBorders>
              <w:top w:val="single" w:color="auto" w:sz="12" w:space="0"/>
              <w:right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低压抽屉柜检修</w:t>
            </w:r>
          </w:p>
        </w:tc>
        <w:tc>
          <w:tcPr>
            <w:tcW w:w="849" w:type="dxa"/>
            <w:tcBorders>
              <w:top w:val="single" w:color="auto" w:sz="12" w:space="0"/>
              <w:right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类型</w:t>
            </w:r>
          </w:p>
        </w:tc>
        <w:tc>
          <w:tcPr>
            <w:tcW w:w="3489" w:type="dxa"/>
            <w:gridSpan w:val="7"/>
            <w:tcBorders>
              <w:top w:val="single" w:color="auto" w:sz="12" w:space="0"/>
              <w:right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年度（周期性）维护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1031" w:type="dxa"/>
            <w:gridSpan w:val="2"/>
            <w:tcBorders>
              <w:top w:val="single" w:color="auto" w:sz="12" w:space="0"/>
              <w:left w:val="single" w:color="auto" w:sz="12" w:space="0"/>
              <w:bottom w:val="doub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危险点分析</w:t>
            </w:r>
          </w:p>
        </w:tc>
        <w:tc>
          <w:tcPr>
            <w:tcW w:w="7563" w:type="dxa"/>
            <w:gridSpan w:val="12"/>
            <w:tcBorders>
              <w:top w:val="single" w:color="auto" w:sz="12" w:space="0"/>
              <w:bottom w:val="double" w:color="auto" w:sz="12" w:space="0"/>
              <w:right w:val="single" w:color="auto" w:sz="12" w:space="0"/>
            </w:tcBorders>
            <w:noWrap w:val="0"/>
            <w:vAlign w:val="top"/>
          </w:tcPr>
          <w:p>
            <w:pPr>
              <w:numPr>
                <w:ilvl w:val="0"/>
                <w:numId w:val="29"/>
              </w:numPr>
              <w:adjustRightInd w:val="0"/>
              <w:snapToGrid w:val="0"/>
              <w:spacing w:line="280" w:lineRule="exact"/>
              <w:ind w:left="420" w:hanging="420" w:firstLineChars="0"/>
              <w:rPr>
                <w:rFonts w:hint="eastAsia" w:ascii="宋体" w:hAnsi="宋体" w:eastAsia="宋体" w:cs="Times New Roman"/>
                <w:bCs/>
                <w:color w:val="000000"/>
                <w:szCs w:val="21"/>
              </w:rPr>
            </w:pPr>
            <w:r>
              <w:rPr>
                <w:rFonts w:hint="eastAsia" w:ascii="宋体" w:hAnsi="宋体" w:eastAsia="宋体" w:cs="Times New Roman"/>
                <w:bCs/>
                <w:szCs w:val="21"/>
              </w:rPr>
              <w:t>容易触电伤人，要脱离电源工作。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4" w:type="dxa"/>
            <w:gridSpan w:val="14"/>
            <w:tcBorders>
              <w:top w:val="double" w:color="auto" w:sz="12" w:space="0"/>
              <w:left w:val="single" w:color="auto" w:sz="12" w:space="0"/>
              <w:right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检    修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13" w:type="dxa"/>
            <w:vMerge w:val="restart"/>
            <w:tcBorders>
              <w:top w:val="single" w:color="auto" w:sz="12" w:space="0"/>
              <w:left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步骤</w:t>
            </w:r>
          </w:p>
        </w:tc>
        <w:tc>
          <w:tcPr>
            <w:tcW w:w="539" w:type="dxa"/>
            <w:gridSpan w:val="2"/>
            <w:vMerge w:val="restart"/>
            <w:tcBorders>
              <w:top w:val="single" w:color="auto" w:sz="12" w:space="0"/>
            </w:tcBorders>
            <w:noWrap w:val="0"/>
            <w:vAlign w:val="top"/>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项次</w:t>
            </w:r>
          </w:p>
        </w:tc>
        <w:tc>
          <w:tcPr>
            <w:tcW w:w="1749" w:type="dxa"/>
            <w:gridSpan w:val="2"/>
            <w:vMerge w:val="restart"/>
            <w:tcBorders>
              <w:top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工作内容</w:t>
            </w:r>
          </w:p>
        </w:tc>
        <w:tc>
          <w:tcPr>
            <w:tcW w:w="3264" w:type="dxa"/>
            <w:gridSpan w:val="4"/>
            <w:vMerge w:val="restart"/>
            <w:tcBorders>
              <w:top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标准/要求</w:t>
            </w:r>
          </w:p>
        </w:tc>
        <w:tc>
          <w:tcPr>
            <w:tcW w:w="1306" w:type="dxa"/>
            <w:gridSpan w:val="4"/>
            <w:tcBorders>
              <w:top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结果</w:t>
            </w:r>
          </w:p>
        </w:tc>
        <w:tc>
          <w:tcPr>
            <w:tcW w:w="1023" w:type="dxa"/>
            <w:vMerge w:val="restart"/>
            <w:tcBorders>
              <w:top w:val="single" w:color="auto" w:sz="12" w:space="0"/>
              <w:right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签名/备注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13" w:type="dxa"/>
            <w:vMerge w:val="continue"/>
            <w:tcBorders>
              <w:left w:val="single" w:color="auto" w:sz="12" w:space="0"/>
            </w:tcBorders>
            <w:noWrap w:val="0"/>
            <w:vAlign w:val="center"/>
          </w:tcPr>
          <w:p>
            <w:pPr>
              <w:ind w:firstLine="0" w:firstLineChars="0"/>
              <w:jc w:val="center"/>
              <w:rPr>
                <w:rFonts w:hint="eastAsia" w:ascii="宋体" w:hAnsi="宋体" w:eastAsia="宋体" w:cs="Times New Roman"/>
                <w:b/>
                <w:sz w:val="24"/>
              </w:rPr>
            </w:pPr>
          </w:p>
        </w:tc>
        <w:tc>
          <w:tcPr>
            <w:tcW w:w="539" w:type="dxa"/>
            <w:gridSpan w:val="2"/>
            <w:vMerge w:val="continue"/>
            <w:noWrap w:val="0"/>
            <w:vAlign w:val="top"/>
          </w:tcPr>
          <w:p>
            <w:pPr>
              <w:ind w:firstLine="0" w:firstLineChars="0"/>
              <w:jc w:val="center"/>
              <w:rPr>
                <w:rFonts w:hint="eastAsia" w:ascii="宋体" w:hAnsi="宋体" w:eastAsia="宋体" w:cs="Times New Roman"/>
                <w:b/>
                <w:sz w:val="24"/>
              </w:rPr>
            </w:pPr>
          </w:p>
        </w:tc>
        <w:tc>
          <w:tcPr>
            <w:tcW w:w="1749" w:type="dxa"/>
            <w:gridSpan w:val="2"/>
            <w:vMerge w:val="continue"/>
            <w:noWrap w:val="0"/>
            <w:vAlign w:val="center"/>
          </w:tcPr>
          <w:p>
            <w:pPr>
              <w:ind w:firstLine="0" w:firstLineChars="0"/>
              <w:jc w:val="center"/>
              <w:rPr>
                <w:rFonts w:hint="eastAsia" w:ascii="宋体" w:hAnsi="宋体" w:eastAsia="宋体" w:cs="Times New Roman"/>
                <w:b/>
                <w:sz w:val="24"/>
              </w:rPr>
            </w:pPr>
          </w:p>
        </w:tc>
        <w:tc>
          <w:tcPr>
            <w:tcW w:w="3264" w:type="dxa"/>
            <w:gridSpan w:val="4"/>
            <w:vMerge w:val="continue"/>
            <w:noWrap w:val="0"/>
            <w:vAlign w:val="center"/>
          </w:tcPr>
          <w:p>
            <w:pPr>
              <w:ind w:firstLine="0" w:firstLineChars="0"/>
              <w:jc w:val="center"/>
              <w:rPr>
                <w:rFonts w:hint="eastAsia" w:ascii="宋体" w:hAnsi="宋体" w:eastAsia="宋体" w:cs="Times New Roman"/>
                <w:b/>
                <w:sz w:val="24"/>
              </w:rPr>
            </w:pPr>
          </w:p>
        </w:tc>
        <w:tc>
          <w:tcPr>
            <w:tcW w:w="457" w:type="dxa"/>
            <w:gridSpan w:val="2"/>
            <w:tcBorders>
              <w:top w:val="single" w:color="auto" w:sz="12" w:space="0"/>
            </w:tcBorders>
            <w:noWrap w:val="0"/>
            <w:vAlign w:val="center"/>
          </w:tcPr>
          <w:p>
            <w:pPr>
              <w:ind w:firstLine="0" w:firstLineChars="0"/>
              <w:jc w:val="center"/>
              <w:rPr>
                <w:rFonts w:hint="eastAsia" w:ascii="宋体" w:hAnsi="宋体" w:eastAsia="宋体" w:cs="Times New Roman"/>
                <w:b/>
                <w:sz w:val="24"/>
              </w:rPr>
            </w:pPr>
            <w:r>
              <w:rPr>
                <w:rFonts w:hint="eastAsia" w:ascii="宋体" w:hAnsi="宋体" w:eastAsia="宋体" w:cs="Times New Roman"/>
                <w:b/>
                <w:sz w:val="24"/>
              </w:rPr>
              <w:t>√</w:t>
            </w:r>
          </w:p>
        </w:tc>
        <w:tc>
          <w:tcPr>
            <w:tcW w:w="425" w:type="dxa"/>
            <w:tcBorders>
              <w:top w:val="single" w:color="auto" w:sz="12" w:space="0"/>
            </w:tcBorders>
            <w:noWrap w:val="0"/>
            <w:vAlign w:val="center"/>
          </w:tcPr>
          <w:p>
            <w:pPr>
              <w:ind w:firstLine="0" w:firstLineChars="0"/>
              <w:jc w:val="center"/>
              <w:rPr>
                <w:rFonts w:hint="eastAsia" w:ascii="宋体" w:hAnsi="宋体" w:eastAsia="宋体" w:cs="Times New Roman"/>
                <w:b/>
                <w:sz w:val="24"/>
              </w:rPr>
            </w:pPr>
            <w:r>
              <w:rPr>
                <w:rFonts w:hint="eastAsia" w:ascii="宋体" w:hAnsi="宋体" w:eastAsia="宋体" w:cs="Times New Roman"/>
                <w:b/>
                <w:sz w:val="24"/>
              </w:rPr>
              <w:t>O</w:t>
            </w:r>
          </w:p>
        </w:tc>
        <w:tc>
          <w:tcPr>
            <w:tcW w:w="424" w:type="dxa"/>
            <w:tcBorders>
              <w:top w:val="single" w:color="auto" w:sz="12" w:space="0"/>
            </w:tcBorders>
            <w:noWrap w:val="0"/>
            <w:vAlign w:val="center"/>
          </w:tcPr>
          <w:p>
            <w:pPr>
              <w:ind w:firstLine="0" w:firstLineChars="0"/>
              <w:jc w:val="center"/>
              <w:rPr>
                <w:rFonts w:hint="eastAsia" w:ascii="宋体" w:hAnsi="宋体" w:eastAsia="宋体" w:cs="Times New Roman"/>
                <w:b/>
                <w:sz w:val="24"/>
              </w:rPr>
            </w:pPr>
            <w:r>
              <w:rPr>
                <w:rFonts w:hint="eastAsia" w:ascii="宋体" w:hAnsi="宋体" w:eastAsia="宋体" w:cs="Times New Roman"/>
                <w:b/>
                <w:sz w:val="24"/>
              </w:rPr>
              <w:t>X</w:t>
            </w:r>
          </w:p>
        </w:tc>
        <w:tc>
          <w:tcPr>
            <w:tcW w:w="1023" w:type="dxa"/>
            <w:vMerge w:val="continue"/>
            <w:tcBorders>
              <w:right w:val="single" w:color="auto" w:sz="12" w:space="0"/>
            </w:tcBorders>
            <w:noWrap w:val="0"/>
            <w:vAlign w:val="center"/>
          </w:tcPr>
          <w:p>
            <w:pPr>
              <w:ind w:firstLine="0" w:firstLineChars="0"/>
              <w:jc w:val="center"/>
              <w:rPr>
                <w:rFonts w:hint="eastAsia" w:ascii="宋体" w:hAnsi="宋体"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Merge w:val="restart"/>
            <w:tcBorders>
              <w:left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检修</w:t>
            </w:r>
          </w:p>
          <w:p>
            <w:pPr>
              <w:ind w:firstLine="0" w:firstLineChars="0"/>
              <w:jc w:val="center"/>
              <w:rPr>
                <w:rFonts w:hint="eastAsia" w:ascii="宋体" w:hAnsi="宋体" w:eastAsia="宋体" w:cs="Times New Roman"/>
                <w:bCs/>
                <w:sz w:val="24"/>
              </w:rPr>
            </w:pPr>
          </w:p>
        </w:tc>
        <w:tc>
          <w:tcPr>
            <w:tcW w:w="539" w:type="dxa"/>
            <w:gridSpan w:val="2"/>
            <w:noWrap w:val="0"/>
            <w:vAlign w:val="center"/>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1</w:t>
            </w:r>
          </w:p>
        </w:tc>
        <w:tc>
          <w:tcPr>
            <w:tcW w:w="1749" w:type="dxa"/>
            <w:gridSpan w:val="2"/>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外观</w:t>
            </w:r>
          </w:p>
        </w:tc>
        <w:tc>
          <w:tcPr>
            <w:tcW w:w="3264" w:type="dxa"/>
            <w:gridSpan w:val="4"/>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清洁，无缺损</w:t>
            </w:r>
          </w:p>
        </w:tc>
        <w:tc>
          <w:tcPr>
            <w:tcW w:w="1306" w:type="dxa"/>
            <w:gridSpan w:val="4"/>
            <w:noWrap w:val="0"/>
            <w:vAlign w:val="center"/>
          </w:tcPr>
          <w:p>
            <w:pPr>
              <w:ind w:firstLine="0" w:firstLineChars="0"/>
              <w:jc w:val="center"/>
              <w:rPr>
                <w:rFonts w:hint="eastAsia" w:ascii="宋体" w:hAnsi="宋体" w:eastAsia="宋体" w:cs="Times New Roman"/>
                <w:b/>
                <w:sz w:val="24"/>
              </w:rPr>
            </w:pPr>
          </w:p>
        </w:tc>
        <w:tc>
          <w:tcPr>
            <w:tcW w:w="1023" w:type="dxa"/>
            <w:vMerge w:val="restart"/>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Merge w:val="continue"/>
            <w:tcBorders>
              <w:left w:val="single" w:color="auto" w:sz="12" w:space="0"/>
            </w:tcBorders>
            <w:noWrap w:val="0"/>
            <w:vAlign w:val="top"/>
          </w:tcPr>
          <w:p>
            <w:pPr>
              <w:ind w:firstLine="0" w:firstLineChars="0"/>
              <w:jc w:val="center"/>
              <w:rPr>
                <w:rFonts w:hint="eastAsia" w:ascii="宋体" w:hAnsi="宋体" w:eastAsia="宋体" w:cs="Times New Roman"/>
                <w:bCs/>
                <w:sz w:val="24"/>
              </w:rPr>
            </w:pPr>
          </w:p>
        </w:tc>
        <w:tc>
          <w:tcPr>
            <w:tcW w:w="539" w:type="dxa"/>
            <w:gridSpan w:val="2"/>
            <w:noWrap w:val="0"/>
            <w:vAlign w:val="center"/>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2</w:t>
            </w:r>
          </w:p>
        </w:tc>
        <w:tc>
          <w:tcPr>
            <w:tcW w:w="1749" w:type="dxa"/>
            <w:gridSpan w:val="2"/>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低压母线螺丝（18个）</w:t>
            </w:r>
          </w:p>
        </w:tc>
        <w:tc>
          <w:tcPr>
            <w:tcW w:w="3264" w:type="dxa"/>
            <w:gridSpan w:val="4"/>
            <w:noWrap w:val="0"/>
            <w:vAlign w:val="center"/>
          </w:tcPr>
          <w:p>
            <w:pPr>
              <w:tabs>
                <w:tab w:val="left" w:pos="576"/>
              </w:tabs>
              <w:autoSpaceDE w:val="0"/>
              <w:autoSpaceDN w:val="0"/>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紧固，相色标示正确</w:t>
            </w:r>
          </w:p>
        </w:tc>
        <w:tc>
          <w:tcPr>
            <w:tcW w:w="1306" w:type="dxa"/>
            <w:gridSpan w:val="4"/>
            <w:noWrap w:val="0"/>
            <w:vAlign w:val="center"/>
          </w:tcPr>
          <w:p>
            <w:pPr>
              <w:ind w:firstLine="0" w:firstLineChars="0"/>
              <w:jc w:val="center"/>
              <w:rPr>
                <w:rFonts w:hint="eastAsia" w:ascii="宋体" w:hAnsi="宋体" w:eastAsia="宋体" w:cs="Times New Roman"/>
                <w:b/>
                <w:sz w:val="24"/>
              </w:rPr>
            </w:pPr>
          </w:p>
        </w:tc>
        <w:tc>
          <w:tcPr>
            <w:tcW w:w="1023" w:type="dxa"/>
            <w:vMerge w:val="continue"/>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Merge w:val="continue"/>
            <w:tcBorders>
              <w:left w:val="single" w:color="auto" w:sz="12" w:space="0"/>
            </w:tcBorders>
            <w:noWrap w:val="0"/>
            <w:vAlign w:val="top"/>
          </w:tcPr>
          <w:p>
            <w:pPr>
              <w:ind w:firstLine="0" w:firstLineChars="0"/>
              <w:jc w:val="center"/>
              <w:rPr>
                <w:rFonts w:hint="eastAsia" w:ascii="宋体" w:hAnsi="宋体" w:eastAsia="宋体" w:cs="Times New Roman"/>
                <w:bCs/>
                <w:sz w:val="24"/>
              </w:rPr>
            </w:pPr>
          </w:p>
        </w:tc>
        <w:tc>
          <w:tcPr>
            <w:tcW w:w="539" w:type="dxa"/>
            <w:gridSpan w:val="2"/>
            <w:noWrap w:val="0"/>
            <w:vAlign w:val="center"/>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3</w:t>
            </w:r>
          </w:p>
        </w:tc>
        <w:tc>
          <w:tcPr>
            <w:tcW w:w="1749" w:type="dxa"/>
            <w:gridSpan w:val="2"/>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低压柜二次线</w:t>
            </w:r>
          </w:p>
        </w:tc>
        <w:tc>
          <w:tcPr>
            <w:tcW w:w="3264" w:type="dxa"/>
            <w:gridSpan w:val="4"/>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 xml:space="preserve">紧固 </w:t>
            </w:r>
          </w:p>
        </w:tc>
        <w:tc>
          <w:tcPr>
            <w:tcW w:w="1306" w:type="dxa"/>
            <w:gridSpan w:val="4"/>
            <w:noWrap w:val="0"/>
            <w:vAlign w:val="center"/>
          </w:tcPr>
          <w:p>
            <w:pPr>
              <w:ind w:firstLine="0" w:firstLineChars="0"/>
              <w:jc w:val="center"/>
              <w:rPr>
                <w:rFonts w:hint="eastAsia" w:ascii="宋体" w:hAnsi="宋体" w:eastAsia="宋体" w:cs="Times New Roman"/>
                <w:b/>
                <w:sz w:val="24"/>
              </w:rPr>
            </w:pPr>
          </w:p>
        </w:tc>
        <w:tc>
          <w:tcPr>
            <w:tcW w:w="1023" w:type="dxa"/>
            <w:vMerge w:val="continue"/>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Merge w:val="continue"/>
            <w:tcBorders>
              <w:left w:val="single" w:color="auto" w:sz="12" w:space="0"/>
            </w:tcBorders>
            <w:noWrap w:val="0"/>
            <w:vAlign w:val="center"/>
          </w:tcPr>
          <w:p>
            <w:pPr>
              <w:ind w:firstLine="0" w:firstLineChars="0"/>
              <w:jc w:val="center"/>
              <w:rPr>
                <w:rFonts w:hint="eastAsia" w:ascii="宋体" w:hAnsi="宋体" w:eastAsia="宋体" w:cs="Times New Roman"/>
                <w:bCs/>
                <w:sz w:val="24"/>
              </w:rPr>
            </w:pPr>
          </w:p>
        </w:tc>
        <w:tc>
          <w:tcPr>
            <w:tcW w:w="539" w:type="dxa"/>
            <w:gridSpan w:val="2"/>
            <w:noWrap w:val="0"/>
            <w:vAlign w:val="center"/>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4</w:t>
            </w:r>
          </w:p>
        </w:tc>
        <w:tc>
          <w:tcPr>
            <w:tcW w:w="1749" w:type="dxa"/>
            <w:gridSpan w:val="2"/>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低压柜触头</w:t>
            </w:r>
          </w:p>
        </w:tc>
        <w:tc>
          <w:tcPr>
            <w:tcW w:w="3264" w:type="dxa"/>
            <w:gridSpan w:val="4"/>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紧固</w:t>
            </w:r>
          </w:p>
        </w:tc>
        <w:tc>
          <w:tcPr>
            <w:tcW w:w="1306" w:type="dxa"/>
            <w:gridSpan w:val="4"/>
            <w:noWrap w:val="0"/>
            <w:vAlign w:val="center"/>
          </w:tcPr>
          <w:p>
            <w:pPr>
              <w:ind w:firstLine="0" w:firstLineChars="0"/>
              <w:jc w:val="center"/>
              <w:rPr>
                <w:rFonts w:hint="eastAsia" w:ascii="宋体" w:hAnsi="宋体" w:eastAsia="宋体" w:cs="Times New Roman"/>
                <w:b/>
                <w:sz w:val="24"/>
              </w:rPr>
            </w:pPr>
          </w:p>
        </w:tc>
        <w:tc>
          <w:tcPr>
            <w:tcW w:w="1023" w:type="dxa"/>
            <w:vMerge w:val="continue"/>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Merge w:val="continue"/>
            <w:tcBorders>
              <w:left w:val="single" w:color="auto" w:sz="12" w:space="0"/>
            </w:tcBorders>
            <w:noWrap w:val="0"/>
            <w:vAlign w:val="center"/>
          </w:tcPr>
          <w:p>
            <w:pPr>
              <w:ind w:firstLine="0" w:firstLineChars="0"/>
              <w:jc w:val="center"/>
              <w:rPr>
                <w:rFonts w:hint="eastAsia" w:ascii="宋体" w:hAnsi="宋体" w:eastAsia="宋体" w:cs="Times New Roman"/>
                <w:bCs/>
                <w:sz w:val="24"/>
              </w:rPr>
            </w:pPr>
          </w:p>
        </w:tc>
        <w:tc>
          <w:tcPr>
            <w:tcW w:w="539" w:type="dxa"/>
            <w:gridSpan w:val="2"/>
            <w:noWrap w:val="0"/>
            <w:vAlign w:val="center"/>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5</w:t>
            </w:r>
          </w:p>
        </w:tc>
        <w:tc>
          <w:tcPr>
            <w:tcW w:w="1749" w:type="dxa"/>
            <w:gridSpan w:val="2"/>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开关分合闸</w:t>
            </w:r>
          </w:p>
        </w:tc>
        <w:tc>
          <w:tcPr>
            <w:tcW w:w="3264" w:type="dxa"/>
            <w:gridSpan w:val="4"/>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正常，指示正确</w:t>
            </w:r>
          </w:p>
        </w:tc>
        <w:tc>
          <w:tcPr>
            <w:tcW w:w="1306" w:type="dxa"/>
            <w:gridSpan w:val="4"/>
            <w:noWrap w:val="0"/>
            <w:vAlign w:val="center"/>
          </w:tcPr>
          <w:p>
            <w:pPr>
              <w:ind w:firstLine="0" w:firstLineChars="0"/>
              <w:jc w:val="center"/>
              <w:rPr>
                <w:rFonts w:hint="eastAsia" w:ascii="宋体" w:hAnsi="宋体" w:eastAsia="宋体" w:cs="Times New Roman"/>
                <w:b/>
                <w:sz w:val="24"/>
              </w:rPr>
            </w:pPr>
          </w:p>
        </w:tc>
        <w:tc>
          <w:tcPr>
            <w:tcW w:w="1023" w:type="dxa"/>
            <w:vMerge w:val="continue"/>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13" w:type="dxa"/>
            <w:vMerge w:val="continue"/>
            <w:tcBorders>
              <w:left w:val="single" w:color="auto" w:sz="12" w:space="0"/>
            </w:tcBorders>
            <w:noWrap w:val="0"/>
            <w:vAlign w:val="center"/>
          </w:tcPr>
          <w:p>
            <w:pPr>
              <w:ind w:firstLine="0" w:firstLineChars="0"/>
              <w:jc w:val="center"/>
              <w:rPr>
                <w:rFonts w:hint="eastAsia" w:ascii="宋体" w:hAnsi="宋体" w:eastAsia="宋体" w:cs="Times New Roman"/>
                <w:bCs/>
                <w:sz w:val="24"/>
              </w:rPr>
            </w:pPr>
          </w:p>
        </w:tc>
        <w:tc>
          <w:tcPr>
            <w:tcW w:w="539" w:type="dxa"/>
            <w:gridSpan w:val="2"/>
            <w:noWrap w:val="0"/>
            <w:vAlign w:val="center"/>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6</w:t>
            </w:r>
          </w:p>
        </w:tc>
        <w:tc>
          <w:tcPr>
            <w:tcW w:w="1749" w:type="dxa"/>
            <w:gridSpan w:val="2"/>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柜体进线孔防小动物设施</w:t>
            </w:r>
          </w:p>
        </w:tc>
        <w:tc>
          <w:tcPr>
            <w:tcW w:w="3264" w:type="dxa"/>
            <w:gridSpan w:val="4"/>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良好</w:t>
            </w:r>
          </w:p>
        </w:tc>
        <w:tc>
          <w:tcPr>
            <w:tcW w:w="1306" w:type="dxa"/>
            <w:gridSpan w:val="4"/>
            <w:noWrap w:val="0"/>
            <w:vAlign w:val="center"/>
          </w:tcPr>
          <w:p>
            <w:pPr>
              <w:ind w:firstLine="0" w:firstLineChars="0"/>
              <w:jc w:val="center"/>
              <w:rPr>
                <w:rFonts w:hint="eastAsia" w:ascii="宋体" w:hAnsi="宋体" w:eastAsia="宋体" w:cs="Times New Roman"/>
                <w:b/>
                <w:sz w:val="24"/>
              </w:rPr>
            </w:pPr>
          </w:p>
        </w:tc>
        <w:tc>
          <w:tcPr>
            <w:tcW w:w="1023" w:type="dxa"/>
            <w:vMerge w:val="continue"/>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Merge w:val="continue"/>
            <w:tcBorders>
              <w:left w:val="single" w:color="auto" w:sz="12" w:space="0"/>
            </w:tcBorders>
            <w:noWrap w:val="0"/>
            <w:vAlign w:val="center"/>
          </w:tcPr>
          <w:p>
            <w:pPr>
              <w:ind w:firstLine="0" w:firstLineChars="0"/>
              <w:jc w:val="center"/>
              <w:rPr>
                <w:rFonts w:hint="eastAsia" w:ascii="宋体" w:hAnsi="宋体" w:eastAsia="宋体" w:cs="Times New Roman"/>
                <w:bCs/>
                <w:sz w:val="24"/>
              </w:rPr>
            </w:pPr>
          </w:p>
        </w:tc>
        <w:tc>
          <w:tcPr>
            <w:tcW w:w="539" w:type="dxa"/>
            <w:gridSpan w:val="2"/>
            <w:noWrap w:val="0"/>
            <w:vAlign w:val="center"/>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7</w:t>
            </w:r>
          </w:p>
        </w:tc>
        <w:tc>
          <w:tcPr>
            <w:tcW w:w="1749" w:type="dxa"/>
            <w:gridSpan w:val="2"/>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柜体接地</w:t>
            </w:r>
          </w:p>
        </w:tc>
        <w:tc>
          <w:tcPr>
            <w:tcW w:w="3264" w:type="dxa"/>
            <w:gridSpan w:val="4"/>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对地网测量接地良好</w:t>
            </w:r>
          </w:p>
        </w:tc>
        <w:tc>
          <w:tcPr>
            <w:tcW w:w="1306" w:type="dxa"/>
            <w:gridSpan w:val="4"/>
            <w:noWrap w:val="0"/>
            <w:vAlign w:val="center"/>
          </w:tcPr>
          <w:p>
            <w:pPr>
              <w:ind w:firstLine="0" w:firstLineChars="0"/>
              <w:jc w:val="center"/>
              <w:rPr>
                <w:rFonts w:hint="eastAsia" w:ascii="宋体" w:hAnsi="宋体" w:eastAsia="宋体" w:cs="Times New Roman"/>
                <w:b/>
                <w:sz w:val="24"/>
              </w:rPr>
            </w:pPr>
          </w:p>
        </w:tc>
        <w:tc>
          <w:tcPr>
            <w:tcW w:w="1023" w:type="dxa"/>
            <w:vMerge w:val="continue"/>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Merge w:val="continue"/>
            <w:tcBorders>
              <w:left w:val="single" w:color="auto" w:sz="12" w:space="0"/>
            </w:tcBorders>
            <w:noWrap w:val="0"/>
            <w:vAlign w:val="center"/>
          </w:tcPr>
          <w:p>
            <w:pPr>
              <w:ind w:firstLine="0" w:firstLineChars="0"/>
              <w:jc w:val="center"/>
              <w:rPr>
                <w:rFonts w:hint="eastAsia" w:ascii="宋体" w:hAnsi="宋体" w:eastAsia="宋体" w:cs="Times New Roman"/>
                <w:bCs/>
                <w:sz w:val="24"/>
              </w:rPr>
            </w:pPr>
          </w:p>
        </w:tc>
        <w:tc>
          <w:tcPr>
            <w:tcW w:w="539" w:type="dxa"/>
            <w:gridSpan w:val="2"/>
            <w:noWrap w:val="0"/>
            <w:vAlign w:val="center"/>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8</w:t>
            </w:r>
          </w:p>
        </w:tc>
        <w:tc>
          <w:tcPr>
            <w:tcW w:w="1749" w:type="dxa"/>
            <w:gridSpan w:val="2"/>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通讯二次接线</w:t>
            </w:r>
          </w:p>
        </w:tc>
        <w:tc>
          <w:tcPr>
            <w:tcW w:w="3264" w:type="dxa"/>
            <w:gridSpan w:val="4"/>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接线坚固，通讯正常</w:t>
            </w:r>
          </w:p>
        </w:tc>
        <w:tc>
          <w:tcPr>
            <w:tcW w:w="1306" w:type="dxa"/>
            <w:gridSpan w:val="4"/>
            <w:noWrap w:val="0"/>
            <w:vAlign w:val="center"/>
          </w:tcPr>
          <w:p>
            <w:pPr>
              <w:ind w:firstLine="0" w:firstLineChars="0"/>
              <w:jc w:val="center"/>
              <w:rPr>
                <w:rFonts w:hint="eastAsia" w:ascii="宋体" w:hAnsi="宋体" w:eastAsia="宋体" w:cs="Times New Roman"/>
                <w:b/>
                <w:sz w:val="24"/>
              </w:rPr>
            </w:pPr>
          </w:p>
        </w:tc>
        <w:tc>
          <w:tcPr>
            <w:tcW w:w="1023" w:type="dxa"/>
            <w:vMerge w:val="continue"/>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Merge w:val="continue"/>
            <w:tcBorders>
              <w:left w:val="single" w:color="auto" w:sz="12" w:space="0"/>
            </w:tcBorders>
            <w:noWrap w:val="0"/>
            <w:vAlign w:val="top"/>
          </w:tcPr>
          <w:p>
            <w:pPr>
              <w:ind w:firstLine="0" w:firstLineChars="0"/>
              <w:rPr>
                <w:rFonts w:hint="eastAsia" w:ascii="宋体" w:hAnsi="宋体" w:eastAsia="宋体" w:cs="Times New Roman"/>
                <w:bCs/>
                <w:sz w:val="24"/>
              </w:rPr>
            </w:pPr>
          </w:p>
        </w:tc>
        <w:tc>
          <w:tcPr>
            <w:tcW w:w="539" w:type="dxa"/>
            <w:gridSpan w:val="2"/>
            <w:noWrap w:val="0"/>
            <w:vAlign w:val="center"/>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9</w:t>
            </w:r>
          </w:p>
        </w:tc>
        <w:tc>
          <w:tcPr>
            <w:tcW w:w="1749" w:type="dxa"/>
            <w:gridSpan w:val="2"/>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智能仪表</w:t>
            </w:r>
          </w:p>
        </w:tc>
        <w:tc>
          <w:tcPr>
            <w:tcW w:w="3264" w:type="dxa"/>
            <w:gridSpan w:val="4"/>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接线坚固，通讯正常</w:t>
            </w:r>
          </w:p>
        </w:tc>
        <w:tc>
          <w:tcPr>
            <w:tcW w:w="1306" w:type="dxa"/>
            <w:gridSpan w:val="4"/>
            <w:noWrap w:val="0"/>
            <w:vAlign w:val="top"/>
          </w:tcPr>
          <w:p>
            <w:pPr>
              <w:ind w:firstLine="0" w:firstLineChars="0"/>
              <w:rPr>
                <w:rFonts w:hint="eastAsia" w:ascii="宋体" w:hAnsi="宋体" w:eastAsia="宋体" w:cs="Times New Roman"/>
                <w:szCs w:val="21"/>
              </w:rPr>
            </w:pPr>
          </w:p>
        </w:tc>
        <w:tc>
          <w:tcPr>
            <w:tcW w:w="1023" w:type="dxa"/>
            <w:vMerge w:val="continue"/>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Merge w:val="continue"/>
            <w:tcBorders>
              <w:left w:val="single" w:color="auto" w:sz="12" w:space="0"/>
            </w:tcBorders>
            <w:noWrap w:val="0"/>
            <w:vAlign w:val="top"/>
          </w:tcPr>
          <w:p>
            <w:pPr>
              <w:ind w:firstLine="0" w:firstLineChars="0"/>
              <w:rPr>
                <w:rFonts w:hint="eastAsia" w:ascii="宋体" w:hAnsi="宋体" w:eastAsia="宋体" w:cs="Times New Roman"/>
                <w:bCs/>
                <w:sz w:val="24"/>
              </w:rPr>
            </w:pPr>
          </w:p>
        </w:tc>
        <w:tc>
          <w:tcPr>
            <w:tcW w:w="539" w:type="dxa"/>
            <w:gridSpan w:val="2"/>
            <w:noWrap w:val="0"/>
            <w:vAlign w:val="center"/>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10</w:t>
            </w:r>
          </w:p>
        </w:tc>
        <w:tc>
          <w:tcPr>
            <w:tcW w:w="1749" w:type="dxa"/>
            <w:gridSpan w:val="2"/>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操作机构</w:t>
            </w:r>
          </w:p>
        </w:tc>
        <w:tc>
          <w:tcPr>
            <w:tcW w:w="3264" w:type="dxa"/>
            <w:gridSpan w:val="4"/>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操作灵活</w:t>
            </w:r>
          </w:p>
        </w:tc>
        <w:tc>
          <w:tcPr>
            <w:tcW w:w="1306" w:type="dxa"/>
            <w:gridSpan w:val="4"/>
            <w:noWrap w:val="0"/>
            <w:vAlign w:val="top"/>
          </w:tcPr>
          <w:p>
            <w:pPr>
              <w:ind w:firstLine="0" w:firstLineChars="0"/>
              <w:rPr>
                <w:rFonts w:hint="eastAsia" w:ascii="宋体" w:hAnsi="宋体" w:eastAsia="宋体" w:cs="Times New Roman"/>
                <w:szCs w:val="21"/>
              </w:rPr>
            </w:pPr>
          </w:p>
        </w:tc>
        <w:tc>
          <w:tcPr>
            <w:tcW w:w="1023" w:type="dxa"/>
            <w:vMerge w:val="continue"/>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Merge w:val="continue"/>
            <w:tcBorders>
              <w:left w:val="single" w:color="auto" w:sz="12" w:space="0"/>
            </w:tcBorders>
            <w:noWrap w:val="0"/>
            <w:vAlign w:val="top"/>
          </w:tcPr>
          <w:p>
            <w:pPr>
              <w:ind w:firstLine="0" w:firstLineChars="0"/>
              <w:rPr>
                <w:rFonts w:hint="eastAsia" w:ascii="宋体" w:hAnsi="宋体" w:eastAsia="宋体" w:cs="Times New Roman"/>
                <w:bCs/>
                <w:sz w:val="24"/>
              </w:rPr>
            </w:pPr>
          </w:p>
        </w:tc>
        <w:tc>
          <w:tcPr>
            <w:tcW w:w="539" w:type="dxa"/>
            <w:gridSpan w:val="2"/>
            <w:noWrap w:val="0"/>
            <w:vAlign w:val="center"/>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11</w:t>
            </w:r>
          </w:p>
        </w:tc>
        <w:tc>
          <w:tcPr>
            <w:tcW w:w="1749" w:type="dxa"/>
            <w:gridSpan w:val="2"/>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柜体进出机构</w:t>
            </w:r>
          </w:p>
        </w:tc>
        <w:tc>
          <w:tcPr>
            <w:tcW w:w="3264" w:type="dxa"/>
            <w:gridSpan w:val="4"/>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上润滑油</w:t>
            </w:r>
          </w:p>
        </w:tc>
        <w:tc>
          <w:tcPr>
            <w:tcW w:w="1306" w:type="dxa"/>
            <w:gridSpan w:val="4"/>
            <w:noWrap w:val="0"/>
            <w:vAlign w:val="top"/>
          </w:tcPr>
          <w:p>
            <w:pPr>
              <w:ind w:firstLine="0" w:firstLineChars="0"/>
              <w:rPr>
                <w:rFonts w:hint="eastAsia" w:ascii="宋体" w:hAnsi="宋体" w:eastAsia="宋体" w:cs="Times New Roman"/>
                <w:szCs w:val="21"/>
              </w:rPr>
            </w:pPr>
          </w:p>
        </w:tc>
        <w:tc>
          <w:tcPr>
            <w:tcW w:w="1023" w:type="dxa"/>
            <w:vMerge w:val="continue"/>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13" w:type="dxa"/>
            <w:tcBorders>
              <w:left w:val="single" w:color="auto" w:sz="12" w:space="0"/>
              <w:bottom w:val="double" w:color="auto" w:sz="12" w:space="0"/>
            </w:tcBorders>
            <w:noWrap w:val="0"/>
            <w:vAlign w:val="top"/>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结束</w:t>
            </w:r>
          </w:p>
          <w:p>
            <w:pPr>
              <w:ind w:firstLine="0" w:firstLineChars="0"/>
              <w:rPr>
                <w:rFonts w:hint="eastAsia" w:ascii="宋体" w:hAnsi="宋体" w:eastAsia="宋体" w:cs="Times New Roman"/>
                <w:bCs/>
                <w:sz w:val="24"/>
              </w:rPr>
            </w:pPr>
            <w:r>
              <w:rPr>
                <w:rFonts w:hint="eastAsia" w:ascii="宋体" w:hAnsi="宋体" w:eastAsia="宋体" w:cs="Times New Roman"/>
                <w:bCs/>
                <w:sz w:val="24"/>
              </w:rPr>
              <w:t>工作</w:t>
            </w:r>
          </w:p>
        </w:tc>
        <w:tc>
          <w:tcPr>
            <w:tcW w:w="539" w:type="dxa"/>
            <w:gridSpan w:val="2"/>
            <w:tcBorders>
              <w:bottom w:val="double" w:color="auto" w:sz="12" w:space="0"/>
            </w:tcBorders>
            <w:noWrap w:val="0"/>
            <w:vAlign w:val="top"/>
          </w:tcPr>
          <w:p>
            <w:pPr>
              <w:ind w:firstLine="0" w:firstLineChars="0"/>
              <w:jc w:val="center"/>
              <w:rPr>
                <w:rFonts w:hint="eastAsia" w:ascii="宋体" w:hAnsi="宋体" w:eastAsia="宋体" w:cs="Times New Roman"/>
                <w:szCs w:val="21"/>
              </w:rPr>
            </w:pPr>
          </w:p>
        </w:tc>
        <w:tc>
          <w:tcPr>
            <w:tcW w:w="1749" w:type="dxa"/>
            <w:gridSpan w:val="2"/>
            <w:tcBorders>
              <w:bottom w:val="double" w:color="auto" w:sz="12" w:space="0"/>
            </w:tcBorders>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清理现场</w:t>
            </w:r>
          </w:p>
        </w:tc>
        <w:tc>
          <w:tcPr>
            <w:tcW w:w="3264" w:type="dxa"/>
            <w:gridSpan w:val="4"/>
            <w:tcBorders>
              <w:bottom w:val="double" w:color="auto" w:sz="12" w:space="0"/>
            </w:tcBorders>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现场无杂物</w:t>
            </w:r>
          </w:p>
        </w:tc>
        <w:tc>
          <w:tcPr>
            <w:tcW w:w="1306" w:type="dxa"/>
            <w:gridSpan w:val="4"/>
            <w:tcBorders>
              <w:bottom w:val="double" w:color="auto" w:sz="12" w:space="0"/>
            </w:tcBorders>
            <w:noWrap w:val="0"/>
            <w:vAlign w:val="top"/>
          </w:tcPr>
          <w:p>
            <w:pPr>
              <w:ind w:firstLine="0" w:firstLineChars="0"/>
              <w:jc w:val="center"/>
              <w:rPr>
                <w:rFonts w:hint="eastAsia" w:ascii="宋体" w:hAnsi="宋体" w:eastAsia="宋体" w:cs="Times New Roman"/>
                <w:szCs w:val="21"/>
              </w:rPr>
            </w:pPr>
          </w:p>
        </w:tc>
        <w:tc>
          <w:tcPr>
            <w:tcW w:w="1023" w:type="dxa"/>
            <w:tcBorders>
              <w:bottom w:val="double" w:color="auto" w:sz="12" w:space="0"/>
              <w:right w:val="single" w:color="auto" w:sz="12" w:space="0"/>
            </w:tcBorders>
            <w:noWrap w:val="0"/>
            <w:vAlign w:val="top"/>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252" w:type="dxa"/>
            <w:gridSpan w:val="3"/>
            <w:tcBorders>
              <w:top w:val="double" w:color="auto" w:sz="12" w:space="0"/>
              <w:left w:val="single" w:color="auto" w:sz="12" w:space="0"/>
              <w:bottom w:val="single" w:color="auto" w:sz="12" w:space="0"/>
              <w:right w:val="single" w:color="auto" w:sz="12" w:space="0"/>
            </w:tcBorders>
            <w:noWrap w:val="0"/>
            <w:vAlign w:val="center"/>
          </w:tcPr>
          <w:p>
            <w:pPr>
              <w:ind w:firstLine="0" w:firstLineChars="0"/>
              <w:jc w:val="center"/>
              <w:rPr>
                <w:rFonts w:hint="eastAsia" w:ascii="宋体" w:hAnsi="宋体" w:eastAsia="宋体" w:cs="Times New Roman"/>
                <w:bCs/>
                <w:szCs w:val="21"/>
              </w:rPr>
            </w:pPr>
            <w:r>
              <w:rPr>
                <w:rFonts w:hint="eastAsia" w:ascii="宋体" w:hAnsi="宋体" w:eastAsia="宋体" w:cs="Times New Roman"/>
                <w:bCs/>
                <w:sz w:val="24"/>
              </w:rPr>
              <w:t>执行人</w:t>
            </w:r>
          </w:p>
        </w:tc>
        <w:tc>
          <w:tcPr>
            <w:tcW w:w="1749" w:type="dxa"/>
            <w:gridSpan w:val="2"/>
            <w:tcBorders>
              <w:top w:val="double" w:color="auto" w:sz="12" w:space="0"/>
              <w:left w:val="single" w:color="auto" w:sz="12" w:space="0"/>
              <w:bottom w:val="single" w:color="auto" w:sz="12" w:space="0"/>
              <w:right w:val="single" w:color="auto" w:sz="12" w:space="0"/>
            </w:tcBorders>
            <w:noWrap w:val="0"/>
            <w:vAlign w:val="center"/>
          </w:tcPr>
          <w:p>
            <w:pPr>
              <w:ind w:firstLine="0" w:firstLineChars="0"/>
              <w:rPr>
                <w:rFonts w:hint="eastAsia" w:ascii="宋体" w:hAnsi="宋体" w:eastAsia="宋体" w:cs="Times New Roman"/>
                <w:szCs w:val="21"/>
              </w:rPr>
            </w:pPr>
          </w:p>
        </w:tc>
        <w:tc>
          <w:tcPr>
            <w:tcW w:w="2676" w:type="dxa"/>
            <w:gridSpan w:val="3"/>
            <w:tcBorders>
              <w:top w:val="double" w:color="auto" w:sz="12" w:space="0"/>
              <w:left w:val="single" w:color="auto" w:sz="12" w:space="0"/>
              <w:bottom w:val="single" w:color="auto" w:sz="12" w:space="0"/>
              <w:right w:val="single" w:color="auto" w:sz="12" w:space="0"/>
            </w:tcBorders>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 w:val="24"/>
                <w:szCs w:val="21"/>
              </w:rPr>
              <w:t>审核人</w:t>
            </w:r>
          </w:p>
        </w:tc>
        <w:tc>
          <w:tcPr>
            <w:tcW w:w="2917" w:type="dxa"/>
            <w:gridSpan w:val="6"/>
            <w:tcBorders>
              <w:top w:val="double" w:color="auto" w:sz="12" w:space="0"/>
              <w:left w:val="single" w:color="auto" w:sz="12" w:space="0"/>
              <w:bottom w:val="single" w:color="auto" w:sz="12" w:space="0"/>
              <w:right w:val="single" w:color="auto" w:sz="12" w:space="0"/>
            </w:tcBorders>
            <w:noWrap w:val="0"/>
            <w:vAlign w:val="center"/>
          </w:tcPr>
          <w:p>
            <w:pPr>
              <w:ind w:firstLine="0" w:firstLineChars="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298" w:type="dxa"/>
            <w:gridSpan w:val="4"/>
            <w:tcBorders>
              <w:left w:val="single" w:color="auto" w:sz="12" w:space="0"/>
              <w:bottom w:val="single" w:color="auto" w:sz="12" w:space="0"/>
            </w:tcBorders>
            <w:noWrap w:val="0"/>
            <w:vAlign w:val="center"/>
          </w:tcPr>
          <w:p>
            <w:pPr>
              <w:ind w:firstLine="0" w:firstLineChars="0"/>
              <w:jc w:val="center"/>
              <w:rPr>
                <w:rFonts w:hint="eastAsia" w:ascii="宋体" w:hAnsi="宋体" w:eastAsia="宋体" w:cs="Times New Roman"/>
                <w:bCs/>
                <w:sz w:val="24"/>
              </w:rPr>
            </w:pPr>
            <w:r>
              <w:rPr>
                <w:rFonts w:hint="eastAsia" w:ascii="宋体" w:hAnsi="宋体" w:eastAsia="宋体" w:cs="Times New Roman"/>
                <w:bCs/>
                <w:sz w:val="24"/>
              </w:rPr>
              <w:t>审核意见</w:t>
            </w:r>
          </w:p>
        </w:tc>
        <w:tc>
          <w:tcPr>
            <w:tcW w:w="7296" w:type="dxa"/>
            <w:gridSpan w:val="10"/>
            <w:tcBorders>
              <w:bottom w:val="single" w:color="auto" w:sz="12" w:space="0"/>
              <w:right w:val="single" w:color="auto" w:sz="12" w:space="0"/>
            </w:tcBorders>
            <w:noWrap w:val="0"/>
            <w:vAlign w:val="top"/>
          </w:tcPr>
          <w:p>
            <w:pPr>
              <w:ind w:firstLine="0" w:firstLineChars="0"/>
              <w:rPr>
                <w:rFonts w:hint="eastAsia" w:ascii="宋体" w:hAnsi="宋体" w:eastAsia="宋体" w:cs="Times New Roman"/>
                <w:szCs w:val="21"/>
              </w:rPr>
            </w:pPr>
          </w:p>
        </w:tc>
      </w:tr>
    </w:tbl>
    <w:p>
      <w:pPr>
        <w:ind w:firstLine="0" w:firstLineChars="0"/>
        <w:rPr>
          <w:rFonts w:hint="eastAsia" w:ascii="Times New Roman" w:hAnsi="Times New Roman" w:eastAsia="宋体" w:cs="Times New Roman"/>
          <w:bCs/>
          <w:sz w:val="24"/>
        </w:rPr>
      </w:pPr>
    </w:p>
    <w:p>
      <w:pPr>
        <w:ind w:firstLine="0" w:firstLineChars="0"/>
        <w:rPr>
          <w:rFonts w:hint="eastAsia" w:ascii="Times New Roman" w:hAnsi="Times New Roman" w:eastAsia="宋体" w:cs="Times New Roman"/>
          <w:bCs/>
          <w:sz w:val="24"/>
        </w:rPr>
      </w:pPr>
      <w:r>
        <w:rPr>
          <w:rFonts w:ascii="Times New Roman" w:hAnsi="Times New Roman" w:eastAsia="宋体" w:cs="Times New Roman"/>
          <w:bCs/>
          <w:sz w:val="24"/>
        </w:rPr>
        <w:t>填写要求：</w:t>
      </w:r>
    </w:p>
    <w:p>
      <w:pPr>
        <w:numPr>
          <w:ilvl w:val="0"/>
          <w:numId w:val="30"/>
        </w:numPr>
        <w:tabs>
          <w:tab w:val="left" w:pos="0"/>
        </w:tabs>
        <w:ind w:hanging="1080" w:firstLineChars="0"/>
        <w:rPr>
          <w:rFonts w:ascii="Times New Roman" w:hAnsi="Times New Roman" w:eastAsia="宋体" w:cs="Times New Roman"/>
          <w:bCs/>
          <w:sz w:val="24"/>
        </w:rPr>
      </w:pPr>
      <w:r>
        <w:rPr>
          <w:rFonts w:ascii="Times New Roman" w:hAnsi="Times New Roman" w:eastAsia="宋体" w:cs="Times New Roman"/>
          <w:bCs/>
          <w:sz w:val="24"/>
        </w:rPr>
        <w:t>执行结果:√代表正常、O代表异常、X代表无需执行，异常时必须填写备注；</w:t>
      </w:r>
    </w:p>
    <w:p>
      <w:pPr>
        <w:ind w:firstLine="0" w:firstLineChars="0"/>
        <w:rPr>
          <w:rFonts w:ascii="宋体" w:hAnsi="宋体" w:eastAsia="宋体" w:cs="Times New Roman"/>
          <w:sz w:val="28"/>
          <w:szCs w:val="28"/>
        </w:rPr>
      </w:pPr>
      <w:r>
        <w:rPr>
          <w:rFonts w:hint="eastAsia" w:ascii="Times New Roman" w:hAnsi="Times New Roman" w:eastAsia="宋体" w:cs="Times New Roman"/>
          <w:bCs/>
          <w:sz w:val="24"/>
        </w:rPr>
        <w:t>工作负责人及</w:t>
      </w:r>
      <w:r>
        <w:rPr>
          <w:rFonts w:ascii="Times New Roman" w:hAnsi="Times New Roman" w:eastAsia="宋体" w:cs="Times New Roman"/>
          <w:bCs/>
          <w:sz w:val="24"/>
        </w:rPr>
        <w:t>以上人员负责审核，并填写审核意见；审核意见包括：执行结果是否正常及异常情况的处理意见。</w:t>
      </w:r>
    </w:p>
    <w:p>
      <w:pPr>
        <w:ind w:firstLine="0" w:firstLineChars="0"/>
        <w:rPr>
          <w:rFonts w:ascii="宋体" w:hAnsi="宋体" w:eastAsia="宋体" w:cs="Times New Roman"/>
          <w:sz w:val="28"/>
          <w:szCs w:val="28"/>
        </w:rPr>
      </w:pPr>
    </w:p>
    <w:p>
      <w:pPr>
        <w:ind w:firstLine="0" w:firstLineChars="0"/>
        <w:rPr>
          <w:rFonts w:ascii="宋体" w:hAnsi="宋体" w:eastAsia="宋体" w:cs="Times New Roman"/>
          <w:sz w:val="28"/>
          <w:szCs w:val="28"/>
        </w:rPr>
      </w:pPr>
    </w:p>
    <w:p>
      <w:pPr>
        <w:ind w:firstLine="0" w:firstLineChars="0"/>
        <w:rPr>
          <w:rFonts w:ascii="宋体" w:hAnsi="宋体" w:eastAsia="宋体" w:cs="Times New Roman"/>
          <w:sz w:val="28"/>
          <w:szCs w:val="28"/>
        </w:rPr>
      </w:pPr>
    </w:p>
    <w:p>
      <w:pPr>
        <w:ind w:firstLine="0" w:firstLineChars="0"/>
        <w:rPr>
          <w:rFonts w:ascii="宋体" w:hAnsi="宋体" w:eastAsia="宋体" w:cs="Times New Roman"/>
          <w:sz w:val="28"/>
          <w:szCs w:val="28"/>
        </w:rPr>
      </w:pPr>
    </w:p>
    <w:p>
      <w:pPr>
        <w:ind w:firstLine="0" w:firstLineChars="0"/>
        <w:rPr>
          <w:rFonts w:hint="eastAsia" w:ascii="宋体" w:hAnsi="宋体" w:eastAsia="宋体" w:cs="Times New Roman"/>
          <w:sz w:val="28"/>
          <w:szCs w:val="28"/>
        </w:rPr>
      </w:pPr>
    </w:p>
    <w:p>
      <w:pPr>
        <w:pStyle w:val="2"/>
        <w:rPr>
          <w:rFonts w:hint="eastAsia"/>
        </w:rPr>
      </w:pPr>
    </w:p>
    <w:p>
      <w:pPr>
        <w:ind w:firstLine="0" w:firstLineChars="0"/>
        <w:jc w:val="center"/>
        <w:rPr>
          <w:rFonts w:hint="eastAsia" w:ascii="宋体" w:hAnsi="宋体" w:eastAsia="宋体" w:cs="Times New Roman"/>
          <w:b/>
          <w:bCs/>
          <w:sz w:val="44"/>
          <w:szCs w:val="44"/>
        </w:rPr>
      </w:pPr>
      <w:r>
        <w:rPr>
          <w:rFonts w:hint="eastAsia" w:ascii="宋体" w:hAnsi="宋体" w:eastAsia="宋体" w:cs="Times New Roman"/>
          <w:b/>
          <w:bCs/>
          <w:sz w:val="44"/>
          <w:szCs w:val="44"/>
        </w:rPr>
        <w:t>会展中心低压配电柜电</w:t>
      </w:r>
      <w:r>
        <w:rPr>
          <w:rFonts w:ascii="宋体" w:hAnsi="宋体" w:eastAsia="宋体" w:cs="Times New Roman"/>
          <w:b/>
          <w:bCs/>
          <w:sz w:val="44"/>
          <w:szCs w:val="44"/>
        </w:rPr>
        <w:t>气</w:t>
      </w:r>
      <w:r>
        <w:rPr>
          <w:rFonts w:hint="eastAsia" w:ascii="宋体" w:hAnsi="宋体" w:eastAsia="宋体" w:cs="Times New Roman"/>
          <w:b/>
          <w:bCs/>
          <w:sz w:val="44"/>
          <w:szCs w:val="44"/>
        </w:rPr>
        <w:t>防火</w:t>
      </w:r>
      <w:r>
        <w:rPr>
          <w:rFonts w:ascii="宋体" w:hAnsi="宋体" w:eastAsia="宋体" w:cs="Times New Roman"/>
          <w:b/>
          <w:bCs/>
          <w:sz w:val="44"/>
          <w:szCs w:val="44"/>
        </w:rPr>
        <w:t>安全检</w:t>
      </w:r>
      <w:r>
        <w:rPr>
          <w:rFonts w:hint="eastAsia" w:ascii="宋体" w:hAnsi="宋体" w:eastAsia="宋体" w:cs="Times New Roman"/>
          <w:b/>
          <w:bCs/>
          <w:sz w:val="44"/>
          <w:szCs w:val="44"/>
        </w:rPr>
        <w:t>修表</w:t>
      </w:r>
    </w:p>
    <w:p>
      <w:pPr>
        <w:spacing w:line="360" w:lineRule="auto"/>
        <w:ind w:left="-899" w:leftChars="-428" w:right="-1226" w:rightChars="-584" w:firstLine="6002" w:firstLineChars="2501"/>
        <w:rPr>
          <w:rFonts w:hint="eastAsia" w:ascii="宋体" w:hAnsi="宋体" w:eastAsia="宋体" w:cs="Times New Roman"/>
          <w:color w:val="000000"/>
          <w:sz w:val="24"/>
        </w:rPr>
      </w:pPr>
      <w:r>
        <w:rPr>
          <w:rFonts w:hint="eastAsia" w:ascii="宋体" w:hAnsi="宋体" w:eastAsia="宋体" w:cs="Times New Roman"/>
          <w:color w:val="000000"/>
          <w:sz w:val="24"/>
          <w:u w:val="single"/>
        </w:rPr>
        <w:t xml:space="preserve">            </w:t>
      </w:r>
      <w:r>
        <w:rPr>
          <w:rFonts w:hint="eastAsia" w:ascii="宋体" w:hAnsi="宋体" w:eastAsia="宋体" w:cs="Times New Roman"/>
          <w:color w:val="000000"/>
          <w:sz w:val="24"/>
        </w:rPr>
        <w:t xml:space="preserve">低压配电柜检查表 </w:t>
      </w:r>
    </w:p>
    <w:tbl>
      <w:tblPr>
        <w:tblStyle w:val="14"/>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06"/>
        <w:gridCol w:w="4835"/>
        <w:gridCol w:w="888"/>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6" w:type="dxa"/>
            <w:noWrap w:val="0"/>
            <w:vAlign w:val="center"/>
          </w:tcPr>
          <w:p>
            <w:pPr>
              <w:ind w:firstLine="0" w:firstLineChars="0"/>
              <w:jc w:val="center"/>
              <w:rPr>
                <w:rFonts w:hint="eastAsia" w:ascii="宋体" w:hAnsi="宋体" w:eastAsia="宋体" w:cs="Times New Roman"/>
                <w:color w:val="000000"/>
                <w:szCs w:val="21"/>
              </w:rPr>
            </w:pPr>
            <w:r>
              <w:rPr>
                <w:rFonts w:hint="eastAsia" w:ascii="宋体" w:hAnsi="宋体" w:eastAsia="宋体" w:cs="Times New Roman"/>
                <w:color w:val="000000"/>
                <w:szCs w:val="21"/>
              </w:rPr>
              <w:t>序号</w:t>
            </w:r>
          </w:p>
        </w:tc>
        <w:tc>
          <w:tcPr>
            <w:tcW w:w="1906" w:type="dxa"/>
            <w:noWrap w:val="0"/>
            <w:vAlign w:val="center"/>
          </w:tcPr>
          <w:p>
            <w:pPr>
              <w:ind w:firstLine="0" w:firstLineChars="0"/>
              <w:jc w:val="center"/>
              <w:rPr>
                <w:rFonts w:hint="eastAsia" w:ascii="宋体" w:hAnsi="宋体" w:eastAsia="宋体" w:cs="Times New Roman"/>
                <w:color w:val="000000"/>
                <w:szCs w:val="21"/>
              </w:rPr>
            </w:pPr>
            <w:r>
              <w:rPr>
                <w:rFonts w:hint="eastAsia" w:ascii="宋体" w:hAnsi="宋体" w:eastAsia="宋体" w:cs="Times New Roman"/>
                <w:color w:val="000000"/>
                <w:szCs w:val="21"/>
              </w:rPr>
              <w:t>检修内容</w:t>
            </w:r>
          </w:p>
        </w:tc>
        <w:tc>
          <w:tcPr>
            <w:tcW w:w="4835" w:type="dxa"/>
            <w:noWrap w:val="0"/>
            <w:vAlign w:val="center"/>
          </w:tcPr>
          <w:p>
            <w:pPr>
              <w:ind w:firstLine="0" w:firstLineChars="0"/>
              <w:jc w:val="center"/>
              <w:rPr>
                <w:rFonts w:hint="eastAsia" w:ascii="宋体" w:hAnsi="宋体" w:eastAsia="宋体" w:cs="Times New Roman"/>
                <w:color w:val="000000"/>
                <w:szCs w:val="21"/>
              </w:rPr>
            </w:pPr>
            <w:r>
              <w:rPr>
                <w:rFonts w:hint="eastAsia" w:ascii="宋体" w:hAnsi="宋体" w:eastAsia="宋体" w:cs="Times New Roman"/>
                <w:bCs/>
                <w:sz w:val="24"/>
              </w:rPr>
              <w:t>标准/要求</w:t>
            </w:r>
          </w:p>
        </w:tc>
        <w:tc>
          <w:tcPr>
            <w:tcW w:w="888" w:type="dxa"/>
            <w:noWrap w:val="0"/>
            <w:vAlign w:val="center"/>
          </w:tcPr>
          <w:p>
            <w:pPr>
              <w:ind w:firstLine="0" w:firstLineChars="0"/>
              <w:jc w:val="center"/>
              <w:rPr>
                <w:rFonts w:hint="eastAsia" w:ascii="宋体" w:hAnsi="宋体" w:eastAsia="宋体" w:cs="Times New Roman"/>
                <w:color w:val="000000"/>
                <w:szCs w:val="21"/>
              </w:rPr>
            </w:pPr>
            <w:r>
              <w:rPr>
                <w:rFonts w:hint="eastAsia" w:ascii="宋体" w:hAnsi="宋体" w:eastAsia="宋体" w:cs="Times New Roman"/>
                <w:color w:val="000000"/>
                <w:szCs w:val="21"/>
              </w:rPr>
              <w:t>结果</w:t>
            </w:r>
          </w:p>
          <w:p>
            <w:pPr>
              <w:ind w:firstLine="0" w:firstLineChars="0"/>
              <w:jc w:val="center"/>
              <w:rPr>
                <w:rFonts w:hint="eastAsia" w:ascii="宋体" w:hAnsi="宋体" w:eastAsia="宋体" w:cs="Times New Roman"/>
                <w:color w:val="000000"/>
                <w:szCs w:val="21"/>
              </w:rPr>
            </w:pPr>
            <w:r>
              <w:rPr>
                <w:rFonts w:hint="eastAsia" w:ascii="宋体" w:hAnsi="宋体" w:eastAsia="宋体" w:cs="Times New Roman"/>
                <w:color w:val="000000"/>
                <w:szCs w:val="21"/>
              </w:rPr>
              <w:t>（√、</w:t>
            </w:r>
            <w:r>
              <w:rPr>
                <w:rFonts w:ascii="Times New Roman" w:hAnsi="Times New Roman" w:eastAsia="宋体" w:cs="Times New Roman"/>
                <w:bCs/>
                <w:sz w:val="24"/>
              </w:rPr>
              <w:t>O</w:t>
            </w:r>
            <w:r>
              <w:rPr>
                <w:rFonts w:hint="eastAsia" w:ascii="Times New Roman" w:hAnsi="Times New Roman" w:eastAsia="宋体" w:cs="Times New Roman"/>
                <w:bCs/>
                <w:sz w:val="24"/>
              </w:rPr>
              <w:t>、</w:t>
            </w:r>
            <w:r>
              <w:rPr>
                <w:rFonts w:hint="eastAsia" w:ascii="宋体" w:hAnsi="宋体" w:eastAsia="宋体" w:cs="Times New Roman"/>
                <w:color w:val="000000"/>
                <w:szCs w:val="21"/>
              </w:rPr>
              <w:t>×）</w:t>
            </w:r>
          </w:p>
        </w:tc>
        <w:tc>
          <w:tcPr>
            <w:tcW w:w="889" w:type="dxa"/>
            <w:noWrap w:val="0"/>
            <w:vAlign w:val="center"/>
          </w:tcPr>
          <w:p>
            <w:pPr>
              <w:ind w:left="42" w:leftChars="20" w:firstLine="0" w:firstLineChars="0"/>
              <w:jc w:val="center"/>
              <w:rPr>
                <w:rFonts w:hint="eastAsia" w:ascii="宋体" w:hAnsi="宋体" w:eastAsia="宋体" w:cs="Times New Roman"/>
                <w:color w:val="000000"/>
                <w:szCs w:val="21"/>
              </w:rPr>
            </w:pPr>
            <w:r>
              <w:rPr>
                <w:rFonts w:hint="eastAsia" w:ascii="宋体" w:hAnsi="宋体" w:eastAsia="宋体" w:cs="Times New Roman"/>
                <w:color w:val="000000"/>
                <w:szCs w:val="21"/>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6" w:type="dxa"/>
            <w:noWrap w:val="0"/>
            <w:vAlign w:val="center"/>
          </w:tcPr>
          <w:p>
            <w:pPr>
              <w:ind w:firstLine="0" w:firstLineChars="0"/>
              <w:jc w:val="center"/>
              <w:rPr>
                <w:rFonts w:hint="eastAsia" w:ascii="宋体" w:hAnsi="宋体" w:eastAsia="宋体" w:cs="Times New Roman"/>
                <w:color w:val="000000"/>
                <w:szCs w:val="21"/>
              </w:rPr>
            </w:pPr>
            <w:r>
              <w:rPr>
                <w:rFonts w:hint="eastAsia" w:ascii="宋体" w:hAnsi="宋体" w:eastAsia="宋体" w:cs="Times New Roman"/>
                <w:color w:val="000000"/>
                <w:szCs w:val="21"/>
              </w:rPr>
              <w:t>1</w:t>
            </w:r>
          </w:p>
        </w:tc>
        <w:tc>
          <w:tcPr>
            <w:tcW w:w="1906" w:type="dxa"/>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配电柜外观</w:t>
            </w:r>
          </w:p>
        </w:tc>
        <w:tc>
          <w:tcPr>
            <w:tcW w:w="4835" w:type="dxa"/>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清洁，无缺损</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6" w:type="dxa"/>
            <w:noWrap w:val="0"/>
            <w:vAlign w:val="center"/>
          </w:tcPr>
          <w:p>
            <w:pPr>
              <w:ind w:firstLine="0" w:firstLineChars="0"/>
              <w:jc w:val="center"/>
              <w:rPr>
                <w:rFonts w:hint="eastAsia" w:ascii="宋体" w:hAnsi="宋体" w:eastAsia="宋体" w:cs="Times New Roman"/>
                <w:color w:val="000000"/>
                <w:szCs w:val="21"/>
              </w:rPr>
            </w:pPr>
            <w:r>
              <w:rPr>
                <w:rFonts w:hint="eastAsia" w:ascii="宋体" w:hAnsi="宋体" w:eastAsia="宋体" w:cs="Times New Roman"/>
                <w:color w:val="000000"/>
                <w:szCs w:val="21"/>
              </w:rPr>
              <w:t>2</w:t>
            </w:r>
          </w:p>
        </w:tc>
        <w:tc>
          <w:tcPr>
            <w:tcW w:w="1906" w:type="dxa"/>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母线螺丝</w:t>
            </w:r>
          </w:p>
        </w:tc>
        <w:tc>
          <w:tcPr>
            <w:tcW w:w="4835" w:type="dxa"/>
            <w:noWrap w:val="0"/>
            <w:vAlign w:val="center"/>
          </w:tcPr>
          <w:p>
            <w:pPr>
              <w:tabs>
                <w:tab w:val="left" w:pos="576"/>
              </w:tabs>
              <w:autoSpaceDE w:val="0"/>
              <w:autoSpaceDN w:val="0"/>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紧固，相色标示正确</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6" w:type="dxa"/>
            <w:noWrap w:val="0"/>
            <w:vAlign w:val="center"/>
          </w:tcPr>
          <w:p>
            <w:pPr>
              <w:ind w:firstLine="0" w:firstLineChars="0"/>
              <w:jc w:val="center"/>
              <w:rPr>
                <w:rFonts w:hint="eastAsia" w:ascii="宋体" w:hAnsi="宋体" w:eastAsia="宋体" w:cs="Times New Roman"/>
                <w:color w:val="000000"/>
                <w:szCs w:val="21"/>
              </w:rPr>
            </w:pPr>
            <w:r>
              <w:rPr>
                <w:rFonts w:hint="eastAsia" w:ascii="宋体" w:hAnsi="宋体" w:eastAsia="宋体" w:cs="Times New Roman"/>
                <w:color w:val="000000"/>
                <w:szCs w:val="21"/>
              </w:rPr>
              <w:t>3</w:t>
            </w:r>
          </w:p>
        </w:tc>
        <w:tc>
          <w:tcPr>
            <w:tcW w:w="1906" w:type="dxa"/>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color w:val="000000"/>
                <w:szCs w:val="21"/>
              </w:rPr>
              <w:t>低压出线</w:t>
            </w:r>
            <w:r>
              <w:rPr>
                <w:rFonts w:hint="eastAsia" w:ascii="宋体" w:hAnsi="宋体" w:eastAsia="宋体" w:cs="Times New Roman"/>
                <w:color w:val="000000"/>
                <w:kern w:val="0"/>
                <w:szCs w:val="21"/>
              </w:rPr>
              <w:t>螺丝</w:t>
            </w:r>
          </w:p>
        </w:tc>
        <w:tc>
          <w:tcPr>
            <w:tcW w:w="4835" w:type="dxa"/>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导线连接应可靠，接触良好，导线接点、接线端子不应有打火放电现象。</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76" w:type="dxa"/>
            <w:noWrap w:val="0"/>
            <w:vAlign w:val="center"/>
          </w:tcPr>
          <w:p>
            <w:pPr>
              <w:ind w:firstLine="0" w:firstLineChars="0"/>
              <w:jc w:val="center"/>
              <w:rPr>
                <w:rFonts w:hint="eastAsia" w:ascii="宋体" w:hAnsi="宋体" w:eastAsia="宋体" w:cs="Times New Roman"/>
                <w:color w:val="000000"/>
                <w:szCs w:val="21"/>
              </w:rPr>
            </w:pPr>
            <w:r>
              <w:rPr>
                <w:rFonts w:hint="eastAsia" w:ascii="宋体" w:hAnsi="宋体" w:eastAsia="宋体" w:cs="Times New Roman"/>
                <w:color w:val="000000"/>
                <w:szCs w:val="21"/>
              </w:rPr>
              <w:t>4</w:t>
            </w:r>
          </w:p>
        </w:tc>
        <w:tc>
          <w:tcPr>
            <w:tcW w:w="1906" w:type="dxa"/>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断路器分合闸功能</w:t>
            </w:r>
          </w:p>
        </w:tc>
        <w:tc>
          <w:tcPr>
            <w:tcW w:w="4835" w:type="dxa"/>
            <w:noWrap w:val="0"/>
            <w:vAlign w:val="center"/>
          </w:tcPr>
          <w:p>
            <w:pPr>
              <w:adjustRightInd w:val="0"/>
              <w:snapToGrid w:val="0"/>
              <w:ind w:firstLine="0" w:firstLineChars="0"/>
              <w:rPr>
                <w:rFonts w:hint="eastAsia" w:ascii="宋体" w:hAnsi="宋体" w:eastAsia="宋体" w:cs="Times New Roman"/>
                <w:szCs w:val="21"/>
              </w:rPr>
            </w:pPr>
            <w:r>
              <w:rPr>
                <w:rFonts w:hint="eastAsia" w:ascii="宋体" w:hAnsi="宋体" w:eastAsia="宋体" w:cs="Times New Roman"/>
                <w:szCs w:val="21"/>
              </w:rPr>
              <w:t>正常，指示正确</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6" w:type="dxa"/>
            <w:noWrap w:val="0"/>
            <w:vAlign w:val="center"/>
          </w:tcPr>
          <w:p>
            <w:pPr>
              <w:ind w:firstLine="0" w:firstLineChars="0"/>
              <w:jc w:val="center"/>
              <w:rPr>
                <w:rFonts w:hint="eastAsia" w:ascii="宋体" w:hAnsi="宋体" w:eastAsia="宋体" w:cs="Times New Roman"/>
                <w:color w:val="000000"/>
                <w:szCs w:val="21"/>
              </w:rPr>
            </w:pPr>
            <w:r>
              <w:rPr>
                <w:rFonts w:hint="eastAsia" w:ascii="宋体" w:hAnsi="宋体" w:eastAsia="宋体" w:cs="Times New Roman"/>
                <w:color w:val="000000"/>
                <w:szCs w:val="21"/>
              </w:rPr>
              <w:t>5</w:t>
            </w:r>
          </w:p>
        </w:tc>
        <w:tc>
          <w:tcPr>
            <w:tcW w:w="1906"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柜</w:t>
            </w:r>
            <w:r>
              <w:rPr>
                <w:rFonts w:ascii="宋体" w:hAnsi="宋体" w:eastAsia="宋体" w:cs="Times New Roman"/>
                <w:szCs w:val="21"/>
              </w:rPr>
              <w:t>、屏、台、</w:t>
            </w:r>
            <w:r>
              <w:rPr>
                <w:rFonts w:hint="eastAsia" w:ascii="宋体" w:hAnsi="宋体" w:eastAsia="宋体" w:cs="Times New Roman"/>
                <w:szCs w:val="21"/>
              </w:rPr>
              <w:t>箱</w:t>
            </w:r>
            <w:r>
              <w:rPr>
                <w:rFonts w:ascii="宋体" w:hAnsi="宋体" w:eastAsia="宋体" w:cs="Times New Roman"/>
                <w:szCs w:val="21"/>
              </w:rPr>
              <w:t>、盘接地</w:t>
            </w:r>
          </w:p>
        </w:tc>
        <w:tc>
          <w:tcPr>
            <w:tcW w:w="4835" w:type="dxa"/>
            <w:noWrap w:val="0"/>
            <w:vAlign w:val="center"/>
          </w:tcPr>
          <w:p>
            <w:pPr>
              <w:ind w:firstLine="0" w:firstLineChars="0"/>
              <w:rPr>
                <w:rFonts w:ascii="宋体" w:hAnsi="宋体" w:eastAsia="宋体" w:cs="Times New Roman"/>
                <w:szCs w:val="21"/>
              </w:rPr>
            </w:pPr>
            <w:r>
              <w:rPr>
                <w:rFonts w:hint="eastAsia" w:ascii="宋体" w:hAnsi="宋体" w:eastAsia="宋体" w:cs="Times New Roman"/>
                <w:szCs w:val="21"/>
              </w:rPr>
              <w:t>1、金属</w:t>
            </w:r>
            <w:r>
              <w:rPr>
                <w:rFonts w:ascii="宋体" w:hAnsi="宋体" w:eastAsia="宋体" w:cs="Times New Roman"/>
                <w:szCs w:val="21"/>
              </w:rPr>
              <w:t>柜架及基础型钢必须接或接零可靠</w:t>
            </w:r>
            <w:r>
              <w:rPr>
                <w:rFonts w:hint="eastAsia" w:ascii="宋体" w:hAnsi="宋体" w:eastAsia="宋体" w:cs="Times New Roman"/>
                <w:szCs w:val="21"/>
              </w:rPr>
              <w:t>。</w:t>
            </w:r>
          </w:p>
          <w:p>
            <w:pPr>
              <w:ind w:firstLine="0" w:firstLineChars="0"/>
              <w:rPr>
                <w:rFonts w:hint="eastAsia" w:ascii="宋体" w:hAnsi="宋体" w:eastAsia="宋体" w:cs="Times New Roman"/>
                <w:szCs w:val="21"/>
              </w:rPr>
            </w:pPr>
            <w:r>
              <w:rPr>
                <w:rFonts w:hint="eastAsia" w:ascii="宋体" w:hAnsi="宋体" w:eastAsia="宋体" w:cs="Times New Roman"/>
                <w:szCs w:val="21"/>
              </w:rPr>
              <w:t>2、装</w:t>
            </w:r>
            <w:r>
              <w:rPr>
                <w:rFonts w:ascii="宋体" w:hAnsi="宋体" w:eastAsia="宋体" w:cs="Times New Roman"/>
                <w:szCs w:val="21"/>
              </w:rPr>
              <w:t>有电气的可开启门，门与框架的</w:t>
            </w:r>
            <w:r>
              <w:rPr>
                <w:rFonts w:hint="eastAsia" w:ascii="宋体" w:hAnsi="宋体" w:eastAsia="宋体" w:cs="Times New Roman"/>
                <w:szCs w:val="21"/>
              </w:rPr>
              <w:t>接</w:t>
            </w:r>
            <w:r>
              <w:rPr>
                <w:rFonts w:ascii="宋体" w:hAnsi="宋体" w:eastAsia="宋体" w:cs="Times New Roman"/>
                <w:szCs w:val="21"/>
              </w:rPr>
              <w:t>地端子间应</w:t>
            </w:r>
            <w:r>
              <w:rPr>
                <w:rFonts w:hint="eastAsia" w:ascii="宋体" w:hAnsi="宋体" w:eastAsia="宋体" w:cs="Times New Roman"/>
                <w:szCs w:val="21"/>
              </w:rPr>
              <w:t>采用</w:t>
            </w:r>
            <w:r>
              <w:rPr>
                <w:rFonts w:ascii="宋体" w:hAnsi="宋体" w:eastAsia="宋体" w:cs="Times New Roman"/>
                <w:szCs w:val="21"/>
              </w:rPr>
              <w:t>裸编</w:t>
            </w:r>
            <w:r>
              <w:rPr>
                <w:rFonts w:hint="eastAsia" w:ascii="宋体" w:hAnsi="宋体" w:eastAsia="宋体" w:cs="Times New Roman"/>
                <w:szCs w:val="21"/>
              </w:rPr>
              <w:t>织</w:t>
            </w:r>
            <w:r>
              <w:rPr>
                <w:rFonts w:ascii="宋体" w:hAnsi="宋体" w:eastAsia="宋体" w:cs="Times New Roman"/>
                <w:szCs w:val="21"/>
              </w:rPr>
              <w:t>铜线连接，且有标识。</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6" w:type="dxa"/>
            <w:noWrap w:val="0"/>
            <w:vAlign w:val="top"/>
          </w:tcPr>
          <w:p>
            <w:pPr>
              <w:ind w:firstLine="0" w:firstLineChars="0"/>
              <w:jc w:val="center"/>
              <w:rPr>
                <w:rFonts w:hint="eastAsia" w:ascii="宋体" w:hAnsi="宋体" w:eastAsia="宋体" w:cs="Times New Roman"/>
                <w:szCs w:val="21"/>
              </w:rPr>
            </w:pPr>
            <w:r>
              <w:rPr>
                <w:rFonts w:ascii="宋体" w:hAnsi="宋体" w:eastAsia="宋体" w:cs="Times New Roman"/>
                <w:szCs w:val="21"/>
              </w:rPr>
              <w:t>6</w:t>
            </w:r>
          </w:p>
        </w:tc>
        <w:tc>
          <w:tcPr>
            <w:tcW w:w="1906"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低</w:t>
            </w:r>
            <w:r>
              <w:rPr>
                <w:rFonts w:ascii="宋体" w:hAnsi="宋体" w:eastAsia="宋体" w:cs="Times New Roman"/>
                <w:szCs w:val="21"/>
              </w:rPr>
              <w:t>压柜</w:t>
            </w:r>
            <w:r>
              <w:rPr>
                <w:rFonts w:hint="eastAsia" w:ascii="宋体" w:hAnsi="宋体" w:eastAsia="宋体" w:cs="Times New Roman"/>
                <w:szCs w:val="21"/>
              </w:rPr>
              <w:t>防</w:t>
            </w:r>
            <w:r>
              <w:rPr>
                <w:rFonts w:ascii="宋体" w:hAnsi="宋体" w:eastAsia="宋体" w:cs="Times New Roman"/>
                <w:szCs w:val="21"/>
              </w:rPr>
              <w:t>电击</w:t>
            </w:r>
            <w:r>
              <w:rPr>
                <w:rFonts w:hint="eastAsia" w:ascii="宋体" w:hAnsi="宋体" w:eastAsia="宋体" w:cs="Times New Roman"/>
                <w:szCs w:val="21"/>
              </w:rPr>
              <w:t>保护</w:t>
            </w:r>
          </w:p>
        </w:tc>
        <w:tc>
          <w:tcPr>
            <w:tcW w:w="4835" w:type="dxa"/>
            <w:noWrap w:val="0"/>
            <w:vAlign w:val="center"/>
          </w:tcPr>
          <w:p>
            <w:pPr>
              <w:ind w:firstLine="0" w:firstLineChars="0"/>
              <w:rPr>
                <w:rFonts w:hint="eastAsia" w:ascii="宋体" w:hAnsi="宋体" w:eastAsia="宋体" w:cs="Times New Roman"/>
                <w:szCs w:val="21"/>
              </w:rPr>
            </w:pPr>
            <w:r>
              <w:rPr>
                <w:rFonts w:ascii="宋体" w:hAnsi="宋体" w:eastAsia="宋体" w:cs="Times New Roman"/>
                <w:szCs w:val="21"/>
              </w:rPr>
              <w:t>内部保护导体应有裸露的连接外部保护导体的端子。</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6" w:type="dxa"/>
            <w:noWrap w:val="0"/>
            <w:vAlign w:val="top"/>
          </w:tcPr>
          <w:p>
            <w:pPr>
              <w:ind w:firstLine="0" w:firstLineChars="0"/>
              <w:jc w:val="center"/>
              <w:rPr>
                <w:rFonts w:hint="eastAsia" w:ascii="宋体" w:hAnsi="宋体" w:eastAsia="宋体" w:cs="Times New Roman"/>
                <w:szCs w:val="21"/>
              </w:rPr>
            </w:pPr>
            <w:r>
              <w:rPr>
                <w:rFonts w:ascii="宋体" w:hAnsi="宋体" w:eastAsia="宋体" w:cs="Times New Roman"/>
                <w:szCs w:val="21"/>
              </w:rPr>
              <w:t>7</w:t>
            </w:r>
          </w:p>
        </w:tc>
        <w:tc>
          <w:tcPr>
            <w:tcW w:w="1906"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低</w:t>
            </w:r>
            <w:r>
              <w:rPr>
                <w:rFonts w:ascii="宋体" w:hAnsi="宋体" w:eastAsia="宋体" w:cs="Times New Roman"/>
                <w:szCs w:val="21"/>
              </w:rPr>
              <w:t>压柜</w:t>
            </w:r>
            <w:r>
              <w:rPr>
                <w:rFonts w:hint="eastAsia" w:ascii="宋体" w:hAnsi="宋体" w:eastAsia="宋体" w:cs="Times New Roman"/>
                <w:szCs w:val="21"/>
              </w:rPr>
              <w:t>内</w:t>
            </w:r>
            <w:r>
              <w:rPr>
                <w:rFonts w:ascii="宋体" w:hAnsi="宋体" w:eastAsia="宋体" w:cs="Times New Roman"/>
                <w:szCs w:val="21"/>
              </w:rPr>
              <w:t>电</w:t>
            </w:r>
            <w:r>
              <w:rPr>
                <w:rFonts w:hint="eastAsia" w:ascii="宋体" w:hAnsi="宋体" w:eastAsia="宋体" w:cs="Times New Roman"/>
                <w:szCs w:val="21"/>
              </w:rPr>
              <w:t>气装置</w:t>
            </w:r>
            <w:r>
              <w:rPr>
                <w:rFonts w:ascii="宋体" w:hAnsi="宋体" w:eastAsia="宋体" w:cs="Times New Roman"/>
                <w:szCs w:val="21"/>
              </w:rPr>
              <w:t>检查</w:t>
            </w:r>
          </w:p>
        </w:tc>
        <w:tc>
          <w:tcPr>
            <w:tcW w:w="4835"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每</w:t>
            </w:r>
            <w:r>
              <w:rPr>
                <w:rFonts w:ascii="宋体" w:hAnsi="宋体" w:eastAsia="宋体" w:cs="Times New Roman"/>
                <w:szCs w:val="21"/>
              </w:rPr>
              <w:t>路配电开关及保护装置的规格、</w:t>
            </w:r>
            <w:r>
              <w:rPr>
                <w:rFonts w:hint="eastAsia" w:ascii="宋体" w:hAnsi="宋体" w:eastAsia="宋体" w:cs="Times New Roman"/>
                <w:szCs w:val="21"/>
              </w:rPr>
              <w:t>型号</w:t>
            </w:r>
            <w:r>
              <w:rPr>
                <w:rFonts w:ascii="宋体" w:hAnsi="宋体" w:eastAsia="宋体" w:cs="Times New Roman"/>
                <w:szCs w:val="21"/>
              </w:rPr>
              <w:t>、应</w:t>
            </w:r>
            <w:r>
              <w:rPr>
                <w:rFonts w:hint="eastAsia" w:ascii="宋体" w:hAnsi="宋体" w:eastAsia="宋体" w:cs="Times New Roman"/>
                <w:szCs w:val="21"/>
              </w:rPr>
              <w:t>符合</w:t>
            </w:r>
            <w:r>
              <w:rPr>
                <w:rFonts w:ascii="宋体" w:hAnsi="宋体" w:eastAsia="宋体" w:cs="Times New Roman"/>
                <w:szCs w:val="21"/>
              </w:rPr>
              <w:t>设计要求。</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6" w:type="dxa"/>
            <w:noWrap w:val="0"/>
            <w:vAlign w:val="top"/>
          </w:tcPr>
          <w:p>
            <w:pPr>
              <w:ind w:firstLine="0" w:firstLineChars="0"/>
              <w:jc w:val="center"/>
              <w:rPr>
                <w:rFonts w:hint="eastAsia" w:ascii="宋体" w:hAnsi="宋体" w:eastAsia="宋体" w:cs="Times New Roman"/>
                <w:szCs w:val="21"/>
              </w:rPr>
            </w:pPr>
            <w:r>
              <w:rPr>
                <w:rFonts w:ascii="宋体" w:hAnsi="宋体" w:eastAsia="宋体" w:cs="Times New Roman"/>
                <w:szCs w:val="21"/>
              </w:rPr>
              <w:t>8</w:t>
            </w:r>
          </w:p>
        </w:tc>
        <w:tc>
          <w:tcPr>
            <w:tcW w:w="1906"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绝缘</w:t>
            </w:r>
            <w:r>
              <w:rPr>
                <w:rFonts w:ascii="宋体" w:hAnsi="宋体" w:eastAsia="宋体" w:cs="Times New Roman"/>
                <w:szCs w:val="21"/>
              </w:rPr>
              <w:t>电阻</w:t>
            </w:r>
          </w:p>
        </w:tc>
        <w:tc>
          <w:tcPr>
            <w:tcW w:w="4835" w:type="dxa"/>
            <w:noWrap w:val="0"/>
            <w:vAlign w:val="center"/>
          </w:tcPr>
          <w:p>
            <w:pPr>
              <w:numPr>
                <w:ilvl w:val="0"/>
                <w:numId w:val="31"/>
              </w:numPr>
              <w:ind w:left="360" w:hanging="360" w:firstLineChars="0"/>
              <w:rPr>
                <w:rFonts w:ascii="宋体" w:hAnsi="宋体" w:eastAsia="宋体" w:cs="Times New Roman"/>
                <w:szCs w:val="21"/>
              </w:rPr>
            </w:pPr>
            <w:r>
              <w:rPr>
                <w:rFonts w:ascii="宋体" w:hAnsi="宋体" w:eastAsia="宋体" w:cs="Times New Roman"/>
                <w:szCs w:val="21"/>
              </w:rPr>
              <w:t>馈线线路必须大于</w:t>
            </w:r>
            <w:r>
              <w:rPr>
                <w:rFonts w:hint="eastAsia" w:ascii="宋体" w:hAnsi="宋体" w:eastAsia="宋体" w:cs="Times New Roman"/>
                <w:szCs w:val="21"/>
              </w:rPr>
              <w:t>0.5M</w:t>
            </w:r>
            <w:r>
              <w:rPr>
                <w:rFonts w:ascii="宋体" w:hAnsi="宋体" w:eastAsia="宋体" w:cs="Times New Roman"/>
                <w:szCs w:val="21"/>
              </w:rPr>
              <w:t>Ω</w:t>
            </w:r>
            <w:r>
              <w:rPr>
                <w:rFonts w:hint="eastAsia" w:ascii="宋体" w:hAnsi="宋体" w:eastAsia="宋体" w:cs="Times New Roman"/>
                <w:szCs w:val="21"/>
              </w:rPr>
              <w:t>。</w:t>
            </w:r>
          </w:p>
          <w:p>
            <w:pPr>
              <w:numPr>
                <w:ilvl w:val="0"/>
                <w:numId w:val="31"/>
              </w:numPr>
              <w:ind w:left="360" w:hanging="360" w:firstLineChars="0"/>
              <w:rPr>
                <w:rFonts w:hint="eastAsia" w:ascii="宋体" w:hAnsi="宋体" w:eastAsia="宋体" w:cs="Times New Roman"/>
                <w:szCs w:val="21"/>
              </w:rPr>
            </w:pPr>
            <w:r>
              <w:rPr>
                <w:rFonts w:hint="eastAsia" w:ascii="宋体" w:hAnsi="宋体" w:eastAsia="宋体" w:cs="Times New Roman"/>
                <w:szCs w:val="21"/>
              </w:rPr>
              <w:t>二</w:t>
            </w:r>
            <w:r>
              <w:rPr>
                <w:rFonts w:ascii="宋体" w:hAnsi="宋体" w:eastAsia="宋体" w:cs="Times New Roman"/>
                <w:szCs w:val="21"/>
              </w:rPr>
              <w:t>次回路必须大于1</w:t>
            </w:r>
            <w:r>
              <w:rPr>
                <w:rFonts w:hint="eastAsia" w:ascii="宋体" w:hAnsi="宋体" w:eastAsia="宋体" w:cs="Times New Roman"/>
                <w:szCs w:val="21"/>
              </w:rPr>
              <w:t xml:space="preserve"> M</w:t>
            </w:r>
            <w:r>
              <w:rPr>
                <w:rFonts w:ascii="宋体" w:hAnsi="宋体" w:eastAsia="宋体" w:cs="Times New Roman"/>
                <w:szCs w:val="21"/>
              </w:rPr>
              <w:t>Ω</w:t>
            </w:r>
            <w:r>
              <w:rPr>
                <w:rFonts w:hint="eastAsia" w:ascii="宋体" w:hAnsi="宋体" w:eastAsia="宋体" w:cs="Times New Roman"/>
                <w:szCs w:val="21"/>
              </w:rPr>
              <w:t>。</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76" w:type="dxa"/>
            <w:noWrap w:val="0"/>
            <w:vAlign w:val="top"/>
          </w:tcPr>
          <w:p>
            <w:pPr>
              <w:ind w:firstLine="0" w:firstLineChars="0"/>
              <w:jc w:val="center"/>
              <w:rPr>
                <w:rFonts w:hint="eastAsia" w:ascii="宋体" w:hAnsi="宋体" w:eastAsia="宋体" w:cs="Times New Roman"/>
                <w:szCs w:val="21"/>
              </w:rPr>
            </w:pPr>
            <w:r>
              <w:rPr>
                <w:rFonts w:ascii="宋体" w:hAnsi="宋体" w:eastAsia="宋体" w:cs="Times New Roman"/>
                <w:szCs w:val="21"/>
              </w:rPr>
              <w:t>9</w:t>
            </w:r>
          </w:p>
        </w:tc>
        <w:tc>
          <w:tcPr>
            <w:tcW w:w="1906"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柜体进线孔防小动物设施</w:t>
            </w:r>
          </w:p>
        </w:tc>
        <w:tc>
          <w:tcPr>
            <w:tcW w:w="4835"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变压器室、配电装置室、电力电容器室等应设置防止雨、雪和蛇、鼠类小动物从采光窗、通风窗、门、电缆沟等进入室内的设施。</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6" w:type="dxa"/>
            <w:noWrap w:val="0"/>
            <w:vAlign w:val="top"/>
          </w:tcPr>
          <w:p>
            <w:pPr>
              <w:ind w:firstLine="0" w:firstLineChars="0"/>
              <w:jc w:val="center"/>
              <w:rPr>
                <w:rFonts w:hint="eastAsia" w:ascii="宋体" w:hAnsi="宋体" w:eastAsia="宋体" w:cs="Times New Roman"/>
                <w:szCs w:val="21"/>
              </w:rPr>
            </w:pPr>
            <w:r>
              <w:rPr>
                <w:rFonts w:ascii="宋体" w:hAnsi="宋体" w:eastAsia="宋体" w:cs="Times New Roman"/>
                <w:szCs w:val="21"/>
              </w:rPr>
              <w:t>10</w:t>
            </w:r>
          </w:p>
        </w:tc>
        <w:tc>
          <w:tcPr>
            <w:tcW w:w="1906"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配</w:t>
            </w:r>
            <w:r>
              <w:rPr>
                <w:rFonts w:ascii="宋体" w:hAnsi="宋体" w:eastAsia="宋体" w:cs="Times New Roman"/>
                <w:szCs w:val="21"/>
              </w:rPr>
              <w:t>电</w:t>
            </w:r>
            <w:r>
              <w:rPr>
                <w:rFonts w:hint="eastAsia" w:ascii="宋体" w:hAnsi="宋体" w:eastAsia="宋体" w:cs="Times New Roman"/>
                <w:szCs w:val="21"/>
              </w:rPr>
              <w:t>室检查</w:t>
            </w:r>
          </w:p>
        </w:tc>
        <w:tc>
          <w:tcPr>
            <w:tcW w:w="4835" w:type="dxa"/>
            <w:noWrap w:val="0"/>
            <w:vAlign w:val="center"/>
          </w:tcPr>
          <w:p>
            <w:pPr>
              <w:numPr>
                <w:ilvl w:val="0"/>
                <w:numId w:val="32"/>
              </w:numPr>
              <w:ind w:left="360" w:hanging="360" w:firstLineChars="0"/>
              <w:rPr>
                <w:rFonts w:ascii="宋体" w:hAnsi="宋体" w:eastAsia="宋体" w:cs="Times New Roman"/>
                <w:szCs w:val="21"/>
              </w:rPr>
            </w:pPr>
            <w:r>
              <w:rPr>
                <w:rFonts w:hint="eastAsia" w:ascii="宋体" w:hAnsi="宋体" w:eastAsia="宋体" w:cs="Times New Roman"/>
                <w:szCs w:val="21"/>
              </w:rPr>
              <w:t>配</w:t>
            </w:r>
            <w:r>
              <w:rPr>
                <w:rFonts w:ascii="宋体" w:hAnsi="宋体" w:eastAsia="宋体" w:cs="Times New Roman"/>
                <w:szCs w:val="21"/>
              </w:rPr>
              <w:t>电</w:t>
            </w:r>
            <w:r>
              <w:rPr>
                <w:rFonts w:hint="eastAsia" w:ascii="宋体" w:hAnsi="宋体" w:eastAsia="宋体" w:cs="Times New Roman"/>
                <w:szCs w:val="21"/>
              </w:rPr>
              <w:t>室内，不应堆放可燃和其他杂物。</w:t>
            </w:r>
          </w:p>
          <w:p>
            <w:pPr>
              <w:numPr>
                <w:ilvl w:val="0"/>
                <w:numId w:val="32"/>
              </w:numPr>
              <w:ind w:left="360" w:hanging="360" w:firstLineChars="0"/>
              <w:rPr>
                <w:rFonts w:hint="eastAsia" w:ascii="宋体" w:hAnsi="宋体" w:eastAsia="宋体" w:cs="Times New Roman"/>
                <w:szCs w:val="21"/>
              </w:rPr>
            </w:pPr>
            <w:r>
              <w:rPr>
                <w:rFonts w:hint="eastAsia" w:ascii="宋体" w:hAnsi="宋体" w:eastAsia="宋体" w:cs="Times New Roman"/>
                <w:szCs w:val="21"/>
              </w:rPr>
              <w:t>低压配电与控制区域，不得渗漏水。</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676" w:type="dxa"/>
            <w:noWrap w:val="0"/>
            <w:vAlign w:val="top"/>
          </w:tcPr>
          <w:p>
            <w:pPr>
              <w:ind w:firstLine="0" w:firstLineChars="0"/>
              <w:jc w:val="center"/>
              <w:rPr>
                <w:rFonts w:hint="eastAsia" w:ascii="宋体" w:hAnsi="宋体" w:eastAsia="宋体" w:cs="Times New Roman"/>
                <w:szCs w:val="21"/>
              </w:rPr>
            </w:pPr>
            <w:r>
              <w:rPr>
                <w:rFonts w:ascii="宋体" w:hAnsi="宋体" w:eastAsia="宋体" w:cs="Times New Roman"/>
                <w:szCs w:val="21"/>
              </w:rPr>
              <w:t>11</w:t>
            </w:r>
          </w:p>
        </w:tc>
        <w:tc>
          <w:tcPr>
            <w:tcW w:w="1906"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导线、线槽检查</w:t>
            </w:r>
          </w:p>
        </w:tc>
        <w:tc>
          <w:tcPr>
            <w:tcW w:w="4835" w:type="dxa"/>
            <w:noWrap w:val="0"/>
            <w:vAlign w:val="center"/>
          </w:tcPr>
          <w:p>
            <w:pPr>
              <w:numPr>
                <w:ilvl w:val="0"/>
                <w:numId w:val="33"/>
              </w:numPr>
              <w:ind w:left="360" w:hanging="360" w:firstLineChars="0"/>
              <w:rPr>
                <w:rFonts w:ascii="宋体" w:hAnsi="宋体" w:eastAsia="宋体" w:cs="Times New Roman"/>
                <w:szCs w:val="21"/>
              </w:rPr>
            </w:pPr>
            <w:r>
              <w:rPr>
                <w:rFonts w:hint="eastAsia" w:ascii="宋体" w:hAnsi="宋体" w:eastAsia="宋体" w:cs="Times New Roman"/>
                <w:szCs w:val="21"/>
              </w:rPr>
              <w:t>导线、线槽的敷设整齐牢靠，线槽内导线总面积不应大与线槽面积的60%；导管内导体总面积不应大于导管内净面积40%；软管固定间距不应大于1 m，端头固定间距不应大于0.1 m。</w:t>
            </w:r>
          </w:p>
          <w:p>
            <w:pPr>
              <w:numPr>
                <w:ilvl w:val="0"/>
                <w:numId w:val="33"/>
              </w:numPr>
              <w:ind w:left="360" w:hanging="360" w:firstLineChars="0"/>
              <w:rPr>
                <w:rFonts w:hint="eastAsia" w:ascii="宋体" w:hAnsi="宋体" w:eastAsia="宋体" w:cs="Times New Roman"/>
                <w:szCs w:val="21"/>
              </w:rPr>
            </w:pPr>
            <w:r>
              <w:rPr>
                <w:rFonts w:hint="eastAsia" w:ascii="宋体" w:hAnsi="宋体" w:eastAsia="宋体" w:cs="Times New Roman"/>
                <w:szCs w:val="21"/>
              </w:rPr>
              <w:t>金属管、柔性管和金属线槽应可靠接地，不应作为设备的接地线。</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676" w:type="dxa"/>
            <w:noWrap w:val="0"/>
            <w:vAlign w:val="top"/>
          </w:tcPr>
          <w:p>
            <w:pPr>
              <w:ind w:firstLine="0" w:firstLineChars="0"/>
              <w:jc w:val="center"/>
              <w:rPr>
                <w:rFonts w:hint="eastAsia" w:ascii="宋体" w:hAnsi="宋体" w:eastAsia="宋体" w:cs="Times New Roman"/>
                <w:szCs w:val="21"/>
              </w:rPr>
            </w:pPr>
            <w:r>
              <w:rPr>
                <w:rFonts w:ascii="宋体" w:hAnsi="宋体" w:eastAsia="宋体" w:cs="Times New Roman"/>
                <w:szCs w:val="21"/>
              </w:rPr>
              <w:t>12</w:t>
            </w:r>
          </w:p>
        </w:tc>
        <w:tc>
          <w:tcPr>
            <w:tcW w:w="1906"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电</w:t>
            </w:r>
            <w:r>
              <w:rPr>
                <w:rFonts w:ascii="宋体" w:hAnsi="宋体" w:eastAsia="宋体" w:cs="Times New Roman"/>
                <w:szCs w:val="21"/>
              </w:rPr>
              <w:t>缆和电缆沟</w:t>
            </w:r>
          </w:p>
        </w:tc>
        <w:tc>
          <w:tcPr>
            <w:tcW w:w="4835" w:type="dxa"/>
            <w:noWrap w:val="0"/>
            <w:vAlign w:val="center"/>
          </w:tcPr>
          <w:p>
            <w:pPr>
              <w:numPr>
                <w:ilvl w:val="0"/>
                <w:numId w:val="34"/>
              </w:numPr>
              <w:ind w:left="360" w:hanging="360" w:firstLineChars="0"/>
              <w:rPr>
                <w:rFonts w:ascii="宋体" w:hAnsi="宋体" w:eastAsia="宋体" w:cs="Times New Roman"/>
                <w:szCs w:val="21"/>
              </w:rPr>
            </w:pPr>
            <w:r>
              <w:rPr>
                <w:rFonts w:hint="eastAsia" w:ascii="宋体" w:hAnsi="宋体" w:eastAsia="宋体" w:cs="Times New Roman"/>
                <w:szCs w:val="21"/>
              </w:rPr>
              <w:t>电缆进入电缆沟、隧道、竖井、建筑物、盘（柜）以及穿入管子时，出入口应封闭，管口应密封。</w:t>
            </w:r>
          </w:p>
          <w:p>
            <w:pPr>
              <w:numPr>
                <w:ilvl w:val="0"/>
                <w:numId w:val="34"/>
              </w:numPr>
              <w:ind w:left="360" w:hanging="360" w:firstLineChars="0"/>
              <w:rPr>
                <w:rFonts w:ascii="宋体" w:hAnsi="宋体" w:eastAsia="宋体" w:cs="Times New Roman"/>
                <w:szCs w:val="21"/>
              </w:rPr>
            </w:pPr>
            <w:r>
              <w:rPr>
                <w:rFonts w:hint="eastAsia" w:ascii="宋体" w:hAnsi="宋体" w:eastAsia="宋体" w:cs="Times New Roman"/>
                <w:szCs w:val="21"/>
              </w:rPr>
              <w:t>电缆沟内应无杂物，盖板齐全，沟内无积水、渗水现象，电缆沟的盖板应采用不燃材料制作。</w:t>
            </w:r>
          </w:p>
          <w:p>
            <w:pPr>
              <w:numPr>
                <w:ilvl w:val="0"/>
                <w:numId w:val="34"/>
              </w:numPr>
              <w:ind w:left="360" w:hanging="360" w:firstLineChars="0"/>
              <w:rPr>
                <w:rFonts w:hint="eastAsia" w:ascii="宋体" w:hAnsi="宋体" w:eastAsia="宋体" w:cs="Times New Roman"/>
                <w:szCs w:val="21"/>
              </w:rPr>
            </w:pPr>
            <w:r>
              <w:rPr>
                <w:rFonts w:hint="eastAsia" w:ascii="宋体" w:hAnsi="宋体" w:eastAsia="宋体" w:cs="Times New Roman"/>
                <w:szCs w:val="21"/>
              </w:rPr>
              <w:t>导线连接应可靠，接触良好，导线接点、接线端子不应有打火放电现象。</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6" w:type="dxa"/>
            <w:noWrap w:val="0"/>
            <w:vAlign w:val="top"/>
          </w:tcPr>
          <w:p>
            <w:pPr>
              <w:ind w:firstLine="0" w:firstLineChars="0"/>
              <w:jc w:val="center"/>
              <w:rPr>
                <w:rFonts w:hint="eastAsia" w:ascii="宋体" w:hAnsi="宋体" w:eastAsia="宋体" w:cs="Times New Roman"/>
                <w:szCs w:val="21"/>
              </w:rPr>
            </w:pPr>
            <w:r>
              <w:rPr>
                <w:rFonts w:hint="eastAsia" w:ascii="宋体" w:hAnsi="宋体" w:eastAsia="宋体" w:cs="Times New Roman"/>
                <w:szCs w:val="21"/>
              </w:rPr>
              <w:t>13</w:t>
            </w:r>
          </w:p>
        </w:tc>
        <w:tc>
          <w:tcPr>
            <w:tcW w:w="1906"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室</w:t>
            </w:r>
            <w:r>
              <w:rPr>
                <w:rFonts w:ascii="宋体" w:hAnsi="宋体" w:eastAsia="宋体" w:cs="Times New Roman"/>
                <w:szCs w:val="21"/>
              </w:rPr>
              <w:t>内检查</w:t>
            </w:r>
          </w:p>
        </w:tc>
        <w:tc>
          <w:tcPr>
            <w:tcW w:w="4835" w:type="dxa"/>
            <w:noWrap w:val="0"/>
            <w:vAlign w:val="center"/>
          </w:tcPr>
          <w:p>
            <w:pPr>
              <w:ind w:firstLine="0" w:firstLineChars="0"/>
              <w:rPr>
                <w:rFonts w:hint="eastAsia" w:ascii="宋体" w:hAnsi="宋体" w:eastAsia="宋体" w:cs="Times New Roman"/>
                <w:szCs w:val="21"/>
              </w:rPr>
            </w:pPr>
            <w:r>
              <w:rPr>
                <w:rFonts w:hint="eastAsia" w:ascii="宋体" w:hAnsi="宋体" w:eastAsia="宋体" w:cs="Times New Roman"/>
                <w:szCs w:val="21"/>
              </w:rPr>
              <w:t>封闭式母线、电缆桥架等在穿过楼板和防火区时，应采用防火隔热板或防火堵料隔离。</w:t>
            </w:r>
          </w:p>
        </w:tc>
        <w:tc>
          <w:tcPr>
            <w:tcW w:w="888" w:type="dxa"/>
            <w:noWrap w:val="0"/>
            <w:vAlign w:val="center"/>
          </w:tcPr>
          <w:p>
            <w:pPr>
              <w:ind w:firstLine="0" w:firstLineChars="0"/>
              <w:rPr>
                <w:rFonts w:hint="eastAsia" w:ascii="宋体" w:hAnsi="宋体" w:eastAsia="宋体" w:cs="Times New Roman"/>
                <w:color w:val="000000"/>
                <w:szCs w:val="21"/>
              </w:rPr>
            </w:pPr>
          </w:p>
        </w:tc>
        <w:tc>
          <w:tcPr>
            <w:tcW w:w="889" w:type="dxa"/>
            <w:noWrap w:val="0"/>
            <w:vAlign w:val="center"/>
          </w:tcPr>
          <w:p>
            <w:pPr>
              <w:ind w:firstLine="0" w:firstLineChars="0"/>
              <w:rPr>
                <w:rFonts w:hint="eastAsia" w:ascii="宋体" w:hAnsi="宋体" w:eastAsia="宋体" w:cs="Times New Roman"/>
                <w:color w:val="000000"/>
                <w:szCs w:val="21"/>
              </w:rPr>
            </w:pPr>
          </w:p>
        </w:tc>
      </w:tr>
    </w:tbl>
    <w:p>
      <w:pPr>
        <w:spacing w:line="360" w:lineRule="auto"/>
        <w:ind w:right="-1226" w:rightChars="-584" w:firstLine="630" w:firstLineChars="300"/>
        <w:rPr>
          <w:rFonts w:hint="eastAsia" w:ascii="Times New Roman" w:hAnsi="Times New Roman" w:eastAsia="宋体" w:cs="Times New Roman"/>
          <w:bCs/>
          <w:sz w:val="24"/>
        </w:rPr>
      </w:pPr>
      <w:r>
        <w:rPr>
          <w:rFonts w:hint="eastAsia" w:ascii="宋体" w:hAnsi="宋体" w:eastAsia="宋体" w:cs="Times New Roman"/>
          <w:color w:val="000000"/>
          <w:szCs w:val="21"/>
        </w:rPr>
        <w:t>检查人：                              日期：</w:t>
      </w:r>
    </w:p>
    <w:p>
      <w:pPr>
        <w:ind w:firstLine="0" w:firstLineChars="0"/>
        <w:rPr>
          <w:rFonts w:hint="eastAsia" w:ascii="Times New Roman" w:hAnsi="Times New Roman" w:eastAsia="宋体" w:cs="Times New Roman"/>
          <w:bCs/>
          <w:sz w:val="24"/>
        </w:rPr>
      </w:pPr>
      <w:r>
        <w:rPr>
          <w:rFonts w:ascii="Times New Roman" w:hAnsi="Times New Roman" w:eastAsia="宋体" w:cs="Times New Roman"/>
          <w:bCs/>
          <w:sz w:val="24"/>
        </w:rPr>
        <w:t>填写要求：</w:t>
      </w:r>
    </w:p>
    <w:p>
      <w:pPr>
        <w:ind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1、</w:t>
      </w:r>
      <w:r>
        <w:rPr>
          <w:rFonts w:ascii="Times New Roman" w:hAnsi="Times New Roman" w:eastAsia="宋体" w:cs="Times New Roman"/>
          <w:bCs/>
          <w:sz w:val="24"/>
        </w:rPr>
        <w:t>执行结果:√代表正常、O代表异常、X代表无需执行，异常时必须填写备注；</w:t>
      </w:r>
    </w:p>
    <w:p>
      <w:pPr>
        <w:ind w:left="360" w:hanging="360" w:hangingChars="150"/>
        <w:rPr>
          <w:rFonts w:ascii="仿宋" w:hAnsi="仿宋" w:eastAsia="仿宋" w:cs="仿宋"/>
          <w:sz w:val="28"/>
          <w:szCs w:val="28"/>
        </w:rPr>
      </w:pPr>
      <w:r>
        <w:rPr>
          <w:rFonts w:hint="eastAsia" w:ascii="Times New Roman" w:hAnsi="Times New Roman" w:eastAsia="宋体" w:cs="Times New Roman"/>
          <w:bCs/>
          <w:sz w:val="24"/>
        </w:rPr>
        <w:t>2、工作负责人及</w:t>
      </w:r>
      <w:r>
        <w:rPr>
          <w:rFonts w:ascii="Times New Roman" w:hAnsi="Times New Roman" w:eastAsia="宋体" w:cs="Times New Roman"/>
          <w:bCs/>
          <w:sz w:val="24"/>
        </w:rPr>
        <w:t>以上人员负责审核，并填写审核意见；审核意见包括：执行结果是否正常及异常情况的处理意见。</w:t>
      </w:r>
    </w:p>
    <w:p>
      <w:pPr>
        <w:pStyle w:val="11"/>
        <w:rPr>
          <w:rFonts w:ascii="宋体" w:cs="宋体"/>
          <w:szCs w:val="21"/>
        </w:rPr>
      </w:pPr>
    </w:p>
    <w:p>
      <w:pPr>
        <w:pStyle w:val="2"/>
        <w:ind w:left="0" w:leftChars="0" w:firstLine="0" w:firstLineChars="0"/>
      </w:pPr>
    </w:p>
    <w:p/>
    <w:p/>
    <w:p>
      <w:pPr>
        <w:spacing w:before="312" w:beforeLines="100" w:after="312" w:afterLines="100" w:line="360" w:lineRule="auto"/>
        <w:jc w:val="center"/>
        <w:outlineLvl w:val="0"/>
        <w:rPr>
          <w:rFonts w:ascii="仿宋" w:hAnsi="仿宋" w:eastAsia="仿宋"/>
          <w:sz w:val="32"/>
          <w:szCs w:val="32"/>
        </w:rPr>
      </w:pPr>
      <w:bookmarkStart w:id="56" w:name="_Toc116550359"/>
      <w:r>
        <w:rPr>
          <w:rFonts w:hint="eastAsia"/>
          <w:b/>
          <w:sz w:val="32"/>
          <w:szCs w:val="32"/>
        </w:rPr>
        <w:t>第五部分：参考附件</w:t>
      </w:r>
      <w:bookmarkEnd w:id="56"/>
    </w:p>
    <w:p>
      <w:pPr>
        <w:spacing w:line="0" w:lineRule="atLeast"/>
        <w:outlineLvl w:val="1"/>
        <w:rPr>
          <w:rFonts w:ascii="宋体" w:hAnsi="宋体"/>
        </w:rPr>
      </w:pPr>
      <w:bookmarkStart w:id="57" w:name="_Toc116550360"/>
      <w:r>
        <w:rPr>
          <w:rFonts w:hint="eastAsia" w:ascii="宋体" w:hAnsi="宋体"/>
          <w:szCs w:val="21"/>
        </w:rPr>
        <w:t>附件1：</w:t>
      </w:r>
      <w:r>
        <w:rPr>
          <w:rFonts w:hint="eastAsia" w:ascii="宋体" w:hAnsi="宋体"/>
        </w:rPr>
        <w:t>报名回函</w:t>
      </w:r>
      <w:bookmarkEnd w:id="57"/>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58" w:name="_Toc116550361"/>
      <w:r>
        <w:rPr>
          <w:rFonts w:hint="eastAsia" w:ascii="宋体" w:hAnsi="宋体"/>
          <w:szCs w:val="21"/>
        </w:rPr>
        <w:t>附件2：投标函</w:t>
      </w:r>
      <w:bookmarkEnd w:id="58"/>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9" w:name="_Toc116550362"/>
      <w:r>
        <w:rPr>
          <w:rFonts w:hint="eastAsia" w:ascii="宋体" w:hAnsi="宋体"/>
          <w:szCs w:val="21"/>
        </w:rPr>
        <w:t>附件3：投标一览表</w:t>
      </w:r>
      <w:bookmarkEnd w:id="59"/>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0"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0"/>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1" w:name="_Toc116550363"/>
      <w:r>
        <w:rPr>
          <w:rFonts w:hint="eastAsia" w:ascii="宋体" w:hAnsi="宋体"/>
          <w:szCs w:val="21"/>
        </w:rPr>
        <w:t>附件4：考察证明</w:t>
      </w:r>
      <w:bookmarkEnd w:id="61"/>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2"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3"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3"/>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2"/>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4" w:name="_Toc116550364"/>
      <w:r>
        <w:rPr>
          <w:rFonts w:hint="eastAsia" w:ascii="宋体" w:hAnsi="宋体"/>
          <w:szCs w:val="21"/>
        </w:rPr>
        <w:t>附件5：技术服务响应/偏离表</w:t>
      </w:r>
      <w:bookmarkEnd w:id="6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5" w:name="_Toc211248418"/>
      <w:r>
        <w:rPr>
          <w:rFonts w:hint="eastAsia" w:ascii="方正小标宋_GBK" w:hAnsi="方正小标宋_GBK" w:eastAsia="方正小标宋_GBK"/>
          <w:b/>
          <w:sz w:val="32"/>
          <w:szCs w:val="32"/>
        </w:rPr>
        <w:t>技术服务响应/偏离表</w:t>
      </w:r>
      <w:bookmarkEnd w:id="65"/>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6"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6"/>
      <w:bookmarkStart w:id="67" w:name="_Toc246480945"/>
      <w:bookmarkStart w:id="68" w:name="_Toc236803114"/>
      <w:r>
        <w:rPr>
          <w:rFonts w:ascii="仿宋" w:hAnsi="仿宋" w:eastAsia="仿宋"/>
          <w:sz w:val="28"/>
          <w:szCs w:val="28"/>
        </w:rPr>
        <w:br w:type="page"/>
      </w:r>
    </w:p>
    <w:p>
      <w:pPr>
        <w:spacing w:line="0" w:lineRule="atLeast"/>
        <w:outlineLvl w:val="1"/>
        <w:rPr>
          <w:rFonts w:ascii="宋体" w:hAnsi="宋体"/>
          <w:szCs w:val="21"/>
        </w:rPr>
      </w:pPr>
      <w:bookmarkStart w:id="69" w:name="_Toc116550365"/>
      <w:r>
        <w:rPr>
          <w:rFonts w:hint="eastAsia" w:ascii="宋体" w:hAnsi="宋体"/>
          <w:szCs w:val="21"/>
        </w:rPr>
        <w:t>附件6：商务条款响应/偏离表</w:t>
      </w:r>
      <w:bookmarkEnd w:id="67"/>
      <w:bookmarkEnd w:id="68"/>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20"/>
      <w:r>
        <w:rPr>
          <w:rFonts w:hint="eastAsia" w:ascii="方正小标宋_GBK" w:hAnsi="方正小标宋_GBK" w:eastAsia="方正小标宋_GBK"/>
          <w:b/>
          <w:sz w:val="32"/>
          <w:szCs w:val="32"/>
        </w:rPr>
        <w:t>商务条款响应/偏离表</w:t>
      </w:r>
      <w:bookmarkEnd w:id="70"/>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1" w:name="_Toc395883088"/>
      <w:bookmarkStart w:id="72" w:name="_Toc236803111"/>
      <w:bookmarkStart w:id="73" w:name="_Toc478387764"/>
      <w:r>
        <w:rPr>
          <w:rFonts w:ascii="仿宋" w:hAnsi="仿宋" w:eastAsia="仿宋"/>
          <w:sz w:val="28"/>
          <w:szCs w:val="28"/>
        </w:rPr>
        <w:br w:type="page"/>
      </w:r>
    </w:p>
    <w:p>
      <w:pPr>
        <w:spacing w:line="0" w:lineRule="atLeast"/>
        <w:outlineLvl w:val="1"/>
        <w:rPr>
          <w:rFonts w:ascii="宋体" w:hAnsi="宋体"/>
          <w:szCs w:val="21"/>
        </w:rPr>
      </w:pPr>
      <w:bookmarkStart w:id="74" w:name="_Toc116550366"/>
      <w:r>
        <w:rPr>
          <w:rFonts w:hint="eastAsia" w:ascii="宋体" w:hAnsi="宋体"/>
          <w:szCs w:val="21"/>
        </w:rPr>
        <w:t>附件7：报价一览表（货物）</w:t>
      </w:r>
      <w:r>
        <w:rPr>
          <w:rFonts w:hint="eastAsia" w:ascii="宋体" w:hAnsi="宋体"/>
          <w:color w:val="FF0000"/>
          <w:szCs w:val="21"/>
        </w:rPr>
        <w:t>（本项目不适用）</w:t>
      </w:r>
      <w:bookmarkEnd w:id="74"/>
    </w:p>
    <w:bookmarkEnd w:id="71"/>
    <w:bookmarkEnd w:id="72"/>
    <w:bookmarkEnd w:id="73"/>
    <w:p>
      <w:pPr>
        <w:spacing w:before="120" w:after="240"/>
        <w:jc w:val="center"/>
        <w:rPr>
          <w:rFonts w:ascii="宋体" w:hAnsi="宋体"/>
          <w:b/>
          <w:sz w:val="32"/>
          <w:szCs w:val="32"/>
        </w:rPr>
      </w:pPr>
      <w:bookmarkStart w:id="75" w:name="_Toc211248412"/>
      <w:r>
        <w:rPr>
          <w:rFonts w:hint="eastAsia" w:ascii="方正小标宋_GBK" w:hAnsi="方正小标宋_GBK" w:eastAsia="方正小标宋_GBK"/>
          <w:b/>
          <w:sz w:val="32"/>
          <w:szCs w:val="32"/>
        </w:rPr>
        <w:t>报价一览表</w:t>
      </w:r>
      <w:bookmarkEnd w:id="75"/>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3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6" w:name="_Toc82359026"/>
      <w:bookmarkStart w:id="77"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76"/>
    <w:bookmarkEnd w:id="77"/>
    <w:p>
      <w:pPr>
        <w:spacing w:line="0" w:lineRule="atLeast"/>
        <w:outlineLvl w:val="1"/>
        <w:rPr>
          <w:rFonts w:ascii="宋体" w:hAnsi="宋体"/>
          <w:szCs w:val="21"/>
        </w:rPr>
      </w:pPr>
      <w:bookmarkStart w:id="78" w:name="_Toc116550367"/>
      <w:r>
        <w:rPr>
          <w:rFonts w:hint="eastAsia" w:ascii="宋体" w:hAnsi="宋体"/>
          <w:szCs w:val="21"/>
        </w:rPr>
        <w:t>附件8：报价一览表（服务）</w:t>
      </w:r>
      <w:r>
        <w:rPr>
          <w:rFonts w:hint="eastAsia" w:ascii="宋体" w:hAnsi="宋体"/>
          <w:color w:val="FF0000"/>
          <w:szCs w:val="21"/>
        </w:rPr>
        <w:t>（本项目不适用）</w:t>
      </w:r>
      <w:bookmarkEnd w:id="78"/>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9" w:name="_Toc116550368"/>
      <w:r>
        <w:rPr>
          <w:rFonts w:hint="eastAsia" w:ascii="宋体" w:hAnsi="宋体"/>
          <w:szCs w:val="21"/>
        </w:rPr>
        <w:t>附件9：报价一览表（工程）</w:t>
      </w:r>
      <w:bookmarkEnd w:id="79"/>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3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3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0" w:name="_Toc116550369"/>
      <w:r>
        <w:rPr>
          <w:rFonts w:hint="eastAsia" w:ascii="宋体" w:hAnsi="宋体"/>
          <w:szCs w:val="21"/>
        </w:rPr>
        <w:t>附件10：法定代表人证明书</w:t>
      </w:r>
      <w:bookmarkEnd w:id="8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1"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1"/>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544830</wp:posOffset>
                </wp:positionV>
                <wp:extent cx="2555875" cy="1609725"/>
                <wp:effectExtent l="4445" t="4445" r="11430" b="508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lang w:val="en-US" w:eastAsia="zh-CN"/>
                              </w:rPr>
                              <w:t>法人委托代理人</w:t>
                            </w:r>
                            <w:r>
                              <w:rPr>
                                <w:rFonts w:hint="eastAsia"/>
                              </w:rPr>
                              <w:t>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42.9pt;height:126.75pt;width:201.25pt;z-index:251661312;mso-width-relative:page;mso-height-relative:page;" fillcolor="#FFFFFF" filled="t" stroked="t" coordsize="21600,21600" o:gfxdata="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no4x2QAAAAoBAAAPAAAA&#10;AAAAAAEAIAAAACIAAABkcnMvZG93bnJldi54bWxQSwECFAAUAAAACACHTuJAq4TVABQCAAA5BAAA&#10;DgAAAAAAAAABACAAAAAoAQAAZHJzL2Uyb0RvYy54bWxQSwUGAAAAAAYABgBZAQAArgUAAAAA&#10;">
                <v:fill on="t" focussize="0,0"/>
                <v:stroke color="#000000" miterlimit="8" joinstyle="miter"/>
                <v:imagedata o:title=""/>
                <o:lock v:ext="edit" aspectratio="f"/>
                <v:textbox>
                  <w:txbxContent>
                    <w:p>
                      <w:r>
                        <w:rPr>
                          <w:rFonts w:hint="eastAsia"/>
                          <w:lang w:val="en-US" w:eastAsia="zh-CN"/>
                        </w:rPr>
                        <w:t>法人委托代理人</w:t>
                      </w:r>
                      <w:r>
                        <w:rPr>
                          <w:rFonts w:hint="eastAsia"/>
                        </w:rPr>
                        <w:t>身份证</w:t>
                      </w:r>
                      <w:r>
                        <w:t>复印件</w:t>
                      </w:r>
                      <w:r>
                        <w:rPr>
                          <w:rFonts w:hint="eastAsia"/>
                        </w:rPr>
                        <w:t>（反面）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2642870</wp:posOffset>
                </wp:positionH>
                <wp:positionV relativeFrom="paragraph">
                  <wp:posOffset>553720</wp:posOffset>
                </wp:positionV>
                <wp:extent cx="2517775" cy="1609725"/>
                <wp:effectExtent l="4445" t="4445" r="11430" b="508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08.1pt;margin-top:43.6pt;height:126.75pt;width:198.25pt;z-index:251662336;mso-width-relative:page;mso-height-relative:page;" fillcolor="#FFFFFF" filled="t" stroked="t" coordsize="21600,21600" o:gfxdata="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w8Yi2QAAAAoBAAAPAAAA&#10;AAAAAAEAIAAAACIAAABkcnMvZG93bnJldi54bWxQSwECFAAUAAAACACHTuJAgvjciBQCAAA5BAAA&#10;DgAAAAAAAAABACAAAAAoAQAAZHJzL2Uyb0RvYy54bWxQSwUGAAAAAAYABgBZAQAArgUAAAAA&#10;">
                <v:fill on="t" focussize="0,0"/>
                <v:stroke color="#000000" miterlimit="8" joinstyle="miter"/>
                <v:imagedata o:title=""/>
                <o:lock v:ext="edit" aspectratio="f"/>
                <v:textbo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v:textbox>
              </v:shape>
            </w:pict>
          </mc:Fallback>
        </mc:AlternateContent>
      </w:r>
    </w:p>
    <w:p>
      <w:pPr>
        <w:spacing w:line="0" w:lineRule="atLeast"/>
        <w:outlineLvl w:val="1"/>
        <w:rPr>
          <w:rFonts w:ascii="宋体" w:hAnsi="宋体"/>
          <w:szCs w:val="21"/>
        </w:rPr>
      </w:pPr>
      <w:bookmarkStart w:id="82"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2"/>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3"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3"/>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4" w:name="_Toc32341"/>
      <w:r>
        <w:rPr>
          <w:rFonts w:ascii="仿宋" w:hAnsi="仿宋" w:eastAsia="仿宋"/>
          <w:sz w:val="28"/>
          <w:szCs w:val="28"/>
        </w:rPr>
        <w:br w:type="page"/>
      </w:r>
    </w:p>
    <w:p>
      <w:pPr>
        <w:spacing w:line="0" w:lineRule="atLeast"/>
        <w:outlineLvl w:val="1"/>
        <w:rPr>
          <w:rFonts w:ascii="宋体" w:hAnsi="宋体"/>
          <w:szCs w:val="21"/>
        </w:rPr>
      </w:pPr>
      <w:bookmarkStart w:id="85"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4"/>
      <w:bookmarkEnd w:id="85"/>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86" w:name="_Toc100848654"/>
      <w:bookmarkStart w:id="87" w:name="_Toc116550374"/>
      <w:r>
        <w:rPr>
          <w:rFonts w:hint="eastAsia" w:ascii="宋体" w:hAnsi="宋体"/>
        </w:rPr>
        <w:t>附件15：投标文件密码</w:t>
      </w:r>
      <w:bookmarkEnd w:id="86"/>
      <w:r>
        <w:rPr>
          <w:rFonts w:hint="eastAsia" w:ascii="宋体" w:hAnsi="宋体"/>
        </w:rPr>
        <w:t>单</w:t>
      </w:r>
      <w:bookmarkEnd w:id="87"/>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8"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8"/>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45"/>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1"/>
        <w:numPr>
          <w:ilvl w:val="0"/>
          <w:numId w:val="45"/>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64" w:rightChars="-364"/>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E3AAC"/>
    <w:multiLevelType w:val="singleLevel"/>
    <w:tmpl w:val="8F7E3AAC"/>
    <w:lvl w:ilvl="0" w:tentative="0">
      <w:start w:val="1"/>
      <w:numFmt w:val="decimal"/>
      <w:suff w:val="nothing"/>
      <w:lvlText w:val="%1、"/>
      <w:lvlJc w:val="left"/>
    </w:lvl>
  </w:abstractNum>
  <w:abstractNum w:abstractNumId="1">
    <w:nsid w:val="94500E31"/>
    <w:multiLevelType w:val="singleLevel"/>
    <w:tmpl w:val="94500E31"/>
    <w:lvl w:ilvl="0" w:tentative="0">
      <w:start w:val="1"/>
      <w:numFmt w:val="decimal"/>
      <w:lvlText w:val="(%1)"/>
      <w:lvlJc w:val="left"/>
      <w:pPr>
        <w:ind w:left="425" w:hanging="425"/>
      </w:pPr>
      <w:rPr>
        <w:rFonts w:hint="default"/>
      </w:rPr>
    </w:lvl>
  </w:abstractNum>
  <w:abstractNum w:abstractNumId="2">
    <w:nsid w:val="A2281775"/>
    <w:multiLevelType w:val="singleLevel"/>
    <w:tmpl w:val="A2281775"/>
    <w:lvl w:ilvl="0" w:tentative="0">
      <w:start w:val="1"/>
      <w:numFmt w:val="decimal"/>
      <w:suff w:val="space"/>
      <w:lvlText w:val="%1."/>
      <w:lvlJc w:val="left"/>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AA5A57F"/>
    <w:multiLevelType w:val="singleLevel"/>
    <w:tmpl w:val="DAA5A57F"/>
    <w:lvl w:ilvl="0" w:tentative="0">
      <w:start w:val="1"/>
      <w:numFmt w:val="decimal"/>
      <w:suff w:val="space"/>
      <w:lvlText w:val="%1."/>
      <w:lvlJc w:val="left"/>
    </w:lvl>
  </w:abstractNum>
  <w:abstractNum w:abstractNumId="5">
    <w:nsid w:val="DC1F128D"/>
    <w:multiLevelType w:val="singleLevel"/>
    <w:tmpl w:val="DC1F128D"/>
    <w:lvl w:ilvl="0" w:tentative="0">
      <w:start w:val="1"/>
      <w:numFmt w:val="decimal"/>
      <w:lvlText w:val="(%1)"/>
      <w:lvlJc w:val="left"/>
      <w:pPr>
        <w:ind w:left="425" w:hanging="425"/>
      </w:pPr>
      <w:rPr>
        <w:rFonts w:hint="default"/>
      </w:rPr>
    </w:lvl>
  </w:abstractNum>
  <w:abstractNum w:abstractNumId="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singleLevel"/>
    <w:tmpl w:val="00000013"/>
    <w:lvl w:ilvl="0" w:tentative="0">
      <w:start w:val="1"/>
      <w:numFmt w:val="decimal"/>
      <w:lvlText w:val="%1."/>
      <w:lvlJc w:val="left"/>
      <w:pPr>
        <w:ind w:left="420" w:hanging="420"/>
      </w:pPr>
    </w:lvl>
  </w:abstractNum>
  <w:abstractNum w:abstractNumId="10">
    <w:nsid w:val="05DA2F3F"/>
    <w:multiLevelType w:val="multilevel"/>
    <w:tmpl w:val="05DA2F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C17757E"/>
    <w:multiLevelType w:val="multilevel"/>
    <w:tmpl w:val="0C17757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5517AC"/>
    <w:multiLevelType w:val="singleLevel"/>
    <w:tmpl w:val="135517AC"/>
    <w:lvl w:ilvl="0" w:tentative="0">
      <w:start w:val="1"/>
      <w:numFmt w:val="decimal"/>
      <w:lvlText w:val="(%1)"/>
      <w:lvlJc w:val="left"/>
      <w:pPr>
        <w:ind w:left="425" w:hanging="425"/>
      </w:pPr>
      <w:rPr>
        <w:rFonts w:hint="default"/>
      </w:rPr>
    </w:lvl>
  </w:abstractNum>
  <w:abstractNum w:abstractNumId="13">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F2932E0"/>
    <w:multiLevelType w:val="singleLevel"/>
    <w:tmpl w:val="1F2932E0"/>
    <w:lvl w:ilvl="0" w:tentative="0">
      <w:start w:val="1"/>
      <w:numFmt w:val="decimal"/>
      <w:lvlText w:val="(%1)"/>
      <w:lvlJc w:val="left"/>
      <w:pPr>
        <w:ind w:left="425" w:hanging="425"/>
      </w:pPr>
      <w:rPr>
        <w:rFonts w:hint="default"/>
      </w:rPr>
    </w:lvl>
  </w:abstractNum>
  <w:abstractNum w:abstractNumId="17">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305886"/>
    <w:multiLevelType w:val="singleLevel"/>
    <w:tmpl w:val="21305886"/>
    <w:lvl w:ilvl="0" w:tentative="0">
      <w:start w:val="1"/>
      <w:numFmt w:val="decimal"/>
      <w:lvlText w:val="（%1）"/>
      <w:lvlJc w:val="left"/>
      <w:pPr>
        <w:ind w:left="420" w:hanging="420"/>
      </w:pPr>
      <w:rPr>
        <w:rFonts w:hint="eastAsia"/>
      </w:rPr>
    </w:lvl>
  </w:abstractNum>
  <w:abstractNum w:abstractNumId="19">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DC902DF"/>
    <w:multiLevelType w:val="multilevel"/>
    <w:tmpl w:val="3DC902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472D6470"/>
    <w:multiLevelType w:val="singleLevel"/>
    <w:tmpl w:val="472D6470"/>
    <w:lvl w:ilvl="0" w:tentative="0">
      <w:start w:val="1"/>
      <w:numFmt w:val="decimal"/>
      <w:lvlText w:val="%1."/>
      <w:lvlJc w:val="left"/>
      <w:pPr>
        <w:ind w:left="425" w:hanging="425"/>
      </w:pPr>
      <w:rPr>
        <w:rFonts w:hint="default"/>
      </w:rPr>
    </w:lvl>
  </w:abstractNum>
  <w:abstractNum w:abstractNumId="28">
    <w:nsid w:val="47FD6727"/>
    <w:multiLevelType w:val="multilevel"/>
    <w:tmpl w:val="47FD6727"/>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1851586"/>
    <w:multiLevelType w:val="singleLevel"/>
    <w:tmpl w:val="51851586"/>
    <w:lvl w:ilvl="0" w:tentative="0">
      <w:start w:val="1"/>
      <w:numFmt w:val="decimal"/>
      <w:lvlText w:val="（%1）"/>
      <w:lvlJc w:val="left"/>
      <w:pPr>
        <w:ind w:left="420" w:hanging="420"/>
      </w:pPr>
      <w:rPr>
        <w:rFonts w:hint="eastAsia"/>
      </w:rPr>
    </w:lvl>
  </w:abstractNum>
  <w:abstractNum w:abstractNumId="31">
    <w:nsid w:val="54155AAB"/>
    <w:multiLevelType w:val="singleLevel"/>
    <w:tmpl w:val="54155AAB"/>
    <w:lvl w:ilvl="0" w:tentative="0">
      <w:start w:val="1"/>
      <w:numFmt w:val="decimal"/>
      <w:lvlText w:val="(%1)"/>
      <w:lvlJc w:val="left"/>
      <w:pPr>
        <w:ind w:left="425" w:hanging="425"/>
      </w:pPr>
      <w:rPr>
        <w:rFonts w:hint="default"/>
      </w:rPr>
    </w:lvl>
  </w:abstractNum>
  <w:abstractNum w:abstractNumId="3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7465B25"/>
    <w:multiLevelType w:val="multilevel"/>
    <w:tmpl w:val="57465B25"/>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10B3C71"/>
    <w:multiLevelType w:val="multilevel"/>
    <w:tmpl w:val="610B3C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7D40062"/>
    <w:multiLevelType w:val="multilevel"/>
    <w:tmpl w:val="67D40062"/>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0">
    <w:nsid w:val="6FE16CAD"/>
    <w:multiLevelType w:val="multilevel"/>
    <w:tmpl w:val="6FE16C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36125D0"/>
    <w:multiLevelType w:val="multilevel"/>
    <w:tmpl w:val="736125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89A0917"/>
    <w:multiLevelType w:val="multilevel"/>
    <w:tmpl w:val="789A09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ED17433"/>
    <w:multiLevelType w:val="singleLevel"/>
    <w:tmpl w:val="7ED17433"/>
    <w:lvl w:ilvl="0" w:tentative="0">
      <w:start w:val="1"/>
      <w:numFmt w:val="decimal"/>
      <w:lvlText w:val="（%1）"/>
      <w:lvlJc w:val="left"/>
      <w:pPr>
        <w:ind w:left="420" w:hanging="420"/>
      </w:pPr>
      <w:rPr>
        <w:rFonts w:hint="eastAsia"/>
      </w:rPr>
    </w:lvl>
  </w:abstractNum>
  <w:num w:numId="1">
    <w:abstractNumId w:val="33"/>
  </w:num>
  <w:num w:numId="2">
    <w:abstractNumId w:val="39"/>
  </w:num>
  <w:num w:numId="3">
    <w:abstractNumId w:val="23"/>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24"/>
  </w:num>
  <w:num w:numId="9">
    <w:abstractNumId w:val="13"/>
  </w:num>
  <w:num w:numId="10">
    <w:abstractNumId w:val="43"/>
  </w:num>
  <w:num w:numId="11">
    <w:abstractNumId w:val="18"/>
  </w:num>
  <w:num w:numId="12">
    <w:abstractNumId w:val="0"/>
  </w:num>
  <w:num w:numId="13">
    <w:abstractNumId w:val="31"/>
  </w:num>
  <w:num w:numId="14">
    <w:abstractNumId w:val="30"/>
  </w:num>
  <w:num w:numId="15">
    <w:abstractNumId w:val="12"/>
  </w:num>
  <w:num w:numId="16">
    <w:abstractNumId w:val="27"/>
  </w:num>
  <w:num w:numId="17">
    <w:abstractNumId w:val="8"/>
  </w:num>
  <w:num w:numId="18">
    <w:abstractNumId w:val="15"/>
  </w:num>
  <w:num w:numId="19">
    <w:abstractNumId w:val="1"/>
  </w:num>
  <w:num w:numId="20">
    <w:abstractNumId w:val="16"/>
  </w:num>
  <w:num w:numId="21">
    <w:abstractNumId w:val="11"/>
  </w:num>
  <w:num w:numId="22">
    <w:abstractNumId w:val="36"/>
  </w:num>
  <w:num w:numId="23">
    <w:abstractNumId w:val="22"/>
  </w:num>
  <w:num w:numId="24">
    <w:abstractNumId w:val="5"/>
  </w:num>
  <w:num w:numId="25">
    <w:abstractNumId w:val="42"/>
  </w:num>
  <w:num w:numId="26">
    <w:abstractNumId w:val="2"/>
  </w:num>
  <w:num w:numId="27">
    <w:abstractNumId w:val="4"/>
  </w:num>
  <w:num w:numId="28">
    <w:abstractNumId w:val="37"/>
  </w:num>
  <w:num w:numId="29">
    <w:abstractNumId w:val="28"/>
  </w:num>
  <w:num w:numId="30">
    <w:abstractNumId w:val="35"/>
  </w:num>
  <w:num w:numId="31">
    <w:abstractNumId w:val="10"/>
  </w:num>
  <w:num w:numId="32">
    <w:abstractNumId w:val="40"/>
  </w:num>
  <w:num w:numId="33">
    <w:abstractNumId w:val="41"/>
  </w:num>
  <w:num w:numId="34">
    <w:abstractNumId w:val="25"/>
  </w:num>
  <w:num w:numId="35">
    <w:abstractNumId w:val="7"/>
  </w:num>
  <w:num w:numId="36">
    <w:abstractNumId w:val="6"/>
  </w:num>
  <w:num w:numId="37">
    <w:abstractNumId w:val="38"/>
  </w:num>
  <w:num w:numId="38">
    <w:abstractNumId w:val="26"/>
  </w:num>
  <w:num w:numId="39">
    <w:abstractNumId w:val="21"/>
  </w:num>
  <w:num w:numId="40">
    <w:abstractNumId w:val="19"/>
  </w:num>
  <w:num w:numId="41">
    <w:abstractNumId w:val="29"/>
  </w:num>
  <w:num w:numId="42">
    <w:abstractNumId w:val="17"/>
  </w:num>
  <w:num w:numId="43">
    <w:abstractNumId w:val="9"/>
  </w:num>
  <w:num w:numId="44">
    <w:abstractNumId w:val="3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379"/>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21BA5"/>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363C55"/>
    <w:rsid w:val="0183372F"/>
    <w:rsid w:val="02B47C4D"/>
    <w:rsid w:val="02FD765A"/>
    <w:rsid w:val="038E142C"/>
    <w:rsid w:val="04450729"/>
    <w:rsid w:val="047C3958"/>
    <w:rsid w:val="04D46768"/>
    <w:rsid w:val="04F90B5F"/>
    <w:rsid w:val="0508501E"/>
    <w:rsid w:val="050B656C"/>
    <w:rsid w:val="053A1CC8"/>
    <w:rsid w:val="05557E2B"/>
    <w:rsid w:val="06856661"/>
    <w:rsid w:val="077B4608"/>
    <w:rsid w:val="07BB74B6"/>
    <w:rsid w:val="08493DEA"/>
    <w:rsid w:val="084B2AF2"/>
    <w:rsid w:val="086E4EC9"/>
    <w:rsid w:val="08C8619B"/>
    <w:rsid w:val="08F04FDE"/>
    <w:rsid w:val="0A20099D"/>
    <w:rsid w:val="0B4107EB"/>
    <w:rsid w:val="0B734A64"/>
    <w:rsid w:val="0CDE01F2"/>
    <w:rsid w:val="0D925C18"/>
    <w:rsid w:val="0DD201F4"/>
    <w:rsid w:val="0F4526B6"/>
    <w:rsid w:val="0F625F95"/>
    <w:rsid w:val="10091618"/>
    <w:rsid w:val="13E92730"/>
    <w:rsid w:val="14BF4FE7"/>
    <w:rsid w:val="152B64B8"/>
    <w:rsid w:val="155D10F2"/>
    <w:rsid w:val="15740DA4"/>
    <w:rsid w:val="15A52DA9"/>
    <w:rsid w:val="18772861"/>
    <w:rsid w:val="195A6BC0"/>
    <w:rsid w:val="19E834CC"/>
    <w:rsid w:val="1A0B3364"/>
    <w:rsid w:val="1AE2456B"/>
    <w:rsid w:val="1B022D58"/>
    <w:rsid w:val="1B2F1F4F"/>
    <w:rsid w:val="1BCE2907"/>
    <w:rsid w:val="1C5670DA"/>
    <w:rsid w:val="1CA279E3"/>
    <w:rsid w:val="1DC22DF1"/>
    <w:rsid w:val="1E8D20D9"/>
    <w:rsid w:val="1F044472"/>
    <w:rsid w:val="1F377802"/>
    <w:rsid w:val="1F7074E6"/>
    <w:rsid w:val="21AC353B"/>
    <w:rsid w:val="227A4EED"/>
    <w:rsid w:val="228D0750"/>
    <w:rsid w:val="22E633ED"/>
    <w:rsid w:val="24091EF7"/>
    <w:rsid w:val="24786106"/>
    <w:rsid w:val="25A5748F"/>
    <w:rsid w:val="25D85A3C"/>
    <w:rsid w:val="267E19B6"/>
    <w:rsid w:val="26E95967"/>
    <w:rsid w:val="29C02FE3"/>
    <w:rsid w:val="2A1D36D7"/>
    <w:rsid w:val="2B9E3425"/>
    <w:rsid w:val="2BC00137"/>
    <w:rsid w:val="2BD84FDD"/>
    <w:rsid w:val="2BFA4386"/>
    <w:rsid w:val="2CD73EA3"/>
    <w:rsid w:val="2D845ED0"/>
    <w:rsid w:val="2E577A32"/>
    <w:rsid w:val="2EC36774"/>
    <w:rsid w:val="2F526627"/>
    <w:rsid w:val="30381F4F"/>
    <w:rsid w:val="30F31F43"/>
    <w:rsid w:val="34A05B77"/>
    <w:rsid w:val="35DE2B9F"/>
    <w:rsid w:val="37097428"/>
    <w:rsid w:val="3829383E"/>
    <w:rsid w:val="38AC36F6"/>
    <w:rsid w:val="38BB43FF"/>
    <w:rsid w:val="392D4949"/>
    <w:rsid w:val="39B52A9B"/>
    <w:rsid w:val="3B9B4E58"/>
    <w:rsid w:val="3BA721A9"/>
    <w:rsid w:val="3BB26AC4"/>
    <w:rsid w:val="3C35255B"/>
    <w:rsid w:val="3C9B7C26"/>
    <w:rsid w:val="3D3679ED"/>
    <w:rsid w:val="3D3E3E24"/>
    <w:rsid w:val="3D614F7D"/>
    <w:rsid w:val="3DF22C50"/>
    <w:rsid w:val="3E4358E0"/>
    <w:rsid w:val="3E6328D0"/>
    <w:rsid w:val="408D7227"/>
    <w:rsid w:val="41407E51"/>
    <w:rsid w:val="416718EC"/>
    <w:rsid w:val="41C07F72"/>
    <w:rsid w:val="439D7A21"/>
    <w:rsid w:val="43D97719"/>
    <w:rsid w:val="447267E8"/>
    <w:rsid w:val="44D567CA"/>
    <w:rsid w:val="44E431E5"/>
    <w:rsid w:val="458955DD"/>
    <w:rsid w:val="45CE3B5E"/>
    <w:rsid w:val="46B30DE6"/>
    <w:rsid w:val="492A4A83"/>
    <w:rsid w:val="492D5CB3"/>
    <w:rsid w:val="495C1F5C"/>
    <w:rsid w:val="4AF77150"/>
    <w:rsid w:val="4B8B03E4"/>
    <w:rsid w:val="4B9A16D0"/>
    <w:rsid w:val="4D9A3F67"/>
    <w:rsid w:val="4DC7192F"/>
    <w:rsid w:val="4DDF67CC"/>
    <w:rsid w:val="4EE12BFB"/>
    <w:rsid w:val="4F17764A"/>
    <w:rsid w:val="4FCB6999"/>
    <w:rsid w:val="50FA6A61"/>
    <w:rsid w:val="51794BC1"/>
    <w:rsid w:val="51916E74"/>
    <w:rsid w:val="53D25371"/>
    <w:rsid w:val="540F1FD2"/>
    <w:rsid w:val="54951563"/>
    <w:rsid w:val="561F6663"/>
    <w:rsid w:val="57231B7E"/>
    <w:rsid w:val="57315BF2"/>
    <w:rsid w:val="57594B93"/>
    <w:rsid w:val="57E12486"/>
    <w:rsid w:val="594A6990"/>
    <w:rsid w:val="5A2E0F40"/>
    <w:rsid w:val="5B2941D7"/>
    <w:rsid w:val="5BDD23FE"/>
    <w:rsid w:val="5C4C5214"/>
    <w:rsid w:val="5D5D0D93"/>
    <w:rsid w:val="5E4E6BAA"/>
    <w:rsid w:val="5E8307E5"/>
    <w:rsid w:val="60475C3F"/>
    <w:rsid w:val="60785544"/>
    <w:rsid w:val="60A60070"/>
    <w:rsid w:val="60EE5E5F"/>
    <w:rsid w:val="61A26997"/>
    <w:rsid w:val="622C21AB"/>
    <w:rsid w:val="62D00ABF"/>
    <w:rsid w:val="630A13FF"/>
    <w:rsid w:val="640C25AF"/>
    <w:rsid w:val="64EF5A4D"/>
    <w:rsid w:val="65122B4F"/>
    <w:rsid w:val="67457773"/>
    <w:rsid w:val="68171C28"/>
    <w:rsid w:val="683A303D"/>
    <w:rsid w:val="68D5464B"/>
    <w:rsid w:val="68E97B63"/>
    <w:rsid w:val="69101AD1"/>
    <w:rsid w:val="6A5B2F9C"/>
    <w:rsid w:val="6B1E605C"/>
    <w:rsid w:val="6C5E0507"/>
    <w:rsid w:val="6C6B5505"/>
    <w:rsid w:val="6DF67C63"/>
    <w:rsid w:val="6E3F209B"/>
    <w:rsid w:val="6FBC0152"/>
    <w:rsid w:val="704609F4"/>
    <w:rsid w:val="70923D42"/>
    <w:rsid w:val="70F67819"/>
    <w:rsid w:val="725336E8"/>
    <w:rsid w:val="736C0D9A"/>
    <w:rsid w:val="74783A1C"/>
    <w:rsid w:val="74AB354D"/>
    <w:rsid w:val="74B05132"/>
    <w:rsid w:val="74D65587"/>
    <w:rsid w:val="76C52AAF"/>
    <w:rsid w:val="76E063E5"/>
    <w:rsid w:val="772A35DE"/>
    <w:rsid w:val="79200C24"/>
    <w:rsid w:val="798425C1"/>
    <w:rsid w:val="79A35F22"/>
    <w:rsid w:val="79BF662E"/>
    <w:rsid w:val="7A0F42A2"/>
    <w:rsid w:val="7A751935"/>
    <w:rsid w:val="7B2952F2"/>
    <w:rsid w:val="7B340227"/>
    <w:rsid w:val="7B9817BF"/>
    <w:rsid w:val="7C06599D"/>
    <w:rsid w:val="7CF46BD3"/>
    <w:rsid w:val="7D715981"/>
    <w:rsid w:val="7DDC221B"/>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20604</Words>
  <Characters>21720</Characters>
  <Lines>139</Lines>
  <Paragraphs>39</Paragraphs>
  <TotalTime>27</TotalTime>
  <ScaleCrop>false</ScaleCrop>
  <LinksUpToDate>false</LinksUpToDate>
  <CharactersWithSpaces>25066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黄奕璋</cp:lastModifiedBy>
  <dcterms:modified xsi:type="dcterms:W3CDTF">2023-07-31T08:06:55Z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14B194C549D44D71827CFB011E9F81EF</vt:lpwstr>
  </property>
</Properties>
</file>