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Lines="50"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rPr>
        <w:t>深圳会展中心第二十五届高交会现场咨询</w:t>
      </w: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服务与管理项目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2023年8月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8</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9</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9</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9</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9</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30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联系人：区宛翔</w:t>
            </w:r>
          </w:p>
          <w:p>
            <w:pPr>
              <w:wordWrap w:val="0"/>
              <w:autoSpaceDE w:val="0"/>
              <w:autoSpaceDN w:val="0"/>
              <w:adjustRightInd w:val="0"/>
              <w:snapToGrid w:val="0"/>
              <w:rPr>
                <w:rFonts w:ascii="宋体" w:hAnsi="宋体"/>
                <w:szCs w:val="21"/>
              </w:rPr>
            </w:pPr>
            <w:r>
              <w:rPr>
                <w:rFonts w:hint="eastAsia" w:ascii="宋体" w:hAnsi="宋体"/>
                <w:szCs w:val="21"/>
              </w:rPr>
              <w:t>电话：0755-82848795</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ouwx@c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深圳会展中心第二十五届高交会现场咨询服务与管理项目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第二十五届高交会福田展区计划于2023年11月15-19日举行，本项目是由服务商按大会要求提供现场咨询服务与管理。服务商须</w:t>
            </w:r>
            <w:r>
              <w:rPr>
                <w:rFonts w:ascii="Source Han Serif CN" w:hAnsi="Source Han Serif CN" w:eastAsia="Source Han Serif CN" w:cs="Source Han Serif CN"/>
                <w:color w:val="auto"/>
                <w:szCs w:val="21"/>
                <w:highlight w:val="none"/>
              </w:rPr>
              <w:t>按大会要求开展服务人员招募与培训、工资发放、现场调度协调、咨询人员督导管理、礼仪培训讲师聘用与授课跟进、礼仪考核及会期现场抽查、参观线路引导执行及配套物料、应急事务处理等</w:t>
            </w:r>
            <w:r>
              <w:rPr>
                <w:rFonts w:hint="eastAsia" w:ascii="Source Han Serif CN" w:hAnsi="Source Han Serif CN" w:cs="Source Han Serif CN"/>
                <w:color w:val="auto"/>
                <w:szCs w:val="21"/>
                <w:highlight w:val="none"/>
              </w:rPr>
              <w:t>相关工作</w:t>
            </w:r>
            <w:r>
              <w:rPr>
                <w:rFonts w:ascii="Source Han Serif CN" w:hAnsi="Source Han Serif CN" w:eastAsia="Source Han Serif CN" w:cs="Source Han Serif CN"/>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签约之日至第二十五届高交会结束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8</w:t>
            </w:r>
            <w:r>
              <w:rPr>
                <w:rFonts w:ascii="宋体" w:hAnsi="宋体"/>
                <w:b/>
                <w:bCs/>
                <w:color w:val="auto"/>
                <w:szCs w:val="21"/>
                <w:highlight w:val="yellow"/>
              </w:rPr>
              <w:t>-</w:t>
            </w:r>
            <w:r>
              <w:rPr>
                <w:rFonts w:hint="eastAsia" w:ascii="宋体" w:hAnsi="宋体"/>
                <w:b/>
                <w:bCs/>
                <w:color w:val="auto"/>
                <w:szCs w:val="21"/>
                <w:highlight w:val="yellow"/>
                <w:lang w:val="en-US" w:eastAsia="zh-CN"/>
              </w:rPr>
              <w:t>1  9</w:t>
            </w:r>
            <w:r>
              <w:rPr>
                <w:rFonts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color w:val="auto"/>
                <w:szCs w:val="21"/>
                <w:highlight w:val="yellow"/>
              </w:rPr>
              <w:t>https://cg.szcec.com/sharing/HQfelzsjb</w:t>
            </w:r>
            <w:r>
              <w:rPr>
                <w:rFonts w:hint="eastAsia" w:ascii="宋体" w:hAnsi="宋体"/>
                <w:bCs/>
                <w:color w:val="auto"/>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jc w:val="left"/>
              <w:rPr>
                <w:rFonts w:hint="eastAsia" w:ascii="宋体" w:hAnsi="宋体"/>
                <w:b/>
                <w:bCs/>
                <w:color w:val="auto"/>
                <w:szCs w:val="21"/>
                <w:highlight w:val="yellow"/>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8</w:t>
            </w:r>
            <w:r>
              <w:rPr>
                <w:rFonts w:ascii="宋体" w:hAnsi="宋体"/>
                <w:b/>
                <w:bCs/>
                <w:color w:val="auto"/>
                <w:szCs w:val="21"/>
                <w:highlight w:val="yellow"/>
              </w:rPr>
              <w:t>-</w:t>
            </w:r>
            <w:r>
              <w:rPr>
                <w:rFonts w:hint="eastAsia" w:ascii="宋体" w:hAnsi="宋体"/>
                <w:b/>
                <w:bCs/>
                <w:color w:val="auto"/>
                <w:szCs w:val="21"/>
                <w:highlight w:val="yellow"/>
                <w:lang w:val="en-US" w:eastAsia="zh-CN"/>
              </w:rPr>
              <w:t>6  9</w:t>
            </w:r>
            <w:r>
              <w:rPr>
                <w:rFonts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8</w:t>
            </w:r>
            <w:r>
              <w:rPr>
                <w:rFonts w:ascii="宋体" w:hAnsi="宋体"/>
                <w:b/>
                <w:bCs/>
                <w:color w:val="auto"/>
                <w:szCs w:val="21"/>
                <w:highlight w:val="yellow"/>
              </w:rPr>
              <w:t>-</w:t>
            </w:r>
            <w:r>
              <w:rPr>
                <w:rFonts w:hint="eastAsia" w:ascii="宋体" w:hAnsi="宋体"/>
                <w:b/>
                <w:bCs/>
                <w:color w:val="auto"/>
                <w:szCs w:val="21"/>
                <w:highlight w:val="yellow"/>
                <w:lang w:val="en-US" w:eastAsia="zh-CN"/>
              </w:rPr>
              <w:t>6  9</w:t>
            </w:r>
            <w:r>
              <w:rPr>
                <w:rFonts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8</w:t>
            </w:r>
            <w:r>
              <w:rPr>
                <w:rFonts w:ascii="宋体" w:hAnsi="宋体"/>
                <w:b/>
                <w:bCs/>
                <w:color w:val="auto"/>
                <w:szCs w:val="21"/>
                <w:highlight w:val="yellow"/>
              </w:rPr>
              <w:t>-</w:t>
            </w:r>
            <w:r>
              <w:rPr>
                <w:rFonts w:hint="eastAsia" w:ascii="宋体" w:hAnsi="宋体"/>
                <w:b/>
                <w:bCs/>
                <w:color w:val="auto"/>
                <w:szCs w:val="21"/>
                <w:highlight w:val="yellow"/>
                <w:lang w:val="en-US" w:eastAsia="zh-CN"/>
              </w:rPr>
              <w:t>7  9</w:t>
            </w:r>
            <w:r>
              <w:rPr>
                <w:rFonts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8</w:t>
            </w:r>
            <w:r>
              <w:rPr>
                <w:rFonts w:ascii="宋体" w:hAnsi="宋体"/>
                <w:b/>
                <w:bCs/>
                <w:color w:val="auto"/>
                <w:szCs w:val="21"/>
                <w:highlight w:val="yellow"/>
              </w:rPr>
              <w:t>-</w:t>
            </w:r>
            <w:r>
              <w:rPr>
                <w:rFonts w:hint="eastAsia" w:ascii="宋体" w:hAnsi="宋体"/>
                <w:b/>
                <w:bCs/>
                <w:color w:val="auto"/>
                <w:szCs w:val="21"/>
                <w:highlight w:val="yellow"/>
                <w:lang w:val="en-US" w:eastAsia="zh-CN"/>
              </w:rPr>
              <w:t>11  17</w:t>
            </w:r>
            <w:r>
              <w:rPr>
                <w:rFonts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https://cg.szcec.com/sharing/VZWfEyp9S</w:t>
            </w:r>
            <w:r>
              <w:rPr>
                <w:rFonts w:hint="eastAsia" w:ascii="宋体" w:hAnsi="宋体"/>
                <w:bCs/>
                <w:color w:val="auto"/>
                <w:highlight w:val="none"/>
              </w:rPr>
              <w:t>，</w:t>
            </w:r>
            <w:r>
              <w:rPr>
                <w:rFonts w:hint="eastAsia" w:ascii="宋体" w:hAnsi="宋体"/>
                <w:szCs w:val="21"/>
              </w:rPr>
              <w:t>并致电确认</w:t>
            </w:r>
            <w:bookmarkStart w:id="3" w:name="_Toc478110532"/>
            <w:bookmarkStart w:id="4" w:name="_Toc478392822"/>
            <w:bookmarkStart w:id="5" w:name="_Toc478393187"/>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8</w:t>
            </w:r>
            <w:r>
              <w:rPr>
                <w:rFonts w:ascii="宋体" w:hAnsi="宋体"/>
                <w:b/>
                <w:bCs/>
                <w:color w:val="auto"/>
                <w:szCs w:val="21"/>
                <w:highlight w:val="yellow"/>
              </w:rPr>
              <w:t>-</w:t>
            </w:r>
            <w:r>
              <w:rPr>
                <w:rFonts w:hint="eastAsia" w:ascii="宋体" w:hAnsi="宋体"/>
                <w:b/>
                <w:bCs/>
                <w:color w:val="auto"/>
                <w:szCs w:val="21"/>
                <w:highlight w:val="yellow"/>
                <w:lang w:val="en-US" w:eastAsia="zh-CN"/>
              </w:rPr>
              <w:t>15  9</w:t>
            </w:r>
            <w:r>
              <w:rPr>
                <w:rFonts w:ascii="宋体" w:hAnsi="宋体"/>
                <w:b/>
                <w:bCs/>
                <w:color w:val="auto"/>
                <w:szCs w:val="21"/>
                <w:highlight w:val="yellow"/>
              </w:rPr>
              <w:t>:</w:t>
            </w:r>
            <w:r>
              <w:rPr>
                <w:rFonts w:hint="eastAsia" w:ascii="宋体" w:hAnsi="宋体"/>
                <w:b/>
                <w:bCs/>
                <w:color w:val="auto"/>
                <w:szCs w:val="21"/>
                <w:highlight w:val="yellow"/>
                <w:lang w:val="en-US" w:eastAsia="zh-CN"/>
              </w:rPr>
              <w:t>3</w:t>
            </w:r>
            <w:bookmarkStart w:id="98" w:name="_GoBack"/>
            <w:bookmarkEnd w:id="98"/>
            <w:r>
              <w:rPr>
                <w:rFonts w:hint="eastAsia" w:ascii="宋体" w:hAnsi="宋体"/>
                <w:b/>
                <w:bCs/>
                <w:color w:val="auto"/>
                <w:szCs w:val="21"/>
                <w:highlight w:val="yellow"/>
                <w:lang w:val="en-US" w:eastAsia="zh-CN"/>
              </w:rPr>
              <w:t>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color w:val="auto"/>
                <w:szCs w:val="21"/>
                <w:highlight w:val="yellow"/>
                <w:lang w:val="en-US" w:eastAsia="zh-CN"/>
              </w:rPr>
              <w:t>569-789-889</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color w:val="auto"/>
                <w:szCs w:val="21"/>
                <w:highlight w:val="yellow"/>
              </w:rPr>
              <w:t>https://cg.szcec.com/sharing/2XjEZUNCB</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4"/>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hint="eastAsia" w:ascii="宋体" w:hAnsi="宋体" w:cs="Segoe UI Symbol"/>
                <w:color w:val="auto"/>
                <w:kern w:val="0"/>
                <w:szCs w:val="21"/>
                <w:highlight w:val="none"/>
                <w:u w:val="single"/>
              </w:rPr>
              <w:t>／</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hint="eastAsia" w:ascii="宋体" w:hAnsi="宋体" w:cs="Segoe UI Symbol"/>
                <w:color w:val="auto"/>
                <w:kern w:val="0"/>
                <w:szCs w:val="21"/>
                <w:highlight w:val="none"/>
                <w:u w:val="single"/>
              </w:rPr>
              <w:t>／</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4703"/>
      <w:bookmarkEnd w:id="7"/>
      <w:bookmarkStart w:id="8" w:name="_Toc82684705"/>
      <w:bookmarkEnd w:id="8"/>
      <w:bookmarkStart w:id="9" w:name="_Toc82684704"/>
      <w:bookmarkEnd w:id="9"/>
      <w:bookmarkStart w:id="10" w:name="_Toc82591925"/>
      <w:bookmarkEnd w:id="10"/>
      <w:bookmarkStart w:id="11" w:name="_Toc82591927"/>
      <w:bookmarkEnd w:id="11"/>
      <w:bookmarkStart w:id="12" w:name="_Toc82591926"/>
      <w:bookmarkEnd w:id="12"/>
      <w:bookmarkStart w:id="13" w:name="_Toc82685543"/>
      <w:bookmarkEnd w:id="13"/>
      <w:bookmarkStart w:id="14" w:name="_Toc82684590"/>
      <w:bookmarkEnd w:id="14"/>
      <w:bookmarkStart w:id="15" w:name="_Toc82685540"/>
      <w:bookmarkEnd w:id="15"/>
      <w:bookmarkStart w:id="16" w:name="_Toc82685542"/>
      <w:bookmarkEnd w:id="16"/>
      <w:bookmarkStart w:id="17" w:name="_Toc82684706"/>
      <w:bookmarkEnd w:id="17"/>
      <w:bookmarkStart w:id="18" w:name="_Toc82684588"/>
      <w:bookmarkEnd w:id="18"/>
      <w:bookmarkStart w:id="19" w:name="_Toc82591928"/>
      <w:bookmarkEnd w:id="19"/>
      <w:bookmarkStart w:id="20" w:name="_Toc82684591"/>
      <w:bookmarkEnd w:id="20"/>
      <w:bookmarkStart w:id="21" w:name="_Toc82685541"/>
      <w:bookmarkEnd w:id="21"/>
      <w:bookmarkStart w:id="22" w:name="_Toc82684589"/>
      <w:bookmarkEnd w:id="22"/>
      <w:bookmarkStart w:id="23" w:name="_Toc116550346"/>
      <w:r>
        <w:rPr>
          <w:rFonts w:hint="eastAsia" w:ascii="宋体" w:hAnsi="宋体"/>
          <w:b/>
          <w:szCs w:val="21"/>
        </w:rPr>
        <w:t>特别说明</w:t>
      </w:r>
      <w:bookmarkEnd w:id="23"/>
    </w:p>
    <w:p>
      <w:pPr>
        <w:pStyle w:val="24"/>
        <w:numPr>
          <w:ilvl w:val="0"/>
          <w:numId w:val="9"/>
        </w:numPr>
        <w:spacing w:line="360" w:lineRule="auto"/>
        <w:ind w:left="0" w:firstLine="420" w:firstLineChars="0"/>
        <w:rPr>
          <w:rFonts w:ascii="宋体" w:hAnsi="宋体" w:eastAsia="宋体" w:cs="宋体"/>
          <w:szCs w:val="21"/>
        </w:rPr>
      </w:pPr>
      <w:bookmarkStart w:id="24" w:name="_Toc45028463"/>
      <w:bookmarkStart w:id="25" w:name="_Toc517278751"/>
      <w:bookmarkStart w:id="26"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30"/>
      <w:bookmarkEnd w:id="27"/>
      <w:bookmarkStart w:id="28" w:name="_Toc82685545"/>
      <w:bookmarkEnd w:id="28"/>
      <w:bookmarkStart w:id="29" w:name="_Toc82591989"/>
      <w:bookmarkEnd w:id="29"/>
      <w:bookmarkStart w:id="30" w:name="_Toc82591988"/>
      <w:bookmarkEnd w:id="30"/>
      <w:bookmarkStart w:id="31" w:name="_Toc82684708"/>
      <w:bookmarkEnd w:id="31"/>
      <w:bookmarkStart w:id="32" w:name="_Toc82684593"/>
      <w:bookmarkEnd w:id="32"/>
      <w:bookmarkStart w:id="33" w:name="_Toc82591987"/>
      <w:bookmarkEnd w:id="33"/>
      <w:bookmarkStart w:id="34" w:name="_Toc82591985"/>
      <w:bookmarkEnd w:id="34"/>
      <w:bookmarkStart w:id="35" w:name="_Toc82591986"/>
      <w:bookmarkEnd w:id="35"/>
      <w:bookmarkStart w:id="36" w:name="_Toc116550347"/>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pPr>
            <w:r>
              <w:rPr>
                <w:rFonts w:hint="eastAsia"/>
              </w:rPr>
              <w:t>投标人代表必须是投标人的法定代表人或持有法定代表人亲自签署的法人授权委托证明书的人员。（提供法定代表人证明书、法人授权委托证明书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及法定代表人、被委托人身份证扫描件并加投标人位公章；</w:t>
            </w:r>
            <w:r>
              <w:rPr>
                <w:rFonts w:hint="eastAsia"/>
              </w:rPr>
              <w:t>如单位法定代表人为本项目授权代表，则仅提供法定代表人证明书及身份证复印件，各证明书须加盖公章，身份证原件备查）。</w:t>
            </w:r>
          </w:p>
          <w:p>
            <w:pPr>
              <w:numPr>
                <w:ilvl w:val="0"/>
                <w:numId w:val="10"/>
              </w:numPr>
              <w:tabs>
                <w:tab w:val="left" w:pos="531"/>
              </w:tabs>
              <w:snapToGrid w:val="0"/>
              <w:rPr>
                <w:rFonts w:ascii="宋体" w:hAnsi="宋体" w:cs="宋体"/>
              </w:rPr>
            </w:pPr>
            <w:r>
              <w:rPr>
                <w:rFonts w:hint="eastAsia" w:ascii="宋体" w:hAnsi="宋体" w:cs="宋体"/>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szCs w:val="21"/>
              </w:rPr>
            </w:pPr>
            <w:r>
              <w:rPr>
                <w:rFonts w:hint="eastAsia" w:ascii="宋体" w:hAnsi="宋体" w:cs="仿宋_GB2312"/>
                <w:szCs w:val="21"/>
              </w:rPr>
              <w:t>报价以人民币为结算币种，《投标一览表》服务人员报价需报综合单价，同时</w:t>
            </w:r>
            <w:r>
              <w:rPr>
                <w:rFonts w:hint="eastAsia" w:ascii="宋体" w:hAnsi="宋体"/>
                <w:szCs w:val="21"/>
              </w:rPr>
              <w:t>应包含税率、税额、税前及税后总金额。</w:t>
            </w:r>
          </w:p>
          <w:p>
            <w:pPr>
              <w:numPr>
                <w:ilvl w:val="0"/>
                <w:numId w:val="11"/>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11"/>
              </w:numPr>
              <w:tabs>
                <w:tab w:val="left" w:pos="531"/>
              </w:tabs>
              <w:snapToGrid w:val="0"/>
              <w:ind w:left="0" w:firstLine="0"/>
              <w:rPr>
                <w:rFonts w:ascii="宋体" w:hAnsi="宋体" w:cs="仿宋_GB2312"/>
                <w:szCs w:val="21"/>
              </w:rPr>
            </w:pPr>
            <w:r>
              <w:rPr>
                <w:rFonts w:hint="eastAsia" w:ascii="宋体" w:hAnsi="宋体" w:cs="仿宋_GB2312"/>
                <w:szCs w:val="21"/>
              </w:rPr>
              <w:t>投标报价采用总价包干合同方式，包括但不限于该项目的服务人员工资及加班费、交通费、礼仪培训师、培训场地及管理费、参观引导人员工作服装费、餐费</w:t>
            </w:r>
            <w:r>
              <w:rPr>
                <w:rFonts w:hint="eastAsia" w:ascii="宋体" w:hAnsi="宋体"/>
                <w:szCs w:val="21"/>
              </w:rPr>
              <w:t>及增值税费等</w:t>
            </w:r>
            <w:r>
              <w:rPr>
                <w:rFonts w:hint="eastAsia" w:ascii="宋体" w:hAnsi="宋体" w:cs="仿宋_GB2312"/>
                <w:szCs w:val="21"/>
              </w:rPr>
              <w:t>完成本项目所需的全部费用。</w:t>
            </w:r>
          </w:p>
          <w:p>
            <w:pPr>
              <w:numPr>
                <w:ilvl w:val="0"/>
                <w:numId w:val="11"/>
              </w:numPr>
              <w:tabs>
                <w:tab w:val="left" w:pos="531"/>
              </w:tabs>
              <w:snapToGrid w:val="0"/>
              <w:ind w:left="0" w:firstLine="0"/>
            </w:pPr>
            <w:r>
              <w:rPr>
                <w:rFonts w:hint="eastAsia"/>
              </w:rPr>
              <w:t>本项目不再另行支付其他任何费用。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本项目采购控制金额为人民币44</w:t>
            </w:r>
            <w:r>
              <w:rPr>
                <w:rFonts w:ascii="宋体" w:hAnsi="宋体" w:cs="宋体"/>
                <w:szCs w:val="21"/>
              </w:rPr>
              <w:t>万元（含税）</w:t>
            </w:r>
            <w:r>
              <w:rPr>
                <w:rFonts w:hint="eastAsia" w:ascii="宋体" w:hAnsi="宋体" w:cs="宋体"/>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0" w:firstLine="0"/>
              <w:rPr>
                <w:rFonts w:ascii="宋体" w:hAnsi="宋体" w:cs="宋体"/>
              </w:rPr>
            </w:pPr>
            <w:r>
              <w:rPr>
                <w:rFonts w:hint="eastAsia" w:ascii="宋体" w:hAnsi="宋体" w:cs="宋体"/>
              </w:rPr>
              <w:t>本项目以实际</w:t>
            </w:r>
            <w:r>
              <w:rPr>
                <w:rFonts w:hint="eastAsia" w:ascii="宋体" w:hAnsi="宋体" w:cs="宋体"/>
                <w:szCs w:val="21"/>
              </w:rPr>
              <w:t>执行情况作为结算依据，如实际使用少于项目要求数量时，按单项报价从总费用中扣减；例：现场咨询服务人员少于380人/每日，按实际使用的人员数量进行结算；高于380人/每天，多出人员作为中标人提供的备用服务人员，不收取费用。详细事宜以合同条款为准。</w:t>
            </w:r>
          </w:p>
          <w:p>
            <w:pPr>
              <w:numPr>
                <w:ilvl w:val="0"/>
                <w:numId w:val="12"/>
              </w:numPr>
              <w:tabs>
                <w:tab w:val="left" w:pos="531"/>
              </w:tabs>
              <w:snapToGrid w:val="0"/>
              <w:rPr>
                <w:rFonts w:ascii="宋体" w:hAnsi="宋体" w:cs="宋体"/>
              </w:rPr>
            </w:pPr>
            <w:r>
              <w:rPr>
                <w:rFonts w:hint="eastAsia" w:ascii="宋体" w:hAnsi="宋体" w:cs="宋体"/>
              </w:rPr>
              <w:t>本项目开始提供用人服务一个月后，支付合同金额的20%。</w:t>
            </w:r>
          </w:p>
          <w:p>
            <w:pPr>
              <w:numPr>
                <w:ilvl w:val="0"/>
                <w:numId w:val="12"/>
              </w:numPr>
              <w:tabs>
                <w:tab w:val="left" w:pos="531"/>
              </w:tabs>
              <w:snapToGrid w:val="0"/>
              <w:rPr>
                <w:rFonts w:ascii="宋体" w:hAnsi="宋体" w:cs="宋体"/>
              </w:rPr>
            </w:pPr>
            <w:r>
              <w:rPr>
                <w:rFonts w:hint="eastAsia" w:ascii="宋体" w:hAnsi="宋体" w:cs="宋体"/>
              </w:rPr>
              <w:t>项目执行完毕且验收合格后，支付合同剩余金额的80%。</w:t>
            </w:r>
          </w:p>
          <w:p>
            <w:pPr>
              <w:tabs>
                <w:tab w:val="left" w:pos="531"/>
              </w:tabs>
              <w:snapToGrid w:val="0"/>
            </w:pPr>
            <w:r>
              <w:rPr>
                <w:rFonts w:hint="eastAsia" w:ascii="宋体" w:hAnsi="宋体" w:cs="宋体"/>
              </w:rPr>
              <w:t>（3）款项支付前，需开具合法真实有效的增值税发票。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numPr>
                <w:ilvl w:val="0"/>
                <w:numId w:val="13"/>
              </w:numPr>
              <w:rPr>
                <w:rFonts w:ascii="宋体" w:eastAsia="宋体" w:cs="宋体"/>
                <w:sz w:val="18"/>
                <w:szCs w:val="21"/>
              </w:rPr>
            </w:pPr>
            <w:r>
              <w:rPr>
                <w:rFonts w:hint="eastAsia" w:ascii="宋体" w:eastAsia="宋体" w:cs="宋体"/>
                <w:szCs w:val="21"/>
              </w:rPr>
              <w:t>按照招标人要求，按时提交项目服务报告，并经招标人签字确认。</w:t>
            </w:r>
          </w:p>
          <w:p>
            <w:pPr>
              <w:tabs>
                <w:tab w:val="left" w:pos="531"/>
              </w:tabs>
              <w:snapToGrid w:val="0"/>
              <w:rPr>
                <w:rFonts w:ascii="宋体" w:hAnsi="宋体" w:cs="宋体"/>
                <w:color w:val="FF0000"/>
                <w:highlight w:val="yellow"/>
              </w:rPr>
            </w:pPr>
            <w:r>
              <w:rPr>
                <w:rFonts w:hint="eastAsia" w:ascii="宋体" w:cs="宋体"/>
                <w:szCs w:val="21"/>
              </w:rPr>
              <w:t>（2）提供现场实际用人数量、礼仪培训、服务人员考勤表、现场工作照片、总结报告等，并经招标人验收合格并签字确认。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项目总体</w:t>
            </w:r>
          </w:p>
          <w:p>
            <w:pPr>
              <w:jc w:val="center"/>
              <w:rPr>
                <w:rFonts w:ascii="宋体" w:hAnsi="宋体" w:cs="宋体"/>
                <w:color w:val="FF0000"/>
                <w:szCs w:val="21"/>
              </w:rPr>
            </w:pPr>
            <w:r>
              <w:rPr>
                <w:rFonts w:hint="eastAsia" w:ascii="宋体" w:hAnsi="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ind w:firstLine="420" w:firstLineChars="200"/>
            </w:pPr>
            <w:r>
              <w:rPr>
                <w:rFonts w:hint="eastAsia"/>
              </w:rPr>
              <w:t>投标人按大会要求开展第二十五届高交会服务人员招募与培训、工资发放、现场调度协调、咨询人员督导管理、礼仪培训讲师聘用与授课跟进、礼仪考核及会期现场抽查、参观线路引导执行及配套物料、应急事务处理等事项。总体要求如下：</w:t>
            </w:r>
          </w:p>
          <w:p>
            <w:pPr>
              <w:numPr>
                <w:ilvl w:val="255"/>
                <w:numId w:val="0"/>
              </w:numPr>
              <w:tabs>
                <w:tab w:val="left" w:pos="531"/>
              </w:tabs>
              <w:snapToGrid w:val="0"/>
            </w:pPr>
            <w:r>
              <w:rPr>
                <w:rFonts w:hint="eastAsia"/>
              </w:rPr>
              <w:t>（1）现场咨询：根据要求为第二十五届高交会所有到会人员，包括贵嘉宾、展商、专业观众、观众团体、支持与合作单位工作人员等提供咨询服务，包括参观指引、展会活动咨询及指引、团体观众接待、派发高交会资料、派发应急防疫物资以及其他相关配套服务工作，同时协助处理现场应急事务。</w:t>
            </w:r>
          </w:p>
          <w:p>
            <w:pPr>
              <w:numPr>
                <w:ilvl w:val="255"/>
                <w:numId w:val="0"/>
              </w:numPr>
              <w:tabs>
                <w:tab w:val="left" w:pos="531"/>
              </w:tabs>
              <w:snapToGrid w:val="0"/>
            </w:pPr>
            <w:r>
              <w:rPr>
                <w:rFonts w:hint="eastAsia"/>
              </w:rPr>
              <w:t>（2）综合事务助理：根据要求协助招标人现场项目经理开展有关现场服务点搭建、印刷资料跟进、专线交通引导、入场票证及观众邀请服务等工作相关的事务处理，跟进落实到位，确保服务效率。</w:t>
            </w:r>
          </w:p>
          <w:p>
            <w:pPr>
              <w:numPr>
                <w:ilvl w:val="255"/>
                <w:numId w:val="0"/>
              </w:numPr>
              <w:tabs>
                <w:tab w:val="left" w:pos="531"/>
              </w:tabs>
              <w:snapToGrid w:val="0"/>
            </w:pPr>
            <w:r>
              <w:rPr>
                <w:rFonts w:hint="eastAsia"/>
              </w:rPr>
              <w:t>（3）礼仪培训：按照高交会《礼仪规范》要求，并结合当届高交会现场服务的特点，对现场服务人员分6场次进行礼仪培训及演练，每场培训时长约80-100分钟，并在高交会期间对培训人员进行考评考核，由投标人每日安排督察人员按片区随机检查考核现场服务人员礼仪情况。</w:t>
            </w:r>
          </w:p>
          <w:p>
            <w:pPr>
              <w:numPr>
                <w:ilvl w:val="255"/>
                <w:numId w:val="0"/>
              </w:numPr>
              <w:tabs>
                <w:tab w:val="left" w:pos="531"/>
              </w:tabs>
              <w:snapToGrid w:val="0"/>
            </w:pPr>
            <w:r>
              <w:rPr>
                <w:rFonts w:hint="eastAsia"/>
              </w:rPr>
              <w:t>（4）参观线路引导：负责接待高交会专业观众并引导参观，同时对本届高交会的基本情况、展区情况进行介绍，配合大会完成高交会参观路线引导与接待工作。</w:t>
            </w:r>
          </w:p>
          <w:p>
            <w:pPr>
              <w:numPr>
                <w:ilvl w:val="255"/>
                <w:numId w:val="0"/>
              </w:numPr>
              <w:tabs>
                <w:tab w:val="left" w:pos="531"/>
              </w:tabs>
              <w:snapToGrid w:val="0"/>
            </w:pPr>
            <w:r>
              <w:rPr>
                <w:rFonts w:hint="eastAsia"/>
              </w:rPr>
              <w:t>（5）投标人需配备专门的管理团队对所有服务人员进行必要的管理、监督，能根据各个服务项目的情况进行合理调配，并负责培训、防疫、考勤、考核、工资、午餐等后勤支援事务。</w:t>
            </w:r>
          </w:p>
          <w:p>
            <w:pPr>
              <w:tabs>
                <w:tab w:val="left" w:pos="531"/>
              </w:tabs>
              <w:snapToGrid w:val="0"/>
            </w:pPr>
            <w:r>
              <w:rPr>
                <w:rFonts w:hint="eastAsia" w:ascii="宋体" w:hAnsi="宋体"/>
                <w:szCs w:val="21"/>
              </w:rPr>
              <w:t>（6）投标人应根据招标人要求，对服务人员工作进行明确分工，各类岗位配置书面责任要求，并在服务期间内，按照招标人的要求进行培训及考核，培训及考核内容由双方共同确认，考核结果由招标人认定。</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rPr>
              <w:t>项目管理团队要求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rPr>
                <w:rFonts w:ascii="宋体" w:hAnsi="宋体" w:cs="宋体"/>
                <w:szCs w:val="21"/>
              </w:rPr>
            </w:pPr>
            <w:r>
              <w:rPr>
                <w:rFonts w:hint="eastAsia" w:ascii="宋体" w:hAnsi="宋体"/>
                <w:szCs w:val="21"/>
              </w:rPr>
              <w:t>投标人须为本项目指定项目负责人1名（包括但不仅限于提供相应人员的姓名、联系电话、职务、简介及与本项目类似案例经历，并提供身份证复印件、近</w:t>
            </w:r>
            <w:r>
              <w:rPr>
                <w:rFonts w:ascii="宋体" w:hAnsi="宋体"/>
                <w:szCs w:val="21"/>
              </w:rPr>
              <w:t>3</w:t>
            </w:r>
            <w:r>
              <w:rPr>
                <w:rFonts w:hint="eastAsia" w:ascii="宋体" w:hAnsi="宋体"/>
                <w:szCs w:val="21"/>
              </w:rPr>
              <w:t>个月连续缴纳社保的证明材料，证明材料须包含验真码）</w:t>
            </w:r>
            <w:r>
              <w:rPr>
                <w:rFonts w:hint="eastAsia" w:ascii="宋体" w:hAnsi="宋体" w:cs="宋体"/>
                <w:szCs w:val="21"/>
              </w:rPr>
              <w:t>。</w:t>
            </w:r>
          </w:p>
          <w:p>
            <w:pPr>
              <w:tabs>
                <w:tab w:val="left" w:pos="531"/>
              </w:tabs>
              <w:snapToGrid w:val="0"/>
              <w:rPr>
                <w:rFonts w:ascii="宋体" w:hAnsi="宋体" w:cs="宋体"/>
                <w:szCs w:val="21"/>
              </w:rPr>
            </w:pPr>
            <w:r>
              <w:rPr>
                <w:rFonts w:hint="eastAsia" w:ascii="宋体" w:hAnsi="宋体"/>
              </w:rPr>
              <w:t>（2）项目团队管理成员人数不得少于3人（含项目负责人），并提供拟派项目团队人员清单</w:t>
            </w:r>
            <w:r>
              <w:rPr>
                <w:rFonts w:hint="eastAsia" w:ascii="宋体" w:hAnsi="宋体" w:cs="宋体"/>
                <w:szCs w:val="21"/>
              </w:rPr>
              <w:t>。</w:t>
            </w:r>
          </w:p>
          <w:p>
            <w:pPr>
              <w:pStyle w:val="24"/>
              <w:tabs>
                <w:tab w:val="left" w:pos="531"/>
              </w:tabs>
              <w:snapToGrid w:val="0"/>
              <w:ind w:firstLine="0" w:firstLineChars="0"/>
              <w:jc w:val="left"/>
              <w:rPr>
                <w:rFonts w:ascii="宋体" w:hAnsi="宋体" w:eastAsia="宋体" w:cs="宋体"/>
                <w:szCs w:val="21"/>
              </w:rPr>
            </w:pPr>
            <w:r>
              <w:rPr>
                <w:rFonts w:hint="eastAsia" w:ascii="宋体" w:hAnsi="宋体" w:eastAsia="宋体" w:cs="宋体"/>
                <w:szCs w:val="21"/>
              </w:rPr>
              <w:t>(4)履约期限内不得随意更换项目负责人、项目团队成员，若确需更换的，须书面报经招标人审批同意后方可更换，且更换后的人员资格条件及相关要求不得低于原配置人员。</w:t>
            </w:r>
          </w:p>
          <w:p>
            <w:pPr>
              <w:tabs>
                <w:tab w:val="left" w:pos="531"/>
              </w:tabs>
              <w:snapToGrid w:val="0"/>
              <w:rPr>
                <w:color w:val="FF0000"/>
              </w:rPr>
            </w:pPr>
            <w:r>
              <w:rPr>
                <w:rFonts w:hint="eastAsia" w:ascii="宋体" w:hAnsi="宋体" w:cs="宋体"/>
                <w:szCs w:val="21"/>
              </w:rPr>
              <w:t>说明：上述所有文件及复印件均须加盖投标人公章，所有证明资料必须真实可查、清晰可辨。凡模糊不清、不完整或未按要求提供的，均视同未提供。</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rPr>
              <w:t>服务人员要求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pPr>
            <w:r>
              <w:rPr>
                <w:rFonts w:hint="eastAsia" w:ascii="宋体" w:hAnsi="宋体" w:cs="宋体"/>
              </w:rPr>
              <w:t>（1）</w:t>
            </w:r>
            <w:r>
              <w:rPr>
                <w:rFonts w:hint="eastAsia" w:ascii="宋体" w:hAnsi="宋体"/>
                <w:szCs w:val="21"/>
              </w:rPr>
              <w:t>所有服务人员应以大专及以上院校在校生为主体，年龄均不低于18岁，有独立民事行为能力，相貌端正、发型整洁、身体健康、品行兼优、普通话发音标准，综合素质良好、现场应变能力强，有展会现场服务经验者优先考虑。</w:t>
            </w:r>
          </w:p>
          <w:p>
            <w:pPr>
              <w:tabs>
                <w:tab w:val="left" w:pos="531"/>
              </w:tabs>
              <w:snapToGrid w:val="0"/>
              <w:rPr>
                <w:rFonts w:ascii="宋体" w:hAnsi="宋体"/>
                <w:szCs w:val="21"/>
              </w:rPr>
            </w:pPr>
            <w:r>
              <w:rPr>
                <w:rFonts w:hint="eastAsia" w:ascii="宋体" w:hAnsi="宋体"/>
                <w:szCs w:val="21"/>
              </w:rPr>
              <w:t>（2）投标人需为本项目配备：</w:t>
            </w:r>
          </w:p>
          <w:p>
            <w:pPr>
              <w:tabs>
                <w:tab w:val="left" w:pos="531"/>
              </w:tabs>
              <w:snapToGrid w:val="0"/>
              <w:rPr>
                <w:rFonts w:ascii="宋体" w:hAnsi="宋体"/>
                <w:szCs w:val="21"/>
              </w:rPr>
            </w:pPr>
            <w:r>
              <w:rPr>
                <w:rFonts w:hint="eastAsia" w:ascii="宋体" w:hAnsi="宋体"/>
                <w:szCs w:val="21"/>
              </w:rPr>
              <w:t>1）现场咨询：需配现场咨询服务总助理1人，具有一定的现场咨询服务管理及经验，善于沟通协调，英语听力良好、口语流利、有现场翻译能力；</w:t>
            </w:r>
          </w:p>
          <w:p>
            <w:pPr>
              <w:tabs>
                <w:tab w:val="left" w:pos="531"/>
              </w:tabs>
              <w:snapToGrid w:val="0"/>
              <w:ind w:firstLine="420" w:firstLineChars="200"/>
              <w:rPr>
                <w:rFonts w:ascii="宋体" w:hAnsi="宋体"/>
                <w:szCs w:val="21"/>
              </w:rPr>
            </w:pPr>
            <w:r>
              <w:rPr>
                <w:rFonts w:hint="eastAsia" w:ascii="宋体" w:hAnsi="宋体"/>
                <w:szCs w:val="21"/>
              </w:rPr>
              <w:t>现场咨询服务人员不少于50人，其中男生不少于总人数的30%，具备良好英语听力和口语能力的人员数量不少于总人数数量的20%；</w:t>
            </w:r>
          </w:p>
          <w:p>
            <w:pPr>
              <w:tabs>
                <w:tab w:val="left" w:pos="531"/>
              </w:tabs>
              <w:snapToGrid w:val="0"/>
              <w:ind w:firstLine="420" w:firstLineChars="200"/>
              <w:rPr>
                <w:rFonts w:ascii="宋体" w:hAnsi="宋体"/>
                <w:szCs w:val="21"/>
              </w:rPr>
            </w:pPr>
            <w:r>
              <w:rPr>
                <w:rFonts w:hint="eastAsia" w:ascii="宋体" w:hAnsi="宋体"/>
                <w:szCs w:val="21"/>
              </w:rPr>
              <w:t>综合事务助理14人中，其中男生不少于7名且男生身高不低于170CM；</w:t>
            </w:r>
          </w:p>
          <w:p>
            <w:pPr>
              <w:tabs>
                <w:tab w:val="left" w:pos="531"/>
              </w:tabs>
              <w:snapToGrid w:val="0"/>
              <w:rPr>
                <w:rFonts w:ascii="宋体" w:hAnsi="宋体"/>
                <w:szCs w:val="21"/>
              </w:rPr>
            </w:pPr>
            <w:r>
              <w:rPr>
                <w:rFonts w:hint="eastAsia" w:ascii="宋体" w:hAnsi="宋体"/>
                <w:szCs w:val="21"/>
              </w:rPr>
              <w:t>2）礼仪培训：</w:t>
            </w:r>
            <w:r>
              <w:rPr>
                <w:rFonts w:hint="eastAsia" w:ascii="宋体" w:hAnsi="宋体" w:cs="宋体"/>
                <w:szCs w:val="21"/>
              </w:rPr>
              <w:t>本项目</w:t>
            </w:r>
            <w:r>
              <w:rPr>
                <w:rFonts w:hint="eastAsia" w:ascii="宋体" w:hAnsi="宋体"/>
                <w:szCs w:val="21"/>
              </w:rPr>
              <w:t>需配备培训老师1名</w:t>
            </w:r>
            <w:r>
              <w:rPr>
                <w:rFonts w:hint="eastAsia" w:ascii="宋体" w:hAnsi="宋体" w:cs="宋体"/>
                <w:szCs w:val="21"/>
              </w:rPr>
              <w:t>，培训师须持有培训师资格证（市级以上），以及有相关经验案例</w:t>
            </w:r>
            <w:r>
              <w:rPr>
                <w:rFonts w:hint="eastAsia" w:ascii="宋体" w:hAnsi="宋体"/>
                <w:szCs w:val="21"/>
              </w:rPr>
              <w:t>，并在会期安排现场督察。</w:t>
            </w:r>
            <w:r>
              <w:rPr>
                <w:rFonts w:hint="eastAsia" w:ascii="宋体" w:hAnsi="宋体" w:cs="宋体"/>
                <w:szCs w:val="21"/>
              </w:rPr>
              <w:t>提供包括但不仅限于该讲师的姓名、电话、职务、身份证扫描件等信息，并加盖投标人公章；</w:t>
            </w:r>
          </w:p>
          <w:p>
            <w:pPr>
              <w:tabs>
                <w:tab w:val="left" w:pos="531"/>
              </w:tabs>
              <w:snapToGrid w:val="0"/>
              <w:rPr>
                <w:rFonts w:ascii="宋体" w:hAnsi="宋体"/>
                <w:szCs w:val="21"/>
              </w:rPr>
            </w:pPr>
            <w:r>
              <w:rPr>
                <w:rFonts w:hint="eastAsia" w:ascii="宋体" w:hAnsi="宋体"/>
                <w:szCs w:val="21"/>
              </w:rPr>
              <w:t>3）参观线路引导活动服务项目负责人</w:t>
            </w:r>
            <w:r>
              <w:rPr>
                <w:rFonts w:ascii="宋体" w:hAnsi="宋体"/>
                <w:szCs w:val="21"/>
              </w:rPr>
              <w:t>1</w:t>
            </w:r>
            <w:r>
              <w:rPr>
                <w:rFonts w:hint="eastAsia" w:ascii="宋体" w:hAnsi="宋体"/>
                <w:szCs w:val="21"/>
              </w:rPr>
              <w:t>名，此人需有带队及活动策划组织工作经验，英语听说读写熟练，口语流利，有现场翻译能力，具有良好的沟通能力、执行管理能力、抗压能力和临场应变能力；</w:t>
            </w:r>
          </w:p>
          <w:p>
            <w:pPr>
              <w:tabs>
                <w:tab w:val="left" w:pos="531"/>
              </w:tabs>
              <w:snapToGrid w:val="0"/>
              <w:rPr>
                <w:rFonts w:ascii="宋体" w:hAnsi="宋体"/>
                <w:szCs w:val="21"/>
              </w:rPr>
            </w:pPr>
            <w:r>
              <w:rPr>
                <w:rFonts w:hint="eastAsia" w:ascii="宋体" w:hAnsi="宋体" w:cs="宋体"/>
                <w:szCs w:val="21"/>
              </w:rPr>
              <w:t>4）参</w:t>
            </w:r>
            <w:r>
              <w:rPr>
                <w:rFonts w:hint="eastAsia" w:ascii="宋体" w:hAnsi="宋体"/>
                <w:szCs w:val="21"/>
              </w:rPr>
              <w:t>观线路引导讲解人员</w:t>
            </w:r>
            <w:r>
              <w:rPr>
                <w:rFonts w:ascii="宋体" w:hAnsi="宋体"/>
                <w:szCs w:val="21"/>
              </w:rPr>
              <w:t>2</w:t>
            </w:r>
            <w:r>
              <w:rPr>
                <w:rFonts w:hint="eastAsia" w:ascii="宋体" w:hAnsi="宋体"/>
                <w:szCs w:val="21"/>
              </w:rPr>
              <w:t>名，需有英语口语能力，身高</w:t>
            </w:r>
            <w:r>
              <w:rPr>
                <w:rFonts w:ascii="宋体" w:hAnsi="宋体"/>
                <w:szCs w:val="21"/>
              </w:rPr>
              <w:t>160CM以上，有相关工作经验，年龄不超过28</w:t>
            </w:r>
            <w:r>
              <w:rPr>
                <w:rFonts w:hint="eastAsia" w:ascii="宋体" w:hAnsi="宋体"/>
                <w:szCs w:val="21"/>
              </w:rPr>
              <w:t>岁，女生五官端正、身体健康、发型发色整洁不浮夸、性格热情大方、开朗，综合素质良好、普通话发音标准、有一定的抗压能力和临场应变能力。</w:t>
            </w:r>
          </w:p>
          <w:p>
            <w:pPr>
              <w:pStyle w:val="24"/>
              <w:snapToGrid w:val="0"/>
              <w:ind w:firstLine="0" w:firstLineChars="0"/>
              <w:jc w:val="left"/>
              <w:rPr>
                <w:rFonts w:ascii="宋体" w:hAnsi="宋体"/>
                <w:szCs w:val="21"/>
              </w:rPr>
            </w:pPr>
            <w:r>
              <w:rPr>
                <w:rFonts w:hint="eastAsia" w:ascii="宋体" w:hAnsi="宋体" w:eastAsia="宋体" w:cs="宋体"/>
                <w:szCs w:val="21"/>
              </w:rPr>
              <w:t>（3）履约期限内不得随意更换咨询服务总助理、参观线路引导活动项目负责人、培训老师等，若确需更换的，须书面报经招标人审批同意后方可更换，且更换后的人员资格条件及相关要求不得低于原配置人员。</w:t>
            </w:r>
          </w:p>
          <w:p>
            <w:pPr>
              <w:tabs>
                <w:tab w:val="left" w:pos="531"/>
              </w:tabs>
              <w:snapToGrid w:val="0"/>
            </w:pPr>
            <w:r>
              <w:rPr>
                <w:rFonts w:hint="eastAsia"/>
              </w:rPr>
              <w:t>（4））</w:t>
            </w:r>
            <w:r>
              <w:rPr>
                <w:rFonts w:hint="eastAsia" w:ascii="宋体" w:hAnsi="宋体"/>
                <w:szCs w:val="21"/>
              </w:rPr>
              <w:t>所有服务人员上岗前均需经过培训并考核合格，未培训或考核未通过人员不得上岗。礼仪培训开展前，培训老师需与采购人进行培训内容的沟通和确认。</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项目服务时间要求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ind w:firstLine="420" w:firstLineChars="200"/>
              <w:rPr>
                <w:rFonts w:ascii="宋体" w:hAnsi="宋体"/>
                <w:szCs w:val="21"/>
              </w:rPr>
            </w:pPr>
            <w:r>
              <w:rPr>
                <w:rFonts w:hint="eastAsia" w:ascii="宋体" w:hAnsi="宋体"/>
                <w:szCs w:val="21"/>
              </w:rPr>
              <w:t>投标人应竭尽全力配合招标人，招聘此项目相匹配的服务人员，并且严格的按照招标人的人员需求和到岗时间去完成招聘工作。</w:t>
            </w:r>
          </w:p>
          <w:p>
            <w:pPr>
              <w:numPr>
                <w:ilvl w:val="255"/>
                <w:numId w:val="0"/>
              </w:numPr>
              <w:tabs>
                <w:tab w:val="left" w:pos="531"/>
              </w:tabs>
              <w:snapToGrid w:val="0"/>
            </w:pPr>
            <w:r>
              <w:rPr>
                <w:rFonts w:hint="eastAsia" w:ascii="宋体" w:hAnsi="宋体"/>
                <w:szCs w:val="21"/>
              </w:rPr>
              <w:t>（1）现场咨询：</w:t>
            </w:r>
          </w:p>
          <w:p>
            <w:pPr>
              <w:numPr>
                <w:ilvl w:val="255"/>
                <w:numId w:val="0"/>
              </w:numPr>
              <w:tabs>
                <w:tab w:val="left" w:pos="531"/>
              </w:tabs>
              <w:snapToGrid w:val="0"/>
            </w:pPr>
            <w:r>
              <w:rPr>
                <w:rFonts w:hint="eastAsia" w:ascii="Calibri" w:hAnsi="Calibri" w:cs="Calibri"/>
                <w:szCs w:val="21"/>
              </w:rPr>
              <w:t>1）</w:t>
            </w:r>
            <w:r>
              <w:rPr>
                <w:rFonts w:hint="eastAsia" w:ascii="宋体" w:hAnsi="宋体"/>
                <w:szCs w:val="21"/>
              </w:rPr>
              <w:t>咨询服务总助理，工作时间为本届高交会开幕前10天至高交会闭幕，总工作时长不超过18人*日（含加班时长）；</w:t>
            </w:r>
          </w:p>
          <w:p>
            <w:pPr>
              <w:numPr>
                <w:ilvl w:val="255"/>
                <w:numId w:val="0"/>
              </w:numPr>
              <w:tabs>
                <w:tab w:val="left" w:pos="531"/>
              </w:tabs>
              <w:snapToGrid w:val="0"/>
              <w:rPr>
                <w:rFonts w:ascii="宋体" w:hAnsi="宋体"/>
                <w:szCs w:val="21"/>
              </w:rPr>
            </w:pPr>
            <w:r>
              <w:rPr>
                <w:rFonts w:hint="eastAsia" w:ascii="Calibri" w:hAnsi="Calibri" w:cs="Calibri"/>
                <w:szCs w:val="21"/>
              </w:rPr>
              <w:t>2）</w:t>
            </w:r>
            <w:r>
              <w:rPr>
                <w:rFonts w:hint="eastAsia" w:ascii="宋体" w:hAnsi="宋体"/>
                <w:szCs w:val="21"/>
              </w:rPr>
              <w:t>现场咨询人员工作时间为本届高交会开开幕前2天起至高交会闭幕，总工作时长不超过380人*日（含加班时长）；</w:t>
            </w:r>
          </w:p>
          <w:p>
            <w:pPr>
              <w:numPr>
                <w:ilvl w:val="255"/>
                <w:numId w:val="0"/>
              </w:numPr>
              <w:tabs>
                <w:tab w:val="left" w:pos="531"/>
              </w:tabs>
              <w:snapToGrid w:val="0"/>
              <w:rPr>
                <w:rFonts w:ascii="宋体" w:hAnsi="宋体"/>
                <w:szCs w:val="21"/>
              </w:rPr>
            </w:pPr>
            <w:r>
              <w:rPr>
                <w:rFonts w:hint="eastAsia" w:ascii="Calibri" w:hAnsi="Calibri" w:cs="Calibri"/>
                <w:szCs w:val="21"/>
              </w:rPr>
              <w:t>3）</w:t>
            </w:r>
            <w:r>
              <w:rPr>
                <w:rFonts w:hint="eastAsia" w:ascii="宋体" w:hAnsi="宋体"/>
                <w:szCs w:val="21"/>
              </w:rPr>
              <w:t>综合事务助理工作时间为与招标人签约之日起，根据招标人需求计划派遣服务人员，配合招标人工作至本届高交会闭幕后30天，总工作时长不超过720人*日（含加班时长）；</w:t>
            </w:r>
          </w:p>
          <w:p>
            <w:pPr>
              <w:numPr>
                <w:ilvl w:val="255"/>
                <w:numId w:val="0"/>
              </w:numPr>
              <w:tabs>
                <w:tab w:val="left" w:pos="531"/>
              </w:tabs>
              <w:snapToGrid w:val="0"/>
              <w:rPr>
                <w:rFonts w:ascii="宋体" w:hAnsi="宋体"/>
                <w:szCs w:val="21"/>
              </w:rPr>
            </w:pPr>
            <w:r>
              <w:rPr>
                <w:rFonts w:hint="eastAsia" w:ascii="宋体" w:hAnsi="宋体" w:cs="宋体"/>
                <w:szCs w:val="21"/>
              </w:rPr>
              <w:t>4）</w:t>
            </w:r>
            <w:r>
              <w:rPr>
                <w:rFonts w:hint="eastAsia" w:ascii="宋体" w:hAnsi="宋体"/>
                <w:szCs w:val="21"/>
              </w:rPr>
              <w:t>投标人需确保所有服务人员按时到岗和出勤，考勤表及加班表须由招标人进行确认。如因服务人员未按时按量到岗，影响工作正常开展，则按合同规定进行处罚。</w:t>
            </w:r>
          </w:p>
          <w:p>
            <w:pPr>
              <w:numPr>
                <w:ilvl w:val="255"/>
                <w:numId w:val="0"/>
              </w:numPr>
              <w:tabs>
                <w:tab w:val="left" w:pos="531"/>
              </w:tabs>
              <w:snapToGrid w:val="0"/>
            </w:pPr>
            <w:r>
              <w:rPr>
                <w:rFonts w:hint="eastAsia"/>
              </w:rPr>
              <w:t>（2）礼仪培训：</w:t>
            </w:r>
          </w:p>
          <w:p>
            <w:pPr>
              <w:numPr>
                <w:ilvl w:val="255"/>
                <w:numId w:val="0"/>
              </w:numPr>
              <w:tabs>
                <w:tab w:val="left" w:pos="531"/>
              </w:tabs>
              <w:snapToGrid w:val="0"/>
              <w:rPr>
                <w:rFonts w:ascii="宋体" w:hAnsi="宋体" w:cs="宋体"/>
                <w:szCs w:val="21"/>
              </w:rPr>
            </w:pPr>
            <w:r>
              <w:rPr>
                <w:rFonts w:hint="eastAsia" w:ascii="Calibri" w:hAnsi="Calibri" w:cs="Calibri"/>
              </w:rPr>
              <w:t>1）</w:t>
            </w:r>
            <w:r>
              <w:rPr>
                <w:rFonts w:hint="eastAsia" w:ascii="宋体" w:hAnsi="宋体" w:cs="宋体"/>
                <w:szCs w:val="21"/>
              </w:rPr>
              <w:t>高交会现场开展礼仪培训6场，每场培训时长约为80-100分钟。</w:t>
            </w:r>
          </w:p>
          <w:p>
            <w:pPr>
              <w:numPr>
                <w:ilvl w:val="255"/>
                <w:numId w:val="0"/>
              </w:numPr>
              <w:tabs>
                <w:tab w:val="left" w:pos="531"/>
              </w:tabs>
              <w:snapToGrid w:val="0"/>
              <w:rPr>
                <w:rFonts w:ascii="宋体" w:hAnsi="宋体" w:cs="宋体"/>
                <w:szCs w:val="21"/>
              </w:rPr>
            </w:pPr>
            <w:r>
              <w:rPr>
                <w:rFonts w:hint="eastAsia" w:ascii="Calibri" w:hAnsi="Calibri" w:cs="Calibri"/>
                <w:szCs w:val="21"/>
              </w:rPr>
              <w:t>2）</w:t>
            </w:r>
            <w:r>
              <w:rPr>
                <w:rFonts w:hint="eastAsia" w:ascii="宋体" w:hAnsi="宋体" w:cs="宋体"/>
                <w:szCs w:val="21"/>
              </w:rPr>
              <w:t>高交会期间，投标人须对现场服务人员礼仪表现，据实进行现场考核考评并出具评估表（一人一表），被评估数量不低于100人次。</w:t>
            </w:r>
          </w:p>
          <w:p>
            <w:pPr>
              <w:numPr>
                <w:ilvl w:val="255"/>
                <w:numId w:val="0"/>
              </w:numPr>
              <w:tabs>
                <w:tab w:val="left" w:pos="531"/>
              </w:tabs>
              <w:snapToGrid w:val="0"/>
              <w:rPr>
                <w:rFonts w:ascii="宋体" w:hAnsi="宋体" w:cs="宋体"/>
                <w:szCs w:val="21"/>
              </w:rPr>
            </w:pPr>
            <w:r>
              <w:rPr>
                <w:rFonts w:hint="eastAsia" w:ascii="宋体" w:hAnsi="宋体" w:cs="宋体"/>
                <w:szCs w:val="21"/>
              </w:rPr>
              <w:t>（3）参观路线引导：</w:t>
            </w:r>
          </w:p>
          <w:p>
            <w:pPr>
              <w:numPr>
                <w:ilvl w:val="255"/>
                <w:numId w:val="0"/>
              </w:numPr>
              <w:tabs>
                <w:tab w:val="left" w:pos="531"/>
              </w:tabs>
              <w:snapToGrid w:val="0"/>
              <w:rPr>
                <w:rFonts w:ascii="宋体" w:hAnsi="宋体" w:cs="宋体"/>
                <w:szCs w:val="21"/>
              </w:rPr>
            </w:pPr>
            <w:r>
              <w:rPr>
                <w:rFonts w:hint="eastAsia" w:ascii="宋体" w:hAnsi="宋体" w:cs="宋体"/>
                <w:szCs w:val="21"/>
              </w:rPr>
              <w:t>1）参观路线引导项目负责人，工作时间为本届高交会开幕前9天起至高交会闭幕，总工作时长不超过15人*日（含加班时长）；</w:t>
            </w:r>
          </w:p>
          <w:p>
            <w:pPr>
              <w:numPr>
                <w:ilvl w:val="255"/>
                <w:numId w:val="0"/>
              </w:numPr>
              <w:tabs>
                <w:tab w:val="left" w:pos="531"/>
              </w:tabs>
              <w:snapToGrid w:val="0"/>
            </w:pPr>
            <w:r>
              <w:rPr>
                <w:rFonts w:hint="eastAsia" w:ascii="宋体" w:hAnsi="宋体" w:cs="宋体"/>
                <w:szCs w:val="21"/>
              </w:rPr>
              <w:t>2）讲解引导人员的工作时间为本届高交会开幕前3天起至高交会闭幕，总工作时长不超过16人*日（含加班时长）</w:t>
            </w:r>
            <w:r>
              <w:rPr>
                <w:rFonts w:hint="eastAsia" w:ascii="宋体" w:hAnsi="宋体"/>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项目运行要求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snapToGrid w:val="0"/>
              <w:ind w:left="0" w:firstLine="0"/>
            </w:pPr>
            <w:r>
              <w:rPr>
                <w:rFonts w:hint="eastAsia"/>
              </w:rPr>
              <w:t>投标人与服务人员之间的雇佣关系须合法，并为之统一购买意外保险，不得有违反劳动法及其他相关法律法规的行为和情节。</w:t>
            </w:r>
          </w:p>
          <w:p>
            <w:pPr>
              <w:numPr>
                <w:ilvl w:val="0"/>
                <w:numId w:val="15"/>
              </w:numPr>
              <w:snapToGrid w:val="0"/>
              <w:ind w:left="0" w:firstLine="0"/>
              <w:rPr>
                <w:rFonts w:ascii="宋体" w:hAnsi="宋体"/>
                <w:szCs w:val="21"/>
              </w:rPr>
            </w:pPr>
            <w:r>
              <w:rPr>
                <w:rFonts w:hint="eastAsia" w:ascii="宋体" w:hAnsi="宋体"/>
                <w:szCs w:val="21"/>
              </w:rPr>
              <w:t>投标人根据招标人要求、展期现场观众人流情况、服务人员工作质量、服务人员缺岗情况等及时进行人员和物资调配，保障工作有序进行。</w:t>
            </w:r>
          </w:p>
          <w:p>
            <w:pPr>
              <w:numPr>
                <w:ilvl w:val="0"/>
                <w:numId w:val="15"/>
              </w:numPr>
              <w:snapToGrid w:val="0"/>
              <w:ind w:left="0" w:firstLine="0"/>
              <w:rPr>
                <w:rFonts w:ascii="宋体" w:hAnsi="宋体"/>
                <w:szCs w:val="21"/>
              </w:rPr>
            </w:pPr>
            <w:r>
              <w:rPr>
                <w:rFonts w:hint="eastAsia" w:ascii="宋体" w:hAnsi="宋体"/>
                <w:szCs w:val="21"/>
              </w:rPr>
              <w:t>投标人与招标人共同协商并确定《现场咨询服务工作手册》及《高交会咨询资料册》，所有服务人员应统一遵守执行，按章提供咨询服务，服从管理调度。</w:t>
            </w:r>
          </w:p>
          <w:p>
            <w:pPr>
              <w:numPr>
                <w:ilvl w:val="0"/>
                <w:numId w:val="15"/>
              </w:numPr>
              <w:snapToGrid w:val="0"/>
              <w:ind w:left="0" w:firstLine="0"/>
              <w:rPr>
                <w:rFonts w:ascii="宋体" w:hAnsi="宋体"/>
                <w:szCs w:val="21"/>
              </w:rPr>
            </w:pPr>
            <w:r>
              <w:rPr>
                <w:rFonts w:hint="eastAsia" w:ascii="宋体" w:hAnsi="宋体"/>
                <w:szCs w:val="21"/>
              </w:rPr>
              <w:t>投标人需建立有效的即时沟通渠道和事件汇报机制，在人员考勤、物资分发、午餐轮休安排、特殊问题解决、突发事件处理等关键点保障服务运行的正常监管。如因疏忽、迟报、隐瞒等沟通不畅造成招标人损失或不良影响的，招标人保留损失追偿和责任追究的权利。</w:t>
            </w:r>
          </w:p>
          <w:p>
            <w:pPr>
              <w:numPr>
                <w:ilvl w:val="0"/>
                <w:numId w:val="15"/>
              </w:numPr>
              <w:snapToGrid w:val="0"/>
              <w:rPr>
                <w:rFonts w:ascii="宋体" w:hAnsi="宋体" w:eastAsia="仿宋" w:cs="宋体"/>
                <w:sz w:val="28"/>
                <w:szCs w:val="21"/>
              </w:rPr>
            </w:pPr>
            <w:r>
              <w:rPr>
                <w:rFonts w:hint="eastAsia" w:ascii="宋体" w:hAnsi="宋体"/>
                <w:szCs w:val="21"/>
              </w:rPr>
              <w:t>投标人应按照适当比例安排与本项目规模相适应的、可随时调用的应急储备人员，以应对在岗人员出现突发状况的紧急情形。</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报告要求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pPr>
            <w:r>
              <w:rPr>
                <w:rFonts w:hint="eastAsia"/>
              </w:rPr>
              <w:t>（1）总结报告要求于当届高交会结束后15天内提供，包含但不限于现场咨询、参观线路引导讲解、礼仪培训等工作情况陈述与分析、咨询热点陈述与分析、服务人员工作表现、特殊及急应事件的描述与处理结果、工作亮点或存在问题陈述及分析、对大会今后的建议等。</w:t>
            </w:r>
          </w:p>
          <w:p>
            <w:pPr>
              <w:tabs>
                <w:tab w:val="left" w:pos="531"/>
              </w:tabs>
              <w:snapToGrid w:val="0"/>
              <w:rPr>
                <w:rFonts w:ascii="宋体" w:hAnsi="宋体"/>
              </w:rPr>
            </w:pPr>
            <w:r>
              <w:rPr>
                <w:rFonts w:hint="eastAsia"/>
              </w:rPr>
              <w:t>（2）现场咨询业务在展期期间需提供日报，日报内容需包括各咨询点当日的工作量、咨询问题分类统计、咨询热点、物资库存等数据，同时应包括特殊咨询及应急事件，日报要求展会当日19:00前提供。</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spacing w:val="-5"/>
                <w:kern w:val="0"/>
                <w:szCs w:val="21"/>
              </w:rPr>
            </w:pPr>
            <w:r>
              <w:rPr>
                <w:rFonts w:hint="eastAsia" w:ascii="宋体" w:hAnsi="宋体" w:cs="宋体"/>
                <w:spacing w:val="-5"/>
                <w:kern w:val="0"/>
                <w:szCs w:val="21"/>
              </w:rPr>
              <w:t>（1）本项目合同执行期间，涉及观众咨询事项、事务处置等所有信息及一切统计资料、数据等的所有权和知识产权均为招标人所有，属招标人之商业秘密，严禁投标人以任何形式私自截留、备份或对外泄露。</w:t>
            </w:r>
          </w:p>
          <w:p>
            <w:pPr>
              <w:tabs>
                <w:tab w:val="left" w:pos="531"/>
              </w:tabs>
              <w:snapToGrid w:val="0"/>
              <w:rPr>
                <w:rFonts w:ascii="宋体" w:hAnsi="宋体" w:cs="宋体"/>
                <w:spacing w:val="-5"/>
                <w:kern w:val="0"/>
                <w:szCs w:val="21"/>
              </w:rPr>
            </w:pPr>
            <w:r>
              <w:rPr>
                <w:rFonts w:hint="eastAsia" w:ascii="宋体" w:hAnsi="宋体" w:cs="宋体"/>
                <w:spacing w:val="-5"/>
                <w:kern w:val="0"/>
                <w:szCs w:val="21"/>
              </w:rPr>
              <w:t>（2）投标人应对服务人员进行保密意识及要求的培训，确保服务人员在工作执行过程遵守上述保密原则。</w:t>
            </w:r>
          </w:p>
          <w:p>
            <w:pPr>
              <w:tabs>
                <w:tab w:val="left" w:pos="531"/>
              </w:tabs>
              <w:snapToGrid w:val="0"/>
              <w:rPr>
                <w:rFonts w:ascii="宋体" w:hAnsi="宋体"/>
              </w:rPr>
            </w:pPr>
            <w:r>
              <w:rPr>
                <w:rFonts w:hint="eastAsia" w:ascii="宋体" w:hAnsi="宋体" w:cs="宋体"/>
                <w:spacing w:val="-5"/>
                <w:kern w:val="0"/>
                <w:szCs w:val="21"/>
              </w:rPr>
              <w:t>（3）投标人应对未发放物资进行封闭式库存管理，做好出入库登记。相关物资</w:t>
            </w:r>
            <w:r>
              <w:rPr>
                <w:rFonts w:hint="eastAsia" w:ascii="宋体" w:hAnsi="宋体"/>
                <w:szCs w:val="21"/>
              </w:rPr>
              <w:t>出现意外丢失、人为损毁等情况，投标人应承担经济赔偿责任与相应后果。</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1"/>
              </w:tabs>
              <w:snapToGrid w:val="0"/>
              <w:rPr>
                <w:rFonts w:ascii="宋体" w:hAnsi="宋体"/>
                <w:szCs w:val="21"/>
              </w:rPr>
            </w:pPr>
            <w:r>
              <w:rPr>
                <w:rFonts w:hint="eastAsia" w:ascii="宋体" w:hAnsi="宋体"/>
                <w:szCs w:val="21"/>
              </w:rPr>
              <w:t>投标人须与大会签订相应安全责任书。</w:t>
            </w:r>
          </w:p>
          <w:p>
            <w:pPr>
              <w:tabs>
                <w:tab w:val="left" w:pos="531"/>
              </w:tabs>
              <w:snapToGrid w:val="0"/>
              <w:rPr>
                <w:rFonts w:ascii="宋体" w:hAnsi="宋体"/>
                <w:szCs w:val="21"/>
              </w:rPr>
            </w:pPr>
            <w:r>
              <w:rPr>
                <w:rFonts w:hint="eastAsia" w:ascii="宋体" w:hAnsi="宋体"/>
                <w:szCs w:val="21"/>
              </w:rPr>
              <w:t>（2）投标人须建立安全责任制，进入现场的工作人员须遵守国家、属地政府及深圳会展中心的相关规章制度，采取有效的措施保障现场的安全、维护现场的正常工作秩序，在服务过程中要做好人员保护，确保服务过程中不出现人身安全事故、火灾事故和财产损失等重大安全事故。如因投标人管理不善、组织不力或监管缺失等造成安全责任事故及财产损失的，由投标人自行承担全部法律及经济赔偿责任。</w:t>
            </w:r>
          </w:p>
          <w:p>
            <w:pPr>
              <w:tabs>
                <w:tab w:val="left" w:pos="531"/>
              </w:tabs>
              <w:snapToGrid w:val="0"/>
            </w:pPr>
            <w:r>
              <w:rPr>
                <w:rFonts w:hint="eastAsia" w:ascii="宋体" w:hAnsi="宋体"/>
                <w:szCs w:val="21"/>
              </w:rPr>
              <w:t>（3）投标人应配合招标人开展现场应急预案的制定与会前演练。</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9</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rPr>
                <w:rFonts w:ascii="宋体" w:eastAsia="宋体" w:cs="宋体"/>
                <w:szCs w:val="21"/>
              </w:rPr>
            </w:pPr>
            <w:r>
              <w:rPr>
                <w:rFonts w:hint="eastAsia" w:ascii="宋体" w:eastAsia="宋体" w:cs="宋体"/>
                <w:szCs w:val="21"/>
              </w:rPr>
              <w:t>提供服务方案：包括整体实施方案和工作计划，包括但不限于项目管理团队名单、分工岗位及职责说明、项目实施进度安排、项目服务流程、服务岗位设置及人员数量、考勤考核要求、现场工作制度、管理制度、现场咨询服务应急预案，明确解决周期及解决办法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bl>
    <w:p>
      <w:pPr>
        <w:numPr>
          <w:ilvl w:val="-1"/>
          <w:numId w:val="0"/>
        </w:numPr>
        <w:jc w:val="left"/>
        <w:outlineLvl w:val="1"/>
        <w:rPr>
          <w:rFonts w:ascii="宋体" w:hAnsi="宋体"/>
          <w:b/>
          <w:szCs w:val="21"/>
        </w:rPr>
      </w:pPr>
      <w:bookmarkStart w:id="38" w:name="_Toc82684600"/>
      <w:bookmarkEnd w:id="38"/>
      <w:bookmarkStart w:id="39" w:name="_Toc82684715"/>
      <w:bookmarkEnd w:id="39"/>
      <w:bookmarkStart w:id="40" w:name="_Toc82685552"/>
      <w:bookmarkEnd w:id="40"/>
      <w:bookmarkStart w:id="41" w:name="_Toc82591996"/>
      <w:bookmarkEnd w:id="41"/>
      <w:bookmarkStart w:id="42"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2"/>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auto"/>
          <w:highlight w:val="none"/>
        </w:rPr>
      </w:pPr>
      <w:r>
        <w:rPr>
          <w:rFonts w:hint="eastAsia"/>
          <w:color w:val="auto"/>
          <w:highlight w:val="none"/>
        </w:rPr>
        <w:t>无</w:t>
      </w: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16550352"/>
      <w:bookmarkStart w:id="49" w:name="_Toc104994642"/>
      <w:r>
        <w:rPr>
          <w:rFonts w:hint="eastAsia"/>
          <w:b/>
        </w:rPr>
        <w:t>评标阶段</w:t>
      </w:r>
      <w:bookmarkEnd w:id="48"/>
      <w:bookmarkEnd w:id="49"/>
    </w:p>
    <w:p>
      <w:pPr>
        <w:pStyle w:val="24"/>
        <w:numPr>
          <w:ilvl w:val="0"/>
          <w:numId w:val="18"/>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30%</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30%</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9"/>
        </w:numPr>
        <w:spacing w:beforeLines="50"/>
        <w:ind w:left="720" w:hanging="720"/>
        <w:jc w:val="left"/>
        <w:outlineLvl w:val="2"/>
        <w:rPr>
          <w:rStyle w:val="31"/>
          <w:rFonts w:ascii="宋体" w:hAnsi="宋体"/>
          <w:b/>
          <w:spacing w:val="-5"/>
          <w:kern w:val="0"/>
          <w:sz w:val="20"/>
          <w:szCs w:val="21"/>
        </w:rPr>
      </w:pPr>
      <w:bookmarkStart w:id="52" w:name="_Toc116550355"/>
      <w:r>
        <w:rPr>
          <w:rStyle w:val="31"/>
          <w:rFonts w:hint="eastAsia" w:ascii="宋体" w:hAnsi="宋体"/>
          <w:b/>
          <w:bCs/>
          <w:szCs w:val="21"/>
        </w:rPr>
        <w:t>符合性检查</w:t>
      </w:r>
      <w:bookmarkEnd w:id="5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240" w:lineRule="auto"/>
              <w:ind w:firstLine="420" w:firstLineChars="200"/>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240" w:lineRule="auto"/>
              <w:ind w:firstLine="420" w:firstLineChars="200"/>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1"/>
                <w:numId w:val="0"/>
              </w:numPr>
              <w:tabs>
                <w:tab w:val="left" w:pos="531"/>
              </w:tabs>
              <w:snapToGrid w:val="0"/>
              <w:ind w:left="0" w:firstLine="0"/>
              <w:rPr>
                <w:rFonts w:hint="eastAsia" w:ascii="宋体" w:hAnsi="宋体"/>
                <w:szCs w:val="21"/>
              </w:rPr>
            </w:pPr>
            <w:r>
              <w:rPr>
                <w:rFonts w:hint="eastAsia" w:ascii="宋体" w:hAnsi="宋体" w:cs="Times New Roman"/>
                <w:szCs w:val="21"/>
                <w:lang w:eastAsia="zh-CN"/>
              </w:rPr>
              <w:t>（</w:t>
            </w:r>
            <w:r>
              <w:rPr>
                <w:rFonts w:hint="eastAsia" w:ascii="宋体" w:hAnsi="宋体" w:cs="Times New Roman"/>
                <w:szCs w:val="21"/>
                <w:lang w:val="en-US" w:eastAsia="zh-CN"/>
              </w:rPr>
              <w:t>1</w:t>
            </w:r>
            <w:r>
              <w:rPr>
                <w:rFonts w:hint="eastAsia" w:ascii="宋体" w:hAnsi="宋体" w:cs="Times New Roman"/>
                <w:szCs w:val="21"/>
                <w:lang w:eastAsia="zh-CN"/>
              </w:rPr>
              <w:t>）</w:t>
            </w:r>
            <w:r>
              <w:rPr>
                <w:rFonts w:hint="eastAsia" w:ascii="宋体" w:hAnsi="宋体" w:cs="Times New Roman"/>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ind w:left="0" w:firstLine="0" w:firstLine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投标人代表必须是投标人的法定代表人或持有法定代表人亲自签署的法人授权委托证明书的人员。（提供法定代表人证明书、法人授权委托证明书</w:t>
            </w:r>
            <w:r>
              <w:rPr>
                <w:rFonts w:hint="eastAsia" w:ascii="宋体" w:hAnsi="宋体" w:cs="Times New Roman"/>
                <w:szCs w:val="21"/>
              </w:rPr>
              <w:t>及法定代表人、被委托人身份证扫描件并加投标人位公章；</w:t>
            </w:r>
            <w:r>
              <w:rPr>
                <w:rFonts w:hint="eastAsia" w:ascii="宋体" w:hAnsi="宋体"/>
                <w:szCs w:val="21"/>
              </w:rPr>
              <w:t>如单位法定代表人为本项目授权代表，则仅提供法定代表人证明书及身份证复印件，各证明书须加盖公章，身份证原件备查）。</w:t>
            </w:r>
          </w:p>
          <w:p>
            <w:pPr>
              <w:numPr>
                <w:ilvl w:val="-1"/>
                <w:numId w:val="0"/>
              </w:numPr>
              <w:tabs>
                <w:tab w:val="left" w:pos="531"/>
              </w:tabs>
              <w:snapToGrid w:val="0"/>
              <w:ind w:left="0" w:firstLine="0" w:firstLineChars="0"/>
              <w:rPr>
                <w:color w:val="auto"/>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cs="Times New Roman"/>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olor w:val="auto"/>
                <w:szCs w:val="21"/>
                <w:highlight w:val="none"/>
              </w:rPr>
              <w:t>44</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p>
      <w:pPr>
        <w:numPr>
          <w:ilvl w:val="-1"/>
          <w:numId w:val="0"/>
        </w:numPr>
        <w:spacing w:beforeLines="50"/>
        <w:ind w:left="0" w:firstLine="0"/>
        <w:jc w:val="left"/>
        <w:outlineLvl w:val="2"/>
        <w:rPr>
          <w:rStyle w:val="31"/>
          <w:rFonts w:ascii="宋体" w:hAnsi="宋体"/>
          <w:b/>
          <w:bCs/>
          <w:szCs w:val="21"/>
        </w:rPr>
      </w:pPr>
      <w:bookmarkStart w:id="53" w:name="_Toc114675512"/>
      <w:bookmarkStart w:id="54" w:name="_Toc116550356"/>
    </w:p>
    <w:p>
      <w:pPr>
        <w:numPr>
          <w:ilvl w:val="0"/>
          <w:numId w:val="19"/>
        </w:numPr>
        <w:spacing w:beforeLines="50"/>
        <w:ind w:left="720" w:hanging="720"/>
        <w:jc w:val="left"/>
        <w:outlineLvl w:val="2"/>
        <w:rPr>
          <w:rStyle w:val="31"/>
          <w:rFonts w:ascii="宋体" w:hAnsi="宋体"/>
          <w:b/>
          <w:bCs/>
          <w:szCs w:val="21"/>
        </w:rPr>
      </w:pPr>
      <w:r>
        <w:rPr>
          <w:rStyle w:val="31"/>
          <w:rFonts w:hint="eastAsia" w:ascii="宋体" w:hAnsi="宋体"/>
          <w:b/>
          <w:bCs/>
          <w:szCs w:val="21"/>
        </w:rPr>
        <w:t>不可偏离项检查</w:t>
      </w:r>
      <w:bookmarkEnd w:id="53"/>
      <w:bookmarkEnd w:id="54"/>
    </w:p>
    <w:p>
      <w:pPr>
        <w:pStyle w:val="2"/>
        <w:rPr>
          <w:rFonts w:hint="eastAsia" w:ascii="宋体" w:hAnsi="宋体"/>
          <w:sz w:val="21"/>
          <w:szCs w:val="21"/>
        </w:rPr>
      </w:pPr>
      <w:r>
        <w:rPr>
          <w:rFonts w:hint="eastAsia" w:ascii="宋体" w:hAnsi="宋体"/>
          <w:sz w:val="21"/>
          <w:szCs w:val="21"/>
        </w:rPr>
        <w:t>检查内容详见第四条《项目要求》之（一）《商务需求》、（二）技术/服务需求。</w:t>
      </w:r>
    </w:p>
    <w:p>
      <w:pPr>
        <w:numPr>
          <w:ilvl w:val="0"/>
          <w:numId w:val="19"/>
        </w:numPr>
        <w:spacing w:beforeLines="50"/>
        <w:ind w:left="720" w:hanging="720"/>
        <w:jc w:val="left"/>
        <w:outlineLvl w:val="2"/>
        <w:rPr>
          <w:rFonts w:ascii="宋体" w:hAnsi="宋体"/>
          <w:b/>
          <w:bCs/>
          <w:szCs w:val="21"/>
        </w:rPr>
      </w:pPr>
      <w:r>
        <w:rPr>
          <w:rStyle w:val="31"/>
          <w:rFonts w:hint="eastAsia" w:ascii="宋体" w:hAnsi="宋体"/>
          <w:b/>
          <w:bCs/>
          <w:szCs w:val="21"/>
        </w:rPr>
        <w:t>综合评议指标表</w:t>
      </w:r>
    </w:p>
    <w:tbl>
      <w:tblPr>
        <w:tblStyle w:val="16"/>
        <w:tblpPr w:leftFromText="180" w:rightFromText="180" w:vertAnchor="text" w:horzAnchor="page" w:tblpX="1342" w:tblpY="65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5" w:name="_Toc116550357"/>
            <w:bookmarkStart w:id="56" w:name="_Toc114675513"/>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color w:val="auto"/>
                <w:szCs w:val="21"/>
                <w:highlight w:val="none"/>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szCs w:val="21"/>
              </w:rPr>
            </w:pPr>
            <w:r>
              <w:rPr>
                <w:rFonts w:hint="eastAsia"/>
              </w:rPr>
              <w:t>综合实力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10分</w:t>
            </w:r>
          </w:p>
        </w:tc>
        <w:tc>
          <w:tcPr>
            <w:tcW w:w="6804" w:type="dxa"/>
            <w:gridSpan w:val="2"/>
            <w:tcBorders>
              <w:tl2br w:val="nil"/>
              <w:tr2bl w:val="nil"/>
            </w:tcBorders>
            <w:tcMar>
              <w:top w:w="15" w:type="dxa"/>
              <w:left w:w="15" w:type="dxa"/>
              <w:bottom w:w="15" w:type="dxa"/>
              <w:right w:w="15" w:type="dxa"/>
            </w:tcMar>
            <w:vAlign w:val="center"/>
          </w:tcPr>
          <w:p>
            <w:pPr>
              <w:numPr>
                <w:ilvl w:val="0"/>
                <w:numId w:val="21"/>
              </w:numPr>
              <w:rPr>
                <w:rFonts w:ascii="宋体" w:hAnsi="宋体"/>
                <w:szCs w:val="21"/>
              </w:rPr>
            </w:pPr>
            <w:r>
              <w:rPr>
                <w:rFonts w:hint="eastAsia" w:ascii="宋体" w:hAnsi="宋体"/>
                <w:szCs w:val="21"/>
              </w:rPr>
              <w:t>根据投标人提供的服务过的客户、资源及优势，资质证书、荣誉证书等进行综合评议，第一名得3分，第二名得2分，第三名得1分，其他名次不得分；</w:t>
            </w:r>
          </w:p>
          <w:p>
            <w:pPr>
              <w:numPr>
                <w:ilvl w:val="0"/>
                <w:numId w:val="21"/>
              </w:numPr>
              <w:rPr>
                <w:rFonts w:ascii="宋体" w:hAnsi="宋体"/>
                <w:szCs w:val="21"/>
              </w:rPr>
            </w:pPr>
            <w:r>
              <w:rPr>
                <w:rFonts w:hint="eastAsia" w:ascii="宋体" w:hAnsi="宋体" w:cs="宋体"/>
                <w:szCs w:val="21"/>
              </w:rPr>
              <w:t>根据</w:t>
            </w:r>
            <w:r>
              <w:rPr>
                <w:rFonts w:hint="eastAsia" w:ascii="宋体" w:hAnsi="宋体" w:cs="宋体"/>
                <w:szCs w:val="21"/>
                <w:lang w:val="zh-CN"/>
              </w:rPr>
              <w:t>投标人缴纳社保</w:t>
            </w:r>
            <w:r>
              <w:rPr>
                <w:rFonts w:hint="eastAsia" w:ascii="宋体" w:hAnsi="宋体" w:cs="宋体"/>
                <w:szCs w:val="21"/>
              </w:rPr>
              <w:t>的人员数量进行横向比较</w:t>
            </w:r>
            <w:r>
              <w:rPr>
                <w:rFonts w:hint="eastAsia" w:ascii="宋体" w:hAnsi="宋体" w:cs="宋体"/>
                <w:szCs w:val="21"/>
                <w:lang w:val="zh-CN"/>
              </w:rPr>
              <w:t>，</w:t>
            </w:r>
            <w:r>
              <w:rPr>
                <w:rFonts w:hint="eastAsia" w:ascii="宋体" w:hAnsi="宋体"/>
                <w:szCs w:val="21"/>
              </w:rPr>
              <w:t>第一名得5分，第二名得3分，第三名得1分，其他名次不得分；</w:t>
            </w:r>
          </w:p>
          <w:p>
            <w:pPr>
              <w:numPr>
                <w:ilvl w:val="0"/>
                <w:numId w:val="21"/>
              </w:numPr>
              <w:rPr>
                <w:rFonts w:ascii="宋体" w:hAnsi="宋体"/>
                <w:szCs w:val="21"/>
              </w:rPr>
            </w:pPr>
            <w:r>
              <w:rPr>
                <w:rFonts w:hint="eastAsia" w:ascii="宋体" w:hAnsi="宋体"/>
                <w:szCs w:val="21"/>
              </w:rPr>
              <w:t>投标人持有有效的质量管理体系认证证书，得2分；</w:t>
            </w:r>
          </w:p>
          <w:p>
            <w:pPr>
              <w:rPr>
                <w:rFonts w:ascii="宋体" w:hAnsi="宋体"/>
                <w:szCs w:val="21"/>
              </w:rPr>
            </w:pPr>
            <w:r>
              <w:rPr>
                <w:rFonts w:hint="eastAsia" w:ascii="宋体" w:hAnsi="宋体"/>
                <w:szCs w:val="21"/>
              </w:rPr>
              <w:t>备注：</w:t>
            </w:r>
          </w:p>
          <w:p>
            <w:pPr>
              <w:numPr>
                <w:ilvl w:val="0"/>
                <w:numId w:val="22"/>
              </w:numPr>
              <w:rPr>
                <w:rFonts w:ascii="宋体" w:hAnsi="宋体" w:cs="宋体"/>
                <w:szCs w:val="21"/>
              </w:rPr>
            </w:pPr>
            <w:r>
              <w:rPr>
                <w:rFonts w:hint="eastAsia" w:ascii="宋体" w:hAnsi="宋体" w:cs="宋体"/>
                <w:szCs w:val="21"/>
              </w:rPr>
              <w:t>提供本项目公告发布之日前一个月的社保证明资料</w:t>
            </w:r>
            <w:r>
              <w:rPr>
                <w:rFonts w:hint="eastAsia" w:ascii="宋体" w:hAnsi="宋体" w:cs="宋体"/>
                <w:szCs w:val="21"/>
                <w:lang w:val="zh-CN"/>
              </w:rPr>
              <w:t>（或社保部门出具的能体现企业参保总人数</w:t>
            </w:r>
            <w:r>
              <w:rPr>
                <w:rFonts w:hint="eastAsia" w:ascii="宋体" w:hAnsi="宋体" w:cs="宋体"/>
                <w:szCs w:val="21"/>
              </w:rPr>
              <w:t>的证明资料</w:t>
            </w:r>
            <w:r>
              <w:rPr>
                <w:rFonts w:hint="eastAsia" w:ascii="宋体" w:hAnsi="宋体" w:cs="宋体"/>
                <w:szCs w:val="21"/>
                <w:lang w:val="zh-CN"/>
              </w:rPr>
              <w:t>）</w:t>
            </w:r>
            <w:r>
              <w:rPr>
                <w:rFonts w:hint="eastAsia" w:ascii="宋体" w:hAnsi="宋体" w:cs="宋体"/>
                <w:szCs w:val="21"/>
              </w:rPr>
              <w:t>，需保留验真码；</w:t>
            </w:r>
          </w:p>
          <w:p>
            <w:pPr>
              <w:numPr>
                <w:ilvl w:val="0"/>
                <w:numId w:val="22"/>
              </w:numPr>
              <w:rPr>
                <w:rFonts w:ascii="宋体" w:hAnsi="宋体"/>
                <w:szCs w:val="21"/>
              </w:rPr>
            </w:pPr>
            <w:r>
              <w:rPr>
                <w:rFonts w:hint="eastAsia" w:ascii="宋体" w:hAnsi="宋体"/>
                <w:szCs w:val="21"/>
              </w:rPr>
              <w:t>提供证书扫描件件并加盖投标人公章，证书须在有效期内。</w:t>
            </w:r>
          </w:p>
          <w:p>
            <w:pPr>
              <w:numPr>
                <w:ilvl w:val="0"/>
                <w:numId w:val="22"/>
              </w:numPr>
              <w:rPr>
                <w:rFonts w:ascii="宋体" w:hAnsi="宋体"/>
                <w:szCs w:val="21"/>
              </w:rPr>
            </w:pPr>
            <w:r>
              <w:rPr>
                <w:rFonts w:hint="eastAsia" w:ascii="宋体" w:hAnsi="宋体"/>
                <w:szCs w:val="21"/>
              </w:rPr>
              <w:t>未提供或其他情况的均不得分。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highlight w:val="yellow"/>
              </w:rPr>
            </w:pPr>
            <w:r>
              <w:rPr>
                <w:rFonts w:hint="eastAsia"/>
              </w:rPr>
              <w:t>案例业绩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highlight w:val="yellow"/>
              </w:rPr>
            </w:pPr>
            <w:r>
              <w:rPr>
                <w:rFonts w:hint="eastAsia" w:ascii="宋体" w:hAnsi="宋体"/>
                <w:szCs w:val="21"/>
              </w:rPr>
              <w:t>20分</w:t>
            </w:r>
          </w:p>
        </w:tc>
        <w:tc>
          <w:tcPr>
            <w:tcW w:w="6804" w:type="dxa"/>
            <w:gridSpan w:val="2"/>
            <w:tcBorders>
              <w:tl2br w:val="nil"/>
              <w:tr2bl w:val="nil"/>
            </w:tcBorders>
            <w:tcMar>
              <w:top w:w="15" w:type="dxa"/>
              <w:left w:w="15" w:type="dxa"/>
              <w:bottom w:w="15" w:type="dxa"/>
              <w:right w:w="15" w:type="dxa"/>
            </w:tcMar>
            <w:vAlign w:val="center"/>
          </w:tcPr>
          <w:p>
            <w:pPr>
              <w:tabs>
                <w:tab w:val="left" w:pos="360"/>
              </w:tabs>
              <w:adjustRightInd w:val="0"/>
              <w:snapToGrid w:val="0"/>
            </w:pPr>
            <w:r>
              <w:rPr>
                <w:rFonts w:hint="eastAsia"/>
              </w:rPr>
              <w:t>根据投标人自2021年</w:t>
            </w:r>
            <w:r>
              <w:t>1</w:t>
            </w:r>
            <w:r>
              <w:rPr>
                <w:rFonts w:hint="eastAsia"/>
              </w:rPr>
              <w:t>月1日至本项目招标公告发布之日期间所承接的展会类服务项目业绩进行评议：</w:t>
            </w:r>
          </w:p>
          <w:p>
            <w:pPr>
              <w:tabs>
                <w:tab w:val="left" w:pos="360"/>
              </w:tabs>
              <w:adjustRightInd w:val="0"/>
              <w:snapToGrid w:val="0"/>
            </w:pPr>
            <w:r>
              <w:rPr>
                <w:rFonts w:hint="eastAsia"/>
              </w:rPr>
              <w:t>（1）</w:t>
            </w:r>
            <w:r>
              <w:rPr>
                <w:rFonts w:hint="eastAsia" w:ascii="宋体" w:hAnsi="宋体"/>
                <w:szCs w:val="21"/>
              </w:rPr>
              <w:t>为10万平方米及以上展会提供展会配套服务中，涉及用人数量进行累积，用人数量第一名得10分，第二名得7分，第三名得4分，其余名次得1分；</w:t>
            </w:r>
          </w:p>
          <w:p>
            <w:pPr>
              <w:tabs>
                <w:tab w:val="left" w:pos="360"/>
              </w:tabs>
              <w:adjustRightInd w:val="0"/>
              <w:snapToGrid w:val="0"/>
              <w:rPr>
                <w:rFonts w:ascii="宋体" w:hAnsi="宋体"/>
                <w:szCs w:val="21"/>
              </w:rPr>
            </w:pPr>
            <w:r>
              <w:rPr>
                <w:rFonts w:hint="eastAsia" w:ascii="宋体" w:hAnsi="宋体"/>
                <w:szCs w:val="21"/>
              </w:rPr>
              <w:t>（2）为10万平方米及以上展会提供咨询服务的，每个合同得1分，最高分6分；</w:t>
            </w:r>
          </w:p>
          <w:p>
            <w:pPr>
              <w:tabs>
                <w:tab w:val="left" w:pos="360"/>
              </w:tabs>
              <w:adjustRightInd w:val="0"/>
              <w:snapToGrid w:val="0"/>
              <w:rPr>
                <w:rFonts w:ascii="宋体" w:hAnsi="宋体"/>
                <w:szCs w:val="21"/>
              </w:rPr>
            </w:pPr>
            <w:r>
              <w:rPr>
                <w:rFonts w:hint="eastAsia" w:ascii="宋体" w:hAnsi="宋体"/>
                <w:szCs w:val="21"/>
              </w:rPr>
              <w:t>（3）有为展会提供参观接待、引导讲解、礼仪、沟通培训等内容的每个合同得1分，最高分4分；</w:t>
            </w:r>
          </w:p>
          <w:p>
            <w:pPr>
              <w:rPr>
                <w:rFonts w:ascii="宋体" w:hAnsi="宋体"/>
                <w:szCs w:val="21"/>
              </w:rPr>
            </w:pPr>
            <w:r>
              <w:rPr>
                <w:rFonts w:hint="eastAsia" w:ascii="宋体" w:hAnsi="宋体"/>
                <w:szCs w:val="21"/>
              </w:rPr>
              <w:t>备注：</w:t>
            </w:r>
          </w:p>
          <w:p>
            <w:pPr>
              <w:numPr>
                <w:ilvl w:val="0"/>
                <w:numId w:val="23"/>
              </w:numPr>
              <w:rPr>
                <w:rFonts w:ascii="宋体" w:hAnsi="宋体"/>
                <w:szCs w:val="21"/>
              </w:rPr>
            </w:pPr>
            <w:r>
              <w:rPr>
                <w:rFonts w:hint="eastAsia" w:ascii="宋体" w:hAnsi="宋体"/>
                <w:szCs w:val="21"/>
              </w:rPr>
              <w:t>本评分项（1）、（2）、（3）项业绩可累计得分。</w:t>
            </w:r>
          </w:p>
          <w:p>
            <w:pPr>
              <w:numPr>
                <w:ilvl w:val="0"/>
                <w:numId w:val="23"/>
              </w:numPr>
              <w:rPr>
                <w:rFonts w:ascii="宋体" w:hAnsi="宋体"/>
                <w:szCs w:val="21"/>
              </w:rPr>
            </w:pPr>
            <w:r>
              <w:rPr>
                <w:rFonts w:hint="eastAsia" w:ascii="宋体" w:hAnsi="宋体"/>
                <w:szCs w:val="21"/>
              </w:rPr>
              <w:t>提供合同关键页加盖投标人公章，合同关键页包含但不限于项目名称、业主方名称、合同主要内容、签订时间、履约地点、甲乙双方盖章等信息。合同内不体现规模的可提供展会官方报道规模或其他可信证明（以评委意见为准）并加盖公章。需要累计统计项目自行提供累积统计表，并盖公章。</w:t>
            </w:r>
          </w:p>
          <w:p>
            <w:pPr>
              <w:numPr>
                <w:ilvl w:val="0"/>
                <w:numId w:val="23"/>
              </w:numPr>
              <w:rPr>
                <w:rFonts w:ascii="宋体" w:hAnsi="宋体"/>
                <w:szCs w:val="21"/>
              </w:rPr>
            </w:pPr>
            <w:r>
              <w:rPr>
                <w:rFonts w:hint="eastAsia" w:ascii="宋体" w:hAnsi="宋体"/>
                <w:szCs w:val="21"/>
              </w:rPr>
              <w:t>未提供或无法证明的均不得分。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color w:val="auto"/>
                <w:szCs w:val="21"/>
                <w:highlight w:val="none"/>
              </w:rPr>
              <w:t>30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rPr>
              <w:t>服务方案运营管理承诺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szCs w:val="21"/>
              </w:rPr>
              <w:t>16分</w:t>
            </w:r>
          </w:p>
        </w:tc>
        <w:tc>
          <w:tcPr>
            <w:tcW w:w="6804" w:type="dxa"/>
            <w:gridSpan w:val="2"/>
            <w:tcBorders>
              <w:tl2br w:val="nil"/>
              <w:tr2bl w:val="nil"/>
            </w:tcBorders>
            <w:tcMar>
              <w:top w:w="15" w:type="dxa"/>
              <w:left w:w="15" w:type="dxa"/>
              <w:bottom w:w="15" w:type="dxa"/>
              <w:right w:w="15" w:type="dxa"/>
            </w:tcMar>
            <w:vAlign w:val="center"/>
          </w:tcPr>
          <w:p>
            <w:pPr>
              <w:numPr>
                <w:ilvl w:val="255"/>
                <w:numId w:val="0"/>
              </w:numPr>
              <w:spacing w:line="320" w:lineRule="exact"/>
              <w:jc w:val="left"/>
            </w:pPr>
            <w:r>
              <w:rPr>
                <w:rFonts w:hint="eastAsia"/>
              </w:rPr>
              <w:t>根据各投标人提供的服务方案进行横向比较：</w:t>
            </w:r>
          </w:p>
          <w:p>
            <w:pPr>
              <w:numPr>
                <w:ilvl w:val="0"/>
                <w:numId w:val="25"/>
              </w:numPr>
              <w:spacing w:line="320" w:lineRule="exact"/>
              <w:ind w:left="0" w:firstLine="0"/>
              <w:jc w:val="left"/>
              <w:rPr>
                <w:b/>
                <w:bCs/>
              </w:rPr>
            </w:pPr>
            <w:r>
              <w:rPr>
                <w:rFonts w:hint="eastAsia" w:ascii="宋体" w:cs="宋体"/>
                <w:szCs w:val="21"/>
              </w:rPr>
              <w:t>对整体实施方案的工作计划进行评议，</w:t>
            </w:r>
            <w:r>
              <w:rPr>
                <w:rFonts w:hint="eastAsia" w:ascii="宋体" w:hAnsi="宋体" w:cs="宋体"/>
                <w:szCs w:val="21"/>
              </w:rPr>
              <w:t>包括但不限于对现场咨询项目、礼仪培训项目、参观引导项目的实施进度安排、各子项目服务流程等</w:t>
            </w:r>
            <w:r>
              <w:rPr>
                <w:rFonts w:hint="eastAsia" w:ascii="宋体" w:cs="宋体"/>
                <w:szCs w:val="21"/>
              </w:rPr>
              <w:t>。进行综合评议，方案计划越详尽、越全面，可操作性强，得分越高。</w:t>
            </w:r>
            <w:r>
              <w:rPr>
                <w:rFonts w:hint="eastAsia"/>
              </w:rPr>
              <w:t>优得5分，良得3分，一般得1分，没有</w:t>
            </w:r>
            <w:r>
              <w:rPr>
                <w:rFonts w:ascii="宋体" w:hAnsi="宋体" w:cs="宋体"/>
                <w:szCs w:val="21"/>
              </w:rPr>
              <w:t>提供相关内容</w:t>
            </w:r>
            <w:r>
              <w:rPr>
                <w:rFonts w:hint="eastAsia"/>
              </w:rPr>
              <w:t>得0分。</w:t>
            </w:r>
          </w:p>
          <w:p>
            <w:pPr>
              <w:numPr>
                <w:ilvl w:val="0"/>
                <w:numId w:val="25"/>
              </w:numPr>
              <w:spacing w:line="320" w:lineRule="exact"/>
              <w:ind w:left="0" w:firstLine="0"/>
              <w:jc w:val="left"/>
            </w:pPr>
            <w:r>
              <w:rPr>
                <w:rFonts w:hint="eastAsia"/>
              </w:rPr>
              <w:t>对管理制度进行评议，包括人员管理、沟通汇报机制等进行横向比较，越完善越合理，得分越高。优得5分，良得3分，一般得1分，没有</w:t>
            </w:r>
            <w:r>
              <w:rPr>
                <w:rFonts w:ascii="宋体" w:hAnsi="宋体" w:cs="宋体"/>
                <w:szCs w:val="21"/>
              </w:rPr>
              <w:t>提供相关内容</w:t>
            </w:r>
            <w:r>
              <w:rPr>
                <w:rFonts w:hint="eastAsia"/>
              </w:rPr>
              <w:t>得0分。</w:t>
            </w:r>
          </w:p>
          <w:p>
            <w:pPr>
              <w:numPr>
                <w:ilvl w:val="0"/>
                <w:numId w:val="25"/>
              </w:numPr>
              <w:spacing w:line="320" w:lineRule="exact"/>
              <w:ind w:left="0" w:firstLine="0"/>
              <w:jc w:val="left"/>
              <w:rPr>
                <w:rFonts w:ascii="宋体" w:hAnsi="宋体"/>
              </w:rPr>
            </w:pPr>
            <w:r>
              <w:rPr>
                <w:rFonts w:hint="eastAsia"/>
              </w:rPr>
              <w:t>对项目服务人员招聘渠道及培训考核要求进行横向比较，服务人员招聘渠道越多越优质，人员培训考核要求越细致，得分越高。优得3分，良得2分，一般得1分，没有</w:t>
            </w:r>
            <w:r>
              <w:rPr>
                <w:rFonts w:ascii="宋体" w:hAnsi="宋体" w:cs="宋体"/>
                <w:szCs w:val="21"/>
              </w:rPr>
              <w:t>提供相关内容</w:t>
            </w:r>
            <w:r>
              <w:rPr>
                <w:rFonts w:hint="eastAsia"/>
              </w:rPr>
              <w:t>得0分。</w:t>
            </w:r>
          </w:p>
          <w:p>
            <w:pPr>
              <w:numPr>
                <w:ilvl w:val="0"/>
                <w:numId w:val="25"/>
              </w:numPr>
              <w:spacing w:line="320" w:lineRule="exact"/>
              <w:ind w:left="0" w:firstLine="0"/>
              <w:jc w:val="left"/>
            </w:pPr>
            <w:r>
              <w:rPr>
                <w:rFonts w:hint="eastAsia" w:ascii="宋体" w:hAnsi="宋体" w:cs="宋体"/>
                <w:szCs w:val="21"/>
              </w:rPr>
              <w:t>对</w:t>
            </w:r>
            <w:r>
              <w:rPr>
                <w:rFonts w:ascii="宋体" w:hAnsi="宋体" w:cs="宋体"/>
                <w:szCs w:val="21"/>
              </w:rPr>
              <w:t>现场礼仪培训方案中</w:t>
            </w:r>
            <w:r>
              <w:rPr>
                <w:rFonts w:hint="eastAsia" w:ascii="宋体" w:hAnsi="宋体" w:cs="宋体"/>
                <w:szCs w:val="21"/>
              </w:rPr>
              <w:t>的</w:t>
            </w:r>
            <w:r>
              <w:rPr>
                <w:rFonts w:ascii="宋体" w:hAnsi="宋体" w:cs="宋体"/>
                <w:szCs w:val="21"/>
              </w:rPr>
              <w:t>现场示范与演练</w:t>
            </w:r>
            <w:r>
              <w:rPr>
                <w:rFonts w:hint="eastAsia" w:ascii="宋体" w:hAnsi="宋体" w:cs="宋体"/>
                <w:szCs w:val="21"/>
              </w:rPr>
              <w:t>、现场礼仪考评方案的科学合理性</w:t>
            </w:r>
            <w:r>
              <w:rPr>
                <w:rFonts w:ascii="宋体" w:hAnsi="宋体" w:cs="宋体"/>
                <w:szCs w:val="21"/>
              </w:rPr>
              <w:t>进行评议：</w:t>
            </w:r>
            <w:r>
              <w:rPr>
                <w:rFonts w:hint="eastAsia" w:ascii="宋体" w:hAnsi="宋体" w:cs="宋体"/>
                <w:szCs w:val="21"/>
              </w:rPr>
              <w:t>优得3分，良得2分，一般得1分，</w:t>
            </w:r>
            <w:r>
              <w:rPr>
                <w:rFonts w:ascii="宋体" w:hAnsi="宋体" w:cs="宋体"/>
                <w:szCs w:val="21"/>
              </w:rPr>
              <w:t>没有提供相关内容得0分。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ascii="宋体" w:hAnsi="宋体" w:cs="仿宋"/>
                <w:szCs w:val="21"/>
              </w:rPr>
              <w:t>团队实力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8</w:t>
            </w:r>
          </w:p>
        </w:tc>
        <w:tc>
          <w:tcPr>
            <w:tcW w:w="6804" w:type="dxa"/>
            <w:gridSpan w:val="2"/>
            <w:tcBorders>
              <w:tl2br w:val="nil"/>
              <w:tr2bl w:val="nil"/>
            </w:tcBorders>
            <w:tcMar>
              <w:top w:w="15" w:type="dxa"/>
              <w:left w:w="15" w:type="dxa"/>
              <w:bottom w:w="15" w:type="dxa"/>
              <w:right w:w="15" w:type="dxa"/>
            </w:tcMar>
            <w:vAlign w:val="center"/>
          </w:tcPr>
          <w:p>
            <w:pPr>
              <w:numPr>
                <w:ilvl w:val="0"/>
                <w:numId w:val="26"/>
              </w:numPr>
              <w:spacing w:line="320" w:lineRule="exact"/>
              <w:ind w:left="0" w:firstLine="0"/>
              <w:jc w:val="left"/>
            </w:pPr>
            <w:r>
              <w:rPr>
                <w:rFonts w:hint="eastAsia"/>
              </w:rPr>
              <w:t>根据投标人为本项目指定的项目负责人的工作经验，参与项目案例进行横向比，参与负责过为10万平方米及以上展会项目数量越多，得分越高：第一名得3分，第二名得2分，第三名得1分，其他名次不得分。（提供项目负责人参与项目合同或合同甲方证明资料并加盖公章）</w:t>
            </w:r>
          </w:p>
          <w:p>
            <w:pPr>
              <w:numPr>
                <w:ilvl w:val="0"/>
                <w:numId w:val="26"/>
              </w:numPr>
              <w:spacing w:line="320" w:lineRule="exact"/>
              <w:ind w:left="0" w:firstLine="0"/>
              <w:jc w:val="left"/>
            </w:pPr>
            <w:r>
              <w:rPr>
                <w:rFonts w:hint="eastAsia"/>
              </w:rPr>
              <w:t>根据投标人提供的项目团队稳定性、配置及分工情况进行综合评议，团队成员岗位配置越合理、团队成员在投标人处工作时间越长，得分越高：优得3分，良得2分，一般得1分。（说明：投标人可提交团队成员至少</w:t>
            </w:r>
            <w:r>
              <w:rPr>
                <w:rFonts w:ascii="宋体" w:hAnsi="宋体"/>
                <w:szCs w:val="21"/>
              </w:rPr>
              <w:t>3</w:t>
            </w:r>
            <w:r>
              <w:rPr>
                <w:rFonts w:hint="eastAsia" w:ascii="宋体" w:hAnsi="宋体"/>
                <w:szCs w:val="21"/>
              </w:rPr>
              <w:t>个月连续缴纳社保的证明资料或有效劳务合同，社保资料需包含验真码。</w:t>
            </w:r>
            <w:r>
              <w:rPr>
                <w:rFonts w:hint="eastAsia"/>
              </w:rPr>
              <w:t>未提供或所提供资料证明等文件描述不清、不能判断的，均不得分。）</w:t>
            </w:r>
          </w:p>
          <w:p>
            <w:pPr>
              <w:numPr>
                <w:ilvl w:val="0"/>
                <w:numId w:val="26"/>
              </w:numPr>
              <w:spacing w:line="320" w:lineRule="exact"/>
              <w:jc w:val="left"/>
            </w:pPr>
            <w:r>
              <w:rPr>
                <w:rFonts w:hint="eastAsia" w:ascii="宋体" w:hAnsi="宋体" w:cs="宋体"/>
                <w:szCs w:val="21"/>
              </w:rPr>
              <w:t>本项目所指定的培训老师持有国家级企业培训师、礼仪培训师资格证书的，每种资格证书得1分。本项累计最高2</w:t>
            </w:r>
            <w:r>
              <w:rPr>
                <w:rFonts w:ascii="宋体" w:hAnsi="宋体" w:cs="宋体"/>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rPr>
            </w:pPr>
            <w:r>
              <w:rPr>
                <w:rFonts w:hint="eastAsia"/>
              </w:rPr>
              <w:t>应急管理</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szCs w:val="21"/>
              </w:rPr>
              <w:t>3分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rPr>
                <w:rFonts w:ascii="宋体" w:hAnsi="宋体" w:cs="宋体"/>
                <w:color w:val="FF0000"/>
                <w:kern w:val="0"/>
                <w:szCs w:val="21"/>
              </w:rPr>
            </w:pPr>
            <w:r>
              <w:rPr>
                <w:rFonts w:hint="eastAsia" w:ascii="宋体" w:hAnsi="宋体"/>
                <w:szCs w:val="21"/>
              </w:rPr>
              <w:t>根据投标人针对可能出现的个体案件、群体事件、冲突、安全事故、疫情防控等突发事件的应急预案，对现场咨询服务应急预案、</w:t>
            </w:r>
            <w:r>
              <w:rPr>
                <w:rFonts w:hint="eastAsia" w:ascii="宋体" w:cs="宋体"/>
                <w:szCs w:val="21"/>
              </w:rPr>
              <w:t>明确解决周期及解决办法等</w:t>
            </w:r>
            <w:r>
              <w:rPr>
                <w:rFonts w:hint="eastAsia" w:ascii="宋体" w:hAnsi="宋体"/>
                <w:szCs w:val="21"/>
              </w:rPr>
              <w:t>等情况进行综合评议，预案越详细，稳定措施越周全，且高效可行，得分越高：优得3分、良得2分、一般得1分，没有提供相关内容不得分。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增值服务</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3分</w:t>
            </w:r>
          </w:p>
        </w:tc>
        <w:tc>
          <w:tcPr>
            <w:tcW w:w="6804" w:type="dxa"/>
            <w:gridSpan w:val="2"/>
            <w:tcBorders>
              <w:tl2br w:val="nil"/>
              <w:tr2bl w:val="nil"/>
            </w:tcBorders>
            <w:tcMar>
              <w:top w:w="15" w:type="dxa"/>
              <w:left w:w="15" w:type="dxa"/>
              <w:bottom w:w="15" w:type="dxa"/>
              <w:right w:w="15" w:type="dxa"/>
            </w:tcMar>
            <w:vAlign w:val="center"/>
          </w:tcPr>
          <w:p>
            <w:pPr>
              <w:numPr>
                <w:ilvl w:val="0"/>
                <w:numId w:val="27"/>
              </w:numPr>
              <w:tabs>
                <w:tab w:val="left" w:pos="531"/>
              </w:tabs>
              <w:snapToGrid w:val="0"/>
              <w:rPr>
                <w:rFonts w:ascii="宋体" w:hAnsi="宋体"/>
                <w:szCs w:val="21"/>
              </w:rPr>
            </w:pPr>
            <w:r>
              <w:rPr>
                <w:rFonts w:hint="eastAsia" w:ascii="宋体" w:hAnsi="宋体"/>
                <w:szCs w:val="21"/>
              </w:rPr>
              <w:t>投标人在展会现场咨询中，使用科技手段如：APP\小程序等科技手段，来提高咨询回复准确率与效率的，有得1分。</w:t>
            </w:r>
          </w:p>
          <w:p>
            <w:pPr>
              <w:numPr>
                <w:ilvl w:val="0"/>
                <w:numId w:val="27"/>
              </w:numPr>
              <w:tabs>
                <w:tab w:val="left" w:pos="531"/>
              </w:tabs>
              <w:snapToGrid w:val="0"/>
              <w:rPr>
                <w:rFonts w:ascii="宋体" w:hAnsi="宋体"/>
                <w:szCs w:val="21"/>
              </w:rPr>
            </w:pPr>
            <w:r>
              <w:rPr>
                <w:rFonts w:hint="eastAsia"/>
              </w:rPr>
              <w:t>为了更好完成此项目，投标人提供有其他现场服务承诺或特别承诺，设置合理且有利于高交会的：</w:t>
            </w:r>
            <w:r>
              <w:rPr>
                <w:rFonts w:hint="eastAsia" w:ascii="宋体" w:hAnsi="宋体"/>
                <w:szCs w:val="21"/>
              </w:rPr>
              <w:t>有得1分。</w:t>
            </w:r>
          </w:p>
          <w:p>
            <w:pPr>
              <w:numPr>
                <w:ilvl w:val="0"/>
                <w:numId w:val="27"/>
              </w:numPr>
              <w:tabs>
                <w:tab w:val="left" w:pos="531"/>
              </w:tabs>
              <w:snapToGrid w:val="0"/>
              <w:rPr>
                <w:rFonts w:ascii="宋体" w:hAnsi="宋体"/>
                <w:szCs w:val="21"/>
              </w:rPr>
            </w:pPr>
            <w:r>
              <w:rPr>
                <w:rFonts w:hint="eastAsia" w:ascii="宋体" w:hAnsi="宋体"/>
                <w:szCs w:val="21"/>
              </w:rPr>
              <w:t>投标人自行拟定并提供会后总结报告模板，有得1分。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价格评议项（40分）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M=（价格评价分项满分值），N=，投标价格每高于N％时，扣分；每低于N％时，扣分；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lang w:eastAsia="zh-CN"/>
              </w:rPr>
              <w:t>□</w:t>
            </w:r>
            <w:r>
              <w:rPr>
                <w:rFonts w:hint="eastAsia" w:ascii="宋体" w:hAnsi="宋体"/>
                <w:szCs w:val="21"/>
              </w:rPr>
              <w:t>固定乘积法</w:t>
            </w:r>
          </w:p>
        </w:tc>
        <w:tc>
          <w:tcPr>
            <w:tcW w:w="5950" w:type="dxa"/>
            <w:tcBorders>
              <w:tl2br w:val="nil"/>
              <w:tr2bl w:val="nil"/>
            </w:tcBorders>
            <w:vAlign w:val="center"/>
          </w:tcPr>
          <w:p>
            <w:pPr>
              <w:autoSpaceDE w:val="0"/>
              <w:autoSpaceDN w:val="0"/>
              <w:adjustRightInd w:val="0"/>
              <w:snapToGrid w:val="0"/>
              <w:jc w:val="left"/>
              <w:rPr>
                <w:rStyle w:val="21"/>
                <w:rFonts w:ascii="宋体" w:hAnsi="宋体"/>
              </w:rPr>
            </w:pPr>
            <w:r>
              <w:rPr>
                <w:rStyle w:val="21"/>
                <w:rFonts w:hint="eastAsia" w:ascii="宋体" w:hAnsi="宋体"/>
              </w:rPr>
              <w:t>价格得分=（1-A×｜1-投标报价/Z｜）×M</w:t>
            </w:r>
          </w:p>
          <w:p>
            <w:pPr>
              <w:numPr>
                <w:ilvl w:val="0"/>
                <w:numId w:val="28"/>
              </w:numPr>
              <w:autoSpaceDE w:val="0"/>
              <w:autoSpaceDN w:val="0"/>
              <w:adjustRightInd w:val="0"/>
              <w:snapToGrid w:val="0"/>
              <w:jc w:val="left"/>
              <w:rPr>
                <w:rStyle w:val="21"/>
                <w:rFonts w:ascii="宋体" w:hAnsi="宋体"/>
              </w:rPr>
            </w:pPr>
            <w:r>
              <w:rPr>
                <w:rStyle w:val="21"/>
                <w:rFonts w:hint="eastAsia" w:ascii="宋体" w:hAnsi="宋体"/>
              </w:rPr>
              <w:t xml:space="preserve">M= </w:t>
            </w:r>
            <w:r>
              <w:rPr>
                <w:rFonts w:hint="eastAsia" w:ascii="宋体" w:hAnsi="宋体"/>
                <w:color w:val="FF0000"/>
                <w:szCs w:val="21"/>
              </w:rPr>
              <w:t>40</w:t>
            </w:r>
            <w:r>
              <w:rPr>
                <w:rStyle w:val="21"/>
                <w:rFonts w:hint="eastAsia" w:ascii="宋体" w:hAnsi="宋体"/>
              </w:rPr>
              <w:t xml:space="preserve"> （价格评价分项满分值），Z为本次招标基准价；</w:t>
            </w:r>
          </w:p>
          <w:p>
            <w:pPr>
              <w:numPr>
                <w:ilvl w:val="0"/>
                <w:numId w:val="28"/>
              </w:numPr>
              <w:autoSpaceDE w:val="0"/>
              <w:autoSpaceDN w:val="0"/>
              <w:adjustRightInd w:val="0"/>
              <w:snapToGrid w:val="0"/>
              <w:jc w:val="left"/>
              <w:rPr>
                <w:rStyle w:val="21"/>
                <w:rFonts w:ascii="宋体" w:hAnsi="宋体"/>
              </w:rPr>
            </w:pPr>
            <w:r>
              <w:rPr>
                <w:rStyle w:val="21"/>
                <w:rFonts w:hint="eastAsia" w:ascii="宋体" w:hAnsi="宋体"/>
              </w:rPr>
              <w:t>A为价格调整系数，当投标报价低于本次招标最佳报价（即基准价）时，A=0.5；当投标报价高于次招标基准价时，取A=1；</w:t>
            </w:r>
          </w:p>
          <w:p>
            <w:pPr>
              <w:numPr>
                <w:ilvl w:val="0"/>
                <w:numId w:val="28"/>
              </w:numPr>
              <w:jc w:val="left"/>
              <w:rPr>
                <w:rFonts w:ascii="宋体" w:cs="宋体"/>
                <w:kern w:val="0"/>
                <w:szCs w:val="21"/>
              </w:rPr>
            </w:pPr>
            <w:r>
              <w:rPr>
                <w:rStyle w:val="21"/>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5950" w:type="dxa"/>
            <w:tcBorders>
              <w:tl2br w:val="nil"/>
              <w:tr2bl w:val="nil"/>
            </w:tcBorders>
            <w:vAlign w:val="center"/>
          </w:tcPr>
          <w:p>
            <w:pPr>
              <w:widowControl/>
              <w:spacing w:line="240" w:lineRule="auto"/>
              <w:ind w:right="30"/>
              <w:jc w:val="left"/>
              <w:rPr>
                <w:rFonts w:hint="eastAsia"/>
                <w:color w:val="auto"/>
                <w:highlight w:val="none"/>
                <w:lang w:val="en-US" w:eastAsia="zh-CN"/>
              </w:rPr>
            </w:pPr>
            <w:r>
              <w:rPr>
                <w:rFonts w:hint="eastAsia"/>
                <w:color w:val="auto"/>
                <w:highlight w:val="none"/>
                <w:lang w:val="en-US" w:eastAsia="zh-CN"/>
              </w:rPr>
              <w:t>价格得分=（1-</w:t>
            </w:r>
            <w:r>
              <w:rPr>
                <w:rFonts w:hint="eastAsia"/>
                <w:color w:val="auto"/>
                <w:highlight w:val="none"/>
              </w:rPr>
              <w:t>｜</w:t>
            </w:r>
            <w:r>
              <w:rPr>
                <w:rFonts w:hint="eastAsia"/>
                <w:color w:val="auto"/>
                <w:highlight w:val="none"/>
                <w:lang w:val="en-US" w:eastAsia="zh-CN"/>
              </w:rPr>
              <w:t>投标报价-基准价</w:t>
            </w:r>
            <w:r>
              <w:rPr>
                <w:rFonts w:hint="eastAsia"/>
                <w:color w:val="auto"/>
                <w:highlight w:val="none"/>
              </w:rPr>
              <w:t>｜</w:t>
            </w:r>
            <w:r>
              <w:rPr>
                <w:rFonts w:hint="default"/>
                <w:color w:val="auto"/>
                <w:highlight w:val="none"/>
              </w:rPr>
              <w:t>÷</w:t>
            </w:r>
            <w:r>
              <w:rPr>
                <w:rFonts w:hint="eastAsia"/>
                <w:color w:val="auto"/>
                <w:highlight w:val="none"/>
                <w:lang w:val="en-US" w:eastAsia="zh-CN"/>
              </w:rPr>
              <w:t>基准价）</w:t>
            </w:r>
            <w:r>
              <w:rPr>
                <w:rFonts w:hint="default"/>
                <w:color w:val="auto"/>
                <w:highlight w:val="none"/>
                <w:lang w:val="en-US" w:eastAsia="zh-CN"/>
              </w:rPr>
              <w:t>×</w:t>
            </w:r>
            <w:r>
              <w:rPr>
                <w:rFonts w:hint="eastAsia"/>
                <w:color w:val="auto"/>
                <w:highlight w:val="none"/>
                <w:lang w:val="en-US" w:eastAsia="zh-CN"/>
              </w:rPr>
              <w:t>价格权重分</w:t>
            </w:r>
          </w:p>
          <w:p>
            <w:pPr>
              <w:spacing w:line="240" w:lineRule="atLeast"/>
              <w:jc w:val="left"/>
              <w:rPr>
                <w:rFonts w:ascii="宋体" w:cs="宋体"/>
                <w:kern w:val="0"/>
                <w:szCs w:val="21"/>
              </w:rPr>
            </w:pPr>
            <w:r>
              <w:rPr>
                <w:rFonts w:hint="eastAsia"/>
                <w:color w:val="auto"/>
                <w:highlight w:val="none"/>
                <w:lang w:val="en-US" w:eastAsia="zh-CN"/>
              </w:rPr>
              <w:t>说明：报价最接近基准分的投标人价格分最高，价格分保留至小数点后两位。</w:t>
            </w:r>
          </w:p>
        </w:tc>
      </w:tr>
      <w:bookmarkEnd w:id="55"/>
      <w:bookmarkEnd w:id="56"/>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9"/>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9"/>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Hlk116549198"/>
      <w:r>
        <w:rPr>
          <w:rFonts w:hint="eastAsia" w:ascii="方正小标宋简体" w:hAnsi="方正小标宋简体" w:eastAsia="方正小标宋简体" w:cs="方正小标宋简体"/>
          <w:b w:val="0"/>
          <w:bCs/>
          <w:kern w:val="0"/>
          <w:sz w:val="28"/>
          <w:szCs w:val="28"/>
        </w:rPr>
        <w:t>深圳会展中心第二十五届高交会现场咨询服务与管理</w:t>
      </w:r>
      <w:r>
        <w:rPr>
          <w:rFonts w:hint="eastAsia" w:ascii="方正小标宋简体" w:hAnsi="方正小标宋简体" w:eastAsia="方正小标宋简体" w:cs="方正小标宋简体"/>
          <w:bCs/>
          <w:kern w:val="0"/>
          <w:sz w:val="28"/>
          <w:szCs w:val="28"/>
        </w:rPr>
        <w:t>合同</w:t>
      </w:r>
    </w:p>
    <w:bookmarkEnd w:id="58"/>
    <w:p>
      <w:pPr>
        <w:jc w:val="center"/>
        <w:rPr>
          <w:rFonts w:ascii="宋体" w:hAnsi="宋体"/>
          <w:szCs w:val="21"/>
        </w:rPr>
      </w:pPr>
      <w:bookmarkStart w:id="59"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服务类合同模板，仅供参考</w:t>
      </w:r>
      <w:r>
        <w:rPr>
          <w:rFonts w:hint="eastAsia" w:ascii="方正小标宋简体" w:hAnsi="方正小标宋简体" w:eastAsia="方正小标宋简体" w:cs="方正小标宋简体"/>
          <w:bCs/>
          <w:kern w:val="0"/>
          <w:sz w:val="28"/>
          <w:szCs w:val="28"/>
        </w:rPr>
        <w:t>）</w:t>
      </w:r>
    </w:p>
    <w:bookmarkEnd w:id="59"/>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3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2"/>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3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3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4"/>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3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3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4"/>
        <w:numPr>
          <w:ilvl w:val="1"/>
          <w:numId w:val="35"/>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4"/>
        <w:numPr>
          <w:ilvl w:val="0"/>
          <w:numId w:val="36"/>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4"/>
        <w:numPr>
          <w:ilvl w:val="0"/>
          <w:numId w:val="36"/>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4"/>
        <w:numPr>
          <w:ilvl w:val="1"/>
          <w:numId w:val="35"/>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4"/>
        <w:numPr>
          <w:ilvl w:val="0"/>
          <w:numId w:val="37"/>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4"/>
        <w:numPr>
          <w:ilvl w:val="0"/>
          <w:numId w:val="37"/>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4"/>
        <w:numPr>
          <w:ilvl w:val="0"/>
          <w:numId w:val="37"/>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3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3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8"/>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3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39"/>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4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40"/>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39"/>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4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4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3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4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42"/>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3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4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43"/>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3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44"/>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44"/>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3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45"/>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如果出现不可预见的情形，影响本合同项下相关服务的执行时，甲乙双方均可要求变更约定事项，但应提前通知对方，并由双方协商解决。</w:t>
      </w:r>
    </w:p>
    <w:p>
      <w:pPr>
        <w:numPr>
          <w:ilvl w:val="0"/>
          <w:numId w:val="45"/>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本合同签订后，双方应当按约履行，不得无故终止。如遇法定情形或特殊原因确需终止的,提出终止的一方应提前书面通知另一方。</w:t>
      </w:r>
    </w:p>
    <w:p>
      <w:pPr>
        <w:numPr>
          <w:ilvl w:val="0"/>
          <w:numId w:val="45"/>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highlight w:val="none"/>
        </w:rPr>
      </w:pPr>
      <w:r>
        <w:rPr>
          <w:rFonts w:hint="eastAsia" w:ascii="宋体" w:hAnsi="宋体" w:cs="仿宋"/>
          <w:sz w:val="21"/>
          <w:szCs w:val="21"/>
          <w:highlight w:val="none"/>
        </w:rPr>
        <w:t>（四）在乙方因自身原因单方终止本合同的情况下，乙方须退回甲方已经支付的本合同项下乙方未完成和未开始实施项相关费用。</w:t>
      </w:r>
    </w:p>
    <w:p>
      <w:pPr>
        <w:pStyle w:val="2"/>
        <w:numPr>
          <w:ilvl w:val="0"/>
          <w:numId w:val="3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w:t>
      </w:r>
      <w:r>
        <w:rPr>
          <w:rFonts w:hint="eastAsia" w:ascii="宋体" w:hAnsi="宋体" w:cs="仿宋"/>
          <w:sz w:val="21"/>
          <w:szCs w:val="21"/>
        </w:rPr>
        <w:t>则均约束双方。任何一方违反前述约定，守约方有权追究违约方违约责任。</w:t>
      </w:r>
    </w:p>
    <w:p>
      <w:pPr>
        <w:pStyle w:val="2"/>
        <w:numPr>
          <w:ilvl w:val="0"/>
          <w:numId w:val="3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4"/>
        <w:numPr>
          <w:ilvl w:val="0"/>
          <w:numId w:val="46"/>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4"/>
        <w:numPr>
          <w:ilvl w:val="0"/>
          <w:numId w:val="46"/>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3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3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47"/>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47"/>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47"/>
        </w:numPr>
        <w:spacing w:line="360" w:lineRule="auto"/>
        <w:rPr>
          <w:rFonts w:ascii="宋体" w:hAnsi="宋体" w:eastAsia="宋体" w:cs="仿宋"/>
          <w:szCs w:val="21"/>
        </w:rPr>
      </w:pPr>
      <w:bookmarkStart w:id="60"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0"/>
    </w:p>
    <w:p>
      <w:pPr>
        <w:numPr>
          <w:ilvl w:val="0"/>
          <w:numId w:val="47"/>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47"/>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Lines="100" w:afterLines="100" w:line="360" w:lineRule="auto"/>
        <w:jc w:val="center"/>
        <w:outlineLvl w:val="0"/>
        <w:rPr>
          <w:rFonts w:ascii="仿宋" w:hAnsi="仿宋" w:eastAsia="仿宋"/>
          <w:sz w:val="32"/>
          <w:szCs w:val="32"/>
        </w:rPr>
      </w:pPr>
      <w:bookmarkStart w:id="61" w:name="_Toc116550359"/>
      <w:r>
        <w:rPr>
          <w:rFonts w:hint="eastAsia"/>
          <w:b/>
          <w:sz w:val="32"/>
          <w:szCs w:val="32"/>
        </w:rPr>
        <w:t>第五部分：参考附件</w:t>
      </w:r>
      <w:bookmarkEnd w:id="61"/>
    </w:p>
    <w:p>
      <w:pPr>
        <w:spacing w:line="0" w:lineRule="atLeast"/>
        <w:outlineLvl w:val="1"/>
        <w:rPr>
          <w:rFonts w:ascii="宋体" w:hAnsi="宋体"/>
        </w:rPr>
      </w:pPr>
      <w:bookmarkStart w:id="62" w:name="_Toc116550360"/>
      <w:r>
        <w:rPr>
          <w:rFonts w:hint="eastAsia" w:ascii="宋体" w:hAnsi="宋体"/>
          <w:szCs w:val="21"/>
        </w:rPr>
        <w:t>附件1：</w:t>
      </w:r>
      <w:r>
        <w:rPr>
          <w:rFonts w:hint="eastAsia" w:ascii="宋体" w:hAnsi="宋体"/>
        </w:rPr>
        <w:t>报名回函</w:t>
      </w:r>
      <w:bookmarkEnd w:id="62"/>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u w:val="single"/>
        </w:rPr>
      </w:pPr>
      <w:r>
        <w:rPr>
          <w:rFonts w:hint="eastAsia" w:ascii="仿宋" w:hAnsi="仿宋" w:eastAsia="仿宋"/>
          <w:sz w:val="28"/>
          <w:szCs w:val="28"/>
        </w:rPr>
        <w:t>联 系 人：</w:t>
      </w:r>
      <w:r>
        <w:rPr>
          <w:rFonts w:hint="eastAsia" w:ascii="仿宋" w:hAnsi="仿宋" w:eastAsia="仿宋"/>
          <w:u w:val="single"/>
        </w:rPr>
        <w:t>（</w:t>
      </w:r>
      <w:r>
        <w:rPr>
          <w:rFonts w:hint="eastAsia" w:ascii="仿宋" w:hAnsi="仿宋" w:eastAsia="仿宋"/>
          <w:b/>
          <w:bCs/>
          <w:color w:val="FF0000"/>
          <w:u w:val="single"/>
        </w:rPr>
        <w:t>必须为本项目的授权代表</w:t>
      </w:r>
      <w:r>
        <w:rPr>
          <w:rFonts w:hint="eastAsia" w:ascii="仿宋" w:hAnsi="仿宋" w:eastAsia="仿宋"/>
          <w:u w:val="single"/>
        </w:rPr>
        <w:t>）</w:t>
      </w:r>
    </w:p>
    <w:p>
      <w:pPr>
        <w:pStyle w:val="13"/>
        <w:spacing w:after="240"/>
        <w:ind w:firstLine="616" w:firstLineChars="220"/>
        <w:rPr>
          <w:rFonts w:hint="eastAsia" w:ascii="仿宋" w:hAnsi="仿宋" w:eastAsia="仿宋"/>
          <w:sz w:val="28"/>
          <w:szCs w:val="28"/>
          <w:u w:val="single"/>
          <w:lang w:val="en-US" w:eastAsia="zh-CN"/>
        </w:rPr>
      </w:pPr>
      <w:r>
        <w:rPr>
          <w:rFonts w:hint="eastAsia" w:ascii="仿宋" w:hAnsi="仿宋" w:eastAsia="仿宋"/>
          <w:sz w:val="28"/>
          <w:szCs w:val="28"/>
        </w:rPr>
        <w:t>手机号码：</w:t>
      </w:r>
      <w:r>
        <w:rPr>
          <w:rFonts w:hint="eastAsia" w:ascii="仿宋" w:hAnsi="仿宋" w:eastAsia="仿宋"/>
          <w:sz w:val="28"/>
          <w:szCs w:val="28"/>
          <w:u w:val="single"/>
          <w:lang w:eastAsia="zh-CN"/>
        </w:rPr>
        <w:t xml:space="preserve"> </w:t>
      </w:r>
      <w:r>
        <w:rPr>
          <w:rFonts w:hint="eastAsia" w:ascii="仿宋" w:hAnsi="仿宋" w:eastAsia="仿宋"/>
          <w:sz w:val="28"/>
          <w:szCs w:val="28"/>
          <w:u w:val="single"/>
          <w:lang w:val="en-US" w:eastAsia="zh-CN"/>
        </w:rPr>
        <w:t xml:space="preserve">                     </w:t>
      </w:r>
    </w:p>
    <w:p>
      <w:pPr>
        <w:pStyle w:val="13"/>
        <w:spacing w:after="240"/>
        <w:ind w:firstLine="616" w:firstLineChars="220"/>
        <w:rPr>
          <w:rFonts w:hint="default" w:ascii="仿宋" w:hAnsi="仿宋" w:eastAsia="仿宋"/>
          <w:sz w:val="28"/>
          <w:szCs w:val="28"/>
          <w:u w:val="single"/>
        </w:rPr>
      </w:pPr>
      <w:r>
        <w:rPr>
          <w:rFonts w:hint="eastAsia" w:ascii="仿宋" w:hAnsi="仿宋" w:eastAsia="仿宋"/>
          <w:sz w:val="28"/>
          <w:szCs w:val="28"/>
        </w:rPr>
        <w:t>办公电话：</w:t>
      </w:r>
      <w:r>
        <w:rPr>
          <w:rFonts w:hint="eastAsia" w:ascii="仿宋" w:hAnsi="仿宋" w:eastAsia="仿宋"/>
          <w:sz w:val="28"/>
          <w:szCs w:val="28"/>
          <w:lang w:val="en-US" w:eastAsia="zh-CN"/>
        </w:rPr>
        <w:t xml:space="preserve">      </w:t>
      </w:r>
      <w:r>
        <w:rPr>
          <w:rFonts w:hint="eastAsia" w:ascii="仿宋" w:hAnsi="仿宋" w:eastAsia="仿宋"/>
          <w:u w:val="single"/>
        </w:rPr>
        <w:t>（</w:t>
      </w:r>
      <w:r>
        <w:rPr>
          <w:rFonts w:hint="eastAsia" w:ascii="仿宋" w:hAnsi="仿宋" w:eastAsia="仿宋"/>
          <w:b/>
          <w:color w:val="FF0000"/>
          <w:u w:val="single"/>
        </w:rPr>
        <w:t>固定电话</w:t>
      </w:r>
      <w:r>
        <w:rPr>
          <w:rFonts w:hint="eastAsia" w:ascii="仿宋" w:hAnsi="仿宋" w:eastAsia="仿宋"/>
          <w:u w:val="single"/>
        </w:rPr>
        <w:t>）</w:t>
      </w:r>
      <w:r>
        <w:rPr>
          <w:rFonts w:hint="eastAsia" w:ascii="仿宋" w:hAnsi="仿宋" w:eastAsia="仿宋"/>
          <w:u w:val="single"/>
          <w:lang w:val="en-US" w:eastAsia="zh-CN"/>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u w:val="single"/>
        </w:rPr>
        <w:t>（</w:t>
      </w:r>
      <w:r>
        <w:rPr>
          <w:rFonts w:hint="eastAsia" w:ascii="仿宋" w:hAnsi="仿宋" w:eastAsia="仿宋"/>
          <w:b/>
          <w:bCs/>
          <w:color w:val="FF0000"/>
          <w:u w:val="single"/>
        </w:rPr>
        <w:t>所有往来文件需通过此邮箱收发</w:t>
      </w:r>
      <w:r>
        <w:rPr>
          <w:rFonts w:hint="eastAsia" w:ascii="仿宋" w:hAnsi="仿宋" w:eastAsia="仿宋"/>
          <w:u w:val="single"/>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3" w:name="_Toc116550361"/>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日期：年月日</w:t>
      </w:r>
      <w:r>
        <w:rPr>
          <w:rFonts w:ascii="仿宋" w:hAnsi="仿宋" w:eastAsia="仿宋"/>
          <w:sz w:val="24"/>
        </w:rPr>
        <w:br w:type="page"/>
      </w:r>
    </w:p>
    <w:p>
      <w:pPr>
        <w:spacing w:line="0" w:lineRule="atLeast"/>
        <w:outlineLvl w:val="1"/>
        <w:rPr>
          <w:rFonts w:ascii="宋体" w:hAnsi="宋体"/>
          <w:szCs w:val="21"/>
        </w:rPr>
      </w:pPr>
      <w:bookmarkStart w:id="64" w:name="_Toc116550362"/>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p>
    <w:p>
      <w:pPr>
        <w:spacing w:line="360" w:lineRule="auto"/>
        <w:rPr>
          <w:rFonts w:ascii="宋体" w:hAnsi="宋体"/>
          <w:szCs w:val="21"/>
          <w:u w:val="single"/>
        </w:rPr>
      </w:pPr>
      <w:r>
        <w:rPr>
          <w:rFonts w:hint="eastAsia" w:ascii="宋体" w:hAnsi="宋体"/>
          <w:szCs w:val="21"/>
        </w:rPr>
        <w:t>投标人名称及盖章：</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val="en-US" w:eastAsia="zh-CN"/>
        </w:rPr>
      </w:pPr>
      <w:bookmarkStart w:id="66" w:name="_Toc116550363"/>
      <w:r>
        <w:rPr>
          <w:rFonts w:hint="eastAsia" w:ascii="宋体" w:hAnsi="宋体"/>
          <w:szCs w:val="21"/>
        </w:rPr>
        <w:t>附件4：考察证明</w:t>
      </w:r>
      <w:bookmarkEnd w:id="66"/>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highlight w:val="none"/>
        </w:rPr>
      </w:pPr>
      <w:r>
        <w:rPr>
          <w:rFonts w:hint="eastAsia" w:ascii="仿宋" w:hAnsi="仿宋" w:eastAsia="仿宋"/>
          <w:sz w:val="28"/>
          <w:szCs w:val="28"/>
        </w:rPr>
        <w:t xml:space="preserve">投标人（   </w:t>
      </w:r>
      <w:r>
        <w:rPr>
          <w:rFonts w:hint="eastAsia" w:ascii="仿宋" w:hAnsi="仿宋" w:eastAsia="仿宋"/>
          <w:sz w:val="28"/>
          <w:szCs w:val="28"/>
          <w:highlight w:val="none"/>
        </w:rPr>
        <w:t xml:space="preserve">                         ）：</w:t>
      </w:r>
    </w:p>
    <w:p>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highlight w:val="none"/>
        </w:rPr>
        <w:t>你单位已于</w:t>
      </w:r>
      <w:r>
        <w:rPr>
          <w:rFonts w:hint="eastAsia" w:ascii="仿宋" w:hAnsi="仿宋" w:eastAsia="仿宋"/>
          <w:bCs/>
          <w:sz w:val="28"/>
          <w:szCs w:val="28"/>
          <w:highlight w:val="none"/>
        </w:rPr>
        <w:t>年月日指派专人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w:t>
      </w:r>
      <w:r>
        <w:rPr>
          <w:rFonts w:hint="eastAsia" w:ascii="仿宋" w:hAnsi="仿宋" w:eastAsia="仿宋"/>
          <w:sz w:val="28"/>
          <w:szCs w:val="28"/>
        </w:rPr>
        <w:t>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招标人现场踏勘负责人签字：</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日期：年月日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116550364"/>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spacing w:line="0" w:lineRule="atLeast"/>
              <w:jc w:val="center"/>
              <w:rPr>
                <w:rFonts w:ascii="仿宋" w:hAnsi="仿宋" w:eastAsia="仿宋" w:cs="仿宋"/>
                <w:sz w:val="28"/>
                <w:szCs w:val="28"/>
              </w:rPr>
            </w:pPr>
          </w:p>
        </w:tc>
        <w:tc>
          <w:tcPr>
            <w:tcW w:w="5708" w:type="dxa"/>
          </w:tcPr>
          <w:p>
            <w:pPr>
              <w:spacing w:line="400" w:lineRule="exact"/>
              <w:ind w:firstLine="551" w:firstLineChars="196"/>
              <w:rPr>
                <w:rFonts w:ascii="仿宋" w:hAnsi="仿宋" w:eastAsia="仿宋"/>
                <w:b/>
                <w:bCs/>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36803114"/>
      <w:bookmarkStart w:id="74" w:name="_Toc246480945"/>
      <w:r>
        <w:rPr>
          <w:rFonts w:ascii="仿宋" w:hAnsi="仿宋" w:eastAsia="仿宋"/>
          <w:sz w:val="28"/>
          <w:szCs w:val="28"/>
        </w:rPr>
        <w:br w:type="page"/>
      </w:r>
    </w:p>
    <w:p>
      <w:pPr>
        <w:spacing w:line="0" w:lineRule="atLeast"/>
        <w:outlineLvl w:val="1"/>
        <w:rPr>
          <w:rFonts w:ascii="宋体" w:hAnsi="宋体"/>
          <w:szCs w:val="21"/>
        </w:rPr>
      </w:pPr>
      <w:bookmarkStart w:id="75" w:name="_Toc116550365"/>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236803111"/>
      <w:bookmarkStart w:id="78" w:name="_Toc478387764"/>
      <w:bookmarkStart w:id="79" w:name="_Toc395883088"/>
      <w:r>
        <w:rPr>
          <w:rFonts w:ascii="仿宋" w:hAnsi="仿宋" w:eastAsia="仿宋"/>
          <w:sz w:val="28"/>
          <w:szCs w:val="28"/>
        </w:rPr>
        <w:br w:type="page"/>
      </w:r>
    </w:p>
    <w:p>
      <w:pPr>
        <w:spacing w:line="0" w:lineRule="atLeast"/>
        <w:outlineLvl w:val="1"/>
        <w:rPr>
          <w:rFonts w:ascii="宋体" w:hAnsi="宋体"/>
          <w:szCs w:val="21"/>
        </w:rPr>
      </w:pPr>
      <w:bookmarkStart w:id="80" w:name="_Toc116550366"/>
      <w:r>
        <w:rPr>
          <w:rFonts w:hint="eastAsia" w:ascii="宋体" w:hAnsi="宋体"/>
          <w:szCs w:val="21"/>
        </w:rPr>
        <w:t>附件7：报价一览表（货物）</w:t>
      </w:r>
      <w:r>
        <w:rPr>
          <w:rFonts w:hint="eastAsia" w:ascii="宋体" w:hAnsi="宋体"/>
          <w:color w:val="FF0000"/>
          <w:szCs w:val="21"/>
        </w:rPr>
        <w:t>（本项目不适用）</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  交货期：</w:t>
      </w:r>
    </w:p>
    <w:p>
      <w:pPr>
        <w:spacing w:after="80" w:line="360" w:lineRule="auto"/>
        <w:rPr>
          <w:rFonts w:ascii="仿宋" w:hAnsi="仿宋" w:eastAsia="仿宋"/>
          <w:sz w:val="28"/>
          <w:szCs w:val="28"/>
        </w:rPr>
      </w:pPr>
      <w:r>
        <w:rPr>
          <w:rFonts w:hint="eastAsia" w:ascii="仿宋" w:hAnsi="仿宋" w:eastAsia="仿宋"/>
          <w:sz w:val="28"/>
          <w:szCs w:val="28"/>
        </w:rPr>
        <w:t xml:space="preserve">币种：人民币         税率：%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5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5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5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5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28"/>
          <w:szCs w:val="28"/>
        </w:rPr>
      </w:pPr>
      <w:bookmarkStart w:id="82" w:name="_Toc82095917"/>
      <w:bookmarkStart w:id="83"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116550367"/>
      <w:r>
        <w:rPr>
          <w:rFonts w:hint="eastAsia" w:ascii="宋体" w:hAnsi="宋体"/>
          <w:szCs w:val="21"/>
        </w:rPr>
        <w:t>附件8：报价一览表（服务）</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hint="default" w:ascii="仿宋" w:hAnsi="仿宋" w:eastAsia="仿宋"/>
          <w:sz w:val="28"/>
          <w:szCs w:val="28"/>
          <w:u w:val="single"/>
          <w:lang w:val="en-US" w:eastAsia="zh-CN"/>
        </w:rPr>
      </w:pPr>
      <w:r>
        <w:rPr>
          <w:rFonts w:hint="eastAsia" w:ascii="仿宋" w:hAnsi="仿宋" w:eastAsia="仿宋"/>
          <w:sz w:val="28"/>
          <w:szCs w:val="28"/>
        </w:rPr>
        <w:t>项目名称：</w:t>
      </w:r>
      <w:r>
        <w:rPr>
          <w:rFonts w:hint="eastAsia" w:ascii="仿宋" w:hAnsi="仿宋" w:eastAsia="仿宋"/>
          <w:sz w:val="28"/>
          <w:szCs w:val="28"/>
          <w:u w:val="single"/>
          <w:lang w:val="en-US" w:eastAsia="zh-CN"/>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lang w:val="en-US" w:eastAsia="zh-CN"/>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473" w:type="dxa"/>
        <w:tblInd w:w="0" w:type="dxa"/>
        <w:tblLayout w:type="fixed"/>
        <w:tblCellMar>
          <w:top w:w="0" w:type="dxa"/>
          <w:left w:w="42" w:type="dxa"/>
          <w:bottom w:w="0" w:type="dxa"/>
          <w:right w:w="42" w:type="dxa"/>
        </w:tblCellMar>
      </w:tblPr>
      <w:tblGrid>
        <w:gridCol w:w="583"/>
        <w:gridCol w:w="1869"/>
        <w:gridCol w:w="1559"/>
        <w:gridCol w:w="712"/>
        <w:gridCol w:w="707"/>
        <w:gridCol w:w="1275"/>
        <w:gridCol w:w="1417"/>
        <w:gridCol w:w="1351"/>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71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707"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351"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30"/>
                <w:szCs w:val="30"/>
              </w:rPr>
              <w:t>1</w:t>
            </w:r>
          </w:p>
        </w:tc>
        <w:tc>
          <w:tcPr>
            <w:tcW w:w="1869" w:type="dxa"/>
            <w:vMerge w:val="restart"/>
            <w:tcBorders>
              <w:top w:val="single" w:color="auto" w:sz="6" w:space="0"/>
              <w:left w:val="single" w:color="auto" w:sz="6" w:space="0"/>
              <w:right w:val="single" w:color="auto" w:sz="6" w:space="0"/>
            </w:tcBorders>
            <w:vAlign w:val="center"/>
          </w:tcPr>
          <w:p>
            <w:pPr>
              <w:jc w:val="center"/>
              <w:rPr>
                <w:rFonts w:ascii="宋体" w:hAnsi="宋体"/>
                <w:sz w:val="24"/>
              </w:rPr>
            </w:pPr>
            <w:r>
              <w:rPr>
                <w:rFonts w:hint="eastAsia" w:ascii="宋体" w:hAnsi="宋体"/>
                <w:sz w:val="24"/>
              </w:rPr>
              <w:t>现场咨询</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总助理11月6日进场</w:t>
            </w:r>
          </w:p>
        </w:tc>
        <w:tc>
          <w:tcPr>
            <w:tcW w:w="7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人*日</w:t>
            </w:r>
          </w:p>
        </w:tc>
        <w:tc>
          <w:tcPr>
            <w:tcW w:w="70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18</w:t>
            </w: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41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35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1人</w:t>
            </w:r>
          </w:p>
        </w:tc>
      </w:tr>
      <w:tr>
        <w:tblPrEx>
          <w:tblCellMar>
            <w:top w:w="0" w:type="dxa"/>
            <w:left w:w="42" w:type="dxa"/>
            <w:bottom w:w="0" w:type="dxa"/>
            <w:right w:w="42" w:type="dxa"/>
          </w:tblCellMar>
        </w:tblPrEx>
        <w:trPr>
          <w:cantSplit/>
          <w:trHeight w:val="474" w:hRule="atLeast"/>
        </w:trPr>
        <w:tc>
          <w:tcPr>
            <w:tcW w:w="583"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vMerge w:val="continue"/>
            <w:tcBorders>
              <w:left w:val="single" w:color="auto" w:sz="6" w:space="0"/>
              <w:bottom w:val="single" w:color="auto" w:sz="6" w:space="0"/>
              <w:right w:val="single" w:color="auto" w:sz="6" w:space="0"/>
            </w:tcBorders>
            <w:vAlign w:val="center"/>
          </w:tcPr>
          <w:p>
            <w:pPr>
              <w:jc w:val="center"/>
              <w:rPr>
                <w:rFonts w:ascii="宋体" w:hAnsi="宋体"/>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服务人员11月15日进场</w:t>
            </w:r>
          </w:p>
        </w:tc>
        <w:tc>
          <w:tcPr>
            <w:tcW w:w="7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人*日</w:t>
            </w:r>
          </w:p>
        </w:tc>
        <w:tc>
          <w:tcPr>
            <w:tcW w:w="70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380</w:t>
            </w: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41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35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color w:val="0000FF"/>
                <w:sz w:val="24"/>
              </w:rPr>
              <w:t>50人</w:t>
            </w:r>
          </w:p>
        </w:tc>
      </w:tr>
      <w:tr>
        <w:tblPrEx>
          <w:tblCellMar>
            <w:top w:w="0" w:type="dxa"/>
            <w:left w:w="42" w:type="dxa"/>
            <w:bottom w:w="0" w:type="dxa"/>
            <w:right w:w="42" w:type="dxa"/>
          </w:tblCellMar>
        </w:tblPrEx>
        <w:trPr>
          <w:cantSplit/>
          <w:trHeight w:val="474" w:hRule="atLeast"/>
        </w:trPr>
        <w:tc>
          <w:tcPr>
            <w:tcW w:w="583"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30"/>
                <w:szCs w:val="30"/>
              </w:rPr>
              <w:t>2</w:t>
            </w:r>
          </w:p>
        </w:tc>
        <w:tc>
          <w:tcPr>
            <w:tcW w:w="1869" w:type="dxa"/>
            <w:vMerge w:val="restart"/>
            <w:tcBorders>
              <w:top w:val="single" w:color="auto" w:sz="6" w:space="0"/>
              <w:left w:val="single" w:color="auto" w:sz="6" w:space="0"/>
              <w:right w:val="single" w:color="auto" w:sz="6" w:space="0"/>
            </w:tcBorders>
            <w:vAlign w:val="center"/>
          </w:tcPr>
          <w:p>
            <w:pPr>
              <w:jc w:val="center"/>
              <w:rPr>
                <w:rFonts w:ascii="宋体" w:hAnsi="宋体"/>
                <w:sz w:val="24"/>
              </w:rPr>
            </w:pPr>
            <w:r>
              <w:rPr>
                <w:rFonts w:hint="eastAsia" w:ascii="宋体" w:hAnsi="宋体"/>
                <w:sz w:val="24"/>
              </w:rPr>
              <w:t>礼仪培训</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培训师</w:t>
            </w:r>
          </w:p>
        </w:tc>
        <w:tc>
          <w:tcPr>
            <w:tcW w:w="7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场</w:t>
            </w:r>
          </w:p>
        </w:tc>
        <w:tc>
          <w:tcPr>
            <w:tcW w:w="70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6</w:t>
            </w: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41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35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每场培训时长：80-100分钟</w:t>
            </w:r>
          </w:p>
        </w:tc>
      </w:tr>
      <w:tr>
        <w:tblPrEx>
          <w:tblCellMar>
            <w:top w:w="0" w:type="dxa"/>
            <w:left w:w="42" w:type="dxa"/>
            <w:bottom w:w="0" w:type="dxa"/>
            <w:right w:w="42" w:type="dxa"/>
          </w:tblCellMar>
        </w:tblPrEx>
        <w:trPr>
          <w:cantSplit/>
          <w:trHeight w:val="474" w:hRule="atLeast"/>
        </w:trPr>
        <w:tc>
          <w:tcPr>
            <w:tcW w:w="583"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vMerge w:val="continue"/>
            <w:tcBorders>
              <w:left w:val="single" w:color="auto" w:sz="6" w:space="0"/>
              <w:bottom w:val="single" w:color="auto" w:sz="6" w:space="0"/>
              <w:right w:val="single" w:color="auto" w:sz="6" w:space="0"/>
            </w:tcBorders>
            <w:vAlign w:val="center"/>
          </w:tcPr>
          <w:p>
            <w:pPr>
              <w:jc w:val="center"/>
              <w:rPr>
                <w:rFonts w:ascii="宋体" w:hAnsi="宋体"/>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督察员</w:t>
            </w:r>
          </w:p>
        </w:tc>
        <w:tc>
          <w:tcPr>
            <w:tcW w:w="7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w:t>
            </w:r>
          </w:p>
        </w:tc>
        <w:tc>
          <w:tcPr>
            <w:tcW w:w="70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w:t>
            </w: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w:t>
            </w:r>
          </w:p>
        </w:tc>
        <w:tc>
          <w:tcPr>
            <w:tcW w:w="141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w:t>
            </w:r>
          </w:p>
        </w:tc>
        <w:tc>
          <w:tcPr>
            <w:tcW w:w="135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调查问卷100份</w:t>
            </w:r>
          </w:p>
        </w:tc>
      </w:tr>
      <w:tr>
        <w:tblPrEx>
          <w:tblCellMar>
            <w:top w:w="0" w:type="dxa"/>
            <w:left w:w="42" w:type="dxa"/>
            <w:bottom w:w="0" w:type="dxa"/>
            <w:right w:w="42" w:type="dxa"/>
          </w:tblCellMar>
        </w:tblPrEx>
        <w:trPr>
          <w:cantSplit/>
          <w:trHeight w:val="474" w:hRule="atLeast"/>
        </w:trPr>
        <w:tc>
          <w:tcPr>
            <w:tcW w:w="583"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30"/>
                <w:szCs w:val="30"/>
              </w:rPr>
              <w:t>3</w:t>
            </w:r>
          </w:p>
        </w:tc>
        <w:tc>
          <w:tcPr>
            <w:tcW w:w="1869" w:type="dxa"/>
            <w:vMerge w:val="restart"/>
            <w:tcBorders>
              <w:top w:val="single" w:color="auto" w:sz="6" w:space="0"/>
              <w:left w:val="single" w:color="auto" w:sz="6" w:space="0"/>
              <w:right w:val="single" w:color="auto" w:sz="6" w:space="0"/>
            </w:tcBorders>
            <w:vAlign w:val="center"/>
          </w:tcPr>
          <w:p>
            <w:pPr>
              <w:jc w:val="center"/>
              <w:rPr>
                <w:rFonts w:ascii="宋体" w:hAnsi="宋体"/>
                <w:sz w:val="24"/>
              </w:rPr>
            </w:pPr>
            <w:r>
              <w:rPr>
                <w:rFonts w:hint="eastAsia" w:ascii="宋体" w:hAnsi="宋体"/>
                <w:sz w:val="24"/>
              </w:rPr>
              <w:t>参观引导执行</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项目负责人</w:t>
            </w:r>
          </w:p>
        </w:tc>
        <w:tc>
          <w:tcPr>
            <w:tcW w:w="7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人*日</w:t>
            </w:r>
          </w:p>
        </w:tc>
        <w:tc>
          <w:tcPr>
            <w:tcW w:w="70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15</w:t>
            </w: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41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35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1人</w:t>
            </w:r>
          </w:p>
        </w:tc>
      </w:tr>
      <w:tr>
        <w:tblPrEx>
          <w:tblCellMar>
            <w:top w:w="0" w:type="dxa"/>
            <w:left w:w="42" w:type="dxa"/>
            <w:bottom w:w="0" w:type="dxa"/>
            <w:right w:w="42" w:type="dxa"/>
          </w:tblCellMar>
        </w:tblPrEx>
        <w:trPr>
          <w:cantSplit/>
          <w:trHeight w:val="474" w:hRule="atLeast"/>
        </w:trPr>
        <w:tc>
          <w:tcPr>
            <w:tcW w:w="583"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vMerge w:val="continue"/>
            <w:tcBorders>
              <w:left w:val="single" w:color="auto" w:sz="6" w:space="0"/>
              <w:bottom w:val="single" w:color="auto" w:sz="6" w:space="0"/>
              <w:right w:val="single" w:color="auto" w:sz="6" w:space="0"/>
            </w:tcBorders>
            <w:vAlign w:val="center"/>
          </w:tcPr>
          <w:p>
            <w:pPr>
              <w:jc w:val="center"/>
              <w:rPr>
                <w:rFonts w:ascii="宋体" w:hAnsi="宋体"/>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讲解员</w:t>
            </w:r>
          </w:p>
        </w:tc>
        <w:tc>
          <w:tcPr>
            <w:tcW w:w="7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人*日</w:t>
            </w:r>
          </w:p>
        </w:tc>
        <w:tc>
          <w:tcPr>
            <w:tcW w:w="70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16</w:t>
            </w: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41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35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2人</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30"/>
                <w:szCs w:val="30"/>
              </w:rPr>
              <w:t>4</w:t>
            </w:r>
          </w:p>
        </w:tc>
        <w:tc>
          <w:tcPr>
            <w:tcW w:w="342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综合服务助理</w:t>
            </w:r>
          </w:p>
        </w:tc>
        <w:tc>
          <w:tcPr>
            <w:tcW w:w="7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人*日</w:t>
            </w:r>
          </w:p>
        </w:tc>
        <w:tc>
          <w:tcPr>
            <w:tcW w:w="70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highlight w:val="none"/>
              </w:rPr>
              <w:t>720</w:t>
            </w: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41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35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共14人</w:t>
            </w: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30"/>
                <w:szCs w:val="30"/>
              </w:rPr>
              <w:t>5</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现场运行管理费用</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7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项</w:t>
            </w:r>
          </w:p>
        </w:tc>
        <w:tc>
          <w:tcPr>
            <w:tcW w:w="70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1</w:t>
            </w: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41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35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30"/>
                <w:szCs w:val="30"/>
              </w:rPr>
              <w:t>6</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cs="仿宋_GB2312"/>
                <w:szCs w:val="21"/>
              </w:rPr>
              <w:t>参观引导人员工作服装费</w:t>
            </w:r>
          </w:p>
        </w:tc>
        <w:tc>
          <w:tcPr>
            <w:tcW w:w="1559"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hint="eastAsia" w:ascii="宋体" w:hAnsi="宋体"/>
                <w:sz w:val="24"/>
              </w:rPr>
              <w:t>服装</w:t>
            </w:r>
          </w:p>
        </w:tc>
        <w:tc>
          <w:tcPr>
            <w:tcW w:w="7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套</w:t>
            </w:r>
          </w:p>
        </w:tc>
        <w:tc>
          <w:tcPr>
            <w:tcW w:w="70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3</w:t>
            </w: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41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35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30"/>
                <w:szCs w:val="30"/>
              </w:rPr>
              <w:t>7</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其他</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7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70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41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24"/>
              </w:rPr>
            </w:pPr>
          </w:p>
        </w:tc>
        <w:tc>
          <w:tcPr>
            <w:tcW w:w="135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p>
        </w:tc>
      </w:tr>
      <w:tr>
        <w:tblPrEx>
          <w:tblCellMar>
            <w:top w:w="0" w:type="dxa"/>
            <w:left w:w="42" w:type="dxa"/>
            <w:bottom w:w="0" w:type="dxa"/>
            <w:right w:w="42" w:type="dxa"/>
          </w:tblCellMar>
        </w:tblPrEx>
        <w:trPr>
          <w:cantSplit/>
          <w:trHeight w:val="639"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351"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5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投标人需报服务人员综合单价，结算时按照实际执行情况结算。</w:t>
      </w:r>
    </w:p>
    <w:p>
      <w:pPr>
        <w:pStyle w:val="24"/>
        <w:numPr>
          <w:ilvl w:val="1"/>
          <w:numId w:val="5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5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5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5" w:name="_Toc116550368"/>
      <w:r>
        <w:rPr>
          <w:rFonts w:hint="eastAsia" w:ascii="宋体" w:hAnsi="宋体"/>
          <w:szCs w:val="21"/>
        </w:rPr>
        <w:t>附件9：报价一览表（工程）</w:t>
      </w:r>
      <w:bookmarkEnd w:id="85"/>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5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5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5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52"/>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p>
    <w:p>
      <w:pPr>
        <w:spacing w:line="360" w:lineRule="auto"/>
        <w:rPr>
          <w:rFonts w:ascii="仿宋" w:hAnsi="仿宋" w:eastAsia="仿宋"/>
          <w:sz w:val="28"/>
          <w:szCs w:val="28"/>
        </w:rPr>
      </w:pPr>
      <w:r>
        <w:rPr>
          <w:rFonts w:hint="eastAsia" w:ascii="仿宋" w:hAnsi="仿宋" w:eastAsia="仿宋"/>
          <w:sz w:val="28"/>
          <w:szCs w:val="28"/>
        </w:rPr>
        <w:t>投标人（盖章）：</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11655036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营业执照号码：，经济性质：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姓名：，性别：，年龄：，职务：，</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53"/>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53"/>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53"/>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1026" o:spt="202" type="#_x0000_t202" style="position:absolute;left:0pt;margin-left:213pt;margin-top:20.1pt;height:126.75pt;width:198.25pt;z-index:251659264;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l/z/FGwIAAEc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gFRxImd6w30BcYm7vxYjbMcFdTPSKSFaZrx9+GhA/uN&#10;kgEnuaTu65FZQYl6r1GMTbZchtGPxnK1ztGwl57q0sM0R6iSekqm495P3+VorGw7zDTJr+EW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ByXLzaAAAA&#10;CgEAAA8AAAAAAAAAAQAgAAAAIgAAAGRycy9kb3ducmV2LnhtbFBLAQIUABQAAAAIAIdO4kAl/z/F&#10;GwIAAEcEAAAOAAAAAAAAAAEAIAAAACkBAABkcnMvZTJvRG9jLnhtbFBLBQYAAAAABgAGAFkBAAC2&#10;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1029" o:spt="202" type="#_x0000_t202" style="position:absolute;left:0pt;margin-left:-7.5pt;margin-top:20.15pt;height:126.75pt;width:201.25pt;z-index:251660288;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4I/99xkCAABHBAAADgAAAGRycy9lMm9Eb2MueG1s&#10;rVPBjtMwEL0j8Q+W7zRpabZt1HS1dFWEtCxIu3yA6ziJheMxttukfD1jJ1siQBwQPlgez/jNm3nj&#10;7W3fKnIW1knQBZ3PUkqE5lBKXRf0y/PhzZoS55kumQItCnoRjt7uXr/adiYXC2hAlcISBNEu70xB&#10;G+9NniSON6JlbgZGaHRWYFvm0bR1UlrWIXqrkkWa3iQd2NJY4MI5vL0fnHQX8atKcP+pqpzwRBUU&#10;ufm427gfw57stiyvLTON5CMN9g8sWiY1Jr1C3TPPyMnK36BayS04qPyMQ5tAVUkuYg1YzTz9pZqn&#10;hhkRa8HmOHNtk/t/sPzx/NkSWaJ2lGjWokTPovfkHfTkbehOZ1yOQU8Gw3yP1yEyVOrMA/CvjmjY&#10;N0zX4s5a6BrBSmQ3Dy+TydMBxwWQY/cRSkzDTh4iUF/ZNgBiMwiio0qXqzKBCsfLRZZl61VGCUff&#10;/CbdrBZZzMHyl+fGOv9eQEvCoaAWpY/w7PzgfKDD8peQSB+ULA9SqWjY+rhXlpwZjskhrhHdTcOU&#10;Jl1BNxnm/jtEGtefIFrpcd6VbAu6ngYpHRBFnNiRb2hf6NjQO98f+1GOI5QXbKSFYZrx9+GhAfud&#10;kg4nuaDu24lZQYn6oFGMzXy5DKMfjWW2WqBhp57j1MM0R6iCekqG494P3+VkrKwbzDTIr+EOBaxk&#10;bG2gOrAaZcdpjR0ff1b4DlM7Rv38/7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YMtsAAAAK&#10;AQAADwAAAAAAAAABACAAAAAiAAAAZHJzL2Rvd25yZXYueG1sUEsBAhQAFAAAAAgAh07iQOCP/fcZ&#10;AgAARwQAAA4AAAAAAAAAAQAgAAAAKgEAAGRycy9lMm9Eb2MueG1sUEsFBgAAAAAGAAYAWQEAALUF&#10;A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87"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 ，性别：，年龄：，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身份证号码：，职务：，</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授权委托日期：年月日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54"/>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54"/>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54"/>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w:pict>
          <v:shape id="_x0000_s1028" o:spid="_x0000_s1028" o:spt="202" type="#_x0000_t202" style="position:absolute;left:0pt;margin-left:0pt;margin-top:16.7pt;height:126.75pt;width:201.25pt;z-index:251662336;mso-width-relative:page;mso-height-relative:page;"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6vWBzIwIAAFAEAAAOAAAAZHJzL2Uyb0RvYy54bWytVNuO&#10;2yAQfa/Uf0C8N3bcOJtYcVbbrFJV2l6k3X4AwdhGxQwFEjv9+g7Ym6YX9aGqHxADw5kzZ2a8uR06&#10;RU7COgm6pPNZSonQHCqpm5J+ftq/WlHiPNMVU6BFSc/C0dvtyxeb3hQigxZUJSxBEO2K3pS09d4U&#10;SeJ4KzrmZmCExssabMc8mrZJKst6RO9UkqXpMunBVsYCF87h6f14SbcRv64F9x/r2glPVEmRm4+r&#10;jeshrMl2w4rGMtNKPtFg/8CiY1Jj0AvUPfOMHK38DaqT3IKD2s84dAnUteQi5oDZzNNfsnlsmREx&#10;FxTHmYtM7v/B8g+nT5bICmu3WGfrZbpYoUyadVirJzF48gYG8jrI1BtXoPejQX8/4DE+iSk78wD8&#10;iyMadi3TjbizFvpWsAppzsPL5OrpiOMCyKF/DxWGYUcPEWiobRc0RFUIoiOP86VEgQrHwyzP89VN&#10;TgnHu/kyXd9keYzBiufnxjr/VkBHwqakFnsgwrPTg/OBDiueXUI0B0pWe6lUNGxz2ClLTgz7ZR+/&#10;Cf0nN6VJX9J1jrH/DpHG708QnfTY+Ep2JV1dOykdEEVs3YlvkC8oNmrnh8MwleMA1RmFtDC2NY4h&#10;blqw3yjpsaVL6r4emRWUqHcai7GeLxZhBqKxyG8yNOz1zeH6hmmOUCX1lIzbnR/n5misbFqMNJZf&#10;wx0WsJZR2kB1ZDWVHds2Kj6NWJiLazt6/fgRbL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stl&#10;wNcAAAAHAQAADwAAAAAAAAABACAAAAAiAAAAZHJzL2Rvd25yZXYueG1sUEsBAhQAFAAAAAgAh07i&#10;QDq9YHMjAgAAUAQAAA4AAAAAAAAAAQAgAAAAJgEAAGRycy9lMm9Eb2MueG1sUEsFBgAAAAAGAAYA&#10;WQEAALsFAAAAAA==&#10;">
            <v:path/>
            <v:fill focussize="0,0"/>
            <v:stroke joinstyle="miter"/>
            <v:imagedata o:title=""/>
            <o:lock v:ext="edit"/>
            <v:textbox>
              <w:txbxContent>
                <w:p>
                  <w:r>
                    <w:rPr>
                      <w:rFonts w:hint="eastAsia"/>
                    </w:rPr>
                    <w:t>被委托人身份证扫描</w:t>
                  </w:r>
                  <w:r>
                    <w:t>件</w:t>
                  </w:r>
                  <w:r>
                    <w:rPr>
                      <w:rFonts w:hint="eastAsia"/>
                    </w:rPr>
                    <w:t>（反面）</w:t>
                  </w:r>
                </w:p>
              </w:txbxContent>
            </v:textbox>
          </v:shape>
        </w:pict>
      </w:r>
      <w:r>
        <w:rPr>
          <w:rFonts w:ascii="仿宋_GB2312" w:hAnsi="宋体" w:eastAsia="仿宋_GB2312"/>
          <w:b/>
          <w:color w:val="000000"/>
        </w:rPr>
        <w:pict>
          <v:shape id="_x0000_s1027" o:spid="_x0000_s1027" o:spt="202" type="#_x0000_t202" style="position:absolute;left:0pt;margin-left:220.5pt;margin-top:16.65pt;height:126.75pt;width:198.25pt;z-index:251661312;mso-width-relative:page;mso-height-relative:page;"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1K7KzIwIAAFAEAAAOAAAAZHJzL2Uyb0RvYy54bWyt&#10;VNtu2zAMfR+wfxD0vtgOcmmMOEWXIsOAbh3Q7gMUWY6FSaImKbGzrx8lu1l2wR6G+UEQRfKQPCS9&#10;vu21IifhvART0WKSUyIMh1qaQ0U/P+/e3FDiAzM1U2BERc/C09vN61frzpZiCi2oWjiCIMaXna1o&#10;G4Its8zzVmjmJ2CFQWUDTrOAojtktWMdomuVTfN8kXXgauuAC+/x9X5Q0k3CbxrBw2PTeBGIqijm&#10;FtLp0rmPZ7ZZs/LgmG0lH9Ng/5CFZtJg0AvUPQuMHJ38DUpL7sBDEyYcdAZNI7lINWA1Rf5LNU8t&#10;syLVguR4e6HJ/z9Y/vH0yRFZY+/y2WK1ym/yFSWGaezVs+gDeQs9mUaaOutLtH6yaB96fEaXVLK3&#10;D8C/eGJg2zJzEHfOQdcKVmOaRfTMrlwHHB9B9t0HqDEMOwZIQH3jdOQQWSGIju06X1oUU+H4OJ0X&#10;y+VyTglHXbHIV8vpPMVg5Yu7dT68E6BJvFTU4QwkeHZ68CGmw8oXkxjNg5L1TiqVBHfYb5UjJ4bz&#10;skvfiP6TmTKkq+hqjrH/DpGn708QWgYcfCV1RW+ujZSJiCKN7phvpC8yNnAX+n0/tmMP9RmJdDCM&#10;Na4hXlpw3yjpcKQr6r8emROUqPcGm7EqZrO4A0mYzZdTFNy1Zn+tYYYjVEUDJcN1G4a9OVonDy1G&#10;Gtpv4A4b2MhEbUx1yGpsO45tYnxcsbgX13Ky+vEj2H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zUmtNoAAAAKAQAADwAAAAAAAAABACAAAAAiAAAAZHJzL2Rvd25yZXYueG1sUEsBAhQAFAAAAAgA&#10;h07iQHUrsrMjAgAAUAQAAA4AAAAAAAAAAQAgAAAAKQEAAGRycy9lMm9Eb2MueG1sUEsFBgAAAAAG&#10;AAYAWQEAAL4FAAAAAA==&#10;">
            <v:path/>
            <v:fill focussize="0,0"/>
            <v:stroke joinstyle="miter"/>
            <v:imagedata o:title=""/>
            <o:lock v:ext="edit"/>
            <v:textbox>
              <w:txbxContent>
                <w:p>
                  <w:r>
                    <w:rPr>
                      <w:rFonts w:hint="eastAsia"/>
                    </w:rPr>
                    <w:t>被委托人身份证扫描</w:t>
                  </w:r>
                  <w:r>
                    <w:t>件</w:t>
                  </w:r>
                  <w:r>
                    <w:rPr>
                      <w:rFonts w:hint="eastAsia"/>
                    </w:rPr>
                    <w:t>（正面）</w:t>
                  </w:r>
                </w:p>
              </w:txbxContent>
            </v:textbox>
          </v:shape>
        </w:pict>
      </w:r>
      <w:r>
        <w:rPr>
          <w:rFonts w:ascii="仿宋_GB2312" w:hAnsi="宋体" w:eastAsia="仿宋_GB2312"/>
          <w:color w:val="000000"/>
        </w:rPr>
        <w:br w:type="page"/>
      </w:r>
    </w:p>
    <w:p>
      <w:pPr>
        <w:spacing w:line="0" w:lineRule="atLeast"/>
        <w:outlineLvl w:val="1"/>
        <w:rPr>
          <w:rFonts w:ascii="宋体" w:hAnsi="宋体"/>
          <w:szCs w:val="21"/>
        </w:rPr>
      </w:pPr>
      <w:bookmarkStart w:id="88"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我方根据贵公司招标文件要求提供年月日至投标截止时间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55"/>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55"/>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55"/>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55"/>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rPr>
        <w:t>年月日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5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5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5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5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5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5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5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（投标人名称）及法定代表人在最近三年内（年月日至报名截止时间）没有行贿犯罪记录。</w:t>
      </w:r>
    </w:p>
    <w:p>
      <w:pPr>
        <w:numPr>
          <w:ilvl w:val="0"/>
          <w:numId w:val="5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日期：年月日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2" w:name="_Toc100848654"/>
      <w:bookmarkStart w:id="93" w:name="_Toc116550374"/>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rPr>
      </w:pPr>
      <w:bookmarkStart w:id="94" w:name="_Hlk66864759"/>
      <w:r>
        <w:rPr>
          <w:rFonts w:hint="eastAsia" w:ascii="宋体" w:hAnsi="宋体"/>
          <w:b/>
          <w:color w:val="000000" w:themeColor="text1"/>
          <w:sz w:val="32"/>
          <w:szCs w:val="32"/>
        </w:rPr>
        <w:t>_</w:t>
      </w:r>
      <w:r>
        <w:rPr>
          <w:rFonts w:ascii="宋体" w:hAnsi="宋体"/>
          <w:b/>
          <w:color w:val="000000" w:themeColor="text1"/>
          <w:sz w:val="32"/>
          <w:szCs w:val="32"/>
        </w:rPr>
        <w:t>________________________________</w:t>
      </w:r>
      <w:r>
        <w:rPr>
          <w:rFonts w:hint="eastAsia" w:ascii="宋体" w:hAnsi="宋体"/>
          <w:b/>
          <w:color w:val="000000" w:themeColor="text1"/>
          <w:sz w:val="32"/>
          <w:szCs w:val="32"/>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58"/>
        </w:numPr>
        <w:rPr>
          <w:rFonts w:ascii="仿宋" w:hAnsi="仿宋" w:eastAsia="仿宋"/>
          <w:sz w:val="28"/>
          <w:szCs w:val="28"/>
        </w:rPr>
      </w:pPr>
      <w:r>
        <w:rPr>
          <w:rFonts w:hint="eastAsia" w:ascii="仿宋" w:hAnsi="仿宋" w:eastAsia="仿宋"/>
          <w:color w:val="000000" w:themeColor="text1"/>
          <w:sz w:val="28"/>
          <w:szCs w:val="28"/>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58"/>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5"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5"/>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246F2ED-296A-47EF-B7CE-51992DD4247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C73F94DF-ED08-4541-B7C7-722E63012C6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7B115C9-FDD9-4AF5-8018-B7335F2A8969}"/>
  </w:font>
  <w:font w:name="仿宋_GB2312">
    <w:altName w:val="仿宋"/>
    <w:panose1 w:val="00000000000000000000"/>
    <w:charset w:val="86"/>
    <w:family w:val="auto"/>
    <w:pitch w:val="default"/>
    <w:sig w:usb0="00000000" w:usb1="00000000" w:usb2="00000000" w:usb3="00000000" w:csb0="00040000" w:csb1="00000000"/>
    <w:embedRegular r:id="rId4" w:fontKey="{8D46B5BE-D640-49F7-B90F-2E76BB977E8D}"/>
  </w:font>
  <w:font w:name="仿宋">
    <w:panose1 w:val="02010609060101010101"/>
    <w:charset w:val="86"/>
    <w:family w:val="auto"/>
    <w:pitch w:val="default"/>
    <w:sig w:usb0="800002BF" w:usb1="38CF7CFA" w:usb2="00000016" w:usb3="00000000" w:csb0="00040001" w:csb1="00000000"/>
    <w:embedRegular r:id="rId5" w:fontKey="{C0A65AF1-6926-40D7-BF21-599FB2643746}"/>
  </w:font>
  <w:font w:name="等线">
    <w:panose1 w:val="02010600030101010101"/>
    <w:charset w:val="86"/>
    <w:family w:val="auto"/>
    <w:pitch w:val="default"/>
    <w:sig w:usb0="A00002BF" w:usb1="38CF7CFA" w:usb2="00000016" w:usb3="00000000" w:csb0="0004000F" w:csb1="00000000"/>
    <w:embedRegular r:id="rId6" w:fontKey="{6346CAA0-644C-4F59-9044-A457BF254656}"/>
  </w:font>
  <w:font w:name="方正小标宋简体">
    <w:panose1 w:val="03000509000000000000"/>
    <w:charset w:val="86"/>
    <w:family w:val="script"/>
    <w:pitch w:val="default"/>
    <w:sig w:usb0="00000001" w:usb1="080E0000" w:usb2="00000000" w:usb3="00000000" w:csb0="00040000" w:csb1="00000000"/>
    <w:embedRegular r:id="rId7" w:fontKey="{82A66A4D-E165-4D1E-A2F9-292706086845}"/>
  </w:font>
  <w:font w:name="方正小标宋_GBK">
    <w:altName w:val="微软雅黑"/>
    <w:panose1 w:val="00000000000000000000"/>
    <w:charset w:val="86"/>
    <w:family w:val="auto"/>
    <w:pitch w:val="default"/>
    <w:sig w:usb0="00000000" w:usb1="00000000" w:usb2="00000000" w:usb3="00000000" w:csb0="00000000" w:csb1="00000000"/>
    <w:embedRegular r:id="rId8" w:fontKey="{1056F0B0-D34B-4EA1-8C64-52F1488E2F49}"/>
  </w:font>
  <w:font w:name="微软雅黑">
    <w:panose1 w:val="020B0503020204020204"/>
    <w:charset w:val="86"/>
    <w:family w:val="auto"/>
    <w:pitch w:val="default"/>
    <w:sig w:usb0="80000287" w:usb1="280F3C52" w:usb2="00000016" w:usb3="00000000" w:csb0="0004001F" w:csb1="00000000"/>
    <w:embedRegular r:id="rId9" w:fontKey="{C1AA3FFC-BD1B-47D0-8EF3-E6465D34C751}"/>
  </w:font>
  <w:font w:name="Segoe UI Symbol">
    <w:panose1 w:val="020B0502040204020203"/>
    <w:charset w:val="00"/>
    <w:family w:val="swiss"/>
    <w:pitch w:val="default"/>
    <w:sig w:usb0="8000006F" w:usb1="1200FBEF" w:usb2="0064C000" w:usb3="00000002" w:csb0="00000001" w:csb1="40000000"/>
    <w:embedRegular r:id="rId10" w:fontKey="{35EA8EA1-E918-441F-A6D4-DDD48307BAA3}"/>
  </w:font>
  <w:font w:name="Source Han Serif CN">
    <w:altName w:val="Segoe Print"/>
    <w:panose1 w:val="00000000000000000000"/>
    <w:charset w:val="00"/>
    <w:family w:val="auto"/>
    <w:pitch w:val="default"/>
    <w:sig w:usb0="00000000" w:usb1="00000000" w:usb2="00000000" w:usb3="00000000" w:csb0="00000000" w:csb1="00000000"/>
    <w:embedRegular r:id="rId11" w:fontKey="{6C499CAC-800F-47BE-9FA7-24020FEF4969}"/>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embedRegular r:id="rId12" w:fontKey="{23159C11-E0E2-4F4F-9100-B45A85A787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6" w:name="_Hlk116546063"/>
    <w:bookmarkStart w:id="97"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6"/>
    <w:bookmarkEnd w:id="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9AFAE0EF"/>
    <w:multiLevelType w:val="singleLevel"/>
    <w:tmpl w:val="9AFAE0EF"/>
    <w:lvl w:ilvl="0" w:tentative="0">
      <w:start w:val="1"/>
      <w:numFmt w:val="decimal"/>
      <w:suff w:val="nothing"/>
      <w:lvlText w:val="（%1）"/>
      <w:lvlJc w:val="left"/>
      <w:rPr>
        <w:rFonts w:ascii="宋体" w:hAnsi="宋体" w:eastAsia="宋体"/>
      </w:rPr>
    </w:lvl>
  </w:abstractNum>
  <w:abstractNum w:abstractNumId="4">
    <w:nsid w:val="A2281775"/>
    <w:multiLevelType w:val="singleLevel"/>
    <w:tmpl w:val="A2281775"/>
    <w:lvl w:ilvl="0" w:tentative="0">
      <w:start w:val="1"/>
      <w:numFmt w:val="decimal"/>
      <w:suff w:val="space"/>
      <w:lvlText w:val="%1."/>
      <w:lvlJc w:val="left"/>
    </w:lvl>
  </w:abstractNum>
  <w:abstractNum w:abstractNumId="5">
    <w:nsid w:val="BE37D5FA"/>
    <w:multiLevelType w:val="singleLevel"/>
    <w:tmpl w:val="BE37D5FA"/>
    <w:lvl w:ilvl="0" w:tentative="0">
      <w:start w:val="1"/>
      <w:numFmt w:val="decimal"/>
      <w:suff w:val="nothing"/>
      <w:lvlText w:val="（%1）"/>
      <w:lvlJc w:val="left"/>
    </w:lvl>
  </w:abstractNum>
  <w:abstractNum w:abstractNumId="6">
    <w:nsid w:val="BE382C02"/>
    <w:multiLevelType w:val="singleLevel"/>
    <w:tmpl w:val="BE382C02"/>
    <w:lvl w:ilvl="0" w:tentative="0">
      <w:start w:val="1"/>
      <w:numFmt w:val="decimal"/>
      <w:suff w:val="nothing"/>
      <w:lvlText w:val="（%1）"/>
      <w:lvlJc w:val="left"/>
    </w:lvl>
  </w:abstractNum>
  <w:abstractNum w:abstractNumId="7">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8">
    <w:nsid w:val="CA690857"/>
    <w:multiLevelType w:val="singleLevel"/>
    <w:tmpl w:val="CA690857"/>
    <w:lvl w:ilvl="0" w:tentative="0">
      <w:start w:val="1"/>
      <w:numFmt w:val="decimal"/>
      <w:lvlText w:val="（%1）"/>
      <w:lvlJc w:val="left"/>
      <w:pPr>
        <w:ind w:left="420" w:hanging="420"/>
      </w:pPr>
      <w:rPr>
        <w:rFonts w:hint="eastAsia"/>
      </w:rPr>
    </w:lvl>
  </w:abstractNum>
  <w:abstractNum w:abstractNumId="9">
    <w:nsid w:val="CF7FE85F"/>
    <w:multiLevelType w:val="singleLevel"/>
    <w:tmpl w:val="CF7FE85F"/>
    <w:lvl w:ilvl="0" w:tentative="0">
      <w:start w:val="1"/>
      <w:numFmt w:val="decimal"/>
      <w:lvlText w:val="%1."/>
      <w:lvlJc w:val="left"/>
      <w:pPr>
        <w:ind w:left="425" w:hanging="425"/>
      </w:pPr>
      <w:rPr>
        <w:rFonts w:hint="default"/>
      </w:rPr>
    </w:lvl>
  </w:abstractNum>
  <w:abstractNum w:abstractNumId="10">
    <w:nsid w:val="D3051835"/>
    <w:multiLevelType w:val="singleLevel"/>
    <w:tmpl w:val="D3051835"/>
    <w:lvl w:ilvl="0" w:tentative="0">
      <w:start w:val="1"/>
      <w:numFmt w:val="decimal"/>
      <w:suff w:val="space"/>
      <w:lvlText w:val="%1."/>
      <w:lvlJc w:val="left"/>
    </w:lvl>
  </w:abstractNum>
  <w:abstractNum w:abstractNumId="11">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2">
    <w:nsid w:val="DAA5A57F"/>
    <w:multiLevelType w:val="singleLevel"/>
    <w:tmpl w:val="DAA5A57F"/>
    <w:lvl w:ilvl="0" w:tentative="0">
      <w:start w:val="1"/>
      <w:numFmt w:val="decimal"/>
      <w:suff w:val="space"/>
      <w:lvlText w:val="%1."/>
      <w:lvlJc w:val="left"/>
    </w:lvl>
  </w:abstractNum>
  <w:abstractNum w:abstractNumId="13">
    <w:nsid w:val="DB4D60E3"/>
    <w:multiLevelType w:val="singleLevel"/>
    <w:tmpl w:val="DB4D60E3"/>
    <w:lvl w:ilvl="0" w:tentative="0">
      <w:start w:val="1"/>
      <w:numFmt w:val="decimal"/>
      <w:suff w:val="space"/>
      <w:lvlText w:val="%1."/>
      <w:lvlJc w:val="left"/>
    </w:lvl>
  </w:abstractNum>
  <w:abstractNum w:abstractNumId="14">
    <w:nsid w:val="EBB28CBD"/>
    <w:multiLevelType w:val="singleLevel"/>
    <w:tmpl w:val="EBB28CBD"/>
    <w:lvl w:ilvl="0" w:tentative="0">
      <w:start w:val="1"/>
      <w:numFmt w:val="decimal"/>
      <w:suff w:val="space"/>
      <w:lvlText w:val="%1."/>
      <w:lvlJc w:val="left"/>
      <w:pPr>
        <w:ind w:left="520" w:firstLine="0"/>
      </w:pPr>
    </w:lvl>
  </w:abstractNum>
  <w:abstractNum w:abstractNumId="15">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6">
    <w:nsid w:val="F4F7564B"/>
    <w:multiLevelType w:val="singleLevel"/>
    <w:tmpl w:val="F4F7564B"/>
    <w:lvl w:ilvl="0" w:tentative="0">
      <w:start w:val="1"/>
      <w:numFmt w:val="decimal"/>
      <w:lvlText w:val="(%1)"/>
      <w:lvlJc w:val="left"/>
      <w:pPr>
        <w:ind w:left="425" w:hanging="425"/>
      </w:pPr>
      <w:rPr>
        <w:rFonts w:hint="default" w:ascii="宋体" w:hAnsi="宋体" w:eastAsia="宋体" w:cs="宋体"/>
        <w:sz w:val="21"/>
        <w:szCs w:val="21"/>
      </w:rPr>
    </w:lvl>
  </w:abstractNum>
  <w:abstractNum w:abstractNumId="1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3"/>
    <w:multiLevelType w:val="singleLevel"/>
    <w:tmpl w:val="00000013"/>
    <w:lvl w:ilvl="0" w:tentative="0">
      <w:start w:val="1"/>
      <w:numFmt w:val="decimal"/>
      <w:lvlText w:val="%1."/>
      <w:lvlJc w:val="left"/>
      <w:pPr>
        <w:ind w:left="420" w:hanging="420"/>
      </w:pPr>
    </w:lvl>
  </w:abstractNum>
  <w:abstractNum w:abstractNumId="21">
    <w:nsid w:val="09C8BE3B"/>
    <w:multiLevelType w:val="singleLevel"/>
    <w:tmpl w:val="09C8BE3B"/>
    <w:lvl w:ilvl="0" w:tentative="0">
      <w:start w:val="1"/>
      <w:numFmt w:val="decimal"/>
      <w:lvlText w:val="(%1)"/>
      <w:lvlJc w:val="left"/>
      <w:pPr>
        <w:ind w:left="425" w:hanging="425"/>
      </w:pPr>
      <w:rPr>
        <w:rFonts w:hint="default" w:ascii="宋体" w:hAnsi="宋体" w:eastAsia="宋体" w:cs="宋体"/>
        <w:b w:val="0"/>
        <w:bCs w:val="0"/>
        <w:sz w:val="21"/>
        <w:szCs w:val="21"/>
      </w:rPr>
    </w:lvl>
  </w:abstractNum>
  <w:abstractNum w:abstractNumId="22">
    <w:nsid w:val="11D69C2C"/>
    <w:multiLevelType w:val="singleLevel"/>
    <w:tmpl w:val="11D69C2C"/>
    <w:lvl w:ilvl="0" w:tentative="0">
      <w:start w:val="1"/>
      <w:numFmt w:val="decimal"/>
      <w:suff w:val="space"/>
      <w:lvlText w:val="%1."/>
      <w:lvlJc w:val="left"/>
    </w:lvl>
  </w:abstractNum>
  <w:abstractNum w:abstractNumId="23">
    <w:nsid w:val="15C32857"/>
    <w:multiLevelType w:val="singleLevel"/>
    <w:tmpl w:val="15C32857"/>
    <w:lvl w:ilvl="0" w:tentative="0">
      <w:start w:val="1"/>
      <w:numFmt w:val="decimal"/>
      <w:suff w:val="nothing"/>
      <w:lvlText w:val="（%1）"/>
      <w:lvlJc w:val="left"/>
    </w:lvl>
  </w:abstractNum>
  <w:abstractNum w:abstractNumId="24">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6">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0AB9193"/>
    <w:multiLevelType w:val="singleLevel"/>
    <w:tmpl w:val="20AB9193"/>
    <w:lvl w:ilvl="0" w:tentative="0">
      <w:start w:val="1"/>
      <w:numFmt w:val="decimal"/>
      <w:lvlText w:val="%1."/>
      <w:lvlJc w:val="left"/>
      <w:pPr>
        <w:ind w:left="425" w:hanging="425"/>
      </w:pPr>
      <w:rPr>
        <w:rFonts w:hint="default"/>
      </w:rPr>
    </w:lvl>
  </w:abstractNum>
  <w:abstractNum w:abstractNumId="28">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1305886"/>
    <w:multiLevelType w:val="singleLevel"/>
    <w:tmpl w:val="21305886"/>
    <w:lvl w:ilvl="0" w:tentative="0">
      <w:start w:val="1"/>
      <w:numFmt w:val="decimal"/>
      <w:lvlText w:val="（%1）"/>
      <w:lvlJc w:val="left"/>
      <w:pPr>
        <w:ind w:left="420" w:hanging="420"/>
      </w:pPr>
      <w:rPr>
        <w:rFonts w:hint="eastAsia"/>
      </w:rPr>
    </w:lvl>
  </w:abstractNum>
  <w:abstractNum w:abstractNumId="30">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1">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8E10C89"/>
    <w:multiLevelType w:val="singleLevel"/>
    <w:tmpl w:val="28E10C89"/>
    <w:lvl w:ilvl="0" w:tentative="0">
      <w:start w:val="1"/>
      <w:numFmt w:val="decimal"/>
      <w:suff w:val="space"/>
      <w:lvlText w:val="%1."/>
      <w:lvlJc w:val="left"/>
    </w:lvl>
  </w:abstractNum>
  <w:abstractNum w:abstractNumId="34">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42D5415"/>
    <w:multiLevelType w:val="singleLevel"/>
    <w:tmpl w:val="342D5415"/>
    <w:lvl w:ilvl="0" w:tentative="0">
      <w:start w:val="1"/>
      <w:numFmt w:val="decimal"/>
      <w:lvlText w:val="（%1）"/>
      <w:lvlJc w:val="left"/>
      <w:pPr>
        <w:ind w:left="420" w:hanging="420"/>
      </w:pPr>
      <w:rPr>
        <w:rFonts w:hint="eastAsia"/>
      </w:rPr>
    </w:lvl>
  </w:abstractNum>
  <w:abstractNum w:abstractNumId="36">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8AD6042"/>
    <w:multiLevelType w:val="singleLevel"/>
    <w:tmpl w:val="38AD6042"/>
    <w:lvl w:ilvl="0" w:tentative="0">
      <w:start w:val="1"/>
      <w:numFmt w:val="decimal"/>
      <w:lvlText w:val="(%1)"/>
      <w:lvlJc w:val="left"/>
      <w:pPr>
        <w:ind w:left="425" w:hanging="425"/>
      </w:pPr>
      <w:rPr>
        <w:rFonts w:hint="default"/>
      </w:rPr>
    </w:lvl>
  </w:abstractNum>
  <w:abstractNum w:abstractNumId="3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4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4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4">
    <w:nsid w:val="459746BC"/>
    <w:multiLevelType w:val="singleLevel"/>
    <w:tmpl w:val="459746BC"/>
    <w:lvl w:ilvl="0" w:tentative="0">
      <w:start w:val="1"/>
      <w:numFmt w:val="decimal"/>
      <w:suff w:val="nothing"/>
      <w:lvlText w:val="（%1）"/>
      <w:lvlJc w:val="left"/>
    </w:lvl>
  </w:abstractNum>
  <w:abstractNum w:abstractNumId="4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6">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46FFD02"/>
    <w:multiLevelType w:val="singleLevel"/>
    <w:tmpl w:val="546FFD02"/>
    <w:lvl w:ilvl="0" w:tentative="0">
      <w:start w:val="1"/>
      <w:numFmt w:val="decimal"/>
      <w:lvlText w:val="(%1)"/>
      <w:lvlJc w:val="left"/>
      <w:pPr>
        <w:ind w:left="425" w:hanging="425"/>
      </w:pPr>
      <w:rPr>
        <w:rFonts w:hint="default" w:ascii="宋体" w:hAnsi="宋体" w:eastAsia="宋体" w:cs="宋体"/>
        <w:sz w:val="21"/>
        <w:szCs w:val="21"/>
      </w:rPr>
    </w:lvl>
  </w:abstractNum>
  <w:abstractNum w:abstractNumId="4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5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4">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5">
    <w:nsid w:val="7B4A4E0C"/>
    <w:multiLevelType w:val="singleLevel"/>
    <w:tmpl w:val="7B4A4E0C"/>
    <w:lvl w:ilvl="0" w:tentative="0">
      <w:start w:val="1"/>
      <w:numFmt w:val="decimal"/>
      <w:lvlText w:val="（%1）"/>
      <w:lvlJc w:val="left"/>
      <w:pPr>
        <w:ind w:left="420" w:hanging="420"/>
      </w:pPr>
      <w:rPr>
        <w:rFonts w:hint="eastAsia"/>
      </w:rPr>
    </w:lvl>
  </w:abstractNum>
  <w:abstractNum w:abstractNumId="56">
    <w:nsid w:val="7ED17433"/>
    <w:multiLevelType w:val="singleLevel"/>
    <w:tmpl w:val="7ED17433"/>
    <w:lvl w:ilvl="0" w:tentative="0">
      <w:start w:val="1"/>
      <w:numFmt w:val="decimal"/>
      <w:lvlText w:val="（%1）"/>
      <w:lvlJc w:val="left"/>
      <w:pPr>
        <w:ind w:left="420" w:hanging="420"/>
      </w:pPr>
      <w:rPr>
        <w:rFonts w:hint="eastAsia"/>
      </w:rPr>
    </w:lvl>
  </w:abstractNum>
  <w:num w:numId="1">
    <w:abstractNumId w:val="49"/>
  </w:num>
  <w:num w:numId="2">
    <w:abstractNumId w:val="53"/>
  </w:num>
  <w:num w:numId="3">
    <w:abstractNumId w:val="37"/>
  </w:num>
  <w:num w:numId="4">
    <w:abstractNumId w:val="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50"/>
  </w:num>
  <w:num w:numId="8">
    <w:abstractNumId w:val="41"/>
  </w:num>
  <w:num w:numId="9">
    <w:abstractNumId w:val="24"/>
  </w:num>
  <w:num w:numId="10">
    <w:abstractNumId w:val="55"/>
  </w:num>
  <w:num w:numId="11">
    <w:abstractNumId w:val="56"/>
  </w:num>
  <w:num w:numId="12">
    <w:abstractNumId w:val="29"/>
  </w:num>
  <w:num w:numId="13">
    <w:abstractNumId w:val="5"/>
  </w:num>
  <w:num w:numId="14">
    <w:abstractNumId w:val="23"/>
  </w:num>
  <w:num w:numId="15">
    <w:abstractNumId w:val="47"/>
  </w:num>
  <w:num w:numId="16">
    <w:abstractNumId w:val="35"/>
  </w:num>
  <w:num w:numId="17">
    <w:abstractNumId w:val="10"/>
  </w:num>
  <w:num w:numId="18">
    <w:abstractNumId w:val="33"/>
  </w:num>
  <w:num w:numId="19">
    <w:abstractNumId w:val="19"/>
  </w:num>
  <w:num w:numId="20">
    <w:abstractNumId w:val="26"/>
  </w:num>
  <w:num w:numId="21">
    <w:abstractNumId w:val="3"/>
  </w:num>
  <w:num w:numId="22">
    <w:abstractNumId w:val="44"/>
  </w:num>
  <w:num w:numId="23">
    <w:abstractNumId w:val="6"/>
  </w:num>
  <w:num w:numId="24">
    <w:abstractNumId w:val="36"/>
  </w:num>
  <w:num w:numId="25">
    <w:abstractNumId w:val="21"/>
  </w:num>
  <w:num w:numId="26">
    <w:abstractNumId w:val="16"/>
  </w:num>
  <w:num w:numId="27">
    <w:abstractNumId w:val="38"/>
  </w:num>
  <w:num w:numId="28">
    <w:abstractNumId w:val="4"/>
  </w:num>
  <w:num w:numId="29">
    <w:abstractNumId w:val="12"/>
  </w:num>
  <w:num w:numId="30">
    <w:abstractNumId w:val="42"/>
  </w:num>
  <w:num w:numId="31">
    <w:abstractNumId w:val="39"/>
  </w:num>
  <w:num w:numId="32">
    <w:abstractNumId w:val="14"/>
  </w:num>
  <w:num w:numId="33">
    <w:abstractNumId w:val="27"/>
  </w:num>
  <w:num w:numId="34">
    <w:abstractNumId w:val="9"/>
  </w:num>
  <w:num w:numId="35">
    <w:abstractNumId w:val="51"/>
  </w:num>
  <w:num w:numId="36">
    <w:abstractNumId w:val="22"/>
  </w:num>
  <w:num w:numId="37">
    <w:abstractNumId w:val="45"/>
  </w:num>
  <w:num w:numId="38">
    <w:abstractNumId w:val="7"/>
  </w:num>
  <w:num w:numId="39">
    <w:abstractNumId w:val="30"/>
  </w:num>
  <w:num w:numId="40">
    <w:abstractNumId w:val="1"/>
  </w:num>
  <w:num w:numId="41">
    <w:abstractNumId w:val="13"/>
  </w:num>
  <w:num w:numId="42">
    <w:abstractNumId w:val="11"/>
  </w:num>
  <w:num w:numId="43">
    <w:abstractNumId w:val="54"/>
  </w:num>
  <w:num w:numId="44">
    <w:abstractNumId w:val="0"/>
  </w:num>
  <w:num w:numId="45">
    <w:abstractNumId w:val="2"/>
  </w:num>
  <w:num w:numId="46">
    <w:abstractNumId w:val="40"/>
  </w:num>
  <w:num w:numId="47">
    <w:abstractNumId w:val="15"/>
  </w:num>
  <w:num w:numId="48">
    <w:abstractNumId w:val="18"/>
  </w:num>
  <w:num w:numId="49">
    <w:abstractNumId w:val="17"/>
  </w:num>
  <w:num w:numId="50">
    <w:abstractNumId w:val="52"/>
  </w:num>
  <w:num w:numId="51">
    <w:abstractNumId w:val="43"/>
  </w:num>
  <w:num w:numId="52">
    <w:abstractNumId w:val="34"/>
  </w:num>
  <w:num w:numId="53">
    <w:abstractNumId w:val="31"/>
  </w:num>
  <w:num w:numId="54">
    <w:abstractNumId w:val="46"/>
  </w:num>
  <w:num w:numId="55">
    <w:abstractNumId w:val="28"/>
  </w:num>
  <w:num w:numId="56">
    <w:abstractNumId w:val="20"/>
  </w:num>
  <w:num w:numId="57">
    <w:abstractNumId w:val="48"/>
  </w:num>
  <w:num w:numId="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trackRevisions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53BA3"/>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34F9C"/>
    <w:rsid w:val="00441F17"/>
    <w:rsid w:val="004607EA"/>
    <w:rsid w:val="004707D2"/>
    <w:rsid w:val="00471ED2"/>
    <w:rsid w:val="00476C96"/>
    <w:rsid w:val="004775EE"/>
    <w:rsid w:val="00492F1D"/>
    <w:rsid w:val="0049681E"/>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84C18"/>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54719"/>
    <w:rsid w:val="006635D2"/>
    <w:rsid w:val="00664471"/>
    <w:rsid w:val="00680DDE"/>
    <w:rsid w:val="00681577"/>
    <w:rsid w:val="006815B1"/>
    <w:rsid w:val="00687753"/>
    <w:rsid w:val="006942FF"/>
    <w:rsid w:val="00696575"/>
    <w:rsid w:val="006A4FED"/>
    <w:rsid w:val="006B1729"/>
    <w:rsid w:val="006B3970"/>
    <w:rsid w:val="006B4923"/>
    <w:rsid w:val="006C1374"/>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462BE"/>
    <w:rsid w:val="00857F72"/>
    <w:rsid w:val="00866C0E"/>
    <w:rsid w:val="00867C56"/>
    <w:rsid w:val="00870B22"/>
    <w:rsid w:val="00874BB5"/>
    <w:rsid w:val="00876830"/>
    <w:rsid w:val="00895D5D"/>
    <w:rsid w:val="008A0193"/>
    <w:rsid w:val="008B2C67"/>
    <w:rsid w:val="008B6E6E"/>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285F"/>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06F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EF0B20"/>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920CC9"/>
    <w:rsid w:val="02B47C4D"/>
    <w:rsid w:val="04450729"/>
    <w:rsid w:val="04D46768"/>
    <w:rsid w:val="04DD6BC4"/>
    <w:rsid w:val="04F90B5F"/>
    <w:rsid w:val="053A1CC8"/>
    <w:rsid w:val="063C0B56"/>
    <w:rsid w:val="06856661"/>
    <w:rsid w:val="07266D9B"/>
    <w:rsid w:val="077B4608"/>
    <w:rsid w:val="07BB74B6"/>
    <w:rsid w:val="07D7576E"/>
    <w:rsid w:val="081E605F"/>
    <w:rsid w:val="083420ED"/>
    <w:rsid w:val="08493DEA"/>
    <w:rsid w:val="086E4EC9"/>
    <w:rsid w:val="09075A40"/>
    <w:rsid w:val="09AD4D8C"/>
    <w:rsid w:val="0A2109EC"/>
    <w:rsid w:val="0AB56D75"/>
    <w:rsid w:val="0B734A64"/>
    <w:rsid w:val="0C640E8C"/>
    <w:rsid w:val="0C7F6C47"/>
    <w:rsid w:val="0CDE01F2"/>
    <w:rsid w:val="0DD201F4"/>
    <w:rsid w:val="0F4526B6"/>
    <w:rsid w:val="10091618"/>
    <w:rsid w:val="10A01C6A"/>
    <w:rsid w:val="11D3174D"/>
    <w:rsid w:val="1289588D"/>
    <w:rsid w:val="1294678E"/>
    <w:rsid w:val="15044A88"/>
    <w:rsid w:val="152B64B8"/>
    <w:rsid w:val="15740DA4"/>
    <w:rsid w:val="162406AF"/>
    <w:rsid w:val="162E6AF4"/>
    <w:rsid w:val="165C6CA1"/>
    <w:rsid w:val="16A76BDD"/>
    <w:rsid w:val="17D019F3"/>
    <w:rsid w:val="183D0B4A"/>
    <w:rsid w:val="195A6BC0"/>
    <w:rsid w:val="1A9B4AB1"/>
    <w:rsid w:val="1AC0670E"/>
    <w:rsid w:val="1BE05BD4"/>
    <w:rsid w:val="1C5670DA"/>
    <w:rsid w:val="1C8430F4"/>
    <w:rsid w:val="1C8B6653"/>
    <w:rsid w:val="1EAF26D2"/>
    <w:rsid w:val="1F7074E6"/>
    <w:rsid w:val="2185708A"/>
    <w:rsid w:val="224D725C"/>
    <w:rsid w:val="227A4EED"/>
    <w:rsid w:val="228D0750"/>
    <w:rsid w:val="24786106"/>
    <w:rsid w:val="25A5748F"/>
    <w:rsid w:val="25BE1EBF"/>
    <w:rsid w:val="25D85A3C"/>
    <w:rsid w:val="267E19B6"/>
    <w:rsid w:val="26E95967"/>
    <w:rsid w:val="28694B2C"/>
    <w:rsid w:val="29A92027"/>
    <w:rsid w:val="2A1D36D7"/>
    <w:rsid w:val="2B763BCE"/>
    <w:rsid w:val="2B9E3425"/>
    <w:rsid w:val="2BD84FDD"/>
    <w:rsid w:val="2BFA4386"/>
    <w:rsid w:val="2C52500D"/>
    <w:rsid w:val="2CD73EA3"/>
    <w:rsid w:val="2D545E03"/>
    <w:rsid w:val="2D845ED0"/>
    <w:rsid w:val="2EAB6E76"/>
    <w:rsid w:val="2F021866"/>
    <w:rsid w:val="2FA43EDA"/>
    <w:rsid w:val="30381F4F"/>
    <w:rsid w:val="304A1BCE"/>
    <w:rsid w:val="31504867"/>
    <w:rsid w:val="31E314FE"/>
    <w:rsid w:val="32194CB1"/>
    <w:rsid w:val="3248602B"/>
    <w:rsid w:val="32757725"/>
    <w:rsid w:val="32D0096E"/>
    <w:rsid w:val="33EB5902"/>
    <w:rsid w:val="340429D4"/>
    <w:rsid w:val="3412227F"/>
    <w:rsid w:val="34226F94"/>
    <w:rsid w:val="34A05B77"/>
    <w:rsid w:val="358A0BFF"/>
    <w:rsid w:val="35C308D5"/>
    <w:rsid w:val="37097428"/>
    <w:rsid w:val="387D1EBD"/>
    <w:rsid w:val="38AC36F6"/>
    <w:rsid w:val="394A3FAD"/>
    <w:rsid w:val="3AAD7F79"/>
    <w:rsid w:val="3B77509E"/>
    <w:rsid w:val="3B991A52"/>
    <w:rsid w:val="3BB26AC4"/>
    <w:rsid w:val="3BCC6DE8"/>
    <w:rsid w:val="3BE8035F"/>
    <w:rsid w:val="3C35255B"/>
    <w:rsid w:val="3D2E441D"/>
    <w:rsid w:val="3D303705"/>
    <w:rsid w:val="3D3679ED"/>
    <w:rsid w:val="3D8416C2"/>
    <w:rsid w:val="3E093CC4"/>
    <w:rsid w:val="3FBF5045"/>
    <w:rsid w:val="408D7227"/>
    <w:rsid w:val="40AC2994"/>
    <w:rsid w:val="410E6ABE"/>
    <w:rsid w:val="41407E51"/>
    <w:rsid w:val="416718EC"/>
    <w:rsid w:val="41C80A1D"/>
    <w:rsid w:val="42815A69"/>
    <w:rsid w:val="42D17F07"/>
    <w:rsid w:val="42E41C7B"/>
    <w:rsid w:val="43445805"/>
    <w:rsid w:val="43882D11"/>
    <w:rsid w:val="439D7A21"/>
    <w:rsid w:val="43D97719"/>
    <w:rsid w:val="447267E8"/>
    <w:rsid w:val="449818E5"/>
    <w:rsid w:val="44E431E5"/>
    <w:rsid w:val="46921AAD"/>
    <w:rsid w:val="46B30DE6"/>
    <w:rsid w:val="47927E7C"/>
    <w:rsid w:val="484E27AE"/>
    <w:rsid w:val="492A4A83"/>
    <w:rsid w:val="495C1F5C"/>
    <w:rsid w:val="4A5F259F"/>
    <w:rsid w:val="4AF77150"/>
    <w:rsid w:val="4B702E06"/>
    <w:rsid w:val="4B8B03E4"/>
    <w:rsid w:val="4BAE115F"/>
    <w:rsid w:val="4C216589"/>
    <w:rsid w:val="4D97237A"/>
    <w:rsid w:val="4D9A3F67"/>
    <w:rsid w:val="4DDF67CC"/>
    <w:rsid w:val="4E9465A9"/>
    <w:rsid w:val="4EA367E9"/>
    <w:rsid w:val="4EE12BFB"/>
    <w:rsid w:val="4FA517E7"/>
    <w:rsid w:val="50FA6A61"/>
    <w:rsid w:val="514E6F7F"/>
    <w:rsid w:val="51794BC1"/>
    <w:rsid w:val="51F34F5E"/>
    <w:rsid w:val="53D25371"/>
    <w:rsid w:val="53EE590B"/>
    <w:rsid w:val="540F1FD2"/>
    <w:rsid w:val="55B00A6F"/>
    <w:rsid w:val="561F6663"/>
    <w:rsid w:val="57315BF2"/>
    <w:rsid w:val="57594B93"/>
    <w:rsid w:val="58307EA8"/>
    <w:rsid w:val="594A6990"/>
    <w:rsid w:val="5A2E0F40"/>
    <w:rsid w:val="5BF55E26"/>
    <w:rsid w:val="5E020814"/>
    <w:rsid w:val="5E351CA2"/>
    <w:rsid w:val="5E8307E5"/>
    <w:rsid w:val="5F0E4757"/>
    <w:rsid w:val="60475C3F"/>
    <w:rsid w:val="60785544"/>
    <w:rsid w:val="60A60070"/>
    <w:rsid w:val="610D1F39"/>
    <w:rsid w:val="612278A4"/>
    <w:rsid w:val="6142679E"/>
    <w:rsid w:val="61A26997"/>
    <w:rsid w:val="622C21AB"/>
    <w:rsid w:val="62D00ABF"/>
    <w:rsid w:val="640C25AF"/>
    <w:rsid w:val="6449747B"/>
    <w:rsid w:val="64FA7688"/>
    <w:rsid w:val="6541126B"/>
    <w:rsid w:val="670934B0"/>
    <w:rsid w:val="6723082C"/>
    <w:rsid w:val="67531737"/>
    <w:rsid w:val="683A303D"/>
    <w:rsid w:val="688C35F6"/>
    <w:rsid w:val="68E97B63"/>
    <w:rsid w:val="69076C5F"/>
    <w:rsid w:val="69475245"/>
    <w:rsid w:val="6A5B2F9C"/>
    <w:rsid w:val="6B1E605C"/>
    <w:rsid w:val="6B2E7CEB"/>
    <w:rsid w:val="6C472E84"/>
    <w:rsid w:val="6C5E0507"/>
    <w:rsid w:val="6C6B5505"/>
    <w:rsid w:val="6C927D2A"/>
    <w:rsid w:val="6D335175"/>
    <w:rsid w:val="6DEF5665"/>
    <w:rsid w:val="6DF67C63"/>
    <w:rsid w:val="6E072350"/>
    <w:rsid w:val="6E3F209B"/>
    <w:rsid w:val="6ED02117"/>
    <w:rsid w:val="71EE0DCF"/>
    <w:rsid w:val="720745BC"/>
    <w:rsid w:val="7217630A"/>
    <w:rsid w:val="725336E8"/>
    <w:rsid w:val="74783A1C"/>
    <w:rsid w:val="748164C6"/>
    <w:rsid w:val="74AB354D"/>
    <w:rsid w:val="74B05132"/>
    <w:rsid w:val="74BB327C"/>
    <w:rsid w:val="75144A21"/>
    <w:rsid w:val="757D1CEF"/>
    <w:rsid w:val="76942E60"/>
    <w:rsid w:val="76C52AAF"/>
    <w:rsid w:val="76E063E5"/>
    <w:rsid w:val="77106B55"/>
    <w:rsid w:val="772A35DE"/>
    <w:rsid w:val="77474322"/>
    <w:rsid w:val="77AB2BB3"/>
    <w:rsid w:val="77FC3514"/>
    <w:rsid w:val="781B5752"/>
    <w:rsid w:val="798425C1"/>
    <w:rsid w:val="79A35F22"/>
    <w:rsid w:val="79A454A8"/>
    <w:rsid w:val="79BF662E"/>
    <w:rsid w:val="7A751935"/>
    <w:rsid w:val="7AEE6400"/>
    <w:rsid w:val="7B2952F2"/>
    <w:rsid w:val="7B2A4906"/>
    <w:rsid w:val="7CEA58C8"/>
    <w:rsid w:val="7CF46BD3"/>
    <w:rsid w:val="7E832955"/>
    <w:rsid w:val="7F936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qFormat/>
    <w:uiPriority w:val="0"/>
    <w:pPr>
      <w:ind w:firstLine="900"/>
    </w:pPr>
    <w:rPr>
      <w:sz w:val="28"/>
      <w:szCs w:val="20"/>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出段落 Char"/>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Char"/>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Char"/>
    <w:basedOn w:val="18"/>
    <w:link w:val="6"/>
    <w:semiHidden/>
    <w:qFormat/>
    <w:uiPriority w:val="99"/>
    <w:rPr>
      <w:rFonts w:ascii="Times New Roman" w:hAnsi="Times New Roman" w:eastAsia="宋体" w:cs="Times New Roman"/>
      <w:sz w:val="18"/>
      <w:szCs w:val="18"/>
    </w:rPr>
  </w:style>
  <w:style w:type="character" w:customStyle="1" w:styleId="29">
    <w:name w:val="页眉 Char"/>
    <w:basedOn w:val="18"/>
    <w:link w:val="8"/>
    <w:qFormat/>
    <w:uiPriority w:val="99"/>
    <w:rPr>
      <w:rFonts w:ascii="Times New Roman" w:hAnsi="Times New Roman" w:eastAsia="宋体" w:cs="Times New Roman"/>
      <w:sz w:val="18"/>
      <w:szCs w:val="18"/>
    </w:rPr>
  </w:style>
  <w:style w:type="character" w:customStyle="1" w:styleId="30">
    <w:name w:val="页脚 Char"/>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Char"/>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Char"/>
    <w:basedOn w:val="18"/>
    <w:link w:val="12"/>
    <w:qFormat/>
    <w:uiPriority w:val="0"/>
    <w:rPr>
      <w:rFonts w:ascii="仿宋_GB2312" w:hAnsi="宋体" w:eastAsia="仿宋_GB2312"/>
      <w:kern w:val="2"/>
      <w:sz w:val="21"/>
      <w:szCs w:val="24"/>
    </w:rPr>
  </w:style>
  <w:style w:type="character" w:customStyle="1" w:styleId="35">
    <w:name w:val="脚注文本 Char"/>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34</Pages>
  <Words>3318</Words>
  <Characters>18918</Characters>
  <Lines>157</Lines>
  <Paragraphs>44</Paragraphs>
  <TotalTime>10</TotalTime>
  <ScaleCrop>false</ScaleCrop>
  <LinksUpToDate>false</LinksUpToDate>
  <CharactersWithSpaces>22192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2023-07-21T06:32:00Z</dcterms:created>
  <dc:creator>Tony Young</dc:creator>
  <cp:lastModifiedBy>宛</cp:lastModifiedBy>
  <cp:lastPrinted>2023-07-20T08:06:00Z</cp:lastPrinted>
  <dcterms:modified xsi:type="dcterms:W3CDTF">2023-07-31T06:45:10Z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566BBC9BA4C2415280C8EC94B247A713</vt:lpwstr>
  </property>
</Properties>
</file>